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D23BE" w14:textId="35D3E09F" w:rsidR="005D027B" w:rsidRDefault="005D027B" w:rsidP="00477CCA">
      <w:pPr>
        <w:pStyle w:val="NormalWeb"/>
        <w:shd w:val="clear" w:color="auto" w:fill="FFFFFF"/>
        <w:spacing w:before="0" w:beforeAutospacing="0" w:after="340" w:afterAutospacing="0"/>
        <w:jc w:val="both"/>
        <w:rPr>
          <w:rStyle w:val="Fuerte"/>
          <w:rFonts w:ascii="Verdana" w:hAnsi="Verdana" w:cs="Segoe UI"/>
          <w:sz w:val="22"/>
          <w:szCs w:val="22"/>
        </w:rPr>
      </w:pPr>
      <w:bookmarkStart w:id="0" w:name="_Hlk143780582"/>
      <w:r w:rsidRPr="00477CCA">
        <w:rPr>
          <w:rStyle w:val="Fuerte"/>
          <w:rFonts w:ascii="Verdana" w:hAnsi="Verdana" w:cs="Segoe UI"/>
          <w:sz w:val="22"/>
          <w:szCs w:val="22"/>
        </w:rPr>
        <w:t>SOCIEDADES DE ECONOMÍA MIXTA</w:t>
      </w:r>
      <w:r>
        <w:rPr>
          <w:rStyle w:val="Fuerte"/>
          <w:rFonts w:ascii="Verdana" w:hAnsi="Verdana" w:cs="Segoe UI"/>
          <w:sz w:val="22"/>
          <w:szCs w:val="22"/>
        </w:rPr>
        <w:t xml:space="preserve">-Definición </w:t>
      </w:r>
    </w:p>
    <w:p w14:paraId="68C3B43F" w14:textId="25994456" w:rsidR="005D027B" w:rsidRDefault="005D027B" w:rsidP="00C15636">
      <w:pPr>
        <w:autoSpaceDE w:val="0"/>
        <w:autoSpaceDN w:val="0"/>
        <w:adjustRightInd w:val="0"/>
        <w:spacing w:after="120" w:line="276" w:lineRule="auto"/>
        <w:jc w:val="both"/>
        <w:rPr>
          <w:rFonts w:ascii="Verdana" w:hAnsi="Verdana" w:cs="Arial"/>
          <w:sz w:val="20"/>
          <w:szCs w:val="20"/>
          <w:lang w:val="es-ES_tradnl"/>
        </w:rPr>
      </w:pPr>
      <w:r w:rsidRPr="00857B2F">
        <w:rPr>
          <w:rFonts w:ascii="Verdana" w:hAnsi="Verdana" w:cs="Arial"/>
          <w:color w:val="000000" w:themeColor="text1"/>
          <w:sz w:val="20"/>
          <w:szCs w:val="20"/>
          <w:lang w:val="es-ES_tradnl"/>
        </w:rPr>
        <w:t>En nuestro ordenamiento jurídico, el</w:t>
      </w:r>
      <w:r w:rsidRPr="00857B2F">
        <w:rPr>
          <w:rFonts w:ascii="Verdana" w:hAnsi="Verdana" w:cs="Arial"/>
          <w:sz w:val="20"/>
          <w:szCs w:val="20"/>
          <w:lang w:val="es-ES_tradnl"/>
        </w:rPr>
        <w:t xml:space="preserve">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w:t>
      </w:r>
    </w:p>
    <w:p w14:paraId="2D022FD0" w14:textId="77777777" w:rsidR="00C15636" w:rsidRPr="00C15636" w:rsidRDefault="00C15636" w:rsidP="00C15636">
      <w:pPr>
        <w:autoSpaceDE w:val="0"/>
        <w:autoSpaceDN w:val="0"/>
        <w:adjustRightInd w:val="0"/>
        <w:spacing w:after="120" w:line="276" w:lineRule="auto"/>
        <w:jc w:val="both"/>
        <w:rPr>
          <w:rStyle w:val="Fuerte"/>
          <w:rFonts w:ascii="Verdana" w:hAnsi="Verdana" w:cs="Arial"/>
          <w:b w:val="0"/>
          <w:bCs w:val="0"/>
          <w:sz w:val="20"/>
          <w:szCs w:val="20"/>
          <w:lang w:val="es-ES_tradnl"/>
        </w:rPr>
      </w:pPr>
    </w:p>
    <w:p w14:paraId="720D1428" w14:textId="5AD6428B" w:rsidR="00477CCA" w:rsidRPr="00477CCA" w:rsidRDefault="00477CCA" w:rsidP="00477CCA">
      <w:pPr>
        <w:pStyle w:val="NormalWeb"/>
        <w:shd w:val="clear" w:color="auto" w:fill="FFFFFF"/>
        <w:spacing w:before="0" w:beforeAutospacing="0" w:after="340" w:afterAutospacing="0"/>
        <w:jc w:val="both"/>
        <w:rPr>
          <w:rFonts w:ascii="Verdana" w:hAnsi="Verdana" w:cs="Segoe UI"/>
          <w:b/>
          <w:bCs/>
          <w:sz w:val="22"/>
          <w:szCs w:val="22"/>
        </w:rPr>
      </w:pPr>
      <w:r w:rsidRPr="00477CCA">
        <w:rPr>
          <w:rStyle w:val="Fuerte"/>
          <w:rFonts w:ascii="Verdana" w:hAnsi="Verdana" w:cs="Segoe UI"/>
          <w:sz w:val="22"/>
          <w:szCs w:val="22"/>
        </w:rPr>
        <w:t>LEY DE GARANTÍAS ELECTORALES ‒ Tipos de restricciones – Sociedades de economía mixta</w:t>
      </w:r>
    </w:p>
    <w:p w14:paraId="7ACB30F9" w14:textId="77777777" w:rsidR="00477CCA" w:rsidRPr="00477CCA" w:rsidRDefault="00477CCA" w:rsidP="00477CCA">
      <w:pPr>
        <w:pStyle w:val="NormalWeb"/>
        <w:shd w:val="clear" w:color="auto" w:fill="FFFFFF"/>
        <w:spacing w:before="0" w:beforeAutospacing="0" w:after="340" w:afterAutospacing="0"/>
        <w:jc w:val="both"/>
        <w:rPr>
          <w:rFonts w:ascii="Verdana" w:hAnsi="Verdana" w:cs="Segoe UI"/>
          <w:sz w:val="20"/>
          <w:szCs w:val="20"/>
        </w:rPr>
      </w:pPr>
      <w:r w:rsidRPr="00477CCA">
        <w:rPr>
          <w:rFonts w:ascii="Verdana" w:hAnsi="Verdana" w:cs="Segoe UI"/>
          <w:sz w:val="20"/>
          <w:szCs w:val="20"/>
        </w:rPr>
        <w:t>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se refiere a cualquier sistema de selección o procedimiento de contratación utilizado por las entidades estatales que no incluya la convocatoria pública en alguna de sus etapas, ni permita la participación de una pluralidad de oferentes.</w:t>
      </w:r>
    </w:p>
    <w:p w14:paraId="6022B6C4" w14:textId="77777777" w:rsidR="00477CCA" w:rsidRPr="00477CCA" w:rsidRDefault="00477CCA" w:rsidP="00477CCA">
      <w:pPr>
        <w:pStyle w:val="NormalWeb"/>
        <w:shd w:val="clear" w:color="auto" w:fill="FFFFFF"/>
        <w:spacing w:before="0" w:beforeAutospacing="0" w:after="340" w:afterAutospacing="0"/>
        <w:jc w:val="both"/>
        <w:rPr>
          <w:rFonts w:ascii="Verdana" w:hAnsi="Verdana" w:cs="Segoe UI"/>
          <w:sz w:val="20"/>
          <w:szCs w:val="20"/>
        </w:rPr>
      </w:pPr>
      <w:r w:rsidRPr="00477CCA">
        <w:rPr>
          <w:rFonts w:ascii="Verdana" w:hAnsi="Verdana" w:cs="Segoe UI"/>
          <w:sz w:val="20"/>
          <w:szCs w:val="20"/>
        </w:rPr>
        <w:t>Por su parte, los destinatarios de la prohibición están expresamente señalados como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3145DE9E" w14:textId="4C586DCC" w:rsidR="001B5E0C" w:rsidRPr="00DB5457" w:rsidRDefault="00477CCA" w:rsidP="00DB5457">
      <w:pPr>
        <w:pStyle w:val="NormalWeb"/>
        <w:shd w:val="clear" w:color="auto" w:fill="FFFFFF"/>
        <w:spacing w:before="0" w:beforeAutospacing="0" w:after="340" w:afterAutospacing="0"/>
        <w:jc w:val="both"/>
        <w:rPr>
          <w:rFonts w:ascii="Verdana" w:hAnsi="Verdana" w:cs="Segoe UI"/>
          <w:sz w:val="20"/>
          <w:szCs w:val="20"/>
        </w:rPr>
      </w:pPr>
      <w:r w:rsidRPr="00477CCA">
        <w:rPr>
          <w:rFonts w:ascii="Verdana" w:hAnsi="Verdana" w:cs="Segoe UI"/>
          <w:sz w:val="20"/>
          <w:szCs w:val="20"/>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7947622C" w14:textId="77777777" w:rsidR="00DB5457" w:rsidRDefault="00DB5457" w:rsidP="00097276">
      <w:pPr>
        <w:spacing w:after="0"/>
        <w:rPr>
          <w:rFonts w:ascii="Verdana" w:eastAsia="Verdana" w:hAnsi="Verdana" w:cs="Verdana"/>
        </w:rPr>
      </w:pPr>
    </w:p>
    <w:p w14:paraId="71E75BD2" w14:textId="77777777" w:rsidR="001F4776" w:rsidRDefault="001F4776" w:rsidP="00097276">
      <w:pPr>
        <w:spacing w:after="0"/>
        <w:rPr>
          <w:rFonts w:ascii="Verdana" w:eastAsia="Verdana" w:hAnsi="Verdana" w:cs="Verdana"/>
        </w:rPr>
      </w:pPr>
    </w:p>
    <w:p w14:paraId="32DC01E7" w14:textId="77777777" w:rsidR="001F4776" w:rsidRDefault="001F4776" w:rsidP="00097276">
      <w:pPr>
        <w:spacing w:after="0"/>
        <w:rPr>
          <w:rFonts w:ascii="Verdana" w:eastAsia="Verdana" w:hAnsi="Verdana" w:cs="Verdana"/>
        </w:rPr>
      </w:pPr>
    </w:p>
    <w:p w14:paraId="41272F96" w14:textId="77777777" w:rsidR="005E33DE" w:rsidRDefault="005E33DE" w:rsidP="00097276">
      <w:pPr>
        <w:spacing w:after="0"/>
        <w:rPr>
          <w:rFonts w:ascii="Verdana" w:eastAsia="Verdana" w:hAnsi="Verdana" w:cs="Verdana"/>
        </w:rPr>
      </w:pPr>
    </w:p>
    <w:p w14:paraId="5D39C9E7" w14:textId="77777777" w:rsidR="005E33DE" w:rsidRPr="00DB5457" w:rsidRDefault="005E33DE" w:rsidP="00097276">
      <w:pPr>
        <w:spacing w:after="0"/>
        <w:rPr>
          <w:rFonts w:ascii="Verdana" w:eastAsia="Verdana" w:hAnsi="Verdana" w:cs="Verdana"/>
        </w:rPr>
      </w:pPr>
    </w:p>
    <w:p w14:paraId="712B7C0A" w14:textId="77777777" w:rsidR="00DB5457" w:rsidRPr="00DB5457" w:rsidRDefault="00DB5457" w:rsidP="00DB5457">
      <w:pPr>
        <w:spacing w:after="0"/>
        <w:rPr>
          <w:rFonts w:ascii="Verdana" w:eastAsia="Verdana" w:hAnsi="Verdana" w:cs="Verdana"/>
          <w:b/>
          <w:bCs/>
        </w:rPr>
      </w:pPr>
      <w:r w:rsidRPr="00DB5457">
        <w:rPr>
          <w:rFonts w:ascii="Verdana" w:eastAsia="Verdana" w:hAnsi="Verdana" w:cs="Verdana"/>
          <w:b/>
          <w:bCs/>
        </w:rPr>
        <w:lastRenderedPageBreak/>
        <w:t>LEY DE GARANTÍAS ELECTORALES ‒ Finalidad</w:t>
      </w:r>
    </w:p>
    <w:p w14:paraId="1A0BA3B5" w14:textId="77777777" w:rsidR="00DB5457" w:rsidRPr="00DB5457" w:rsidRDefault="00DB5457" w:rsidP="00DB5457">
      <w:pPr>
        <w:spacing w:after="0"/>
        <w:rPr>
          <w:rFonts w:ascii="Verdana" w:eastAsia="Verdana" w:hAnsi="Verdana" w:cs="Verdana"/>
          <w:sz w:val="20"/>
          <w:szCs w:val="20"/>
        </w:rPr>
      </w:pPr>
    </w:p>
    <w:p w14:paraId="2C429055" w14:textId="77777777" w:rsidR="00DB5457" w:rsidRPr="00DB5457" w:rsidRDefault="00DB5457" w:rsidP="00DB5457">
      <w:pPr>
        <w:spacing w:after="0"/>
        <w:jc w:val="both"/>
        <w:rPr>
          <w:rFonts w:ascii="Verdana" w:eastAsia="Verdana" w:hAnsi="Verdana" w:cs="Verdana"/>
          <w:sz w:val="20"/>
          <w:szCs w:val="20"/>
        </w:rPr>
      </w:pPr>
      <w:r w:rsidRPr="00DB5457">
        <w:rPr>
          <w:rFonts w:ascii="Verdana" w:eastAsia="Verdana" w:hAnsi="Verdana" w:cs="Verdana"/>
          <w:sz w:val="20"/>
          <w:szCs w:val="20"/>
        </w:rPr>
        <w:t>[…] Para empezar,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639E3364" w14:textId="77777777" w:rsidR="00DB5457" w:rsidRPr="00477CCA" w:rsidRDefault="00DB5457" w:rsidP="00097276">
      <w:pPr>
        <w:spacing w:after="0"/>
        <w:rPr>
          <w:rFonts w:ascii="Verdana" w:eastAsia="Verdana" w:hAnsi="Verdana" w:cs="Verdana"/>
          <w:sz w:val="20"/>
          <w:szCs w:val="20"/>
        </w:rPr>
      </w:pPr>
    </w:p>
    <w:p w14:paraId="481B265E" w14:textId="77777777" w:rsidR="001B5E0C" w:rsidRPr="00477CCA" w:rsidRDefault="001B5E0C" w:rsidP="00097276">
      <w:pPr>
        <w:spacing w:after="0"/>
        <w:rPr>
          <w:rFonts w:ascii="Verdana" w:eastAsia="Verdana" w:hAnsi="Verdana" w:cs="Verdana"/>
          <w:sz w:val="20"/>
          <w:szCs w:val="20"/>
        </w:rPr>
      </w:pPr>
    </w:p>
    <w:p w14:paraId="78EDC0E3" w14:textId="77777777" w:rsidR="001B5E0C" w:rsidRPr="00477CCA" w:rsidRDefault="001B5E0C" w:rsidP="00097276">
      <w:pPr>
        <w:spacing w:after="0"/>
        <w:rPr>
          <w:rFonts w:ascii="Verdana" w:eastAsia="Verdana" w:hAnsi="Verdana" w:cs="Verdana"/>
          <w:sz w:val="20"/>
          <w:szCs w:val="20"/>
        </w:rPr>
      </w:pPr>
    </w:p>
    <w:p w14:paraId="2B731195" w14:textId="77777777" w:rsidR="001B5E0C" w:rsidRDefault="001B5E0C" w:rsidP="00097276">
      <w:pPr>
        <w:spacing w:after="0"/>
        <w:rPr>
          <w:rFonts w:ascii="Verdana" w:eastAsia="Verdana" w:hAnsi="Verdana" w:cs="Verdana"/>
        </w:rPr>
      </w:pPr>
    </w:p>
    <w:p w14:paraId="6C8D304B" w14:textId="77777777" w:rsidR="001B5E0C" w:rsidRDefault="001B5E0C" w:rsidP="00097276">
      <w:pPr>
        <w:spacing w:after="0"/>
        <w:rPr>
          <w:rFonts w:ascii="Verdana" w:eastAsia="Verdana" w:hAnsi="Verdana" w:cs="Verdana"/>
        </w:rPr>
      </w:pPr>
    </w:p>
    <w:p w14:paraId="5161FC40" w14:textId="77777777" w:rsidR="001B5E0C" w:rsidRDefault="001B5E0C" w:rsidP="00097276">
      <w:pPr>
        <w:spacing w:after="0"/>
        <w:rPr>
          <w:rFonts w:ascii="Verdana" w:eastAsia="Verdana" w:hAnsi="Verdana" w:cs="Verdana"/>
        </w:rPr>
      </w:pPr>
    </w:p>
    <w:p w14:paraId="093A1E8C" w14:textId="77777777" w:rsidR="001B5E0C" w:rsidRDefault="001B5E0C" w:rsidP="00097276">
      <w:pPr>
        <w:spacing w:after="0"/>
        <w:rPr>
          <w:rFonts w:ascii="Verdana" w:eastAsia="Verdana" w:hAnsi="Verdana" w:cs="Verdana"/>
        </w:rPr>
      </w:pPr>
    </w:p>
    <w:p w14:paraId="7EB23BC1" w14:textId="77777777" w:rsidR="001B5E0C" w:rsidRDefault="001B5E0C" w:rsidP="00097276">
      <w:pPr>
        <w:spacing w:after="0"/>
        <w:rPr>
          <w:rFonts w:ascii="Verdana" w:eastAsia="Verdana" w:hAnsi="Verdana" w:cs="Verdana"/>
        </w:rPr>
      </w:pPr>
    </w:p>
    <w:p w14:paraId="48E06CE5" w14:textId="77777777" w:rsidR="001B5E0C" w:rsidRDefault="001B5E0C" w:rsidP="00097276">
      <w:pPr>
        <w:spacing w:after="0"/>
        <w:rPr>
          <w:rFonts w:ascii="Verdana" w:eastAsia="Verdana" w:hAnsi="Verdana" w:cs="Verdana"/>
        </w:rPr>
      </w:pPr>
    </w:p>
    <w:p w14:paraId="768F1A91" w14:textId="77777777" w:rsidR="001B5E0C" w:rsidRDefault="001B5E0C" w:rsidP="00097276">
      <w:pPr>
        <w:spacing w:after="0"/>
        <w:rPr>
          <w:rFonts w:ascii="Verdana" w:eastAsia="Verdana" w:hAnsi="Verdana" w:cs="Verdana"/>
        </w:rPr>
      </w:pPr>
    </w:p>
    <w:p w14:paraId="41A4DD85" w14:textId="77777777" w:rsidR="001B5E0C" w:rsidRDefault="001B5E0C" w:rsidP="00097276">
      <w:pPr>
        <w:spacing w:after="0"/>
        <w:rPr>
          <w:rFonts w:ascii="Verdana" w:eastAsia="Verdana" w:hAnsi="Verdana" w:cs="Verdana"/>
        </w:rPr>
      </w:pPr>
    </w:p>
    <w:p w14:paraId="7AC9E03B" w14:textId="77777777" w:rsidR="001B5E0C" w:rsidRDefault="001B5E0C" w:rsidP="00097276">
      <w:pPr>
        <w:spacing w:after="0"/>
        <w:rPr>
          <w:rFonts w:ascii="Verdana" w:eastAsia="Verdana" w:hAnsi="Verdana" w:cs="Verdana"/>
        </w:rPr>
      </w:pPr>
    </w:p>
    <w:p w14:paraId="4277BE9E" w14:textId="77777777" w:rsidR="001B5E0C" w:rsidRDefault="001B5E0C" w:rsidP="00097276">
      <w:pPr>
        <w:spacing w:after="0"/>
        <w:rPr>
          <w:rFonts w:ascii="Verdana" w:eastAsia="Verdana" w:hAnsi="Verdana" w:cs="Verdana"/>
        </w:rPr>
      </w:pPr>
    </w:p>
    <w:p w14:paraId="3CE5CC60" w14:textId="77777777" w:rsidR="001B5E0C" w:rsidRDefault="001B5E0C" w:rsidP="00097276">
      <w:pPr>
        <w:spacing w:after="0"/>
        <w:rPr>
          <w:rFonts w:ascii="Verdana" w:eastAsia="Verdana" w:hAnsi="Verdana" w:cs="Verdana"/>
        </w:rPr>
      </w:pPr>
    </w:p>
    <w:p w14:paraId="2AB099A5" w14:textId="77777777" w:rsidR="001B5E0C" w:rsidRDefault="001B5E0C" w:rsidP="00097276">
      <w:pPr>
        <w:spacing w:after="0"/>
        <w:rPr>
          <w:rFonts w:ascii="Verdana" w:eastAsia="Verdana" w:hAnsi="Verdana" w:cs="Verdana"/>
        </w:rPr>
      </w:pPr>
    </w:p>
    <w:p w14:paraId="47750C43" w14:textId="77777777" w:rsidR="00DB5457" w:rsidRDefault="00DB5457" w:rsidP="00097276">
      <w:pPr>
        <w:spacing w:after="0"/>
        <w:rPr>
          <w:rFonts w:ascii="Verdana" w:eastAsia="Verdana" w:hAnsi="Verdana" w:cs="Verdana"/>
        </w:rPr>
      </w:pPr>
    </w:p>
    <w:p w14:paraId="5329BD6C" w14:textId="77777777" w:rsidR="00DB5457" w:rsidRDefault="00DB5457" w:rsidP="00097276">
      <w:pPr>
        <w:spacing w:after="0"/>
        <w:rPr>
          <w:rFonts w:ascii="Verdana" w:eastAsia="Verdana" w:hAnsi="Verdana" w:cs="Verdana"/>
        </w:rPr>
      </w:pPr>
    </w:p>
    <w:p w14:paraId="64BBC380" w14:textId="77777777" w:rsidR="00DB5457" w:rsidRDefault="00DB5457" w:rsidP="00097276">
      <w:pPr>
        <w:spacing w:after="0"/>
        <w:rPr>
          <w:rFonts w:ascii="Verdana" w:eastAsia="Verdana" w:hAnsi="Verdana" w:cs="Verdana"/>
        </w:rPr>
      </w:pPr>
    </w:p>
    <w:p w14:paraId="6EF5FFBD" w14:textId="77777777" w:rsidR="00DB5457" w:rsidRDefault="00DB5457" w:rsidP="00097276">
      <w:pPr>
        <w:spacing w:after="0"/>
        <w:rPr>
          <w:rFonts w:ascii="Verdana" w:eastAsia="Verdana" w:hAnsi="Verdana" w:cs="Verdana"/>
        </w:rPr>
      </w:pPr>
    </w:p>
    <w:p w14:paraId="14A040D5" w14:textId="77777777" w:rsidR="00DB5457" w:rsidRDefault="00DB5457" w:rsidP="00097276">
      <w:pPr>
        <w:spacing w:after="0"/>
        <w:rPr>
          <w:rFonts w:ascii="Verdana" w:eastAsia="Verdana" w:hAnsi="Verdana" w:cs="Verdana"/>
        </w:rPr>
      </w:pPr>
    </w:p>
    <w:p w14:paraId="5ADDC9BF" w14:textId="77777777" w:rsidR="00DB5457" w:rsidRDefault="00DB5457" w:rsidP="00097276">
      <w:pPr>
        <w:spacing w:after="0"/>
        <w:rPr>
          <w:rFonts w:ascii="Verdana" w:eastAsia="Verdana" w:hAnsi="Verdana" w:cs="Verdana"/>
        </w:rPr>
      </w:pPr>
    </w:p>
    <w:p w14:paraId="300B6D11" w14:textId="77777777" w:rsidR="00DB5457" w:rsidRDefault="00DB5457" w:rsidP="00097276">
      <w:pPr>
        <w:spacing w:after="0"/>
        <w:rPr>
          <w:rFonts w:ascii="Verdana" w:eastAsia="Verdana" w:hAnsi="Verdana" w:cs="Verdana"/>
        </w:rPr>
      </w:pPr>
    </w:p>
    <w:p w14:paraId="343B0E20" w14:textId="77777777" w:rsidR="00DB5457" w:rsidRDefault="00DB5457" w:rsidP="00097276">
      <w:pPr>
        <w:spacing w:after="0"/>
        <w:rPr>
          <w:rFonts w:ascii="Verdana" w:eastAsia="Verdana" w:hAnsi="Verdana" w:cs="Verdana"/>
        </w:rPr>
      </w:pPr>
    </w:p>
    <w:p w14:paraId="1CA856AE" w14:textId="77777777" w:rsidR="00DB5457" w:rsidRDefault="00DB5457" w:rsidP="00097276">
      <w:pPr>
        <w:spacing w:after="0"/>
        <w:rPr>
          <w:rFonts w:ascii="Verdana" w:eastAsia="Verdana" w:hAnsi="Verdana" w:cs="Verdana"/>
        </w:rPr>
      </w:pPr>
    </w:p>
    <w:p w14:paraId="2EEDFBB6" w14:textId="77777777" w:rsidR="00DB5457" w:rsidRDefault="00DB5457" w:rsidP="00097276">
      <w:pPr>
        <w:spacing w:after="0"/>
        <w:rPr>
          <w:rFonts w:ascii="Verdana" w:eastAsia="Verdana" w:hAnsi="Verdana" w:cs="Verdana"/>
        </w:rPr>
      </w:pPr>
    </w:p>
    <w:p w14:paraId="38D6603C" w14:textId="77777777" w:rsidR="00DB5457" w:rsidRDefault="00DB5457" w:rsidP="00097276">
      <w:pPr>
        <w:spacing w:after="0"/>
        <w:rPr>
          <w:rFonts w:ascii="Verdana" w:eastAsia="Verdana" w:hAnsi="Verdana" w:cs="Verdana"/>
        </w:rPr>
      </w:pPr>
    </w:p>
    <w:p w14:paraId="6D4ABD31" w14:textId="77777777" w:rsidR="001B5E0C" w:rsidRDefault="001B5E0C" w:rsidP="00097276">
      <w:pPr>
        <w:spacing w:after="0"/>
        <w:rPr>
          <w:rFonts w:ascii="Verdana" w:eastAsia="Verdana" w:hAnsi="Verdana" w:cs="Verdana"/>
        </w:rPr>
      </w:pPr>
    </w:p>
    <w:p w14:paraId="2360B00B" w14:textId="77777777" w:rsidR="001B5E0C" w:rsidRDefault="001B5E0C" w:rsidP="00097276">
      <w:pPr>
        <w:spacing w:after="0"/>
        <w:rPr>
          <w:rFonts w:ascii="Verdana" w:eastAsia="Verdana" w:hAnsi="Verdana" w:cs="Verdana"/>
        </w:rPr>
      </w:pPr>
    </w:p>
    <w:p w14:paraId="1D1D7B58" w14:textId="77777777" w:rsidR="00054435" w:rsidRDefault="00054435" w:rsidP="00097276">
      <w:pPr>
        <w:spacing w:after="0"/>
        <w:rPr>
          <w:rFonts w:ascii="Verdana" w:eastAsia="Verdana" w:hAnsi="Verdana" w:cs="Verdana"/>
        </w:rPr>
      </w:pPr>
    </w:p>
    <w:p w14:paraId="34C67C10" w14:textId="77777777" w:rsidR="00054435" w:rsidRDefault="00054435" w:rsidP="00097276">
      <w:pPr>
        <w:spacing w:after="0"/>
        <w:rPr>
          <w:rFonts w:ascii="Verdana" w:eastAsia="Verdana" w:hAnsi="Verdana" w:cs="Verdana"/>
        </w:rPr>
      </w:pPr>
    </w:p>
    <w:p w14:paraId="68A0A2A6" w14:textId="629B6533" w:rsidR="00097276" w:rsidRDefault="0014047D" w:rsidP="00097276">
      <w:pPr>
        <w:spacing w:after="0"/>
        <w:rPr>
          <w:rFonts w:ascii="Verdana" w:eastAsia="Verdana" w:hAnsi="Verdana" w:cs="Verdana"/>
        </w:rPr>
      </w:pPr>
      <w:r w:rsidRPr="00054435">
        <w:rPr>
          <w:rFonts w:ascii="Verdana" w:hAnsi="Verdana"/>
          <w:b/>
          <w:bCs/>
          <w:noProof/>
          <w:lang w:val="es-ES"/>
        </w:rPr>
        <w:lastRenderedPageBreak/>
        <w:drawing>
          <wp:anchor distT="0" distB="0" distL="114300" distR="114300" simplePos="0" relativeHeight="251658240" behindDoc="1" locked="0" layoutInCell="1" allowOverlap="1" wp14:anchorId="179460D8" wp14:editId="31CE2D5A">
            <wp:simplePos x="0" y="0"/>
            <wp:positionH relativeFrom="column">
              <wp:posOffset>3180080</wp:posOffset>
            </wp:positionH>
            <wp:positionV relativeFrom="paragraph">
              <wp:posOffset>76835</wp:posOffset>
            </wp:positionV>
            <wp:extent cx="2981325" cy="702945"/>
            <wp:effectExtent l="0" t="0" r="9525" b="1905"/>
            <wp:wrapTight wrapText="bothSides">
              <wp:wrapPolygon edited="0">
                <wp:start x="0" y="0"/>
                <wp:lineTo x="0" y="21073"/>
                <wp:lineTo x="21531" y="21073"/>
                <wp:lineTo x="21531" y="0"/>
                <wp:lineTo x="0" y="0"/>
              </wp:wrapPolygon>
            </wp:wrapTight>
            <wp:docPr id="2428823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1325" cy="702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97276" w:rsidRPr="30821638">
        <w:rPr>
          <w:rFonts w:ascii="Verdana" w:eastAsia="Verdana" w:hAnsi="Verdana" w:cs="Verdana"/>
        </w:rPr>
        <w:t xml:space="preserve">Bogotá D.C., </w:t>
      </w:r>
      <w:r w:rsidR="00054435">
        <w:rPr>
          <w:rFonts w:ascii="Verdana" w:eastAsia="Verdana" w:hAnsi="Verdana" w:cs="Verdana"/>
        </w:rPr>
        <w:t xml:space="preserve">30 </w:t>
      </w:r>
      <w:r w:rsidR="00D37122">
        <w:rPr>
          <w:rFonts w:ascii="Verdana" w:eastAsia="Verdana" w:hAnsi="Verdana" w:cs="Verdana"/>
        </w:rPr>
        <w:t>marzo</w:t>
      </w:r>
      <w:r w:rsidR="00054435">
        <w:rPr>
          <w:rFonts w:ascii="Verdana" w:eastAsia="Verdana" w:hAnsi="Verdana" w:cs="Verdana"/>
        </w:rPr>
        <w:t xml:space="preserve"> 2026                                </w:t>
      </w:r>
    </w:p>
    <w:p w14:paraId="758C9B55" w14:textId="3CF0BCA6" w:rsidR="00097276" w:rsidRDefault="00097276" w:rsidP="00097276">
      <w:pPr>
        <w:spacing w:after="0"/>
        <w:rPr>
          <w:rFonts w:ascii="Verdana" w:hAnsi="Verdana"/>
          <w:color w:val="ED7D31" w:themeColor="accent2"/>
          <w:lang w:val="es-ES"/>
        </w:rPr>
      </w:pPr>
    </w:p>
    <w:p w14:paraId="4029FB21" w14:textId="7C490239" w:rsidR="00D37122" w:rsidRDefault="00D37122" w:rsidP="00097276">
      <w:pPr>
        <w:spacing w:after="0"/>
        <w:rPr>
          <w:rFonts w:ascii="Verdana" w:hAnsi="Verdana"/>
          <w:color w:val="ED7D31" w:themeColor="accent2"/>
          <w:lang w:val="es-ES"/>
        </w:rPr>
      </w:pPr>
    </w:p>
    <w:p w14:paraId="315629AA" w14:textId="646DC7EB" w:rsidR="0014047D" w:rsidRDefault="0014047D" w:rsidP="00097276">
      <w:pPr>
        <w:spacing w:after="0"/>
        <w:rPr>
          <w:rFonts w:ascii="Verdana" w:hAnsi="Verdana"/>
          <w:color w:val="ED7D31" w:themeColor="accent2"/>
          <w:lang w:val="es-ES"/>
        </w:rPr>
      </w:pPr>
    </w:p>
    <w:p w14:paraId="2E3014B3" w14:textId="77777777" w:rsidR="00097276" w:rsidRDefault="00097276" w:rsidP="00097276">
      <w:pPr>
        <w:spacing w:after="0" w:line="240" w:lineRule="auto"/>
        <w:rPr>
          <w:rFonts w:ascii="Verdana" w:eastAsia="Calibri" w:hAnsi="Verdana" w:cs="Arial"/>
          <w:lang w:val="es-ES" w:eastAsia="es-ES"/>
        </w:rPr>
      </w:pPr>
      <w:r w:rsidRPr="00801A0F">
        <w:rPr>
          <w:rFonts w:ascii="Verdana" w:eastAsia="Calibri" w:hAnsi="Verdana" w:cs="Arial"/>
          <w:lang w:val="es-ES" w:eastAsia="es-ES"/>
        </w:rPr>
        <w:t>Señor</w:t>
      </w:r>
      <w:r>
        <w:rPr>
          <w:rFonts w:ascii="Verdana" w:eastAsia="Calibri" w:hAnsi="Verdana" w:cs="Arial"/>
          <w:lang w:val="es-ES" w:eastAsia="es-ES"/>
        </w:rPr>
        <w:t>es</w:t>
      </w:r>
    </w:p>
    <w:p w14:paraId="0596E495" w14:textId="580E541D" w:rsidR="00097276" w:rsidRDefault="00097276" w:rsidP="00097276">
      <w:pPr>
        <w:spacing w:after="0" w:line="240" w:lineRule="auto"/>
        <w:rPr>
          <w:rFonts w:ascii="Verdana" w:hAnsi="Verdana"/>
          <w:b/>
          <w:bCs/>
          <w:lang w:val="es-ES"/>
        </w:rPr>
      </w:pPr>
      <w:r w:rsidRPr="00F141F7">
        <w:rPr>
          <w:rFonts w:ascii="Verdana" w:hAnsi="Verdana"/>
          <w:b/>
          <w:bCs/>
          <w:lang w:val="es-ES"/>
        </w:rPr>
        <w:t>TERMINAL DE TRANSPORTES DE MOCOA S.A</w:t>
      </w:r>
      <w:r w:rsidR="00054435">
        <w:rPr>
          <w:rFonts w:ascii="Verdana" w:hAnsi="Verdana"/>
          <w:b/>
          <w:bCs/>
          <w:lang w:val="es-ES"/>
        </w:rPr>
        <w:t xml:space="preserve">                   </w:t>
      </w:r>
    </w:p>
    <w:p w14:paraId="08CBDB89" w14:textId="77777777" w:rsidR="00097276" w:rsidRPr="00362C9D" w:rsidRDefault="00097276" w:rsidP="00097276">
      <w:pPr>
        <w:spacing w:after="0" w:line="240" w:lineRule="auto"/>
        <w:rPr>
          <w:rFonts w:ascii="Verdana" w:hAnsi="Verdana"/>
          <w:lang w:val="es-ES"/>
        </w:rPr>
      </w:pPr>
      <w:r w:rsidRPr="00362C9D">
        <w:rPr>
          <w:rFonts w:ascii="Verdana" w:hAnsi="Verdana"/>
          <w:lang w:val="es-ES"/>
        </w:rPr>
        <w:t>terminaltransportesmocoa@gmail.com</w:t>
      </w:r>
    </w:p>
    <w:p w14:paraId="0FB1BB1D" w14:textId="77777777" w:rsidR="00097276" w:rsidRDefault="00097276" w:rsidP="00097276">
      <w:pPr>
        <w:spacing w:after="0"/>
        <w:rPr>
          <w:rFonts w:ascii="Verdana" w:eastAsia="Verdana" w:hAnsi="Verdana" w:cs="Verdana"/>
          <w:lang w:val="es-MX"/>
        </w:rPr>
      </w:pPr>
      <w:r>
        <w:rPr>
          <w:rFonts w:ascii="Verdana" w:eastAsia="Verdana" w:hAnsi="Verdana" w:cs="Verdana"/>
          <w:lang w:val="es-MX"/>
        </w:rPr>
        <w:t xml:space="preserve">Mocoa-Putumayo </w:t>
      </w:r>
    </w:p>
    <w:p w14:paraId="3063FEAF" w14:textId="77777777" w:rsidR="00097276" w:rsidRDefault="00097276" w:rsidP="00097276">
      <w:pPr>
        <w:spacing w:after="0"/>
        <w:rPr>
          <w:rFonts w:ascii="Verdana" w:eastAsia="Verdana" w:hAnsi="Verdana" w:cs="Verdana"/>
          <w:lang w:val="es-MX"/>
        </w:rPr>
      </w:pPr>
    </w:p>
    <w:p w14:paraId="072E4D6E" w14:textId="77777777" w:rsidR="00097276" w:rsidRPr="006209EF" w:rsidRDefault="00097276" w:rsidP="00097276">
      <w:pPr>
        <w:spacing w:after="0"/>
        <w:rPr>
          <w:rFonts w:ascii="Verdana" w:eastAsia="Calibri" w:hAnsi="Verdana" w:cs="Arial"/>
          <w:color w:val="ED7D31" w:themeColor="accent2"/>
          <w:lang w:val="es-MX" w:eastAsia="es-ES"/>
        </w:rPr>
      </w:pPr>
    </w:p>
    <w:p w14:paraId="165D1DE0" w14:textId="77777777" w:rsidR="00097276" w:rsidRPr="006733BD" w:rsidRDefault="00097276" w:rsidP="00097276">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097276" w:rsidRPr="006733BD" w14:paraId="7D10C31B" w14:textId="77777777" w:rsidTr="19B6A718">
        <w:trPr>
          <w:trHeight w:val="300"/>
        </w:trPr>
        <w:tc>
          <w:tcPr>
            <w:tcW w:w="2410" w:type="dxa"/>
          </w:tcPr>
          <w:p w14:paraId="0D4FD499" w14:textId="77777777" w:rsidR="00097276" w:rsidRPr="00A54BCB" w:rsidRDefault="00097276">
            <w:pPr>
              <w:ind w:left="-142"/>
              <w:jc w:val="both"/>
              <w:rPr>
                <w:rFonts w:ascii="Verdana" w:eastAsia="Calibri" w:hAnsi="Verdana" w:cs="Arial"/>
                <w:b/>
                <w:bCs/>
                <w:lang w:val="es-ES" w:eastAsia="es-ES_tradnl"/>
              </w:rPr>
            </w:pPr>
          </w:p>
        </w:tc>
        <w:tc>
          <w:tcPr>
            <w:tcW w:w="6100" w:type="dxa"/>
          </w:tcPr>
          <w:p w14:paraId="4A9BAA3A" w14:textId="77777777" w:rsidR="00097276" w:rsidRPr="00A54BCB" w:rsidRDefault="00097276">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239</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50DE5932" w14:textId="77777777" w:rsidR="00097276" w:rsidRPr="00A54BCB" w:rsidRDefault="00097276">
            <w:pPr>
              <w:ind w:left="3"/>
              <w:jc w:val="both"/>
              <w:rPr>
                <w:rFonts w:ascii="Verdana" w:eastAsia="Calibri" w:hAnsi="Verdana" w:cs="Arial"/>
                <w:b/>
                <w:bCs/>
                <w:lang w:val="es-ES" w:eastAsia="es-ES"/>
              </w:rPr>
            </w:pPr>
          </w:p>
        </w:tc>
      </w:tr>
      <w:tr w:rsidR="00097276" w:rsidRPr="006733BD" w14:paraId="3ACB8B42" w14:textId="77777777" w:rsidTr="19B6A718">
        <w:trPr>
          <w:trHeight w:val="300"/>
        </w:trPr>
        <w:tc>
          <w:tcPr>
            <w:tcW w:w="2410" w:type="dxa"/>
          </w:tcPr>
          <w:p w14:paraId="0719CAE3" w14:textId="77777777" w:rsidR="00097276" w:rsidRPr="006733BD" w:rsidRDefault="00097276">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0389257C" w14:textId="2B7DA625" w:rsidR="00097276" w:rsidRDefault="00CA3D03">
            <w:pPr>
              <w:tabs>
                <w:tab w:val="left" w:pos="3374"/>
              </w:tabs>
              <w:jc w:val="both"/>
              <w:rPr>
                <w:rFonts w:ascii="Verdana" w:eastAsia="Calibri" w:hAnsi="Verdana" w:cs="Arial"/>
                <w:lang w:val="es-ES" w:eastAsia="es-ES"/>
              </w:rPr>
            </w:pPr>
            <w:r w:rsidRPr="19B6A718">
              <w:rPr>
                <w:rFonts w:ascii="Verdana" w:eastAsia="Calibri" w:hAnsi="Verdana" w:cs="Arial"/>
                <w:lang w:val="es-ES" w:eastAsia="es-ES"/>
              </w:rPr>
              <w:t xml:space="preserve">SOCIEDADES DE ECONOMIA MIXTA ─ Naturaleza jurídica / </w:t>
            </w:r>
            <w:r w:rsidR="00097276" w:rsidRPr="19B6A718">
              <w:rPr>
                <w:rFonts w:ascii="Verdana" w:eastAsia="Calibri" w:hAnsi="Verdana" w:cs="Arial"/>
                <w:lang w:val="es-ES" w:eastAsia="es-ES"/>
              </w:rPr>
              <w:t xml:space="preserve">LEY DE GARANTÍAS ELECTORALES ─ Definición ─ Finalidad ─ Restricciones ─ Destinatarios / LEY DE GARANTÍAS ELECTORALES ─ Prohibición ─ Contratación Directa ─ Alcance ─ </w:t>
            </w:r>
            <w:r w:rsidR="00B53107" w:rsidRPr="19B6A718">
              <w:rPr>
                <w:rFonts w:ascii="Verdana" w:eastAsia="Calibri" w:hAnsi="Verdana" w:cs="Arial"/>
                <w:lang w:val="es-ES" w:eastAsia="es-ES"/>
              </w:rPr>
              <w:t xml:space="preserve">/ LEY DE GARANTÍAS ELECTORALES ─ Prohibición ─ Contratación Directa ─ </w:t>
            </w:r>
            <w:r w:rsidR="00097276" w:rsidRPr="19B6A718">
              <w:rPr>
                <w:rFonts w:ascii="Verdana" w:eastAsia="Calibri" w:hAnsi="Verdana" w:cs="Arial"/>
                <w:lang w:val="es-ES" w:eastAsia="es-ES"/>
              </w:rPr>
              <w:t xml:space="preserve">Excepciones / LEY DE GARANTÍAS ELECTORALES ─ Prohibición ─ Convenios interadministrativos </w:t>
            </w:r>
          </w:p>
          <w:p w14:paraId="3F6FB04F" w14:textId="77777777" w:rsidR="00097276" w:rsidRPr="008F679F" w:rsidRDefault="00097276">
            <w:pPr>
              <w:tabs>
                <w:tab w:val="left" w:pos="3374"/>
              </w:tabs>
              <w:jc w:val="both"/>
              <w:rPr>
                <w:rFonts w:ascii="Verdana" w:eastAsia="Calibri" w:hAnsi="Verdana" w:cs="Arial"/>
                <w:color w:val="ED7D31" w:themeColor="accent2"/>
                <w:lang w:val="es-ES"/>
              </w:rPr>
            </w:pPr>
          </w:p>
        </w:tc>
      </w:tr>
      <w:tr w:rsidR="00097276" w:rsidRPr="00C5490E" w14:paraId="79FAF890" w14:textId="77777777" w:rsidTr="19B6A718">
        <w:tc>
          <w:tcPr>
            <w:tcW w:w="2410" w:type="dxa"/>
          </w:tcPr>
          <w:p w14:paraId="2DAA4489" w14:textId="77777777" w:rsidR="00097276" w:rsidRPr="006733BD" w:rsidRDefault="00097276">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78140246" w14:textId="77777777" w:rsidR="00097276" w:rsidRPr="00E7030A" w:rsidRDefault="00097276">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1_2026_02_18_002099</w:t>
            </w:r>
          </w:p>
          <w:p w14:paraId="32A834B6" w14:textId="77777777" w:rsidR="00097276" w:rsidRPr="00C5490E" w:rsidRDefault="00097276">
            <w:pPr>
              <w:ind w:left="3"/>
              <w:jc w:val="both"/>
              <w:rPr>
                <w:rFonts w:ascii="Verdana" w:hAnsi="Verdana"/>
                <w:lang w:val="es-ES"/>
              </w:rPr>
            </w:pPr>
          </w:p>
        </w:tc>
      </w:tr>
    </w:tbl>
    <w:p w14:paraId="2C1EB356" w14:textId="77777777" w:rsidR="00097276" w:rsidRDefault="00097276" w:rsidP="00097276">
      <w:pPr>
        <w:spacing w:after="0" w:line="276" w:lineRule="auto"/>
        <w:jc w:val="both"/>
        <w:rPr>
          <w:rFonts w:ascii="Verdana" w:eastAsia="Calibri" w:hAnsi="Verdana" w:cs="Arial"/>
          <w:lang w:val="es-ES" w:eastAsia="es-ES"/>
        </w:rPr>
      </w:pPr>
    </w:p>
    <w:p w14:paraId="30D2AA02" w14:textId="77777777" w:rsidR="00097276" w:rsidRPr="00C5490E" w:rsidRDefault="00097276" w:rsidP="00B53107">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1CD0D84F" w14:textId="77777777" w:rsidR="00097276" w:rsidRPr="00C5490E" w:rsidRDefault="00097276" w:rsidP="00B53107">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1307106A" w14:textId="77777777" w:rsidR="00097276" w:rsidRDefault="00097276" w:rsidP="00B53107">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17</w:t>
      </w:r>
      <w:r w:rsidRPr="00852F26">
        <w:rPr>
          <w:rFonts w:ascii="Verdana" w:eastAsia="Calibri" w:hAnsi="Verdana" w:cs="Arial"/>
          <w:lang w:val="es-ES" w:eastAsia="es-ES"/>
        </w:rPr>
        <w:t xml:space="preserve"> de febrero de 2026, en la cual manifiesta lo siguiente:</w:t>
      </w:r>
    </w:p>
    <w:p w14:paraId="110D7173" w14:textId="77777777" w:rsidR="00097276" w:rsidRPr="00C5490E" w:rsidRDefault="00097276" w:rsidP="00B53107">
      <w:pPr>
        <w:spacing w:after="0" w:line="276" w:lineRule="auto"/>
        <w:jc w:val="both"/>
        <w:rPr>
          <w:rFonts w:ascii="Verdana" w:eastAsia="Calibri" w:hAnsi="Verdana" w:cs="Arial"/>
          <w:lang w:val="es-ES" w:eastAsia="es-ES"/>
        </w:rPr>
      </w:pPr>
    </w:p>
    <w:p w14:paraId="4BC6126E" w14:textId="3746C48B" w:rsidR="00097276" w:rsidRPr="002329D6" w:rsidRDefault="00B53107" w:rsidP="19B6A718">
      <w:pPr>
        <w:tabs>
          <w:tab w:val="left" w:pos="142"/>
          <w:tab w:val="left" w:pos="284"/>
        </w:tabs>
        <w:spacing w:after="0" w:line="240" w:lineRule="auto"/>
        <w:ind w:leftChars="125" w:left="275" w:rightChars="125" w:right="275"/>
        <w:contextualSpacing/>
        <w:jc w:val="both"/>
        <w:rPr>
          <w:rFonts w:ascii="Verdana" w:eastAsia="Century Gothic" w:hAnsi="Verdana" w:cs="Century Gothic"/>
          <w:i/>
          <w:iCs/>
          <w:sz w:val="20"/>
          <w:szCs w:val="20"/>
          <w:lang w:val="es-ES"/>
        </w:rPr>
      </w:pPr>
      <w:r w:rsidRPr="19B6A718">
        <w:rPr>
          <w:rFonts w:ascii="Verdana" w:eastAsia="Century Gothic" w:hAnsi="Verdana" w:cs="Century Gothic"/>
          <w:i/>
          <w:iCs/>
          <w:sz w:val="20"/>
          <w:szCs w:val="20"/>
          <w:lang w:val="es-ES"/>
        </w:rPr>
        <w:t>“</w:t>
      </w:r>
      <w:r w:rsidR="00097276" w:rsidRPr="19B6A718">
        <w:rPr>
          <w:rFonts w:ascii="Verdana" w:eastAsia="Century Gothic" w:hAnsi="Verdana" w:cs="Century Gothic"/>
          <w:i/>
          <w:iCs/>
          <w:sz w:val="20"/>
          <w:szCs w:val="20"/>
          <w:lang w:val="es-ES"/>
        </w:rPr>
        <w:t>SUPUESTOS FÁCTICOS:</w:t>
      </w:r>
    </w:p>
    <w:p w14:paraId="08BDF502" w14:textId="77777777" w:rsidR="00097276" w:rsidRPr="002329D6" w:rsidRDefault="00097276" w:rsidP="19B6A718">
      <w:pPr>
        <w:pStyle w:val="Prrafodelista"/>
        <w:numPr>
          <w:ilvl w:val="0"/>
          <w:numId w:val="18"/>
        </w:numPr>
        <w:tabs>
          <w:tab w:val="left" w:pos="142"/>
          <w:tab w:val="left" w:pos="284"/>
        </w:tabs>
        <w:spacing w:after="0" w:line="240" w:lineRule="auto"/>
        <w:ind w:leftChars="125" w:left="275" w:rightChars="125" w:right="275" w:firstLine="0"/>
        <w:jc w:val="both"/>
        <w:rPr>
          <w:rFonts w:ascii="Verdana" w:eastAsia="Century Gothic" w:hAnsi="Verdana" w:cs="Century Gothic"/>
          <w:i/>
          <w:iCs/>
          <w:sz w:val="20"/>
          <w:szCs w:val="20"/>
        </w:rPr>
      </w:pPr>
      <w:r w:rsidRPr="19B6A718">
        <w:rPr>
          <w:rFonts w:ascii="Verdana" w:eastAsia="Century Gothic" w:hAnsi="Verdana" w:cs="Century Gothic"/>
          <w:i/>
          <w:iCs/>
          <w:sz w:val="20"/>
          <w:szCs w:val="20"/>
        </w:rPr>
        <w:t>La empresa que represento se cataloga como una empresa de economía mixta, con un porcentaje de participación pública inferior al 50%</w:t>
      </w:r>
    </w:p>
    <w:p w14:paraId="7A6D088B" w14:textId="77777777" w:rsidR="00097276" w:rsidRPr="002329D6" w:rsidRDefault="00097276" w:rsidP="19B6A718">
      <w:pPr>
        <w:pStyle w:val="Prrafodelista"/>
        <w:tabs>
          <w:tab w:val="left" w:pos="142"/>
          <w:tab w:val="left" w:pos="284"/>
        </w:tabs>
        <w:spacing w:after="0" w:line="240" w:lineRule="auto"/>
        <w:ind w:leftChars="125" w:left="275" w:rightChars="125" w:right="275"/>
        <w:jc w:val="both"/>
        <w:rPr>
          <w:rFonts w:ascii="Verdana" w:eastAsia="Century Gothic" w:hAnsi="Verdana" w:cs="Century Gothic"/>
          <w:i/>
          <w:iCs/>
          <w:sz w:val="20"/>
          <w:szCs w:val="20"/>
        </w:rPr>
      </w:pPr>
    </w:p>
    <w:p w14:paraId="43EDACE3" w14:textId="77777777" w:rsidR="00097276" w:rsidRPr="002329D6" w:rsidRDefault="00097276" w:rsidP="19B6A718">
      <w:pPr>
        <w:tabs>
          <w:tab w:val="left" w:pos="142"/>
          <w:tab w:val="left" w:pos="284"/>
        </w:tabs>
        <w:spacing w:after="0" w:line="240" w:lineRule="auto"/>
        <w:ind w:leftChars="125" w:left="275" w:rightChars="125" w:right="275"/>
        <w:contextualSpacing/>
        <w:jc w:val="both"/>
        <w:rPr>
          <w:rFonts w:ascii="Verdana" w:eastAsia="Century Gothic" w:hAnsi="Verdana" w:cs="Century Gothic"/>
          <w:i/>
          <w:iCs/>
          <w:sz w:val="20"/>
          <w:szCs w:val="20"/>
          <w:lang w:val="es-ES"/>
        </w:rPr>
      </w:pPr>
      <w:r w:rsidRPr="19B6A718">
        <w:rPr>
          <w:rFonts w:ascii="Verdana" w:eastAsia="Century Gothic" w:hAnsi="Verdana" w:cs="Century Gothic"/>
          <w:i/>
          <w:iCs/>
          <w:sz w:val="20"/>
          <w:szCs w:val="20"/>
          <w:lang w:val="es-ES"/>
        </w:rPr>
        <w:t>2. Teniendo en cuenta lo dispuesto en ley 996 de 2005, conocida como ley de garantías, se solicita responda las</w:t>
      </w:r>
    </w:p>
    <w:p w14:paraId="100E6BFD" w14:textId="77777777" w:rsidR="00097276" w:rsidRPr="002329D6" w:rsidRDefault="00097276" w:rsidP="19B6A718">
      <w:pPr>
        <w:tabs>
          <w:tab w:val="left" w:pos="142"/>
          <w:tab w:val="left" w:pos="284"/>
        </w:tabs>
        <w:spacing w:after="0" w:line="240" w:lineRule="auto"/>
        <w:ind w:leftChars="125" w:left="275" w:rightChars="125" w:right="275"/>
        <w:contextualSpacing/>
        <w:jc w:val="both"/>
        <w:rPr>
          <w:rFonts w:ascii="Verdana" w:eastAsia="Century Gothic" w:hAnsi="Verdana" w:cs="Century Gothic"/>
          <w:i/>
          <w:iCs/>
          <w:sz w:val="20"/>
          <w:szCs w:val="20"/>
          <w:lang w:val="es-ES"/>
        </w:rPr>
      </w:pPr>
      <w:r w:rsidRPr="19B6A718">
        <w:rPr>
          <w:rFonts w:ascii="Verdana" w:eastAsia="Century Gothic" w:hAnsi="Verdana" w:cs="Century Gothic"/>
          <w:i/>
          <w:iCs/>
          <w:sz w:val="20"/>
          <w:szCs w:val="20"/>
          <w:lang w:val="es-ES"/>
        </w:rPr>
        <w:t>siguientes:</w:t>
      </w:r>
    </w:p>
    <w:p w14:paraId="1451957D" w14:textId="77777777" w:rsidR="00097276" w:rsidRPr="002329D6" w:rsidRDefault="00097276" w:rsidP="19B6A718">
      <w:pPr>
        <w:tabs>
          <w:tab w:val="left" w:pos="142"/>
          <w:tab w:val="left" w:pos="284"/>
        </w:tabs>
        <w:spacing w:after="0" w:line="240" w:lineRule="auto"/>
        <w:ind w:leftChars="125" w:left="275" w:rightChars="125" w:right="275"/>
        <w:contextualSpacing/>
        <w:jc w:val="both"/>
        <w:rPr>
          <w:rFonts w:ascii="Verdana" w:eastAsia="Century Gothic" w:hAnsi="Verdana" w:cs="Century Gothic"/>
          <w:i/>
          <w:iCs/>
          <w:sz w:val="20"/>
          <w:szCs w:val="20"/>
          <w:lang w:val="es-ES"/>
        </w:rPr>
      </w:pPr>
    </w:p>
    <w:p w14:paraId="18E0A851" w14:textId="77777777" w:rsidR="00097276" w:rsidRPr="002329D6" w:rsidRDefault="00097276" w:rsidP="19B6A718">
      <w:pPr>
        <w:tabs>
          <w:tab w:val="left" w:pos="142"/>
          <w:tab w:val="left" w:pos="284"/>
        </w:tabs>
        <w:spacing w:after="0" w:line="240" w:lineRule="auto"/>
        <w:ind w:leftChars="125" w:left="275" w:rightChars="125" w:right="275"/>
        <w:contextualSpacing/>
        <w:jc w:val="both"/>
        <w:rPr>
          <w:rFonts w:ascii="Verdana" w:eastAsia="Century Gothic" w:hAnsi="Verdana" w:cs="Century Gothic"/>
          <w:i/>
          <w:iCs/>
          <w:sz w:val="20"/>
          <w:szCs w:val="20"/>
          <w:lang w:val="es-ES"/>
        </w:rPr>
      </w:pPr>
      <w:r w:rsidRPr="19B6A718">
        <w:rPr>
          <w:rFonts w:ascii="Verdana" w:eastAsia="Century Gothic" w:hAnsi="Verdana" w:cs="Century Gothic"/>
          <w:i/>
          <w:iCs/>
          <w:sz w:val="20"/>
          <w:szCs w:val="20"/>
          <w:lang w:val="es-ES"/>
        </w:rPr>
        <w:t>PREGUNTAS:</w:t>
      </w:r>
    </w:p>
    <w:p w14:paraId="7DA5DEF9" w14:textId="77777777" w:rsidR="00097276" w:rsidRPr="00B53107" w:rsidRDefault="00097276" w:rsidP="19B6A718">
      <w:pPr>
        <w:tabs>
          <w:tab w:val="left" w:pos="142"/>
          <w:tab w:val="left" w:pos="284"/>
        </w:tabs>
        <w:spacing w:after="0" w:line="240" w:lineRule="auto"/>
        <w:ind w:leftChars="125" w:left="275" w:rightChars="125" w:right="275"/>
        <w:contextualSpacing/>
        <w:jc w:val="both"/>
        <w:rPr>
          <w:rFonts w:ascii="Verdana" w:eastAsia="Century Gothic" w:hAnsi="Verdana" w:cs="Century Gothic"/>
          <w:i/>
          <w:iCs/>
          <w:sz w:val="20"/>
          <w:szCs w:val="20"/>
          <w:lang w:val="es-ES"/>
        </w:rPr>
      </w:pPr>
    </w:p>
    <w:p w14:paraId="5F67F575" w14:textId="77777777" w:rsidR="00097276" w:rsidRPr="00B53107" w:rsidRDefault="00097276" w:rsidP="19B6A718">
      <w:pPr>
        <w:pStyle w:val="Prrafodelista"/>
        <w:numPr>
          <w:ilvl w:val="0"/>
          <w:numId w:val="17"/>
        </w:numPr>
        <w:tabs>
          <w:tab w:val="left" w:pos="142"/>
          <w:tab w:val="left" w:pos="284"/>
        </w:tabs>
        <w:spacing w:after="0" w:line="240" w:lineRule="auto"/>
        <w:ind w:leftChars="125" w:left="275" w:rightChars="125" w:right="275" w:firstLine="0"/>
        <w:jc w:val="both"/>
        <w:rPr>
          <w:rFonts w:ascii="Verdana" w:eastAsia="Century Gothic" w:hAnsi="Verdana" w:cs="Century Gothic"/>
          <w:i/>
          <w:iCs/>
          <w:sz w:val="20"/>
          <w:szCs w:val="20"/>
        </w:rPr>
      </w:pPr>
      <w:r w:rsidRPr="19B6A718">
        <w:rPr>
          <w:rFonts w:ascii="Verdana" w:eastAsia="Century Gothic" w:hAnsi="Verdana" w:cs="Century Gothic"/>
          <w:i/>
          <w:iCs/>
          <w:sz w:val="20"/>
          <w:szCs w:val="20"/>
        </w:rPr>
        <w:t>¿ Es aplicable al gerente de la TERMINAL DE TRANSPORTE DE MOCOA S.A., lo dispuesto en ley de garantías, específicamente la prohibición contenida en el parágrafo del artículo 38, respecto de restricciones en contratación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en las que participen los candidatos a cargos de elección popular. Tampoco podrán hacerlo cuando participen voceros de los candidatos.”?</w:t>
      </w:r>
    </w:p>
    <w:p w14:paraId="32408536" w14:textId="77777777" w:rsidR="00097276" w:rsidRPr="00B53107" w:rsidRDefault="00097276" w:rsidP="19B6A718">
      <w:pPr>
        <w:tabs>
          <w:tab w:val="left" w:pos="142"/>
          <w:tab w:val="left" w:pos="284"/>
        </w:tabs>
        <w:spacing w:after="0" w:line="240" w:lineRule="auto"/>
        <w:ind w:leftChars="125" w:left="275" w:rightChars="125" w:right="275"/>
        <w:jc w:val="both"/>
        <w:rPr>
          <w:rFonts w:ascii="Verdana" w:eastAsia="Century Gothic" w:hAnsi="Verdana" w:cs="Century Gothic"/>
          <w:i/>
          <w:iCs/>
          <w:sz w:val="20"/>
          <w:szCs w:val="20"/>
        </w:rPr>
      </w:pPr>
    </w:p>
    <w:p w14:paraId="70433E2F" w14:textId="77777777" w:rsidR="00097276" w:rsidRPr="00B53107" w:rsidRDefault="00097276" w:rsidP="19B6A718">
      <w:pPr>
        <w:pStyle w:val="Prrafodelista"/>
        <w:numPr>
          <w:ilvl w:val="0"/>
          <w:numId w:val="17"/>
        </w:numPr>
        <w:tabs>
          <w:tab w:val="left" w:pos="142"/>
          <w:tab w:val="left" w:pos="284"/>
        </w:tabs>
        <w:spacing w:after="0" w:line="240" w:lineRule="auto"/>
        <w:ind w:leftChars="125" w:left="275" w:rightChars="125" w:right="275" w:firstLine="0"/>
        <w:jc w:val="both"/>
        <w:rPr>
          <w:rFonts w:ascii="Verdana" w:eastAsia="Century Gothic" w:hAnsi="Verdana" w:cs="Century Gothic"/>
          <w:i/>
          <w:iCs/>
          <w:sz w:val="20"/>
          <w:szCs w:val="20"/>
        </w:rPr>
      </w:pPr>
      <w:r w:rsidRPr="19B6A718">
        <w:rPr>
          <w:rFonts w:ascii="Verdana" w:eastAsia="Century Gothic" w:hAnsi="Verdana" w:cs="Century Gothic"/>
          <w:i/>
          <w:iCs/>
          <w:sz w:val="20"/>
          <w:szCs w:val="20"/>
        </w:rPr>
        <w:t>¿Es posible adelantar contratación de trabajadores y contratistas en los cuatro (4) meses anteriores a elecciones presidenciales??</w:t>
      </w:r>
    </w:p>
    <w:p w14:paraId="5EB57B8C" w14:textId="77777777" w:rsidR="00097276" w:rsidRPr="00B53107" w:rsidRDefault="00097276" w:rsidP="19B6A718">
      <w:pPr>
        <w:pStyle w:val="Prrafodelista"/>
        <w:spacing w:after="0" w:line="240" w:lineRule="auto"/>
        <w:ind w:leftChars="125" w:left="275" w:rightChars="125" w:right="275"/>
        <w:rPr>
          <w:rFonts w:ascii="Verdana" w:eastAsia="Century Gothic" w:hAnsi="Verdana" w:cs="Century Gothic"/>
          <w:i/>
          <w:iCs/>
          <w:sz w:val="20"/>
          <w:szCs w:val="20"/>
        </w:rPr>
      </w:pPr>
    </w:p>
    <w:p w14:paraId="7351880B" w14:textId="77777777" w:rsidR="00097276" w:rsidRPr="00B53107" w:rsidRDefault="00097276" w:rsidP="19B6A718">
      <w:pPr>
        <w:pStyle w:val="Prrafodelista"/>
        <w:tabs>
          <w:tab w:val="left" w:pos="142"/>
          <w:tab w:val="left" w:pos="284"/>
        </w:tabs>
        <w:spacing w:after="0" w:line="240" w:lineRule="auto"/>
        <w:ind w:leftChars="125" w:left="275" w:rightChars="125" w:right="275"/>
        <w:jc w:val="both"/>
        <w:rPr>
          <w:rFonts w:ascii="Verdana" w:eastAsia="Century Gothic" w:hAnsi="Verdana" w:cs="Century Gothic"/>
          <w:i/>
          <w:iCs/>
          <w:sz w:val="20"/>
          <w:szCs w:val="20"/>
        </w:rPr>
      </w:pPr>
    </w:p>
    <w:p w14:paraId="19DCF433" w14:textId="533B14AF" w:rsidR="00097276" w:rsidRPr="00B53107" w:rsidRDefault="00097276" w:rsidP="19B6A718">
      <w:pPr>
        <w:tabs>
          <w:tab w:val="left" w:pos="142"/>
          <w:tab w:val="left" w:pos="284"/>
        </w:tabs>
        <w:spacing w:after="0" w:line="240" w:lineRule="auto"/>
        <w:ind w:leftChars="125" w:left="275" w:rightChars="125" w:right="275"/>
        <w:contextualSpacing/>
        <w:jc w:val="both"/>
        <w:rPr>
          <w:rFonts w:ascii="Verdana" w:eastAsia="Century Gothic" w:hAnsi="Verdana" w:cs="Century Gothic"/>
          <w:i/>
          <w:iCs/>
          <w:sz w:val="20"/>
          <w:szCs w:val="20"/>
          <w:lang w:val="es-ES"/>
        </w:rPr>
      </w:pPr>
      <w:r w:rsidRPr="19B6A718">
        <w:rPr>
          <w:rFonts w:ascii="Verdana" w:eastAsia="Century Gothic" w:hAnsi="Verdana" w:cs="Century Gothic"/>
          <w:i/>
          <w:iCs/>
          <w:sz w:val="20"/>
          <w:szCs w:val="20"/>
          <w:lang w:val="es-ES"/>
        </w:rPr>
        <w:t>3. ¿Es posible realizar compras para dotación del terminal y de sus trabajadores?</w:t>
      </w:r>
      <w:r w:rsidR="00B53107" w:rsidRPr="19B6A718">
        <w:rPr>
          <w:rFonts w:ascii="Verdana" w:eastAsia="Century Gothic" w:hAnsi="Verdana" w:cs="Century Gothic"/>
          <w:i/>
          <w:iCs/>
          <w:sz w:val="20"/>
          <w:szCs w:val="20"/>
          <w:lang w:val="es-ES"/>
        </w:rPr>
        <w:t>”</w:t>
      </w:r>
    </w:p>
    <w:p w14:paraId="4C911913" w14:textId="77777777" w:rsidR="00097276" w:rsidRDefault="00097276" w:rsidP="19B6A718">
      <w:pPr>
        <w:spacing w:after="0" w:line="276" w:lineRule="auto"/>
        <w:jc w:val="both"/>
        <w:rPr>
          <w:rFonts w:ascii="Verdana" w:eastAsia="Calibri" w:hAnsi="Verdana" w:cs="Arial"/>
          <w:lang w:val="es-ES" w:eastAsia="es-ES"/>
        </w:rPr>
      </w:pPr>
    </w:p>
    <w:p w14:paraId="757BD1DB" w14:textId="77777777" w:rsidR="00097276" w:rsidRPr="00CD496A" w:rsidRDefault="00097276" w:rsidP="00097276">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2A2EA43D" w14:textId="77777777" w:rsidR="00097276" w:rsidRPr="00CD496A" w:rsidRDefault="00097276" w:rsidP="00097276">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los</w:t>
      </w:r>
      <w:r w:rsidRPr="00CD496A">
        <w:rPr>
          <w:rFonts w:ascii="Verdana" w:eastAsia="Calibri" w:hAnsi="Verdana" w:cs="Arial"/>
          <w:lang w:val="es-ES" w:eastAsia="es-ES"/>
        </w:rPr>
        <w:t xml:space="preserve"> problemas jurídicos de su consulta. </w:t>
      </w:r>
    </w:p>
    <w:p w14:paraId="1C7FBD8F" w14:textId="1939AC92" w:rsidR="00097276" w:rsidRPr="00CD496A" w:rsidRDefault="00097276" w:rsidP="19B6A718">
      <w:pPr>
        <w:spacing w:after="0" w:line="276" w:lineRule="auto"/>
        <w:jc w:val="both"/>
        <w:rPr>
          <w:rFonts w:ascii="Verdana" w:eastAsia="Calibri" w:hAnsi="Verdana" w:cs="Arial"/>
          <w:lang w:val="es-ES" w:eastAsia="es-ES"/>
        </w:rPr>
      </w:pPr>
    </w:p>
    <w:p w14:paraId="6B97CF85" w14:textId="77777777" w:rsidR="00097276" w:rsidRDefault="00097276" w:rsidP="00097276">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w:t>
      </w:r>
      <w:r>
        <w:rPr>
          <w:rFonts w:ascii="Verdana" w:eastAsia="Century Gothic" w:hAnsi="Verdana" w:cs="Century Gothic"/>
          <w:b/>
          <w:lang w:val="es-ES"/>
        </w:rPr>
        <w:t xml:space="preserve">s </w:t>
      </w:r>
      <w:r w:rsidRPr="00CD496A">
        <w:rPr>
          <w:rFonts w:ascii="Verdana" w:eastAsia="Century Gothic" w:hAnsi="Verdana" w:cs="Century Gothic"/>
          <w:b/>
          <w:lang w:val="es-ES"/>
        </w:rPr>
        <w:t>planteado</w:t>
      </w:r>
      <w:r>
        <w:rPr>
          <w:rFonts w:ascii="Verdana" w:eastAsia="Century Gothic" w:hAnsi="Verdana" w:cs="Century Gothic"/>
          <w:b/>
          <w:lang w:val="es-ES"/>
        </w:rPr>
        <w:t>s</w:t>
      </w:r>
      <w:r w:rsidRPr="00CD496A">
        <w:rPr>
          <w:rFonts w:ascii="Verdana" w:eastAsia="Century Gothic" w:hAnsi="Verdana" w:cs="Century Gothic"/>
          <w:b/>
          <w:lang w:val="es-ES"/>
        </w:rPr>
        <w:t>:</w:t>
      </w:r>
    </w:p>
    <w:p w14:paraId="3A01007A" w14:textId="77777777" w:rsidR="00097276" w:rsidRPr="00884371" w:rsidRDefault="00097276" w:rsidP="00097276">
      <w:pPr>
        <w:tabs>
          <w:tab w:val="left" w:pos="142"/>
          <w:tab w:val="left" w:pos="284"/>
        </w:tabs>
        <w:spacing w:after="0" w:line="276" w:lineRule="auto"/>
        <w:contextualSpacing/>
        <w:jc w:val="both"/>
        <w:rPr>
          <w:rFonts w:ascii="Verdana" w:eastAsia="Century Gothic" w:hAnsi="Verdana" w:cs="Century Gothic"/>
          <w:b/>
          <w:lang w:val="es-ES"/>
        </w:rPr>
      </w:pPr>
    </w:p>
    <w:p w14:paraId="537C162C" w14:textId="30AE0352" w:rsidR="00097276" w:rsidRDefault="00097276" w:rsidP="00097276">
      <w:pPr>
        <w:spacing w:after="0" w:line="276" w:lineRule="auto"/>
        <w:jc w:val="both"/>
        <w:rPr>
          <w:rFonts w:ascii="Verdana" w:eastAsia="Century Gothic" w:hAnsi="Verdana" w:cs="Century Gothic"/>
        </w:rPr>
      </w:pPr>
      <w:r w:rsidRPr="19B6A718">
        <w:rPr>
          <w:rFonts w:ascii="Verdana" w:eastAsia="Century Gothic" w:hAnsi="Verdana" w:cs="Century Gothic"/>
        </w:rPr>
        <w:t>De acuerdo con el contenido de su solicitud, esta Agencia resolverá los siguientes problemas jurídicos: ¿Son aplicables a las sociedades de economía mixta las restricciones previstas en la Ley de Garantías Electorales</w:t>
      </w:r>
      <w:r w:rsidR="006A2EA3" w:rsidRPr="19B6A718">
        <w:rPr>
          <w:rFonts w:ascii="Verdana" w:eastAsia="Century Gothic" w:hAnsi="Verdana" w:cs="Century Gothic"/>
        </w:rPr>
        <w:t>?</w:t>
      </w:r>
    </w:p>
    <w:p w14:paraId="6518758F" w14:textId="3EE80E1A" w:rsidR="00097276" w:rsidRPr="006733BD" w:rsidRDefault="00097276" w:rsidP="19B6A718">
      <w:pPr>
        <w:spacing w:after="0" w:line="276" w:lineRule="auto"/>
        <w:jc w:val="both"/>
        <w:rPr>
          <w:rFonts w:ascii="Verdana" w:eastAsia="Century Gothic" w:hAnsi="Verdana" w:cs="Century Gothic"/>
          <w:color w:val="ED7D31" w:themeColor="accent2"/>
        </w:rPr>
      </w:pPr>
    </w:p>
    <w:p w14:paraId="7662CDF5" w14:textId="77777777" w:rsidR="00097276" w:rsidRPr="006733BD" w:rsidRDefault="00097276" w:rsidP="00097276">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47841622" w14:textId="77777777" w:rsidR="00097276" w:rsidRPr="006733BD" w:rsidRDefault="00097276" w:rsidP="00097276">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97276" w:rsidRPr="006733BD" w14:paraId="4B13D8C7" w14:textId="77777777" w:rsidTr="19B6A718">
        <w:tc>
          <w:tcPr>
            <w:tcW w:w="8828" w:type="dxa"/>
          </w:tcPr>
          <w:p w14:paraId="3C3D1A89" w14:textId="47AA77D6" w:rsidR="002D0D45" w:rsidRDefault="002D0D45" w:rsidP="19B6A718">
            <w:pPr>
              <w:spacing w:after="120" w:line="276" w:lineRule="auto"/>
              <w:jc w:val="both"/>
              <w:rPr>
                <w:rFonts w:ascii="Verdana" w:eastAsia="Times New Roman" w:hAnsi="Verdana" w:cs="Open Sans"/>
                <w:lang w:eastAsia="es-CO"/>
              </w:rPr>
            </w:pPr>
            <w:r w:rsidRPr="19B6A718">
              <w:rPr>
                <w:rFonts w:ascii="Verdana" w:eastAsia="Times New Roman" w:hAnsi="Verdana" w:cs="Open Sans"/>
                <w:lang w:eastAsia="es-CO"/>
              </w:rPr>
              <w:t xml:space="preserve">En relación con las prohibiciones consagradas en la Ley de Garantías Electorales en materia de contratación estatal debe señalarse que: </w:t>
            </w:r>
          </w:p>
          <w:p w14:paraId="0F2FC321" w14:textId="0419F10C" w:rsidR="002D0D45" w:rsidRDefault="002D0D45" w:rsidP="002D0D45">
            <w:pPr>
              <w:spacing w:after="120" w:line="276" w:lineRule="auto"/>
              <w:jc w:val="both"/>
              <w:rPr>
                <w:rFonts w:ascii="Verdana" w:eastAsia="Times New Roman" w:hAnsi="Verdana" w:cs="Open Sans"/>
                <w:lang w:eastAsia="es-CO"/>
              </w:rPr>
            </w:pPr>
            <w:r w:rsidRPr="19B6A718">
              <w:rPr>
                <w:rFonts w:ascii="Verdana" w:eastAsia="Times New Roman" w:hAnsi="Verdana" w:cs="Open Sans"/>
                <w:lang w:eastAsia="es-CO"/>
              </w:rPr>
              <w:t xml:space="preserve">        </w:t>
            </w:r>
            <w:r w:rsidR="006A2EA3" w:rsidRPr="19B6A718">
              <w:rPr>
                <w:rFonts w:ascii="Verdana" w:eastAsia="Times New Roman" w:hAnsi="Verdana" w:cs="Open Sans"/>
                <w:lang w:eastAsia="es-CO"/>
              </w:rPr>
              <w:t>Por un lado, e</w:t>
            </w:r>
            <w:r w:rsidRPr="19B6A718">
              <w:rPr>
                <w:rFonts w:ascii="Verdana" w:eastAsia="Times New Roman" w:hAnsi="Verdana" w:cs="Open Sans"/>
                <w:lang w:eastAsia="es-CO"/>
              </w:rPr>
              <w:t xml:space="preserv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se refiere a cualquier sistema de selección o procedimiento de contratación utilizado por las entidades estatales que no incluya la convocatoria pública en alguna de sus etapas, ni permita la participación de una pluralidad de oferentes. </w:t>
            </w:r>
          </w:p>
          <w:p w14:paraId="365D75CC" w14:textId="77777777" w:rsidR="002D0D45" w:rsidRDefault="002D0D45" w:rsidP="002D0D45">
            <w:pPr>
              <w:spacing w:after="120" w:line="276" w:lineRule="auto"/>
              <w:ind w:firstLine="709"/>
              <w:jc w:val="both"/>
              <w:rPr>
                <w:rFonts w:ascii="Verdana" w:hAnsi="Verdana"/>
              </w:rPr>
            </w:pPr>
            <w:r w:rsidRPr="19B6A718">
              <w:rPr>
                <w:rFonts w:ascii="Verdana" w:eastAsia="Times New Roman" w:hAnsi="Verdana" w:cs="Open Sans"/>
                <w:lang w:eastAsia="es-CO"/>
              </w:rPr>
              <w:t xml:space="preserve">Por su parte, </w:t>
            </w:r>
            <w:r w:rsidRPr="19B6A718">
              <w:rPr>
                <w:rFonts w:ascii="Verdana" w:hAnsi="Verdana"/>
              </w:rPr>
              <w:t xml:space="preserve">los destinatarios de la prohibición están expresamente señalados como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A7CDE6A" w14:textId="72C28393" w:rsidR="002D0D45" w:rsidRPr="00C40D52" w:rsidRDefault="002D0D45" w:rsidP="002D0D45">
            <w:pPr>
              <w:spacing w:after="120" w:line="276" w:lineRule="auto"/>
              <w:ind w:firstLine="709"/>
              <w:jc w:val="both"/>
              <w:rPr>
                <w:rFonts w:ascii="Verdana" w:eastAsia="Times New Roman" w:hAnsi="Verdana" w:cs="Arial"/>
                <w:lang w:val="es-ES"/>
              </w:rPr>
            </w:pPr>
            <w:r w:rsidRPr="19B6A718">
              <w:rPr>
                <w:rFonts w:ascii="Verdana" w:eastAsia="Times New Roman" w:hAnsi="Verdana" w:cs="Arial"/>
                <w:lang w:val="es-ES"/>
              </w:rPr>
              <w:t>En consecuencia, las restricciones a la contratación contenidas en la Ley de Garantías Electorales son aplicables a entidades descentralizadas como las sociedades de economía mixta</w:t>
            </w:r>
            <w:r w:rsidR="006A2EA3" w:rsidRPr="19B6A718">
              <w:rPr>
                <w:rFonts w:ascii="Verdana" w:eastAsia="Times New Roman" w:hAnsi="Verdana" w:cs="Arial"/>
                <w:lang w:val="es-ES"/>
              </w:rPr>
              <w:t>, a las que se refiere en su consulta</w:t>
            </w:r>
            <w:r w:rsidRPr="19B6A718">
              <w:rPr>
                <w:rFonts w:ascii="Verdana" w:eastAsia="Times New Roman" w:hAnsi="Verdana" w:cs="Arial"/>
                <w:lang w:val="es-ES"/>
              </w:rPr>
              <w:t>.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73CABFE0" w14:textId="77777777" w:rsidR="002D0D45" w:rsidRDefault="002D0D45" w:rsidP="002D0D45">
            <w:pPr>
              <w:spacing w:after="120" w:line="276" w:lineRule="auto"/>
              <w:ind w:firstLine="709"/>
              <w:jc w:val="both"/>
              <w:rPr>
                <w:rFonts w:ascii="Verdana" w:eastAsia="Arial" w:hAnsi="Verdana" w:cs="Arial"/>
                <w:color w:val="000000"/>
              </w:rPr>
            </w:pPr>
            <w:r w:rsidRPr="19B6A718">
              <w:rPr>
                <w:rFonts w:ascii="Verdana" w:hAnsi="Verdana" w:cs="BCDHEE+Verdana"/>
                <w:color w:val="000000" w:themeColor="text1"/>
              </w:rPr>
              <w:t xml:space="preserve">Por otro lado, el parágrafo del artículo 38 de la Ley 996 de 2005 prohíbe a los gobernadores, alcaldes municipales o distritales, secretarios, gerentes y directores de entidades descentralizadas del orden municipal, departamental o distrital </w:t>
            </w:r>
            <w:r w:rsidRPr="19B6A718">
              <w:rPr>
                <w:rFonts w:ascii="Verdana" w:eastAsia="Arial" w:hAnsi="Verdana" w:cs="Arial"/>
                <w:color w:val="000000" w:themeColor="text1"/>
              </w:rPr>
              <w:t xml:space="preserve">“[…] celebrar </w:t>
            </w:r>
            <w:r w:rsidRPr="19B6A718">
              <w:rPr>
                <w:rFonts w:ascii="Verdana" w:eastAsia="Arial" w:hAnsi="Verdana" w:cs="Arial"/>
                <w:i/>
                <w:iCs/>
                <w:color w:val="000000" w:themeColor="text1"/>
              </w:rPr>
              <w:t xml:space="preserve">convenios interadministrativos </w:t>
            </w:r>
            <w:r w:rsidRPr="19B6A718">
              <w:rPr>
                <w:rFonts w:ascii="Verdana" w:eastAsia="Arial" w:hAnsi="Verdana" w:cs="Arial"/>
                <w:color w:val="000000" w:themeColor="text1"/>
              </w:rPr>
              <w:t xml:space="preserve">para la ejecución de </w:t>
            </w:r>
            <w:r w:rsidRPr="19B6A718">
              <w:rPr>
                <w:rFonts w:ascii="Verdana" w:eastAsia="Arial" w:hAnsi="Verdana" w:cs="Arial"/>
                <w:color w:val="000000" w:themeColor="text1"/>
              </w:rPr>
              <w:lastRenderedPageBreak/>
              <w:t xml:space="preserve">recursos públicos, ni participar, promover y destinar recursos públicos de las entidades a su cargo, como tampoco de las que participen como miembros de sus juntas directivas, en o para reuniones de carácter proselitista”. </w:t>
            </w:r>
          </w:p>
          <w:p w14:paraId="7DA450A5" w14:textId="244FE7E3" w:rsidR="002D0D45" w:rsidRPr="00775AB1" w:rsidRDefault="002D0D45" w:rsidP="002D0D45">
            <w:pPr>
              <w:spacing w:after="120" w:line="276" w:lineRule="auto"/>
              <w:ind w:firstLine="709"/>
              <w:jc w:val="both"/>
              <w:rPr>
                <w:rFonts w:ascii="Verdana" w:eastAsia="Times New Roman" w:hAnsi="Verdana" w:cs="Arial"/>
                <w:lang w:val="es-MX" w:eastAsia="es-CO"/>
              </w:rPr>
            </w:pPr>
            <w:r w:rsidRPr="19B6A718">
              <w:rPr>
                <w:rFonts w:ascii="Verdana" w:hAnsi="Verdana" w:cs="BCDHEE+Verdana"/>
                <w:color w:val="000000" w:themeColor="text1"/>
              </w:rPr>
              <w:t xml:space="preserve">Por lo que, </w:t>
            </w:r>
            <w:proofErr w:type="spellStart"/>
            <w:r w:rsidRPr="19B6A718">
              <w:rPr>
                <w:rFonts w:ascii="Verdana" w:eastAsia="Times New Roman" w:hAnsi="Verdana" w:cs="Arial"/>
                <w:lang w:val="es-MX" w:eastAsia="es-CO"/>
              </w:rPr>
              <w:t>si</w:t>
            </w:r>
            <w:proofErr w:type="spellEnd"/>
            <w:r w:rsidRPr="19B6A718">
              <w:rPr>
                <w:rFonts w:ascii="Verdana" w:eastAsia="Times New Roman" w:hAnsi="Verdana" w:cs="Arial"/>
                <w:lang w:val="es-MX" w:eastAsia="es-CO"/>
              </w:rPr>
              <w:t xml:space="preserve"> una o ambas partes de la relación contractual es una entidad de aquellas descritas en el parágrafo </w:t>
            </w:r>
            <w:r w:rsidRPr="19B6A718">
              <w:rPr>
                <w:rFonts w:ascii="Verdana" w:eastAsia="Times New Roman" w:hAnsi="Verdana" w:cs="Arial"/>
                <w:i/>
                <w:iCs/>
                <w:lang w:val="es-MX" w:eastAsia="es-CO"/>
              </w:rPr>
              <w:t>ibidem</w:t>
            </w:r>
            <w:r w:rsidRPr="19B6A718">
              <w:rPr>
                <w:rFonts w:ascii="Verdana" w:eastAsia="Times New Roman" w:hAnsi="Verdana" w:cs="Arial"/>
                <w:lang w:val="es-MX" w:eastAsia="es-CO"/>
              </w:rPr>
              <w:t xml:space="preserve">, no podrá celebrar </w:t>
            </w:r>
            <w:r w:rsidRPr="19B6A718">
              <w:rPr>
                <w:rFonts w:ascii="Verdana" w:eastAsia="Times New Roman" w:hAnsi="Verdana" w:cs="Arial"/>
                <w:i/>
                <w:iCs/>
                <w:lang w:val="es-MX" w:eastAsia="es-CO"/>
              </w:rPr>
              <w:t>convenios interadministrativos</w:t>
            </w:r>
            <w:r w:rsidRPr="19B6A718">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0BEE2BD2" w14:textId="6E7F5F49" w:rsidR="00097276" w:rsidRPr="002329D6" w:rsidRDefault="002D0D45" w:rsidP="19B6A718">
            <w:pPr>
              <w:spacing w:before="120" w:after="120" w:line="276" w:lineRule="auto"/>
              <w:jc w:val="both"/>
              <w:rPr>
                <w:rFonts w:ascii="Verdana" w:eastAsia="Calibri" w:hAnsi="Verdana" w:cs="Arial"/>
              </w:rPr>
            </w:pPr>
            <w:r w:rsidRPr="19B6A718">
              <w:rPr>
                <w:rFonts w:ascii="Verdana" w:hAnsi="Verdana"/>
              </w:rPr>
              <w:t xml:space="preserve">          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19B6A718">
              <w:rPr>
                <w:rFonts w:ascii="Verdana" w:eastAsia="Calibri" w:hAnsi="Verdana" w:cs="Arial"/>
              </w:rPr>
              <w:t xml:space="preserve"> </w:t>
            </w:r>
          </w:p>
        </w:tc>
      </w:tr>
    </w:tbl>
    <w:p w14:paraId="05833204" w14:textId="1832EE64" w:rsidR="00097276" w:rsidRPr="00416686" w:rsidRDefault="00097276" w:rsidP="19B6A718">
      <w:pPr>
        <w:tabs>
          <w:tab w:val="left" w:pos="142"/>
          <w:tab w:val="left" w:pos="284"/>
        </w:tabs>
        <w:spacing w:after="0" w:line="276" w:lineRule="auto"/>
        <w:jc w:val="both"/>
        <w:rPr>
          <w:rFonts w:ascii="Verdana" w:eastAsia="Century Gothic" w:hAnsi="Verdana" w:cs="Century Gothic"/>
          <w:b/>
          <w:bCs/>
        </w:rPr>
      </w:pPr>
    </w:p>
    <w:p w14:paraId="15226FE3" w14:textId="77777777" w:rsidR="00097276" w:rsidRDefault="00097276" w:rsidP="00097276">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652B264A" w14:textId="77777777" w:rsidR="00097276" w:rsidRDefault="00097276" w:rsidP="00097276">
      <w:pPr>
        <w:spacing w:after="0" w:line="276" w:lineRule="auto"/>
        <w:jc w:val="both"/>
        <w:rPr>
          <w:rFonts w:ascii="Verdana" w:eastAsia="Calibri" w:hAnsi="Verdana" w:cs="Arial"/>
          <w:lang w:val="es-ES"/>
        </w:rPr>
      </w:pPr>
    </w:p>
    <w:p w14:paraId="4368C205" w14:textId="77777777" w:rsidR="00097276" w:rsidRPr="00B52642" w:rsidRDefault="00097276" w:rsidP="00097276">
      <w:pPr>
        <w:spacing w:after="0" w:line="276" w:lineRule="auto"/>
        <w:jc w:val="both"/>
        <w:rPr>
          <w:rFonts w:ascii="Verdana" w:eastAsia="Calibri" w:hAnsi="Verdana" w:cs="Arial"/>
          <w:lang w:val="es-ES"/>
        </w:rPr>
      </w:pPr>
      <w:r w:rsidRPr="00B52642">
        <w:rPr>
          <w:rFonts w:ascii="Verdana" w:eastAsia="Calibri" w:hAnsi="Verdana" w:cs="Arial"/>
          <w:lang w:val="es-ES"/>
        </w:rPr>
        <w:t xml:space="preserve">Las respuestas anteriores se sustentan en las siguientes consideraciones: </w:t>
      </w:r>
    </w:p>
    <w:p w14:paraId="24E80B31" w14:textId="77777777" w:rsidR="00097276" w:rsidRDefault="00097276" w:rsidP="00097276">
      <w:pPr>
        <w:tabs>
          <w:tab w:val="left" w:pos="142"/>
          <w:tab w:val="left" w:pos="284"/>
        </w:tabs>
        <w:spacing w:after="0" w:line="276" w:lineRule="auto"/>
        <w:jc w:val="both"/>
        <w:rPr>
          <w:rFonts w:ascii="Verdana" w:eastAsia="Century Gothic" w:hAnsi="Verdana" w:cs="Century Gothic"/>
          <w:b/>
          <w:lang w:val="es-ES"/>
        </w:rPr>
      </w:pPr>
    </w:p>
    <w:p w14:paraId="75021450" w14:textId="2218BD76" w:rsidR="00097276" w:rsidRPr="00C40D52" w:rsidRDefault="00097276" w:rsidP="000D08FD">
      <w:pPr>
        <w:autoSpaceDE w:val="0"/>
        <w:autoSpaceDN w:val="0"/>
        <w:adjustRightInd w:val="0"/>
        <w:spacing w:after="120" w:line="276" w:lineRule="auto"/>
        <w:jc w:val="both"/>
        <w:rPr>
          <w:rFonts w:ascii="Verdana" w:hAnsi="Verdana" w:cs="Arial"/>
          <w:lang w:val="es-ES_tradnl"/>
        </w:rPr>
      </w:pPr>
      <w:r w:rsidRPr="00C40D52">
        <w:rPr>
          <w:rFonts w:ascii="Verdana" w:hAnsi="Verdana" w:cs="Arial"/>
          <w:color w:val="000000" w:themeColor="text1"/>
          <w:lang w:val="es-ES_tradnl"/>
        </w:rPr>
        <w:t>i) En nuestro ordenamiento jurídico, el</w:t>
      </w:r>
      <w:r w:rsidRPr="00C40D52">
        <w:rPr>
          <w:rFonts w:ascii="Verdana" w:hAnsi="Verdana" w:cs="Arial"/>
          <w:lang w:val="es-ES_tradnl"/>
        </w:rPr>
        <w:t xml:space="preserve">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w:t>
      </w:r>
      <w:r w:rsidR="00B25DCE">
        <w:rPr>
          <w:rFonts w:ascii="Verdana" w:hAnsi="Verdana" w:cs="Arial"/>
          <w:lang w:val="es-ES_tradnl"/>
        </w:rPr>
        <w:t>L</w:t>
      </w:r>
      <w:r w:rsidRPr="00C40D52">
        <w:rPr>
          <w:rFonts w:ascii="Verdana" w:hAnsi="Verdana" w:cs="Arial"/>
          <w:lang w:val="es-ES_tradnl"/>
        </w:rPr>
        <w:t>ey.</w:t>
      </w:r>
    </w:p>
    <w:p w14:paraId="6BD24622" w14:textId="77777777" w:rsidR="00097276" w:rsidRPr="00C40D52" w:rsidRDefault="00097276" w:rsidP="000D08FD">
      <w:pPr>
        <w:spacing w:after="12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En este sentido, la misma Ley, en los artículos 38 y 68, clasifica a las sociedades de economía mixta como entidades descentralizadas por servicios, con personería jurídica, autonomía administrativa y patrimonio propio</w:t>
      </w:r>
      <w:r w:rsidRPr="19B6A718">
        <w:rPr>
          <w:rStyle w:val="Refdenotaalpie"/>
          <w:rFonts w:ascii="Verdana" w:eastAsia="Times New Roman" w:hAnsi="Verdana" w:cs="Arial"/>
          <w:lang w:val="es-ES" w:eastAsia="es-MX"/>
        </w:rPr>
        <w:footnoteReference w:id="1"/>
      </w:r>
      <w:r w:rsidRPr="00C40D52">
        <w:rPr>
          <w:rFonts w:ascii="Verdana" w:eastAsia="Times New Roman" w:hAnsi="Verdana" w:cs="Arial"/>
          <w:lang w:val="es-ES" w:eastAsia="es-MX"/>
        </w:rPr>
        <w:t xml:space="preserve">, que </w:t>
      </w:r>
      <w:r w:rsidRPr="00C40D52">
        <w:rPr>
          <w:rFonts w:ascii="Verdana" w:eastAsia="Times New Roman" w:hAnsi="Verdana" w:cs="Arial"/>
          <w:lang w:val="es-ES" w:eastAsia="es-MX"/>
        </w:rPr>
        <w:lastRenderedPageBreak/>
        <w:t>pueden ser del orden nacional, departamental o municipal, según su órgano de creación</w:t>
      </w:r>
      <w:r w:rsidRPr="19B6A718">
        <w:rPr>
          <w:rStyle w:val="Refdenotaalpie"/>
          <w:rFonts w:ascii="Verdana" w:eastAsia="Times New Roman" w:hAnsi="Verdana" w:cs="Arial"/>
          <w:lang w:val="es-ES" w:eastAsia="es-MX"/>
        </w:rPr>
        <w:footnoteReference w:id="2"/>
      </w:r>
      <w:r w:rsidRPr="00C40D52">
        <w:rPr>
          <w:rFonts w:ascii="Verdana" w:eastAsia="Times New Roman" w:hAnsi="Verdana" w:cs="Arial"/>
          <w:lang w:val="es-ES" w:eastAsia="es-MX"/>
        </w:rPr>
        <w:t xml:space="preserve">. Al respecto, la Corte Constitucional, en sentencias C-736 del 19 de septiembre de 2007, C-118 del 14 de noviembre de 2018 y C-306 del 10 de julio de 2019, ha considerado que las sociedades estudiadas, desde una perspectiva constitucional, se caracterizan por los siguientes aspectos: i) pertenecen a la rama ejecutiva del poder público, como manifestación de la descentralización por servicios. Así mismo, </w:t>
      </w:r>
      <w:proofErr w:type="spellStart"/>
      <w:r w:rsidRPr="00C40D52">
        <w:rPr>
          <w:rFonts w:ascii="Verdana" w:eastAsia="Times New Roman" w:hAnsi="Verdana" w:cs="Arial"/>
          <w:lang w:val="es-ES" w:eastAsia="es-MX"/>
        </w:rPr>
        <w:t>ii</w:t>
      </w:r>
      <w:proofErr w:type="spellEnd"/>
      <w:r w:rsidRPr="00C40D52">
        <w:rPr>
          <w:rFonts w:ascii="Verdana" w:eastAsia="Times New Roman" w:hAnsi="Verdana" w:cs="Arial"/>
          <w:lang w:val="es-ES" w:eastAsia="es-MX"/>
        </w:rPr>
        <w:t xml:space="preserve">) están sujetas al control fiscal, financiero, de gestión y de resultados en cabeza de la Contraloría General de la República. Por otra parte, </w:t>
      </w:r>
      <w:proofErr w:type="spellStart"/>
      <w:r w:rsidRPr="00C40D52">
        <w:rPr>
          <w:rFonts w:ascii="Verdana" w:eastAsia="Times New Roman" w:hAnsi="Verdana" w:cs="Arial"/>
          <w:lang w:val="es-ES" w:eastAsia="es-MX"/>
        </w:rPr>
        <w:t>iii</w:t>
      </w:r>
      <w:proofErr w:type="spellEnd"/>
      <w:r w:rsidRPr="00C40D52">
        <w:rPr>
          <w:rFonts w:ascii="Verdana" w:eastAsia="Times New Roman" w:hAnsi="Verdana" w:cs="Arial"/>
          <w:lang w:val="es-ES" w:eastAsia="es-MX"/>
        </w:rPr>
        <w:t xml:space="preserve">) se someten al control político, que ejerce directamente el Congreso de la República. Además, </w:t>
      </w:r>
      <w:proofErr w:type="spellStart"/>
      <w:r w:rsidRPr="00C40D52">
        <w:rPr>
          <w:rFonts w:ascii="Verdana" w:eastAsia="Times New Roman" w:hAnsi="Verdana" w:cs="Arial"/>
          <w:lang w:val="es-ES" w:eastAsia="es-MX"/>
        </w:rPr>
        <w:t>iv</w:t>
      </w:r>
      <w:proofErr w:type="spellEnd"/>
      <w:r w:rsidRPr="00C40D52">
        <w:rPr>
          <w:rFonts w:ascii="Verdana" w:eastAsia="Times New Roman" w:hAnsi="Verdana" w:cs="Arial"/>
          <w:lang w:val="es-ES" w:eastAsia="es-MX"/>
        </w:rPr>
        <w:t xml:space="preserve">) en el caso de las sociedades de economía mixta del orden nacional, le corresponde al Congreso de la República su creación o autorización 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180- 3, 292 y 323 de la Constitución Política. A lo anterior debe agregarse que, </w:t>
      </w:r>
      <w:proofErr w:type="spellStart"/>
      <w:r w:rsidRPr="00C40D52">
        <w:rPr>
          <w:rFonts w:ascii="Verdana" w:eastAsia="Times New Roman" w:hAnsi="Verdana" w:cs="Arial"/>
          <w:lang w:val="es-ES" w:eastAsia="es-MX"/>
        </w:rPr>
        <w:t>vii</w:t>
      </w:r>
      <w:proofErr w:type="spellEnd"/>
      <w:r w:rsidRPr="00C40D52">
        <w:rPr>
          <w:rFonts w:ascii="Verdana" w:eastAsia="Times New Roman" w:hAnsi="Verdana" w:cs="Arial"/>
          <w:lang w:val="es-ES" w:eastAsia="es-MX"/>
        </w:rPr>
        <w:t xml:space="preserve">) en materia presupuestal, las sociedades de economía mixta quedan sujetas a las reglas de la ley orgánica del presupuesto. De otro lado, </w:t>
      </w:r>
      <w:proofErr w:type="spellStart"/>
      <w:r w:rsidRPr="00C40D52">
        <w:rPr>
          <w:rFonts w:ascii="Verdana" w:eastAsia="Times New Roman" w:hAnsi="Verdana" w:cs="Arial"/>
          <w:lang w:val="es-ES" w:eastAsia="es-MX"/>
        </w:rPr>
        <w:t>viii</w:t>
      </w:r>
      <w:proofErr w:type="spellEnd"/>
      <w:r w:rsidRPr="00C40D52">
        <w:rPr>
          <w:rFonts w:ascii="Verdana" w:eastAsia="Times New Roman" w:hAnsi="Verdana" w:cs="Arial"/>
          <w:lang w:val="es-ES" w:eastAsia="es-MX"/>
        </w:rPr>
        <w:t xml:space="preserve">) en materia contable, quedan vinculadas a las reglas de contabilidad oficial. Además, </w:t>
      </w:r>
      <w:proofErr w:type="spellStart"/>
      <w:r w:rsidRPr="00C40D52">
        <w:rPr>
          <w:rFonts w:ascii="Verdana" w:eastAsia="Times New Roman" w:hAnsi="Verdana" w:cs="Arial"/>
          <w:lang w:val="es-ES" w:eastAsia="es-MX"/>
        </w:rPr>
        <w:t>ix</w:t>
      </w:r>
      <w:proofErr w:type="spellEnd"/>
      <w:r w:rsidRPr="00C40D52">
        <w:rPr>
          <w:rFonts w:ascii="Verdana" w:eastAsia="Times New Roman" w:hAnsi="Verdana" w:cs="Arial"/>
          <w:lang w:val="es-ES" w:eastAsia="es-MX"/>
        </w:rPr>
        <w:t>) se rigen por el derecho privado, en virtud de la naturaleza de las actividades que desarrollan.  </w:t>
      </w:r>
    </w:p>
    <w:p w14:paraId="7CD976F7" w14:textId="2D0BDAA3" w:rsidR="00097276" w:rsidRPr="00C40D52" w:rsidRDefault="00963FDF" w:rsidP="000D08FD">
      <w:pPr>
        <w:spacing w:after="120" w:line="276" w:lineRule="auto"/>
        <w:ind w:firstLine="709"/>
        <w:jc w:val="both"/>
        <w:textAlignment w:val="baseline"/>
        <w:rPr>
          <w:rFonts w:ascii="Verdana" w:eastAsia="Times New Roman" w:hAnsi="Verdana" w:cs="Arial"/>
          <w:lang w:val="es-ES_tradnl" w:eastAsia="es-MX"/>
        </w:rPr>
      </w:pPr>
      <w:r w:rsidRPr="19B6A718">
        <w:rPr>
          <w:rFonts w:ascii="Verdana" w:eastAsia="Times New Roman" w:hAnsi="Verdana" w:cs="Arial"/>
          <w:lang w:val="es-ES" w:eastAsia="es-MX"/>
        </w:rPr>
        <w:t>Adicional a las anteriores características</w:t>
      </w:r>
      <w:r w:rsidR="00097276" w:rsidRPr="19B6A718">
        <w:rPr>
          <w:rFonts w:ascii="Verdana" w:eastAsia="Times New Roman" w:hAnsi="Verdana" w:cs="Arial"/>
          <w:lang w:val="es-ES" w:eastAsia="es-MX"/>
        </w:rPr>
        <w:t>, este Alto Tribunal, en sentencia C-529 del 12 de julio de 2006, hizo énfasis en que, a pesar del sometimiento al régimen jurídico de derecho privado para el desarrollo de sus actividades, las sociedades de economía mixta no pierden su carácter de expresión organizacional de la actividad estatal</w:t>
      </w:r>
      <w:r w:rsidR="00097276" w:rsidRPr="19B6A718">
        <w:rPr>
          <w:rStyle w:val="Refdenotaalpie"/>
          <w:rFonts w:ascii="Verdana" w:eastAsia="Times New Roman" w:hAnsi="Verdana" w:cs="Arial"/>
          <w:lang w:val="es-ES" w:eastAsia="es-MX"/>
        </w:rPr>
        <w:footnoteReference w:id="3"/>
      </w:r>
      <w:r w:rsidR="00097276" w:rsidRPr="19B6A718">
        <w:rPr>
          <w:rFonts w:ascii="Verdana" w:eastAsia="Times New Roman" w:hAnsi="Verdana" w:cs="Arial"/>
          <w:lang w:val="es-ES" w:eastAsia="es-MX"/>
        </w:rPr>
        <w:t xml:space="preserve">, más precisamente de la función </w:t>
      </w:r>
      <w:r w:rsidR="00097276" w:rsidRPr="19B6A718">
        <w:rPr>
          <w:rFonts w:ascii="Verdana" w:eastAsia="Times New Roman" w:hAnsi="Verdana" w:cs="Arial"/>
          <w:lang w:val="es-ES" w:eastAsia="es-MX"/>
        </w:rPr>
        <w:lastRenderedPageBreak/>
        <w:t>administrativa</w:t>
      </w:r>
      <w:r w:rsidR="00097276" w:rsidRPr="19B6A718">
        <w:rPr>
          <w:rStyle w:val="Refdenotaalpie"/>
          <w:rFonts w:ascii="Verdana" w:eastAsia="Times New Roman" w:hAnsi="Verdana" w:cs="Arial"/>
          <w:lang w:val="es-ES" w:eastAsia="es-MX"/>
        </w:rPr>
        <w:footnoteReference w:id="4"/>
      </w:r>
      <w:r w:rsidR="00097276" w:rsidRPr="19B6A718">
        <w:rPr>
          <w:rFonts w:ascii="Verdana" w:eastAsia="Times New Roman" w:hAnsi="Verdana" w:cs="Arial"/>
          <w:lang w:val="es-ES" w:eastAsia="es-MX"/>
        </w:rPr>
        <w:t>, en virtud del aporte público en la constitución del capital social y la consiguiente pertenencia a la administración pública, en la condición de entidades descentralizadas.</w:t>
      </w:r>
    </w:p>
    <w:p w14:paraId="4E378A8D" w14:textId="77777777" w:rsidR="000D08FD" w:rsidRDefault="00097276" w:rsidP="000D08FD">
      <w:pPr>
        <w:spacing w:after="12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Así las cosas, resulta importante resaltar que, en nuestro ordenamiento jurídico, las sociedades de economía mixta están sometidas a un régimen jurídico compuesto por un conjunto normativo de derecho público y de derecho privado</w:t>
      </w:r>
      <w:r w:rsidR="004060E8">
        <w:rPr>
          <w:rFonts w:ascii="Verdana" w:eastAsia="Times New Roman" w:hAnsi="Verdana" w:cs="Arial"/>
          <w:lang w:val="es-ES" w:eastAsia="es-MX"/>
        </w:rPr>
        <w:t>.</w:t>
      </w:r>
      <w:r w:rsidRPr="00C40D52">
        <w:rPr>
          <w:rFonts w:ascii="Verdana" w:eastAsia="Times New Roman" w:hAnsi="Verdana" w:cs="Arial"/>
          <w:lang w:val="es-ES" w:eastAsia="es-MX"/>
        </w:rPr>
        <w:t xml:space="preserve"> </w:t>
      </w:r>
      <w:r w:rsidR="004060E8">
        <w:rPr>
          <w:rFonts w:ascii="Verdana" w:eastAsia="Times New Roman" w:hAnsi="Verdana" w:cs="Arial"/>
          <w:lang w:val="es-ES" w:eastAsia="es-MX"/>
        </w:rPr>
        <w:t>E</w:t>
      </w:r>
      <w:r w:rsidRPr="00C40D52">
        <w:rPr>
          <w:rFonts w:ascii="Verdana" w:eastAsia="Times New Roman" w:hAnsi="Verdana" w:cs="Arial"/>
          <w:lang w:val="es-ES" w:eastAsia="es-MX"/>
        </w:rPr>
        <w:t xml:space="preserve">l primero, derivado directamente de la Constitución Política y referido a aspectos como su creación, autorización, organización y funcionamiento internos. Y el segundo destinado a regir el desarrollo de la actividad económica de cada sociedad. </w:t>
      </w:r>
    </w:p>
    <w:p w14:paraId="3DB5E23C" w14:textId="76FC7593" w:rsidR="00097276" w:rsidRPr="00C40D52" w:rsidRDefault="00097276" w:rsidP="00097276">
      <w:pPr>
        <w:spacing w:after="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 xml:space="preserve">Ahora bien, también resulta importante señalar que el artículo 14 de la Ley 1150 de 2007 –modificado por el artículo 93 de la Ley 1474 de 2011– establece el régimen contractual de las sociedades de economía mixta, en las que el Estado tenga participación superior al cincuenta por ciento, señalando que: </w:t>
      </w:r>
    </w:p>
    <w:p w14:paraId="05B4DF0F" w14:textId="77777777" w:rsidR="00097276" w:rsidRPr="00C40D52" w:rsidRDefault="00097276" w:rsidP="00097276">
      <w:pPr>
        <w:spacing w:after="0" w:line="276" w:lineRule="auto"/>
        <w:ind w:firstLine="709"/>
        <w:jc w:val="both"/>
        <w:textAlignment w:val="baseline"/>
        <w:rPr>
          <w:rFonts w:ascii="Verdana" w:eastAsia="Times New Roman" w:hAnsi="Verdana" w:cs="Arial"/>
          <w:lang w:val="es-ES_tradnl" w:eastAsia="es-MX"/>
        </w:rPr>
      </w:pPr>
    </w:p>
    <w:p w14:paraId="06DDEBF7" w14:textId="2973E760" w:rsidR="00097276" w:rsidRPr="00E750DF" w:rsidRDefault="000D08FD" w:rsidP="19B6A718">
      <w:pPr>
        <w:spacing w:after="0" w:line="240" w:lineRule="auto"/>
        <w:ind w:left="709" w:right="709"/>
        <w:jc w:val="both"/>
        <w:textAlignment w:val="baseline"/>
        <w:rPr>
          <w:rFonts w:ascii="Verdana" w:eastAsia="Times New Roman" w:hAnsi="Verdana" w:cs="Arial"/>
          <w:sz w:val="20"/>
          <w:szCs w:val="20"/>
          <w:lang w:val="es-ES" w:eastAsia="es-MX"/>
        </w:rPr>
      </w:pPr>
      <w:r w:rsidRPr="19B6A718">
        <w:rPr>
          <w:rFonts w:ascii="Verdana" w:eastAsia="Times New Roman" w:hAnsi="Verdana" w:cs="Arial"/>
          <w:sz w:val="20"/>
          <w:szCs w:val="20"/>
          <w:lang w:val="es-ES" w:eastAsia="es-MX"/>
        </w:rPr>
        <w:t>“</w:t>
      </w:r>
      <w:r w:rsidR="00097276" w:rsidRPr="19B6A718">
        <w:rPr>
          <w:rFonts w:ascii="Verdana" w:eastAsia="Times New Roman" w:hAnsi="Verdana" w:cs="Arial"/>
          <w:sz w:val="20"/>
          <w:szCs w:val="20"/>
          <w:lang w:val="es-ES" w:eastAsia="es-MX"/>
        </w:rPr>
        <w:t>Artículo 14. DEL RÉGIMEN CONTRACTUAL DE LAS EMPRESAS INDUSTRIALES Y COMERCIALES DEL ESTADO, LAS SOCIEDADES DE ECONOMÍA MIXTA, SUS FILIALES Y EMPRESAS CON PARTICIPACIÓN MAYORITARIA DEL ESTADO. &lt;Artículo modificado por el artículo 93 de la Ley 1474 de 2011. El nuevo texto es el siguiente:&gt;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sidRPr="19B6A718">
        <w:rPr>
          <w:rFonts w:ascii="Verdana" w:eastAsia="Times New Roman" w:hAnsi="Verdana" w:cs="Arial"/>
          <w:sz w:val="20"/>
          <w:szCs w:val="20"/>
          <w:lang w:val="es-ES" w:eastAsia="es-MX"/>
        </w:rPr>
        <w:t>”</w:t>
      </w:r>
      <w:r w:rsidR="00097276" w:rsidRPr="19B6A718">
        <w:rPr>
          <w:rFonts w:ascii="Verdana" w:eastAsia="Times New Roman" w:hAnsi="Verdana" w:cs="Arial"/>
          <w:sz w:val="20"/>
          <w:szCs w:val="20"/>
          <w:lang w:val="es-ES" w:eastAsia="es-MX"/>
        </w:rPr>
        <w:t>.</w:t>
      </w:r>
    </w:p>
    <w:p w14:paraId="0AB207F9" w14:textId="77777777" w:rsidR="00097276" w:rsidRPr="002329D6" w:rsidRDefault="00097276" w:rsidP="19B6A718">
      <w:pPr>
        <w:spacing w:after="0" w:line="276" w:lineRule="auto"/>
        <w:ind w:left="709" w:right="709" w:firstLine="709"/>
        <w:jc w:val="both"/>
        <w:textAlignment w:val="baseline"/>
        <w:rPr>
          <w:rFonts w:ascii="Verdana" w:eastAsia="Times New Roman" w:hAnsi="Verdana" w:cs="Arial"/>
          <w:lang w:val="es-ES" w:eastAsia="es-MX"/>
        </w:rPr>
      </w:pPr>
    </w:p>
    <w:p w14:paraId="6AE8997F" w14:textId="03FDE0BB" w:rsidR="00097276" w:rsidRPr="00C40D52" w:rsidRDefault="00097276" w:rsidP="00097276">
      <w:pPr>
        <w:spacing w:after="0" w:line="276" w:lineRule="auto"/>
        <w:ind w:firstLine="709"/>
        <w:jc w:val="both"/>
        <w:textAlignment w:val="baseline"/>
        <w:rPr>
          <w:rFonts w:ascii="Verdana" w:eastAsia="Times New Roman" w:hAnsi="Verdana" w:cs="Arial"/>
          <w:lang w:val="es-ES" w:eastAsia="es-MX"/>
        </w:rPr>
      </w:pPr>
      <w:r w:rsidRPr="19B6A718">
        <w:rPr>
          <w:rFonts w:ascii="Verdana" w:eastAsia="Times New Roman" w:hAnsi="Verdana" w:cs="Arial"/>
          <w:lang w:val="es-ES" w:eastAsia="es-MX"/>
        </w:rPr>
        <w:t xml:space="preserve">Teniendo en cuenta el contexto anterior, atendiendo a que las preguntas están relacionadas con el alcance de las prohibiciones en materia contractual establecidas en la </w:t>
      </w:r>
      <w:r w:rsidR="000D08FD" w:rsidRPr="19B6A718">
        <w:rPr>
          <w:rFonts w:ascii="Verdana" w:eastAsia="Times New Roman" w:hAnsi="Verdana" w:cs="Arial"/>
          <w:lang w:val="es-ES" w:eastAsia="es-MX"/>
        </w:rPr>
        <w:t>L</w:t>
      </w:r>
      <w:r w:rsidRPr="19B6A718">
        <w:rPr>
          <w:rFonts w:ascii="Verdana" w:eastAsia="Times New Roman" w:hAnsi="Verdana" w:cs="Arial"/>
          <w:lang w:val="es-ES" w:eastAsia="es-MX"/>
        </w:rPr>
        <w:t xml:space="preserve">ey 996 de 2005 –Ley de Garantías Electorales–, a continuación, se analizará el alcance de las restricciones establecidas en el artículo 33 y el parágrafo del artículo 38. </w:t>
      </w:r>
    </w:p>
    <w:p w14:paraId="78558642" w14:textId="77777777" w:rsidR="00097276" w:rsidRDefault="00097276" w:rsidP="00097276">
      <w:pPr>
        <w:tabs>
          <w:tab w:val="left" w:pos="426"/>
        </w:tabs>
        <w:spacing w:after="0" w:line="276" w:lineRule="auto"/>
        <w:jc w:val="both"/>
        <w:rPr>
          <w:rFonts w:ascii="Verdana" w:eastAsia="Times New Roman" w:hAnsi="Verdana" w:cs="Arial"/>
          <w:lang w:val="es-MX" w:eastAsia="es-CO"/>
        </w:rPr>
      </w:pPr>
    </w:p>
    <w:p w14:paraId="040C8C30" w14:textId="77777777" w:rsidR="00097276" w:rsidRDefault="00097276" w:rsidP="00097276">
      <w:pPr>
        <w:tabs>
          <w:tab w:val="left" w:pos="426"/>
        </w:tabs>
        <w:spacing w:after="120" w:line="276" w:lineRule="auto"/>
        <w:jc w:val="both"/>
        <w:rPr>
          <w:rFonts w:ascii="Verdana" w:eastAsia="Calibri" w:hAnsi="Verdana" w:cs="Arial"/>
          <w:lang w:val="es-ES_tradnl"/>
        </w:rPr>
      </w:pPr>
      <w:proofErr w:type="spellStart"/>
      <w:r>
        <w:rPr>
          <w:rFonts w:ascii="Verdana" w:eastAsia="Times New Roman" w:hAnsi="Verdana" w:cs="Arial"/>
          <w:lang w:val="es-MX" w:eastAsia="es-CO"/>
        </w:rPr>
        <w:t>ii</w:t>
      </w:r>
      <w:proofErr w:type="spellEnd"/>
      <w:r>
        <w:rPr>
          <w:rFonts w:ascii="Verdana" w:eastAsia="Times New Roman" w:hAnsi="Verdana" w:cs="Arial"/>
          <w:lang w:val="es-MX" w:eastAsia="es-CO"/>
        </w:rPr>
        <w:t>) 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5"/>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706ACACD" w14:textId="77777777" w:rsidR="00097276" w:rsidRPr="006B14B5" w:rsidRDefault="00097276" w:rsidP="00097276">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BF3119C" w14:textId="77777777" w:rsidR="00097276" w:rsidRPr="00E2397D" w:rsidRDefault="00097276" w:rsidP="00097276">
      <w:pPr>
        <w:spacing w:after="0" w:line="276" w:lineRule="auto"/>
        <w:ind w:right="709"/>
        <w:contextualSpacing/>
        <w:jc w:val="both"/>
        <w:rPr>
          <w:rFonts w:ascii="Verdana" w:eastAsia="Times New Roman" w:hAnsi="Verdana" w:cs="Arial"/>
          <w:lang w:val="es-ES" w:eastAsia="es-CO"/>
        </w:rPr>
      </w:pPr>
    </w:p>
    <w:p w14:paraId="46F76051" w14:textId="77777777" w:rsidR="00097276" w:rsidRPr="00E2397D" w:rsidRDefault="00097276" w:rsidP="0009727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B36EAAE" w14:textId="77777777" w:rsidR="00097276" w:rsidRPr="00E2397D" w:rsidRDefault="00097276" w:rsidP="00097276">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4D5D43A" w14:textId="77777777" w:rsidR="00097276" w:rsidRPr="00E2397D" w:rsidRDefault="00097276" w:rsidP="0009727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6"/>
      </w:r>
    </w:p>
    <w:p w14:paraId="3A3B85B2" w14:textId="77777777" w:rsidR="00097276" w:rsidRPr="00E2397D" w:rsidRDefault="00097276" w:rsidP="00097276">
      <w:pPr>
        <w:spacing w:after="0" w:line="276" w:lineRule="auto"/>
        <w:ind w:firstLine="709"/>
        <w:jc w:val="both"/>
        <w:rPr>
          <w:rFonts w:ascii="Verdana" w:eastAsia="Times New Roman" w:hAnsi="Verdana" w:cs="Arial"/>
          <w:lang w:val="es-MX" w:eastAsia="es-CO"/>
        </w:rPr>
      </w:pPr>
    </w:p>
    <w:p w14:paraId="1884C23A" w14:textId="77777777" w:rsidR="00097276" w:rsidRPr="00E2397D" w:rsidRDefault="00097276" w:rsidP="00097276">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w:t>
      </w:r>
      <w:r w:rsidRPr="00E2397D">
        <w:rPr>
          <w:rFonts w:ascii="Verdana" w:eastAsia="Times New Roman" w:hAnsi="Verdana" w:cs="Arial"/>
          <w:lang w:val="es-MX" w:eastAsia="es-CO"/>
        </w:rPr>
        <w:lastRenderedPageBreak/>
        <w:t>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81BE644" w14:textId="77777777" w:rsidR="00097276" w:rsidRPr="00886C02" w:rsidRDefault="00097276" w:rsidP="00097276">
      <w:pPr>
        <w:spacing w:after="0" w:line="276" w:lineRule="auto"/>
        <w:ind w:firstLine="709"/>
        <w:jc w:val="both"/>
        <w:rPr>
          <w:rFonts w:ascii="Verdana" w:eastAsia="Times New Roman" w:hAnsi="Verdana" w:cs="Arial"/>
          <w:lang w:val="es-MX" w:eastAsia="es-CO"/>
        </w:rPr>
      </w:pPr>
    </w:p>
    <w:p w14:paraId="215D8536" w14:textId="77777777" w:rsidR="00097276" w:rsidRPr="00E2397D" w:rsidRDefault="00097276" w:rsidP="0009727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BCC3F89" w14:textId="77777777" w:rsidR="00097276" w:rsidRPr="00E2397D" w:rsidRDefault="00097276" w:rsidP="00097276">
      <w:pPr>
        <w:spacing w:after="0" w:line="240" w:lineRule="auto"/>
        <w:ind w:right="709"/>
        <w:contextualSpacing/>
        <w:jc w:val="both"/>
        <w:rPr>
          <w:rFonts w:ascii="Verdana" w:eastAsia="Times New Roman" w:hAnsi="Verdana" w:cs="Arial"/>
          <w:lang w:val="es-MX" w:eastAsia="es-CO"/>
        </w:rPr>
      </w:pPr>
    </w:p>
    <w:p w14:paraId="05AE3939" w14:textId="77777777" w:rsidR="00097276" w:rsidRPr="00E2397D" w:rsidRDefault="00097276" w:rsidP="0009727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9"/>
      </w:r>
      <w:r w:rsidRPr="00E2397D">
        <w:rPr>
          <w:rFonts w:ascii="Verdana" w:eastAsia="Times New Roman" w:hAnsi="Verdana" w:cs="Arial"/>
          <w:sz w:val="20"/>
          <w:szCs w:val="20"/>
          <w:lang w:val="es-MX" w:eastAsia="es-CO"/>
        </w:rPr>
        <w:t>.</w:t>
      </w:r>
    </w:p>
    <w:p w14:paraId="07D5FA01" w14:textId="77777777" w:rsidR="00097276" w:rsidRPr="00E2397D" w:rsidRDefault="00097276" w:rsidP="00097276">
      <w:pPr>
        <w:spacing w:after="0" w:line="276" w:lineRule="auto"/>
        <w:jc w:val="both"/>
        <w:rPr>
          <w:rFonts w:ascii="Verdana" w:eastAsia="Calibri" w:hAnsi="Verdana" w:cs="Arial"/>
          <w:bCs/>
          <w:lang w:val="es-ES_tradnl"/>
        </w:rPr>
      </w:pPr>
    </w:p>
    <w:p w14:paraId="36E4B7FA" w14:textId="77777777" w:rsidR="00097276" w:rsidRPr="00B3605D" w:rsidRDefault="00097276" w:rsidP="00097276">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w:t>
      </w:r>
      <w:r w:rsidRPr="00B3605D">
        <w:rPr>
          <w:rFonts w:ascii="Verdana" w:eastAsia="Arial" w:hAnsi="Verdana" w:cs="Arial"/>
          <w:lang w:val="es-ES" w:eastAsia="es-ES" w:bidi="es-ES"/>
        </w:rPr>
        <w:lastRenderedPageBreak/>
        <w:t xml:space="preserve">aumentó las garantías en materia de contratación, de forma que no exista siquiera sospecha de que, por ese medio, en los periodos previos a la contienda electoral, se altere las condiciones de igualdad entre los candidatos. </w:t>
      </w:r>
    </w:p>
    <w:p w14:paraId="7F72D3D3" w14:textId="77777777" w:rsidR="00097276" w:rsidRDefault="00097276" w:rsidP="00097276">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733535F8" w14:textId="77777777" w:rsidR="00097276" w:rsidRDefault="00097276" w:rsidP="00097276">
      <w:pPr>
        <w:spacing w:after="0" w:line="276" w:lineRule="auto"/>
        <w:ind w:firstLine="709"/>
        <w:jc w:val="both"/>
        <w:rPr>
          <w:rFonts w:ascii="Verdana" w:eastAsia="Arial" w:hAnsi="Verdana" w:cs="Arial"/>
          <w:lang w:val="es-ES" w:eastAsia="es-ES" w:bidi="es-ES"/>
        </w:rPr>
      </w:pPr>
    </w:p>
    <w:p w14:paraId="5B644FB9" w14:textId="77777777" w:rsidR="00097276" w:rsidRPr="00C40D52" w:rsidRDefault="00097276" w:rsidP="00097276">
      <w:pPr>
        <w:pStyle w:val="Prrafodelista"/>
        <w:numPr>
          <w:ilvl w:val="0"/>
          <w:numId w:val="19"/>
        </w:numPr>
        <w:spacing w:after="0" w:line="276" w:lineRule="auto"/>
        <w:jc w:val="both"/>
        <w:rPr>
          <w:rFonts w:ascii="Verdana" w:eastAsia="Arial" w:hAnsi="Verdana" w:cs="Arial"/>
          <w:b/>
          <w:bCs/>
          <w:i/>
          <w:iCs/>
          <w:lang w:eastAsia="es-ES" w:bidi="es-ES"/>
        </w:rPr>
      </w:pPr>
      <w:r w:rsidRPr="00C40D52">
        <w:rPr>
          <w:rFonts w:ascii="Verdana" w:eastAsia="Arial" w:hAnsi="Verdana" w:cs="Arial"/>
          <w:b/>
          <w:bCs/>
          <w:i/>
          <w:iCs/>
          <w:lang w:eastAsia="es-ES" w:bidi="es-ES"/>
        </w:rPr>
        <w:t xml:space="preserve">Restricciones elecciones presidenciales </w:t>
      </w:r>
    </w:p>
    <w:p w14:paraId="325343F3" w14:textId="77777777" w:rsidR="00097276" w:rsidRPr="00A545DE" w:rsidRDefault="00097276" w:rsidP="00097276">
      <w:pPr>
        <w:pStyle w:val="Prrafodelista"/>
        <w:spacing w:after="0" w:line="276" w:lineRule="auto"/>
        <w:ind w:left="1080"/>
        <w:jc w:val="both"/>
        <w:rPr>
          <w:rFonts w:ascii="Verdana" w:eastAsia="Arial" w:hAnsi="Verdana" w:cs="Arial"/>
          <w:lang w:eastAsia="es-ES" w:bidi="es-ES"/>
        </w:rPr>
      </w:pPr>
    </w:p>
    <w:p w14:paraId="3F628FA7" w14:textId="77777777" w:rsidR="00097276" w:rsidRPr="00FC54ED" w:rsidRDefault="00097276" w:rsidP="19B6A718">
      <w:pPr>
        <w:spacing w:after="0" w:line="240" w:lineRule="auto"/>
        <w:ind w:left="708" w:right="709"/>
        <w:jc w:val="both"/>
        <w:rPr>
          <w:rFonts w:ascii="Verdana" w:eastAsia="Times New Roman" w:hAnsi="Verdana" w:cs="Open Sans"/>
          <w:sz w:val="20"/>
          <w:szCs w:val="20"/>
          <w:lang w:eastAsia="es-CO"/>
        </w:rPr>
      </w:pPr>
      <w:bookmarkStart w:id="1" w:name="33"/>
      <w:r w:rsidRPr="19B6A718">
        <w:rPr>
          <w:rFonts w:ascii="Verdana" w:eastAsia="Times New Roman" w:hAnsi="Verdana" w:cs="Open Sans"/>
          <w:b/>
          <w:bCs/>
          <w:sz w:val="20"/>
          <w:szCs w:val="20"/>
          <w:lang w:eastAsia="es-CO"/>
        </w:rPr>
        <w:t>“ARTÍCULO 33. RESTRICCIONES A LA CONTRATACIÓN PÚBLICA.</w:t>
      </w:r>
      <w:bookmarkEnd w:id="1"/>
      <w:r w:rsidRPr="19B6A718">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432DD35B" w14:textId="77777777" w:rsidR="00097276" w:rsidRPr="00FC54ED" w:rsidRDefault="00097276" w:rsidP="19B6A718">
      <w:pPr>
        <w:spacing w:after="0" w:line="240" w:lineRule="auto"/>
        <w:ind w:left="708" w:right="709"/>
        <w:jc w:val="both"/>
        <w:rPr>
          <w:rFonts w:ascii="Verdana" w:eastAsia="Times New Roman" w:hAnsi="Verdana" w:cs="Open Sans"/>
          <w:sz w:val="20"/>
          <w:szCs w:val="20"/>
          <w:lang w:eastAsia="es-CO"/>
        </w:rPr>
      </w:pPr>
    </w:p>
    <w:p w14:paraId="50123428" w14:textId="77777777" w:rsidR="00097276" w:rsidRPr="00B3605D" w:rsidRDefault="00097276" w:rsidP="19B6A718">
      <w:pPr>
        <w:spacing w:after="0" w:line="240" w:lineRule="auto"/>
        <w:ind w:left="708" w:right="709"/>
        <w:jc w:val="both"/>
        <w:rPr>
          <w:rFonts w:ascii="Verdana" w:eastAsia="Times New Roman" w:hAnsi="Verdana" w:cs="Open Sans"/>
          <w:sz w:val="20"/>
          <w:szCs w:val="20"/>
          <w:lang w:eastAsia="es-CO"/>
        </w:rPr>
      </w:pPr>
      <w:r w:rsidRPr="19B6A718">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567C429" w14:textId="77777777" w:rsidR="00097276" w:rsidRDefault="00097276" w:rsidP="00625E3E">
      <w:pPr>
        <w:spacing w:after="0" w:line="276" w:lineRule="auto"/>
        <w:ind w:right="618" w:firstLine="708"/>
        <w:jc w:val="both"/>
        <w:rPr>
          <w:rFonts w:ascii="Verdana" w:eastAsia="Times New Roman" w:hAnsi="Verdana" w:cs="Open Sans"/>
          <w:lang w:eastAsia="es-CO"/>
        </w:rPr>
      </w:pPr>
    </w:p>
    <w:p w14:paraId="58DD4CBC" w14:textId="4B7C5B32" w:rsidR="00097276" w:rsidRDefault="00097276" w:rsidP="00625E3E">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2005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 xml:space="preserve">Así, </w:t>
      </w:r>
      <w:r w:rsidR="00095046">
        <w:rPr>
          <w:rFonts w:ascii="Verdana" w:eastAsia="Times New Roman" w:hAnsi="Verdana" w:cs="Open Sans"/>
          <w:lang w:eastAsia="es-CO"/>
        </w:rPr>
        <w:t xml:space="preserve">el </w:t>
      </w:r>
      <w:r>
        <w:rPr>
          <w:rFonts w:ascii="Verdana" w:eastAsia="Times New Roman" w:hAnsi="Verdana" w:cs="Open Sans"/>
          <w:lang w:eastAsia="es-CO"/>
        </w:rPr>
        <w:t>ámbito de</w:t>
      </w:r>
      <w:r w:rsidR="00095046">
        <w:rPr>
          <w:rFonts w:ascii="Verdana" w:eastAsia="Times New Roman" w:hAnsi="Verdana" w:cs="Open Sans"/>
          <w:lang w:eastAsia="es-CO"/>
        </w:rPr>
        <w:t xml:space="preserve"> aplicación de la</w:t>
      </w:r>
      <w:r>
        <w:rPr>
          <w:rFonts w:ascii="Verdana" w:eastAsia="Times New Roman" w:hAnsi="Verdana" w:cs="Open Sans"/>
          <w:lang w:eastAsia="es-CO"/>
        </w:rPr>
        <w:t xml:space="preserv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10"/>
      </w:r>
      <w:r>
        <w:rPr>
          <w:rFonts w:ascii="Verdana" w:eastAsia="Times New Roman" w:hAnsi="Verdana" w:cs="Open Sans"/>
          <w:lang w:eastAsia="es-CO"/>
        </w:rPr>
        <w:t>.</w:t>
      </w:r>
    </w:p>
    <w:p w14:paraId="529FAE58" w14:textId="0E6BF0E8" w:rsidR="003267C1" w:rsidRDefault="003267C1" w:rsidP="00625E3E">
      <w:pPr>
        <w:spacing w:after="120" w:line="276" w:lineRule="auto"/>
        <w:ind w:firstLine="709"/>
        <w:jc w:val="both"/>
        <w:rPr>
          <w:rFonts w:ascii="Verdana" w:eastAsia="Times New Roman" w:hAnsi="Verdana" w:cs="Open Sans"/>
          <w:lang w:eastAsia="es-CO"/>
        </w:rPr>
      </w:pPr>
      <w:r w:rsidRPr="19B6A718">
        <w:rPr>
          <w:rFonts w:ascii="Verdana" w:eastAsia="Times New Roman" w:hAnsi="Verdana" w:cs="Open Sans"/>
          <w:lang w:eastAsia="es-CO"/>
        </w:rPr>
        <w:t xml:space="preserve">De lo anterior se desprende que la restricción aplica, sin perjuicio de las excepciones establecidas en la misma ley, para celebrar cualquier contrato de forma directa, esto es, sin que exista un proceso abierto y competitivo. Por tanto, </w:t>
      </w:r>
      <w:r w:rsidRPr="19B6A718">
        <w:rPr>
          <w:rFonts w:ascii="Verdana" w:eastAsia="Times New Roman" w:hAnsi="Verdana" w:cs="Open Sans"/>
          <w:lang w:eastAsia="es-CO"/>
        </w:rPr>
        <w:lastRenderedPageBreak/>
        <w:t>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r w:rsidR="00D043F2" w:rsidRPr="19B6A718">
        <w:rPr>
          <w:rFonts w:ascii="Verdana" w:eastAsia="Times New Roman" w:hAnsi="Verdana" w:cs="Open Sans"/>
          <w:lang w:eastAsia="es-CO"/>
        </w:rPr>
        <w:t xml:space="preserve"> Así mismo, tratándose de entidades con regímenes especiales de contratación podrán celebrarse aquellos contratos que estén precedidos por un proceso de selección abierto y competitivo. </w:t>
      </w:r>
    </w:p>
    <w:p w14:paraId="3CD59B18" w14:textId="796020DE" w:rsidR="00097276" w:rsidRDefault="00097276" w:rsidP="19B6A718">
      <w:pPr>
        <w:spacing w:after="120" w:line="276" w:lineRule="auto"/>
        <w:jc w:val="both"/>
        <w:rPr>
          <w:rFonts w:ascii="Verdana" w:hAnsi="Verdana"/>
        </w:rPr>
      </w:pPr>
      <w:r w:rsidRPr="19B6A718">
        <w:rPr>
          <w:rFonts w:ascii="Verdana" w:eastAsia="Times New Roman" w:hAnsi="Verdana" w:cs="Open Sans"/>
          <w:lang w:eastAsia="es-CO"/>
        </w:rPr>
        <w:t xml:space="preserve">Por su parte, </w:t>
      </w:r>
      <w:r w:rsidRPr="19B6A718">
        <w:rPr>
          <w:rFonts w:ascii="Verdana" w:hAnsi="Verdana"/>
        </w:rPr>
        <w:t>los destinatarios de la prohibición están expresamente señalados como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5A589B74" w14:textId="76B6EE90" w:rsidR="00FD2992" w:rsidRDefault="00FD2992" w:rsidP="00625E3E">
      <w:pPr>
        <w:spacing w:after="120" w:line="276" w:lineRule="auto"/>
        <w:ind w:firstLine="709"/>
        <w:jc w:val="both"/>
        <w:rPr>
          <w:rFonts w:ascii="Verdana" w:eastAsia="Times New Roman" w:hAnsi="Verdana" w:cs="Arial"/>
          <w:lang w:val="es-ES"/>
        </w:rPr>
      </w:pPr>
      <w:r w:rsidRPr="19B6A718">
        <w:rPr>
          <w:rFonts w:ascii="Verdana" w:eastAsia="Times New Roman" w:hAnsi="Verdana" w:cs="Arial"/>
          <w:lang w:val="es-ES"/>
        </w:rPr>
        <w:t>En consecuencia, las restricciones a la contratación directa contenidas en la Ley de Garantías Electorales son aplicables a entidades descentralizadas como las sociedades de economía mixta, a las que hace referencia en su consulta.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r w:rsidR="00D043F2" w:rsidRPr="19B6A718">
        <w:rPr>
          <w:rFonts w:ascii="Verdana" w:eastAsia="Times New Roman" w:hAnsi="Verdana" w:cs="Arial"/>
          <w:lang w:val="es-ES"/>
        </w:rPr>
        <w:t xml:space="preserve"> En ese sentido, respecto a su consulta debe señalarse que, tratándose de contratos de prestación de servicios o de suministro debe determinarse, de acuerdo con el manual de contratación, cuál es la modalidad de selección aplicable. </w:t>
      </w:r>
      <w:r w:rsidR="00987ED4" w:rsidRPr="19B6A718">
        <w:rPr>
          <w:rFonts w:ascii="Verdana" w:eastAsia="Times New Roman" w:hAnsi="Verdana" w:cs="Arial"/>
          <w:lang w:val="es-ES"/>
        </w:rPr>
        <w:t>Si aplica la contratación directa está prescrito suscribir dichos contratos, pero si aplica una modalidad abierta y competitiva podrá ce</w:t>
      </w:r>
      <w:r w:rsidR="00B71D4E" w:rsidRPr="19B6A718">
        <w:rPr>
          <w:rFonts w:ascii="Verdana" w:eastAsia="Times New Roman" w:hAnsi="Verdana" w:cs="Arial"/>
          <w:lang w:val="es-ES"/>
        </w:rPr>
        <w:t>lebrarse el contrato.</w:t>
      </w:r>
    </w:p>
    <w:p w14:paraId="34EEA926" w14:textId="2A0B9C39" w:rsidR="00B71D4E" w:rsidRPr="002329D6" w:rsidRDefault="00097276" w:rsidP="19B6A718">
      <w:pPr>
        <w:spacing w:after="120" w:line="276" w:lineRule="auto"/>
        <w:ind w:firstLine="708"/>
        <w:jc w:val="both"/>
        <w:rPr>
          <w:rFonts w:ascii="Verdana" w:hAnsi="Verdana"/>
        </w:rPr>
      </w:pPr>
      <w:r w:rsidRPr="19B6A718">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19B6A718">
        <w:rPr>
          <w:rFonts w:ascii="Verdana" w:hAnsi="Verdana"/>
        </w:rPr>
        <w:t>ii</w:t>
      </w:r>
      <w:proofErr w:type="spellEnd"/>
      <w:r w:rsidRPr="19B6A718">
        <w:rPr>
          <w:rFonts w:ascii="Verdana" w:hAnsi="Verdana"/>
        </w:rPr>
        <w:t xml:space="preserve">) los contratos de crédito público; </w:t>
      </w:r>
      <w:proofErr w:type="spellStart"/>
      <w:r w:rsidRPr="19B6A718">
        <w:rPr>
          <w:rFonts w:ascii="Verdana" w:hAnsi="Verdana"/>
        </w:rPr>
        <w:t>iii</w:t>
      </w:r>
      <w:proofErr w:type="spellEnd"/>
      <w:r w:rsidRPr="19B6A718">
        <w:rPr>
          <w:rFonts w:ascii="Verdana" w:hAnsi="Verdana"/>
        </w:rPr>
        <w:t xml:space="preserve">) los requeridos para cubrir las emergencias educativas, sanitarias y desastres; </w:t>
      </w:r>
      <w:proofErr w:type="spellStart"/>
      <w:r w:rsidRPr="19B6A718">
        <w:rPr>
          <w:rFonts w:ascii="Verdana" w:hAnsi="Verdana"/>
        </w:rPr>
        <w:t>iv</w:t>
      </w:r>
      <w:proofErr w:type="spellEnd"/>
      <w:r w:rsidRPr="19B6A718">
        <w:rPr>
          <w:rFonts w:ascii="Verdana" w:hAnsi="Verdana"/>
        </w:rPr>
        <w:t xml:space="preserve">) los utilizados para la reconstrucción de vías, puentes, carreteras, infraestructura energética y de comunicaciones, en caso de que hayan sido objeto de atentados, acciones </w:t>
      </w:r>
      <w:r w:rsidRPr="19B6A718">
        <w:rPr>
          <w:rFonts w:ascii="Verdana" w:hAnsi="Verdana"/>
        </w:rPr>
        <w:lastRenderedPageBreak/>
        <w:t xml:space="preserve">terroristas, desastres naturales o casos de fuerza mayor; y, v) los que deban realizar las entidades sanitarias y hospitalarias. </w:t>
      </w:r>
    </w:p>
    <w:p w14:paraId="7B86CFA1" w14:textId="3401F168" w:rsidR="00097276" w:rsidRDefault="00B71D4E" w:rsidP="00625E3E">
      <w:pPr>
        <w:spacing w:after="0" w:line="276" w:lineRule="auto"/>
        <w:ind w:firstLine="708"/>
        <w:jc w:val="both"/>
        <w:rPr>
          <w:rFonts w:ascii="Verdana" w:hAnsi="Verdana"/>
        </w:rPr>
      </w:pPr>
      <w:r w:rsidRPr="19B6A718">
        <w:rPr>
          <w:rFonts w:ascii="Verdana" w:hAnsi="Verdana"/>
        </w:rPr>
        <w:t>En relación con la aplicación de dichas excepciones. e</w:t>
      </w:r>
      <w:r w:rsidR="00097276" w:rsidRPr="19B6A718">
        <w:rPr>
          <w:rFonts w:ascii="Verdana" w:hAnsi="Verdana"/>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DD84B38" w14:textId="77777777" w:rsidR="00097276" w:rsidRDefault="00097276" w:rsidP="00625E3E">
      <w:pPr>
        <w:spacing w:after="0" w:line="276" w:lineRule="auto"/>
        <w:ind w:firstLine="708"/>
        <w:jc w:val="both"/>
        <w:rPr>
          <w:rFonts w:ascii="Verdana" w:hAnsi="Verdana"/>
        </w:rPr>
      </w:pPr>
    </w:p>
    <w:p w14:paraId="6DCAADBC" w14:textId="77777777" w:rsidR="00097276" w:rsidRPr="00C40D52" w:rsidRDefault="00097276" w:rsidP="00625E3E">
      <w:pPr>
        <w:pStyle w:val="Prrafodelista"/>
        <w:numPr>
          <w:ilvl w:val="0"/>
          <w:numId w:val="19"/>
        </w:numPr>
        <w:spacing w:after="0" w:line="276" w:lineRule="auto"/>
        <w:jc w:val="both"/>
        <w:rPr>
          <w:rFonts w:ascii="Verdana" w:eastAsia="Arial" w:hAnsi="Verdana" w:cs="Arial"/>
          <w:b/>
          <w:bCs/>
          <w:i/>
          <w:iCs/>
          <w:lang w:eastAsia="es-ES" w:bidi="es-ES"/>
        </w:rPr>
      </w:pPr>
      <w:r w:rsidRPr="00C40D52">
        <w:rPr>
          <w:rFonts w:ascii="Verdana" w:eastAsia="Arial" w:hAnsi="Verdana" w:cs="Arial"/>
          <w:b/>
          <w:bCs/>
          <w:i/>
          <w:iCs/>
          <w:lang w:eastAsia="es-ES" w:bidi="es-ES"/>
        </w:rPr>
        <w:t xml:space="preserve">Restricciones demás elecciones </w:t>
      </w:r>
    </w:p>
    <w:p w14:paraId="1377F205" w14:textId="77777777" w:rsidR="00097276" w:rsidRDefault="00097276" w:rsidP="19B6A718">
      <w:pPr>
        <w:spacing w:after="0" w:line="276" w:lineRule="auto"/>
        <w:jc w:val="both"/>
        <w:rPr>
          <w:rFonts w:ascii="Verdana" w:eastAsia="Times New Roman" w:hAnsi="Verdana" w:cs="Open Sans"/>
          <w:lang w:eastAsia="es-CO"/>
        </w:rPr>
      </w:pPr>
    </w:p>
    <w:p w14:paraId="7B8C72DE" w14:textId="77777777" w:rsidR="00097276" w:rsidRPr="00D61E29" w:rsidRDefault="00097276" w:rsidP="19B6A718">
      <w:pPr>
        <w:spacing w:after="0" w:line="276" w:lineRule="auto"/>
        <w:jc w:val="both"/>
        <w:rPr>
          <w:rFonts w:ascii="Verdana" w:eastAsia="Times New Roman" w:hAnsi="Verdana" w:cs="Open Sans"/>
          <w:lang w:eastAsia="es-CO"/>
        </w:rPr>
      </w:pPr>
      <w:r w:rsidRPr="19B6A718">
        <w:rPr>
          <w:rFonts w:ascii="Verdana" w:eastAsia="Times New Roman" w:hAnsi="Verdana" w:cs="Open Sans"/>
          <w:lang w:eastAsia="es-CO"/>
        </w:rPr>
        <w:t xml:space="preserve">Adicionalmente, el parágrafo del artículo 38 </w:t>
      </w:r>
      <w:r w:rsidRPr="19B6A718">
        <w:rPr>
          <w:rFonts w:ascii="Verdana" w:eastAsia="Calibri" w:hAnsi="Verdana" w:cs="Arial"/>
        </w:rPr>
        <w:t>prevé una restricción, aplicable respecto de cualquier tipo de contienda electoral, como sigue:</w:t>
      </w:r>
    </w:p>
    <w:p w14:paraId="561FB2AC" w14:textId="77777777" w:rsidR="00097276" w:rsidRDefault="00097276" w:rsidP="19B6A718">
      <w:pPr>
        <w:pStyle w:val="NormalWeb"/>
        <w:spacing w:before="0" w:beforeAutospacing="0" w:after="0" w:afterAutospacing="0" w:line="276" w:lineRule="auto"/>
        <w:ind w:left="709" w:right="616"/>
        <w:jc w:val="both"/>
        <w:rPr>
          <w:rStyle w:val="baj"/>
          <w:rFonts w:ascii="Verdana" w:hAnsi="Verdana" w:cs="Open Sans"/>
          <w:b/>
          <w:bCs/>
          <w:sz w:val="20"/>
          <w:szCs w:val="20"/>
        </w:rPr>
      </w:pPr>
    </w:p>
    <w:p w14:paraId="19164C6D" w14:textId="77777777" w:rsidR="00097276" w:rsidRDefault="00097276" w:rsidP="19B6A718">
      <w:pPr>
        <w:pStyle w:val="NormalWeb"/>
        <w:spacing w:before="0" w:beforeAutospacing="0" w:after="0" w:afterAutospacing="0"/>
        <w:ind w:left="709" w:right="709"/>
        <w:jc w:val="both"/>
        <w:rPr>
          <w:rFonts w:ascii="Verdana" w:hAnsi="Verdana" w:cs="Open Sans"/>
          <w:sz w:val="20"/>
          <w:szCs w:val="20"/>
        </w:rPr>
      </w:pPr>
      <w:r w:rsidRPr="19B6A718">
        <w:rPr>
          <w:rStyle w:val="baj"/>
          <w:rFonts w:ascii="Verdana" w:hAnsi="Verdana" w:cs="Open Sans"/>
          <w:b/>
          <w:bCs/>
          <w:sz w:val="20"/>
          <w:szCs w:val="20"/>
        </w:rPr>
        <w:t>“PARÁGRAFO.</w:t>
      </w:r>
      <w:r w:rsidRPr="19B6A718">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03815F3F" w14:textId="77777777" w:rsidR="00625E3E" w:rsidRPr="00D61E29" w:rsidRDefault="00625E3E" w:rsidP="00097276">
      <w:pPr>
        <w:pStyle w:val="NormalWeb"/>
        <w:spacing w:before="0" w:beforeAutospacing="0" w:after="0" w:afterAutospacing="0"/>
        <w:ind w:left="709" w:right="709"/>
        <w:jc w:val="both"/>
        <w:rPr>
          <w:rFonts w:ascii="Verdana" w:hAnsi="Verdana" w:cs="Open Sans"/>
          <w:sz w:val="20"/>
          <w:szCs w:val="20"/>
        </w:rPr>
      </w:pPr>
    </w:p>
    <w:p w14:paraId="077EA035" w14:textId="77777777" w:rsidR="00097276" w:rsidRDefault="00097276" w:rsidP="19B6A718">
      <w:pPr>
        <w:pStyle w:val="NormalWeb"/>
        <w:spacing w:before="0" w:beforeAutospacing="0" w:after="0" w:afterAutospacing="0"/>
        <w:ind w:left="709" w:right="709"/>
        <w:jc w:val="both"/>
        <w:rPr>
          <w:rFonts w:ascii="Verdana" w:hAnsi="Verdana" w:cs="Open Sans"/>
          <w:sz w:val="20"/>
          <w:szCs w:val="20"/>
        </w:rPr>
      </w:pPr>
      <w:r w:rsidRPr="19B6A718">
        <w:rPr>
          <w:rFonts w:ascii="Verdana" w:hAnsi="Verdana" w:cs="Open Sans"/>
          <w:sz w:val="20"/>
          <w:szCs w:val="20"/>
        </w:rPr>
        <w:t xml:space="preserve">Tampoco podrán inaugurar obras públicas o </w:t>
      </w:r>
      <w:proofErr w:type="gramStart"/>
      <w:r w:rsidRPr="19B6A718">
        <w:rPr>
          <w:rFonts w:ascii="Verdana" w:hAnsi="Verdana" w:cs="Open Sans"/>
          <w:sz w:val="20"/>
          <w:szCs w:val="20"/>
        </w:rPr>
        <w:t>dar inicio a</w:t>
      </w:r>
      <w:proofErr w:type="gramEnd"/>
      <w:r w:rsidRPr="19B6A718">
        <w:rPr>
          <w:rFonts w:ascii="Verdana" w:hAnsi="Verdana" w:cs="Open Sans"/>
          <w:sz w:val="20"/>
          <w:szCs w:val="20"/>
        </w:rPr>
        <w:t xml:space="preserve">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0B913F03" w14:textId="77777777" w:rsidR="00625E3E" w:rsidRPr="00D61E29" w:rsidRDefault="00625E3E" w:rsidP="00097276">
      <w:pPr>
        <w:pStyle w:val="NormalWeb"/>
        <w:spacing w:before="0" w:beforeAutospacing="0" w:after="0" w:afterAutospacing="0"/>
        <w:ind w:left="709" w:right="709"/>
        <w:jc w:val="both"/>
        <w:rPr>
          <w:rFonts w:ascii="Verdana" w:hAnsi="Verdana" w:cs="Open Sans"/>
          <w:sz w:val="20"/>
          <w:szCs w:val="20"/>
        </w:rPr>
      </w:pPr>
    </w:p>
    <w:p w14:paraId="1FD4C3FC" w14:textId="77777777" w:rsidR="00097276" w:rsidRDefault="00097276" w:rsidP="19B6A718">
      <w:pPr>
        <w:pStyle w:val="NormalWeb"/>
        <w:spacing w:before="0" w:beforeAutospacing="0" w:after="0" w:afterAutospacing="0"/>
        <w:ind w:left="709" w:right="709"/>
        <w:jc w:val="both"/>
        <w:rPr>
          <w:rFonts w:ascii="Verdana" w:hAnsi="Verdana" w:cs="Open Sans"/>
          <w:sz w:val="20"/>
          <w:szCs w:val="20"/>
        </w:rPr>
      </w:pPr>
      <w:r w:rsidRPr="19B6A718">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4C9FB98C" w14:textId="77777777" w:rsidR="00625E3E" w:rsidRPr="00D61E29" w:rsidRDefault="00625E3E" w:rsidP="00097276">
      <w:pPr>
        <w:pStyle w:val="NormalWeb"/>
        <w:spacing w:before="0" w:beforeAutospacing="0" w:after="0" w:afterAutospacing="0"/>
        <w:ind w:left="709" w:right="709"/>
        <w:jc w:val="both"/>
        <w:rPr>
          <w:rFonts w:ascii="Verdana" w:hAnsi="Verdana" w:cs="Open Sans"/>
          <w:sz w:val="20"/>
          <w:szCs w:val="20"/>
        </w:rPr>
      </w:pPr>
    </w:p>
    <w:p w14:paraId="406F4CE6" w14:textId="3F767FCF" w:rsidR="00097276" w:rsidRPr="00D61E29" w:rsidRDefault="00097276" w:rsidP="19B6A718">
      <w:pPr>
        <w:pStyle w:val="NormalWeb"/>
        <w:spacing w:before="0" w:beforeAutospacing="0" w:after="0" w:afterAutospacing="0"/>
        <w:ind w:left="709" w:right="709"/>
        <w:jc w:val="both"/>
        <w:rPr>
          <w:rFonts w:ascii="Verdana" w:hAnsi="Verdana" w:cs="Open Sans"/>
          <w:sz w:val="20"/>
          <w:szCs w:val="20"/>
        </w:rPr>
      </w:pPr>
      <w:r w:rsidRPr="19B6A718">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sidR="00625E3E" w:rsidRPr="19B6A718">
        <w:rPr>
          <w:rFonts w:ascii="Verdana" w:hAnsi="Verdana" w:cs="Open Sans"/>
          <w:sz w:val="20"/>
          <w:szCs w:val="20"/>
        </w:rPr>
        <w:t>”</w:t>
      </w:r>
      <w:r w:rsidRPr="19B6A718">
        <w:rPr>
          <w:rFonts w:ascii="Verdana" w:hAnsi="Verdana" w:cs="Open Sans"/>
          <w:sz w:val="20"/>
          <w:szCs w:val="20"/>
        </w:rPr>
        <w:t>.</w:t>
      </w:r>
    </w:p>
    <w:p w14:paraId="08E5EFCC" w14:textId="77777777" w:rsidR="00097276" w:rsidRDefault="00097276" w:rsidP="00097276">
      <w:pPr>
        <w:widowControl w:val="0"/>
        <w:autoSpaceDE w:val="0"/>
        <w:autoSpaceDN w:val="0"/>
        <w:spacing w:after="0" w:line="276" w:lineRule="auto"/>
        <w:ind w:right="113"/>
        <w:contextualSpacing/>
        <w:jc w:val="both"/>
      </w:pPr>
    </w:p>
    <w:p w14:paraId="782D0939" w14:textId="77777777" w:rsidR="00097276" w:rsidRPr="00775AB1" w:rsidRDefault="00097276" w:rsidP="00097276">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w:t>
      </w:r>
      <w:r w:rsidRPr="00E2397D">
        <w:rPr>
          <w:rFonts w:ascii="Verdana" w:eastAsia="Times New Roman" w:hAnsi="Verdana" w:cs="Arial"/>
          <w:lang w:val="es-MX" w:eastAsia="es-CO"/>
        </w:rPr>
        <w:lastRenderedPageBreak/>
        <w:t xml:space="preserve">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p>
    <w:p w14:paraId="0D03AC1A" w14:textId="1736B348" w:rsidR="00097276" w:rsidRPr="00D61E29" w:rsidDel="00A200DD" w:rsidRDefault="00097276" w:rsidP="19B6A718">
      <w:pPr>
        <w:widowControl w:val="0"/>
        <w:autoSpaceDE w:val="0"/>
        <w:autoSpaceDN w:val="0"/>
        <w:spacing w:after="0" w:line="276" w:lineRule="auto"/>
        <w:ind w:firstLine="708"/>
        <w:contextualSpacing/>
        <w:jc w:val="both"/>
        <w:rPr>
          <w:rFonts w:ascii="Verdana" w:eastAsia="Times New Roman" w:hAnsi="Verdana" w:cs="Arial"/>
          <w:lang w:val="es-ES"/>
        </w:rPr>
      </w:pPr>
      <w:r w:rsidRPr="19B6A718">
        <w:rPr>
          <w:rFonts w:ascii="Verdana" w:eastAsia="Arial" w:hAnsi="Verdana" w:cs="Arial"/>
          <w:sz w:val="20"/>
          <w:szCs w:val="20"/>
          <w:vertAlign w:val="superscript"/>
          <w:lang w:eastAsia="es-ES" w:bidi="es-ES"/>
        </w:rPr>
        <w:footnoteReference w:id="11"/>
      </w:r>
      <w:r w:rsidRPr="19B6A718">
        <w:rPr>
          <w:rFonts w:ascii="Verdana" w:eastAsia="Times New Roman" w:hAnsi="Verdana" w:cs="Arial"/>
          <w:lang w:val="es-ES"/>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60EE24A8" w14:textId="6B96B1CE" w:rsidR="00097276" w:rsidRDefault="00097276" w:rsidP="19B6A718">
      <w:pPr>
        <w:spacing w:after="120" w:line="276" w:lineRule="auto"/>
        <w:ind w:firstLine="708"/>
        <w:jc w:val="both"/>
        <w:rPr>
          <w:rFonts w:ascii="Verdana" w:hAnsi="Verdana" w:cs="Arial"/>
          <w:lang w:val="es-ES" w:eastAsia="es-CO"/>
        </w:rPr>
      </w:pPr>
      <w:r w:rsidRPr="19B6A718">
        <w:rPr>
          <w:rFonts w:ascii="Verdana" w:eastAsia="Times New Roman" w:hAnsi="Verdana" w:cs="Arial"/>
          <w:lang w:val="es-ES"/>
        </w:rPr>
        <w:t xml:space="preserve">Finalmente, es importante reiterar lo explicado en las consideraciones, en el sentido de que </w:t>
      </w:r>
      <w:r w:rsidRPr="19B6A718">
        <w:rPr>
          <w:rFonts w:ascii="Verdana" w:hAnsi="Verdana" w:cs="Arial"/>
          <w:lang w:val="es-ES" w:eastAsia="es-CO"/>
        </w:rPr>
        <w:t xml:space="preserve">el parágrafo del artículo 38 de la Ley 996 de 2005 prohíbe a los alcaldes, gobernadores, secretarios, gerentes y directores de las entidades del orden municipal, departamental o distrital celebrar convenios interadministrativos para la ejecución de recursos públicos dentro de los cuatro (4) meses anteriores a las elecciones, lo que incluye las elecciones al Congreso de la República. Así las cosas, si una o ambas partes de la relación contractual es una entidad de aquellas descritas en el parágrafo </w:t>
      </w:r>
      <w:r w:rsidRPr="19B6A718">
        <w:rPr>
          <w:rFonts w:ascii="Verdana" w:hAnsi="Verdana" w:cs="Arial"/>
          <w:i/>
          <w:iCs/>
          <w:lang w:val="es-ES" w:eastAsia="es-CO"/>
        </w:rPr>
        <w:t>ibidem</w:t>
      </w:r>
      <w:r w:rsidRPr="19B6A718">
        <w:rPr>
          <w:rFonts w:ascii="Verdana" w:hAnsi="Verdana" w:cs="Arial"/>
          <w:lang w:val="es-ES" w:eastAsia="es-CO"/>
        </w:rPr>
        <w:t xml:space="preserve">, no podrá celebrar tales convenios interadministrativos durante el ámbito temporal de esta prohibición, toda vez que la citada disposición hace referencia a dicha tipología contractual sin que el legislador hubiere contemplado excepción alguna frente a la modalidad de selección o naturaleza de su objeto. </w:t>
      </w:r>
    </w:p>
    <w:p w14:paraId="640C1335" w14:textId="291BBBF1" w:rsidR="00097276" w:rsidRDefault="00097276" w:rsidP="19B6A718">
      <w:pPr>
        <w:spacing w:after="0" w:line="276" w:lineRule="auto"/>
        <w:ind w:firstLine="708"/>
        <w:jc w:val="both"/>
        <w:rPr>
          <w:rFonts w:ascii="Verdana" w:eastAsia="Times New Roman" w:hAnsi="Verdana" w:cs="Arial"/>
          <w:lang w:eastAsia="es-CO"/>
        </w:rPr>
      </w:pPr>
      <w:r w:rsidRPr="19B6A718">
        <w:rPr>
          <w:rFonts w:ascii="Verdana" w:hAnsi="Verdana" w:cs="Arial"/>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E49CECA" w14:textId="77777777" w:rsidR="00097276" w:rsidRDefault="00097276" w:rsidP="00097276">
      <w:pPr>
        <w:spacing w:after="0" w:line="276" w:lineRule="auto"/>
        <w:ind w:firstLine="709"/>
        <w:jc w:val="both"/>
        <w:rPr>
          <w:rFonts w:ascii="Verdana" w:hAnsi="Verdana" w:cs="Arial"/>
          <w:color w:val="000000" w:themeColor="text1"/>
        </w:rPr>
      </w:pPr>
      <w:r w:rsidRPr="001450CA">
        <w:rPr>
          <w:rFonts w:ascii="Verdana"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08F02DC" w14:textId="77777777" w:rsidR="00097276" w:rsidRDefault="00097276" w:rsidP="00097276">
      <w:pPr>
        <w:tabs>
          <w:tab w:val="left" w:pos="142"/>
          <w:tab w:val="left" w:pos="284"/>
        </w:tabs>
        <w:spacing w:after="0" w:line="276" w:lineRule="auto"/>
        <w:jc w:val="both"/>
        <w:rPr>
          <w:rFonts w:ascii="Verdana" w:eastAsia="Century Gothic" w:hAnsi="Verdana" w:cs="Century Gothic"/>
          <w:b/>
          <w:lang w:val="es-ES"/>
        </w:rPr>
      </w:pPr>
    </w:p>
    <w:p w14:paraId="796D85D7" w14:textId="77777777" w:rsidR="00097276" w:rsidRDefault="00097276" w:rsidP="00097276">
      <w:pPr>
        <w:tabs>
          <w:tab w:val="left" w:pos="142"/>
          <w:tab w:val="left" w:pos="284"/>
        </w:tabs>
        <w:spacing w:after="0" w:line="276" w:lineRule="auto"/>
        <w:jc w:val="both"/>
        <w:rPr>
          <w:rFonts w:ascii="Verdana" w:eastAsia="Century Gothic" w:hAnsi="Verdana" w:cs="Century Gothic"/>
          <w:b/>
          <w:lang w:val="es-ES"/>
        </w:rPr>
      </w:pPr>
    </w:p>
    <w:p w14:paraId="79B473BA" w14:textId="77777777" w:rsidR="00097276" w:rsidRDefault="00097276" w:rsidP="00097276">
      <w:pPr>
        <w:spacing w:after="0" w:line="276" w:lineRule="auto"/>
        <w:jc w:val="both"/>
        <w:rPr>
          <w:rFonts w:ascii="Verdana" w:eastAsia="Century Gothic" w:hAnsi="Verdana" w:cs="Century Gothic"/>
          <w:b/>
          <w:lang w:val="es-ES"/>
        </w:rPr>
      </w:pPr>
      <w:r w:rsidRPr="00144EB3">
        <w:rPr>
          <w:rFonts w:ascii="Verdana" w:eastAsia="Century Gothic" w:hAnsi="Verdana" w:cs="Century Gothic"/>
          <w:b/>
          <w:lang w:val="es-ES"/>
        </w:rPr>
        <w:t>4. Referencias normativas, jurisprudenciales y otras fuentes:</w:t>
      </w:r>
    </w:p>
    <w:p w14:paraId="1AC892B2" w14:textId="77777777" w:rsidR="00097276" w:rsidRPr="00144EB3" w:rsidRDefault="00097276" w:rsidP="00097276">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97276" w:rsidRPr="00144EB3" w14:paraId="5FBE8EC0" w14:textId="77777777" w:rsidTr="19B6A718">
        <w:trPr>
          <w:trHeight w:val="2683"/>
        </w:trPr>
        <w:tc>
          <w:tcPr>
            <w:tcW w:w="8647" w:type="dxa"/>
          </w:tcPr>
          <w:p w14:paraId="1BB06E57" w14:textId="77777777" w:rsidR="00097276" w:rsidRDefault="00097276" w:rsidP="19B6A718">
            <w:pPr>
              <w:widowControl w:val="0"/>
              <w:numPr>
                <w:ilvl w:val="0"/>
                <w:numId w:val="16"/>
              </w:numPr>
              <w:autoSpaceDE w:val="0"/>
              <w:autoSpaceDN w:val="0"/>
              <w:spacing w:line="276" w:lineRule="auto"/>
              <w:ind w:left="714" w:hanging="357"/>
              <w:jc w:val="both"/>
              <w:rPr>
                <w:rFonts w:ascii="Verdana" w:eastAsia="Calibri" w:hAnsi="Verdana" w:cs="Arial"/>
                <w:lang w:val="es-ES"/>
              </w:rPr>
            </w:pPr>
            <w:r w:rsidRPr="19B6A718">
              <w:rPr>
                <w:rFonts w:ascii="Verdana" w:eastAsia="Calibri" w:hAnsi="Verdana" w:cs="Arial"/>
                <w:lang w:val="es-ES"/>
              </w:rPr>
              <w:t>Ley 80 de 1993, artículos 13, 32 y 40.</w:t>
            </w:r>
          </w:p>
          <w:p w14:paraId="6B349AC9" w14:textId="0586590B" w:rsidR="00B02E18" w:rsidRPr="002329D6" w:rsidRDefault="00B02E18" w:rsidP="19B6A718">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19B6A718">
              <w:rPr>
                <w:rFonts w:ascii="Verdana" w:eastAsia="Arial MT" w:hAnsi="Verdana" w:cs="Arial"/>
                <w:lang w:val="es-ES" w:eastAsia="es-ES" w:bidi="es-ES"/>
              </w:rPr>
              <w:t>Ley 489 de 1998, artículo 97.</w:t>
            </w:r>
          </w:p>
          <w:p w14:paraId="5A85B182" w14:textId="77777777" w:rsidR="00097276" w:rsidRDefault="00097276" w:rsidP="19B6A718">
            <w:pPr>
              <w:widowControl w:val="0"/>
              <w:numPr>
                <w:ilvl w:val="0"/>
                <w:numId w:val="16"/>
              </w:numPr>
              <w:autoSpaceDE w:val="0"/>
              <w:autoSpaceDN w:val="0"/>
              <w:spacing w:line="276" w:lineRule="auto"/>
              <w:ind w:left="714" w:hanging="357"/>
              <w:jc w:val="both"/>
              <w:rPr>
                <w:rFonts w:ascii="Verdana" w:eastAsia="Calibri" w:hAnsi="Verdana" w:cs="Arial"/>
                <w:lang w:val="es-ES"/>
              </w:rPr>
            </w:pPr>
            <w:r w:rsidRPr="19B6A718">
              <w:rPr>
                <w:rFonts w:ascii="Verdana" w:eastAsia="Calibri" w:hAnsi="Verdana" w:cs="Arial"/>
                <w:lang w:val="es-ES"/>
              </w:rPr>
              <w:t>Ley 996 de 2005, artículos 33 y 38.</w:t>
            </w:r>
          </w:p>
          <w:p w14:paraId="2E601340" w14:textId="5857D2DC" w:rsidR="000B16C5" w:rsidRPr="000B16C5" w:rsidRDefault="000B16C5" w:rsidP="19B6A718">
            <w:pPr>
              <w:widowControl w:val="0"/>
              <w:numPr>
                <w:ilvl w:val="0"/>
                <w:numId w:val="16"/>
              </w:numPr>
              <w:autoSpaceDE w:val="0"/>
              <w:autoSpaceDN w:val="0"/>
              <w:spacing w:line="276" w:lineRule="auto"/>
              <w:ind w:left="714" w:hanging="357"/>
              <w:jc w:val="both"/>
              <w:rPr>
                <w:rFonts w:ascii="Verdana" w:eastAsia="Calibri" w:hAnsi="Verdana" w:cs="Arial"/>
                <w:lang w:val="es-ES"/>
              </w:rPr>
            </w:pPr>
            <w:r w:rsidRPr="19B6A718">
              <w:rPr>
                <w:rFonts w:ascii="Verdana" w:eastAsia="Calibri" w:hAnsi="Verdana" w:cs="Arial"/>
                <w:lang w:val="pt-BR"/>
              </w:rPr>
              <w:t xml:space="preserve">Corte Constitucional. Sentencia C -1153 de 2005. </w:t>
            </w:r>
            <w:r w:rsidRPr="19B6A718">
              <w:rPr>
                <w:rFonts w:ascii="Verdana" w:eastAsia="Calibri" w:hAnsi="Verdana" w:cs="Arial"/>
                <w:lang w:val="es-ES"/>
              </w:rPr>
              <w:t xml:space="preserve">M.P. Marco Gerardo Monroy Cabra. </w:t>
            </w:r>
          </w:p>
          <w:p w14:paraId="55F7A104" w14:textId="77777777" w:rsidR="00097276" w:rsidRDefault="00097276" w:rsidP="19B6A718">
            <w:pPr>
              <w:numPr>
                <w:ilvl w:val="0"/>
                <w:numId w:val="16"/>
              </w:numPr>
              <w:spacing w:line="276" w:lineRule="auto"/>
              <w:ind w:left="714" w:hanging="357"/>
              <w:jc w:val="both"/>
              <w:rPr>
                <w:rFonts w:ascii="Verdana" w:eastAsia="Calibri" w:hAnsi="Verdana" w:cs="Arial"/>
                <w:lang w:val="es-MX" w:bidi="es-ES"/>
              </w:rPr>
            </w:pPr>
            <w:r w:rsidRPr="19B6A718">
              <w:rPr>
                <w:rFonts w:ascii="Verdana" w:eastAsia="Calibri" w:hAnsi="Verdana" w:cs="Arial"/>
                <w:lang w:val="es-MX"/>
              </w:rPr>
              <w:t xml:space="preserve">Consejo de Estado. Sala de Consulta y del Servicio Civil. Concepto del 9 de octubre de 2014. </w:t>
            </w:r>
          </w:p>
          <w:p w14:paraId="17E8F9A9" w14:textId="77777777" w:rsidR="00097276" w:rsidRPr="004746CB" w:rsidRDefault="00097276" w:rsidP="19B6A718">
            <w:pPr>
              <w:widowControl w:val="0"/>
              <w:numPr>
                <w:ilvl w:val="0"/>
                <w:numId w:val="16"/>
              </w:numPr>
              <w:autoSpaceDE w:val="0"/>
              <w:autoSpaceDN w:val="0"/>
              <w:spacing w:line="276" w:lineRule="auto"/>
              <w:ind w:left="714" w:hanging="357"/>
              <w:jc w:val="both"/>
              <w:rPr>
                <w:rFonts w:ascii="Verdana" w:eastAsia="Arial MT" w:hAnsi="Verdana" w:cs="Arial"/>
                <w:color w:val="ED7D31" w:themeColor="accent2"/>
                <w:lang w:eastAsia="es-ES" w:bidi="es-ES"/>
              </w:rPr>
            </w:pPr>
            <w:r w:rsidRPr="19B6A718">
              <w:rPr>
                <w:rFonts w:ascii="Verdana" w:eastAsia="Arial MT" w:hAnsi="Verdana" w:cs="Arial"/>
                <w:lang w:eastAsia="es-ES" w:bidi="es-ES"/>
              </w:rPr>
              <w:t>Consejo de Estado. Sala de Consulta y del Servicio Civil. Concepto del 9 de octubre de 2014: podría servir si trata específicamente restricciones electorales o contratación en vigencia de Ley de Garantías.</w:t>
            </w:r>
          </w:p>
        </w:tc>
      </w:tr>
    </w:tbl>
    <w:p w14:paraId="39305520" w14:textId="75E6E2F1" w:rsidR="00097276" w:rsidRPr="000B16C5" w:rsidRDefault="00097276" w:rsidP="19B6A718">
      <w:pPr>
        <w:spacing w:after="0" w:line="276" w:lineRule="auto"/>
        <w:jc w:val="both"/>
        <w:rPr>
          <w:rFonts w:ascii="Verdana" w:eastAsia="Aptos" w:hAnsi="Verdana" w:cs="Arial"/>
          <w:b/>
          <w:bCs/>
          <w:shd w:val="clear" w:color="auto" w:fill="FFFFFF"/>
        </w:rPr>
      </w:pPr>
    </w:p>
    <w:p w14:paraId="5197D20D" w14:textId="77777777" w:rsidR="00097276" w:rsidRPr="000B16C5" w:rsidRDefault="00097276" w:rsidP="000B16C5">
      <w:pPr>
        <w:spacing w:after="0" w:line="276" w:lineRule="auto"/>
        <w:jc w:val="both"/>
        <w:rPr>
          <w:rFonts w:ascii="Verdana" w:eastAsia="Aptos" w:hAnsi="Verdana" w:cs="Arial"/>
          <w:b/>
          <w:bCs/>
          <w:shd w:val="clear" w:color="auto" w:fill="FFFFFF"/>
        </w:rPr>
      </w:pPr>
      <w:r w:rsidRPr="000B16C5">
        <w:rPr>
          <w:rFonts w:ascii="Verdana" w:eastAsia="Aptos" w:hAnsi="Verdana" w:cs="Arial"/>
          <w:b/>
          <w:bCs/>
          <w:shd w:val="clear" w:color="auto" w:fill="FFFFFF"/>
        </w:rPr>
        <w:t xml:space="preserve">5. Doctrina de la Agencia Nacional de Contratación Pública: </w:t>
      </w:r>
    </w:p>
    <w:p w14:paraId="486229BE" w14:textId="77777777" w:rsidR="00097276" w:rsidRPr="000B16C5" w:rsidRDefault="00097276" w:rsidP="000B16C5">
      <w:pPr>
        <w:spacing w:after="0" w:line="276" w:lineRule="auto"/>
        <w:jc w:val="both"/>
        <w:rPr>
          <w:rFonts w:ascii="Verdana" w:eastAsia="Aptos" w:hAnsi="Verdana" w:cs="Arial"/>
          <w:b/>
          <w:bCs/>
          <w:shd w:val="clear" w:color="auto" w:fill="FFFFFF"/>
        </w:rPr>
      </w:pPr>
    </w:p>
    <w:p w14:paraId="78E842E0" w14:textId="22F3EAE4" w:rsidR="00097276" w:rsidRPr="000B16C5" w:rsidRDefault="00097276" w:rsidP="19B6A718">
      <w:pPr>
        <w:spacing w:after="0" w:line="276" w:lineRule="auto"/>
        <w:jc w:val="both"/>
        <w:rPr>
          <w:rFonts w:ascii="Verdana" w:eastAsia="Aptos" w:hAnsi="Verdana" w:cs="Arial"/>
          <w:shd w:val="clear" w:color="auto" w:fill="FFFFFF"/>
        </w:rPr>
      </w:pPr>
      <w:r w:rsidRPr="19B6A718">
        <w:rPr>
          <w:rFonts w:ascii="Verdana" w:hAnsi="Verdana" w:cs="Arial"/>
          <w:shd w:val="clear" w:color="auto" w:fill="FFFFFF"/>
        </w:rPr>
        <w:t xml:space="preserve">La Agencia Nacional de Contratación Pública – Colombia Compra Eficiente ha expedido </w:t>
      </w:r>
      <w:r w:rsidRPr="19B6A718">
        <w:rPr>
          <w:rFonts w:ascii="Verdana" w:eastAsia="Calibri" w:hAnsi="Verdana" w:cs="Arial"/>
          <w:lang w:val="es-ES"/>
        </w:rPr>
        <w:t>conceptos sobre</w:t>
      </w:r>
      <w:r w:rsidRPr="000B16C5">
        <w:rPr>
          <w:rFonts w:ascii="Verdana" w:eastAsia="Aptos" w:hAnsi="Verdana" w:cs="Arial"/>
          <w:shd w:val="clear" w:color="auto" w:fill="FFFFFF"/>
        </w:rPr>
        <w:t xml:space="preserve"> </w:t>
      </w:r>
      <w:r w:rsidRPr="000B16C5">
        <w:rPr>
          <w:rFonts w:ascii="Verdana" w:eastAsia="Calibri" w:hAnsi="Verdana" w:cs="Arial"/>
          <w:shd w:val="clear" w:color="auto" w:fill="FFFFFF"/>
        </w:rPr>
        <w:t xml:space="preserve"> la finalidad y propósito de la Ley de Garantías Electorales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w:t>
      </w:r>
      <w:r w:rsidRPr="000B16C5">
        <w:rPr>
          <w:rFonts w:ascii="Verdana" w:eastAsia="Calibri" w:hAnsi="Verdana" w:cs="Arial"/>
          <w:shd w:val="clear" w:color="auto" w:fill="FFFFFF"/>
        </w:rPr>
        <w:lastRenderedPageBreak/>
        <w:t>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w:t>
      </w:r>
      <w:r w:rsidRPr="000B16C5">
        <w:rPr>
          <w:rFonts w:ascii="Verdana" w:eastAsia="Aptos" w:hAnsi="Verdana" w:cs="Arial"/>
          <w:shd w:val="clear" w:color="auto" w:fill="FFFFFF"/>
          <w:lang w:val="es-ES"/>
        </w:rPr>
        <w:t xml:space="preserve">. </w:t>
      </w:r>
    </w:p>
    <w:p w14:paraId="015A77F3" w14:textId="77777777" w:rsidR="00097276" w:rsidRPr="000B16C5" w:rsidRDefault="00097276" w:rsidP="19B6A718">
      <w:pPr>
        <w:spacing w:after="0" w:line="276" w:lineRule="auto"/>
        <w:jc w:val="both"/>
        <w:rPr>
          <w:rFonts w:ascii="Verdana" w:hAnsi="Verdana"/>
          <w:lang w:val="es-ES"/>
        </w:rPr>
      </w:pPr>
      <w:r w:rsidRPr="000B16C5">
        <w:rPr>
          <w:rFonts w:ascii="Verdana" w:hAnsi="Verdana" w:cs="Arial"/>
          <w:shd w:val="clear" w:color="auto" w:fill="FFFFFF"/>
          <w:lang w:val="es-ES"/>
        </w:rPr>
        <w:t>Estos</w:t>
      </w:r>
      <w:r w:rsidRPr="000B16C5">
        <w:rPr>
          <w:rFonts w:ascii="Verdana" w:hAnsi="Verdana"/>
          <w:lang w:val="es-ES"/>
        </w:rPr>
        <w:t xml:space="preserve"> y otros se encuentran disponibles para consulta en el Sistema de relatoría de la Agencia, al cual se puede acceder a través del siguiente enlace:</w:t>
      </w:r>
      <w:r w:rsidRPr="000B16C5">
        <w:rPr>
          <w:rFonts w:ascii="Verdana" w:hAnsi="Verdana" w:cs="Arial"/>
          <w:shd w:val="clear" w:color="auto" w:fill="FFFFFF"/>
          <w:lang w:val="es-ES"/>
        </w:rPr>
        <w:t xml:space="preserve"> </w:t>
      </w:r>
      <w:hyperlink r:id="rId12" w:history="1">
        <w:r w:rsidRPr="000B16C5">
          <w:rPr>
            <w:rStyle w:val="Hipervnculo"/>
            <w:rFonts w:ascii="Verdana" w:hAnsi="Verdana" w:cs="Arial"/>
            <w:shd w:val="clear" w:color="auto" w:fill="FFFFFF"/>
            <w:lang w:val="es-ES"/>
          </w:rPr>
          <w:t>https://relatoria.colombiacompra.gov.co/busqueda/conceptos</w:t>
        </w:r>
      </w:hyperlink>
    </w:p>
    <w:p w14:paraId="06B86066" w14:textId="77777777" w:rsidR="00097276" w:rsidRPr="000B16C5" w:rsidRDefault="00097276" w:rsidP="19B6A718">
      <w:pPr>
        <w:spacing w:after="0" w:line="276" w:lineRule="auto"/>
        <w:jc w:val="both"/>
        <w:rPr>
          <w:rFonts w:ascii="Verdana" w:hAnsi="Verdana" w:cs="Arial"/>
          <w:shd w:val="clear" w:color="auto" w:fill="FFFFFF"/>
          <w:lang w:val="es-ES"/>
        </w:rPr>
      </w:pPr>
    </w:p>
    <w:p w14:paraId="6A56E898" w14:textId="77777777" w:rsidR="00097276" w:rsidRPr="000B16C5" w:rsidRDefault="00097276" w:rsidP="19B6A718">
      <w:pPr>
        <w:spacing w:after="0" w:line="276" w:lineRule="auto"/>
        <w:jc w:val="both"/>
        <w:rPr>
          <w:rFonts w:ascii="Verdana" w:eastAsia="Calibri" w:hAnsi="Verdana" w:cs="Arial"/>
        </w:rPr>
      </w:pPr>
      <w:r w:rsidRPr="000B16C5">
        <w:rPr>
          <w:rFonts w:ascii="Verdana" w:eastAsia="Calibri" w:hAnsi="Verdana" w:cs="Arial"/>
        </w:rPr>
        <w:t xml:space="preserve">La sostenibilidad no es una opción, es una obligación. Por ello, la Agencia Nacional de Contratación Pública –Colombia Compra Eficiente– te invita a realizar el </w:t>
      </w:r>
      <w:r w:rsidRPr="000B16C5">
        <w:rPr>
          <w:rFonts w:ascii="Verdana" w:eastAsia="Calibri" w:hAnsi="Verdana" w:cs="Arial"/>
          <w:b/>
          <w:bCs/>
        </w:rPr>
        <w:t>Curso de Contratación Pública Sostenible y Socialmente Responsable</w:t>
      </w:r>
      <w:r w:rsidRPr="000B16C5">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0B16C5">
        <w:rPr>
          <w:rFonts w:ascii="Verdana" w:eastAsia="Calibri" w:hAnsi="Verdana" w:cs="Arial"/>
        </w:rPr>
        <w:br/>
      </w:r>
      <w:hyperlink r:id="rId13" w:tgtFrame="_new" w:history="1">
        <w:r w:rsidRPr="000B16C5">
          <w:rPr>
            <w:rFonts w:ascii="Verdana" w:eastAsia="Calibri" w:hAnsi="Verdana" w:cs="Arial"/>
            <w:color w:val="0000FF"/>
            <w:u w:val="single"/>
          </w:rPr>
          <w:t>https://formacionvirtual.colombiacompra.gov.co/mod/page/view.php?id=3718</w:t>
        </w:r>
      </w:hyperlink>
    </w:p>
    <w:p w14:paraId="2325F5C3" w14:textId="77777777" w:rsidR="00097276" w:rsidRPr="000B16C5" w:rsidRDefault="00097276" w:rsidP="19B6A718">
      <w:pPr>
        <w:spacing w:after="0" w:line="276" w:lineRule="auto"/>
        <w:jc w:val="both"/>
        <w:rPr>
          <w:rFonts w:ascii="Verdana" w:eastAsia="Calibri" w:hAnsi="Verdana" w:cs="Arial"/>
        </w:rPr>
      </w:pPr>
    </w:p>
    <w:p w14:paraId="0251F03E" w14:textId="77777777" w:rsidR="00097276" w:rsidRPr="000B16C5" w:rsidRDefault="00097276" w:rsidP="19B6A718">
      <w:pPr>
        <w:spacing w:after="0" w:line="276" w:lineRule="auto"/>
        <w:jc w:val="both"/>
        <w:rPr>
          <w:rFonts w:ascii="Verdana" w:eastAsia="Calibri" w:hAnsi="Verdana" w:cs="Arial"/>
        </w:rPr>
      </w:pPr>
      <w:r w:rsidRPr="000B16C5">
        <w:rPr>
          <w:rFonts w:ascii="Verdana" w:eastAsia="Calibri" w:hAnsi="Verdana" w:cs="Arial"/>
        </w:rPr>
        <w:t xml:space="preserve">De otro lado, te contamos que esta Agencia ha da un paso decisivo en la estandarización y modernización del </w:t>
      </w:r>
      <w:r w:rsidRPr="000B16C5">
        <w:rPr>
          <w:rFonts w:ascii="Verdana" w:eastAsia="Calibri" w:hAnsi="Verdana" w:cs="Arial"/>
          <w:b/>
          <w:bCs/>
        </w:rPr>
        <w:t>sector  social</w:t>
      </w:r>
      <w:r w:rsidRPr="000B16C5">
        <w:rPr>
          <w:rFonts w:ascii="Verdana" w:eastAsia="Calibri" w:hAnsi="Verdana" w:cs="Arial"/>
        </w:rPr>
        <w:t xml:space="preserve"> con la expedición de las </w:t>
      </w:r>
      <w:r w:rsidRPr="000B16C5">
        <w:rPr>
          <w:rFonts w:ascii="Verdana" w:eastAsia="Calibri" w:hAnsi="Verdana" w:cs="Arial"/>
          <w:b/>
          <w:bCs/>
        </w:rPr>
        <w:t>Resoluciones 539, 540, 541, 952 y 953 de 2025</w:t>
      </w:r>
      <w:r w:rsidRPr="000B16C5">
        <w:rPr>
          <w:rFonts w:ascii="Verdana" w:eastAsia="Calibri" w:hAnsi="Verdana" w:cs="Arial"/>
        </w:rPr>
        <w:t xml:space="preserve">, </w:t>
      </w:r>
      <w:r w:rsidRPr="000B16C5">
        <w:rPr>
          <w:rFonts w:ascii="Verdana" w:eastAsia="Calibri" w:hAnsi="Verdana" w:cs="Arial"/>
          <w:b/>
          <w:bCs/>
        </w:rPr>
        <w:t>mediante las cuales adoptó Documentos Tipo</w:t>
      </w:r>
      <w:r w:rsidRPr="000B16C5">
        <w:rPr>
          <w:rFonts w:ascii="Verdana" w:eastAsia="Calibri" w:hAnsi="Verdana" w:cs="Arial"/>
        </w:rPr>
        <w:t xml:space="preserve"> para las modalidades de selección de</w:t>
      </w:r>
      <w:r w:rsidRPr="000B16C5">
        <w:rPr>
          <w:rFonts w:ascii="Verdana" w:eastAsia="Calibri" w:hAnsi="Verdana" w:cs="Arial"/>
          <w:b/>
          <w:bCs/>
        </w:rPr>
        <w:t xml:space="preserve"> licitación pública (versión 2), selección abreviada de menor cuantía, mínima cuantía, consultoría e interventoría</w:t>
      </w:r>
      <w:r w:rsidRPr="000B16C5">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B16C5">
          <w:rPr>
            <w:rFonts w:ascii="Verdana" w:eastAsia="Calibri" w:hAnsi="Verdana" w:cs="Arial"/>
            <w:color w:val="0000FF"/>
            <w:u w:val="single"/>
          </w:rPr>
          <w:t>https://www.colombiacompra.gov.co/normativa-y-relatoria/documentos-tipo</w:t>
        </w:r>
      </w:hyperlink>
    </w:p>
    <w:p w14:paraId="1C7A290E" w14:textId="77777777" w:rsidR="00097276" w:rsidRPr="000B16C5" w:rsidRDefault="00097276" w:rsidP="19B6A718">
      <w:pPr>
        <w:spacing w:after="0" w:line="276" w:lineRule="auto"/>
        <w:jc w:val="both"/>
        <w:rPr>
          <w:rFonts w:ascii="Verdana" w:eastAsia="Calibri" w:hAnsi="Verdana" w:cs="Arial"/>
        </w:rPr>
      </w:pPr>
    </w:p>
    <w:p w14:paraId="1585D036" w14:textId="77777777" w:rsidR="00097276" w:rsidRDefault="00097276" w:rsidP="000B16C5">
      <w:pPr>
        <w:spacing w:after="0" w:line="276" w:lineRule="auto"/>
        <w:jc w:val="both"/>
        <w:rPr>
          <w:rFonts w:ascii="Verdana" w:hAnsi="Verdana"/>
        </w:rPr>
      </w:pPr>
      <w:r w:rsidRPr="000B16C5">
        <w:rPr>
          <w:rFonts w:ascii="Verdana" w:eastAsia="Calibri" w:hAnsi="Verdana" w:cs="Arial"/>
        </w:rPr>
        <w:t xml:space="preserve">Si quieres conocer más sobre la aplicación de Documentos Tipo puedes consultar la última versión de la </w:t>
      </w:r>
      <w:r w:rsidRPr="000B16C5">
        <w:rPr>
          <w:rFonts w:ascii="Verdana" w:eastAsia="Calibri" w:hAnsi="Verdana" w:cs="Arial"/>
          <w:b/>
          <w:bCs/>
        </w:rPr>
        <w:t>Guía para la comprensión e implementación de los Documentos Tipo de obra pública de infraestructura de transporte</w:t>
      </w:r>
      <w:r w:rsidRPr="000B16C5">
        <w:rPr>
          <w:rFonts w:ascii="Verdana" w:eastAsia="Calibri" w:hAnsi="Verdana" w:cs="Arial"/>
        </w:rPr>
        <w:t xml:space="preserve">. En esta actualización se incorporaron orientaciones prácticas dirigidas a entidades </w:t>
      </w:r>
      <w:r w:rsidRPr="000B16C5">
        <w:rPr>
          <w:rFonts w:ascii="Verdana" w:eastAsia="Calibri" w:hAnsi="Verdana" w:cs="Arial"/>
        </w:rPr>
        <w:lastRenderedPageBreak/>
        <w:t>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B16C5">
        <w:rPr>
          <w:rFonts w:ascii="Verdana" w:eastAsia="Calibri" w:hAnsi="Verdana" w:cs="Arial"/>
        </w:rPr>
        <w:br/>
      </w:r>
      <w:hyperlink r:id="rId15" w:tgtFrame="_new" w:history="1">
        <w:r w:rsidRPr="000B16C5">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22E1A505" w14:textId="77777777" w:rsidR="00BD5909" w:rsidRPr="000B16C5" w:rsidRDefault="00BD5909" w:rsidP="19B6A718">
      <w:pPr>
        <w:spacing w:after="0" w:line="276" w:lineRule="auto"/>
        <w:jc w:val="both"/>
        <w:rPr>
          <w:rFonts w:ascii="Verdana" w:eastAsia="Calibri" w:hAnsi="Verdana" w:cs="Arial"/>
        </w:rPr>
      </w:pPr>
    </w:p>
    <w:p w14:paraId="49917518" w14:textId="77777777" w:rsidR="00097276" w:rsidRPr="000B16C5" w:rsidRDefault="00097276" w:rsidP="19B6A718">
      <w:pPr>
        <w:spacing w:after="0" w:line="276" w:lineRule="auto"/>
        <w:jc w:val="both"/>
        <w:rPr>
          <w:rFonts w:ascii="Verdana" w:eastAsia="Calibri" w:hAnsi="Verdana" w:cs="Arial"/>
        </w:rPr>
      </w:pPr>
      <w:r w:rsidRPr="000B16C5">
        <w:rPr>
          <w:rFonts w:ascii="Verdana" w:eastAsia="Calibri" w:hAnsi="Verdana" w:cs="Arial"/>
          <w:shd w:val="clear" w:color="auto" w:fill="FFFFFF"/>
        </w:rPr>
        <w:t xml:space="preserve">Por último, lo invitamos a seguirnos en las redes sociales en las cuales se difunde información institucional: </w:t>
      </w:r>
    </w:p>
    <w:p w14:paraId="6C45EC83" w14:textId="77777777" w:rsidR="00097276" w:rsidRPr="000B16C5" w:rsidRDefault="00097276" w:rsidP="19B6A718">
      <w:pPr>
        <w:spacing w:after="0" w:line="276" w:lineRule="auto"/>
        <w:jc w:val="both"/>
        <w:rPr>
          <w:rFonts w:ascii="Verdana" w:eastAsia="Calibri" w:hAnsi="Verdana" w:cs="Arial"/>
          <w:shd w:val="clear" w:color="auto" w:fill="FFFFFF"/>
        </w:rPr>
      </w:pPr>
    </w:p>
    <w:p w14:paraId="518F52C7" w14:textId="77777777" w:rsidR="00097276" w:rsidRPr="000B16C5" w:rsidRDefault="00097276" w:rsidP="19B6A718">
      <w:pPr>
        <w:spacing w:after="0" w:line="276" w:lineRule="auto"/>
        <w:jc w:val="both"/>
        <w:rPr>
          <w:rFonts w:ascii="Verdana" w:eastAsia="Calibri" w:hAnsi="Verdana" w:cs="Arial"/>
          <w:shd w:val="clear" w:color="auto" w:fill="FFFFFF"/>
        </w:rPr>
      </w:pPr>
      <w:r w:rsidRPr="000B16C5">
        <w:rPr>
          <w:rFonts w:ascii="Verdana" w:eastAsia="Calibri" w:hAnsi="Verdana" w:cs="Arial"/>
          <w:shd w:val="clear" w:color="auto" w:fill="FFFFFF"/>
        </w:rPr>
        <w:t xml:space="preserve">Twitter: </w:t>
      </w:r>
      <w:r w:rsidRPr="000B16C5">
        <w:rPr>
          <w:rFonts w:ascii="Verdana" w:eastAsia="Calibri" w:hAnsi="Verdana" w:cs="Arial"/>
          <w:color w:val="0000FF"/>
          <w:u w:val="single"/>
          <w:lang w:val="es-ES"/>
        </w:rPr>
        <w:t xml:space="preserve">@colombiacompra </w:t>
      </w:r>
    </w:p>
    <w:p w14:paraId="0267796F" w14:textId="77777777" w:rsidR="00097276" w:rsidRPr="000B16C5" w:rsidRDefault="00097276" w:rsidP="19B6A718">
      <w:pPr>
        <w:spacing w:after="0" w:line="276" w:lineRule="auto"/>
        <w:jc w:val="both"/>
        <w:rPr>
          <w:rFonts w:ascii="Verdana" w:eastAsia="Calibri" w:hAnsi="Verdana" w:cs="Arial"/>
          <w:shd w:val="clear" w:color="auto" w:fill="FFFFFF"/>
        </w:rPr>
      </w:pPr>
      <w:r w:rsidRPr="000B16C5">
        <w:rPr>
          <w:rFonts w:ascii="Verdana" w:eastAsia="Calibri" w:hAnsi="Verdana" w:cs="Arial"/>
          <w:shd w:val="clear" w:color="auto" w:fill="FFFFFF"/>
        </w:rPr>
        <w:t>Facebook:</w:t>
      </w:r>
      <w:r w:rsidRPr="000B16C5">
        <w:rPr>
          <w:rFonts w:ascii="Verdana" w:eastAsia="Calibri" w:hAnsi="Verdana" w:cs="Arial"/>
          <w:color w:val="0000FF"/>
          <w:u w:val="single"/>
          <w:lang w:val="es-ES"/>
        </w:rPr>
        <w:t xml:space="preserve"> </w:t>
      </w:r>
      <w:proofErr w:type="spellStart"/>
      <w:r w:rsidRPr="000B16C5">
        <w:rPr>
          <w:rFonts w:ascii="Verdana" w:eastAsia="Calibri" w:hAnsi="Verdana" w:cs="Arial"/>
          <w:color w:val="0000FF"/>
          <w:u w:val="single"/>
          <w:lang w:val="es-ES"/>
        </w:rPr>
        <w:t>ColombiaCompraEficiente</w:t>
      </w:r>
      <w:proofErr w:type="spellEnd"/>
    </w:p>
    <w:p w14:paraId="56AA4255" w14:textId="77777777" w:rsidR="00097276" w:rsidRPr="000B16C5" w:rsidRDefault="00097276" w:rsidP="19B6A718">
      <w:pPr>
        <w:spacing w:after="0" w:line="276" w:lineRule="auto"/>
        <w:jc w:val="both"/>
        <w:rPr>
          <w:rFonts w:ascii="Verdana" w:eastAsia="Calibri" w:hAnsi="Verdana" w:cs="Arial"/>
          <w:color w:val="0000FF"/>
          <w:shd w:val="clear" w:color="auto" w:fill="FFFFFF"/>
        </w:rPr>
      </w:pPr>
      <w:r w:rsidRPr="000B16C5">
        <w:rPr>
          <w:rFonts w:ascii="Verdana" w:eastAsia="Calibri" w:hAnsi="Verdana" w:cs="Arial"/>
          <w:shd w:val="clear" w:color="auto" w:fill="FFFFFF"/>
        </w:rPr>
        <w:t xml:space="preserve">LinkedIn: </w:t>
      </w:r>
      <w:r w:rsidRPr="000B16C5">
        <w:rPr>
          <w:rFonts w:ascii="Verdana" w:eastAsia="Calibri" w:hAnsi="Verdana" w:cs="Arial"/>
          <w:color w:val="0000FF"/>
          <w:u w:val="single"/>
          <w:lang w:val="es-ES"/>
        </w:rPr>
        <w:t>Agencia Nacional de Contratación Pública - Colombia Compra Eficiente</w:t>
      </w:r>
      <w:r w:rsidRPr="000B16C5">
        <w:rPr>
          <w:rFonts w:ascii="Verdana" w:eastAsia="Calibri" w:hAnsi="Verdana" w:cs="Arial"/>
          <w:color w:val="0000FF"/>
          <w:shd w:val="clear" w:color="auto" w:fill="FFFFFF"/>
        </w:rPr>
        <w:t xml:space="preserve"> </w:t>
      </w:r>
    </w:p>
    <w:p w14:paraId="5CBF9AC2" w14:textId="77777777" w:rsidR="00097276" w:rsidRPr="000B16C5" w:rsidRDefault="00097276" w:rsidP="19B6A718">
      <w:pPr>
        <w:spacing w:after="0" w:line="276" w:lineRule="auto"/>
        <w:jc w:val="both"/>
        <w:rPr>
          <w:rFonts w:ascii="Verdana" w:eastAsia="Calibri" w:hAnsi="Verdana" w:cs="Arial"/>
          <w:shd w:val="clear" w:color="auto" w:fill="FFFFFF"/>
        </w:rPr>
      </w:pPr>
      <w:r w:rsidRPr="000B16C5">
        <w:rPr>
          <w:rFonts w:ascii="Verdana" w:eastAsia="Calibri" w:hAnsi="Verdana" w:cs="Arial"/>
          <w:shd w:val="clear" w:color="auto" w:fill="FFFFFF"/>
        </w:rPr>
        <w:t xml:space="preserve">Instagram: </w:t>
      </w:r>
      <w:r w:rsidRPr="000B16C5">
        <w:rPr>
          <w:rFonts w:ascii="Verdana" w:eastAsia="Calibri" w:hAnsi="Verdana" w:cs="Arial"/>
          <w:color w:val="0000FF"/>
          <w:u w:val="single"/>
          <w:lang w:val="es-ES"/>
        </w:rPr>
        <w:t>@colombiacompraeficiente_cce</w:t>
      </w:r>
    </w:p>
    <w:p w14:paraId="3DA0FA30" w14:textId="77777777" w:rsidR="00097276" w:rsidRPr="000B16C5" w:rsidRDefault="00097276" w:rsidP="19B6A718">
      <w:pPr>
        <w:widowControl w:val="0"/>
        <w:autoSpaceDE w:val="0"/>
        <w:autoSpaceDN w:val="0"/>
        <w:spacing w:after="0" w:line="276" w:lineRule="auto"/>
        <w:jc w:val="both"/>
        <w:rPr>
          <w:rFonts w:ascii="Verdana" w:eastAsia="Calibri" w:hAnsi="Verdana" w:cs="Arial"/>
          <w:lang w:val="es-ES"/>
        </w:rPr>
      </w:pPr>
    </w:p>
    <w:p w14:paraId="63AAEAFD" w14:textId="77777777" w:rsidR="00097276" w:rsidRPr="000B16C5" w:rsidRDefault="00097276" w:rsidP="19B6A718">
      <w:pPr>
        <w:widowControl w:val="0"/>
        <w:autoSpaceDE w:val="0"/>
        <w:autoSpaceDN w:val="0"/>
        <w:spacing w:after="0" w:line="276" w:lineRule="auto"/>
        <w:jc w:val="both"/>
        <w:rPr>
          <w:rFonts w:ascii="Verdana" w:eastAsia="Calibri" w:hAnsi="Verdana" w:cs="Arial"/>
          <w:lang w:val="es-ES"/>
        </w:rPr>
      </w:pPr>
      <w:r w:rsidRPr="19B6A718">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F05C6CD" w14:textId="77777777" w:rsidR="00097276" w:rsidRPr="000B16C5" w:rsidRDefault="00097276" w:rsidP="19B6A718">
      <w:pPr>
        <w:spacing w:after="0" w:line="276" w:lineRule="auto"/>
        <w:jc w:val="both"/>
        <w:rPr>
          <w:rFonts w:ascii="Verdana" w:eastAsia="Verdana" w:hAnsi="Verdana" w:cs="Verdana"/>
        </w:rPr>
      </w:pPr>
    </w:p>
    <w:p w14:paraId="0BA8669D" w14:textId="77777777" w:rsidR="00097276" w:rsidRPr="000B16C5" w:rsidRDefault="00097276" w:rsidP="19B6A718">
      <w:pPr>
        <w:spacing w:after="0" w:line="276" w:lineRule="auto"/>
        <w:jc w:val="both"/>
        <w:rPr>
          <w:rFonts w:ascii="Verdana" w:eastAsia="Verdana" w:hAnsi="Verdana" w:cs="Verdana"/>
        </w:rPr>
      </w:pPr>
      <w:r w:rsidRPr="000B16C5">
        <w:rPr>
          <w:rFonts w:ascii="Verdana" w:eastAsia="Verdana" w:hAnsi="Verdana" w:cs="Verdana"/>
        </w:rPr>
        <w:t xml:space="preserve">Evalúa el servicio que ofrece la Agencia por el canal de atención de PQRSD en el siguiente enlace: </w:t>
      </w:r>
      <w:hyperlink r:id="rId16" w:history="1">
        <w:r w:rsidRPr="000B16C5">
          <w:rPr>
            <w:rFonts w:ascii="Verdana" w:eastAsia="Verdana" w:hAnsi="Verdana" w:cs="Verdana"/>
            <w:color w:val="0000FF"/>
            <w:u w:val="single"/>
          </w:rPr>
          <w:t>https://forms.office.com/r/pPHyWVs2SZ</w:t>
        </w:r>
      </w:hyperlink>
      <w:r w:rsidRPr="000B16C5">
        <w:rPr>
          <w:rFonts w:ascii="Verdana" w:eastAsia="Verdana" w:hAnsi="Verdana" w:cs="Verdana"/>
        </w:rPr>
        <w:t xml:space="preserve"> .¡Ayúdanos a mejorar porque el compromiso es de todos!</w:t>
      </w:r>
    </w:p>
    <w:p w14:paraId="56755B18" w14:textId="77777777" w:rsidR="00097276" w:rsidRPr="000B16C5" w:rsidRDefault="00097276" w:rsidP="19B6A718">
      <w:pPr>
        <w:spacing w:after="0" w:line="276" w:lineRule="auto"/>
        <w:jc w:val="both"/>
        <w:rPr>
          <w:rFonts w:ascii="Verdana" w:eastAsia="Verdana" w:hAnsi="Verdana" w:cs="Verdana"/>
        </w:rPr>
      </w:pPr>
    </w:p>
    <w:p w14:paraId="6F347B30" w14:textId="77777777" w:rsidR="00097276" w:rsidRPr="000B16C5" w:rsidRDefault="00097276" w:rsidP="19B6A718">
      <w:pPr>
        <w:spacing w:after="0" w:line="276" w:lineRule="auto"/>
        <w:jc w:val="both"/>
        <w:rPr>
          <w:rFonts w:ascii="Verdana" w:eastAsia="Verdana" w:hAnsi="Verdana" w:cs="Verdana"/>
          <w:lang w:val="es-MX"/>
        </w:rPr>
      </w:pPr>
      <w:r w:rsidRPr="19B6A718">
        <w:rPr>
          <w:rFonts w:ascii="Verdana" w:eastAsia="Verdana" w:hAnsi="Verdana" w:cs="Verdana"/>
          <w:lang w:val="es-MX"/>
        </w:rPr>
        <w:t>Cordialmente,</w:t>
      </w:r>
    </w:p>
    <w:p w14:paraId="6BF4BA07" w14:textId="77777777" w:rsidR="00097276" w:rsidRPr="00182F6A" w:rsidRDefault="00097276" w:rsidP="00097276">
      <w:pPr>
        <w:spacing w:after="120" w:line="276" w:lineRule="auto"/>
        <w:contextualSpacing/>
        <w:jc w:val="both"/>
        <w:rPr>
          <w:rFonts w:ascii="Verdana" w:eastAsia="Aptos" w:hAnsi="Verdana" w:cs="Arial"/>
          <w:shd w:val="clear" w:color="auto" w:fill="FFFFFF"/>
          <w:lang w:val="es-ES"/>
        </w:rPr>
      </w:pPr>
    </w:p>
    <w:p w14:paraId="269184F9" w14:textId="59BC5BD5" w:rsidR="00097276" w:rsidRPr="00182F6A" w:rsidRDefault="00D66EB4" w:rsidP="00D66EB4">
      <w:pPr>
        <w:spacing w:after="120" w:line="276" w:lineRule="auto"/>
        <w:contextualSpacing/>
        <w:jc w:val="center"/>
        <w:rPr>
          <w:rFonts w:ascii="Verdana" w:eastAsia="Aptos" w:hAnsi="Verdana" w:cs="Arial"/>
          <w:shd w:val="clear" w:color="auto" w:fill="FFFFFF"/>
          <w:lang w:val="es-ES"/>
        </w:rPr>
      </w:pPr>
      <w:r w:rsidRPr="002C3AD6">
        <w:rPr>
          <w:rFonts w:ascii="Century Gothic" w:hAnsi="Century Gothic"/>
          <w:noProof/>
        </w:rPr>
        <w:drawing>
          <wp:inline distT="0" distB="0" distL="0" distR="0" wp14:anchorId="2A1BE3CE" wp14:editId="0AFF1F1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37A7039F" w14:textId="77777777" w:rsidR="00097276" w:rsidRDefault="00097276" w:rsidP="00097276">
      <w:pPr>
        <w:spacing w:after="0" w:line="276" w:lineRule="auto"/>
        <w:jc w:val="center"/>
        <w:rPr>
          <w:rFonts w:ascii="Verdana" w:hAnsi="Verdana" w:cs="Arial"/>
          <w:lang w:val="es-ES" w:eastAsia="es-CO"/>
        </w:rPr>
      </w:pPr>
    </w:p>
    <w:p w14:paraId="1D42C953" w14:textId="77777777" w:rsidR="00097276" w:rsidRPr="008278B1" w:rsidRDefault="00097276" w:rsidP="00097276">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97276" w:rsidRPr="008278B1" w14:paraId="52C5C6BF" w14:textId="77777777">
        <w:trPr>
          <w:trHeight w:val="315"/>
        </w:trPr>
        <w:tc>
          <w:tcPr>
            <w:tcW w:w="893" w:type="dxa"/>
            <w:vAlign w:val="center"/>
            <w:hideMark/>
          </w:tcPr>
          <w:p w14:paraId="26323179" w14:textId="77777777" w:rsidR="00097276" w:rsidRPr="008278B1" w:rsidRDefault="00097276">
            <w:pPr>
              <w:contextualSpacing/>
              <w:rPr>
                <w:rFonts w:ascii="Verdana" w:hAnsi="Verdana" w:cs="Arial"/>
                <w:sz w:val="16"/>
                <w:szCs w:val="16"/>
                <w:lang w:val="es-ES" w:eastAsia="es-ES"/>
              </w:rPr>
            </w:pPr>
            <w:r w:rsidRPr="008278B1">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6EA0AAE6" w14:textId="77777777" w:rsidR="00097276" w:rsidRPr="00860461" w:rsidRDefault="00097276">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24C91F62" w14:textId="77777777" w:rsidR="00097276" w:rsidRPr="00860461" w:rsidRDefault="00097276">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097276" w:rsidRPr="00F84F36" w14:paraId="2FF1BDE9" w14:textId="77777777">
        <w:trPr>
          <w:trHeight w:val="330"/>
        </w:trPr>
        <w:tc>
          <w:tcPr>
            <w:tcW w:w="893" w:type="dxa"/>
            <w:vAlign w:val="center"/>
            <w:hideMark/>
          </w:tcPr>
          <w:p w14:paraId="0866668E" w14:textId="77777777" w:rsidR="00097276" w:rsidRPr="0025661F" w:rsidRDefault="00097276">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B790EE8" w14:textId="77777777" w:rsidR="00097276" w:rsidRPr="00D62D2E" w:rsidRDefault="00097276">
            <w:pPr>
              <w:rPr>
                <w:rFonts w:ascii="Verdana" w:eastAsia="Times New Roman" w:hAnsi="Verdana" w:cs="Arial"/>
                <w:color w:val="000000" w:themeColor="text1"/>
                <w:sz w:val="16"/>
                <w:szCs w:val="16"/>
                <w:lang w:eastAsia="es-ES"/>
              </w:rPr>
            </w:pPr>
            <w:r w:rsidRPr="00D62D2E">
              <w:rPr>
                <w:rFonts w:ascii="Verdana" w:eastAsia="Times New Roman" w:hAnsi="Verdana" w:cs="Arial"/>
                <w:color w:val="000000" w:themeColor="text1"/>
                <w:sz w:val="16"/>
                <w:szCs w:val="16"/>
                <w:lang w:eastAsia="es-ES"/>
              </w:rPr>
              <w:t>Diana Lucia Saavedra</w:t>
            </w:r>
            <w:r>
              <w:rPr>
                <w:rFonts w:ascii="Verdana" w:eastAsia="Times New Roman" w:hAnsi="Verdana" w:cs="Arial"/>
                <w:color w:val="000000" w:themeColor="text1"/>
                <w:sz w:val="16"/>
                <w:szCs w:val="16"/>
                <w:lang w:eastAsia="es-ES"/>
              </w:rPr>
              <w:t xml:space="preserve"> Castañeda</w:t>
            </w:r>
          </w:p>
          <w:p w14:paraId="4E3DB265" w14:textId="77777777" w:rsidR="00097276" w:rsidRPr="0025661F" w:rsidRDefault="00097276">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097276" w:rsidRPr="00F84F36" w14:paraId="67A476DB" w14:textId="77777777">
        <w:trPr>
          <w:trHeight w:val="300"/>
        </w:trPr>
        <w:tc>
          <w:tcPr>
            <w:tcW w:w="893" w:type="dxa"/>
            <w:vAlign w:val="center"/>
          </w:tcPr>
          <w:p w14:paraId="680F58BA" w14:textId="77777777" w:rsidR="00097276" w:rsidRPr="008278B1" w:rsidRDefault="00097276">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CBC38B" w14:textId="77777777" w:rsidR="00097276" w:rsidRPr="008278B1" w:rsidRDefault="00097276">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37197B85" w14:textId="77777777" w:rsidR="00097276" w:rsidRPr="008278B1" w:rsidRDefault="00097276">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2B708BB9" w14:textId="7BB2AAA4" w:rsidR="00097276" w:rsidRPr="00FD3EC3" w:rsidRDefault="00097276" w:rsidP="00097276">
      <w:pPr>
        <w:spacing w:after="0"/>
        <w:rPr>
          <w:rFonts w:ascii="Verdana" w:eastAsia="Verdana" w:hAnsi="Verdana" w:cs="Verdana"/>
          <w:lang w:val="es-ES"/>
        </w:rPr>
      </w:pPr>
    </w:p>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C916AA" w14:textId="77777777" w:rsidR="00923CA1" w:rsidRDefault="00923CA1" w:rsidP="004A1847">
      <w:pPr>
        <w:spacing w:after="0" w:line="240" w:lineRule="auto"/>
      </w:pPr>
      <w:r>
        <w:separator/>
      </w:r>
    </w:p>
  </w:endnote>
  <w:endnote w:type="continuationSeparator" w:id="0">
    <w:p w14:paraId="5145FA7B" w14:textId="77777777" w:rsidR="00923CA1" w:rsidRDefault="00923CA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charset w:val="00"/>
    <w:family w:val="swiss"/>
    <w:pitch w:val="default"/>
    <w:sig w:usb0="00000003" w:usb1="00000000" w:usb2="00000000" w:usb3="00000000" w:csb0="00000001"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B223821"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002329D6" w:rsidRPr="002329D6">
      <w:rPr>
        <w:rFonts w:ascii="Verdana" w:eastAsia="Verdana" w:hAnsi="Verdana" w:cs="Verdana"/>
        <w:b/>
        <w:bCs/>
        <w:noProof/>
        <w:sz w:val="18"/>
        <w:szCs w:val="18"/>
      </w:rPr>
      <w:t>16</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A69AC" w14:textId="77777777" w:rsidR="00923CA1" w:rsidRDefault="00923CA1" w:rsidP="004A1847">
      <w:pPr>
        <w:spacing w:after="0" w:line="240" w:lineRule="auto"/>
      </w:pPr>
      <w:r>
        <w:separator/>
      </w:r>
    </w:p>
  </w:footnote>
  <w:footnote w:type="continuationSeparator" w:id="0">
    <w:p w14:paraId="279F3643" w14:textId="77777777" w:rsidR="00923CA1" w:rsidRDefault="00923CA1" w:rsidP="004A1847">
      <w:pPr>
        <w:spacing w:after="0" w:line="240" w:lineRule="auto"/>
      </w:pPr>
      <w:r>
        <w:continuationSeparator/>
      </w:r>
    </w:p>
  </w:footnote>
  <w:footnote w:id="1">
    <w:p w14:paraId="47282A89" w14:textId="3FAF54B6" w:rsidR="00097276" w:rsidRPr="00873B7D" w:rsidRDefault="00097276" w:rsidP="19B6A718">
      <w:pPr>
        <w:pStyle w:val="paragraph"/>
        <w:spacing w:before="0" w:beforeAutospacing="0" w:after="0" w:afterAutospacing="0"/>
        <w:ind w:firstLine="709"/>
        <w:jc w:val="both"/>
        <w:textAlignment w:val="baseline"/>
        <w:rPr>
          <w:rFonts w:ascii="Verdana" w:hAnsi="Verdana" w:cs="Arial"/>
          <w:color w:val="000000" w:themeColor="text1"/>
          <w:sz w:val="16"/>
          <w:szCs w:val="16"/>
        </w:rPr>
      </w:pPr>
      <w:r w:rsidRPr="00873B7D">
        <w:rPr>
          <w:rStyle w:val="Refdenotaalpie"/>
          <w:rFonts w:ascii="Verdana" w:hAnsi="Verdana" w:cs="Arial"/>
          <w:color w:val="000000" w:themeColor="text1"/>
          <w:sz w:val="16"/>
          <w:szCs w:val="16"/>
        </w:rPr>
        <w:footnoteRef/>
      </w:r>
      <w:r w:rsidR="19B6A718" w:rsidRPr="00873B7D">
        <w:rPr>
          <w:rFonts w:ascii="Verdana" w:hAnsi="Verdana" w:cs="Arial"/>
          <w:color w:val="000000" w:themeColor="text1"/>
          <w:sz w:val="16"/>
          <w:szCs w:val="16"/>
        </w:rPr>
        <w:t xml:space="preserve"> </w:t>
      </w:r>
      <w:r w:rsidR="19B6A718" w:rsidRPr="00873B7D">
        <w:rPr>
          <w:rFonts w:ascii="Verdana" w:hAnsi="Verdana" w:cs="Arial"/>
          <w:color w:val="000000" w:themeColor="text1"/>
          <w:sz w:val="16"/>
          <w:szCs w:val="16"/>
          <w:lang w:val="es-ES"/>
        </w:rPr>
        <w:t xml:space="preserve">Ley 489 de 1998, artículo 38, numeral 2, literal f, y artículo 68, numeral 2: </w:t>
      </w:r>
      <w:r w:rsidR="19B6A718">
        <w:rPr>
          <w:rFonts w:ascii="Verdana" w:hAnsi="Verdana" w:cs="Arial"/>
          <w:color w:val="000000" w:themeColor="text1"/>
          <w:sz w:val="16"/>
          <w:szCs w:val="16"/>
          <w:lang w:val="es-ES"/>
        </w:rPr>
        <w:t>“</w:t>
      </w:r>
      <w:r w:rsidR="19B6A718" w:rsidRPr="00873B7D">
        <w:rPr>
          <w:rFonts w:ascii="Verdana" w:hAnsi="Verdana" w:cs="Arial"/>
          <w:color w:val="000000" w:themeColor="text1"/>
          <w:sz w:val="16"/>
          <w:szCs w:val="16"/>
          <w:lang w:val="es-ES"/>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r w:rsidR="19B6A718">
        <w:rPr>
          <w:rFonts w:ascii="Verdana" w:hAnsi="Verdana" w:cs="Arial"/>
          <w:color w:val="000000" w:themeColor="text1"/>
          <w:sz w:val="16"/>
          <w:szCs w:val="16"/>
          <w:lang w:val="es-ES"/>
        </w:rPr>
        <w:t>”</w:t>
      </w:r>
      <w:r w:rsidR="19B6A718" w:rsidRPr="00873B7D">
        <w:rPr>
          <w:rFonts w:ascii="Verdana" w:hAnsi="Verdana" w:cs="Arial"/>
          <w:color w:val="000000" w:themeColor="text1"/>
          <w:sz w:val="16"/>
          <w:szCs w:val="16"/>
          <w:lang w:val="es-ES"/>
        </w:rPr>
        <w:t>.</w:t>
      </w:r>
      <w:r w:rsidR="19B6A718" w:rsidRPr="00873B7D">
        <w:rPr>
          <w:rFonts w:ascii="Verdana" w:hAnsi="Verdana" w:cs="Arial"/>
          <w:color w:val="000000" w:themeColor="text1"/>
          <w:sz w:val="16"/>
          <w:szCs w:val="16"/>
        </w:rPr>
        <w:t>  </w:t>
      </w:r>
    </w:p>
    <w:p w14:paraId="6AF497FE" w14:textId="77777777" w:rsidR="00097276" w:rsidRPr="00873B7D" w:rsidRDefault="00097276" w:rsidP="00097276">
      <w:pPr>
        <w:pStyle w:val="paragraph"/>
        <w:spacing w:before="0" w:beforeAutospacing="0" w:after="0" w:afterAutospacing="0"/>
        <w:ind w:firstLine="709"/>
        <w:jc w:val="both"/>
        <w:textAlignment w:val="baseline"/>
        <w:rPr>
          <w:rFonts w:ascii="Verdana" w:hAnsi="Verdana" w:cs="Arial"/>
          <w:color w:val="000000" w:themeColor="text1"/>
          <w:sz w:val="16"/>
          <w:szCs w:val="16"/>
        </w:rPr>
      </w:pPr>
    </w:p>
  </w:footnote>
  <w:footnote w:id="2">
    <w:p w14:paraId="4477DD64" w14:textId="77777777" w:rsidR="00097276" w:rsidRPr="00873B7D" w:rsidRDefault="00097276" w:rsidP="00097276">
      <w:pPr>
        <w:spacing w:after="0" w:line="240" w:lineRule="auto"/>
        <w:ind w:firstLine="709"/>
        <w:jc w:val="both"/>
        <w:rPr>
          <w:rFonts w:ascii="Verdana" w:eastAsia="Times New Roman" w:hAnsi="Verdana" w:cs="Arial"/>
          <w:color w:val="000000" w:themeColor="text1"/>
          <w:sz w:val="16"/>
          <w:szCs w:val="16"/>
          <w:lang w:eastAsia="es-MX"/>
        </w:rPr>
      </w:pPr>
      <w:r w:rsidRPr="00873B7D">
        <w:rPr>
          <w:rFonts w:ascii="Verdana" w:eastAsia="Times New Roman" w:hAnsi="Verdana" w:cs="Arial"/>
          <w:color w:val="000000" w:themeColor="text1"/>
          <w:sz w:val="16"/>
          <w:szCs w:val="16"/>
          <w:lang w:val="es-ES" w:eastAsia="es-MX"/>
        </w:rPr>
        <w:t xml:space="preserve"> </w:t>
      </w:r>
      <w:r w:rsidRPr="00873B7D">
        <w:rPr>
          <w:rStyle w:val="Refdenotaalpie"/>
          <w:rFonts w:ascii="Verdana" w:hAnsi="Verdana" w:cs="Arial"/>
          <w:color w:val="000000" w:themeColor="text1"/>
          <w:sz w:val="16"/>
          <w:szCs w:val="16"/>
        </w:rPr>
        <w:footnoteRef/>
      </w:r>
      <w:r w:rsidRPr="00873B7D">
        <w:rPr>
          <w:rFonts w:ascii="Verdana" w:eastAsia="Times New Roman" w:hAnsi="Verdana" w:cs="Arial"/>
          <w:color w:val="000000" w:themeColor="text1"/>
          <w:sz w:val="16"/>
          <w:szCs w:val="16"/>
          <w:lang w:val="es-ES" w:eastAsia="es-MX"/>
        </w:rPr>
        <w:t xml:space="preserve"> Así lo establece la Constitución Política, en el artículo 150, numeral 7, así como en el artículo 300, numeral 7 y en el artículo 313, numeral 6.</w:t>
      </w:r>
    </w:p>
    <w:p w14:paraId="45751161" w14:textId="77777777" w:rsidR="00097276" w:rsidRPr="006A0190" w:rsidRDefault="00097276" w:rsidP="00097276">
      <w:pPr>
        <w:pStyle w:val="Textonotapie"/>
        <w:ind w:firstLine="709"/>
        <w:rPr>
          <w:rFonts w:ascii="Arial" w:hAnsi="Arial" w:cs="Arial"/>
          <w:sz w:val="19"/>
          <w:szCs w:val="19"/>
          <w:lang w:val="es-ES"/>
        </w:rPr>
      </w:pPr>
    </w:p>
  </w:footnote>
  <w:footnote w:id="3">
    <w:p w14:paraId="37289E17" w14:textId="270FFB7C" w:rsidR="00097276" w:rsidRPr="00873B7D" w:rsidRDefault="00097276" w:rsidP="00097276">
      <w:pPr>
        <w:pStyle w:val="Textonotapie"/>
        <w:ind w:firstLine="709"/>
        <w:jc w:val="both"/>
        <w:rPr>
          <w:rFonts w:ascii="Verdana" w:hAnsi="Verdana" w:cs="Arial"/>
          <w:sz w:val="16"/>
          <w:szCs w:val="16"/>
        </w:rPr>
      </w:pPr>
      <w:r w:rsidRPr="00873B7D">
        <w:rPr>
          <w:rStyle w:val="Refdenotaalpie"/>
          <w:rFonts w:ascii="Verdana" w:hAnsi="Verdana" w:cs="Arial"/>
          <w:sz w:val="16"/>
          <w:szCs w:val="16"/>
        </w:rPr>
        <w:footnoteRef/>
      </w:r>
      <w:r w:rsidR="19B6A718" w:rsidRPr="00873B7D">
        <w:rPr>
          <w:rFonts w:ascii="Verdana" w:hAnsi="Verdana" w:cs="Arial"/>
          <w:sz w:val="16"/>
          <w:szCs w:val="16"/>
        </w:rPr>
        <w:t xml:space="preserve"> Las sociedades de economía mixta son una clara manifestación organizacional de la función administrativa. Al respecto, la doctrina colombiana ha considerado que </w:t>
      </w:r>
      <w:r w:rsidR="19B6A718">
        <w:rPr>
          <w:rFonts w:ascii="Verdana" w:hAnsi="Verdana" w:cs="Arial"/>
          <w:sz w:val="16"/>
          <w:szCs w:val="16"/>
        </w:rPr>
        <w:t>“</w:t>
      </w:r>
      <w:r w:rsidR="19B6A718" w:rsidRPr="00873B7D">
        <w:rPr>
          <w:rFonts w:ascii="Verdana" w:hAnsi="Verdana" w:cs="Arial"/>
          <w:sz w:val="16"/>
          <w:szCs w:val="16"/>
        </w:rPr>
        <w:t>la organización debe ocupar un lugar central en el estudio del derecho administrativo, sobre todo si se tiene en cuenta que lo estructural es consustancial a la actividad administrativa. De hecho, podemos afirmar que se trata de una verdadera dialéctica en la que se presenta una relación de medio a fin, ya que su objeto es precisamente el diseño y puesta en funcionamiento de las maneras o formas de gestión de potestades, atribuciones y competencias administrativas</w:t>
      </w:r>
      <w:r w:rsidR="19B6A718">
        <w:rPr>
          <w:rFonts w:ascii="Verdana" w:hAnsi="Verdana" w:cs="Arial"/>
          <w:sz w:val="16"/>
          <w:szCs w:val="16"/>
        </w:rPr>
        <w:t>”.</w:t>
      </w:r>
      <w:r w:rsidR="19B6A718" w:rsidRPr="00873B7D">
        <w:rPr>
          <w:rFonts w:ascii="Verdana" w:hAnsi="Verdana" w:cs="Arial"/>
          <w:sz w:val="16"/>
          <w:szCs w:val="16"/>
        </w:rPr>
        <w:t xml:space="preserve"> (RINCÓN CÓRDOBA, Jorge Iván. Teoría de la organización administrativa en Colombia, Bogotá: Universidad Externado de Colombia, 2019, pp. 31-32). </w:t>
      </w:r>
    </w:p>
    <w:p w14:paraId="2C45A8C1" w14:textId="77777777" w:rsidR="00097276" w:rsidRPr="00873B7D" w:rsidRDefault="00097276" w:rsidP="00097276">
      <w:pPr>
        <w:pStyle w:val="Textonotapie"/>
        <w:ind w:firstLine="709"/>
        <w:jc w:val="both"/>
        <w:rPr>
          <w:rFonts w:ascii="Verdana" w:hAnsi="Verdana" w:cs="Arial"/>
          <w:sz w:val="16"/>
          <w:szCs w:val="16"/>
        </w:rPr>
      </w:pPr>
    </w:p>
  </w:footnote>
  <w:footnote w:id="4">
    <w:p w14:paraId="0767CA22" w14:textId="4B5F2929" w:rsidR="00097276" w:rsidRPr="006A0190" w:rsidRDefault="00097276" w:rsidP="00097276">
      <w:pPr>
        <w:pStyle w:val="Textonotapie"/>
        <w:ind w:firstLine="709"/>
        <w:jc w:val="both"/>
        <w:rPr>
          <w:rFonts w:ascii="Arial" w:hAnsi="Arial" w:cs="Arial"/>
          <w:sz w:val="19"/>
          <w:szCs w:val="19"/>
          <w:lang w:val="es-CO"/>
        </w:rPr>
      </w:pPr>
      <w:r w:rsidRPr="00873B7D">
        <w:rPr>
          <w:rStyle w:val="Refdenotaalpie"/>
          <w:rFonts w:ascii="Verdana" w:hAnsi="Verdana" w:cs="Arial"/>
          <w:sz w:val="16"/>
          <w:szCs w:val="16"/>
        </w:rPr>
        <w:footnoteRef/>
      </w:r>
      <w:r w:rsidR="19B6A718" w:rsidRPr="00873B7D">
        <w:rPr>
          <w:rFonts w:ascii="Verdana" w:hAnsi="Verdana" w:cs="Arial"/>
          <w:sz w:val="16"/>
          <w:szCs w:val="16"/>
        </w:rPr>
        <w:t xml:space="preserve"> </w:t>
      </w:r>
      <w:r w:rsidR="19B6A718">
        <w:rPr>
          <w:rFonts w:ascii="Verdana" w:hAnsi="Verdana" w:cs="Arial"/>
          <w:sz w:val="16"/>
          <w:szCs w:val="16"/>
        </w:rPr>
        <w:t>”</w:t>
      </w:r>
      <w:r w:rsidR="19B6A718" w:rsidRPr="00873B7D">
        <w:rPr>
          <w:rFonts w:ascii="Verdana" w:hAnsi="Verdana" w:cs="Arial"/>
          <w:sz w:val="16"/>
          <w:szCs w:val="16"/>
        </w:rPr>
        <w:t>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w:t>
      </w:r>
      <w:r w:rsidR="19B6A718">
        <w:rPr>
          <w:rFonts w:ascii="Verdana" w:hAnsi="Verdana" w:cs="Arial"/>
          <w:sz w:val="16"/>
          <w:szCs w:val="16"/>
        </w:rPr>
        <w:t xml:space="preserve">” </w:t>
      </w:r>
      <w:r w:rsidR="19B6A718" w:rsidRPr="00873B7D">
        <w:rPr>
          <w:rFonts w:ascii="Verdana" w:hAnsi="Verdana" w:cs="Arial"/>
          <w:sz w:val="16"/>
          <w:szCs w:val="16"/>
        </w:rPr>
        <w:t>(MONTAÑA PLATA, Alberto. Fundamentos de derecho administrativo. Bogotá: Universidad Externado de Colombia, 2010, p. 124).</w:t>
      </w:r>
    </w:p>
  </w:footnote>
  <w:footnote w:id="5">
    <w:p w14:paraId="33C241E9" w14:textId="77777777" w:rsidR="00097276" w:rsidRPr="00C05384" w:rsidRDefault="00097276" w:rsidP="00097276">
      <w:pPr>
        <w:pStyle w:val="Textonotapie"/>
        <w:ind w:firstLine="709"/>
        <w:jc w:val="both"/>
        <w:rPr>
          <w:rFonts w:ascii="Verdana" w:hAnsi="Verdana" w:cs="Arial"/>
          <w:sz w:val="16"/>
          <w:szCs w:val="16"/>
        </w:rPr>
      </w:pPr>
    </w:p>
    <w:p w14:paraId="3E674D07" w14:textId="77777777" w:rsidR="00097276" w:rsidRPr="00C05384" w:rsidRDefault="00097276" w:rsidP="00097276">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1C02E707" w14:textId="77777777" w:rsidR="00097276" w:rsidRPr="00C05384" w:rsidRDefault="00097276" w:rsidP="00097276">
      <w:pPr>
        <w:pStyle w:val="Textonotapie"/>
        <w:ind w:firstLine="709"/>
        <w:jc w:val="both"/>
        <w:rPr>
          <w:rFonts w:ascii="Verdana" w:hAnsi="Verdana" w:cs="Arial"/>
          <w:sz w:val="16"/>
          <w:szCs w:val="16"/>
        </w:rPr>
      </w:pPr>
    </w:p>
  </w:footnote>
  <w:footnote w:id="6">
    <w:p w14:paraId="3665B715" w14:textId="77777777" w:rsidR="00097276" w:rsidRDefault="00097276" w:rsidP="00097276">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19B6A718" w:rsidRPr="00C05384">
        <w:rPr>
          <w:rFonts w:ascii="Verdana" w:hAnsi="Verdana" w:cs="Arial"/>
          <w:sz w:val="16"/>
          <w:szCs w:val="16"/>
          <w:lang w:val="pt-BR"/>
        </w:rPr>
        <w:t xml:space="preserve"> Corte Constitucional, Sentencia C- 1153 de 2005, M.P. Marco Gerardo Monroy Cabra.</w:t>
      </w:r>
    </w:p>
    <w:p w14:paraId="1F5390D0" w14:textId="77777777" w:rsidR="00056809" w:rsidRPr="00C05384" w:rsidRDefault="00056809" w:rsidP="00097276">
      <w:pPr>
        <w:pStyle w:val="Textonotapie"/>
        <w:ind w:firstLine="709"/>
        <w:jc w:val="both"/>
        <w:rPr>
          <w:rFonts w:ascii="Verdana" w:hAnsi="Verdana" w:cs="Arial"/>
          <w:sz w:val="16"/>
          <w:szCs w:val="16"/>
          <w:lang w:val="pt-BR"/>
        </w:rPr>
      </w:pPr>
    </w:p>
  </w:footnote>
  <w:footnote w:id="7">
    <w:p w14:paraId="772D7BAA" w14:textId="77777777" w:rsidR="00097276" w:rsidRDefault="00097276" w:rsidP="00097276">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19B6A718"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3B7C4665" w14:textId="77777777" w:rsidR="00056809" w:rsidRPr="00C05384" w:rsidRDefault="00056809" w:rsidP="00097276">
      <w:pPr>
        <w:pStyle w:val="Textonotapie"/>
        <w:ind w:firstLine="709"/>
        <w:jc w:val="both"/>
        <w:rPr>
          <w:rFonts w:ascii="Verdana" w:hAnsi="Verdana" w:cs="Arial"/>
          <w:sz w:val="16"/>
          <w:szCs w:val="16"/>
          <w:lang w:val="pt-BR"/>
        </w:rPr>
      </w:pPr>
    </w:p>
  </w:footnote>
  <w:footnote w:id="8">
    <w:p w14:paraId="26EE1D33" w14:textId="77777777" w:rsidR="00097276" w:rsidRDefault="00097276" w:rsidP="00097276">
      <w:pPr>
        <w:pStyle w:val="Textonotapie"/>
        <w:ind w:firstLine="709"/>
        <w:jc w:val="both"/>
        <w:rPr>
          <w:rFonts w:ascii="Verdana" w:hAnsi="Verdana" w:cs="Arial"/>
          <w:sz w:val="16"/>
          <w:szCs w:val="16"/>
          <w:lang w:val="es-CO"/>
        </w:rPr>
      </w:pPr>
      <w:r w:rsidRPr="00C05384">
        <w:rPr>
          <w:rStyle w:val="Refdenotaalpie"/>
          <w:rFonts w:ascii="Verdana" w:hAnsi="Verdana" w:cs="Arial"/>
          <w:sz w:val="16"/>
          <w:szCs w:val="16"/>
        </w:rPr>
        <w:footnoteRef/>
      </w:r>
      <w:r w:rsidR="19B6A718"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40AC7A16" w14:textId="77777777" w:rsidR="00056809" w:rsidRPr="00C05384" w:rsidRDefault="00056809" w:rsidP="00097276">
      <w:pPr>
        <w:pStyle w:val="Textonotapie"/>
        <w:ind w:firstLine="709"/>
        <w:jc w:val="both"/>
        <w:rPr>
          <w:rFonts w:ascii="Verdana" w:hAnsi="Verdana" w:cs="Arial"/>
          <w:sz w:val="16"/>
          <w:szCs w:val="16"/>
          <w:lang w:val="es-CO"/>
        </w:rPr>
      </w:pPr>
    </w:p>
  </w:footnote>
  <w:footnote w:id="9">
    <w:p w14:paraId="17E2EB7F" w14:textId="77777777" w:rsidR="00097276" w:rsidRDefault="00097276" w:rsidP="00097276">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19B6A718" w:rsidRPr="00C05384">
        <w:rPr>
          <w:rFonts w:ascii="Verdana" w:hAnsi="Verdana" w:cs="Arial"/>
          <w:sz w:val="16"/>
          <w:szCs w:val="16"/>
        </w:rPr>
        <w:t xml:space="preserve"> Consejo de Estado, Sala de Consulta y Servicio Civil de fecha 24 de julio de 2013, Rad. 2166, C. P. Álvaro Namén Vargas.  </w:t>
      </w:r>
    </w:p>
    <w:p w14:paraId="2FF6AEF5" w14:textId="77777777" w:rsidR="00056809" w:rsidRPr="00C05384" w:rsidRDefault="00056809" w:rsidP="00097276">
      <w:pPr>
        <w:pStyle w:val="Textonotapie"/>
        <w:ind w:firstLine="709"/>
        <w:jc w:val="both"/>
        <w:rPr>
          <w:rFonts w:ascii="Verdana" w:hAnsi="Verdana" w:cs="Arial"/>
          <w:sz w:val="16"/>
          <w:szCs w:val="16"/>
        </w:rPr>
      </w:pPr>
    </w:p>
  </w:footnote>
  <w:footnote w:id="10">
    <w:p w14:paraId="777122ED" w14:textId="77777777" w:rsidR="00097276" w:rsidRDefault="00097276" w:rsidP="00097276">
      <w:pPr>
        <w:pStyle w:val="Textonotapie"/>
        <w:ind w:firstLine="709"/>
        <w:jc w:val="both"/>
        <w:rPr>
          <w:rFonts w:ascii="Verdana" w:hAnsi="Verdana"/>
          <w:sz w:val="16"/>
          <w:szCs w:val="16"/>
        </w:rPr>
      </w:pPr>
      <w:r w:rsidRPr="00C05384">
        <w:rPr>
          <w:rStyle w:val="Refdenotaalpie"/>
          <w:rFonts w:ascii="Verdana" w:hAnsi="Verdana"/>
          <w:sz w:val="16"/>
          <w:szCs w:val="16"/>
        </w:rPr>
        <w:footnoteRef/>
      </w:r>
      <w:r w:rsidR="19B6A718" w:rsidRPr="00C05384">
        <w:rPr>
          <w:rFonts w:ascii="Verdana" w:hAnsi="Verdana"/>
          <w:sz w:val="16"/>
          <w:szCs w:val="16"/>
        </w:rPr>
        <w:t xml:space="preserve"> Consejo de Estado. Sala de Consulta y Servicio Civil. Concepto del 08 de mayo de 2018. Exp. 2.382. C.P. Álvaro Namén Vargas.</w:t>
      </w:r>
    </w:p>
    <w:p w14:paraId="19449756" w14:textId="77777777" w:rsidR="00056809" w:rsidRPr="00C05384" w:rsidRDefault="00056809" w:rsidP="00097276">
      <w:pPr>
        <w:pStyle w:val="Textonotapie"/>
        <w:ind w:firstLine="709"/>
        <w:jc w:val="both"/>
        <w:rPr>
          <w:rFonts w:ascii="Verdana" w:hAnsi="Verdana"/>
          <w:sz w:val="16"/>
          <w:szCs w:val="16"/>
          <w:lang w:val="es-ES"/>
        </w:rPr>
      </w:pPr>
    </w:p>
  </w:footnote>
  <w:footnote w:id="11">
    <w:p w14:paraId="4A55DC5A" w14:textId="77777777" w:rsidR="00097276" w:rsidRPr="00C05384" w:rsidDel="00A200DD" w:rsidRDefault="00097276" w:rsidP="00097276">
      <w:pPr>
        <w:spacing w:after="0" w:line="240" w:lineRule="auto"/>
        <w:ind w:left="100" w:right="244" w:firstLine="709"/>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eastAsia="es-CO"/>
      </w:rPr>
      <w:drawing>
        <wp:anchor distT="0" distB="0" distL="114300" distR="114300" simplePos="0" relativeHeight="251658752"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eastAsia="es-CO"/>
      </w:rPr>
      <w:drawing>
        <wp:anchor distT="0" distB="0" distL="114300" distR="114300" simplePos="0" relativeHeight="251656704"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ADF4350"/>
    <w:multiLevelType w:val="hybridMultilevel"/>
    <w:tmpl w:val="6532AE7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BEF7207"/>
    <w:multiLevelType w:val="hybridMultilevel"/>
    <w:tmpl w:val="2A2093E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8FA49CB"/>
    <w:multiLevelType w:val="hybridMultilevel"/>
    <w:tmpl w:val="8D1AC98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79252393">
    <w:abstractNumId w:val="5"/>
  </w:num>
  <w:num w:numId="2" w16cid:durableId="1078163825">
    <w:abstractNumId w:val="1"/>
  </w:num>
  <w:num w:numId="3" w16cid:durableId="1046175237">
    <w:abstractNumId w:val="3"/>
  </w:num>
  <w:num w:numId="4" w16cid:durableId="179636490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77457646">
    <w:abstractNumId w:val="1"/>
  </w:num>
  <w:num w:numId="6" w16cid:durableId="333578304">
    <w:abstractNumId w:val="16"/>
  </w:num>
  <w:num w:numId="7" w16cid:durableId="175120423">
    <w:abstractNumId w:val="4"/>
  </w:num>
  <w:num w:numId="8" w16cid:durableId="1020468211">
    <w:abstractNumId w:val="15"/>
  </w:num>
  <w:num w:numId="9" w16cid:durableId="2117827410">
    <w:abstractNumId w:val="6"/>
  </w:num>
  <w:num w:numId="10" w16cid:durableId="1778745228">
    <w:abstractNumId w:val="14"/>
  </w:num>
  <w:num w:numId="11" w16cid:durableId="79758946">
    <w:abstractNumId w:val="7"/>
  </w:num>
  <w:num w:numId="12" w16cid:durableId="1480540346">
    <w:abstractNumId w:val="0"/>
  </w:num>
  <w:num w:numId="13" w16cid:durableId="580917784">
    <w:abstractNumId w:val="2"/>
  </w:num>
  <w:num w:numId="14" w16cid:durableId="1800799760">
    <w:abstractNumId w:val="17"/>
  </w:num>
  <w:num w:numId="15" w16cid:durableId="2064015486">
    <w:abstractNumId w:val="13"/>
  </w:num>
  <w:num w:numId="16" w16cid:durableId="1918859182">
    <w:abstractNumId w:val="11"/>
  </w:num>
  <w:num w:numId="17" w16cid:durableId="432362856">
    <w:abstractNumId w:val="10"/>
  </w:num>
  <w:num w:numId="18" w16cid:durableId="1208840616">
    <w:abstractNumId w:val="9"/>
  </w:num>
  <w:num w:numId="19" w16cid:durableId="648092753">
    <w:abstractNumId w:val="12"/>
  </w:num>
  <w:num w:numId="20" w16cid:durableId="12307697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34B81"/>
    <w:rsid w:val="00046945"/>
    <w:rsid w:val="00054435"/>
    <w:rsid w:val="00056809"/>
    <w:rsid w:val="00061B2A"/>
    <w:rsid w:val="00082362"/>
    <w:rsid w:val="00095046"/>
    <w:rsid w:val="00097276"/>
    <w:rsid w:val="000A683E"/>
    <w:rsid w:val="000B16C5"/>
    <w:rsid w:val="000B19B9"/>
    <w:rsid w:val="000D0334"/>
    <w:rsid w:val="000D08FD"/>
    <w:rsid w:val="000D5DA7"/>
    <w:rsid w:val="000E02E4"/>
    <w:rsid w:val="000F6486"/>
    <w:rsid w:val="001003A7"/>
    <w:rsid w:val="00116940"/>
    <w:rsid w:val="00125105"/>
    <w:rsid w:val="001270E5"/>
    <w:rsid w:val="00127233"/>
    <w:rsid w:val="0014047D"/>
    <w:rsid w:val="0015699B"/>
    <w:rsid w:val="001A33BF"/>
    <w:rsid w:val="001B5E0C"/>
    <w:rsid w:val="001E4177"/>
    <w:rsid w:val="001F0B24"/>
    <w:rsid w:val="001F4776"/>
    <w:rsid w:val="001F5443"/>
    <w:rsid w:val="001F7DC6"/>
    <w:rsid w:val="0022400B"/>
    <w:rsid w:val="002329D6"/>
    <w:rsid w:val="002421BB"/>
    <w:rsid w:val="0025796E"/>
    <w:rsid w:val="002707A2"/>
    <w:rsid w:val="002951A0"/>
    <w:rsid w:val="002962BC"/>
    <w:rsid w:val="002A093D"/>
    <w:rsid w:val="002A0DD0"/>
    <w:rsid w:val="002A1D12"/>
    <w:rsid w:val="002A49AC"/>
    <w:rsid w:val="002A64FD"/>
    <w:rsid w:val="002C7A84"/>
    <w:rsid w:val="002D0D45"/>
    <w:rsid w:val="002E2BF8"/>
    <w:rsid w:val="002E4FD9"/>
    <w:rsid w:val="002F757A"/>
    <w:rsid w:val="00301298"/>
    <w:rsid w:val="0030657A"/>
    <w:rsid w:val="00316F5A"/>
    <w:rsid w:val="00322A85"/>
    <w:rsid w:val="00324168"/>
    <w:rsid w:val="003267C1"/>
    <w:rsid w:val="00330834"/>
    <w:rsid w:val="003448F4"/>
    <w:rsid w:val="003572AA"/>
    <w:rsid w:val="003653C4"/>
    <w:rsid w:val="00374F5E"/>
    <w:rsid w:val="00377E3E"/>
    <w:rsid w:val="003A779E"/>
    <w:rsid w:val="003D0F4D"/>
    <w:rsid w:val="003D5B0D"/>
    <w:rsid w:val="003E0499"/>
    <w:rsid w:val="003E4F80"/>
    <w:rsid w:val="003E6439"/>
    <w:rsid w:val="003F3941"/>
    <w:rsid w:val="004060E8"/>
    <w:rsid w:val="00406575"/>
    <w:rsid w:val="00414C74"/>
    <w:rsid w:val="0042722E"/>
    <w:rsid w:val="0044528D"/>
    <w:rsid w:val="00466E39"/>
    <w:rsid w:val="00477CCA"/>
    <w:rsid w:val="004A1847"/>
    <w:rsid w:val="004A305D"/>
    <w:rsid w:val="004A53C3"/>
    <w:rsid w:val="004B7A76"/>
    <w:rsid w:val="004F21C4"/>
    <w:rsid w:val="004F685F"/>
    <w:rsid w:val="005566E8"/>
    <w:rsid w:val="00574867"/>
    <w:rsid w:val="00591460"/>
    <w:rsid w:val="005A65E0"/>
    <w:rsid w:val="005C3777"/>
    <w:rsid w:val="005C5CDC"/>
    <w:rsid w:val="005D027B"/>
    <w:rsid w:val="005D476C"/>
    <w:rsid w:val="005E33DE"/>
    <w:rsid w:val="00603333"/>
    <w:rsid w:val="006200BF"/>
    <w:rsid w:val="006219F8"/>
    <w:rsid w:val="00625571"/>
    <w:rsid w:val="00625E3E"/>
    <w:rsid w:val="006302F7"/>
    <w:rsid w:val="00646B9F"/>
    <w:rsid w:val="00665D70"/>
    <w:rsid w:val="006900D9"/>
    <w:rsid w:val="006A2EA3"/>
    <w:rsid w:val="006B6DF0"/>
    <w:rsid w:val="006D0D6F"/>
    <w:rsid w:val="007065B3"/>
    <w:rsid w:val="00706C16"/>
    <w:rsid w:val="00713D62"/>
    <w:rsid w:val="00726214"/>
    <w:rsid w:val="007340C3"/>
    <w:rsid w:val="0075235A"/>
    <w:rsid w:val="00756841"/>
    <w:rsid w:val="007635A1"/>
    <w:rsid w:val="007649AB"/>
    <w:rsid w:val="00771D0C"/>
    <w:rsid w:val="007833AC"/>
    <w:rsid w:val="007B268C"/>
    <w:rsid w:val="007B7171"/>
    <w:rsid w:val="007C0C0F"/>
    <w:rsid w:val="007C3DC2"/>
    <w:rsid w:val="007E5497"/>
    <w:rsid w:val="00806F5F"/>
    <w:rsid w:val="00820278"/>
    <w:rsid w:val="008258C9"/>
    <w:rsid w:val="00844AE9"/>
    <w:rsid w:val="00857B2F"/>
    <w:rsid w:val="00867F95"/>
    <w:rsid w:val="008843B6"/>
    <w:rsid w:val="00891928"/>
    <w:rsid w:val="00891E88"/>
    <w:rsid w:val="008A446D"/>
    <w:rsid w:val="008B25F1"/>
    <w:rsid w:val="008D180B"/>
    <w:rsid w:val="008D6E4E"/>
    <w:rsid w:val="008E3F6B"/>
    <w:rsid w:val="008F0EA7"/>
    <w:rsid w:val="00922D67"/>
    <w:rsid w:val="00923CA1"/>
    <w:rsid w:val="00923EEF"/>
    <w:rsid w:val="009419F9"/>
    <w:rsid w:val="0095685E"/>
    <w:rsid w:val="00961B09"/>
    <w:rsid w:val="00963FDF"/>
    <w:rsid w:val="00965334"/>
    <w:rsid w:val="00966678"/>
    <w:rsid w:val="0097093E"/>
    <w:rsid w:val="00987ED4"/>
    <w:rsid w:val="009A0DFA"/>
    <w:rsid w:val="009A1C6F"/>
    <w:rsid w:val="009B2D26"/>
    <w:rsid w:val="009C71FA"/>
    <w:rsid w:val="009C72E7"/>
    <w:rsid w:val="009C7F7E"/>
    <w:rsid w:val="009D3058"/>
    <w:rsid w:val="009F3A13"/>
    <w:rsid w:val="00A122D3"/>
    <w:rsid w:val="00A14468"/>
    <w:rsid w:val="00A17F13"/>
    <w:rsid w:val="00A200DD"/>
    <w:rsid w:val="00A20739"/>
    <w:rsid w:val="00A23AF9"/>
    <w:rsid w:val="00A33C78"/>
    <w:rsid w:val="00A93B8F"/>
    <w:rsid w:val="00AB0ADB"/>
    <w:rsid w:val="00AC572A"/>
    <w:rsid w:val="00B00C0E"/>
    <w:rsid w:val="00B01B1A"/>
    <w:rsid w:val="00B02E18"/>
    <w:rsid w:val="00B0381D"/>
    <w:rsid w:val="00B25DCE"/>
    <w:rsid w:val="00B44A47"/>
    <w:rsid w:val="00B53107"/>
    <w:rsid w:val="00B56F7A"/>
    <w:rsid w:val="00B71D4E"/>
    <w:rsid w:val="00B72CD3"/>
    <w:rsid w:val="00B72FFF"/>
    <w:rsid w:val="00BB01FF"/>
    <w:rsid w:val="00BC3D36"/>
    <w:rsid w:val="00BD54A6"/>
    <w:rsid w:val="00BD5909"/>
    <w:rsid w:val="00BD7F72"/>
    <w:rsid w:val="00BF7425"/>
    <w:rsid w:val="00C04FB3"/>
    <w:rsid w:val="00C0624C"/>
    <w:rsid w:val="00C11D8B"/>
    <w:rsid w:val="00C15139"/>
    <w:rsid w:val="00C15636"/>
    <w:rsid w:val="00C330EB"/>
    <w:rsid w:val="00C50D69"/>
    <w:rsid w:val="00C5365C"/>
    <w:rsid w:val="00C63E5E"/>
    <w:rsid w:val="00C754BE"/>
    <w:rsid w:val="00C76B1C"/>
    <w:rsid w:val="00C925AC"/>
    <w:rsid w:val="00CA3D03"/>
    <w:rsid w:val="00CB6357"/>
    <w:rsid w:val="00CC1B26"/>
    <w:rsid w:val="00CF0E2D"/>
    <w:rsid w:val="00D043F2"/>
    <w:rsid w:val="00D211EA"/>
    <w:rsid w:val="00D361FD"/>
    <w:rsid w:val="00D37122"/>
    <w:rsid w:val="00D423A2"/>
    <w:rsid w:val="00D44E26"/>
    <w:rsid w:val="00D520D8"/>
    <w:rsid w:val="00D5245D"/>
    <w:rsid w:val="00D63AC2"/>
    <w:rsid w:val="00D66EB4"/>
    <w:rsid w:val="00D7383B"/>
    <w:rsid w:val="00D7788A"/>
    <w:rsid w:val="00DA0FB2"/>
    <w:rsid w:val="00DA231B"/>
    <w:rsid w:val="00DB1BF8"/>
    <w:rsid w:val="00DB5457"/>
    <w:rsid w:val="00DC39FC"/>
    <w:rsid w:val="00DD5A68"/>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7177"/>
    <w:rsid w:val="00EC1ED9"/>
    <w:rsid w:val="00EC38A7"/>
    <w:rsid w:val="00EE1AA8"/>
    <w:rsid w:val="00F23FEA"/>
    <w:rsid w:val="00F31EDC"/>
    <w:rsid w:val="00F462B3"/>
    <w:rsid w:val="00F5664F"/>
    <w:rsid w:val="00F666C4"/>
    <w:rsid w:val="00F76AFC"/>
    <w:rsid w:val="00F947E6"/>
    <w:rsid w:val="00FA47C0"/>
    <w:rsid w:val="00FB5DD1"/>
    <w:rsid w:val="00FC2B5D"/>
    <w:rsid w:val="00FD2992"/>
    <w:rsid w:val="00FF1449"/>
    <w:rsid w:val="00FF7963"/>
    <w:rsid w:val="071B8F93"/>
    <w:rsid w:val="07C73DD1"/>
    <w:rsid w:val="09908A09"/>
    <w:rsid w:val="0EFE6349"/>
    <w:rsid w:val="0FF4CCA8"/>
    <w:rsid w:val="13CFC91B"/>
    <w:rsid w:val="19A2EC2C"/>
    <w:rsid w:val="19B6A718"/>
    <w:rsid w:val="21779BE6"/>
    <w:rsid w:val="2859CA1B"/>
    <w:rsid w:val="2C4D2425"/>
    <w:rsid w:val="2EE1E026"/>
    <w:rsid w:val="30821638"/>
    <w:rsid w:val="32A4F9CF"/>
    <w:rsid w:val="33A1FF93"/>
    <w:rsid w:val="356CEDFD"/>
    <w:rsid w:val="3C591AFD"/>
    <w:rsid w:val="414756C7"/>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20C35E4-067F-4D12-82F3-A902F3B9F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27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97276"/>
    <w:rPr>
      <w:rFonts w:ascii="Geomanist Light" w:hAnsi="Geomanist Light"/>
      <w:lang w:val="es-ES"/>
    </w:rPr>
  </w:style>
  <w:style w:type="paragraph" w:customStyle="1" w:styleId="Appelnotedebasde">
    <w:name w:val="Appel note de bas de..."/>
    <w:basedOn w:val="Normal"/>
    <w:link w:val="Refdenotaalpie"/>
    <w:uiPriority w:val="99"/>
    <w:rsid w:val="00097276"/>
    <w:pPr>
      <w:spacing w:line="240" w:lineRule="exact"/>
    </w:pPr>
    <w:rPr>
      <w:vertAlign w:val="superscript"/>
    </w:rPr>
  </w:style>
  <w:style w:type="character" w:customStyle="1" w:styleId="baj">
    <w:name w:val="b_aj"/>
    <w:basedOn w:val="Fuentedeprrafopredeter"/>
    <w:rsid w:val="00097276"/>
  </w:style>
  <w:style w:type="character" w:styleId="Refdecomentario">
    <w:name w:val="annotation reference"/>
    <w:basedOn w:val="Fuentedeprrafopredeter"/>
    <w:uiPriority w:val="99"/>
    <w:semiHidden/>
    <w:unhideWhenUsed/>
    <w:rsid w:val="001003A7"/>
    <w:rPr>
      <w:sz w:val="16"/>
      <w:szCs w:val="16"/>
    </w:rPr>
  </w:style>
  <w:style w:type="paragraph" w:styleId="Textocomentario">
    <w:name w:val="annotation text"/>
    <w:basedOn w:val="Normal"/>
    <w:link w:val="TextocomentarioCar"/>
    <w:uiPriority w:val="99"/>
    <w:unhideWhenUsed/>
    <w:rsid w:val="001003A7"/>
    <w:pPr>
      <w:spacing w:line="240" w:lineRule="auto"/>
    </w:pPr>
    <w:rPr>
      <w:sz w:val="20"/>
      <w:szCs w:val="20"/>
    </w:rPr>
  </w:style>
  <w:style w:type="character" w:customStyle="1" w:styleId="TextocomentarioCar">
    <w:name w:val="Texto comentario Car"/>
    <w:basedOn w:val="Fuentedeprrafopredeter"/>
    <w:link w:val="Textocomentario"/>
    <w:uiPriority w:val="99"/>
    <w:rsid w:val="001003A7"/>
    <w:rPr>
      <w:sz w:val="20"/>
      <w:szCs w:val="20"/>
    </w:rPr>
  </w:style>
  <w:style w:type="paragraph" w:styleId="Asuntodelcomentario">
    <w:name w:val="annotation subject"/>
    <w:basedOn w:val="Textocomentario"/>
    <w:next w:val="Textocomentario"/>
    <w:link w:val="AsuntodelcomentarioCar"/>
    <w:uiPriority w:val="99"/>
    <w:semiHidden/>
    <w:unhideWhenUsed/>
    <w:rsid w:val="001003A7"/>
    <w:rPr>
      <w:b/>
      <w:bCs/>
    </w:rPr>
  </w:style>
  <w:style w:type="character" w:customStyle="1" w:styleId="AsuntodelcomentarioCar">
    <w:name w:val="Asunto del comentario Car"/>
    <w:basedOn w:val="TextocomentarioCar"/>
    <w:link w:val="Asuntodelcomentario"/>
    <w:uiPriority w:val="99"/>
    <w:semiHidden/>
    <w:rsid w:val="001003A7"/>
    <w:rPr>
      <w:b/>
      <w:bCs/>
      <w:sz w:val="20"/>
      <w:szCs w:val="20"/>
    </w:rPr>
  </w:style>
  <w:style w:type="paragraph" w:styleId="Textodeglobo">
    <w:name w:val="Balloon Text"/>
    <w:basedOn w:val="Normal"/>
    <w:link w:val="TextodegloboCar"/>
    <w:uiPriority w:val="99"/>
    <w:semiHidden/>
    <w:unhideWhenUsed/>
    <w:rsid w:val="002329D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329D6"/>
    <w:rPr>
      <w:rFonts w:ascii="Segoe UI" w:hAnsi="Segoe UI" w:cs="Segoe UI"/>
      <w:sz w:val="18"/>
      <w:szCs w:val="18"/>
    </w:rPr>
  </w:style>
  <w:style w:type="character" w:styleId="Fuerte">
    <w:name w:val="Strong"/>
    <w:basedOn w:val="Fuentedeprrafopredeter"/>
    <w:uiPriority w:val="22"/>
    <w:qFormat/>
    <w:rsid w:val="00477C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84016C-9077-4753-82CA-11BDD921DA57}">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65E0DE9-A489-48C9-8EBA-0E033D5A82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18</Pages>
  <Words>5628</Words>
  <Characters>31574</Characters>
  <Application>Microsoft Office Word</Application>
  <DocSecurity>0</DocSecurity>
  <Lines>657</Lines>
  <Paragraphs>130</Paragraphs>
  <ScaleCrop>false</ScaleCrop>
  <Company/>
  <LinksUpToDate>false</LinksUpToDate>
  <CharactersWithSpaces>37072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6</cp:revision>
  <cp:lastPrinted>2023-01-11T00:18:00Z</cp:lastPrinted>
  <dcterms:created xsi:type="dcterms:W3CDTF">2026-04-09T19:39:00Z</dcterms:created>
  <dcterms:modified xsi:type="dcterms:W3CDTF">2026-04-09T20:51:00Z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