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C9C64C" w14:textId="503C6466" w:rsidR="00810BC3" w:rsidRDefault="00810BC3" w:rsidP="00810BC3">
      <w:pPr>
        <w:spacing w:line="276" w:lineRule="auto"/>
        <w:jc w:val="both"/>
        <w:rPr>
          <w:rFonts w:ascii="Verdana" w:eastAsia="Calibri" w:hAnsi="Verdana" w:cs="Arial"/>
          <w:b/>
          <w:bCs/>
          <w:lang w:val="es-ES" w:eastAsia="es-ES"/>
        </w:rPr>
      </w:pPr>
      <w:bookmarkStart w:id="0" w:name="_Hlk143780582"/>
      <w:r w:rsidRPr="00810BC3">
        <w:rPr>
          <w:rFonts w:ascii="Verdana" w:eastAsia="Calibri" w:hAnsi="Verdana" w:cs="Arial"/>
          <w:b/>
          <w:bCs/>
          <w:lang w:val="es-ES" w:eastAsia="es-ES"/>
        </w:rPr>
        <w:t>LEY DE GARANTÍAS ELECTORALES – Prohibición artículo 33 – Contratación directa – Alcance</w:t>
      </w:r>
    </w:p>
    <w:p w14:paraId="003FF15A" w14:textId="77777777" w:rsidR="00810BC3" w:rsidRPr="00647611" w:rsidRDefault="00810BC3" w:rsidP="00810BC3">
      <w:pPr>
        <w:spacing w:after="0" w:line="240" w:lineRule="auto"/>
        <w:jc w:val="both"/>
        <w:rPr>
          <w:rFonts w:ascii="Verdana" w:eastAsia="Times New Roman" w:hAnsi="Verdana" w:cs="Arial"/>
          <w:bCs/>
          <w:sz w:val="20"/>
          <w:szCs w:val="20"/>
          <w:lang w:eastAsia="x-none"/>
        </w:rPr>
      </w:pPr>
      <w:r w:rsidRPr="00647611">
        <w:rPr>
          <w:rFonts w:ascii="Verdana" w:eastAsia="Times New Roman" w:hAnsi="Verdana" w:cs="Arial"/>
          <w:sz w:val="20"/>
          <w:szCs w:val="20"/>
          <w:lang w:eastAsia="x-none"/>
        </w:rPr>
        <w:t xml:space="preserve">De acuerdo con el citado concepto, la prohibición del artículo 33 de la Ley de Garantías Electorales se refiere a </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cualquier sistema que no implique convocatoria pública y posibilidad de pluralidad de oferentes</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 xml:space="preserve">, por lo que excluye las demás modalidades de contratación previstas en la Ley 1150 de 2007, es decir, la licitación pública, la selección abreviada, el concurso de méritos </w:t>
      </w:r>
      <w:r w:rsidRPr="00647611">
        <w:rPr>
          <w:rFonts w:ascii="Verdana" w:eastAsia="Times New Roman" w:hAnsi="Verdana" w:cs="Arial"/>
          <w:sz w:val="20"/>
          <w:szCs w:val="20"/>
          <w:lang w:val="es-ES_tradnl" w:eastAsia="x-none"/>
        </w:rPr>
        <w:t>y la mínima cuantía</w:t>
      </w:r>
      <w:r w:rsidRPr="00647611" w:rsidDel="00A85D9F">
        <w:rPr>
          <w:rFonts w:ascii="Verdana" w:eastAsia="Times New Roman" w:hAnsi="Verdana" w:cs="Arial"/>
          <w:sz w:val="20"/>
          <w:szCs w:val="20"/>
          <w:lang w:eastAsia="x-none"/>
        </w:rPr>
        <w:t xml:space="preserve"> </w:t>
      </w:r>
      <w:r w:rsidRPr="00647611">
        <w:rPr>
          <w:rFonts w:ascii="Verdana" w:eastAsia="Times New Roman" w:hAnsi="Verdana" w:cs="Arial"/>
          <w:sz w:val="20"/>
          <w:szCs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647611">
        <w:rPr>
          <w:rFonts w:ascii="Verdana" w:eastAsia="Calibri" w:hAnsi="Verdana" w:cs="Arial"/>
          <w:sz w:val="20"/>
          <w:szCs w:val="20"/>
          <w:lang w:eastAsia="x-none"/>
        </w:rPr>
        <w:t>además lo es con la posterior creación de la modalidad de mínima cuantía establecida actualmente en el numeral 5 del artículo 2 de la Ley 1150 de 2007, de acuerdo con las modificaciones realizadas por leyes posteriores.</w:t>
      </w:r>
    </w:p>
    <w:p w14:paraId="7A19C00C" w14:textId="21EBADEA" w:rsidR="00810BC3" w:rsidRDefault="00810BC3" w:rsidP="00810BC3">
      <w:pPr>
        <w:spacing w:before="240" w:line="276" w:lineRule="auto"/>
        <w:jc w:val="both"/>
        <w:rPr>
          <w:rFonts w:ascii="Verdana" w:eastAsia="Calibri" w:hAnsi="Verdana" w:cs="Arial"/>
          <w:b/>
          <w:bCs/>
          <w:lang w:val="es-ES" w:eastAsia="es-ES"/>
        </w:rPr>
      </w:pPr>
      <w:r w:rsidRPr="00810BC3">
        <w:rPr>
          <w:rFonts w:ascii="Verdana" w:eastAsia="Calibri" w:hAnsi="Verdana" w:cs="Arial"/>
          <w:b/>
          <w:bCs/>
          <w:lang w:val="es-ES" w:eastAsia="es-ES"/>
        </w:rPr>
        <w:t>LEY DE GARANTÍAS ELECTORALES – Excepciones</w:t>
      </w:r>
    </w:p>
    <w:p w14:paraId="2B44EC27" w14:textId="7BD544E5" w:rsidR="00810BC3" w:rsidRPr="00810BC3" w:rsidRDefault="00810BC3" w:rsidP="00810BC3">
      <w:pPr>
        <w:spacing w:after="0" w:line="240" w:lineRule="auto"/>
        <w:jc w:val="both"/>
        <w:rPr>
          <w:rFonts w:ascii="Verdana" w:eastAsia="Times New Roman" w:hAnsi="Verdana" w:cs="Arial"/>
          <w:bCs/>
          <w:sz w:val="20"/>
          <w:szCs w:val="20"/>
          <w:lang w:val="es-MX" w:eastAsia="es-CO"/>
        </w:rPr>
      </w:pPr>
      <w:r w:rsidRPr="00647611">
        <w:rPr>
          <w:rFonts w:ascii="Verdana" w:eastAsia="Times New Roman" w:hAnsi="Verdana" w:cs="Arial"/>
          <w:bCs/>
          <w:sz w:val="20"/>
          <w:szCs w:val="20"/>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647611">
        <w:rPr>
          <w:rFonts w:ascii="Verdana" w:eastAsia="Times New Roman" w:hAnsi="Verdana" w:cs="Arial"/>
          <w:bCs/>
          <w:sz w:val="20"/>
          <w:szCs w:val="20"/>
          <w:lang w:val="es-MX" w:eastAsia="x-none"/>
        </w:rPr>
        <w:t>ii</w:t>
      </w:r>
      <w:proofErr w:type="spellEnd"/>
      <w:r w:rsidRPr="00647611">
        <w:rPr>
          <w:rFonts w:ascii="Verdana" w:eastAsia="Times New Roman" w:hAnsi="Verdana" w:cs="Arial"/>
          <w:bCs/>
          <w:sz w:val="20"/>
          <w:szCs w:val="20"/>
          <w:lang w:val="es-MX" w:eastAsia="x-none"/>
        </w:rPr>
        <w:t xml:space="preserve">) los contratos de crédito público; </w:t>
      </w:r>
      <w:proofErr w:type="spellStart"/>
      <w:r w:rsidRPr="00647611">
        <w:rPr>
          <w:rFonts w:ascii="Verdana" w:eastAsia="Times New Roman" w:hAnsi="Verdana" w:cs="Arial"/>
          <w:bCs/>
          <w:sz w:val="20"/>
          <w:szCs w:val="20"/>
          <w:lang w:val="es-MX" w:eastAsia="x-none"/>
        </w:rPr>
        <w:t>iii</w:t>
      </w:r>
      <w:proofErr w:type="spellEnd"/>
      <w:r w:rsidRPr="00647611">
        <w:rPr>
          <w:rFonts w:ascii="Verdana" w:eastAsia="Times New Roman" w:hAnsi="Verdana" w:cs="Arial"/>
          <w:bCs/>
          <w:sz w:val="20"/>
          <w:szCs w:val="20"/>
          <w:lang w:val="es-MX" w:eastAsia="x-none"/>
        </w:rPr>
        <w:t xml:space="preserve">) los requeridos para cubrir las emergencias educativas, sanitarias y desastres; </w:t>
      </w:r>
      <w:proofErr w:type="spellStart"/>
      <w:r w:rsidRPr="00647611">
        <w:rPr>
          <w:rFonts w:ascii="Verdana" w:eastAsia="Times New Roman" w:hAnsi="Verdana" w:cs="Arial"/>
          <w:bCs/>
          <w:sz w:val="20"/>
          <w:szCs w:val="20"/>
          <w:lang w:val="es-MX" w:eastAsia="x-none"/>
        </w:rPr>
        <w:t>iv</w:t>
      </w:r>
      <w:proofErr w:type="spellEnd"/>
      <w:r w:rsidRPr="00647611">
        <w:rPr>
          <w:rFonts w:ascii="Verdana" w:eastAsia="Times New Roman" w:hAnsi="Verdana" w:cs="Arial"/>
          <w:bCs/>
          <w:sz w:val="20"/>
          <w:szCs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47611">
        <w:rPr>
          <w:rFonts w:ascii="Verdana" w:eastAsia="Times New Roman" w:hAnsi="Verdana" w:cs="Arial"/>
          <w:bCs/>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41E4EC18" w14:textId="00C5D942" w:rsidR="00810BC3" w:rsidRDefault="00810BC3" w:rsidP="00810BC3">
      <w:pPr>
        <w:spacing w:before="240" w:line="276" w:lineRule="auto"/>
        <w:jc w:val="both"/>
        <w:rPr>
          <w:rFonts w:ascii="Verdana" w:eastAsia="Calibri" w:hAnsi="Verdana" w:cs="Arial"/>
          <w:b/>
          <w:bCs/>
          <w:lang w:val="es-ES" w:eastAsia="es-ES"/>
        </w:rPr>
      </w:pPr>
      <w:r w:rsidRPr="00810BC3">
        <w:rPr>
          <w:rFonts w:ascii="Verdana" w:eastAsia="Calibri" w:hAnsi="Verdana" w:cs="Arial"/>
          <w:b/>
          <w:bCs/>
          <w:lang w:val="es-ES" w:eastAsia="es-ES"/>
        </w:rPr>
        <w:t>LEY DE GARANTÍAS ELECTORALES – Prohibición del artículo 33 – Destinatarios</w:t>
      </w:r>
    </w:p>
    <w:p w14:paraId="4D584E49" w14:textId="77777777" w:rsidR="00810BC3" w:rsidRPr="00647611" w:rsidRDefault="00810BC3" w:rsidP="00810BC3">
      <w:pPr>
        <w:spacing w:after="0" w:line="240" w:lineRule="auto"/>
        <w:jc w:val="both"/>
        <w:rPr>
          <w:rFonts w:ascii="Verdana" w:hAnsi="Verdana" w:cs="Arial"/>
          <w:sz w:val="20"/>
          <w:szCs w:val="20"/>
          <w:lang w:val="es-MX" w:eastAsia="es-ES_tradnl"/>
        </w:rPr>
      </w:pPr>
      <w:r w:rsidRPr="00647611">
        <w:rPr>
          <w:rFonts w:ascii="Verdana" w:eastAsia="Calibri" w:hAnsi="Verdana" w:cs="Arial"/>
          <w:sz w:val="20"/>
          <w:szCs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647611">
        <w:rPr>
          <w:rFonts w:ascii="Verdana" w:eastAsia="Times New Roman" w:hAnsi="Verdana" w:cs="Arial"/>
          <w:bCs/>
          <w:sz w:val="20"/>
          <w:szCs w:val="20"/>
          <w:lang w:val="es-MX" w:eastAsia="x-none"/>
        </w:rPr>
        <w:t>establecimientos de crédito, las sociedades de servicios financieros y las entidades aseguradoras</w:t>
      </w:r>
      <w:r w:rsidRPr="00647611">
        <w:rPr>
          <w:rFonts w:ascii="Verdana" w:eastAsia="Calibri" w:hAnsi="Verdana" w:cs="Arial"/>
          <w:sz w:val="20"/>
          <w:szCs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7ECC5AE3" w14:textId="77777777" w:rsidR="00810BC3" w:rsidRDefault="00810BC3" w:rsidP="00810BC3">
      <w:pPr>
        <w:spacing w:line="276" w:lineRule="auto"/>
        <w:jc w:val="both"/>
        <w:rPr>
          <w:rFonts w:ascii="Verdana" w:eastAsia="Calibri" w:hAnsi="Verdana" w:cs="Arial"/>
          <w:b/>
          <w:bCs/>
          <w:lang w:val="es-ES" w:eastAsia="es-ES"/>
        </w:rPr>
      </w:pPr>
      <w:r w:rsidRPr="00810BC3">
        <w:rPr>
          <w:rFonts w:ascii="Verdana" w:eastAsia="Calibri" w:hAnsi="Verdana" w:cs="Arial"/>
          <w:b/>
          <w:bCs/>
          <w:lang w:val="es-ES" w:eastAsia="es-ES"/>
        </w:rPr>
        <w:lastRenderedPageBreak/>
        <w:t xml:space="preserve">ENAJENACIÓN VOLUNTARIA – Objeto – Aplicación – Ley de Garantías Electorales – Restricción- Contratación Directa     </w:t>
      </w:r>
    </w:p>
    <w:p w14:paraId="00C7AB95" w14:textId="77777777" w:rsidR="00810BC3" w:rsidRPr="00256973" w:rsidRDefault="00810BC3" w:rsidP="00810BC3">
      <w:pPr>
        <w:spacing w:line="240" w:lineRule="auto"/>
        <w:jc w:val="both"/>
        <w:rPr>
          <w:rFonts w:ascii="Verdana" w:eastAsia="Times New Roman" w:hAnsi="Verdana" w:cs="Arial"/>
          <w:bCs/>
          <w:sz w:val="20"/>
          <w:szCs w:val="20"/>
          <w:lang w:eastAsia="x-none"/>
        </w:rPr>
      </w:pPr>
      <w:r w:rsidRPr="00256973">
        <w:rPr>
          <w:rFonts w:ascii="Verdana" w:eastAsia="Times New Roman" w:hAnsi="Verdana" w:cs="Arial"/>
          <w:sz w:val="20"/>
          <w:szCs w:val="20"/>
          <w:lang w:val="es-ES" w:eastAsia="es-ES_tradnl"/>
        </w:rPr>
        <w:t>En virtud de esta restricción y de acuerdo con lo señalado en los conceptos C-1799 y C-1501 de 2025</w:t>
      </w:r>
      <w:r w:rsidRPr="00256973">
        <w:rPr>
          <w:rFonts w:ascii="Verdana" w:eastAsia="Times New Roman" w:hAnsi="Verdana" w:cs="Arial"/>
          <w:bCs/>
          <w:sz w:val="20"/>
          <w:szCs w:val="20"/>
          <w:lang w:eastAsia="x-none"/>
        </w:rPr>
        <w:t>, se</w:t>
      </w:r>
      <w:r w:rsidRPr="00256973">
        <w:rPr>
          <w:rFonts w:ascii="Verdana" w:eastAsia="Calibri" w:hAnsi="Verdana" w:cs="Arial"/>
          <w:sz w:val="20"/>
          <w:szCs w:val="20"/>
        </w:rPr>
        <w:t xml:space="preserve"> precisa que la restricción prevista en el artículo 33 de la Ley 996 de 2005 no resulta aplicable al procedimiento </w:t>
      </w:r>
      <w:r w:rsidRPr="00256973">
        <w:rPr>
          <w:rFonts w:ascii="Verdana" w:eastAsia="Calibri" w:hAnsi="Verdana" w:cs="Arial"/>
          <w:sz w:val="20"/>
          <w:szCs w:val="20"/>
          <w:lang w:val="es-ES"/>
        </w:rPr>
        <w:t xml:space="preserve">administrativo de adquisición predial </w:t>
      </w:r>
      <w:r w:rsidRPr="00256973">
        <w:rPr>
          <w:rFonts w:ascii="Verdana" w:eastAsia="Calibri" w:hAnsi="Verdana" w:cs="Arial"/>
          <w:i/>
          <w:iCs/>
          <w:sz w:val="20"/>
          <w:szCs w:val="20"/>
        </w:rPr>
        <w:t>en sí mismo</w:t>
      </w:r>
      <w:r w:rsidRPr="00256973">
        <w:rPr>
          <w:rFonts w:ascii="Verdana" w:eastAsia="Calibri" w:hAnsi="Verdana" w:cs="Arial"/>
          <w:sz w:val="20"/>
          <w:szCs w:val="20"/>
        </w:rPr>
        <w:t xml:space="preserve">, en su etapa preparatoria o preliminar, en la medida en que dicho artículo se refiere a la </w:t>
      </w:r>
      <w:r w:rsidRPr="00256973">
        <w:rPr>
          <w:rFonts w:ascii="Verdana" w:eastAsia="Calibri" w:hAnsi="Verdana" w:cs="Arial"/>
          <w:bCs/>
          <w:sz w:val="20"/>
          <w:szCs w:val="20"/>
          <w:lang w:val="es-MX"/>
        </w:rPr>
        <w:t xml:space="preserve">celebración de contratos de forma directa, </w:t>
      </w:r>
      <w:r w:rsidRPr="00256973">
        <w:rPr>
          <w:rFonts w:ascii="Verdana" w:eastAsia="Calibri" w:hAnsi="Verdana" w:cs="Arial"/>
          <w:sz w:val="20"/>
          <w:szCs w:val="20"/>
        </w:rPr>
        <w:t>y no a las actuaciones administrativas que se puedan generar previamente</w:t>
      </w:r>
      <w:r w:rsidRPr="00256973">
        <w:rPr>
          <w:rFonts w:ascii="Verdana" w:eastAsia="Times New Roman" w:hAnsi="Verdana" w:cs="Arial"/>
          <w:bCs/>
          <w:sz w:val="20"/>
          <w:szCs w:val="20"/>
          <w:lang w:eastAsia="x-none"/>
        </w:rPr>
        <w:t>. En tal sentido, la gestión predial no se ve paralizada durante el período de restricción.</w:t>
      </w:r>
    </w:p>
    <w:p w14:paraId="070E2303" w14:textId="77777777" w:rsidR="00810BC3" w:rsidRDefault="00810BC3" w:rsidP="00810BC3">
      <w:pPr>
        <w:pStyle w:val="paragraph"/>
        <w:shd w:val="clear" w:color="auto" w:fill="FFFFFF"/>
        <w:spacing w:before="0" w:beforeAutospacing="0" w:after="0" w:afterAutospacing="0"/>
        <w:jc w:val="both"/>
        <w:textAlignment w:val="baseline"/>
        <w:rPr>
          <w:rFonts w:ascii="Verdana" w:eastAsia="Calibri" w:hAnsi="Verdana" w:cs="Arial"/>
          <w:sz w:val="20"/>
          <w:szCs w:val="20"/>
          <w:lang w:val="es-ES"/>
        </w:rPr>
      </w:pPr>
      <w:r w:rsidRPr="00256973">
        <w:rPr>
          <w:rFonts w:ascii="Verdana" w:eastAsia="Calibri" w:hAnsi="Verdana" w:cs="Arial"/>
          <w:sz w:val="20"/>
          <w:szCs w:val="20"/>
          <w:lang w:val="es-ES"/>
        </w:rPr>
        <w:t>Así, se reconoce que el procedimiento administrativo de adquisición predial por motivos de utilidad pública e interés social no constituye un procedimiento sometido al EGCAP, puesto que se trata de un procedimiento especial, dotado de finalidad, etapas y reglas propias, cuya regulación se encuentra prevista de manera específica en</w:t>
      </w:r>
      <w:r w:rsidRPr="00256973">
        <w:rPr>
          <w:rFonts w:asciiTheme="minorHAnsi" w:eastAsiaTheme="minorHAnsi" w:hAnsiTheme="minorHAnsi" w:cstheme="minorBidi"/>
          <w:sz w:val="20"/>
          <w:szCs w:val="20"/>
          <w:lang w:eastAsia="en-US"/>
        </w:rPr>
        <w:t xml:space="preserve"> </w:t>
      </w:r>
      <w:r w:rsidRPr="00256973">
        <w:rPr>
          <w:rFonts w:ascii="Verdana" w:eastAsia="Calibri" w:hAnsi="Verdana" w:cs="Arial"/>
          <w:sz w:val="20"/>
          <w:szCs w:val="20"/>
        </w:rPr>
        <w:t>Leyes 9 de 1989, 388 de 1997 y 1682 de 2013</w:t>
      </w:r>
      <w:r w:rsidRPr="00256973">
        <w:rPr>
          <w:rFonts w:ascii="Verdana" w:eastAsia="Calibri" w:hAnsi="Verdana" w:cs="Arial"/>
          <w:sz w:val="20"/>
          <w:szCs w:val="20"/>
          <w:lang w:val="es-ES"/>
        </w:rPr>
        <w:t xml:space="preserve">, lo que lo sustrae del régimen general de la contratación estatal. Esta caracterización ha sido reiterada en los conceptos previamente citados, en los cuales se concluyó que dicho procedimiento se rige por unas reglas especiales. </w:t>
      </w:r>
    </w:p>
    <w:p w14:paraId="4461E030" w14:textId="77777777" w:rsidR="00810BC3" w:rsidRPr="00256973" w:rsidRDefault="00810BC3" w:rsidP="00810BC3">
      <w:pPr>
        <w:pStyle w:val="paragraph"/>
        <w:shd w:val="clear" w:color="auto" w:fill="FFFFFF"/>
        <w:spacing w:before="0" w:beforeAutospacing="0" w:after="0" w:afterAutospacing="0"/>
        <w:jc w:val="both"/>
        <w:textAlignment w:val="baseline"/>
        <w:rPr>
          <w:rFonts w:ascii="Verdana" w:eastAsia="Calibri" w:hAnsi="Verdana" w:cs="Arial"/>
          <w:sz w:val="20"/>
          <w:szCs w:val="20"/>
          <w:lang w:val="es-ES"/>
        </w:rPr>
      </w:pPr>
    </w:p>
    <w:p w14:paraId="79E27C52" w14:textId="77777777" w:rsidR="00810BC3" w:rsidRDefault="00810BC3" w:rsidP="00810BC3">
      <w:pPr>
        <w:tabs>
          <w:tab w:val="left" w:pos="709"/>
        </w:tabs>
        <w:spacing w:after="0" w:line="240" w:lineRule="auto"/>
        <w:jc w:val="both"/>
        <w:rPr>
          <w:rFonts w:ascii="Verdana" w:eastAsia="Times New Roman" w:hAnsi="Verdana" w:cs="Arial"/>
          <w:sz w:val="20"/>
          <w:szCs w:val="20"/>
        </w:rPr>
      </w:pPr>
      <w:r>
        <w:rPr>
          <w:rFonts w:ascii="Verdana" w:eastAsia="Century Gothic" w:hAnsi="Verdana" w:cs="Century Gothic"/>
          <w:sz w:val="20"/>
          <w:szCs w:val="20"/>
          <w:lang w:val="es-ES"/>
        </w:rPr>
        <w:t>[…]</w:t>
      </w:r>
    </w:p>
    <w:p w14:paraId="00C84716" w14:textId="77777777" w:rsidR="00810BC3" w:rsidRPr="00256973" w:rsidRDefault="00810BC3" w:rsidP="00810BC3">
      <w:pPr>
        <w:tabs>
          <w:tab w:val="left" w:pos="709"/>
        </w:tabs>
        <w:spacing w:after="0" w:line="240" w:lineRule="auto"/>
        <w:jc w:val="both"/>
        <w:rPr>
          <w:rFonts w:ascii="Verdana" w:eastAsia="Calibri" w:hAnsi="Verdana" w:cs="Arial"/>
          <w:sz w:val="20"/>
          <w:szCs w:val="20"/>
          <w:lang w:eastAsia="es-CO"/>
        </w:rPr>
      </w:pPr>
      <w:r w:rsidRPr="00256973">
        <w:rPr>
          <w:rFonts w:ascii="Verdana" w:eastAsia="Times New Roman" w:hAnsi="Verdana" w:cs="Arial"/>
          <w:bCs/>
          <w:sz w:val="20"/>
          <w:szCs w:val="20"/>
          <w:lang w:eastAsia="x-none"/>
        </w:rPr>
        <w:t xml:space="preserve">No obstante, frente a la celebración de una promesa de compraventa o de un contrato de compraventa, sí resulta aplicable la restricción prevista en el citado artículo 33 ibidem, razón por la cual se reitera la postura sostenida en los conceptos C-1512 y C-1529, en tanto dichos negocios jurídicos comportan la celebración directa de un contrato estatal. </w:t>
      </w:r>
      <w:r w:rsidRPr="00256973">
        <w:rPr>
          <w:rFonts w:ascii="Verdana" w:eastAsia="Calibri" w:hAnsi="Verdana" w:cs="Arial"/>
          <w:sz w:val="20"/>
          <w:szCs w:val="20"/>
          <w:lang w:eastAsia="es-CO"/>
        </w:rPr>
        <w:t xml:space="preserve">En efecto, en la promesa de compraventa </w:t>
      </w:r>
      <w:r w:rsidRPr="00256973">
        <w:rPr>
          <w:rFonts w:ascii="Verdana" w:eastAsia="Calibri" w:hAnsi="Verdana" w:cs="Arial"/>
          <w:sz w:val="20"/>
          <w:szCs w:val="20"/>
        </w:rPr>
        <w:t>y</w:t>
      </w:r>
      <w:r w:rsidRPr="00256973">
        <w:rPr>
          <w:rFonts w:ascii="Verdana" w:eastAsia="Calibri" w:hAnsi="Verdana" w:cs="Arial"/>
          <w:sz w:val="20"/>
          <w:szCs w:val="20"/>
          <w:lang w:eastAsia="es-CO"/>
        </w:rPr>
        <w:t xml:space="preserve"> en el contrato de compraventa </w:t>
      </w:r>
      <w:r w:rsidRPr="00256973">
        <w:rPr>
          <w:rFonts w:ascii="Verdana" w:eastAsia="Times New Roman" w:hAnsi="Verdana" w:cs="Arial"/>
          <w:sz w:val="20"/>
          <w:szCs w:val="20"/>
          <w:lang w:val="es-ES" w:eastAsia="es-ES_tradnl"/>
        </w:rPr>
        <w:t xml:space="preserve">participan entidades estatales y se invierten recursos de naturaleza pública, por lo cual puede afirmarse que estos actos jurídicos negociales son auténticos contratos estatales, según el criterio orgánico establecido en el artículo 32 de la Ley 80 de 1993, en concordancia el artículo 2 </w:t>
      </w:r>
      <w:r w:rsidRPr="00256973">
        <w:rPr>
          <w:rFonts w:ascii="Verdana" w:eastAsia="Times New Roman" w:hAnsi="Verdana" w:cs="Arial"/>
          <w:i/>
          <w:iCs/>
          <w:sz w:val="20"/>
          <w:szCs w:val="20"/>
          <w:lang w:val="es-ES" w:eastAsia="es-ES_tradnl"/>
        </w:rPr>
        <w:t>ibidem.</w:t>
      </w:r>
      <w:r w:rsidRPr="00256973">
        <w:rPr>
          <w:rFonts w:ascii="Verdana" w:eastAsia="Times New Roman" w:hAnsi="Verdana" w:cs="Arial"/>
          <w:sz w:val="20"/>
          <w:szCs w:val="20"/>
          <w:lang w:val="es-ES" w:eastAsia="es-ES_tradnl"/>
        </w:rPr>
        <w:t xml:space="preserve"> Estos negocios jurídicos, así como los demás que se suscriban de forma directa como cesiones de inmueble o permutas entre entidades estatales, </w:t>
      </w:r>
      <w:r w:rsidRPr="00256973">
        <w:rPr>
          <w:rFonts w:ascii="Verdana" w:eastAsia="Calibri" w:hAnsi="Verdana" w:cs="Arial"/>
          <w:sz w:val="20"/>
          <w:szCs w:val="20"/>
          <w:lang w:eastAsia="es-CO"/>
        </w:rPr>
        <w:t xml:space="preserve">constituyen formas de contratación directa en cuanto su celebración se realiza con un sujeto determinado, sin convocatoria pública y sin posibilidad de concurrencia de una pluralidad de oferentes. </w:t>
      </w:r>
    </w:p>
    <w:p w14:paraId="7AA40FB3" w14:textId="6D8E1519" w:rsidR="00810BC3" w:rsidRPr="00810BC3" w:rsidRDefault="00810BC3" w:rsidP="00810BC3">
      <w:pPr>
        <w:spacing w:line="276" w:lineRule="auto"/>
        <w:jc w:val="both"/>
        <w:rPr>
          <w:rFonts w:ascii="Verdana" w:eastAsia="Calibri" w:hAnsi="Verdana" w:cs="Arial"/>
          <w:b/>
          <w:bCs/>
          <w:lang w:val="es-ES" w:eastAsia="es-ES"/>
        </w:rPr>
      </w:pPr>
      <w:r w:rsidRPr="00810BC3">
        <w:rPr>
          <w:rFonts w:ascii="Verdana" w:eastAsia="Calibri" w:hAnsi="Verdana" w:cs="Arial"/>
          <w:b/>
          <w:bCs/>
          <w:lang w:val="es-ES" w:eastAsia="es-ES"/>
        </w:rPr>
        <w:t xml:space="preserve">                </w:t>
      </w:r>
    </w:p>
    <w:p w14:paraId="5542B199" w14:textId="009524D0" w:rsidR="00810BC3" w:rsidRDefault="00810BC3">
      <w:pPr>
        <w:rPr>
          <w:rFonts w:ascii="Verdana" w:eastAsia="Verdana" w:hAnsi="Verdana" w:cs="Verdana"/>
        </w:rPr>
      </w:pPr>
      <w:r>
        <w:rPr>
          <w:rFonts w:ascii="Verdana" w:eastAsia="Verdana" w:hAnsi="Verdana" w:cs="Verdana"/>
        </w:rPr>
        <w:br w:type="page"/>
      </w:r>
    </w:p>
    <w:p w14:paraId="1468C46D" w14:textId="09D5419C" w:rsidR="00C15139" w:rsidRPr="0024624F" w:rsidRDefault="00810BC3" w:rsidP="30821638">
      <w:pPr>
        <w:spacing w:after="0"/>
        <w:rPr>
          <w:rFonts w:ascii="Verdana" w:eastAsia="Verdana" w:hAnsi="Verdana" w:cs="Verdana"/>
        </w:rPr>
      </w:pPr>
      <w:r w:rsidRPr="00810BC3">
        <w:rPr>
          <w:rFonts w:ascii="Verdana" w:eastAsia="Verdana" w:hAnsi="Verdana" w:cs="Verdana"/>
          <w:noProof/>
        </w:rPr>
        <w:lastRenderedPageBreak/>
        <w:drawing>
          <wp:anchor distT="0" distB="0" distL="114300" distR="114300" simplePos="0" relativeHeight="251659264" behindDoc="1" locked="0" layoutInCell="1" allowOverlap="1" wp14:anchorId="421BE208" wp14:editId="52DB7E5E">
            <wp:simplePos x="0" y="0"/>
            <wp:positionH relativeFrom="column">
              <wp:posOffset>3069170</wp:posOffset>
            </wp:positionH>
            <wp:positionV relativeFrom="paragraph">
              <wp:posOffset>8855</wp:posOffset>
            </wp:positionV>
            <wp:extent cx="2371569" cy="636676"/>
            <wp:effectExtent l="0" t="0" r="0" b="0"/>
            <wp:wrapNone/>
            <wp:docPr id="154020570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81338" cy="63929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5139" w:rsidRPr="30821638">
        <w:rPr>
          <w:rFonts w:ascii="Verdana" w:eastAsia="Verdana" w:hAnsi="Verdana" w:cs="Verdana"/>
        </w:rPr>
        <w:t xml:space="preserve">Bogotá D.C., </w:t>
      </w:r>
      <w:r>
        <w:rPr>
          <w:rFonts w:ascii="Verdana" w:eastAsia="Verdana" w:hAnsi="Verdana" w:cs="Verdana"/>
        </w:rPr>
        <w:t>27 Marzo 2026</w:t>
      </w:r>
      <w:r w:rsidR="00C15139">
        <w:br/>
      </w:r>
      <w:r w:rsidR="00C15139">
        <w:tab/>
      </w:r>
    </w:p>
    <w:p w14:paraId="0E6ABF8A" w14:textId="77777777" w:rsidR="00344BAF" w:rsidRPr="0018723E" w:rsidRDefault="00344BAF" w:rsidP="00344BAF">
      <w:pPr>
        <w:spacing w:after="0" w:line="240" w:lineRule="auto"/>
        <w:jc w:val="both"/>
        <w:rPr>
          <w:rFonts w:ascii="Verdana" w:eastAsia="Calibri" w:hAnsi="Verdana" w:cs="Arial"/>
          <w:lang w:eastAsia="es-ES"/>
        </w:rPr>
      </w:pPr>
      <w:r w:rsidRPr="001129A3">
        <w:rPr>
          <w:rFonts w:ascii="Verdana" w:eastAsia="Calibri" w:hAnsi="Verdana" w:cs="Arial"/>
          <w:lang w:eastAsia="es-ES"/>
        </w:rPr>
        <w:t>Señor</w:t>
      </w:r>
    </w:p>
    <w:p w14:paraId="754F95FE" w14:textId="4524C5D2" w:rsidR="00C86694" w:rsidRDefault="00D4262D" w:rsidP="00344BAF">
      <w:pPr>
        <w:spacing w:after="0" w:line="240" w:lineRule="auto"/>
        <w:rPr>
          <w:rFonts w:ascii="Verdana" w:eastAsia="Calibri" w:hAnsi="Verdana" w:cs="Arial"/>
          <w:b/>
          <w:lang w:eastAsia="es-ES_tradnl"/>
        </w:rPr>
      </w:pPr>
      <w:r w:rsidRPr="00C86694">
        <w:rPr>
          <w:rFonts w:ascii="Verdana" w:eastAsia="Calibri" w:hAnsi="Verdana" w:cs="Arial"/>
          <w:b/>
          <w:lang w:eastAsia="es-ES_tradnl"/>
        </w:rPr>
        <w:t>Cristhiam Humberto</w:t>
      </w:r>
      <w:r>
        <w:rPr>
          <w:rFonts w:ascii="Verdana" w:eastAsia="Calibri" w:hAnsi="Verdana" w:cs="Arial"/>
          <w:b/>
          <w:lang w:eastAsia="es-ES_tradnl"/>
        </w:rPr>
        <w:t xml:space="preserve"> </w:t>
      </w:r>
      <w:r w:rsidR="005D7A12" w:rsidRPr="00D4262D">
        <w:rPr>
          <w:rFonts w:ascii="Verdana" w:eastAsia="Calibri" w:hAnsi="Verdana" w:cs="Arial"/>
          <w:b/>
          <w:lang w:eastAsia="es-ES_tradnl"/>
        </w:rPr>
        <w:t>Jiménez</w:t>
      </w:r>
      <w:r w:rsidRPr="00D4262D">
        <w:rPr>
          <w:rFonts w:ascii="Verdana" w:eastAsia="Calibri" w:hAnsi="Verdana" w:cs="Arial"/>
          <w:b/>
          <w:lang w:eastAsia="es-ES_tradnl"/>
        </w:rPr>
        <w:t xml:space="preserve"> </w:t>
      </w:r>
      <w:r w:rsidR="005D7A12" w:rsidRPr="00D4262D">
        <w:rPr>
          <w:rFonts w:ascii="Verdana" w:eastAsia="Calibri" w:hAnsi="Verdana" w:cs="Arial"/>
          <w:b/>
          <w:lang w:eastAsia="es-ES_tradnl"/>
        </w:rPr>
        <w:t>Arévalo</w:t>
      </w:r>
    </w:p>
    <w:p w14:paraId="0DC237BC" w14:textId="4F2AAEF3" w:rsidR="00344BAF" w:rsidRPr="00D4262D" w:rsidRDefault="00D4262D" w:rsidP="00344BAF">
      <w:pPr>
        <w:spacing w:after="0" w:line="240" w:lineRule="auto"/>
        <w:rPr>
          <w:rFonts w:ascii="Verdana" w:hAnsi="Verdana"/>
        </w:rPr>
      </w:pPr>
      <w:hyperlink r:id="rId12" w:history="1">
        <w:r w:rsidRPr="00D4262D">
          <w:rPr>
            <w:rStyle w:val="Hipervnculo"/>
            <w:rFonts w:ascii="Verdana" w:hAnsi="Verdana"/>
          </w:rPr>
          <w:t>secambiente@nortedesantander.gov.co</w:t>
        </w:r>
      </w:hyperlink>
    </w:p>
    <w:p w14:paraId="6EE0D500" w14:textId="2A338C8B" w:rsidR="00344BAF" w:rsidRPr="0018723E" w:rsidRDefault="00D4262D" w:rsidP="00344BAF">
      <w:pPr>
        <w:spacing w:after="0" w:line="240" w:lineRule="auto"/>
        <w:rPr>
          <w:rFonts w:ascii="Verdana" w:hAnsi="Verdana"/>
        </w:rPr>
      </w:pPr>
      <w:r>
        <w:rPr>
          <w:rFonts w:ascii="Verdana" w:hAnsi="Verdana"/>
        </w:rPr>
        <w:t>Cucura</w:t>
      </w:r>
      <w:r w:rsidR="00344BAF" w:rsidRPr="001129A3">
        <w:rPr>
          <w:rFonts w:ascii="Verdana" w:hAnsi="Verdana"/>
        </w:rPr>
        <w:t xml:space="preserve"> – </w:t>
      </w:r>
      <w:r>
        <w:rPr>
          <w:rFonts w:ascii="Verdana" w:hAnsi="Verdana"/>
        </w:rPr>
        <w:t>Norte de Santander</w:t>
      </w:r>
      <w:r w:rsidR="00344BAF" w:rsidRPr="001129A3">
        <w:rPr>
          <w:rFonts w:ascii="Verdana" w:hAnsi="Verdana"/>
        </w:rPr>
        <w:t>, Colombia</w:t>
      </w:r>
    </w:p>
    <w:p w14:paraId="4258598F" w14:textId="77777777" w:rsidR="00344BAF" w:rsidRPr="001129A3" w:rsidRDefault="00344BAF" w:rsidP="00344BAF">
      <w:pPr>
        <w:spacing w:after="0" w:line="240" w:lineRule="auto"/>
        <w:rPr>
          <w:rFonts w:ascii="Verdana" w:eastAsia="Calibri" w:hAnsi="Verdana" w:cs="Arial"/>
          <w:b/>
          <w:lang w:eastAsia="es-ES_tradnl"/>
        </w:rPr>
      </w:pPr>
    </w:p>
    <w:p w14:paraId="5270A6D4" w14:textId="77777777" w:rsidR="00344BAF" w:rsidRPr="001129A3" w:rsidRDefault="00344BAF" w:rsidP="00344BAF">
      <w:pPr>
        <w:spacing w:after="0" w:line="240" w:lineRule="auto"/>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344BAF" w:rsidRPr="001129A3" w14:paraId="23CA510F" w14:textId="77777777" w:rsidTr="00D36099">
        <w:trPr>
          <w:trHeight w:val="162"/>
        </w:trPr>
        <w:tc>
          <w:tcPr>
            <w:tcW w:w="3119" w:type="dxa"/>
          </w:tcPr>
          <w:p w14:paraId="46BCF1BA" w14:textId="77777777" w:rsidR="00344BAF" w:rsidRPr="001129A3" w:rsidRDefault="00344BAF" w:rsidP="00D36099">
            <w:pPr>
              <w:jc w:val="both"/>
              <w:rPr>
                <w:rFonts w:ascii="Verdana" w:eastAsia="Calibri" w:hAnsi="Verdana" w:cs="Arial"/>
                <w:b/>
                <w:bCs/>
                <w:color w:val="7030A0"/>
                <w:lang w:eastAsia="es-ES_tradnl"/>
              </w:rPr>
            </w:pPr>
          </w:p>
        </w:tc>
        <w:tc>
          <w:tcPr>
            <w:tcW w:w="5670" w:type="dxa"/>
          </w:tcPr>
          <w:p w14:paraId="599236D3" w14:textId="383E4AE0" w:rsidR="00344BAF" w:rsidRPr="001129A3" w:rsidRDefault="00344BAF" w:rsidP="00D36099">
            <w:pPr>
              <w:rPr>
                <w:rFonts w:ascii="Verdana" w:eastAsia="Calibri" w:hAnsi="Verdana" w:cs="Arial"/>
                <w:b/>
                <w:bCs/>
                <w:lang w:eastAsia="es-ES"/>
              </w:rPr>
            </w:pPr>
            <w:r w:rsidRPr="001129A3">
              <w:rPr>
                <w:rFonts w:ascii="Verdana" w:eastAsia="Calibri" w:hAnsi="Verdana" w:cs="Arial"/>
                <w:b/>
                <w:bCs/>
                <w:lang w:eastAsia="es-ES"/>
              </w:rPr>
              <w:t>Concepto C-</w:t>
            </w:r>
            <w:r w:rsidR="005D7A12">
              <w:rPr>
                <w:rFonts w:ascii="Verdana" w:eastAsia="Calibri" w:hAnsi="Verdana" w:cs="Arial"/>
                <w:b/>
                <w:bCs/>
                <w:lang w:eastAsia="es-ES"/>
              </w:rPr>
              <w:t>240</w:t>
            </w:r>
            <w:r w:rsidRPr="001129A3">
              <w:rPr>
                <w:rFonts w:ascii="Verdana" w:eastAsia="Calibri" w:hAnsi="Verdana" w:cs="Arial"/>
                <w:b/>
                <w:bCs/>
                <w:lang w:eastAsia="es-ES"/>
              </w:rPr>
              <w:t xml:space="preserve"> de 2026</w:t>
            </w:r>
          </w:p>
          <w:p w14:paraId="594E16B7" w14:textId="77777777" w:rsidR="00344BAF" w:rsidRPr="001129A3" w:rsidRDefault="00344BAF" w:rsidP="00D36099">
            <w:pPr>
              <w:jc w:val="center"/>
              <w:rPr>
                <w:rFonts w:ascii="Verdana" w:eastAsia="Calibri" w:hAnsi="Verdana" w:cs="Arial"/>
                <w:b/>
                <w:bCs/>
                <w:color w:val="7030A0"/>
                <w:lang w:eastAsia="es-ES"/>
              </w:rPr>
            </w:pPr>
          </w:p>
        </w:tc>
      </w:tr>
      <w:tr w:rsidR="00344BAF" w:rsidRPr="001129A3" w14:paraId="04021860" w14:textId="77777777" w:rsidTr="00D36099">
        <w:trPr>
          <w:trHeight w:val="884"/>
        </w:trPr>
        <w:tc>
          <w:tcPr>
            <w:tcW w:w="3119" w:type="dxa"/>
          </w:tcPr>
          <w:p w14:paraId="2394797A" w14:textId="77777777" w:rsidR="00344BAF" w:rsidRPr="0018723E" w:rsidRDefault="00344BAF" w:rsidP="00D36099">
            <w:pPr>
              <w:jc w:val="both"/>
              <w:rPr>
                <w:rFonts w:ascii="Verdana" w:eastAsia="Calibri" w:hAnsi="Verdana" w:cs="Arial"/>
                <w:color w:val="000000"/>
                <w:lang w:eastAsia="es-ES_tradnl"/>
              </w:rPr>
            </w:pPr>
            <w:r w:rsidRPr="001129A3">
              <w:rPr>
                <w:rFonts w:ascii="Verdana" w:eastAsia="Calibri" w:hAnsi="Verdana" w:cs="Arial"/>
                <w:b/>
                <w:color w:val="000000"/>
                <w:lang w:eastAsia="es-ES_tradnl"/>
              </w:rPr>
              <w:t>Temas:</w:t>
            </w:r>
            <w:r w:rsidRPr="001129A3">
              <w:rPr>
                <w:rFonts w:ascii="Verdana" w:eastAsia="Calibri" w:hAnsi="Verdana" w:cs="Arial"/>
                <w:color w:val="000000"/>
                <w:lang w:eastAsia="es-ES_tradnl"/>
              </w:rPr>
              <w:t xml:space="preserve">                   </w:t>
            </w:r>
          </w:p>
        </w:tc>
        <w:tc>
          <w:tcPr>
            <w:tcW w:w="5670" w:type="dxa"/>
          </w:tcPr>
          <w:p w14:paraId="3FA6424D" w14:textId="77777777" w:rsidR="0072403C" w:rsidRDefault="0072403C" w:rsidP="0072403C">
            <w:pPr>
              <w:spacing w:line="276" w:lineRule="auto"/>
              <w:jc w:val="both"/>
              <w:rPr>
                <w:rFonts w:ascii="Verdana" w:eastAsia="Calibri" w:hAnsi="Verdana" w:cs="Arial"/>
                <w:lang w:val="es-ES" w:eastAsia="es-ES"/>
              </w:rPr>
            </w:pPr>
            <w:r>
              <w:rPr>
                <w:rFonts w:ascii="Verdana" w:eastAsia="Calibri" w:hAnsi="Verdana" w:cs="Arial"/>
                <w:lang w:val="es-ES" w:eastAsia="es-ES"/>
              </w:rPr>
              <w:t xml:space="preserve">LEY DE GARANTÍAS ELECTORALES – Prohibición artículo 33 – Contratación directa – Alcance / LEY DE GARANTÍAS ELECTORALES – Excepciones / LEY DE GARANTÍAS ELECTORALES – Prohibición del artículo 33 – Destinatarios / ENAJENACIÓN VOLUNTARIA – Objeto – Aplicación – Ley de Garantías Electorales – Restricción- Contratación Directa                     </w:t>
            </w:r>
          </w:p>
          <w:p w14:paraId="66C3E3AC" w14:textId="77777777" w:rsidR="00344BAF" w:rsidRPr="001129A3" w:rsidRDefault="00344BAF" w:rsidP="00D36099">
            <w:pPr>
              <w:jc w:val="both"/>
              <w:rPr>
                <w:rFonts w:ascii="Verdana" w:eastAsia="Calibri" w:hAnsi="Verdana" w:cs="Arial"/>
                <w:lang w:val="es-ES" w:eastAsia="es-ES"/>
              </w:rPr>
            </w:pPr>
          </w:p>
        </w:tc>
      </w:tr>
      <w:tr w:rsidR="00344BAF" w:rsidRPr="001129A3" w14:paraId="5805EB0F" w14:textId="77777777" w:rsidTr="00D36099">
        <w:tc>
          <w:tcPr>
            <w:tcW w:w="3119" w:type="dxa"/>
          </w:tcPr>
          <w:p w14:paraId="5F6DDB03" w14:textId="77777777" w:rsidR="00344BAF" w:rsidRPr="0018723E" w:rsidRDefault="00344BAF" w:rsidP="00D36099">
            <w:pPr>
              <w:jc w:val="both"/>
              <w:rPr>
                <w:rFonts w:ascii="Verdana" w:eastAsia="Calibri" w:hAnsi="Verdana" w:cs="Arial"/>
                <w:b/>
                <w:lang w:eastAsia="es-ES_tradnl"/>
              </w:rPr>
            </w:pPr>
            <w:r w:rsidRPr="001129A3">
              <w:rPr>
                <w:rFonts w:ascii="Verdana" w:eastAsia="Calibri" w:hAnsi="Verdana" w:cs="Arial"/>
                <w:b/>
                <w:lang w:eastAsia="es-ES_tradnl"/>
              </w:rPr>
              <w:t>Radicación:</w:t>
            </w:r>
            <w:r w:rsidRPr="001129A3">
              <w:rPr>
                <w:rFonts w:ascii="Verdana" w:eastAsia="Calibri" w:hAnsi="Verdana" w:cs="Arial"/>
                <w:lang w:eastAsia="es-ES_tradnl"/>
              </w:rPr>
              <w:t xml:space="preserve">               </w:t>
            </w:r>
          </w:p>
        </w:tc>
        <w:tc>
          <w:tcPr>
            <w:tcW w:w="5670" w:type="dxa"/>
          </w:tcPr>
          <w:p w14:paraId="1477EE84" w14:textId="4515BB4C" w:rsidR="00344BAF" w:rsidRPr="001129A3" w:rsidRDefault="00344BAF" w:rsidP="00D36099">
            <w:pPr>
              <w:jc w:val="both"/>
              <w:rPr>
                <w:rFonts w:ascii="Verdana" w:eastAsia="Calibri" w:hAnsi="Verdana" w:cs="Arial"/>
                <w:lang w:eastAsia="es-ES_tradnl"/>
              </w:rPr>
            </w:pPr>
            <w:r w:rsidRPr="001129A3">
              <w:rPr>
                <w:rFonts w:ascii="Verdana" w:eastAsia="Calibri" w:hAnsi="Verdana" w:cs="Arial"/>
                <w:lang w:eastAsia="es-ES_tradnl"/>
              </w:rPr>
              <w:t xml:space="preserve">Respuesta a consulta con radicado No. </w:t>
            </w:r>
            <w:r w:rsidR="005D7A12" w:rsidRPr="005D7A12">
              <w:rPr>
                <w:rFonts w:ascii="Verdana" w:eastAsia="Calibri" w:hAnsi="Verdana" w:cs="Arial"/>
                <w:lang w:eastAsia="es-ES_tradnl"/>
              </w:rPr>
              <w:t>1_2026_02_17_002063</w:t>
            </w:r>
          </w:p>
        </w:tc>
      </w:tr>
    </w:tbl>
    <w:p w14:paraId="7617859F" w14:textId="77777777" w:rsidR="00344BAF" w:rsidRPr="001129A3" w:rsidRDefault="00344BAF" w:rsidP="00344BAF">
      <w:pPr>
        <w:spacing w:after="0" w:line="240" w:lineRule="auto"/>
        <w:jc w:val="both"/>
        <w:rPr>
          <w:rFonts w:ascii="Verdana" w:eastAsia="Calibri" w:hAnsi="Verdana" w:cs="Arial"/>
          <w:lang w:eastAsia="es-ES_tradnl"/>
        </w:rPr>
      </w:pPr>
    </w:p>
    <w:p w14:paraId="7F6E2988" w14:textId="2A583CEC" w:rsidR="00344BAF" w:rsidRPr="000952AC" w:rsidRDefault="00344BAF" w:rsidP="00344BAF">
      <w:pPr>
        <w:spacing w:after="0" w:line="276" w:lineRule="auto"/>
        <w:jc w:val="both"/>
        <w:rPr>
          <w:rFonts w:ascii="Verdana" w:eastAsia="Calibri" w:hAnsi="Verdana" w:cs="Arial"/>
          <w:lang w:eastAsia="es-ES"/>
        </w:rPr>
      </w:pPr>
      <w:r w:rsidRPr="000952AC">
        <w:rPr>
          <w:rFonts w:ascii="Verdana" w:eastAsia="Calibri" w:hAnsi="Verdana" w:cs="Arial"/>
          <w:lang w:eastAsia="es-ES"/>
        </w:rPr>
        <w:t>Estimad</w:t>
      </w:r>
      <w:r w:rsidR="005D7A12">
        <w:rPr>
          <w:rFonts w:ascii="Verdana" w:eastAsia="Calibri" w:hAnsi="Verdana" w:cs="Arial"/>
          <w:lang w:eastAsia="es-ES"/>
        </w:rPr>
        <w:t>o</w:t>
      </w:r>
      <w:r w:rsidRPr="000952AC">
        <w:rPr>
          <w:rFonts w:ascii="Verdana" w:eastAsia="Calibri" w:hAnsi="Verdana" w:cs="Arial"/>
          <w:lang w:eastAsia="es-ES"/>
        </w:rPr>
        <w:t xml:space="preserve"> señor</w:t>
      </w:r>
      <w:r>
        <w:rPr>
          <w:rFonts w:ascii="Verdana" w:eastAsia="Calibri" w:hAnsi="Verdana" w:cs="Arial"/>
          <w:lang w:eastAsia="es-ES"/>
        </w:rPr>
        <w:t xml:space="preserve">, </w:t>
      </w:r>
      <w:r w:rsidR="005D7A12">
        <w:rPr>
          <w:rFonts w:ascii="Verdana" w:eastAsia="Calibri" w:hAnsi="Verdana" w:cs="Arial"/>
          <w:lang w:eastAsia="es-ES"/>
        </w:rPr>
        <w:t>Jiménez</w:t>
      </w:r>
      <w:r>
        <w:rPr>
          <w:rFonts w:ascii="Verdana" w:eastAsia="Calibri" w:hAnsi="Verdana" w:cs="Arial"/>
          <w:lang w:eastAsia="es-ES"/>
        </w:rPr>
        <w:t>:</w:t>
      </w:r>
      <w:r w:rsidRPr="000952AC">
        <w:rPr>
          <w:rFonts w:ascii="Verdana" w:eastAsia="Calibri" w:hAnsi="Verdana" w:cs="Arial"/>
          <w:lang w:eastAsia="es-ES"/>
        </w:rPr>
        <w:t xml:space="preserve"> </w:t>
      </w:r>
    </w:p>
    <w:p w14:paraId="62AA2936" w14:textId="592A3BB5" w:rsidR="00344BAF" w:rsidRPr="000952AC" w:rsidRDefault="00344BAF" w:rsidP="001275FD">
      <w:pPr>
        <w:spacing w:before="240" w:after="0" w:line="276" w:lineRule="auto"/>
        <w:jc w:val="both"/>
        <w:rPr>
          <w:rFonts w:ascii="Verdana" w:eastAsia="Calibri" w:hAnsi="Verdana" w:cs="Arial"/>
          <w:lang w:eastAsia="es-ES"/>
        </w:rPr>
      </w:pPr>
      <w:r w:rsidRPr="000952AC">
        <w:rPr>
          <w:rFonts w:ascii="Verdana" w:eastAsia="Calibri" w:hAnsi="Verdana" w:cs="Arial"/>
          <w:color w:val="000000" w:themeColor="text1"/>
          <w:lang w:eastAsia="es-ES"/>
        </w:rPr>
        <w:t>En ejercicio de la competencia otorgada por los artículos 3, numeral 5º, y 11, numeral 8º, del Decreto Ley 4170 de 2011,</w:t>
      </w:r>
      <w:r w:rsidRPr="000952AC">
        <w:rPr>
          <w:rFonts w:ascii="Verdana" w:eastAsia="Arial MT" w:hAnsi="Verdana" w:cs="Arial MT"/>
          <w:lang w:eastAsia="es-ES"/>
        </w:rPr>
        <w:t xml:space="preserve"> </w:t>
      </w:r>
      <w:r w:rsidRPr="000952AC">
        <w:rPr>
          <w:rFonts w:ascii="Verdana" w:hAnsi="Verdana" w:cs="Arial"/>
        </w:rPr>
        <w:t xml:space="preserve">así como lo establecido en el artículo 4 de la Resolución 1707 de 2018 expedida por esta Entidad, </w:t>
      </w:r>
      <w:r w:rsidRPr="000952AC">
        <w:rPr>
          <w:rFonts w:ascii="Verdana" w:eastAsia="Calibri" w:hAnsi="Verdana" w:cs="Arial"/>
          <w:color w:val="000000" w:themeColor="text1"/>
          <w:lang w:eastAsia="es-ES"/>
        </w:rPr>
        <w:t xml:space="preserve">la Agencia Nacional de Contratación </w:t>
      </w:r>
      <w:r w:rsidRPr="000952AC">
        <w:rPr>
          <w:rFonts w:ascii="Verdana" w:eastAsia="Calibri" w:hAnsi="Verdana" w:cs="Arial"/>
          <w:lang w:eastAsia="es-ES"/>
        </w:rPr>
        <w:t xml:space="preserve">Pública – Colombia Compra Eficiente– responde su solicitud de consulta de fecha </w:t>
      </w:r>
      <w:r w:rsidR="009D71C2">
        <w:rPr>
          <w:rFonts w:ascii="Verdana" w:eastAsia="Calibri" w:hAnsi="Verdana" w:cs="Arial"/>
          <w:lang w:eastAsia="es-ES"/>
        </w:rPr>
        <w:t>17</w:t>
      </w:r>
      <w:r>
        <w:rPr>
          <w:rFonts w:ascii="Verdana" w:eastAsia="Calibri" w:hAnsi="Verdana" w:cs="Arial"/>
          <w:lang w:eastAsia="es-ES"/>
        </w:rPr>
        <w:t xml:space="preserve"> de febrero</w:t>
      </w:r>
      <w:r w:rsidRPr="000952AC">
        <w:rPr>
          <w:rFonts w:ascii="Verdana" w:eastAsia="Calibri" w:hAnsi="Verdana" w:cs="Arial"/>
          <w:lang w:eastAsia="es-ES"/>
        </w:rPr>
        <w:t xml:space="preserve"> de 202</w:t>
      </w:r>
      <w:r>
        <w:rPr>
          <w:rFonts w:ascii="Verdana" w:eastAsia="Calibri" w:hAnsi="Verdana" w:cs="Arial"/>
          <w:lang w:eastAsia="es-ES"/>
        </w:rPr>
        <w:t>6</w:t>
      </w:r>
      <w:r w:rsidRPr="000952AC">
        <w:rPr>
          <w:rFonts w:ascii="Verdana" w:eastAsia="Calibri" w:hAnsi="Verdana" w:cs="Arial"/>
          <w:lang w:eastAsia="es-ES"/>
        </w:rPr>
        <w:t xml:space="preserve">, en la cual manifiesta lo siguiente: </w:t>
      </w:r>
    </w:p>
    <w:p w14:paraId="34FBE8AA" w14:textId="77777777" w:rsidR="00344BAF" w:rsidRPr="000952AC" w:rsidRDefault="00344BAF" w:rsidP="00344BAF">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lang w:val="es-CO"/>
        </w:rPr>
      </w:pPr>
    </w:p>
    <w:p w14:paraId="6F4A1799" w14:textId="77777777" w:rsidR="00463F8C" w:rsidRPr="00463F8C" w:rsidRDefault="00344BAF" w:rsidP="00253455">
      <w:pPr>
        <w:spacing w:after="0" w:line="240" w:lineRule="auto"/>
        <w:ind w:left="709" w:right="709"/>
        <w:jc w:val="both"/>
        <w:rPr>
          <w:rFonts w:ascii="Verdana" w:eastAsia="Century Gothic" w:hAnsi="Verdana" w:cs="Century Gothic"/>
          <w:i/>
          <w:iCs/>
          <w:sz w:val="20"/>
          <w:szCs w:val="20"/>
        </w:rPr>
      </w:pPr>
      <w:bookmarkStart w:id="1" w:name="_Hlk192699624"/>
      <w:bookmarkStart w:id="2" w:name="_Hlk199394899"/>
      <w:r w:rsidRPr="00463F8C">
        <w:rPr>
          <w:rFonts w:ascii="Verdana" w:eastAsia="Century Gothic" w:hAnsi="Verdana" w:cs="Century Gothic"/>
          <w:i/>
          <w:iCs/>
          <w:sz w:val="20"/>
          <w:szCs w:val="20"/>
        </w:rPr>
        <w:t>“</w:t>
      </w:r>
      <w:bookmarkEnd w:id="1"/>
      <w:r w:rsidR="00463F8C" w:rsidRPr="00463F8C">
        <w:rPr>
          <w:rFonts w:ascii="Verdana" w:eastAsia="Century Gothic" w:hAnsi="Verdana" w:cs="Century Gothic"/>
          <w:i/>
          <w:iCs/>
          <w:sz w:val="20"/>
          <w:szCs w:val="20"/>
        </w:rPr>
        <w:t>(…)</w:t>
      </w:r>
    </w:p>
    <w:p w14:paraId="052C0B35" w14:textId="77777777" w:rsidR="00463F8C" w:rsidRPr="00463F8C" w:rsidRDefault="00463F8C" w:rsidP="00253455">
      <w:pPr>
        <w:spacing w:after="0" w:line="240" w:lineRule="auto"/>
        <w:ind w:left="709" w:right="709"/>
        <w:jc w:val="both"/>
        <w:rPr>
          <w:rFonts w:ascii="Verdana" w:eastAsia="Century Gothic" w:hAnsi="Verdana" w:cs="Century Gothic"/>
          <w:i/>
          <w:iCs/>
          <w:sz w:val="20"/>
          <w:szCs w:val="20"/>
        </w:rPr>
      </w:pPr>
    </w:p>
    <w:p w14:paraId="4B12EA56" w14:textId="343B4600" w:rsidR="00463F8C" w:rsidRPr="00463F8C" w:rsidRDefault="00253455" w:rsidP="00253455">
      <w:pPr>
        <w:spacing w:after="0" w:line="240" w:lineRule="auto"/>
        <w:ind w:left="709" w:right="709"/>
        <w:jc w:val="both"/>
        <w:rPr>
          <w:rFonts w:ascii="Verdana" w:eastAsia="Century Gothic" w:hAnsi="Verdana" w:cs="Century Gothic"/>
          <w:i/>
          <w:iCs/>
          <w:sz w:val="20"/>
          <w:szCs w:val="20"/>
        </w:rPr>
      </w:pPr>
      <w:r w:rsidRPr="00463F8C">
        <w:rPr>
          <w:rFonts w:ascii="Verdana" w:eastAsia="Century Gothic" w:hAnsi="Verdana" w:cs="Century Gothic"/>
          <w:i/>
          <w:iCs/>
          <w:sz w:val="20"/>
          <w:szCs w:val="20"/>
        </w:rPr>
        <w:t xml:space="preserve">La </w:t>
      </w:r>
      <w:r w:rsidR="0066114B" w:rsidRPr="00463F8C">
        <w:rPr>
          <w:rFonts w:ascii="Verdana" w:eastAsia="Century Gothic" w:hAnsi="Verdana" w:cs="Century Gothic"/>
          <w:i/>
          <w:iCs/>
          <w:sz w:val="20"/>
          <w:szCs w:val="20"/>
        </w:rPr>
        <w:t>Gobernación</w:t>
      </w:r>
      <w:r w:rsidRPr="00463F8C">
        <w:rPr>
          <w:rFonts w:ascii="Verdana" w:eastAsia="Century Gothic" w:hAnsi="Verdana" w:cs="Century Gothic"/>
          <w:i/>
          <w:iCs/>
          <w:sz w:val="20"/>
          <w:szCs w:val="20"/>
        </w:rPr>
        <w:t xml:space="preserve"> de Norte de: Santander </w:t>
      </w:r>
      <w:r w:rsidR="004E09CA" w:rsidRPr="00463F8C">
        <w:rPr>
          <w:rFonts w:ascii="Verdana" w:eastAsia="Century Gothic" w:hAnsi="Verdana" w:cs="Century Gothic"/>
          <w:i/>
          <w:iCs/>
          <w:sz w:val="20"/>
          <w:szCs w:val="20"/>
        </w:rPr>
        <w:t>r</w:t>
      </w:r>
      <w:r w:rsidRPr="00463F8C">
        <w:rPr>
          <w:rFonts w:ascii="Verdana" w:eastAsia="Century Gothic" w:hAnsi="Verdana" w:cs="Century Gothic"/>
          <w:i/>
          <w:iCs/>
          <w:sz w:val="20"/>
          <w:szCs w:val="20"/>
        </w:rPr>
        <w:t xml:space="preserve">econoce </w:t>
      </w:r>
      <w:r w:rsidR="004E09CA" w:rsidRPr="00463F8C">
        <w:rPr>
          <w:rFonts w:ascii="Verdana" w:eastAsia="Century Gothic" w:hAnsi="Verdana" w:cs="Century Gothic"/>
          <w:i/>
          <w:iCs/>
          <w:sz w:val="20"/>
          <w:szCs w:val="20"/>
        </w:rPr>
        <w:t xml:space="preserve">la importancia </w:t>
      </w:r>
      <w:r w:rsidRPr="00463F8C">
        <w:rPr>
          <w:rFonts w:ascii="Verdana" w:eastAsia="Century Gothic" w:hAnsi="Verdana" w:cs="Century Gothic"/>
          <w:i/>
          <w:iCs/>
          <w:sz w:val="20"/>
          <w:szCs w:val="20"/>
        </w:rPr>
        <w:t xml:space="preserve">en el marco del </w:t>
      </w:r>
      <w:r w:rsidRPr="00253455">
        <w:rPr>
          <w:rFonts w:ascii="Verdana" w:eastAsia="Century Gothic" w:hAnsi="Verdana" w:cs="Century Gothic"/>
          <w:i/>
          <w:iCs/>
          <w:sz w:val="20"/>
          <w:szCs w:val="20"/>
        </w:rPr>
        <w:t>cumplimiento de nuestr</w:t>
      </w:r>
      <w:r w:rsidR="004E09CA" w:rsidRPr="00463F8C">
        <w:rPr>
          <w:rFonts w:ascii="Verdana" w:eastAsia="Century Gothic" w:hAnsi="Verdana" w:cs="Century Gothic"/>
          <w:i/>
          <w:iCs/>
          <w:sz w:val="20"/>
          <w:szCs w:val="20"/>
        </w:rPr>
        <w:t xml:space="preserve">o </w:t>
      </w:r>
      <w:r w:rsidRPr="00253455">
        <w:rPr>
          <w:rFonts w:ascii="Verdana" w:eastAsia="Century Gothic" w:hAnsi="Verdana" w:cs="Century Gothic"/>
          <w:i/>
          <w:iCs/>
          <w:sz w:val="20"/>
          <w:szCs w:val="20"/>
        </w:rPr>
        <w:t>plan de desarrolló de realizar las respectivas adquisiciones,</w:t>
      </w:r>
      <w:r w:rsidRPr="00463F8C">
        <w:rPr>
          <w:rFonts w:ascii="Verdana" w:eastAsia="Century Gothic" w:hAnsi="Verdana" w:cs="Century Gothic"/>
          <w:i/>
          <w:iCs/>
          <w:sz w:val="20"/>
          <w:szCs w:val="20"/>
        </w:rPr>
        <w:t xml:space="preserve"> </w:t>
      </w:r>
      <w:r w:rsidRPr="00253455">
        <w:rPr>
          <w:rFonts w:ascii="Verdana" w:eastAsia="Century Gothic" w:hAnsi="Verdana" w:cs="Century Gothic"/>
          <w:i/>
          <w:iCs/>
          <w:sz w:val="20"/>
          <w:szCs w:val="20"/>
        </w:rPr>
        <w:t>empero nos surge una duda de carácter jurídico, que es el motivo de nuestra solicitud, ¿Se</w:t>
      </w:r>
      <w:r w:rsidRPr="00463F8C">
        <w:rPr>
          <w:rFonts w:ascii="Verdana" w:eastAsia="Century Gothic" w:hAnsi="Verdana" w:cs="Century Gothic"/>
          <w:i/>
          <w:iCs/>
          <w:sz w:val="20"/>
          <w:szCs w:val="20"/>
        </w:rPr>
        <w:t xml:space="preserve"> puede realizar la adquisición de áreas estratégicas por compraventa en el marco de la</w:t>
      </w:r>
      <w:r w:rsidR="0066114B" w:rsidRPr="00463F8C">
        <w:rPr>
          <w:rFonts w:ascii="Verdana" w:eastAsia="Century Gothic" w:hAnsi="Verdana" w:cs="Century Gothic"/>
          <w:i/>
          <w:iCs/>
          <w:sz w:val="20"/>
          <w:szCs w:val="20"/>
        </w:rPr>
        <w:t xml:space="preserve"> vigencia de la</w:t>
      </w:r>
      <w:r w:rsidR="00463F8C" w:rsidRPr="00463F8C">
        <w:rPr>
          <w:rFonts w:ascii="Verdana" w:eastAsia="Century Gothic" w:hAnsi="Verdana" w:cs="Century Gothic"/>
          <w:i/>
          <w:iCs/>
          <w:sz w:val="20"/>
          <w:szCs w:val="20"/>
        </w:rPr>
        <w:t xml:space="preserve"> </w:t>
      </w:r>
      <w:r w:rsidR="0066114B" w:rsidRPr="00463F8C">
        <w:rPr>
          <w:rFonts w:ascii="Verdana" w:eastAsia="Century Gothic" w:hAnsi="Verdana" w:cs="Century Gothic"/>
          <w:i/>
          <w:iCs/>
          <w:sz w:val="20"/>
          <w:szCs w:val="20"/>
        </w:rPr>
        <w:t>ley de garantías?</w:t>
      </w:r>
      <w:r w:rsidR="00463F8C" w:rsidRPr="00463F8C">
        <w:rPr>
          <w:rFonts w:ascii="Verdana" w:eastAsia="Century Gothic" w:hAnsi="Verdana" w:cs="Century Gothic"/>
          <w:i/>
          <w:iCs/>
          <w:sz w:val="20"/>
          <w:szCs w:val="20"/>
        </w:rPr>
        <w:t xml:space="preserve"> </w:t>
      </w:r>
      <w:r w:rsidR="0066114B" w:rsidRPr="00463F8C">
        <w:rPr>
          <w:rFonts w:ascii="Verdana" w:eastAsia="Century Gothic" w:hAnsi="Verdana" w:cs="Century Gothic"/>
          <w:i/>
          <w:iCs/>
          <w:sz w:val="20"/>
          <w:szCs w:val="20"/>
        </w:rPr>
        <w:t>¿De no ser posible, que otra figura jurídica se puede utilizar para la adquisición de las mismas?</w:t>
      </w:r>
    </w:p>
    <w:p w14:paraId="469FDCF2" w14:textId="77777777" w:rsidR="00463F8C" w:rsidRPr="00463F8C" w:rsidRDefault="00463F8C" w:rsidP="00253455">
      <w:pPr>
        <w:spacing w:after="0" w:line="240" w:lineRule="auto"/>
        <w:ind w:left="709" w:right="709"/>
        <w:jc w:val="both"/>
        <w:rPr>
          <w:rFonts w:ascii="Verdana" w:eastAsia="Century Gothic" w:hAnsi="Verdana" w:cs="Century Gothic"/>
          <w:i/>
          <w:iCs/>
          <w:sz w:val="20"/>
          <w:szCs w:val="20"/>
        </w:rPr>
      </w:pPr>
    </w:p>
    <w:p w14:paraId="3F1998C0" w14:textId="0A3E441C" w:rsidR="00344BAF" w:rsidRPr="00463F8C" w:rsidRDefault="00463F8C" w:rsidP="00253455">
      <w:pPr>
        <w:spacing w:after="0" w:line="240" w:lineRule="auto"/>
        <w:ind w:left="709" w:right="709"/>
        <w:jc w:val="both"/>
        <w:rPr>
          <w:rFonts w:ascii="Verdana" w:hAnsi="Verdana"/>
          <w:i/>
          <w:iCs/>
          <w:sz w:val="20"/>
          <w:szCs w:val="20"/>
        </w:rPr>
      </w:pPr>
      <w:r w:rsidRPr="00463F8C">
        <w:rPr>
          <w:rFonts w:ascii="Verdana" w:eastAsia="Century Gothic" w:hAnsi="Verdana" w:cs="Century Gothic"/>
          <w:i/>
          <w:iCs/>
          <w:sz w:val="20"/>
          <w:szCs w:val="20"/>
        </w:rPr>
        <w:t>(…)</w:t>
      </w:r>
      <w:r w:rsidR="00344BAF" w:rsidRPr="00463F8C">
        <w:rPr>
          <w:rFonts w:ascii="Verdana" w:hAnsi="Verdana"/>
          <w:i/>
          <w:iCs/>
          <w:sz w:val="20"/>
          <w:szCs w:val="20"/>
        </w:rPr>
        <w:t>”.</w:t>
      </w:r>
      <w:bookmarkEnd w:id="2"/>
    </w:p>
    <w:p w14:paraId="5405D32B" w14:textId="77777777" w:rsidR="00344BAF" w:rsidRPr="007A3EBF" w:rsidRDefault="00344BAF" w:rsidP="00344BAF">
      <w:pPr>
        <w:spacing w:after="0" w:line="240" w:lineRule="auto"/>
        <w:ind w:left="709" w:right="709"/>
        <w:jc w:val="both"/>
        <w:rPr>
          <w:rFonts w:ascii="Verdana" w:hAnsi="Verdana"/>
          <w:sz w:val="20"/>
          <w:szCs w:val="20"/>
        </w:rPr>
      </w:pPr>
    </w:p>
    <w:p w14:paraId="7E82F527" w14:textId="77777777" w:rsidR="00344BAF" w:rsidRPr="000952AC" w:rsidRDefault="00344BAF" w:rsidP="00344BAF">
      <w:pPr>
        <w:spacing w:after="120" w:line="276" w:lineRule="auto"/>
        <w:ind w:firstLine="709"/>
        <w:jc w:val="both"/>
        <w:rPr>
          <w:rFonts w:ascii="Verdana" w:eastAsia="Calibri" w:hAnsi="Verdana" w:cs="Arial"/>
          <w:color w:val="000000"/>
          <w:szCs w:val="24"/>
          <w:lang w:eastAsia="es-ES_tradnl"/>
        </w:rPr>
      </w:pPr>
      <w:r w:rsidRPr="000952AC">
        <w:rPr>
          <w:rFonts w:ascii="Verdana" w:eastAsia="Calibri" w:hAnsi="Verdana" w:cs="Arial"/>
          <w:color w:val="000000"/>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952AC">
        <w:rPr>
          <w:rFonts w:ascii="Verdana" w:eastAsia="Calibri" w:hAnsi="Verdana" w:cs="Arial"/>
          <w:color w:val="000000"/>
          <w:szCs w:val="24"/>
          <w:lang w:eastAsia="es-ES_tradnl"/>
        </w:rPr>
        <w:tab/>
      </w:r>
    </w:p>
    <w:p w14:paraId="0103E5E3" w14:textId="77777777" w:rsidR="00344BAF" w:rsidRPr="000952AC" w:rsidRDefault="00344BAF" w:rsidP="00344BAF">
      <w:pPr>
        <w:spacing w:after="0" w:line="276" w:lineRule="auto"/>
        <w:ind w:firstLine="709"/>
        <w:jc w:val="both"/>
        <w:rPr>
          <w:rFonts w:ascii="Verdana" w:eastAsia="Calibri" w:hAnsi="Verdana" w:cs="Arial"/>
          <w:color w:val="000000"/>
          <w:lang w:eastAsia="es-ES"/>
        </w:rPr>
      </w:pPr>
      <w:r w:rsidRPr="000952AC">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w:t>
      </w:r>
      <w:r w:rsidRPr="00BF0229">
        <w:rPr>
          <w:rFonts w:ascii="Verdana" w:eastAsia="Calibri" w:hAnsi="Verdana" w:cs="Arial"/>
          <w:color w:val="000000"/>
          <w:lang w:eastAsia="es-ES"/>
        </w:rPr>
        <w:t>el problema jurídico de su consulta.</w:t>
      </w:r>
      <w:r w:rsidRPr="000952AC">
        <w:rPr>
          <w:rFonts w:ascii="Verdana" w:eastAsia="Calibri" w:hAnsi="Verdana" w:cs="Arial"/>
          <w:color w:val="000000"/>
          <w:lang w:eastAsia="es-ES"/>
        </w:rPr>
        <w:t xml:space="preserve">  </w:t>
      </w:r>
    </w:p>
    <w:p w14:paraId="0D96EDBD" w14:textId="77777777" w:rsidR="00344BAF" w:rsidRPr="000952AC" w:rsidRDefault="00344BAF" w:rsidP="00344BAF">
      <w:pPr>
        <w:spacing w:after="0" w:line="276" w:lineRule="auto"/>
        <w:ind w:firstLine="709"/>
        <w:jc w:val="both"/>
        <w:rPr>
          <w:rFonts w:ascii="Verdana" w:eastAsia="Calibri" w:hAnsi="Verdana" w:cs="Arial"/>
          <w:color w:val="000000"/>
          <w:lang w:eastAsia="es-ES"/>
        </w:rPr>
      </w:pPr>
    </w:p>
    <w:p w14:paraId="722B2EF2" w14:textId="77777777" w:rsidR="00344BAF" w:rsidRPr="000952AC" w:rsidRDefault="00344BAF" w:rsidP="00344BA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0952AC">
        <w:rPr>
          <w:rFonts w:ascii="Verdana" w:eastAsia="Century Gothic" w:hAnsi="Verdana" w:cs="Century Gothic"/>
          <w:b/>
          <w:bCs/>
          <w:lang w:val="es-CO"/>
        </w:rPr>
        <w:t>Problema planteado:</w:t>
      </w:r>
    </w:p>
    <w:p w14:paraId="7DB4E399" w14:textId="77777777" w:rsidR="00344BAF" w:rsidRPr="000952AC" w:rsidRDefault="00344BAF" w:rsidP="00344BAF">
      <w:pPr>
        <w:tabs>
          <w:tab w:val="left" w:pos="426"/>
        </w:tabs>
        <w:spacing w:after="0" w:line="276" w:lineRule="auto"/>
        <w:jc w:val="both"/>
        <w:rPr>
          <w:rFonts w:ascii="Verdana" w:eastAsia="Century Gothic" w:hAnsi="Verdana" w:cs="Century Gothic"/>
        </w:rPr>
      </w:pPr>
    </w:p>
    <w:p w14:paraId="1F8C598C" w14:textId="05615E21" w:rsidR="00344BAF" w:rsidRPr="00DF7E02" w:rsidRDefault="00344BAF" w:rsidP="00344BAF">
      <w:pPr>
        <w:spacing w:after="0" w:line="276" w:lineRule="auto"/>
        <w:jc w:val="both"/>
        <w:rPr>
          <w:rFonts w:ascii="Verdana" w:eastAsia="Calibri" w:hAnsi="Verdana" w:cs="Arial"/>
          <w:color w:val="7030A0"/>
          <w:lang w:val="es-ES"/>
        </w:rPr>
      </w:pPr>
      <w:r w:rsidRPr="417FE97F">
        <w:rPr>
          <w:rFonts w:ascii="Verdana" w:eastAsia="Century Gothic" w:hAnsi="Verdana" w:cs="Century Gothic"/>
        </w:rPr>
        <w:t xml:space="preserve">De acuerdo con el contenido de su solicitud, esta Agencia resolverá el siguiente problema jurídico: </w:t>
      </w:r>
      <w:r w:rsidR="003A39E5">
        <w:rPr>
          <w:rFonts w:ascii="Verdana" w:eastAsia="Century Gothic" w:hAnsi="Verdana" w:cs="Century Gothic"/>
        </w:rPr>
        <w:t>¿</w:t>
      </w:r>
      <w:r w:rsidR="00F56722">
        <w:rPr>
          <w:rFonts w:ascii="Verdana" w:eastAsia="Century Gothic" w:hAnsi="Verdana" w:cs="Century Gothic"/>
        </w:rPr>
        <w:t xml:space="preserve">Los procesos de </w:t>
      </w:r>
      <w:r w:rsidR="00867101">
        <w:rPr>
          <w:rFonts w:ascii="Verdana" w:eastAsia="Century Gothic" w:hAnsi="Verdana" w:cs="Century Gothic"/>
        </w:rPr>
        <w:t>contratación</w:t>
      </w:r>
      <w:r w:rsidR="00F56722">
        <w:rPr>
          <w:rFonts w:ascii="Verdana" w:eastAsia="Century Gothic" w:hAnsi="Verdana" w:cs="Century Gothic"/>
        </w:rPr>
        <w:t xml:space="preserve"> por parte de </w:t>
      </w:r>
      <w:r w:rsidR="003E6D53">
        <w:rPr>
          <w:rFonts w:ascii="Verdana" w:eastAsia="Century Gothic" w:hAnsi="Verdana" w:cs="Century Gothic"/>
        </w:rPr>
        <w:t xml:space="preserve">Entidades Estatales </w:t>
      </w:r>
      <w:r w:rsidR="00F56722">
        <w:rPr>
          <w:rFonts w:ascii="Verdana" w:eastAsia="Century Gothic" w:hAnsi="Verdana" w:cs="Century Gothic"/>
        </w:rPr>
        <w:t>para la adquisición de predio</w:t>
      </w:r>
      <w:r w:rsidR="003E6D53">
        <w:rPr>
          <w:rFonts w:ascii="Verdana" w:eastAsia="Century Gothic" w:hAnsi="Verdana" w:cs="Century Gothic"/>
        </w:rPr>
        <w:t>s</w:t>
      </w:r>
      <w:r w:rsidR="00867101">
        <w:rPr>
          <w:rFonts w:ascii="Verdana" w:eastAsia="Century Gothic" w:hAnsi="Verdana" w:cs="Century Gothic"/>
        </w:rPr>
        <w:t xml:space="preserve"> </w:t>
      </w:r>
      <w:r w:rsidR="00F56722">
        <w:rPr>
          <w:rFonts w:ascii="Verdana" w:eastAsia="Century Gothic" w:hAnsi="Verdana" w:cs="Century Gothic"/>
        </w:rPr>
        <w:t>se encuentra</w:t>
      </w:r>
      <w:r w:rsidR="003E6D53">
        <w:rPr>
          <w:rFonts w:ascii="Verdana" w:eastAsia="Century Gothic" w:hAnsi="Verdana" w:cs="Century Gothic"/>
        </w:rPr>
        <w:t>n</w:t>
      </w:r>
      <w:r w:rsidR="00F56722">
        <w:rPr>
          <w:rFonts w:ascii="Verdana" w:eastAsia="Century Gothic" w:hAnsi="Verdana" w:cs="Century Gothic"/>
        </w:rPr>
        <w:t xml:space="preserve"> re</w:t>
      </w:r>
      <w:r w:rsidR="003E6D53">
        <w:rPr>
          <w:rFonts w:ascii="Verdana" w:eastAsia="Century Gothic" w:hAnsi="Verdana" w:cs="Century Gothic"/>
        </w:rPr>
        <w:t>stringidos durante la Ley de Garantías Electorales?</w:t>
      </w:r>
    </w:p>
    <w:p w14:paraId="6654182A" w14:textId="77777777" w:rsidR="00344BAF" w:rsidRPr="007A3EBF" w:rsidRDefault="00344BAF" w:rsidP="00344BAF">
      <w:pPr>
        <w:spacing w:after="0" w:line="276" w:lineRule="auto"/>
        <w:jc w:val="both"/>
        <w:rPr>
          <w:rFonts w:ascii="Verdana" w:eastAsia="Century Gothic" w:hAnsi="Verdana" w:cs="Century Gothic"/>
        </w:rPr>
      </w:pPr>
      <w:r w:rsidRPr="000952AC">
        <w:rPr>
          <w:rFonts w:ascii="Verdana" w:eastAsia="Century Gothic" w:hAnsi="Verdana" w:cs="Century Gothic"/>
        </w:rPr>
        <w:t xml:space="preserve"> </w:t>
      </w:r>
    </w:p>
    <w:p w14:paraId="432FE7F6" w14:textId="77777777" w:rsidR="00344BAF" w:rsidRPr="000952AC" w:rsidRDefault="00344BAF" w:rsidP="00344BAF">
      <w:pPr>
        <w:spacing w:after="0" w:line="276" w:lineRule="auto"/>
        <w:jc w:val="both"/>
        <w:rPr>
          <w:rFonts w:ascii="Verdana" w:eastAsia="Century Gothic" w:hAnsi="Verdana" w:cs="Century Gothic"/>
          <w:b/>
          <w:bCs/>
        </w:rPr>
      </w:pPr>
      <w:r w:rsidRPr="000952AC">
        <w:rPr>
          <w:rFonts w:ascii="Verdana" w:eastAsia="Century Gothic" w:hAnsi="Verdana" w:cs="Century Gothic"/>
          <w:b/>
          <w:bCs/>
        </w:rPr>
        <w:t>2. Respuesta:</w:t>
      </w:r>
    </w:p>
    <w:p w14:paraId="1FE2A701" w14:textId="77777777" w:rsidR="00344BAF" w:rsidRPr="000952AC" w:rsidRDefault="00344BAF" w:rsidP="00344BAF">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494"/>
      </w:tblGrid>
      <w:tr w:rsidR="00344BAF" w:rsidRPr="000952AC" w14:paraId="34111EFB" w14:textId="77777777" w:rsidTr="00D36099">
        <w:tc>
          <w:tcPr>
            <w:tcW w:w="8828" w:type="dxa"/>
          </w:tcPr>
          <w:p w14:paraId="217AE860" w14:textId="77777777" w:rsidR="00BC365E" w:rsidRDefault="00BC365E" w:rsidP="00C85A91">
            <w:pPr>
              <w:spacing w:after="120" w:line="276" w:lineRule="auto"/>
              <w:jc w:val="both"/>
              <w:rPr>
                <w:rFonts w:ascii="Verdana" w:eastAsia="Calibri" w:hAnsi="Verdana" w:cs="Arial"/>
                <w:lang w:val="es-MX"/>
              </w:rPr>
            </w:pPr>
            <w:r>
              <w:rPr>
                <w:rFonts w:ascii="Verdana" w:eastAsia="Calibri" w:hAnsi="Verdana" w:cs="Arial"/>
                <w:lang w:val="es-MX"/>
              </w:rPr>
              <w:t xml:space="preserve">Conforme a la interpretación general de las normas del sistema de compras públicas, </w:t>
            </w:r>
            <w:r>
              <w:rPr>
                <w:rFonts w:ascii="Verdana" w:eastAsia="Times New Roman" w:hAnsi="Verdana" w:cs="Arial"/>
                <w:bCs/>
                <w:lang w:val="es-MX" w:eastAsia="x-none"/>
              </w:rPr>
              <w:t>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p>
          <w:p w14:paraId="03317A3F" w14:textId="77777777" w:rsidR="00BC365E" w:rsidRDefault="00BC365E" w:rsidP="007C03A1">
            <w:pPr>
              <w:spacing w:after="120" w:line="276" w:lineRule="auto"/>
              <w:ind w:firstLine="709"/>
              <w:jc w:val="both"/>
              <w:rPr>
                <w:rFonts w:ascii="Verdana" w:eastAsia="Times New Roman" w:hAnsi="Verdana" w:cs="Arial"/>
                <w:bCs/>
                <w:lang w:eastAsia="x-none"/>
              </w:rPr>
            </w:pPr>
            <w:r>
              <w:rPr>
                <w:rFonts w:ascii="Verdana" w:eastAsia="Times New Roman" w:hAnsi="Verdana" w:cs="Arial"/>
                <w:lang w:val="es-ES" w:eastAsia="es-ES_tradnl"/>
              </w:rPr>
              <w:t>En virtud de esta restricción y de acuerdo con lo señalado en los conceptos C-1799 y C-1501 de 2025</w:t>
            </w:r>
            <w:r>
              <w:rPr>
                <w:rFonts w:ascii="Verdana" w:eastAsia="Times New Roman" w:hAnsi="Verdana" w:cs="Arial"/>
                <w:bCs/>
                <w:lang w:eastAsia="x-none"/>
              </w:rPr>
              <w:t>, se</w:t>
            </w:r>
            <w:r w:rsidRPr="00611BBF">
              <w:rPr>
                <w:rFonts w:ascii="Verdana" w:eastAsia="Calibri" w:hAnsi="Verdana" w:cs="Arial"/>
              </w:rPr>
              <w:t xml:space="preserve"> precisa que </w:t>
            </w:r>
            <w:r w:rsidRPr="00ED2EBA">
              <w:rPr>
                <w:rFonts w:ascii="Verdana" w:eastAsia="Calibri" w:hAnsi="Verdana" w:cs="Arial"/>
              </w:rPr>
              <w:t xml:space="preserve">la restricción prevista en el artículo 33 de la Ley 996 de 2005 no resulta aplicable al </w:t>
            </w:r>
            <w:r>
              <w:rPr>
                <w:rFonts w:ascii="Verdana" w:eastAsia="Calibri" w:hAnsi="Verdana" w:cs="Arial"/>
              </w:rPr>
              <w:t xml:space="preserve">procedimiento </w:t>
            </w:r>
            <w:r w:rsidRPr="0013781B">
              <w:rPr>
                <w:rFonts w:ascii="Verdana" w:eastAsia="Calibri" w:hAnsi="Verdana" w:cs="Arial"/>
                <w:lang w:val="es-ES"/>
              </w:rPr>
              <w:lastRenderedPageBreak/>
              <w:t>administrativo de adquisición</w:t>
            </w:r>
            <w:r>
              <w:rPr>
                <w:rFonts w:ascii="Verdana" w:eastAsia="Calibri" w:hAnsi="Verdana" w:cs="Arial"/>
                <w:lang w:val="es-ES"/>
              </w:rPr>
              <w:t xml:space="preserve"> predial</w:t>
            </w:r>
            <w:r w:rsidRPr="0013781B">
              <w:rPr>
                <w:rFonts w:ascii="Verdana" w:eastAsia="Calibri" w:hAnsi="Verdana" w:cs="Arial"/>
                <w:lang w:val="es-ES"/>
              </w:rPr>
              <w:t xml:space="preserve"> </w:t>
            </w:r>
            <w:r w:rsidRPr="00DF2532">
              <w:rPr>
                <w:rFonts w:ascii="Verdana" w:eastAsia="Calibri" w:hAnsi="Verdana" w:cs="Arial"/>
                <w:i/>
                <w:iCs/>
              </w:rPr>
              <w:t>en sí mismo</w:t>
            </w:r>
            <w:r w:rsidRPr="00ED2EBA">
              <w:rPr>
                <w:rFonts w:ascii="Verdana" w:eastAsia="Calibri" w:hAnsi="Verdana" w:cs="Arial"/>
              </w:rPr>
              <w:t>,</w:t>
            </w:r>
            <w:r>
              <w:rPr>
                <w:rFonts w:ascii="Verdana" w:eastAsia="Calibri" w:hAnsi="Verdana" w:cs="Arial"/>
              </w:rPr>
              <w:t xml:space="preserve"> en su etapa preparatoria o preliminar, </w:t>
            </w:r>
            <w:r w:rsidRPr="00ED2EBA">
              <w:rPr>
                <w:rFonts w:ascii="Verdana" w:eastAsia="Calibri" w:hAnsi="Verdana" w:cs="Arial"/>
              </w:rPr>
              <w:t>en la medida en que dicho artículo se refiere a</w:t>
            </w:r>
            <w:r>
              <w:rPr>
                <w:rFonts w:ascii="Verdana" w:eastAsia="Calibri" w:hAnsi="Verdana" w:cs="Arial"/>
              </w:rPr>
              <w:t xml:space="preserve"> la </w:t>
            </w:r>
            <w:r w:rsidRPr="0087731C">
              <w:rPr>
                <w:rFonts w:ascii="Verdana" w:eastAsia="Calibri" w:hAnsi="Verdana" w:cs="Arial"/>
                <w:bCs/>
                <w:lang w:val="es-MX"/>
              </w:rPr>
              <w:t>celebra</w:t>
            </w:r>
            <w:r>
              <w:rPr>
                <w:rFonts w:ascii="Verdana" w:eastAsia="Calibri" w:hAnsi="Verdana" w:cs="Arial"/>
                <w:bCs/>
                <w:lang w:val="es-MX"/>
              </w:rPr>
              <w:t xml:space="preserve">ción de </w:t>
            </w:r>
            <w:r w:rsidRPr="0087731C">
              <w:rPr>
                <w:rFonts w:ascii="Verdana" w:eastAsia="Calibri" w:hAnsi="Verdana" w:cs="Arial"/>
                <w:bCs/>
                <w:lang w:val="es-MX"/>
              </w:rPr>
              <w:t>contrato</w:t>
            </w:r>
            <w:r>
              <w:rPr>
                <w:rFonts w:ascii="Verdana" w:eastAsia="Calibri" w:hAnsi="Verdana" w:cs="Arial"/>
                <w:bCs/>
                <w:lang w:val="es-MX"/>
              </w:rPr>
              <w:t>s</w:t>
            </w:r>
            <w:r w:rsidRPr="0087731C">
              <w:rPr>
                <w:rFonts w:ascii="Verdana" w:eastAsia="Calibri" w:hAnsi="Verdana" w:cs="Arial"/>
                <w:bCs/>
                <w:lang w:val="es-MX"/>
              </w:rPr>
              <w:t xml:space="preserve"> de forma directa, </w:t>
            </w:r>
            <w:r w:rsidRPr="00ED2EBA">
              <w:rPr>
                <w:rFonts w:ascii="Verdana" w:eastAsia="Calibri" w:hAnsi="Verdana" w:cs="Arial"/>
              </w:rPr>
              <w:t>y</w:t>
            </w:r>
            <w:r w:rsidRPr="00611BBF">
              <w:rPr>
                <w:rFonts w:ascii="Verdana" w:eastAsia="Calibri" w:hAnsi="Verdana" w:cs="Arial"/>
              </w:rPr>
              <w:t xml:space="preserve"> no a</w:t>
            </w:r>
            <w:r>
              <w:rPr>
                <w:rFonts w:ascii="Verdana" w:eastAsia="Calibri" w:hAnsi="Verdana" w:cs="Arial"/>
              </w:rPr>
              <w:t xml:space="preserve"> las</w:t>
            </w:r>
            <w:r w:rsidRPr="00611BBF">
              <w:rPr>
                <w:rFonts w:ascii="Verdana" w:eastAsia="Calibri" w:hAnsi="Verdana" w:cs="Arial"/>
              </w:rPr>
              <w:t xml:space="preserve"> actuaciones administrativas</w:t>
            </w:r>
            <w:r>
              <w:rPr>
                <w:rFonts w:ascii="Verdana" w:eastAsia="Calibri" w:hAnsi="Verdana" w:cs="Arial"/>
              </w:rPr>
              <w:t xml:space="preserve"> que se puedan generar previamente</w:t>
            </w:r>
            <w:r w:rsidRPr="00494FAF">
              <w:rPr>
                <w:rFonts w:ascii="Verdana" w:eastAsia="Times New Roman" w:hAnsi="Verdana" w:cs="Arial"/>
                <w:bCs/>
                <w:lang w:eastAsia="x-none"/>
              </w:rPr>
              <w:t xml:space="preserve">. En tal sentido, la gestión predial no se ve paralizada durante el período de restricción. </w:t>
            </w:r>
          </w:p>
          <w:p w14:paraId="1C2B7C36" w14:textId="0BBD964D" w:rsidR="00BC365E" w:rsidRPr="00FD2412" w:rsidRDefault="00BC365E" w:rsidP="007C03A1">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lang w:val="es-ES"/>
              </w:rPr>
            </w:pPr>
            <w:r>
              <w:rPr>
                <w:rFonts w:ascii="Verdana" w:eastAsia="Calibri" w:hAnsi="Verdana" w:cs="Arial"/>
                <w:sz w:val="22"/>
                <w:szCs w:val="22"/>
                <w:lang w:val="es-ES"/>
              </w:rPr>
              <w:t xml:space="preserve">Así, se reconoce que </w:t>
            </w:r>
            <w:r w:rsidRPr="0013781B">
              <w:rPr>
                <w:rFonts w:ascii="Verdana" w:eastAsia="Calibri" w:hAnsi="Verdana" w:cs="Arial"/>
                <w:sz w:val="22"/>
                <w:szCs w:val="22"/>
                <w:lang w:val="es-ES"/>
              </w:rPr>
              <w:t>el procedimiento administrativo de adquisición</w:t>
            </w:r>
            <w:r>
              <w:rPr>
                <w:rFonts w:ascii="Verdana" w:eastAsia="Calibri" w:hAnsi="Verdana" w:cs="Arial"/>
                <w:sz w:val="22"/>
                <w:szCs w:val="22"/>
                <w:lang w:val="es-ES"/>
              </w:rPr>
              <w:t xml:space="preserve"> predial</w:t>
            </w:r>
            <w:r w:rsidRPr="0013781B">
              <w:rPr>
                <w:rFonts w:ascii="Verdana" w:eastAsia="Calibri" w:hAnsi="Verdana" w:cs="Arial"/>
                <w:sz w:val="22"/>
                <w:szCs w:val="22"/>
                <w:lang w:val="es-ES"/>
              </w:rPr>
              <w:t xml:space="preserve"> por motivos de utilidad pública e interés social no constituye un procedimiento sometido al E</w:t>
            </w:r>
            <w:r w:rsidR="00AB0AE0">
              <w:rPr>
                <w:rFonts w:ascii="Verdana" w:eastAsia="Calibri" w:hAnsi="Verdana" w:cs="Arial"/>
                <w:sz w:val="22"/>
                <w:szCs w:val="22"/>
                <w:lang w:val="es-ES"/>
              </w:rPr>
              <w:t xml:space="preserve">statuto </w:t>
            </w:r>
            <w:r>
              <w:rPr>
                <w:rFonts w:ascii="Verdana" w:eastAsia="Calibri" w:hAnsi="Verdana" w:cs="Arial"/>
                <w:sz w:val="22"/>
                <w:szCs w:val="22"/>
                <w:lang w:val="es-ES"/>
              </w:rPr>
              <w:t>G</w:t>
            </w:r>
            <w:r w:rsidR="00AB0AE0">
              <w:rPr>
                <w:rFonts w:ascii="Verdana" w:eastAsia="Calibri" w:hAnsi="Verdana" w:cs="Arial"/>
                <w:sz w:val="22"/>
                <w:szCs w:val="22"/>
                <w:lang w:val="es-ES"/>
              </w:rPr>
              <w:t xml:space="preserve">eneral de </w:t>
            </w:r>
            <w:r>
              <w:rPr>
                <w:rFonts w:ascii="Verdana" w:eastAsia="Calibri" w:hAnsi="Verdana" w:cs="Arial"/>
                <w:sz w:val="22"/>
                <w:szCs w:val="22"/>
                <w:lang w:val="es-ES"/>
              </w:rPr>
              <w:t>C</w:t>
            </w:r>
            <w:r w:rsidR="00AB0AE0">
              <w:rPr>
                <w:rFonts w:ascii="Verdana" w:eastAsia="Calibri" w:hAnsi="Verdana" w:cs="Arial"/>
                <w:sz w:val="22"/>
                <w:szCs w:val="22"/>
                <w:lang w:val="es-ES"/>
              </w:rPr>
              <w:t xml:space="preserve">ontratación de la </w:t>
            </w:r>
            <w:r>
              <w:rPr>
                <w:rFonts w:ascii="Verdana" w:eastAsia="Calibri" w:hAnsi="Verdana" w:cs="Arial"/>
                <w:sz w:val="22"/>
                <w:szCs w:val="22"/>
                <w:lang w:val="es-ES"/>
              </w:rPr>
              <w:t>A</w:t>
            </w:r>
            <w:r w:rsidR="00AB0AE0">
              <w:rPr>
                <w:rFonts w:ascii="Verdana" w:eastAsia="Calibri" w:hAnsi="Verdana" w:cs="Arial"/>
                <w:sz w:val="22"/>
                <w:szCs w:val="22"/>
                <w:lang w:val="es-ES"/>
              </w:rPr>
              <w:t xml:space="preserve">dministración </w:t>
            </w:r>
            <w:r>
              <w:rPr>
                <w:rFonts w:ascii="Verdana" w:eastAsia="Calibri" w:hAnsi="Verdana" w:cs="Arial"/>
                <w:sz w:val="22"/>
                <w:szCs w:val="22"/>
                <w:lang w:val="es-ES"/>
              </w:rPr>
              <w:t>P</w:t>
            </w:r>
            <w:r w:rsidR="00AB0AE0">
              <w:rPr>
                <w:rFonts w:ascii="Verdana" w:eastAsia="Calibri" w:hAnsi="Verdana" w:cs="Arial"/>
                <w:sz w:val="22"/>
                <w:szCs w:val="22"/>
                <w:lang w:val="es-ES"/>
              </w:rPr>
              <w:t>ública – en adelante EGCAP –</w:t>
            </w:r>
            <w:r>
              <w:rPr>
                <w:rFonts w:ascii="Verdana" w:eastAsia="Calibri" w:hAnsi="Verdana" w:cs="Arial"/>
                <w:sz w:val="22"/>
                <w:szCs w:val="22"/>
                <w:lang w:val="es-ES"/>
              </w:rPr>
              <w:t xml:space="preserve">, puesto que se </w:t>
            </w:r>
            <w:r w:rsidRPr="0013781B">
              <w:rPr>
                <w:rFonts w:ascii="Verdana" w:eastAsia="Calibri" w:hAnsi="Verdana" w:cs="Arial"/>
                <w:sz w:val="22"/>
                <w:szCs w:val="22"/>
                <w:lang w:val="es-ES"/>
              </w:rPr>
              <w:t>trata de un procedimiento especial, dotado de finalidad, etapas y reglas propias, cuya regulación se encuentra prevista de manera específica en</w:t>
            </w:r>
            <w:r w:rsidRPr="007B37F8">
              <w:rPr>
                <w:rFonts w:asciiTheme="minorHAnsi" w:eastAsiaTheme="minorHAnsi" w:hAnsiTheme="minorHAnsi" w:cstheme="minorBidi"/>
                <w:sz w:val="22"/>
                <w:szCs w:val="22"/>
                <w:lang w:eastAsia="en-US"/>
              </w:rPr>
              <w:t xml:space="preserve"> </w:t>
            </w:r>
            <w:r w:rsidRPr="007B37F8">
              <w:rPr>
                <w:rFonts w:ascii="Verdana" w:eastAsia="Calibri" w:hAnsi="Verdana" w:cs="Arial"/>
                <w:sz w:val="22"/>
                <w:szCs w:val="22"/>
              </w:rPr>
              <w:t>Leyes 9 de 1989, 388 de 1997 y 1682 de 2013</w:t>
            </w:r>
            <w:r w:rsidRPr="0013781B">
              <w:rPr>
                <w:rFonts w:ascii="Verdana" w:eastAsia="Calibri" w:hAnsi="Verdana" w:cs="Arial"/>
                <w:sz w:val="22"/>
                <w:szCs w:val="22"/>
                <w:lang w:val="es-ES"/>
              </w:rPr>
              <w:t>, lo que lo sustrae del régimen general de la contratación estatal.</w:t>
            </w:r>
            <w:r>
              <w:rPr>
                <w:rFonts w:ascii="Verdana" w:eastAsia="Calibri" w:hAnsi="Verdana" w:cs="Arial"/>
                <w:sz w:val="22"/>
                <w:szCs w:val="22"/>
                <w:lang w:val="es-ES"/>
              </w:rPr>
              <w:t xml:space="preserve"> </w:t>
            </w:r>
            <w:r w:rsidRPr="0013781B">
              <w:rPr>
                <w:rFonts w:ascii="Verdana" w:eastAsia="Calibri" w:hAnsi="Verdana" w:cs="Arial"/>
                <w:sz w:val="22"/>
                <w:szCs w:val="22"/>
                <w:lang w:val="es-ES"/>
              </w:rPr>
              <w:t>Esta caracterización ha sido reiterada en los conceptos previamente citados, en los cuales se concluyó que dicho procedimiento se rige por un</w:t>
            </w:r>
            <w:r>
              <w:rPr>
                <w:rFonts w:ascii="Verdana" w:eastAsia="Calibri" w:hAnsi="Verdana" w:cs="Arial"/>
                <w:sz w:val="22"/>
                <w:szCs w:val="22"/>
                <w:lang w:val="es-ES"/>
              </w:rPr>
              <w:t xml:space="preserve">as reglas especiales. </w:t>
            </w:r>
          </w:p>
          <w:p w14:paraId="4B48D55F" w14:textId="77777777" w:rsidR="00BC365E" w:rsidRDefault="00BC365E" w:rsidP="007C03A1">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Pr>
                <w:rFonts w:ascii="Verdana" w:eastAsia="Calibri" w:hAnsi="Verdana" w:cs="Arial"/>
                <w:sz w:val="22"/>
                <w:szCs w:val="22"/>
              </w:rPr>
              <w:t>De esta manera</w:t>
            </w:r>
            <w:r w:rsidRPr="00B61452">
              <w:rPr>
                <w:rFonts w:ascii="Verdana" w:eastAsia="Calibri" w:hAnsi="Verdana" w:cs="Arial"/>
                <w:sz w:val="22"/>
                <w:szCs w:val="22"/>
              </w:rPr>
              <w:t xml:space="preserve">, </w:t>
            </w:r>
            <w:r w:rsidRPr="009C69E1">
              <w:rPr>
                <w:rFonts w:ascii="Verdana" w:eastAsia="Calibri" w:hAnsi="Verdana" w:cs="Arial"/>
                <w:sz w:val="22"/>
                <w:szCs w:val="22"/>
              </w:rPr>
              <w:t xml:space="preserve">todos los trámites preparatorios y actuaciones administrativas </w:t>
            </w:r>
            <w:r>
              <w:rPr>
                <w:rFonts w:ascii="Verdana" w:eastAsia="Calibri" w:hAnsi="Verdana" w:cs="Arial"/>
                <w:sz w:val="22"/>
                <w:szCs w:val="22"/>
              </w:rPr>
              <w:t xml:space="preserve">de gestión predial </w:t>
            </w:r>
            <w:r w:rsidRPr="00B61452">
              <w:rPr>
                <w:rFonts w:ascii="Verdana" w:eastAsia="Calibri" w:hAnsi="Verdana" w:cs="Arial"/>
                <w:sz w:val="22"/>
                <w:szCs w:val="22"/>
              </w:rPr>
              <w:t>que se surtan dentro de este procedimiento especial</w:t>
            </w:r>
            <w:r>
              <w:rPr>
                <w:rFonts w:ascii="Verdana" w:eastAsia="Calibri" w:hAnsi="Verdana" w:cs="Arial"/>
                <w:sz w:val="22"/>
                <w:szCs w:val="22"/>
              </w:rPr>
              <w:t xml:space="preserve">, </w:t>
            </w:r>
            <w:r w:rsidRPr="00B61452">
              <w:rPr>
                <w:rFonts w:ascii="Verdana" w:eastAsia="Calibri" w:hAnsi="Verdana" w:cs="Arial"/>
                <w:sz w:val="22"/>
                <w:szCs w:val="22"/>
              </w:rPr>
              <w:t xml:space="preserve">tales como los avalúos, las ofertas de compra, las negociaciones preliminares y demás actuaciones que no impliquen la celebración de </w:t>
            </w:r>
            <w:r w:rsidRPr="0044553E">
              <w:rPr>
                <w:rFonts w:ascii="Verdana" w:eastAsia="Calibri" w:hAnsi="Verdana" w:cs="Arial"/>
                <w:sz w:val="22"/>
                <w:szCs w:val="22"/>
              </w:rPr>
              <w:t>u</w:t>
            </w:r>
            <w:r>
              <w:rPr>
                <w:rFonts w:ascii="Verdana" w:eastAsia="Calibri" w:hAnsi="Verdana" w:cs="Arial"/>
                <w:sz w:val="22"/>
                <w:szCs w:val="22"/>
              </w:rPr>
              <w:t>na promesa de compraventa o contrato compraventa o cualquier otro contrato,</w:t>
            </w:r>
            <w:r w:rsidRPr="0044553E">
              <w:rPr>
                <w:rFonts w:ascii="Verdana" w:eastAsia="Calibri" w:hAnsi="Verdana" w:cs="Arial"/>
                <w:sz w:val="22"/>
                <w:szCs w:val="22"/>
              </w:rPr>
              <w:t xml:space="preserve"> pueden adelantarse válidamente, incluso durante el período de restricción previsto en la </w:t>
            </w:r>
            <w:r>
              <w:rPr>
                <w:rFonts w:ascii="Verdana" w:eastAsia="Calibri" w:hAnsi="Verdana" w:cs="Arial"/>
                <w:sz w:val="22"/>
                <w:szCs w:val="22"/>
              </w:rPr>
              <w:t>L</w:t>
            </w:r>
            <w:r w:rsidRPr="0044553E">
              <w:rPr>
                <w:rFonts w:ascii="Verdana" w:eastAsia="Calibri" w:hAnsi="Verdana" w:cs="Arial"/>
                <w:sz w:val="22"/>
                <w:szCs w:val="22"/>
              </w:rPr>
              <w:t xml:space="preserve">ey de </w:t>
            </w:r>
            <w:r>
              <w:rPr>
                <w:rFonts w:ascii="Verdana" w:eastAsia="Calibri" w:hAnsi="Verdana" w:cs="Arial"/>
                <w:sz w:val="22"/>
                <w:szCs w:val="22"/>
              </w:rPr>
              <w:t>G</w:t>
            </w:r>
            <w:r w:rsidRPr="0044553E">
              <w:rPr>
                <w:rFonts w:ascii="Verdana" w:eastAsia="Calibri" w:hAnsi="Verdana" w:cs="Arial"/>
                <w:sz w:val="22"/>
                <w:szCs w:val="22"/>
              </w:rPr>
              <w:t>arantías</w:t>
            </w:r>
            <w:r>
              <w:rPr>
                <w:rFonts w:ascii="Verdana" w:eastAsia="Calibri" w:hAnsi="Verdana" w:cs="Arial"/>
                <w:sz w:val="22"/>
                <w:szCs w:val="22"/>
              </w:rPr>
              <w:t xml:space="preserve"> Electorales</w:t>
            </w:r>
            <w:r w:rsidRPr="0044553E">
              <w:rPr>
                <w:rFonts w:ascii="Verdana" w:eastAsia="Calibri" w:hAnsi="Verdana" w:cs="Arial"/>
                <w:sz w:val="22"/>
                <w:szCs w:val="22"/>
              </w:rPr>
              <w:t>, por cuanto no configuran</w:t>
            </w:r>
            <w:r>
              <w:rPr>
                <w:rFonts w:ascii="Verdana" w:eastAsia="Calibri" w:hAnsi="Verdana" w:cs="Arial"/>
                <w:sz w:val="22"/>
                <w:szCs w:val="22"/>
              </w:rPr>
              <w:t xml:space="preserve"> los</w:t>
            </w:r>
            <w:r w:rsidRPr="0044553E">
              <w:rPr>
                <w:rFonts w:ascii="Verdana" w:eastAsia="Calibri" w:hAnsi="Verdana" w:cs="Arial"/>
                <w:sz w:val="22"/>
                <w:szCs w:val="22"/>
              </w:rPr>
              <w:t xml:space="preserve"> supuestos de contratación </w:t>
            </w:r>
            <w:r>
              <w:rPr>
                <w:rFonts w:ascii="Verdana" w:eastAsia="Calibri" w:hAnsi="Verdana" w:cs="Arial"/>
                <w:sz w:val="22"/>
                <w:szCs w:val="22"/>
              </w:rPr>
              <w:t>directa al que se refiere el artículo en comento</w:t>
            </w:r>
            <w:r w:rsidRPr="0044553E">
              <w:rPr>
                <w:rFonts w:ascii="Verdana" w:eastAsia="Calibri" w:hAnsi="Verdana" w:cs="Arial"/>
                <w:sz w:val="22"/>
                <w:szCs w:val="22"/>
              </w:rPr>
              <w:t>.</w:t>
            </w:r>
          </w:p>
          <w:p w14:paraId="442E7F5E" w14:textId="77777777" w:rsidR="00BC365E" w:rsidRPr="000D58B6" w:rsidRDefault="00BC365E" w:rsidP="007C03A1">
            <w:pPr>
              <w:spacing w:after="120" w:line="276" w:lineRule="auto"/>
              <w:ind w:firstLine="709"/>
              <w:jc w:val="both"/>
              <w:rPr>
                <w:rFonts w:ascii="Verdana" w:hAnsi="Verdana" w:cs="Arial"/>
                <w:bCs/>
                <w:lang w:eastAsia="es-CO"/>
              </w:rPr>
            </w:pPr>
            <w:r>
              <w:rPr>
                <w:rFonts w:ascii="Verdana" w:eastAsia="Times New Roman" w:hAnsi="Verdana" w:cs="Arial"/>
              </w:rPr>
              <w:t>E</w:t>
            </w:r>
            <w:r w:rsidRPr="00FB77DC">
              <w:rPr>
                <w:rFonts w:ascii="Verdana" w:eastAsia="Times New Roman" w:hAnsi="Verdana" w:cs="Arial"/>
              </w:rPr>
              <w:t xml:space="preserve">n ese orden de ideas, corresponde a la entidad verificar la naturaleza jurídica de las actuaciones </w:t>
            </w:r>
            <w:r>
              <w:rPr>
                <w:rFonts w:ascii="Verdana" w:eastAsia="Times New Roman" w:hAnsi="Verdana" w:cs="Arial"/>
              </w:rPr>
              <w:t xml:space="preserve">preliminares </w:t>
            </w:r>
            <w:r w:rsidRPr="00FB77DC">
              <w:rPr>
                <w:rFonts w:ascii="Verdana" w:eastAsia="Times New Roman" w:hAnsi="Verdana" w:cs="Arial"/>
              </w:rPr>
              <w:t xml:space="preserve">de gestión predial que se adelantarán en el marco </w:t>
            </w:r>
            <w:r>
              <w:rPr>
                <w:rFonts w:ascii="Verdana" w:eastAsia="Times New Roman" w:hAnsi="Verdana" w:cs="Arial"/>
              </w:rPr>
              <w:t>del</w:t>
            </w:r>
            <w:r w:rsidRPr="00FB77DC">
              <w:rPr>
                <w:rFonts w:ascii="Verdana" w:eastAsia="Times New Roman" w:hAnsi="Verdana" w:cs="Arial"/>
              </w:rPr>
              <w:t xml:space="preserve"> procedimiento administrativo</w:t>
            </w:r>
            <w:r>
              <w:rPr>
                <w:rFonts w:ascii="Verdana" w:eastAsia="Times New Roman" w:hAnsi="Verdana" w:cs="Arial"/>
              </w:rPr>
              <w:t xml:space="preserve"> referido</w:t>
            </w:r>
            <w:r w:rsidRPr="00FB77DC">
              <w:rPr>
                <w:rFonts w:ascii="Verdana" w:eastAsia="Times New Roman" w:hAnsi="Verdana" w:cs="Arial"/>
              </w:rPr>
              <w:t>, precis</w:t>
            </w:r>
            <w:r>
              <w:rPr>
                <w:rFonts w:ascii="Verdana" w:eastAsia="Times New Roman" w:hAnsi="Verdana" w:cs="Arial"/>
              </w:rPr>
              <w:t>ando</w:t>
            </w:r>
            <w:r w:rsidRPr="00FB77DC">
              <w:rPr>
                <w:rFonts w:ascii="Verdana" w:eastAsia="Times New Roman" w:hAnsi="Verdana" w:cs="Arial"/>
              </w:rPr>
              <w:t xml:space="preserve"> que dichas actuaciones no implican, por sí mismas, la celebración directa de un contrato estatal</w:t>
            </w:r>
            <w:r w:rsidRPr="00724D86">
              <w:rPr>
                <w:rFonts w:ascii="Verdana" w:eastAsia="Times New Roman" w:hAnsi="Verdana" w:cs="Arial"/>
                <w:lang w:val="es-ES"/>
              </w:rPr>
              <w:t>. Esta diferenciación resulta esencial, en la medida en que la prohibici</w:t>
            </w:r>
            <w:r>
              <w:rPr>
                <w:rFonts w:ascii="Verdana" w:eastAsia="Times New Roman" w:hAnsi="Verdana" w:cs="Arial"/>
                <w:lang w:val="es-ES"/>
              </w:rPr>
              <w:t>ón</w:t>
            </w:r>
            <w:r w:rsidRPr="00724D86">
              <w:rPr>
                <w:rFonts w:ascii="Verdana" w:eastAsia="Times New Roman" w:hAnsi="Verdana" w:cs="Arial"/>
                <w:lang w:val="es-ES"/>
              </w:rPr>
              <w:t xml:space="preserve"> prevista en el artículo 33 de la Ley 996 de 2005 se</w:t>
            </w:r>
            <w:r w:rsidRPr="00BC1926">
              <w:rPr>
                <w:rFonts w:ascii="Verdana" w:eastAsia="Times New Roman" w:hAnsi="Verdana" w:cs="Arial"/>
                <w:lang w:val="es-ES"/>
              </w:rPr>
              <w:t xml:space="preserve"> </w:t>
            </w:r>
            <w:r>
              <w:rPr>
                <w:rFonts w:ascii="Verdana" w:eastAsia="Times New Roman" w:hAnsi="Verdana" w:cs="Arial"/>
                <w:lang w:val="es-ES"/>
              </w:rPr>
              <w:t xml:space="preserve">configura </w:t>
            </w:r>
            <w:r w:rsidRPr="001C7B22">
              <w:rPr>
                <w:rFonts w:ascii="Verdana" w:eastAsia="Times New Roman" w:hAnsi="Verdana" w:cs="Arial"/>
                <w:lang w:val="es-ES"/>
              </w:rPr>
              <w:t xml:space="preserve">cuando </w:t>
            </w:r>
            <w:r>
              <w:rPr>
                <w:rFonts w:ascii="Verdana" w:eastAsia="Times New Roman" w:hAnsi="Verdana" w:cs="Arial"/>
                <w:lang w:val="es-ES"/>
              </w:rPr>
              <w:t>se refiera a la celebración de un</w:t>
            </w:r>
            <w:r w:rsidRPr="001C7B22">
              <w:rPr>
                <w:rFonts w:ascii="Verdana" w:eastAsia="Times New Roman" w:hAnsi="Verdana" w:cs="Arial"/>
                <w:lang w:val="es-ES"/>
              </w:rPr>
              <w:t xml:space="preserve"> contrato en sentido estricto</w:t>
            </w:r>
            <w:r w:rsidRPr="00724D86">
              <w:rPr>
                <w:rFonts w:ascii="Verdana" w:eastAsia="Times New Roman" w:hAnsi="Verdana" w:cs="Arial"/>
                <w:lang w:val="es-ES"/>
              </w:rPr>
              <w:t>, mas no frente a actuaciones administrativas que no genera</w:t>
            </w:r>
            <w:r>
              <w:rPr>
                <w:rFonts w:ascii="Verdana" w:eastAsia="Times New Roman" w:hAnsi="Verdana" w:cs="Arial"/>
                <w:lang w:val="es-ES"/>
              </w:rPr>
              <w:t>n propiamente u</w:t>
            </w:r>
            <w:r w:rsidRPr="00724D86">
              <w:rPr>
                <w:rFonts w:ascii="Verdana" w:eastAsia="Times New Roman" w:hAnsi="Verdana" w:cs="Arial"/>
                <w:lang w:val="es-ES"/>
              </w:rPr>
              <w:t xml:space="preserve">na relación contractual entre la entidad </w:t>
            </w:r>
            <w:r>
              <w:rPr>
                <w:rFonts w:ascii="Verdana" w:eastAsia="Times New Roman" w:hAnsi="Verdana" w:cs="Arial"/>
                <w:lang w:val="es-ES"/>
              </w:rPr>
              <w:t xml:space="preserve">y el particular. </w:t>
            </w:r>
          </w:p>
          <w:p w14:paraId="46D91B87" w14:textId="77777777" w:rsidR="00BC365E" w:rsidRDefault="00BC365E" w:rsidP="007C03A1">
            <w:pPr>
              <w:tabs>
                <w:tab w:val="left" w:pos="709"/>
              </w:tabs>
              <w:spacing w:after="120" w:line="276" w:lineRule="auto"/>
              <w:ind w:firstLine="709"/>
              <w:jc w:val="both"/>
              <w:rPr>
                <w:rFonts w:ascii="Verdana" w:eastAsia="Calibri" w:hAnsi="Verdana" w:cs="Arial"/>
                <w:lang w:eastAsia="es-CO"/>
              </w:rPr>
            </w:pPr>
            <w:r w:rsidRPr="00494FAF">
              <w:rPr>
                <w:rFonts w:ascii="Verdana" w:eastAsia="Times New Roman" w:hAnsi="Verdana" w:cs="Arial"/>
                <w:bCs/>
                <w:lang w:eastAsia="x-none"/>
              </w:rPr>
              <w:t>No obstante, frente a la celebración de una promesa de compraventa</w:t>
            </w:r>
            <w:r>
              <w:rPr>
                <w:rFonts w:ascii="Verdana" w:eastAsia="Times New Roman" w:hAnsi="Verdana" w:cs="Arial"/>
                <w:bCs/>
                <w:lang w:eastAsia="x-none"/>
              </w:rPr>
              <w:t xml:space="preserve"> o </w:t>
            </w:r>
            <w:r w:rsidRPr="00494FAF">
              <w:rPr>
                <w:rFonts w:ascii="Verdana" w:eastAsia="Times New Roman" w:hAnsi="Verdana" w:cs="Arial"/>
                <w:bCs/>
                <w:lang w:eastAsia="x-none"/>
              </w:rPr>
              <w:t>de un contrato de compraventa, sí resulta aplicable la restricción prevista en el citado artículo 33</w:t>
            </w:r>
            <w:r>
              <w:rPr>
                <w:rFonts w:ascii="Verdana" w:eastAsia="Times New Roman" w:hAnsi="Verdana" w:cs="Arial"/>
                <w:bCs/>
                <w:lang w:eastAsia="x-none"/>
              </w:rPr>
              <w:t xml:space="preserve"> ibidem</w:t>
            </w:r>
            <w:r w:rsidRPr="00494FAF">
              <w:rPr>
                <w:rFonts w:ascii="Verdana" w:eastAsia="Times New Roman" w:hAnsi="Verdana" w:cs="Arial"/>
                <w:bCs/>
                <w:lang w:eastAsia="x-none"/>
              </w:rPr>
              <w:t xml:space="preserve">, razón por la cual se reitera la postura sostenida en los conceptos C-1512 y C-1529, en tanto dichos negocios </w:t>
            </w:r>
            <w:r w:rsidRPr="00494FAF">
              <w:rPr>
                <w:rFonts w:ascii="Verdana" w:eastAsia="Times New Roman" w:hAnsi="Verdana" w:cs="Arial"/>
                <w:bCs/>
                <w:lang w:eastAsia="x-none"/>
              </w:rPr>
              <w:lastRenderedPageBreak/>
              <w:t xml:space="preserve">jurídicos comportan la celebración </w:t>
            </w:r>
            <w:r>
              <w:rPr>
                <w:rFonts w:ascii="Verdana" w:eastAsia="Times New Roman" w:hAnsi="Verdana" w:cs="Arial"/>
                <w:bCs/>
                <w:lang w:eastAsia="x-none"/>
              </w:rPr>
              <w:t xml:space="preserve">directa </w:t>
            </w:r>
            <w:r w:rsidRPr="00494FAF">
              <w:rPr>
                <w:rFonts w:ascii="Verdana" w:eastAsia="Times New Roman" w:hAnsi="Verdana" w:cs="Arial"/>
                <w:bCs/>
                <w:lang w:eastAsia="x-none"/>
              </w:rPr>
              <w:t>de un contrato estatal</w:t>
            </w:r>
            <w:r>
              <w:rPr>
                <w:rFonts w:ascii="Verdana" w:eastAsia="Times New Roman" w:hAnsi="Verdana" w:cs="Arial"/>
                <w:bCs/>
                <w:lang w:eastAsia="x-none"/>
              </w:rPr>
              <w:t xml:space="preserve">. </w:t>
            </w:r>
            <w:r w:rsidRPr="00A00771">
              <w:rPr>
                <w:rFonts w:ascii="Verdana" w:eastAsia="Calibri" w:hAnsi="Verdana" w:cs="Arial"/>
                <w:lang w:eastAsia="es-CO"/>
              </w:rPr>
              <w:t>En efecto,</w:t>
            </w:r>
            <w:r>
              <w:rPr>
                <w:rFonts w:ascii="Verdana" w:eastAsia="Calibri" w:hAnsi="Verdana" w:cs="Arial"/>
                <w:lang w:eastAsia="es-CO"/>
              </w:rPr>
              <w:t xml:space="preserve"> en</w:t>
            </w:r>
            <w:r w:rsidRPr="00A00771">
              <w:rPr>
                <w:rFonts w:ascii="Verdana" w:eastAsia="Calibri" w:hAnsi="Verdana" w:cs="Arial"/>
                <w:lang w:eastAsia="es-CO"/>
              </w:rPr>
              <w:t xml:space="preserve"> la promesa de compraventa </w:t>
            </w:r>
            <w:r>
              <w:rPr>
                <w:rFonts w:ascii="Verdana" w:eastAsia="Calibri" w:hAnsi="Verdana" w:cs="Arial"/>
              </w:rPr>
              <w:t>y</w:t>
            </w:r>
            <w:r w:rsidRPr="00A00771">
              <w:rPr>
                <w:rFonts w:ascii="Verdana" w:eastAsia="Calibri" w:hAnsi="Verdana" w:cs="Arial"/>
                <w:lang w:eastAsia="es-CO"/>
              </w:rPr>
              <w:t xml:space="preserve"> </w:t>
            </w:r>
            <w:r>
              <w:rPr>
                <w:rFonts w:ascii="Verdana" w:eastAsia="Calibri" w:hAnsi="Verdana" w:cs="Arial"/>
                <w:lang w:eastAsia="es-CO"/>
              </w:rPr>
              <w:t xml:space="preserve">en </w:t>
            </w:r>
            <w:r w:rsidRPr="00A00771">
              <w:rPr>
                <w:rFonts w:ascii="Verdana" w:eastAsia="Calibri" w:hAnsi="Verdana" w:cs="Arial"/>
                <w:lang w:eastAsia="es-CO"/>
              </w:rPr>
              <w:t xml:space="preserve">el contrato de compraventa </w:t>
            </w:r>
            <w:r>
              <w:rPr>
                <w:rFonts w:ascii="Verdana" w:eastAsia="Times New Roman" w:hAnsi="Verdana" w:cs="Arial"/>
                <w:lang w:val="es-ES" w:eastAsia="es-ES_tradnl"/>
              </w:rPr>
              <w:t xml:space="preserve">participan entidades estatales y se invierten recursos de naturaleza pública, por lo cual puede afirmarse que estos actos jurídicos negociales son auténticos contratos estatales, según el criterio orgánico establecido en el artículo 32 de la Ley 80 de 1993, en concordancia el artículo 2 </w:t>
            </w:r>
            <w:r>
              <w:rPr>
                <w:rFonts w:ascii="Verdana" w:eastAsia="Times New Roman" w:hAnsi="Verdana" w:cs="Arial"/>
                <w:i/>
                <w:iCs/>
                <w:lang w:val="es-ES" w:eastAsia="es-ES_tradnl"/>
              </w:rPr>
              <w:t>ibidem.</w:t>
            </w:r>
            <w:r>
              <w:rPr>
                <w:rFonts w:ascii="Verdana" w:eastAsia="Times New Roman" w:hAnsi="Verdana" w:cs="Arial"/>
                <w:lang w:val="es-ES" w:eastAsia="es-ES_tradnl"/>
              </w:rPr>
              <w:t xml:space="preserve"> Estos negocios jurídicos, así como los demás que se suscriban de forma directa como cesiones de inmueble o permutas entre entidades estatales, </w:t>
            </w:r>
            <w:r w:rsidRPr="00A00771">
              <w:rPr>
                <w:rFonts w:ascii="Verdana" w:eastAsia="Calibri" w:hAnsi="Verdana" w:cs="Arial"/>
                <w:lang w:eastAsia="es-CO"/>
              </w:rPr>
              <w:t>constituyen formas de contratación directa en cuanto su celebración se realiza con un sujeto determinado, sin convocatoria pública y sin posibilidad de concurrencia de una pluralidad de oferentes</w:t>
            </w:r>
            <w:r>
              <w:rPr>
                <w:rFonts w:ascii="Verdana" w:eastAsia="Calibri" w:hAnsi="Verdana" w:cs="Arial"/>
                <w:lang w:eastAsia="es-CO"/>
              </w:rPr>
              <w:t xml:space="preserve">. </w:t>
            </w:r>
          </w:p>
          <w:p w14:paraId="1201F6D8" w14:textId="77777777" w:rsidR="00BC365E" w:rsidRPr="001747EF" w:rsidRDefault="00BC365E" w:rsidP="007C03A1">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7806D8">
              <w:rPr>
                <w:rFonts w:ascii="Verdana" w:eastAsia="Calibri" w:hAnsi="Verdana" w:cs="Arial"/>
                <w:sz w:val="22"/>
                <w:szCs w:val="22"/>
              </w:rPr>
              <w:t>Adicionalmente, dentro de las excepciones expresamente previstas por el legislador en dicha norma no se encuentran comprendidos los contratos que se deriven del procedimiento administrativo de adquisición</w:t>
            </w:r>
            <w:r>
              <w:rPr>
                <w:rFonts w:ascii="Verdana" w:eastAsia="Calibri" w:hAnsi="Verdana" w:cs="Arial"/>
                <w:sz w:val="22"/>
                <w:szCs w:val="22"/>
              </w:rPr>
              <w:t xml:space="preserve"> predial</w:t>
            </w:r>
            <w:r w:rsidRPr="007806D8">
              <w:rPr>
                <w:rFonts w:ascii="Verdana" w:eastAsia="Calibri" w:hAnsi="Verdana" w:cs="Arial"/>
                <w:sz w:val="22"/>
                <w:szCs w:val="22"/>
              </w:rPr>
              <w:t>, lo cual resulta relevante, pues de haber sido la intención del legislador exceptuar este tipo de negocios jurídicos, así lo habría señalado de manera expresa, tal como lo hizo respecto de otras hipótesis exceptuadas.</w:t>
            </w:r>
          </w:p>
          <w:p w14:paraId="7067660D" w14:textId="77777777" w:rsidR="00BC365E" w:rsidRPr="00785125" w:rsidRDefault="00BC365E" w:rsidP="007C03A1">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En suma, </w:t>
            </w:r>
            <w:r w:rsidRPr="00494FAF">
              <w:rPr>
                <w:rFonts w:ascii="Verdana" w:eastAsia="Times New Roman" w:hAnsi="Verdana" w:cs="Arial"/>
                <w:bCs/>
                <w:lang w:eastAsia="x-none"/>
              </w:rPr>
              <w:t xml:space="preserve">debe precisarse que la restricción establecida en el artículo 33 de la Ley 996 de 2005 no resulta aplicable al procedimiento administrativo de adquisición </w:t>
            </w:r>
            <w:r>
              <w:rPr>
                <w:rFonts w:ascii="Verdana" w:eastAsia="Times New Roman" w:hAnsi="Verdana" w:cs="Arial"/>
                <w:bCs/>
                <w:lang w:eastAsia="x-none"/>
              </w:rPr>
              <w:t xml:space="preserve">predial </w:t>
            </w:r>
            <w:r w:rsidRPr="00494FAF">
              <w:rPr>
                <w:rFonts w:ascii="Verdana" w:eastAsia="Times New Roman" w:hAnsi="Verdana" w:cs="Arial"/>
                <w:bCs/>
                <w:lang w:eastAsia="x-none"/>
              </w:rPr>
              <w:t>considerado en sí mismo, ni a su etapa preparatoria o preliminar, en la medida en que dicha disposición se circunscribe a la celebración de contratos de manera directa y no a las actuaciones administrativas previas que puedan adelantarse con ese propósito</w:t>
            </w:r>
            <w:r>
              <w:rPr>
                <w:rFonts w:ascii="Verdana" w:eastAsia="Times New Roman" w:hAnsi="Verdana" w:cs="Arial"/>
                <w:bCs/>
                <w:lang w:eastAsia="x-none"/>
              </w:rPr>
              <w:t>, siempre que estas no impliquen la celebración de un contrato directo</w:t>
            </w:r>
            <w:r w:rsidRPr="00494FAF">
              <w:rPr>
                <w:rFonts w:ascii="Verdana" w:eastAsia="Times New Roman" w:hAnsi="Verdana" w:cs="Arial"/>
                <w:bCs/>
                <w:lang w:eastAsia="x-none"/>
              </w:rPr>
              <w:t>. En tal sentido, la gestión predial no se ve paralizada durante el período de restricción. No obstante, frente a la celebración de una promesa de compraventa o de un contrato de compraventa</w:t>
            </w:r>
            <w:r>
              <w:rPr>
                <w:rFonts w:ascii="Verdana" w:eastAsia="Times New Roman" w:hAnsi="Verdana" w:cs="Arial"/>
                <w:bCs/>
                <w:lang w:eastAsia="x-none"/>
              </w:rPr>
              <w:t xml:space="preserve"> o cualquier otro contrato directo</w:t>
            </w:r>
            <w:r w:rsidRPr="00494FAF">
              <w:rPr>
                <w:rFonts w:ascii="Verdana" w:eastAsia="Times New Roman" w:hAnsi="Verdana" w:cs="Arial"/>
                <w:bCs/>
                <w:lang w:eastAsia="x-none"/>
              </w:rPr>
              <w:t xml:space="preserve">, sí resulta aplicable la restricción prevista en el citado artículo 33, razón por la cual se reitera la postura sostenida en los conceptos C-1512 y C-1529, en tanto dichos negocios jurídicos comportan la celebración </w:t>
            </w:r>
            <w:r>
              <w:rPr>
                <w:rFonts w:ascii="Verdana" w:eastAsia="Times New Roman" w:hAnsi="Verdana" w:cs="Arial"/>
                <w:bCs/>
                <w:lang w:eastAsia="x-none"/>
              </w:rPr>
              <w:t xml:space="preserve">directa </w:t>
            </w:r>
            <w:r w:rsidRPr="00494FAF">
              <w:rPr>
                <w:rFonts w:ascii="Verdana" w:eastAsia="Times New Roman" w:hAnsi="Verdana" w:cs="Arial"/>
                <w:bCs/>
                <w:lang w:eastAsia="x-none"/>
              </w:rPr>
              <w:t>de un contrato estatal.</w:t>
            </w:r>
          </w:p>
          <w:p w14:paraId="1B15F2D2" w14:textId="0364B98F" w:rsidR="00344BAF" w:rsidRPr="000D5FB8" w:rsidRDefault="00607DAB" w:rsidP="007C03A1">
            <w:pPr>
              <w:spacing w:after="120" w:line="276" w:lineRule="auto"/>
              <w:ind w:firstLine="709"/>
              <w:jc w:val="both"/>
              <w:rPr>
                <w:rFonts w:ascii="Verdana" w:hAnsi="Verdana"/>
                <w:color w:val="000000" w:themeColor="text1"/>
                <w:lang w:val="es-ES"/>
              </w:rPr>
            </w:pPr>
            <w:r>
              <w:rPr>
                <w:rFonts w:ascii="Verdana" w:eastAsia="Times New Roman" w:hAnsi="Verdana" w:cs="Arial"/>
                <w:bCs/>
                <w:lang w:val="es-MX" w:eastAsia="x-none"/>
              </w:rPr>
              <w:t>Finalmente</w:t>
            </w:r>
            <w:r w:rsidR="00BC365E" w:rsidRPr="00DE6146">
              <w:rPr>
                <w:rFonts w:ascii="Verdana" w:eastAsia="Times New Roman" w:hAnsi="Verdana" w:cs="Arial"/>
                <w:bCs/>
                <w:lang w:val="es-MX" w:eastAsia="x-none"/>
              </w:rPr>
              <w:t>,</w:t>
            </w:r>
            <w:r>
              <w:rPr>
                <w:rFonts w:ascii="Verdana" w:eastAsia="Times New Roman" w:hAnsi="Verdana" w:cs="Arial"/>
                <w:bCs/>
                <w:lang w:val="es-MX" w:eastAsia="x-none"/>
              </w:rPr>
              <w:t xml:space="preserve"> debe precisarse que</w:t>
            </w:r>
            <w:r w:rsidR="00BC365E" w:rsidRPr="00DE6146">
              <w:rPr>
                <w:rFonts w:ascii="Verdana" w:eastAsia="Times New Roman" w:hAnsi="Verdana" w:cs="Arial"/>
                <w:bCs/>
                <w:lang w:val="es-MX" w:eastAsia="x-none"/>
              </w:rPr>
              <w:t xml:space="preserve"> la interpretación contenida en e</w:t>
            </w:r>
            <w:r w:rsidR="00BC365E">
              <w:rPr>
                <w:rFonts w:ascii="Verdana" w:eastAsia="Times New Roman" w:hAnsi="Verdana" w:cs="Arial"/>
                <w:bCs/>
                <w:lang w:val="es-MX" w:eastAsia="x-none"/>
              </w:rPr>
              <w:t>ste</w:t>
            </w:r>
            <w:r w:rsidR="00BC365E" w:rsidRPr="00DE6146">
              <w:rPr>
                <w:rFonts w:ascii="Verdana" w:eastAsia="Times New Roman" w:hAnsi="Verdana" w:cs="Arial"/>
                <w:bCs/>
                <w:lang w:val="es-MX" w:eastAsia="x-none"/>
              </w:rPr>
              <w:t xml:space="preserve"> concepto</w:t>
            </w:r>
            <w:r w:rsidR="00BC365E">
              <w:rPr>
                <w:rFonts w:ascii="Verdana" w:eastAsia="Times New Roman" w:hAnsi="Verdana" w:cs="Arial"/>
                <w:bCs/>
                <w:lang w:val="es-MX" w:eastAsia="x-none"/>
              </w:rPr>
              <w:t xml:space="preserve"> no</w:t>
            </w:r>
            <w:r w:rsidR="00BC365E" w:rsidRPr="00DE6146">
              <w:rPr>
                <w:rFonts w:ascii="Verdana" w:eastAsia="Times New Roman" w:hAnsi="Verdana" w:cs="Arial"/>
                <w:bCs/>
                <w:lang w:val="es-MX" w:eastAsia="x-none"/>
              </w:rPr>
              <w:t xml:space="preserve"> impli</w:t>
            </w:r>
            <w:r w:rsidR="00BC365E">
              <w:rPr>
                <w:rFonts w:ascii="Verdana" w:eastAsia="Times New Roman" w:hAnsi="Verdana" w:cs="Arial"/>
                <w:bCs/>
                <w:lang w:val="es-MX" w:eastAsia="x-none"/>
              </w:rPr>
              <w:t>ca</w:t>
            </w:r>
            <w:r w:rsidR="00BC365E" w:rsidRPr="00DE6146">
              <w:rPr>
                <w:rFonts w:ascii="Verdana" w:eastAsia="Times New Roman" w:hAnsi="Verdana" w:cs="Arial"/>
                <w:bCs/>
                <w:lang w:val="es-MX" w:eastAsia="x-none"/>
              </w:rPr>
              <w:t xml:space="preserve"> la paralización de procedimientos administrativos o contractuales como los relacionados con la gestión predial para proyectos de infraestructura. La determinación sobre la forma de adelantar dichos procedimientos, así como la valoración de las normas aplicables en cada caso concreto, corresponde </w:t>
            </w:r>
            <w:r w:rsidR="00BC365E" w:rsidRPr="002F1004">
              <w:rPr>
                <w:rFonts w:ascii="Verdana" w:eastAsia="Times New Roman" w:hAnsi="Verdana" w:cs="Arial"/>
                <w:b/>
                <w:i/>
                <w:iCs/>
                <w:lang w:val="es-MX" w:eastAsia="x-none"/>
              </w:rPr>
              <w:t>exclusivamente</w:t>
            </w:r>
            <w:r w:rsidR="00BC365E" w:rsidRPr="00784B93">
              <w:rPr>
                <w:rFonts w:ascii="Verdana" w:eastAsia="Times New Roman" w:hAnsi="Verdana" w:cs="Arial"/>
                <w:b/>
                <w:lang w:val="es-MX" w:eastAsia="x-none"/>
              </w:rPr>
              <w:t xml:space="preserve"> </w:t>
            </w:r>
            <w:r w:rsidR="00BC365E" w:rsidRPr="00DE6146">
              <w:rPr>
                <w:rFonts w:ascii="Verdana" w:eastAsia="Times New Roman" w:hAnsi="Verdana" w:cs="Arial"/>
                <w:bCs/>
                <w:lang w:val="es-MX" w:eastAsia="x-none"/>
              </w:rPr>
              <w:t xml:space="preserve">a las entidades estatales en </w:t>
            </w:r>
            <w:r w:rsidR="00BC365E" w:rsidRPr="00DE6146">
              <w:rPr>
                <w:rFonts w:ascii="Verdana" w:eastAsia="Times New Roman" w:hAnsi="Verdana" w:cs="Arial"/>
                <w:bCs/>
                <w:lang w:val="es-MX" w:eastAsia="x-none"/>
              </w:rPr>
              <w:lastRenderedPageBreak/>
              <w:t>el marco de sus competencias funcionales, quienes deben adoptar las decisiones que estimen pertinentes con fundamento en su propio análisis jurídico y en el principio de responsabilidad en el ejercicio de la función administrativa.</w:t>
            </w:r>
          </w:p>
        </w:tc>
      </w:tr>
    </w:tbl>
    <w:p w14:paraId="0FDE61F9" w14:textId="77777777" w:rsidR="00344BAF" w:rsidRPr="000952AC" w:rsidRDefault="00344BAF" w:rsidP="00344BAF">
      <w:pPr>
        <w:tabs>
          <w:tab w:val="left" w:pos="142"/>
          <w:tab w:val="left" w:pos="284"/>
        </w:tabs>
        <w:spacing w:after="0" w:line="276" w:lineRule="auto"/>
        <w:jc w:val="both"/>
        <w:rPr>
          <w:rFonts w:ascii="Verdana" w:eastAsia="Century Gothic" w:hAnsi="Verdana" w:cs="Century Gothic"/>
          <w:b/>
          <w:bCs/>
        </w:rPr>
      </w:pPr>
    </w:p>
    <w:p w14:paraId="61613850" w14:textId="77777777" w:rsidR="00344BAF" w:rsidRDefault="00344BAF" w:rsidP="00344BAF">
      <w:pPr>
        <w:tabs>
          <w:tab w:val="left" w:pos="142"/>
          <w:tab w:val="left" w:pos="284"/>
        </w:tabs>
        <w:spacing w:after="0" w:line="276" w:lineRule="auto"/>
        <w:jc w:val="both"/>
        <w:rPr>
          <w:rFonts w:ascii="Verdana" w:eastAsia="Century Gothic" w:hAnsi="Verdana" w:cs="Century Gothic"/>
          <w:b/>
          <w:bCs/>
        </w:rPr>
      </w:pPr>
      <w:r w:rsidRPr="000952AC">
        <w:rPr>
          <w:rFonts w:ascii="Verdana" w:eastAsia="Century Gothic" w:hAnsi="Verdana" w:cs="Century Gothic"/>
          <w:b/>
          <w:bCs/>
        </w:rPr>
        <w:t>3. Razones de la respuesta:</w:t>
      </w:r>
    </w:p>
    <w:p w14:paraId="69BA515E" w14:textId="77777777" w:rsidR="00344BAF" w:rsidRPr="000952AC" w:rsidRDefault="00344BAF" w:rsidP="00344BAF">
      <w:pPr>
        <w:tabs>
          <w:tab w:val="left" w:pos="142"/>
          <w:tab w:val="left" w:pos="284"/>
        </w:tabs>
        <w:spacing w:after="0" w:line="276" w:lineRule="auto"/>
        <w:jc w:val="both"/>
        <w:rPr>
          <w:rFonts w:ascii="Verdana" w:eastAsia="Century Gothic" w:hAnsi="Verdana" w:cs="Century Gothic"/>
          <w:b/>
          <w:bCs/>
        </w:rPr>
      </w:pPr>
    </w:p>
    <w:p w14:paraId="2BD06A1A" w14:textId="77777777" w:rsidR="00344BAF" w:rsidRDefault="00344BAF" w:rsidP="00633474">
      <w:pPr>
        <w:pStyle w:val="Prrafodelista"/>
        <w:tabs>
          <w:tab w:val="left" w:pos="142"/>
          <w:tab w:val="left" w:pos="284"/>
        </w:tabs>
        <w:spacing w:after="0" w:line="276" w:lineRule="auto"/>
        <w:ind w:left="0" w:firstLine="142"/>
        <w:contextualSpacing w:val="0"/>
        <w:jc w:val="both"/>
        <w:rPr>
          <w:rFonts w:ascii="Verdana" w:eastAsia="Calibri" w:hAnsi="Verdana" w:cs="Arial"/>
          <w:lang w:val="es-CO"/>
        </w:rPr>
      </w:pPr>
      <w:r w:rsidRPr="000952AC">
        <w:rPr>
          <w:rFonts w:ascii="Verdana" w:eastAsia="Calibri" w:hAnsi="Verdana" w:cs="Arial"/>
          <w:lang w:val="es-CO"/>
        </w:rPr>
        <w:t xml:space="preserve">Lo anterior se sustenta en las siguientes consideraciones: </w:t>
      </w:r>
    </w:p>
    <w:p w14:paraId="758330F2" w14:textId="77777777" w:rsidR="00344BAF" w:rsidRDefault="00344BAF" w:rsidP="00344BAF">
      <w:pPr>
        <w:pStyle w:val="Prrafodelista"/>
        <w:tabs>
          <w:tab w:val="left" w:pos="142"/>
          <w:tab w:val="left" w:pos="284"/>
        </w:tabs>
        <w:spacing w:after="0" w:line="276" w:lineRule="auto"/>
        <w:ind w:left="0"/>
        <w:contextualSpacing w:val="0"/>
        <w:jc w:val="both"/>
        <w:rPr>
          <w:rFonts w:ascii="Verdana" w:eastAsia="Calibri" w:hAnsi="Verdana" w:cs="Arial"/>
          <w:lang w:val="es-CO"/>
        </w:rPr>
      </w:pPr>
    </w:p>
    <w:p w14:paraId="7EA36B6F" w14:textId="77777777" w:rsidR="000A52DE" w:rsidRPr="00FC6F34" w:rsidRDefault="000A52DE" w:rsidP="007C03A1">
      <w:pPr>
        <w:tabs>
          <w:tab w:val="left" w:pos="426"/>
        </w:tabs>
        <w:spacing w:after="120" w:line="276" w:lineRule="auto"/>
        <w:jc w:val="both"/>
        <w:rPr>
          <w:rFonts w:ascii="Verdana" w:eastAsia="Times New Roman" w:hAnsi="Verdana" w:cs="Arial"/>
          <w:lang w:val="es-ES" w:eastAsia="es-CO"/>
        </w:rPr>
      </w:pPr>
      <w:r w:rsidRPr="00FC6F34">
        <w:rPr>
          <w:rFonts w:ascii="Verdana" w:eastAsia="Calibri" w:hAnsi="Verdana" w:cs="Arial"/>
          <w:lang w:val="es-ES"/>
        </w:rPr>
        <w:t>El ordenamiento jurídico colombiano contempla medidas para evitar la obtención de beneficios personales en asuntos propios de la administración pública</w:t>
      </w:r>
      <w:r w:rsidRPr="00FC6F34">
        <w:rPr>
          <w:rFonts w:ascii="Verdana" w:eastAsia="Calibri" w:hAnsi="Verdana" w:cs="Arial"/>
          <w:i/>
          <w:lang w:val="es-ES"/>
        </w:rPr>
        <w:t xml:space="preserve">. </w:t>
      </w:r>
      <w:r w:rsidRPr="00FC6F34">
        <w:rPr>
          <w:rFonts w:ascii="Verdana" w:eastAsia="Calibri"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FC6F34">
        <w:rPr>
          <w:rFonts w:ascii="Verdana" w:hAnsi="Verdana"/>
          <w:vertAlign w:val="superscript"/>
          <w:lang w:val="es-ES"/>
        </w:rPr>
        <w:footnoteReference w:id="1"/>
      </w:r>
      <w:r w:rsidRPr="00FC6F34">
        <w:rPr>
          <w:rFonts w:ascii="Verdana" w:eastAsia="Calibri" w:hAnsi="Verdana" w:cs="Arial"/>
          <w:lang w:val="es-ES"/>
        </w:rPr>
        <w:t xml:space="preserve">. </w:t>
      </w:r>
    </w:p>
    <w:p w14:paraId="5E5D6FC4" w14:textId="77777777" w:rsidR="000A52DE" w:rsidRPr="00FC6F34" w:rsidRDefault="000A52DE" w:rsidP="000A52DE">
      <w:pPr>
        <w:tabs>
          <w:tab w:val="left" w:pos="426"/>
        </w:tabs>
        <w:spacing w:after="12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C6F34">
        <w:rPr>
          <w:rFonts w:ascii="Verdana" w:eastAsia="Times New Roman" w:hAnsi="Verdana" w:cs="Arial"/>
          <w:vertAlign w:val="superscript"/>
          <w:lang w:val="es-ES" w:eastAsia="es-CO"/>
        </w:rPr>
        <w:footnoteReference w:id="2"/>
      </w:r>
      <w:r w:rsidRPr="00FC6F34">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FC6F34">
        <w:rPr>
          <w:rFonts w:ascii="Verdana" w:eastAsia="Calibri" w:hAnsi="Verdana" w:cs="Arial"/>
          <w:lang w:val="es-ES"/>
        </w:rPr>
        <w:t xml:space="preserve"> </w:t>
      </w:r>
    </w:p>
    <w:p w14:paraId="4195A884" w14:textId="77777777" w:rsidR="000A52DE" w:rsidRPr="00FC6F34" w:rsidRDefault="000A52DE" w:rsidP="000A52DE">
      <w:pPr>
        <w:tabs>
          <w:tab w:val="left" w:pos="426"/>
        </w:tabs>
        <w:spacing w:after="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256EA287" w14:textId="77777777" w:rsidR="000A52DE" w:rsidRPr="00FC6F34" w:rsidRDefault="000A52DE" w:rsidP="000A52DE">
      <w:pPr>
        <w:spacing w:after="0" w:line="276" w:lineRule="auto"/>
        <w:ind w:right="709"/>
        <w:jc w:val="both"/>
        <w:rPr>
          <w:rFonts w:ascii="Verdana" w:eastAsia="Times New Roman" w:hAnsi="Verdana" w:cs="Arial"/>
          <w:lang w:val="es-ES" w:eastAsia="es-CO"/>
        </w:rPr>
      </w:pPr>
    </w:p>
    <w:p w14:paraId="205DCEF7" w14:textId="77777777" w:rsidR="000A52DE" w:rsidRPr="00FC6F34" w:rsidRDefault="000A52DE" w:rsidP="000A52DE">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49D99CDE" w14:textId="77777777" w:rsidR="000A52DE" w:rsidRPr="00FC6F34" w:rsidRDefault="000A52DE" w:rsidP="000A52DE">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 </w:t>
      </w:r>
    </w:p>
    <w:p w14:paraId="3C63C0E6" w14:textId="77777777" w:rsidR="000A52DE" w:rsidRPr="00FC6F34" w:rsidRDefault="000A52DE" w:rsidP="000A52DE">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lastRenderedPageBreak/>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FC6F34">
        <w:rPr>
          <w:rFonts w:ascii="Verdana" w:eastAsia="Calibri" w:hAnsi="Verdana" w:cs="Arial"/>
          <w:sz w:val="20"/>
          <w:szCs w:val="20"/>
          <w:vertAlign w:val="superscript"/>
          <w:lang w:val="es-ES"/>
        </w:rPr>
        <w:footnoteReference w:id="3"/>
      </w:r>
    </w:p>
    <w:p w14:paraId="59EBFFA2" w14:textId="77777777" w:rsidR="000A52DE" w:rsidRPr="00FC6F34" w:rsidRDefault="000A52DE" w:rsidP="000A52DE">
      <w:pPr>
        <w:spacing w:after="0" w:line="276" w:lineRule="auto"/>
        <w:ind w:firstLine="709"/>
        <w:jc w:val="both"/>
        <w:rPr>
          <w:rFonts w:ascii="Verdana" w:eastAsia="Times New Roman" w:hAnsi="Verdana" w:cs="Arial"/>
          <w:lang w:val="es-ES" w:eastAsia="es-CO"/>
        </w:rPr>
      </w:pPr>
    </w:p>
    <w:p w14:paraId="4DBAE003" w14:textId="77777777" w:rsidR="000A52DE" w:rsidRPr="00FC6F34" w:rsidRDefault="000A52DE" w:rsidP="000A52DE">
      <w:pPr>
        <w:spacing w:after="0" w:line="276" w:lineRule="auto"/>
        <w:ind w:firstLine="709"/>
        <w:jc w:val="both"/>
        <w:rPr>
          <w:rFonts w:ascii="Verdana" w:eastAsia="Times New Roman" w:hAnsi="Verdana" w:cs="Arial"/>
          <w:lang w:val="es-ES" w:eastAsia="es-CO"/>
        </w:rPr>
      </w:pPr>
      <w:r w:rsidRPr="00FC6F34">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1530BE17" w14:textId="77777777" w:rsidR="000A52DE" w:rsidRPr="00FC6F34" w:rsidRDefault="000A52DE" w:rsidP="000A52DE">
      <w:pPr>
        <w:spacing w:after="0" w:line="276" w:lineRule="auto"/>
        <w:ind w:firstLine="709"/>
        <w:jc w:val="both"/>
        <w:rPr>
          <w:rFonts w:ascii="Verdana" w:eastAsia="Times New Roman" w:hAnsi="Verdana" w:cs="Arial"/>
          <w:lang w:val="es-ES" w:eastAsia="es-CO"/>
        </w:rPr>
      </w:pPr>
    </w:p>
    <w:p w14:paraId="09F93A85" w14:textId="77777777" w:rsidR="000A52DE" w:rsidRPr="00FC6F34" w:rsidRDefault="000A52DE" w:rsidP="000A52DE">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FC6F34">
        <w:rPr>
          <w:rFonts w:ascii="Verdana" w:eastAsia="Times New Roman" w:hAnsi="Verdana" w:cs="Arial"/>
          <w:sz w:val="20"/>
          <w:szCs w:val="20"/>
          <w:lang w:val="es-ES" w:eastAsia="es-CO"/>
        </w:rPr>
        <w:t>legis</w:t>
      </w:r>
      <w:proofErr w:type="spellEnd"/>
      <w:r w:rsidRPr="00FC6F34">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946C2B4" w14:textId="77777777" w:rsidR="000A52DE" w:rsidRPr="00FC6F34" w:rsidRDefault="000A52DE" w:rsidP="000A52DE">
      <w:pPr>
        <w:spacing w:after="0" w:line="240" w:lineRule="auto"/>
        <w:ind w:right="709"/>
        <w:jc w:val="both"/>
        <w:rPr>
          <w:rFonts w:ascii="Verdana" w:eastAsia="Times New Roman" w:hAnsi="Verdana" w:cs="Arial"/>
          <w:lang w:val="es-ES" w:eastAsia="es-CO"/>
        </w:rPr>
      </w:pPr>
    </w:p>
    <w:p w14:paraId="6AA84AAE" w14:textId="77777777" w:rsidR="000A52DE" w:rsidRPr="00FC6F34" w:rsidRDefault="000A52DE" w:rsidP="000A52DE">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La jurisprudencia de la Corte Constitucional</w:t>
      </w:r>
      <w:r w:rsidRPr="00FC6F34">
        <w:rPr>
          <w:rFonts w:ascii="Verdana" w:eastAsia="Times New Roman" w:hAnsi="Verdana" w:cs="Arial"/>
          <w:sz w:val="20"/>
          <w:szCs w:val="20"/>
          <w:vertAlign w:val="superscript"/>
          <w:lang w:val="es-ES" w:eastAsia="es-CO"/>
        </w:rPr>
        <w:footnoteReference w:id="4"/>
      </w:r>
      <w:r w:rsidRPr="00FC6F34">
        <w:rPr>
          <w:rFonts w:ascii="Verdana" w:eastAsia="Times New Roman" w:hAnsi="Verdana" w:cs="Arial"/>
          <w:sz w:val="20"/>
          <w:szCs w:val="20"/>
          <w:lang w:val="es-ES" w:eastAsia="es-CO"/>
        </w:rPr>
        <w:t> y del Consejo de Estado</w:t>
      </w:r>
      <w:r w:rsidRPr="00FC6F34">
        <w:rPr>
          <w:rFonts w:ascii="Verdana" w:eastAsia="Times New Roman" w:hAnsi="Verdana" w:cs="Arial"/>
          <w:sz w:val="20"/>
          <w:szCs w:val="20"/>
          <w:vertAlign w:val="superscript"/>
          <w:lang w:val="es-ES" w:eastAsia="es-CO"/>
        </w:rPr>
        <w:footnoteReference w:id="5"/>
      </w:r>
      <w:r w:rsidRPr="00FC6F34">
        <w:rPr>
          <w:rFonts w:ascii="Verdana" w:eastAsia="Times New Roman" w:hAnsi="Verdana" w:cs="Arial"/>
          <w:sz w:val="20"/>
          <w:szCs w:val="20"/>
          <w:lang w:val="es-ES"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w:t>
      </w:r>
      <w:r w:rsidRPr="00FC6F34">
        <w:rPr>
          <w:rFonts w:ascii="Verdana" w:eastAsia="Times New Roman" w:hAnsi="Verdana" w:cs="Arial"/>
          <w:sz w:val="20"/>
          <w:szCs w:val="20"/>
          <w:lang w:val="es-ES" w:eastAsia="es-CO"/>
        </w:rPr>
        <w:lastRenderedPageBreak/>
        <w:t>supuestos que contemplan, pues como entrañan una limitación -así fuere justificada- a la libertad de actuar o capacidad de obrar, sobrepasar sus precisos términos comporta el desconocimiento de la voluntad del legislador”</w:t>
      </w:r>
      <w:r w:rsidRPr="00FC6F34">
        <w:rPr>
          <w:rFonts w:ascii="Verdana" w:eastAsia="Times New Roman" w:hAnsi="Verdana" w:cs="Arial"/>
          <w:sz w:val="20"/>
          <w:szCs w:val="20"/>
          <w:vertAlign w:val="superscript"/>
          <w:lang w:val="es-ES" w:eastAsia="es-CO"/>
        </w:rPr>
        <w:footnoteReference w:id="6"/>
      </w:r>
      <w:r w:rsidRPr="00FC6F34">
        <w:rPr>
          <w:rFonts w:ascii="Verdana" w:eastAsia="Times New Roman" w:hAnsi="Verdana" w:cs="Arial"/>
          <w:sz w:val="20"/>
          <w:szCs w:val="20"/>
          <w:lang w:val="es-ES" w:eastAsia="es-CO"/>
        </w:rPr>
        <w:t>.</w:t>
      </w:r>
    </w:p>
    <w:p w14:paraId="5545E680" w14:textId="77777777" w:rsidR="000A52DE" w:rsidRPr="00FC6F34" w:rsidRDefault="000A52DE" w:rsidP="000A52DE">
      <w:pPr>
        <w:spacing w:after="0" w:line="276" w:lineRule="auto"/>
        <w:jc w:val="both"/>
        <w:rPr>
          <w:rFonts w:ascii="Verdana" w:eastAsia="Calibri" w:hAnsi="Verdana" w:cs="Arial"/>
          <w:bCs/>
          <w:lang w:val="es-ES"/>
        </w:rPr>
      </w:pPr>
    </w:p>
    <w:p w14:paraId="75A8AEEA" w14:textId="77777777" w:rsidR="000A52DE" w:rsidRPr="00FC6F34" w:rsidRDefault="000A52DE" w:rsidP="000A52DE">
      <w:pPr>
        <w:spacing w:after="120" w:line="276" w:lineRule="auto"/>
        <w:ind w:firstLine="709"/>
        <w:jc w:val="both"/>
        <w:rPr>
          <w:rFonts w:ascii="Verdana" w:eastAsia="Arial" w:hAnsi="Verdana" w:cs="Arial"/>
          <w:lang w:val="es-ES" w:eastAsia="es-ES" w:bidi="es-ES"/>
        </w:rPr>
      </w:pPr>
      <w:r w:rsidRPr="00FC6F34">
        <w:rPr>
          <w:rFonts w:ascii="Verdana" w:eastAsia="Times New Roman" w:hAnsi="Verdana" w:cs="Arial"/>
          <w:lang w:val="es-ES" w:eastAsia="es-CO"/>
        </w:rPr>
        <w:t>De</w:t>
      </w:r>
      <w:r w:rsidRPr="00FC6F34">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634B2EDB" w14:textId="136DE1DB" w:rsidR="000A52DE" w:rsidRPr="00FB5047" w:rsidRDefault="000A52DE" w:rsidP="00633474">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56517E78" w14:textId="77777777" w:rsidR="000A52DE" w:rsidRDefault="000A52DE" w:rsidP="000A52DE">
      <w:pPr>
        <w:tabs>
          <w:tab w:val="left" w:pos="426"/>
        </w:tabs>
        <w:spacing w:after="120" w:line="276" w:lineRule="auto"/>
        <w:ind w:firstLine="709"/>
        <w:jc w:val="both"/>
        <w:rPr>
          <w:rFonts w:ascii="Verdana" w:eastAsia="Arial" w:hAnsi="Verdana" w:cs="Arial"/>
          <w:lang w:val="es-ES" w:eastAsia="es-ES" w:bidi="es-ES"/>
        </w:rPr>
      </w:pPr>
      <w:r w:rsidRPr="00FC6F34">
        <w:rPr>
          <w:rFonts w:ascii="Verdana" w:eastAsia="Calibri" w:hAnsi="Verdana" w:cs="Arial"/>
          <w:lang w:val="es-ES"/>
        </w:rPr>
        <w:t xml:space="preserve">Por un lado, </w:t>
      </w:r>
      <w:bookmarkStart w:id="3" w:name="_Hlk100679383"/>
      <w:r>
        <w:rPr>
          <w:rFonts w:ascii="Verdana" w:eastAsia="Calibri" w:hAnsi="Verdana" w:cs="Arial"/>
        </w:rPr>
        <w:t xml:space="preserve">el </w:t>
      </w:r>
      <w:r>
        <w:rPr>
          <w:rFonts w:ascii="Verdana" w:eastAsia="Calibri" w:hAnsi="Verdana" w:cs="Arial"/>
          <w:i/>
          <w:iCs/>
        </w:rPr>
        <w:t>artículo 33 de la Ley 996 de 2005</w:t>
      </w:r>
      <w:r>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vertAlign w:val="superscript"/>
        </w:rPr>
        <w:footnoteReference w:id="7"/>
      </w:r>
      <w:r>
        <w:rPr>
          <w:rFonts w:ascii="Verdana" w:eastAsia="Calibri" w:hAnsi="Verdana" w:cs="Arial"/>
        </w:rPr>
        <w:t>.</w:t>
      </w:r>
      <w:bookmarkEnd w:id="3"/>
      <w:r>
        <w:rPr>
          <w:rFonts w:ascii="Verdana" w:eastAsia="Arial" w:hAnsi="Verdana" w:cs="Arial"/>
          <w:lang w:val="es-ES" w:eastAsia="es-ES" w:bidi="es-ES"/>
        </w:rPr>
        <w:t xml:space="preserve"> </w:t>
      </w:r>
      <w:bookmarkStart w:id="5" w:name="_Hlk78820161"/>
    </w:p>
    <w:p w14:paraId="0F6DA58D" w14:textId="77777777" w:rsidR="000A52DE" w:rsidRDefault="000A52DE" w:rsidP="000A52DE">
      <w:pPr>
        <w:tabs>
          <w:tab w:val="left" w:pos="426"/>
        </w:tabs>
        <w:spacing w:after="120" w:line="276" w:lineRule="auto"/>
        <w:ind w:firstLine="709"/>
        <w:jc w:val="both"/>
        <w:rPr>
          <w:rFonts w:ascii="Verdana" w:eastAsia="Calibri" w:hAnsi="Verdana" w:cs="Arial"/>
          <w:lang w:val="es-ES"/>
        </w:rPr>
      </w:pP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 xml:space="preserve">de la Ley 996 de 2005 prevé una restricción, aplicable respecto de </w:t>
      </w:r>
      <w:r w:rsidRPr="00FC6F34">
        <w:rPr>
          <w:rFonts w:ascii="Verdana" w:eastAsia="Calibri" w:hAnsi="Verdana" w:cs="Arial"/>
          <w:i/>
          <w:iCs/>
          <w:lang w:val="es-ES"/>
        </w:rPr>
        <w:t>cualquier tipo de contienda electoral</w:t>
      </w:r>
      <w:r w:rsidRPr="00FC6F34">
        <w:rPr>
          <w:rFonts w:ascii="Verdana" w:eastAsia="Calibri" w:hAnsi="Verdana" w:cs="Arial"/>
          <w:lang w:val="es-ES"/>
        </w:rPr>
        <w:t xml:space="preserve">,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w:t>
      </w:r>
      <w:r w:rsidRPr="00FC6F34">
        <w:rPr>
          <w:rFonts w:ascii="Verdana" w:eastAsia="Calibri" w:hAnsi="Verdana" w:cs="Arial"/>
          <w:lang w:val="es-ES"/>
        </w:rPr>
        <w:lastRenderedPageBreak/>
        <w:t>tampoco de las que participen como miembros de sus juntas directivas, en o para reuniones de carácter proselitista”</w:t>
      </w:r>
      <w:r w:rsidRPr="00FC6F34">
        <w:rPr>
          <w:rFonts w:ascii="Verdana" w:eastAsia="Calibri" w:hAnsi="Verdana" w:cs="Arial"/>
          <w:vertAlign w:val="superscript"/>
          <w:lang w:val="es-ES"/>
        </w:rPr>
        <w:footnoteReference w:id="8"/>
      </w:r>
      <w:r w:rsidRPr="00FC6F34">
        <w:rPr>
          <w:rFonts w:ascii="Verdana" w:eastAsia="Calibri" w:hAnsi="Verdana" w:cs="Arial"/>
          <w:lang w:val="es-ES"/>
        </w:rPr>
        <w:t>.</w:t>
      </w:r>
    </w:p>
    <w:p w14:paraId="28976144" w14:textId="3F22F87D" w:rsidR="000A52DE" w:rsidRDefault="000A52DE" w:rsidP="00810BC3">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FC6F34">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4F5FF71A" w14:textId="77777777" w:rsidR="00810BC3" w:rsidRPr="00FC6F34" w:rsidRDefault="00810BC3" w:rsidP="00810BC3">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p>
    <w:p w14:paraId="3046012E" w14:textId="08A811D0" w:rsidR="00810BC3" w:rsidRDefault="000A52DE" w:rsidP="00810BC3">
      <w:pPr>
        <w:widowControl w:val="0"/>
        <w:autoSpaceDE w:val="0"/>
        <w:autoSpaceDN w:val="0"/>
        <w:spacing w:line="240" w:lineRule="auto"/>
        <w:ind w:left="709" w:right="709"/>
        <w:jc w:val="both"/>
        <w:rPr>
          <w:rFonts w:ascii="Verdana" w:eastAsia="Arial" w:hAnsi="Verdana" w:cs="Arial"/>
          <w:sz w:val="20"/>
          <w:szCs w:val="20"/>
          <w:lang w:val="es-ES" w:eastAsia="es-ES" w:bidi="es-ES"/>
        </w:rPr>
      </w:pPr>
      <w:r w:rsidRPr="00FC6F34">
        <w:rPr>
          <w:rFonts w:ascii="Verdana" w:eastAsia="Arial" w:hAnsi="Verdana" w:cs="Arial"/>
          <w:sz w:val="20"/>
          <w:szCs w:val="20"/>
          <w:lang w:val="es-ES"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FC6F34">
        <w:rPr>
          <w:rFonts w:ascii="Verdana" w:eastAsia="Arial" w:hAnsi="Verdana" w:cs="Arial"/>
          <w:sz w:val="20"/>
          <w:szCs w:val="20"/>
          <w:vertAlign w:val="superscript"/>
          <w:lang w:val="es-ES" w:eastAsia="es-ES" w:bidi="es-ES"/>
        </w:rPr>
        <w:footnoteReference w:id="9"/>
      </w:r>
    </w:p>
    <w:p w14:paraId="0D9A81CC" w14:textId="77777777" w:rsidR="00810BC3" w:rsidRPr="00810BC3" w:rsidRDefault="00810BC3" w:rsidP="00810BC3">
      <w:pPr>
        <w:widowControl w:val="0"/>
        <w:autoSpaceDE w:val="0"/>
        <w:autoSpaceDN w:val="0"/>
        <w:spacing w:before="240" w:after="0" w:line="240" w:lineRule="auto"/>
        <w:ind w:left="709" w:right="709"/>
        <w:jc w:val="both"/>
        <w:rPr>
          <w:rFonts w:ascii="Verdana" w:eastAsia="Arial" w:hAnsi="Verdana" w:cs="Arial"/>
          <w:sz w:val="20"/>
          <w:szCs w:val="20"/>
          <w:lang w:val="es-ES" w:eastAsia="es-ES" w:bidi="es-ES"/>
        </w:rPr>
      </w:pPr>
    </w:p>
    <w:p w14:paraId="2659A723" w14:textId="77777777" w:rsidR="000A52DE" w:rsidRPr="00FC6F34" w:rsidRDefault="000A52DE" w:rsidP="000A52DE">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FC6F34">
        <w:rPr>
          <w:rFonts w:ascii="Verdana" w:eastAsia="Arial" w:hAnsi="Verdana" w:cs="Arial"/>
          <w:i/>
          <w:lang w:val="es-ES" w:eastAsia="es-ES" w:bidi="es-ES"/>
        </w:rPr>
        <w:t>En primer lugar</w:t>
      </w:r>
      <w:r w:rsidRPr="00FC6F34">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C6F34">
        <w:rPr>
          <w:rFonts w:ascii="Verdana" w:eastAsia="Arial" w:hAnsi="Verdana" w:cs="Arial"/>
          <w:i/>
          <w:lang w:val="es-ES" w:eastAsia="es-ES" w:bidi="es-ES"/>
        </w:rPr>
        <w:t>En segundo lugar</w:t>
      </w:r>
      <w:r w:rsidRPr="00FC6F34">
        <w:rPr>
          <w:rFonts w:ascii="Verdana" w:eastAsia="Arial" w:hAnsi="Verdana" w:cs="Arial"/>
          <w:lang w:val="es-ES" w:eastAsia="es-ES" w:bidi="es-ES"/>
        </w:rPr>
        <w:t xml:space="preserve">, también se encuentra la prohibición del parágrafo del artículo 38, el cual debe aplicarse respecto de cualquier tipo de contienda electoral, y que </w:t>
      </w:r>
      <w:r w:rsidRPr="00FC6F34">
        <w:rPr>
          <w:rFonts w:ascii="Verdana" w:eastAsia="Arial" w:hAnsi="Verdana" w:cs="Arial"/>
          <w:lang w:val="es-ES" w:eastAsia="es-ES" w:bidi="es-ES"/>
        </w:rPr>
        <w:lastRenderedPageBreak/>
        <w:t>prohíbe la celebración de convenios interadministrativos que impliquen la ejecución de recursos públicos dentro de los cuatro (4) meses anteriores a la respectiva jornada de votaciones.</w:t>
      </w:r>
    </w:p>
    <w:p w14:paraId="586DBAF0" w14:textId="77777777" w:rsidR="000A52DE" w:rsidRPr="00FC6F34" w:rsidRDefault="000A52DE" w:rsidP="000A52DE">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sólo deben aplicar las restricciones contenidas en el parágrafo del artículo 38.</w:t>
      </w:r>
    </w:p>
    <w:p w14:paraId="04A95F22" w14:textId="77777777" w:rsidR="000A52DE" w:rsidRDefault="000A52DE" w:rsidP="000A52DE">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2BDAF60F" w14:textId="780A7D67" w:rsidR="000A52DE" w:rsidRPr="003E7D05" w:rsidRDefault="000A52DE" w:rsidP="003E7D05">
      <w:pPr>
        <w:spacing w:after="120" w:line="276" w:lineRule="auto"/>
        <w:ind w:firstLine="709"/>
        <w:jc w:val="both"/>
        <w:rPr>
          <w:rFonts w:ascii="Verdana" w:eastAsia="Arial" w:hAnsi="Verdana" w:cs="Arial"/>
          <w:lang w:val="es-ES" w:eastAsia="es-ES" w:bidi="es-ES"/>
        </w:rPr>
      </w:pPr>
      <w:r>
        <w:rPr>
          <w:rFonts w:ascii="Verdana" w:eastAsia="Times New Roman" w:hAnsi="Verdana" w:cs="Arial"/>
          <w:bCs/>
          <w:lang w:val="es-MX" w:eastAsia="x-none"/>
        </w:rPr>
        <w:t xml:space="preserve">Respecto del ámbito material de la prohibición contenida en el artículo 33 de la ley 996 de 2005, está delimitado por la expresión </w:t>
      </w:r>
      <w:r>
        <w:rPr>
          <w:rFonts w:ascii="Verdana" w:eastAsia="Calibri" w:hAnsi="Verdana" w:cs="Arial"/>
          <w:bCs/>
          <w:sz w:val="20"/>
          <w:szCs w:val="20"/>
          <w:lang w:val="es-MX"/>
        </w:rPr>
        <w:t>“</w:t>
      </w:r>
      <w:r>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Pr>
          <w:rFonts w:ascii="Verdana" w:eastAsia="Times New Roman" w:hAnsi="Verdana" w:cs="Arial"/>
          <w:bCs/>
          <w:lang w:val="es-MX" w:eastAsia="x-none"/>
        </w:rPr>
        <w:t xml:space="preserve">. </w:t>
      </w:r>
      <w:r>
        <w:rPr>
          <w:rFonts w:ascii="Verdana" w:eastAsia="Times New Roman" w:hAnsi="Verdana" w:cs="Arial"/>
          <w:lang w:val="es-MX" w:eastAsia="es-CO"/>
        </w:rPr>
        <w:t xml:space="preserve"> A propósito de </w:t>
      </w:r>
      <w:r>
        <w:rPr>
          <w:rFonts w:ascii="Verdana" w:eastAsia="Times New Roman" w:hAnsi="Verdana" w:cs="Arial"/>
          <w:lang w:eastAsia="es-CO"/>
        </w:rPr>
        <w:t>esta restricción de la Ley de Garantías Electorales, la Sala de Consulta y Servicio Civil del Consejo de Estado ha considerado que:</w:t>
      </w:r>
    </w:p>
    <w:p w14:paraId="0A1E5846" w14:textId="77777777" w:rsidR="000A52DE" w:rsidRDefault="000A52DE" w:rsidP="000A52DE">
      <w:pPr>
        <w:spacing w:after="12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Pr>
          <w:rFonts w:ascii="Verdana" w:eastAsia="Times New Roman" w:hAnsi="Verdana" w:cs="Arial"/>
          <w:sz w:val="20"/>
          <w:szCs w:val="20"/>
          <w:vertAlign w:val="superscript"/>
          <w:lang w:eastAsia="es-CO"/>
        </w:rPr>
        <w:footnoteReference w:id="10"/>
      </w:r>
      <w:r>
        <w:rPr>
          <w:rFonts w:ascii="Verdana" w:eastAsia="Calibri" w:hAnsi="Verdana" w:cs="Arial"/>
          <w:sz w:val="20"/>
          <w:szCs w:val="20"/>
          <w:lang w:val="es-MX"/>
        </w:rPr>
        <w:t>.</w:t>
      </w:r>
    </w:p>
    <w:p w14:paraId="492D1918" w14:textId="77777777" w:rsidR="000A52DE" w:rsidRDefault="000A52DE" w:rsidP="000A52DE">
      <w:pPr>
        <w:spacing w:after="0" w:line="240" w:lineRule="auto"/>
        <w:ind w:left="708" w:right="709"/>
        <w:jc w:val="both"/>
        <w:rPr>
          <w:rFonts w:ascii="Verdana" w:eastAsia="Calibri" w:hAnsi="Verdana" w:cs="Arial"/>
          <w:sz w:val="20"/>
          <w:szCs w:val="20"/>
          <w:lang w:val="es-MX"/>
        </w:rPr>
      </w:pPr>
      <w:r>
        <w:rPr>
          <w:rFonts w:ascii="Verdana" w:eastAsia="Calibri" w:hAnsi="Verdana" w:cs="Arial"/>
          <w:sz w:val="20"/>
          <w:szCs w:val="20"/>
          <w:lang w:val="es-MX"/>
        </w:rPr>
        <w:t xml:space="preserve">Esta Sala ha entendido que para los efectos de la ley de garantías, y dada su finalidad, el enunciado ´contratación directa´ es sinónimo de </w:t>
      </w:r>
      <w:r>
        <w:rPr>
          <w:rFonts w:ascii="Verdana" w:eastAsia="Calibri" w:hAnsi="Verdana" w:cs="Arial"/>
          <w:sz w:val="20"/>
          <w:szCs w:val="20"/>
          <w:lang w:val="es-MX"/>
        </w:rPr>
        <w:lastRenderedPageBreak/>
        <w:t xml:space="preserve">cualquier sistema que no implique convocatoria pública y posibilidad de pluralidad de oferentes, y que, además, </w:t>
      </w:r>
      <w:r w:rsidRPr="008601ED">
        <w:rPr>
          <w:rFonts w:ascii="Verdana" w:eastAsia="Calibri" w:hAnsi="Verdana" w:cs="Arial"/>
          <w:b/>
          <w:bCs/>
          <w:i/>
          <w:iCs/>
          <w:sz w:val="20"/>
          <w:szCs w:val="20"/>
          <w:lang w:val="es-MX"/>
        </w:rPr>
        <w:t>no necesariamente hace referencia al procedimiento especial regulado por la ley de contratación estatal, sino a cualquier otro que prescinda de un proceso de licitación pública o concurso</w:t>
      </w:r>
      <w:r>
        <w:rPr>
          <w:rFonts w:ascii="Verdana" w:eastAsia="Times New Roman" w:hAnsi="Verdana" w:cs="Arial"/>
          <w:sz w:val="20"/>
          <w:szCs w:val="20"/>
          <w:vertAlign w:val="superscript"/>
          <w:lang w:val="es-MX"/>
        </w:rPr>
        <w:footnoteReference w:id="11"/>
      </w:r>
      <w:r>
        <w:rPr>
          <w:rFonts w:ascii="Verdana" w:eastAsia="Times New Roman" w:hAnsi="Verdana" w:cs="Arial"/>
          <w:sz w:val="20"/>
          <w:szCs w:val="20"/>
          <w:vertAlign w:val="superscript"/>
          <w:lang w:val="es-MX"/>
        </w:rPr>
        <w:t>.</w:t>
      </w:r>
      <w:r>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Times New Roman" w:hAnsi="Verdana" w:cs="Arial"/>
          <w:sz w:val="20"/>
          <w:szCs w:val="20"/>
          <w:vertAlign w:val="superscript"/>
          <w:lang w:eastAsia="es-CO"/>
        </w:rPr>
        <w:footnoteReference w:id="12"/>
      </w:r>
      <w:r>
        <w:rPr>
          <w:rFonts w:ascii="Verdana" w:eastAsia="Calibri" w:hAnsi="Verdana" w:cs="Arial"/>
          <w:sz w:val="20"/>
          <w:szCs w:val="20"/>
          <w:lang w:val="es-MX"/>
        </w:rPr>
        <w:t>.[Énfasis por fuera de texto]</w:t>
      </w:r>
    </w:p>
    <w:p w14:paraId="6228993D" w14:textId="77777777" w:rsidR="000A52DE" w:rsidRDefault="000A52DE" w:rsidP="000A52DE">
      <w:pPr>
        <w:shd w:val="clear" w:color="auto" w:fill="FFFFFF"/>
        <w:spacing w:after="0" w:line="276" w:lineRule="auto"/>
        <w:ind w:firstLine="709"/>
        <w:jc w:val="both"/>
        <w:rPr>
          <w:rFonts w:ascii="Verdana" w:eastAsia="Times New Roman" w:hAnsi="Verdana" w:cs="Arial"/>
          <w:lang w:eastAsia="x-none"/>
        </w:rPr>
      </w:pPr>
    </w:p>
    <w:p w14:paraId="4A8BAC1A" w14:textId="77777777" w:rsidR="000A52DE" w:rsidRDefault="000A52DE" w:rsidP="000A52DE">
      <w:pPr>
        <w:spacing w:after="120" w:line="276" w:lineRule="auto"/>
        <w:ind w:firstLine="708"/>
        <w:jc w:val="both"/>
        <w:rPr>
          <w:rFonts w:ascii="Verdana" w:eastAsia="Times New Roman" w:hAnsi="Verdana" w:cs="Arial"/>
          <w:bCs/>
          <w:lang w:eastAsia="x-none"/>
        </w:rPr>
      </w:pPr>
      <w:r>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Pr>
          <w:rFonts w:ascii="Verdana" w:eastAsia="Times New Roman" w:hAnsi="Verdana" w:cs="Arial"/>
          <w:lang w:val="es-ES_tradnl" w:eastAsia="x-none"/>
        </w:rPr>
        <w:t xml:space="preserve">y la mínima cuantía </w:t>
      </w:r>
      <w:r>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Pr>
          <w:rFonts w:ascii="Verdana" w:eastAsia="Times New Roman" w:hAnsi="Verdana" w:cs="Arial"/>
          <w:vertAlign w:val="superscript"/>
          <w:lang w:val="en-GB" w:eastAsia="x-none"/>
        </w:rPr>
        <w:footnoteReference w:id="13"/>
      </w:r>
      <w:r>
        <w:rPr>
          <w:rFonts w:ascii="Verdana" w:eastAsia="Times New Roman" w:hAnsi="Verdana" w:cs="Arial"/>
          <w:lang w:eastAsia="x-none"/>
        </w:rPr>
        <w:t xml:space="preserve"> y sistematizó las causales de contratación directa</w:t>
      </w:r>
      <w:r>
        <w:rPr>
          <w:rFonts w:ascii="Verdana" w:eastAsia="Times New Roman" w:hAnsi="Verdana" w:cs="Arial"/>
          <w:vertAlign w:val="superscript"/>
          <w:lang w:val="en-GB" w:eastAsia="x-none"/>
        </w:rPr>
        <w:footnoteReference w:id="14"/>
      </w:r>
      <w:r>
        <w:rPr>
          <w:rFonts w:ascii="Verdana" w:eastAsia="Times New Roman" w:hAnsi="Verdana" w:cs="Arial"/>
          <w:lang w:eastAsia="x-none"/>
        </w:rPr>
        <w:t xml:space="preserve">, </w:t>
      </w:r>
      <w:r>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6B562D58" w14:textId="77777777" w:rsidR="000A52DE" w:rsidRDefault="000A52DE" w:rsidP="000A52DE">
      <w:pPr>
        <w:spacing w:after="120" w:line="276" w:lineRule="auto"/>
        <w:ind w:firstLine="708"/>
        <w:jc w:val="both"/>
        <w:rPr>
          <w:rFonts w:ascii="Verdana" w:eastAsia="Times New Roman" w:hAnsi="Verdana" w:cs="Arial"/>
          <w:lang w:val="es-MX" w:eastAsia="x-none"/>
        </w:rPr>
      </w:pPr>
      <w:r>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Pr>
          <w:rFonts w:ascii="Verdana" w:eastAsia="Times New Roman" w:hAnsi="Verdana" w:cs="Arial"/>
          <w:lang w:eastAsia="x-none"/>
        </w:rPr>
        <w:t>contratación directa</w:t>
      </w:r>
      <w:r>
        <w:rPr>
          <w:rFonts w:ascii="Verdana" w:eastAsia="Times New Roman" w:hAnsi="Verdana" w:cs="Arial"/>
          <w:lang w:eastAsia="en-GB"/>
        </w:rPr>
        <w:t>”</w:t>
      </w:r>
      <w:r>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Pr>
          <w:rFonts w:ascii="Verdana" w:eastAsia="Times New Roman" w:hAnsi="Verdana" w:cs="Arial"/>
          <w:vertAlign w:val="superscript"/>
          <w:lang w:val="en-GB" w:eastAsia="x-none"/>
        </w:rPr>
        <w:footnoteReference w:id="15"/>
      </w:r>
      <w:r>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Pr>
          <w:rFonts w:ascii="Verdana" w:eastAsia="Times New Roman" w:hAnsi="Verdana" w:cs="Arial"/>
          <w:lang w:eastAsia="x-none"/>
        </w:rPr>
        <w:t xml:space="preserve">. </w:t>
      </w:r>
    </w:p>
    <w:p w14:paraId="6416893E" w14:textId="77777777" w:rsidR="000A52DE" w:rsidRDefault="000A52DE" w:rsidP="000A52DE">
      <w:pPr>
        <w:spacing w:after="120" w:line="276" w:lineRule="auto"/>
        <w:ind w:firstLine="708"/>
        <w:jc w:val="both"/>
        <w:rPr>
          <w:rFonts w:ascii="Verdana" w:eastAsia="Times New Roman" w:hAnsi="Verdana" w:cs="Arial"/>
          <w:bCs/>
          <w:lang w:val="es-MX" w:eastAsia="es-CO"/>
        </w:rPr>
      </w:pPr>
      <w:r>
        <w:rPr>
          <w:rFonts w:ascii="Verdana" w:eastAsia="Times New Roman" w:hAnsi="Verdana" w:cs="Arial"/>
          <w:bCs/>
          <w:lang w:val="es-MX" w:eastAsia="x-none"/>
        </w:rPr>
        <w:t>E</w:t>
      </w:r>
      <w:r>
        <w:rPr>
          <w:rFonts w:ascii="Verdana" w:eastAsia="Times New Roman" w:hAnsi="Verdana" w:cs="Arial"/>
          <w:lang w:eastAsia="x-none"/>
        </w:rPr>
        <w:t xml:space="preserve">n efecto, vale la pena mencionar que, en algunos sistemas de contratación, utilizados por entidades públicas con regímenes especiales, o </w:t>
      </w:r>
      <w:r>
        <w:rPr>
          <w:rFonts w:ascii="Verdana" w:eastAsia="Times New Roman" w:hAnsi="Verdana" w:cs="Arial"/>
          <w:lang w:eastAsia="x-none"/>
        </w:rPr>
        <w:lastRenderedPageBreak/>
        <w:t>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Pr>
          <w:vertAlign w:val="superscript"/>
        </w:rPr>
        <w:footnoteReference w:id="16"/>
      </w:r>
      <w:r>
        <w:rPr>
          <w:rFonts w:ascii="Verdana" w:eastAsia="Times New Roman" w:hAnsi="Verdana" w:cs="Arial"/>
          <w:lang w:eastAsia="x-none"/>
        </w:rPr>
        <w:t xml:space="preserve">. </w:t>
      </w:r>
    </w:p>
    <w:p w14:paraId="4F9C0E87" w14:textId="635EDE53" w:rsidR="000A52DE" w:rsidRDefault="000A52DE" w:rsidP="000A52DE">
      <w:pPr>
        <w:spacing w:after="120" w:line="276" w:lineRule="auto"/>
        <w:ind w:firstLine="708"/>
        <w:jc w:val="both"/>
        <w:rPr>
          <w:rFonts w:ascii="Verdana" w:eastAsia="Times New Roman" w:hAnsi="Verdana" w:cs="Arial"/>
          <w:bCs/>
          <w:lang w:val="es-MX" w:eastAsia="es-CO"/>
        </w:rPr>
      </w:pPr>
      <w:r>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w:t>
      </w:r>
      <w:r w:rsidR="0064729D">
        <w:rPr>
          <w:rFonts w:ascii="Verdana" w:eastAsia="Times New Roman" w:hAnsi="Verdana" w:cs="Arial"/>
          <w:bCs/>
          <w:lang w:val="es-MX" w:eastAsia="es-CO"/>
        </w:rPr>
        <w:t xml:space="preserve"> Electorales</w:t>
      </w:r>
      <w:r>
        <w:rPr>
          <w:rFonts w:ascii="Verdana" w:eastAsia="Times New Roman" w:hAnsi="Verdana" w:cs="Arial"/>
          <w:bCs/>
          <w:lang w:val="es-MX" w:eastAsia="es-CO"/>
        </w:rPr>
        <w:t xml:space="preserve">, al señalar que no solo aplica frente a las entidades sometidas al Estatuto </w:t>
      </w:r>
      <w:r w:rsidR="0064729D">
        <w:rPr>
          <w:rFonts w:ascii="Verdana" w:eastAsia="Times New Roman" w:hAnsi="Verdana" w:cs="Arial"/>
          <w:bCs/>
          <w:lang w:val="es-MX" w:eastAsia="es-CO"/>
        </w:rPr>
        <w:t>G</w:t>
      </w:r>
      <w:r>
        <w:rPr>
          <w:rFonts w:ascii="Verdana" w:eastAsia="Times New Roman" w:hAnsi="Verdana" w:cs="Arial"/>
          <w:bCs/>
          <w:lang w:val="es-MX" w:eastAsia="es-CO"/>
        </w:rPr>
        <w:t>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30E62650" w14:textId="77777777" w:rsidR="000A52DE" w:rsidRDefault="000A52DE" w:rsidP="000A52DE">
      <w:pPr>
        <w:spacing w:after="120" w:line="276" w:lineRule="auto"/>
        <w:ind w:firstLine="708"/>
        <w:jc w:val="both"/>
        <w:rPr>
          <w:rFonts w:ascii="Verdana" w:eastAsia="Times New Roman" w:hAnsi="Verdana" w:cs="Arial"/>
          <w:bCs/>
          <w:lang w:val="es-MX" w:eastAsia="x-none"/>
        </w:rPr>
      </w:pPr>
      <w:r>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Pr>
          <w:rFonts w:ascii="Verdana" w:eastAsia="Times New Roman" w:hAnsi="Verdana" w:cs="Arial"/>
          <w:vertAlign w:val="superscript"/>
          <w:lang w:eastAsia="x-none"/>
        </w:rPr>
        <w:footnoteReference w:id="17"/>
      </w:r>
      <w:r>
        <w:rPr>
          <w:rFonts w:ascii="Verdana" w:eastAsia="Times New Roman" w:hAnsi="Verdana" w:cs="Arial"/>
          <w:bCs/>
          <w:lang w:val="es-MX" w:eastAsia="x-none"/>
        </w:rPr>
        <w:t>.</w:t>
      </w:r>
      <w:r>
        <w:rPr>
          <w:rFonts w:ascii="Verdana" w:eastAsia="Times New Roman" w:hAnsi="Verdana" w:cs="Arial"/>
          <w:vertAlign w:val="superscript"/>
          <w:lang w:val="es-MX" w:eastAsia="x-none"/>
        </w:rPr>
        <w:t xml:space="preserve"> </w:t>
      </w:r>
    </w:p>
    <w:p w14:paraId="085899AA" w14:textId="77777777" w:rsidR="000A52DE" w:rsidRDefault="000A52DE" w:rsidP="000A52DE">
      <w:pPr>
        <w:spacing w:after="120" w:line="276" w:lineRule="auto"/>
        <w:ind w:firstLine="708"/>
        <w:jc w:val="both"/>
        <w:rPr>
          <w:rFonts w:ascii="Verdana" w:eastAsia="Times New Roman" w:hAnsi="Verdana" w:cs="Arial"/>
          <w:lang w:eastAsia="x-none"/>
        </w:rPr>
      </w:pPr>
      <w:r>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4A0BD6FD" w14:textId="77777777" w:rsidR="000A52DE" w:rsidRDefault="000A52DE" w:rsidP="000A52DE">
      <w:pPr>
        <w:spacing w:after="120" w:line="276" w:lineRule="auto"/>
        <w:ind w:firstLine="708"/>
        <w:jc w:val="both"/>
        <w:rPr>
          <w:rFonts w:ascii="Verdana" w:eastAsia="Times New Roman" w:hAnsi="Verdana" w:cs="Arial"/>
          <w:bCs/>
          <w:lang w:val="es-MX" w:eastAsia="es-CO"/>
        </w:rPr>
      </w:pPr>
      <w:r>
        <w:rPr>
          <w:rFonts w:ascii="Verdana" w:eastAsia="Times New Roman" w:hAnsi="Verdana" w:cs="Arial"/>
          <w:bCs/>
          <w:lang w:val="es-MX" w:eastAsia="x-none"/>
        </w:rPr>
        <w:t xml:space="preserve">En este contexto,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w:t>
      </w:r>
      <w:r>
        <w:rPr>
          <w:rFonts w:ascii="Verdana" w:eastAsia="Times New Roman" w:hAnsi="Verdana" w:cs="Arial"/>
          <w:bCs/>
          <w:lang w:val="es-MX" w:eastAsia="x-none"/>
        </w:rPr>
        <w:lastRenderedPageBreak/>
        <w:t>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434385A5" w14:textId="77777777" w:rsidR="000A52DE" w:rsidRDefault="000A52DE" w:rsidP="000A52DE">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Pr>
          <w:rFonts w:ascii="Verdana" w:eastAsia="Calibri" w:hAnsi="Verdana" w:cs="Arial"/>
          <w:vertAlign w:val="superscript"/>
          <w:lang w:val="es-MX"/>
        </w:rPr>
        <w:footnoteReference w:id="18"/>
      </w:r>
      <w:r>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106AEDB3" w14:textId="77777777" w:rsidR="000A52DE" w:rsidRDefault="000A52DE" w:rsidP="000A52DE">
      <w:pPr>
        <w:spacing w:after="120" w:line="276" w:lineRule="auto"/>
        <w:ind w:firstLine="708"/>
        <w:jc w:val="both"/>
        <w:rPr>
          <w:rFonts w:ascii="Verdana" w:eastAsia="Calibri" w:hAnsi="Verdana" w:cs="Arial"/>
          <w:lang w:val="es-MX"/>
        </w:rPr>
      </w:pPr>
      <w:r>
        <w:rPr>
          <w:rFonts w:ascii="Verdana" w:eastAsia="Times New Roman" w:hAnsi="Verdana" w:cs="Arial"/>
          <w:bCs/>
          <w:lang w:val="es-MX" w:eastAsia="x-none"/>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Pr>
          <w:rFonts w:ascii="Verdana" w:eastAsia="Calibri" w:hAnsi="Verdana" w:cs="Arial"/>
          <w:sz w:val="24"/>
          <w:lang w:val="es-MX"/>
        </w:rPr>
        <w:t xml:space="preserve"> </w:t>
      </w:r>
      <w:r>
        <w:rPr>
          <w:rFonts w:ascii="Verdana" w:eastAsia="Times New Roman" w:hAnsi="Verdana" w:cs="Arial"/>
          <w:bCs/>
          <w:lang w:val="es-MX" w:eastAsia="x-none"/>
        </w:rPr>
        <w:t>En efecto, tal como lo ha sostenido el Consejo de Estado, el vocablo “todos” utilizado por el legislador comprende</w:t>
      </w:r>
      <w:r>
        <w:rPr>
          <w:rFonts w:ascii="Verdana" w:eastAsia="Calibri" w:hAnsi="Verdana" w:cs="Arial"/>
          <w:sz w:val="24"/>
          <w:lang w:val="es-MX"/>
        </w:rPr>
        <w:t xml:space="preserve"> </w:t>
      </w:r>
      <w:r>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712DAEF0" w14:textId="77777777" w:rsidR="000A52DE" w:rsidRPr="005E6430" w:rsidRDefault="000A52DE" w:rsidP="000A52DE">
      <w:pPr>
        <w:spacing w:after="120" w:line="276" w:lineRule="auto"/>
        <w:ind w:firstLine="708"/>
        <w:jc w:val="both"/>
        <w:rPr>
          <w:rFonts w:ascii="Verdana" w:eastAsia="Calibri" w:hAnsi="Verdana" w:cs="Arial"/>
          <w:lang w:val="es-MX"/>
        </w:rPr>
      </w:pPr>
      <w:r>
        <w:rPr>
          <w:rFonts w:ascii="Verdana" w:eastAsia="Calibri" w:hAnsi="Verdana" w:cs="Arial"/>
          <w:lang w:val="es-MX"/>
        </w:rPr>
        <w:t>Así las cosas, de acuerdo con los pronunciamientos de la Sala de Consulta y Servicio Civil del Consejo de Estado</w:t>
      </w:r>
      <w:r>
        <w:rPr>
          <w:rStyle w:val="Refdenotaalpie"/>
          <w:rFonts w:eastAsia="Calibri" w:cs="Arial"/>
          <w:lang w:val="es-MX"/>
        </w:rPr>
        <w:footnoteReference w:id="19"/>
      </w:r>
      <w:r>
        <w:rPr>
          <w:rFonts w:ascii="Verdana" w:eastAsia="Calibri" w:hAnsi="Verdana" w:cs="Arial"/>
          <w:lang w:val="es-MX"/>
        </w:rPr>
        <w:t xml:space="preserve">, la prohibición de la </w:t>
      </w:r>
      <w:r>
        <w:rPr>
          <w:rFonts w:ascii="Verdana" w:eastAsia="Calibri" w:hAnsi="Verdana" w:cs="Arial"/>
          <w:lang w:val="es-MX"/>
        </w:rPr>
        <w:lastRenderedPageBreak/>
        <w:t xml:space="preserve">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Pr>
          <w:rFonts w:ascii="Verdana" w:eastAsia="Times New Roman" w:hAnsi="Verdana" w:cs="Arial"/>
          <w:bCs/>
          <w:lang w:val="es-MX" w:eastAsia="x-none"/>
        </w:rPr>
        <w:t>establecimientos de crédito, las sociedades de servicios financieros y las entidades aseguradoras</w:t>
      </w:r>
      <w:r>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vertAlign w:val="superscript"/>
        </w:rPr>
        <w:footnoteReference w:id="20"/>
      </w:r>
      <w:r>
        <w:rPr>
          <w:rFonts w:ascii="Verdana" w:eastAsia="Calibri" w:hAnsi="Verdana" w:cs="Arial"/>
          <w:lang w:val="es-MX"/>
        </w:rPr>
        <w:t>.</w:t>
      </w:r>
      <w:r>
        <w:rPr>
          <w:rFonts w:ascii="Verdana" w:eastAsia="Times New Roman" w:hAnsi="Verdana" w:cs="Arial"/>
          <w:lang w:val="es-MX" w:eastAsia="es-CO"/>
        </w:rPr>
        <w:t xml:space="preserve"> </w:t>
      </w:r>
    </w:p>
    <w:p w14:paraId="009D0EE6" w14:textId="77777777" w:rsidR="000A52DE" w:rsidRDefault="000A52DE" w:rsidP="000A52DE">
      <w:pPr>
        <w:spacing w:after="120" w:line="276" w:lineRule="auto"/>
        <w:ind w:firstLine="709"/>
        <w:jc w:val="both"/>
        <w:rPr>
          <w:rFonts w:ascii="Verdana" w:eastAsia="Times New Roman" w:hAnsi="Verdana" w:cs="Arial"/>
          <w:bCs/>
          <w:lang w:val="es-MX" w:eastAsia="x-none"/>
        </w:rPr>
      </w:pPr>
      <w:r>
        <w:rPr>
          <w:rFonts w:ascii="Verdana" w:eastAsia="Times New Roman" w:hAnsi="Verdana" w:cs="Arial"/>
          <w:lang w:eastAsia="es-CO"/>
        </w:rPr>
        <w:t>Sin perjuicio de estos pronunciamientos de la Sala de Consulta y Servicio Civil</w:t>
      </w:r>
      <w:r>
        <w:rPr>
          <w:rFonts w:ascii="Verdana" w:eastAsia="Calibri" w:hAnsi="Verdana" w:cs="Arial"/>
          <w:lang w:val="es-MX"/>
        </w:rPr>
        <w:t xml:space="preserve">, como la ha señalado esa misma Corporación, la restricción prevista en la Ley 996 de 2005 </w:t>
      </w:r>
      <w:r>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24513BA3" w14:textId="7D0E767C" w:rsidR="000A52DE" w:rsidRDefault="000A52DE" w:rsidP="003E7D05">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lang w:val="es-ES"/>
        </w:rPr>
      </w:pPr>
      <w:r>
        <w:rPr>
          <w:rFonts w:ascii="Verdana" w:eastAsia="Calibri" w:hAnsi="Verdana" w:cs="Arial"/>
          <w:sz w:val="22"/>
          <w:szCs w:val="22"/>
          <w:lang w:val="es-ES"/>
        </w:rPr>
        <w:t>E</w:t>
      </w:r>
      <w:r w:rsidRPr="006C389A">
        <w:rPr>
          <w:rFonts w:ascii="Verdana" w:eastAsia="Calibri" w:hAnsi="Verdana" w:cs="Arial"/>
          <w:sz w:val="22"/>
          <w:szCs w:val="22"/>
          <w:lang w:val="es-ES"/>
        </w:rPr>
        <w:t xml:space="preserve">n relación con el procedimiento administrativo </w:t>
      </w:r>
      <w:r>
        <w:rPr>
          <w:rFonts w:ascii="Verdana" w:eastAsia="Calibri" w:hAnsi="Verdana" w:cs="Arial"/>
          <w:sz w:val="22"/>
          <w:szCs w:val="22"/>
          <w:lang w:val="es-ES"/>
        </w:rPr>
        <w:t xml:space="preserve">de </w:t>
      </w:r>
      <w:r w:rsidRPr="006C389A">
        <w:rPr>
          <w:rFonts w:ascii="Verdana" w:eastAsia="Calibri" w:hAnsi="Verdana" w:cs="Arial"/>
          <w:sz w:val="22"/>
          <w:szCs w:val="22"/>
          <w:lang w:val="es-ES"/>
        </w:rPr>
        <w:t xml:space="preserve">adquisición </w:t>
      </w:r>
      <w:r>
        <w:rPr>
          <w:rFonts w:ascii="Verdana" w:eastAsia="Calibri" w:hAnsi="Verdana" w:cs="Arial"/>
          <w:sz w:val="22"/>
          <w:szCs w:val="22"/>
          <w:lang w:val="es-ES"/>
        </w:rPr>
        <w:t>predial p</w:t>
      </w:r>
      <w:r w:rsidRPr="006C389A">
        <w:rPr>
          <w:rFonts w:ascii="Verdana" w:eastAsia="Calibri" w:hAnsi="Verdana" w:cs="Arial"/>
          <w:sz w:val="22"/>
          <w:szCs w:val="22"/>
          <w:lang w:val="es-ES"/>
        </w:rPr>
        <w:t>or motivos de utilidad pública e interés social mediante enajenación voluntaria, en los conceptos C-1512 y C-1529 de 2025 se concluyó que dicho procedimiento se encuentra excluido de la aplicación del EGCAP, en la medida en que está regulado por un régimen especial y exceptuado. No obstante, se precisó que este procedimiento puede culminar en la celebración de una promesa de compraventa o de un contrato de compraventa entre la entidad y el particular, lo cual implica que, en tales eventos, se está frente a un procedimiento de contratación estatal de naturaleza no competitiva, sujeto a la restricción prevista en el artículo 33 de la Ley 996 de 2005, conforme al alcance explicado</w:t>
      </w:r>
      <w:r>
        <w:rPr>
          <w:rFonts w:ascii="Verdana" w:eastAsia="Calibri" w:hAnsi="Verdana" w:cs="Arial"/>
          <w:sz w:val="22"/>
          <w:szCs w:val="22"/>
          <w:lang w:val="es-ES"/>
        </w:rPr>
        <w:t xml:space="preserve">. </w:t>
      </w:r>
      <w:r w:rsidRPr="006C389A">
        <w:rPr>
          <w:rFonts w:ascii="Verdana" w:eastAsia="Calibri" w:hAnsi="Verdana" w:cs="Arial"/>
          <w:sz w:val="22"/>
          <w:szCs w:val="22"/>
          <w:lang w:val="es-ES"/>
        </w:rPr>
        <w:t xml:space="preserve">En contraste, </w:t>
      </w:r>
      <w:r w:rsidRPr="006A3D18">
        <w:rPr>
          <w:rFonts w:ascii="Verdana" w:eastAsia="Calibri" w:hAnsi="Verdana" w:cs="Arial"/>
          <w:sz w:val="22"/>
          <w:szCs w:val="22"/>
          <w:lang w:val="es-ES"/>
        </w:rPr>
        <w:t xml:space="preserve">cuando la adquisición ocurra por el </w:t>
      </w:r>
      <w:r w:rsidRPr="006A3D18">
        <w:rPr>
          <w:rFonts w:ascii="Verdana" w:eastAsia="Calibri" w:hAnsi="Verdana" w:cs="Arial"/>
          <w:sz w:val="22"/>
          <w:szCs w:val="22"/>
          <w:lang w:val="es-ES"/>
        </w:rPr>
        <w:lastRenderedPageBreak/>
        <w:t>procedimiento expropiatorio no se materializa en la celebración de un contrato.</w:t>
      </w:r>
    </w:p>
    <w:p w14:paraId="5B69AAE4" w14:textId="6D941DB0" w:rsidR="000A52DE" w:rsidRDefault="000A52DE" w:rsidP="000A52DE">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lang w:val="es-ES"/>
        </w:rPr>
      </w:pPr>
      <w:r w:rsidRPr="006C389A">
        <w:rPr>
          <w:rFonts w:ascii="Verdana" w:eastAsia="Calibri" w:hAnsi="Verdana" w:cs="Arial"/>
          <w:sz w:val="22"/>
          <w:szCs w:val="22"/>
          <w:lang w:val="es-ES"/>
        </w:rPr>
        <w:t xml:space="preserve">Con fundamento en lo anterior, esta Subdirección </w:t>
      </w:r>
      <w:r>
        <w:rPr>
          <w:rFonts w:ascii="Verdana" w:eastAsia="Calibri" w:hAnsi="Verdana" w:cs="Arial"/>
          <w:sz w:val="22"/>
          <w:szCs w:val="22"/>
          <w:lang w:val="es-ES"/>
        </w:rPr>
        <w:t>en conceptos C-1799 y C-1501 de 2025 reiteró</w:t>
      </w:r>
      <w:r w:rsidRPr="006C389A">
        <w:rPr>
          <w:rFonts w:ascii="Verdana" w:eastAsia="Calibri" w:hAnsi="Verdana" w:cs="Arial"/>
          <w:sz w:val="22"/>
          <w:szCs w:val="22"/>
          <w:lang w:val="es-ES"/>
        </w:rPr>
        <w:t xml:space="preserve"> la posición sostenida en los conceptos mencionados, </w:t>
      </w:r>
      <w:r>
        <w:rPr>
          <w:rFonts w:ascii="Verdana" w:eastAsia="Calibri" w:hAnsi="Verdana" w:cs="Arial"/>
          <w:sz w:val="22"/>
          <w:szCs w:val="22"/>
          <w:lang w:val="es-ES"/>
        </w:rPr>
        <w:t xml:space="preserve">realizando a continuación </w:t>
      </w:r>
      <w:r w:rsidRPr="006C389A">
        <w:rPr>
          <w:rFonts w:ascii="Verdana" w:eastAsia="Calibri" w:hAnsi="Verdana" w:cs="Arial"/>
          <w:sz w:val="22"/>
          <w:szCs w:val="22"/>
          <w:lang w:val="es-ES"/>
        </w:rPr>
        <w:t>algunas precisiones sobre el alcance de su aplicación</w:t>
      </w:r>
      <w:r>
        <w:rPr>
          <w:rFonts w:ascii="Verdana" w:eastAsia="Calibri" w:hAnsi="Verdana" w:cs="Arial"/>
          <w:sz w:val="22"/>
          <w:szCs w:val="22"/>
          <w:lang w:val="es-ES"/>
        </w:rPr>
        <w:t xml:space="preserve">. </w:t>
      </w:r>
      <w:r w:rsidRPr="0013781B">
        <w:rPr>
          <w:rFonts w:ascii="Verdana" w:eastAsia="Calibri" w:hAnsi="Verdana" w:cs="Arial"/>
          <w:sz w:val="22"/>
          <w:szCs w:val="22"/>
          <w:lang w:val="es-ES"/>
        </w:rPr>
        <w:t xml:space="preserve">En primer </w:t>
      </w:r>
      <w:r w:rsidR="00E160A7" w:rsidRPr="0013781B">
        <w:rPr>
          <w:rFonts w:ascii="Verdana" w:eastAsia="Calibri" w:hAnsi="Verdana" w:cs="Arial"/>
          <w:sz w:val="22"/>
          <w:szCs w:val="22"/>
          <w:lang w:val="es-ES"/>
        </w:rPr>
        <w:t>lugar,</w:t>
      </w:r>
      <w:r w:rsidRPr="0013781B">
        <w:rPr>
          <w:rFonts w:ascii="Verdana" w:eastAsia="Calibri" w:hAnsi="Verdana" w:cs="Arial"/>
          <w:sz w:val="22"/>
          <w:szCs w:val="22"/>
          <w:lang w:val="es-ES"/>
        </w:rPr>
        <w:t xml:space="preserve"> </w:t>
      </w:r>
      <w:r>
        <w:rPr>
          <w:rFonts w:ascii="Verdana" w:eastAsia="Calibri" w:hAnsi="Verdana" w:cs="Arial"/>
          <w:sz w:val="22"/>
          <w:szCs w:val="22"/>
          <w:lang w:val="es-ES"/>
        </w:rPr>
        <w:t xml:space="preserve">se reconoce que </w:t>
      </w:r>
      <w:r w:rsidRPr="0013781B">
        <w:rPr>
          <w:rFonts w:ascii="Verdana" w:eastAsia="Calibri" w:hAnsi="Verdana" w:cs="Arial"/>
          <w:sz w:val="22"/>
          <w:szCs w:val="22"/>
          <w:lang w:val="es-ES"/>
        </w:rPr>
        <w:t>el procedimiento administrativo de adquisición</w:t>
      </w:r>
      <w:r>
        <w:rPr>
          <w:rFonts w:ascii="Verdana" w:eastAsia="Calibri" w:hAnsi="Verdana" w:cs="Arial"/>
          <w:sz w:val="22"/>
          <w:szCs w:val="22"/>
          <w:lang w:val="es-ES"/>
        </w:rPr>
        <w:t xml:space="preserve"> predial</w:t>
      </w:r>
      <w:r w:rsidRPr="0013781B">
        <w:rPr>
          <w:rFonts w:ascii="Verdana" w:eastAsia="Calibri" w:hAnsi="Verdana" w:cs="Arial"/>
          <w:sz w:val="22"/>
          <w:szCs w:val="22"/>
          <w:lang w:val="es-ES"/>
        </w:rPr>
        <w:t xml:space="preserve"> por motivos de utilidad pública e interés social no constituye un procedimiento sometido al E</w:t>
      </w:r>
      <w:r>
        <w:rPr>
          <w:rFonts w:ascii="Verdana" w:eastAsia="Calibri" w:hAnsi="Verdana" w:cs="Arial"/>
          <w:sz w:val="22"/>
          <w:szCs w:val="22"/>
          <w:lang w:val="es-ES"/>
        </w:rPr>
        <w:t xml:space="preserve">GCAP, puesto que se </w:t>
      </w:r>
      <w:r w:rsidRPr="0013781B">
        <w:rPr>
          <w:rFonts w:ascii="Verdana" w:eastAsia="Calibri" w:hAnsi="Verdana" w:cs="Arial"/>
          <w:sz w:val="22"/>
          <w:szCs w:val="22"/>
          <w:lang w:val="es-ES"/>
        </w:rPr>
        <w:t>trata de un procedimiento especial, dotado de finalidad, etapas y reglas propias, cuya regulación se encuentra prevista de manera específica en</w:t>
      </w:r>
      <w:r w:rsidRPr="007B37F8">
        <w:rPr>
          <w:rFonts w:asciiTheme="minorHAnsi" w:eastAsiaTheme="minorHAnsi" w:hAnsiTheme="minorHAnsi" w:cstheme="minorBidi"/>
          <w:sz w:val="22"/>
          <w:szCs w:val="22"/>
          <w:lang w:eastAsia="en-US"/>
        </w:rPr>
        <w:t xml:space="preserve"> </w:t>
      </w:r>
      <w:r w:rsidRPr="007B37F8">
        <w:rPr>
          <w:rFonts w:ascii="Verdana" w:eastAsia="Calibri" w:hAnsi="Verdana" w:cs="Arial"/>
          <w:sz w:val="22"/>
          <w:szCs w:val="22"/>
        </w:rPr>
        <w:t>Leyes 9 de 1989, 388 de 1997 y 1682 de 2013</w:t>
      </w:r>
      <w:r w:rsidRPr="0013781B">
        <w:rPr>
          <w:rFonts w:ascii="Verdana" w:eastAsia="Calibri" w:hAnsi="Verdana" w:cs="Arial"/>
          <w:sz w:val="22"/>
          <w:szCs w:val="22"/>
          <w:lang w:val="es-ES"/>
        </w:rPr>
        <w:t>, lo que lo sustrae del régimen general de la contratación estatal.</w:t>
      </w:r>
      <w:r>
        <w:rPr>
          <w:rFonts w:ascii="Verdana" w:eastAsia="Calibri" w:hAnsi="Verdana" w:cs="Arial"/>
          <w:sz w:val="22"/>
          <w:szCs w:val="22"/>
          <w:lang w:val="es-ES"/>
        </w:rPr>
        <w:t xml:space="preserve"> </w:t>
      </w:r>
      <w:r w:rsidRPr="0013781B">
        <w:rPr>
          <w:rFonts w:ascii="Verdana" w:eastAsia="Calibri" w:hAnsi="Verdana" w:cs="Arial"/>
          <w:sz w:val="22"/>
          <w:szCs w:val="22"/>
          <w:lang w:val="es-ES"/>
        </w:rPr>
        <w:t>Esta caracterización ha sido reiterada en los conceptos previamente citados, en los cuales se concluyó que dicho procedimiento se rige por un</w:t>
      </w:r>
      <w:r>
        <w:rPr>
          <w:rFonts w:ascii="Verdana" w:eastAsia="Calibri" w:hAnsi="Verdana" w:cs="Arial"/>
          <w:sz w:val="22"/>
          <w:szCs w:val="22"/>
          <w:lang w:val="es-ES"/>
        </w:rPr>
        <w:t xml:space="preserve">as reglas especiales. </w:t>
      </w:r>
    </w:p>
    <w:p w14:paraId="7FCDC786" w14:textId="77777777" w:rsidR="000A52DE" w:rsidRPr="00E47785" w:rsidRDefault="000A52DE" w:rsidP="000A52DE">
      <w:pPr>
        <w:spacing w:before="120" w:after="120" w:line="276" w:lineRule="auto"/>
        <w:ind w:firstLine="709"/>
        <w:jc w:val="both"/>
        <w:rPr>
          <w:rFonts w:ascii="Verdana" w:eastAsia="Times New Roman" w:hAnsi="Verdana" w:cs="Arial"/>
          <w:lang w:val="es-ES" w:eastAsia="es-ES_tradnl"/>
        </w:rPr>
      </w:pPr>
      <w:r>
        <w:rPr>
          <w:rFonts w:ascii="Verdana" w:eastAsia="Calibri" w:hAnsi="Verdana" w:cs="Arial"/>
          <w:lang w:val="es-ES"/>
        </w:rPr>
        <w:t xml:space="preserve">En efecto, </w:t>
      </w:r>
      <w:r>
        <w:rPr>
          <w:rFonts w:ascii="Verdana" w:eastAsia="Times New Roman" w:hAnsi="Verdana" w:cs="Arial"/>
          <w:lang w:val="es-ES" w:eastAsia="es-ES_tradnl"/>
        </w:rPr>
        <w:t>en los procesos de expropiación judicial o expropiación administrativa existe una etapa previa de negociación, en la cual la administración intenta adquirir voluntariamente el bien, de suerte que se evite iniciar el proceso forzoso expropiatorio. Esta etapa comienza con una oferta de la entidad al particular para adquirir el bien por el precio base fijado con fundamento en un avalúo. Posteriormente, pasa a una etapa de negociación directa con el particular. En caso de que el proceso de negociación directa se concrete, culmina con la etapa de transferencia del bien y de pago del precio acordado. Pero, si el proceso de negociación se frustra, inicia la etapa expropiatoria, mediante los procesos judicial o administrativo, según el caso, hasta obtener el título traslaticio de dominio al Estado, la tradición del bien y realizar el pago de la indemnización al particular expropiado.</w:t>
      </w:r>
    </w:p>
    <w:p w14:paraId="146C6E59" w14:textId="77777777" w:rsidR="000A52DE" w:rsidRDefault="000A52DE" w:rsidP="000A52DE">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611BBF">
        <w:rPr>
          <w:rFonts w:ascii="Verdana" w:eastAsia="Calibri" w:hAnsi="Verdana" w:cs="Arial"/>
          <w:sz w:val="22"/>
          <w:szCs w:val="22"/>
        </w:rPr>
        <w:t xml:space="preserve">Como consecuencia de lo anterior, debe precisarse que </w:t>
      </w:r>
      <w:r w:rsidRPr="00ED2EBA">
        <w:rPr>
          <w:rFonts w:ascii="Verdana" w:eastAsia="Calibri" w:hAnsi="Verdana" w:cs="Arial"/>
          <w:sz w:val="22"/>
          <w:szCs w:val="22"/>
        </w:rPr>
        <w:t xml:space="preserve">la restricción prevista en el artículo 33 de la Ley 996 de 2005 no resulta aplicable al </w:t>
      </w:r>
      <w:r w:rsidRPr="0013781B">
        <w:rPr>
          <w:rFonts w:ascii="Verdana" w:eastAsia="Calibri" w:hAnsi="Verdana" w:cs="Arial"/>
          <w:sz w:val="22"/>
          <w:szCs w:val="22"/>
          <w:lang w:val="es-ES"/>
        </w:rPr>
        <w:t>administrativo de adquisición</w:t>
      </w:r>
      <w:r>
        <w:rPr>
          <w:rFonts w:ascii="Verdana" w:eastAsia="Calibri" w:hAnsi="Verdana" w:cs="Arial"/>
          <w:sz w:val="22"/>
          <w:szCs w:val="22"/>
          <w:lang w:val="es-ES"/>
        </w:rPr>
        <w:t xml:space="preserve"> predial</w:t>
      </w:r>
      <w:r w:rsidRPr="0013781B">
        <w:rPr>
          <w:rFonts w:ascii="Verdana" w:eastAsia="Calibri" w:hAnsi="Verdana" w:cs="Arial"/>
          <w:sz w:val="22"/>
          <w:szCs w:val="22"/>
          <w:lang w:val="es-ES"/>
        </w:rPr>
        <w:t xml:space="preserve"> </w:t>
      </w:r>
      <w:r w:rsidRPr="00DF2532">
        <w:rPr>
          <w:rFonts w:ascii="Verdana" w:eastAsia="Calibri" w:hAnsi="Verdana" w:cs="Arial"/>
          <w:i/>
          <w:iCs/>
          <w:sz w:val="22"/>
          <w:szCs w:val="22"/>
        </w:rPr>
        <w:t>en sí mismo</w:t>
      </w:r>
      <w:r w:rsidRPr="00ED2EBA">
        <w:rPr>
          <w:rFonts w:ascii="Verdana" w:eastAsia="Calibri" w:hAnsi="Verdana" w:cs="Arial"/>
          <w:sz w:val="22"/>
          <w:szCs w:val="22"/>
        </w:rPr>
        <w:t>,</w:t>
      </w:r>
      <w:r>
        <w:rPr>
          <w:rFonts w:ascii="Verdana" w:eastAsia="Calibri" w:hAnsi="Verdana" w:cs="Arial"/>
          <w:sz w:val="22"/>
          <w:szCs w:val="22"/>
        </w:rPr>
        <w:t xml:space="preserve"> en su etapa preparatoria o preliminar,</w:t>
      </w:r>
      <w:r w:rsidRPr="00ED2EBA">
        <w:rPr>
          <w:rFonts w:ascii="Verdana" w:eastAsia="Calibri" w:hAnsi="Verdana" w:cs="Arial"/>
          <w:sz w:val="22"/>
          <w:szCs w:val="22"/>
        </w:rPr>
        <w:t xml:space="preserve"> en la medida en que dicho artículo se refiere a</w:t>
      </w:r>
      <w:r>
        <w:rPr>
          <w:rFonts w:ascii="Verdana" w:eastAsia="Calibri" w:hAnsi="Verdana" w:cs="Arial"/>
          <w:sz w:val="22"/>
          <w:szCs w:val="22"/>
        </w:rPr>
        <w:t xml:space="preserve"> la </w:t>
      </w:r>
      <w:r w:rsidRPr="0087731C">
        <w:rPr>
          <w:rFonts w:ascii="Verdana" w:eastAsia="Calibri" w:hAnsi="Verdana" w:cs="Arial"/>
          <w:bCs/>
          <w:sz w:val="22"/>
          <w:szCs w:val="22"/>
          <w:lang w:val="es-MX"/>
        </w:rPr>
        <w:t>celebra</w:t>
      </w:r>
      <w:r>
        <w:rPr>
          <w:rFonts w:ascii="Verdana" w:eastAsia="Calibri" w:hAnsi="Verdana" w:cs="Arial"/>
          <w:bCs/>
          <w:sz w:val="22"/>
          <w:szCs w:val="22"/>
          <w:lang w:val="es-MX"/>
        </w:rPr>
        <w:t xml:space="preserve">ción de </w:t>
      </w:r>
      <w:r w:rsidRPr="0087731C">
        <w:rPr>
          <w:rFonts w:ascii="Verdana" w:eastAsia="Calibri" w:hAnsi="Verdana" w:cs="Arial"/>
          <w:bCs/>
          <w:sz w:val="22"/>
          <w:szCs w:val="22"/>
          <w:lang w:val="es-MX"/>
        </w:rPr>
        <w:t>contrato</w:t>
      </w:r>
      <w:r>
        <w:rPr>
          <w:rFonts w:ascii="Verdana" w:eastAsia="Calibri" w:hAnsi="Verdana" w:cs="Arial"/>
          <w:bCs/>
          <w:sz w:val="22"/>
          <w:szCs w:val="22"/>
          <w:lang w:val="es-MX"/>
        </w:rPr>
        <w:t>s</w:t>
      </w:r>
      <w:r w:rsidRPr="0087731C">
        <w:rPr>
          <w:rFonts w:ascii="Verdana" w:eastAsia="Calibri" w:hAnsi="Verdana" w:cs="Arial"/>
          <w:bCs/>
          <w:sz w:val="22"/>
          <w:szCs w:val="22"/>
          <w:lang w:val="es-MX"/>
        </w:rPr>
        <w:t xml:space="preserve"> de forma directa, </w:t>
      </w:r>
      <w:r w:rsidRPr="00ED2EBA">
        <w:rPr>
          <w:rFonts w:ascii="Verdana" w:eastAsia="Calibri" w:hAnsi="Verdana" w:cs="Arial"/>
          <w:sz w:val="22"/>
          <w:szCs w:val="22"/>
        </w:rPr>
        <w:t>y</w:t>
      </w:r>
      <w:r w:rsidRPr="00611BBF">
        <w:rPr>
          <w:rFonts w:ascii="Verdana" w:eastAsia="Calibri" w:hAnsi="Verdana" w:cs="Arial"/>
          <w:sz w:val="22"/>
          <w:szCs w:val="22"/>
        </w:rPr>
        <w:t xml:space="preserve"> no a</w:t>
      </w:r>
      <w:r>
        <w:rPr>
          <w:rFonts w:ascii="Verdana" w:eastAsia="Calibri" w:hAnsi="Verdana" w:cs="Arial"/>
          <w:sz w:val="22"/>
          <w:szCs w:val="22"/>
        </w:rPr>
        <w:t xml:space="preserve"> las</w:t>
      </w:r>
      <w:r w:rsidRPr="00611BBF">
        <w:rPr>
          <w:rFonts w:ascii="Verdana" w:eastAsia="Calibri" w:hAnsi="Verdana" w:cs="Arial"/>
          <w:sz w:val="22"/>
          <w:szCs w:val="22"/>
        </w:rPr>
        <w:t xml:space="preserve"> actuaciones administrativas</w:t>
      </w:r>
      <w:r>
        <w:rPr>
          <w:rFonts w:ascii="Verdana" w:eastAsia="Calibri" w:hAnsi="Verdana" w:cs="Arial"/>
          <w:sz w:val="22"/>
          <w:szCs w:val="22"/>
        </w:rPr>
        <w:t xml:space="preserve"> que se puedan generar previamente. </w:t>
      </w:r>
    </w:p>
    <w:p w14:paraId="1ED1F9D1" w14:textId="77777777" w:rsidR="000A52DE" w:rsidRDefault="000A52DE" w:rsidP="000A52DE">
      <w:pPr>
        <w:spacing w:after="120" w:line="276" w:lineRule="auto"/>
        <w:ind w:firstLine="709"/>
        <w:jc w:val="both"/>
        <w:rPr>
          <w:rFonts w:ascii="Verdana" w:hAnsi="Verdana" w:cs="Arial"/>
          <w:bCs/>
          <w:lang w:eastAsia="es-CO"/>
        </w:rPr>
      </w:pPr>
      <w:r>
        <w:rPr>
          <w:rFonts w:ascii="Verdana" w:eastAsia="Times New Roman" w:hAnsi="Verdana" w:cs="Arial"/>
          <w:lang w:val="es-ES"/>
        </w:rPr>
        <w:t xml:space="preserve">Respecto de la celebración de otros instrumentos jurídicos distintos de contratos directos que impliquen la expedición de actos administrativos y otras actuaciones administrativas, es importante señalar que en estos casos </w:t>
      </w:r>
      <w:r>
        <w:rPr>
          <w:rFonts w:ascii="Verdana" w:hAnsi="Verdana" w:cs="Arial"/>
          <w:bCs/>
          <w:lang w:val="es-ES_tradnl" w:eastAsia="es-CO"/>
        </w:rPr>
        <w:t xml:space="preserve">no le resulta aplicable las restricciones previstas en el artículo 33 de la Ley 996 de 2005, porque lo que este precepto prohíbe es </w:t>
      </w:r>
      <w:r>
        <w:rPr>
          <w:rFonts w:ascii="Verdana" w:hAnsi="Verdana" w:cs="Arial"/>
          <w:bCs/>
          <w:lang w:val="es-MX" w:eastAsia="x-none"/>
        </w:rPr>
        <w:t xml:space="preserve">celebrar cualquier </w:t>
      </w:r>
      <w:r>
        <w:rPr>
          <w:rFonts w:ascii="Verdana" w:hAnsi="Verdana" w:cs="Arial"/>
          <w:bCs/>
          <w:lang w:val="es-MX" w:eastAsia="x-none"/>
        </w:rPr>
        <w:lastRenderedPageBreak/>
        <w:t>contrato de forma directa</w:t>
      </w:r>
      <w:r>
        <w:rPr>
          <w:rFonts w:ascii="Verdana" w:hAnsi="Verdana" w:cs="Arial"/>
          <w:bCs/>
          <w:lang w:val="es-ES_tradnl" w:eastAsia="es-CO"/>
        </w:rPr>
        <w:t xml:space="preserve">. En este sentido, </w:t>
      </w:r>
      <w:r>
        <w:rPr>
          <w:rFonts w:ascii="Verdana" w:eastAsia="Times New Roman" w:hAnsi="Verdana" w:cs="Arial"/>
          <w:lang w:val="es-ES"/>
        </w:rPr>
        <w:t xml:space="preserve">la celebración de contratos de forma directa </w:t>
      </w:r>
      <w:r>
        <w:rPr>
          <w:rFonts w:ascii="Verdana" w:hAnsi="Verdana" w:cs="Arial"/>
          <w:bCs/>
          <w:lang w:val="es-ES_tradnl" w:eastAsia="es-CO"/>
        </w:rPr>
        <w:t xml:space="preserve">son </w:t>
      </w:r>
      <w:r>
        <w:rPr>
          <w:rFonts w:ascii="Verdana" w:hAnsi="Verdana" w:cs="Arial"/>
          <w:bCs/>
          <w:i/>
          <w:iCs/>
          <w:lang w:val="es-ES_tradnl" w:eastAsia="es-CO"/>
        </w:rPr>
        <w:t>acuerdos de voluntades</w:t>
      </w:r>
      <w:r>
        <w:rPr>
          <w:rFonts w:ascii="Verdana" w:hAnsi="Verdana" w:cs="Arial"/>
          <w:bCs/>
          <w:lang w:val="es-ES_tradnl" w:eastAsia="es-CO"/>
        </w:rPr>
        <w:t xml:space="preserve">, o sea un acto jurídico </w:t>
      </w:r>
      <w:r>
        <w:rPr>
          <w:rFonts w:ascii="Verdana" w:hAnsi="Verdana" w:cs="Arial"/>
          <w:bCs/>
          <w:i/>
          <w:iCs/>
          <w:lang w:val="es-ES_tradnl" w:eastAsia="es-CO"/>
        </w:rPr>
        <w:t>bilateral</w:t>
      </w:r>
      <w:r>
        <w:rPr>
          <w:rFonts w:ascii="Verdana" w:hAnsi="Verdana" w:cs="Arial"/>
          <w:bCs/>
          <w:lang w:val="es-ES_tradnl" w:eastAsia="es-CO"/>
        </w:rPr>
        <w:t xml:space="preserve"> o que participa de la forma contractual, de conformidad con el artículo 1495 del Código Civil. En cambio, </w:t>
      </w:r>
      <w:r w:rsidRPr="00F12276">
        <w:rPr>
          <w:rFonts w:ascii="Verdana" w:hAnsi="Verdana" w:cs="Arial"/>
          <w:bCs/>
          <w:lang w:eastAsia="es-CO"/>
        </w:rPr>
        <w:t>los actos administrativos son declaraciones unilaterales de voluntad encaminadas a la producción de efectos jurídicos vinculantes</w:t>
      </w:r>
      <w:r w:rsidRPr="00F12276">
        <w:rPr>
          <w:rFonts w:ascii="Verdana" w:hAnsi="Verdana" w:cs="Arial"/>
          <w:bCs/>
          <w:vertAlign w:val="superscript"/>
          <w:lang w:eastAsia="es-CO"/>
        </w:rPr>
        <w:footnoteReference w:id="21"/>
      </w:r>
      <w:r>
        <w:rPr>
          <w:rFonts w:ascii="Verdana" w:hAnsi="Verdana" w:cs="Arial"/>
          <w:bCs/>
          <w:lang w:eastAsia="es-CO"/>
        </w:rPr>
        <w:t xml:space="preserve">. En tal sentido, </w:t>
      </w:r>
      <w:r>
        <w:rPr>
          <w:rFonts w:ascii="Verdana" w:hAnsi="Verdana" w:cs="Arial"/>
          <w:bCs/>
          <w:lang w:val="es-ES_tradnl" w:eastAsia="es-CO"/>
        </w:rPr>
        <w:t xml:space="preserve">si el artículo 33 </w:t>
      </w:r>
      <w:r w:rsidRPr="00A72ADC">
        <w:rPr>
          <w:rFonts w:ascii="Verdana" w:hAnsi="Verdana" w:cs="Arial"/>
          <w:bCs/>
          <w:i/>
          <w:iCs/>
          <w:lang w:val="es-ES_tradnl" w:eastAsia="es-CO"/>
        </w:rPr>
        <w:t>ibidem</w:t>
      </w:r>
      <w:r>
        <w:rPr>
          <w:rFonts w:ascii="Verdana" w:hAnsi="Verdana" w:cs="Arial"/>
          <w:bCs/>
          <w:lang w:val="es-ES_tradnl" w:eastAsia="es-CO"/>
        </w:rPr>
        <w:t xml:space="preserve"> prohibió la celebración directa de contratos, no puede entenderse </w:t>
      </w:r>
      <w:r w:rsidRPr="00A72ADC">
        <w:rPr>
          <w:rFonts w:ascii="Verdana" w:hAnsi="Verdana" w:cs="Arial"/>
          <w:bCs/>
          <w:lang w:val="es-ES_tradnl" w:eastAsia="es-CO"/>
        </w:rPr>
        <w:t>también</w:t>
      </w:r>
      <w:r>
        <w:rPr>
          <w:rFonts w:ascii="Verdana" w:hAnsi="Verdana" w:cs="Arial"/>
          <w:bCs/>
          <w:lang w:val="es-ES_tradnl" w:eastAsia="es-CO"/>
        </w:rPr>
        <w:t xml:space="preserve"> prohibida la expedición de actos administrativos u otros instrumentos jurídicos, porque se estaría incluyendo una circunstancia que el supuesto de hecho de la restricción no contempla. </w:t>
      </w:r>
    </w:p>
    <w:p w14:paraId="78698437" w14:textId="77777777" w:rsidR="000A52DE" w:rsidRDefault="000A52DE" w:rsidP="000A52DE">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B61452">
        <w:rPr>
          <w:rFonts w:ascii="Verdana" w:eastAsia="Calibri" w:hAnsi="Verdana" w:cs="Arial"/>
          <w:sz w:val="22"/>
          <w:szCs w:val="22"/>
        </w:rPr>
        <w:t xml:space="preserve">En ese sentido, </w:t>
      </w:r>
      <w:r w:rsidRPr="009C69E1">
        <w:rPr>
          <w:rFonts w:ascii="Verdana" w:eastAsia="Calibri" w:hAnsi="Verdana" w:cs="Arial"/>
          <w:sz w:val="22"/>
          <w:szCs w:val="22"/>
        </w:rPr>
        <w:t xml:space="preserve">todos los trámites preparatorios y actuaciones administrativas </w:t>
      </w:r>
      <w:r>
        <w:rPr>
          <w:rFonts w:ascii="Verdana" w:eastAsia="Calibri" w:hAnsi="Verdana" w:cs="Arial"/>
          <w:sz w:val="22"/>
          <w:szCs w:val="22"/>
        </w:rPr>
        <w:t xml:space="preserve">de gestión predial </w:t>
      </w:r>
      <w:r w:rsidRPr="00B61452">
        <w:rPr>
          <w:rFonts w:ascii="Verdana" w:eastAsia="Calibri" w:hAnsi="Verdana" w:cs="Arial"/>
          <w:sz w:val="22"/>
          <w:szCs w:val="22"/>
        </w:rPr>
        <w:t>que se surtan dentro de este procedimiento especial</w:t>
      </w:r>
      <w:r>
        <w:rPr>
          <w:rFonts w:ascii="Verdana" w:eastAsia="Calibri" w:hAnsi="Verdana" w:cs="Arial"/>
          <w:sz w:val="22"/>
          <w:szCs w:val="22"/>
        </w:rPr>
        <w:t xml:space="preserve">, </w:t>
      </w:r>
      <w:r w:rsidRPr="00B61452">
        <w:rPr>
          <w:rFonts w:ascii="Verdana" w:eastAsia="Calibri" w:hAnsi="Verdana" w:cs="Arial"/>
          <w:sz w:val="22"/>
          <w:szCs w:val="22"/>
        </w:rPr>
        <w:t xml:space="preserve">tales como los avalúos, las ofertas de compra, las negociaciones preliminares y demás actuaciones que no impliquen la celebración de </w:t>
      </w:r>
      <w:r w:rsidRPr="0044553E">
        <w:rPr>
          <w:rFonts w:ascii="Verdana" w:eastAsia="Calibri" w:hAnsi="Verdana" w:cs="Arial"/>
          <w:sz w:val="22"/>
          <w:szCs w:val="22"/>
        </w:rPr>
        <w:t>u</w:t>
      </w:r>
      <w:r>
        <w:rPr>
          <w:rFonts w:ascii="Verdana" w:eastAsia="Calibri" w:hAnsi="Verdana" w:cs="Arial"/>
          <w:sz w:val="22"/>
          <w:szCs w:val="22"/>
        </w:rPr>
        <w:t>na promesa de compraventa o contrato compraventa o cualquier otro contrato,</w:t>
      </w:r>
      <w:r w:rsidRPr="0044553E">
        <w:rPr>
          <w:rFonts w:ascii="Verdana" w:eastAsia="Calibri" w:hAnsi="Verdana" w:cs="Arial"/>
          <w:sz w:val="22"/>
          <w:szCs w:val="22"/>
        </w:rPr>
        <w:t xml:space="preserve"> pueden adelantarse válidamente, incluso durante el período de restricción previsto en la </w:t>
      </w:r>
      <w:r>
        <w:rPr>
          <w:rFonts w:ascii="Verdana" w:eastAsia="Calibri" w:hAnsi="Verdana" w:cs="Arial"/>
          <w:sz w:val="22"/>
          <w:szCs w:val="22"/>
        </w:rPr>
        <w:t>L</w:t>
      </w:r>
      <w:r w:rsidRPr="0044553E">
        <w:rPr>
          <w:rFonts w:ascii="Verdana" w:eastAsia="Calibri" w:hAnsi="Verdana" w:cs="Arial"/>
          <w:sz w:val="22"/>
          <w:szCs w:val="22"/>
        </w:rPr>
        <w:t xml:space="preserve">ey de </w:t>
      </w:r>
      <w:r>
        <w:rPr>
          <w:rFonts w:ascii="Verdana" w:eastAsia="Calibri" w:hAnsi="Verdana" w:cs="Arial"/>
          <w:sz w:val="22"/>
          <w:szCs w:val="22"/>
        </w:rPr>
        <w:t>G</w:t>
      </w:r>
      <w:r w:rsidRPr="0044553E">
        <w:rPr>
          <w:rFonts w:ascii="Verdana" w:eastAsia="Calibri" w:hAnsi="Verdana" w:cs="Arial"/>
          <w:sz w:val="22"/>
          <w:szCs w:val="22"/>
        </w:rPr>
        <w:t>arantías</w:t>
      </w:r>
      <w:r>
        <w:rPr>
          <w:rFonts w:ascii="Verdana" w:eastAsia="Calibri" w:hAnsi="Verdana" w:cs="Arial"/>
          <w:sz w:val="22"/>
          <w:szCs w:val="22"/>
        </w:rPr>
        <w:t xml:space="preserve"> Electorales</w:t>
      </w:r>
      <w:r w:rsidRPr="0044553E">
        <w:rPr>
          <w:rFonts w:ascii="Verdana" w:eastAsia="Calibri" w:hAnsi="Verdana" w:cs="Arial"/>
          <w:sz w:val="22"/>
          <w:szCs w:val="22"/>
        </w:rPr>
        <w:t>, por cuanto no configuran</w:t>
      </w:r>
      <w:r>
        <w:rPr>
          <w:rFonts w:ascii="Verdana" w:eastAsia="Calibri" w:hAnsi="Verdana" w:cs="Arial"/>
          <w:sz w:val="22"/>
          <w:szCs w:val="22"/>
        </w:rPr>
        <w:t xml:space="preserve"> los</w:t>
      </w:r>
      <w:r w:rsidRPr="0044553E">
        <w:rPr>
          <w:rFonts w:ascii="Verdana" w:eastAsia="Calibri" w:hAnsi="Verdana" w:cs="Arial"/>
          <w:sz w:val="22"/>
          <w:szCs w:val="22"/>
        </w:rPr>
        <w:t xml:space="preserve"> supuestos de contratación </w:t>
      </w:r>
      <w:r>
        <w:rPr>
          <w:rFonts w:ascii="Verdana" w:eastAsia="Calibri" w:hAnsi="Verdana" w:cs="Arial"/>
          <w:sz w:val="22"/>
          <w:szCs w:val="22"/>
        </w:rPr>
        <w:t>directa al que se refiere el artículo en comento</w:t>
      </w:r>
      <w:r w:rsidRPr="0044553E">
        <w:rPr>
          <w:rFonts w:ascii="Verdana" w:eastAsia="Calibri" w:hAnsi="Verdana" w:cs="Arial"/>
          <w:sz w:val="22"/>
          <w:szCs w:val="22"/>
        </w:rPr>
        <w:t>.</w:t>
      </w:r>
    </w:p>
    <w:p w14:paraId="03022227" w14:textId="77777777" w:rsidR="000A52DE" w:rsidRPr="00323979" w:rsidRDefault="000A52DE" w:rsidP="000A52DE">
      <w:pPr>
        <w:spacing w:before="120" w:line="276" w:lineRule="auto"/>
        <w:ind w:firstLine="709"/>
        <w:jc w:val="both"/>
        <w:rPr>
          <w:rFonts w:ascii="Verdana" w:hAnsi="Verdana" w:cs="Arial"/>
          <w:bCs/>
          <w:lang w:eastAsia="es-CO"/>
        </w:rPr>
      </w:pPr>
      <w:r>
        <w:rPr>
          <w:rFonts w:ascii="Verdana" w:eastAsia="Times New Roman" w:hAnsi="Verdana" w:cs="Arial"/>
        </w:rPr>
        <w:t>E</w:t>
      </w:r>
      <w:r w:rsidRPr="00FB77DC">
        <w:rPr>
          <w:rFonts w:ascii="Verdana" w:eastAsia="Times New Roman" w:hAnsi="Verdana" w:cs="Arial"/>
        </w:rPr>
        <w:t xml:space="preserve">n ese orden de ideas, corresponde a la entidad verificar la naturaleza jurídica de las actuaciones </w:t>
      </w:r>
      <w:r>
        <w:rPr>
          <w:rFonts w:ascii="Verdana" w:eastAsia="Times New Roman" w:hAnsi="Verdana" w:cs="Arial"/>
        </w:rPr>
        <w:t xml:space="preserve">preliminares </w:t>
      </w:r>
      <w:r w:rsidRPr="00FB77DC">
        <w:rPr>
          <w:rFonts w:ascii="Verdana" w:eastAsia="Times New Roman" w:hAnsi="Verdana" w:cs="Arial"/>
        </w:rPr>
        <w:t xml:space="preserve">de gestión predial que se adelantarán en el marco </w:t>
      </w:r>
      <w:r>
        <w:rPr>
          <w:rFonts w:ascii="Verdana" w:eastAsia="Times New Roman" w:hAnsi="Verdana" w:cs="Arial"/>
        </w:rPr>
        <w:t>del</w:t>
      </w:r>
      <w:r w:rsidRPr="00FB77DC">
        <w:rPr>
          <w:rFonts w:ascii="Verdana" w:eastAsia="Times New Roman" w:hAnsi="Verdana" w:cs="Arial"/>
        </w:rPr>
        <w:t xml:space="preserve"> procedimiento administrativo</w:t>
      </w:r>
      <w:r>
        <w:rPr>
          <w:rFonts w:ascii="Verdana" w:eastAsia="Times New Roman" w:hAnsi="Verdana" w:cs="Arial"/>
        </w:rPr>
        <w:t xml:space="preserve"> referido</w:t>
      </w:r>
      <w:r w:rsidRPr="00FB77DC">
        <w:rPr>
          <w:rFonts w:ascii="Verdana" w:eastAsia="Times New Roman" w:hAnsi="Verdana" w:cs="Arial"/>
        </w:rPr>
        <w:t>, precis</w:t>
      </w:r>
      <w:r>
        <w:rPr>
          <w:rFonts w:ascii="Verdana" w:eastAsia="Times New Roman" w:hAnsi="Verdana" w:cs="Arial"/>
        </w:rPr>
        <w:t>ando</w:t>
      </w:r>
      <w:r w:rsidRPr="00FB77DC">
        <w:rPr>
          <w:rFonts w:ascii="Verdana" w:eastAsia="Times New Roman" w:hAnsi="Verdana" w:cs="Arial"/>
        </w:rPr>
        <w:t xml:space="preserve"> que dichas actuaciones no implican, por sí mismas, la celebración directa de un contrato estatal</w:t>
      </w:r>
      <w:r w:rsidRPr="00724D86">
        <w:rPr>
          <w:rFonts w:ascii="Verdana" w:eastAsia="Times New Roman" w:hAnsi="Verdana" w:cs="Arial"/>
          <w:lang w:val="es-ES"/>
        </w:rPr>
        <w:t>. Esta diferenciación resulta esencial, en la medida en que la prohibici</w:t>
      </w:r>
      <w:r>
        <w:rPr>
          <w:rFonts w:ascii="Verdana" w:eastAsia="Times New Roman" w:hAnsi="Verdana" w:cs="Arial"/>
          <w:lang w:val="es-ES"/>
        </w:rPr>
        <w:t>ón</w:t>
      </w:r>
      <w:r w:rsidRPr="00724D86">
        <w:rPr>
          <w:rFonts w:ascii="Verdana" w:eastAsia="Times New Roman" w:hAnsi="Verdana" w:cs="Arial"/>
          <w:lang w:val="es-ES"/>
        </w:rPr>
        <w:t xml:space="preserve"> prevista en el artículo 33 de la Ley 996 de 2005 se</w:t>
      </w:r>
      <w:r w:rsidRPr="00BC1926">
        <w:rPr>
          <w:rFonts w:ascii="Verdana" w:eastAsia="Times New Roman" w:hAnsi="Verdana" w:cs="Arial"/>
          <w:lang w:val="es-ES"/>
        </w:rPr>
        <w:t xml:space="preserve"> </w:t>
      </w:r>
      <w:r>
        <w:rPr>
          <w:rFonts w:ascii="Verdana" w:eastAsia="Times New Roman" w:hAnsi="Verdana" w:cs="Arial"/>
          <w:lang w:val="es-ES"/>
        </w:rPr>
        <w:t xml:space="preserve">configura </w:t>
      </w:r>
      <w:r w:rsidRPr="001C7B22">
        <w:rPr>
          <w:rFonts w:ascii="Verdana" w:eastAsia="Times New Roman" w:hAnsi="Verdana" w:cs="Arial"/>
          <w:lang w:val="es-ES"/>
        </w:rPr>
        <w:t xml:space="preserve">cuando </w:t>
      </w:r>
      <w:r>
        <w:rPr>
          <w:rFonts w:ascii="Verdana" w:eastAsia="Times New Roman" w:hAnsi="Verdana" w:cs="Arial"/>
          <w:lang w:val="es-ES"/>
        </w:rPr>
        <w:t>se refiera a la celebración de un</w:t>
      </w:r>
      <w:r w:rsidRPr="001C7B22">
        <w:rPr>
          <w:rFonts w:ascii="Verdana" w:eastAsia="Times New Roman" w:hAnsi="Verdana" w:cs="Arial"/>
          <w:lang w:val="es-ES"/>
        </w:rPr>
        <w:t xml:space="preserve"> contrato en sentido estricto</w:t>
      </w:r>
      <w:r w:rsidRPr="00724D86">
        <w:rPr>
          <w:rFonts w:ascii="Verdana" w:eastAsia="Times New Roman" w:hAnsi="Verdana" w:cs="Arial"/>
          <w:lang w:val="es-ES"/>
        </w:rPr>
        <w:t>, mas no frente a actuaciones administrativas, que no genera</w:t>
      </w:r>
      <w:r>
        <w:rPr>
          <w:rFonts w:ascii="Verdana" w:eastAsia="Times New Roman" w:hAnsi="Verdana" w:cs="Arial"/>
          <w:lang w:val="es-ES"/>
        </w:rPr>
        <w:t>n propiamente u</w:t>
      </w:r>
      <w:r w:rsidRPr="00724D86">
        <w:rPr>
          <w:rFonts w:ascii="Verdana" w:eastAsia="Times New Roman" w:hAnsi="Verdana" w:cs="Arial"/>
          <w:lang w:val="es-ES"/>
        </w:rPr>
        <w:t xml:space="preserve">na relación contractual entre la entidad </w:t>
      </w:r>
      <w:r>
        <w:rPr>
          <w:rFonts w:ascii="Verdana" w:eastAsia="Times New Roman" w:hAnsi="Verdana" w:cs="Arial"/>
          <w:lang w:val="es-ES"/>
        </w:rPr>
        <w:t xml:space="preserve">y el particular. </w:t>
      </w:r>
    </w:p>
    <w:p w14:paraId="03E4E280" w14:textId="77777777" w:rsidR="000A52DE" w:rsidRPr="0044553E" w:rsidRDefault="000A52DE" w:rsidP="000A52DE">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lang w:val="es-ES"/>
        </w:rPr>
      </w:pPr>
      <w:r w:rsidRPr="0044553E">
        <w:rPr>
          <w:rFonts w:ascii="Verdana" w:eastAsia="Calibri" w:hAnsi="Verdana" w:cs="Arial"/>
          <w:sz w:val="22"/>
          <w:szCs w:val="22"/>
        </w:rPr>
        <w:t xml:space="preserve">En segundo lugar, respecto de la afirmación según la cual cuando el procedimiento administrativo de adquisición </w:t>
      </w:r>
      <w:r>
        <w:rPr>
          <w:rFonts w:ascii="Verdana" w:eastAsia="Calibri" w:hAnsi="Verdana" w:cs="Arial"/>
          <w:sz w:val="22"/>
          <w:szCs w:val="22"/>
        </w:rPr>
        <w:t xml:space="preserve">predial </w:t>
      </w:r>
      <w:r w:rsidRPr="0044553E">
        <w:rPr>
          <w:rFonts w:ascii="Verdana" w:eastAsia="Calibri" w:hAnsi="Verdana" w:cs="Arial"/>
          <w:sz w:val="22"/>
          <w:szCs w:val="22"/>
        </w:rPr>
        <w:t>culmina en la celebración de una promesa de compraventa o de un contrato de compraventa sí resulta aplicable la restricción del artículo 33 de la Ley 996 de 2005, se reitera la postura previamente sostenida</w:t>
      </w:r>
      <w:r>
        <w:rPr>
          <w:rFonts w:ascii="Verdana" w:eastAsia="Calibri" w:hAnsi="Verdana" w:cs="Arial"/>
          <w:sz w:val="22"/>
          <w:szCs w:val="22"/>
        </w:rPr>
        <w:t xml:space="preserve"> en los conceptos C-1512 y C-1529 </w:t>
      </w:r>
      <w:r w:rsidRPr="0044553E">
        <w:rPr>
          <w:rFonts w:ascii="Verdana" w:eastAsia="Calibri" w:hAnsi="Verdana" w:cs="Arial"/>
          <w:sz w:val="22"/>
          <w:szCs w:val="22"/>
        </w:rPr>
        <w:t xml:space="preserve">en la </w:t>
      </w:r>
      <w:r w:rsidRPr="0044553E">
        <w:rPr>
          <w:rFonts w:ascii="Verdana" w:eastAsia="Calibri" w:hAnsi="Verdana" w:cs="Arial"/>
          <w:sz w:val="22"/>
          <w:szCs w:val="22"/>
        </w:rPr>
        <w:lastRenderedPageBreak/>
        <w:t>medida en que dichos negocios jurídicos implican la celebración de un contrato estatal</w:t>
      </w:r>
      <w:r>
        <w:rPr>
          <w:rFonts w:ascii="Verdana" w:eastAsia="Calibri" w:hAnsi="Verdana" w:cs="Arial"/>
          <w:sz w:val="22"/>
          <w:szCs w:val="22"/>
        </w:rPr>
        <w:t xml:space="preserve"> de forma directa</w:t>
      </w:r>
      <w:r w:rsidRPr="0044553E">
        <w:rPr>
          <w:rFonts w:ascii="Verdana" w:eastAsia="Calibri" w:hAnsi="Verdana" w:cs="Arial"/>
          <w:sz w:val="22"/>
          <w:szCs w:val="22"/>
        </w:rPr>
        <w:t>.</w:t>
      </w:r>
    </w:p>
    <w:p w14:paraId="7ED2020B" w14:textId="77777777" w:rsidR="000A52DE" w:rsidRPr="00A00771" w:rsidRDefault="000A52DE" w:rsidP="000A52DE">
      <w:pPr>
        <w:tabs>
          <w:tab w:val="left" w:pos="709"/>
        </w:tabs>
        <w:spacing w:before="120" w:after="120" w:line="276" w:lineRule="auto"/>
        <w:ind w:firstLine="709"/>
        <w:jc w:val="both"/>
        <w:rPr>
          <w:rFonts w:ascii="Verdana" w:eastAsia="Times New Roman" w:hAnsi="Verdana" w:cs="Arial"/>
          <w:lang w:val="es-ES" w:eastAsia="es-ES_tradnl"/>
        </w:rPr>
      </w:pPr>
      <w:r w:rsidRPr="00A00771">
        <w:rPr>
          <w:rFonts w:ascii="Verdana" w:eastAsia="Calibri" w:hAnsi="Verdana" w:cs="Arial"/>
          <w:lang w:eastAsia="es-CO"/>
        </w:rPr>
        <w:t>En efecto,</w:t>
      </w:r>
      <w:r>
        <w:rPr>
          <w:rFonts w:ascii="Verdana" w:eastAsia="Calibri" w:hAnsi="Verdana" w:cs="Arial"/>
          <w:lang w:eastAsia="es-CO"/>
        </w:rPr>
        <w:t xml:space="preserve"> en</w:t>
      </w:r>
      <w:r w:rsidRPr="00A00771">
        <w:rPr>
          <w:rFonts w:ascii="Verdana" w:eastAsia="Calibri" w:hAnsi="Verdana" w:cs="Arial"/>
          <w:lang w:eastAsia="es-CO"/>
        </w:rPr>
        <w:t xml:space="preserve"> la promesa de compraventa </w:t>
      </w:r>
      <w:r>
        <w:rPr>
          <w:rFonts w:ascii="Verdana" w:eastAsia="Calibri" w:hAnsi="Verdana" w:cs="Arial"/>
        </w:rPr>
        <w:t>y</w:t>
      </w:r>
      <w:r w:rsidRPr="00A00771">
        <w:rPr>
          <w:rFonts w:ascii="Verdana" w:eastAsia="Calibri" w:hAnsi="Verdana" w:cs="Arial"/>
          <w:lang w:eastAsia="es-CO"/>
        </w:rPr>
        <w:t xml:space="preserve"> </w:t>
      </w:r>
      <w:r>
        <w:rPr>
          <w:rFonts w:ascii="Verdana" w:eastAsia="Calibri" w:hAnsi="Verdana" w:cs="Arial"/>
          <w:lang w:eastAsia="es-CO"/>
        </w:rPr>
        <w:t xml:space="preserve">en </w:t>
      </w:r>
      <w:r w:rsidRPr="00A00771">
        <w:rPr>
          <w:rFonts w:ascii="Verdana" w:eastAsia="Calibri" w:hAnsi="Verdana" w:cs="Arial"/>
          <w:lang w:eastAsia="es-CO"/>
        </w:rPr>
        <w:t xml:space="preserve">el contrato de compraventa </w:t>
      </w:r>
      <w:r>
        <w:rPr>
          <w:rFonts w:ascii="Verdana" w:eastAsia="Times New Roman" w:hAnsi="Verdana" w:cs="Arial"/>
          <w:lang w:val="es-ES" w:eastAsia="es-ES_tradnl"/>
        </w:rPr>
        <w:t xml:space="preserve">participan entidades estatales y se invierten recursos de naturaleza pública, por lo cual puede afirmarse que estos actos jurídicos negociales son auténticos contratos estatales, según el criterio orgánico establecido en el artículo 32 de la Ley 80 de 1993, en concordancia el artículo 2 </w:t>
      </w:r>
      <w:r>
        <w:rPr>
          <w:rFonts w:ascii="Verdana" w:eastAsia="Times New Roman" w:hAnsi="Verdana" w:cs="Arial"/>
          <w:i/>
          <w:iCs/>
          <w:lang w:val="es-ES" w:eastAsia="es-ES_tradnl"/>
        </w:rPr>
        <w:t>ibidem</w:t>
      </w:r>
      <w:r>
        <w:rPr>
          <w:rFonts w:ascii="Verdana" w:eastAsia="Times New Roman" w:hAnsi="Verdana" w:cs="Arial"/>
          <w:lang w:val="es-ES" w:eastAsia="es-ES_tradnl"/>
        </w:rPr>
        <w:t xml:space="preserve">. Estos negocios jurídicos, así como los demás que se suscriban de forma directa como cesiones de inmueble o permutas entre entidades estatales, </w:t>
      </w:r>
      <w:r w:rsidRPr="00A00771">
        <w:rPr>
          <w:rFonts w:ascii="Verdana" w:eastAsia="Calibri" w:hAnsi="Verdana" w:cs="Arial"/>
          <w:lang w:eastAsia="es-CO"/>
        </w:rPr>
        <w:t>constituyen formas de contratación directa en cuanto su celebración se realiza con un sujeto determinado, sin convocatoria pública y sin posibilidad de concurrencia de una pluralidad de oferentes</w:t>
      </w:r>
      <w:r>
        <w:rPr>
          <w:rFonts w:ascii="Verdana" w:eastAsia="Calibri" w:hAnsi="Verdana" w:cs="Arial"/>
          <w:lang w:eastAsia="es-CO"/>
        </w:rPr>
        <w:t xml:space="preserve">. </w:t>
      </w:r>
    </w:p>
    <w:p w14:paraId="59A56402" w14:textId="77777777" w:rsidR="000A52DE" w:rsidRPr="0044553E" w:rsidRDefault="000A52DE" w:rsidP="000A52DE">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A00771">
        <w:rPr>
          <w:rFonts w:ascii="Verdana" w:eastAsia="Calibri" w:hAnsi="Verdana" w:cs="Arial"/>
          <w:sz w:val="22"/>
          <w:szCs w:val="22"/>
        </w:rPr>
        <w:t>Para sustentar esta conclusión, debe tenerse en cuenta que el alcance del artículo 33 de la Ley 996 de 2005, conforme a la interpretación realizada por el Consejo de Estado</w:t>
      </w:r>
      <w:r>
        <w:rPr>
          <w:rFonts w:ascii="Verdana" w:eastAsia="Calibri" w:hAnsi="Verdana" w:cs="Arial"/>
          <w:sz w:val="22"/>
          <w:szCs w:val="22"/>
        </w:rPr>
        <w:t xml:space="preserve"> explicada previamente</w:t>
      </w:r>
      <w:r w:rsidRPr="00A00771">
        <w:rPr>
          <w:rFonts w:ascii="Verdana" w:eastAsia="Calibri" w:hAnsi="Verdana" w:cs="Arial"/>
          <w:sz w:val="22"/>
          <w:szCs w:val="22"/>
        </w:rPr>
        <w:t>, no se limita a la figura formal de “contratación directa” prevista en el EGCAP. Por el contrario, comprende cualquier sistema de selección o procedimiento de contratación utilizado por las entidades estatales que no incluya convocatoria pública</w:t>
      </w:r>
      <w:r w:rsidRPr="0044553E">
        <w:rPr>
          <w:sz w:val="22"/>
          <w:szCs w:val="22"/>
        </w:rPr>
        <w:t xml:space="preserve"> </w:t>
      </w:r>
      <w:r w:rsidRPr="0044553E">
        <w:rPr>
          <w:rFonts w:ascii="Verdana" w:eastAsia="Calibri" w:hAnsi="Verdana" w:cs="Arial"/>
          <w:sz w:val="22"/>
          <w:szCs w:val="22"/>
        </w:rPr>
        <w:t xml:space="preserve">en alguna de sus etapas ni permita la participación de una pluralidad de oferentes, ya sea que se trate de mecanismos regulados por el Estatuto General de Contratación </w:t>
      </w:r>
      <w:r w:rsidRPr="004B02A6">
        <w:rPr>
          <w:rFonts w:ascii="Verdana" w:eastAsia="Calibri" w:hAnsi="Verdana" w:cs="Arial"/>
          <w:i/>
          <w:iCs/>
          <w:sz w:val="22"/>
          <w:szCs w:val="22"/>
        </w:rPr>
        <w:t>o por regímenes especiales.</w:t>
      </w:r>
    </w:p>
    <w:p w14:paraId="38FA93BE" w14:textId="77777777" w:rsidR="000A52DE" w:rsidRPr="0044553E" w:rsidRDefault="000A52DE" w:rsidP="000A52DE">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EF7387">
        <w:rPr>
          <w:rFonts w:ascii="Verdana" w:eastAsia="Calibri" w:hAnsi="Verdana" w:cs="Arial"/>
          <w:sz w:val="22"/>
          <w:szCs w:val="22"/>
        </w:rPr>
        <w:t xml:space="preserve">Desde esta perspectiva, lo relevante no es el régimen jurídico del cual se derive el negocio jurídico, sino su naturaleza no competitiva y la ausencia de concurrencia, elementos que justifican la restricción impuesta por la </w:t>
      </w:r>
      <w:r>
        <w:rPr>
          <w:rFonts w:ascii="Verdana" w:eastAsia="Calibri" w:hAnsi="Verdana" w:cs="Arial"/>
          <w:sz w:val="22"/>
          <w:szCs w:val="22"/>
        </w:rPr>
        <w:t>L</w:t>
      </w:r>
      <w:r w:rsidRPr="00EF7387">
        <w:rPr>
          <w:rFonts w:ascii="Verdana" w:eastAsia="Calibri" w:hAnsi="Verdana" w:cs="Arial"/>
          <w:sz w:val="22"/>
          <w:szCs w:val="22"/>
        </w:rPr>
        <w:t xml:space="preserve">ey de </w:t>
      </w:r>
      <w:r>
        <w:rPr>
          <w:rFonts w:ascii="Verdana" w:eastAsia="Calibri" w:hAnsi="Verdana" w:cs="Arial"/>
          <w:sz w:val="22"/>
          <w:szCs w:val="22"/>
        </w:rPr>
        <w:t>G</w:t>
      </w:r>
      <w:r w:rsidRPr="00EF7387">
        <w:rPr>
          <w:rFonts w:ascii="Verdana" w:eastAsia="Calibri" w:hAnsi="Verdana" w:cs="Arial"/>
          <w:sz w:val="22"/>
          <w:szCs w:val="22"/>
        </w:rPr>
        <w:t>arantías.</w:t>
      </w:r>
      <w:r>
        <w:rPr>
          <w:rFonts w:ascii="Verdana" w:eastAsia="Calibri" w:hAnsi="Verdana" w:cs="Arial"/>
          <w:sz w:val="22"/>
          <w:szCs w:val="22"/>
        </w:rPr>
        <w:t xml:space="preserve"> </w:t>
      </w:r>
      <w:r w:rsidRPr="0044553E">
        <w:rPr>
          <w:rFonts w:ascii="Verdana" w:eastAsia="Calibri" w:hAnsi="Verdana" w:cs="Arial"/>
          <w:sz w:val="22"/>
          <w:szCs w:val="22"/>
        </w:rPr>
        <w:t xml:space="preserve">En este sentido, si bien la celebración de la promesa de compraventa o del contrato de compraventa se deriva de un procedimiento administrativo </w:t>
      </w:r>
      <w:r>
        <w:rPr>
          <w:rFonts w:ascii="Verdana" w:eastAsia="Calibri" w:hAnsi="Verdana" w:cs="Arial"/>
          <w:sz w:val="22"/>
          <w:szCs w:val="22"/>
        </w:rPr>
        <w:t xml:space="preserve">que se regula por reglas </w:t>
      </w:r>
      <w:r w:rsidRPr="0044553E">
        <w:rPr>
          <w:rFonts w:ascii="Verdana" w:eastAsia="Calibri" w:hAnsi="Verdana" w:cs="Arial"/>
          <w:sz w:val="22"/>
          <w:szCs w:val="22"/>
        </w:rPr>
        <w:t>especial</w:t>
      </w:r>
      <w:r>
        <w:rPr>
          <w:rFonts w:ascii="Verdana" w:eastAsia="Calibri" w:hAnsi="Verdana" w:cs="Arial"/>
          <w:sz w:val="22"/>
          <w:szCs w:val="22"/>
        </w:rPr>
        <w:t>es</w:t>
      </w:r>
      <w:r w:rsidRPr="0044553E">
        <w:rPr>
          <w:rFonts w:ascii="Verdana" w:eastAsia="Calibri" w:hAnsi="Verdana" w:cs="Arial"/>
          <w:sz w:val="22"/>
          <w:szCs w:val="22"/>
        </w:rPr>
        <w:t>, ello no desvirtúa su carácter de cont</w:t>
      </w:r>
      <w:r>
        <w:rPr>
          <w:rFonts w:ascii="Verdana" w:eastAsia="Calibri" w:hAnsi="Verdana" w:cs="Arial"/>
          <w:sz w:val="22"/>
          <w:szCs w:val="22"/>
        </w:rPr>
        <w:t>rato</w:t>
      </w:r>
      <w:r w:rsidRPr="0044553E">
        <w:rPr>
          <w:rFonts w:ascii="Verdana" w:eastAsia="Calibri" w:hAnsi="Verdana" w:cs="Arial"/>
          <w:sz w:val="22"/>
          <w:szCs w:val="22"/>
        </w:rPr>
        <w:t xml:space="preserve"> direct</w:t>
      </w:r>
      <w:r>
        <w:rPr>
          <w:rFonts w:ascii="Verdana" w:eastAsia="Calibri" w:hAnsi="Verdana" w:cs="Arial"/>
          <w:sz w:val="22"/>
          <w:szCs w:val="22"/>
        </w:rPr>
        <w:t>o</w:t>
      </w:r>
      <w:r w:rsidRPr="0044553E">
        <w:rPr>
          <w:rFonts w:ascii="Verdana" w:eastAsia="Calibri" w:hAnsi="Verdana" w:cs="Arial"/>
          <w:sz w:val="22"/>
          <w:szCs w:val="22"/>
        </w:rPr>
        <w:t>, en la medida en que la entidad estatal negocia y contrata con un único propietario, sin competencia entre oferentes, independientemente del contexto normativo que rodea la adquisición del inmueble.</w:t>
      </w:r>
      <w:r>
        <w:rPr>
          <w:rFonts w:ascii="Verdana" w:eastAsia="Calibri" w:hAnsi="Verdana" w:cs="Arial"/>
          <w:sz w:val="22"/>
          <w:szCs w:val="22"/>
        </w:rPr>
        <w:t xml:space="preserve"> </w:t>
      </w:r>
    </w:p>
    <w:p w14:paraId="0002B2E6" w14:textId="77777777" w:rsidR="000A52DE" w:rsidRDefault="000A52DE" w:rsidP="000A52DE">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7806D8">
        <w:rPr>
          <w:rFonts w:ascii="Verdana" w:eastAsia="Calibri" w:hAnsi="Verdana" w:cs="Arial"/>
          <w:sz w:val="22"/>
          <w:szCs w:val="22"/>
        </w:rPr>
        <w:t xml:space="preserve">En consecuencia, si bien el procedimiento administrativo de adquisición predial, </w:t>
      </w:r>
      <w:r>
        <w:rPr>
          <w:rFonts w:ascii="Verdana" w:eastAsia="Calibri" w:hAnsi="Verdana" w:cs="Arial"/>
          <w:sz w:val="22"/>
          <w:szCs w:val="22"/>
        </w:rPr>
        <w:t>por sí mismo</w:t>
      </w:r>
      <w:r w:rsidRPr="007806D8">
        <w:rPr>
          <w:rFonts w:ascii="Verdana" w:eastAsia="Calibri" w:hAnsi="Verdana" w:cs="Arial"/>
          <w:sz w:val="22"/>
          <w:szCs w:val="22"/>
        </w:rPr>
        <w:t xml:space="preserve">, no se encuentra sometido a las disposiciones </w:t>
      </w:r>
      <w:r>
        <w:rPr>
          <w:rFonts w:ascii="Verdana" w:eastAsia="Calibri" w:hAnsi="Verdana" w:cs="Arial"/>
          <w:sz w:val="22"/>
          <w:szCs w:val="22"/>
        </w:rPr>
        <w:t xml:space="preserve">al EGCAP </w:t>
      </w:r>
      <w:r w:rsidRPr="007806D8">
        <w:rPr>
          <w:rFonts w:ascii="Verdana" w:eastAsia="Calibri" w:hAnsi="Verdana" w:cs="Arial"/>
          <w:sz w:val="22"/>
          <w:szCs w:val="22"/>
        </w:rPr>
        <w:t xml:space="preserve">ni a la Ley de Garantías </w:t>
      </w:r>
      <w:r>
        <w:rPr>
          <w:rFonts w:ascii="Verdana" w:eastAsia="Calibri" w:hAnsi="Verdana" w:cs="Arial"/>
          <w:sz w:val="22"/>
          <w:szCs w:val="22"/>
        </w:rPr>
        <w:t xml:space="preserve">Electorales </w:t>
      </w:r>
      <w:r w:rsidRPr="007806D8">
        <w:rPr>
          <w:rFonts w:ascii="Verdana" w:eastAsia="Calibri" w:hAnsi="Verdana" w:cs="Arial"/>
          <w:sz w:val="22"/>
          <w:szCs w:val="22"/>
        </w:rPr>
        <w:t>en los términos previamente analizados, lo cierto es que el contrato de compraventa que pone fin a dicho procedimiento sí da lugar a la aplicación de la restricción prevista en el artículo 33 de la Ley 996 de 2005. Ello, en la medida en que se trata de un contrato estatal celebrado sin pluralidad de oferentes</w:t>
      </w:r>
      <w:r>
        <w:rPr>
          <w:rFonts w:ascii="Verdana" w:eastAsia="Calibri" w:hAnsi="Verdana" w:cs="Arial"/>
          <w:sz w:val="22"/>
          <w:szCs w:val="22"/>
        </w:rPr>
        <w:t xml:space="preserve"> y sin convocatoria </w:t>
      </w:r>
      <w:r>
        <w:rPr>
          <w:rFonts w:ascii="Verdana" w:eastAsia="Calibri" w:hAnsi="Verdana" w:cs="Arial"/>
          <w:sz w:val="22"/>
          <w:szCs w:val="22"/>
        </w:rPr>
        <w:lastRenderedPageBreak/>
        <w:t xml:space="preserve">pública, </w:t>
      </w:r>
      <w:r w:rsidRPr="007806D8">
        <w:rPr>
          <w:rFonts w:ascii="Verdana" w:eastAsia="Calibri" w:hAnsi="Verdana" w:cs="Arial"/>
          <w:sz w:val="22"/>
          <w:szCs w:val="22"/>
        </w:rPr>
        <w:t>circunstancia</w:t>
      </w:r>
      <w:r>
        <w:rPr>
          <w:rFonts w:ascii="Verdana" w:eastAsia="Calibri" w:hAnsi="Verdana" w:cs="Arial"/>
          <w:sz w:val="22"/>
          <w:szCs w:val="22"/>
        </w:rPr>
        <w:t>s</w:t>
      </w:r>
      <w:r w:rsidRPr="007806D8">
        <w:rPr>
          <w:rFonts w:ascii="Verdana" w:eastAsia="Calibri" w:hAnsi="Verdana" w:cs="Arial"/>
          <w:sz w:val="22"/>
          <w:szCs w:val="22"/>
        </w:rPr>
        <w:t xml:space="preserve"> que activa</w:t>
      </w:r>
      <w:r>
        <w:rPr>
          <w:rFonts w:ascii="Verdana" w:eastAsia="Calibri" w:hAnsi="Verdana" w:cs="Arial"/>
          <w:sz w:val="22"/>
          <w:szCs w:val="22"/>
        </w:rPr>
        <w:t>n</w:t>
      </w:r>
      <w:r w:rsidRPr="007806D8">
        <w:rPr>
          <w:rFonts w:ascii="Verdana" w:eastAsia="Calibri" w:hAnsi="Verdana" w:cs="Arial"/>
          <w:sz w:val="22"/>
          <w:szCs w:val="22"/>
        </w:rPr>
        <w:t xml:space="preserve"> la prohibición allí consagrada. Adicionalmente, dentro de las excepciones expresamente previstas por el legislador en dicha norma no se encuentran comprendidos los contratos que se deriven del procedimiento administrativo de adquisición</w:t>
      </w:r>
      <w:r>
        <w:rPr>
          <w:rFonts w:ascii="Verdana" w:eastAsia="Calibri" w:hAnsi="Verdana" w:cs="Arial"/>
          <w:sz w:val="22"/>
          <w:szCs w:val="22"/>
        </w:rPr>
        <w:t xml:space="preserve"> predial</w:t>
      </w:r>
      <w:r w:rsidRPr="007806D8">
        <w:rPr>
          <w:rFonts w:ascii="Verdana" w:eastAsia="Calibri" w:hAnsi="Verdana" w:cs="Arial"/>
          <w:sz w:val="22"/>
          <w:szCs w:val="22"/>
        </w:rPr>
        <w:t>, lo cual resulta relevante, pues de haber sido la intención del legislador exceptuar este tipo de negocios jurídicos, así lo habría señalado de manera expresa, tal como lo hizo respecto de otras hipótesis exceptuadas.</w:t>
      </w:r>
    </w:p>
    <w:p w14:paraId="0295D0FD" w14:textId="77777777" w:rsidR="000A52DE" w:rsidRPr="001D031E" w:rsidRDefault="000A52DE" w:rsidP="000A52DE">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Pr>
          <w:rFonts w:ascii="Verdana" w:eastAsia="Calibri" w:hAnsi="Verdana" w:cs="Arial"/>
          <w:sz w:val="22"/>
          <w:szCs w:val="22"/>
        </w:rPr>
        <w:t>Sobre el particular, se precisa que la Sala de Consulta y Servicio Civil del Consejo de Estado, en concepto del 21 de mayo del 2014</w:t>
      </w:r>
      <w:r>
        <w:rPr>
          <w:rStyle w:val="Refdenotaalpie"/>
          <w:rFonts w:eastAsia="Calibri" w:cs="Arial"/>
          <w:sz w:val="22"/>
          <w:szCs w:val="22"/>
        </w:rPr>
        <w:footnoteReference w:id="22"/>
      </w:r>
      <w:r>
        <w:rPr>
          <w:rFonts w:ascii="Verdana" w:eastAsia="Calibri" w:hAnsi="Verdana" w:cs="Arial"/>
          <w:sz w:val="22"/>
          <w:szCs w:val="22"/>
        </w:rPr>
        <w:t>, respecto de una consulta relacionada con la aplicación d</w:t>
      </w:r>
      <w:r w:rsidRPr="000634B9">
        <w:rPr>
          <w:rFonts w:ascii="Verdana" w:eastAsia="Calibri" w:hAnsi="Verdana" w:cs="Arial"/>
          <w:sz w:val="22"/>
          <w:szCs w:val="22"/>
        </w:rPr>
        <w:t>el artículo 33 de la Ley 996 de 2005, a los procesos que debe adelantar el INCODER para realizar la compraventa de algunos predios destinados a las Comunidades Étnicas</w:t>
      </w:r>
      <w:r>
        <w:rPr>
          <w:rFonts w:ascii="Verdana" w:eastAsia="Calibri" w:hAnsi="Verdana" w:cs="Arial"/>
          <w:sz w:val="22"/>
          <w:szCs w:val="22"/>
        </w:rPr>
        <w:t>, concluyó que “</w:t>
      </w:r>
      <w:r w:rsidRPr="00BB7F22">
        <w:rPr>
          <w:rFonts w:ascii="Verdana" w:eastAsia="Calibri" w:hAnsi="Verdana" w:cs="Arial"/>
          <w:sz w:val="22"/>
          <w:szCs w:val="22"/>
        </w:rPr>
        <w:t>el Instituto Colombiano de Desarrollo Rural –INCODER- no puede adelantar las contrataciones directas para adquirir los terrenos de que trata la Ley 160 de 1994, por cuanto se trata de una hipótesis que no cabe dentro de las excepciones previstas en el inciso último del artículo 33 de la Ley 996 de 2005</w:t>
      </w:r>
      <w:r>
        <w:rPr>
          <w:rFonts w:ascii="Verdana" w:eastAsia="Calibri" w:hAnsi="Verdana" w:cs="Arial"/>
          <w:sz w:val="22"/>
          <w:szCs w:val="22"/>
        </w:rPr>
        <w:t xml:space="preserve">”. </w:t>
      </w:r>
      <w:r>
        <w:rPr>
          <w:rFonts w:ascii="Verdana" w:hAnsi="Verdana" w:cs="Arial"/>
          <w:sz w:val="22"/>
          <w:szCs w:val="22"/>
          <w:lang w:val="es-ES" w:eastAsia="es-ES_tradnl"/>
        </w:rPr>
        <w:t>P</w:t>
      </w:r>
      <w:r w:rsidRPr="001D031E">
        <w:rPr>
          <w:rFonts w:ascii="Verdana" w:hAnsi="Verdana" w:cs="Arial"/>
          <w:sz w:val="22"/>
          <w:szCs w:val="22"/>
          <w:lang w:val="es-ES" w:eastAsia="es-ES_tradnl"/>
        </w:rPr>
        <w:t>ara argumentar dicha postura, el Consejo de Estado señaló lo siguiente:</w:t>
      </w:r>
      <w:r>
        <w:rPr>
          <w:rFonts w:ascii="Verdana" w:hAnsi="Verdana" w:cs="Arial"/>
          <w:lang w:val="es-ES" w:eastAsia="es-ES_tradnl"/>
        </w:rPr>
        <w:t xml:space="preserve"> </w:t>
      </w:r>
    </w:p>
    <w:p w14:paraId="51DD6FE5" w14:textId="77777777" w:rsidR="000A52DE" w:rsidRPr="00D85C95" w:rsidRDefault="000A52DE" w:rsidP="000A52DE">
      <w:pPr>
        <w:spacing w:after="120" w:line="240" w:lineRule="auto"/>
        <w:ind w:left="709" w:right="709"/>
        <w:jc w:val="both"/>
        <w:rPr>
          <w:rFonts w:ascii="Verdana" w:eastAsia="Calibri" w:hAnsi="Verdana" w:cs="Arial"/>
          <w:b/>
          <w:bCs/>
          <w:i/>
          <w:iCs/>
          <w:sz w:val="20"/>
          <w:szCs w:val="20"/>
        </w:rPr>
      </w:pPr>
      <w:r>
        <w:rPr>
          <w:rFonts w:ascii="Verdana" w:eastAsia="Calibri" w:hAnsi="Verdana" w:cs="Arial"/>
          <w:sz w:val="20"/>
          <w:szCs w:val="20"/>
          <w:lang w:val="es-MX"/>
        </w:rPr>
        <w:t>“</w:t>
      </w:r>
      <w:r w:rsidRPr="00CC7726">
        <w:rPr>
          <w:rFonts w:ascii="Verdana" w:eastAsia="Calibri" w:hAnsi="Verdana" w:cs="Arial"/>
          <w:sz w:val="20"/>
          <w:szCs w:val="20"/>
        </w:rPr>
        <w:t xml:space="preserve">Así, en los casos de negociación directa de la Ley 160 de 1994 se tiene que la identificación y valoración de los predios la hace el INCODER. De igual forma, el instituto adelanta los trámites para hacer la oferta al propietario del predio y cumple con la obligación de pago frente al vendedor. </w:t>
      </w:r>
      <w:r w:rsidRPr="00D85C95">
        <w:rPr>
          <w:rFonts w:ascii="Verdana" w:eastAsia="Calibri" w:hAnsi="Verdana" w:cs="Arial"/>
          <w:b/>
          <w:bCs/>
          <w:i/>
          <w:iCs/>
          <w:sz w:val="20"/>
          <w:szCs w:val="20"/>
        </w:rPr>
        <w:t>Como se advierte, este proceso de compra de los predios obviamente no admite la posibilidad de que concurra pluralidad de oferentes ni de llevar a cabo un proceso de licitación pública.</w:t>
      </w:r>
    </w:p>
    <w:p w14:paraId="371A84ED" w14:textId="77777777" w:rsidR="000A52DE" w:rsidRPr="009D26DE" w:rsidRDefault="000A52DE" w:rsidP="000A52DE">
      <w:pPr>
        <w:spacing w:after="12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 xml:space="preserve">Por tanto, </w:t>
      </w:r>
      <w:r w:rsidRPr="009D26DE">
        <w:rPr>
          <w:rFonts w:ascii="Verdana" w:eastAsia="Calibri" w:hAnsi="Verdana" w:cs="Arial"/>
          <w:sz w:val="20"/>
          <w:szCs w:val="20"/>
          <w:lang w:val="es-MX"/>
        </w:rPr>
        <w:t xml:space="preserve">si dentro de la etapa de negociación directa el INCODER logra el acuerdo de un particular para adquirir un predio con destino a las comunidades destinatarias de la Ley 160 de 1994, </w:t>
      </w:r>
      <w:r w:rsidRPr="00396998">
        <w:rPr>
          <w:rFonts w:ascii="Verdana" w:eastAsia="Calibri" w:hAnsi="Verdana" w:cs="Arial"/>
          <w:b/>
          <w:bCs/>
          <w:i/>
          <w:iCs/>
          <w:sz w:val="20"/>
          <w:szCs w:val="20"/>
          <w:lang w:val="es-MX"/>
        </w:rPr>
        <w:t>el negocio jurídico de compraventa de esos predios queda afectado por la prohibición temporal a la contratación directa, durante los cuatro (4) meses anteriores a la elección presidencial y hasta la realización de la elección en la segunda vuelta, consagrada en el artículo 33 de la Ley 996 de 2005.</w:t>
      </w:r>
      <w:r w:rsidRPr="009D26DE">
        <w:rPr>
          <w:rFonts w:ascii="Verdana" w:eastAsia="Calibri" w:hAnsi="Verdana" w:cs="Arial"/>
          <w:sz w:val="20"/>
          <w:szCs w:val="20"/>
          <w:lang w:val="es-MX"/>
        </w:rPr>
        <w:t xml:space="preserve"> </w:t>
      </w:r>
    </w:p>
    <w:p w14:paraId="0F6A3EAF" w14:textId="77777777" w:rsidR="000A52DE" w:rsidRDefault="000A52DE" w:rsidP="000A52DE">
      <w:pPr>
        <w:spacing w:after="120" w:line="240" w:lineRule="auto"/>
        <w:ind w:left="709" w:right="709"/>
        <w:jc w:val="both"/>
        <w:rPr>
          <w:rFonts w:ascii="Verdana" w:eastAsia="Calibri" w:hAnsi="Verdana" w:cs="Arial"/>
          <w:sz w:val="20"/>
          <w:szCs w:val="20"/>
          <w:lang w:val="es-MX"/>
        </w:rPr>
      </w:pPr>
      <w:r w:rsidRPr="009D26DE">
        <w:rPr>
          <w:rFonts w:ascii="Verdana" w:eastAsia="Calibri" w:hAnsi="Verdana" w:cs="Arial"/>
          <w:sz w:val="20"/>
          <w:szCs w:val="20"/>
          <w:lang w:val="es-MX"/>
        </w:rPr>
        <w:t xml:space="preserve">Ahora bien, esta Sala ha sido enfática al señalar que las excepciones consagradas en el inciso segundo del artículo 33 son taxativas y su interpretación debe ser de carácter restrictivo. A partir de esta premisa concluye la Sala que la actividad contractual del INCODER en relación con la compraventa de los predios destinados a las Comunidades </w:t>
      </w:r>
      <w:r w:rsidRPr="009D26DE">
        <w:rPr>
          <w:rFonts w:ascii="Verdana" w:eastAsia="Calibri" w:hAnsi="Verdana" w:cs="Arial"/>
          <w:sz w:val="20"/>
          <w:szCs w:val="20"/>
          <w:lang w:val="es-MX"/>
        </w:rPr>
        <w:lastRenderedPageBreak/>
        <w:t>Étnicas no se ajusta a ninguna de las hipótesis exceptivas que consagra el artículo 33 de la Ley de Garantías Electorales</w:t>
      </w:r>
      <w:r>
        <w:rPr>
          <w:rFonts w:ascii="Verdana" w:eastAsia="Calibri" w:hAnsi="Verdana" w:cs="Arial"/>
          <w:sz w:val="20"/>
          <w:szCs w:val="20"/>
          <w:lang w:val="es-MX"/>
        </w:rPr>
        <w:t>”</w:t>
      </w:r>
      <w:r w:rsidRPr="009D26DE">
        <w:rPr>
          <w:rFonts w:ascii="Verdana" w:eastAsia="Calibri" w:hAnsi="Verdana" w:cs="Arial"/>
          <w:sz w:val="20"/>
          <w:szCs w:val="20"/>
          <w:lang w:val="es-MX"/>
        </w:rPr>
        <w:t>.</w:t>
      </w:r>
    </w:p>
    <w:p w14:paraId="79F37718" w14:textId="77777777" w:rsidR="000A52DE" w:rsidRPr="009D26DE" w:rsidRDefault="000A52DE" w:rsidP="000A52DE">
      <w:pPr>
        <w:spacing w:after="0" w:line="240" w:lineRule="auto"/>
        <w:ind w:left="709" w:right="709"/>
        <w:jc w:val="both"/>
        <w:rPr>
          <w:rFonts w:ascii="Verdana" w:eastAsia="Calibri" w:hAnsi="Verdana" w:cs="Arial"/>
          <w:sz w:val="20"/>
          <w:szCs w:val="20"/>
          <w:lang w:val="es-MX"/>
        </w:rPr>
      </w:pPr>
    </w:p>
    <w:bookmarkEnd w:id="5"/>
    <w:p w14:paraId="0C2CC46A" w14:textId="77777777" w:rsidR="000A52DE" w:rsidRDefault="000A52DE" w:rsidP="000A52DE">
      <w:pPr>
        <w:spacing w:after="120" w:line="276" w:lineRule="auto"/>
        <w:ind w:firstLine="709"/>
        <w:jc w:val="both"/>
        <w:rPr>
          <w:rFonts w:ascii="Verdana" w:eastAsia="Calibri" w:hAnsi="Verdana" w:cs="Arial"/>
        </w:rPr>
      </w:pPr>
      <w:r>
        <w:rPr>
          <w:rFonts w:ascii="Verdana" w:eastAsia="Times New Roman" w:hAnsi="Verdana" w:cs="Arial"/>
          <w:bCs/>
          <w:lang w:val="es-MX" w:eastAsia="x-none"/>
        </w:rPr>
        <w:t xml:space="preserve">Conforme se desprende de lo anterior, el Consejo de Estado concluyó la aplicación del artículo 33 de la Ley de Garantías Electorales al procedimiento </w:t>
      </w:r>
      <w:r w:rsidRPr="00740990">
        <w:rPr>
          <w:rFonts w:ascii="Verdana" w:eastAsia="Times New Roman" w:hAnsi="Verdana" w:cs="Arial"/>
          <w:bCs/>
          <w:lang w:eastAsia="x-none"/>
        </w:rPr>
        <w:t>administrativo de adquisición de predios para las comunidades indígenas, afrocolombianas y demás minorías étnicas a cargo del INCODER</w:t>
      </w:r>
      <w:r>
        <w:rPr>
          <w:rFonts w:ascii="Verdana" w:eastAsia="Times New Roman" w:hAnsi="Verdana" w:cs="Arial"/>
          <w:bCs/>
          <w:lang w:eastAsia="x-none"/>
        </w:rPr>
        <w:t>, teniendo en cuenta que en este</w:t>
      </w:r>
      <w:r w:rsidRPr="00EB50CC">
        <w:rPr>
          <w:rFonts w:ascii="Verdana" w:eastAsia="Calibri" w:hAnsi="Verdana" w:cs="Arial"/>
          <w:b/>
          <w:bCs/>
          <w:i/>
          <w:iCs/>
          <w:sz w:val="20"/>
          <w:szCs w:val="20"/>
        </w:rPr>
        <w:t xml:space="preserve"> </w:t>
      </w:r>
      <w:r w:rsidRPr="007C4B33">
        <w:rPr>
          <w:rFonts w:ascii="Verdana" w:eastAsia="Calibri" w:hAnsi="Verdana" w:cs="Arial"/>
        </w:rPr>
        <w:t xml:space="preserve">no se admite la posibilidad de que concurra pluralidad de oferentes ni de llevar a cabo un proceso de licitación pública y </w:t>
      </w:r>
      <w:r>
        <w:rPr>
          <w:rFonts w:ascii="Verdana" w:eastAsia="Calibri" w:hAnsi="Verdana" w:cs="Arial"/>
        </w:rPr>
        <w:t>que</w:t>
      </w:r>
      <w:r w:rsidRPr="007C4B33">
        <w:rPr>
          <w:rFonts w:ascii="Verdana" w:eastAsia="Calibri" w:hAnsi="Verdana" w:cs="Arial"/>
        </w:rPr>
        <w:t xml:space="preserve"> conlleva</w:t>
      </w:r>
      <w:r>
        <w:rPr>
          <w:rFonts w:ascii="Verdana" w:eastAsia="Calibri" w:hAnsi="Verdana" w:cs="Arial"/>
        </w:rPr>
        <w:t xml:space="preserve"> la celebración de una compraventa en caso de que se logre acuerdo con el particular para adquirir el predio.</w:t>
      </w:r>
    </w:p>
    <w:p w14:paraId="2C77D12E" w14:textId="77777777" w:rsidR="000A52DE" w:rsidRDefault="000A52DE" w:rsidP="000A52DE">
      <w:pPr>
        <w:spacing w:after="120" w:line="276" w:lineRule="auto"/>
        <w:ind w:firstLine="709"/>
        <w:jc w:val="both"/>
        <w:rPr>
          <w:rFonts w:ascii="Verdana" w:eastAsia="Calibri" w:hAnsi="Verdana" w:cs="Arial"/>
        </w:rPr>
      </w:pPr>
      <w:r w:rsidRPr="009B6C64">
        <w:rPr>
          <w:rFonts w:ascii="Verdana" w:eastAsia="Calibri" w:hAnsi="Verdana" w:cs="Arial"/>
        </w:rPr>
        <w:t xml:space="preserve">Lo anterior resulta especialmente </w:t>
      </w:r>
      <w:r>
        <w:rPr>
          <w:rFonts w:ascii="Verdana" w:eastAsia="Calibri" w:hAnsi="Verdana" w:cs="Arial"/>
        </w:rPr>
        <w:t>importante</w:t>
      </w:r>
      <w:r w:rsidRPr="009B6C64">
        <w:rPr>
          <w:rFonts w:ascii="Verdana" w:eastAsia="Calibri" w:hAnsi="Verdana" w:cs="Arial"/>
        </w:rPr>
        <w:t xml:space="preserve"> para el caso bajo estudio, ya que, aunque el procedimiento administrativo de adquisición </w:t>
      </w:r>
      <w:r>
        <w:rPr>
          <w:rFonts w:ascii="Verdana" w:eastAsia="Calibri" w:hAnsi="Verdana" w:cs="Arial"/>
        </w:rPr>
        <w:t xml:space="preserve">predial </w:t>
      </w:r>
      <w:r w:rsidRPr="009B6C64">
        <w:rPr>
          <w:rFonts w:ascii="Verdana" w:eastAsia="Calibri" w:hAnsi="Verdana" w:cs="Arial"/>
        </w:rPr>
        <w:t>adelantado por el INCODER presenta diferencias sustanciales frente al procedimiento de adquisición predial por razones de utilidad pública</w:t>
      </w:r>
      <w:r>
        <w:rPr>
          <w:rFonts w:ascii="Verdana" w:eastAsia="Calibri" w:hAnsi="Verdana" w:cs="Arial"/>
        </w:rPr>
        <w:t xml:space="preserve">, concretamente </w:t>
      </w:r>
      <w:r w:rsidRPr="009B6C64">
        <w:rPr>
          <w:rFonts w:ascii="Verdana" w:eastAsia="Calibri" w:hAnsi="Verdana" w:cs="Arial"/>
        </w:rPr>
        <w:t xml:space="preserve">en lo relativo a su objeto, </w:t>
      </w:r>
      <w:r>
        <w:rPr>
          <w:rFonts w:ascii="Verdana" w:eastAsia="Calibri" w:hAnsi="Verdana" w:cs="Arial"/>
        </w:rPr>
        <w:t xml:space="preserve">reglas, </w:t>
      </w:r>
      <w:r w:rsidRPr="009B6C64">
        <w:rPr>
          <w:rFonts w:ascii="Verdana" w:eastAsia="Calibri" w:hAnsi="Verdana" w:cs="Arial"/>
        </w:rPr>
        <w:t xml:space="preserve">a los sujetos destinatarios y a las autoridades competentes para su desarrollo, debe tenerse en cuenta que, </w:t>
      </w:r>
      <w:r>
        <w:rPr>
          <w:rFonts w:ascii="Verdana" w:eastAsia="Calibri" w:hAnsi="Verdana" w:cs="Arial"/>
        </w:rPr>
        <w:t xml:space="preserve">de acuerdo con </w:t>
      </w:r>
      <w:r w:rsidRPr="009B6C64">
        <w:rPr>
          <w:rFonts w:ascii="Verdana" w:eastAsia="Calibri" w:hAnsi="Verdana" w:cs="Arial"/>
        </w:rPr>
        <w:t>el análisis realizado por el Consejo de Estado en torno a la interpretación y aplicación del artículo 33 de la Ley 996 de 2005, ambos procedimientos coinciden en elementos estructurales esenciales que adquieren relevancia para efectos de la aplicación de la Ley de Garantías.</w:t>
      </w:r>
    </w:p>
    <w:p w14:paraId="0BA08DCF" w14:textId="77777777" w:rsidR="000A52DE" w:rsidRDefault="000A52DE" w:rsidP="000A52DE">
      <w:pPr>
        <w:spacing w:after="120" w:line="276" w:lineRule="auto"/>
        <w:ind w:firstLine="709"/>
        <w:jc w:val="both"/>
        <w:rPr>
          <w:rFonts w:ascii="Verdana" w:eastAsia="Calibri" w:hAnsi="Verdana" w:cs="Arial"/>
        </w:rPr>
      </w:pPr>
      <w:r w:rsidRPr="00654C01">
        <w:rPr>
          <w:rFonts w:ascii="Verdana" w:eastAsia="Calibri" w:hAnsi="Verdana" w:cs="Arial"/>
        </w:rPr>
        <w:t>En particular, co</w:t>
      </w:r>
      <w:r>
        <w:rPr>
          <w:rFonts w:ascii="Verdana" w:eastAsia="Calibri" w:hAnsi="Verdana" w:cs="Arial"/>
        </w:rPr>
        <w:t>nvergen</w:t>
      </w:r>
      <w:r w:rsidRPr="00654C01">
        <w:rPr>
          <w:rFonts w:ascii="Verdana" w:eastAsia="Calibri" w:hAnsi="Verdana" w:cs="Arial"/>
        </w:rPr>
        <w:t xml:space="preserve"> en dos aspectos fundamentales: (i) no admiten la concurrencia de pluralidad de oferentes ni la realización de un proceso licitación pública, y (ii) en caso de que la etapa de negociación directa resulte exitosa, el procedimiento culmina con la suscripción de una promesa de compraventa y el posterior perfeccionamiento del contrato de compraventa. En ese sentido, aun cuando se trate de procedimientos administrativos distintos, la lógica interpretativa </w:t>
      </w:r>
      <w:r>
        <w:rPr>
          <w:rFonts w:ascii="Verdana" w:eastAsia="Calibri" w:hAnsi="Verdana" w:cs="Arial"/>
        </w:rPr>
        <w:t xml:space="preserve">de aplicación del artículo 33 </w:t>
      </w:r>
      <w:r w:rsidRPr="0004219C">
        <w:rPr>
          <w:rFonts w:ascii="Verdana" w:eastAsia="Calibri" w:hAnsi="Verdana" w:cs="Arial"/>
          <w:i/>
          <w:iCs/>
        </w:rPr>
        <w:t>ibidem</w:t>
      </w:r>
      <w:r>
        <w:rPr>
          <w:rFonts w:ascii="Verdana" w:eastAsia="Calibri" w:hAnsi="Verdana" w:cs="Arial"/>
        </w:rPr>
        <w:t xml:space="preserve"> </w:t>
      </w:r>
      <w:r w:rsidRPr="00654C01">
        <w:rPr>
          <w:rFonts w:ascii="Verdana" w:eastAsia="Calibri" w:hAnsi="Verdana" w:cs="Arial"/>
        </w:rPr>
        <w:t>empleada por el Consejo de Estado resulta plenamente aplicable al procedimiento de adquisición predial</w:t>
      </w:r>
      <w:r>
        <w:rPr>
          <w:rFonts w:ascii="Verdana" w:eastAsia="Calibri" w:hAnsi="Verdana" w:cs="Arial"/>
        </w:rPr>
        <w:t xml:space="preserve"> regulado por </w:t>
      </w:r>
      <w:r w:rsidRPr="007B37F8">
        <w:rPr>
          <w:rFonts w:ascii="Verdana" w:eastAsia="Calibri" w:hAnsi="Verdana" w:cs="Arial"/>
        </w:rPr>
        <w:t>Leyes 9 de 1989, 388 de 1997 y 1682 de 2013</w:t>
      </w:r>
      <w:r w:rsidRPr="00654C01">
        <w:rPr>
          <w:rFonts w:ascii="Verdana" w:eastAsia="Calibri" w:hAnsi="Verdana" w:cs="Arial"/>
        </w:rPr>
        <w:t>, en tanto este último tampoco contempla, por expresa disposición legal, una convocatoria pública</w:t>
      </w:r>
      <w:r>
        <w:rPr>
          <w:rFonts w:ascii="Verdana" w:eastAsia="Calibri" w:hAnsi="Verdana" w:cs="Arial"/>
        </w:rPr>
        <w:t>, ni concurrencia de oferentes</w:t>
      </w:r>
      <w:r w:rsidRPr="00654C01">
        <w:rPr>
          <w:rFonts w:ascii="Verdana" w:eastAsia="Calibri" w:hAnsi="Verdana" w:cs="Arial"/>
        </w:rPr>
        <w:t xml:space="preserve"> y puede igualmente concluir con la celebración de un contrato de compraventa</w:t>
      </w:r>
      <w:r>
        <w:rPr>
          <w:rFonts w:ascii="Verdana" w:eastAsia="Calibri" w:hAnsi="Verdana" w:cs="Arial"/>
        </w:rPr>
        <w:t xml:space="preserve"> cuando se llegue a un acuerdo con el particular</w:t>
      </w:r>
      <w:r w:rsidRPr="00654C01">
        <w:rPr>
          <w:rFonts w:ascii="Verdana" w:eastAsia="Calibri" w:hAnsi="Verdana" w:cs="Arial"/>
        </w:rPr>
        <w:t>.</w:t>
      </w:r>
    </w:p>
    <w:p w14:paraId="296CE53D" w14:textId="77777777" w:rsidR="000A52DE" w:rsidRDefault="000A52DE" w:rsidP="000A52DE">
      <w:pPr>
        <w:spacing w:after="120" w:line="276" w:lineRule="auto"/>
        <w:ind w:firstLine="709"/>
        <w:jc w:val="both"/>
        <w:rPr>
          <w:rFonts w:ascii="Verdana" w:eastAsia="Calibri" w:hAnsi="Verdana" w:cs="Arial"/>
        </w:rPr>
      </w:pPr>
      <w:r w:rsidRPr="00B1274A">
        <w:rPr>
          <w:rFonts w:ascii="Verdana" w:eastAsia="Calibri" w:hAnsi="Verdana" w:cs="Arial"/>
        </w:rPr>
        <w:t xml:space="preserve">Lo anterior no supone, en modo alguno, una transgresión al criterio de interpretación restrictiva que rige este tipo de prohibiciones. Por el contrario, se ajusta plenamente a la hermenéutica adoptada por el Consejo de Estado en sus distintos pronunciamientos, en los cuales ha precisado de manera inequívoca que </w:t>
      </w:r>
      <w:r>
        <w:rPr>
          <w:rFonts w:ascii="Verdana" w:eastAsia="Calibri" w:hAnsi="Verdana" w:cs="Arial"/>
        </w:rPr>
        <w:t>“</w:t>
      </w:r>
      <w:r w:rsidRPr="002273D0">
        <w:rPr>
          <w:rFonts w:ascii="Verdana" w:eastAsia="Calibri" w:hAnsi="Verdana" w:cs="Arial"/>
          <w:lang w:val="es-MX"/>
        </w:rPr>
        <w:t xml:space="preserve">el enunciado ´contratación directa´ es sinónimo de </w:t>
      </w:r>
      <w:r w:rsidRPr="00E44CB8">
        <w:rPr>
          <w:rFonts w:ascii="Verdana" w:eastAsia="Calibri" w:hAnsi="Verdana" w:cs="Arial"/>
          <w:i/>
          <w:iCs/>
          <w:lang w:val="es-MX"/>
        </w:rPr>
        <w:t xml:space="preserve">cualquier </w:t>
      </w:r>
      <w:r w:rsidRPr="00E44CB8">
        <w:rPr>
          <w:rFonts w:ascii="Verdana" w:eastAsia="Calibri" w:hAnsi="Verdana" w:cs="Arial"/>
          <w:i/>
          <w:iCs/>
          <w:lang w:val="es-MX"/>
        </w:rPr>
        <w:lastRenderedPageBreak/>
        <w:t>sistema que no implique convocatoria pública y posibilidad de pluralidad de oferentes, y que, además, no necesariamente hace referencia al procedimiento especial regulado por la ley de contratación estatal</w:t>
      </w:r>
      <w:r>
        <w:rPr>
          <w:rFonts w:ascii="Verdana" w:eastAsia="Calibri" w:hAnsi="Verdana" w:cs="Arial"/>
          <w:lang w:val="es-MX"/>
        </w:rPr>
        <w:t>”</w:t>
      </w:r>
      <w:r w:rsidRPr="002273D0">
        <w:rPr>
          <w:rFonts w:ascii="Verdana" w:eastAsia="Calibri" w:hAnsi="Verdana" w:cs="Arial"/>
        </w:rPr>
        <w:t>.</w:t>
      </w:r>
      <w:r w:rsidRPr="00B1274A">
        <w:rPr>
          <w:rFonts w:ascii="Verdana" w:eastAsia="Calibri" w:hAnsi="Verdana" w:cs="Arial"/>
        </w:rPr>
        <w:t xml:space="preserve"> Tales consideraciones, por lo demás, han sido reiteradas en el concepto previamente citado.</w:t>
      </w:r>
    </w:p>
    <w:p w14:paraId="51A320FD" w14:textId="2E06DF12" w:rsidR="000A52DE" w:rsidRDefault="000A52DE" w:rsidP="000A52DE">
      <w:pPr>
        <w:spacing w:after="120" w:line="276" w:lineRule="auto"/>
        <w:ind w:firstLine="709"/>
        <w:jc w:val="both"/>
        <w:rPr>
          <w:rFonts w:ascii="Verdana" w:eastAsia="Times New Roman" w:hAnsi="Verdana" w:cs="Arial"/>
          <w:bCs/>
          <w:lang w:val="es-MX" w:eastAsia="x-none"/>
        </w:rPr>
      </w:pPr>
      <w:r w:rsidRPr="00654C01">
        <w:rPr>
          <w:rFonts w:ascii="Verdana" w:eastAsia="Calibri" w:hAnsi="Verdana" w:cs="Arial"/>
        </w:rPr>
        <w:t xml:space="preserve"> Por consiguiente, para efectos del presente análisis, se considera que los argumentos desarrollados por el Consejo de Estado son válidos y suficientes para sostener la aplicación de la Ley de Garantías al contrato de compraventa que se derive de dicho procedimiento</w:t>
      </w:r>
      <w:r>
        <w:rPr>
          <w:rFonts w:ascii="Verdana" w:eastAsia="Calibri" w:hAnsi="Verdana" w:cs="Arial"/>
        </w:rPr>
        <w:t xml:space="preserve">. </w:t>
      </w:r>
      <w:r w:rsidR="004466BE">
        <w:rPr>
          <w:rFonts w:ascii="Verdana" w:eastAsia="Calibri" w:hAnsi="Verdana" w:cs="Arial"/>
        </w:rPr>
        <w:t>Además,</w:t>
      </w:r>
      <w:r>
        <w:rPr>
          <w:rFonts w:ascii="Verdana" w:eastAsia="Calibri" w:hAnsi="Verdana" w:cs="Arial"/>
        </w:rPr>
        <w:t xml:space="preserve"> se reitera que dentro de las excepciones </w:t>
      </w:r>
      <w:r>
        <w:rPr>
          <w:rFonts w:ascii="Verdana" w:eastAsia="Times New Roman" w:hAnsi="Verdana" w:cs="Arial"/>
          <w:bCs/>
          <w:lang w:val="es-MX" w:eastAsia="x-none"/>
        </w:rPr>
        <w:t xml:space="preserve">establecidas en el inciso segundo del mismo artículo 33, no se contempló dicha contratación. </w:t>
      </w:r>
    </w:p>
    <w:p w14:paraId="7A355CDA" w14:textId="77777777" w:rsidR="000A52DE" w:rsidRDefault="000A52DE" w:rsidP="000A52DE">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Aunado a lo anterior, vale la pena traer a colación lo dispuesto por el Consejo de Estado sobre la importancia de que </w:t>
      </w:r>
      <w:r w:rsidRPr="008D09BD">
        <w:rPr>
          <w:rFonts w:ascii="Verdana" w:eastAsia="Times New Roman" w:hAnsi="Verdana" w:cs="Arial"/>
          <w:bCs/>
          <w:lang w:eastAsia="x-none"/>
        </w:rPr>
        <w:t xml:space="preserve">las entidades </w:t>
      </w:r>
      <w:r>
        <w:rPr>
          <w:rFonts w:ascii="Verdana" w:eastAsia="Times New Roman" w:hAnsi="Verdana" w:cs="Arial"/>
          <w:bCs/>
          <w:lang w:eastAsia="x-none"/>
        </w:rPr>
        <w:t xml:space="preserve">planeen y prevean </w:t>
      </w:r>
      <w:r w:rsidRPr="008D09BD">
        <w:rPr>
          <w:rFonts w:ascii="Verdana" w:eastAsia="Times New Roman" w:hAnsi="Verdana" w:cs="Arial"/>
          <w:bCs/>
          <w:lang w:eastAsia="x-none"/>
        </w:rPr>
        <w:t xml:space="preserve">con suficiente antelación las gestiones necesarias para garantizar </w:t>
      </w:r>
      <w:r>
        <w:rPr>
          <w:rFonts w:ascii="Verdana" w:eastAsia="Times New Roman" w:hAnsi="Verdana" w:cs="Arial"/>
          <w:bCs/>
          <w:lang w:eastAsia="x-none"/>
        </w:rPr>
        <w:t>los objetivos “</w:t>
      </w:r>
      <w:r w:rsidRPr="008D09BD">
        <w:rPr>
          <w:rFonts w:ascii="Verdana" w:eastAsia="Times New Roman" w:hAnsi="Verdana" w:cs="Arial"/>
          <w:bCs/>
          <w:lang w:eastAsia="x-none"/>
        </w:rPr>
        <w:t xml:space="preserve">de manera que no se vean afectados los derechos de las comunidades beneficiarias por circunstancias </w:t>
      </w:r>
      <w:proofErr w:type="spellStart"/>
      <w:r w:rsidRPr="008D09BD">
        <w:rPr>
          <w:rFonts w:ascii="Verdana" w:eastAsia="Times New Roman" w:hAnsi="Verdana" w:cs="Arial"/>
          <w:bCs/>
          <w:lang w:eastAsia="x-none"/>
        </w:rPr>
        <w:t>anticipables</w:t>
      </w:r>
      <w:proofErr w:type="spellEnd"/>
      <w:r w:rsidRPr="008D09BD">
        <w:rPr>
          <w:rFonts w:ascii="Verdana" w:eastAsia="Times New Roman" w:hAnsi="Verdana" w:cs="Arial"/>
          <w:bCs/>
          <w:lang w:eastAsia="x-none"/>
        </w:rPr>
        <w:t xml:space="preserve"> como las que dan origen a la legislación protectora de la igualdad política</w:t>
      </w:r>
      <w:r>
        <w:rPr>
          <w:rFonts w:ascii="Verdana" w:eastAsia="Times New Roman" w:hAnsi="Verdana" w:cs="Arial"/>
          <w:bCs/>
          <w:lang w:eastAsia="x-none"/>
        </w:rPr>
        <w:t>”</w:t>
      </w:r>
      <w:r w:rsidRPr="008D09BD">
        <w:rPr>
          <w:rFonts w:ascii="Verdana" w:eastAsia="Times New Roman" w:hAnsi="Verdana" w:cs="Arial"/>
          <w:bCs/>
          <w:lang w:eastAsia="x-none"/>
        </w:rPr>
        <w:t>.</w:t>
      </w:r>
    </w:p>
    <w:p w14:paraId="6C381A51" w14:textId="77777777" w:rsidR="000A52DE" w:rsidRDefault="000A52DE" w:rsidP="000A52DE">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En suma, </w:t>
      </w:r>
      <w:r w:rsidRPr="00494FAF">
        <w:rPr>
          <w:rFonts w:ascii="Verdana" w:eastAsia="Times New Roman" w:hAnsi="Verdana" w:cs="Arial"/>
          <w:bCs/>
          <w:lang w:eastAsia="x-none"/>
        </w:rPr>
        <w:t xml:space="preserve">debe precisarse que la restricción establecida en el artículo 33 de la Ley 996 de 2005 no resulta aplicable al procedimiento administrativo de adquisición </w:t>
      </w:r>
      <w:r>
        <w:rPr>
          <w:rFonts w:ascii="Verdana" w:eastAsia="Times New Roman" w:hAnsi="Verdana" w:cs="Arial"/>
          <w:bCs/>
          <w:lang w:eastAsia="x-none"/>
        </w:rPr>
        <w:t xml:space="preserve">predial </w:t>
      </w:r>
      <w:r w:rsidRPr="00494FAF">
        <w:rPr>
          <w:rFonts w:ascii="Verdana" w:eastAsia="Times New Roman" w:hAnsi="Verdana" w:cs="Arial"/>
          <w:bCs/>
          <w:lang w:eastAsia="x-none"/>
        </w:rPr>
        <w:t>considerado en sí mismo, ni a su etapa preparatoria o preliminar, en la medida en que dicha disposición se circunscribe a la celebración de contratos de manera directa y no a las actuaciones administrativas previas que puedan adelantarse con ese propósito</w:t>
      </w:r>
      <w:r>
        <w:rPr>
          <w:rFonts w:ascii="Verdana" w:eastAsia="Times New Roman" w:hAnsi="Verdana" w:cs="Arial"/>
          <w:bCs/>
          <w:lang w:eastAsia="x-none"/>
        </w:rPr>
        <w:t>, siempre que estas no impliquen la celebración de un contrato directo</w:t>
      </w:r>
      <w:r w:rsidRPr="00494FAF">
        <w:rPr>
          <w:rFonts w:ascii="Verdana" w:eastAsia="Times New Roman" w:hAnsi="Verdana" w:cs="Arial"/>
          <w:bCs/>
          <w:lang w:eastAsia="x-none"/>
        </w:rPr>
        <w:t xml:space="preserve">. En tal sentido, la gestión predial no se ve paralizada durante el período de restricción. No obstante, frente a la celebración de una promesa de compraventa o de un contrato de compraventa, sí resulta aplicable la restricción prevista en el citado artículo 33, razón por la cual se reitera la postura sostenida en los conceptos C-1512 y C-1529, en tanto dichos negocios jurídicos comportan la celebración </w:t>
      </w:r>
      <w:r>
        <w:rPr>
          <w:rFonts w:ascii="Verdana" w:eastAsia="Times New Roman" w:hAnsi="Verdana" w:cs="Arial"/>
          <w:bCs/>
          <w:lang w:eastAsia="x-none"/>
        </w:rPr>
        <w:t xml:space="preserve">directa </w:t>
      </w:r>
      <w:r w:rsidRPr="00494FAF">
        <w:rPr>
          <w:rFonts w:ascii="Verdana" w:eastAsia="Times New Roman" w:hAnsi="Verdana" w:cs="Arial"/>
          <w:bCs/>
          <w:lang w:eastAsia="x-none"/>
        </w:rPr>
        <w:t>de un contrato estatal.</w:t>
      </w:r>
    </w:p>
    <w:p w14:paraId="3F5690D5" w14:textId="432DEFC4" w:rsidR="000A52DE" w:rsidRDefault="000A52DE" w:rsidP="00194C09">
      <w:pPr>
        <w:tabs>
          <w:tab w:val="left" w:pos="426"/>
        </w:tabs>
        <w:spacing w:after="120" w:line="276" w:lineRule="auto"/>
        <w:ind w:firstLine="425"/>
        <w:jc w:val="both"/>
        <w:rPr>
          <w:rFonts w:ascii="Verdana" w:eastAsia="Calibri" w:hAnsi="Verdana" w:cs="Arial"/>
          <w:lang w:val="es-ES"/>
        </w:rPr>
      </w:pPr>
      <w:r>
        <w:rPr>
          <w:rFonts w:ascii="Verdana" w:eastAsia="Calibri" w:hAnsi="Verdana" w:cs="Arial"/>
          <w:lang w:val="es-ES"/>
        </w:rPr>
        <w:t xml:space="preserve">Al margen de lo expuesto, </w:t>
      </w:r>
      <w:r>
        <w:rPr>
          <w:rFonts w:ascii="Verdana" w:eastAsia="Calibri" w:hAnsi="Verdana" w:cs="Arial"/>
          <w:bCs/>
          <w:lang w:val="es-ES_tradnl"/>
        </w:rPr>
        <w:t xml:space="preserve">debe precisarse que la </w:t>
      </w:r>
      <w:r w:rsidRPr="008F0413">
        <w:rPr>
          <w:rFonts w:ascii="Verdana" w:eastAsia="Calibri" w:hAnsi="Verdana" w:cs="Arial"/>
          <w:bCs/>
          <w:lang w:val="es-ES_tradnl"/>
        </w:rPr>
        <w:t>competencia consultiva</w:t>
      </w:r>
      <w:r>
        <w:rPr>
          <w:rFonts w:ascii="Verdana" w:eastAsia="Calibri" w:hAnsi="Verdana" w:cs="Arial"/>
          <w:bCs/>
          <w:lang w:val="es-ES_tradnl"/>
        </w:rPr>
        <w:t xml:space="preserve"> contemplada en</w:t>
      </w:r>
      <w:r w:rsidRPr="00F47E0C">
        <w:rPr>
          <w:rFonts w:ascii="Verdana" w:eastAsia="Calibri" w:hAnsi="Verdana" w:cs="Arial"/>
          <w:color w:val="000000" w:themeColor="text1"/>
          <w:lang w:val="es-ES"/>
        </w:rPr>
        <w:t xml:space="preserve"> el numeral 5 del artículo 3 </w:t>
      </w:r>
      <w:r>
        <w:rPr>
          <w:rFonts w:ascii="Verdana" w:eastAsia="Calibri" w:hAnsi="Verdana" w:cs="Arial"/>
          <w:color w:val="000000" w:themeColor="text1"/>
          <w:lang w:val="es-ES"/>
        </w:rPr>
        <w:t xml:space="preserve">y numeral 11 artículo 8 </w:t>
      </w:r>
      <w:r>
        <w:rPr>
          <w:rFonts w:ascii="Verdana" w:eastAsia="Calibri" w:hAnsi="Verdana" w:cs="Arial"/>
          <w:color w:val="000000"/>
          <w:lang w:eastAsia="es-ES"/>
        </w:rPr>
        <w:t xml:space="preserve">del Decreto 4170 de 2011 </w:t>
      </w:r>
      <w:r w:rsidRPr="00E71075">
        <w:rPr>
          <w:rFonts w:ascii="Verdana" w:eastAsia="Calibri" w:hAnsi="Verdana" w:cs="Arial"/>
          <w:lang w:val="es-ES" w:eastAsia="es-ES_tradnl"/>
        </w:rPr>
        <w:t xml:space="preserve">quedó </w:t>
      </w:r>
      <w:r>
        <w:rPr>
          <w:rFonts w:ascii="Verdana" w:eastAsia="Calibri" w:hAnsi="Verdana" w:cs="Arial"/>
          <w:lang w:val="es-ES" w:eastAsia="es-ES_tradnl"/>
        </w:rPr>
        <w:t>determinada</w:t>
      </w:r>
      <w:r w:rsidRPr="00E71075">
        <w:rPr>
          <w:rFonts w:ascii="Verdana" w:eastAsia="Calibri" w:hAnsi="Verdana" w:cs="Arial"/>
          <w:lang w:val="es-ES" w:eastAsia="es-ES_tradnl"/>
        </w:rPr>
        <w:t xml:space="preserve"> dentro de unos límites precisos. </w:t>
      </w:r>
      <w:r>
        <w:rPr>
          <w:rFonts w:ascii="Verdana" w:eastAsia="Calibri" w:hAnsi="Verdana" w:cs="Arial"/>
          <w:lang w:val="es-ES" w:eastAsia="es-ES_tradnl"/>
        </w:rPr>
        <w:t>Esta competencia</w:t>
      </w:r>
      <w:r w:rsidRPr="00E71075">
        <w:rPr>
          <w:rFonts w:ascii="Verdana" w:eastAsia="Calibri" w:hAnsi="Verdana" w:cs="Arial"/>
          <w:lang w:val="es-ES" w:eastAsia="es-ES_tradnl"/>
        </w:rPr>
        <w:t xml:space="preserve"> </w:t>
      </w:r>
      <w:r>
        <w:rPr>
          <w:rFonts w:ascii="Verdana" w:eastAsia="Calibri" w:hAnsi="Verdana" w:cs="Arial"/>
          <w:lang w:val="es-ES" w:eastAsia="es-ES_tradnl"/>
        </w:rPr>
        <w:t>está</w:t>
      </w:r>
      <w:r w:rsidRPr="00E71075">
        <w:rPr>
          <w:rFonts w:ascii="Verdana" w:eastAsia="Calibri" w:hAnsi="Verdana" w:cs="Arial"/>
          <w:lang w:val="es-ES" w:eastAsia="es-ES_tradnl"/>
        </w:rPr>
        <w:t xml:space="preserve"> claramente delimitada en la expresión “</w:t>
      </w:r>
      <w:r>
        <w:rPr>
          <w:rFonts w:ascii="Verdana" w:eastAsia="Calibri" w:hAnsi="Verdana" w:cs="Arial"/>
          <w:lang w:eastAsia="es-ES_tradnl"/>
        </w:rPr>
        <w:t>A</w:t>
      </w:r>
      <w:r w:rsidRPr="003435F6">
        <w:rPr>
          <w:rFonts w:ascii="Verdana" w:eastAsia="Calibri" w:hAnsi="Verdana" w:cs="Arial"/>
          <w:lang w:eastAsia="es-ES_tradnl"/>
        </w:rPr>
        <w:t xml:space="preserve">bsolver consultas sobre la </w:t>
      </w:r>
      <w:r w:rsidRPr="003435F6">
        <w:rPr>
          <w:rFonts w:ascii="Verdana" w:eastAsia="Calibri" w:hAnsi="Verdana" w:cs="Arial"/>
          <w:i/>
          <w:iCs/>
          <w:lang w:eastAsia="es-ES_tradnl"/>
        </w:rPr>
        <w:t xml:space="preserve">aplicación </w:t>
      </w:r>
      <w:r w:rsidRPr="003435F6">
        <w:rPr>
          <w:rFonts w:ascii="Verdana" w:eastAsia="Calibri" w:hAnsi="Verdana" w:cs="Arial"/>
          <w:i/>
          <w:iCs/>
          <w:lang w:val="es-ES" w:eastAsia="es-ES_tradnl"/>
        </w:rPr>
        <w:t>de normas de carácter general</w:t>
      </w:r>
      <w:r w:rsidRPr="00E71075">
        <w:rPr>
          <w:rFonts w:ascii="Verdana" w:eastAsia="Calibri" w:hAnsi="Verdana" w:cs="Arial"/>
          <w:lang w:val="es-ES" w:eastAsia="es-ES_tradnl"/>
        </w:rPr>
        <w:t>”</w:t>
      </w:r>
      <w:r>
        <w:rPr>
          <w:rFonts w:ascii="Verdana" w:eastAsia="Calibri" w:hAnsi="Verdana" w:cs="Arial"/>
          <w:lang w:val="es-ES" w:eastAsia="es-ES_tradnl"/>
        </w:rPr>
        <w:t xml:space="preserve">, lo que significa </w:t>
      </w:r>
      <w:r w:rsidRPr="00E71075">
        <w:rPr>
          <w:rFonts w:ascii="Verdana" w:eastAsia="Calibri" w:hAnsi="Verdana" w:cs="Arial"/>
          <w:lang w:val="es-ES" w:eastAsia="es-ES_tradnl"/>
        </w:rPr>
        <w:t>no son admisibles las consultas que busquen la solución de problemas generados en procesos de contratación particulares o cuyo propósito implique la validación de las decisiones y/o actuaciones que “</w:t>
      </w:r>
      <w:r w:rsidRPr="00E71075">
        <w:rPr>
          <w:rFonts w:ascii="Verdana" w:eastAsia="Calibri" w:hAnsi="Verdana" w:cs="Arial"/>
          <w:i/>
          <w:iCs/>
          <w:lang w:val="es-ES" w:eastAsia="es-ES_tradnl"/>
        </w:rPr>
        <w:t>pueden</w:t>
      </w:r>
      <w:r w:rsidRPr="00E71075">
        <w:rPr>
          <w:rFonts w:ascii="Verdana" w:eastAsia="Calibri" w:hAnsi="Verdana" w:cs="Arial"/>
          <w:lang w:val="es-ES" w:eastAsia="es-ES_tradnl"/>
        </w:rPr>
        <w:t xml:space="preserve">” adelantar las autoridades y/o </w:t>
      </w:r>
      <w:r w:rsidRPr="00E71075">
        <w:rPr>
          <w:rFonts w:ascii="Verdana" w:eastAsia="Calibri" w:hAnsi="Verdana" w:cs="Arial"/>
          <w:lang w:val="es-ES" w:eastAsia="es-ES_tradnl"/>
        </w:rPr>
        <w:lastRenderedPageBreak/>
        <w:t>los part</w:t>
      </w:r>
      <w:r>
        <w:rPr>
          <w:rFonts w:ascii="Verdana" w:eastAsia="Calibri" w:hAnsi="Verdana" w:cs="Arial"/>
          <w:lang w:val="es-ES" w:eastAsia="es-ES_tradnl"/>
        </w:rPr>
        <w:t>ícipes</w:t>
      </w:r>
      <w:r w:rsidRPr="00E71075">
        <w:rPr>
          <w:rFonts w:ascii="Verdana" w:eastAsia="Calibri" w:hAnsi="Verdana" w:cs="Arial"/>
          <w:lang w:val="es-ES" w:eastAsia="es-ES_tradnl"/>
        </w:rPr>
        <w:t xml:space="preserve"> del sistema de compras públicas, en ejercicio de la actividad contractual de las autoridades</w:t>
      </w:r>
      <w:r>
        <w:rPr>
          <w:rFonts w:ascii="Verdana" w:eastAsia="Calibri" w:hAnsi="Verdana" w:cs="Arial"/>
          <w:lang w:val="es-ES" w:eastAsia="es-ES_tradnl"/>
        </w:rPr>
        <w:t xml:space="preserve">. </w:t>
      </w:r>
    </w:p>
    <w:p w14:paraId="76FF1B82" w14:textId="77777777" w:rsidR="000A52DE" w:rsidRDefault="000A52DE" w:rsidP="000A52DE">
      <w:pPr>
        <w:tabs>
          <w:tab w:val="left" w:pos="426"/>
        </w:tabs>
        <w:spacing w:after="120" w:line="276" w:lineRule="auto"/>
        <w:ind w:firstLine="709"/>
        <w:jc w:val="both"/>
        <w:rPr>
          <w:rFonts w:ascii="Verdana" w:eastAsiaTheme="minorEastAsia" w:hAnsi="Verdana" w:cs="Arial"/>
          <w:spacing w:val="-9"/>
          <w:szCs w:val="24"/>
          <w:lang w:eastAsia="es-CO"/>
        </w:rPr>
      </w:pPr>
      <w:r>
        <w:rPr>
          <w:rFonts w:ascii="Verdana" w:eastAsia="Calibri" w:hAnsi="Verdana" w:cs="Arial"/>
          <w:color w:val="000000"/>
          <w:lang w:val="es-ES" w:eastAsia="es-ES"/>
        </w:rPr>
        <w:t xml:space="preserve">Asimismo, esas competencias </w:t>
      </w:r>
      <w:r w:rsidRPr="008F0413">
        <w:rPr>
          <w:rFonts w:ascii="Verdana" w:eastAsia="Calibri" w:hAnsi="Verdana" w:cs="Arial"/>
          <w:bCs/>
          <w:lang w:val="es-ES_tradnl"/>
        </w:rPr>
        <w:t>se relaciona con el artículo 28 de la Ley 1437 de 2011, sustituido por el artículo 1 de la Ley 1755,</w:t>
      </w:r>
      <w:r>
        <w:rPr>
          <w:rFonts w:ascii="Verdana" w:eastAsia="Calibri" w:hAnsi="Verdana" w:cs="Arial"/>
          <w:bCs/>
          <w:lang w:val="es-ES_tradnl"/>
        </w:rPr>
        <w:t xml:space="preserve"> por lo que</w:t>
      </w:r>
      <w:r w:rsidRPr="008F0413">
        <w:rPr>
          <w:rFonts w:ascii="Verdana" w:eastAsia="Calibri" w:hAnsi="Verdana" w:cs="Arial"/>
          <w:bCs/>
          <w:lang w:val="es-ES_tradnl"/>
        </w:rPr>
        <w:t xml:space="preserve"> </w:t>
      </w:r>
      <w:r>
        <w:rPr>
          <w:rFonts w:ascii="Verdana" w:eastAsia="Calibri" w:hAnsi="Verdana" w:cs="Arial"/>
          <w:color w:val="000000"/>
          <w:lang w:val="es-ES" w:eastAsia="es-ES"/>
        </w:rPr>
        <w:t xml:space="preserve">los conceptos emitidos por esta Subdirección en el marco de la función consultiva </w:t>
      </w:r>
      <w:bookmarkStart w:id="6" w:name="_Hlk200718672"/>
      <w:r>
        <w:rPr>
          <w:rFonts w:ascii="Verdana" w:eastAsia="Calibri" w:hAnsi="Verdana" w:cs="Arial"/>
          <w:color w:val="000000"/>
          <w:lang w:val="es-ES" w:eastAsia="es-ES"/>
        </w:rPr>
        <w:t>representan</w:t>
      </w:r>
      <w:r>
        <w:rPr>
          <w:rFonts w:ascii="Verdana" w:hAnsi="Verdana" w:cs="Arial"/>
          <w:lang w:eastAsia="es-ES"/>
        </w:rPr>
        <w:t xml:space="preserve"> una </w:t>
      </w:r>
      <w:r w:rsidRPr="008F0413">
        <w:rPr>
          <w:rFonts w:ascii="Verdana" w:eastAsia="Calibri" w:hAnsi="Verdana" w:cs="Arial"/>
          <w:bCs/>
          <w:lang w:val="es-ES_tradnl"/>
        </w:rPr>
        <w:t>posición hermenéutica respecto a las disposiciones normativas</w:t>
      </w:r>
      <w:r>
        <w:rPr>
          <w:rFonts w:ascii="Verdana" w:eastAsia="Calibri" w:hAnsi="Verdana" w:cs="Arial"/>
          <w:bCs/>
          <w:lang w:val="es-ES_tradnl"/>
        </w:rPr>
        <w:t xml:space="preserve"> del Sistema de Compras Públicas,</w:t>
      </w:r>
      <w:r w:rsidRPr="004E32E1">
        <w:rPr>
          <w:rFonts w:ascii="Verdana" w:hAnsi="Verdana" w:cs="Arial"/>
          <w:lang w:eastAsia="es-ES"/>
        </w:rPr>
        <w:t xml:space="preserve"> </w:t>
      </w:r>
      <w:bookmarkStart w:id="7" w:name="_Hlk42100007"/>
      <w:r>
        <w:rPr>
          <w:rFonts w:ascii="Verdana" w:hAnsi="Verdana" w:cs="Arial"/>
          <w:lang w:eastAsia="es-ES"/>
        </w:rPr>
        <w:t xml:space="preserve">que </w:t>
      </w:r>
      <w:r w:rsidRPr="00DF1D83">
        <w:rPr>
          <w:rFonts w:ascii="Verdana" w:eastAsia="Calibri" w:hAnsi="Verdana" w:cs="Arial"/>
          <w:bCs/>
          <w:lang w:val="es-ES_tradnl"/>
        </w:rPr>
        <w:t xml:space="preserve">no tienen efectos vinculantes </w:t>
      </w:r>
      <w:bookmarkEnd w:id="6"/>
      <w:r w:rsidRPr="00DF1D83">
        <w:rPr>
          <w:rFonts w:ascii="Verdana" w:eastAsia="Calibri" w:hAnsi="Verdana" w:cs="Arial"/>
          <w:bCs/>
          <w:lang w:val="es-ES_tradnl"/>
        </w:rPr>
        <w:t>en relación con una situación jurídica particular y concreta, y exponen un criterio que, aunque jurídicamente fundamentado, no representan la única interpretación válida del ordenamiento jurídico.</w:t>
      </w:r>
      <w:bookmarkEnd w:id="7"/>
      <w:r w:rsidRPr="0084273B">
        <w:rPr>
          <w:rFonts w:ascii="Verdana" w:eastAsiaTheme="minorEastAsia" w:hAnsi="Verdana" w:cs="Arial"/>
          <w:szCs w:val="24"/>
          <w:lang w:eastAsia="es-CO"/>
        </w:rPr>
        <w:t xml:space="preserve"> </w:t>
      </w:r>
      <w:r>
        <w:rPr>
          <w:rFonts w:ascii="Verdana" w:eastAsiaTheme="minorEastAsia" w:hAnsi="Verdana" w:cs="Arial"/>
          <w:szCs w:val="24"/>
          <w:lang w:eastAsia="es-CO"/>
        </w:rPr>
        <w:t>De este modo, las autoridades que ejercen funciones consultivas pueden expresar su</w:t>
      </w:r>
      <w:r>
        <w:rPr>
          <w:rFonts w:ascii="Verdana" w:eastAsiaTheme="minorEastAsia" w:hAnsi="Verdana" w:cs="Arial"/>
          <w:spacing w:val="1"/>
          <w:szCs w:val="24"/>
          <w:lang w:eastAsia="es-CO"/>
        </w:rPr>
        <w:t xml:space="preserve"> </w:t>
      </w:r>
      <w:r>
        <w:rPr>
          <w:rFonts w:ascii="Verdana" w:eastAsiaTheme="minorEastAsia" w:hAnsi="Verdana" w:cs="Arial"/>
          <w:szCs w:val="24"/>
          <w:lang w:eastAsia="es-CO"/>
        </w:rPr>
        <w:t>interpretación de un precepto normativo, que no excluye otras interpretaciones posibles, pues el derecho, como sistema normativo, es un lenguaje que, en ocasiones, se tiñe de vaguedad, en</w:t>
      </w:r>
      <w:r>
        <w:rPr>
          <w:rFonts w:ascii="Verdana" w:eastAsiaTheme="minorEastAsia" w:hAnsi="Verdana" w:cs="Arial"/>
          <w:spacing w:val="1"/>
          <w:szCs w:val="24"/>
          <w:lang w:eastAsia="es-CO"/>
        </w:rPr>
        <w:t xml:space="preserve"> </w:t>
      </w:r>
      <w:r>
        <w:rPr>
          <w:rFonts w:ascii="Verdana" w:eastAsiaTheme="minorEastAsia" w:hAnsi="Verdana" w:cs="Arial"/>
          <w:szCs w:val="24"/>
          <w:lang w:eastAsia="es-CO"/>
        </w:rPr>
        <w:t>virtud</w:t>
      </w:r>
      <w:r>
        <w:rPr>
          <w:rFonts w:ascii="Verdana" w:eastAsiaTheme="minorEastAsia" w:hAnsi="Verdana" w:cs="Arial"/>
          <w:spacing w:val="-10"/>
          <w:szCs w:val="24"/>
          <w:lang w:eastAsia="es-CO"/>
        </w:rPr>
        <w:t xml:space="preserve"> </w:t>
      </w:r>
      <w:r>
        <w:rPr>
          <w:rFonts w:ascii="Verdana" w:eastAsiaTheme="minorEastAsia" w:hAnsi="Verdana" w:cs="Arial"/>
          <w:szCs w:val="24"/>
          <w:lang w:eastAsia="es-CO"/>
        </w:rPr>
        <w:t>de</w:t>
      </w:r>
      <w:r>
        <w:rPr>
          <w:rFonts w:ascii="Verdana" w:eastAsiaTheme="minorEastAsia" w:hAnsi="Verdana" w:cs="Arial"/>
          <w:spacing w:val="-9"/>
          <w:szCs w:val="24"/>
          <w:lang w:eastAsia="es-CO"/>
        </w:rPr>
        <w:t xml:space="preserve"> </w:t>
      </w:r>
      <w:r>
        <w:rPr>
          <w:rFonts w:ascii="Verdana" w:eastAsiaTheme="minorEastAsia" w:hAnsi="Verdana" w:cs="Arial"/>
          <w:szCs w:val="24"/>
          <w:lang w:eastAsia="es-CO"/>
        </w:rPr>
        <w:t>la</w:t>
      </w:r>
      <w:r>
        <w:rPr>
          <w:rFonts w:ascii="Verdana" w:eastAsiaTheme="minorEastAsia" w:hAnsi="Verdana" w:cs="Arial"/>
          <w:spacing w:val="-9"/>
          <w:szCs w:val="24"/>
          <w:lang w:eastAsia="es-CO"/>
        </w:rPr>
        <w:t xml:space="preserve"> </w:t>
      </w:r>
      <w:r>
        <w:rPr>
          <w:rFonts w:ascii="Verdana" w:eastAsiaTheme="minorEastAsia" w:hAnsi="Verdana" w:cs="Arial"/>
          <w:szCs w:val="24"/>
          <w:lang w:eastAsia="es-CO"/>
        </w:rPr>
        <w:t>utilización</w:t>
      </w:r>
      <w:r>
        <w:rPr>
          <w:rFonts w:ascii="Verdana" w:eastAsiaTheme="minorEastAsia" w:hAnsi="Verdana" w:cs="Arial"/>
          <w:spacing w:val="-9"/>
          <w:szCs w:val="24"/>
          <w:lang w:eastAsia="es-CO"/>
        </w:rPr>
        <w:t xml:space="preserve"> </w:t>
      </w:r>
      <w:r>
        <w:rPr>
          <w:rFonts w:ascii="Verdana" w:eastAsiaTheme="minorEastAsia" w:hAnsi="Verdana" w:cs="Arial"/>
          <w:szCs w:val="24"/>
          <w:lang w:eastAsia="es-CO"/>
        </w:rPr>
        <w:t>de</w:t>
      </w:r>
      <w:r>
        <w:rPr>
          <w:rFonts w:ascii="Verdana" w:eastAsiaTheme="minorEastAsia" w:hAnsi="Verdana" w:cs="Arial"/>
          <w:spacing w:val="-9"/>
          <w:szCs w:val="24"/>
          <w:lang w:eastAsia="es-CO"/>
        </w:rPr>
        <w:t xml:space="preserve"> </w:t>
      </w:r>
      <w:r>
        <w:rPr>
          <w:rFonts w:ascii="Verdana" w:eastAsiaTheme="minorEastAsia" w:hAnsi="Verdana" w:cs="Arial"/>
          <w:szCs w:val="24"/>
          <w:lang w:eastAsia="es-CO"/>
        </w:rPr>
        <w:t>conceptos</w:t>
      </w:r>
      <w:r>
        <w:rPr>
          <w:rFonts w:ascii="Verdana" w:eastAsiaTheme="minorEastAsia" w:hAnsi="Verdana" w:cs="Arial"/>
          <w:spacing w:val="-10"/>
          <w:szCs w:val="24"/>
          <w:lang w:eastAsia="es-CO"/>
        </w:rPr>
        <w:t xml:space="preserve"> </w:t>
      </w:r>
      <w:r>
        <w:rPr>
          <w:rFonts w:ascii="Verdana" w:eastAsiaTheme="minorEastAsia" w:hAnsi="Verdana" w:cs="Arial"/>
          <w:szCs w:val="24"/>
          <w:lang w:eastAsia="es-CO"/>
        </w:rPr>
        <w:t>jurídicos</w:t>
      </w:r>
      <w:r>
        <w:rPr>
          <w:rFonts w:ascii="Verdana" w:eastAsiaTheme="minorEastAsia" w:hAnsi="Verdana" w:cs="Arial"/>
          <w:spacing w:val="-9"/>
          <w:szCs w:val="24"/>
          <w:lang w:eastAsia="es-CO"/>
        </w:rPr>
        <w:t xml:space="preserve"> </w:t>
      </w:r>
      <w:r>
        <w:rPr>
          <w:rFonts w:ascii="Verdana" w:eastAsiaTheme="minorEastAsia" w:hAnsi="Verdana" w:cs="Arial"/>
          <w:szCs w:val="24"/>
          <w:lang w:eastAsia="es-CO"/>
        </w:rPr>
        <w:t>indeterminados.</w:t>
      </w:r>
      <w:r>
        <w:rPr>
          <w:rFonts w:ascii="Verdana" w:eastAsiaTheme="minorEastAsia" w:hAnsi="Verdana" w:cs="Arial"/>
          <w:spacing w:val="-9"/>
          <w:szCs w:val="24"/>
          <w:lang w:eastAsia="es-CO"/>
        </w:rPr>
        <w:t xml:space="preserve"> </w:t>
      </w:r>
    </w:p>
    <w:p w14:paraId="33CF4C27" w14:textId="77777777" w:rsidR="000A52DE" w:rsidRDefault="000A52DE" w:rsidP="000A52DE">
      <w:pPr>
        <w:tabs>
          <w:tab w:val="left" w:pos="426"/>
        </w:tabs>
        <w:spacing w:after="120" w:line="276" w:lineRule="auto"/>
        <w:ind w:firstLine="709"/>
        <w:jc w:val="both"/>
        <w:rPr>
          <w:rFonts w:ascii="Verdana" w:eastAsia="Calibri" w:hAnsi="Verdana" w:cs="Arial"/>
          <w:bCs/>
          <w:lang w:val="es-ES_tradnl"/>
        </w:rPr>
      </w:pPr>
      <w:r w:rsidRPr="008F0413">
        <w:rPr>
          <w:rFonts w:ascii="Verdana" w:eastAsia="Calibri" w:hAnsi="Verdana" w:cs="Arial"/>
          <w:bCs/>
          <w:lang w:val="es-ES_tradnl"/>
        </w:rPr>
        <w:t>En términos generales, lo que se busca es que la opinión jurídica de la entidad sirva a los ciudadanos y a la administración pública para el ejercicio de sus derechos y la defensa de sus intereses, y como criterio de orientación para el cumplimiento de sus competencias legales, sin que tome partida por uno u otro, pues a la autoridad que emite el concepto no le compete resolver una controversia o prevenir una problemática, esto es, no le corresponde determinar quién tienen la razón en su interpretación normativa.</w:t>
      </w:r>
    </w:p>
    <w:p w14:paraId="32A94CCF" w14:textId="77777777" w:rsidR="000A52DE" w:rsidRPr="00970824" w:rsidRDefault="000A52DE" w:rsidP="000A52DE">
      <w:pPr>
        <w:spacing w:after="120" w:line="276" w:lineRule="auto"/>
        <w:ind w:firstLine="709"/>
        <w:jc w:val="both"/>
        <w:rPr>
          <w:rFonts w:ascii="Verdana" w:eastAsia="Times New Roman" w:hAnsi="Verdana" w:cs="Arial"/>
          <w:bCs/>
          <w:lang w:val="es-MX" w:eastAsia="x-none"/>
        </w:rPr>
      </w:pPr>
      <w:r w:rsidRPr="00DE6146">
        <w:rPr>
          <w:rFonts w:ascii="Verdana" w:eastAsia="Times New Roman" w:hAnsi="Verdana" w:cs="Arial"/>
          <w:bCs/>
          <w:lang w:val="es-MX" w:eastAsia="x-none"/>
        </w:rPr>
        <w:t>En consecuencia, la interpretación contenida en e</w:t>
      </w:r>
      <w:r>
        <w:rPr>
          <w:rFonts w:ascii="Verdana" w:eastAsia="Times New Roman" w:hAnsi="Verdana" w:cs="Arial"/>
          <w:bCs/>
          <w:lang w:val="es-MX" w:eastAsia="x-none"/>
        </w:rPr>
        <w:t>ste</w:t>
      </w:r>
      <w:r w:rsidRPr="00DE6146">
        <w:rPr>
          <w:rFonts w:ascii="Verdana" w:eastAsia="Times New Roman" w:hAnsi="Verdana" w:cs="Arial"/>
          <w:bCs/>
          <w:lang w:val="es-MX" w:eastAsia="x-none"/>
        </w:rPr>
        <w:t xml:space="preserve"> concepto</w:t>
      </w:r>
      <w:r>
        <w:rPr>
          <w:rFonts w:ascii="Verdana" w:eastAsia="Times New Roman" w:hAnsi="Verdana" w:cs="Arial"/>
          <w:bCs/>
          <w:lang w:val="es-MX" w:eastAsia="x-none"/>
        </w:rPr>
        <w:t xml:space="preserve"> no</w:t>
      </w:r>
      <w:r w:rsidRPr="00DE6146">
        <w:rPr>
          <w:rFonts w:ascii="Verdana" w:eastAsia="Times New Roman" w:hAnsi="Verdana" w:cs="Arial"/>
          <w:bCs/>
          <w:lang w:val="es-MX" w:eastAsia="x-none"/>
        </w:rPr>
        <w:t xml:space="preserve"> impli</w:t>
      </w:r>
      <w:r>
        <w:rPr>
          <w:rFonts w:ascii="Verdana" w:eastAsia="Times New Roman" w:hAnsi="Verdana" w:cs="Arial"/>
          <w:bCs/>
          <w:lang w:val="es-MX" w:eastAsia="x-none"/>
        </w:rPr>
        <w:t>ca</w:t>
      </w:r>
      <w:r w:rsidRPr="00DE6146">
        <w:rPr>
          <w:rFonts w:ascii="Verdana" w:eastAsia="Times New Roman" w:hAnsi="Verdana" w:cs="Arial"/>
          <w:bCs/>
          <w:lang w:val="es-MX" w:eastAsia="x-none"/>
        </w:rPr>
        <w:t xml:space="preserve"> la paralización de procedimientos administrativos o contractuales como los relacionados con la gestión predial para proyectos de infraestructura. La determinación sobre la forma de adelantar dichos procedimientos, así como la valoración de las normas aplicables en cada caso concreto, corresponde </w:t>
      </w:r>
      <w:r w:rsidRPr="002F1004">
        <w:rPr>
          <w:rFonts w:ascii="Verdana" w:eastAsia="Times New Roman" w:hAnsi="Verdana" w:cs="Arial"/>
          <w:b/>
          <w:i/>
          <w:iCs/>
          <w:lang w:val="es-MX" w:eastAsia="x-none"/>
        </w:rPr>
        <w:t>exclusivamente</w:t>
      </w:r>
      <w:r w:rsidRPr="00784B93">
        <w:rPr>
          <w:rFonts w:ascii="Verdana" w:eastAsia="Times New Roman" w:hAnsi="Verdana" w:cs="Arial"/>
          <w:b/>
          <w:lang w:val="es-MX" w:eastAsia="x-none"/>
        </w:rPr>
        <w:t xml:space="preserve"> </w:t>
      </w:r>
      <w:r w:rsidRPr="00DE6146">
        <w:rPr>
          <w:rFonts w:ascii="Verdana" w:eastAsia="Times New Roman" w:hAnsi="Verdana" w:cs="Arial"/>
          <w:bCs/>
          <w:lang w:val="es-MX" w:eastAsia="x-none"/>
        </w:rPr>
        <w:t>a las entidades estatales en el marco de sus competencias funcionales, quienes deben adoptar las decisiones que estimen pertinentes con fundamento en su propio análisis jurídico y en el principio de responsabilidad en el ejercicio de la función administrativa.</w:t>
      </w:r>
    </w:p>
    <w:p w14:paraId="23F47678" w14:textId="77777777" w:rsidR="000A52DE" w:rsidRPr="00086CBB" w:rsidRDefault="000A52DE" w:rsidP="000A52DE">
      <w:pPr>
        <w:tabs>
          <w:tab w:val="left" w:pos="426"/>
        </w:tabs>
        <w:spacing w:after="120" w:line="276" w:lineRule="auto"/>
        <w:ind w:firstLine="709"/>
        <w:jc w:val="both"/>
        <w:rPr>
          <w:rFonts w:ascii="Verdana" w:eastAsia="Calibri" w:hAnsi="Verdana" w:cs="Arial"/>
          <w:bCs/>
          <w:color w:val="000000" w:themeColor="text1"/>
        </w:rPr>
      </w:pPr>
      <w:r w:rsidRPr="00F60A0F">
        <w:rPr>
          <w:rFonts w:ascii="Verdana" w:hAnsi="Verdana"/>
        </w:rPr>
        <w:t xml:space="preserve">Por tanto, </w:t>
      </w:r>
      <w:r>
        <w:rPr>
          <w:rFonts w:ascii="Verdana" w:hAnsi="Verdana"/>
        </w:rPr>
        <w:t xml:space="preserve">se reitera que </w:t>
      </w:r>
      <w:r>
        <w:rPr>
          <w:rFonts w:ascii="Verdana" w:eastAsia="Calibri" w:hAnsi="Verdana" w:cs="Arial"/>
          <w:bCs/>
          <w:color w:val="000000" w:themeColor="text1"/>
        </w:rPr>
        <w:t xml:space="preserve">el análisis requerido para resolver problemas específicos en torno a la gestión contractual de las entidades públicas y concretamente sobre la situación expuesta debe ser realizado por quienes tengan interés en ello, de acuerdo con lo explicado en este concepto. De esta manera, las afirmaciones aquí realizadas no pueden ser interpretadas como juicios de valor sobre circunstancias concretas relacionadas con los hechos que motivan la consulta. Por lo anterior, previo concepto de sus asesores, la </w:t>
      </w:r>
      <w:r>
        <w:rPr>
          <w:rFonts w:ascii="Verdana" w:eastAsia="Calibri" w:hAnsi="Verdana" w:cs="Arial"/>
          <w:bCs/>
          <w:color w:val="000000" w:themeColor="text1"/>
        </w:rPr>
        <w:lastRenderedPageBreak/>
        <w:t>solución de situaciones particulares corresponde a los interesados adoptar la decisión correspondiente y, en caso de conflicto, a las autoridades judiciales, fiscales y disciplinarias.</w:t>
      </w:r>
    </w:p>
    <w:p w14:paraId="7471A831" w14:textId="3E89F64F" w:rsidR="000A52DE" w:rsidRDefault="000A52DE" w:rsidP="0064729D">
      <w:pPr>
        <w:spacing w:after="0" w:line="276" w:lineRule="auto"/>
        <w:ind w:firstLine="708"/>
        <w:jc w:val="both"/>
        <w:rPr>
          <w:rFonts w:ascii="Verdana" w:eastAsia="Calibri" w:hAnsi="Verdana" w:cs="Arial"/>
          <w:bCs/>
          <w:color w:val="000000" w:themeColor="text1"/>
        </w:rPr>
      </w:pPr>
      <w:r>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4DBB022D" w14:textId="77777777" w:rsidR="0064729D" w:rsidRPr="0064729D" w:rsidRDefault="0064729D" w:rsidP="007C03A1">
      <w:pPr>
        <w:spacing w:after="0" w:line="276" w:lineRule="auto"/>
        <w:ind w:firstLine="708"/>
        <w:jc w:val="both"/>
        <w:rPr>
          <w:rFonts w:ascii="Verdana" w:eastAsia="Calibri" w:hAnsi="Verdana" w:cs="Arial"/>
          <w:bCs/>
          <w:color w:val="000000" w:themeColor="text1"/>
        </w:rPr>
      </w:pPr>
    </w:p>
    <w:p w14:paraId="36948A1B" w14:textId="1A4F4B25" w:rsidR="001D210A" w:rsidRDefault="001D210A" w:rsidP="0064729D">
      <w:pPr>
        <w:spacing w:after="0" w:line="276" w:lineRule="auto"/>
        <w:rPr>
          <w:rFonts w:ascii="Verdana" w:eastAsia="Calibri" w:hAnsi="Verdana" w:cs="Times New Roman"/>
          <w:b/>
          <w:bCs/>
        </w:rPr>
      </w:pPr>
      <w:r w:rsidRPr="0064729D">
        <w:rPr>
          <w:rFonts w:ascii="Verdana" w:eastAsia="Calibri" w:hAnsi="Verdana" w:cs="Times New Roman"/>
          <w:b/>
          <w:bCs/>
        </w:rPr>
        <w:t>4. Referencias normativas, jurisprudenciales y otras fuentes:</w:t>
      </w:r>
    </w:p>
    <w:p w14:paraId="6F029943" w14:textId="77777777" w:rsidR="0064729D" w:rsidRPr="0064729D" w:rsidRDefault="0064729D" w:rsidP="007C03A1">
      <w:pPr>
        <w:spacing w:after="0" w:line="276" w:lineRule="auto"/>
        <w:rPr>
          <w:rFonts w:ascii="Verdana" w:eastAsia="Calibri" w:hAnsi="Verdana" w:cs="Times New Roman"/>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D210A" w:rsidRPr="0064729D" w14:paraId="24D1AA42" w14:textId="77777777" w:rsidTr="00D36099">
        <w:trPr>
          <w:trHeight w:val="870"/>
          <w:jc w:val="center"/>
        </w:trPr>
        <w:tc>
          <w:tcPr>
            <w:tcW w:w="8647" w:type="dxa"/>
          </w:tcPr>
          <w:p w14:paraId="2D0BC001" w14:textId="77777777" w:rsidR="00C3034F" w:rsidRPr="0064729D" w:rsidRDefault="00C3034F" w:rsidP="007C03A1">
            <w:pPr>
              <w:pStyle w:val="Prrafodelista"/>
              <w:widowControl w:val="0"/>
              <w:numPr>
                <w:ilvl w:val="0"/>
                <w:numId w:val="17"/>
              </w:numPr>
              <w:autoSpaceDE w:val="0"/>
              <w:autoSpaceDN w:val="0"/>
              <w:spacing w:line="276" w:lineRule="auto"/>
              <w:jc w:val="both"/>
              <w:rPr>
                <w:rFonts w:ascii="Verdana" w:hAnsi="Verdana" w:cs="Arial"/>
              </w:rPr>
            </w:pPr>
            <w:r w:rsidRPr="0064729D">
              <w:rPr>
                <w:rFonts w:ascii="Verdana" w:hAnsi="Verdana" w:cs="Arial"/>
              </w:rPr>
              <w:t>Constitución Política de 1991, artículos 127, 197 y 209.</w:t>
            </w:r>
          </w:p>
          <w:p w14:paraId="36D1AADA" w14:textId="77777777" w:rsidR="00C3034F" w:rsidRPr="0064729D" w:rsidRDefault="00C3034F" w:rsidP="007C03A1">
            <w:pPr>
              <w:pStyle w:val="Prrafodelista"/>
              <w:widowControl w:val="0"/>
              <w:numPr>
                <w:ilvl w:val="0"/>
                <w:numId w:val="17"/>
              </w:numPr>
              <w:autoSpaceDE w:val="0"/>
              <w:autoSpaceDN w:val="0"/>
              <w:spacing w:line="276" w:lineRule="auto"/>
              <w:jc w:val="both"/>
              <w:rPr>
                <w:rFonts w:ascii="Verdana" w:hAnsi="Verdana" w:cs="Arial"/>
              </w:rPr>
            </w:pPr>
            <w:r w:rsidRPr="0064729D">
              <w:rPr>
                <w:rFonts w:ascii="Verdana" w:hAnsi="Verdana" w:cs="Arial"/>
              </w:rPr>
              <w:t>Ley 80 de 1993, artículos 2, 32, 39 y 41.</w:t>
            </w:r>
          </w:p>
          <w:p w14:paraId="2494386D" w14:textId="77777777" w:rsidR="00C3034F" w:rsidRPr="0064729D" w:rsidRDefault="00C3034F" w:rsidP="007C03A1">
            <w:pPr>
              <w:pStyle w:val="Prrafodelista"/>
              <w:widowControl w:val="0"/>
              <w:numPr>
                <w:ilvl w:val="0"/>
                <w:numId w:val="17"/>
              </w:numPr>
              <w:autoSpaceDE w:val="0"/>
              <w:autoSpaceDN w:val="0"/>
              <w:spacing w:line="276" w:lineRule="auto"/>
              <w:jc w:val="both"/>
              <w:rPr>
                <w:rFonts w:ascii="Verdana" w:hAnsi="Verdana" w:cs="Arial"/>
              </w:rPr>
            </w:pPr>
            <w:r w:rsidRPr="0064729D">
              <w:rPr>
                <w:rFonts w:ascii="Verdana" w:hAnsi="Verdana" w:cs="Arial"/>
              </w:rPr>
              <w:t>Ley 338 de 1997, artículos 58 y ss.</w:t>
            </w:r>
          </w:p>
          <w:p w14:paraId="65456F28" w14:textId="77777777" w:rsidR="00C3034F" w:rsidRPr="0064729D" w:rsidRDefault="00C3034F" w:rsidP="007C03A1">
            <w:pPr>
              <w:pStyle w:val="Prrafodelista"/>
              <w:widowControl w:val="0"/>
              <w:numPr>
                <w:ilvl w:val="0"/>
                <w:numId w:val="17"/>
              </w:numPr>
              <w:autoSpaceDE w:val="0"/>
              <w:autoSpaceDN w:val="0"/>
              <w:spacing w:line="276" w:lineRule="auto"/>
              <w:jc w:val="both"/>
              <w:rPr>
                <w:rFonts w:ascii="Verdana" w:hAnsi="Verdana" w:cs="Arial"/>
              </w:rPr>
            </w:pPr>
            <w:r w:rsidRPr="0064729D">
              <w:rPr>
                <w:rFonts w:ascii="Verdana" w:hAnsi="Verdana" w:cs="Arial"/>
              </w:rPr>
              <w:t xml:space="preserve">Ley 996 de 2005, artículo 33 </w:t>
            </w:r>
          </w:p>
          <w:p w14:paraId="33C64F43" w14:textId="77777777" w:rsidR="00C3034F" w:rsidRPr="0064729D" w:rsidRDefault="00C3034F" w:rsidP="007C03A1">
            <w:pPr>
              <w:pStyle w:val="Prrafodelista"/>
              <w:widowControl w:val="0"/>
              <w:numPr>
                <w:ilvl w:val="0"/>
                <w:numId w:val="17"/>
              </w:numPr>
              <w:autoSpaceDE w:val="0"/>
              <w:autoSpaceDN w:val="0"/>
              <w:spacing w:line="276" w:lineRule="auto"/>
              <w:jc w:val="both"/>
              <w:rPr>
                <w:rFonts w:ascii="Verdana" w:hAnsi="Verdana" w:cs="Arial"/>
              </w:rPr>
            </w:pPr>
            <w:r w:rsidRPr="0064729D">
              <w:rPr>
                <w:rFonts w:ascii="Verdana" w:hAnsi="Verdana" w:cs="Arial"/>
              </w:rPr>
              <w:t>Ley 1150 de 2007, artículos 1 y 2.</w:t>
            </w:r>
          </w:p>
          <w:p w14:paraId="5053402C" w14:textId="59DB8F3C" w:rsidR="001D210A" w:rsidRPr="0064729D" w:rsidRDefault="00C3034F" w:rsidP="0064729D">
            <w:pPr>
              <w:pStyle w:val="Prrafodelista"/>
              <w:numPr>
                <w:ilvl w:val="0"/>
                <w:numId w:val="17"/>
              </w:numPr>
              <w:spacing w:line="276" w:lineRule="auto"/>
              <w:contextualSpacing w:val="0"/>
              <w:rPr>
                <w:rFonts w:ascii="Verdana" w:hAnsi="Verdana" w:cs="Arial"/>
              </w:rPr>
            </w:pPr>
            <w:r w:rsidRPr="0064729D">
              <w:rPr>
                <w:rFonts w:ascii="Verdana" w:hAnsi="Verdana" w:cs="Arial"/>
              </w:rPr>
              <w:t>Código Civil, artículo 1501.</w:t>
            </w:r>
          </w:p>
        </w:tc>
      </w:tr>
    </w:tbl>
    <w:p w14:paraId="5E802420" w14:textId="77777777" w:rsidR="0064729D" w:rsidRDefault="0064729D" w:rsidP="0064729D">
      <w:pPr>
        <w:spacing w:after="0" w:line="276" w:lineRule="auto"/>
        <w:rPr>
          <w:rFonts w:ascii="Verdana" w:eastAsia="Calibri" w:hAnsi="Verdana" w:cs="Times New Roman"/>
          <w:b/>
          <w:bCs/>
        </w:rPr>
      </w:pPr>
    </w:p>
    <w:p w14:paraId="58672B95" w14:textId="61A8C849" w:rsidR="001D210A" w:rsidRPr="0064729D" w:rsidRDefault="001D210A" w:rsidP="007C03A1">
      <w:pPr>
        <w:spacing w:after="0" w:line="276" w:lineRule="auto"/>
        <w:rPr>
          <w:rFonts w:ascii="Verdana" w:eastAsia="Calibri" w:hAnsi="Verdana" w:cs="Times New Roman"/>
          <w:b/>
          <w:bCs/>
        </w:rPr>
      </w:pPr>
      <w:r w:rsidRPr="0064729D">
        <w:rPr>
          <w:rFonts w:ascii="Verdana" w:eastAsia="Calibri" w:hAnsi="Verdana" w:cs="Times New Roman"/>
          <w:b/>
          <w:bCs/>
        </w:rPr>
        <w:t>5. Doctrina de la Agencia Nacional de Contratación Pública:</w:t>
      </w:r>
    </w:p>
    <w:p w14:paraId="7D71EA60" w14:textId="77777777" w:rsidR="0064729D" w:rsidRDefault="0064729D" w:rsidP="0064729D">
      <w:pPr>
        <w:widowControl w:val="0"/>
        <w:autoSpaceDE w:val="0"/>
        <w:autoSpaceDN w:val="0"/>
        <w:spacing w:after="0" w:line="276" w:lineRule="auto"/>
        <w:jc w:val="both"/>
        <w:rPr>
          <w:rFonts w:ascii="Verdana" w:hAnsi="Verdana" w:cs="Arial"/>
          <w:shd w:val="clear" w:color="auto" w:fill="FFFFFF"/>
        </w:rPr>
      </w:pPr>
    </w:p>
    <w:p w14:paraId="522623CB" w14:textId="1639666E" w:rsidR="001D210A" w:rsidRDefault="00DD7CB2" w:rsidP="0064729D">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64729D">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w:t>
      </w:r>
      <w:r w:rsidRPr="0064729D">
        <w:rPr>
          <w:rFonts w:ascii="Verdana" w:hAnsi="Verdana" w:cs="Arial"/>
          <w:shd w:val="clear" w:color="auto" w:fill="FFFFFF"/>
        </w:rPr>
        <w:lastRenderedPageBreak/>
        <w:t>del 28 de agosto de 2025, C-1015 del 4 de septiembre de 2025, C-1096 del 28 de agosto de 2025, C-1174 del 29 de septiembre de 2025, C- 1170 del 16 de septiembre de 2025, C-1194 del 3 de octubre de 2025, C-1343 del 20 de octubre de 2025, C-1512 del 27 de octubre de 2025, C-1529 del 4 de noviembre de 2025, C-1799 y C-1501 de 2026, C-091 del 27 de enero de 2026, entre otros</w:t>
      </w:r>
      <w:r w:rsidRPr="0064729D">
        <w:rPr>
          <w:rFonts w:ascii="Verdana" w:hAnsi="Verdana"/>
        </w:rPr>
        <w:t>.</w:t>
      </w:r>
      <w:r w:rsidRPr="0064729D">
        <w:rPr>
          <w:rFonts w:ascii="Verdana" w:hAnsi="Verdana" w:cs="Arial"/>
          <w:shd w:val="clear" w:color="auto" w:fill="FFFFFF"/>
        </w:rPr>
        <w:t xml:space="preserve"> Estos y otros </w:t>
      </w:r>
      <w:r w:rsidRPr="0064729D">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3" w:history="1">
        <w:r w:rsidRPr="0064729D">
          <w:rPr>
            <w:rStyle w:val="Hipervnculo"/>
            <w:rFonts w:ascii="Verdana" w:hAnsi="Verdana" w:cs="Arial"/>
            <w:shd w:val="clear" w:color="auto" w:fill="FFFFFF"/>
          </w:rPr>
          <w:t>https://relatoria.colombiacompra.gov.co/busqueda/conceptos</w:t>
        </w:r>
      </w:hyperlink>
      <w:r w:rsidRPr="0064729D">
        <w:rPr>
          <w:rStyle w:val="normaltextrun"/>
          <w:rFonts w:ascii="Verdana" w:hAnsi="Verdana" w:cs="Arial"/>
          <w:shd w:val="clear" w:color="auto" w:fill="FFFFFF"/>
        </w:rPr>
        <w:t xml:space="preserve">. </w:t>
      </w:r>
      <w:r w:rsidRPr="0064729D">
        <w:rPr>
          <w:rStyle w:val="normaltextrun"/>
          <w:rFonts w:ascii="Verdana" w:hAnsi="Verdana" w:cs="Arial"/>
          <w:color w:val="FF0000"/>
          <w:shd w:val="clear" w:color="auto" w:fill="FFFFFF"/>
          <w:lang w:val="es-ES"/>
        </w:rPr>
        <w:t xml:space="preserve"> </w:t>
      </w:r>
    </w:p>
    <w:p w14:paraId="331B3FB0" w14:textId="77777777" w:rsidR="0064729D" w:rsidRPr="007C03A1" w:rsidRDefault="0064729D" w:rsidP="007C03A1">
      <w:pPr>
        <w:widowControl w:val="0"/>
        <w:autoSpaceDE w:val="0"/>
        <w:autoSpaceDN w:val="0"/>
        <w:spacing w:after="0" w:line="276" w:lineRule="auto"/>
        <w:jc w:val="both"/>
        <w:rPr>
          <w:rFonts w:ascii="Verdana" w:hAnsi="Verdana"/>
          <w:shd w:val="clear" w:color="auto" w:fill="FFFFFF"/>
        </w:rPr>
      </w:pPr>
    </w:p>
    <w:p w14:paraId="2C54A77C" w14:textId="3766FF7B" w:rsidR="001D210A" w:rsidRDefault="001D210A" w:rsidP="0064729D">
      <w:pPr>
        <w:spacing w:after="0" w:line="276" w:lineRule="auto"/>
        <w:jc w:val="both"/>
        <w:rPr>
          <w:rStyle w:val="Hipervnculo"/>
          <w:rFonts w:ascii="Verdana" w:hAnsi="Verdana"/>
        </w:rPr>
      </w:pPr>
      <w:r w:rsidRPr="0064729D">
        <w:rPr>
          <w:rFonts w:ascii="Verdana" w:hAnsi="Verdana"/>
        </w:rPr>
        <w:t xml:space="preserve">La sostenibilidad no es una opción, es una obligación. Por ello, la Agencia Nacional de Contratación Pública –Colombia Compra Eficiente– te invita a realizar el </w:t>
      </w:r>
      <w:r w:rsidRPr="0064729D">
        <w:rPr>
          <w:rFonts w:ascii="Verdana" w:hAnsi="Verdana"/>
          <w:b/>
          <w:bCs/>
        </w:rPr>
        <w:t>Curso de Contratación Pública Sostenible y Socialmente Responsable</w:t>
      </w:r>
      <w:r w:rsidRPr="0064729D">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64729D">
        <w:rPr>
          <w:rFonts w:ascii="Verdana" w:hAnsi="Verdana"/>
        </w:rPr>
        <w:br/>
      </w:r>
      <w:hyperlink r:id="rId14" w:tgtFrame="_new" w:history="1">
        <w:r w:rsidRPr="0064729D">
          <w:rPr>
            <w:rStyle w:val="Hipervnculo"/>
            <w:rFonts w:ascii="Verdana" w:hAnsi="Verdana"/>
          </w:rPr>
          <w:t>https://formacionvirtual.colombiacompra.gov.co/mod/page/view.php?id=3718</w:t>
        </w:r>
      </w:hyperlink>
    </w:p>
    <w:p w14:paraId="0563E289" w14:textId="77777777" w:rsidR="0064729D" w:rsidRPr="0064729D" w:rsidRDefault="0064729D" w:rsidP="007C03A1">
      <w:pPr>
        <w:spacing w:after="0" w:line="276" w:lineRule="auto"/>
        <w:jc w:val="both"/>
        <w:rPr>
          <w:rFonts w:ascii="Verdana" w:hAnsi="Verdana"/>
        </w:rPr>
      </w:pPr>
    </w:p>
    <w:p w14:paraId="01B0C4B1" w14:textId="63F654DE" w:rsidR="001D210A" w:rsidRDefault="001D210A" w:rsidP="0064729D">
      <w:pPr>
        <w:spacing w:after="0" w:line="276" w:lineRule="auto"/>
        <w:jc w:val="both"/>
        <w:rPr>
          <w:rStyle w:val="Hipervnculo"/>
          <w:rFonts w:ascii="Verdana" w:hAnsi="Verdana"/>
        </w:rPr>
      </w:pPr>
      <w:r w:rsidRPr="0064729D">
        <w:rPr>
          <w:rFonts w:ascii="Verdana" w:hAnsi="Verdana"/>
        </w:rPr>
        <w:t xml:space="preserve">De otro lado, te contamos que esta Agencia ha da un paso decisivo en la estandarización y modernización del </w:t>
      </w:r>
      <w:r w:rsidRPr="0064729D">
        <w:rPr>
          <w:rFonts w:ascii="Verdana" w:hAnsi="Verdana"/>
          <w:b/>
          <w:bCs/>
        </w:rPr>
        <w:t>sector  social</w:t>
      </w:r>
      <w:r w:rsidRPr="0064729D">
        <w:rPr>
          <w:rFonts w:ascii="Verdana" w:hAnsi="Verdana"/>
        </w:rPr>
        <w:t xml:space="preserve"> con la expedición de las </w:t>
      </w:r>
      <w:r w:rsidRPr="0064729D">
        <w:rPr>
          <w:rFonts w:ascii="Verdana" w:hAnsi="Verdana"/>
          <w:b/>
          <w:bCs/>
        </w:rPr>
        <w:t>Resoluciones 539, 540, 541, 952 y 953 de 2025</w:t>
      </w:r>
      <w:r w:rsidRPr="0064729D">
        <w:rPr>
          <w:rFonts w:ascii="Verdana" w:hAnsi="Verdana"/>
        </w:rPr>
        <w:t xml:space="preserve">, </w:t>
      </w:r>
      <w:r w:rsidRPr="0064729D">
        <w:rPr>
          <w:rFonts w:ascii="Verdana" w:hAnsi="Verdana"/>
          <w:b/>
          <w:bCs/>
        </w:rPr>
        <w:t>mediante las cuales adoptó Documentos Tipo</w:t>
      </w:r>
      <w:r w:rsidRPr="0064729D">
        <w:rPr>
          <w:rFonts w:ascii="Verdana" w:hAnsi="Verdana"/>
        </w:rPr>
        <w:t xml:space="preserve"> para las modalidades de selección de</w:t>
      </w:r>
      <w:r w:rsidRPr="0064729D">
        <w:rPr>
          <w:rFonts w:ascii="Verdana" w:hAnsi="Verdana"/>
          <w:b/>
          <w:bCs/>
        </w:rPr>
        <w:t xml:space="preserve"> licitación pública (versión 2), selección abreviada de menor cuantía, mínima cuantía, consultoría e interventoría</w:t>
      </w:r>
      <w:r w:rsidRPr="0064729D">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64729D">
          <w:rPr>
            <w:rStyle w:val="Hipervnculo"/>
            <w:rFonts w:ascii="Verdana" w:hAnsi="Verdana"/>
          </w:rPr>
          <w:t>https://www.colombiacompra.gov.co/normativa-y-relatoria/documentos-tipo</w:t>
        </w:r>
      </w:hyperlink>
    </w:p>
    <w:p w14:paraId="7C22C434" w14:textId="77777777" w:rsidR="0064729D" w:rsidRPr="0064729D" w:rsidRDefault="0064729D" w:rsidP="007C03A1">
      <w:pPr>
        <w:spacing w:after="0" w:line="276" w:lineRule="auto"/>
        <w:jc w:val="both"/>
        <w:rPr>
          <w:rFonts w:ascii="Verdana" w:hAnsi="Verdana"/>
        </w:rPr>
      </w:pPr>
    </w:p>
    <w:p w14:paraId="5A2AAACE" w14:textId="5CCDECE2" w:rsidR="001D210A" w:rsidRDefault="001D210A" w:rsidP="0064729D">
      <w:pPr>
        <w:spacing w:after="0" w:line="276" w:lineRule="auto"/>
        <w:jc w:val="both"/>
        <w:rPr>
          <w:rStyle w:val="Hipervnculo"/>
          <w:rFonts w:ascii="Verdana" w:hAnsi="Verdana"/>
        </w:rPr>
      </w:pPr>
      <w:r w:rsidRPr="0064729D">
        <w:rPr>
          <w:rFonts w:ascii="Verdana" w:hAnsi="Verdana"/>
        </w:rPr>
        <w:t xml:space="preserve">Si quieres conocer más sobre la aplicación de Documentos Tipo puedes consultar la última versión de la </w:t>
      </w:r>
      <w:r w:rsidRPr="0064729D">
        <w:rPr>
          <w:rFonts w:ascii="Verdana" w:hAnsi="Verdana"/>
          <w:b/>
          <w:bCs/>
        </w:rPr>
        <w:t>Guía para la comprensión e implementación de los Documentos Tipo de obra pública de infraestructura de transporte</w:t>
      </w:r>
      <w:r w:rsidRPr="0064729D">
        <w:rPr>
          <w:rFonts w:ascii="Verdana" w:hAnsi="Verdana"/>
        </w:rPr>
        <w:t xml:space="preserve">. En esta actualización se incorporaron orientaciones prácticas dirigidas a entidades públicas, proveedores, organismos de control y demás interesados, con el propósito de facilitar la adecuada implementación de estos instrumentos en los procesos </w:t>
      </w:r>
      <w:r w:rsidRPr="0064729D">
        <w:rPr>
          <w:rFonts w:ascii="Verdana" w:hAnsi="Verdana"/>
        </w:rPr>
        <w:lastRenderedPageBreak/>
        <w:t>contractuales. Además se incluyeron lineamientos que orientan la implementación de los criterios ambientales y sociales incluidos en los documentos tipo: Consulta la guía aquí:</w:t>
      </w:r>
      <w:r w:rsidRPr="0064729D">
        <w:rPr>
          <w:rFonts w:ascii="Verdana" w:hAnsi="Verdana"/>
        </w:rPr>
        <w:br/>
      </w:r>
      <w:hyperlink r:id="rId16" w:tgtFrame="_new" w:history="1">
        <w:r w:rsidRPr="0064729D">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63058CD1" w14:textId="77777777" w:rsidR="0064729D" w:rsidRPr="0064729D" w:rsidRDefault="0064729D" w:rsidP="007C03A1">
      <w:pPr>
        <w:spacing w:after="0" w:line="276" w:lineRule="auto"/>
        <w:jc w:val="both"/>
        <w:rPr>
          <w:rFonts w:ascii="Verdana" w:hAnsi="Verdana"/>
        </w:rPr>
      </w:pPr>
    </w:p>
    <w:p w14:paraId="31E77DD3" w14:textId="77777777" w:rsidR="001D210A" w:rsidRPr="0064729D" w:rsidRDefault="001D210A" w:rsidP="007C03A1">
      <w:pPr>
        <w:spacing w:after="0" w:line="276" w:lineRule="auto"/>
        <w:jc w:val="both"/>
        <w:rPr>
          <w:rFonts w:ascii="Verdana" w:hAnsi="Verdana"/>
        </w:rPr>
      </w:pPr>
      <w:r w:rsidRPr="0064729D">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8D2CB17" w14:textId="77777777" w:rsidR="001D210A" w:rsidRPr="007C03A1" w:rsidRDefault="001D210A" w:rsidP="0064729D">
      <w:pPr>
        <w:pStyle w:val="Prrafodelista"/>
        <w:numPr>
          <w:ilvl w:val="0"/>
          <w:numId w:val="15"/>
        </w:numPr>
        <w:spacing w:after="0" w:line="276" w:lineRule="auto"/>
        <w:contextualSpacing w:val="0"/>
        <w:jc w:val="both"/>
        <w:rPr>
          <w:rFonts w:ascii="Verdana" w:hAnsi="Verdana"/>
          <w:lang w:val="es-CO"/>
        </w:rPr>
      </w:pPr>
      <w:r w:rsidRPr="007C03A1">
        <w:rPr>
          <w:rFonts w:ascii="Verdana" w:hAnsi="Verdana"/>
          <w:lang w:val="es-CO"/>
        </w:rPr>
        <w:t>Línea nacional gratuita o servicio a la ciudadanía: 01800 0520808</w:t>
      </w:r>
    </w:p>
    <w:p w14:paraId="69C5F71D" w14:textId="77777777" w:rsidR="001D210A" w:rsidRPr="007C03A1" w:rsidRDefault="001D210A" w:rsidP="0064729D">
      <w:pPr>
        <w:pStyle w:val="Prrafodelista"/>
        <w:numPr>
          <w:ilvl w:val="0"/>
          <w:numId w:val="15"/>
        </w:numPr>
        <w:spacing w:after="0" w:line="276" w:lineRule="auto"/>
        <w:contextualSpacing w:val="0"/>
        <w:jc w:val="both"/>
        <w:rPr>
          <w:rFonts w:ascii="Verdana" w:hAnsi="Verdana"/>
          <w:lang w:val="es-CO"/>
        </w:rPr>
      </w:pPr>
      <w:r w:rsidRPr="007C03A1">
        <w:rPr>
          <w:rFonts w:ascii="Verdana" w:hAnsi="Verdana"/>
          <w:lang w:val="es-CO"/>
        </w:rPr>
        <w:t>Línea en Bogotá (Mesa de servicio): +57 601 7456788</w:t>
      </w:r>
    </w:p>
    <w:p w14:paraId="6AA5F17E" w14:textId="77777777" w:rsidR="001D210A" w:rsidRPr="007C03A1" w:rsidRDefault="001D210A" w:rsidP="0064729D">
      <w:pPr>
        <w:pStyle w:val="Prrafodelista"/>
        <w:numPr>
          <w:ilvl w:val="0"/>
          <w:numId w:val="15"/>
        </w:numPr>
        <w:spacing w:after="0" w:line="276" w:lineRule="auto"/>
        <w:contextualSpacing w:val="0"/>
        <w:jc w:val="both"/>
        <w:rPr>
          <w:rFonts w:ascii="Verdana" w:hAnsi="Verdana"/>
          <w:lang w:val="es-CO"/>
        </w:rPr>
      </w:pPr>
      <w:r w:rsidRPr="007C03A1">
        <w:rPr>
          <w:rFonts w:ascii="Verdana" w:hAnsi="Verdana"/>
          <w:lang w:val="es-CO"/>
        </w:rPr>
        <w:t>Línea de servicio y atención al ciudadano: +57 601 7956600</w:t>
      </w:r>
    </w:p>
    <w:p w14:paraId="3E1C8D3C" w14:textId="77645877" w:rsidR="001D210A" w:rsidRPr="007C03A1" w:rsidRDefault="001D210A" w:rsidP="007C03A1">
      <w:pPr>
        <w:pStyle w:val="Prrafodelista"/>
        <w:numPr>
          <w:ilvl w:val="0"/>
          <w:numId w:val="15"/>
        </w:numPr>
        <w:spacing w:after="0" w:line="276" w:lineRule="auto"/>
        <w:contextualSpacing w:val="0"/>
        <w:jc w:val="both"/>
        <w:rPr>
          <w:rFonts w:ascii="Verdana" w:hAnsi="Verdana"/>
          <w:lang w:val="es-CO"/>
        </w:rPr>
      </w:pPr>
      <w:r w:rsidRPr="007C03A1">
        <w:rPr>
          <w:rFonts w:ascii="Verdana" w:hAnsi="Verdana"/>
          <w:lang w:val="es-CO"/>
        </w:rPr>
        <w:t xml:space="preserve">Página web: </w:t>
      </w:r>
      <w:hyperlink r:id="rId17" w:history="1">
        <w:r w:rsidRPr="007C03A1">
          <w:rPr>
            <w:rStyle w:val="Hipervnculo"/>
            <w:rFonts w:ascii="Verdana" w:hAnsi="Verdana"/>
            <w:lang w:val="es-CO"/>
          </w:rPr>
          <w:t>www.colombiacompra.gov.co</w:t>
        </w:r>
      </w:hyperlink>
    </w:p>
    <w:p w14:paraId="54D5D5CC" w14:textId="77777777" w:rsidR="0064729D" w:rsidRDefault="0064729D" w:rsidP="0064729D">
      <w:pPr>
        <w:spacing w:after="0" w:line="276" w:lineRule="auto"/>
        <w:jc w:val="both"/>
        <w:rPr>
          <w:rFonts w:ascii="Verdana" w:hAnsi="Verdana"/>
        </w:rPr>
      </w:pPr>
    </w:p>
    <w:p w14:paraId="686319A0" w14:textId="66F80B49" w:rsidR="001D210A" w:rsidRPr="0064729D" w:rsidRDefault="001D210A" w:rsidP="007C03A1">
      <w:pPr>
        <w:spacing w:after="0" w:line="276" w:lineRule="auto"/>
        <w:jc w:val="both"/>
        <w:rPr>
          <w:rFonts w:ascii="Verdana" w:hAnsi="Verdana"/>
        </w:rPr>
      </w:pPr>
      <w:r w:rsidRPr="0064729D">
        <w:rPr>
          <w:rFonts w:ascii="Verdana" w:hAnsi="Verdana"/>
        </w:rPr>
        <w:t xml:space="preserve">Por último, lo invitamos a seguirnos en las redes sociales en las cuales se difunde información institucional: </w:t>
      </w:r>
    </w:p>
    <w:p w14:paraId="3CDAFF5E" w14:textId="77777777" w:rsidR="001D210A" w:rsidRPr="007C03A1" w:rsidRDefault="001D210A" w:rsidP="0064729D">
      <w:pPr>
        <w:spacing w:after="0" w:line="276" w:lineRule="auto"/>
        <w:jc w:val="both"/>
        <w:rPr>
          <w:rFonts w:ascii="Verdana" w:hAnsi="Verdana"/>
        </w:rPr>
      </w:pPr>
      <w:r w:rsidRPr="007C03A1">
        <w:rPr>
          <w:rFonts w:ascii="Verdana" w:hAnsi="Verdana"/>
        </w:rPr>
        <w:t xml:space="preserve">Twitter: </w:t>
      </w:r>
      <w:r w:rsidRPr="007C03A1">
        <w:rPr>
          <w:rStyle w:val="Hipervnculo"/>
          <w:rFonts w:ascii="Verdana" w:hAnsi="Verdana"/>
        </w:rPr>
        <w:t>@colombiacompra</w:t>
      </w:r>
      <w:r w:rsidRPr="007C03A1">
        <w:rPr>
          <w:rFonts w:ascii="Verdana" w:hAnsi="Verdana"/>
        </w:rPr>
        <w:t xml:space="preserve"> </w:t>
      </w:r>
    </w:p>
    <w:p w14:paraId="388396BC" w14:textId="77777777" w:rsidR="001D210A" w:rsidRPr="007C03A1" w:rsidRDefault="001D210A" w:rsidP="0064729D">
      <w:pPr>
        <w:spacing w:after="0" w:line="276" w:lineRule="auto"/>
        <w:jc w:val="both"/>
        <w:rPr>
          <w:rFonts w:ascii="Verdana" w:hAnsi="Verdana"/>
        </w:rPr>
      </w:pPr>
      <w:r w:rsidRPr="007C03A1">
        <w:rPr>
          <w:rFonts w:ascii="Verdana" w:hAnsi="Verdana"/>
        </w:rPr>
        <w:t xml:space="preserve">Facebook: </w:t>
      </w:r>
      <w:proofErr w:type="spellStart"/>
      <w:r w:rsidRPr="007C03A1">
        <w:rPr>
          <w:rStyle w:val="Hipervnculo"/>
          <w:rFonts w:ascii="Verdana" w:hAnsi="Verdana"/>
        </w:rPr>
        <w:t>ColombiaCompraEficiente</w:t>
      </w:r>
      <w:proofErr w:type="spellEnd"/>
    </w:p>
    <w:p w14:paraId="7E2B6D0C" w14:textId="362DF2FF" w:rsidR="001D210A" w:rsidRPr="007C03A1" w:rsidRDefault="001D210A" w:rsidP="007C03A1">
      <w:pPr>
        <w:spacing w:after="0" w:line="276" w:lineRule="auto"/>
        <w:jc w:val="both"/>
        <w:rPr>
          <w:rFonts w:ascii="Verdana" w:hAnsi="Verdana"/>
        </w:rPr>
      </w:pPr>
      <w:r w:rsidRPr="007C03A1">
        <w:rPr>
          <w:rFonts w:ascii="Verdana" w:hAnsi="Verdana"/>
        </w:rPr>
        <w:t xml:space="preserve">LinkedIn: </w:t>
      </w:r>
      <w:r w:rsidRPr="007C03A1">
        <w:rPr>
          <w:rStyle w:val="Hipervnculo"/>
          <w:rFonts w:ascii="Verdana" w:hAnsi="Verdana"/>
        </w:rPr>
        <w:t>Agencia Nacional de Contratación Pública - Colombia Compra Eficiente</w:t>
      </w:r>
      <w:r w:rsidRPr="007C03A1">
        <w:rPr>
          <w:rFonts w:ascii="Verdana" w:hAnsi="Verdana"/>
        </w:rPr>
        <w:t xml:space="preserve"> Instagram: </w:t>
      </w:r>
      <w:r w:rsidRPr="007C03A1">
        <w:rPr>
          <w:rStyle w:val="Hipervnculo"/>
          <w:rFonts w:ascii="Verdana" w:hAnsi="Verdana"/>
        </w:rPr>
        <w:t>@colombiacompraeficiente_cce</w:t>
      </w:r>
    </w:p>
    <w:p w14:paraId="50A53BF5" w14:textId="77777777" w:rsidR="0064729D" w:rsidRDefault="0064729D" w:rsidP="0064729D">
      <w:pPr>
        <w:spacing w:after="0" w:line="276" w:lineRule="auto"/>
        <w:jc w:val="both"/>
        <w:rPr>
          <w:rFonts w:ascii="Verdana" w:eastAsia="Calibri" w:hAnsi="Verdana" w:cs="Times New Roman"/>
        </w:rPr>
      </w:pPr>
    </w:p>
    <w:p w14:paraId="63036CAE" w14:textId="2A77CAA1" w:rsidR="001D210A" w:rsidRPr="0064729D" w:rsidRDefault="001D210A" w:rsidP="0064729D">
      <w:pPr>
        <w:spacing w:after="0" w:line="276" w:lineRule="auto"/>
        <w:jc w:val="both"/>
        <w:rPr>
          <w:rFonts w:ascii="Verdana" w:eastAsia="Calibri" w:hAnsi="Verdana" w:cs="Times New Roman"/>
          <w:bCs/>
        </w:rPr>
      </w:pPr>
      <w:r w:rsidRPr="0064729D">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56D2ADA" w14:textId="77777777" w:rsidR="001D210A" w:rsidRPr="0064729D" w:rsidRDefault="001D210A" w:rsidP="0064729D">
      <w:pPr>
        <w:spacing w:after="0" w:line="276" w:lineRule="auto"/>
        <w:jc w:val="both"/>
        <w:rPr>
          <w:rFonts w:ascii="Verdana" w:eastAsia="Calibri" w:hAnsi="Verdana" w:cs="Times New Roman"/>
        </w:rPr>
      </w:pPr>
    </w:p>
    <w:p w14:paraId="1811A64B" w14:textId="2679340A" w:rsidR="001D210A" w:rsidRPr="0064729D" w:rsidRDefault="001D210A" w:rsidP="0064729D">
      <w:pPr>
        <w:spacing w:after="0" w:line="276" w:lineRule="auto"/>
        <w:jc w:val="both"/>
        <w:rPr>
          <w:rFonts w:ascii="Verdana" w:eastAsia="Calibri" w:hAnsi="Verdana" w:cs="Times New Roman"/>
        </w:rPr>
      </w:pPr>
      <w:r w:rsidRPr="0064729D">
        <w:rPr>
          <w:rFonts w:ascii="Verdana" w:eastAsia="Calibri" w:hAnsi="Verdana" w:cs="Times New Roman"/>
        </w:rPr>
        <w:t xml:space="preserve">Atentamente,  </w:t>
      </w:r>
    </w:p>
    <w:p w14:paraId="696E04BD" w14:textId="4DBD09FB" w:rsidR="001D210A" w:rsidRPr="001D210A" w:rsidRDefault="001D210A" w:rsidP="001D210A">
      <w:pPr>
        <w:spacing w:after="0" w:line="256" w:lineRule="auto"/>
        <w:jc w:val="both"/>
        <w:rPr>
          <w:rFonts w:ascii="Verdana" w:eastAsia="Calibri" w:hAnsi="Verdana" w:cs="Times New Roman"/>
        </w:rPr>
      </w:pPr>
    </w:p>
    <w:p w14:paraId="78254E74" w14:textId="4355F839" w:rsidR="001D210A" w:rsidRPr="001B152A" w:rsidRDefault="001D210A" w:rsidP="001D210A">
      <w:pPr>
        <w:spacing w:after="0" w:line="256" w:lineRule="auto"/>
        <w:jc w:val="both"/>
        <w:rPr>
          <w:rFonts w:ascii="Verdana" w:eastAsia="Calibri" w:hAnsi="Verdana" w:cs="Times New Roman"/>
        </w:rPr>
      </w:pPr>
    </w:p>
    <w:p w14:paraId="4A3FB5B8" w14:textId="7C04A998" w:rsidR="001D210A" w:rsidRDefault="00B1107F" w:rsidP="001D210A">
      <w:pPr>
        <w:spacing w:after="0" w:line="256" w:lineRule="auto"/>
        <w:jc w:val="both"/>
        <w:rPr>
          <w:rFonts w:ascii="Verdana" w:eastAsia="Calibri" w:hAnsi="Verdana" w:cs="Times New Roman"/>
        </w:rPr>
      </w:pPr>
      <w:r w:rsidRPr="001D210A">
        <w:rPr>
          <w:rFonts w:ascii="Verdana" w:eastAsia="Calibri" w:hAnsi="Verdana" w:cs="Times New Roman"/>
          <w:noProof/>
        </w:rPr>
        <w:drawing>
          <wp:anchor distT="0" distB="0" distL="114300" distR="114300" simplePos="0" relativeHeight="251658240" behindDoc="1" locked="0" layoutInCell="1" allowOverlap="1" wp14:anchorId="27D31F8C" wp14:editId="59EB26CD">
            <wp:simplePos x="0" y="0"/>
            <wp:positionH relativeFrom="margin">
              <wp:align>center</wp:align>
            </wp:positionH>
            <wp:positionV relativeFrom="paragraph">
              <wp:posOffset>12724</wp:posOffset>
            </wp:positionV>
            <wp:extent cx="2990850" cy="1276350"/>
            <wp:effectExtent l="0" t="0" r="0" b="0"/>
            <wp:wrapNone/>
            <wp:docPr id="66541090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90850" cy="1276350"/>
                    </a:xfrm>
                    <a:prstGeom prst="rect">
                      <a:avLst/>
                    </a:prstGeom>
                    <a:noFill/>
                    <a:ln>
                      <a:noFill/>
                    </a:ln>
                  </pic:spPr>
                </pic:pic>
              </a:graphicData>
            </a:graphic>
          </wp:anchor>
        </w:drawing>
      </w:r>
    </w:p>
    <w:p w14:paraId="092B3E2C" w14:textId="0C3DF41A" w:rsidR="001D210A" w:rsidRPr="00FD1C41" w:rsidRDefault="001D210A" w:rsidP="001D210A">
      <w:pPr>
        <w:spacing w:after="0" w:line="256" w:lineRule="auto"/>
        <w:jc w:val="both"/>
        <w:rPr>
          <w:rFonts w:ascii="Verdana" w:eastAsia="Calibri" w:hAnsi="Verdana" w:cs="Times New Roman"/>
        </w:rPr>
      </w:pPr>
    </w:p>
    <w:p w14:paraId="5AFCC7CB" w14:textId="66984E67" w:rsidR="001D210A" w:rsidRPr="0076575C" w:rsidRDefault="001D210A" w:rsidP="001D210A">
      <w:pPr>
        <w:spacing w:after="0" w:line="256" w:lineRule="auto"/>
        <w:jc w:val="center"/>
        <w:rPr>
          <w:rFonts w:ascii="Verdana" w:eastAsia="Times New Roman" w:hAnsi="Verdana" w:cs="Arial"/>
          <w:b/>
          <w:bCs/>
        </w:rPr>
      </w:pPr>
    </w:p>
    <w:p w14:paraId="2E899E39" w14:textId="77777777" w:rsidR="001D210A" w:rsidRDefault="001D210A" w:rsidP="001D210A">
      <w:pPr>
        <w:spacing w:after="0" w:line="256" w:lineRule="auto"/>
        <w:jc w:val="center"/>
        <w:rPr>
          <w:rFonts w:ascii="Verdana" w:eastAsia="Times New Roman" w:hAnsi="Verdana" w:cs="Arial"/>
          <w:sz w:val="24"/>
          <w:szCs w:val="24"/>
        </w:rPr>
      </w:pPr>
    </w:p>
    <w:p w14:paraId="7087C4A0" w14:textId="6DFA0C0E" w:rsidR="001D210A" w:rsidRDefault="001D210A" w:rsidP="001D210A">
      <w:pPr>
        <w:spacing w:after="0" w:line="256" w:lineRule="auto"/>
        <w:jc w:val="center"/>
        <w:rPr>
          <w:rFonts w:ascii="Verdana" w:eastAsia="Times New Roman" w:hAnsi="Verdana" w:cs="Arial"/>
          <w:sz w:val="24"/>
          <w:szCs w:val="24"/>
        </w:rPr>
      </w:pPr>
    </w:p>
    <w:p w14:paraId="2CAD5E10" w14:textId="11FE51B9" w:rsidR="0064729D" w:rsidRDefault="0064729D" w:rsidP="001D210A">
      <w:pPr>
        <w:spacing w:after="0" w:line="256" w:lineRule="auto"/>
        <w:jc w:val="center"/>
        <w:rPr>
          <w:rFonts w:ascii="Verdana" w:eastAsia="Times New Roman" w:hAnsi="Verdana" w:cs="Arial"/>
          <w:sz w:val="24"/>
          <w:szCs w:val="24"/>
        </w:rPr>
      </w:pPr>
    </w:p>
    <w:p w14:paraId="6491EBBD" w14:textId="77777777" w:rsidR="0064729D" w:rsidRDefault="0064729D" w:rsidP="001D210A">
      <w:pPr>
        <w:spacing w:after="0" w:line="256" w:lineRule="auto"/>
        <w:jc w:val="center"/>
        <w:rPr>
          <w:rFonts w:ascii="Verdana" w:eastAsia="Times New Roman" w:hAnsi="Verdana" w:cs="Arial"/>
          <w:sz w:val="24"/>
          <w:szCs w:val="24"/>
        </w:rPr>
      </w:pPr>
    </w:p>
    <w:p w14:paraId="238F18C0" w14:textId="753C7F2C" w:rsidR="001D210A" w:rsidRDefault="001D210A" w:rsidP="001D210A">
      <w:pPr>
        <w:spacing w:after="0" w:line="256" w:lineRule="auto"/>
        <w:jc w:val="center"/>
        <w:rPr>
          <w:rFonts w:ascii="Verdana" w:eastAsia="Times New Roman" w:hAnsi="Verdana" w:cs="Arial"/>
          <w:sz w:val="24"/>
          <w:szCs w:val="24"/>
        </w:rPr>
      </w:pPr>
    </w:p>
    <w:p w14:paraId="2CE7BEC9" w14:textId="77777777" w:rsidR="0064729D" w:rsidRDefault="0064729D" w:rsidP="001D210A">
      <w:pPr>
        <w:spacing w:after="0" w:line="256" w:lineRule="auto"/>
        <w:jc w:val="center"/>
        <w:rPr>
          <w:rFonts w:ascii="Verdana" w:eastAsia="Times New Roman" w:hAnsi="Verdana" w:cs="Arial"/>
          <w:sz w:val="24"/>
          <w:szCs w:val="24"/>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D210A" w:rsidRPr="00432BAE" w14:paraId="26B6F336" w14:textId="77777777" w:rsidTr="00D36099">
        <w:trPr>
          <w:trHeight w:val="315"/>
        </w:trPr>
        <w:tc>
          <w:tcPr>
            <w:tcW w:w="893" w:type="dxa"/>
            <w:vAlign w:val="center"/>
            <w:hideMark/>
          </w:tcPr>
          <w:p w14:paraId="43B54382" w14:textId="77777777" w:rsidR="001D210A" w:rsidRPr="004F246A" w:rsidRDefault="001D210A" w:rsidP="00D36099">
            <w:pPr>
              <w:spacing w:line="276" w:lineRule="auto"/>
              <w:rPr>
                <w:rFonts w:ascii="Verdana" w:eastAsia="Times New Roman" w:hAnsi="Verdana" w:cs="Arial"/>
                <w:color w:val="000000"/>
                <w:sz w:val="16"/>
                <w:szCs w:val="16"/>
                <w:lang w:eastAsia="es-ES"/>
              </w:rPr>
            </w:pPr>
            <w:r w:rsidRPr="004F246A">
              <w:rPr>
                <w:rFonts w:ascii="Verdana" w:eastAsia="Times New Roman" w:hAnsi="Verdana" w:cs="Arial"/>
                <w:color w:val="000000"/>
                <w:sz w:val="16"/>
                <w:szCs w:val="16"/>
                <w:lang w:eastAsia="es-ES"/>
              </w:rPr>
              <w:t>Elaboró:</w:t>
            </w:r>
          </w:p>
        </w:tc>
        <w:tc>
          <w:tcPr>
            <w:tcW w:w="5628" w:type="dxa"/>
            <w:tcBorders>
              <w:top w:val="nil"/>
              <w:left w:val="nil"/>
              <w:bottom w:val="dotted" w:sz="4" w:space="0" w:color="7F7F7F"/>
              <w:right w:val="nil"/>
            </w:tcBorders>
            <w:vAlign w:val="center"/>
            <w:hideMark/>
          </w:tcPr>
          <w:p w14:paraId="1BEBB030" w14:textId="77777777" w:rsidR="001D210A" w:rsidRPr="004F246A" w:rsidRDefault="001D210A" w:rsidP="00D36099">
            <w:pPr>
              <w:spacing w:line="276" w:lineRule="auto"/>
              <w:rPr>
                <w:rFonts w:ascii="Verdana" w:eastAsia="Arial" w:hAnsi="Verdana" w:cs="Arial"/>
                <w:color w:val="000000"/>
                <w:sz w:val="16"/>
                <w:szCs w:val="16"/>
              </w:rPr>
            </w:pPr>
            <w:r w:rsidRPr="004F246A">
              <w:rPr>
                <w:rFonts w:ascii="Verdana" w:eastAsia="Arial" w:hAnsi="Verdana" w:cs="Arial"/>
                <w:color w:val="000000"/>
                <w:sz w:val="16"/>
                <w:szCs w:val="16"/>
              </w:rPr>
              <w:t>Ángela María Olmos Andrade</w:t>
            </w:r>
          </w:p>
          <w:p w14:paraId="3BD2F2BC" w14:textId="77777777" w:rsidR="001D210A" w:rsidRPr="004F246A" w:rsidRDefault="001D210A" w:rsidP="00D36099">
            <w:pPr>
              <w:spacing w:line="276" w:lineRule="auto"/>
              <w:rPr>
                <w:rFonts w:ascii="Verdana" w:eastAsia="Arial" w:hAnsi="Verdana" w:cs="Arial"/>
                <w:color w:val="000000"/>
                <w:sz w:val="16"/>
                <w:szCs w:val="16"/>
              </w:rPr>
            </w:pPr>
            <w:r w:rsidRPr="004F246A">
              <w:rPr>
                <w:rFonts w:ascii="Verdana" w:eastAsia="Arial" w:hAnsi="Verdana" w:cs="Arial"/>
                <w:color w:val="000000"/>
                <w:sz w:val="16"/>
                <w:szCs w:val="16"/>
              </w:rPr>
              <w:t>Analista T2 - 02 de la Subdirección de Gestión Contractual</w:t>
            </w:r>
          </w:p>
        </w:tc>
      </w:tr>
      <w:tr w:rsidR="001D210A" w:rsidRPr="00432BAE" w14:paraId="43EEEE67" w14:textId="77777777" w:rsidTr="00D36099">
        <w:trPr>
          <w:trHeight w:val="330"/>
        </w:trPr>
        <w:tc>
          <w:tcPr>
            <w:tcW w:w="893" w:type="dxa"/>
            <w:vAlign w:val="center"/>
            <w:hideMark/>
          </w:tcPr>
          <w:p w14:paraId="539D1B15" w14:textId="77777777" w:rsidR="001D210A" w:rsidRPr="004F246A" w:rsidRDefault="001D210A" w:rsidP="00D36099">
            <w:pPr>
              <w:spacing w:line="276" w:lineRule="auto"/>
              <w:rPr>
                <w:rFonts w:ascii="Verdana" w:eastAsia="Times New Roman" w:hAnsi="Verdana" w:cs="Arial"/>
                <w:color w:val="000000"/>
                <w:sz w:val="16"/>
                <w:szCs w:val="16"/>
                <w:lang w:eastAsia="es-ES"/>
              </w:rPr>
            </w:pPr>
            <w:r w:rsidRPr="004F246A">
              <w:rPr>
                <w:rFonts w:ascii="Verdana" w:eastAsia="Times New Roman" w:hAnsi="Verdana" w:cs="Arial"/>
                <w:color w:val="000000"/>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4D24E4DF" w14:textId="2115E37B" w:rsidR="001D210A" w:rsidRPr="004F246A" w:rsidRDefault="001D210A" w:rsidP="00D36099">
            <w:pPr>
              <w:spacing w:line="276" w:lineRule="auto"/>
              <w:rPr>
                <w:rFonts w:ascii="Verdana" w:eastAsia="Times New Roman" w:hAnsi="Verdana" w:cs="Arial"/>
                <w:color w:val="000000"/>
                <w:sz w:val="16"/>
                <w:szCs w:val="16"/>
              </w:rPr>
            </w:pPr>
            <w:r>
              <w:rPr>
                <w:rFonts w:ascii="Verdana" w:eastAsia="Times New Roman" w:hAnsi="Verdana" w:cs="Arial"/>
                <w:color w:val="000000"/>
                <w:sz w:val="16"/>
                <w:szCs w:val="16"/>
              </w:rPr>
              <w:t xml:space="preserve">Diana Lucia Saavedra </w:t>
            </w:r>
            <w:r w:rsidR="00641D67">
              <w:rPr>
                <w:rFonts w:ascii="Verdana" w:eastAsia="Times New Roman" w:hAnsi="Verdana" w:cs="Arial"/>
                <w:color w:val="000000"/>
                <w:sz w:val="16"/>
                <w:szCs w:val="16"/>
              </w:rPr>
              <w:t>Castañeda</w:t>
            </w:r>
          </w:p>
          <w:p w14:paraId="1B6D1C9A" w14:textId="77777777" w:rsidR="001D210A" w:rsidRPr="004F246A" w:rsidRDefault="001D210A" w:rsidP="00D36099">
            <w:pPr>
              <w:spacing w:line="276" w:lineRule="auto"/>
              <w:textAlignment w:val="baseline"/>
              <w:rPr>
                <w:rFonts w:ascii="Verdana" w:eastAsia="Times New Roman" w:hAnsi="Verdana" w:cs="Arial"/>
                <w:color w:val="000000"/>
                <w:sz w:val="16"/>
                <w:szCs w:val="16"/>
              </w:rPr>
            </w:pPr>
            <w:r>
              <w:rPr>
                <w:rFonts w:ascii="Verdana" w:eastAsia="Times New Roman" w:hAnsi="Verdana" w:cs="Arial"/>
                <w:color w:val="000000"/>
                <w:sz w:val="16"/>
                <w:szCs w:val="16"/>
              </w:rPr>
              <w:t>Contratista</w:t>
            </w:r>
            <w:r w:rsidRPr="004F246A">
              <w:rPr>
                <w:rFonts w:ascii="Verdana" w:eastAsia="Times New Roman" w:hAnsi="Verdana" w:cs="Arial"/>
                <w:color w:val="000000"/>
                <w:sz w:val="16"/>
                <w:szCs w:val="16"/>
              </w:rPr>
              <w:t xml:space="preserve"> de la Subdirección de Gestión Contractual</w:t>
            </w:r>
          </w:p>
        </w:tc>
      </w:tr>
      <w:tr w:rsidR="001D210A" w:rsidRPr="00432BAE" w14:paraId="41C12039" w14:textId="77777777" w:rsidTr="00D36099">
        <w:trPr>
          <w:trHeight w:val="300"/>
        </w:trPr>
        <w:tc>
          <w:tcPr>
            <w:tcW w:w="893" w:type="dxa"/>
            <w:vAlign w:val="center"/>
            <w:hideMark/>
          </w:tcPr>
          <w:p w14:paraId="403CB092" w14:textId="77777777" w:rsidR="001D210A" w:rsidRPr="004F246A" w:rsidRDefault="001D210A" w:rsidP="00D36099">
            <w:pPr>
              <w:spacing w:line="276" w:lineRule="auto"/>
              <w:rPr>
                <w:rFonts w:ascii="Verdana" w:eastAsia="Times New Roman" w:hAnsi="Verdana" w:cs="Arial"/>
                <w:color w:val="000000"/>
                <w:sz w:val="16"/>
                <w:szCs w:val="16"/>
                <w:lang w:eastAsia="es-ES"/>
              </w:rPr>
            </w:pPr>
            <w:r w:rsidRPr="004F246A">
              <w:rPr>
                <w:rFonts w:ascii="Verdana" w:eastAsia="Times New Roman" w:hAnsi="Verdana" w:cs="Arial"/>
                <w:color w:val="000000"/>
                <w:sz w:val="16"/>
                <w:szCs w:val="16"/>
                <w:lang w:eastAsia="es-ES"/>
              </w:rPr>
              <w:t>Aprobó:</w:t>
            </w:r>
          </w:p>
        </w:tc>
        <w:tc>
          <w:tcPr>
            <w:tcW w:w="5628" w:type="dxa"/>
            <w:tcBorders>
              <w:top w:val="dotted" w:sz="4" w:space="0" w:color="7F7F7F"/>
              <w:left w:val="nil"/>
              <w:bottom w:val="dotted" w:sz="4" w:space="0" w:color="7F7F7F"/>
              <w:right w:val="nil"/>
            </w:tcBorders>
            <w:vAlign w:val="center"/>
            <w:hideMark/>
          </w:tcPr>
          <w:p w14:paraId="734EB1FE" w14:textId="77777777" w:rsidR="001D210A" w:rsidRPr="004F246A" w:rsidRDefault="001D210A" w:rsidP="00D36099">
            <w:pPr>
              <w:spacing w:line="276" w:lineRule="auto"/>
              <w:rPr>
                <w:rFonts w:ascii="Verdana" w:eastAsia="Times New Roman" w:hAnsi="Verdana" w:cs="Arial"/>
                <w:color w:val="000000"/>
                <w:sz w:val="16"/>
                <w:szCs w:val="16"/>
              </w:rPr>
            </w:pPr>
            <w:r w:rsidRPr="004F246A">
              <w:rPr>
                <w:rFonts w:ascii="Verdana" w:eastAsia="Times New Roman" w:hAnsi="Verdana" w:cs="Arial"/>
                <w:color w:val="000000"/>
                <w:sz w:val="16"/>
                <w:szCs w:val="16"/>
              </w:rPr>
              <w:t>Carolina Quintero Gacharná</w:t>
            </w:r>
          </w:p>
          <w:p w14:paraId="2D0F5F20" w14:textId="77777777" w:rsidR="001D210A" w:rsidRPr="004F246A" w:rsidRDefault="001D210A" w:rsidP="00D36099">
            <w:pPr>
              <w:spacing w:line="276" w:lineRule="auto"/>
              <w:rPr>
                <w:rFonts w:ascii="Verdana" w:eastAsia="Times New Roman" w:hAnsi="Verdana" w:cs="Arial"/>
                <w:color w:val="000000"/>
                <w:sz w:val="16"/>
                <w:szCs w:val="16"/>
              </w:rPr>
            </w:pPr>
            <w:r w:rsidRPr="004F246A">
              <w:rPr>
                <w:rFonts w:ascii="Verdana" w:eastAsia="Times New Roman" w:hAnsi="Verdana" w:cs="Arial"/>
                <w:color w:val="000000"/>
                <w:sz w:val="16"/>
                <w:szCs w:val="16"/>
              </w:rPr>
              <w:t>Subdirectora de Gestión Contractual ANCP – CCE</w:t>
            </w:r>
          </w:p>
        </w:tc>
      </w:tr>
      <w:bookmarkEnd w:id="0"/>
    </w:tbl>
    <w:p w14:paraId="0F293BF4" w14:textId="2D3C669B" w:rsidR="00127233" w:rsidRDefault="00127233" w:rsidP="00DD7CB2">
      <w:pPr>
        <w:spacing w:after="0" w:line="256" w:lineRule="auto"/>
        <w:jc w:val="both"/>
        <w:rPr>
          <w:rFonts w:ascii="Verdana" w:eastAsia="Verdana" w:hAnsi="Verdana" w:cs="Verdana"/>
          <w:lang w:eastAsia="es-CO"/>
        </w:rPr>
      </w:pPr>
    </w:p>
    <w:p w14:paraId="72FFB02E" w14:textId="77777777" w:rsidR="0064729D" w:rsidRPr="0015699B" w:rsidRDefault="0064729D" w:rsidP="00DD7CB2">
      <w:pPr>
        <w:spacing w:after="0" w:line="256" w:lineRule="auto"/>
        <w:jc w:val="both"/>
        <w:rPr>
          <w:rFonts w:ascii="Verdana" w:eastAsia="Verdana" w:hAnsi="Verdana" w:cs="Verdana"/>
          <w:lang w:eastAsia="es-CO"/>
        </w:rPr>
      </w:pPr>
    </w:p>
    <w:sectPr w:rsidR="0064729D" w:rsidRPr="0015699B" w:rsidSect="00BE0F07">
      <w:headerReference w:type="default" r:id="rId19"/>
      <w:footerReference w:type="default" r:id="rId20"/>
      <w:pgSz w:w="11906" w:h="16838" w:code="9"/>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B57F09" w14:textId="77777777" w:rsidR="00B57C33" w:rsidRDefault="00B57C33" w:rsidP="004A1847">
      <w:pPr>
        <w:spacing w:after="0" w:line="240" w:lineRule="auto"/>
      </w:pPr>
      <w:r>
        <w:separator/>
      </w:r>
    </w:p>
  </w:endnote>
  <w:endnote w:type="continuationSeparator" w:id="0">
    <w:p w14:paraId="295495C3" w14:textId="77777777" w:rsidR="00B57C33" w:rsidRDefault="00B57C3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CEC70B" w14:textId="77777777" w:rsidR="00B57C33" w:rsidRDefault="00B57C33" w:rsidP="004A1847">
      <w:pPr>
        <w:spacing w:after="0" w:line="240" w:lineRule="auto"/>
      </w:pPr>
      <w:r>
        <w:separator/>
      </w:r>
    </w:p>
  </w:footnote>
  <w:footnote w:type="continuationSeparator" w:id="0">
    <w:p w14:paraId="5388D65F" w14:textId="77777777" w:rsidR="00B57C33" w:rsidRDefault="00B57C33" w:rsidP="004A1847">
      <w:pPr>
        <w:spacing w:after="0" w:line="240" w:lineRule="auto"/>
      </w:pPr>
      <w:r>
        <w:continuationSeparator/>
      </w:r>
    </w:p>
  </w:footnote>
  <w:footnote w:id="1">
    <w:p w14:paraId="474E4E65" w14:textId="77777777" w:rsidR="000A52DE" w:rsidRPr="00633474" w:rsidRDefault="000A52DE" w:rsidP="000A52DE">
      <w:pPr>
        <w:pStyle w:val="Textonotapie"/>
        <w:ind w:firstLine="709"/>
        <w:contextualSpacing/>
        <w:jc w:val="both"/>
        <w:rPr>
          <w:rFonts w:ascii="Verdana" w:hAnsi="Verdana" w:cs="Arial"/>
          <w:sz w:val="14"/>
          <w:szCs w:val="14"/>
        </w:rPr>
      </w:pPr>
      <w:r w:rsidRPr="00633474">
        <w:rPr>
          <w:rStyle w:val="Refdenotaalpie"/>
          <w:rFonts w:cs="Arial"/>
          <w:sz w:val="14"/>
          <w:szCs w:val="14"/>
        </w:rPr>
        <w:footnoteRef/>
      </w:r>
      <w:r w:rsidRPr="00633474">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2222566E" w14:textId="77777777" w:rsidR="000A52DE" w:rsidRPr="00633474" w:rsidRDefault="000A52DE" w:rsidP="000A52DE">
      <w:pPr>
        <w:pStyle w:val="Textonotapie"/>
        <w:ind w:firstLine="709"/>
        <w:contextualSpacing/>
        <w:jc w:val="both"/>
        <w:rPr>
          <w:rFonts w:ascii="Verdana" w:hAnsi="Verdana" w:cs="Arial"/>
          <w:sz w:val="14"/>
          <w:szCs w:val="14"/>
        </w:rPr>
      </w:pPr>
      <w:r w:rsidRPr="00633474">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1A5A765B" w14:textId="77777777" w:rsidR="000A52DE" w:rsidRPr="0016660C" w:rsidRDefault="000A52DE" w:rsidP="000A52DE">
      <w:pPr>
        <w:pStyle w:val="Textonotapie"/>
        <w:ind w:firstLine="709"/>
        <w:contextualSpacing/>
        <w:jc w:val="both"/>
        <w:rPr>
          <w:rFonts w:ascii="Verdana" w:hAnsi="Verdana" w:cs="Arial"/>
          <w:sz w:val="16"/>
          <w:szCs w:val="16"/>
        </w:rPr>
      </w:pPr>
      <w:r w:rsidRPr="00633474">
        <w:rPr>
          <w:rStyle w:val="Refdenotaalpie"/>
          <w:rFonts w:cs="Arial"/>
          <w:sz w:val="14"/>
          <w:szCs w:val="14"/>
        </w:rPr>
        <w:footnoteRef/>
      </w:r>
      <w:r w:rsidRPr="00633474">
        <w:rPr>
          <w:rFonts w:ascii="Verdana" w:hAnsi="Verdana" w:cs="Arial"/>
          <w:sz w:val="14"/>
          <w:szCs w:val="14"/>
        </w:rPr>
        <w:t xml:space="preserve"> Gaceta del Congreso de la República No. 71 del 2005.</w:t>
      </w:r>
    </w:p>
  </w:footnote>
  <w:footnote w:id="3">
    <w:p w14:paraId="1B7B43F9" w14:textId="77777777" w:rsidR="000A52DE" w:rsidRPr="00633474" w:rsidRDefault="000A52DE" w:rsidP="000A52DE">
      <w:pPr>
        <w:pStyle w:val="Textonotapie"/>
        <w:ind w:firstLine="709"/>
        <w:contextualSpacing/>
        <w:jc w:val="both"/>
        <w:rPr>
          <w:rFonts w:ascii="Verdana" w:hAnsi="Verdana" w:cs="Arial"/>
          <w:sz w:val="14"/>
          <w:szCs w:val="14"/>
          <w:lang w:val="pt-BR"/>
        </w:rPr>
      </w:pPr>
      <w:r w:rsidRPr="00633474">
        <w:rPr>
          <w:rStyle w:val="Refdenotaalpie"/>
          <w:rFonts w:cs="Arial"/>
          <w:sz w:val="14"/>
          <w:szCs w:val="14"/>
        </w:rPr>
        <w:footnoteRef/>
      </w:r>
      <w:r w:rsidRPr="00633474">
        <w:rPr>
          <w:rFonts w:ascii="Verdana" w:hAnsi="Verdana" w:cs="Arial"/>
          <w:sz w:val="14"/>
          <w:szCs w:val="14"/>
          <w:lang w:val="pt-BR"/>
        </w:rPr>
        <w:t xml:space="preserve"> Corte Constitucional, Sentencia C- 1153 de 2005, M.P. Marco Gerardo Monroy Cabra.</w:t>
      </w:r>
    </w:p>
  </w:footnote>
  <w:footnote w:id="4">
    <w:p w14:paraId="62EB62CC" w14:textId="77777777" w:rsidR="000A52DE" w:rsidRPr="00633474" w:rsidRDefault="000A52DE" w:rsidP="000A52DE">
      <w:pPr>
        <w:pStyle w:val="Textonotapie"/>
        <w:ind w:firstLine="709"/>
        <w:contextualSpacing/>
        <w:jc w:val="both"/>
        <w:rPr>
          <w:rFonts w:ascii="Verdana" w:hAnsi="Verdana" w:cs="Arial"/>
          <w:sz w:val="14"/>
          <w:szCs w:val="14"/>
          <w:lang w:val="pt-BR"/>
        </w:rPr>
      </w:pPr>
      <w:r w:rsidRPr="00633474">
        <w:rPr>
          <w:rStyle w:val="Refdenotaalpie"/>
          <w:rFonts w:cs="Arial"/>
          <w:sz w:val="14"/>
          <w:szCs w:val="14"/>
        </w:rPr>
        <w:footnoteRef/>
      </w:r>
      <w:r w:rsidRPr="00633474">
        <w:rPr>
          <w:rFonts w:ascii="Verdana" w:hAnsi="Verdana" w:cs="Arial"/>
          <w:sz w:val="14"/>
          <w:szCs w:val="14"/>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7B3A26EA" w14:textId="77777777" w:rsidR="000A52DE" w:rsidRPr="0016660C" w:rsidRDefault="000A52DE" w:rsidP="000A52DE">
      <w:pPr>
        <w:pStyle w:val="Textonotapie"/>
        <w:ind w:firstLine="709"/>
        <w:contextualSpacing/>
        <w:jc w:val="both"/>
        <w:rPr>
          <w:rFonts w:ascii="Verdana" w:hAnsi="Verdana" w:cs="Arial"/>
          <w:sz w:val="16"/>
          <w:szCs w:val="16"/>
          <w:lang w:val="es-CO"/>
        </w:rPr>
      </w:pPr>
      <w:r w:rsidRPr="00633474">
        <w:rPr>
          <w:rStyle w:val="Refdenotaalpie"/>
          <w:rFonts w:cs="Arial"/>
          <w:sz w:val="14"/>
          <w:szCs w:val="14"/>
        </w:rPr>
        <w:footnoteRef/>
      </w:r>
      <w:r w:rsidRPr="00633474">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00F3D40D" w14:textId="77777777" w:rsidR="000A52DE" w:rsidRPr="00633474" w:rsidRDefault="000A52DE" w:rsidP="000A52DE">
      <w:pPr>
        <w:pStyle w:val="Textonotapie"/>
        <w:ind w:firstLine="709"/>
        <w:contextualSpacing/>
        <w:jc w:val="both"/>
        <w:rPr>
          <w:rFonts w:ascii="Verdana" w:hAnsi="Verdana" w:cs="Arial"/>
          <w:sz w:val="14"/>
          <w:szCs w:val="14"/>
        </w:rPr>
      </w:pPr>
      <w:r w:rsidRPr="00633474">
        <w:rPr>
          <w:rStyle w:val="Refdenotaalpie"/>
          <w:rFonts w:cs="Arial"/>
          <w:sz w:val="14"/>
          <w:szCs w:val="14"/>
        </w:rPr>
        <w:footnoteRef/>
      </w:r>
      <w:r w:rsidRPr="00633474">
        <w:rPr>
          <w:rFonts w:ascii="Verdana" w:hAnsi="Verdana" w:cs="Arial"/>
          <w:sz w:val="14"/>
          <w:szCs w:val="14"/>
        </w:rPr>
        <w:t xml:space="preserve"> Consejo de Estado, Sala de Consulta y Servicio Civil de fecha 24 de julio de 2013, Rad. 2166, C. P. Álvaro Namén Vargas.  </w:t>
      </w:r>
    </w:p>
  </w:footnote>
  <w:footnote w:id="7">
    <w:p w14:paraId="251A9FB6" w14:textId="77777777" w:rsidR="000A52DE" w:rsidRPr="00633474" w:rsidRDefault="000A52DE" w:rsidP="000A52DE">
      <w:pPr>
        <w:spacing w:after="0" w:line="240" w:lineRule="auto"/>
        <w:ind w:firstLine="709"/>
        <w:jc w:val="both"/>
        <w:rPr>
          <w:rFonts w:ascii="Verdana" w:eastAsia="Times New Roman" w:hAnsi="Verdana" w:cs="Arial"/>
          <w:sz w:val="14"/>
          <w:szCs w:val="14"/>
        </w:rPr>
      </w:pPr>
      <w:r w:rsidRPr="00633474">
        <w:rPr>
          <w:rStyle w:val="Refdenotaalpie"/>
          <w:rFonts w:cs="Arial"/>
          <w:sz w:val="14"/>
          <w:szCs w:val="14"/>
        </w:rPr>
        <w:footnoteRef/>
      </w:r>
      <w:r w:rsidRPr="00633474">
        <w:rPr>
          <w:rFonts w:ascii="Verdana" w:hAnsi="Verdana" w:cs="Arial"/>
          <w:sz w:val="14"/>
          <w:szCs w:val="14"/>
        </w:rPr>
        <w:t xml:space="preserve"> </w:t>
      </w:r>
      <w:r w:rsidRPr="00633474">
        <w:rPr>
          <w:rFonts w:ascii="Verdana" w:eastAsia="Calibri" w:hAnsi="Verdana" w:cs="Arial"/>
          <w:color w:val="000000"/>
          <w:sz w:val="14"/>
          <w:szCs w:val="14"/>
        </w:rPr>
        <w:t>“</w:t>
      </w:r>
      <w:bookmarkStart w:id="4" w:name="33"/>
      <w:r w:rsidRPr="00633474">
        <w:rPr>
          <w:rFonts w:ascii="Verdana" w:eastAsia="Times New Roman" w:hAnsi="Verdana" w:cs="Arial"/>
          <w:sz w:val="14"/>
          <w:szCs w:val="14"/>
        </w:rPr>
        <w:t>Artículo 33. Restricciones a la contratación pública.</w:t>
      </w:r>
      <w:bookmarkEnd w:id="4"/>
      <w:r w:rsidRPr="00633474">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096DCA4F" w14:textId="77777777" w:rsidR="000A52DE" w:rsidRDefault="000A52DE" w:rsidP="000A52DE">
      <w:pPr>
        <w:spacing w:after="0" w:line="240" w:lineRule="auto"/>
        <w:ind w:firstLine="709"/>
        <w:jc w:val="both"/>
        <w:rPr>
          <w:rFonts w:ascii="Verdana" w:eastAsia="Times New Roman" w:hAnsi="Verdana" w:cs="Arial"/>
          <w:sz w:val="16"/>
          <w:szCs w:val="16"/>
        </w:rPr>
      </w:pPr>
      <w:r w:rsidRPr="00633474">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633474">
        <w:rPr>
          <w:rFonts w:ascii="Verdana" w:eastAsia="Calibri" w:hAnsi="Verdana" w:cs="Arial"/>
          <w:color w:val="000000"/>
          <w:sz w:val="14"/>
          <w:szCs w:val="14"/>
        </w:rPr>
        <w:t>”</w:t>
      </w:r>
      <w:r w:rsidRPr="00633474">
        <w:rPr>
          <w:rFonts w:ascii="Verdana" w:eastAsia="Times New Roman" w:hAnsi="Verdana" w:cs="Arial"/>
          <w:sz w:val="14"/>
          <w:szCs w:val="14"/>
        </w:rPr>
        <w:t>.</w:t>
      </w:r>
    </w:p>
  </w:footnote>
  <w:footnote w:id="8">
    <w:p w14:paraId="53F6F8B9" w14:textId="77777777" w:rsidR="000A52DE" w:rsidRPr="00810BC3" w:rsidRDefault="000A52DE" w:rsidP="000A52DE">
      <w:pPr>
        <w:pStyle w:val="NormalWeb"/>
        <w:spacing w:before="0" w:beforeAutospacing="0" w:after="0" w:afterAutospacing="0"/>
        <w:ind w:firstLine="709"/>
        <w:contextualSpacing/>
        <w:jc w:val="both"/>
        <w:rPr>
          <w:rFonts w:ascii="Verdana" w:hAnsi="Verdana" w:cs="Arial"/>
          <w:sz w:val="12"/>
          <w:szCs w:val="12"/>
          <w:lang w:val="es-MX"/>
        </w:rPr>
      </w:pPr>
      <w:r w:rsidRPr="00810BC3">
        <w:rPr>
          <w:rStyle w:val="Refdenotaalpie"/>
          <w:rFonts w:eastAsiaTheme="majorEastAsia" w:cs="Arial"/>
          <w:sz w:val="12"/>
          <w:szCs w:val="12"/>
        </w:rPr>
        <w:footnoteRef/>
      </w:r>
      <w:r w:rsidRPr="00810BC3">
        <w:rPr>
          <w:rFonts w:ascii="Verdana" w:hAnsi="Verdana" w:cs="Arial"/>
          <w:sz w:val="12"/>
          <w:szCs w:val="12"/>
        </w:rPr>
        <w:t xml:space="preserve"> </w:t>
      </w:r>
      <w:r w:rsidRPr="00810BC3">
        <w:rPr>
          <w:rFonts w:ascii="Verdana" w:eastAsia="Calibri" w:hAnsi="Verdana" w:cs="Arial"/>
          <w:color w:val="000000"/>
          <w:sz w:val="12"/>
          <w:szCs w:val="12"/>
        </w:rPr>
        <w:t>“</w:t>
      </w:r>
      <w:r w:rsidRPr="00810BC3">
        <w:rPr>
          <w:rFonts w:ascii="Verdana" w:hAnsi="Verdana" w:cs="Arial"/>
          <w:sz w:val="12"/>
          <w:szCs w:val="12"/>
          <w:lang w:val="es-MX"/>
        </w:rPr>
        <w:t>Artículo 38. Prohibiciones para los servidores públicos. A los empleados del Estado les está prohibido: […]</w:t>
      </w:r>
    </w:p>
    <w:p w14:paraId="44B0C65C" w14:textId="77777777" w:rsidR="000A52DE" w:rsidRPr="00810BC3" w:rsidRDefault="000A52DE" w:rsidP="000A52DE">
      <w:pPr>
        <w:pStyle w:val="NormalWeb"/>
        <w:spacing w:before="0" w:beforeAutospacing="0" w:after="0" w:afterAutospacing="0"/>
        <w:ind w:firstLine="709"/>
        <w:contextualSpacing/>
        <w:jc w:val="both"/>
        <w:rPr>
          <w:rFonts w:ascii="Verdana" w:hAnsi="Verdana" w:cs="Arial"/>
          <w:sz w:val="12"/>
          <w:szCs w:val="12"/>
          <w:lang w:val="es-MX"/>
        </w:rPr>
      </w:pPr>
      <w:r w:rsidRPr="00810BC3">
        <w:rPr>
          <w:rStyle w:val="baj"/>
          <w:rFonts w:ascii="Verdana" w:hAnsi="Verdana" w:cs="Arial"/>
          <w:sz w:val="12"/>
          <w:szCs w:val="12"/>
          <w:lang w:val="es-MX"/>
        </w:rPr>
        <w:t>Parágrafo.</w:t>
      </w:r>
      <w:r w:rsidRPr="00810BC3">
        <w:rPr>
          <w:rFonts w:ascii="Verdana" w:hAnsi="Verdana" w:cs="Arial"/>
          <w:sz w:val="12"/>
          <w:szCs w:val="12"/>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810BC3">
        <w:rPr>
          <w:rFonts w:ascii="Verdana" w:eastAsia="Calibri" w:hAnsi="Verdana" w:cs="Arial"/>
          <w:color w:val="000000"/>
          <w:sz w:val="12"/>
          <w:szCs w:val="12"/>
        </w:rPr>
        <w:t>”</w:t>
      </w:r>
      <w:r w:rsidRPr="00810BC3">
        <w:rPr>
          <w:rFonts w:ascii="Verdana" w:hAnsi="Verdana" w:cs="Arial"/>
          <w:sz w:val="12"/>
          <w:szCs w:val="12"/>
          <w:lang w:val="es-MX"/>
        </w:rPr>
        <w:t>.</w:t>
      </w:r>
    </w:p>
  </w:footnote>
  <w:footnote w:id="9">
    <w:p w14:paraId="4CB67DDB" w14:textId="77777777" w:rsidR="000A52DE" w:rsidRPr="0016660C" w:rsidRDefault="000A52DE" w:rsidP="000A52DE">
      <w:pPr>
        <w:spacing w:after="0" w:line="240" w:lineRule="auto"/>
        <w:ind w:left="100" w:right="244" w:firstLine="709"/>
        <w:contextualSpacing/>
        <w:jc w:val="both"/>
        <w:rPr>
          <w:rFonts w:ascii="Verdana" w:hAnsi="Verdana" w:cs="Arial"/>
          <w:sz w:val="16"/>
          <w:szCs w:val="16"/>
          <w:lang w:val="es-ES"/>
        </w:rPr>
      </w:pPr>
      <w:r w:rsidRPr="00810BC3">
        <w:rPr>
          <w:rStyle w:val="Refdenotaalpie"/>
          <w:rFonts w:cs="Arial"/>
          <w:sz w:val="12"/>
          <w:szCs w:val="12"/>
        </w:rPr>
        <w:footnoteRef/>
      </w:r>
      <w:r w:rsidRPr="00810BC3">
        <w:rPr>
          <w:rFonts w:ascii="Verdana" w:hAnsi="Verdana" w:cs="Arial"/>
          <w:sz w:val="12"/>
          <w:szCs w:val="12"/>
        </w:rPr>
        <w:t xml:space="preserve"> Consejo de Estado. Sala de Consulta y Servicio Civil. Concepto del 17 de febrero de 2015. C.P. William Zambrano Cetina. Radicación No. 11001-03-06-000-2015-00164-00(2269).</w:t>
      </w:r>
    </w:p>
  </w:footnote>
  <w:footnote w:id="10">
    <w:p w14:paraId="10070A83" w14:textId="77777777" w:rsidR="000A52DE" w:rsidRPr="00810BC3" w:rsidRDefault="000A52DE" w:rsidP="000A52DE">
      <w:pPr>
        <w:pStyle w:val="Textonotapie"/>
        <w:ind w:right="51" w:firstLine="709"/>
        <w:jc w:val="both"/>
        <w:rPr>
          <w:rFonts w:ascii="Verdana" w:hAnsi="Verdana" w:cs="Arial"/>
          <w:sz w:val="12"/>
          <w:szCs w:val="12"/>
        </w:rPr>
      </w:pPr>
      <w:r w:rsidRPr="00810BC3">
        <w:rPr>
          <w:rStyle w:val="Refdenotaalpie"/>
          <w:rFonts w:cs="Arial"/>
          <w:sz w:val="12"/>
          <w:szCs w:val="12"/>
        </w:rPr>
        <w:footnoteRef/>
      </w:r>
      <w:r w:rsidRPr="00810BC3">
        <w:rPr>
          <w:rFonts w:ascii="Verdana" w:hAnsi="Verdana" w:cs="Arial"/>
          <w:sz w:val="12"/>
          <w:szCs w:val="12"/>
        </w:rPr>
        <w:t xml:space="preserve"> “</w:t>
      </w:r>
      <w:r w:rsidRPr="00810BC3">
        <w:rPr>
          <w:rFonts w:ascii="Verdana" w:hAnsi="Verdana" w:cs="Arial"/>
          <w:sz w:val="12"/>
          <w:szCs w:val="12"/>
          <w:lang w:val="es-ES"/>
        </w:rPr>
        <w:t xml:space="preserve">[25] </w:t>
      </w:r>
      <w:r w:rsidRPr="00810BC3">
        <w:rPr>
          <w:rFonts w:ascii="Verdana" w:hAnsi="Verdana" w:cs="Arial"/>
          <w:sz w:val="12"/>
          <w:szCs w:val="12"/>
        </w:rPr>
        <w:t>Cfr. Consejo de Estado. Sección Tercera. Sentencia de 3 de diciembre de 2007. Radicados: 24.715, 25.206, 25.409, 24.524, 27.834, 25.410, 26.105, 28.244, 31.447 -acumulados</w:t>
      </w:r>
      <w:proofErr w:type="gramStart"/>
      <w:r w:rsidRPr="00810BC3">
        <w:rPr>
          <w:rFonts w:ascii="Verdana" w:hAnsi="Verdana" w:cs="Arial"/>
          <w:sz w:val="12"/>
          <w:szCs w:val="12"/>
        </w:rPr>
        <w:t>-“</w:t>
      </w:r>
      <w:proofErr w:type="gramEnd"/>
      <w:r w:rsidRPr="00810BC3">
        <w:rPr>
          <w:rFonts w:ascii="Verdana" w:hAnsi="Verdana" w:cs="Arial"/>
          <w:sz w:val="12"/>
          <w:szCs w:val="12"/>
        </w:rPr>
        <w:t>.</w:t>
      </w:r>
    </w:p>
  </w:footnote>
  <w:footnote w:id="11">
    <w:p w14:paraId="792AEFCB" w14:textId="77777777" w:rsidR="000A52DE" w:rsidRPr="00810BC3" w:rsidRDefault="000A52DE" w:rsidP="000A52DE">
      <w:pPr>
        <w:pStyle w:val="Textonotapie"/>
        <w:ind w:right="51" w:firstLine="709"/>
        <w:jc w:val="both"/>
        <w:rPr>
          <w:rFonts w:ascii="Verdana" w:hAnsi="Verdana" w:cs="Arial"/>
          <w:sz w:val="12"/>
          <w:szCs w:val="12"/>
        </w:rPr>
      </w:pPr>
      <w:r w:rsidRPr="00810BC3">
        <w:rPr>
          <w:rStyle w:val="Refdenotaalpie"/>
          <w:rFonts w:cs="Arial"/>
          <w:sz w:val="12"/>
          <w:szCs w:val="12"/>
        </w:rPr>
        <w:footnoteRef/>
      </w:r>
      <w:r w:rsidRPr="00810BC3">
        <w:rPr>
          <w:rFonts w:ascii="Verdana" w:hAnsi="Verdana" w:cs="Arial"/>
          <w:sz w:val="12"/>
          <w:szCs w:val="12"/>
        </w:rPr>
        <w:t xml:space="preserve"> “</w:t>
      </w:r>
      <w:r w:rsidRPr="00810BC3">
        <w:rPr>
          <w:rFonts w:ascii="Verdana" w:hAnsi="Verdana" w:cs="Arial"/>
          <w:sz w:val="12"/>
          <w:szCs w:val="12"/>
          <w:lang w:val="es-ES"/>
        </w:rPr>
        <w:t xml:space="preserve">[26] </w:t>
      </w:r>
      <w:r w:rsidRPr="00810BC3">
        <w:rPr>
          <w:rFonts w:ascii="Verdana" w:hAnsi="Verdana" w:cs="Arial"/>
          <w:sz w:val="12"/>
          <w:szCs w:val="12"/>
        </w:rPr>
        <w:t>Al respecto ver el concepto 1712 de 2 de febrero de 2006. Consejo de Estado Sala de Consulta y Servicio Civil”.</w:t>
      </w:r>
    </w:p>
  </w:footnote>
  <w:footnote w:id="12">
    <w:p w14:paraId="7F3E4564" w14:textId="77777777" w:rsidR="000A52DE" w:rsidRPr="00810BC3" w:rsidRDefault="000A52DE" w:rsidP="000A52DE">
      <w:pPr>
        <w:pStyle w:val="Textonotapie"/>
        <w:ind w:firstLine="709"/>
        <w:jc w:val="both"/>
        <w:rPr>
          <w:rFonts w:ascii="Verdana" w:hAnsi="Verdana" w:cs="Arial"/>
          <w:sz w:val="12"/>
          <w:szCs w:val="12"/>
        </w:rPr>
      </w:pPr>
      <w:r w:rsidRPr="00810BC3">
        <w:rPr>
          <w:rStyle w:val="Refdenotaalpie"/>
          <w:rFonts w:cs="Arial"/>
          <w:sz w:val="12"/>
          <w:szCs w:val="12"/>
        </w:rPr>
        <w:footnoteRef/>
      </w:r>
      <w:r w:rsidRPr="00810BC3">
        <w:rPr>
          <w:rFonts w:ascii="Verdana" w:hAnsi="Verdana" w:cs="Arial"/>
          <w:sz w:val="12"/>
          <w:szCs w:val="12"/>
        </w:rPr>
        <w:t xml:space="preserve"> Consejo de Estado. Sala de Consulta y Servicio Civil. Concepto del 2 de septiembre de 2013. Radicación número: 11001-03-06-000-2013-00412-00 (2168). Consejero Ponente: Álvaro Namén Vargas.</w:t>
      </w:r>
    </w:p>
  </w:footnote>
  <w:footnote w:id="13">
    <w:p w14:paraId="12F8F6E8" w14:textId="77777777" w:rsidR="000A52DE" w:rsidRPr="00810BC3" w:rsidRDefault="000A52DE" w:rsidP="000A52DE">
      <w:pPr>
        <w:pStyle w:val="Textonotapie"/>
        <w:ind w:firstLine="709"/>
        <w:jc w:val="both"/>
        <w:rPr>
          <w:rFonts w:ascii="Verdana" w:hAnsi="Verdana" w:cs="Arial"/>
          <w:sz w:val="12"/>
          <w:szCs w:val="12"/>
          <w:lang w:val="es-ES"/>
        </w:rPr>
      </w:pPr>
      <w:r w:rsidRPr="00810BC3">
        <w:rPr>
          <w:rStyle w:val="Refdenotaalpie"/>
          <w:rFonts w:cs="Arial"/>
          <w:sz w:val="12"/>
          <w:szCs w:val="12"/>
        </w:rPr>
        <w:footnoteRef/>
      </w:r>
      <w:r w:rsidRPr="00810BC3">
        <w:rPr>
          <w:rFonts w:ascii="Verdana" w:hAnsi="Verdana" w:cs="Arial"/>
          <w:sz w:val="12"/>
          <w:szCs w:val="12"/>
        </w:rPr>
        <w:t xml:space="preserve"> </w:t>
      </w:r>
      <w:r w:rsidRPr="00810BC3">
        <w:rPr>
          <w:rFonts w:ascii="Verdana" w:hAnsi="Verdana" w:cs="Arial"/>
          <w:sz w:val="12"/>
          <w:szCs w:val="12"/>
          <w:lang w:val="es-ES"/>
        </w:rPr>
        <w:t xml:space="preserve">Artículo 2. </w:t>
      </w:r>
    </w:p>
  </w:footnote>
  <w:footnote w:id="14">
    <w:p w14:paraId="7424D335" w14:textId="77777777" w:rsidR="000A52DE" w:rsidRPr="00810BC3" w:rsidRDefault="000A52DE" w:rsidP="000A52DE">
      <w:pPr>
        <w:pStyle w:val="Textonotapie"/>
        <w:ind w:firstLine="709"/>
        <w:jc w:val="both"/>
        <w:rPr>
          <w:rFonts w:ascii="Verdana" w:hAnsi="Verdana" w:cs="Arial"/>
          <w:sz w:val="12"/>
          <w:szCs w:val="12"/>
          <w:lang w:val="es-ES"/>
        </w:rPr>
      </w:pPr>
      <w:r w:rsidRPr="00810BC3">
        <w:rPr>
          <w:rStyle w:val="Refdenotaalpie"/>
          <w:rFonts w:cs="Arial"/>
          <w:sz w:val="12"/>
          <w:szCs w:val="12"/>
        </w:rPr>
        <w:footnoteRef/>
      </w:r>
      <w:r w:rsidRPr="00810BC3">
        <w:rPr>
          <w:rFonts w:ascii="Verdana" w:hAnsi="Verdana" w:cs="Arial"/>
          <w:sz w:val="12"/>
          <w:szCs w:val="12"/>
        </w:rPr>
        <w:t xml:space="preserve"> </w:t>
      </w:r>
      <w:r w:rsidRPr="00810BC3">
        <w:rPr>
          <w:rFonts w:ascii="Verdana" w:hAnsi="Verdana" w:cs="Arial"/>
          <w:i/>
          <w:sz w:val="12"/>
          <w:szCs w:val="12"/>
          <w:lang w:val="es-ES"/>
        </w:rPr>
        <w:t>Ídem</w:t>
      </w:r>
      <w:r w:rsidRPr="00810BC3">
        <w:rPr>
          <w:rFonts w:ascii="Verdana" w:hAnsi="Verdana" w:cs="Arial"/>
          <w:sz w:val="12"/>
          <w:szCs w:val="12"/>
          <w:lang w:val="es-ES"/>
        </w:rPr>
        <w:t>.</w:t>
      </w:r>
    </w:p>
  </w:footnote>
  <w:footnote w:id="15">
    <w:p w14:paraId="43C7898C" w14:textId="77777777" w:rsidR="000A52DE" w:rsidRPr="003E7D05" w:rsidRDefault="000A52DE" w:rsidP="000A52DE">
      <w:pPr>
        <w:pStyle w:val="Textonotapie"/>
        <w:ind w:firstLine="709"/>
        <w:jc w:val="both"/>
        <w:rPr>
          <w:rFonts w:ascii="Verdana" w:hAnsi="Verdana" w:cs="Arial"/>
          <w:sz w:val="14"/>
          <w:szCs w:val="14"/>
          <w:lang w:val="es-ES"/>
        </w:rPr>
      </w:pPr>
      <w:r w:rsidRPr="00810BC3">
        <w:rPr>
          <w:rStyle w:val="Refdenotaalpie"/>
          <w:rFonts w:cs="Arial"/>
          <w:sz w:val="12"/>
          <w:szCs w:val="12"/>
        </w:rPr>
        <w:footnoteRef/>
      </w:r>
      <w:r w:rsidRPr="00810BC3">
        <w:rPr>
          <w:rStyle w:val="Refdenotaalpie"/>
          <w:rFonts w:cs="Arial"/>
          <w:sz w:val="12"/>
          <w:szCs w:val="12"/>
        </w:rPr>
        <w:t xml:space="preserve"> </w:t>
      </w:r>
      <w:r w:rsidRPr="00810BC3">
        <w:rPr>
          <w:rFonts w:ascii="Verdana" w:hAnsi="Verdana" w:cs="Arial"/>
          <w:sz w:val="12"/>
          <w:szCs w:val="12"/>
          <w:lang w:val="es-ES"/>
        </w:rPr>
        <w:t>“[…] A este respecto, cabe recordar que el artículo 860 del Código de Comercio regula la licitación en el derecho privado”.</w:t>
      </w:r>
      <w:r w:rsidRPr="003E7D05">
        <w:rPr>
          <w:rFonts w:ascii="Verdana" w:hAnsi="Verdana" w:cs="Arial"/>
          <w:sz w:val="14"/>
          <w:szCs w:val="14"/>
          <w:lang w:val="es-ES"/>
        </w:rPr>
        <w:t xml:space="preserve"> </w:t>
      </w:r>
    </w:p>
  </w:footnote>
  <w:footnote w:id="16">
    <w:p w14:paraId="58F48BE9" w14:textId="77777777" w:rsidR="000A52DE" w:rsidRPr="003E7D05" w:rsidRDefault="000A52DE" w:rsidP="000A52DE">
      <w:pPr>
        <w:shd w:val="clear" w:color="auto" w:fill="FFFFFF"/>
        <w:spacing w:after="0" w:line="240" w:lineRule="auto"/>
        <w:ind w:firstLine="709"/>
        <w:jc w:val="both"/>
        <w:rPr>
          <w:rFonts w:ascii="Verdana" w:hAnsi="Verdana" w:cs="Arial"/>
          <w:sz w:val="14"/>
          <w:szCs w:val="14"/>
          <w:lang w:val="es-ES"/>
        </w:rPr>
      </w:pPr>
      <w:r w:rsidRPr="003E7D05">
        <w:rPr>
          <w:rStyle w:val="Refdenotaalpie"/>
          <w:rFonts w:cs="Arial"/>
          <w:sz w:val="14"/>
          <w:szCs w:val="14"/>
        </w:rPr>
        <w:footnoteRef/>
      </w:r>
      <w:r w:rsidRPr="003E7D05">
        <w:rPr>
          <w:rStyle w:val="Refdenotaalpie"/>
          <w:rFonts w:cs="Arial"/>
          <w:sz w:val="14"/>
          <w:szCs w:val="14"/>
        </w:rPr>
        <w:t xml:space="preserve"> </w:t>
      </w:r>
      <w:r w:rsidRPr="003E7D05">
        <w:rPr>
          <w:rFonts w:ascii="Verdana" w:hAnsi="Verdana" w:cs="Arial"/>
          <w:sz w:val="14"/>
          <w:szCs w:val="14"/>
          <w:lang w:val="es-ES"/>
        </w:rPr>
        <w:t>Consejo de Estado. Sala de Consulta y Servicio Civil, Concepto de 8 de mayo de 2018. Radicación Número: 11001-03-06-000-2018-00095-00(2382). C.P. Álvaro Namén Vargas.</w:t>
      </w:r>
    </w:p>
  </w:footnote>
  <w:footnote w:id="17">
    <w:p w14:paraId="38A8517F" w14:textId="77777777" w:rsidR="000A52DE" w:rsidRDefault="000A52DE" w:rsidP="000A52DE">
      <w:pPr>
        <w:pStyle w:val="Textonotapie"/>
        <w:ind w:firstLine="709"/>
        <w:jc w:val="both"/>
        <w:rPr>
          <w:rFonts w:ascii="Verdana" w:hAnsi="Verdana" w:cs="Arial"/>
          <w:sz w:val="16"/>
          <w:szCs w:val="16"/>
        </w:rPr>
      </w:pPr>
      <w:r w:rsidRPr="003E7D05">
        <w:rPr>
          <w:rStyle w:val="Refdenotaalpie"/>
          <w:rFonts w:cs="Arial"/>
          <w:sz w:val="14"/>
          <w:szCs w:val="14"/>
        </w:rPr>
        <w:footnoteRef/>
      </w:r>
      <w:r w:rsidRPr="003E7D05">
        <w:rPr>
          <w:rFonts w:ascii="Verdana" w:hAnsi="Verdana" w:cs="Arial"/>
          <w:sz w:val="14"/>
          <w:szCs w:val="14"/>
        </w:rPr>
        <w:t xml:space="preserve"> Consejo de Estado. Sala de Consulta y Servicio Civil. Concepto del 08 de mayo de 2018. Exp. 2.382. C.P. Álvaro Namén Vargas.</w:t>
      </w:r>
    </w:p>
  </w:footnote>
  <w:footnote w:id="18">
    <w:p w14:paraId="2C4B4589" w14:textId="77777777" w:rsidR="000A52DE" w:rsidRPr="003E7D05" w:rsidRDefault="000A52DE" w:rsidP="000A52DE">
      <w:pPr>
        <w:pStyle w:val="Textonotapie"/>
        <w:ind w:firstLine="709"/>
        <w:jc w:val="both"/>
        <w:rPr>
          <w:rFonts w:ascii="Verdana" w:hAnsi="Verdana" w:cs="Arial"/>
          <w:sz w:val="14"/>
          <w:szCs w:val="14"/>
        </w:rPr>
      </w:pPr>
      <w:r w:rsidRPr="003E7D05">
        <w:rPr>
          <w:rStyle w:val="Refdenotaalpie"/>
          <w:rFonts w:cs="Arial"/>
          <w:sz w:val="14"/>
          <w:szCs w:val="14"/>
        </w:rPr>
        <w:footnoteRef/>
      </w:r>
      <w:r w:rsidRPr="003E7D05">
        <w:rPr>
          <w:rFonts w:ascii="Verdana" w:hAnsi="Verdana" w:cs="Arial"/>
          <w:sz w:val="14"/>
          <w:szCs w:val="14"/>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19">
    <w:p w14:paraId="5EB76EC9" w14:textId="77777777" w:rsidR="000A52DE" w:rsidRPr="003E7D05" w:rsidRDefault="000A52DE" w:rsidP="000A52DE">
      <w:pPr>
        <w:pStyle w:val="Textonotapie"/>
        <w:ind w:firstLine="709"/>
        <w:jc w:val="both"/>
        <w:rPr>
          <w:sz w:val="14"/>
          <w:szCs w:val="14"/>
          <w:lang w:val="es-CO"/>
        </w:rPr>
      </w:pPr>
      <w:r w:rsidRPr="003E7D05">
        <w:rPr>
          <w:rStyle w:val="Refdenotaalpie"/>
          <w:sz w:val="14"/>
          <w:szCs w:val="14"/>
        </w:rPr>
        <w:footnoteRef/>
      </w:r>
      <w:r w:rsidRPr="003E7D05">
        <w:rPr>
          <w:sz w:val="14"/>
          <w:szCs w:val="14"/>
        </w:rPr>
        <w:t xml:space="preserve"> </w:t>
      </w:r>
      <w:r w:rsidRPr="003E7D05">
        <w:rPr>
          <w:rFonts w:ascii="Verdana" w:hAnsi="Verdana" w:cs="Arial"/>
          <w:sz w:val="14"/>
          <w:szCs w:val="14"/>
        </w:rPr>
        <w:t>Consejo de Estado. Sala de Consulta y Servicio Civil</w:t>
      </w:r>
      <w:r w:rsidRPr="003E7D05">
        <w:rPr>
          <w:rFonts w:ascii="Verdana" w:eastAsia="Times New Roman" w:hAnsi="Verdana" w:cs="Arial"/>
          <w:bCs/>
          <w:sz w:val="14"/>
          <w:szCs w:val="14"/>
          <w:lang w:val="es-ES_tradnl" w:eastAsia="x-none"/>
        </w:rPr>
        <w:t xml:space="preserve">. Conceptos 1727 de fecha 20 de febrero de 2006, </w:t>
      </w:r>
      <w:r w:rsidRPr="003E7D05">
        <w:rPr>
          <w:rFonts w:ascii="Verdana" w:eastAsia="Times New Roman" w:hAnsi="Verdana" w:cs="Arial"/>
          <w:bCs/>
          <w:sz w:val="14"/>
          <w:szCs w:val="14"/>
          <w:lang w:eastAsia="x-none"/>
        </w:rPr>
        <w:t>1738 del 6 de abril de 2006</w:t>
      </w:r>
    </w:p>
  </w:footnote>
  <w:footnote w:id="20">
    <w:p w14:paraId="3E2202F1" w14:textId="77777777" w:rsidR="000A52DE" w:rsidRDefault="000A52DE" w:rsidP="000A52DE">
      <w:pPr>
        <w:pStyle w:val="Textonotapie"/>
        <w:ind w:right="51" w:firstLine="709"/>
        <w:jc w:val="both"/>
        <w:rPr>
          <w:rFonts w:ascii="Verdana" w:hAnsi="Verdana" w:cs="Arial"/>
          <w:sz w:val="16"/>
          <w:szCs w:val="16"/>
        </w:rPr>
      </w:pPr>
      <w:r w:rsidRPr="003E7D05">
        <w:rPr>
          <w:rStyle w:val="Refdenotaalpie"/>
          <w:rFonts w:cs="Arial"/>
          <w:sz w:val="14"/>
          <w:szCs w:val="14"/>
        </w:rPr>
        <w:footnoteRef/>
      </w:r>
      <w:r w:rsidRPr="003E7D05">
        <w:rPr>
          <w:rFonts w:ascii="Verdana" w:hAnsi="Verdana" w:cs="Arial"/>
          <w:sz w:val="14"/>
          <w:szCs w:val="14"/>
        </w:rPr>
        <w:t xml:space="preserve"> Consejo de Estado. Sala de Consulta y Servicio Civil, ídem.</w:t>
      </w:r>
    </w:p>
  </w:footnote>
  <w:footnote w:id="21">
    <w:p w14:paraId="39D79CEF" w14:textId="77777777" w:rsidR="000A52DE" w:rsidRPr="005B38B7" w:rsidRDefault="000A52DE" w:rsidP="000A52DE">
      <w:pPr>
        <w:pStyle w:val="Textonotapie"/>
        <w:ind w:firstLine="708"/>
        <w:jc w:val="both"/>
        <w:rPr>
          <w:rFonts w:ascii="Verdana" w:hAnsi="Verdana"/>
          <w:sz w:val="14"/>
          <w:szCs w:val="14"/>
          <w:lang w:val="es-ES"/>
        </w:rPr>
      </w:pPr>
      <w:r w:rsidRPr="005B38B7">
        <w:rPr>
          <w:rStyle w:val="Refdenotaalpie"/>
          <w:sz w:val="14"/>
          <w:szCs w:val="14"/>
        </w:rPr>
        <w:footnoteRef/>
      </w:r>
      <w:r w:rsidRPr="005B38B7">
        <w:rPr>
          <w:rFonts w:ascii="Verdana" w:hAnsi="Verdana"/>
          <w:sz w:val="14"/>
          <w:szCs w:val="14"/>
        </w:rPr>
        <w:t xml:space="preserve"> Para Berrocal Guerrero, el acto administrativo es entendido como: […] TODA </w:t>
      </w:r>
      <w:r w:rsidRPr="005B38B7">
        <w:rPr>
          <w:rFonts w:ascii="Verdana" w:hAnsi="Verdana"/>
          <w:b/>
          <w:bCs/>
          <w:sz w:val="14"/>
          <w:szCs w:val="14"/>
        </w:rPr>
        <w:t>DECLARACIÓN</w:t>
      </w:r>
      <w:r w:rsidRPr="005B38B7">
        <w:rPr>
          <w:rFonts w:ascii="Verdana" w:hAnsi="Verdana"/>
          <w:sz w:val="14"/>
          <w:szCs w:val="14"/>
        </w:rPr>
        <w:t xml:space="preserve"> DE VOLUNTAD, JUICIO, COGNICIÓN O DESEO QUE SE PROFIERE DE MANERA </w:t>
      </w:r>
      <w:r w:rsidRPr="005B38B7">
        <w:rPr>
          <w:rFonts w:ascii="Verdana" w:hAnsi="Verdana"/>
          <w:b/>
          <w:bCs/>
          <w:sz w:val="14"/>
          <w:szCs w:val="14"/>
        </w:rPr>
        <w:t>UNILATERAL</w:t>
      </w:r>
      <w:r w:rsidRPr="005B38B7">
        <w:rPr>
          <w:rFonts w:ascii="Verdana" w:hAnsi="Verdana"/>
          <w:sz w:val="14"/>
          <w:szCs w:val="14"/>
        </w:rPr>
        <w:t xml:space="preserve">, EN EJERCICIO DE LA </w:t>
      </w:r>
      <w:r w:rsidRPr="005B38B7">
        <w:rPr>
          <w:rFonts w:ascii="Verdana" w:hAnsi="Verdana"/>
          <w:b/>
          <w:bCs/>
          <w:sz w:val="14"/>
          <w:szCs w:val="14"/>
        </w:rPr>
        <w:t>FUNCIÓN ADMINISTRATIVA</w:t>
      </w:r>
      <w:r w:rsidRPr="005B38B7">
        <w:rPr>
          <w:rFonts w:ascii="Verdana" w:hAnsi="Verdana"/>
          <w:sz w:val="14"/>
          <w:szCs w:val="14"/>
        </w:rPr>
        <w:t xml:space="preserve">, Y PRODUCE </w:t>
      </w:r>
      <w:r w:rsidRPr="005B38B7">
        <w:rPr>
          <w:rFonts w:ascii="Verdana" w:hAnsi="Verdana"/>
          <w:b/>
          <w:bCs/>
          <w:sz w:val="14"/>
          <w:szCs w:val="14"/>
        </w:rPr>
        <w:t>EFECTOS JURÍDICOS DIRECTOS O DEFINITIVOS</w:t>
      </w:r>
      <w:r w:rsidRPr="005B38B7">
        <w:rPr>
          <w:rFonts w:ascii="Verdana" w:hAnsi="Verdana"/>
          <w:sz w:val="14"/>
          <w:szCs w:val="14"/>
        </w:rPr>
        <w:t xml:space="preserve"> […] (Mayúsculas y negrillas propios del texto) (</w:t>
      </w:r>
      <w:r w:rsidRPr="005B38B7">
        <w:rPr>
          <w:rFonts w:ascii="Verdana" w:hAnsi="Verdana"/>
          <w:sz w:val="14"/>
          <w:szCs w:val="14"/>
          <w:lang w:val="es-ES"/>
        </w:rPr>
        <w:t>BERROCAL GUERRERO, Luis Enrique. Manual del acto administrativo. Según la Ley, la jurisprudencia y la doctrina. 7° ed. Bogotá: Librería Ediciones del Profesional Ltda, 2019, p. 114)</w:t>
      </w:r>
      <w:r w:rsidRPr="005B38B7">
        <w:rPr>
          <w:rFonts w:ascii="Verdana" w:hAnsi="Verdana"/>
          <w:sz w:val="14"/>
          <w:szCs w:val="14"/>
        </w:rPr>
        <w:t xml:space="preserve">. De igual modo, Marín Cortés expresa: “[…] </w:t>
      </w:r>
      <w:r w:rsidRPr="005B38B7">
        <w:rPr>
          <w:rFonts w:ascii="Verdana" w:hAnsi="Verdana"/>
          <w:sz w:val="14"/>
          <w:szCs w:val="14"/>
          <w:lang w:val="es-ES"/>
        </w:rPr>
        <w:t xml:space="preserve">i) una declaración de voluntad -y excepcionalmente la omisión que representa el silencio-, ii) de carácter unilateral, iii) que proviene de cualquier órgano del Estado cuando ejerce la función administrativa (a), o también cuando cumple funciones de control o electoral b), al igual que de los particulares cuando desempeñan las anteriores funciones públicas (c); y iv) produce efectos jurídicos” (MARÍN CORTÉS, Fabián Gonzalo. El concepto de acto administrativo. Texto inédito, p. 9).  </w:t>
      </w:r>
    </w:p>
  </w:footnote>
  <w:footnote w:id="22">
    <w:p w14:paraId="1FAC5E4F" w14:textId="77777777" w:rsidR="000A52DE" w:rsidRPr="005B38B7" w:rsidRDefault="000A52DE" w:rsidP="000A52DE">
      <w:pPr>
        <w:pStyle w:val="Textonotapie"/>
        <w:ind w:firstLine="709"/>
        <w:rPr>
          <w:sz w:val="14"/>
          <w:szCs w:val="14"/>
          <w:lang w:val="es-CO"/>
        </w:rPr>
      </w:pPr>
      <w:r w:rsidRPr="005B38B7">
        <w:rPr>
          <w:rStyle w:val="Refdenotaalpie"/>
          <w:sz w:val="14"/>
          <w:szCs w:val="14"/>
        </w:rPr>
        <w:footnoteRef/>
      </w:r>
      <w:r w:rsidRPr="005B38B7">
        <w:rPr>
          <w:sz w:val="14"/>
          <w:szCs w:val="14"/>
        </w:rPr>
        <w:t xml:space="preserve"> </w:t>
      </w:r>
      <w:r w:rsidRPr="005B38B7">
        <w:rPr>
          <w:rFonts w:ascii="Verdana" w:hAnsi="Verdana" w:cs="Arial"/>
          <w:sz w:val="14"/>
          <w:szCs w:val="14"/>
        </w:rPr>
        <w:t>Consejo de Estado. Sala de Consulta y Servicio Civil</w:t>
      </w:r>
      <w:r w:rsidRPr="005B38B7">
        <w:rPr>
          <w:rFonts w:ascii="Verdana" w:eastAsia="Times New Roman" w:hAnsi="Verdana" w:cs="Arial"/>
          <w:bCs/>
          <w:sz w:val="14"/>
          <w:szCs w:val="14"/>
          <w:lang w:val="es-ES_tradnl" w:eastAsia="x-none"/>
        </w:rPr>
        <w:t xml:space="preserve">. Concepto del 21 de mayo del 2014. </w:t>
      </w:r>
      <w:r w:rsidRPr="005B38B7">
        <w:rPr>
          <w:rFonts w:ascii="Verdana" w:eastAsia="Times New Roman" w:hAnsi="Verdana" w:cs="Arial"/>
          <w:bCs/>
          <w:sz w:val="14"/>
          <w:szCs w:val="14"/>
          <w:lang w:val="es-CO" w:eastAsia="x-none"/>
        </w:rPr>
        <w:t>Radicación número: 11001-03-06-000-2014-00119-00(2212). C.P: Alvaro Namén Vargas.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5pt;height:12.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4DA50AD"/>
    <w:multiLevelType w:val="hybridMultilevel"/>
    <w:tmpl w:val="88361A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51485388">
    <w:abstractNumId w:val="6"/>
  </w:num>
  <w:num w:numId="2" w16cid:durableId="1012337071">
    <w:abstractNumId w:val="2"/>
  </w:num>
  <w:num w:numId="3" w16cid:durableId="755398426">
    <w:abstractNumId w:val="4"/>
  </w:num>
  <w:num w:numId="4" w16cid:durableId="38792091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35212609">
    <w:abstractNumId w:val="2"/>
  </w:num>
  <w:num w:numId="6" w16cid:durableId="1714309339">
    <w:abstractNumId w:val="14"/>
  </w:num>
  <w:num w:numId="7" w16cid:durableId="1815829297">
    <w:abstractNumId w:val="5"/>
  </w:num>
  <w:num w:numId="8" w16cid:durableId="1996451824">
    <w:abstractNumId w:val="13"/>
  </w:num>
  <w:num w:numId="9" w16cid:durableId="348259875">
    <w:abstractNumId w:val="8"/>
  </w:num>
  <w:num w:numId="10" w16cid:durableId="939407657">
    <w:abstractNumId w:val="12"/>
  </w:num>
  <w:num w:numId="11" w16cid:durableId="1979653048">
    <w:abstractNumId w:val="9"/>
  </w:num>
  <w:num w:numId="12" w16cid:durableId="569778735">
    <w:abstractNumId w:val="1"/>
  </w:num>
  <w:num w:numId="13" w16cid:durableId="1811820203">
    <w:abstractNumId w:val="3"/>
  </w:num>
  <w:num w:numId="14" w16cid:durableId="1189680560">
    <w:abstractNumId w:val="15"/>
  </w:num>
  <w:num w:numId="15" w16cid:durableId="705107532">
    <w:abstractNumId w:val="11"/>
  </w:num>
  <w:num w:numId="16" w16cid:durableId="1336148249">
    <w:abstractNumId w:val="0"/>
  </w:num>
  <w:num w:numId="17" w16cid:durableId="1790315217">
    <w:abstractNumId w:val="7"/>
  </w:num>
  <w:num w:numId="18" w16cid:durableId="18883736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2021"/>
    <w:rsid w:val="00082362"/>
    <w:rsid w:val="000A52DE"/>
    <w:rsid w:val="000A683E"/>
    <w:rsid w:val="000B19B9"/>
    <w:rsid w:val="000D0334"/>
    <w:rsid w:val="000D5DA7"/>
    <w:rsid w:val="000F6486"/>
    <w:rsid w:val="00116940"/>
    <w:rsid w:val="00123AD5"/>
    <w:rsid w:val="00125105"/>
    <w:rsid w:val="00127233"/>
    <w:rsid w:val="001275FD"/>
    <w:rsid w:val="0015699B"/>
    <w:rsid w:val="00194C09"/>
    <w:rsid w:val="001A33BF"/>
    <w:rsid w:val="001A6CB9"/>
    <w:rsid w:val="001D1DA3"/>
    <w:rsid w:val="001D210A"/>
    <w:rsid w:val="001E4177"/>
    <w:rsid w:val="001F0B24"/>
    <w:rsid w:val="001F7DC6"/>
    <w:rsid w:val="0022400B"/>
    <w:rsid w:val="002421BB"/>
    <w:rsid w:val="00253455"/>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44BAF"/>
    <w:rsid w:val="003465B2"/>
    <w:rsid w:val="00374F5E"/>
    <w:rsid w:val="00375F12"/>
    <w:rsid w:val="00377E3E"/>
    <w:rsid w:val="003A39E5"/>
    <w:rsid w:val="003A779E"/>
    <w:rsid w:val="003D0F4D"/>
    <w:rsid w:val="003D5B0D"/>
    <w:rsid w:val="003E0499"/>
    <w:rsid w:val="003E4F80"/>
    <w:rsid w:val="003E6439"/>
    <w:rsid w:val="003E6D53"/>
    <w:rsid w:val="003E7D05"/>
    <w:rsid w:val="003F3941"/>
    <w:rsid w:val="00406575"/>
    <w:rsid w:val="00414C74"/>
    <w:rsid w:val="0042722E"/>
    <w:rsid w:val="0044528D"/>
    <w:rsid w:val="004466BE"/>
    <w:rsid w:val="00463F8C"/>
    <w:rsid w:val="00466E39"/>
    <w:rsid w:val="004A1847"/>
    <w:rsid w:val="004A305D"/>
    <w:rsid w:val="004E09CA"/>
    <w:rsid w:val="004F21C4"/>
    <w:rsid w:val="004F685F"/>
    <w:rsid w:val="005566E8"/>
    <w:rsid w:val="00574867"/>
    <w:rsid w:val="00591460"/>
    <w:rsid w:val="005A65E0"/>
    <w:rsid w:val="005B38B7"/>
    <w:rsid w:val="005C3777"/>
    <w:rsid w:val="005C5CDC"/>
    <w:rsid w:val="005D476C"/>
    <w:rsid w:val="005D7A12"/>
    <w:rsid w:val="00607DAB"/>
    <w:rsid w:val="006200BF"/>
    <w:rsid w:val="006219F8"/>
    <w:rsid w:val="006302F7"/>
    <w:rsid w:val="00633474"/>
    <w:rsid w:val="00641D67"/>
    <w:rsid w:val="00646B9F"/>
    <w:rsid w:val="0064729D"/>
    <w:rsid w:val="0066114B"/>
    <w:rsid w:val="00665D70"/>
    <w:rsid w:val="006900D9"/>
    <w:rsid w:val="00706C16"/>
    <w:rsid w:val="0072403C"/>
    <w:rsid w:val="007340C3"/>
    <w:rsid w:val="0075235A"/>
    <w:rsid w:val="00756841"/>
    <w:rsid w:val="007576BA"/>
    <w:rsid w:val="007649AB"/>
    <w:rsid w:val="00771D0C"/>
    <w:rsid w:val="007833AC"/>
    <w:rsid w:val="007B268C"/>
    <w:rsid w:val="007B7171"/>
    <w:rsid w:val="007C03A1"/>
    <w:rsid w:val="007C0C0F"/>
    <w:rsid w:val="007C3DC2"/>
    <w:rsid w:val="007E5497"/>
    <w:rsid w:val="00806F5F"/>
    <w:rsid w:val="00810BC3"/>
    <w:rsid w:val="00820278"/>
    <w:rsid w:val="00824DC3"/>
    <w:rsid w:val="008258C9"/>
    <w:rsid w:val="00844AE9"/>
    <w:rsid w:val="00867101"/>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D71C2"/>
    <w:rsid w:val="009F3A13"/>
    <w:rsid w:val="00A122D3"/>
    <w:rsid w:val="00A14468"/>
    <w:rsid w:val="00A17F13"/>
    <w:rsid w:val="00A20739"/>
    <w:rsid w:val="00A23AF9"/>
    <w:rsid w:val="00A33C78"/>
    <w:rsid w:val="00AB0ADB"/>
    <w:rsid w:val="00AB0AE0"/>
    <w:rsid w:val="00B00C0E"/>
    <w:rsid w:val="00B01B1A"/>
    <w:rsid w:val="00B0381D"/>
    <w:rsid w:val="00B1107F"/>
    <w:rsid w:val="00B44A47"/>
    <w:rsid w:val="00B4749E"/>
    <w:rsid w:val="00B57C33"/>
    <w:rsid w:val="00B62E91"/>
    <w:rsid w:val="00B72CD3"/>
    <w:rsid w:val="00B72FFF"/>
    <w:rsid w:val="00BC365E"/>
    <w:rsid w:val="00BC3D36"/>
    <w:rsid w:val="00BD54A6"/>
    <w:rsid w:val="00BD7F72"/>
    <w:rsid w:val="00BE0F07"/>
    <w:rsid w:val="00BF7425"/>
    <w:rsid w:val="00C04FB3"/>
    <w:rsid w:val="00C11D8B"/>
    <w:rsid w:val="00C15139"/>
    <w:rsid w:val="00C3034F"/>
    <w:rsid w:val="00C32F81"/>
    <w:rsid w:val="00C330EB"/>
    <w:rsid w:val="00C50D69"/>
    <w:rsid w:val="00C5365C"/>
    <w:rsid w:val="00C754BE"/>
    <w:rsid w:val="00C76B1C"/>
    <w:rsid w:val="00C85A91"/>
    <w:rsid w:val="00C86694"/>
    <w:rsid w:val="00C925AC"/>
    <w:rsid w:val="00CB6357"/>
    <w:rsid w:val="00CC1B26"/>
    <w:rsid w:val="00D361FD"/>
    <w:rsid w:val="00D423A2"/>
    <w:rsid w:val="00D4262D"/>
    <w:rsid w:val="00D44E26"/>
    <w:rsid w:val="00D520D8"/>
    <w:rsid w:val="00D63AC2"/>
    <w:rsid w:val="00D7383B"/>
    <w:rsid w:val="00D7788A"/>
    <w:rsid w:val="00DA231B"/>
    <w:rsid w:val="00DC39FC"/>
    <w:rsid w:val="00DD7CB2"/>
    <w:rsid w:val="00DE2D51"/>
    <w:rsid w:val="00DF5254"/>
    <w:rsid w:val="00E02524"/>
    <w:rsid w:val="00E160A7"/>
    <w:rsid w:val="00E16408"/>
    <w:rsid w:val="00E20894"/>
    <w:rsid w:val="00E245AB"/>
    <w:rsid w:val="00E2764C"/>
    <w:rsid w:val="00E27F2E"/>
    <w:rsid w:val="00E50AFE"/>
    <w:rsid w:val="00E75C92"/>
    <w:rsid w:val="00E771DC"/>
    <w:rsid w:val="00E8772A"/>
    <w:rsid w:val="00E90F6B"/>
    <w:rsid w:val="00E92C27"/>
    <w:rsid w:val="00EA0E3D"/>
    <w:rsid w:val="00EC38A7"/>
    <w:rsid w:val="00EE17AA"/>
    <w:rsid w:val="00EE1AA8"/>
    <w:rsid w:val="00F23FEA"/>
    <w:rsid w:val="00F31EDC"/>
    <w:rsid w:val="00F462B3"/>
    <w:rsid w:val="00F5664F"/>
    <w:rsid w:val="00F56722"/>
    <w:rsid w:val="00F666C4"/>
    <w:rsid w:val="00F76AFC"/>
    <w:rsid w:val="00FA47C0"/>
    <w:rsid w:val="00FB5DD1"/>
    <w:rsid w:val="00FC2B5D"/>
    <w:rsid w:val="00FF1449"/>
    <w:rsid w:val="00FF528E"/>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uiPriority w:val="99"/>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44BA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344BAF"/>
    <w:rPr>
      <w:rFonts w:ascii="Geomanist Light" w:hAnsi="Geomanist Light"/>
      <w:lang w:val="es-ES"/>
    </w:rPr>
  </w:style>
  <w:style w:type="paragraph" w:styleId="Textoindependiente">
    <w:name w:val="Body Text"/>
    <w:basedOn w:val="Normal"/>
    <w:link w:val="TextoindependienteCar"/>
    <w:uiPriority w:val="1"/>
    <w:qFormat/>
    <w:rsid w:val="00344BAF"/>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344BAF"/>
    <w:rPr>
      <w:rFonts w:ascii="Verdana" w:eastAsia="Verdana" w:hAnsi="Verdana" w:cs="Verdana"/>
      <w:lang w:val="es-ES"/>
    </w:rPr>
  </w:style>
  <w:style w:type="character" w:customStyle="1" w:styleId="baj">
    <w:name w:val="b_aj"/>
    <w:basedOn w:val="Fuentedeprrafopredeter"/>
    <w:rsid w:val="000A52DE"/>
  </w:style>
  <w:style w:type="character" w:customStyle="1" w:styleId="NormalWebCar">
    <w:name w:val="Normal (Web) Car"/>
    <w:link w:val="NormalWeb"/>
    <w:uiPriority w:val="99"/>
    <w:locked/>
    <w:rsid w:val="000A52DE"/>
    <w:rPr>
      <w:rFonts w:ascii="Times New Roman" w:eastAsia="Times New Roman" w:hAnsi="Times New Roman" w:cs="Times New Roman"/>
      <w:sz w:val="24"/>
      <w:szCs w:val="24"/>
      <w:lang w:eastAsia="es-CO"/>
    </w:rPr>
  </w:style>
  <w:style w:type="paragraph" w:styleId="Subttulo">
    <w:name w:val="Subtitle"/>
    <w:basedOn w:val="Normal"/>
    <w:next w:val="Normal"/>
    <w:link w:val="SubttuloCar"/>
    <w:uiPriority w:val="11"/>
    <w:qFormat/>
    <w:rsid w:val="00C3034F"/>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3034F"/>
    <w:rPr>
      <w:rFonts w:eastAsiaTheme="majorEastAsia" w:cstheme="majorBidi"/>
      <w:color w:val="595959" w:themeColor="text1" w:themeTint="A6"/>
      <w:spacing w:val="15"/>
      <w:sz w:val="28"/>
      <w:szCs w:val="28"/>
    </w:rPr>
  </w:style>
  <w:style w:type="paragraph" w:styleId="Textodeglobo">
    <w:name w:val="Balloon Text"/>
    <w:basedOn w:val="Normal"/>
    <w:link w:val="TextodegloboCar"/>
    <w:uiPriority w:val="99"/>
    <w:semiHidden/>
    <w:unhideWhenUsed/>
    <w:rsid w:val="007C03A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C03A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secambiente@nortedesantander.gov.co" TargetMode="External"/><Relationship Id="rId17" Type="http://schemas.openxmlformats.org/officeDocument/2006/relationships/hyperlink" Target="http://www.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67A2F2-77F5-4091-B4CD-7C4085A3FE01}"/>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B17EF47-5B14-4BE9-8D12-9B0FEB501E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26</Pages>
  <Words>9462</Words>
  <Characters>52045</Characters>
  <Application>Microsoft Office Word</Application>
  <DocSecurity>0</DocSecurity>
  <Lines>963</Lines>
  <Paragraphs>170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Angela Maria Olmos Andrade</cp:lastModifiedBy>
  <cp:revision>88</cp:revision>
  <cp:lastPrinted>2023-01-10T21:18:00Z</cp:lastPrinted>
  <dcterms:created xsi:type="dcterms:W3CDTF">2025-08-19T13:43:00Z</dcterms:created>
  <dcterms:modified xsi:type="dcterms:W3CDTF">2026-03-30T15:03:00Z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