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F2583" w14:textId="77777777" w:rsidR="00D62E4E" w:rsidRPr="00647611" w:rsidRDefault="00D62E4E" w:rsidP="00D62E4E">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608D1E1C" w14:textId="77777777" w:rsidR="00944AB0" w:rsidRDefault="00944AB0" w:rsidP="008218CB">
      <w:pPr>
        <w:spacing w:after="0" w:line="240" w:lineRule="auto"/>
        <w:rPr>
          <w:rFonts w:ascii="Verdana" w:eastAsia="Geomanist Light" w:hAnsi="Verdana" w:cs="Arial"/>
          <w:color w:val="000000" w:themeColor="text1"/>
          <w:lang w:val="es-MX"/>
        </w:rPr>
      </w:pPr>
    </w:p>
    <w:p w14:paraId="7EC7D3A7" w14:textId="04C30119" w:rsidR="000A7BAC" w:rsidRPr="000A7BAC" w:rsidRDefault="000A7BAC" w:rsidP="000A7BAC">
      <w:pPr>
        <w:spacing w:after="0" w:line="240" w:lineRule="auto"/>
        <w:jc w:val="both"/>
        <w:rPr>
          <w:rFonts w:ascii="Verdana" w:eastAsia="Geomanist Light" w:hAnsi="Verdana" w:cs="Arial"/>
          <w:color w:val="000000" w:themeColor="text1"/>
          <w:sz w:val="20"/>
          <w:szCs w:val="20"/>
          <w:lang w:val="es-MX"/>
        </w:rPr>
      </w:pPr>
      <w:r w:rsidRPr="000A7BAC">
        <w:rPr>
          <w:rFonts w:ascii="Verdana" w:eastAsia="Geomanist Light" w:hAnsi="Verdana" w:cs="Arial"/>
          <w:color w:val="000000" w:themeColor="text1"/>
          <w:sz w:val="20"/>
          <w:szCs w:val="20"/>
          <w:lang w:val="es-MX"/>
        </w:rPr>
        <w:t>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9B99A96" w14:textId="77777777" w:rsidR="00944AB0" w:rsidRDefault="00944AB0" w:rsidP="008218CB">
      <w:pPr>
        <w:spacing w:after="0" w:line="240" w:lineRule="auto"/>
        <w:rPr>
          <w:rFonts w:ascii="Verdana" w:eastAsia="Geomanist Light" w:hAnsi="Verdana" w:cs="Arial"/>
          <w:color w:val="000000" w:themeColor="text1"/>
          <w:lang w:val="es-MX"/>
        </w:rPr>
      </w:pPr>
    </w:p>
    <w:p w14:paraId="234FB36B" w14:textId="77777777" w:rsidR="00E32AA3" w:rsidRPr="00647611" w:rsidRDefault="00E32AA3" w:rsidP="00E32AA3">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68D6A238" w14:textId="77777777" w:rsidR="000A7BAC" w:rsidRDefault="000A7BAC" w:rsidP="008218CB">
      <w:pPr>
        <w:spacing w:after="0" w:line="240" w:lineRule="auto"/>
        <w:rPr>
          <w:rFonts w:ascii="Verdana" w:eastAsia="Geomanist Light" w:hAnsi="Verdana" w:cs="Arial"/>
          <w:color w:val="000000" w:themeColor="text1"/>
          <w:lang w:val="es-MX"/>
        </w:rPr>
      </w:pPr>
    </w:p>
    <w:p w14:paraId="4DD46DB0" w14:textId="77777777" w:rsidR="005438FD" w:rsidRDefault="005438FD" w:rsidP="005438FD">
      <w:pPr>
        <w:spacing w:after="0" w:line="240" w:lineRule="auto"/>
        <w:jc w:val="both"/>
        <w:rPr>
          <w:rFonts w:ascii="Verdana" w:eastAsia="Geomanist Light" w:hAnsi="Verdana" w:cs="Arial"/>
          <w:color w:val="000000" w:themeColor="text1"/>
          <w:sz w:val="20"/>
          <w:szCs w:val="20"/>
          <w:lang w:val="es-MX"/>
        </w:rPr>
      </w:pPr>
      <w:r w:rsidRPr="005438FD">
        <w:rPr>
          <w:rFonts w:ascii="Verdana" w:eastAsia="Geomanist Light" w:hAnsi="Verdana" w:cs="Arial"/>
          <w:color w:val="000000" w:themeColor="text1"/>
          <w:sz w:val="20"/>
          <w:szCs w:val="20"/>
          <w:lang w:val="es-MX"/>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5C1CAE6F" w14:textId="77777777" w:rsidR="005438FD" w:rsidRPr="005438FD" w:rsidRDefault="005438FD" w:rsidP="005438FD">
      <w:pPr>
        <w:spacing w:after="0" w:line="240" w:lineRule="auto"/>
        <w:jc w:val="both"/>
        <w:rPr>
          <w:rFonts w:ascii="Verdana" w:eastAsia="Geomanist Light" w:hAnsi="Verdana" w:cs="Arial"/>
          <w:color w:val="000000" w:themeColor="text1"/>
          <w:sz w:val="20"/>
          <w:szCs w:val="20"/>
          <w:lang w:val="es-MX"/>
        </w:rPr>
      </w:pPr>
    </w:p>
    <w:p w14:paraId="2E8BF653" w14:textId="436A2628" w:rsidR="00E32AA3" w:rsidRDefault="005438FD" w:rsidP="005438FD">
      <w:pPr>
        <w:spacing w:after="0" w:line="240" w:lineRule="auto"/>
        <w:jc w:val="both"/>
        <w:rPr>
          <w:rFonts w:ascii="Verdana" w:eastAsia="Geomanist Light" w:hAnsi="Verdana" w:cs="Arial"/>
          <w:color w:val="000000" w:themeColor="text1"/>
          <w:sz w:val="20"/>
          <w:szCs w:val="20"/>
          <w:lang w:val="es-MX"/>
        </w:rPr>
      </w:pPr>
      <w:r w:rsidRPr="005438FD">
        <w:rPr>
          <w:rFonts w:ascii="Verdana" w:eastAsia="Geomanist Light" w:hAnsi="Verdana" w:cs="Arial"/>
          <w:color w:val="000000" w:themeColor="text1"/>
          <w:sz w:val="20"/>
          <w:szCs w:val="20"/>
          <w:lang w:val="es-MX"/>
        </w:rPr>
        <w:t>Por otro,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282414">
        <w:rPr>
          <w:rFonts w:ascii="Verdana" w:eastAsia="Geomanist Light" w:hAnsi="Verdana" w:cs="Arial"/>
          <w:color w:val="000000" w:themeColor="text1"/>
          <w:sz w:val="20"/>
          <w:szCs w:val="20"/>
          <w:lang w:val="es-MX"/>
        </w:rPr>
        <w:t>.</w:t>
      </w:r>
    </w:p>
    <w:p w14:paraId="62A5E4FA" w14:textId="77777777" w:rsidR="00282414" w:rsidRDefault="00282414" w:rsidP="005438FD">
      <w:pPr>
        <w:spacing w:after="0" w:line="240" w:lineRule="auto"/>
        <w:jc w:val="both"/>
        <w:rPr>
          <w:rFonts w:ascii="Verdana" w:eastAsia="Geomanist Light" w:hAnsi="Verdana" w:cs="Arial"/>
          <w:color w:val="000000" w:themeColor="text1"/>
          <w:sz w:val="20"/>
          <w:szCs w:val="20"/>
          <w:lang w:val="es-MX"/>
        </w:rPr>
      </w:pPr>
    </w:p>
    <w:p w14:paraId="7F9065AA" w14:textId="41D248BF" w:rsidR="00282414" w:rsidRPr="00BB3092" w:rsidRDefault="00BB3092" w:rsidP="005438FD">
      <w:pPr>
        <w:spacing w:after="0" w:line="240" w:lineRule="auto"/>
        <w:jc w:val="both"/>
        <w:rPr>
          <w:rFonts w:ascii="Verdana" w:eastAsia="Geomanist Light" w:hAnsi="Verdana" w:cs="Arial"/>
          <w:b/>
          <w:bCs/>
          <w:color w:val="000000" w:themeColor="text1"/>
          <w:sz w:val="20"/>
          <w:szCs w:val="20"/>
          <w:lang w:val="es-MX"/>
        </w:rPr>
      </w:pPr>
      <w:r w:rsidRPr="00BB3092">
        <w:rPr>
          <w:rFonts w:ascii="Verdana" w:eastAsia="Calibri" w:hAnsi="Verdana" w:cs="Arial"/>
          <w:b/>
          <w:bCs/>
          <w:lang w:val="es-ES" w:eastAsia="es-ES"/>
        </w:rPr>
        <w:t>LEY DE GARANTÍAS ELECTORALES – Prohibición artículo 33 – Contratación directa – Alcance</w:t>
      </w:r>
    </w:p>
    <w:p w14:paraId="16262D4B" w14:textId="77777777" w:rsidR="00944AB0" w:rsidRDefault="00944AB0" w:rsidP="008218CB">
      <w:pPr>
        <w:spacing w:after="0" w:line="240" w:lineRule="auto"/>
        <w:rPr>
          <w:rFonts w:ascii="Verdana" w:eastAsia="Geomanist Light" w:hAnsi="Verdana" w:cs="Arial"/>
          <w:color w:val="000000" w:themeColor="text1"/>
          <w:lang w:val="es-MX"/>
        </w:rPr>
      </w:pPr>
    </w:p>
    <w:p w14:paraId="2878FB30" w14:textId="0197DD70" w:rsidR="00944AB0" w:rsidRDefault="00665260" w:rsidP="00665260">
      <w:pPr>
        <w:spacing w:after="0" w:line="240" w:lineRule="auto"/>
        <w:jc w:val="both"/>
        <w:rPr>
          <w:rFonts w:ascii="Verdana" w:eastAsia="Geomanist Light" w:hAnsi="Verdana" w:cs="Arial"/>
          <w:color w:val="000000" w:themeColor="text1"/>
          <w:sz w:val="20"/>
          <w:szCs w:val="20"/>
          <w:lang w:val="es-MX"/>
        </w:rPr>
      </w:pPr>
      <w:r w:rsidRPr="00665260">
        <w:rPr>
          <w:rFonts w:ascii="Verdana" w:eastAsia="Geomanist Light" w:hAnsi="Verdana" w:cs="Arial"/>
          <w:color w:val="000000" w:themeColor="text1"/>
          <w:sz w:val="20"/>
          <w:szCs w:val="20"/>
          <w:lang w:val="es-MX"/>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r>
        <w:rPr>
          <w:rFonts w:ascii="Verdana" w:eastAsia="Geomanist Light" w:hAnsi="Verdana" w:cs="Arial"/>
          <w:color w:val="000000" w:themeColor="text1"/>
          <w:sz w:val="20"/>
          <w:szCs w:val="20"/>
          <w:lang w:val="es-MX"/>
        </w:rPr>
        <w:t>.</w:t>
      </w:r>
    </w:p>
    <w:p w14:paraId="2C52977F" w14:textId="77777777" w:rsidR="00694D1F" w:rsidRDefault="00694D1F" w:rsidP="00665260">
      <w:pPr>
        <w:spacing w:after="0" w:line="240" w:lineRule="auto"/>
        <w:jc w:val="both"/>
        <w:rPr>
          <w:rFonts w:ascii="Verdana" w:eastAsia="Geomanist Light" w:hAnsi="Verdana" w:cs="Arial"/>
          <w:color w:val="000000" w:themeColor="text1"/>
          <w:sz w:val="20"/>
          <w:szCs w:val="20"/>
          <w:lang w:val="es-MX"/>
        </w:rPr>
      </w:pPr>
    </w:p>
    <w:p w14:paraId="1F5B61B0" w14:textId="77777777" w:rsidR="00694D1F" w:rsidRPr="00665260" w:rsidRDefault="00694D1F" w:rsidP="00665260">
      <w:pPr>
        <w:spacing w:after="0" w:line="240" w:lineRule="auto"/>
        <w:jc w:val="both"/>
        <w:rPr>
          <w:rFonts w:ascii="Verdana" w:eastAsia="Geomanist Light" w:hAnsi="Verdana" w:cs="Arial"/>
          <w:color w:val="000000" w:themeColor="text1"/>
          <w:sz w:val="20"/>
          <w:szCs w:val="20"/>
          <w:lang w:val="es-MX"/>
        </w:rPr>
      </w:pPr>
    </w:p>
    <w:p w14:paraId="472854A8" w14:textId="77777777" w:rsidR="00944AB0" w:rsidRDefault="00944AB0" w:rsidP="00665260">
      <w:pPr>
        <w:spacing w:after="0" w:line="240" w:lineRule="auto"/>
        <w:jc w:val="both"/>
        <w:rPr>
          <w:rFonts w:ascii="Verdana" w:eastAsia="Geomanist Light" w:hAnsi="Verdana" w:cs="Arial"/>
          <w:color w:val="000000" w:themeColor="text1"/>
          <w:sz w:val="20"/>
          <w:szCs w:val="20"/>
          <w:lang w:val="es-MX"/>
        </w:rPr>
      </w:pPr>
    </w:p>
    <w:p w14:paraId="186E18B9" w14:textId="0E7C3A23" w:rsidR="00665260" w:rsidRPr="00694D1F" w:rsidRDefault="00665260" w:rsidP="00665260">
      <w:pPr>
        <w:spacing w:after="0" w:line="240" w:lineRule="auto"/>
        <w:jc w:val="both"/>
        <w:rPr>
          <w:rFonts w:ascii="Verdana" w:eastAsia="Geomanist Light" w:hAnsi="Verdana" w:cs="Arial"/>
          <w:b/>
          <w:bCs/>
          <w:color w:val="000000" w:themeColor="text1"/>
          <w:sz w:val="20"/>
          <w:szCs w:val="20"/>
          <w:lang w:val="es-MX"/>
        </w:rPr>
      </w:pPr>
      <w:r w:rsidRPr="00694D1F">
        <w:rPr>
          <w:rFonts w:ascii="Verdana" w:eastAsia="Calibri" w:hAnsi="Verdana" w:cs="Arial"/>
          <w:b/>
          <w:bCs/>
          <w:lang w:val="es-ES" w:eastAsia="es-ES"/>
        </w:rPr>
        <w:lastRenderedPageBreak/>
        <w:t>BIENES PÚBLICOS – Tipos –Bienes Fiscales – Bienes de Uso Público</w:t>
      </w:r>
    </w:p>
    <w:p w14:paraId="5AE112E3" w14:textId="77777777" w:rsidR="00665260" w:rsidRDefault="00665260" w:rsidP="00665260">
      <w:pPr>
        <w:spacing w:after="0" w:line="240" w:lineRule="auto"/>
        <w:jc w:val="both"/>
        <w:rPr>
          <w:rFonts w:ascii="Verdana" w:eastAsia="Geomanist Light" w:hAnsi="Verdana" w:cs="Arial"/>
          <w:color w:val="000000" w:themeColor="text1"/>
          <w:sz w:val="20"/>
          <w:szCs w:val="20"/>
          <w:lang w:val="es-MX"/>
        </w:rPr>
      </w:pPr>
    </w:p>
    <w:p w14:paraId="391CBB68" w14:textId="77777777" w:rsidR="00F66B5B" w:rsidRDefault="00F66B5B" w:rsidP="00B26D60">
      <w:pPr>
        <w:spacing w:after="0" w:line="276" w:lineRule="auto"/>
        <w:jc w:val="both"/>
        <w:rPr>
          <w:rFonts w:ascii="Verdana" w:eastAsia="Times New Roman" w:hAnsi="Verdana" w:cs="Arial"/>
          <w:sz w:val="20"/>
          <w:szCs w:val="20"/>
          <w:lang w:val="es-MX" w:eastAsia="es-ES_tradnl"/>
        </w:rPr>
      </w:pPr>
      <w:r w:rsidRPr="00F66B5B">
        <w:rPr>
          <w:rFonts w:ascii="Verdana" w:eastAsia="Times New Roman" w:hAnsi="Verdana" w:cs="Arial"/>
          <w:sz w:val="20"/>
          <w:szCs w:val="20"/>
          <w:lang w:val="es-ES" w:eastAsia="es-MX"/>
        </w:rPr>
        <w:t xml:space="preserve">Al respecto, </w:t>
      </w:r>
      <w:r w:rsidRPr="00F66B5B">
        <w:rPr>
          <w:rFonts w:ascii="Verdana" w:eastAsia="Times New Roman" w:hAnsi="Verdana" w:cs="Arial"/>
          <w:sz w:val="20"/>
          <w:szCs w:val="20"/>
          <w:lang w:val="es-ES" w:eastAsia="es-ES_tradnl"/>
        </w:rPr>
        <w:t>e</w:t>
      </w:r>
      <w:r w:rsidRPr="00F66B5B">
        <w:rPr>
          <w:rFonts w:ascii="Verdana" w:eastAsia="Times New Roman" w:hAnsi="Verdana" w:cs="Arial"/>
          <w:sz w:val="20"/>
          <w:szCs w:val="20"/>
          <w:lang w:val="es-MX" w:eastAsia="es-ES_tradnl"/>
        </w:rPr>
        <w:t>l artículo 674 del Código Civil define los bienes de dominio público como aquellos que “</w:t>
      </w:r>
      <w:r w:rsidRPr="00F66B5B">
        <w:rPr>
          <w:rFonts w:ascii="Verdana" w:eastAsia="Times New Roman" w:hAnsi="Verdana" w:cs="Arial"/>
          <w:i/>
          <w:iCs/>
          <w:sz w:val="20"/>
          <w:szCs w:val="20"/>
          <w:lang w:val="es-MX" w:eastAsia="es-ES_tradnl"/>
        </w:rPr>
        <w:t xml:space="preserve">[…] pertenece a todos los habitantes de un Territorio, como el de calles, plazas, puentes y caminos, se llaman bienes de la Unión o de uso público o bienes públicos del Territorio”. </w:t>
      </w:r>
      <w:r w:rsidRPr="00F66B5B">
        <w:rPr>
          <w:rFonts w:ascii="Verdana" w:eastAsia="Times New Roman" w:hAnsi="Verdana" w:cs="Arial"/>
          <w:sz w:val="20"/>
          <w:szCs w:val="20"/>
          <w:lang w:val="es-MX" w:eastAsia="es-ES_tradnl"/>
        </w:rPr>
        <w:t>Los bienes de dominio público, de acuerdo con la sentencia C- 183 de 2003 de la Corte Constitucional, son “</w:t>
      </w:r>
      <w:r w:rsidRPr="00F66B5B">
        <w:rPr>
          <w:rFonts w:ascii="Verdana" w:eastAsia="Times New Roman" w:hAnsi="Verdana" w:cs="Arial"/>
          <w:i/>
          <w:iCs/>
          <w:sz w:val="20"/>
          <w:szCs w:val="20"/>
          <w:lang w:val="es-MX" w:eastAsia="es-ES_tradnl"/>
        </w:rPr>
        <w:t>el conjunto de bienes que la administración afecta al uso directo de la comunidad o que lo utiliza para servir a la sociedad”</w:t>
      </w:r>
      <w:r w:rsidRPr="00F66B5B">
        <w:rPr>
          <w:rFonts w:ascii="Verdana" w:eastAsia="Times New Roman" w:hAnsi="Verdana" w:cs="Arial"/>
          <w:sz w:val="20"/>
          <w:szCs w:val="20"/>
          <w:lang w:val="es-MX" w:eastAsia="es-ES_tradnl"/>
        </w:rPr>
        <w:t>. Dentro de esta categoría se encuentran los bienes fiscales y los bienes de uso público.</w:t>
      </w:r>
      <w:r w:rsidRPr="00F66B5B">
        <w:rPr>
          <w:rFonts w:ascii="Verdana" w:eastAsia="Times New Roman" w:hAnsi="Verdana" w:cs="Arial"/>
          <w:sz w:val="20"/>
          <w:szCs w:val="20"/>
          <w:vertAlign w:val="superscript"/>
          <w:lang w:val="es-MX" w:eastAsia="es-ES_tradnl"/>
        </w:rPr>
        <w:footnoteReference w:id="1"/>
      </w:r>
      <w:r w:rsidRPr="00F66B5B">
        <w:rPr>
          <w:rFonts w:ascii="Verdana" w:eastAsia="Times New Roman" w:hAnsi="Verdana" w:cs="Arial"/>
          <w:sz w:val="20"/>
          <w:szCs w:val="20"/>
          <w:lang w:val="es-MX" w:eastAsia="es-ES_tradnl"/>
        </w:rPr>
        <w:t xml:space="preserve"> Los bienes fiscales, de acuerdo con el Alto Tribunal Constitucional</w:t>
      </w:r>
      <w:r w:rsidRPr="00F66B5B">
        <w:rPr>
          <w:rFonts w:ascii="Verdana" w:eastAsia="Times New Roman" w:hAnsi="Verdana" w:cs="Arial"/>
          <w:sz w:val="20"/>
          <w:szCs w:val="20"/>
          <w:vertAlign w:val="superscript"/>
          <w:lang w:val="es-MX" w:eastAsia="es-ES_tradnl"/>
        </w:rPr>
        <w:footnoteReference w:id="2"/>
      </w:r>
      <w:r w:rsidRPr="00F66B5B">
        <w:rPr>
          <w:rFonts w:ascii="Verdana" w:eastAsia="Times New Roman" w:hAnsi="Verdana" w:cs="Arial"/>
          <w:sz w:val="20"/>
          <w:szCs w:val="20"/>
          <w:lang w:val="es-MX" w:eastAsia="es-ES_tradnl"/>
        </w:rPr>
        <w:t xml:space="preserve">, están destinados a la prestación de servicios públicos que la Administración utiliza de forma inmediata, como los edificios donde funcionan las oficinas públicas. </w:t>
      </w:r>
    </w:p>
    <w:p w14:paraId="1561FC81" w14:textId="77777777" w:rsidR="00F66B5B" w:rsidRDefault="00F66B5B" w:rsidP="00B26D60">
      <w:pPr>
        <w:spacing w:after="0" w:line="276" w:lineRule="auto"/>
        <w:jc w:val="both"/>
        <w:rPr>
          <w:rFonts w:ascii="Verdana" w:eastAsia="Times New Roman" w:hAnsi="Verdana" w:cs="Arial"/>
          <w:sz w:val="20"/>
          <w:szCs w:val="20"/>
          <w:lang w:val="es-MX" w:eastAsia="es-ES_tradnl"/>
        </w:rPr>
      </w:pPr>
    </w:p>
    <w:p w14:paraId="372B614D" w14:textId="16409640" w:rsidR="008B3162" w:rsidRDefault="008B3162" w:rsidP="008B3162">
      <w:pPr>
        <w:spacing w:after="0" w:line="276" w:lineRule="auto"/>
        <w:jc w:val="both"/>
        <w:rPr>
          <w:rFonts w:ascii="Verdana" w:eastAsia="Times New Roman" w:hAnsi="Verdana" w:cs="Arial"/>
          <w:b/>
          <w:bCs/>
          <w:noProof/>
          <w:color w:val="000000"/>
          <w:lang w:val="es-ES_tradnl" w:eastAsia="es-ES_tradnl"/>
        </w:rPr>
      </w:pPr>
      <w:r w:rsidRPr="008B3162">
        <w:rPr>
          <w:rFonts w:ascii="Verdana" w:eastAsia="Times New Roman" w:hAnsi="Verdana" w:cs="Arial"/>
          <w:b/>
          <w:bCs/>
          <w:noProof/>
          <w:color w:val="000000"/>
          <w:lang w:val="es-ES_tradnl" w:eastAsia="es-ES_tradnl"/>
        </w:rPr>
        <w:t>CONTRATACIÓN DIRECTA – Causal del artículo 2 numeral 4 literal i de la Ley 1150 de 2007 – interpretación restrictiva – arrendamiento de bienes inmuebles</w:t>
      </w:r>
    </w:p>
    <w:p w14:paraId="3B0678BC" w14:textId="77777777" w:rsidR="008B3162" w:rsidRDefault="008B3162" w:rsidP="008B3162">
      <w:pPr>
        <w:spacing w:after="0" w:line="276" w:lineRule="auto"/>
        <w:jc w:val="both"/>
        <w:rPr>
          <w:rFonts w:ascii="Verdana" w:eastAsia="Times New Roman" w:hAnsi="Verdana" w:cs="Arial"/>
          <w:b/>
          <w:bCs/>
          <w:noProof/>
          <w:color w:val="000000"/>
          <w:lang w:val="es-ES_tradnl" w:eastAsia="es-ES_tradnl"/>
        </w:rPr>
      </w:pPr>
    </w:p>
    <w:p w14:paraId="33C93613" w14:textId="40C0D84B" w:rsidR="008B3162" w:rsidRPr="00090126" w:rsidRDefault="00090126" w:rsidP="008B3162">
      <w:pPr>
        <w:spacing w:after="0" w:line="276" w:lineRule="auto"/>
        <w:jc w:val="both"/>
        <w:rPr>
          <w:rFonts w:ascii="Verdana" w:eastAsia="Times New Roman" w:hAnsi="Verdana" w:cs="Arial"/>
          <w:b/>
          <w:bCs/>
          <w:sz w:val="18"/>
          <w:szCs w:val="18"/>
          <w:lang w:val="es-MX" w:eastAsia="es-ES_tradnl"/>
        </w:rPr>
      </w:pPr>
      <w:r w:rsidRPr="00090126">
        <w:rPr>
          <w:rFonts w:ascii="Verdana" w:eastAsia="Times New Roman" w:hAnsi="Verdana" w:cs="Arial"/>
          <w:sz w:val="20"/>
          <w:szCs w:val="20"/>
          <w:lang w:val="es-ES" w:eastAsia="es-MX"/>
        </w:rPr>
        <w:t xml:space="preserve">Respecto al literal i) del artículo 2.4 de la Ley 1150 de 2011, al igual que el literal e) del derogado artículo 24.1 de la Ley 80 de 1993, el Estatuto General de Contratación de la Administración Pública permite la contratación directa tratándose de “El arrendamiento […] de inmuebles”. </w:t>
      </w:r>
      <w:r w:rsidRPr="00090126">
        <w:rPr>
          <w:rFonts w:ascii="Verdana" w:hAnsi="Verdana" w:cs="Arial"/>
          <w:bCs/>
          <w:color w:val="000000" w:themeColor="text1"/>
          <w:sz w:val="20"/>
          <w:szCs w:val="20"/>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p>
    <w:p w14:paraId="60120F4C" w14:textId="77777777" w:rsidR="00F66B5B" w:rsidRDefault="00F66B5B" w:rsidP="00B26D60">
      <w:pPr>
        <w:spacing w:after="0" w:line="276" w:lineRule="auto"/>
        <w:jc w:val="both"/>
        <w:rPr>
          <w:rFonts w:ascii="Verdana" w:eastAsia="Times New Roman" w:hAnsi="Verdana" w:cs="Arial"/>
          <w:i/>
          <w:iCs/>
          <w:sz w:val="20"/>
          <w:szCs w:val="20"/>
          <w:lang w:val="es-MX" w:eastAsia="es-ES_tradnl"/>
        </w:rPr>
      </w:pPr>
    </w:p>
    <w:p w14:paraId="0305C66D" w14:textId="675BD9A4" w:rsidR="00090126" w:rsidRPr="00090126" w:rsidRDefault="00090126" w:rsidP="00B26D60">
      <w:pPr>
        <w:spacing w:after="0" w:line="276" w:lineRule="auto"/>
        <w:jc w:val="both"/>
        <w:rPr>
          <w:rFonts w:ascii="Verdana" w:eastAsia="Times New Roman" w:hAnsi="Verdana" w:cs="Arial"/>
          <w:b/>
          <w:bCs/>
          <w:i/>
          <w:iCs/>
          <w:sz w:val="20"/>
          <w:szCs w:val="20"/>
          <w:lang w:val="es-MX" w:eastAsia="es-ES_tradnl"/>
        </w:rPr>
      </w:pPr>
      <w:r w:rsidRPr="00090126">
        <w:rPr>
          <w:rFonts w:ascii="Verdana" w:hAnsi="Verdana" w:cs="Arial"/>
          <w:b/>
          <w:bCs/>
          <w:lang w:val="es-ES" w:eastAsia="es-ES"/>
        </w:rPr>
        <w:t>CONTRATO DE ARRENDAMIENTO – Características – Forma de pago – Dinero – especie</w:t>
      </w:r>
    </w:p>
    <w:p w14:paraId="140FB197" w14:textId="77777777" w:rsidR="00F66B5B" w:rsidRPr="00665260" w:rsidRDefault="00F66B5B" w:rsidP="00665260">
      <w:pPr>
        <w:spacing w:after="0" w:line="240" w:lineRule="auto"/>
        <w:jc w:val="both"/>
        <w:rPr>
          <w:rFonts w:ascii="Verdana" w:eastAsia="Geomanist Light" w:hAnsi="Verdana" w:cs="Arial"/>
          <w:color w:val="000000" w:themeColor="text1"/>
          <w:sz w:val="20"/>
          <w:szCs w:val="20"/>
          <w:lang w:val="es-MX"/>
        </w:rPr>
      </w:pPr>
    </w:p>
    <w:p w14:paraId="6D3FE24D" w14:textId="25170D25" w:rsidR="00944AB0" w:rsidRDefault="002229E5" w:rsidP="00743C3E">
      <w:pPr>
        <w:spacing w:after="0" w:line="240" w:lineRule="auto"/>
        <w:jc w:val="both"/>
        <w:rPr>
          <w:rFonts w:ascii="Verdana" w:eastAsia="Times New Roman" w:hAnsi="Verdana" w:cs="Arial"/>
          <w:sz w:val="20"/>
          <w:szCs w:val="20"/>
          <w:lang w:eastAsia="es-MX"/>
        </w:rPr>
      </w:pPr>
      <w:r w:rsidRPr="00743C3E">
        <w:rPr>
          <w:rFonts w:ascii="Verdana" w:eastAsia="Times New Roman" w:hAnsi="Verdana" w:cs="Arial"/>
          <w:sz w:val="20"/>
          <w:szCs w:val="20"/>
          <w:lang w:eastAsia="es-MX"/>
        </w:rPr>
        <w:t>Dicho entendimiento tampoco cambió después de la reforma de la Ley 1150 de 2007, pues DÁVILA VINUEZA considera que “</w:t>
      </w:r>
      <w:r w:rsidRPr="00743C3E">
        <w:rPr>
          <w:rFonts w:ascii="Verdana" w:eastAsia="Times New Roman" w:hAnsi="Verdana" w:cs="Arial"/>
          <w:i/>
          <w:iCs/>
          <w:sz w:val="20"/>
          <w:szCs w:val="20"/>
          <w:lang w:eastAsia="es-MX"/>
        </w:rPr>
        <w:t>La contratación directa está admitida tanto cuando la entidad es arrendataria como cuando es arrendadora y no se requiere obtener varias ofertas</w:t>
      </w:r>
      <w:r w:rsidRPr="00743C3E">
        <w:rPr>
          <w:rFonts w:ascii="Verdana" w:eastAsia="Times New Roman" w:hAnsi="Verdana" w:cs="Arial"/>
          <w:sz w:val="20"/>
          <w:szCs w:val="20"/>
          <w:lang w:eastAsia="es-MX"/>
        </w:rPr>
        <w:t xml:space="preserve"> […]”</w:t>
      </w:r>
      <w:r w:rsidRPr="00743C3E">
        <w:rPr>
          <w:rStyle w:val="Refdenotaalpie"/>
          <w:rFonts w:ascii="Verdana" w:eastAsia="Times New Roman" w:hAnsi="Verdana" w:cs="Arial"/>
          <w:sz w:val="20"/>
          <w:szCs w:val="20"/>
          <w:lang w:eastAsia="es-MX"/>
        </w:rPr>
        <w:footnoteReference w:id="3"/>
      </w:r>
      <w:r w:rsidRPr="00743C3E">
        <w:rPr>
          <w:rFonts w:ascii="Verdana" w:eastAsia="Times New Roman" w:hAnsi="Verdana" w:cs="Arial"/>
          <w:sz w:val="20"/>
          <w:szCs w:val="20"/>
          <w:lang w:eastAsia="es-MX"/>
        </w:rPr>
        <w:t xml:space="preserve"> (Énfasis fuera de texto); razón por la cual, también debe “[…] asegurarse la aplicación del deber de selección objetiva, que para este caso se materializa, si actúa la Administración como arrendataria, que se trate de un inmueble </w:t>
      </w:r>
      <w:r w:rsidRPr="00743C3E">
        <w:rPr>
          <w:rFonts w:ascii="Verdana" w:eastAsia="Times New Roman" w:hAnsi="Verdana" w:cs="Arial"/>
          <w:sz w:val="20"/>
          <w:szCs w:val="20"/>
          <w:lang w:eastAsia="es-MX"/>
        </w:rPr>
        <w:lastRenderedPageBreak/>
        <w:t>apto para el servicio, y si es arrendadora, que el canon pactado esté ajustado a un precio real y conveniente</w:t>
      </w:r>
      <w:r w:rsidR="00743C3E">
        <w:rPr>
          <w:rFonts w:ascii="Verdana" w:eastAsia="Times New Roman" w:hAnsi="Verdana" w:cs="Arial"/>
          <w:sz w:val="20"/>
          <w:szCs w:val="20"/>
          <w:lang w:eastAsia="es-MX"/>
        </w:rPr>
        <w:t xml:space="preserve">. </w:t>
      </w:r>
    </w:p>
    <w:p w14:paraId="7E57914A" w14:textId="77777777" w:rsidR="00743C3E" w:rsidRDefault="00743C3E" w:rsidP="00743C3E">
      <w:pPr>
        <w:spacing w:after="0" w:line="240" w:lineRule="auto"/>
        <w:jc w:val="both"/>
        <w:rPr>
          <w:rFonts w:ascii="Verdana" w:eastAsia="Times New Roman" w:hAnsi="Verdana" w:cs="Arial"/>
          <w:sz w:val="20"/>
          <w:szCs w:val="20"/>
          <w:lang w:eastAsia="es-MX"/>
        </w:rPr>
      </w:pPr>
    </w:p>
    <w:p w14:paraId="0AA726FB" w14:textId="77777777" w:rsidR="00743C3E" w:rsidRDefault="00743C3E" w:rsidP="00743C3E">
      <w:pPr>
        <w:spacing w:after="0" w:line="240" w:lineRule="auto"/>
        <w:jc w:val="both"/>
        <w:rPr>
          <w:rFonts w:ascii="Verdana" w:eastAsia="Times New Roman" w:hAnsi="Verdana" w:cs="Arial"/>
          <w:sz w:val="20"/>
          <w:szCs w:val="20"/>
          <w:lang w:eastAsia="es-MX"/>
        </w:rPr>
      </w:pPr>
    </w:p>
    <w:p w14:paraId="13BA6982" w14:textId="77777777" w:rsidR="00743C3E" w:rsidRDefault="00743C3E" w:rsidP="00743C3E">
      <w:pPr>
        <w:spacing w:after="0" w:line="240" w:lineRule="auto"/>
        <w:jc w:val="both"/>
        <w:rPr>
          <w:rFonts w:ascii="Verdana" w:eastAsia="Times New Roman" w:hAnsi="Verdana" w:cs="Arial"/>
          <w:sz w:val="20"/>
          <w:szCs w:val="20"/>
          <w:lang w:eastAsia="es-MX"/>
        </w:rPr>
      </w:pPr>
    </w:p>
    <w:p w14:paraId="338D6F89" w14:textId="77777777" w:rsidR="00743C3E" w:rsidRDefault="00743C3E" w:rsidP="00743C3E">
      <w:pPr>
        <w:spacing w:after="0" w:line="240" w:lineRule="auto"/>
        <w:jc w:val="both"/>
        <w:rPr>
          <w:rFonts w:ascii="Verdana" w:eastAsia="Times New Roman" w:hAnsi="Verdana" w:cs="Arial"/>
          <w:sz w:val="20"/>
          <w:szCs w:val="20"/>
          <w:lang w:eastAsia="es-MX"/>
        </w:rPr>
      </w:pPr>
    </w:p>
    <w:p w14:paraId="1CB00421" w14:textId="77777777" w:rsidR="00743C3E" w:rsidRDefault="00743C3E" w:rsidP="00743C3E">
      <w:pPr>
        <w:spacing w:after="0" w:line="240" w:lineRule="auto"/>
        <w:jc w:val="both"/>
        <w:rPr>
          <w:rFonts w:ascii="Verdana" w:eastAsia="Times New Roman" w:hAnsi="Verdana" w:cs="Arial"/>
          <w:sz w:val="20"/>
          <w:szCs w:val="20"/>
          <w:lang w:eastAsia="es-MX"/>
        </w:rPr>
      </w:pPr>
    </w:p>
    <w:p w14:paraId="0443BADF" w14:textId="77777777" w:rsidR="00743C3E" w:rsidRDefault="00743C3E" w:rsidP="00743C3E">
      <w:pPr>
        <w:spacing w:after="0" w:line="240" w:lineRule="auto"/>
        <w:jc w:val="both"/>
        <w:rPr>
          <w:rFonts w:ascii="Verdana" w:eastAsia="Times New Roman" w:hAnsi="Verdana" w:cs="Arial"/>
          <w:sz w:val="20"/>
          <w:szCs w:val="20"/>
          <w:lang w:eastAsia="es-MX"/>
        </w:rPr>
      </w:pPr>
    </w:p>
    <w:p w14:paraId="7391348B" w14:textId="77777777" w:rsidR="00743C3E" w:rsidRDefault="00743C3E" w:rsidP="00743C3E">
      <w:pPr>
        <w:spacing w:after="0" w:line="240" w:lineRule="auto"/>
        <w:jc w:val="both"/>
        <w:rPr>
          <w:rFonts w:ascii="Verdana" w:eastAsia="Times New Roman" w:hAnsi="Verdana" w:cs="Arial"/>
          <w:sz w:val="20"/>
          <w:szCs w:val="20"/>
          <w:lang w:eastAsia="es-MX"/>
        </w:rPr>
      </w:pPr>
    </w:p>
    <w:p w14:paraId="37BA0380" w14:textId="77777777" w:rsidR="00743C3E" w:rsidRDefault="00743C3E" w:rsidP="00743C3E">
      <w:pPr>
        <w:spacing w:after="0" w:line="240" w:lineRule="auto"/>
        <w:jc w:val="both"/>
        <w:rPr>
          <w:rFonts w:ascii="Verdana" w:eastAsia="Times New Roman" w:hAnsi="Verdana" w:cs="Arial"/>
          <w:sz w:val="20"/>
          <w:szCs w:val="20"/>
          <w:lang w:eastAsia="es-MX"/>
        </w:rPr>
      </w:pPr>
    </w:p>
    <w:p w14:paraId="07C8CE72" w14:textId="77777777" w:rsidR="00743C3E" w:rsidRDefault="00743C3E" w:rsidP="00743C3E">
      <w:pPr>
        <w:spacing w:after="0" w:line="240" w:lineRule="auto"/>
        <w:jc w:val="both"/>
        <w:rPr>
          <w:rFonts w:ascii="Verdana" w:eastAsia="Times New Roman" w:hAnsi="Verdana" w:cs="Arial"/>
          <w:sz w:val="20"/>
          <w:szCs w:val="20"/>
          <w:lang w:eastAsia="es-MX"/>
        </w:rPr>
      </w:pPr>
    </w:p>
    <w:p w14:paraId="71D786D2" w14:textId="77777777" w:rsidR="00743C3E" w:rsidRDefault="00743C3E" w:rsidP="00743C3E">
      <w:pPr>
        <w:spacing w:after="0" w:line="240" w:lineRule="auto"/>
        <w:jc w:val="both"/>
        <w:rPr>
          <w:rFonts w:ascii="Verdana" w:eastAsia="Times New Roman" w:hAnsi="Verdana" w:cs="Arial"/>
          <w:sz w:val="20"/>
          <w:szCs w:val="20"/>
          <w:lang w:eastAsia="es-MX"/>
        </w:rPr>
      </w:pPr>
    </w:p>
    <w:p w14:paraId="0E3D8186" w14:textId="77777777" w:rsidR="00743C3E" w:rsidRDefault="00743C3E" w:rsidP="00743C3E">
      <w:pPr>
        <w:spacing w:after="0" w:line="240" w:lineRule="auto"/>
        <w:jc w:val="both"/>
        <w:rPr>
          <w:rFonts w:ascii="Verdana" w:eastAsia="Times New Roman" w:hAnsi="Verdana" w:cs="Arial"/>
          <w:sz w:val="20"/>
          <w:szCs w:val="20"/>
          <w:lang w:eastAsia="es-MX"/>
        </w:rPr>
      </w:pPr>
    </w:p>
    <w:p w14:paraId="2A2FB5D3" w14:textId="77777777" w:rsidR="00743C3E" w:rsidRDefault="00743C3E" w:rsidP="00743C3E">
      <w:pPr>
        <w:spacing w:after="0" w:line="240" w:lineRule="auto"/>
        <w:jc w:val="both"/>
        <w:rPr>
          <w:rFonts w:ascii="Verdana" w:eastAsia="Times New Roman" w:hAnsi="Verdana" w:cs="Arial"/>
          <w:sz w:val="20"/>
          <w:szCs w:val="20"/>
          <w:lang w:eastAsia="es-MX"/>
        </w:rPr>
      </w:pPr>
    </w:p>
    <w:p w14:paraId="74814739" w14:textId="77777777" w:rsidR="00743C3E" w:rsidRDefault="00743C3E" w:rsidP="00743C3E">
      <w:pPr>
        <w:spacing w:after="0" w:line="240" w:lineRule="auto"/>
        <w:jc w:val="both"/>
        <w:rPr>
          <w:rFonts w:ascii="Verdana" w:eastAsia="Times New Roman" w:hAnsi="Verdana" w:cs="Arial"/>
          <w:sz w:val="20"/>
          <w:szCs w:val="20"/>
          <w:lang w:eastAsia="es-MX"/>
        </w:rPr>
      </w:pPr>
    </w:p>
    <w:p w14:paraId="05DB3AE2" w14:textId="77777777" w:rsidR="00743C3E" w:rsidRDefault="00743C3E" w:rsidP="00743C3E">
      <w:pPr>
        <w:spacing w:after="0" w:line="240" w:lineRule="auto"/>
        <w:jc w:val="both"/>
        <w:rPr>
          <w:rFonts w:ascii="Verdana" w:eastAsia="Times New Roman" w:hAnsi="Verdana" w:cs="Arial"/>
          <w:sz w:val="20"/>
          <w:szCs w:val="20"/>
          <w:lang w:eastAsia="es-MX"/>
        </w:rPr>
      </w:pPr>
    </w:p>
    <w:p w14:paraId="1B94ECD0" w14:textId="77777777" w:rsidR="00743C3E" w:rsidRDefault="00743C3E" w:rsidP="00743C3E">
      <w:pPr>
        <w:spacing w:after="0" w:line="240" w:lineRule="auto"/>
        <w:jc w:val="both"/>
        <w:rPr>
          <w:rFonts w:ascii="Verdana" w:eastAsia="Times New Roman" w:hAnsi="Verdana" w:cs="Arial"/>
          <w:sz w:val="20"/>
          <w:szCs w:val="20"/>
          <w:lang w:eastAsia="es-MX"/>
        </w:rPr>
      </w:pPr>
    </w:p>
    <w:p w14:paraId="2E8BDA6A" w14:textId="77777777" w:rsidR="00743C3E" w:rsidRDefault="00743C3E" w:rsidP="00743C3E">
      <w:pPr>
        <w:spacing w:after="0" w:line="240" w:lineRule="auto"/>
        <w:jc w:val="both"/>
        <w:rPr>
          <w:rFonts w:ascii="Verdana" w:eastAsia="Times New Roman" w:hAnsi="Verdana" w:cs="Arial"/>
          <w:sz w:val="20"/>
          <w:szCs w:val="20"/>
          <w:lang w:eastAsia="es-MX"/>
        </w:rPr>
      </w:pPr>
    </w:p>
    <w:p w14:paraId="2766DE35" w14:textId="77777777" w:rsidR="00743C3E" w:rsidRDefault="00743C3E" w:rsidP="00743C3E">
      <w:pPr>
        <w:spacing w:after="0" w:line="240" w:lineRule="auto"/>
        <w:jc w:val="both"/>
        <w:rPr>
          <w:rFonts w:ascii="Verdana" w:eastAsia="Times New Roman" w:hAnsi="Verdana" w:cs="Arial"/>
          <w:sz w:val="20"/>
          <w:szCs w:val="20"/>
          <w:lang w:eastAsia="es-MX"/>
        </w:rPr>
      </w:pPr>
    </w:p>
    <w:p w14:paraId="09E668DA" w14:textId="77777777" w:rsidR="00743C3E" w:rsidRDefault="00743C3E" w:rsidP="00743C3E">
      <w:pPr>
        <w:spacing w:after="0" w:line="240" w:lineRule="auto"/>
        <w:jc w:val="both"/>
        <w:rPr>
          <w:rFonts w:ascii="Verdana" w:eastAsia="Times New Roman" w:hAnsi="Verdana" w:cs="Arial"/>
          <w:sz w:val="20"/>
          <w:szCs w:val="20"/>
          <w:lang w:eastAsia="es-MX"/>
        </w:rPr>
      </w:pPr>
    </w:p>
    <w:p w14:paraId="3216E5B2" w14:textId="77777777" w:rsidR="00743C3E" w:rsidRDefault="00743C3E" w:rsidP="00743C3E">
      <w:pPr>
        <w:spacing w:after="0" w:line="240" w:lineRule="auto"/>
        <w:jc w:val="both"/>
        <w:rPr>
          <w:rFonts w:ascii="Verdana" w:eastAsia="Times New Roman" w:hAnsi="Verdana" w:cs="Arial"/>
          <w:sz w:val="20"/>
          <w:szCs w:val="20"/>
          <w:lang w:eastAsia="es-MX"/>
        </w:rPr>
      </w:pPr>
    </w:p>
    <w:p w14:paraId="6C8FFFDA" w14:textId="77777777" w:rsidR="00743C3E" w:rsidRDefault="00743C3E" w:rsidP="00743C3E">
      <w:pPr>
        <w:spacing w:after="0" w:line="240" w:lineRule="auto"/>
        <w:jc w:val="both"/>
        <w:rPr>
          <w:rFonts w:ascii="Verdana" w:eastAsia="Times New Roman" w:hAnsi="Verdana" w:cs="Arial"/>
          <w:sz w:val="20"/>
          <w:szCs w:val="20"/>
          <w:lang w:eastAsia="es-MX"/>
        </w:rPr>
      </w:pPr>
    </w:p>
    <w:p w14:paraId="0D0EABE9" w14:textId="77777777" w:rsidR="00743C3E" w:rsidRDefault="00743C3E" w:rsidP="00743C3E">
      <w:pPr>
        <w:spacing w:after="0" w:line="240" w:lineRule="auto"/>
        <w:jc w:val="both"/>
        <w:rPr>
          <w:rFonts w:ascii="Verdana" w:eastAsia="Times New Roman" w:hAnsi="Verdana" w:cs="Arial"/>
          <w:sz w:val="20"/>
          <w:szCs w:val="20"/>
          <w:lang w:eastAsia="es-MX"/>
        </w:rPr>
      </w:pPr>
    </w:p>
    <w:p w14:paraId="3575ACDE" w14:textId="77777777" w:rsidR="00743C3E" w:rsidRDefault="00743C3E" w:rsidP="00743C3E">
      <w:pPr>
        <w:spacing w:after="0" w:line="240" w:lineRule="auto"/>
        <w:jc w:val="both"/>
        <w:rPr>
          <w:rFonts w:ascii="Verdana" w:eastAsia="Times New Roman" w:hAnsi="Verdana" w:cs="Arial"/>
          <w:sz w:val="20"/>
          <w:szCs w:val="20"/>
          <w:lang w:eastAsia="es-MX"/>
        </w:rPr>
      </w:pPr>
    </w:p>
    <w:p w14:paraId="7F27D0ED" w14:textId="77777777" w:rsidR="00743C3E" w:rsidRDefault="00743C3E" w:rsidP="00743C3E">
      <w:pPr>
        <w:spacing w:after="0" w:line="240" w:lineRule="auto"/>
        <w:jc w:val="both"/>
        <w:rPr>
          <w:rFonts w:ascii="Verdana" w:eastAsia="Times New Roman" w:hAnsi="Verdana" w:cs="Arial"/>
          <w:sz w:val="20"/>
          <w:szCs w:val="20"/>
          <w:lang w:eastAsia="es-MX"/>
        </w:rPr>
      </w:pPr>
    </w:p>
    <w:p w14:paraId="190EAC23" w14:textId="77777777" w:rsidR="00743C3E" w:rsidRDefault="00743C3E" w:rsidP="00743C3E">
      <w:pPr>
        <w:spacing w:after="0" w:line="240" w:lineRule="auto"/>
        <w:jc w:val="both"/>
        <w:rPr>
          <w:rFonts w:ascii="Verdana" w:eastAsia="Times New Roman" w:hAnsi="Verdana" w:cs="Arial"/>
          <w:sz w:val="20"/>
          <w:szCs w:val="20"/>
          <w:lang w:eastAsia="es-MX"/>
        </w:rPr>
      </w:pPr>
    </w:p>
    <w:p w14:paraId="72CC1F87" w14:textId="77777777" w:rsidR="00743C3E" w:rsidRDefault="00743C3E" w:rsidP="00743C3E">
      <w:pPr>
        <w:spacing w:after="0" w:line="240" w:lineRule="auto"/>
        <w:jc w:val="both"/>
        <w:rPr>
          <w:rFonts w:ascii="Verdana" w:eastAsia="Times New Roman" w:hAnsi="Verdana" w:cs="Arial"/>
          <w:sz w:val="20"/>
          <w:szCs w:val="20"/>
          <w:lang w:eastAsia="es-MX"/>
        </w:rPr>
      </w:pPr>
    </w:p>
    <w:p w14:paraId="57F00CA4" w14:textId="77777777" w:rsidR="00743C3E" w:rsidRDefault="00743C3E" w:rsidP="00743C3E">
      <w:pPr>
        <w:spacing w:after="0" w:line="240" w:lineRule="auto"/>
        <w:jc w:val="both"/>
        <w:rPr>
          <w:rFonts w:ascii="Verdana" w:eastAsia="Times New Roman" w:hAnsi="Verdana" w:cs="Arial"/>
          <w:sz w:val="20"/>
          <w:szCs w:val="20"/>
          <w:lang w:eastAsia="es-MX"/>
        </w:rPr>
      </w:pPr>
    </w:p>
    <w:p w14:paraId="3DFC8242" w14:textId="77777777" w:rsidR="00743C3E" w:rsidRDefault="00743C3E" w:rsidP="00743C3E">
      <w:pPr>
        <w:spacing w:after="0" w:line="240" w:lineRule="auto"/>
        <w:jc w:val="both"/>
        <w:rPr>
          <w:rFonts w:ascii="Verdana" w:eastAsia="Times New Roman" w:hAnsi="Verdana" w:cs="Arial"/>
          <w:sz w:val="20"/>
          <w:szCs w:val="20"/>
          <w:lang w:eastAsia="es-MX"/>
        </w:rPr>
      </w:pPr>
    </w:p>
    <w:p w14:paraId="69202E6E" w14:textId="77777777" w:rsidR="00743C3E" w:rsidRDefault="00743C3E" w:rsidP="00743C3E">
      <w:pPr>
        <w:spacing w:after="0" w:line="240" w:lineRule="auto"/>
        <w:jc w:val="both"/>
        <w:rPr>
          <w:rFonts w:ascii="Verdana" w:eastAsia="Times New Roman" w:hAnsi="Verdana" w:cs="Arial"/>
          <w:sz w:val="20"/>
          <w:szCs w:val="20"/>
          <w:lang w:eastAsia="es-MX"/>
        </w:rPr>
      </w:pPr>
    </w:p>
    <w:p w14:paraId="70E48406" w14:textId="77777777" w:rsidR="00743C3E" w:rsidRDefault="00743C3E" w:rsidP="00743C3E">
      <w:pPr>
        <w:spacing w:after="0" w:line="240" w:lineRule="auto"/>
        <w:jc w:val="both"/>
        <w:rPr>
          <w:rFonts w:ascii="Verdana" w:eastAsia="Times New Roman" w:hAnsi="Verdana" w:cs="Arial"/>
          <w:sz w:val="20"/>
          <w:szCs w:val="20"/>
          <w:lang w:eastAsia="es-MX"/>
        </w:rPr>
      </w:pPr>
    </w:p>
    <w:p w14:paraId="551488CC" w14:textId="77777777" w:rsidR="00743C3E" w:rsidRDefault="00743C3E" w:rsidP="00743C3E">
      <w:pPr>
        <w:spacing w:after="0" w:line="240" w:lineRule="auto"/>
        <w:jc w:val="both"/>
        <w:rPr>
          <w:rFonts w:ascii="Verdana" w:eastAsia="Times New Roman" w:hAnsi="Verdana" w:cs="Arial"/>
          <w:sz w:val="20"/>
          <w:szCs w:val="20"/>
          <w:lang w:eastAsia="es-MX"/>
        </w:rPr>
      </w:pPr>
    </w:p>
    <w:p w14:paraId="5B066FF0" w14:textId="77777777" w:rsidR="00743C3E" w:rsidRDefault="00743C3E" w:rsidP="00743C3E">
      <w:pPr>
        <w:spacing w:after="0" w:line="240" w:lineRule="auto"/>
        <w:jc w:val="both"/>
        <w:rPr>
          <w:rFonts w:ascii="Verdana" w:eastAsia="Times New Roman" w:hAnsi="Verdana" w:cs="Arial"/>
          <w:sz w:val="20"/>
          <w:szCs w:val="20"/>
          <w:lang w:eastAsia="es-MX"/>
        </w:rPr>
      </w:pPr>
    </w:p>
    <w:p w14:paraId="44F24527" w14:textId="77777777" w:rsidR="00743C3E" w:rsidRDefault="00743C3E" w:rsidP="00743C3E">
      <w:pPr>
        <w:spacing w:after="0" w:line="240" w:lineRule="auto"/>
        <w:jc w:val="both"/>
        <w:rPr>
          <w:rFonts w:ascii="Verdana" w:eastAsia="Times New Roman" w:hAnsi="Verdana" w:cs="Arial"/>
          <w:sz w:val="20"/>
          <w:szCs w:val="20"/>
          <w:lang w:eastAsia="es-MX"/>
        </w:rPr>
      </w:pPr>
    </w:p>
    <w:p w14:paraId="32390C38" w14:textId="77777777" w:rsidR="00743C3E" w:rsidRDefault="00743C3E" w:rsidP="00743C3E">
      <w:pPr>
        <w:spacing w:after="0" w:line="240" w:lineRule="auto"/>
        <w:jc w:val="both"/>
        <w:rPr>
          <w:rFonts w:ascii="Verdana" w:eastAsia="Times New Roman" w:hAnsi="Verdana" w:cs="Arial"/>
          <w:sz w:val="20"/>
          <w:szCs w:val="20"/>
          <w:lang w:eastAsia="es-MX"/>
        </w:rPr>
      </w:pPr>
    </w:p>
    <w:p w14:paraId="15F9D90A" w14:textId="77777777" w:rsidR="00743C3E" w:rsidRDefault="00743C3E" w:rsidP="00743C3E">
      <w:pPr>
        <w:spacing w:after="0" w:line="240" w:lineRule="auto"/>
        <w:jc w:val="both"/>
        <w:rPr>
          <w:rFonts w:ascii="Verdana" w:eastAsia="Times New Roman" w:hAnsi="Verdana" w:cs="Arial"/>
          <w:sz w:val="20"/>
          <w:szCs w:val="20"/>
          <w:lang w:eastAsia="es-MX"/>
        </w:rPr>
      </w:pPr>
    </w:p>
    <w:p w14:paraId="28D58437" w14:textId="77777777" w:rsidR="00743C3E" w:rsidRDefault="00743C3E" w:rsidP="00743C3E">
      <w:pPr>
        <w:spacing w:after="0" w:line="240" w:lineRule="auto"/>
        <w:jc w:val="both"/>
        <w:rPr>
          <w:rFonts w:ascii="Verdana" w:eastAsia="Times New Roman" w:hAnsi="Verdana" w:cs="Arial"/>
          <w:sz w:val="20"/>
          <w:szCs w:val="20"/>
          <w:lang w:eastAsia="es-MX"/>
        </w:rPr>
      </w:pPr>
    </w:p>
    <w:p w14:paraId="3F55C01C" w14:textId="77777777" w:rsidR="00743C3E" w:rsidRDefault="00743C3E" w:rsidP="00743C3E">
      <w:pPr>
        <w:spacing w:after="0" w:line="240" w:lineRule="auto"/>
        <w:jc w:val="both"/>
        <w:rPr>
          <w:rFonts w:ascii="Verdana" w:eastAsia="Times New Roman" w:hAnsi="Verdana" w:cs="Arial"/>
          <w:sz w:val="20"/>
          <w:szCs w:val="20"/>
          <w:lang w:eastAsia="es-MX"/>
        </w:rPr>
      </w:pPr>
    </w:p>
    <w:p w14:paraId="42597268" w14:textId="77777777" w:rsidR="00743C3E" w:rsidRDefault="00743C3E" w:rsidP="00743C3E">
      <w:pPr>
        <w:spacing w:after="0" w:line="240" w:lineRule="auto"/>
        <w:jc w:val="both"/>
        <w:rPr>
          <w:rFonts w:ascii="Verdana" w:eastAsia="Times New Roman" w:hAnsi="Verdana" w:cs="Arial"/>
          <w:sz w:val="20"/>
          <w:szCs w:val="20"/>
          <w:lang w:eastAsia="es-MX"/>
        </w:rPr>
      </w:pPr>
    </w:p>
    <w:p w14:paraId="5CB6562A" w14:textId="77777777" w:rsidR="00743C3E" w:rsidRDefault="00743C3E" w:rsidP="00743C3E">
      <w:pPr>
        <w:spacing w:after="0" w:line="240" w:lineRule="auto"/>
        <w:jc w:val="both"/>
        <w:rPr>
          <w:rFonts w:ascii="Verdana" w:eastAsia="Times New Roman" w:hAnsi="Verdana" w:cs="Arial"/>
          <w:sz w:val="20"/>
          <w:szCs w:val="20"/>
          <w:lang w:eastAsia="es-MX"/>
        </w:rPr>
      </w:pPr>
    </w:p>
    <w:p w14:paraId="5DB9EA44" w14:textId="77777777" w:rsidR="00743C3E" w:rsidRDefault="00743C3E" w:rsidP="00743C3E">
      <w:pPr>
        <w:spacing w:after="0" w:line="240" w:lineRule="auto"/>
        <w:jc w:val="both"/>
        <w:rPr>
          <w:rFonts w:ascii="Verdana" w:eastAsia="Times New Roman" w:hAnsi="Verdana" w:cs="Arial"/>
          <w:sz w:val="20"/>
          <w:szCs w:val="20"/>
          <w:lang w:eastAsia="es-MX"/>
        </w:rPr>
      </w:pPr>
    </w:p>
    <w:p w14:paraId="4F912152" w14:textId="77777777" w:rsidR="00743C3E" w:rsidRDefault="00743C3E" w:rsidP="00743C3E">
      <w:pPr>
        <w:spacing w:after="0" w:line="240" w:lineRule="auto"/>
        <w:jc w:val="both"/>
        <w:rPr>
          <w:rFonts w:ascii="Verdana" w:eastAsia="Times New Roman" w:hAnsi="Verdana" w:cs="Arial"/>
          <w:sz w:val="20"/>
          <w:szCs w:val="20"/>
          <w:lang w:eastAsia="es-MX"/>
        </w:rPr>
      </w:pPr>
    </w:p>
    <w:p w14:paraId="6A13A5D1" w14:textId="77777777" w:rsidR="00743C3E" w:rsidRDefault="00743C3E" w:rsidP="00743C3E">
      <w:pPr>
        <w:spacing w:after="0" w:line="240" w:lineRule="auto"/>
        <w:jc w:val="both"/>
        <w:rPr>
          <w:rFonts w:ascii="Verdana" w:eastAsia="Times New Roman" w:hAnsi="Verdana" w:cs="Arial"/>
          <w:sz w:val="20"/>
          <w:szCs w:val="20"/>
          <w:lang w:eastAsia="es-MX"/>
        </w:rPr>
      </w:pPr>
    </w:p>
    <w:p w14:paraId="6FA707EC" w14:textId="77777777" w:rsidR="00743C3E" w:rsidRDefault="00743C3E" w:rsidP="00743C3E">
      <w:pPr>
        <w:spacing w:after="0" w:line="240" w:lineRule="auto"/>
        <w:jc w:val="both"/>
        <w:rPr>
          <w:rFonts w:ascii="Verdana" w:eastAsia="Times New Roman" w:hAnsi="Verdana" w:cs="Arial"/>
          <w:sz w:val="20"/>
          <w:szCs w:val="20"/>
          <w:lang w:eastAsia="es-MX"/>
        </w:rPr>
      </w:pPr>
    </w:p>
    <w:p w14:paraId="5A7EAC5A" w14:textId="77777777" w:rsidR="00743C3E" w:rsidRPr="00743C3E" w:rsidRDefault="00743C3E" w:rsidP="00743C3E">
      <w:pPr>
        <w:spacing w:after="0" w:line="240" w:lineRule="auto"/>
        <w:jc w:val="both"/>
        <w:rPr>
          <w:rFonts w:ascii="Verdana" w:eastAsia="Times New Roman" w:hAnsi="Verdana" w:cs="Arial"/>
          <w:sz w:val="20"/>
          <w:szCs w:val="20"/>
          <w:lang w:eastAsia="es-MX"/>
        </w:rPr>
      </w:pPr>
    </w:p>
    <w:p w14:paraId="1F2E1F86" w14:textId="77777777" w:rsidR="002229E5" w:rsidRDefault="002229E5" w:rsidP="008218CB">
      <w:pPr>
        <w:spacing w:after="0" w:line="240" w:lineRule="auto"/>
        <w:rPr>
          <w:rFonts w:ascii="Verdana" w:eastAsia="Geomanist Light" w:hAnsi="Verdana" w:cs="Arial"/>
          <w:color w:val="000000" w:themeColor="text1"/>
          <w:lang w:val="es-MX"/>
        </w:rPr>
      </w:pPr>
    </w:p>
    <w:p w14:paraId="582A82B5" w14:textId="714488C5" w:rsidR="00430D1E" w:rsidRPr="004667F5" w:rsidRDefault="00430D1E" w:rsidP="008218CB">
      <w:pPr>
        <w:spacing w:after="0" w:line="240" w:lineRule="auto"/>
        <w:rPr>
          <w:rFonts w:ascii="Verdana" w:hAnsi="Verdana"/>
        </w:rPr>
      </w:pPr>
      <w:r w:rsidRPr="00593A5F">
        <w:rPr>
          <w:rFonts w:ascii="Verdana" w:eastAsia="Geomanist Light" w:hAnsi="Verdana" w:cs="Arial"/>
          <w:color w:val="000000" w:themeColor="text1"/>
          <w:lang w:val="es-MX"/>
        </w:rPr>
        <w:lastRenderedPageBreak/>
        <w:t>Bogotá D.C., </w:t>
      </w:r>
      <w:r w:rsidR="00CB770F">
        <w:rPr>
          <w:rFonts w:ascii="Verdana" w:hAnsi="Verdana"/>
        </w:rPr>
        <w:t>27 de marzo de 2026</w:t>
      </w:r>
    </w:p>
    <w:p w14:paraId="71E52BA6" w14:textId="77777777" w:rsidR="00430D1E" w:rsidRDefault="00430D1E" w:rsidP="00430D1E">
      <w:pPr>
        <w:spacing w:after="0" w:line="240" w:lineRule="auto"/>
        <w:jc w:val="both"/>
        <w:rPr>
          <w:rFonts w:ascii="Verdana" w:eastAsia="Calibri" w:hAnsi="Verdana" w:cs="Arial"/>
          <w:color w:val="000000"/>
          <w:lang w:val="es-ES"/>
        </w:rPr>
      </w:pPr>
    </w:p>
    <w:p w14:paraId="7FC86D98" w14:textId="0A3A16CE" w:rsidR="00430D1E" w:rsidRDefault="004835E6" w:rsidP="00430D1E">
      <w:pPr>
        <w:spacing w:after="0" w:line="240" w:lineRule="auto"/>
        <w:jc w:val="right"/>
        <w:rPr>
          <w:rFonts w:ascii="Verdana" w:eastAsia="Calibri" w:hAnsi="Verdana" w:cs="Arial"/>
          <w:color w:val="000000"/>
          <w:lang w:val="es-ES"/>
        </w:rPr>
      </w:pPr>
      <w:r w:rsidRPr="004835E6">
        <w:rPr>
          <w:rFonts w:ascii="Verdana" w:eastAsia="Calibri" w:hAnsi="Verdana" w:cs="Arial"/>
          <w:noProof/>
          <w:lang w:val="es-ES" w:eastAsia="es-ES"/>
        </w:rPr>
        <w:drawing>
          <wp:anchor distT="0" distB="0" distL="114300" distR="114300" simplePos="0" relativeHeight="251658240" behindDoc="1" locked="0" layoutInCell="1" allowOverlap="1" wp14:anchorId="14B63CF0" wp14:editId="718998B3">
            <wp:simplePos x="0" y="0"/>
            <wp:positionH relativeFrom="margin">
              <wp:align>right</wp:align>
            </wp:positionH>
            <wp:positionV relativeFrom="paragraph">
              <wp:posOffset>134554</wp:posOffset>
            </wp:positionV>
            <wp:extent cx="2390775" cy="657225"/>
            <wp:effectExtent l="0" t="0" r="9525" b="9525"/>
            <wp:wrapTight wrapText="bothSides">
              <wp:wrapPolygon edited="0">
                <wp:start x="0" y="0"/>
                <wp:lineTo x="0" y="21287"/>
                <wp:lineTo x="21514" y="21287"/>
                <wp:lineTo x="21514" y="0"/>
                <wp:lineTo x="0" y="0"/>
              </wp:wrapPolygon>
            </wp:wrapTight>
            <wp:docPr id="2078459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45992" name=""/>
                    <pic:cNvPicPr/>
                  </pic:nvPicPr>
                  <pic:blipFill>
                    <a:blip r:embed="rId10">
                      <a:extLst>
                        <a:ext uri="{28A0092B-C50C-407E-A947-70E740481C1C}">
                          <a14:useLocalDpi xmlns:a14="http://schemas.microsoft.com/office/drawing/2010/main" val="0"/>
                        </a:ext>
                      </a:extLst>
                    </a:blip>
                    <a:stretch>
                      <a:fillRect/>
                    </a:stretch>
                  </pic:blipFill>
                  <pic:spPr>
                    <a:xfrm>
                      <a:off x="0" y="0"/>
                      <a:ext cx="2390775" cy="657225"/>
                    </a:xfrm>
                    <a:prstGeom prst="rect">
                      <a:avLst/>
                    </a:prstGeom>
                  </pic:spPr>
                </pic:pic>
              </a:graphicData>
            </a:graphic>
          </wp:anchor>
        </w:drawing>
      </w:r>
    </w:p>
    <w:p w14:paraId="47216ECF" w14:textId="2556B3BD" w:rsidR="00430D1E" w:rsidRPr="00B96799" w:rsidRDefault="00430D1E" w:rsidP="00430D1E">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8A4C826" w14:textId="77777777" w:rsidR="00430D1E" w:rsidRPr="0085423D" w:rsidRDefault="00430D1E" w:rsidP="00430D1E">
      <w:pPr>
        <w:spacing w:after="0" w:line="240" w:lineRule="auto"/>
        <w:rPr>
          <w:rFonts w:ascii="Verdana" w:eastAsia="Calibri" w:hAnsi="Verdana" w:cs="Arial"/>
          <w:b/>
          <w:lang w:val="es-ES_tradnl" w:eastAsia="es-ES_tradnl"/>
        </w:rPr>
      </w:pPr>
      <w:bookmarkStart w:id="0" w:name="OLE_LINK1"/>
      <w:r>
        <w:rPr>
          <w:rFonts w:ascii="Verdana" w:eastAsia="Calibri" w:hAnsi="Verdana" w:cs="Arial"/>
          <w:b/>
          <w:lang w:val="es-ES_tradnl" w:eastAsia="es-ES_tradnl"/>
        </w:rPr>
        <w:t>Juan Martin Castañeda Castrillón</w:t>
      </w:r>
    </w:p>
    <w:bookmarkEnd w:id="0"/>
    <w:p w14:paraId="149F488D" w14:textId="77777777" w:rsidR="00430D1E" w:rsidRDefault="00430D1E" w:rsidP="00430D1E">
      <w:pPr>
        <w:spacing w:after="0" w:line="240" w:lineRule="auto"/>
        <w:rPr>
          <w:rFonts w:ascii="Verdana" w:hAnsi="Verdana"/>
        </w:rPr>
      </w:pPr>
      <w:r>
        <w:rPr>
          <w:rFonts w:ascii="Verdana" w:hAnsi="Verdana"/>
        </w:rPr>
        <w:fldChar w:fldCharType="begin"/>
      </w:r>
      <w:r>
        <w:rPr>
          <w:rFonts w:ascii="Verdana" w:hAnsi="Verdana"/>
        </w:rPr>
        <w:instrText>HYPERLINK "mailto:</w:instrText>
      </w:r>
      <w:r w:rsidRPr="007A6B04">
        <w:rPr>
          <w:rFonts w:ascii="Verdana" w:hAnsi="Verdana"/>
        </w:rPr>
        <w:instrText>asesoriaslegalesgrupo@gmail.com</w:instrText>
      </w:r>
      <w:r>
        <w:rPr>
          <w:rFonts w:ascii="Verdana" w:hAnsi="Verdana"/>
        </w:rPr>
        <w:instrText>"</w:instrText>
      </w:r>
      <w:r>
        <w:rPr>
          <w:rFonts w:ascii="Verdana" w:hAnsi="Verdana"/>
        </w:rPr>
      </w:r>
      <w:r>
        <w:rPr>
          <w:rFonts w:ascii="Verdana" w:hAnsi="Verdana"/>
        </w:rPr>
        <w:fldChar w:fldCharType="separate"/>
      </w:r>
      <w:r w:rsidRPr="00E42C25">
        <w:rPr>
          <w:rStyle w:val="Hipervnculo"/>
          <w:rFonts w:ascii="Verdana" w:hAnsi="Verdana"/>
        </w:rPr>
        <w:t>asesoriaslegalesgrupo@gmail.com</w:t>
      </w:r>
      <w:r>
        <w:rPr>
          <w:rFonts w:ascii="Verdana" w:hAnsi="Verdana"/>
        </w:rPr>
        <w:fldChar w:fldCharType="end"/>
      </w:r>
    </w:p>
    <w:p w14:paraId="3DAF0E88" w14:textId="77777777" w:rsidR="00430D1E" w:rsidRPr="007A6B04" w:rsidRDefault="00430D1E" w:rsidP="00430D1E">
      <w:pPr>
        <w:spacing w:after="0" w:line="240" w:lineRule="auto"/>
        <w:rPr>
          <w:rFonts w:ascii="Verdana" w:hAnsi="Verdana"/>
        </w:rPr>
      </w:pPr>
      <w:r>
        <w:rPr>
          <w:rFonts w:ascii="Verdana" w:eastAsia="Calibri" w:hAnsi="Verdana" w:cs="Arial"/>
          <w:lang w:val="es-ES" w:eastAsia="es-ES"/>
        </w:rPr>
        <w:t>Pereira, Risaralda</w:t>
      </w:r>
    </w:p>
    <w:p w14:paraId="7FCD51EB" w14:textId="77777777" w:rsidR="00430D1E" w:rsidRPr="00593A5F" w:rsidRDefault="00430D1E" w:rsidP="00430D1E">
      <w:pPr>
        <w:spacing w:after="0" w:line="240" w:lineRule="auto"/>
        <w:rPr>
          <w:rFonts w:ascii="Verdana" w:eastAsia="Calibri" w:hAnsi="Verdana" w:cs="Arial"/>
          <w:b/>
          <w:bCs/>
          <w:color w:val="000000"/>
          <w:lang w:val="es-ES_tradnl" w:eastAsia="es-ES_tradnl"/>
        </w:rPr>
      </w:pPr>
    </w:p>
    <w:p w14:paraId="02CC8E66" w14:textId="77777777" w:rsidR="00430D1E" w:rsidRPr="00593A5F" w:rsidRDefault="00430D1E" w:rsidP="00430D1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30D1E" w:rsidRPr="00593A5F" w14:paraId="6BF20F6B" w14:textId="77777777" w:rsidTr="00AE4CB7">
        <w:trPr>
          <w:trHeight w:val="170"/>
        </w:trPr>
        <w:tc>
          <w:tcPr>
            <w:tcW w:w="2689" w:type="dxa"/>
          </w:tcPr>
          <w:p w14:paraId="7C7F936D" w14:textId="77777777" w:rsidR="00430D1E" w:rsidRPr="00C00976" w:rsidRDefault="00430D1E" w:rsidP="00527860">
            <w:pPr>
              <w:jc w:val="both"/>
              <w:rPr>
                <w:rFonts w:ascii="Verdana" w:eastAsia="Calibri" w:hAnsi="Verdana" w:cs="Arial"/>
                <w:b/>
                <w:bCs/>
                <w:color w:val="7030A0"/>
                <w:lang w:val="es-ES_tradnl" w:eastAsia="es-ES_tradnl"/>
              </w:rPr>
            </w:pPr>
          </w:p>
        </w:tc>
        <w:tc>
          <w:tcPr>
            <w:tcW w:w="6100" w:type="dxa"/>
          </w:tcPr>
          <w:p w14:paraId="0BDC1ED5" w14:textId="77777777" w:rsidR="00430D1E" w:rsidRDefault="00430D1E" w:rsidP="008218CB">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243 </w:t>
            </w:r>
            <w:r w:rsidRPr="008E6AD9">
              <w:rPr>
                <w:rFonts w:ascii="Verdana" w:eastAsia="Calibri" w:hAnsi="Verdana" w:cs="Arial"/>
                <w:b/>
                <w:bCs/>
                <w:lang w:val="es-ES" w:eastAsia="es-ES"/>
              </w:rPr>
              <w:t>de 202</w:t>
            </w:r>
            <w:r>
              <w:rPr>
                <w:rFonts w:ascii="Verdana" w:eastAsia="Calibri" w:hAnsi="Verdana" w:cs="Arial"/>
                <w:b/>
                <w:bCs/>
                <w:lang w:val="es-ES" w:eastAsia="es-ES"/>
              </w:rPr>
              <w:t>6</w:t>
            </w:r>
          </w:p>
          <w:p w14:paraId="4547BB87" w14:textId="77777777" w:rsidR="00430D1E" w:rsidRPr="00C00976" w:rsidRDefault="00430D1E" w:rsidP="00527860">
            <w:pPr>
              <w:jc w:val="both"/>
              <w:rPr>
                <w:rFonts w:ascii="Verdana" w:eastAsia="Calibri" w:hAnsi="Verdana" w:cs="Arial"/>
                <w:b/>
                <w:bCs/>
                <w:color w:val="7030A0"/>
                <w:lang w:val="es-ES" w:eastAsia="es-ES"/>
              </w:rPr>
            </w:pPr>
          </w:p>
        </w:tc>
      </w:tr>
      <w:tr w:rsidR="00430D1E" w:rsidRPr="00593A5F" w14:paraId="3A7AF708" w14:textId="77777777" w:rsidTr="00527860">
        <w:trPr>
          <w:trHeight w:val="884"/>
        </w:trPr>
        <w:tc>
          <w:tcPr>
            <w:tcW w:w="2689" w:type="dxa"/>
          </w:tcPr>
          <w:p w14:paraId="404672DC" w14:textId="77777777" w:rsidR="00430D1E" w:rsidRPr="00593A5F" w:rsidRDefault="00430D1E" w:rsidP="0052786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9B1267B" w14:textId="77777777" w:rsidR="00430D1E" w:rsidRDefault="00430D1E" w:rsidP="008218CB">
            <w:pPr>
              <w:jc w:val="both"/>
              <w:rPr>
                <w:rFonts w:ascii="Verdana" w:eastAsia="Calibri" w:hAnsi="Verdana" w:cs="Arial"/>
                <w:lang w:val="es-ES" w:eastAsia="es-ES"/>
              </w:rPr>
            </w:pPr>
            <w:r w:rsidRPr="00177E85">
              <w:rPr>
                <w:rFonts w:ascii="Verdana" w:eastAsia="Calibri" w:hAnsi="Verdana" w:cs="Arial"/>
                <w:lang w:val="es-ES" w:eastAsia="es-ES"/>
              </w:rPr>
              <w:t xml:space="preserve">LEY DE GARANTÍAS ELECTORALES ‒ Finalidad / LEY DE GARANTÍAS ELECTORALES ‒ Tipos de restricciones ‒ Ámbito temporal – celebración- límite / LEY DE GARANTÍAS ELECTORALES – Prohibición artículo 33 – Contratación directa – Alcance / </w:t>
            </w:r>
            <w:r w:rsidRPr="00230C6A">
              <w:rPr>
                <w:rFonts w:ascii="Verdana" w:eastAsia="Calibri" w:hAnsi="Verdana" w:cs="Arial"/>
                <w:lang w:val="es-ES" w:eastAsia="es-ES"/>
              </w:rPr>
              <w:t xml:space="preserve">BIENES PÚBLICOS – Tipos –Bienes Fiscales – Bienes de Uso Público </w:t>
            </w:r>
            <w:r>
              <w:rPr>
                <w:rFonts w:ascii="Verdana" w:eastAsia="Calibri" w:hAnsi="Verdana" w:cs="Arial"/>
                <w:lang w:val="es-ES" w:eastAsia="es-ES"/>
              </w:rPr>
              <w:t xml:space="preserve">/ </w:t>
            </w:r>
            <w:r w:rsidRPr="00624164">
              <w:rPr>
                <w:rFonts w:ascii="Verdana" w:eastAsia="Times New Roman" w:hAnsi="Verdana" w:cs="Arial"/>
                <w:noProof/>
                <w:color w:val="000000"/>
                <w:lang w:val="es-ES_tradnl" w:eastAsia="es-ES_tradnl"/>
              </w:rPr>
              <w:t xml:space="preserve">CONTRATACIÓN DIRECTA – </w:t>
            </w:r>
            <w:r w:rsidRPr="00624164">
              <w:rPr>
                <w:rFonts w:ascii="Verdana" w:eastAsia="Times New Roman" w:hAnsi="Verdana" w:cs="Arial"/>
                <w:bCs/>
                <w:noProof/>
                <w:color w:val="000000"/>
                <w:lang w:val="es-ES_tradnl" w:eastAsia="es-ES_tradnl"/>
              </w:rPr>
              <w:t xml:space="preserve">Causal del artículo 2 numeral 4 literal i de la Ley 1150 de 2007 </w:t>
            </w:r>
            <w:r w:rsidRPr="00624164">
              <w:rPr>
                <w:rFonts w:ascii="Verdana" w:eastAsia="Times New Roman" w:hAnsi="Verdana" w:cs="Arial"/>
                <w:noProof/>
                <w:color w:val="000000"/>
                <w:lang w:val="es-ES_tradnl" w:eastAsia="es-ES_tradnl"/>
              </w:rPr>
              <w:t>– interpretación restrictiva – arrendamiento de bienes inmuebles</w:t>
            </w:r>
            <w:r w:rsidRPr="00624164">
              <w:rPr>
                <w:rFonts w:ascii="Verdana" w:hAnsi="Verdana" w:cs="Arial"/>
                <w:lang w:val="es-ES" w:eastAsia="es-ES"/>
              </w:rPr>
              <w:t xml:space="preserve"> / CONTRATO DE ARRENDAMIENTO – Características – Forma de pago – Dinero – especie</w:t>
            </w:r>
          </w:p>
          <w:p w14:paraId="4C1E1E3D" w14:textId="77777777" w:rsidR="00430D1E" w:rsidRPr="00593A5F" w:rsidRDefault="00430D1E" w:rsidP="008218CB">
            <w:pPr>
              <w:jc w:val="both"/>
              <w:rPr>
                <w:rFonts w:ascii="Verdana" w:eastAsia="Calibri" w:hAnsi="Verdana" w:cs="Arial"/>
                <w:lang w:val="es-ES" w:eastAsia="es-ES"/>
              </w:rPr>
            </w:pPr>
          </w:p>
        </w:tc>
      </w:tr>
      <w:tr w:rsidR="00430D1E" w:rsidRPr="008E6AD9" w14:paraId="2E6B431B" w14:textId="77777777" w:rsidTr="00527860">
        <w:tc>
          <w:tcPr>
            <w:tcW w:w="2689" w:type="dxa"/>
          </w:tcPr>
          <w:p w14:paraId="1A63C4D3" w14:textId="77777777" w:rsidR="00430D1E" w:rsidRPr="008E6AD9" w:rsidRDefault="00430D1E" w:rsidP="0052786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082A11B" w14:textId="77777777" w:rsidR="00430D1E" w:rsidRPr="00B92340" w:rsidRDefault="00430D1E" w:rsidP="008218CB">
            <w:pPr>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7E2134">
              <w:rPr>
                <w:rFonts w:ascii="Verdana" w:eastAsia="Calibri" w:hAnsi="Verdana" w:cs="Arial"/>
                <w:lang w:val="es-ES_tradnl" w:eastAsia="es-ES_tradnl"/>
              </w:rPr>
              <w:t>1_2026_02_17_002079</w:t>
            </w:r>
          </w:p>
        </w:tc>
      </w:tr>
    </w:tbl>
    <w:p w14:paraId="63FA226C" w14:textId="77777777" w:rsidR="00430D1E" w:rsidRPr="00593A5F" w:rsidRDefault="00430D1E" w:rsidP="00430D1E">
      <w:pPr>
        <w:spacing w:after="0" w:line="240" w:lineRule="auto"/>
        <w:jc w:val="both"/>
        <w:rPr>
          <w:rFonts w:ascii="Verdana" w:eastAsia="Calibri" w:hAnsi="Verdana" w:cs="Arial"/>
          <w:color w:val="000000"/>
          <w:lang w:val="es-ES_tradnl" w:eastAsia="es-ES_tradnl"/>
        </w:rPr>
      </w:pPr>
    </w:p>
    <w:p w14:paraId="0E0776BF" w14:textId="77777777" w:rsidR="00430D1E" w:rsidRPr="00593A5F" w:rsidRDefault="00430D1E" w:rsidP="00430D1E">
      <w:pPr>
        <w:spacing w:after="0" w:line="240" w:lineRule="auto"/>
        <w:jc w:val="both"/>
        <w:rPr>
          <w:rFonts w:ascii="Verdana" w:eastAsia="Calibri" w:hAnsi="Verdana" w:cs="Arial"/>
          <w:color w:val="000000"/>
          <w:lang w:val="es-ES_tradnl" w:eastAsia="es-ES_tradnl"/>
        </w:rPr>
      </w:pPr>
    </w:p>
    <w:p w14:paraId="4F632F97" w14:textId="77777777" w:rsidR="00430D1E" w:rsidRPr="008E6AD9" w:rsidRDefault="00430D1E" w:rsidP="00430D1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señor Castañeda, cordial saludo,</w:t>
      </w:r>
      <w:r w:rsidRPr="008E6AD9">
        <w:rPr>
          <w:rFonts w:ascii="Verdana" w:eastAsia="Calibri" w:hAnsi="Verdana" w:cs="Arial"/>
          <w:lang w:val="es-ES" w:eastAsia="es-ES"/>
        </w:rPr>
        <w:t xml:space="preserve"> </w:t>
      </w:r>
    </w:p>
    <w:p w14:paraId="2B258228" w14:textId="77777777" w:rsidR="00430D1E" w:rsidRDefault="00430D1E" w:rsidP="00430D1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8FF0B40" w14:textId="77777777" w:rsidR="00430D1E" w:rsidRPr="00593A5F" w:rsidRDefault="00430D1E" w:rsidP="00430D1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27 de febrero de 2026, en la cual solicita:</w:t>
      </w:r>
      <w:r w:rsidRPr="008E6AD9">
        <w:rPr>
          <w:rFonts w:ascii="Verdana" w:eastAsia="Calibri" w:hAnsi="Verdana" w:cs="Arial"/>
          <w:lang w:val="es-ES" w:eastAsia="es-ES"/>
        </w:rPr>
        <w:t xml:space="preserve"> </w:t>
      </w:r>
    </w:p>
    <w:p w14:paraId="4B5F8478" w14:textId="77777777" w:rsidR="00430D1E" w:rsidRPr="00272A7B" w:rsidRDefault="00430D1E" w:rsidP="00AE4CB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A69D0DA" w14:textId="77777777" w:rsidR="00430D1E" w:rsidRDefault="00430D1E" w:rsidP="00430D1E">
      <w:pPr>
        <w:spacing w:after="0" w:line="240" w:lineRule="auto"/>
        <w:ind w:left="709" w:right="709"/>
        <w:jc w:val="both"/>
        <w:rPr>
          <w:rFonts w:ascii="Verdana" w:eastAsia="Calibri" w:hAnsi="Verdana" w:cs="Arial"/>
          <w:color w:val="000000" w:themeColor="text1"/>
          <w:sz w:val="20"/>
          <w:szCs w:val="20"/>
          <w:lang w:val="es-ES" w:eastAsia="es-ES"/>
        </w:rPr>
      </w:pPr>
      <w:r w:rsidRPr="008641A0">
        <w:rPr>
          <w:rFonts w:ascii="Verdana" w:eastAsia="Calibri" w:hAnsi="Verdana" w:cs="Arial"/>
          <w:color w:val="000000" w:themeColor="text1"/>
          <w:sz w:val="20"/>
          <w:szCs w:val="20"/>
          <w:lang w:val="es-ES" w:eastAsia="es-ES"/>
        </w:rPr>
        <w:t>“[…] En ejercicio del derecho de petición y en cumplimiento de las</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funciones de orientación de esa Agencia, solicito su concepto</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jurídico respecto a la viabilidad de celebrar contratos de</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arrendamiento sobre bienes fiscales (específicamente el teatro</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municipal de Pereira) durante la vigencia de la Ley de</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Garantías Electorales.</w:t>
      </w:r>
    </w:p>
    <w:p w14:paraId="387E0C32" w14:textId="77777777" w:rsidR="00430D1E" w:rsidRPr="008641A0" w:rsidRDefault="00430D1E" w:rsidP="00430D1E">
      <w:pPr>
        <w:spacing w:after="0" w:line="240" w:lineRule="auto"/>
        <w:ind w:left="709" w:right="709"/>
        <w:jc w:val="both"/>
        <w:rPr>
          <w:rFonts w:ascii="Verdana" w:eastAsia="Calibri" w:hAnsi="Verdana" w:cs="Arial"/>
          <w:color w:val="000000" w:themeColor="text1"/>
          <w:sz w:val="20"/>
          <w:szCs w:val="20"/>
          <w:lang w:val="es-ES" w:eastAsia="es-ES"/>
        </w:rPr>
      </w:pPr>
    </w:p>
    <w:p w14:paraId="56A69B33" w14:textId="77777777" w:rsidR="00430D1E" w:rsidRDefault="00430D1E" w:rsidP="00430D1E">
      <w:pPr>
        <w:spacing w:after="0" w:line="240" w:lineRule="auto"/>
        <w:ind w:left="709" w:right="709"/>
        <w:jc w:val="both"/>
        <w:rPr>
          <w:rFonts w:ascii="Verdana" w:eastAsia="Calibri" w:hAnsi="Verdana" w:cs="Arial"/>
          <w:color w:val="000000" w:themeColor="text1"/>
          <w:sz w:val="20"/>
          <w:szCs w:val="20"/>
          <w:lang w:val="es-ES" w:eastAsia="es-ES"/>
        </w:rPr>
      </w:pPr>
      <w:r w:rsidRPr="008641A0">
        <w:rPr>
          <w:rFonts w:ascii="Verdana" w:eastAsia="Calibri" w:hAnsi="Verdana" w:cs="Arial"/>
          <w:color w:val="000000" w:themeColor="text1"/>
          <w:sz w:val="20"/>
          <w:szCs w:val="20"/>
          <w:lang w:val="es-ES" w:eastAsia="es-ES"/>
        </w:rPr>
        <w:lastRenderedPageBreak/>
        <w:t>El Municipio de Pereira cuenta con el Teatro Santiago Londoño,</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el cual es un bien fiscal bajo administración del Municipio de</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Pereira (Secretaría de Cultura). Este recinto cuenta con unas</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tarifas para su alquiler a terceros interesados en realizar</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eventos culturales y comerciales. El contrato propuesto es un</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arrendamiento de corta duración, donde el particular paga una</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contraprestación económica al municipio, sin que exista</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erogación alguna por parte de la administración.</w:t>
      </w:r>
    </w:p>
    <w:p w14:paraId="509CE6D7" w14:textId="77777777" w:rsidR="00430D1E" w:rsidRPr="008641A0" w:rsidRDefault="00430D1E" w:rsidP="00430D1E">
      <w:pPr>
        <w:spacing w:after="0" w:line="240" w:lineRule="auto"/>
        <w:ind w:left="709" w:right="709"/>
        <w:jc w:val="both"/>
        <w:rPr>
          <w:rFonts w:ascii="Verdana" w:eastAsia="Calibri" w:hAnsi="Verdana" w:cs="Arial"/>
          <w:color w:val="000000" w:themeColor="text1"/>
          <w:sz w:val="20"/>
          <w:szCs w:val="20"/>
          <w:lang w:val="es-ES" w:eastAsia="es-ES"/>
        </w:rPr>
      </w:pPr>
    </w:p>
    <w:p w14:paraId="2E50B4DA" w14:textId="77777777" w:rsidR="00430D1E" w:rsidRPr="008641A0" w:rsidRDefault="00430D1E" w:rsidP="00430D1E">
      <w:pPr>
        <w:spacing w:after="0" w:line="240" w:lineRule="auto"/>
        <w:ind w:left="709" w:right="709"/>
        <w:jc w:val="both"/>
        <w:rPr>
          <w:rFonts w:ascii="Verdana" w:eastAsia="Calibri" w:hAnsi="Verdana" w:cs="Arial"/>
          <w:b/>
          <w:bCs/>
          <w:color w:val="000000" w:themeColor="text1"/>
          <w:sz w:val="20"/>
          <w:szCs w:val="20"/>
          <w:lang w:val="es-ES" w:eastAsia="es-ES"/>
        </w:rPr>
      </w:pPr>
      <w:r w:rsidRPr="008641A0">
        <w:rPr>
          <w:rFonts w:ascii="Verdana" w:eastAsia="Calibri" w:hAnsi="Verdana" w:cs="Arial"/>
          <w:b/>
          <w:bCs/>
          <w:color w:val="000000" w:themeColor="text1"/>
          <w:sz w:val="20"/>
          <w:szCs w:val="20"/>
          <w:lang w:val="es-ES" w:eastAsia="es-ES"/>
        </w:rPr>
        <w:t>PROBLEMA JURÍDICO</w:t>
      </w:r>
    </w:p>
    <w:p w14:paraId="6936D480" w14:textId="77777777" w:rsidR="00430D1E" w:rsidRPr="008641A0" w:rsidRDefault="00430D1E" w:rsidP="00430D1E">
      <w:pPr>
        <w:spacing w:after="0" w:line="240" w:lineRule="auto"/>
        <w:ind w:left="709" w:right="709"/>
        <w:jc w:val="both"/>
        <w:rPr>
          <w:rFonts w:ascii="Verdana" w:eastAsia="Calibri" w:hAnsi="Verdana" w:cs="Arial"/>
          <w:color w:val="000000" w:themeColor="text1"/>
          <w:sz w:val="20"/>
          <w:szCs w:val="20"/>
          <w:lang w:val="es-ES" w:eastAsia="es-ES"/>
        </w:rPr>
      </w:pPr>
      <w:r w:rsidRPr="008641A0">
        <w:rPr>
          <w:rFonts w:ascii="Verdana" w:eastAsia="Calibri" w:hAnsi="Verdana" w:cs="Arial"/>
          <w:color w:val="000000" w:themeColor="text1"/>
          <w:sz w:val="20"/>
          <w:szCs w:val="20"/>
          <w:lang w:val="es-ES" w:eastAsia="es-ES"/>
        </w:rPr>
        <w:t>¿La prohibición de contratación directa contenida en el</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artículo 33 de la Ley 996 de 2005 se extiende a los contratos</w:t>
      </w:r>
      <w:r>
        <w:rPr>
          <w:rFonts w:ascii="Verdana" w:eastAsia="Calibri" w:hAnsi="Verdana" w:cs="Arial"/>
          <w:color w:val="000000" w:themeColor="text1"/>
          <w:sz w:val="20"/>
          <w:szCs w:val="20"/>
          <w:lang w:val="es-ES" w:eastAsia="es-ES"/>
        </w:rPr>
        <w:t xml:space="preserve"> </w:t>
      </w:r>
      <w:r w:rsidRPr="008641A0">
        <w:rPr>
          <w:rFonts w:ascii="Verdana" w:eastAsia="Calibri" w:hAnsi="Verdana" w:cs="Arial"/>
          <w:color w:val="000000" w:themeColor="text1"/>
          <w:sz w:val="20"/>
          <w:szCs w:val="20"/>
          <w:lang w:val="es-ES" w:eastAsia="es-ES"/>
        </w:rPr>
        <w:t xml:space="preserve">de arrendamiento de bienes fiscales donde la entidad pública </w:t>
      </w:r>
      <w:r>
        <w:rPr>
          <w:rFonts w:ascii="Verdana" w:eastAsia="Calibri" w:hAnsi="Verdana" w:cs="Arial"/>
          <w:color w:val="000000" w:themeColor="text1"/>
          <w:sz w:val="20"/>
          <w:szCs w:val="20"/>
          <w:lang w:val="es-ES" w:eastAsia="es-ES"/>
        </w:rPr>
        <w:t>a:”</w:t>
      </w:r>
    </w:p>
    <w:p w14:paraId="77833360" w14:textId="77777777" w:rsidR="00430D1E" w:rsidRPr="008E6AD9" w:rsidRDefault="00430D1E" w:rsidP="00430D1E">
      <w:pPr>
        <w:pStyle w:val="Prrafodelista"/>
        <w:tabs>
          <w:tab w:val="left" w:pos="142"/>
          <w:tab w:val="left" w:pos="284"/>
        </w:tabs>
        <w:spacing w:after="0" w:line="276" w:lineRule="auto"/>
        <w:ind w:left="0"/>
        <w:jc w:val="both"/>
        <w:rPr>
          <w:rFonts w:ascii="Verdana" w:eastAsia="Century Gothic" w:hAnsi="Verdana" w:cs="Century Gothic"/>
          <w:b/>
          <w:bCs/>
        </w:rPr>
      </w:pPr>
    </w:p>
    <w:p w14:paraId="7F56D3E5" w14:textId="77777777" w:rsidR="00430D1E" w:rsidRPr="00A652FF" w:rsidRDefault="00430D1E" w:rsidP="00430D1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10BF94B" w14:textId="77777777" w:rsidR="00430D1E" w:rsidRPr="00423BE7" w:rsidRDefault="00430D1E" w:rsidP="00430D1E">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3678AE4" w14:textId="77777777" w:rsidR="00430D1E" w:rsidRPr="00593A5F" w:rsidRDefault="00430D1E" w:rsidP="00430D1E">
      <w:pPr>
        <w:spacing w:after="0" w:line="276" w:lineRule="auto"/>
        <w:ind w:firstLine="709"/>
        <w:jc w:val="both"/>
        <w:rPr>
          <w:rFonts w:ascii="Verdana" w:eastAsia="Calibri" w:hAnsi="Verdana" w:cs="Arial"/>
          <w:color w:val="000000"/>
          <w:lang w:val="es-ES" w:eastAsia="es-ES"/>
        </w:rPr>
      </w:pPr>
    </w:p>
    <w:p w14:paraId="3647FBBC" w14:textId="77777777" w:rsidR="00430D1E" w:rsidRPr="00593A5F" w:rsidRDefault="00430D1E" w:rsidP="00AE4CB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029129E7" w14:textId="77777777" w:rsidR="00430D1E" w:rsidRPr="00593A5F" w:rsidRDefault="00430D1E" w:rsidP="00430D1E">
      <w:pPr>
        <w:tabs>
          <w:tab w:val="left" w:pos="426"/>
        </w:tabs>
        <w:spacing w:after="0" w:line="276" w:lineRule="auto"/>
        <w:jc w:val="both"/>
        <w:rPr>
          <w:rFonts w:ascii="Verdana" w:eastAsia="Century Gothic" w:hAnsi="Verdana" w:cs="Century Gothic"/>
          <w:lang w:val="es-ES"/>
        </w:rPr>
      </w:pPr>
    </w:p>
    <w:p w14:paraId="160124CA" w14:textId="3393F5B5" w:rsidR="00430D1E" w:rsidRPr="00593A5F" w:rsidRDefault="00430D1E" w:rsidP="00430D1E">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¿Cómo opera la </w:t>
      </w:r>
      <w:r w:rsidR="00D3740B">
        <w:rPr>
          <w:rFonts w:ascii="Verdana" w:eastAsia="Century Gothic" w:hAnsi="Verdana" w:cs="Century Gothic"/>
        </w:rPr>
        <w:t xml:space="preserve">restricción </w:t>
      </w:r>
      <w:r>
        <w:rPr>
          <w:rFonts w:ascii="Verdana" w:eastAsia="Century Gothic" w:hAnsi="Verdana" w:cs="Century Gothic"/>
        </w:rPr>
        <w:t xml:space="preserve">y las excepciones </w:t>
      </w:r>
      <w:r w:rsidR="00D3740B">
        <w:rPr>
          <w:rFonts w:ascii="Verdana" w:eastAsia="Century Gothic" w:hAnsi="Verdana" w:cs="Century Gothic"/>
        </w:rPr>
        <w:t>contempladas en</w:t>
      </w:r>
      <w:r>
        <w:rPr>
          <w:rFonts w:ascii="Verdana" w:eastAsia="Century Gothic" w:hAnsi="Verdana" w:cs="Century Gothic"/>
        </w:rPr>
        <w:t xml:space="preserve"> el artículo 33 de la Ley de Garantías </w:t>
      </w:r>
      <w:r w:rsidR="00D3740B">
        <w:rPr>
          <w:rFonts w:ascii="Verdana" w:eastAsia="Century Gothic" w:hAnsi="Verdana" w:cs="Century Gothic"/>
        </w:rPr>
        <w:t>Electorales</w:t>
      </w:r>
      <w:r>
        <w:rPr>
          <w:rFonts w:ascii="Verdana" w:eastAsia="Century Gothic" w:hAnsi="Verdana" w:cs="Century Gothic"/>
        </w:rPr>
        <w:t xml:space="preserve"> (Ley 996 de 2005) </w:t>
      </w:r>
      <w:r w:rsidR="00D3740B">
        <w:rPr>
          <w:rFonts w:ascii="Verdana" w:eastAsia="Century Gothic" w:hAnsi="Verdana" w:cs="Century Gothic"/>
        </w:rPr>
        <w:t>respecto de</w:t>
      </w:r>
      <w:r>
        <w:rPr>
          <w:rFonts w:ascii="Verdana" w:eastAsia="Century Gothic" w:hAnsi="Verdana" w:cs="Century Gothic"/>
        </w:rPr>
        <w:t xml:space="preserve"> los contratos de arrendamiento de bienes fiscales</w:t>
      </w:r>
      <w:r>
        <w:rPr>
          <w:rFonts w:ascii="Verdana" w:eastAsia="Times New Roman" w:hAnsi="Verdana" w:cs="Arial"/>
          <w:lang w:eastAsia="es-MX"/>
        </w:rPr>
        <w:t>?</w:t>
      </w:r>
    </w:p>
    <w:p w14:paraId="44ED10C2" w14:textId="77777777" w:rsidR="00430D1E" w:rsidRPr="004B140F" w:rsidRDefault="00430D1E" w:rsidP="00430D1E">
      <w:pPr>
        <w:spacing w:after="0" w:line="276" w:lineRule="auto"/>
        <w:jc w:val="both"/>
        <w:rPr>
          <w:rFonts w:ascii="Verdana" w:eastAsia="Calibri" w:hAnsi="Verdana" w:cs="Arial"/>
          <w:color w:val="7030A0"/>
        </w:rPr>
      </w:pPr>
    </w:p>
    <w:p w14:paraId="55A8B5DF" w14:textId="77777777" w:rsidR="00430D1E" w:rsidRPr="00593A5F" w:rsidRDefault="00430D1E" w:rsidP="00430D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44560C38" w14:textId="77777777" w:rsidR="00430D1E" w:rsidRPr="00593A5F" w:rsidRDefault="00430D1E" w:rsidP="00430D1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30D1E" w:rsidRPr="00593A5F" w14:paraId="2B6BAEE0" w14:textId="77777777" w:rsidTr="00527860">
        <w:trPr>
          <w:jc w:val="center"/>
        </w:trPr>
        <w:tc>
          <w:tcPr>
            <w:tcW w:w="8828" w:type="dxa"/>
          </w:tcPr>
          <w:p w14:paraId="49A8C132" w14:textId="77777777" w:rsidR="0095467C" w:rsidRPr="00D77DEE" w:rsidRDefault="0095467C" w:rsidP="0095467C">
            <w:pPr>
              <w:pStyle w:val="Textoindependiente"/>
              <w:tabs>
                <w:tab w:val="left" w:pos="6225"/>
              </w:tabs>
              <w:spacing w:line="276" w:lineRule="auto"/>
              <w:jc w:val="both"/>
              <w:rPr>
                <w:rFonts w:ascii="Verdana" w:eastAsia="Calibri" w:hAnsi="Verdana" w:cs="Arial"/>
                <w:bCs/>
                <w:szCs w:val="24"/>
                <w:lang w:eastAsia="es-ES_tradnl"/>
              </w:rPr>
            </w:pPr>
            <w:bookmarkStart w:id="1" w:name="_Hlk171694685"/>
            <w:r w:rsidRPr="00D77DEE">
              <w:rPr>
                <w:rFonts w:ascii="Verdana" w:eastAsia="Calibri" w:hAnsi="Verdana" w:cs="Arial"/>
                <w:bCs/>
                <w:szCs w:val="24"/>
                <w:lang w:eastAsia="es-ES_tradnl"/>
              </w:rPr>
              <w:t>Resulta pertinente señalar que</w:t>
            </w:r>
            <w:r>
              <w:rPr>
                <w:rFonts w:ascii="Verdana" w:eastAsia="Calibri" w:hAnsi="Verdana" w:cs="Arial"/>
                <w:bCs/>
                <w:szCs w:val="24"/>
                <w:lang w:eastAsia="es-ES_tradnl"/>
              </w:rPr>
              <w:t>,</w:t>
            </w:r>
            <w:r w:rsidRPr="00D77DEE">
              <w:rPr>
                <w:rFonts w:ascii="Verdana" w:eastAsia="Calibri" w:hAnsi="Verdana" w:cs="Arial"/>
                <w:bCs/>
                <w:szCs w:val="24"/>
                <w:lang w:eastAsia="es-ES_tradnl"/>
              </w:rPr>
              <w:t xml:space="preserve"> </w:t>
            </w:r>
            <w:r w:rsidRPr="00CE01E2">
              <w:rPr>
                <w:rFonts w:ascii="Verdana" w:eastAsia="Calibri" w:hAnsi="Verdana" w:cs="Arial"/>
                <w:bCs/>
                <w:szCs w:val="24"/>
                <w:lang w:eastAsia="es-ES_tradnl"/>
              </w:rPr>
              <w:t xml:space="preserve">la Ley de Garantías Electorales </w:t>
            </w:r>
            <w:r w:rsidRPr="000D3AA1">
              <w:rPr>
                <w:rFonts w:ascii="Verdana" w:eastAsia="Calibri" w:hAnsi="Verdana" w:cs="Arial"/>
                <w:bCs/>
                <w:szCs w:val="24"/>
                <w:lang w:eastAsia="es-ES_tradnl"/>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6A086651" w14:textId="3158D886" w:rsidR="0095467C" w:rsidRDefault="00CC07EF" w:rsidP="0095467C">
            <w:pPr>
              <w:pStyle w:val="Textoindependiente"/>
              <w:tabs>
                <w:tab w:val="left" w:pos="6225"/>
              </w:tabs>
              <w:spacing w:line="276" w:lineRule="auto"/>
              <w:ind w:firstLine="709"/>
              <w:jc w:val="both"/>
              <w:rPr>
                <w:rFonts w:ascii="Verdana" w:eastAsia="Calibri" w:hAnsi="Verdana" w:cs="Arial"/>
                <w:bCs/>
                <w:szCs w:val="24"/>
                <w:lang w:eastAsia="es-ES_tradnl"/>
              </w:rPr>
            </w:pPr>
            <w:r>
              <w:rPr>
                <w:rFonts w:ascii="Verdana" w:eastAsia="Calibri" w:hAnsi="Verdana" w:cs="Arial"/>
                <w:bCs/>
                <w:szCs w:val="24"/>
                <w:lang w:eastAsia="es-ES_tradnl"/>
              </w:rPr>
              <w:t>Teniendo en cuenta el objeto de su consulta</w:t>
            </w:r>
            <w:r w:rsidR="0095467C" w:rsidRPr="00240BCA">
              <w:rPr>
                <w:rFonts w:ascii="Verdana" w:eastAsia="Calibri" w:hAnsi="Verdana" w:cs="Arial"/>
                <w:bCs/>
                <w:szCs w:val="24"/>
                <w:lang w:eastAsia="es-ES_tradnl"/>
              </w:rPr>
              <w:t>,</w:t>
            </w:r>
            <w:r>
              <w:rPr>
                <w:rFonts w:ascii="Verdana" w:eastAsia="Calibri" w:hAnsi="Verdana" w:cs="Arial"/>
                <w:bCs/>
                <w:szCs w:val="24"/>
                <w:lang w:eastAsia="es-ES_tradnl"/>
              </w:rPr>
              <w:t xml:space="preserve"> es necesario precisar que,</w:t>
            </w:r>
            <w:r w:rsidR="0095467C" w:rsidRPr="00240BCA">
              <w:rPr>
                <w:rFonts w:ascii="Verdana" w:eastAsia="Calibri" w:hAnsi="Verdana" w:cs="Arial"/>
                <w:bCs/>
                <w:szCs w:val="24"/>
                <w:lang w:eastAsia="es-ES_tradnl"/>
              </w:rPr>
              <w:t xml:space="preserve"> el artículo 33 de la Ley 996 de 2005 establece que, durante los cuatro (4) meses anteriores a la elección presidencial y hasta la realización de la segunda vuelta, si fuere el caso, queda prohibida la </w:t>
            </w:r>
            <w:r w:rsidR="0095467C" w:rsidRPr="000E6C92">
              <w:rPr>
                <w:rFonts w:ascii="Verdana" w:eastAsia="Calibri" w:hAnsi="Verdana" w:cs="Arial"/>
                <w:bCs/>
                <w:i/>
                <w:iCs/>
                <w:szCs w:val="24"/>
                <w:lang w:eastAsia="es-ES_tradnl"/>
              </w:rPr>
              <w:t>contratación directa por parte de todos los entes del Estado</w:t>
            </w:r>
            <w:r w:rsidR="0095467C" w:rsidRPr="00240BCA">
              <w:rPr>
                <w:rFonts w:ascii="Verdana" w:eastAsia="Calibri" w:hAnsi="Verdana" w:cs="Arial"/>
                <w:bCs/>
                <w:szCs w:val="24"/>
                <w:lang w:eastAsia="es-ES_tradnl"/>
              </w:rPr>
              <w:t xml:space="preserve">. </w:t>
            </w:r>
          </w:p>
          <w:p w14:paraId="5F4A1262" w14:textId="25194779" w:rsidR="0095467C" w:rsidRPr="00F43CC7" w:rsidRDefault="008E6EE7" w:rsidP="0095467C">
            <w:pPr>
              <w:spacing w:after="120" w:line="276" w:lineRule="auto"/>
              <w:ind w:firstLine="737"/>
              <w:jc w:val="both"/>
              <w:rPr>
                <w:rFonts w:ascii="Verdana" w:eastAsia="Times New Roman" w:hAnsi="Verdana" w:cs="Arial"/>
                <w:lang w:val="es-ES" w:eastAsia="es-MX"/>
              </w:rPr>
            </w:pPr>
            <w:r>
              <w:rPr>
                <w:rFonts w:ascii="Verdana" w:eastAsia="Times New Roman" w:hAnsi="Verdana" w:cs="Arial"/>
                <w:lang w:val="es-ES" w:eastAsia="es-MX"/>
              </w:rPr>
              <w:t>Ahora bien</w:t>
            </w:r>
            <w:r w:rsidR="0095467C" w:rsidRPr="00F43CC7">
              <w:rPr>
                <w:rFonts w:ascii="Verdana" w:eastAsia="Times New Roman" w:hAnsi="Verdana" w:cs="Arial"/>
                <w:lang w:val="es-ES" w:eastAsia="es-MX"/>
              </w:rPr>
              <w:t>, el literal i) del artículo 2.4 de la Ley 1150 de 2011 permite la contratación directa tratándose de “El arrendamiento […] de inmuebles”</w:t>
            </w:r>
            <w:r w:rsidR="0095467C">
              <w:rPr>
                <w:rFonts w:ascii="Verdana" w:eastAsia="Times New Roman" w:hAnsi="Verdana" w:cs="Arial"/>
                <w:lang w:val="es-ES" w:eastAsia="es-MX"/>
              </w:rPr>
              <w:t>, causal que estaría incluida en la prohibición referida</w:t>
            </w:r>
            <w:r w:rsidR="0095467C" w:rsidRPr="00F43CC7">
              <w:rPr>
                <w:rFonts w:ascii="Verdana" w:eastAsia="Times New Roman" w:hAnsi="Verdana" w:cs="Arial"/>
                <w:lang w:val="es-ES" w:eastAsia="es-MX"/>
              </w:rPr>
              <w:t xml:space="preserve">.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37B01517" w14:textId="25E384B0" w:rsidR="0095467C" w:rsidRPr="00584C67" w:rsidRDefault="0095467C" w:rsidP="0095467C">
            <w:pPr>
              <w:spacing w:after="120" w:line="276" w:lineRule="auto"/>
              <w:ind w:firstLine="709"/>
              <w:jc w:val="both"/>
              <w:rPr>
                <w:rFonts w:ascii="Verdana" w:hAnsi="Verdana" w:cs="Segoe UI"/>
              </w:rPr>
            </w:pPr>
            <w:r w:rsidRPr="00584C67">
              <w:rPr>
                <w:rFonts w:ascii="Verdana" w:hAnsi="Verdana" w:cs="Segoe UI"/>
              </w:rPr>
              <w:t>En este contexto es preciso señalar que</w:t>
            </w:r>
            <w:r>
              <w:rPr>
                <w:rFonts w:ascii="Verdana" w:hAnsi="Verdana" w:cs="Segoe UI"/>
              </w:rPr>
              <w:t>,</w:t>
            </w:r>
            <w:r w:rsidRPr="00584C67">
              <w:rPr>
                <w:rFonts w:ascii="Verdana" w:hAnsi="Verdana" w:cs="Segoe UI"/>
              </w:rPr>
              <w:t xml:space="preserve"> la causal de contratación directa prevista en la Ley 1150 </w:t>
            </w:r>
            <w:r w:rsidR="006B3DE3">
              <w:rPr>
                <w:rFonts w:ascii="Verdana" w:hAnsi="Verdana" w:cs="Segoe UI"/>
              </w:rPr>
              <w:t xml:space="preserve">de 2011 </w:t>
            </w:r>
            <w:r w:rsidRPr="00584C67">
              <w:rPr>
                <w:rFonts w:ascii="Verdana" w:hAnsi="Verdana" w:cs="Segoe UI"/>
              </w:rPr>
              <w:t xml:space="preserve">permite su utilización </w:t>
            </w:r>
            <w:r w:rsidRPr="00AE4CB7">
              <w:rPr>
                <w:rStyle w:val="Fuerte"/>
                <w:rFonts w:ascii="Verdana" w:hAnsi="Verdana" w:cs="Segoe UI"/>
                <w:b w:val="0"/>
                <w:bCs w:val="0"/>
              </w:rPr>
              <w:t>tanto cuando la entidad actúa como arrendadora como cuando actúa como arrendataria</w:t>
            </w:r>
            <w:r w:rsidRPr="00584C67">
              <w:rPr>
                <w:rFonts w:ascii="Verdana" w:hAnsi="Verdana" w:cs="Segoe UI"/>
              </w:rPr>
              <w:t xml:space="preserve">, incluido el supuesto planteado para consideración. No obstante, tal modalidad de selección se encuentra </w:t>
            </w:r>
            <w:r w:rsidRPr="00AE4CB7">
              <w:rPr>
                <w:rStyle w:val="Fuerte"/>
                <w:rFonts w:ascii="Verdana" w:hAnsi="Verdana" w:cs="Segoe UI"/>
                <w:b w:val="0"/>
                <w:bCs w:val="0"/>
              </w:rPr>
              <w:t>proscrita durante los cuatro (4) meses anteriores a las elecciones presidenciales</w:t>
            </w:r>
            <w:r w:rsidRPr="00584C67">
              <w:rPr>
                <w:rFonts w:ascii="Verdana" w:hAnsi="Verdana" w:cs="Segoe UI"/>
              </w:rPr>
              <w:t xml:space="preserve">, en los términos del artículo 33 de la Ley 996 de 2005, razón por la cual </w:t>
            </w:r>
            <w:r w:rsidRPr="00AE4CB7">
              <w:rPr>
                <w:rStyle w:val="Fuerte"/>
                <w:rFonts w:ascii="Verdana" w:hAnsi="Verdana" w:cs="Segoe UI"/>
                <w:b w:val="0"/>
                <w:bCs w:val="0"/>
              </w:rPr>
              <w:t>no es posible celebrar contratos de arrendamiento mediante contratación directa en dicho periodo</w:t>
            </w:r>
            <w:r w:rsidRPr="00584C67">
              <w:rPr>
                <w:rFonts w:ascii="Verdana" w:hAnsi="Verdana" w:cs="Segoe UI"/>
              </w:rPr>
              <w:t>, salvo que el caso concreto se enmarque en alguna de las excepciones taxativamente señaladas en la norma.</w:t>
            </w:r>
          </w:p>
          <w:p w14:paraId="7925E4E0" w14:textId="491D66D1" w:rsidR="0095467C" w:rsidRDefault="006B3DE3" w:rsidP="00AE4CB7">
            <w:pPr>
              <w:spacing w:after="120" w:line="276" w:lineRule="auto"/>
              <w:ind w:firstLine="737"/>
              <w:jc w:val="both"/>
              <w:rPr>
                <w:rFonts w:ascii="Verdana" w:eastAsia="Calibri" w:hAnsi="Verdana" w:cs="Arial"/>
                <w:lang w:val="es-ES"/>
              </w:rPr>
            </w:pPr>
            <w:r>
              <w:rPr>
                <w:rFonts w:ascii="Verdana" w:eastAsia="Calibri" w:hAnsi="Verdana" w:cs="Arial"/>
                <w:lang w:val="es-ES"/>
              </w:rPr>
              <w:t>Así las cosas, c</w:t>
            </w:r>
            <w:r w:rsidR="0095467C" w:rsidRPr="00F43CC7">
              <w:rPr>
                <w:rFonts w:ascii="Verdana" w:eastAsia="Calibri" w:hAnsi="Verdana" w:cs="Arial"/>
                <w:lang w:val="es-ES"/>
              </w:rPr>
              <w:t xml:space="preserve">uando la entidad estatal actúe como arrendadora puede evaluar si, debido a lo explicado en los párrafos anteriores, es conveniente adelantar una convocatoria pública en garantía del principio de libre concurrencia. No obstante, lo cierto es que –dentro del marco normativo </w:t>
            </w:r>
            <w:r w:rsidR="0095467C" w:rsidRPr="00F43CC7">
              <w:rPr>
                <w:rFonts w:ascii="Verdana" w:eastAsia="Calibri" w:hAnsi="Verdana" w:cs="Arial"/>
                <w:lang w:val="es-ES"/>
              </w:rPr>
              <w:lastRenderedPageBreak/>
              <w:t>vigente– las entidades públicas son autónomas y responsables tanto de la estructuración de sus procesos de contratación como de determinar la modalidad de selección aplicable para suplir sus necesidades.</w:t>
            </w:r>
          </w:p>
          <w:p w14:paraId="3CB83FBF" w14:textId="77777777" w:rsidR="00430D1E" w:rsidRDefault="00430D1E" w:rsidP="00527860">
            <w:pPr>
              <w:spacing w:after="120" w:line="276" w:lineRule="auto"/>
              <w:ind w:firstLine="737"/>
              <w:jc w:val="both"/>
              <w:rPr>
                <w:rFonts w:ascii="Verdana" w:eastAsia="Times New Roman" w:hAnsi="Verdana" w:cs="Arial"/>
                <w:bCs/>
                <w:lang w:val="es-MX" w:eastAsia="x-none"/>
              </w:rPr>
            </w:pPr>
            <w:r>
              <w:rPr>
                <w:rFonts w:ascii="Verdana" w:eastAsia="Times New Roman" w:hAnsi="Verdana" w:cs="Arial"/>
                <w:bCs/>
                <w:lang w:val="es-MX" w:eastAsia="x-none"/>
              </w:rPr>
              <w:t xml:space="preserve">Lo anterior,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w:t>
            </w:r>
            <w:r w:rsidRPr="00C53E3E">
              <w:rPr>
                <w:rFonts w:ascii="Verdana" w:eastAsia="Calibri" w:hAnsi="Verdana" w:cs="Arial"/>
                <w:lang w:val="es-MX"/>
              </w:rPr>
              <w:t>de la Ley 996 de 2005</w:t>
            </w:r>
            <w:r>
              <w:rPr>
                <w:rFonts w:ascii="Verdana" w:eastAsia="Times New Roman" w:hAnsi="Verdana" w:cs="Arial"/>
                <w:bCs/>
                <w:lang w:val="es-MX" w:eastAsia="x-none"/>
              </w:rPr>
              <w:t xml:space="preserve">,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2914E0A" w14:textId="77777777" w:rsidR="00430D1E" w:rsidRPr="001941FD" w:rsidRDefault="00430D1E" w:rsidP="00527860">
            <w:pPr>
              <w:spacing w:line="276" w:lineRule="auto"/>
              <w:ind w:right="51" w:firstLine="737"/>
              <w:jc w:val="both"/>
              <w:rPr>
                <w:rFonts w:ascii="Verdana" w:eastAsia="Calibri" w:hAnsi="Verdana" w:cs="Arial"/>
                <w:bCs/>
                <w:color w:val="000000" w:themeColor="text1"/>
              </w:rPr>
            </w:pPr>
            <w:r w:rsidRPr="003C6656">
              <w:rPr>
                <w:rStyle w:val="s15"/>
                <w:rFonts w:ascii="Verdana" w:hAnsi="Verdana"/>
                <w:color w:val="000000"/>
              </w:rPr>
              <w:t>Al margen de la explicación</w:t>
            </w:r>
            <w:r w:rsidRPr="00D10E3B">
              <w:rPr>
                <w:rStyle w:val="s15"/>
                <w:rFonts w:ascii="Verdana" w:hAnsi="Verdana"/>
                <w:color w:val="000000"/>
              </w:rPr>
              <w:t xml:space="preserve">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D2087A9" w14:textId="77777777" w:rsidR="00430D1E" w:rsidRPr="00593A5F" w:rsidRDefault="00430D1E" w:rsidP="00430D1E">
      <w:pPr>
        <w:tabs>
          <w:tab w:val="left" w:pos="142"/>
          <w:tab w:val="left" w:pos="284"/>
        </w:tabs>
        <w:spacing w:after="0" w:line="276" w:lineRule="auto"/>
        <w:jc w:val="both"/>
        <w:rPr>
          <w:rFonts w:ascii="Verdana" w:eastAsia="Century Gothic" w:hAnsi="Verdana" w:cs="Century Gothic"/>
          <w:b/>
          <w:bCs/>
          <w:lang w:val="es-ES"/>
        </w:rPr>
      </w:pPr>
    </w:p>
    <w:bookmarkEnd w:id="1"/>
    <w:p w14:paraId="440158C1" w14:textId="77777777" w:rsidR="00430D1E" w:rsidRPr="00593A5F" w:rsidRDefault="00430D1E" w:rsidP="00430D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2B6AF58" w14:textId="77777777" w:rsidR="00430D1E" w:rsidRPr="00593A5F" w:rsidRDefault="00430D1E" w:rsidP="00430D1E">
      <w:pPr>
        <w:spacing w:after="0" w:line="276" w:lineRule="auto"/>
        <w:jc w:val="both"/>
        <w:rPr>
          <w:rFonts w:ascii="Verdana" w:eastAsia="Calibri" w:hAnsi="Verdana" w:cs="Arial"/>
          <w:color w:val="7030A0"/>
          <w:lang w:val="es-ES"/>
        </w:rPr>
      </w:pPr>
    </w:p>
    <w:p w14:paraId="35718488" w14:textId="77777777" w:rsidR="00430D1E" w:rsidRDefault="00430D1E" w:rsidP="00430D1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EF62CC6" w14:textId="77777777" w:rsidR="00430D1E" w:rsidRDefault="00430D1E" w:rsidP="00430D1E">
      <w:pPr>
        <w:spacing w:after="0" w:line="276" w:lineRule="auto"/>
        <w:jc w:val="both"/>
        <w:rPr>
          <w:rFonts w:ascii="Verdana" w:eastAsia="Calibri" w:hAnsi="Verdana" w:cs="Arial"/>
          <w:lang w:val="es-ES"/>
        </w:rPr>
      </w:pPr>
    </w:p>
    <w:p w14:paraId="252090D5" w14:textId="77777777" w:rsidR="00430D1E" w:rsidRPr="009E105D" w:rsidRDefault="00430D1E" w:rsidP="00430D1E">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 xml:space="preserve">Por ejemplo, el artículo 127 de la Constitución Política establece una prohibición contractual a los servidores públicos y en cuanto a aspectos políticos </w:t>
      </w:r>
      <w:r w:rsidRPr="009E105D">
        <w:rPr>
          <w:rFonts w:ascii="Verdana" w:eastAsia="Calibri" w:hAnsi="Verdana" w:cs="Arial"/>
        </w:rPr>
        <w:lastRenderedPageBreak/>
        <w:t>consagra restricciones a ciertos empleados del Estado, incluso en época no electoral</w:t>
      </w:r>
      <w:r w:rsidRPr="009E105D">
        <w:rPr>
          <w:rFonts w:ascii="Verdana" w:eastAsia="Calibri" w:hAnsi="Verdana" w:cs="Arial"/>
          <w:vertAlign w:val="superscript"/>
        </w:rPr>
        <w:footnoteReference w:id="4"/>
      </w:r>
      <w:r w:rsidRPr="009E105D">
        <w:rPr>
          <w:rFonts w:ascii="Verdana" w:eastAsia="Calibri" w:hAnsi="Verdana" w:cs="Arial"/>
        </w:rPr>
        <w:t xml:space="preserve">. </w:t>
      </w:r>
    </w:p>
    <w:p w14:paraId="6D60FA3E" w14:textId="77777777" w:rsidR="00430D1E" w:rsidRPr="009E105D" w:rsidRDefault="00430D1E" w:rsidP="00430D1E">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5"/>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C6D0593" w14:textId="77777777" w:rsidR="00430D1E" w:rsidRPr="009E105D" w:rsidRDefault="00430D1E" w:rsidP="00430D1E">
      <w:pPr>
        <w:spacing w:after="0" w:line="276" w:lineRule="auto"/>
        <w:ind w:right="709"/>
        <w:contextualSpacing/>
        <w:jc w:val="both"/>
        <w:rPr>
          <w:rFonts w:ascii="Verdana" w:eastAsia="Times New Roman" w:hAnsi="Verdana" w:cs="Arial"/>
          <w:sz w:val="21"/>
          <w:szCs w:val="21"/>
          <w:lang w:val="es-ES" w:eastAsia="es-CO"/>
        </w:rPr>
      </w:pPr>
    </w:p>
    <w:p w14:paraId="3D7BA55B" w14:textId="77777777" w:rsidR="00430D1E" w:rsidRPr="00E066AC" w:rsidRDefault="00430D1E" w:rsidP="00430D1E">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B835C70" w14:textId="77777777" w:rsidR="00430D1E" w:rsidRDefault="00430D1E" w:rsidP="00AE4CB7">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097E205D" w14:textId="77777777" w:rsidR="00430D1E" w:rsidRPr="00E066AC" w:rsidRDefault="00430D1E" w:rsidP="00AE4CB7">
      <w:pPr>
        <w:spacing w:after="0" w:line="240" w:lineRule="auto"/>
        <w:ind w:left="709" w:right="709"/>
        <w:contextualSpacing/>
        <w:jc w:val="both"/>
        <w:rPr>
          <w:rFonts w:ascii="Verdana" w:eastAsia="Times New Roman" w:hAnsi="Verdana" w:cs="Arial"/>
          <w:sz w:val="12"/>
          <w:szCs w:val="12"/>
          <w:lang w:val="es-MX" w:eastAsia="es-CO"/>
        </w:rPr>
      </w:pPr>
    </w:p>
    <w:p w14:paraId="46AC43EF" w14:textId="77777777" w:rsidR="00430D1E" w:rsidRPr="00E066AC" w:rsidRDefault="00430D1E" w:rsidP="00430D1E">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6"/>
      </w:r>
      <w:r w:rsidRPr="00E066AC">
        <w:rPr>
          <w:rFonts w:ascii="Verdana" w:eastAsia="Times New Roman" w:hAnsi="Verdana" w:cs="Arial"/>
          <w:sz w:val="20"/>
          <w:szCs w:val="20"/>
          <w:lang w:val="es-MX" w:eastAsia="es-CO"/>
        </w:rPr>
        <w:t>.</w:t>
      </w:r>
    </w:p>
    <w:p w14:paraId="59B711D9" w14:textId="77777777" w:rsidR="00430D1E" w:rsidRPr="009E105D" w:rsidRDefault="00430D1E" w:rsidP="00AE4CB7">
      <w:pPr>
        <w:spacing w:after="0" w:line="276" w:lineRule="auto"/>
        <w:ind w:left="709" w:right="709"/>
        <w:jc w:val="both"/>
        <w:rPr>
          <w:rFonts w:ascii="Verdana" w:eastAsia="Times New Roman" w:hAnsi="Verdana" w:cs="Arial"/>
          <w:sz w:val="21"/>
          <w:szCs w:val="21"/>
          <w:lang w:val="es-MX" w:eastAsia="es-CO"/>
        </w:rPr>
      </w:pPr>
    </w:p>
    <w:p w14:paraId="5F348C7E" w14:textId="77777777" w:rsidR="00430D1E" w:rsidRPr="009E105D" w:rsidRDefault="00430D1E" w:rsidP="00430D1E">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lastRenderedPageBreak/>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7DFEB5BB" w14:textId="77777777" w:rsidR="00430D1E" w:rsidRPr="009E105D" w:rsidRDefault="00430D1E" w:rsidP="00AE4CB7">
      <w:pPr>
        <w:spacing w:after="0" w:line="276" w:lineRule="auto"/>
        <w:ind w:firstLine="709"/>
        <w:jc w:val="both"/>
        <w:rPr>
          <w:rFonts w:ascii="Verdana" w:eastAsia="Times New Roman" w:hAnsi="Verdana" w:cs="Arial"/>
          <w:lang w:val="es-MX" w:eastAsia="es-CO"/>
        </w:rPr>
      </w:pPr>
    </w:p>
    <w:p w14:paraId="2F8EBFB8" w14:textId="77777777" w:rsidR="00430D1E" w:rsidRPr="00E066AC" w:rsidRDefault="00430D1E" w:rsidP="00430D1E">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066AC">
        <w:rPr>
          <w:rFonts w:ascii="Verdana" w:eastAsia="Times New Roman" w:hAnsi="Verdana" w:cs="Arial"/>
          <w:sz w:val="20"/>
          <w:szCs w:val="20"/>
          <w:lang w:val="es-MX" w:eastAsia="es-CO"/>
        </w:rPr>
        <w:t>legis</w:t>
      </w:r>
      <w:proofErr w:type="spellEnd"/>
      <w:r w:rsidRPr="00E066AC">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25DC831" w14:textId="77777777" w:rsidR="00430D1E" w:rsidRPr="00E066AC" w:rsidRDefault="00430D1E" w:rsidP="00430D1E">
      <w:pPr>
        <w:spacing w:after="0" w:line="240" w:lineRule="auto"/>
        <w:ind w:right="709"/>
        <w:contextualSpacing/>
        <w:jc w:val="both"/>
        <w:rPr>
          <w:rFonts w:ascii="Verdana" w:eastAsia="Times New Roman" w:hAnsi="Verdana" w:cs="Arial"/>
          <w:sz w:val="12"/>
          <w:szCs w:val="12"/>
          <w:lang w:val="es-MX" w:eastAsia="es-CO"/>
        </w:rPr>
      </w:pPr>
    </w:p>
    <w:p w14:paraId="32D5CB2E" w14:textId="77777777" w:rsidR="00430D1E" w:rsidRPr="00E066AC" w:rsidRDefault="00430D1E" w:rsidP="00430D1E">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La jurisprudencia de la Corte Constitucional</w:t>
      </w:r>
      <w:r w:rsidRPr="00E066AC">
        <w:rPr>
          <w:rFonts w:ascii="Verdana" w:eastAsia="Times New Roman" w:hAnsi="Verdana" w:cs="Arial"/>
          <w:sz w:val="20"/>
          <w:szCs w:val="20"/>
          <w:vertAlign w:val="superscript"/>
          <w:lang w:val="es-MX" w:eastAsia="es-CO"/>
        </w:rPr>
        <w:footnoteReference w:id="7"/>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8"/>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9"/>
      </w:r>
      <w:r w:rsidRPr="00E066AC">
        <w:rPr>
          <w:rFonts w:ascii="Verdana" w:eastAsia="Times New Roman" w:hAnsi="Verdana" w:cs="Arial"/>
          <w:sz w:val="20"/>
          <w:szCs w:val="20"/>
          <w:lang w:val="es-MX" w:eastAsia="es-CO"/>
        </w:rPr>
        <w:t>.</w:t>
      </w:r>
    </w:p>
    <w:p w14:paraId="4EE07336" w14:textId="77777777" w:rsidR="00430D1E" w:rsidRPr="009E105D" w:rsidRDefault="00430D1E" w:rsidP="00430D1E">
      <w:pPr>
        <w:spacing w:after="0" w:line="276" w:lineRule="auto"/>
        <w:ind w:right="709"/>
        <w:contextualSpacing/>
        <w:jc w:val="both"/>
        <w:rPr>
          <w:rFonts w:ascii="Verdana" w:eastAsia="Times New Roman" w:hAnsi="Verdana" w:cs="Arial"/>
          <w:sz w:val="21"/>
          <w:szCs w:val="21"/>
          <w:lang w:val="es-MX" w:eastAsia="es-CO"/>
        </w:rPr>
      </w:pPr>
    </w:p>
    <w:p w14:paraId="13B0ADBF" w14:textId="77777777" w:rsidR="00430D1E" w:rsidRPr="009E105D" w:rsidRDefault="00430D1E" w:rsidP="00430D1E">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 xml:space="preserve">la Ley de Garantías Electorales fijó una serie de regulaciones y prohibiciones dirigidas a los servidores públicos. Con la </w:t>
      </w:r>
      <w:r w:rsidRPr="009E105D">
        <w:rPr>
          <w:rFonts w:ascii="Verdana" w:eastAsia="Arial" w:hAnsi="Verdana" w:cs="Arial"/>
          <w:lang w:val="es-ES" w:eastAsia="es-ES" w:bidi="es-ES"/>
        </w:rPr>
        <w:lastRenderedPageBreak/>
        <w:t>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7C0624AA" w14:textId="77777777" w:rsidR="00430D1E" w:rsidRPr="009E105D" w:rsidRDefault="00430D1E" w:rsidP="00430D1E">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105D">
        <w:rPr>
          <w:rFonts w:ascii="Verdana" w:eastAsia="Calibri" w:hAnsi="Verdana" w:cs="Arial"/>
          <w:vertAlign w:val="superscript"/>
        </w:rPr>
        <w:footnoteReference w:id="10"/>
      </w:r>
      <w:r w:rsidRPr="009E105D">
        <w:rPr>
          <w:rFonts w:ascii="Verdana" w:eastAsia="Calibri" w:hAnsi="Verdana" w:cs="Arial"/>
        </w:rPr>
        <w:t>.</w:t>
      </w:r>
    </w:p>
    <w:p w14:paraId="12B99B60" w14:textId="77777777" w:rsidR="00430D1E" w:rsidRPr="009E105D" w:rsidRDefault="00430D1E" w:rsidP="00430D1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11"/>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w:t>
      </w:r>
      <w:r w:rsidRPr="009E105D">
        <w:rPr>
          <w:rFonts w:ascii="Verdana" w:eastAsia="Arial" w:hAnsi="Verdana" w:cs="Arial"/>
          <w:lang w:val="es-ES" w:eastAsia="es-ES" w:bidi="es-ES"/>
        </w:rPr>
        <w:lastRenderedPageBreak/>
        <w:t>aclarado la distinción en la aplicación de las prohibiciones de la Ley 996 de 2005, dependiendo del tipo de elección que se trate. Al respecto, considera que:</w:t>
      </w:r>
    </w:p>
    <w:p w14:paraId="758A7109" w14:textId="77777777" w:rsidR="00430D1E" w:rsidRPr="009E105D" w:rsidRDefault="00430D1E" w:rsidP="00430D1E">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B1F6B31" w14:textId="77777777" w:rsidR="00430D1E" w:rsidRPr="00E066AC" w:rsidRDefault="00430D1E" w:rsidP="00430D1E">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12"/>
      </w:r>
      <w:r w:rsidRPr="00E066AC">
        <w:rPr>
          <w:rFonts w:ascii="Verdana" w:eastAsia="Arial" w:hAnsi="Verdana" w:cs="Arial"/>
          <w:sz w:val="20"/>
          <w:szCs w:val="20"/>
          <w:lang w:val="es-ES" w:eastAsia="es-ES" w:bidi="es-ES"/>
        </w:rPr>
        <w:t>.</w:t>
      </w:r>
    </w:p>
    <w:p w14:paraId="5F6019A1" w14:textId="77777777" w:rsidR="00430D1E" w:rsidRPr="009E105D" w:rsidRDefault="00430D1E" w:rsidP="00430D1E">
      <w:pPr>
        <w:widowControl w:val="0"/>
        <w:autoSpaceDE w:val="0"/>
        <w:autoSpaceDN w:val="0"/>
        <w:spacing w:after="0" w:line="276" w:lineRule="auto"/>
        <w:contextualSpacing/>
        <w:rPr>
          <w:rFonts w:ascii="Verdana" w:eastAsia="Arial" w:hAnsi="Verdana" w:cs="Arial"/>
          <w:lang w:val="es-ES" w:eastAsia="es-ES" w:bidi="es-ES"/>
        </w:rPr>
      </w:pPr>
    </w:p>
    <w:p w14:paraId="04C425BC" w14:textId="77777777" w:rsidR="00430D1E" w:rsidRPr="009E105D" w:rsidRDefault="00430D1E" w:rsidP="00430D1E">
      <w:pPr>
        <w:spacing w:after="120" w:line="276" w:lineRule="auto"/>
        <w:ind w:firstLine="709"/>
        <w:jc w:val="both"/>
        <w:rPr>
          <w:rFonts w:ascii="Verdana" w:eastAsia="Arial" w:hAnsi="Verdana" w:cs="Arial"/>
          <w:lang w:val="es-ES" w:eastAsia="es-ES" w:bidi="es-ES"/>
        </w:rPr>
      </w:pPr>
      <w:bookmarkStart w:id="9" w:name="_Hlk75780333"/>
      <w:r>
        <w:rPr>
          <w:rFonts w:ascii="Verdana" w:eastAsia="Arial" w:hAnsi="Verdana" w:cs="Arial"/>
          <w:lang w:val="es-ES" w:eastAsia="es-ES" w:bidi="es-ES"/>
        </w:rPr>
        <w:t>Cabe mencionar que a</w:t>
      </w:r>
      <w:r w:rsidRPr="009E105D">
        <w:rPr>
          <w:rFonts w:ascii="Verdana" w:eastAsia="Arial" w:hAnsi="Verdana" w:cs="Arial"/>
          <w:lang w:val="es-ES" w:eastAsia="es-ES" w:bidi="es-ES"/>
        </w:rPr>
        <w:t>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9"/>
    <w:p w14:paraId="73E85484" w14:textId="77777777" w:rsidR="00430D1E" w:rsidRDefault="00430D1E" w:rsidP="00430D1E">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w:t>
      </w:r>
      <w:r w:rsidRPr="009E105D">
        <w:rPr>
          <w:rFonts w:ascii="Verdana" w:eastAsia="Arial" w:hAnsi="Verdana" w:cs="Arial"/>
          <w:lang w:val="es-ES" w:eastAsia="es-ES" w:bidi="es-ES"/>
        </w:rPr>
        <w:lastRenderedPageBreak/>
        <w:t>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32FF4723" w14:textId="77777777" w:rsidR="00430D1E" w:rsidRDefault="00430D1E" w:rsidP="00430D1E">
      <w:pPr>
        <w:spacing w:after="0" w:line="276" w:lineRule="auto"/>
        <w:jc w:val="both"/>
        <w:rPr>
          <w:rFonts w:ascii="Verdana" w:eastAsia="Arial" w:hAnsi="Verdana" w:cs="Arial"/>
          <w:lang w:val="es-ES" w:eastAsia="es-ES" w:bidi="es-ES"/>
        </w:rPr>
      </w:pPr>
    </w:p>
    <w:p w14:paraId="0658D4DF" w14:textId="77777777" w:rsidR="00430D1E" w:rsidRPr="00F8199A" w:rsidRDefault="00430D1E" w:rsidP="00430D1E">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18EB299C" w14:textId="77777777" w:rsidR="00430D1E" w:rsidRPr="00F8199A" w:rsidRDefault="00430D1E" w:rsidP="00430D1E">
      <w:pPr>
        <w:spacing w:after="0" w:line="276" w:lineRule="auto"/>
        <w:ind w:left="708" w:right="709"/>
        <w:jc w:val="both"/>
        <w:rPr>
          <w:rFonts w:ascii="Verdana" w:hAnsi="Verdana" w:cs="Arial"/>
          <w:lang w:val="es-MX"/>
        </w:rPr>
      </w:pPr>
    </w:p>
    <w:p w14:paraId="10A7FACD" w14:textId="77777777" w:rsidR="00430D1E" w:rsidRPr="00F8199A" w:rsidRDefault="00430D1E" w:rsidP="006369A8">
      <w:pPr>
        <w:spacing w:after="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3"/>
      </w:r>
      <w:r w:rsidRPr="00F8199A">
        <w:rPr>
          <w:rFonts w:ascii="Verdana" w:hAnsi="Verdana" w:cs="Arial"/>
          <w:sz w:val="20"/>
          <w:szCs w:val="20"/>
          <w:lang w:val="es-MX"/>
        </w:rPr>
        <w:t>.</w:t>
      </w:r>
    </w:p>
    <w:p w14:paraId="76067AF2" w14:textId="77777777" w:rsidR="006369A8" w:rsidRPr="00F8199A" w:rsidRDefault="006369A8" w:rsidP="00AE4CB7">
      <w:pPr>
        <w:spacing w:after="0"/>
        <w:ind w:left="709" w:right="709"/>
        <w:jc w:val="both"/>
        <w:rPr>
          <w:rFonts w:ascii="Verdana" w:hAnsi="Verdana" w:cs="Arial"/>
          <w:sz w:val="20"/>
          <w:szCs w:val="20"/>
          <w:lang w:val="es-MX"/>
        </w:rPr>
      </w:pPr>
    </w:p>
    <w:p w14:paraId="174D35A2" w14:textId="77777777" w:rsidR="00430D1E" w:rsidRPr="00F8199A" w:rsidRDefault="00430D1E" w:rsidP="00AE4CB7">
      <w:pPr>
        <w:spacing w:after="0"/>
        <w:ind w:left="709"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4"/>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5"/>
      </w:r>
      <w:r w:rsidRPr="00F8199A">
        <w:rPr>
          <w:rFonts w:ascii="Verdana" w:hAnsi="Verdana" w:cs="Arial"/>
          <w:sz w:val="20"/>
          <w:szCs w:val="20"/>
          <w:lang w:val="es-MX"/>
        </w:rPr>
        <w:t>.</w:t>
      </w:r>
    </w:p>
    <w:p w14:paraId="080F534F" w14:textId="77777777" w:rsidR="00430D1E" w:rsidRPr="00F8199A" w:rsidRDefault="00430D1E" w:rsidP="00430D1E">
      <w:pPr>
        <w:shd w:val="clear" w:color="auto" w:fill="FFFFFF"/>
        <w:spacing w:after="0" w:line="276" w:lineRule="auto"/>
        <w:ind w:firstLine="709"/>
        <w:jc w:val="both"/>
        <w:rPr>
          <w:rFonts w:ascii="Verdana" w:hAnsi="Verdana" w:cs="Arial"/>
          <w:lang w:eastAsia="x-none"/>
        </w:rPr>
      </w:pPr>
    </w:p>
    <w:p w14:paraId="4EFBADCD" w14:textId="77777777" w:rsidR="00430D1E" w:rsidRPr="00F8199A" w:rsidRDefault="00430D1E" w:rsidP="00430D1E">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xml:space="preserve">, por lo que excluye </w:t>
      </w:r>
      <w:r w:rsidRPr="00F8199A">
        <w:rPr>
          <w:rFonts w:ascii="Verdana" w:hAnsi="Verdana" w:cs="Arial"/>
          <w:lang w:eastAsia="x-none"/>
        </w:rPr>
        <w:lastRenderedPageBreak/>
        <w:t>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6"/>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7"/>
      </w:r>
      <w:r w:rsidRPr="00F8199A">
        <w:rPr>
          <w:rFonts w:ascii="Verdana" w:hAnsi="Verdana" w:cs="Arial"/>
          <w:lang w:eastAsia="x-none"/>
        </w:rPr>
        <w:t xml:space="preserve">. </w:t>
      </w:r>
    </w:p>
    <w:p w14:paraId="284782D7" w14:textId="77777777" w:rsidR="00430D1E" w:rsidRPr="00F8199A" w:rsidRDefault="00430D1E" w:rsidP="00430D1E">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8"/>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5A734520" w14:textId="77777777" w:rsidR="00430D1E" w:rsidRPr="00F8199A" w:rsidRDefault="00430D1E" w:rsidP="00430D1E">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9"/>
      </w:r>
      <w:r w:rsidRPr="00F8199A">
        <w:rPr>
          <w:rFonts w:ascii="Verdana" w:hAnsi="Verdana" w:cs="Arial"/>
          <w:lang w:eastAsia="x-none"/>
        </w:rPr>
        <w:t xml:space="preserve">. </w:t>
      </w:r>
    </w:p>
    <w:p w14:paraId="132FC05C" w14:textId="77777777" w:rsidR="00430D1E" w:rsidRPr="00F8199A" w:rsidRDefault="00430D1E" w:rsidP="00430D1E">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w:t>
      </w:r>
      <w:r w:rsidRPr="00F8199A">
        <w:rPr>
          <w:rFonts w:ascii="Verdana" w:hAnsi="Verdana" w:cs="Arial"/>
          <w:bCs/>
          <w:lang w:val="es-MX" w:eastAsia="es-CO"/>
        </w:rPr>
        <w:lastRenderedPageBreak/>
        <w:t xml:space="preserve">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29F333D5" w14:textId="77777777" w:rsidR="00430D1E" w:rsidRPr="00F8199A" w:rsidRDefault="00430D1E" w:rsidP="00430D1E">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20"/>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721844DF" w14:textId="77777777" w:rsidR="00430D1E" w:rsidRDefault="00430D1E" w:rsidP="00AE4CB7">
      <w:pPr>
        <w:spacing w:after="0" w:line="276" w:lineRule="auto"/>
        <w:ind w:firstLine="708"/>
        <w:jc w:val="both"/>
        <w:rPr>
          <w:rFonts w:ascii="Verdana" w:hAnsi="Verdana" w:cs="Arial"/>
          <w:lang w:val="es-MX" w:eastAsia="es-CO"/>
        </w:rPr>
      </w:pPr>
      <w:bookmarkStart w:id="10"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0"/>
    </w:p>
    <w:p w14:paraId="6B2C630C" w14:textId="77777777" w:rsidR="00666692" w:rsidRPr="00AE4CB7" w:rsidRDefault="00666692" w:rsidP="00AE4CB7">
      <w:pPr>
        <w:spacing w:after="0" w:line="276" w:lineRule="auto"/>
        <w:ind w:firstLine="708"/>
        <w:jc w:val="both"/>
        <w:rPr>
          <w:rFonts w:ascii="Verdana" w:hAnsi="Verdana" w:cs="Arial"/>
          <w:bCs/>
          <w:lang w:val="es-ES" w:eastAsia="x-none"/>
        </w:rPr>
      </w:pPr>
    </w:p>
    <w:p w14:paraId="28171EB1" w14:textId="77777777" w:rsidR="00430D1E" w:rsidRDefault="00430D1E" w:rsidP="00430D1E">
      <w:pPr>
        <w:spacing w:after="120" w:line="276" w:lineRule="auto"/>
        <w:jc w:val="both"/>
        <w:rPr>
          <w:rFonts w:ascii="Verdana" w:hAnsi="Verdana" w:cs="Arial"/>
          <w:bCs/>
          <w:lang w:val="es-MX" w:eastAsia="x-none"/>
        </w:rPr>
      </w:pPr>
      <w:proofErr w:type="spellStart"/>
      <w:r w:rsidRPr="00A45D99">
        <w:rPr>
          <w:rFonts w:ascii="Verdana" w:eastAsia="Arial" w:hAnsi="Verdana" w:cs="Arial"/>
          <w:lang w:val="es-MX" w:eastAsia="es-ES" w:bidi="es-ES"/>
        </w:rPr>
        <w:t>iii</w:t>
      </w:r>
      <w:proofErr w:type="spellEnd"/>
      <w:r w:rsidRPr="00A45D99">
        <w:rPr>
          <w:rFonts w:ascii="Verdana" w:eastAsia="Arial" w:hAnsi="Verdana" w:cs="Arial"/>
          <w:lang w:val="es-MX" w:eastAsia="es-ES" w:bidi="es-ES"/>
        </w:rPr>
        <w:t xml:space="preserve">. </w:t>
      </w: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rPr>
        <w:footnoteReference w:id="21"/>
      </w:r>
      <w:r w:rsidRPr="0004207F">
        <w:rPr>
          <w:rFonts w:ascii="Verdana" w:hAnsi="Verdana" w:cs="Arial"/>
          <w:bCs/>
          <w:lang w:val="es-MX" w:eastAsia="x-none"/>
        </w:rPr>
        <w:t>.</w:t>
      </w:r>
    </w:p>
    <w:p w14:paraId="1A01338F" w14:textId="77777777" w:rsidR="00430D1E" w:rsidRPr="0004207F" w:rsidRDefault="00430D1E" w:rsidP="00430D1E">
      <w:pPr>
        <w:shd w:val="clear" w:color="auto" w:fill="FFFFFF" w:themeFill="background1"/>
        <w:spacing w:after="120" w:line="276" w:lineRule="auto"/>
        <w:ind w:firstLine="709"/>
        <w:jc w:val="both"/>
        <w:rPr>
          <w:rFonts w:ascii="Verdana" w:hAnsi="Verdana" w:cs="Arial"/>
          <w:lang w:val="es-ES" w:eastAsia="es-CO"/>
        </w:rPr>
      </w:pPr>
      <w:r w:rsidRPr="70BB5D8B">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70BB5D8B">
        <w:rPr>
          <w:rFonts w:ascii="Verdana" w:hAnsi="Verdana" w:cs="Arial"/>
          <w:lang w:val="es-ES" w:eastAsia="es-CO"/>
        </w:rPr>
        <w:t>exequibilidad</w:t>
      </w:r>
      <w:proofErr w:type="spellEnd"/>
      <w:r w:rsidRPr="70BB5D8B">
        <w:rPr>
          <w:rFonts w:ascii="Verdana" w:hAnsi="Verdana" w:cs="Arial"/>
          <w:lang w:val="es-ES" w:eastAsia="es-CO"/>
        </w:rPr>
        <w:t xml:space="preserve">. Así, por ejemplo, la Corte Constitucional explicó que “[…] las excepciones de limitación protegen diversos tipos de urgencias de defensa, </w:t>
      </w:r>
      <w:r w:rsidRPr="70BB5D8B">
        <w:rPr>
          <w:rFonts w:ascii="Verdana" w:hAnsi="Verdana" w:cs="Arial"/>
          <w:lang w:val="es-ES" w:eastAsia="es-CO"/>
        </w:rPr>
        <w:lastRenderedPageBreak/>
        <w:t>salud, educación, infraestructura vial y de servicios públicos y ecológicas tienden a no limitar desproporcionadamente la acción del Estado en el cumplimiento de sus fines, en procura de la igualdad entre candidatos como garantía electoral”</w:t>
      </w:r>
      <w:r w:rsidRPr="70BB5D8B">
        <w:rPr>
          <w:rStyle w:val="Refdenotaalpie"/>
          <w:rFonts w:ascii="Verdana" w:hAnsi="Verdana" w:cs="Arial"/>
          <w:lang w:val="es-ES"/>
        </w:rPr>
        <w:footnoteReference w:id="22"/>
      </w:r>
      <w:r w:rsidRPr="70BB5D8B">
        <w:rPr>
          <w:rFonts w:ascii="Verdana" w:hAnsi="Verdana" w:cs="Arial"/>
          <w:lang w:val="es-ES" w:eastAsia="es-CO"/>
        </w:rPr>
        <w:t xml:space="preserve">. </w:t>
      </w:r>
    </w:p>
    <w:p w14:paraId="3B23C4D3" w14:textId="77777777" w:rsidR="00430D1E" w:rsidRDefault="00430D1E" w:rsidP="00430D1E">
      <w:pPr>
        <w:shd w:val="clear" w:color="auto" w:fill="FFFFFF"/>
        <w:spacing w:after="0" w:line="276" w:lineRule="auto"/>
        <w:ind w:firstLine="709"/>
        <w:jc w:val="both"/>
        <w:rPr>
          <w:rFonts w:ascii="Verdana" w:eastAsia="Times New Roman" w:hAnsi="Verdana" w:cs="Arial"/>
          <w:lang w:val="es-ES" w:eastAsia="es-MX"/>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r>
        <w:rPr>
          <w:rFonts w:ascii="Verdana" w:hAnsi="Verdana" w:cs="Arial"/>
          <w:lang w:val="es-ES_tradnl" w:eastAsia="es-CO"/>
        </w:rPr>
        <w:t xml:space="preserve"> </w:t>
      </w:r>
      <w:r w:rsidRPr="0004207F">
        <w:rPr>
          <w:rFonts w:ascii="Verdana" w:hAnsi="Verdana" w:cs="Arial"/>
          <w:bCs/>
          <w:lang w:val="es-MX" w:eastAsia="x-none"/>
        </w:rPr>
        <w:t>Entre las excepciones del artículo en comento se encuentra</w:t>
      </w:r>
      <w:r>
        <w:rPr>
          <w:rFonts w:ascii="Verdana" w:hAnsi="Verdana" w:cs="Arial"/>
          <w:bCs/>
          <w:lang w:val="es-MX" w:eastAsia="x-none"/>
        </w:rPr>
        <w:t>n los contratos relacionados</w:t>
      </w:r>
      <w:r w:rsidRPr="0004207F">
        <w:rPr>
          <w:rFonts w:ascii="Verdana" w:hAnsi="Verdana" w:cs="Arial"/>
          <w:bCs/>
          <w:lang w:val="es-MX" w:eastAsia="x-none"/>
        </w:rPr>
        <w:t xml:space="preserve"> “[…] </w:t>
      </w:r>
      <w:r w:rsidRPr="002B4ED7">
        <w:rPr>
          <w:rFonts w:ascii="Verdana" w:hAnsi="Verdana" w:cs="Arial"/>
          <w:bCs/>
          <w:lang w:val="es-MX" w:eastAsia="x-none"/>
        </w:rPr>
        <w:t>la defensa y seguridad del Estado</w:t>
      </w:r>
      <w:r w:rsidRPr="0004207F">
        <w:rPr>
          <w:rFonts w:ascii="Verdana" w:hAnsi="Verdana" w:cs="Arial"/>
          <w:bCs/>
          <w:lang w:eastAsia="x-none"/>
        </w:rPr>
        <w:t xml:space="preserve"> […]</w:t>
      </w:r>
      <w:r w:rsidRPr="0004207F">
        <w:rPr>
          <w:rFonts w:ascii="Verdana" w:hAnsi="Verdana" w:cs="Arial"/>
          <w:bCs/>
          <w:lang w:val="es-MX" w:eastAsia="x-none"/>
        </w:rPr>
        <w:t>”</w:t>
      </w:r>
      <w:r w:rsidRPr="0004207F">
        <w:rPr>
          <w:rFonts w:ascii="Verdana" w:eastAsia="Calibri" w:hAnsi="Verdana" w:cs="Arial"/>
        </w:rPr>
        <w:t>.</w:t>
      </w:r>
      <w:r>
        <w:rPr>
          <w:rFonts w:ascii="Verdana" w:eastAsia="Times New Roman" w:hAnsi="Verdana" w:cs="Arial"/>
          <w:lang w:val="es-ES" w:eastAsia="es-MX"/>
        </w:rPr>
        <w:t xml:space="preserve"> </w:t>
      </w:r>
    </w:p>
    <w:p w14:paraId="66429E41" w14:textId="77777777" w:rsidR="00430D1E" w:rsidRDefault="00430D1E" w:rsidP="00430D1E">
      <w:pPr>
        <w:shd w:val="clear" w:color="auto" w:fill="FFFFFF"/>
        <w:spacing w:after="0" w:line="276" w:lineRule="auto"/>
        <w:ind w:firstLine="709"/>
        <w:jc w:val="both"/>
        <w:rPr>
          <w:rFonts w:ascii="Verdana" w:eastAsia="Times New Roman" w:hAnsi="Verdana" w:cs="Arial"/>
          <w:lang w:val="es-ES" w:eastAsia="es-MX"/>
        </w:rPr>
      </w:pPr>
    </w:p>
    <w:p w14:paraId="24BE0805" w14:textId="6E6F96EE" w:rsidR="00430D1E" w:rsidRDefault="00430D1E" w:rsidP="00430D1E">
      <w:pPr>
        <w:spacing w:after="120" w:line="276" w:lineRule="auto"/>
        <w:jc w:val="both"/>
        <w:rPr>
          <w:rFonts w:ascii="Verdana" w:eastAsia="Times New Roman" w:hAnsi="Verdana" w:cs="Arial"/>
          <w:lang w:val="es-ES" w:eastAsia="es-MX"/>
        </w:rPr>
      </w:pPr>
      <w:proofErr w:type="spellStart"/>
      <w:r>
        <w:rPr>
          <w:rFonts w:ascii="Verdana" w:eastAsia="Times New Roman" w:hAnsi="Verdana" w:cs="Arial"/>
          <w:lang w:val="es-ES" w:eastAsia="es-MX"/>
        </w:rPr>
        <w:t>iv</w:t>
      </w:r>
      <w:proofErr w:type="spellEnd"/>
      <w:r>
        <w:rPr>
          <w:rFonts w:ascii="Verdana" w:eastAsia="Times New Roman" w:hAnsi="Verdana" w:cs="Arial"/>
          <w:lang w:val="es-ES" w:eastAsia="es-MX"/>
        </w:rPr>
        <w:t xml:space="preserve">. </w:t>
      </w:r>
      <w:r w:rsidRPr="00AE4CB7">
        <w:rPr>
          <w:rFonts w:ascii="Verdana" w:eastAsia="Times New Roman" w:hAnsi="Verdana" w:cs="Arial"/>
          <w:lang w:val="es-ES" w:eastAsia="es-MX"/>
        </w:rPr>
        <w:t xml:space="preserve">Una vez abordado el espectro de la </w:t>
      </w:r>
      <w:r w:rsidR="00F01770">
        <w:rPr>
          <w:rFonts w:ascii="Verdana" w:eastAsia="Times New Roman" w:hAnsi="Verdana" w:cs="Arial"/>
          <w:lang w:val="es-ES" w:eastAsia="es-MX"/>
        </w:rPr>
        <w:t>restricción</w:t>
      </w:r>
      <w:r w:rsidR="00F01770" w:rsidRPr="00AE4CB7">
        <w:rPr>
          <w:rFonts w:ascii="Verdana" w:eastAsia="Times New Roman" w:hAnsi="Verdana" w:cs="Arial"/>
          <w:lang w:val="es-ES" w:eastAsia="es-MX"/>
        </w:rPr>
        <w:t xml:space="preserve"> </w:t>
      </w:r>
      <w:r w:rsidRPr="00AE4CB7">
        <w:rPr>
          <w:rFonts w:ascii="Verdana" w:eastAsia="Times New Roman" w:hAnsi="Verdana" w:cs="Arial"/>
          <w:lang w:val="es-ES" w:eastAsia="es-MX"/>
        </w:rPr>
        <w:t>y excepciones contempladas por</w:t>
      </w:r>
      <w:r>
        <w:rPr>
          <w:rFonts w:ascii="Verdana" w:eastAsia="Times New Roman" w:hAnsi="Verdana" w:cs="Arial"/>
          <w:lang w:val="es-ES" w:eastAsia="es-MX"/>
        </w:rPr>
        <w:t xml:space="preserve"> </w:t>
      </w:r>
      <w:r w:rsidR="00F01770">
        <w:rPr>
          <w:rFonts w:ascii="Verdana" w:eastAsia="Times New Roman" w:hAnsi="Verdana" w:cs="Arial"/>
          <w:lang w:val="es-ES" w:eastAsia="es-MX"/>
        </w:rPr>
        <w:t>el artículo 33 de</w:t>
      </w:r>
      <w:r w:rsidRPr="00AE4CB7">
        <w:rPr>
          <w:rFonts w:ascii="Verdana" w:eastAsia="Times New Roman" w:hAnsi="Verdana" w:cs="Arial"/>
          <w:lang w:val="es-ES" w:eastAsia="es-MX"/>
        </w:rPr>
        <w:t xml:space="preserve"> la Ley 996 de 2005 en materia de garantías electorales, le corresponde a esta oficina ahondar en materia de Bienes de Dominio Público, dentro de los cuales se puede encontrar la categoría de bienes fiscales, los cuales son objeto de consulta en este requerimiento.</w:t>
      </w:r>
      <w:r>
        <w:rPr>
          <w:rFonts w:ascii="Verdana" w:eastAsia="Times New Roman" w:hAnsi="Verdana" w:cs="Arial"/>
          <w:lang w:val="es-ES" w:eastAsia="es-MX"/>
        </w:rPr>
        <w:t xml:space="preserve"> </w:t>
      </w:r>
    </w:p>
    <w:p w14:paraId="29466A94" w14:textId="77777777" w:rsidR="00430D1E" w:rsidRPr="00097627" w:rsidRDefault="00430D1E" w:rsidP="00430D1E">
      <w:pPr>
        <w:spacing w:after="120" w:line="276" w:lineRule="auto"/>
        <w:ind w:firstLine="708"/>
        <w:jc w:val="both"/>
        <w:rPr>
          <w:rFonts w:ascii="Verdana" w:eastAsia="Times New Roman" w:hAnsi="Verdana" w:cs="Arial"/>
          <w:i/>
          <w:iCs/>
          <w:lang w:val="es-MX" w:eastAsia="es-ES_tradnl"/>
        </w:rPr>
      </w:pPr>
      <w:r>
        <w:rPr>
          <w:rFonts w:ascii="Verdana" w:eastAsia="Times New Roman" w:hAnsi="Verdana" w:cs="Arial"/>
          <w:lang w:val="es-ES" w:eastAsia="es-MX"/>
        </w:rPr>
        <w:t xml:space="preserve">Al respecto, </w:t>
      </w:r>
      <w:r w:rsidRPr="00097627">
        <w:rPr>
          <w:rFonts w:ascii="Verdana" w:eastAsia="Times New Roman" w:hAnsi="Verdana" w:cs="Arial"/>
          <w:lang w:val="es-ES" w:eastAsia="es-ES_tradnl"/>
        </w:rPr>
        <w:t>e</w:t>
      </w:r>
      <w:r w:rsidRPr="00097627">
        <w:rPr>
          <w:rFonts w:ascii="Verdana" w:eastAsia="Times New Roman" w:hAnsi="Verdana" w:cs="Arial"/>
          <w:lang w:val="es-MX" w:eastAsia="es-ES_tradnl"/>
        </w:rPr>
        <w:t xml:space="preserve">l artículo 674 del Código Civil define los bienes de dominio público como aquellos que </w:t>
      </w:r>
      <w:r>
        <w:rPr>
          <w:rFonts w:ascii="Verdana" w:eastAsia="Times New Roman" w:hAnsi="Verdana" w:cs="Arial"/>
          <w:lang w:val="es-MX" w:eastAsia="es-ES_tradnl"/>
        </w:rPr>
        <w:t>“</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 pertenece a todos los habitantes de un Territorio, como el de calles, plazas, puentes y caminos, se llaman bienes de la Unión o de uso público o</w:t>
      </w:r>
      <w:r>
        <w:rPr>
          <w:rFonts w:ascii="Verdana" w:eastAsia="Times New Roman" w:hAnsi="Verdana" w:cs="Arial"/>
          <w:i/>
          <w:iCs/>
          <w:lang w:val="es-MX" w:eastAsia="es-ES_tradnl"/>
        </w:rPr>
        <w:t xml:space="preserve"> bienes públicos del Territorio”</w:t>
      </w:r>
      <w:r w:rsidRPr="00097627">
        <w:rPr>
          <w:rFonts w:ascii="Verdana" w:eastAsia="Times New Roman" w:hAnsi="Verdana" w:cs="Arial"/>
          <w:i/>
          <w:iCs/>
          <w:lang w:val="es-MX" w:eastAsia="es-ES_tradnl"/>
        </w:rPr>
        <w:t>.</w:t>
      </w:r>
      <w:r>
        <w:rPr>
          <w:rFonts w:ascii="Verdana" w:eastAsia="Times New Roman" w:hAnsi="Verdana" w:cs="Arial"/>
          <w:i/>
          <w:iCs/>
          <w:lang w:val="es-MX" w:eastAsia="es-ES_tradnl"/>
        </w:rPr>
        <w:t xml:space="preserve"> </w:t>
      </w:r>
      <w:r w:rsidRPr="00097627">
        <w:rPr>
          <w:rFonts w:ascii="Verdana" w:eastAsia="Times New Roman" w:hAnsi="Verdana" w:cs="Arial"/>
          <w:lang w:val="es-MX" w:eastAsia="es-ES_tradnl"/>
        </w:rPr>
        <w:t>Los bienes de dominio público, de acuerdo con la sentencia C- 183 de 2003 de la C</w:t>
      </w:r>
      <w:r>
        <w:rPr>
          <w:rFonts w:ascii="Verdana" w:eastAsia="Times New Roman" w:hAnsi="Verdana" w:cs="Arial"/>
          <w:lang w:val="es-MX" w:eastAsia="es-ES_tradnl"/>
        </w:rPr>
        <w:t>orte Constitucional, son “</w:t>
      </w:r>
      <w:r w:rsidRPr="00097627">
        <w:rPr>
          <w:rFonts w:ascii="Verdana" w:eastAsia="Times New Roman" w:hAnsi="Verdana" w:cs="Arial"/>
          <w:i/>
          <w:iCs/>
          <w:lang w:val="es-MX" w:eastAsia="es-ES_tradnl"/>
        </w:rPr>
        <w:t>el conjunto de bienes que la administración afecta al uso directo de la comunidad o que lo ut</w:t>
      </w:r>
      <w:r>
        <w:rPr>
          <w:rFonts w:ascii="Verdana" w:eastAsia="Times New Roman" w:hAnsi="Verdana" w:cs="Arial"/>
          <w:i/>
          <w:iCs/>
          <w:lang w:val="es-MX" w:eastAsia="es-ES_tradnl"/>
        </w:rPr>
        <w:t>iliza para servir a la sociedad”</w:t>
      </w:r>
      <w:r w:rsidRPr="00097627">
        <w:rPr>
          <w:rFonts w:ascii="Verdana" w:eastAsia="Times New Roman" w:hAnsi="Verdana" w:cs="Arial"/>
          <w:lang w:val="es-MX" w:eastAsia="es-ES_tradnl"/>
        </w:rPr>
        <w:t>. Dentro de esta categoría se encuentran los bienes fiscales y los bienes de uso público.</w:t>
      </w:r>
      <w:r w:rsidRPr="00097627">
        <w:rPr>
          <w:rFonts w:ascii="Verdana" w:eastAsia="Times New Roman" w:hAnsi="Verdana" w:cs="Arial"/>
          <w:vertAlign w:val="superscript"/>
          <w:lang w:val="es-MX" w:eastAsia="es-ES_tradnl"/>
        </w:rPr>
        <w:footnoteReference w:id="23"/>
      </w:r>
      <w:r w:rsidRPr="00097627">
        <w:rPr>
          <w:rFonts w:ascii="Verdana" w:eastAsia="Times New Roman" w:hAnsi="Verdana" w:cs="Arial"/>
          <w:lang w:val="es-MX" w:eastAsia="es-ES_tradnl"/>
        </w:rPr>
        <w:t xml:space="preserve"> Los bienes fiscales, de acuerdo con el Alto Tribunal Constitucional</w:t>
      </w:r>
      <w:r w:rsidRPr="00097627">
        <w:rPr>
          <w:rFonts w:ascii="Verdana" w:eastAsia="Times New Roman" w:hAnsi="Verdana" w:cs="Arial"/>
          <w:vertAlign w:val="superscript"/>
          <w:lang w:val="es-MX" w:eastAsia="es-ES_tradnl"/>
        </w:rPr>
        <w:footnoteReference w:id="24"/>
      </w:r>
      <w:r w:rsidRPr="00097627">
        <w:rPr>
          <w:rFonts w:ascii="Verdana" w:eastAsia="Times New Roman" w:hAnsi="Verdana" w:cs="Arial"/>
          <w:lang w:val="es-MX" w:eastAsia="es-ES_tradnl"/>
        </w:rPr>
        <w:t xml:space="preserve">, están destinados a la prestación de servicios </w:t>
      </w:r>
      <w:r w:rsidRPr="00097627">
        <w:rPr>
          <w:rFonts w:ascii="Verdana" w:eastAsia="Times New Roman" w:hAnsi="Verdana" w:cs="Arial"/>
          <w:lang w:val="es-MX" w:eastAsia="es-ES_tradnl"/>
        </w:rPr>
        <w:lastRenderedPageBreak/>
        <w:t xml:space="preserve">públicos que la Administración utiliza de forma inmediata, como los edificios donde funcionan las oficinas públicas. </w:t>
      </w:r>
    </w:p>
    <w:p w14:paraId="0D73838A" w14:textId="77777777" w:rsidR="00430D1E" w:rsidRPr="00097627" w:rsidRDefault="00430D1E" w:rsidP="00430D1E">
      <w:pPr>
        <w:spacing w:after="12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 su vez, el Consejo de Estado, define los bienes fiscales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aquellos que pertenecen  </w:t>
      </w:r>
      <w:r w:rsidRPr="00097627">
        <w:rPr>
          <w:rFonts w:ascii="Verdana" w:eastAsia="Times New Roman" w:hAnsi="Verdana" w:cs="Arial"/>
          <w:i/>
          <w:iCs/>
          <w:color w:val="000000" w:themeColor="text1"/>
          <w:lang w:val="es-MX" w:eastAsia="es-ES_tradnl"/>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097627">
        <w:rPr>
          <w:rFonts w:ascii="Verdana" w:eastAsia="Times New Roman" w:hAnsi="Verdana" w:cs="Arial"/>
          <w:i/>
          <w:iCs/>
          <w:color w:val="000000" w:themeColor="text1"/>
          <w:spacing w:val="-27"/>
          <w:lang w:val="es-MX" w:eastAsia="es-ES_tradnl"/>
        </w:rPr>
        <w:t xml:space="preserve"> </w:t>
      </w:r>
      <w:r>
        <w:rPr>
          <w:rFonts w:ascii="Verdana" w:eastAsia="Times New Roman" w:hAnsi="Verdana" w:cs="Arial"/>
          <w:i/>
          <w:iCs/>
          <w:color w:val="000000" w:themeColor="text1"/>
          <w:lang w:val="es-MX" w:eastAsia="es-ES_tradnl"/>
        </w:rPr>
        <w:t>propiedad”</w:t>
      </w:r>
      <w:r w:rsidRPr="00097627">
        <w:rPr>
          <w:rFonts w:ascii="Verdana" w:eastAsia="Times New Roman" w:hAnsi="Verdana" w:cs="Arial"/>
          <w:i/>
          <w:iCs/>
          <w:vertAlign w:val="superscript"/>
          <w:lang w:val="es-MX" w:eastAsia="es-ES_tradnl"/>
        </w:rPr>
        <w:footnoteReference w:id="25"/>
      </w:r>
      <w:r w:rsidRPr="00097627">
        <w:rPr>
          <w:rFonts w:ascii="Verdana" w:eastAsia="Times New Roman" w:hAnsi="Verdana" w:cs="Arial"/>
          <w:vertAlign w:val="superscript"/>
          <w:lang w:val="es-MX" w:eastAsia="es-ES_tradnl"/>
        </w:rPr>
        <w:t>.</w:t>
      </w:r>
      <w:r w:rsidRPr="00097627">
        <w:rPr>
          <w:rFonts w:ascii="Verdana" w:eastAsia="Times New Roman" w:hAnsi="Verdana" w:cs="Arial"/>
          <w:color w:val="000000" w:themeColor="text1"/>
          <w:lang w:val="es-MX" w:eastAsia="es-ES_tradnl"/>
        </w:rPr>
        <w:t xml:space="preserve"> </w:t>
      </w:r>
      <w:r w:rsidRPr="00097627">
        <w:rPr>
          <w:rFonts w:ascii="Verdana" w:eastAsia="Times New Roman" w:hAnsi="Verdana" w:cs="Arial"/>
          <w:lang w:val="es-MX" w:eastAsia="es-ES_tradnl"/>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097627">
        <w:rPr>
          <w:rFonts w:ascii="Verdana" w:eastAsia="Times New Roman" w:hAnsi="Verdana" w:cs="Arial"/>
          <w:spacing w:val="-3"/>
          <w:lang w:val="es-MX" w:eastAsia="es-ES_tradnl"/>
        </w:rPr>
        <w:t xml:space="preserve"> </w:t>
      </w:r>
      <w:r w:rsidRPr="00097627">
        <w:rPr>
          <w:rFonts w:ascii="Verdana" w:eastAsia="Times New Roman" w:hAnsi="Verdana" w:cs="Arial"/>
          <w:lang w:val="es-MX" w:eastAsia="es-ES_tradnl"/>
        </w:rPr>
        <w:t>otros.</w:t>
      </w:r>
      <w:r w:rsidRPr="00097627">
        <w:rPr>
          <w:rFonts w:ascii="Verdana" w:eastAsia="Times New Roman" w:hAnsi="Verdana" w:cs="Arial"/>
          <w:vertAlign w:val="superscript"/>
          <w:lang w:val="es-MX" w:eastAsia="es-ES_tradnl"/>
        </w:rPr>
        <w:t xml:space="preserve"> </w:t>
      </w:r>
    </w:p>
    <w:p w14:paraId="2389FB75" w14:textId="77777777" w:rsidR="00430D1E" w:rsidRDefault="00430D1E" w:rsidP="00516612">
      <w:pPr>
        <w:spacing w:after="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Acerca de los bienes de uso público, el Consejo de Estado los define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w:t>
      </w:r>
      <w:r>
        <w:rPr>
          <w:rFonts w:ascii="Verdana" w:eastAsia="Times New Roman" w:hAnsi="Verdana" w:cs="Arial"/>
          <w:i/>
          <w:iCs/>
          <w:lang w:val="es-MX" w:eastAsia="es-ES_tradnl"/>
        </w:rPr>
        <w:t xml:space="preserve"> por motivos de interés general”</w:t>
      </w:r>
      <w:r w:rsidRPr="00097627">
        <w:rPr>
          <w:rFonts w:ascii="Verdana" w:eastAsia="Times New Roman" w:hAnsi="Verdana" w:cs="Arial"/>
          <w:i/>
          <w:iCs/>
          <w:vertAlign w:val="superscript"/>
          <w:lang w:val="es-MX" w:eastAsia="es-ES_tradnl"/>
        </w:rPr>
        <w:footnoteReference w:id="26"/>
      </w:r>
      <w:r w:rsidRPr="00097627">
        <w:rPr>
          <w:rFonts w:ascii="Verdana" w:eastAsia="Times New Roman" w:hAnsi="Verdana" w:cs="Arial"/>
          <w:i/>
          <w:iCs/>
          <w:lang w:val="es-MX" w:eastAsia="es-ES_tradnl"/>
        </w:rPr>
        <w:t>.</w:t>
      </w:r>
      <w:r w:rsidRPr="00097627">
        <w:rPr>
          <w:rFonts w:ascii="Verdana" w:eastAsia="Times New Roman" w:hAnsi="Verdana" w:cs="Arial"/>
          <w:lang w:val="es-MX" w:eastAsia="es-ES_tradnl"/>
        </w:rPr>
        <w:t xml:space="preserve"> Por lo tanto, como estos bienes están destinados al uso de los habitantes de un territorio, el Estado no puede disponer de ellos por encontrarse fuera del comercio</w:t>
      </w:r>
      <w:r w:rsidRPr="00097627">
        <w:rPr>
          <w:rFonts w:ascii="Verdana" w:eastAsia="Times New Roman" w:hAnsi="Verdana" w:cs="Arial"/>
          <w:vertAlign w:val="superscript"/>
          <w:lang w:val="es-MX" w:eastAsia="es-ES_tradnl"/>
        </w:rPr>
        <w:footnoteReference w:id="27"/>
      </w:r>
      <w:r w:rsidRPr="00097627">
        <w:rPr>
          <w:rFonts w:ascii="Verdana" w:eastAsia="Times New Roman" w:hAnsi="Verdana" w:cs="Arial"/>
          <w:lang w:val="es-MX" w:eastAsia="es-ES_tradnl"/>
        </w:rPr>
        <w:t>.</w:t>
      </w:r>
      <w:r w:rsidRPr="00097627">
        <w:rPr>
          <w:rFonts w:ascii="Verdana" w:eastAsia="Times New Roman" w:hAnsi="Verdana" w:cs="Arial"/>
          <w:vertAlign w:val="superscript"/>
          <w:lang w:val="es-MX" w:eastAsia="es-ES_tradnl"/>
        </w:rPr>
        <w:t xml:space="preserve"> </w:t>
      </w:r>
      <w:r>
        <w:rPr>
          <w:rFonts w:ascii="Verdana" w:eastAsia="Times New Roman" w:hAnsi="Verdana" w:cs="Arial"/>
          <w:lang w:val="es-MX" w:eastAsia="es-ES_tradnl"/>
        </w:rPr>
        <w:t xml:space="preserve"> </w:t>
      </w:r>
      <w:r w:rsidRPr="00AE4CB7">
        <w:rPr>
          <w:rFonts w:ascii="Verdana" w:eastAsia="Times New Roman" w:hAnsi="Verdana" w:cs="Arial"/>
          <w:lang w:val="es-MX" w:eastAsia="es-ES_tradnl"/>
        </w:rPr>
        <w:t>En ese orden de ideas, los bienes sobre los cuales puede recaer cualquier acto de comercio como el arrendamiento o la enajenación a título gratuito (donación) son los bienes fiscales muebles o inmuebles y no los bienes de uso público</w:t>
      </w:r>
      <w:r w:rsidRPr="00097627">
        <w:rPr>
          <w:rFonts w:ascii="Verdana" w:eastAsia="Times New Roman" w:hAnsi="Verdana" w:cs="Arial"/>
          <w:lang w:val="es-MX" w:eastAsia="es-ES_tradnl"/>
        </w:rPr>
        <w:t>.</w:t>
      </w:r>
    </w:p>
    <w:p w14:paraId="0BD2FA8A" w14:textId="77777777" w:rsidR="00516612" w:rsidRDefault="00516612" w:rsidP="00AE4CB7">
      <w:pPr>
        <w:spacing w:after="0" w:line="276" w:lineRule="auto"/>
        <w:ind w:firstLine="720"/>
        <w:jc w:val="both"/>
        <w:rPr>
          <w:rFonts w:ascii="Verdana" w:eastAsia="Times New Roman" w:hAnsi="Verdana" w:cs="Arial"/>
          <w:lang w:val="es-MX" w:eastAsia="es-ES_tradnl"/>
        </w:rPr>
      </w:pPr>
    </w:p>
    <w:p w14:paraId="7F80856D" w14:textId="4561C1F2" w:rsidR="00430D1E" w:rsidRPr="00624164" w:rsidRDefault="00430D1E" w:rsidP="00430D1E">
      <w:pPr>
        <w:tabs>
          <w:tab w:val="left" w:pos="426"/>
        </w:tabs>
        <w:spacing w:after="120" w:line="276" w:lineRule="auto"/>
        <w:jc w:val="both"/>
        <w:rPr>
          <w:rFonts w:ascii="Verdana" w:eastAsia="Calibri" w:hAnsi="Verdana" w:cs="Arial"/>
          <w:lang w:val="es-ES" w:eastAsia="es-ES"/>
        </w:rPr>
      </w:pPr>
      <w:r>
        <w:rPr>
          <w:rFonts w:ascii="Verdana" w:eastAsia="Times New Roman" w:hAnsi="Verdana" w:cs="Arial"/>
          <w:lang w:val="es-MX" w:eastAsia="es-ES_tradnl"/>
        </w:rPr>
        <w:t xml:space="preserve">v. Dicho esto, es necesario revisar el alcance de las causales de contratación directa </w:t>
      </w:r>
      <w:r w:rsidR="00AC7B28">
        <w:rPr>
          <w:rFonts w:ascii="Verdana" w:eastAsia="Times New Roman" w:hAnsi="Verdana" w:cs="Arial"/>
          <w:lang w:val="es-MX" w:eastAsia="es-ES_tradnl"/>
        </w:rPr>
        <w:t xml:space="preserve">contempladas </w:t>
      </w:r>
      <w:r>
        <w:rPr>
          <w:rFonts w:ascii="Verdana" w:eastAsia="Times New Roman" w:hAnsi="Verdana" w:cs="Arial"/>
          <w:lang w:val="es-MX" w:eastAsia="es-ES_tradnl"/>
        </w:rPr>
        <w:t>por</w:t>
      </w:r>
      <w:r w:rsidR="00AC7B28">
        <w:rPr>
          <w:rFonts w:ascii="Verdana" w:eastAsia="Times New Roman" w:hAnsi="Verdana" w:cs="Arial"/>
          <w:lang w:val="es-MX" w:eastAsia="es-ES_tradnl"/>
        </w:rPr>
        <w:t xml:space="preserve"> el</w:t>
      </w:r>
      <w:r>
        <w:rPr>
          <w:rFonts w:ascii="Verdana" w:eastAsia="Times New Roman" w:hAnsi="Verdana" w:cs="Arial"/>
          <w:lang w:val="es-MX" w:eastAsia="es-ES_tradnl"/>
        </w:rPr>
        <w:t xml:space="preserve"> numeral 4 del artículo 2 de la Ley 1150 de 2007, especialmente</w:t>
      </w:r>
      <w:r w:rsidR="00AC7B28">
        <w:rPr>
          <w:rFonts w:ascii="Verdana" w:eastAsia="Times New Roman" w:hAnsi="Verdana" w:cs="Arial"/>
          <w:lang w:val="es-MX" w:eastAsia="es-ES_tradnl"/>
        </w:rPr>
        <w:t>, la</w:t>
      </w:r>
      <w:r>
        <w:rPr>
          <w:rFonts w:ascii="Verdana" w:eastAsia="Times New Roman" w:hAnsi="Verdana" w:cs="Arial"/>
          <w:lang w:val="es-MX" w:eastAsia="es-ES_tradnl"/>
        </w:rPr>
        <w:t xml:space="preserve"> </w:t>
      </w:r>
      <w:r w:rsidR="00AC7B28">
        <w:rPr>
          <w:rFonts w:ascii="Verdana" w:eastAsia="Times New Roman" w:hAnsi="Verdana" w:cs="Arial"/>
          <w:lang w:val="es-MX" w:eastAsia="es-ES_tradnl"/>
        </w:rPr>
        <w:t xml:space="preserve">consagrada </w:t>
      </w:r>
      <w:r>
        <w:rPr>
          <w:rFonts w:ascii="Verdana" w:eastAsia="Times New Roman" w:hAnsi="Verdana" w:cs="Arial"/>
          <w:lang w:val="es-MX" w:eastAsia="es-ES_tradnl"/>
        </w:rPr>
        <w:t xml:space="preserve">por el literal i), </w:t>
      </w:r>
      <w:r w:rsidR="00AC7B28">
        <w:rPr>
          <w:rFonts w:ascii="Verdana" w:eastAsia="Times New Roman" w:hAnsi="Verdana" w:cs="Arial"/>
          <w:lang w:val="es-MX" w:eastAsia="es-ES_tradnl"/>
        </w:rPr>
        <w:t>que</w:t>
      </w:r>
      <w:r>
        <w:rPr>
          <w:rFonts w:ascii="Verdana" w:eastAsia="Times New Roman" w:hAnsi="Verdana" w:cs="Arial"/>
          <w:lang w:val="es-MX" w:eastAsia="es-ES_tradnl"/>
        </w:rPr>
        <w:t xml:space="preserve"> prescribe “[</w:t>
      </w:r>
      <w:r w:rsidRPr="00624164">
        <w:rPr>
          <w:rFonts w:ascii="Verdana" w:eastAsia="Calibri" w:hAnsi="Verdana" w:cs="Arial"/>
          <w:lang w:val="es-ES" w:eastAsia="es-ES"/>
        </w:rPr>
        <w:t xml:space="preserve">…]4. Contratación </w:t>
      </w:r>
      <w:r w:rsidRPr="00624164">
        <w:rPr>
          <w:rFonts w:ascii="Verdana" w:eastAsia="Calibri" w:hAnsi="Verdana" w:cs="Arial"/>
          <w:lang w:val="es-ES" w:eastAsia="es-ES"/>
        </w:rPr>
        <w:lastRenderedPageBreak/>
        <w:t>directa. La modalidad de selección de contratación directa solamente procederá en los siguientes casos: […] i) El arrendamiento o adquisición de inmuebles”.</w:t>
      </w:r>
    </w:p>
    <w:p w14:paraId="286D8393" w14:textId="6FC60F4C" w:rsidR="00AE1D92" w:rsidRPr="00F43CC7" w:rsidRDefault="00430D1E" w:rsidP="00AE1D92">
      <w:pPr>
        <w:spacing w:after="120" w:line="276" w:lineRule="auto"/>
        <w:jc w:val="both"/>
        <w:rPr>
          <w:rFonts w:ascii="Verdana" w:hAnsi="Verdana" w:cs="Arial"/>
          <w:bCs/>
          <w:color w:val="000000" w:themeColor="text1"/>
          <w:lang w:val="es-ES"/>
        </w:rPr>
      </w:pPr>
      <w:r>
        <w:rPr>
          <w:rFonts w:ascii="Verdana" w:eastAsia="Calibri" w:hAnsi="Verdana" w:cs="Arial"/>
          <w:bCs/>
          <w:lang w:val="es-ES_tradnl" w:eastAsia="es-ES_tradnl"/>
        </w:rPr>
        <w:tab/>
      </w:r>
      <w:r w:rsidR="00AE1D92" w:rsidRPr="00F43CC7">
        <w:rPr>
          <w:rFonts w:ascii="Verdana" w:eastAsia="Times New Roman" w:hAnsi="Verdana" w:cs="Arial"/>
          <w:lang w:val="es-ES" w:eastAsia="es-MX"/>
        </w:rPr>
        <w:t>Respecto al literal i) del artículo 2.4 de la Ley 1150 de 2011, al igual que el literal e) del derogado artículo 24.1 de la Ley 80 de 1993, el E</w:t>
      </w:r>
      <w:r w:rsidR="00AE1D92">
        <w:rPr>
          <w:rFonts w:ascii="Verdana" w:eastAsia="Times New Roman" w:hAnsi="Verdana" w:cs="Arial"/>
          <w:lang w:val="es-ES" w:eastAsia="es-MX"/>
        </w:rPr>
        <w:t xml:space="preserve">statuto </w:t>
      </w:r>
      <w:r w:rsidR="00AE1D92" w:rsidRPr="00F43CC7">
        <w:rPr>
          <w:rFonts w:ascii="Verdana" w:eastAsia="Times New Roman" w:hAnsi="Verdana" w:cs="Arial"/>
          <w:lang w:val="es-ES" w:eastAsia="es-MX"/>
        </w:rPr>
        <w:t>G</w:t>
      </w:r>
      <w:r w:rsidR="00AE1D92">
        <w:rPr>
          <w:rFonts w:ascii="Verdana" w:eastAsia="Times New Roman" w:hAnsi="Verdana" w:cs="Arial"/>
          <w:lang w:val="es-ES" w:eastAsia="es-MX"/>
        </w:rPr>
        <w:t xml:space="preserve">eneral de </w:t>
      </w:r>
      <w:r w:rsidR="00AE1D92" w:rsidRPr="00F43CC7">
        <w:rPr>
          <w:rFonts w:ascii="Verdana" w:eastAsia="Times New Roman" w:hAnsi="Verdana" w:cs="Arial"/>
          <w:lang w:val="es-ES" w:eastAsia="es-MX"/>
        </w:rPr>
        <w:t>C</w:t>
      </w:r>
      <w:r w:rsidR="00AE1D92">
        <w:rPr>
          <w:rFonts w:ascii="Verdana" w:eastAsia="Times New Roman" w:hAnsi="Verdana" w:cs="Arial"/>
          <w:lang w:val="es-ES" w:eastAsia="es-MX"/>
        </w:rPr>
        <w:t xml:space="preserve">ontratación de la </w:t>
      </w:r>
      <w:r w:rsidR="00AE1D92" w:rsidRPr="00F43CC7">
        <w:rPr>
          <w:rFonts w:ascii="Verdana" w:eastAsia="Times New Roman" w:hAnsi="Verdana" w:cs="Arial"/>
          <w:lang w:val="es-ES" w:eastAsia="es-MX"/>
        </w:rPr>
        <w:t>A</w:t>
      </w:r>
      <w:r w:rsidR="00AE1D92">
        <w:rPr>
          <w:rFonts w:ascii="Verdana" w:eastAsia="Times New Roman" w:hAnsi="Verdana" w:cs="Arial"/>
          <w:lang w:val="es-ES" w:eastAsia="es-MX"/>
        </w:rPr>
        <w:t xml:space="preserve">dministración </w:t>
      </w:r>
      <w:r w:rsidR="00AE1D92" w:rsidRPr="00F43CC7">
        <w:rPr>
          <w:rFonts w:ascii="Verdana" w:eastAsia="Times New Roman" w:hAnsi="Verdana" w:cs="Arial"/>
          <w:lang w:val="es-ES" w:eastAsia="es-MX"/>
        </w:rPr>
        <w:t>P</w:t>
      </w:r>
      <w:r w:rsidR="00AE1D92">
        <w:rPr>
          <w:rFonts w:ascii="Verdana" w:eastAsia="Times New Roman" w:hAnsi="Verdana" w:cs="Arial"/>
          <w:lang w:val="es-ES" w:eastAsia="es-MX"/>
        </w:rPr>
        <w:t>ública</w:t>
      </w:r>
      <w:r w:rsidR="00AE1D92" w:rsidRPr="00F43CC7">
        <w:rPr>
          <w:rFonts w:ascii="Verdana" w:eastAsia="Times New Roman" w:hAnsi="Verdana" w:cs="Arial"/>
          <w:lang w:val="es-ES" w:eastAsia="es-MX"/>
        </w:rPr>
        <w:t xml:space="preserve"> permite la contratación directa tratándose de “El arrendamiento […] de inmuebles”. </w:t>
      </w:r>
      <w:r w:rsidR="00AE1D92" w:rsidRPr="00F43CC7">
        <w:rPr>
          <w:rFonts w:ascii="Verdana" w:hAnsi="Verdana" w:cs="Arial"/>
          <w:bCs/>
          <w:color w:val="000000" w:themeColor="text1"/>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00AE1D92" w:rsidRPr="00F43CC7">
        <w:rPr>
          <w:rFonts w:ascii="Verdana" w:eastAsia="Times New Roman" w:hAnsi="Verdana" w:cs="Arial"/>
          <w:lang w:val="es-ES" w:eastAsia="es-MX"/>
        </w:rPr>
        <w:t xml:space="preserve"> </w:t>
      </w:r>
    </w:p>
    <w:p w14:paraId="0C5D5F4B" w14:textId="77777777" w:rsidR="00AE1D92" w:rsidRDefault="00AE1D92" w:rsidP="00AE1D92">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63813CF3">
        <w:rPr>
          <w:rFonts w:ascii="Verdana" w:eastAsia="Times New Roman" w:hAnsi="Verdana" w:cs="Arial"/>
          <w:i/>
          <w:iCs/>
          <w:lang w:eastAsia="es-MX"/>
        </w:rPr>
        <w:t>Por tanto, también para el caso en el que actúa como arrendadora puede acudir a un evento especial de contratación directa</w:t>
      </w:r>
      <w:r w:rsidRPr="63813CF3">
        <w:rPr>
          <w:rFonts w:ascii="Verdana" w:eastAsia="Times New Roman" w:hAnsi="Verdana" w:cs="Arial"/>
          <w:lang w:eastAsia="es-MX"/>
        </w:rPr>
        <w:t xml:space="preserve"> […]”</w:t>
      </w:r>
      <w:r w:rsidRPr="63813CF3">
        <w:rPr>
          <w:rStyle w:val="Refdenotaalpie"/>
          <w:rFonts w:ascii="Verdana" w:eastAsia="Times New Roman" w:hAnsi="Verdana" w:cs="Arial"/>
          <w:lang w:eastAsia="es-MX"/>
        </w:rPr>
        <w:footnoteReference w:id="28"/>
      </w:r>
      <w:r w:rsidRPr="63813CF3">
        <w:rPr>
          <w:rFonts w:ascii="Verdana" w:eastAsia="Times New Roman" w:hAnsi="Verdana" w:cs="Arial"/>
          <w:lang w:eastAsia="es-MX"/>
        </w:rPr>
        <w:t xml:space="preserve"> (Énfasis fuera de texto). </w:t>
      </w:r>
    </w:p>
    <w:p w14:paraId="751D7F42" w14:textId="77777777" w:rsidR="00AE1D92" w:rsidRPr="00F43CC7" w:rsidRDefault="00AE1D92" w:rsidP="00AE1D92">
      <w:pPr>
        <w:spacing w:after="120" w:line="276" w:lineRule="auto"/>
        <w:ind w:firstLine="709"/>
        <w:jc w:val="both"/>
        <w:rPr>
          <w:rFonts w:ascii="Verdana" w:eastAsia="Times New Roman" w:hAnsi="Verdana" w:cs="Arial"/>
          <w:lang w:eastAsia="es-MX"/>
        </w:rPr>
      </w:pPr>
      <w:r w:rsidRPr="63813CF3">
        <w:rPr>
          <w:rFonts w:ascii="Verdana" w:eastAsia="Times New Roman" w:hAnsi="Verdana" w:cs="Arial"/>
          <w:lang w:eastAsia="es-MX"/>
        </w:rPr>
        <w:t>Dicho entendimiento tampoco cambió después de la reforma de la Ley 1150 de 2007, pues DÁVILA VINUEZA considera que “</w:t>
      </w:r>
      <w:r w:rsidRPr="63813CF3">
        <w:rPr>
          <w:rFonts w:ascii="Verdana" w:eastAsia="Times New Roman" w:hAnsi="Verdana" w:cs="Arial"/>
          <w:i/>
          <w:iCs/>
          <w:lang w:eastAsia="es-MX"/>
        </w:rPr>
        <w:t>La contratación directa está admitida tanto cuando la entidad es arrendataria como cuando es arrendadora y no se requiere obtener varias ofertas</w:t>
      </w:r>
      <w:r w:rsidRPr="63813CF3">
        <w:rPr>
          <w:rFonts w:ascii="Verdana" w:eastAsia="Times New Roman" w:hAnsi="Verdana" w:cs="Arial"/>
          <w:lang w:eastAsia="es-MX"/>
        </w:rPr>
        <w:t xml:space="preserve"> […]”</w:t>
      </w:r>
      <w:r w:rsidRPr="63813CF3">
        <w:rPr>
          <w:rStyle w:val="Refdenotaalpie"/>
          <w:rFonts w:ascii="Verdana" w:eastAsia="Times New Roman" w:hAnsi="Verdana" w:cs="Arial"/>
          <w:lang w:eastAsia="es-MX"/>
        </w:rPr>
        <w:footnoteReference w:id="29"/>
      </w:r>
      <w:r w:rsidRPr="63813CF3">
        <w:rPr>
          <w:rFonts w:ascii="Verdana" w:eastAsia="Times New Roman" w:hAnsi="Verdana"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63813CF3">
        <w:rPr>
          <w:rStyle w:val="Refdenotaalpie"/>
          <w:rFonts w:ascii="Verdana" w:eastAsia="Times New Roman" w:hAnsi="Verdana" w:cs="Arial"/>
          <w:lang w:eastAsia="es-MX"/>
        </w:rPr>
        <w:footnoteReference w:id="30"/>
      </w:r>
      <w:r w:rsidRPr="63813CF3">
        <w:rPr>
          <w:rFonts w:ascii="Verdana" w:eastAsia="Times New Roman" w:hAnsi="Verdana" w:cs="Arial"/>
          <w:lang w:eastAsia="es-MX"/>
        </w:rPr>
        <w:t xml:space="preserve">. </w:t>
      </w:r>
    </w:p>
    <w:p w14:paraId="07A7FDF7" w14:textId="77777777" w:rsidR="00AE1D92" w:rsidRPr="00F43CC7" w:rsidRDefault="00AE1D92" w:rsidP="00AE1D92">
      <w:pPr>
        <w:spacing w:after="0" w:line="276" w:lineRule="auto"/>
        <w:ind w:firstLine="709"/>
        <w:jc w:val="both"/>
        <w:rPr>
          <w:rFonts w:ascii="Verdana" w:hAnsi="Verdana" w:cs="Arial"/>
          <w:bCs/>
          <w:color w:val="000000" w:themeColor="text1"/>
          <w:lang w:val="es-ES"/>
        </w:rPr>
      </w:pPr>
      <w:r w:rsidRPr="00F43CC7">
        <w:rPr>
          <w:rFonts w:ascii="Verdana" w:hAnsi="Verdana" w:cs="Arial"/>
          <w:bCs/>
          <w:color w:val="000000" w:themeColor="text1"/>
          <w:lang w:val="es-ES"/>
        </w:rPr>
        <w:lastRenderedPageBreak/>
        <w:t xml:space="preserve">Adicionalmente, el artículo 2.2.1.2.1.4.11 del Decreto 1082 de 2015 dispone que las entidades estatales pueden alquilar o arrendar inmuebles mediante contratación directa para lo cual deben seguir las siguientes reglas: </w:t>
      </w:r>
    </w:p>
    <w:p w14:paraId="52C6B14A" w14:textId="77777777" w:rsidR="00AE1D92" w:rsidRPr="00F43CC7" w:rsidRDefault="00AE1D92" w:rsidP="00AE1D92">
      <w:pPr>
        <w:spacing w:after="0" w:line="276" w:lineRule="auto"/>
        <w:ind w:firstLine="709"/>
        <w:jc w:val="both"/>
        <w:rPr>
          <w:rFonts w:ascii="Verdana" w:hAnsi="Verdana" w:cs="Arial"/>
          <w:bCs/>
          <w:color w:val="000000" w:themeColor="text1"/>
          <w:lang w:val="es-ES"/>
        </w:rPr>
      </w:pPr>
    </w:p>
    <w:p w14:paraId="2B8C4571" w14:textId="77777777" w:rsidR="00AE1D92" w:rsidRDefault="00AE1D92" w:rsidP="00AE1D92">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“1. Verificar las condiciones del mercado inmobiliario en la ciudad en la que la Entidad Estatal requiere el inmueble.</w:t>
      </w:r>
    </w:p>
    <w:p w14:paraId="3F50C68F" w14:textId="77777777" w:rsidR="00AE1D92" w:rsidRPr="00F43CC7" w:rsidRDefault="00AE1D92" w:rsidP="00AE1D92">
      <w:pPr>
        <w:spacing w:after="0" w:line="240" w:lineRule="auto"/>
        <w:ind w:left="709" w:right="709"/>
        <w:jc w:val="both"/>
        <w:rPr>
          <w:rFonts w:ascii="Verdana" w:eastAsia="Calibri" w:hAnsi="Verdana" w:cs="Arial"/>
          <w:sz w:val="20"/>
          <w:szCs w:val="20"/>
          <w:lang w:val="es-ES"/>
        </w:rPr>
      </w:pPr>
    </w:p>
    <w:p w14:paraId="18DE32DE" w14:textId="77777777" w:rsidR="00AE1D92" w:rsidRPr="00F43CC7" w:rsidRDefault="00AE1D92" w:rsidP="00AE1D92">
      <w:pPr>
        <w:spacing w:after="0" w:line="240" w:lineRule="auto"/>
        <w:ind w:left="709" w:right="709"/>
        <w:jc w:val="both"/>
        <w:rPr>
          <w:rFonts w:ascii="Verdana" w:eastAsia="Calibri" w:hAnsi="Verdana" w:cs="Arial"/>
          <w:sz w:val="20"/>
          <w:szCs w:val="20"/>
          <w:lang w:val="es-ES"/>
        </w:rPr>
      </w:pPr>
      <w:r w:rsidRPr="00F43CC7">
        <w:rPr>
          <w:rFonts w:ascii="Verdana" w:eastAsia="Calibri" w:hAnsi="Verdana" w:cs="Arial"/>
          <w:sz w:val="20"/>
          <w:szCs w:val="20"/>
          <w:lang w:val="es-ES"/>
        </w:rPr>
        <w:t>2. Analizar y comparar las condiciones de los bienes inmuebles que satisfacen las necesidades identificadas y las opciones de arrendamiento, análisis que deberá tener en cuenta los principios y objetivos del sistema de compra y contratación pública”.</w:t>
      </w:r>
    </w:p>
    <w:p w14:paraId="1F523D1A" w14:textId="77777777" w:rsidR="00AE1D92" w:rsidRPr="00F43CC7" w:rsidRDefault="00AE1D92" w:rsidP="00AE1D92">
      <w:pPr>
        <w:spacing w:after="0" w:line="276" w:lineRule="auto"/>
        <w:ind w:firstLine="708"/>
        <w:jc w:val="both"/>
        <w:rPr>
          <w:rFonts w:ascii="Verdana" w:eastAsia="Calibri" w:hAnsi="Verdana" w:cs="Arial"/>
          <w:color w:val="000000" w:themeColor="text1"/>
          <w:lang w:val="es-ES"/>
        </w:rPr>
      </w:pPr>
    </w:p>
    <w:p w14:paraId="30FEC8BE" w14:textId="77777777" w:rsidR="00AE1D92" w:rsidRPr="00F43CC7" w:rsidRDefault="00AE1D92" w:rsidP="00AE1D92">
      <w:pPr>
        <w:spacing w:after="120" w:line="276" w:lineRule="auto"/>
        <w:ind w:firstLine="708"/>
        <w:jc w:val="both"/>
        <w:rPr>
          <w:rFonts w:ascii="Verdana" w:eastAsia="Calibri" w:hAnsi="Verdana" w:cs="Arial"/>
          <w:lang w:val="es-ES"/>
        </w:rPr>
      </w:pPr>
      <w:r w:rsidRPr="00F43CC7">
        <w:rPr>
          <w:rFonts w:ascii="Verdana" w:eastAsia="Calibri" w:hAnsi="Verdana" w:cs="Arial"/>
          <w:lang w:val="es-ES"/>
        </w:rPr>
        <w:t xml:space="preserve">Para autores como GONZÁLEZ LÓPEZ, </w:t>
      </w:r>
      <w:r w:rsidRPr="00F43CC7">
        <w:rPr>
          <w:rFonts w:ascii="Verdana" w:eastAsia="Calibri" w:hAnsi="Verdana" w:cs="Arial"/>
          <w:sz w:val="20"/>
          <w:szCs w:val="20"/>
          <w:lang w:val="es-ES"/>
        </w:rPr>
        <w:t>“</w:t>
      </w:r>
      <w:r w:rsidRPr="00F43CC7">
        <w:rPr>
          <w:rFonts w:ascii="Verdana" w:eastAsia="Calibri" w:hAnsi="Verdana"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F43CC7">
        <w:rPr>
          <w:rFonts w:ascii="Verdana" w:eastAsia="Calibri" w:hAnsi="Verdana" w:cs="Arial"/>
          <w:i/>
          <w:iCs/>
          <w:lang w:val="es-ES"/>
        </w:rPr>
        <w:t>es viable la modalidad de contratación directa siempre que se trae de un contrato de arrendamiento que suscriba una entidad estatal regulada por la Ley 80 de 1993</w:t>
      </w:r>
      <w:r w:rsidRPr="00F43CC7">
        <w:rPr>
          <w:rFonts w:ascii="Verdana" w:eastAsia="Calibri" w:hAnsi="Verdana" w:cs="Arial"/>
          <w:lang w:val="es-ES"/>
        </w:rPr>
        <w:t>”</w:t>
      </w:r>
      <w:r w:rsidRPr="00F43CC7">
        <w:rPr>
          <w:rStyle w:val="Refdenotaalpie"/>
          <w:rFonts w:ascii="Verdana" w:eastAsia="Calibri" w:hAnsi="Verdana" w:cs="Arial"/>
          <w:lang w:val="es-ES"/>
        </w:rPr>
        <w:footnoteReference w:id="31"/>
      </w:r>
      <w:r w:rsidRPr="00F43CC7">
        <w:rPr>
          <w:rFonts w:ascii="Verdana" w:eastAsia="Calibri" w:hAnsi="Verdana" w:cs="Arial"/>
          <w:lang w:val="es-ES"/>
        </w:rPr>
        <w:t xml:space="preserve"> (Énfasis fuera de texto).</w:t>
      </w:r>
    </w:p>
    <w:p w14:paraId="3967E0A3" w14:textId="77777777" w:rsidR="00AE1D92" w:rsidRDefault="00AE1D92" w:rsidP="00AE1D92">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sz w:val="22"/>
          <w:szCs w:val="22"/>
          <w:lang w:val="es-ES"/>
        </w:rPr>
      </w:pPr>
      <w:r>
        <w:rPr>
          <w:rFonts w:ascii="Verdana" w:eastAsia="Calibri" w:hAnsi="Verdana" w:cs="Arial"/>
          <w:sz w:val="22"/>
          <w:szCs w:val="22"/>
          <w:lang w:val="es-ES"/>
        </w:rPr>
        <w:t xml:space="preserve">Por otro lado, </w:t>
      </w:r>
      <w:r w:rsidRPr="00F43CC7">
        <w:rPr>
          <w:rFonts w:ascii="Verdana" w:eastAsia="Calibri" w:hAnsi="Verdana" w:cs="Arial"/>
          <w:sz w:val="22"/>
          <w:szCs w:val="22"/>
          <w:lang w:val="es-ES"/>
        </w:rPr>
        <w:t>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libre concurrencia”</w:t>
      </w:r>
      <w:r w:rsidRPr="00F43CC7">
        <w:rPr>
          <w:rStyle w:val="Refdenotaalpie"/>
          <w:rFonts w:ascii="Verdana" w:eastAsia="Calibri" w:hAnsi="Verdana" w:cs="Arial"/>
          <w:sz w:val="22"/>
          <w:szCs w:val="22"/>
          <w:lang w:val="es-ES"/>
        </w:rPr>
        <w:footnoteReference w:id="32"/>
      </w:r>
      <w:r w:rsidRPr="00F43CC7">
        <w:rPr>
          <w:rFonts w:ascii="Verdana" w:eastAsia="Calibri" w:hAnsi="Verdana" w:cs="Arial"/>
          <w:sz w:val="22"/>
          <w:szCs w:val="22"/>
          <w:lang w:val="es-ES"/>
        </w:rPr>
        <w:t>. Aunque existe la discusión sobre la conveniencia de esta postura, lo cierto es que –dentro del marco normativo vigente– las entidades públicas son autónomas y responsables tanto de la estructuración de sus procesos de contratación como de determinar la modalidad de selección aplicable para suplir sus necesidades</w:t>
      </w:r>
      <w:r w:rsidRPr="00F43CC7">
        <w:rPr>
          <w:rStyle w:val="Refdenotaalpie"/>
          <w:rFonts w:ascii="Verdana" w:eastAsia="Calibri" w:hAnsi="Verdana" w:cs="Arial"/>
          <w:sz w:val="22"/>
          <w:szCs w:val="22"/>
          <w:lang w:val="es-ES"/>
        </w:rPr>
        <w:footnoteReference w:id="33"/>
      </w:r>
      <w:r w:rsidRPr="00F43CC7">
        <w:rPr>
          <w:rFonts w:ascii="Verdana" w:eastAsia="Calibri" w:hAnsi="Verdana" w:cs="Arial"/>
          <w:sz w:val="22"/>
          <w:szCs w:val="22"/>
          <w:lang w:val="es-ES"/>
        </w:rPr>
        <w:t>.</w:t>
      </w:r>
    </w:p>
    <w:p w14:paraId="6121AF38" w14:textId="77777777" w:rsidR="00AE1D92" w:rsidRPr="00584C67" w:rsidRDefault="00AE1D92" w:rsidP="00AE1D92">
      <w:pPr>
        <w:spacing w:after="0" w:line="276" w:lineRule="auto"/>
        <w:ind w:firstLine="709"/>
        <w:jc w:val="both"/>
        <w:rPr>
          <w:rFonts w:ascii="Verdana" w:hAnsi="Verdana" w:cs="Segoe UI"/>
        </w:rPr>
      </w:pPr>
      <w:r w:rsidRPr="00584C67">
        <w:rPr>
          <w:rFonts w:ascii="Verdana" w:hAnsi="Verdana" w:cs="Segoe UI"/>
        </w:rPr>
        <w:lastRenderedPageBreak/>
        <w:t xml:space="preserve">En este contexto es preciso señalar —como adición al análisis anterior— que la causal de contratación directa prevista en la Ley 1150 permite su utilización </w:t>
      </w:r>
      <w:r w:rsidRPr="00AE4CB7">
        <w:rPr>
          <w:rStyle w:val="Fuerte"/>
          <w:rFonts w:ascii="Verdana" w:hAnsi="Verdana" w:cs="Segoe UI"/>
          <w:b w:val="0"/>
          <w:bCs w:val="0"/>
        </w:rPr>
        <w:t>tanto cuando la entidad actúa como arrendadora como cuando actúa como arrendataria</w:t>
      </w:r>
      <w:r w:rsidRPr="006E2726">
        <w:rPr>
          <w:rFonts w:ascii="Verdana" w:hAnsi="Verdana" w:cs="Segoe UI"/>
          <w:bCs/>
        </w:rPr>
        <w:t>, incluido el supuesto planteado para consideración. No obstante, tal modalidad de selección se encuentra</w:t>
      </w:r>
      <w:r w:rsidRPr="00AE4CB7">
        <w:rPr>
          <w:rFonts w:ascii="Verdana" w:hAnsi="Verdana" w:cs="Segoe UI"/>
          <w:b/>
        </w:rPr>
        <w:t xml:space="preserve"> </w:t>
      </w:r>
      <w:r w:rsidRPr="00AE4CB7">
        <w:rPr>
          <w:rStyle w:val="Fuerte"/>
          <w:rFonts w:ascii="Verdana" w:hAnsi="Verdana" w:cs="Segoe UI"/>
          <w:b w:val="0"/>
          <w:bCs w:val="0"/>
        </w:rPr>
        <w:t>proscrita durante los cuatro (4) meses anteriores a las elecciones presidenciales</w:t>
      </w:r>
      <w:r w:rsidRPr="006E2726">
        <w:rPr>
          <w:rFonts w:ascii="Verdana" w:hAnsi="Verdana" w:cs="Segoe UI"/>
          <w:bCs/>
        </w:rPr>
        <w:t>, en los términos del artículo 33 de la Ley 996 de 2005, razón por la cual</w:t>
      </w:r>
      <w:r w:rsidRPr="00AE4CB7">
        <w:rPr>
          <w:rFonts w:ascii="Verdana" w:hAnsi="Verdana" w:cs="Segoe UI"/>
          <w:b/>
        </w:rPr>
        <w:t xml:space="preserve"> </w:t>
      </w:r>
      <w:r w:rsidRPr="00AE4CB7">
        <w:rPr>
          <w:rStyle w:val="Fuerte"/>
          <w:rFonts w:ascii="Verdana" w:hAnsi="Verdana" w:cs="Segoe UI"/>
          <w:b w:val="0"/>
          <w:bCs w:val="0"/>
        </w:rPr>
        <w:t>no es posible celebrar contratos de arrendamiento mediante contratación directa en dicho periodo</w:t>
      </w:r>
      <w:r w:rsidRPr="0024671C">
        <w:rPr>
          <w:rFonts w:ascii="Verdana" w:hAnsi="Verdana" w:cs="Segoe UI"/>
        </w:rPr>
        <w:t>,</w:t>
      </w:r>
      <w:r w:rsidRPr="00584C67">
        <w:rPr>
          <w:rFonts w:ascii="Verdana" w:hAnsi="Verdana" w:cs="Segoe UI"/>
        </w:rPr>
        <w:t xml:space="preserve"> salvo que el caso concreto se enmarque en alguna de las excepciones taxativamente señaladas en la norma.</w:t>
      </w:r>
    </w:p>
    <w:p w14:paraId="6FF70653" w14:textId="77777777" w:rsidR="005B2FD1" w:rsidRDefault="005B2FD1" w:rsidP="00AE4CB7">
      <w:pPr>
        <w:tabs>
          <w:tab w:val="left" w:pos="426"/>
        </w:tabs>
        <w:spacing w:after="0" w:line="276" w:lineRule="auto"/>
        <w:jc w:val="both"/>
        <w:rPr>
          <w:rFonts w:ascii="Verdana" w:eastAsia="Times New Roman" w:hAnsi="Verdana" w:cs="Arial"/>
          <w:lang w:val="es-ES" w:eastAsia="es-MX"/>
        </w:rPr>
      </w:pPr>
    </w:p>
    <w:p w14:paraId="1D40BBC2" w14:textId="77777777" w:rsidR="00430D1E" w:rsidRPr="00F4158D" w:rsidRDefault="00430D1E" w:rsidP="00AE4CB7">
      <w:pPr>
        <w:tabs>
          <w:tab w:val="left" w:pos="426"/>
        </w:tabs>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76FB600" w14:textId="77777777" w:rsidR="00430D1E" w:rsidRPr="00F4158D" w:rsidRDefault="00430D1E" w:rsidP="00430D1E">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F4158D">
        <w:rPr>
          <w:rFonts w:ascii="Verdana" w:eastAsia="Calibri" w:hAnsi="Verdana" w:cs="Arial"/>
          <w:bCs/>
          <w:color w:val="000000" w:themeColor="text1"/>
        </w:rPr>
        <w:lastRenderedPageBreak/>
        <w:t>el principio de juridicidad. Así, cada entidad definirá la forma de adelantar su gestión contractual, sin que sea atribución de Colombia Compra Eficiente validar sus actuaciones.</w:t>
      </w:r>
    </w:p>
    <w:p w14:paraId="43078EEC" w14:textId="457E3302" w:rsidR="00430D1E" w:rsidRPr="00F4158D" w:rsidRDefault="00430D1E" w:rsidP="00430D1E">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1402C748" w14:textId="77777777" w:rsidR="00430D1E" w:rsidRPr="00593A5F" w:rsidRDefault="00430D1E" w:rsidP="00430D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9A3DCF0" w14:textId="77777777" w:rsidR="00430D1E" w:rsidRPr="00593A5F" w:rsidRDefault="00430D1E" w:rsidP="00430D1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30D1E" w:rsidRPr="002407CE" w14:paraId="0EF6A9ED" w14:textId="77777777" w:rsidTr="00527860">
        <w:trPr>
          <w:trHeight w:val="870"/>
          <w:jc w:val="center"/>
        </w:trPr>
        <w:tc>
          <w:tcPr>
            <w:tcW w:w="8647" w:type="dxa"/>
          </w:tcPr>
          <w:p w14:paraId="2E5FBD7A" w14:textId="77777777" w:rsidR="00430D1E" w:rsidRDefault="00430D1E" w:rsidP="00430D1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127 y 197.</w:t>
            </w:r>
          </w:p>
          <w:p w14:paraId="3A3B1C50" w14:textId="77777777" w:rsidR="006E2726" w:rsidRDefault="006E2726" w:rsidP="00430D1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Código Civil, artículo 674 y 1973. </w:t>
            </w:r>
          </w:p>
          <w:p w14:paraId="29F4C671" w14:textId="29659CBF" w:rsidR="00430D1E" w:rsidRDefault="00430D1E" w:rsidP="00430D1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2E6D9DB7" w14:textId="77777777" w:rsidR="00430D1E" w:rsidRDefault="00430D1E" w:rsidP="00430D1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75B07EA0" w14:textId="0E436DF6" w:rsidR="00430D1E" w:rsidRPr="002F1C04" w:rsidRDefault="00430D1E" w:rsidP="00430D1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36236">
              <w:rPr>
                <w:rFonts w:ascii="Verdana" w:hAnsi="Verdana" w:cs="Arial"/>
              </w:rPr>
              <w:t>Decreto 1082 de 2015, artículo</w:t>
            </w:r>
            <w:r>
              <w:rPr>
                <w:rFonts w:ascii="Verdana" w:hAnsi="Verdana" w:cs="Arial"/>
              </w:rPr>
              <w:t xml:space="preserve"> </w:t>
            </w:r>
            <w:r w:rsidRPr="009F112C">
              <w:rPr>
                <w:rStyle w:val="s15"/>
                <w:rFonts w:ascii="Verdana" w:hAnsi="Verdana"/>
              </w:rPr>
              <w:t>2.2.1.2.1.4.1</w:t>
            </w:r>
            <w:r>
              <w:rPr>
                <w:rStyle w:val="s15"/>
                <w:rFonts w:ascii="Verdana" w:hAnsi="Verdana"/>
              </w:rPr>
              <w:t>,</w:t>
            </w:r>
            <w:r w:rsidRPr="00036236">
              <w:rPr>
                <w:rFonts w:ascii="Verdana" w:hAnsi="Verdana" w:cs="Arial"/>
              </w:rPr>
              <w:t xml:space="preserve"> 2.2.1.2.1.4.6.</w:t>
            </w:r>
          </w:p>
        </w:tc>
      </w:tr>
    </w:tbl>
    <w:p w14:paraId="27E1AEDC" w14:textId="77777777" w:rsidR="00430D1E" w:rsidRPr="002407CE" w:rsidRDefault="00430D1E" w:rsidP="00430D1E">
      <w:pPr>
        <w:widowControl w:val="0"/>
        <w:autoSpaceDE w:val="0"/>
        <w:autoSpaceDN w:val="0"/>
        <w:spacing w:after="0" w:line="276" w:lineRule="auto"/>
        <w:jc w:val="both"/>
        <w:rPr>
          <w:rFonts w:ascii="Verdana" w:hAnsi="Verdana" w:cs="Arial"/>
        </w:rPr>
      </w:pPr>
    </w:p>
    <w:p w14:paraId="17FDE585" w14:textId="77777777" w:rsidR="00430D1E" w:rsidRPr="00593A5F" w:rsidRDefault="00430D1E" w:rsidP="00430D1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25AF09E" w14:textId="77777777" w:rsidR="00430D1E" w:rsidRPr="00593A5F" w:rsidRDefault="00430D1E" w:rsidP="00430D1E">
      <w:pPr>
        <w:widowControl w:val="0"/>
        <w:autoSpaceDE w:val="0"/>
        <w:autoSpaceDN w:val="0"/>
        <w:spacing w:after="0" w:line="276" w:lineRule="auto"/>
        <w:jc w:val="both"/>
        <w:rPr>
          <w:rFonts w:ascii="Verdana" w:hAnsi="Verdana" w:cs="Arial"/>
        </w:rPr>
      </w:pPr>
    </w:p>
    <w:p w14:paraId="75CD93F1" w14:textId="77777777" w:rsidR="00430D1E" w:rsidRPr="00ED0098" w:rsidRDefault="00430D1E" w:rsidP="00430D1E">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 xml:space="preserve">se ha pronunciado </w:t>
      </w:r>
      <w:r>
        <w:rPr>
          <w:rStyle w:val="normaltextrun"/>
          <w:rFonts w:ascii="Verdana" w:hAnsi="Verdana" w:cs="Arial"/>
          <w:shd w:val="clear" w:color="auto" w:fill="FFFFFF"/>
          <w:lang w:val="es-ES_tradnl"/>
        </w:rPr>
        <w:lastRenderedPageBreak/>
        <w:t xml:space="preserve">el régimen jurídico de los bienes público en el concepto C-1631 del 12 de diciembre de 2025, y </w:t>
      </w:r>
      <w:r w:rsidRPr="0094222D">
        <w:rPr>
          <w:rStyle w:val="normaltextrun"/>
          <w:rFonts w:ascii="Verdana" w:hAnsi="Verdana" w:cs="Arial"/>
          <w:shd w:val="clear" w:color="auto" w:fill="FFFFFF"/>
          <w:lang w:val="es-ES_tradnl"/>
        </w:rPr>
        <w:t>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C-506 del 23 de julio de 2025, C-1648 del 14 de noviembre de 2025 y C-001 del 21 de enero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AB18DBF" w14:textId="77777777" w:rsidR="00430D1E" w:rsidRPr="00096788" w:rsidRDefault="00430D1E" w:rsidP="00430D1E">
      <w:pPr>
        <w:widowControl w:val="0"/>
        <w:autoSpaceDE w:val="0"/>
        <w:autoSpaceDN w:val="0"/>
        <w:spacing w:after="0" w:line="276" w:lineRule="auto"/>
        <w:jc w:val="both"/>
        <w:rPr>
          <w:rFonts w:ascii="Verdana" w:hAnsi="Verdana" w:cs="Arial"/>
          <w:color w:val="000000" w:themeColor="text1"/>
          <w:shd w:val="clear" w:color="auto" w:fill="FFFFFF"/>
        </w:rPr>
      </w:pPr>
    </w:p>
    <w:p w14:paraId="3897B945" w14:textId="77777777" w:rsidR="00430D1E" w:rsidRPr="00AE4CB7" w:rsidRDefault="00430D1E" w:rsidP="00AE4CB7">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2FAB6096" w14:textId="77777777" w:rsidR="00430D1E" w:rsidRPr="009A385A" w:rsidRDefault="00430D1E" w:rsidP="00AE4CB7">
      <w:pPr>
        <w:spacing w:after="0" w:line="276" w:lineRule="auto"/>
        <w:jc w:val="both"/>
        <w:rPr>
          <w:rFonts w:ascii="Verdana" w:hAnsi="Verdana"/>
        </w:rPr>
      </w:pPr>
    </w:p>
    <w:p w14:paraId="5CA53022" w14:textId="77777777" w:rsidR="00430D1E" w:rsidRPr="00AE4CB7" w:rsidRDefault="00430D1E" w:rsidP="00AE4CB7">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483479CB" w14:textId="77777777" w:rsidR="00430D1E" w:rsidRDefault="00430D1E" w:rsidP="00AE4CB7">
      <w:pPr>
        <w:spacing w:after="0" w:line="276" w:lineRule="auto"/>
        <w:jc w:val="both"/>
        <w:rPr>
          <w:rFonts w:ascii="Verdana" w:hAnsi="Verdana"/>
        </w:rPr>
      </w:pPr>
    </w:p>
    <w:p w14:paraId="20313ABD" w14:textId="77777777" w:rsidR="00430D1E" w:rsidRPr="008E1CD7" w:rsidRDefault="00430D1E" w:rsidP="00AE4CB7">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w:t>
      </w:r>
      <w:r w:rsidRPr="00797327">
        <w:rPr>
          <w:rFonts w:ascii="Verdana" w:hAnsi="Verdana"/>
        </w:rPr>
        <w:lastRenderedPageBreak/>
        <w:t>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BA71DE8" w14:textId="77777777" w:rsidR="00430D1E" w:rsidRDefault="00430D1E" w:rsidP="00430D1E">
      <w:pPr>
        <w:shd w:val="clear" w:color="auto" w:fill="FFFFFF"/>
        <w:spacing w:after="0" w:line="276" w:lineRule="auto"/>
        <w:jc w:val="both"/>
        <w:rPr>
          <w:rFonts w:ascii="Verdana" w:hAnsi="Verdana"/>
          <w:color w:val="000000"/>
          <w:u w:val="single"/>
        </w:rPr>
      </w:pPr>
    </w:p>
    <w:p w14:paraId="75331E6D" w14:textId="77777777" w:rsidR="00430D1E" w:rsidRPr="0038088D" w:rsidRDefault="00430D1E" w:rsidP="00AE4CB7">
      <w:pPr>
        <w:spacing w:after="0" w:line="276" w:lineRule="auto"/>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452330EF" w14:textId="77777777" w:rsidR="00430D1E" w:rsidRPr="0038088D" w:rsidRDefault="00430D1E" w:rsidP="00AE4CB7">
      <w:pPr>
        <w:spacing w:after="0" w:line="276" w:lineRule="auto"/>
        <w:jc w:val="both"/>
        <w:rPr>
          <w:rFonts w:ascii="Verdana" w:hAnsi="Verdana"/>
        </w:rPr>
      </w:pPr>
    </w:p>
    <w:p w14:paraId="72192C0B" w14:textId="77777777" w:rsidR="00430D1E" w:rsidRPr="0038088D" w:rsidRDefault="00430D1E" w:rsidP="00AE4CB7">
      <w:pPr>
        <w:pStyle w:val="Prrafodelista"/>
        <w:numPr>
          <w:ilvl w:val="0"/>
          <w:numId w:val="15"/>
        </w:numPr>
        <w:spacing w:after="0" w:line="276"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4ABB9F6D" w14:textId="77777777" w:rsidR="00430D1E" w:rsidRPr="0038088D" w:rsidRDefault="00430D1E" w:rsidP="00AE4CB7">
      <w:pPr>
        <w:pStyle w:val="Prrafodelista"/>
        <w:numPr>
          <w:ilvl w:val="0"/>
          <w:numId w:val="15"/>
        </w:numPr>
        <w:spacing w:after="0" w:line="276" w:lineRule="auto"/>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1ADFF523" w14:textId="77777777" w:rsidR="00430D1E" w:rsidRPr="0038088D" w:rsidRDefault="00430D1E" w:rsidP="00AE4CB7">
      <w:pPr>
        <w:pStyle w:val="Prrafodelista"/>
        <w:numPr>
          <w:ilvl w:val="0"/>
          <w:numId w:val="15"/>
        </w:numPr>
        <w:spacing w:after="0" w:line="276" w:lineRule="auto"/>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1CCBFFB5" w14:textId="77777777" w:rsidR="00430D1E" w:rsidRPr="0038088D" w:rsidRDefault="00430D1E" w:rsidP="00AE4CB7">
      <w:pPr>
        <w:pStyle w:val="Prrafodelista"/>
        <w:numPr>
          <w:ilvl w:val="0"/>
          <w:numId w:val="15"/>
        </w:numPr>
        <w:spacing w:after="0" w:line="276" w:lineRule="auto"/>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591D7AE0" w14:textId="77777777" w:rsidR="00430D1E" w:rsidRPr="0038088D" w:rsidRDefault="00430D1E" w:rsidP="00AE4CB7">
      <w:pPr>
        <w:spacing w:after="0" w:line="276" w:lineRule="auto"/>
        <w:ind w:left="720"/>
        <w:jc w:val="both"/>
        <w:rPr>
          <w:rFonts w:ascii="Verdana" w:hAnsi="Verdana"/>
        </w:rPr>
      </w:pPr>
    </w:p>
    <w:p w14:paraId="5AFFBF16" w14:textId="77777777" w:rsidR="00430D1E" w:rsidRPr="0038088D" w:rsidRDefault="00430D1E" w:rsidP="00AE4CB7">
      <w:pPr>
        <w:spacing w:after="0" w:line="276"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2052956C" w14:textId="77777777" w:rsidR="00430D1E" w:rsidRPr="0038088D" w:rsidRDefault="00430D1E" w:rsidP="00AE4CB7">
      <w:pPr>
        <w:spacing w:after="0" w:line="276" w:lineRule="auto"/>
        <w:rPr>
          <w:rFonts w:ascii="Verdana" w:hAnsi="Verdana"/>
        </w:rPr>
      </w:pPr>
    </w:p>
    <w:p w14:paraId="1B3B0F54" w14:textId="77777777" w:rsidR="00430D1E" w:rsidRPr="0038088D" w:rsidRDefault="00430D1E" w:rsidP="00AE4CB7">
      <w:pPr>
        <w:spacing w:after="0" w:line="276"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3C7BABE" w14:textId="77777777" w:rsidR="00430D1E" w:rsidRPr="00116940" w:rsidRDefault="00430D1E" w:rsidP="00AE4CB7">
      <w:pPr>
        <w:spacing w:after="0" w:line="276" w:lineRule="auto"/>
        <w:jc w:val="both"/>
        <w:rPr>
          <w:rFonts w:ascii="Verdana" w:hAnsi="Verdana"/>
        </w:rPr>
      </w:pPr>
    </w:p>
    <w:p w14:paraId="6053F1D3" w14:textId="77777777" w:rsidR="00430D1E" w:rsidRPr="00116940" w:rsidRDefault="00430D1E" w:rsidP="00AE4CB7">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F710D96" w14:textId="77777777" w:rsidR="00430D1E" w:rsidRPr="00116940" w:rsidRDefault="00430D1E" w:rsidP="00AE4CB7">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F22F679" w14:textId="77777777" w:rsidR="00430D1E" w:rsidRPr="00E22E6E" w:rsidRDefault="00430D1E" w:rsidP="00AE4CB7">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B568EFE" w14:textId="77777777" w:rsidR="00430D1E" w:rsidRPr="009C4035" w:rsidRDefault="00430D1E" w:rsidP="00430D1E">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2B89D09" w14:textId="77777777" w:rsidR="00430D1E" w:rsidRPr="00593A5F" w:rsidRDefault="00430D1E" w:rsidP="00430D1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3F6D385D" w14:textId="77777777" w:rsidR="00430D1E" w:rsidRPr="00593A5F" w:rsidRDefault="00430D1E" w:rsidP="00430D1E">
      <w:pPr>
        <w:widowControl w:val="0"/>
        <w:autoSpaceDE w:val="0"/>
        <w:autoSpaceDN w:val="0"/>
        <w:spacing w:after="0" w:line="276" w:lineRule="auto"/>
        <w:jc w:val="both"/>
        <w:rPr>
          <w:rFonts w:ascii="Verdana" w:hAnsi="Verdana" w:cs="Arial"/>
        </w:rPr>
      </w:pPr>
    </w:p>
    <w:p w14:paraId="5C18164F" w14:textId="77777777" w:rsidR="00430D1E" w:rsidRPr="00593A5F" w:rsidRDefault="00430D1E" w:rsidP="00AE4CB7">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0719E03" w14:textId="0D984F78" w:rsidR="00430D1E" w:rsidRPr="00593A5F" w:rsidRDefault="007E1095" w:rsidP="00430D1E">
      <w:pPr>
        <w:spacing w:line="276" w:lineRule="auto"/>
        <w:jc w:val="center"/>
        <w:rPr>
          <w:rFonts w:ascii="Verdana" w:hAnsi="Verdana" w:cs="Arial"/>
          <w:color w:val="000000"/>
          <w:lang w:val="es-ES_tradnl" w:eastAsia="es-CO"/>
        </w:rPr>
      </w:pPr>
      <w:r w:rsidRPr="001C554B">
        <w:rPr>
          <w:rFonts w:ascii="Verdana" w:hAnsi="Verdana" w:cs="Arial"/>
          <w:noProof/>
          <w:color w:val="000000"/>
          <w:lang w:val="es-ES_tradnl" w:eastAsia="es-CO"/>
        </w:rPr>
        <w:drawing>
          <wp:inline distT="0" distB="0" distL="0" distR="0" wp14:anchorId="272D5914" wp14:editId="11BF2DBC">
            <wp:extent cx="2991267" cy="1381318"/>
            <wp:effectExtent l="0" t="0" r="0" b="9525"/>
            <wp:docPr id="6400155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1559" name="Imagen 1" descr="Texto&#10;&#10;El contenido generado por IA puede ser incorrecto."/>
                    <pic:cNvPicPr/>
                  </pic:nvPicPr>
                  <pic:blipFill>
                    <a:blip r:embed="rId18"/>
                    <a:stretch>
                      <a:fillRect/>
                    </a:stretch>
                  </pic:blipFill>
                  <pic:spPr>
                    <a:xfrm>
                      <a:off x="0" y="0"/>
                      <a:ext cx="2991267" cy="1381318"/>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30D1E" w:rsidRPr="00593A5F" w14:paraId="2462F98D" w14:textId="77777777" w:rsidTr="00527860">
        <w:trPr>
          <w:trHeight w:val="315"/>
        </w:trPr>
        <w:tc>
          <w:tcPr>
            <w:tcW w:w="893" w:type="dxa"/>
            <w:vAlign w:val="center"/>
            <w:hideMark/>
          </w:tcPr>
          <w:p w14:paraId="41C7951C" w14:textId="77777777" w:rsidR="00430D1E" w:rsidRPr="003751C7" w:rsidRDefault="00430D1E" w:rsidP="0052786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0B0199B" w14:textId="77777777" w:rsidR="00430D1E" w:rsidRPr="00254A7A" w:rsidRDefault="00430D1E" w:rsidP="00527860">
            <w:pPr>
              <w:contextualSpacing/>
              <w:rPr>
                <w:rStyle w:val="normaltextrun"/>
                <w:rFonts w:ascii="Verdana" w:hAnsi="Verdana"/>
                <w:sz w:val="16"/>
                <w:szCs w:val="16"/>
              </w:rPr>
            </w:pPr>
            <w:r>
              <w:rPr>
                <w:rStyle w:val="normaltextrun"/>
                <w:rFonts w:ascii="Verdana" w:hAnsi="Verdana"/>
                <w:sz w:val="16"/>
                <w:szCs w:val="16"/>
              </w:rPr>
              <w:t>Natalia</w:t>
            </w:r>
            <w:r w:rsidRPr="00254A7A">
              <w:rPr>
                <w:rStyle w:val="normaltextrun"/>
                <w:rFonts w:ascii="Verdana" w:hAnsi="Verdana"/>
                <w:sz w:val="16"/>
                <w:szCs w:val="16"/>
              </w:rPr>
              <w:t xml:space="preserve"> Montoya </w:t>
            </w:r>
            <w:r>
              <w:rPr>
                <w:rStyle w:val="normaltextrun"/>
                <w:rFonts w:ascii="Verdana" w:hAnsi="Verdana"/>
                <w:sz w:val="16"/>
                <w:szCs w:val="16"/>
              </w:rPr>
              <w:t>Jiménez</w:t>
            </w:r>
          </w:p>
          <w:p w14:paraId="1ED31F42" w14:textId="77777777" w:rsidR="00430D1E" w:rsidRPr="00254A7A" w:rsidRDefault="00430D1E" w:rsidP="00527860">
            <w:pPr>
              <w:contextualSpacing/>
              <w:rPr>
                <w:rFonts w:ascii="Verdana" w:eastAsia="Arial" w:hAnsi="Verdana" w:cs="Arial"/>
                <w:sz w:val="16"/>
                <w:szCs w:val="16"/>
              </w:rPr>
            </w:pPr>
            <w:r w:rsidRPr="001B6B73">
              <w:rPr>
                <w:rStyle w:val="normaltextrun"/>
                <w:rFonts w:ascii="Verdana" w:hAnsi="Verdana" w:cs="Arial"/>
                <w:sz w:val="16"/>
                <w:szCs w:val="16"/>
                <w:lang w:val="es-ES_tradnl"/>
              </w:rPr>
              <w:t xml:space="preserve">Gestor T1 ‒ 15 </w:t>
            </w:r>
            <w:r w:rsidRPr="00254A7A">
              <w:rPr>
                <w:rStyle w:val="normaltextrun"/>
                <w:rFonts w:ascii="Verdana" w:hAnsi="Verdana"/>
                <w:sz w:val="16"/>
                <w:szCs w:val="16"/>
              </w:rPr>
              <w:t>de la Subdirección de Gestión Contractual</w:t>
            </w:r>
          </w:p>
        </w:tc>
      </w:tr>
      <w:tr w:rsidR="00430D1E" w:rsidRPr="00593A5F" w14:paraId="422A7589" w14:textId="77777777" w:rsidTr="00527860">
        <w:trPr>
          <w:trHeight w:val="330"/>
        </w:trPr>
        <w:tc>
          <w:tcPr>
            <w:tcW w:w="893" w:type="dxa"/>
            <w:vAlign w:val="center"/>
            <w:hideMark/>
          </w:tcPr>
          <w:p w14:paraId="040C5025" w14:textId="77777777" w:rsidR="00430D1E" w:rsidRPr="003751C7" w:rsidRDefault="00430D1E" w:rsidP="0052786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76B5E93" w14:textId="77777777" w:rsidR="00430D1E" w:rsidRPr="001B6B73" w:rsidRDefault="00430D1E" w:rsidP="00527860">
            <w:pPr>
              <w:pStyle w:val="paragraph"/>
              <w:spacing w:after="0"/>
              <w:contextualSpacing/>
              <w:textAlignment w:val="baseline"/>
              <w:rPr>
                <w:rStyle w:val="normaltextrun"/>
                <w:rFonts w:ascii="Verdana" w:hAnsi="Verdana" w:cs="Arial"/>
                <w:sz w:val="16"/>
                <w:szCs w:val="16"/>
                <w:lang w:val="es-ES_tradnl"/>
              </w:rPr>
            </w:pPr>
            <w:r>
              <w:rPr>
                <w:rStyle w:val="normaltextrun"/>
                <w:rFonts w:ascii="Verdana" w:hAnsi="Verdana" w:cs="Arial"/>
                <w:sz w:val="16"/>
                <w:szCs w:val="16"/>
                <w:lang w:val="es-ES_tradnl"/>
              </w:rPr>
              <w:t>Diana Lucia Saavedra</w:t>
            </w:r>
          </w:p>
          <w:p w14:paraId="1D182404" w14:textId="77777777" w:rsidR="00430D1E" w:rsidRPr="00254A7A" w:rsidRDefault="00430D1E" w:rsidP="00527860">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sz w:val="16"/>
                <w:szCs w:val="16"/>
              </w:rPr>
              <w:t>Contratista</w:t>
            </w:r>
            <w:r w:rsidRPr="001B6B73">
              <w:rPr>
                <w:rStyle w:val="normaltextrun"/>
                <w:rFonts w:ascii="Verdana" w:hAnsi="Verdana" w:cs="Arial"/>
                <w:sz w:val="16"/>
                <w:szCs w:val="16"/>
                <w:lang w:val="es-ES_tradnl"/>
              </w:rPr>
              <w:t xml:space="preserve"> de la Subdirección de Gestión Contractual</w:t>
            </w:r>
          </w:p>
        </w:tc>
      </w:tr>
      <w:tr w:rsidR="00430D1E" w:rsidRPr="00593A5F" w14:paraId="35748D8D" w14:textId="77777777" w:rsidTr="00527860">
        <w:trPr>
          <w:trHeight w:val="300"/>
        </w:trPr>
        <w:tc>
          <w:tcPr>
            <w:tcW w:w="893" w:type="dxa"/>
            <w:vAlign w:val="center"/>
          </w:tcPr>
          <w:p w14:paraId="71EBD891" w14:textId="77777777" w:rsidR="00430D1E" w:rsidRPr="003751C7" w:rsidRDefault="00430D1E" w:rsidP="0052786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E01DAB" w14:textId="77777777" w:rsidR="00430D1E" w:rsidRPr="003751C7" w:rsidRDefault="00430D1E" w:rsidP="0052786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53DF3802" w14:textId="77777777" w:rsidR="00430D1E" w:rsidRPr="003751C7" w:rsidRDefault="00430D1E" w:rsidP="0052786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5367387B" w14:textId="77777777" w:rsidR="00430D1E" w:rsidRPr="00543BFE" w:rsidRDefault="00430D1E" w:rsidP="00430D1E"/>
    <w:p w14:paraId="39EEB3DB" w14:textId="77777777" w:rsidR="00430D1E" w:rsidRPr="00B36323" w:rsidRDefault="00430D1E" w:rsidP="00430D1E"/>
    <w:p w14:paraId="1576A4FD" w14:textId="12A16F07" w:rsidR="00430D1E" w:rsidRPr="00350544" w:rsidRDefault="00430D1E" w:rsidP="00430D1E"/>
    <w:p w14:paraId="03A43BE1" w14:textId="77777777" w:rsidR="00430D1E" w:rsidRDefault="00430D1E" w:rsidP="00430D1E"/>
    <w:p w14:paraId="0F293BF4" w14:textId="0EF1A14F" w:rsidR="00127233" w:rsidRPr="00430D1E" w:rsidRDefault="00127233" w:rsidP="00430D1E"/>
    <w:sectPr w:rsidR="00127233" w:rsidRPr="00430D1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87949" w14:textId="77777777" w:rsidR="00172A22" w:rsidRDefault="00172A22" w:rsidP="004A1847">
      <w:pPr>
        <w:spacing w:after="0" w:line="240" w:lineRule="auto"/>
      </w:pPr>
      <w:r>
        <w:separator/>
      </w:r>
    </w:p>
  </w:endnote>
  <w:endnote w:type="continuationSeparator" w:id="0">
    <w:p w14:paraId="6E94A501" w14:textId="77777777" w:rsidR="00172A22" w:rsidRDefault="00172A2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79150" w14:textId="77777777" w:rsidR="00172A22" w:rsidRDefault="00172A22" w:rsidP="004A1847">
      <w:pPr>
        <w:spacing w:after="0" w:line="240" w:lineRule="auto"/>
      </w:pPr>
      <w:r>
        <w:separator/>
      </w:r>
    </w:p>
  </w:footnote>
  <w:footnote w:type="continuationSeparator" w:id="0">
    <w:p w14:paraId="458D63D1" w14:textId="77777777" w:rsidR="00172A22" w:rsidRDefault="00172A22" w:rsidP="004A1847">
      <w:pPr>
        <w:spacing w:after="0" w:line="240" w:lineRule="auto"/>
      </w:pPr>
      <w:r>
        <w:continuationSeparator/>
      </w:r>
    </w:p>
  </w:footnote>
  <w:footnote w:id="1">
    <w:p w14:paraId="1E4E5E8C" w14:textId="77777777" w:rsidR="00F66B5B" w:rsidRPr="008B7171" w:rsidRDefault="00F66B5B" w:rsidP="00F66B5B">
      <w:pPr>
        <w:spacing w:after="0" w:line="240" w:lineRule="auto"/>
        <w:ind w:firstLine="708"/>
        <w:jc w:val="both"/>
        <w:rPr>
          <w:rFonts w:ascii="Verdana" w:hAnsi="Verdana" w:cs="Arial"/>
          <w:color w:val="000000" w:themeColor="text1"/>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w:t>
      </w:r>
      <w:r w:rsidRPr="008B7171">
        <w:rPr>
          <w:rFonts w:ascii="Verdana" w:hAnsi="Verdana" w:cs="Arial"/>
          <w:color w:val="000000" w:themeColor="text1"/>
          <w:sz w:val="15"/>
          <w:szCs w:val="15"/>
        </w:rPr>
        <w:t xml:space="preserve">Corte Constitucional. Sentencia C-183 de 2003. Sala Plena. M.P. Alfredo Beltrán Sierra. </w:t>
      </w:r>
    </w:p>
  </w:footnote>
  <w:footnote w:id="2">
    <w:p w14:paraId="3F8DEB90" w14:textId="77777777" w:rsidR="00F66B5B" w:rsidRPr="008B7171" w:rsidRDefault="00F66B5B" w:rsidP="00F66B5B">
      <w:pPr>
        <w:pStyle w:val="Textonotapie"/>
        <w:ind w:firstLine="708"/>
        <w:jc w:val="both"/>
        <w:rPr>
          <w:rFonts w:ascii="Verdana" w:hAnsi="Verdana" w:cs="Arial"/>
          <w:sz w:val="15"/>
          <w:szCs w:val="15"/>
          <w:lang w:val="es-ES"/>
        </w:rPr>
      </w:pPr>
      <w:r w:rsidRPr="008B7171">
        <w:rPr>
          <w:rStyle w:val="Refdenotaalpie"/>
          <w:rFonts w:ascii="Verdana" w:hAnsi="Verdana" w:cs="Arial"/>
          <w:sz w:val="15"/>
          <w:szCs w:val="15"/>
        </w:rPr>
        <w:footnoteRef/>
      </w:r>
      <w:r w:rsidRPr="008B7171">
        <w:rPr>
          <w:rFonts w:ascii="Verdana" w:hAnsi="Verdana" w:cs="Arial"/>
          <w:sz w:val="15"/>
          <w:szCs w:val="15"/>
        </w:rPr>
        <w:t xml:space="preserve"> </w:t>
      </w:r>
      <w:r w:rsidRPr="008B7171">
        <w:rPr>
          <w:rFonts w:ascii="Verdana" w:hAnsi="Verdana" w:cs="Arial"/>
          <w:sz w:val="15"/>
          <w:szCs w:val="15"/>
          <w:lang w:val="es-ES"/>
        </w:rPr>
        <w:t>Ibídem</w:t>
      </w:r>
    </w:p>
  </w:footnote>
  <w:footnote w:id="3">
    <w:p w14:paraId="317254C3" w14:textId="77777777" w:rsidR="002229E5" w:rsidRPr="000E6C92" w:rsidRDefault="002229E5" w:rsidP="002229E5">
      <w:pPr>
        <w:pStyle w:val="Textonotapie"/>
        <w:ind w:firstLine="708"/>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DÁVILA VINUEZA, Régimen jurídico… Ob. cit., p. 505.</w:t>
      </w:r>
    </w:p>
  </w:footnote>
  <w:footnote w:id="4">
    <w:p w14:paraId="1CD90406" w14:textId="77777777" w:rsidR="00430D1E" w:rsidRPr="006C7BAC" w:rsidRDefault="00430D1E" w:rsidP="00430D1E">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C7C2CD3" w14:textId="77777777" w:rsidR="00430D1E" w:rsidRPr="006C7BAC" w:rsidRDefault="00430D1E" w:rsidP="00430D1E">
      <w:pPr>
        <w:pStyle w:val="Textonotapie"/>
        <w:ind w:firstLine="709"/>
        <w:contextualSpacing/>
        <w:jc w:val="both"/>
        <w:rPr>
          <w:rFonts w:ascii="Verdana" w:hAnsi="Verdana" w:cs="Arial"/>
          <w:sz w:val="16"/>
          <w:szCs w:val="16"/>
        </w:rPr>
      </w:pPr>
      <w:r w:rsidRPr="006C7B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5">
    <w:p w14:paraId="52D081E7" w14:textId="77777777" w:rsidR="00430D1E" w:rsidRPr="006C7BAC" w:rsidRDefault="00430D1E" w:rsidP="00430D1E">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Gaceta del Congreso de la República No. 71 del 2005.</w:t>
      </w:r>
    </w:p>
  </w:footnote>
  <w:footnote w:id="6">
    <w:p w14:paraId="2414604C" w14:textId="77777777" w:rsidR="00430D1E" w:rsidRPr="00E86B2C" w:rsidRDefault="00430D1E" w:rsidP="00430D1E">
      <w:pPr>
        <w:pStyle w:val="Textonotapie"/>
        <w:ind w:firstLine="709"/>
        <w:contextualSpacing/>
        <w:jc w:val="both"/>
        <w:rPr>
          <w:rFonts w:ascii="Verdana" w:hAnsi="Verdana" w:cs="Arial"/>
          <w:sz w:val="16"/>
          <w:szCs w:val="16"/>
          <w:lang w:val="pt-BR"/>
        </w:rPr>
      </w:pPr>
      <w:r w:rsidRPr="006C7BAC">
        <w:rPr>
          <w:rStyle w:val="Refdenotaalpie"/>
          <w:rFonts w:ascii="Verdana" w:hAnsi="Verdana" w:cs="Arial"/>
          <w:sz w:val="16"/>
          <w:szCs w:val="16"/>
        </w:rPr>
        <w:footnoteRef/>
      </w:r>
      <w:r w:rsidRPr="00E86B2C">
        <w:rPr>
          <w:rFonts w:ascii="Verdana" w:hAnsi="Verdana" w:cs="Arial"/>
          <w:sz w:val="16"/>
          <w:szCs w:val="16"/>
          <w:lang w:val="pt-BR"/>
        </w:rPr>
        <w:t xml:space="preserve"> Corte Constitucional, Sentencia C- 1153 de 2005, M.P. Marco Gerardo Monroy Cabra.</w:t>
      </w:r>
    </w:p>
  </w:footnote>
  <w:footnote w:id="7">
    <w:p w14:paraId="3CBF143C" w14:textId="77777777" w:rsidR="00430D1E" w:rsidRPr="00E86B2C" w:rsidRDefault="00430D1E" w:rsidP="00430D1E">
      <w:pPr>
        <w:pStyle w:val="Textonotapie"/>
        <w:ind w:firstLine="709"/>
        <w:contextualSpacing/>
        <w:jc w:val="both"/>
        <w:rPr>
          <w:rFonts w:ascii="Verdana" w:hAnsi="Verdana" w:cs="Arial"/>
          <w:sz w:val="16"/>
          <w:szCs w:val="16"/>
          <w:lang w:val="pt-BR"/>
        </w:rPr>
      </w:pPr>
      <w:r w:rsidRPr="006C7BAC">
        <w:rPr>
          <w:rStyle w:val="Refdenotaalpie"/>
          <w:rFonts w:ascii="Verdana" w:hAnsi="Verdana" w:cs="Arial"/>
          <w:sz w:val="16"/>
          <w:szCs w:val="16"/>
        </w:rPr>
        <w:footnoteRef/>
      </w:r>
      <w:r w:rsidRPr="00E86B2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8">
    <w:p w14:paraId="0978065C" w14:textId="77777777" w:rsidR="00430D1E" w:rsidRPr="006C7BAC" w:rsidRDefault="00430D1E" w:rsidP="00430D1E">
      <w:pPr>
        <w:pStyle w:val="Textonotapie"/>
        <w:ind w:firstLine="709"/>
        <w:contextualSpacing/>
        <w:jc w:val="both"/>
        <w:rPr>
          <w:rFonts w:ascii="Verdana" w:hAnsi="Verdana" w:cs="Arial"/>
          <w:sz w:val="16"/>
          <w:szCs w:val="16"/>
          <w:lang w:val="es-CO"/>
        </w:rPr>
      </w:pPr>
      <w:r w:rsidRPr="006C7BAC">
        <w:rPr>
          <w:rStyle w:val="Refdenotaalpie"/>
          <w:rFonts w:ascii="Verdana" w:hAnsi="Verdana" w:cs="Arial"/>
          <w:sz w:val="16"/>
          <w:szCs w:val="16"/>
        </w:rPr>
        <w:footnoteRef/>
      </w:r>
      <w:r w:rsidRPr="006C7B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9">
    <w:p w14:paraId="5C98B29D" w14:textId="77777777" w:rsidR="00430D1E" w:rsidRPr="006C7BAC" w:rsidRDefault="00430D1E" w:rsidP="00430D1E">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de fecha 24 de julio de 2013, radicado 2166, Consejero Ponente: Álvaro Namén Vargas.  </w:t>
      </w:r>
    </w:p>
  </w:footnote>
  <w:footnote w:id="10">
    <w:p w14:paraId="69091DE7" w14:textId="77777777" w:rsidR="00430D1E" w:rsidRPr="006C7BAC" w:rsidRDefault="00430D1E" w:rsidP="00430D1E">
      <w:pPr>
        <w:spacing w:after="0" w:line="240" w:lineRule="auto"/>
        <w:ind w:firstLine="709"/>
        <w:contextualSpacing/>
        <w:jc w:val="both"/>
        <w:rPr>
          <w:rFonts w:ascii="Verdana" w:eastAsia="Times New Roman"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6" w:name="33"/>
      <w:r w:rsidRPr="006C7BAC">
        <w:rPr>
          <w:rFonts w:ascii="Verdana" w:eastAsia="Calibri" w:hAnsi="Verdana" w:cs="Arial"/>
          <w:color w:val="000000"/>
          <w:sz w:val="16"/>
          <w:szCs w:val="16"/>
        </w:rPr>
        <w:t>“</w:t>
      </w:r>
      <w:r w:rsidRPr="006C7BAC">
        <w:rPr>
          <w:rFonts w:ascii="Verdana" w:eastAsia="Times New Roman" w:hAnsi="Verdana" w:cs="Arial"/>
          <w:sz w:val="16"/>
          <w:szCs w:val="16"/>
        </w:rPr>
        <w:t>Artículo 33. Restricciones a la contratación pública.</w:t>
      </w:r>
      <w:bookmarkEnd w:id="6"/>
      <w:r w:rsidRPr="006C7B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DCD2433" w14:textId="77777777" w:rsidR="00430D1E" w:rsidRPr="006C7BAC" w:rsidRDefault="00430D1E" w:rsidP="00430D1E">
      <w:pPr>
        <w:spacing w:after="0" w:line="240" w:lineRule="auto"/>
        <w:ind w:firstLine="709"/>
        <w:contextualSpacing/>
        <w:jc w:val="both"/>
        <w:rPr>
          <w:rFonts w:ascii="Verdana" w:eastAsia="Times New Roman" w:hAnsi="Verdana" w:cs="Arial"/>
          <w:sz w:val="16"/>
          <w:szCs w:val="16"/>
        </w:rPr>
      </w:pPr>
      <w:r w:rsidRPr="006C7B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C7BAC">
        <w:rPr>
          <w:rFonts w:ascii="Verdana" w:eastAsia="Calibri" w:hAnsi="Verdana" w:cs="Arial"/>
          <w:color w:val="000000"/>
          <w:sz w:val="16"/>
          <w:szCs w:val="16"/>
        </w:rPr>
        <w:t>”</w:t>
      </w:r>
      <w:r w:rsidRPr="006C7BAC">
        <w:rPr>
          <w:rFonts w:ascii="Verdana" w:eastAsia="Times New Roman" w:hAnsi="Verdana" w:cs="Arial"/>
          <w:sz w:val="16"/>
          <w:szCs w:val="16"/>
        </w:rPr>
        <w:t>.</w:t>
      </w:r>
    </w:p>
  </w:footnote>
  <w:footnote w:id="11">
    <w:p w14:paraId="61F286FA" w14:textId="77777777" w:rsidR="00430D1E" w:rsidRPr="006C7BAC" w:rsidRDefault="00430D1E" w:rsidP="00430D1E">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Refdenotaalpie"/>
          <w:rFonts w:ascii="Verdana" w:eastAsiaTheme="majorEastAsia" w:hAnsi="Verdana" w:cs="Arial"/>
          <w:sz w:val="16"/>
          <w:szCs w:val="16"/>
        </w:rPr>
        <w:footnoteRef/>
      </w:r>
      <w:r w:rsidRPr="006C7BAC">
        <w:rPr>
          <w:rFonts w:ascii="Verdana" w:hAnsi="Verdana" w:cs="Arial"/>
          <w:sz w:val="16"/>
          <w:szCs w:val="16"/>
        </w:rPr>
        <w:t xml:space="preserve"> </w:t>
      </w:r>
      <w:bookmarkStart w:id="7" w:name="38"/>
      <w:r w:rsidRPr="006C7BAC">
        <w:rPr>
          <w:rFonts w:ascii="Verdana" w:eastAsia="Calibri" w:hAnsi="Verdana" w:cs="Arial"/>
          <w:color w:val="000000"/>
          <w:sz w:val="16"/>
          <w:szCs w:val="16"/>
        </w:rPr>
        <w:t>“</w:t>
      </w:r>
      <w:r w:rsidRPr="006C7BAC">
        <w:rPr>
          <w:rFonts w:ascii="Verdana" w:hAnsi="Verdana" w:cs="Arial"/>
          <w:sz w:val="16"/>
          <w:szCs w:val="16"/>
          <w:lang w:val="es-MX"/>
        </w:rPr>
        <w:t>Artículo 38. Prohibiciones para los servidores públicos. A los empleados del Estado les está prohibido:</w:t>
      </w:r>
      <w:bookmarkEnd w:id="7"/>
    </w:p>
    <w:p w14:paraId="3031057B" w14:textId="77777777" w:rsidR="00430D1E" w:rsidRPr="006C7BAC" w:rsidRDefault="00430D1E" w:rsidP="00430D1E">
      <w:pPr>
        <w:pStyle w:val="NormalWeb"/>
        <w:spacing w:before="0" w:beforeAutospacing="0" w:after="0" w:afterAutospacing="0"/>
        <w:ind w:firstLine="709"/>
        <w:contextualSpacing/>
        <w:jc w:val="both"/>
        <w:rPr>
          <w:rFonts w:ascii="Verdana" w:hAnsi="Verdana" w:cs="Arial"/>
          <w:sz w:val="16"/>
          <w:szCs w:val="16"/>
          <w:lang w:val="es-MX"/>
        </w:rPr>
      </w:pPr>
      <w:r w:rsidRPr="006C7BAC">
        <w:rPr>
          <w:rFonts w:ascii="Verdana" w:hAnsi="Verdana" w:cs="Arial"/>
          <w:sz w:val="16"/>
          <w:szCs w:val="16"/>
          <w:lang w:val="es-MX"/>
        </w:rPr>
        <w:t>[…]</w:t>
      </w:r>
    </w:p>
    <w:p w14:paraId="63ABFF4C" w14:textId="77777777" w:rsidR="00430D1E" w:rsidRPr="006C7BAC" w:rsidRDefault="00430D1E" w:rsidP="00430D1E">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baj"/>
          <w:rFonts w:ascii="Verdana" w:eastAsiaTheme="minorEastAsia" w:hAnsi="Verdana" w:cs="Arial"/>
          <w:sz w:val="16"/>
          <w:szCs w:val="16"/>
          <w:lang w:val="es-MX"/>
        </w:rPr>
        <w:t>Parágrafo.</w:t>
      </w:r>
      <w:r w:rsidRPr="006C7B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C7BAC">
        <w:rPr>
          <w:rFonts w:ascii="Verdana" w:eastAsia="Calibri" w:hAnsi="Verdana" w:cs="Arial"/>
          <w:color w:val="000000"/>
          <w:sz w:val="16"/>
          <w:szCs w:val="16"/>
        </w:rPr>
        <w:t>”</w:t>
      </w:r>
      <w:r w:rsidRPr="006C7BAC">
        <w:rPr>
          <w:rFonts w:ascii="Verdana" w:hAnsi="Verdana" w:cs="Arial"/>
          <w:sz w:val="16"/>
          <w:szCs w:val="16"/>
          <w:lang w:val="es-MX"/>
        </w:rPr>
        <w:t>.</w:t>
      </w:r>
    </w:p>
  </w:footnote>
  <w:footnote w:id="12">
    <w:p w14:paraId="586DE89D" w14:textId="77777777" w:rsidR="00430D1E" w:rsidRPr="006C7BAC" w:rsidRDefault="00430D1E" w:rsidP="00430D1E">
      <w:pPr>
        <w:spacing w:after="0" w:line="240" w:lineRule="auto"/>
        <w:ind w:left="100" w:right="244" w:firstLine="709"/>
        <w:contextualSpacing/>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3">
    <w:p w14:paraId="0B81BF5B" w14:textId="77777777" w:rsidR="00430D1E" w:rsidRPr="006C7BAC" w:rsidRDefault="00430D1E" w:rsidP="00430D1E">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[25] </w:t>
      </w:r>
      <w:r w:rsidRPr="006C7BAC">
        <w:rPr>
          <w:rFonts w:ascii="Verdana" w:hAnsi="Verdana" w:cs="Arial"/>
          <w:sz w:val="16"/>
          <w:szCs w:val="16"/>
        </w:rPr>
        <w:t>Cfr. Consejo de Estado. Sección Tercera. Sentencia de 3 de diciembre de 2007. Radicados: 24.715, 25.206, 25.409, 24.524, 27.834, 25.410, 26.105, 28.244, 31.447 -acumulados-”.</w:t>
      </w:r>
    </w:p>
  </w:footnote>
  <w:footnote w:id="14">
    <w:p w14:paraId="0B96C441" w14:textId="77777777" w:rsidR="00430D1E" w:rsidRPr="006C7BAC" w:rsidRDefault="00430D1E" w:rsidP="00430D1E">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[26] </w:t>
      </w:r>
      <w:r w:rsidRPr="006C7BAC">
        <w:rPr>
          <w:rFonts w:ascii="Verdana" w:hAnsi="Verdana" w:cs="Arial"/>
          <w:sz w:val="16"/>
          <w:szCs w:val="16"/>
        </w:rPr>
        <w:t>Al respecto ver el concepto 1712 de 2 de febrero de 2006. Consejo de Estado Sala de Consulta y Servicio Civil”.</w:t>
      </w:r>
    </w:p>
  </w:footnote>
  <w:footnote w:id="15">
    <w:p w14:paraId="31F39BF3" w14:textId="77777777" w:rsidR="00430D1E" w:rsidRPr="006C7BAC" w:rsidRDefault="00430D1E" w:rsidP="00430D1E">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6">
    <w:p w14:paraId="69B284CE" w14:textId="77777777" w:rsidR="00430D1E" w:rsidRPr="006C7BAC" w:rsidRDefault="00430D1E" w:rsidP="00430D1E">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Artículo 2. </w:t>
      </w:r>
    </w:p>
  </w:footnote>
  <w:footnote w:id="17">
    <w:p w14:paraId="009DB047" w14:textId="77777777" w:rsidR="00430D1E" w:rsidRPr="006C7BAC" w:rsidRDefault="00430D1E" w:rsidP="00430D1E">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i/>
          <w:sz w:val="16"/>
          <w:szCs w:val="16"/>
          <w:lang w:val="es-ES"/>
        </w:rPr>
        <w:t>Ibidem</w:t>
      </w:r>
      <w:r w:rsidRPr="006C7BAC">
        <w:rPr>
          <w:rFonts w:ascii="Verdana" w:hAnsi="Verdana" w:cs="Arial"/>
          <w:sz w:val="16"/>
          <w:szCs w:val="16"/>
          <w:lang w:val="es-ES"/>
        </w:rPr>
        <w:t>.</w:t>
      </w:r>
    </w:p>
  </w:footnote>
  <w:footnote w:id="18">
    <w:p w14:paraId="3C803450" w14:textId="77777777" w:rsidR="00430D1E" w:rsidRPr="006C7BAC" w:rsidRDefault="00430D1E" w:rsidP="00430D1E">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 xml:space="preserve">“[…] A este respecto, cabe recordar que el artículo 860 del Código de Comercio regula la licitación en el derecho privado”. </w:t>
      </w:r>
    </w:p>
  </w:footnote>
  <w:footnote w:id="19">
    <w:p w14:paraId="1D63B476" w14:textId="77777777" w:rsidR="00430D1E" w:rsidRPr="006C7BAC" w:rsidRDefault="00430D1E" w:rsidP="00430D1E">
      <w:pPr>
        <w:shd w:val="clear" w:color="auto" w:fill="FFFFFF"/>
        <w:spacing w:after="0"/>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20">
    <w:p w14:paraId="150ED82E" w14:textId="77777777" w:rsidR="00430D1E" w:rsidRPr="006C7BAC" w:rsidRDefault="00430D1E" w:rsidP="00430D1E">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08 de mayo de 2018. Exp. 2.382. C.P. Álvaro Namén Vargas.</w:t>
      </w:r>
    </w:p>
  </w:footnote>
  <w:footnote w:id="21">
    <w:p w14:paraId="758810DC" w14:textId="77777777" w:rsidR="00430D1E" w:rsidRPr="006C7BAC" w:rsidRDefault="00430D1E" w:rsidP="00430D1E">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2">
    <w:p w14:paraId="7FFBB1F1" w14:textId="77777777" w:rsidR="00430D1E" w:rsidRPr="006C7BAC" w:rsidRDefault="00430D1E" w:rsidP="00430D1E">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 C-1153 de 2005 M.P. Marco Gerardo Monroy Cabra. </w:t>
      </w:r>
    </w:p>
  </w:footnote>
  <w:footnote w:id="23">
    <w:p w14:paraId="75E66BA6" w14:textId="77777777" w:rsidR="00430D1E" w:rsidRPr="008B7171" w:rsidRDefault="00430D1E" w:rsidP="00430D1E">
      <w:pPr>
        <w:spacing w:after="0" w:line="240" w:lineRule="auto"/>
        <w:ind w:firstLine="708"/>
        <w:jc w:val="both"/>
        <w:rPr>
          <w:rFonts w:ascii="Verdana" w:hAnsi="Verdana" w:cs="Arial"/>
          <w:color w:val="000000" w:themeColor="text1"/>
          <w:sz w:val="15"/>
          <w:szCs w:val="15"/>
        </w:rPr>
      </w:pPr>
      <w:r w:rsidRPr="008B7171">
        <w:rPr>
          <w:rStyle w:val="Refdenotaalpie"/>
          <w:rFonts w:ascii="Verdana" w:hAnsi="Verdana" w:cs="Arial"/>
          <w:sz w:val="15"/>
          <w:szCs w:val="15"/>
        </w:rPr>
        <w:footnoteRef/>
      </w:r>
      <w:r w:rsidRPr="008B7171">
        <w:rPr>
          <w:rFonts w:ascii="Verdana" w:hAnsi="Verdana" w:cs="Arial"/>
          <w:sz w:val="15"/>
          <w:szCs w:val="15"/>
        </w:rPr>
        <w:t xml:space="preserve"> </w:t>
      </w:r>
      <w:r w:rsidRPr="008B7171">
        <w:rPr>
          <w:rFonts w:ascii="Verdana" w:hAnsi="Verdana" w:cs="Arial"/>
          <w:color w:val="000000" w:themeColor="text1"/>
          <w:sz w:val="15"/>
          <w:szCs w:val="15"/>
        </w:rPr>
        <w:t xml:space="preserve">Corte Constitucional. Sentencia C-183 de 2003. Sala Plena. M.P. Alfredo Beltrán Sierra. </w:t>
      </w:r>
    </w:p>
  </w:footnote>
  <w:footnote w:id="24">
    <w:p w14:paraId="23BCBE4F" w14:textId="77777777" w:rsidR="00430D1E" w:rsidRPr="008B7171" w:rsidRDefault="00430D1E" w:rsidP="00430D1E">
      <w:pPr>
        <w:pStyle w:val="Textonotapie"/>
        <w:ind w:firstLine="708"/>
        <w:jc w:val="both"/>
        <w:rPr>
          <w:rFonts w:ascii="Verdana" w:hAnsi="Verdana" w:cs="Arial"/>
          <w:sz w:val="15"/>
          <w:szCs w:val="15"/>
          <w:lang w:val="es-ES"/>
        </w:rPr>
      </w:pPr>
      <w:r w:rsidRPr="008B7171">
        <w:rPr>
          <w:rStyle w:val="Refdenotaalpie"/>
          <w:rFonts w:ascii="Verdana" w:hAnsi="Verdana" w:cs="Arial"/>
          <w:sz w:val="15"/>
          <w:szCs w:val="15"/>
        </w:rPr>
        <w:footnoteRef/>
      </w:r>
      <w:r w:rsidRPr="008B7171">
        <w:rPr>
          <w:rFonts w:ascii="Verdana" w:hAnsi="Verdana" w:cs="Arial"/>
          <w:sz w:val="15"/>
          <w:szCs w:val="15"/>
        </w:rPr>
        <w:t xml:space="preserve"> </w:t>
      </w:r>
      <w:r w:rsidRPr="008B7171">
        <w:rPr>
          <w:rFonts w:ascii="Verdana" w:hAnsi="Verdana" w:cs="Arial"/>
          <w:sz w:val="15"/>
          <w:szCs w:val="15"/>
          <w:lang w:val="es-ES"/>
        </w:rPr>
        <w:t>Ibídem</w:t>
      </w:r>
    </w:p>
  </w:footnote>
  <w:footnote w:id="25">
    <w:p w14:paraId="1ADDB20C" w14:textId="77777777" w:rsidR="00430D1E" w:rsidRPr="008B7171" w:rsidRDefault="00430D1E" w:rsidP="00430D1E">
      <w:pPr>
        <w:pStyle w:val="Textonotapie"/>
        <w:ind w:firstLine="708"/>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Consejo de Estado. Sección Tercera, Subsección B. Sentencia del 30 de abril de 2012. C.P. Ruth Stella Correa Palacio. Exp. 21.699.</w:t>
      </w:r>
    </w:p>
  </w:footnote>
  <w:footnote w:id="26">
    <w:p w14:paraId="46042590" w14:textId="77777777" w:rsidR="00430D1E" w:rsidRPr="008B7171" w:rsidRDefault="00430D1E" w:rsidP="00430D1E">
      <w:pPr>
        <w:spacing w:after="0" w:line="240" w:lineRule="auto"/>
        <w:ind w:firstLine="708"/>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Consejo de Estado. Sección Tercera, Subsección A. Sentencia del 19 de julio de 2018, C.P. Carlos Alberto Zambrano Barrera. Exp. 36.711.</w:t>
      </w:r>
    </w:p>
  </w:footnote>
  <w:footnote w:id="27">
    <w:p w14:paraId="2821EFCA" w14:textId="77777777" w:rsidR="00430D1E" w:rsidRPr="008B7171" w:rsidRDefault="00430D1E" w:rsidP="00430D1E">
      <w:pPr>
        <w:spacing w:after="0" w:line="240" w:lineRule="auto"/>
        <w:ind w:firstLine="708"/>
        <w:jc w:val="both"/>
        <w:rPr>
          <w:rFonts w:ascii="Verdana" w:hAnsi="Verdana" w:cs="Arial"/>
          <w:color w:val="000000" w:themeColor="text1"/>
          <w:sz w:val="15"/>
          <w:szCs w:val="15"/>
        </w:rPr>
      </w:pPr>
      <w:r w:rsidRPr="008B7171">
        <w:rPr>
          <w:rStyle w:val="Refdenotaalpie"/>
          <w:rFonts w:ascii="Verdana" w:hAnsi="Verdana" w:cs="Arial"/>
          <w:color w:val="000000" w:themeColor="text1"/>
          <w:sz w:val="15"/>
          <w:szCs w:val="15"/>
        </w:rPr>
        <w:footnoteRef/>
      </w:r>
      <w:r w:rsidRPr="008B7171">
        <w:rPr>
          <w:rFonts w:ascii="Verdana" w:hAnsi="Verdana" w:cs="Arial"/>
          <w:color w:val="000000" w:themeColor="text1"/>
          <w:sz w:val="15"/>
          <w:szCs w:val="15"/>
        </w:rPr>
        <w:t xml:space="preserve"> Corte Constitucional. Sentencia C-183 de 2003.  M.P. Alfredo Beltrán Sierra. </w:t>
      </w:r>
    </w:p>
  </w:footnote>
  <w:footnote w:id="28">
    <w:p w14:paraId="466094FA" w14:textId="77777777" w:rsidR="00AE1D92" w:rsidRPr="000E6C92" w:rsidRDefault="00AE1D92" w:rsidP="00AE1D92">
      <w:pPr>
        <w:pStyle w:val="Textonotapie"/>
        <w:ind w:firstLine="708"/>
        <w:jc w:val="both"/>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PINO RICCI, Jorge. Régimen jurídico de los contratos estatales. Bogotá: Universidad Externado de Colombia, 2005. p. 264.</w:t>
      </w:r>
    </w:p>
  </w:footnote>
  <w:footnote w:id="29">
    <w:p w14:paraId="0240065A" w14:textId="77777777" w:rsidR="00AE1D92" w:rsidRPr="000E6C92" w:rsidRDefault="00AE1D92" w:rsidP="00AE1D92">
      <w:pPr>
        <w:pStyle w:val="Textonotapie"/>
        <w:ind w:firstLine="708"/>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DÁVILA VINUEZA, Régimen jurídico… Ob. cit., p. 505.</w:t>
      </w:r>
    </w:p>
  </w:footnote>
  <w:footnote w:id="30">
    <w:p w14:paraId="6D4061C4" w14:textId="77777777" w:rsidR="00AE1D92" w:rsidRPr="000E6C92" w:rsidRDefault="00AE1D92" w:rsidP="00AE1D92">
      <w:pPr>
        <w:pStyle w:val="Textonotapie"/>
        <w:ind w:firstLine="708"/>
        <w:jc w:val="both"/>
        <w:rPr>
          <w:rFonts w:ascii="Verdana" w:hAnsi="Verdana"/>
          <w:sz w:val="14"/>
          <w:szCs w:val="14"/>
          <w:lang w:val="es-CO"/>
        </w:rPr>
      </w:pPr>
      <w:r w:rsidRPr="000E6C92">
        <w:rPr>
          <w:rStyle w:val="Refdenotaalpie"/>
          <w:rFonts w:ascii="Verdana" w:hAnsi="Verdana"/>
          <w:sz w:val="14"/>
          <w:szCs w:val="14"/>
        </w:rPr>
        <w:footnoteRef/>
      </w:r>
      <w:r w:rsidRPr="000E6C92">
        <w:rPr>
          <w:rFonts w:ascii="Verdana" w:hAnsi="Verdana"/>
          <w:sz w:val="14"/>
          <w:szCs w:val="14"/>
        </w:rPr>
        <w:t xml:space="preserve"> </w:t>
      </w:r>
      <w:r w:rsidRPr="000E6C92">
        <w:rPr>
          <w:rFonts w:ascii="Verdana" w:hAnsi="Verdana"/>
          <w:i/>
          <w:iCs/>
          <w:sz w:val="14"/>
          <w:szCs w:val="14"/>
        </w:rPr>
        <w:t>Ibidem</w:t>
      </w:r>
      <w:r w:rsidRPr="000E6C92">
        <w:rPr>
          <w:rFonts w:ascii="Verdana" w:hAnsi="Verdana"/>
          <w:sz w:val="14"/>
          <w:szCs w:val="14"/>
        </w:rPr>
        <w:t xml:space="preserve">. </w:t>
      </w:r>
    </w:p>
  </w:footnote>
  <w:footnote w:id="31">
    <w:p w14:paraId="59F38973" w14:textId="77777777" w:rsidR="00AE1D92" w:rsidRPr="000E6C92" w:rsidRDefault="00AE1D92" w:rsidP="00AE1D92">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GONZÁLEZ LÓPEZ, Edgar. Los contratos estatales. El proceso de selección y la modificación de los contratos. Bógotá: Universidad Externado de Colombia – Tirant lo Blanch, 2023. p. 564.</w:t>
      </w:r>
    </w:p>
  </w:footnote>
  <w:footnote w:id="32">
    <w:p w14:paraId="6EECEB3F" w14:textId="77777777" w:rsidR="00AE1D92" w:rsidRPr="000E6C92" w:rsidRDefault="00AE1D92" w:rsidP="00AE1D92">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RICO PUERTA, Luis Alonso. Teoría general y práctica de la contratación estatal. Volumen II. Decimotercera edición. Bogotá: Grupo Editorial Ibañez, 2025. p. 1142.</w:t>
      </w:r>
    </w:p>
  </w:footnote>
  <w:footnote w:id="33">
    <w:p w14:paraId="1209D45D" w14:textId="77777777" w:rsidR="00AE1D92" w:rsidRPr="000E6C92" w:rsidRDefault="00AE1D92" w:rsidP="00AE1D92">
      <w:pPr>
        <w:pStyle w:val="Textonotapie"/>
        <w:ind w:firstLine="708"/>
        <w:jc w:val="both"/>
        <w:rPr>
          <w:rFonts w:ascii="Verdana" w:hAnsi="Verdana"/>
          <w:sz w:val="14"/>
          <w:szCs w:val="14"/>
        </w:rPr>
      </w:pPr>
      <w:r w:rsidRPr="000E6C92">
        <w:rPr>
          <w:rStyle w:val="Refdenotaalpie"/>
          <w:rFonts w:ascii="Verdana" w:hAnsi="Verdana"/>
          <w:sz w:val="14"/>
          <w:szCs w:val="14"/>
        </w:rPr>
        <w:footnoteRef/>
      </w:r>
      <w:r w:rsidRPr="000E6C92">
        <w:rPr>
          <w:rFonts w:ascii="Verdana" w:hAnsi="Verdana"/>
          <w:sz w:val="14"/>
          <w:szCs w:val="14"/>
        </w:rPr>
        <w:t xml:space="preserve"> Por ejemplo, para RODRÍGUEZ TAMAYO “[…] resulta inútil la tramitación de convocatorias públicas que hacen algunas entidades estatales, cuando van a entregar en arrendamiento bienes inmuebles de su propiedad, pues en esos casos, el ordenamiento jurídico no exige tal procedimiento y, por el contrario, ello se presta para conflictos con los interesados que concurren a dichos llamados. Tanto la ley como el reglamento, dieron flexibilidad a la administración, ya sea para obrar como arrendador o como arrendatario, obviamente, teniendo como límite los precios del mercado y obrar en sentido contrario, en la práctica, implica regular aspectos no autorizados por la ley” (RODRÍGUEZ TAMAYO, Mauricio Fernando. Los contratos estatales en Colombia. Bogotá: Tirant lo Blanch, 2022. p. 199).</w:t>
      </w:r>
    </w:p>
    <w:p w14:paraId="1E24ACA8" w14:textId="77777777" w:rsidR="00AE1D92" w:rsidRPr="000E6C92" w:rsidRDefault="00AE1D92" w:rsidP="00AE1D92">
      <w:pPr>
        <w:pStyle w:val="Textonotapie"/>
        <w:ind w:firstLine="708"/>
        <w:jc w:val="both"/>
        <w:rPr>
          <w:rFonts w:ascii="Verdana" w:hAnsi="Verdana"/>
          <w:sz w:val="14"/>
          <w:szCs w:val="14"/>
        </w:rPr>
      </w:pPr>
      <w:r w:rsidRPr="000E6C92">
        <w:rPr>
          <w:rFonts w:ascii="Verdana" w:hAnsi="Verdana"/>
          <w:sz w:val="14"/>
          <w:szCs w:val="14"/>
        </w:rPr>
        <w:t>En contraste, para SÁNCHEZ ESTRADA “[…] el legislador desaprovechó la oportunidad de corregir el yerro que viene desde los decretos 150 de 1976 y 222 de 1983, de habilitar la contratación directa tanto cuando la entidad estatal es arrendataria como cuando funge de arrendadora. En efecto, en la primera de las hipótesis está justificada la causal, pues cuando un ente estatal busca un inmueble el factor menos importante termina siendo el precio. La ubicación, funcionalidad, capacidad, etc., son criterios determinantes y muy difíciles de evaluar en un trámite licitatorio. No ocurre lo mismo cuando se trata de arrendar bienes de propiedad el Estado. En ese caso nada le impide a la administración adelantar un proceso de selección en el que escoja a quien, cumpliendo unas exigencias mínimas, le ofrezca pagar el mejor canon. De hecho, la aplicación amplia de la causal ha propiciado el favoritismo a la hora de arrendar bienes del Estado con privilegiada ubicación, no sólo en los entes territoriales.</w:t>
      </w:r>
    </w:p>
    <w:p w14:paraId="00007DB4" w14:textId="77777777" w:rsidR="00AE1D92" w:rsidRPr="000E6C92" w:rsidRDefault="00AE1D92" w:rsidP="00AE1D92">
      <w:pPr>
        <w:pStyle w:val="Textonotapie"/>
        <w:ind w:firstLine="708"/>
        <w:jc w:val="both"/>
        <w:rPr>
          <w:rFonts w:ascii="Verdana" w:hAnsi="Verdana"/>
          <w:sz w:val="14"/>
          <w:szCs w:val="14"/>
        </w:rPr>
      </w:pPr>
      <w:r w:rsidRPr="000E6C92">
        <w:rPr>
          <w:rFonts w:ascii="Verdana" w:hAnsi="Verdana"/>
          <w:sz w:val="14"/>
          <w:szCs w:val="14"/>
        </w:rPr>
        <w:t>A manera de ejemplo, recordemos los recientes contratos de arrendamiento suscritos por el Incoder-Ministerio de Agricultura con los ocupantes ilegales de las Islas del Rosario, a quienes se les ‘sancionó’ su infracción celebrando con ellos, de forma directa y a precios risibles, contratos de arrendamiento. Sin duda, de haberse efectuado convocatoria pública, el Estado hubiera conseguido mejores contratistas. No entendemos cómo para los casos de compra y venta se tienen previstos procedimientos distintos y no ocurre lo mismo cuando se toman o dan en arriendo inmuebles de propiedad de las entidades del Estado” (ESTRADA SÁNCHEZ, Juan Pablo. Contratación directa, convenios interadministrativos y contratos de cooperación internacional. En: Contratación estatal. Estudios sobre la reforma del Estatuto Contractual Ley 1150 de 2007. Bogotá: Universidad Externado de Colombia, 2009. p. 315).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1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0126"/>
    <w:rsid w:val="000A683E"/>
    <w:rsid w:val="000A7BAC"/>
    <w:rsid w:val="000B19B9"/>
    <w:rsid w:val="000D0334"/>
    <w:rsid w:val="000D5DA7"/>
    <w:rsid w:val="000F6486"/>
    <w:rsid w:val="00116940"/>
    <w:rsid w:val="00125105"/>
    <w:rsid w:val="00127233"/>
    <w:rsid w:val="0013418F"/>
    <w:rsid w:val="0015699B"/>
    <w:rsid w:val="00172A22"/>
    <w:rsid w:val="001A33BF"/>
    <w:rsid w:val="001E4177"/>
    <w:rsid w:val="001F0B24"/>
    <w:rsid w:val="001F7DC6"/>
    <w:rsid w:val="0022244C"/>
    <w:rsid w:val="002229E5"/>
    <w:rsid w:val="0022400B"/>
    <w:rsid w:val="002332DD"/>
    <w:rsid w:val="002421BB"/>
    <w:rsid w:val="0025796E"/>
    <w:rsid w:val="002707A2"/>
    <w:rsid w:val="00282414"/>
    <w:rsid w:val="002951A0"/>
    <w:rsid w:val="002962BC"/>
    <w:rsid w:val="002A093D"/>
    <w:rsid w:val="002A0DD0"/>
    <w:rsid w:val="002A49AC"/>
    <w:rsid w:val="002A64FD"/>
    <w:rsid w:val="002B41A4"/>
    <w:rsid w:val="002C7A84"/>
    <w:rsid w:val="002E2BF8"/>
    <w:rsid w:val="002E4FD9"/>
    <w:rsid w:val="002F1C04"/>
    <w:rsid w:val="0030657A"/>
    <w:rsid w:val="00310144"/>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27AB5"/>
    <w:rsid w:val="00430D1E"/>
    <w:rsid w:val="0044528D"/>
    <w:rsid w:val="00466E39"/>
    <w:rsid w:val="00480854"/>
    <w:rsid w:val="004835E6"/>
    <w:rsid w:val="004A1847"/>
    <w:rsid w:val="004A305D"/>
    <w:rsid w:val="004F21C4"/>
    <w:rsid w:val="004F685F"/>
    <w:rsid w:val="00516612"/>
    <w:rsid w:val="005438FD"/>
    <w:rsid w:val="005566E8"/>
    <w:rsid w:val="00574867"/>
    <w:rsid w:val="00591460"/>
    <w:rsid w:val="005A65E0"/>
    <w:rsid w:val="005B2FD1"/>
    <w:rsid w:val="005C3777"/>
    <w:rsid w:val="005C5CDC"/>
    <w:rsid w:val="005D476C"/>
    <w:rsid w:val="005D7DFC"/>
    <w:rsid w:val="006200BF"/>
    <w:rsid w:val="006219F8"/>
    <w:rsid w:val="006302F7"/>
    <w:rsid w:val="006369A8"/>
    <w:rsid w:val="00646B9F"/>
    <w:rsid w:val="00665260"/>
    <w:rsid w:val="00665D70"/>
    <w:rsid w:val="00666692"/>
    <w:rsid w:val="006900D9"/>
    <w:rsid w:val="00694D1F"/>
    <w:rsid w:val="006A7320"/>
    <w:rsid w:val="006B3DE3"/>
    <w:rsid w:val="006C48AE"/>
    <w:rsid w:val="006E2726"/>
    <w:rsid w:val="00706C16"/>
    <w:rsid w:val="00726214"/>
    <w:rsid w:val="007340C3"/>
    <w:rsid w:val="00743C3E"/>
    <w:rsid w:val="0075235A"/>
    <w:rsid w:val="00756841"/>
    <w:rsid w:val="007649AB"/>
    <w:rsid w:val="00771D0C"/>
    <w:rsid w:val="007833AC"/>
    <w:rsid w:val="007A25FB"/>
    <w:rsid w:val="007B268C"/>
    <w:rsid w:val="007B7171"/>
    <w:rsid w:val="007C0C0F"/>
    <w:rsid w:val="007C3DC2"/>
    <w:rsid w:val="007E1095"/>
    <w:rsid w:val="007E5497"/>
    <w:rsid w:val="007E56A0"/>
    <w:rsid w:val="00806F5F"/>
    <w:rsid w:val="00820278"/>
    <w:rsid w:val="008218CB"/>
    <w:rsid w:val="008258C9"/>
    <w:rsid w:val="00844AE9"/>
    <w:rsid w:val="00867F95"/>
    <w:rsid w:val="00873234"/>
    <w:rsid w:val="008843B6"/>
    <w:rsid w:val="00891928"/>
    <w:rsid w:val="008A446D"/>
    <w:rsid w:val="008B25F1"/>
    <w:rsid w:val="008B3162"/>
    <w:rsid w:val="008D180B"/>
    <w:rsid w:val="008E6EE7"/>
    <w:rsid w:val="008F0EA7"/>
    <w:rsid w:val="009167F9"/>
    <w:rsid w:val="00923EEF"/>
    <w:rsid w:val="009419F9"/>
    <w:rsid w:val="00944AB0"/>
    <w:rsid w:val="0095467C"/>
    <w:rsid w:val="0095685E"/>
    <w:rsid w:val="00961B09"/>
    <w:rsid w:val="00965334"/>
    <w:rsid w:val="0097093E"/>
    <w:rsid w:val="009A0DFA"/>
    <w:rsid w:val="009A1C6F"/>
    <w:rsid w:val="009A7184"/>
    <w:rsid w:val="009B2D26"/>
    <w:rsid w:val="009C71FA"/>
    <w:rsid w:val="009C72E7"/>
    <w:rsid w:val="009C7F7E"/>
    <w:rsid w:val="009D3058"/>
    <w:rsid w:val="009F3A13"/>
    <w:rsid w:val="00A122D3"/>
    <w:rsid w:val="00A14468"/>
    <w:rsid w:val="00A17F13"/>
    <w:rsid w:val="00A20739"/>
    <w:rsid w:val="00A23AF9"/>
    <w:rsid w:val="00A33C78"/>
    <w:rsid w:val="00A85508"/>
    <w:rsid w:val="00AB0ADB"/>
    <w:rsid w:val="00AC7B28"/>
    <w:rsid w:val="00AE1D92"/>
    <w:rsid w:val="00AE4CB7"/>
    <w:rsid w:val="00B00C0E"/>
    <w:rsid w:val="00B01B1A"/>
    <w:rsid w:val="00B0381D"/>
    <w:rsid w:val="00B26D60"/>
    <w:rsid w:val="00B44A47"/>
    <w:rsid w:val="00B72CD3"/>
    <w:rsid w:val="00B72FFF"/>
    <w:rsid w:val="00B73724"/>
    <w:rsid w:val="00BB3092"/>
    <w:rsid w:val="00BC3D36"/>
    <w:rsid w:val="00BD54A6"/>
    <w:rsid w:val="00BD7F72"/>
    <w:rsid w:val="00BF7425"/>
    <w:rsid w:val="00C04FB3"/>
    <w:rsid w:val="00C05472"/>
    <w:rsid w:val="00C11D8B"/>
    <w:rsid w:val="00C15139"/>
    <w:rsid w:val="00C330EB"/>
    <w:rsid w:val="00C50D69"/>
    <w:rsid w:val="00C5365C"/>
    <w:rsid w:val="00C754BE"/>
    <w:rsid w:val="00C76B1C"/>
    <w:rsid w:val="00C925AC"/>
    <w:rsid w:val="00CB6357"/>
    <w:rsid w:val="00CB770F"/>
    <w:rsid w:val="00CC07EF"/>
    <w:rsid w:val="00CC1B26"/>
    <w:rsid w:val="00D01126"/>
    <w:rsid w:val="00D3579E"/>
    <w:rsid w:val="00D361FD"/>
    <w:rsid w:val="00D3740B"/>
    <w:rsid w:val="00D423A2"/>
    <w:rsid w:val="00D44E26"/>
    <w:rsid w:val="00D520D8"/>
    <w:rsid w:val="00D62E4E"/>
    <w:rsid w:val="00D63AC2"/>
    <w:rsid w:val="00D7383B"/>
    <w:rsid w:val="00D7788A"/>
    <w:rsid w:val="00DA231B"/>
    <w:rsid w:val="00DB199D"/>
    <w:rsid w:val="00DB607E"/>
    <w:rsid w:val="00DC39FC"/>
    <w:rsid w:val="00DD106B"/>
    <w:rsid w:val="00DF5254"/>
    <w:rsid w:val="00E02524"/>
    <w:rsid w:val="00E16408"/>
    <w:rsid w:val="00E20894"/>
    <w:rsid w:val="00E245AB"/>
    <w:rsid w:val="00E2764C"/>
    <w:rsid w:val="00E27F2E"/>
    <w:rsid w:val="00E32AA3"/>
    <w:rsid w:val="00E50AFE"/>
    <w:rsid w:val="00E75C92"/>
    <w:rsid w:val="00E771DC"/>
    <w:rsid w:val="00E8772A"/>
    <w:rsid w:val="00E90F6B"/>
    <w:rsid w:val="00E92C27"/>
    <w:rsid w:val="00EA0E3D"/>
    <w:rsid w:val="00EC38A7"/>
    <w:rsid w:val="00EE1AA8"/>
    <w:rsid w:val="00F01770"/>
    <w:rsid w:val="00F23FEA"/>
    <w:rsid w:val="00F31EDC"/>
    <w:rsid w:val="00F462B3"/>
    <w:rsid w:val="00F5664F"/>
    <w:rsid w:val="00F666C4"/>
    <w:rsid w:val="00F66B5B"/>
    <w:rsid w:val="00F76AFC"/>
    <w:rsid w:val="00F90162"/>
    <w:rsid w:val="00FA47C0"/>
    <w:rsid w:val="00FB5DD1"/>
    <w:rsid w:val="00FB71C0"/>
    <w:rsid w:val="00FC2B5D"/>
    <w:rsid w:val="00FE2C3D"/>
    <w:rsid w:val="00FF1449"/>
    <w:rsid w:val="00FF4C5D"/>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30D1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30D1E"/>
    <w:rPr>
      <w:rFonts w:ascii="Geomanist Light" w:hAnsi="Geomanist Light"/>
      <w:lang w:val="es-ES"/>
    </w:rPr>
  </w:style>
  <w:style w:type="character" w:customStyle="1" w:styleId="s15">
    <w:name w:val="s15"/>
    <w:basedOn w:val="Fuentedeprrafopredeter"/>
    <w:rsid w:val="00430D1E"/>
  </w:style>
  <w:style w:type="character" w:customStyle="1" w:styleId="NormalWebCar">
    <w:name w:val="Normal (Web) Car"/>
    <w:link w:val="NormalWeb"/>
    <w:uiPriority w:val="99"/>
    <w:locked/>
    <w:rsid w:val="00430D1E"/>
    <w:rPr>
      <w:rFonts w:ascii="Times New Roman" w:eastAsia="Times New Roman" w:hAnsi="Times New Roman" w:cs="Times New Roman"/>
      <w:sz w:val="24"/>
      <w:szCs w:val="24"/>
      <w:lang w:eastAsia="es-CO"/>
    </w:rPr>
  </w:style>
  <w:style w:type="character" w:customStyle="1" w:styleId="baj">
    <w:name w:val="b_aj"/>
    <w:basedOn w:val="Fuentedeprrafopredeter"/>
    <w:rsid w:val="00430D1E"/>
  </w:style>
  <w:style w:type="paragraph" w:styleId="Textoindependiente">
    <w:name w:val="Body Text"/>
    <w:basedOn w:val="Normal"/>
    <w:link w:val="TextoindependienteCar"/>
    <w:uiPriority w:val="1"/>
    <w:unhideWhenUsed/>
    <w:qFormat/>
    <w:rsid w:val="002F1C04"/>
    <w:pPr>
      <w:spacing w:after="120"/>
    </w:pPr>
  </w:style>
  <w:style w:type="character" w:customStyle="1" w:styleId="TextoindependienteCar">
    <w:name w:val="Texto independiente Car"/>
    <w:basedOn w:val="Fuentedeprrafopredeter"/>
    <w:link w:val="Textoindependiente"/>
    <w:uiPriority w:val="1"/>
    <w:rsid w:val="002F1C04"/>
  </w:style>
  <w:style w:type="character" w:styleId="Fuerte">
    <w:name w:val="Strong"/>
    <w:basedOn w:val="Fuentedeprrafopredeter"/>
    <w:uiPriority w:val="22"/>
    <w:qFormat/>
    <w:rsid w:val="002F1C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997F917-713D-4303-BC87-1655AE51D6B4}"/>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41</TotalTime>
  <Pages>23</Pages>
  <Words>7340</Words>
  <Characters>39198</Characters>
  <Application>Microsoft Office Word</Application>
  <DocSecurity>0</DocSecurity>
  <Lines>799</Lines>
  <Paragraphs>166</Paragraphs>
  <ScaleCrop>false</ScaleCrop>
  <Company/>
  <LinksUpToDate>false</LinksUpToDate>
  <CharactersWithSpaces>46372</CharactersWithSpaces>
  <SharedDoc>false</SharedDoc>
  <HLinks>
    <vt:vector size="48"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7012426</vt:i4>
      </vt:variant>
      <vt:variant>
        <vt:i4>0</vt:i4>
      </vt:variant>
      <vt:variant>
        <vt:i4>0</vt:i4>
      </vt:variant>
      <vt:variant>
        <vt:i4>5</vt:i4>
      </vt:variant>
      <vt:variant>
        <vt:lpwstr>mailto:asesoriaslegalesgrupo@gmail.com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Natalia Montoya Jiménez</cp:lastModifiedBy>
  <cp:revision>23</cp:revision>
  <cp:lastPrinted>2023-01-10T21:18:00Z</cp:lastPrinted>
  <dcterms:created xsi:type="dcterms:W3CDTF">2026-03-27T21:21:00Z</dcterms:created>
  <dcterms:modified xsi:type="dcterms:W3CDTF">2026-04-07T14:41:00Z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