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882D21" w14:textId="77777777" w:rsidR="002C00CC" w:rsidRPr="002E294E" w:rsidRDefault="002C00CC" w:rsidP="002C00CC">
      <w:pPr>
        <w:spacing w:after="0" w:line="240" w:lineRule="auto"/>
        <w:contextualSpacing/>
        <w:jc w:val="both"/>
        <w:rPr>
          <w:rFonts w:ascii="Verdana" w:eastAsia="Calibri" w:hAnsi="Verdana" w:cs="Arial"/>
          <w:b/>
          <w:lang w:val="es-MX" w:eastAsia="es-MX"/>
        </w:rPr>
      </w:pPr>
      <w:r w:rsidRPr="002E294E">
        <w:rPr>
          <w:rFonts w:ascii="Verdana" w:eastAsia="Calibri" w:hAnsi="Verdana" w:cs="Arial"/>
          <w:b/>
          <w:lang w:val="es-MX" w:eastAsia="es-MX"/>
        </w:rPr>
        <w:t xml:space="preserve">LEY DE GARANTÍAS ELECTORALES – Naturaleza jurídica </w:t>
      </w:r>
    </w:p>
    <w:p w14:paraId="7C383169" w14:textId="77777777" w:rsidR="002C00CC" w:rsidRPr="002E294E" w:rsidRDefault="002C00CC" w:rsidP="002C00CC">
      <w:pPr>
        <w:spacing w:after="0" w:line="240" w:lineRule="auto"/>
        <w:contextualSpacing/>
        <w:jc w:val="both"/>
        <w:rPr>
          <w:rFonts w:ascii="Verdana" w:eastAsia="Calibri" w:hAnsi="Verdana" w:cs="Arial"/>
          <w:b/>
          <w:sz w:val="20"/>
          <w:szCs w:val="20"/>
          <w:lang w:val="es-MX" w:eastAsia="es-MX"/>
        </w:rPr>
      </w:pPr>
    </w:p>
    <w:p w14:paraId="12CC94F7" w14:textId="77777777" w:rsidR="002C00CC" w:rsidRPr="002E294E" w:rsidRDefault="002C00CC" w:rsidP="002C00CC">
      <w:pPr>
        <w:spacing w:after="0" w:line="240" w:lineRule="auto"/>
        <w:contextualSpacing/>
        <w:jc w:val="both"/>
        <w:rPr>
          <w:rFonts w:ascii="Verdana" w:eastAsia="Times New Roman" w:hAnsi="Verdana" w:cs="Arial"/>
          <w:bCs/>
          <w:sz w:val="20"/>
          <w:szCs w:val="20"/>
          <w:lang w:val="es-MX" w:eastAsia="es-CO"/>
        </w:rPr>
      </w:pPr>
      <w:r w:rsidRPr="002E294E">
        <w:rPr>
          <w:rFonts w:ascii="Verdana" w:eastAsia="Times New Roman" w:hAnsi="Verdana" w:cs="Arial"/>
          <w:bCs/>
          <w:sz w:val="20"/>
          <w:szCs w:val="20"/>
          <w:lang w:val="es-MX" w:eastAsia="es-CO"/>
        </w:rPr>
        <w:t>[…]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la citada ley introduce limitaciones para realizar nombramientos, postulaciones, contrataciones o cualquier otro tipo de actividad que implique destinación de recursos públicos bajo el devenir propio de las entidades estatales.</w:t>
      </w:r>
    </w:p>
    <w:p w14:paraId="4D7B791C" w14:textId="77777777" w:rsidR="002C00CC" w:rsidRPr="002E294E" w:rsidRDefault="002C00CC" w:rsidP="002C00CC">
      <w:pPr>
        <w:spacing w:after="0"/>
        <w:jc w:val="both"/>
        <w:rPr>
          <w:rFonts w:ascii="Verdana" w:eastAsia="Verdana" w:hAnsi="Verdana" w:cs="Verdana"/>
          <w:b/>
          <w:color w:val="ED7D31" w:themeColor="accent2"/>
          <w:highlight w:val="lightGray"/>
          <w:lang w:val="es-MX"/>
        </w:rPr>
      </w:pPr>
    </w:p>
    <w:p w14:paraId="14E1F58D" w14:textId="77777777" w:rsidR="002C00CC" w:rsidRPr="002E294E" w:rsidRDefault="002C00CC" w:rsidP="002C00CC">
      <w:pPr>
        <w:spacing w:after="0" w:line="240" w:lineRule="auto"/>
        <w:contextualSpacing/>
        <w:jc w:val="both"/>
        <w:rPr>
          <w:rFonts w:ascii="Verdana" w:eastAsia="Calibri" w:hAnsi="Verdana" w:cs="Arial"/>
          <w:b/>
          <w:sz w:val="20"/>
          <w:szCs w:val="20"/>
          <w:lang w:val="es-MX" w:eastAsia="es-MX"/>
        </w:rPr>
      </w:pPr>
      <w:r w:rsidRPr="002E294E">
        <w:rPr>
          <w:rFonts w:ascii="Verdana" w:eastAsia="Calibri" w:hAnsi="Verdana" w:cs="Arial"/>
          <w:b/>
          <w:lang w:val="es-MX" w:eastAsia="es-MX"/>
        </w:rPr>
        <w:t>LEY DE GARANTÍAS ELECTORALES – Prohibiciones</w:t>
      </w:r>
      <w:r w:rsidRPr="002E294E">
        <w:rPr>
          <w:rFonts w:ascii="Verdana" w:eastAsia="Calibri" w:hAnsi="Verdana" w:cs="Arial"/>
          <w:b/>
          <w:sz w:val="20"/>
          <w:szCs w:val="20"/>
          <w:lang w:val="es-MX" w:eastAsia="es-MX"/>
        </w:rPr>
        <w:t xml:space="preserve"> </w:t>
      </w:r>
    </w:p>
    <w:p w14:paraId="3B95D58D" w14:textId="77777777" w:rsidR="002C00CC" w:rsidRPr="002E294E" w:rsidRDefault="002C00CC" w:rsidP="002C00CC">
      <w:pPr>
        <w:spacing w:after="0" w:line="240" w:lineRule="auto"/>
        <w:contextualSpacing/>
        <w:jc w:val="both"/>
        <w:rPr>
          <w:rFonts w:ascii="Verdana" w:eastAsia="Calibri" w:hAnsi="Verdana" w:cs="Arial"/>
          <w:b/>
          <w:sz w:val="20"/>
          <w:szCs w:val="20"/>
          <w:lang w:val="es-MX" w:eastAsia="es-MX"/>
        </w:rPr>
      </w:pPr>
    </w:p>
    <w:p w14:paraId="7E2E45F4" w14:textId="77777777" w:rsidR="002C00CC" w:rsidRPr="002E294E" w:rsidRDefault="002C00CC" w:rsidP="002C00CC">
      <w:pPr>
        <w:spacing w:after="0" w:line="240" w:lineRule="auto"/>
        <w:contextualSpacing/>
        <w:jc w:val="both"/>
        <w:rPr>
          <w:rFonts w:ascii="Verdana" w:eastAsia="Times New Roman" w:hAnsi="Verdana" w:cs="Arial"/>
          <w:bCs/>
          <w:sz w:val="20"/>
          <w:szCs w:val="20"/>
          <w:lang w:val="es-MX" w:eastAsia="es-CO"/>
        </w:rPr>
      </w:pPr>
      <w:r w:rsidRPr="002E294E">
        <w:rPr>
          <w:rFonts w:ascii="Verdana" w:eastAsia="Times New Roman" w:hAnsi="Verdana" w:cs="Arial"/>
          <w:bCs/>
          <w:sz w:val="20"/>
          <w:szCs w:val="20"/>
          <w:lang w:val="es-MX" w:eastAsia="es-CO"/>
        </w:rPr>
        <w:t>De conformidad con lo anterior, 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p>
    <w:p w14:paraId="503EA9A3" w14:textId="77777777" w:rsidR="002C00CC" w:rsidRPr="002E294E" w:rsidRDefault="002C00CC" w:rsidP="002C00CC">
      <w:pPr>
        <w:spacing w:after="0" w:line="240" w:lineRule="auto"/>
        <w:contextualSpacing/>
        <w:jc w:val="both"/>
        <w:rPr>
          <w:rFonts w:ascii="Verdana" w:eastAsia="Times New Roman" w:hAnsi="Verdana" w:cs="Arial"/>
          <w:bCs/>
          <w:sz w:val="20"/>
          <w:szCs w:val="20"/>
          <w:lang w:val="es-MX" w:eastAsia="es-CO"/>
        </w:rPr>
      </w:pPr>
    </w:p>
    <w:p w14:paraId="0EFE9FC5" w14:textId="77777777" w:rsidR="002C00CC" w:rsidRPr="002E294E" w:rsidRDefault="002C00CC" w:rsidP="002C00CC">
      <w:pPr>
        <w:spacing w:after="0" w:line="240" w:lineRule="auto"/>
        <w:contextualSpacing/>
        <w:jc w:val="both"/>
        <w:rPr>
          <w:rFonts w:ascii="Verdana" w:eastAsia="Times New Roman" w:hAnsi="Verdana" w:cs="Arial"/>
          <w:bCs/>
          <w:sz w:val="20"/>
          <w:szCs w:val="20"/>
          <w:lang w:val="es-MX" w:eastAsia="es-CO"/>
        </w:rPr>
      </w:pPr>
      <w:r w:rsidRPr="002E294E">
        <w:rPr>
          <w:rFonts w:ascii="Verdana" w:eastAsia="Times New Roman" w:hAnsi="Verdana" w:cs="Arial"/>
          <w:bCs/>
          <w:sz w:val="20"/>
          <w:szCs w:val="20"/>
          <w:lang w:val="es-MX" w:eastAsia="es-CO"/>
        </w:rPr>
        <w:t>Por un lado,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5943FBF7" w14:textId="77777777" w:rsidR="002C00CC" w:rsidRPr="002E294E" w:rsidRDefault="002C00CC" w:rsidP="002C00CC">
      <w:pPr>
        <w:spacing w:after="0" w:line="240" w:lineRule="auto"/>
        <w:contextualSpacing/>
        <w:jc w:val="both"/>
        <w:rPr>
          <w:rFonts w:ascii="Verdana" w:eastAsia="Times New Roman" w:hAnsi="Verdana" w:cs="Arial"/>
          <w:bCs/>
          <w:sz w:val="20"/>
          <w:szCs w:val="20"/>
          <w:lang w:val="es-MX" w:eastAsia="es-CO"/>
        </w:rPr>
      </w:pPr>
    </w:p>
    <w:p w14:paraId="202623CD" w14:textId="77777777" w:rsidR="002C00CC" w:rsidRPr="002E294E" w:rsidRDefault="002C00CC" w:rsidP="002C00CC">
      <w:pPr>
        <w:spacing w:after="0" w:line="240" w:lineRule="auto"/>
        <w:contextualSpacing/>
        <w:jc w:val="both"/>
        <w:rPr>
          <w:rFonts w:ascii="Verdana" w:eastAsia="Times New Roman" w:hAnsi="Verdana" w:cs="Arial"/>
          <w:bCs/>
          <w:sz w:val="20"/>
          <w:szCs w:val="20"/>
          <w:lang w:val="es-MX" w:eastAsia="es-CO"/>
        </w:rPr>
      </w:pPr>
      <w:r w:rsidRPr="002E294E">
        <w:rPr>
          <w:rFonts w:ascii="Verdana" w:eastAsia="Times New Roman" w:hAnsi="Verdana" w:cs="Arial"/>
          <w:bCs/>
          <w:sz w:val="20"/>
          <w:szCs w:val="20"/>
          <w:lang w:val="es-MX" w:eastAsia="es-CO"/>
        </w:rPr>
        <w:t>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7238269E" w14:textId="77777777" w:rsidR="002C00CC" w:rsidRPr="002E294E" w:rsidRDefault="002C00CC" w:rsidP="002C00CC">
      <w:pPr>
        <w:spacing w:after="0"/>
        <w:jc w:val="both"/>
        <w:rPr>
          <w:rFonts w:ascii="Verdana" w:eastAsia="Times New Roman" w:hAnsi="Verdana" w:cs="Arial"/>
          <w:sz w:val="20"/>
          <w:szCs w:val="20"/>
          <w:lang w:eastAsia="x-none"/>
        </w:rPr>
      </w:pPr>
    </w:p>
    <w:p w14:paraId="6F2E6F9C" w14:textId="77777777" w:rsidR="002C00CC" w:rsidRPr="002E294E" w:rsidRDefault="002C00CC" w:rsidP="002C00CC">
      <w:pPr>
        <w:spacing w:after="0"/>
        <w:jc w:val="both"/>
        <w:rPr>
          <w:rFonts w:ascii="Verdana" w:eastAsia="Verdana" w:hAnsi="Verdana" w:cs="Verdana"/>
          <w:color w:val="ED7D31" w:themeColor="accent2"/>
          <w:sz w:val="20"/>
          <w:szCs w:val="20"/>
        </w:rPr>
      </w:pPr>
      <w:r w:rsidRPr="002E294E">
        <w:rPr>
          <w:rFonts w:ascii="Verdana" w:eastAsia="Times New Roman" w:hAnsi="Verdana" w:cs="Arial"/>
          <w:b/>
          <w:bCs/>
          <w:lang w:eastAsia="es-CO"/>
        </w:rPr>
        <w:t>CUERPOS DE BOMBEROS VOLUNTARIOS – Servicio público esencial</w:t>
      </w:r>
    </w:p>
    <w:p w14:paraId="637CA962" w14:textId="77777777" w:rsidR="002C00CC" w:rsidRPr="002E294E" w:rsidRDefault="002C00CC" w:rsidP="002C00CC">
      <w:pPr>
        <w:spacing w:after="0"/>
        <w:jc w:val="both"/>
        <w:rPr>
          <w:rFonts w:ascii="Verdana" w:eastAsia="Verdana" w:hAnsi="Verdana" w:cs="Verdana"/>
          <w:color w:val="ED7D31" w:themeColor="accent2"/>
          <w:sz w:val="20"/>
          <w:szCs w:val="20"/>
        </w:rPr>
      </w:pPr>
    </w:p>
    <w:p w14:paraId="407AFC3A" w14:textId="77777777" w:rsidR="002C00CC" w:rsidRPr="002E294E" w:rsidRDefault="002C00CC" w:rsidP="002C00CC">
      <w:pPr>
        <w:spacing w:after="120" w:line="240" w:lineRule="auto"/>
        <w:jc w:val="both"/>
        <w:rPr>
          <w:rFonts w:ascii="Verdana" w:eastAsia="Times New Roman" w:hAnsi="Verdana" w:cs="Arial"/>
          <w:bCs/>
          <w:sz w:val="20"/>
          <w:szCs w:val="20"/>
          <w:lang w:eastAsia="es-CO"/>
        </w:rPr>
      </w:pPr>
      <w:r w:rsidRPr="002E294E">
        <w:rPr>
          <w:rFonts w:ascii="Verdana" w:eastAsia="Times New Roman" w:hAnsi="Verdana" w:cs="Arial"/>
          <w:bCs/>
          <w:sz w:val="20"/>
          <w:szCs w:val="20"/>
          <w:lang w:eastAsia="es-CO"/>
        </w:rPr>
        <w:lastRenderedPageBreak/>
        <w:t xml:space="preserve">[…] Por su parte, el artículo 3 de la Ley 1575 de 2012 establece el marco conceptual y los principios que orientan la organización, dirección y prestación del servicio público esencial de gestión integral del riesgo contra incendio, así como las actividades de rescate y atención de incidentes con materiales peligrosos. En este sentido, precisa los elementos que estructuran la función bomberil y delimita su alcance dentro del sistema de gestión del riesgo, reafirmando su carácter de servicio público a cargo del Estado. Para el efecto, el inciso cuarto de la norma estable que: “Es obligación de los distritos, con asiento en su respectiva jurisdicción y de los municipios la prestación del servicio público esencial a través de los cuerpos de bomberos oficiales o </w:t>
      </w:r>
      <w:r w:rsidRPr="002E294E">
        <w:rPr>
          <w:rFonts w:ascii="Verdana" w:eastAsia="Times New Roman" w:hAnsi="Verdana" w:cs="Arial"/>
          <w:bCs/>
          <w:i/>
          <w:iCs/>
          <w:sz w:val="20"/>
          <w:szCs w:val="20"/>
          <w:lang w:eastAsia="es-CO"/>
        </w:rPr>
        <w:t>mediante la celebración de contratos y/o convenios con los cuerpos de bomberos voluntarios</w:t>
      </w:r>
      <w:r w:rsidRPr="002E294E">
        <w:rPr>
          <w:rFonts w:ascii="Verdana" w:eastAsia="Times New Roman" w:hAnsi="Verdana" w:cs="Arial"/>
          <w:bCs/>
          <w:sz w:val="20"/>
          <w:szCs w:val="20"/>
          <w:lang w:eastAsia="es-CO"/>
        </w:rPr>
        <w:t>” [Énfasis fuera de texto]. […]</w:t>
      </w:r>
    </w:p>
    <w:p w14:paraId="492B1EED" w14:textId="77777777" w:rsidR="002C00CC" w:rsidRPr="002E294E" w:rsidRDefault="002C00CC" w:rsidP="002C00CC">
      <w:pPr>
        <w:spacing w:after="120" w:line="240" w:lineRule="auto"/>
        <w:jc w:val="both"/>
        <w:rPr>
          <w:rFonts w:ascii="Verdana" w:eastAsia="Times New Roman" w:hAnsi="Verdana" w:cs="Arial"/>
          <w:b/>
          <w:lang w:eastAsia="es-CO"/>
        </w:rPr>
      </w:pPr>
      <w:r w:rsidRPr="002E294E">
        <w:rPr>
          <w:rFonts w:ascii="Verdana" w:eastAsia="Times New Roman" w:hAnsi="Verdana" w:cs="Arial"/>
          <w:b/>
          <w:lang w:eastAsia="es-CO"/>
        </w:rPr>
        <w:t>CUERPOS DE BOMBEROS VOLUNTARIOS – Modalidades de selección contratación</w:t>
      </w:r>
    </w:p>
    <w:p w14:paraId="164E4C7B" w14:textId="77777777" w:rsidR="002C00CC" w:rsidRPr="002E294E" w:rsidRDefault="002C00CC" w:rsidP="002C00CC">
      <w:pPr>
        <w:spacing w:after="120" w:line="240" w:lineRule="auto"/>
        <w:jc w:val="both"/>
        <w:rPr>
          <w:rFonts w:ascii="Verdana" w:eastAsia="Times New Roman" w:hAnsi="Verdana" w:cs="Arial"/>
          <w:b/>
          <w:sz w:val="20"/>
          <w:szCs w:val="20"/>
          <w:lang w:eastAsia="es-CO"/>
        </w:rPr>
      </w:pPr>
      <w:r w:rsidRPr="002E294E">
        <w:rPr>
          <w:rFonts w:ascii="Verdana" w:hAnsi="Verdana"/>
          <w:sz w:val="20"/>
          <w:szCs w:val="20"/>
        </w:rPr>
        <w:t xml:space="preserve">[…] </w:t>
      </w:r>
      <w:r w:rsidRPr="002E294E">
        <w:rPr>
          <w:rFonts w:ascii="Verdana" w:eastAsia="Calibri" w:hAnsi="Verdana" w:cs="Arial"/>
          <w:bCs/>
          <w:sz w:val="20"/>
          <w:szCs w:val="20"/>
          <w:lang w:val="es-ES_tradnl" w:eastAsia="x-none"/>
        </w:rPr>
        <w:t>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p>
    <w:p w14:paraId="54D8D11E" w14:textId="77777777" w:rsidR="002C00CC" w:rsidRPr="002E294E" w:rsidRDefault="002C00CC" w:rsidP="002C00CC">
      <w:pPr>
        <w:spacing w:after="120" w:line="240" w:lineRule="auto"/>
        <w:jc w:val="both"/>
        <w:rPr>
          <w:rFonts w:ascii="Verdana" w:eastAsia="Calibri" w:hAnsi="Verdana" w:cs="Arial"/>
          <w:sz w:val="20"/>
          <w:szCs w:val="20"/>
          <w:lang w:val="es-ES_tradnl" w:eastAsia="x-none"/>
        </w:rPr>
      </w:pPr>
      <w:r w:rsidRPr="002E294E">
        <w:rPr>
          <w:rFonts w:ascii="Verdana" w:eastAsia="Calibri" w:hAnsi="Verdana" w:cs="Arial"/>
          <w:bCs/>
          <w:sz w:val="20"/>
          <w:szCs w:val="20"/>
          <w:lang w:val="es-ES_tradnl" w:eastAsia="x-none"/>
        </w:rPr>
        <w:t>De lo anterior se desprende que la restricción aplica, sin perjuicio de las excepciones establecidas en la misma ley, para celebrar cualquier contrato de forma directa, esto es, sin que exista un proceso abierto y competitivo.</w:t>
      </w:r>
      <w:r w:rsidRPr="002E294E">
        <w:rPr>
          <w:rFonts w:ascii="Verdana" w:eastAsia="Calibri" w:hAnsi="Verdana" w:cs="Arial"/>
          <w:sz w:val="20"/>
          <w:szCs w:val="20"/>
          <w:lang w:val="es-ES_tradnl"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pueden las entidades públicas seguir contratando bajo estos sistemas.</w:t>
      </w:r>
    </w:p>
    <w:p w14:paraId="1CDB3BD9" w14:textId="77777777" w:rsidR="002C00CC" w:rsidRPr="002E294E" w:rsidRDefault="002C00CC" w:rsidP="002C00CC">
      <w:pPr>
        <w:spacing w:after="120" w:line="240" w:lineRule="auto"/>
        <w:jc w:val="both"/>
        <w:rPr>
          <w:rFonts w:ascii="Verdana" w:eastAsia="Times New Roman" w:hAnsi="Verdana" w:cs="Arial"/>
          <w:b/>
          <w:sz w:val="20"/>
          <w:szCs w:val="20"/>
          <w:lang w:eastAsia="es-CO"/>
        </w:rPr>
      </w:pPr>
      <w:r w:rsidRPr="002E294E">
        <w:rPr>
          <w:rFonts w:ascii="Verdana" w:eastAsia="Calibri" w:hAnsi="Verdana" w:cs="Arial"/>
          <w:sz w:val="20"/>
          <w:szCs w:val="20"/>
          <w:lang w:val="es-ES" w:eastAsia="es-CO"/>
        </w:rPr>
        <w:t xml:space="preserve">Como en otras oportunidades lo ha manifestado esta Agencia, las prórrogas, modificaciones o adiciones de los contratos suscritos antes de la entrada en vigencia de las prohibiciones anotadas, así como la cesión de </w:t>
      </w:r>
      <w:proofErr w:type="gramStart"/>
      <w:r w:rsidRPr="002E294E">
        <w:rPr>
          <w:rFonts w:ascii="Verdana" w:eastAsia="Calibri" w:hAnsi="Verdana" w:cs="Arial"/>
          <w:sz w:val="20"/>
          <w:szCs w:val="20"/>
          <w:lang w:val="es-ES" w:eastAsia="es-CO"/>
        </w:rPr>
        <w:t>los mismos</w:t>
      </w:r>
      <w:proofErr w:type="gramEnd"/>
      <w:r w:rsidRPr="002E294E">
        <w:rPr>
          <w:rFonts w:ascii="Verdana" w:eastAsia="Calibri" w:hAnsi="Verdana" w:cs="Arial"/>
          <w:sz w:val="20"/>
          <w:szCs w:val="20"/>
          <w:lang w:val="es-ES" w:eastAsia="es-CO"/>
        </w:rPr>
        <w:t>, pueden tener lugar en el período de aplicación de la Ley de Garantías, sin que ello haga nugatoria la restricción de la contratación directa y siempre que cumplan los principios de planeación, transparencia y responsabilidad […]</w:t>
      </w:r>
    </w:p>
    <w:p w14:paraId="2193C668" w14:textId="77777777" w:rsidR="002C00CC" w:rsidRPr="002E294E" w:rsidRDefault="002C00CC" w:rsidP="002C00CC">
      <w:pPr>
        <w:spacing w:after="0"/>
        <w:rPr>
          <w:rFonts w:ascii="Verdana" w:hAnsi="Verdana"/>
          <w:color w:val="ED7D31" w:themeColor="accent2"/>
        </w:rPr>
      </w:pPr>
    </w:p>
    <w:p w14:paraId="3D2F3DB4" w14:textId="77777777" w:rsidR="002C00CC" w:rsidRPr="002E294E" w:rsidRDefault="002C00CC" w:rsidP="002C00CC">
      <w:pPr>
        <w:spacing w:after="0"/>
        <w:jc w:val="both"/>
        <w:rPr>
          <w:rFonts w:ascii="Verdana" w:hAnsi="Verdana"/>
          <w:b/>
          <w:bCs/>
        </w:rPr>
      </w:pPr>
      <w:r w:rsidRPr="002E294E">
        <w:rPr>
          <w:rFonts w:ascii="Verdana" w:hAnsi="Verdana"/>
          <w:b/>
          <w:bCs/>
        </w:rPr>
        <w:t>CUERPOS DE BOMBEROS VOLUNTARIOS – Objeto del contrato – Atención de emergencias – Excepción</w:t>
      </w:r>
    </w:p>
    <w:p w14:paraId="585EE586" w14:textId="77777777" w:rsidR="002C00CC" w:rsidRPr="002E294E" w:rsidRDefault="002C00CC" w:rsidP="002C00CC">
      <w:pPr>
        <w:spacing w:after="0"/>
        <w:jc w:val="both"/>
        <w:rPr>
          <w:rFonts w:ascii="Verdana" w:hAnsi="Verdana"/>
          <w:b/>
          <w:bCs/>
        </w:rPr>
      </w:pPr>
    </w:p>
    <w:p w14:paraId="4B983C4A" w14:textId="77777777" w:rsidR="002C00CC" w:rsidRPr="002E294E" w:rsidRDefault="002C00CC" w:rsidP="002C00CC">
      <w:pPr>
        <w:spacing w:after="0" w:line="240" w:lineRule="auto"/>
        <w:jc w:val="both"/>
        <w:rPr>
          <w:rFonts w:ascii="Verdana" w:hAnsi="Verdana"/>
          <w:b/>
          <w:bCs/>
          <w:sz w:val="20"/>
          <w:szCs w:val="20"/>
        </w:rPr>
      </w:pPr>
      <w:r w:rsidRPr="002E294E">
        <w:rPr>
          <w:rFonts w:ascii="Verdana" w:hAnsi="Verdana"/>
          <w:sz w:val="20"/>
          <w:szCs w:val="20"/>
        </w:rPr>
        <w:t xml:space="preserve">[…] </w:t>
      </w:r>
      <w:r w:rsidRPr="002E294E">
        <w:rPr>
          <w:rFonts w:ascii="Verdana" w:eastAsia="Times New Roman" w:hAnsi="Verdana" w:cs="Arial"/>
          <w:bCs/>
          <w:sz w:val="20"/>
          <w:szCs w:val="20"/>
          <w:lang w:eastAsia="es-CO"/>
        </w:rPr>
        <w:t xml:space="preserve">Con todo, se debe advertir que, si bien el artículo 2 de la Ley 1575 de 2012 establece que la gestión integral del riesgo contra incendios, los preparativos y atención de rescates en todas sus modalidades y la atención de incidentes con materiales peligrosos constituyen un servicio público esencial, dicha calidad, </w:t>
      </w:r>
      <w:r w:rsidRPr="002E294E">
        <w:rPr>
          <w:rFonts w:ascii="Verdana" w:eastAsia="Times New Roman" w:hAnsi="Verdana" w:cs="Arial"/>
          <w:bCs/>
          <w:i/>
          <w:iCs/>
          <w:sz w:val="20"/>
          <w:szCs w:val="20"/>
          <w:lang w:eastAsia="es-CO"/>
        </w:rPr>
        <w:t>per se,</w:t>
      </w:r>
      <w:r w:rsidRPr="002E294E">
        <w:rPr>
          <w:rFonts w:ascii="Verdana" w:eastAsia="Times New Roman" w:hAnsi="Verdana" w:cs="Arial"/>
          <w:bCs/>
          <w:sz w:val="20"/>
          <w:szCs w:val="20"/>
          <w:lang w:eastAsia="es-CO"/>
        </w:rPr>
        <w:t xml:space="preserve"> no implica que los contratos requeridos para su prestación estén sustraídos de la restricción del artículo 33 de la Ley 996 de 2005. En ese orden, si en vigencia de la restricción del artículo 33 de la Ley 996 de 2005, para dar cumplimiento a la obligación prevista en el inciso cuarto </w:t>
      </w:r>
      <w:r w:rsidRPr="002E294E">
        <w:rPr>
          <w:rFonts w:ascii="Verdana" w:eastAsia="Times New Roman" w:hAnsi="Verdana" w:cs="Arial"/>
          <w:bCs/>
          <w:sz w:val="20"/>
          <w:szCs w:val="20"/>
          <w:lang w:eastAsia="es-CO"/>
        </w:rPr>
        <w:lastRenderedPageBreak/>
        <w:t xml:space="preserve">del artículo 3 de la Ley 1575 de 2012, se pretende suscribir un contrato o convenio de manera directa, además de la causal legal que sustenta dicha posibilidad, es necesario sustentar de qué manera el objeto del contrato configura alguna de las referidas excepciones.   </w:t>
      </w:r>
    </w:p>
    <w:p w14:paraId="2A4DD154" w14:textId="77777777" w:rsidR="002C00CC" w:rsidRPr="002E294E" w:rsidRDefault="002C00CC" w:rsidP="002C00CC">
      <w:pPr>
        <w:spacing w:after="0" w:line="240" w:lineRule="auto"/>
        <w:jc w:val="both"/>
        <w:rPr>
          <w:rFonts w:ascii="Verdana" w:hAnsi="Verdana"/>
          <w:b/>
          <w:bCs/>
          <w:sz w:val="20"/>
          <w:szCs w:val="20"/>
        </w:rPr>
      </w:pPr>
    </w:p>
    <w:p w14:paraId="06645351" w14:textId="77777777" w:rsidR="002C00CC" w:rsidRPr="002E294E" w:rsidRDefault="002C00CC" w:rsidP="002C00CC">
      <w:pPr>
        <w:spacing w:after="0" w:line="240" w:lineRule="auto"/>
        <w:jc w:val="both"/>
        <w:rPr>
          <w:rFonts w:ascii="Verdana" w:hAnsi="Verdana"/>
          <w:b/>
          <w:bCs/>
          <w:sz w:val="20"/>
          <w:szCs w:val="20"/>
        </w:rPr>
      </w:pPr>
      <w:r w:rsidRPr="002E294E">
        <w:rPr>
          <w:rFonts w:ascii="Verdana" w:eastAsia="Times New Roman" w:hAnsi="Verdana" w:cs="Arial"/>
          <w:bCs/>
          <w:sz w:val="20"/>
          <w:szCs w:val="20"/>
          <w:lang w:eastAsia="es-CO"/>
        </w:rPr>
        <w:t xml:space="preserve">Para el efecto, puede resultar relevante la excepción establecida por dicha norma respecto de los contratos que deban celebrarse para la atención de situaciones de emergencia y/o desastre, de conformidad con lo establecido en las leyes 1523 y 1575 de 2012. Al respecto, debe tenerse en cuenta que, actividades como la </w:t>
      </w:r>
      <w:r w:rsidRPr="002E294E">
        <w:rPr>
          <w:rFonts w:ascii="Verdana" w:eastAsia="Times New Roman" w:hAnsi="Verdana" w:cs="Arial"/>
          <w:bCs/>
          <w:i/>
          <w:iCs/>
          <w:sz w:val="20"/>
          <w:szCs w:val="20"/>
          <w:lang w:eastAsia="es-CO"/>
        </w:rPr>
        <w:t>atención de incidentes relacionados con incendios</w:t>
      </w:r>
      <w:r w:rsidRPr="002E294E">
        <w:rPr>
          <w:rFonts w:ascii="Verdana" w:eastAsia="Times New Roman" w:hAnsi="Verdana" w:cs="Arial"/>
          <w:bCs/>
          <w:sz w:val="20"/>
          <w:szCs w:val="20"/>
          <w:lang w:eastAsia="es-CO"/>
        </w:rPr>
        <w:t xml:space="preserve">, que de conformidad con el artículo 22 de la Ley 1575 de 2012, desarrollan los cuerpos de bomberos, están contempladas dentro de las actividades asociadas a la </w:t>
      </w:r>
      <w:r w:rsidRPr="002E294E">
        <w:rPr>
          <w:rFonts w:ascii="Verdana" w:eastAsia="Times New Roman" w:hAnsi="Verdana" w:cs="Arial"/>
          <w:bCs/>
          <w:i/>
          <w:iCs/>
          <w:sz w:val="20"/>
          <w:szCs w:val="20"/>
          <w:lang w:eastAsia="es-CO"/>
        </w:rPr>
        <w:t>Preparación</w:t>
      </w:r>
      <w:r w:rsidRPr="002E294E">
        <w:rPr>
          <w:rFonts w:ascii="Verdana" w:eastAsia="Times New Roman" w:hAnsi="Verdana" w:cs="Arial"/>
          <w:bCs/>
          <w:sz w:val="20"/>
          <w:szCs w:val="20"/>
          <w:lang w:eastAsia="es-CO"/>
        </w:rPr>
        <w:t xml:space="preserve"> y </w:t>
      </w:r>
      <w:r w:rsidRPr="002E294E">
        <w:rPr>
          <w:rFonts w:ascii="Verdana" w:eastAsia="Times New Roman" w:hAnsi="Verdana" w:cs="Arial"/>
          <w:bCs/>
          <w:i/>
          <w:iCs/>
          <w:sz w:val="20"/>
          <w:szCs w:val="20"/>
          <w:lang w:eastAsia="es-CO"/>
        </w:rPr>
        <w:t xml:space="preserve">Respuesta, </w:t>
      </w:r>
      <w:r w:rsidRPr="002E294E">
        <w:rPr>
          <w:rFonts w:ascii="Verdana" w:eastAsia="Times New Roman" w:hAnsi="Verdana" w:cs="Arial"/>
          <w:bCs/>
          <w:sz w:val="20"/>
          <w:szCs w:val="20"/>
          <w:lang w:eastAsia="es-CO"/>
        </w:rPr>
        <w:t>reguladas por la Ley 1523 de 2012 en el marco del Sistema Nacional de Gestión del Riesgo de Desastres y la Estrategia Nacional para la Respuesta a Emergencias […]</w:t>
      </w:r>
    </w:p>
    <w:p w14:paraId="51DD0F0F" w14:textId="77777777" w:rsidR="002C00CC" w:rsidRPr="002E294E" w:rsidRDefault="002C00CC" w:rsidP="002C00CC">
      <w:pPr>
        <w:spacing w:after="0"/>
        <w:rPr>
          <w:rFonts w:ascii="Verdana" w:hAnsi="Verdana"/>
          <w:color w:val="ED7D31" w:themeColor="accent2"/>
        </w:rPr>
      </w:pPr>
    </w:p>
    <w:p w14:paraId="28979AFA" w14:textId="77777777" w:rsidR="002C00CC" w:rsidRPr="002E294E" w:rsidRDefault="002C00CC" w:rsidP="002C00CC">
      <w:pPr>
        <w:spacing w:after="0"/>
        <w:rPr>
          <w:rFonts w:ascii="Verdana" w:hAnsi="Verdana"/>
          <w:color w:val="ED7D31" w:themeColor="accent2"/>
          <w:highlight w:val="lightGray"/>
        </w:rPr>
      </w:pPr>
    </w:p>
    <w:p w14:paraId="5B212B35" w14:textId="77777777" w:rsidR="002C00CC" w:rsidRPr="002E294E" w:rsidRDefault="002C00CC" w:rsidP="002C00CC">
      <w:pPr>
        <w:spacing w:after="0"/>
        <w:rPr>
          <w:rFonts w:ascii="Verdana" w:hAnsi="Verdana"/>
          <w:color w:val="ED7D31" w:themeColor="accent2"/>
          <w:highlight w:val="lightGray"/>
        </w:rPr>
      </w:pPr>
    </w:p>
    <w:p w14:paraId="2283678C" w14:textId="77777777" w:rsidR="002C00CC" w:rsidRPr="002E294E" w:rsidRDefault="002C00CC" w:rsidP="002C00CC">
      <w:pPr>
        <w:spacing w:after="0"/>
        <w:rPr>
          <w:rFonts w:ascii="Verdana" w:hAnsi="Verdana"/>
          <w:color w:val="ED7D31" w:themeColor="accent2"/>
          <w:highlight w:val="lightGray"/>
        </w:rPr>
      </w:pPr>
    </w:p>
    <w:p w14:paraId="262830CA" w14:textId="77777777" w:rsidR="002C00CC" w:rsidRPr="002E294E" w:rsidRDefault="002C00CC" w:rsidP="002C00CC">
      <w:pPr>
        <w:spacing w:after="0"/>
        <w:rPr>
          <w:rFonts w:ascii="Verdana" w:hAnsi="Verdana"/>
          <w:color w:val="ED7D31" w:themeColor="accent2"/>
          <w:highlight w:val="lightGray"/>
        </w:rPr>
      </w:pPr>
    </w:p>
    <w:p w14:paraId="6EE4816F" w14:textId="77777777" w:rsidR="002C00CC" w:rsidRPr="002E294E" w:rsidRDefault="002C00CC" w:rsidP="002C00CC">
      <w:pPr>
        <w:spacing w:after="0"/>
        <w:rPr>
          <w:rFonts w:ascii="Verdana" w:hAnsi="Verdana"/>
          <w:color w:val="ED7D31" w:themeColor="accent2"/>
          <w:highlight w:val="lightGray"/>
        </w:rPr>
      </w:pPr>
    </w:p>
    <w:p w14:paraId="4F46672D" w14:textId="77777777" w:rsidR="002C00CC" w:rsidRPr="002E294E" w:rsidRDefault="002C00CC" w:rsidP="002C00CC">
      <w:pPr>
        <w:spacing w:after="0"/>
        <w:rPr>
          <w:rFonts w:ascii="Verdana" w:hAnsi="Verdana"/>
          <w:color w:val="ED7D31" w:themeColor="accent2"/>
          <w:highlight w:val="lightGray"/>
        </w:rPr>
      </w:pPr>
    </w:p>
    <w:p w14:paraId="5AF0F9E5" w14:textId="77777777" w:rsidR="002C00CC" w:rsidRPr="002E294E" w:rsidRDefault="002C00CC" w:rsidP="002C00CC">
      <w:pPr>
        <w:spacing w:after="0"/>
        <w:rPr>
          <w:rFonts w:ascii="Verdana" w:hAnsi="Verdana"/>
          <w:color w:val="ED7D31" w:themeColor="accent2"/>
          <w:highlight w:val="lightGray"/>
        </w:rPr>
      </w:pPr>
    </w:p>
    <w:p w14:paraId="69AFAA25" w14:textId="77777777" w:rsidR="002C00CC" w:rsidRPr="002E294E" w:rsidRDefault="002C00CC" w:rsidP="002C00CC">
      <w:pPr>
        <w:spacing w:after="0"/>
        <w:rPr>
          <w:rFonts w:ascii="Verdana" w:hAnsi="Verdana"/>
          <w:color w:val="ED7D31" w:themeColor="accent2"/>
          <w:highlight w:val="lightGray"/>
        </w:rPr>
      </w:pPr>
    </w:p>
    <w:p w14:paraId="131F331F" w14:textId="77777777" w:rsidR="002C00CC" w:rsidRPr="002E294E" w:rsidRDefault="002C00CC" w:rsidP="002C00CC">
      <w:pPr>
        <w:spacing w:after="0"/>
        <w:rPr>
          <w:rFonts w:ascii="Verdana" w:hAnsi="Verdana"/>
          <w:color w:val="ED7D31" w:themeColor="accent2"/>
          <w:highlight w:val="lightGray"/>
        </w:rPr>
      </w:pPr>
    </w:p>
    <w:p w14:paraId="2EF8F265" w14:textId="77777777" w:rsidR="002C00CC" w:rsidRPr="002E294E" w:rsidRDefault="002C00CC" w:rsidP="002C00CC">
      <w:pPr>
        <w:spacing w:after="0"/>
        <w:rPr>
          <w:rFonts w:ascii="Verdana" w:hAnsi="Verdana"/>
          <w:color w:val="ED7D31" w:themeColor="accent2"/>
          <w:highlight w:val="lightGray"/>
        </w:rPr>
      </w:pPr>
    </w:p>
    <w:p w14:paraId="1F77E722" w14:textId="77777777" w:rsidR="002C00CC" w:rsidRPr="002E294E" w:rsidRDefault="002C00CC" w:rsidP="002C00CC">
      <w:pPr>
        <w:spacing w:after="0"/>
        <w:rPr>
          <w:rFonts w:ascii="Verdana" w:hAnsi="Verdana"/>
          <w:color w:val="ED7D31" w:themeColor="accent2"/>
          <w:highlight w:val="lightGray"/>
        </w:rPr>
      </w:pPr>
    </w:p>
    <w:p w14:paraId="55EAC00B" w14:textId="77777777" w:rsidR="002C00CC" w:rsidRPr="002E294E" w:rsidRDefault="002C00CC" w:rsidP="002C00CC">
      <w:pPr>
        <w:spacing w:after="0"/>
        <w:rPr>
          <w:rFonts w:ascii="Verdana" w:hAnsi="Verdana"/>
          <w:color w:val="ED7D31" w:themeColor="accent2"/>
          <w:highlight w:val="lightGray"/>
        </w:rPr>
      </w:pPr>
    </w:p>
    <w:p w14:paraId="29D644C8" w14:textId="77777777" w:rsidR="002C00CC" w:rsidRPr="002E294E" w:rsidRDefault="002C00CC" w:rsidP="002C00CC">
      <w:pPr>
        <w:spacing w:after="0"/>
        <w:rPr>
          <w:rFonts w:ascii="Verdana" w:hAnsi="Verdana"/>
          <w:color w:val="ED7D31" w:themeColor="accent2"/>
          <w:highlight w:val="lightGray"/>
        </w:rPr>
      </w:pPr>
    </w:p>
    <w:p w14:paraId="1C197DE2" w14:textId="77777777" w:rsidR="002C00CC" w:rsidRPr="002E294E" w:rsidRDefault="002C00CC" w:rsidP="002C00CC">
      <w:pPr>
        <w:spacing w:after="0"/>
        <w:rPr>
          <w:rFonts w:ascii="Verdana" w:hAnsi="Verdana"/>
          <w:color w:val="ED7D31" w:themeColor="accent2"/>
          <w:highlight w:val="lightGray"/>
        </w:rPr>
      </w:pPr>
    </w:p>
    <w:p w14:paraId="18FEF6AF" w14:textId="77777777" w:rsidR="002C00CC" w:rsidRPr="002E294E" w:rsidRDefault="002C00CC" w:rsidP="002C00CC">
      <w:pPr>
        <w:spacing w:after="0"/>
        <w:rPr>
          <w:rFonts w:ascii="Verdana" w:hAnsi="Verdana"/>
          <w:color w:val="ED7D31" w:themeColor="accent2"/>
          <w:highlight w:val="lightGray"/>
        </w:rPr>
      </w:pPr>
    </w:p>
    <w:p w14:paraId="084A582B" w14:textId="77777777" w:rsidR="002C00CC" w:rsidRPr="002E294E" w:rsidRDefault="002C00CC" w:rsidP="002C00CC">
      <w:pPr>
        <w:spacing w:after="0"/>
        <w:rPr>
          <w:rFonts w:ascii="Verdana" w:hAnsi="Verdana"/>
          <w:color w:val="ED7D31" w:themeColor="accent2"/>
          <w:highlight w:val="lightGray"/>
        </w:rPr>
      </w:pPr>
    </w:p>
    <w:p w14:paraId="27250CC4" w14:textId="77777777" w:rsidR="002C00CC" w:rsidRPr="002E294E" w:rsidRDefault="002C00CC" w:rsidP="002C00CC">
      <w:pPr>
        <w:spacing w:after="0"/>
        <w:rPr>
          <w:rFonts w:ascii="Verdana" w:hAnsi="Verdana"/>
          <w:color w:val="ED7D31" w:themeColor="accent2"/>
          <w:highlight w:val="lightGray"/>
        </w:rPr>
      </w:pPr>
    </w:p>
    <w:p w14:paraId="536775F2" w14:textId="77777777" w:rsidR="002C00CC" w:rsidRPr="002E294E" w:rsidRDefault="002C00CC" w:rsidP="002C00CC">
      <w:pPr>
        <w:spacing w:after="0"/>
        <w:rPr>
          <w:rFonts w:ascii="Verdana" w:hAnsi="Verdana"/>
          <w:color w:val="ED7D31" w:themeColor="accent2"/>
          <w:highlight w:val="lightGray"/>
        </w:rPr>
      </w:pPr>
    </w:p>
    <w:p w14:paraId="4324AE57" w14:textId="77777777" w:rsidR="002C00CC" w:rsidRPr="002E294E" w:rsidRDefault="002C00CC" w:rsidP="002C00CC">
      <w:pPr>
        <w:spacing w:after="0"/>
        <w:rPr>
          <w:rFonts w:ascii="Verdana" w:hAnsi="Verdana"/>
          <w:color w:val="ED7D31" w:themeColor="accent2"/>
          <w:highlight w:val="lightGray"/>
        </w:rPr>
      </w:pPr>
    </w:p>
    <w:p w14:paraId="714108E2" w14:textId="77777777" w:rsidR="002C00CC" w:rsidRPr="002E294E" w:rsidRDefault="002C00CC" w:rsidP="002C00CC">
      <w:pPr>
        <w:spacing w:after="0"/>
        <w:rPr>
          <w:rFonts w:ascii="Verdana" w:hAnsi="Verdana"/>
          <w:color w:val="ED7D31" w:themeColor="accent2"/>
          <w:highlight w:val="lightGray"/>
        </w:rPr>
      </w:pPr>
    </w:p>
    <w:p w14:paraId="66FEB8AA" w14:textId="77777777" w:rsidR="002C00CC" w:rsidRPr="002E294E" w:rsidRDefault="002C00CC" w:rsidP="002C00CC">
      <w:pPr>
        <w:spacing w:after="0"/>
        <w:rPr>
          <w:rFonts w:ascii="Verdana" w:hAnsi="Verdana"/>
          <w:color w:val="ED7D31" w:themeColor="accent2"/>
          <w:highlight w:val="lightGray"/>
        </w:rPr>
      </w:pPr>
    </w:p>
    <w:p w14:paraId="54FF479E" w14:textId="77777777" w:rsidR="002C00CC" w:rsidRPr="002E294E" w:rsidRDefault="002C00CC" w:rsidP="002C00CC">
      <w:pPr>
        <w:spacing w:after="0"/>
        <w:rPr>
          <w:rFonts w:ascii="Verdana" w:hAnsi="Verdana"/>
          <w:color w:val="ED7D31" w:themeColor="accent2"/>
          <w:highlight w:val="lightGray"/>
        </w:rPr>
      </w:pPr>
    </w:p>
    <w:p w14:paraId="606B6DE2" w14:textId="77777777" w:rsidR="002C00CC" w:rsidRPr="002E294E" w:rsidRDefault="002C00CC" w:rsidP="002C00CC">
      <w:pPr>
        <w:spacing w:after="0"/>
        <w:rPr>
          <w:rFonts w:ascii="Verdana" w:hAnsi="Verdana"/>
          <w:color w:val="ED7D31" w:themeColor="accent2"/>
          <w:highlight w:val="lightGray"/>
        </w:rPr>
      </w:pPr>
    </w:p>
    <w:p w14:paraId="1463701D" w14:textId="77777777" w:rsidR="002C00CC" w:rsidRPr="002E294E" w:rsidRDefault="002C00CC" w:rsidP="002C00CC">
      <w:pPr>
        <w:spacing w:after="0"/>
        <w:rPr>
          <w:rFonts w:ascii="Verdana" w:hAnsi="Verdana"/>
          <w:color w:val="ED7D31" w:themeColor="accent2"/>
          <w:highlight w:val="lightGray"/>
        </w:rPr>
      </w:pPr>
    </w:p>
    <w:p w14:paraId="45D0C96C" w14:textId="77777777" w:rsidR="002C00CC" w:rsidRPr="002E294E" w:rsidRDefault="002C00CC" w:rsidP="002C00CC">
      <w:pPr>
        <w:spacing w:after="0"/>
        <w:rPr>
          <w:rFonts w:ascii="Verdana" w:hAnsi="Verdana"/>
          <w:color w:val="ED7D31" w:themeColor="accent2"/>
          <w:highlight w:val="lightGray"/>
        </w:rPr>
      </w:pPr>
    </w:p>
    <w:p w14:paraId="650315C2" w14:textId="77777777" w:rsidR="002C00CC" w:rsidRPr="002E294E" w:rsidRDefault="002C00CC" w:rsidP="002C00CC">
      <w:pPr>
        <w:spacing w:after="0"/>
        <w:rPr>
          <w:rFonts w:ascii="Verdana" w:hAnsi="Verdana"/>
          <w:color w:val="ED7D31" w:themeColor="accent2"/>
        </w:rPr>
      </w:pPr>
    </w:p>
    <w:p w14:paraId="37093030" w14:textId="3E0CD2F0" w:rsidR="002C00CC" w:rsidRPr="002E294E" w:rsidRDefault="000D1335" w:rsidP="002C00CC">
      <w:pPr>
        <w:spacing w:after="0"/>
        <w:rPr>
          <w:rFonts w:ascii="Verdana" w:hAnsi="Verdana"/>
        </w:rPr>
      </w:pPr>
      <w:r w:rsidRPr="00B7319B">
        <w:rPr>
          <w:rFonts w:ascii="Verdana" w:eastAsia="Calibri" w:hAnsi="Verdana" w:cs="Arial"/>
          <w:noProof/>
          <w:lang w:val="es-ES" w:eastAsia="es-ES"/>
        </w:rPr>
        <w:lastRenderedPageBreak/>
        <w:drawing>
          <wp:anchor distT="0" distB="0" distL="114300" distR="114300" simplePos="0" relativeHeight="251658240" behindDoc="1" locked="0" layoutInCell="1" allowOverlap="1" wp14:anchorId="28D12688" wp14:editId="0D050560">
            <wp:simplePos x="0" y="0"/>
            <wp:positionH relativeFrom="margin">
              <wp:align>right</wp:align>
            </wp:positionH>
            <wp:positionV relativeFrom="paragraph">
              <wp:posOffset>5937</wp:posOffset>
            </wp:positionV>
            <wp:extent cx="2243263" cy="609568"/>
            <wp:effectExtent l="0" t="0" r="5080" b="635"/>
            <wp:wrapNone/>
            <wp:docPr id="15959488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594880" name=""/>
                    <pic:cNvPicPr/>
                  </pic:nvPicPr>
                  <pic:blipFill>
                    <a:blip r:embed="rId11">
                      <a:extLst>
                        <a:ext uri="{28A0092B-C50C-407E-A947-70E740481C1C}">
                          <a14:useLocalDpi xmlns:a14="http://schemas.microsoft.com/office/drawing/2010/main" val="0"/>
                        </a:ext>
                      </a:extLst>
                    </a:blip>
                    <a:stretch>
                      <a:fillRect/>
                    </a:stretch>
                  </pic:blipFill>
                  <pic:spPr>
                    <a:xfrm>
                      <a:off x="0" y="0"/>
                      <a:ext cx="2243263" cy="609568"/>
                    </a:xfrm>
                    <a:prstGeom prst="rect">
                      <a:avLst/>
                    </a:prstGeom>
                  </pic:spPr>
                </pic:pic>
              </a:graphicData>
            </a:graphic>
            <wp14:sizeRelH relativeFrom="margin">
              <wp14:pctWidth>0</wp14:pctWidth>
            </wp14:sizeRelH>
            <wp14:sizeRelV relativeFrom="margin">
              <wp14:pctHeight>0</wp14:pctHeight>
            </wp14:sizeRelV>
          </wp:anchor>
        </w:drawing>
      </w:r>
      <w:r w:rsidR="002C00CC" w:rsidRPr="002E294E">
        <w:rPr>
          <w:rFonts w:ascii="Verdana" w:hAnsi="Verdana"/>
        </w:rPr>
        <w:t xml:space="preserve">Bogotá D.C., </w:t>
      </w:r>
      <w:r w:rsidR="007C20CE">
        <w:rPr>
          <w:rFonts w:ascii="Verdana" w:hAnsi="Verdana"/>
        </w:rPr>
        <w:t>30 Marzo 2026</w:t>
      </w:r>
    </w:p>
    <w:p w14:paraId="768A6FE2" w14:textId="497F91E5" w:rsidR="002C00CC" w:rsidRPr="002E294E" w:rsidRDefault="002C00CC" w:rsidP="002C00CC">
      <w:pPr>
        <w:spacing w:after="0"/>
        <w:rPr>
          <w:rFonts w:ascii="Verdana" w:hAnsi="Verdana"/>
          <w:highlight w:val="lightGray"/>
          <w:lang w:val="es-ES"/>
        </w:rPr>
      </w:pPr>
    </w:p>
    <w:p w14:paraId="37F33820" w14:textId="28E9C4A2" w:rsidR="002C00CC" w:rsidRPr="00B7319B" w:rsidRDefault="002C00CC" w:rsidP="002C00CC">
      <w:pPr>
        <w:spacing w:after="0" w:line="240" w:lineRule="auto"/>
        <w:rPr>
          <w:rFonts w:ascii="Verdana" w:hAnsi="Verdana"/>
          <w:lang w:val="es-ES"/>
        </w:rPr>
      </w:pPr>
      <w:bookmarkStart w:id="0" w:name="_Hlk143780582"/>
      <w:r w:rsidRPr="002E294E">
        <w:rPr>
          <w:rFonts w:ascii="Verdana" w:eastAsia="Calibri" w:hAnsi="Verdana" w:cs="Arial"/>
          <w:lang w:val="es-ES" w:eastAsia="es-ES"/>
        </w:rPr>
        <w:t>Señor</w:t>
      </w:r>
      <w:r w:rsidR="00B7319B" w:rsidRPr="00B7319B">
        <w:rPr>
          <w:noProof/>
        </w:rPr>
        <w:t xml:space="preserve"> </w:t>
      </w:r>
    </w:p>
    <w:p w14:paraId="08BCE365" w14:textId="77777777" w:rsidR="002C00CC" w:rsidRPr="002E294E" w:rsidRDefault="002C00CC" w:rsidP="002C00CC">
      <w:pPr>
        <w:spacing w:after="0" w:line="240" w:lineRule="auto"/>
        <w:rPr>
          <w:rFonts w:ascii="Verdana" w:hAnsi="Verdana"/>
          <w:lang w:val="es-ES"/>
        </w:rPr>
      </w:pPr>
      <w:r w:rsidRPr="002E294E">
        <w:rPr>
          <w:rFonts w:ascii="Verdana" w:eastAsia="Calibri" w:hAnsi="Verdana" w:cs="Arial"/>
          <w:b/>
          <w:bCs/>
          <w:lang w:eastAsia="es-ES"/>
        </w:rPr>
        <w:t>Juan Camilo Hueje Ribera</w:t>
      </w:r>
    </w:p>
    <w:p w14:paraId="516C3CE8" w14:textId="6D7CC66C" w:rsidR="002C00CC" w:rsidRPr="002E294E" w:rsidRDefault="000D1335" w:rsidP="002C00CC">
      <w:pPr>
        <w:spacing w:after="0"/>
        <w:rPr>
          <w:rFonts w:ascii="Verdana" w:hAnsi="Verdana"/>
          <w:color w:val="ED7D31" w:themeColor="accent2"/>
        </w:rPr>
      </w:pPr>
      <w:r w:rsidRPr="000D1335">
        <w:rPr>
          <w:rFonts w:ascii="Verdana" w:eastAsia="Calibri" w:hAnsi="Verdana" w:cs="Arial"/>
          <w:b/>
          <w:bCs/>
          <w:noProof/>
          <w:color w:val="ED7D31" w:themeColor="accent2"/>
          <w:lang w:val="es-ES" w:eastAsia="es-ES"/>
        </w:rPr>
        <w:drawing>
          <wp:anchor distT="0" distB="0" distL="114300" distR="114300" simplePos="0" relativeHeight="251659264" behindDoc="1" locked="0" layoutInCell="1" allowOverlap="1" wp14:anchorId="5FB8D7E0" wp14:editId="23528D61">
            <wp:simplePos x="0" y="0"/>
            <wp:positionH relativeFrom="margin">
              <wp:align>right</wp:align>
            </wp:positionH>
            <wp:positionV relativeFrom="paragraph">
              <wp:posOffset>7325</wp:posOffset>
            </wp:positionV>
            <wp:extent cx="2270760" cy="691116"/>
            <wp:effectExtent l="0" t="0" r="0" b="0"/>
            <wp:wrapNone/>
            <wp:docPr id="186463521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4635210" name=""/>
                    <pic:cNvPicPr/>
                  </pic:nvPicPr>
                  <pic:blipFill>
                    <a:blip r:embed="rId12">
                      <a:extLst>
                        <a:ext uri="{28A0092B-C50C-407E-A947-70E740481C1C}">
                          <a14:useLocalDpi xmlns:a14="http://schemas.microsoft.com/office/drawing/2010/main" val="0"/>
                        </a:ext>
                      </a:extLst>
                    </a:blip>
                    <a:stretch>
                      <a:fillRect/>
                    </a:stretch>
                  </pic:blipFill>
                  <pic:spPr>
                    <a:xfrm>
                      <a:off x="0" y="0"/>
                      <a:ext cx="2272430" cy="691624"/>
                    </a:xfrm>
                    <a:prstGeom prst="rect">
                      <a:avLst/>
                    </a:prstGeom>
                  </pic:spPr>
                </pic:pic>
              </a:graphicData>
            </a:graphic>
            <wp14:sizeRelH relativeFrom="margin">
              <wp14:pctWidth>0</wp14:pctWidth>
            </wp14:sizeRelH>
            <wp14:sizeRelV relativeFrom="margin">
              <wp14:pctHeight>0</wp14:pctHeight>
            </wp14:sizeRelV>
          </wp:anchor>
        </w:drawing>
      </w:r>
      <w:hyperlink r:id="rId13" w:history="1">
        <w:r w:rsidR="002C00CC" w:rsidRPr="002E294E">
          <w:rPr>
            <w:rStyle w:val="Hipervnculo"/>
            <w:rFonts w:ascii="Verdana" w:hAnsi="Verdana"/>
          </w:rPr>
          <w:t>alcaldia@planadas-tolima.gov.co</w:t>
        </w:r>
      </w:hyperlink>
    </w:p>
    <w:p w14:paraId="4069785B" w14:textId="0971CAC6" w:rsidR="002C00CC" w:rsidRPr="002E294E" w:rsidRDefault="002C00CC" w:rsidP="002C00CC">
      <w:pPr>
        <w:spacing w:after="0"/>
        <w:rPr>
          <w:rFonts w:ascii="Verdana" w:eastAsia="Calibri" w:hAnsi="Verdana" w:cs="Arial"/>
          <w:color w:val="000000" w:themeColor="text1"/>
          <w:highlight w:val="lightGray"/>
          <w:lang w:eastAsia="es-ES"/>
        </w:rPr>
      </w:pPr>
      <w:r w:rsidRPr="002E294E">
        <w:rPr>
          <w:rFonts w:ascii="Verdana" w:eastAsia="Calibri" w:hAnsi="Verdana" w:cs="Arial"/>
          <w:color w:val="000000" w:themeColor="text1"/>
          <w:lang w:eastAsia="es-ES"/>
        </w:rPr>
        <w:t>Alcaldía Municipal de Planadas</w:t>
      </w:r>
    </w:p>
    <w:p w14:paraId="293B205D" w14:textId="77777777" w:rsidR="002C00CC" w:rsidRPr="002E294E" w:rsidRDefault="002C00CC" w:rsidP="002C00CC">
      <w:pPr>
        <w:spacing w:after="0"/>
        <w:rPr>
          <w:rFonts w:ascii="Verdana" w:eastAsia="Calibri" w:hAnsi="Verdana" w:cs="Arial"/>
          <w:color w:val="000000" w:themeColor="text1"/>
          <w:lang w:val="es-ES" w:eastAsia="es-ES"/>
        </w:rPr>
      </w:pPr>
      <w:r w:rsidRPr="002E294E">
        <w:rPr>
          <w:rFonts w:ascii="Verdana" w:eastAsia="Calibri" w:hAnsi="Verdana" w:cs="Arial"/>
          <w:color w:val="000000" w:themeColor="text1"/>
          <w:lang w:val="es-ES" w:eastAsia="es-ES"/>
        </w:rPr>
        <w:t>Planadas, Tolima</w:t>
      </w:r>
    </w:p>
    <w:p w14:paraId="5C555970" w14:textId="409371A5" w:rsidR="002C00CC" w:rsidRPr="002E294E" w:rsidRDefault="002C00CC" w:rsidP="002C00CC">
      <w:pPr>
        <w:spacing w:after="0" w:line="240" w:lineRule="auto"/>
        <w:rPr>
          <w:rFonts w:ascii="Verdana" w:eastAsia="Calibri" w:hAnsi="Verdana" w:cs="Arial"/>
          <w:b/>
          <w:bCs/>
          <w:color w:val="ED7D31" w:themeColor="accent2"/>
          <w:highlight w:val="lightGray"/>
          <w:lang w:val="es-ES" w:eastAsia="es-ES"/>
        </w:rPr>
      </w:pPr>
    </w:p>
    <w:p w14:paraId="51550CBB" w14:textId="0749C700" w:rsidR="002C00CC" w:rsidRPr="002E294E" w:rsidRDefault="002C00CC" w:rsidP="002C00CC">
      <w:pPr>
        <w:spacing w:after="0" w:line="240" w:lineRule="auto"/>
        <w:rPr>
          <w:rFonts w:ascii="Verdana" w:eastAsia="Calibri" w:hAnsi="Verdana" w:cs="Arial"/>
          <w:b/>
          <w:bCs/>
          <w:color w:val="ED7D31" w:themeColor="accent2"/>
          <w:highlight w:val="lightGray"/>
          <w:lang w:val="es-ES" w:eastAsia="es-ES"/>
        </w:rPr>
      </w:pPr>
    </w:p>
    <w:tbl>
      <w:tblPr>
        <w:tblStyle w:val="Tablaconcuadrcula"/>
        <w:tblW w:w="8789"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379"/>
      </w:tblGrid>
      <w:tr w:rsidR="002C00CC" w:rsidRPr="002E294E" w14:paraId="6677CA56" w14:textId="77777777" w:rsidTr="00D93E65">
        <w:trPr>
          <w:trHeight w:val="300"/>
        </w:trPr>
        <w:tc>
          <w:tcPr>
            <w:tcW w:w="2410" w:type="dxa"/>
          </w:tcPr>
          <w:p w14:paraId="46D6431E" w14:textId="77777777" w:rsidR="002C00CC" w:rsidRPr="002E294E" w:rsidRDefault="002C00CC" w:rsidP="00EA53B7">
            <w:pPr>
              <w:ind w:left="-142"/>
              <w:jc w:val="both"/>
              <w:rPr>
                <w:rFonts w:ascii="Verdana" w:eastAsia="Calibri" w:hAnsi="Verdana" w:cs="Arial"/>
                <w:b/>
                <w:bCs/>
                <w:highlight w:val="lightGray"/>
                <w:lang w:val="es-ES" w:eastAsia="es-ES_tradnl"/>
              </w:rPr>
            </w:pPr>
          </w:p>
        </w:tc>
        <w:tc>
          <w:tcPr>
            <w:tcW w:w="6379" w:type="dxa"/>
          </w:tcPr>
          <w:p w14:paraId="24D99FEE" w14:textId="77777777" w:rsidR="002C00CC" w:rsidRPr="002E294E" w:rsidRDefault="002C00CC" w:rsidP="00EA53B7">
            <w:pPr>
              <w:ind w:left="3"/>
              <w:jc w:val="both"/>
              <w:rPr>
                <w:rFonts w:ascii="Verdana" w:eastAsia="Calibri" w:hAnsi="Verdana" w:cs="Arial"/>
                <w:b/>
                <w:bCs/>
                <w:highlight w:val="lightGray"/>
                <w:lang w:val="es-ES" w:eastAsia="es-ES"/>
              </w:rPr>
            </w:pPr>
            <w:r w:rsidRPr="002E294E">
              <w:rPr>
                <w:rFonts w:ascii="Verdana" w:eastAsia="Calibri" w:hAnsi="Verdana" w:cs="Arial"/>
                <w:b/>
                <w:bCs/>
                <w:lang w:val="es-ES" w:eastAsia="es-ES"/>
              </w:rPr>
              <w:t>Concepto C-250 de 2026</w:t>
            </w:r>
          </w:p>
          <w:p w14:paraId="4BD9329F" w14:textId="77777777" w:rsidR="002C00CC" w:rsidRPr="002E294E" w:rsidRDefault="002C00CC" w:rsidP="00EA53B7">
            <w:pPr>
              <w:ind w:left="3"/>
              <w:jc w:val="both"/>
              <w:rPr>
                <w:rFonts w:ascii="Verdana" w:eastAsia="Calibri" w:hAnsi="Verdana" w:cs="Arial"/>
                <w:b/>
                <w:bCs/>
                <w:highlight w:val="lightGray"/>
                <w:lang w:val="es-ES" w:eastAsia="es-ES"/>
              </w:rPr>
            </w:pPr>
          </w:p>
        </w:tc>
      </w:tr>
      <w:tr w:rsidR="002C00CC" w:rsidRPr="002E294E" w14:paraId="529B6422" w14:textId="77777777" w:rsidTr="00D93E65">
        <w:trPr>
          <w:trHeight w:val="300"/>
        </w:trPr>
        <w:tc>
          <w:tcPr>
            <w:tcW w:w="2410" w:type="dxa"/>
          </w:tcPr>
          <w:p w14:paraId="1C9A3783" w14:textId="77777777" w:rsidR="002C00CC" w:rsidRPr="002E294E" w:rsidRDefault="002C00CC" w:rsidP="00EA53B7">
            <w:pPr>
              <w:ind w:left="424" w:firstLine="142"/>
              <w:jc w:val="both"/>
              <w:rPr>
                <w:rFonts w:ascii="Verdana" w:eastAsia="Calibri" w:hAnsi="Verdana" w:cs="Arial"/>
                <w:highlight w:val="lightGray"/>
                <w:lang w:val="es-ES" w:eastAsia="es-ES_tradnl"/>
              </w:rPr>
            </w:pPr>
            <w:r w:rsidRPr="002E294E">
              <w:rPr>
                <w:rFonts w:ascii="Verdana" w:eastAsia="Calibri" w:hAnsi="Verdana" w:cs="Arial"/>
                <w:b/>
                <w:lang w:val="es-ES" w:eastAsia="es-ES_tradnl"/>
              </w:rPr>
              <w:t>Temas:</w:t>
            </w:r>
            <w:r w:rsidRPr="002E294E">
              <w:rPr>
                <w:rFonts w:ascii="Verdana" w:eastAsia="Calibri" w:hAnsi="Verdana" w:cs="Arial"/>
                <w:lang w:val="es-ES" w:eastAsia="es-ES_tradnl"/>
              </w:rPr>
              <w:t xml:space="preserve"> </w:t>
            </w:r>
            <w:r w:rsidRPr="002E294E">
              <w:rPr>
                <w:rFonts w:ascii="Verdana" w:eastAsia="Calibri" w:hAnsi="Verdana" w:cs="Arial"/>
                <w:highlight w:val="lightGray"/>
                <w:lang w:val="es-ES" w:eastAsia="es-ES_tradnl"/>
              </w:rPr>
              <w:t xml:space="preserve">                 </w:t>
            </w:r>
          </w:p>
        </w:tc>
        <w:tc>
          <w:tcPr>
            <w:tcW w:w="6379" w:type="dxa"/>
          </w:tcPr>
          <w:p w14:paraId="1B1F4DB9" w14:textId="3DEF1E80" w:rsidR="002C00CC" w:rsidRPr="002E294E" w:rsidRDefault="002C00CC" w:rsidP="00EA53B7">
            <w:pPr>
              <w:contextualSpacing/>
              <w:jc w:val="both"/>
              <w:rPr>
                <w:rFonts w:ascii="Verdana" w:eastAsia="Calibri" w:hAnsi="Verdana" w:cs="Arial"/>
              </w:rPr>
            </w:pPr>
            <w:r w:rsidRPr="002E294E">
              <w:rPr>
                <w:rFonts w:ascii="Verdana" w:eastAsia="Calibri" w:hAnsi="Verdana" w:cs="Arial"/>
              </w:rPr>
              <w:t>LEY DE GARANTÍAS ELECTORALES – Naturaleza jurídica / LEY DE GARANTÍAS ELECTORALES – Prohibiciones / CUERPOS DE BOMBEROS VOLUNTARIOS – Servicio público esencial / CUERPOS DE BOMBEROS VOLUNTARIOS – Modalidades de selección contratación / CUERPOS DE BOMBEROS VOLUNTARIOS – Objeto del contrato – Atención de emergencias – Excepción</w:t>
            </w:r>
          </w:p>
          <w:p w14:paraId="1AF5611D" w14:textId="77777777" w:rsidR="002C00CC" w:rsidRPr="002E294E" w:rsidRDefault="002C00CC" w:rsidP="00EA53B7">
            <w:pPr>
              <w:contextualSpacing/>
              <w:jc w:val="both"/>
              <w:rPr>
                <w:rFonts w:ascii="Verdana" w:eastAsia="Calibri" w:hAnsi="Verdana" w:cs="Arial"/>
              </w:rPr>
            </w:pPr>
          </w:p>
        </w:tc>
      </w:tr>
      <w:tr w:rsidR="002C00CC" w:rsidRPr="002E294E" w14:paraId="3FA26A0F" w14:textId="77777777" w:rsidTr="00D93E65">
        <w:trPr>
          <w:trHeight w:val="350"/>
        </w:trPr>
        <w:tc>
          <w:tcPr>
            <w:tcW w:w="2410" w:type="dxa"/>
          </w:tcPr>
          <w:p w14:paraId="2E5D5AF2" w14:textId="77777777" w:rsidR="002C00CC" w:rsidRPr="002E294E" w:rsidRDefault="002C00CC" w:rsidP="00EA53B7">
            <w:pPr>
              <w:ind w:left="561"/>
              <w:jc w:val="both"/>
              <w:rPr>
                <w:rFonts w:ascii="Verdana" w:eastAsia="Calibri" w:hAnsi="Verdana" w:cs="Arial"/>
                <w:b/>
                <w:lang w:val="es-ES" w:eastAsia="es-ES_tradnl"/>
              </w:rPr>
            </w:pPr>
            <w:r w:rsidRPr="002E294E">
              <w:rPr>
                <w:rFonts w:ascii="Verdana" w:eastAsia="Calibri" w:hAnsi="Verdana" w:cs="Arial"/>
                <w:b/>
                <w:lang w:val="es-ES" w:eastAsia="es-ES_tradnl"/>
              </w:rPr>
              <w:t>Radicación:</w:t>
            </w:r>
            <w:r w:rsidRPr="002E294E">
              <w:rPr>
                <w:rFonts w:ascii="Verdana" w:eastAsia="Calibri" w:hAnsi="Verdana" w:cs="Arial"/>
                <w:lang w:val="es-ES" w:eastAsia="es-ES_tradnl"/>
              </w:rPr>
              <w:t xml:space="preserve">              </w:t>
            </w:r>
          </w:p>
        </w:tc>
        <w:tc>
          <w:tcPr>
            <w:tcW w:w="6379" w:type="dxa"/>
          </w:tcPr>
          <w:p w14:paraId="4E76D3A6" w14:textId="77777777" w:rsidR="002C00CC" w:rsidRPr="002E294E" w:rsidRDefault="002C00CC" w:rsidP="00EA53B7">
            <w:pPr>
              <w:ind w:left="3"/>
              <w:jc w:val="both"/>
              <w:rPr>
                <w:rFonts w:ascii="Verdana" w:hAnsi="Verdana"/>
                <w:lang w:val="es-ES"/>
              </w:rPr>
            </w:pPr>
            <w:r w:rsidRPr="002E294E">
              <w:rPr>
                <w:rFonts w:ascii="Verdana" w:eastAsia="Calibri" w:hAnsi="Verdana" w:cs="Arial"/>
                <w:lang w:val="es-ES" w:eastAsia="es-ES"/>
              </w:rPr>
              <w:t>Respuesta a consulta con radicado No. 1_2026_02_18_002150 acumulada con 1_2026_02_23_002486</w:t>
            </w:r>
          </w:p>
        </w:tc>
      </w:tr>
      <w:tr w:rsidR="002C00CC" w:rsidRPr="002E294E" w14:paraId="46365174" w14:textId="77777777" w:rsidTr="00D93E65">
        <w:trPr>
          <w:trHeight w:val="350"/>
        </w:trPr>
        <w:tc>
          <w:tcPr>
            <w:tcW w:w="2410" w:type="dxa"/>
          </w:tcPr>
          <w:p w14:paraId="54CBAAB9" w14:textId="77777777" w:rsidR="002C00CC" w:rsidRPr="002E294E" w:rsidRDefault="002C00CC" w:rsidP="00EA53B7">
            <w:pPr>
              <w:ind w:left="561"/>
              <w:jc w:val="both"/>
              <w:rPr>
                <w:rFonts w:ascii="Verdana" w:eastAsia="Calibri" w:hAnsi="Verdana" w:cs="Arial"/>
                <w:b/>
                <w:color w:val="000000" w:themeColor="text1"/>
                <w:lang w:val="es-ES" w:eastAsia="es-ES_tradnl"/>
              </w:rPr>
            </w:pPr>
          </w:p>
        </w:tc>
        <w:tc>
          <w:tcPr>
            <w:tcW w:w="6379" w:type="dxa"/>
          </w:tcPr>
          <w:p w14:paraId="24615CEA" w14:textId="77777777" w:rsidR="002C00CC" w:rsidRPr="002E294E" w:rsidRDefault="002C00CC" w:rsidP="00EA53B7">
            <w:pPr>
              <w:ind w:left="3"/>
              <w:jc w:val="both"/>
              <w:rPr>
                <w:rFonts w:ascii="Verdana" w:eastAsia="Calibri" w:hAnsi="Verdana" w:cs="Arial"/>
                <w:color w:val="000000" w:themeColor="text1"/>
                <w:lang w:val="es-ES" w:eastAsia="es-ES"/>
              </w:rPr>
            </w:pPr>
          </w:p>
        </w:tc>
      </w:tr>
    </w:tbl>
    <w:p w14:paraId="2CDF9DD1" w14:textId="77777777" w:rsidR="002C00CC" w:rsidRPr="002E294E" w:rsidRDefault="002C00CC" w:rsidP="002C00CC">
      <w:pPr>
        <w:spacing w:after="0" w:line="276" w:lineRule="auto"/>
        <w:jc w:val="both"/>
        <w:rPr>
          <w:rFonts w:ascii="Verdana" w:eastAsia="Calibri" w:hAnsi="Verdana" w:cs="Arial"/>
          <w:color w:val="000000" w:themeColor="text1"/>
          <w:lang w:val="es-ES" w:eastAsia="es-ES"/>
        </w:rPr>
      </w:pPr>
      <w:r w:rsidRPr="002E294E">
        <w:rPr>
          <w:rFonts w:ascii="Verdana" w:eastAsia="Calibri" w:hAnsi="Verdana" w:cs="Arial"/>
          <w:color w:val="000000" w:themeColor="text1"/>
          <w:lang w:val="es-ES" w:eastAsia="es-ES"/>
        </w:rPr>
        <w:t xml:space="preserve">Estimado Señor </w:t>
      </w:r>
      <w:proofErr w:type="spellStart"/>
      <w:r w:rsidRPr="002E294E">
        <w:rPr>
          <w:rFonts w:ascii="Verdana" w:eastAsia="Calibri" w:hAnsi="Verdana" w:cs="Arial"/>
          <w:color w:val="000000" w:themeColor="text1"/>
          <w:lang w:val="es-ES" w:eastAsia="es-ES"/>
        </w:rPr>
        <w:t>Hueje</w:t>
      </w:r>
      <w:proofErr w:type="spellEnd"/>
      <w:r w:rsidRPr="002E294E">
        <w:rPr>
          <w:rFonts w:ascii="Verdana" w:eastAsia="Calibri" w:hAnsi="Verdana" w:cs="Arial"/>
          <w:color w:val="000000" w:themeColor="text1"/>
          <w:lang w:val="es-ES" w:eastAsia="es-ES"/>
        </w:rPr>
        <w:t>:</w:t>
      </w:r>
    </w:p>
    <w:p w14:paraId="19B62A21" w14:textId="77777777" w:rsidR="002C00CC" w:rsidRPr="002E294E" w:rsidRDefault="002C00CC" w:rsidP="002C00CC">
      <w:pPr>
        <w:tabs>
          <w:tab w:val="left" w:pos="3768"/>
        </w:tabs>
        <w:spacing w:after="0" w:line="276" w:lineRule="auto"/>
        <w:jc w:val="both"/>
        <w:rPr>
          <w:rFonts w:ascii="Verdana" w:eastAsia="Calibri" w:hAnsi="Verdana" w:cs="Arial"/>
          <w:color w:val="000000" w:themeColor="text1"/>
          <w:lang w:val="es-ES" w:eastAsia="es-ES"/>
        </w:rPr>
      </w:pPr>
      <w:r w:rsidRPr="002E294E">
        <w:rPr>
          <w:rFonts w:ascii="Verdana" w:eastAsia="Calibri" w:hAnsi="Verdana" w:cs="Arial"/>
          <w:color w:val="000000" w:themeColor="text1"/>
          <w:lang w:val="es-ES" w:eastAsia="es-ES"/>
        </w:rPr>
        <w:tab/>
      </w:r>
    </w:p>
    <w:p w14:paraId="7C7AE73C" w14:textId="77777777" w:rsidR="002C00CC" w:rsidRPr="002E294E" w:rsidRDefault="002C00CC" w:rsidP="002C00CC">
      <w:pPr>
        <w:spacing w:after="0" w:line="276" w:lineRule="auto"/>
        <w:jc w:val="both"/>
        <w:rPr>
          <w:rFonts w:ascii="Verdana" w:eastAsia="Calibri" w:hAnsi="Verdana" w:cs="Arial"/>
          <w:color w:val="000000" w:themeColor="text1"/>
          <w:lang w:val="es-ES" w:eastAsia="es-ES"/>
        </w:rPr>
      </w:pPr>
      <w:r w:rsidRPr="002E294E">
        <w:rPr>
          <w:rFonts w:ascii="Verdana" w:eastAsia="Calibri" w:hAnsi="Verdana" w:cs="Arial"/>
          <w:color w:val="000000" w:themeColor="text1"/>
          <w:lang w:val="es-ES" w:eastAsia="es-ES"/>
        </w:rPr>
        <w:t>En ejercicio de la competencia otorgada por los artículos 3, numeral 5º, y 11, numeral 8º, del Decreto Ley 4170 de 2011,</w:t>
      </w:r>
      <w:r w:rsidRPr="002E294E">
        <w:rPr>
          <w:rFonts w:ascii="Verdana" w:eastAsia="Arial MT" w:hAnsi="Verdana" w:cs="Arial MT"/>
          <w:color w:val="000000" w:themeColor="text1"/>
          <w:lang w:val="es-ES" w:eastAsia="es-ES"/>
        </w:rPr>
        <w:t xml:space="preserve"> </w:t>
      </w:r>
      <w:r w:rsidRPr="002E294E">
        <w:rPr>
          <w:rFonts w:ascii="Verdana" w:hAnsi="Verdana" w:cs="Arial"/>
          <w:color w:val="000000" w:themeColor="text1"/>
          <w:lang w:val="es-ES"/>
        </w:rPr>
        <w:t xml:space="preserve">así como lo establecido en el artículo 4 de la Resolución 469 de 2025 expedida por esta Entidad, </w:t>
      </w:r>
      <w:r w:rsidRPr="002E294E">
        <w:rPr>
          <w:rFonts w:ascii="Verdana" w:eastAsia="Calibri" w:hAnsi="Verdana" w:cs="Arial"/>
          <w:color w:val="000000" w:themeColor="text1"/>
          <w:lang w:val="es-ES" w:eastAsia="es-ES"/>
        </w:rPr>
        <w:t xml:space="preserve">la Agencia Nacional de Contratación Pública – Colombia Compra Eficiente– responde sus solicitudes de consulta de fecha 18 y 23 de enero de 2026, remitida por la Procuraduría General de la Nación el 174 de febrero de 2026, en la cual manifiesta lo siguiente: </w:t>
      </w:r>
    </w:p>
    <w:p w14:paraId="1205F24B" w14:textId="77777777" w:rsidR="002C00CC" w:rsidRPr="002E294E" w:rsidRDefault="002C00CC" w:rsidP="002C00CC">
      <w:pPr>
        <w:tabs>
          <w:tab w:val="left" w:pos="142"/>
          <w:tab w:val="left" w:pos="284"/>
        </w:tabs>
        <w:spacing w:after="0" w:line="276" w:lineRule="auto"/>
        <w:jc w:val="both"/>
        <w:rPr>
          <w:rFonts w:ascii="Verdana" w:eastAsia="Century Gothic" w:hAnsi="Verdana" w:cs="Century Gothic"/>
          <w:b/>
          <w:bCs/>
          <w:color w:val="ED7D31" w:themeColor="accent2"/>
          <w:highlight w:val="lightGray"/>
          <w:lang w:val="es-ES"/>
        </w:rPr>
      </w:pPr>
    </w:p>
    <w:p w14:paraId="092CE6B7" w14:textId="77777777" w:rsidR="002C00CC" w:rsidRPr="002E294E" w:rsidRDefault="002C00CC" w:rsidP="00D93E65">
      <w:pPr>
        <w:spacing w:after="0" w:line="240" w:lineRule="auto"/>
        <w:ind w:left="709" w:right="709"/>
        <w:jc w:val="both"/>
        <w:rPr>
          <w:rFonts w:ascii="Verdana" w:eastAsia="Century Gothic" w:hAnsi="Verdana" w:cs="Century Gothic"/>
          <w:i/>
          <w:iCs/>
          <w:color w:val="000000" w:themeColor="text1"/>
          <w:sz w:val="20"/>
          <w:szCs w:val="20"/>
          <w:lang w:val="es-ES"/>
        </w:rPr>
      </w:pPr>
      <w:r w:rsidRPr="002E294E">
        <w:rPr>
          <w:rFonts w:ascii="Verdana" w:eastAsia="Century Gothic" w:hAnsi="Verdana" w:cs="Century Gothic"/>
          <w:i/>
          <w:iCs/>
          <w:color w:val="000000" w:themeColor="text1"/>
          <w:sz w:val="20"/>
          <w:szCs w:val="20"/>
          <w:lang w:val="es-ES"/>
        </w:rPr>
        <w:t>“[…] En ese sentido, esta Administración considera importante contar con un concepto preventivo del Ministerio Público que permita determinar:</w:t>
      </w:r>
    </w:p>
    <w:p w14:paraId="1A9BA830" w14:textId="77777777" w:rsidR="002C00CC" w:rsidRPr="002E294E" w:rsidRDefault="002C00CC" w:rsidP="00D93E65">
      <w:pPr>
        <w:pStyle w:val="Prrafodelista"/>
        <w:numPr>
          <w:ilvl w:val="0"/>
          <w:numId w:val="17"/>
        </w:numPr>
        <w:spacing w:after="0" w:line="240" w:lineRule="auto"/>
        <w:ind w:left="993" w:right="709" w:hanging="284"/>
        <w:contextualSpacing w:val="0"/>
        <w:jc w:val="both"/>
        <w:rPr>
          <w:rFonts w:ascii="Verdana" w:eastAsia="Century Gothic" w:hAnsi="Verdana" w:cs="Century Gothic"/>
          <w:i/>
          <w:iCs/>
          <w:color w:val="000000" w:themeColor="text1"/>
          <w:sz w:val="20"/>
          <w:szCs w:val="20"/>
        </w:rPr>
      </w:pPr>
      <w:r w:rsidRPr="002E294E">
        <w:rPr>
          <w:rFonts w:ascii="Verdana" w:eastAsia="Century Gothic" w:hAnsi="Verdana" w:cs="Century Gothic"/>
          <w:i/>
          <w:iCs/>
          <w:color w:val="000000" w:themeColor="text1"/>
          <w:sz w:val="20"/>
          <w:szCs w:val="20"/>
        </w:rPr>
        <w:t xml:space="preserve">Si, dadas las circunstancias descritas, la suscripción del convenio con el Cuerpo de Bomberos Voluntarios de Planadas puede </w:t>
      </w:r>
      <w:proofErr w:type="gramStart"/>
      <w:r w:rsidRPr="002E294E">
        <w:rPr>
          <w:rFonts w:ascii="Verdana" w:eastAsia="Century Gothic" w:hAnsi="Verdana" w:cs="Century Gothic"/>
          <w:i/>
          <w:iCs/>
          <w:color w:val="000000" w:themeColor="text1"/>
          <w:sz w:val="20"/>
          <w:szCs w:val="20"/>
        </w:rPr>
        <w:t>enmarcarse dentro de</w:t>
      </w:r>
      <w:proofErr w:type="gramEnd"/>
      <w:r w:rsidRPr="002E294E">
        <w:rPr>
          <w:rFonts w:ascii="Verdana" w:eastAsia="Century Gothic" w:hAnsi="Verdana" w:cs="Century Gothic"/>
          <w:i/>
          <w:iCs/>
          <w:color w:val="000000" w:themeColor="text1"/>
          <w:sz w:val="20"/>
          <w:szCs w:val="20"/>
        </w:rPr>
        <w:t xml:space="preserve"> las excepciones previstas en el artículo 33 de la Ley 996 de 2005, en atención a la naturaleza esencial y continua del servicio.</w:t>
      </w:r>
    </w:p>
    <w:p w14:paraId="60900BA2" w14:textId="77777777" w:rsidR="002C00CC" w:rsidRPr="002E294E" w:rsidRDefault="002C00CC" w:rsidP="00D93E65">
      <w:pPr>
        <w:pStyle w:val="Prrafodelista"/>
        <w:numPr>
          <w:ilvl w:val="0"/>
          <w:numId w:val="17"/>
        </w:numPr>
        <w:spacing w:after="0" w:line="240" w:lineRule="auto"/>
        <w:ind w:left="993" w:right="709" w:hanging="284"/>
        <w:contextualSpacing w:val="0"/>
        <w:jc w:val="both"/>
        <w:rPr>
          <w:rFonts w:ascii="Verdana" w:eastAsia="Century Gothic" w:hAnsi="Verdana" w:cs="Century Gothic"/>
          <w:i/>
          <w:iCs/>
          <w:color w:val="000000" w:themeColor="text1"/>
          <w:sz w:val="20"/>
          <w:szCs w:val="20"/>
        </w:rPr>
      </w:pPr>
      <w:r w:rsidRPr="002E294E">
        <w:rPr>
          <w:rFonts w:ascii="Verdana" w:eastAsia="Century Gothic" w:hAnsi="Verdana" w:cs="Century Gothic"/>
          <w:i/>
          <w:iCs/>
          <w:color w:val="000000" w:themeColor="text1"/>
          <w:sz w:val="20"/>
          <w:szCs w:val="20"/>
        </w:rPr>
        <w:lastRenderedPageBreak/>
        <w:t>De lo contrario, cuál sería la ruta jurídica más adecuada para garantizar la prestación del servicio sin incurrir en una eventual vulneración al régimen de garantías electorales.</w:t>
      </w:r>
    </w:p>
    <w:p w14:paraId="111B29A9" w14:textId="77777777" w:rsidR="002C00CC" w:rsidRPr="002E294E" w:rsidRDefault="002C00CC" w:rsidP="00D93E65">
      <w:pPr>
        <w:pStyle w:val="Prrafodelista"/>
        <w:numPr>
          <w:ilvl w:val="0"/>
          <w:numId w:val="17"/>
        </w:numPr>
        <w:spacing w:after="0" w:line="240" w:lineRule="auto"/>
        <w:ind w:left="993" w:right="709" w:hanging="284"/>
        <w:contextualSpacing w:val="0"/>
        <w:jc w:val="both"/>
        <w:rPr>
          <w:rFonts w:ascii="Verdana" w:eastAsia="Century Gothic" w:hAnsi="Verdana" w:cs="Century Gothic"/>
          <w:i/>
          <w:iCs/>
          <w:color w:val="000000" w:themeColor="text1"/>
          <w:sz w:val="20"/>
          <w:szCs w:val="20"/>
        </w:rPr>
      </w:pPr>
      <w:r w:rsidRPr="002E294E">
        <w:rPr>
          <w:rFonts w:ascii="Verdana" w:eastAsia="Century Gothic" w:hAnsi="Verdana" w:cs="Century Gothic"/>
          <w:i/>
          <w:iCs/>
          <w:color w:val="000000" w:themeColor="text1"/>
          <w:sz w:val="20"/>
          <w:szCs w:val="20"/>
        </w:rPr>
        <w:t>Qué medidas preventivas recomienda el ente de control para evitar la configuración de faltas disciplinarias por acción u omisión.</w:t>
      </w:r>
    </w:p>
    <w:p w14:paraId="5A19E9C5" w14:textId="77777777" w:rsidR="002C00CC" w:rsidRPr="002E294E" w:rsidRDefault="002C00CC" w:rsidP="00D93E65">
      <w:pPr>
        <w:pStyle w:val="Prrafodelista"/>
        <w:numPr>
          <w:ilvl w:val="0"/>
          <w:numId w:val="17"/>
        </w:numPr>
        <w:spacing w:after="0" w:line="240" w:lineRule="auto"/>
        <w:ind w:left="993" w:right="709" w:hanging="284"/>
        <w:contextualSpacing w:val="0"/>
        <w:jc w:val="both"/>
        <w:rPr>
          <w:rFonts w:ascii="Verdana" w:eastAsia="Century Gothic" w:hAnsi="Verdana" w:cs="Century Gothic"/>
          <w:i/>
          <w:iCs/>
          <w:color w:val="000000" w:themeColor="text1"/>
          <w:sz w:val="20"/>
          <w:szCs w:val="20"/>
        </w:rPr>
      </w:pPr>
      <w:r w:rsidRPr="002E294E">
        <w:rPr>
          <w:rFonts w:ascii="Verdana" w:eastAsia="Century Gothic" w:hAnsi="Verdana" w:cs="Century Gothic"/>
          <w:i/>
          <w:iCs/>
          <w:color w:val="000000" w:themeColor="text1"/>
          <w:sz w:val="20"/>
          <w:szCs w:val="20"/>
        </w:rPr>
        <w:t>Es importante reiterar que el Municipio de Planadas no pretende evadir las restricciones de la Ley de Garantías, sino, por el contrario, actuar con absoluta sujeción al principio de legalidad, asegurando simultáneamente el cumplimiento del servicio público esencial. […]”</w:t>
      </w:r>
    </w:p>
    <w:p w14:paraId="2F2A1F4E" w14:textId="77777777" w:rsidR="002C00CC" w:rsidRPr="002E294E" w:rsidRDefault="002C00CC" w:rsidP="002C00CC">
      <w:pPr>
        <w:spacing w:before="120" w:after="120" w:line="240" w:lineRule="auto"/>
        <w:ind w:left="709" w:right="709"/>
        <w:contextualSpacing/>
        <w:jc w:val="both"/>
        <w:rPr>
          <w:rFonts w:ascii="Verdana" w:eastAsia="Century Gothic" w:hAnsi="Verdana" w:cs="Century Gothic"/>
          <w:i/>
          <w:iCs/>
          <w:color w:val="ED7D31" w:themeColor="accent2"/>
          <w:sz w:val="20"/>
          <w:szCs w:val="20"/>
          <w:highlight w:val="lightGray"/>
          <w:lang w:val="es-ES"/>
        </w:rPr>
      </w:pPr>
    </w:p>
    <w:p w14:paraId="7DFFCD06" w14:textId="78B6A27A" w:rsidR="002C00CC" w:rsidRPr="002E294E" w:rsidRDefault="002C00CC" w:rsidP="002C00CC">
      <w:pPr>
        <w:spacing w:after="120" w:line="276" w:lineRule="auto"/>
        <w:ind w:firstLine="708"/>
        <w:jc w:val="both"/>
        <w:rPr>
          <w:rFonts w:ascii="Verdana" w:eastAsia="Calibri" w:hAnsi="Verdana" w:cs="Arial"/>
          <w:color w:val="000000" w:themeColor="text1"/>
          <w:lang w:val="es-ES" w:eastAsia="es-ES"/>
        </w:rPr>
      </w:pPr>
      <w:r w:rsidRPr="002E294E">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130202">
        <w:rPr>
          <w:rFonts w:ascii="Verdana" w:eastAsia="Calibri" w:hAnsi="Verdana" w:cs="Arial"/>
          <w:color w:val="000000" w:themeColor="text1"/>
          <w:lang w:val="es-ES" w:eastAsia="es-ES"/>
        </w:rPr>
        <w:t xml:space="preserve">la Agencia Nacional de Contratación Pública - </w:t>
      </w:r>
      <w:r w:rsidRPr="002E294E">
        <w:rPr>
          <w:rFonts w:ascii="Verdana" w:eastAsia="Calibri" w:hAnsi="Verdana" w:cs="Arial"/>
          <w:color w:val="000000" w:themeColor="text1"/>
          <w:lang w:val="es-ES" w:eastAsia="es-ES"/>
        </w:rPr>
        <w:t xml:space="preserve">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2E294E">
        <w:rPr>
          <w:rFonts w:ascii="Verdana" w:hAnsi="Verdana"/>
          <w:color w:val="000000" w:themeColor="text1"/>
          <w:lang w:val="es-ES"/>
        </w:rPr>
        <w:tab/>
      </w:r>
    </w:p>
    <w:p w14:paraId="59694947" w14:textId="1971E580" w:rsidR="002C00CC" w:rsidRPr="002E294E" w:rsidRDefault="002C00CC" w:rsidP="002C00CC">
      <w:pPr>
        <w:spacing w:after="0" w:line="276" w:lineRule="auto"/>
        <w:ind w:firstLine="709"/>
        <w:jc w:val="both"/>
        <w:rPr>
          <w:rFonts w:ascii="Verdana" w:eastAsia="Calibri" w:hAnsi="Verdana" w:cs="Arial"/>
          <w:color w:val="000000" w:themeColor="text1"/>
          <w:lang w:val="es-ES" w:eastAsia="es-ES"/>
        </w:rPr>
      </w:pPr>
      <w:r w:rsidRPr="002E294E">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sidR="00130202">
        <w:rPr>
          <w:rFonts w:ascii="Verdana" w:eastAsia="Calibri" w:hAnsi="Verdana" w:cs="Arial"/>
          <w:color w:val="000000" w:themeColor="text1"/>
          <w:lang w:val="es-ES" w:eastAsia="es-ES"/>
        </w:rPr>
        <w:t>señalando</w:t>
      </w:r>
      <w:r w:rsidR="00130202" w:rsidRPr="002E294E">
        <w:rPr>
          <w:rFonts w:ascii="Verdana" w:eastAsia="Calibri" w:hAnsi="Verdana" w:cs="Arial"/>
          <w:color w:val="000000" w:themeColor="text1"/>
          <w:lang w:val="es-ES" w:eastAsia="es-ES"/>
        </w:rPr>
        <w:t xml:space="preserve"> </w:t>
      </w:r>
      <w:r w:rsidR="00130202">
        <w:rPr>
          <w:rFonts w:ascii="Verdana" w:eastAsia="Calibri" w:hAnsi="Verdana" w:cs="Arial"/>
          <w:color w:val="000000" w:themeColor="text1"/>
          <w:lang w:val="es-ES" w:eastAsia="es-ES"/>
        </w:rPr>
        <w:t>alg</w:t>
      </w:r>
      <w:r w:rsidRPr="002E294E">
        <w:rPr>
          <w:rFonts w:ascii="Verdana" w:eastAsia="Calibri" w:hAnsi="Verdana" w:cs="Arial"/>
          <w:color w:val="000000" w:themeColor="text1"/>
          <w:lang w:val="es-ES" w:eastAsia="es-ES"/>
        </w:rPr>
        <w:t xml:space="preserve">unas consideraciones sobre las normas generales relacionadas con el problema jurídico de su consulta. </w:t>
      </w:r>
    </w:p>
    <w:p w14:paraId="372D0A6D" w14:textId="77777777" w:rsidR="002C00CC" w:rsidRPr="002E294E" w:rsidRDefault="002C00CC" w:rsidP="00D743F6">
      <w:pPr>
        <w:spacing w:after="0" w:line="276" w:lineRule="auto"/>
        <w:ind w:firstLine="709"/>
        <w:jc w:val="both"/>
        <w:rPr>
          <w:rFonts w:ascii="Verdana" w:eastAsia="Calibri" w:hAnsi="Verdana" w:cs="Arial"/>
          <w:color w:val="000000" w:themeColor="text1"/>
          <w:lang w:val="es-ES" w:eastAsia="es-ES"/>
        </w:rPr>
      </w:pPr>
    </w:p>
    <w:p w14:paraId="55F5C513" w14:textId="77777777" w:rsidR="002C00CC" w:rsidRPr="002E294E" w:rsidRDefault="002C00CC" w:rsidP="00D93E65">
      <w:pPr>
        <w:tabs>
          <w:tab w:val="left" w:pos="142"/>
          <w:tab w:val="left" w:pos="284"/>
        </w:tabs>
        <w:spacing w:after="0" w:line="276" w:lineRule="auto"/>
        <w:jc w:val="both"/>
        <w:rPr>
          <w:rFonts w:ascii="Verdana" w:eastAsia="Century Gothic" w:hAnsi="Verdana" w:cs="Century Gothic"/>
          <w:b/>
          <w:color w:val="000000" w:themeColor="text1"/>
          <w:lang w:val="es-ES"/>
        </w:rPr>
      </w:pPr>
      <w:r w:rsidRPr="002E294E">
        <w:rPr>
          <w:rFonts w:ascii="Verdana" w:eastAsia="Century Gothic" w:hAnsi="Verdana" w:cs="Century Gothic"/>
          <w:b/>
          <w:color w:val="000000" w:themeColor="text1"/>
          <w:lang w:val="es-ES"/>
        </w:rPr>
        <w:t>1. Problema planteado:</w:t>
      </w:r>
    </w:p>
    <w:p w14:paraId="50963CB3" w14:textId="77777777" w:rsidR="002C00CC" w:rsidRPr="002E294E" w:rsidRDefault="002C00CC" w:rsidP="00746B65">
      <w:pPr>
        <w:tabs>
          <w:tab w:val="left" w:pos="426"/>
        </w:tabs>
        <w:spacing w:after="0" w:line="276" w:lineRule="auto"/>
        <w:jc w:val="both"/>
        <w:rPr>
          <w:rFonts w:ascii="Verdana" w:eastAsia="Century Gothic" w:hAnsi="Verdana" w:cs="Century Gothic"/>
          <w:color w:val="000000" w:themeColor="text1"/>
          <w:highlight w:val="lightGray"/>
          <w:lang w:val="es-ES"/>
        </w:rPr>
      </w:pPr>
    </w:p>
    <w:p w14:paraId="2EA36DDA" w14:textId="77777777" w:rsidR="002C00CC" w:rsidRPr="002E294E" w:rsidRDefault="002C00CC" w:rsidP="00AE121B">
      <w:pPr>
        <w:spacing w:after="0" w:line="276" w:lineRule="auto"/>
        <w:jc w:val="both"/>
        <w:rPr>
          <w:rFonts w:ascii="Verdana" w:eastAsia="Century Gothic" w:hAnsi="Verdana" w:cs="Century Gothic"/>
          <w:color w:val="ED7D31" w:themeColor="accent2"/>
        </w:rPr>
      </w:pPr>
      <w:r w:rsidRPr="002E294E">
        <w:rPr>
          <w:rFonts w:ascii="Verdana" w:eastAsia="Century Gothic" w:hAnsi="Verdana" w:cs="Century Gothic"/>
          <w:color w:val="000000" w:themeColor="text1"/>
          <w:lang w:val="es-ES"/>
        </w:rPr>
        <w:t>De acuerdo con el contenido de su solicitud, esta Agencia resolverá el siguiente problema jurídico:</w:t>
      </w:r>
      <w:r w:rsidRPr="002E294E">
        <w:rPr>
          <w:rFonts w:ascii="Verdana" w:eastAsia="Century Gothic" w:hAnsi="Verdana" w:cs="Century Gothic"/>
          <w:color w:val="000000" w:themeColor="text1"/>
        </w:rPr>
        <w:t xml:space="preserve"> </w:t>
      </w:r>
      <w:r w:rsidRPr="002E294E">
        <w:rPr>
          <w:rFonts w:ascii="Verdana" w:eastAsia="Century Gothic" w:hAnsi="Verdana" w:cs="Century Gothic"/>
        </w:rPr>
        <w:t>¿Es jurídicamente viable la suscripción de convenios entre entidades territoriales y los Cuerpos de Bomberos Voluntarios durante la vigencia de las restricciones previstas en la Ley 996 de 2005?</w:t>
      </w:r>
    </w:p>
    <w:p w14:paraId="4EBA2155" w14:textId="77777777" w:rsidR="002C00CC" w:rsidRPr="002E294E" w:rsidRDefault="002C00CC" w:rsidP="00E521A7">
      <w:pPr>
        <w:spacing w:after="0" w:line="276" w:lineRule="auto"/>
        <w:jc w:val="both"/>
        <w:rPr>
          <w:rFonts w:ascii="Verdana" w:eastAsia="Century Gothic" w:hAnsi="Verdana" w:cs="Century Gothic"/>
          <w:color w:val="ED7D31" w:themeColor="accent2"/>
          <w:highlight w:val="lightGray"/>
        </w:rPr>
      </w:pPr>
      <w:r w:rsidRPr="002E294E">
        <w:rPr>
          <w:rFonts w:ascii="Verdana" w:eastAsia="Century Gothic" w:hAnsi="Verdana" w:cs="Century Gothic"/>
          <w:color w:val="ED7D31" w:themeColor="accent2"/>
          <w:highlight w:val="lightGray"/>
        </w:rPr>
        <w:t xml:space="preserve">    </w:t>
      </w:r>
    </w:p>
    <w:p w14:paraId="559D8B40" w14:textId="4CE22D69" w:rsidR="002C00CC" w:rsidRDefault="002C00CC" w:rsidP="002C00CC">
      <w:pPr>
        <w:tabs>
          <w:tab w:val="left" w:pos="142"/>
          <w:tab w:val="left" w:pos="284"/>
        </w:tabs>
        <w:spacing w:after="0" w:line="276" w:lineRule="auto"/>
        <w:jc w:val="both"/>
        <w:rPr>
          <w:rFonts w:ascii="Verdana" w:eastAsia="Century Gothic" w:hAnsi="Verdana" w:cs="Century Gothic"/>
          <w:b/>
          <w:color w:val="000000" w:themeColor="text1"/>
          <w:lang w:val="es-ES"/>
        </w:rPr>
      </w:pPr>
      <w:r w:rsidRPr="002E294E">
        <w:rPr>
          <w:rFonts w:ascii="Verdana" w:eastAsia="Century Gothic" w:hAnsi="Verdana" w:cs="Century Gothic"/>
          <w:b/>
          <w:color w:val="000000" w:themeColor="text1"/>
          <w:lang w:val="es-ES"/>
        </w:rPr>
        <w:t>2. Respuesta:</w:t>
      </w:r>
    </w:p>
    <w:p w14:paraId="1BF4E40C" w14:textId="77777777" w:rsidR="00746B65" w:rsidRPr="002E294E" w:rsidRDefault="00746B65" w:rsidP="002C00CC">
      <w:pPr>
        <w:tabs>
          <w:tab w:val="left" w:pos="142"/>
          <w:tab w:val="left" w:pos="284"/>
        </w:tabs>
        <w:spacing w:after="0" w:line="276" w:lineRule="auto"/>
        <w:jc w:val="both"/>
        <w:rPr>
          <w:rFonts w:ascii="Verdana" w:eastAsia="Century Gothic" w:hAnsi="Verdana" w:cs="Century Gothic"/>
          <w:b/>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C00CC" w:rsidRPr="002E294E" w14:paraId="02A54DED" w14:textId="77777777" w:rsidTr="00EA53B7">
        <w:tc>
          <w:tcPr>
            <w:tcW w:w="8828" w:type="dxa"/>
          </w:tcPr>
          <w:p w14:paraId="24006B30" w14:textId="4DDCA896" w:rsidR="00AE121B" w:rsidRDefault="002C00CC" w:rsidP="00D93E65">
            <w:pPr>
              <w:spacing w:before="120" w:after="120" w:line="276" w:lineRule="auto"/>
              <w:jc w:val="both"/>
              <w:rPr>
                <w:rFonts w:ascii="Verdana" w:eastAsia="Calibri" w:hAnsi="Verdana" w:cs="Arial"/>
              </w:rPr>
            </w:pPr>
            <w:r w:rsidRPr="002E294E">
              <w:rPr>
                <w:rFonts w:ascii="Verdana" w:eastAsia="Calibri" w:hAnsi="Verdana" w:cs="Arial"/>
              </w:rPr>
              <w:lastRenderedPageBreak/>
              <w:t xml:space="preserve">Para responder el problema jurídico, es importante precisar que, durante la vigencia de las restricciones previstas en la Ley 996 de 2005, en cumplimiento de la obligación dispuesta en el artículo 3 de la Ley 1575 de 2012, las entidades territoriales pueden celebrar contratos o convenios con los </w:t>
            </w:r>
            <w:r w:rsidRPr="002E294E">
              <w:rPr>
                <w:rFonts w:ascii="Verdana" w:eastAsia="Calibri" w:hAnsi="Verdana" w:cs="Arial"/>
                <w:i/>
                <w:iCs/>
              </w:rPr>
              <w:t>Cuerpos de Bomberos Voluntarios,</w:t>
            </w:r>
            <w:r w:rsidRPr="002E294E">
              <w:rPr>
                <w:rFonts w:ascii="Verdana" w:eastAsia="Calibri" w:hAnsi="Verdana" w:cs="Arial"/>
              </w:rPr>
              <w:t xml:space="preserve"> siempre que la escogencia del contratista se realice mediante un procedimiento competitivo que </w:t>
            </w:r>
            <w:r w:rsidR="00D743F6">
              <w:rPr>
                <w:rFonts w:ascii="Verdana" w:eastAsia="Calibri" w:hAnsi="Verdana" w:cs="Arial"/>
              </w:rPr>
              <w:t xml:space="preserve">sea abierto y que </w:t>
            </w:r>
            <w:r w:rsidRPr="002E294E">
              <w:rPr>
                <w:rFonts w:ascii="Verdana" w:eastAsia="Calibri" w:hAnsi="Verdana" w:cs="Arial"/>
              </w:rPr>
              <w:t>garantice la participación de una pluralidad de oferentes</w:t>
            </w:r>
            <w:r w:rsidR="00D743F6">
              <w:rPr>
                <w:rFonts w:ascii="Verdana" w:eastAsia="Calibri" w:hAnsi="Verdana" w:cs="Arial"/>
              </w:rPr>
              <w:t xml:space="preserve">. Esto </w:t>
            </w:r>
            <w:r w:rsidRPr="002E294E">
              <w:rPr>
                <w:rFonts w:ascii="Verdana" w:eastAsia="Calibri" w:hAnsi="Verdana" w:cs="Arial"/>
              </w:rPr>
              <w:t>en la medida en que la prohibición contenida en el artículo 33 recae específicamente sobre la contratación directa. En consecuencia, la celebración de acuerdos derivados de procesos abiertos y competitivos resulta jurídicamente viable dentro del periodo de la Ley de Garantías</w:t>
            </w:r>
            <w:r w:rsidR="00AE121B">
              <w:rPr>
                <w:rFonts w:ascii="Verdana" w:eastAsia="Calibri" w:hAnsi="Verdana" w:cs="Arial"/>
              </w:rPr>
              <w:t xml:space="preserve"> Electorales</w:t>
            </w:r>
            <w:r w:rsidRPr="002E294E">
              <w:rPr>
                <w:rFonts w:ascii="Verdana" w:eastAsia="Calibri" w:hAnsi="Verdana" w:cs="Arial"/>
              </w:rPr>
              <w:t xml:space="preserve">. </w:t>
            </w:r>
          </w:p>
          <w:p w14:paraId="09A17749" w14:textId="3F1CD526" w:rsidR="002C00CC" w:rsidRDefault="002C00CC" w:rsidP="00EA53B7">
            <w:pPr>
              <w:spacing w:before="120" w:after="120" w:line="276" w:lineRule="auto"/>
              <w:ind w:firstLine="709"/>
              <w:jc w:val="both"/>
              <w:rPr>
                <w:rFonts w:ascii="Verdana" w:eastAsia="Calibri" w:hAnsi="Verdana" w:cs="Arial"/>
              </w:rPr>
            </w:pPr>
            <w:r w:rsidRPr="002E294E">
              <w:rPr>
                <w:rFonts w:ascii="Verdana" w:eastAsia="Calibri" w:hAnsi="Verdana" w:cs="Arial"/>
              </w:rPr>
              <w:t>No obstante, excepcionalmente, durante la vigencia de la restricción del artículo 33 de la Ley 996 de 2005, las entidades estatales podrán acudir a mecanismos de contratación directa para celebrar este tipo de contratos o convenios cuando: i) se configure alguna de las causales de contratación directa previstas en la ley; y ii) el objeto contractual se enmarque en alguna de las excepciones previstas en el inciso segundo del artículo 33 de la Ley 996 de 2005, particularmente con aquellas actividades relacionadas con la atención de emergencias o desastres, comprendidas dentro del servicios prestados por los Cuerpos de Bomberos con sustento en las leyes 1523 y 1575 de 2012, circunstancia que debe ser analizada y debidamente sustentada por la entidad estatal en cada caso concreto. En ausencia de tales supuestos, la entidad deberá acudir a mecanismos de selección competitivos para dar cumplimiento al inciso cuarto del artículo 3 de la Ley 1523 de 2012, garantizando la validez de la contratación durante el periodo de restricción electoral.</w:t>
            </w:r>
          </w:p>
          <w:p w14:paraId="5029DBEF" w14:textId="3B0F834F" w:rsidR="00AE121B" w:rsidRPr="002E294E" w:rsidRDefault="00AE121B" w:rsidP="00AE121B">
            <w:pPr>
              <w:spacing w:before="120" w:after="120" w:line="276" w:lineRule="auto"/>
              <w:ind w:firstLine="709"/>
              <w:jc w:val="both"/>
              <w:rPr>
                <w:rFonts w:ascii="Verdana" w:eastAsia="Calibri" w:hAnsi="Verdana" w:cs="Arial"/>
              </w:rPr>
            </w:pPr>
            <w:r>
              <w:rPr>
                <w:rFonts w:ascii="Verdana" w:eastAsia="Calibri" w:hAnsi="Verdana" w:cs="Arial"/>
              </w:rPr>
              <w:t>Por otro lado, l</w:t>
            </w:r>
            <w:r w:rsidRPr="002E294E">
              <w:rPr>
                <w:rFonts w:ascii="Verdana" w:eastAsia="Calibri" w:hAnsi="Verdana" w:cs="Arial"/>
              </w:rPr>
              <w:t xml:space="preserve">a prohibición de celebrar </w:t>
            </w:r>
            <w:r w:rsidRPr="002E294E">
              <w:rPr>
                <w:rFonts w:ascii="Verdana" w:eastAsia="Calibri" w:hAnsi="Verdana" w:cs="Arial"/>
                <w:i/>
                <w:iCs/>
              </w:rPr>
              <w:t>convenios interadministrativos</w:t>
            </w:r>
            <w:r w:rsidRPr="002E294E">
              <w:rPr>
                <w:rFonts w:ascii="Verdana" w:eastAsia="Calibri" w:hAnsi="Verdana" w:cs="Arial"/>
              </w:rPr>
              <w:t xml:space="preserve"> prevista en el parágrafo del artículo 38 de la Ley 996 de 2005 no resulta aplicable cuando el acuerdo se suscribe con </w:t>
            </w:r>
            <w:r w:rsidRPr="00D93E65">
              <w:rPr>
                <w:rFonts w:ascii="Verdana" w:eastAsia="Calibri" w:hAnsi="Verdana" w:cs="Arial"/>
                <w:i/>
                <w:iCs/>
              </w:rPr>
              <w:t>Cuerpos de Bomberos Voluntarios</w:t>
            </w:r>
            <w:r w:rsidRPr="002E294E">
              <w:rPr>
                <w:rFonts w:ascii="Verdana" w:eastAsia="Calibri" w:hAnsi="Verdana" w:cs="Arial"/>
              </w:rPr>
              <w:t>, debido a su naturaleza jurídica privada, lo que impide que dichos convenios sean calificados como interadministrativos bajo el criterio orgánico que caracteriza esta modalidad contractual.</w:t>
            </w:r>
          </w:p>
          <w:p w14:paraId="1269DF39" w14:textId="77777777" w:rsidR="002C00CC" w:rsidRPr="002E294E" w:rsidRDefault="002C00CC" w:rsidP="00EA53B7">
            <w:pPr>
              <w:spacing w:line="276" w:lineRule="auto"/>
              <w:ind w:firstLine="709"/>
              <w:jc w:val="both"/>
              <w:rPr>
                <w:rFonts w:ascii="Verdana" w:eastAsia="Calibri" w:hAnsi="Verdana" w:cs="Arial"/>
                <w:highlight w:val="lightGray"/>
              </w:rPr>
            </w:pPr>
            <w:r w:rsidRPr="002E294E">
              <w:rPr>
                <w:rFonts w:ascii="Verdana" w:eastAsia="Calibri" w:hAnsi="Verdana" w:cs="Arial"/>
                <w:bCs/>
              </w:rPr>
              <w:t xml:space="preserve">Finalmente, al margen de la explicación precedente debe advertirse que </w:t>
            </w:r>
            <w:r w:rsidRPr="002E294E">
              <w:rPr>
                <w:rStyle w:val="s15"/>
                <w:rFonts w:ascii="Verdana" w:hAnsi="Verdana"/>
              </w:rPr>
              <w:t>el análisis requerido para resolver problemas específicos en torno a la gestión contractual debe ser realizado por quienes tengan interés en ello, de acuerdo con lo explicado la aclaración preliminar del presente oficio.</w:t>
            </w:r>
            <w:r w:rsidRPr="002E294E">
              <w:rPr>
                <w:rStyle w:val="apple-converted-space"/>
                <w:rFonts w:ascii="Verdana" w:hAnsi="Verdana"/>
              </w:rPr>
              <w:t> </w:t>
            </w:r>
            <w:r w:rsidRPr="002E294E">
              <w:rPr>
                <w:rStyle w:val="s15"/>
                <w:rFonts w:ascii="Verdana" w:hAnsi="Verdana"/>
              </w:rPr>
              <w:t xml:space="preserve">Por lo anterior, </w:t>
            </w:r>
            <w:r w:rsidRPr="002E294E">
              <w:rPr>
                <w:rStyle w:val="s15"/>
                <w:rFonts w:ascii="Verdana" w:hAnsi="Verdana"/>
              </w:rPr>
              <w:lastRenderedPageBreak/>
              <w:t>previo</w:t>
            </w:r>
            <w:r w:rsidRPr="002E294E">
              <w:rPr>
                <w:rStyle w:val="apple-converted-space"/>
                <w:rFonts w:ascii="Verdana" w:hAnsi="Verdana"/>
              </w:rPr>
              <w:t> </w:t>
            </w:r>
            <w:r w:rsidRPr="002E294E">
              <w:rPr>
                <w:rStyle w:val="s15"/>
                <w:rFonts w:ascii="Verdana" w:hAnsi="Verdana"/>
              </w:rPr>
              <w:t>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1AAB23C3" w14:textId="77777777" w:rsidR="002C00CC" w:rsidRPr="002E294E" w:rsidRDefault="002C00CC" w:rsidP="002C00CC">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3287BF31" w14:textId="77777777" w:rsidR="002C00CC" w:rsidRPr="002E294E" w:rsidRDefault="002C00CC" w:rsidP="002C00CC">
      <w:pPr>
        <w:tabs>
          <w:tab w:val="left" w:pos="142"/>
          <w:tab w:val="left" w:pos="284"/>
        </w:tabs>
        <w:spacing w:after="0" w:line="276" w:lineRule="auto"/>
        <w:jc w:val="both"/>
        <w:rPr>
          <w:rFonts w:ascii="Verdana" w:eastAsia="Century Gothic" w:hAnsi="Verdana" w:cs="Century Gothic"/>
          <w:b/>
          <w:color w:val="000000" w:themeColor="text1"/>
          <w:lang w:val="es-ES"/>
        </w:rPr>
      </w:pPr>
      <w:r w:rsidRPr="002E294E">
        <w:rPr>
          <w:rFonts w:ascii="Verdana" w:eastAsia="Century Gothic" w:hAnsi="Verdana" w:cs="Century Gothic"/>
          <w:b/>
          <w:color w:val="000000" w:themeColor="text1"/>
          <w:lang w:val="es-ES"/>
        </w:rPr>
        <w:t>3. Razones de la respuesta:</w:t>
      </w:r>
    </w:p>
    <w:p w14:paraId="1CBE92FE" w14:textId="77777777" w:rsidR="002C00CC" w:rsidRPr="002E294E" w:rsidRDefault="002C00CC" w:rsidP="002C00CC">
      <w:pPr>
        <w:spacing w:after="0" w:line="276" w:lineRule="auto"/>
        <w:jc w:val="both"/>
        <w:rPr>
          <w:rFonts w:ascii="Verdana" w:eastAsia="Calibri" w:hAnsi="Verdana" w:cs="Arial"/>
          <w:color w:val="000000" w:themeColor="text1"/>
          <w:lang w:val="es-ES"/>
        </w:rPr>
      </w:pPr>
    </w:p>
    <w:p w14:paraId="5619EC18" w14:textId="77777777" w:rsidR="002C00CC" w:rsidRPr="002E294E" w:rsidRDefault="002C00CC" w:rsidP="002C00CC">
      <w:pPr>
        <w:spacing w:after="0" w:line="276" w:lineRule="auto"/>
        <w:jc w:val="both"/>
        <w:rPr>
          <w:rFonts w:ascii="Verdana" w:eastAsia="Calibri" w:hAnsi="Verdana" w:cs="Arial"/>
          <w:color w:val="000000" w:themeColor="text1"/>
          <w:lang w:val="es-ES"/>
        </w:rPr>
      </w:pPr>
      <w:r w:rsidRPr="002E294E">
        <w:rPr>
          <w:rFonts w:ascii="Verdana" w:eastAsia="Calibri" w:hAnsi="Verdana" w:cs="Arial"/>
          <w:color w:val="000000" w:themeColor="text1"/>
          <w:lang w:val="es-ES"/>
        </w:rPr>
        <w:t xml:space="preserve">Las respuestas anteriores se sustentan en las siguientes consideraciones: </w:t>
      </w:r>
    </w:p>
    <w:p w14:paraId="3B833C0C" w14:textId="77777777" w:rsidR="002C00CC" w:rsidRPr="002E294E" w:rsidRDefault="002C00CC" w:rsidP="002C00CC">
      <w:pPr>
        <w:tabs>
          <w:tab w:val="left" w:pos="142"/>
          <w:tab w:val="left" w:pos="284"/>
        </w:tabs>
        <w:spacing w:after="0" w:line="276" w:lineRule="auto"/>
        <w:jc w:val="both"/>
        <w:rPr>
          <w:rFonts w:ascii="Verdana" w:eastAsia="Century Gothic" w:hAnsi="Verdana" w:cs="Century Gothic"/>
          <w:b/>
          <w:color w:val="ED7D31" w:themeColor="accent2"/>
          <w:highlight w:val="lightGray"/>
          <w:lang w:val="es-ES"/>
        </w:rPr>
      </w:pPr>
    </w:p>
    <w:p w14:paraId="34A35E58" w14:textId="77777777" w:rsidR="002C00CC" w:rsidRPr="002E294E" w:rsidRDefault="002C00CC" w:rsidP="00C87EB5">
      <w:pPr>
        <w:tabs>
          <w:tab w:val="left" w:pos="426"/>
        </w:tabs>
        <w:spacing w:after="120" w:line="276" w:lineRule="auto"/>
        <w:jc w:val="both"/>
        <w:rPr>
          <w:rFonts w:ascii="Verdana" w:eastAsia="Calibri" w:hAnsi="Verdana" w:cs="Arial"/>
          <w:bCs/>
          <w:lang w:val="es-ES_tradnl" w:eastAsia="es-CO"/>
        </w:rPr>
      </w:pPr>
      <w:bookmarkStart w:id="1" w:name="_Hlk102983874"/>
      <w:bookmarkStart w:id="2" w:name="_Hlk102388095"/>
      <w:r w:rsidRPr="002E294E">
        <w:rPr>
          <w:rFonts w:ascii="Verdana" w:eastAsia="Calibri" w:hAnsi="Verdana" w:cs="Arial"/>
          <w:bCs/>
          <w:lang w:eastAsia="es-ES_tradnl"/>
        </w:rPr>
        <w:t xml:space="preserve">i. </w:t>
      </w:r>
      <w:r w:rsidRPr="002E294E">
        <w:rPr>
          <w:rFonts w:ascii="Verdana" w:eastAsia="Calibri" w:hAnsi="Verdana" w:cs="Arial"/>
          <w:bCs/>
          <w:lang w:val="es-ES_tradnl" w:eastAsia="es-ES_tradnl"/>
        </w:rPr>
        <w:t>El ordenamiento jurídico colombiano contempla previsiones claras para evitar la obtención de beneficios personales en asuntos propios de la administración pública</w:t>
      </w:r>
      <w:r w:rsidRPr="002E294E">
        <w:rPr>
          <w:rFonts w:ascii="Verdana" w:eastAsia="Calibri" w:hAnsi="Verdana" w:cs="Arial"/>
          <w:bCs/>
          <w:i/>
          <w:iCs/>
          <w:lang w:val="es-ES_tradnl" w:eastAsia="es-ES_tradnl"/>
        </w:rPr>
        <w:t xml:space="preserve">. </w:t>
      </w:r>
      <w:r w:rsidRPr="002E294E">
        <w:rPr>
          <w:rFonts w:ascii="Verdana" w:eastAsia="Calibri" w:hAnsi="Verdana" w:cs="Arial"/>
          <w:bCs/>
          <w:lang w:val="es-ES_tradnl" w:eastAsia="es-ES_tradnl"/>
        </w:rPr>
        <w:t>Por ejemplo, el artículo 127 de la Constitución Política establece una prohibición contractual a los servidores públicos y, en cuanto a aspectos políticos establece restricciones a ciertos empleados del Estado, incluso en época no electoral</w:t>
      </w:r>
      <w:r w:rsidRPr="002E294E">
        <w:rPr>
          <w:rFonts w:ascii="Verdana" w:eastAsia="Calibri" w:hAnsi="Verdana" w:cs="Arial"/>
          <w:bCs/>
          <w:vertAlign w:val="superscript"/>
          <w:lang w:val="es-ES_tradnl" w:eastAsia="es-ES_tradnl"/>
        </w:rPr>
        <w:footnoteReference w:id="1"/>
      </w:r>
      <w:r w:rsidRPr="002E294E">
        <w:rPr>
          <w:rFonts w:ascii="Verdana" w:eastAsia="Calibri" w:hAnsi="Verdana" w:cs="Arial"/>
          <w:bCs/>
          <w:lang w:val="es-ES_tradnl" w:eastAsia="es-ES_tradnl"/>
        </w:rPr>
        <w:t xml:space="preserve">. </w:t>
      </w:r>
    </w:p>
    <w:p w14:paraId="32088794" w14:textId="77777777" w:rsidR="008C6276" w:rsidRDefault="002C00CC" w:rsidP="00D93E65">
      <w:pPr>
        <w:tabs>
          <w:tab w:val="left" w:pos="426"/>
        </w:tabs>
        <w:spacing w:after="120" w:line="276" w:lineRule="auto"/>
        <w:ind w:firstLine="709"/>
        <w:jc w:val="both"/>
        <w:rPr>
          <w:rFonts w:ascii="Verdana" w:eastAsia="Calibri" w:hAnsi="Verdana" w:cs="Arial"/>
          <w:noProof/>
          <w:lang w:val="es-ES_tradnl" w:eastAsia="es-ES_tradnl"/>
        </w:rPr>
      </w:pPr>
      <w:r w:rsidRPr="002E294E">
        <w:rPr>
          <w:rFonts w:ascii="Verdana" w:eastAsia="Calibri" w:hAnsi="Verdana" w:cs="Arial"/>
          <w:bCs/>
          <w:lang w:val="es-ES_tradnl" w:eastAsia="es-CO"/>
        </w:rPr>
        <w:t>En el mismo sentido,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2E294E">
        <w:rPr>
          <w:rFonts w:ascii="Verdana" w:eastAsia="Calibri" w:hAnsi="Verdana" w:cs="Arial"/>
          <w:bCs/>
          <w:vertAlign w:val="superscript"/>
          <w:lang w:val="es-ES_tradnl" w:eastAsia="es-CO"/>
        </w:rPr>
        <w:footnoteReference w:id="2"/>
      </w:r>
      <w:r w:rsidRPr="002E294E">
        <w:rPr>
          <w:rFonts w:ascii="Verdana" w:eastAsia="Calibri" w:hAnsi="Verdana" w:cs="Arial"/>
          <w:bCs/>
          <w:lang w:val="es-ES_tradnl" w:eastAsia="es-CO"/>
        </w:rPr>
        <w:t>. En esta medida, introduce limitaciones para realizar nombramientos, postulaciones, contrataciones o cualquier otro tipo de actividad que implique destinación de recursos públicos bajo el devenir propio de las entidades estatales.</w:t>
      </w:r>
      <w:r w:rsidRPr="002E294E">
        <w:rPr>
          <w:rFonts w:ascii="Verdana" w:eastAsia="Calibri" w:hAnsi="Verdana" w:cs="Arial"/>
          <w:noProof/>
          <w:lang w:val="es-ES_tradnl" w:eastAsia="es-ES_tradnl"/>
        </w:rPr>
        <w:t xml:space="preserve"> </w:t>
      </w:r>
    </w:p>
    <w:p w14:paraId="7A672278" w14:textId="1553CB05" w:rsidR="002C00CC" w:rsidRDefault="002C00CC" w:rsidP="002C00CC">
      <w:pPr>
        <w:tabs>
          <w:tab w:val="left" w:pos="426"/>
        </w:tabs>
        <w:spacing w:after="0" w:line="276" w:lineRule="auto"/>
        <w:ind w:firstLine="709"/>
        <w:jc w:val="both"/>
        <w:rPr>
          <w:rFonts w:ascii="Verdana" w:eastAsia="Calibri" w:hAnsi="Verdana" w:cs="Arial"/>
          <w:bCs/>
          <w:lang w:val="es-ES_tradnl" w:eastAsia="es-CO"/>
        </w:rPr>
      </w:pPr>
      <w:r w:rsidRPr="002E294E">
        <w:rPr>
          <w:rFonts w:ascii="Verdana" w:eastAsia="Calibri" w:hAnsi="Verdana" w:cs="Arial"/>
          <w:bCs/>
          <w:lang w:val="es-ES_tradnl" w:eastAsia="es-CO"/>
        </w:rPr>
        <w:t>En armonía con lo anterior, la Corte Constitucional ha abordado la definición de la Ley de Garantías Electorales, en los siguientes términos:</w:t>
      </w:r>
    </w:p>
    <w:p w14:paraId="4AA02AA6" w14:textId="77777777" w:rsidR="00C87EB5" w:rsidRPr="002E294E" w:rsidRDefault="00C87EB5" w:rsidP="002C00CC">
      <w:pPr>
        <w:tabs>
          <w:tab w:val="left" w:pos="426"/>
        </w:tabs>
        <w:spacing w:after="0" w:line="276" w:lineRule="auto"/>
        <w:ind w:firstLine="709"/>
        <w:jc w:val="both"/>
        <w:rPr>
          <w:rFonts w:ascii="Verdana" w:eastAsia="Calibri" w:hAnsi="Verdana" w:cs="Arial"/>
          <w:bCs/>
          <w:lang w:val="es-ES_tradnl" w:eastAsia="es-CO"/>
        </w:rPr>
      </w:pPr>
    </w:p>
    <w:p w14:paraId="61A240E4" w14:textId="7BEC89A1" w:rsidR="002C00CC" w:rsidRPr="002E294E" w:rsidRDefault="008C6276" w:rsidP="002C00CC">
      <w:pPr>
        <w:spacing w:after="0" w:line="240" w:lineRule="auto"/>
        <w:ind w:left="709" w:right="709"/>
        <w:jc w:val="both"/>
        <w:rPr>
          <w:rFonts w:ascii="Verdana" w:eastAsia="Calibri" w:hAnsi="Verdana" w:cs="Arial"/>
          <w:bCs/>
          <w:sz w:val="20"/>
          <w:szCs w:val="20"/>
          <w:lang w:val="es-ES_tradnl" w:eastAsia="es-CO"/>
        </w:rPr>
      </w:pPr>
      <w:r>
        <w:rPr>
          <w:rFonts w:ascii="Verdana" w:eastAsia="Calibri" w:hAnsi="Verdana" w:cs="Arial"/>
          <w:sz w:val="20"/>
          <w:szCs w:val="20"/>
          <w:lang w:val="es-ES" w:eastAsia="es-CO"/>
        </w:rPr>
        <w:lastRenderedPageBreak/>
        <w:t>“</w:t>
      </w:r>
      <w:r w:rsidR="002C00CC" w:rsidRPr="002E294E">
        <w:rPr>
          <w:rFonts w:ascii="Verdana" w:eastAsia="Calibri" w:hAnsi="Verdana" w:cs="Arial"/>
          <w:sz w:val="20"/>
          <w:szCs w:val="20"/>
          <w:lang w:val="es-ES" w:eastAsia="es-CO"/>
        </w:rPr>
        <w:t xml:space="preserve">[…] </w:t>
      </w:r>
      <w:r w:rsidR="002C00CC" w:rsidRPr="002E294E">
        <w:rPr>
          <w:rFonts w:ascii="Verdana" w:eastAsia="Calibri" w:hAnsi="Verdana" w:cs="Arial"/>
          <w:bCs/>
          <w:sz w:val="20"/>
          <w:szCs w:val="20"/>
          <w:lang w:val="es-ES_tradnl" w:eastAsia="es-CO"/>
        </w:rPr>
        <w:t>la definición de reglas claras que permitan acceder a los canales de expresión democrática de manera efectiva e igualitaria. El objetivo de una ley de garantías es definir esas reglas.</w:t>
      </w:r>
    </w:p>
    <w:p w14:paraId="28A048DD" w14:textId="77777777" w:rsidR="002C00CC" w:rsidRPr="002E294E" w:rsidRDefault="002C00CC" w:rsidP="002C00CC">
      <w:pPr>
        <w:spacing w:after="0" w:line="240" w:lineRule="auto"/>
        <w:ind w:left="709" w:right="709"/>
        <w:jc w:val="both"/>
        <w:rPr>
          <w:rFonts w:ascii="Verdana" w:eastAsia="Calibri" w:hAnsi="Verdana" w:cs="Arial"/>
          <w:bCs/>
          <w:sz w:val="20"/>
          <w:szCs w:val="20"/>
          <w:lang w:val="es-ES_tradnl" w:eastAsia="es-CO"/>
        </w:rPr>
      </w:pPr>
      <w:r w:rsidRPr="002E294E">
        <w:rPr>
          <w:rFonts w:ascii="Verdana" w:eastAsia="Calibri" w:hAnsi="Verdana" w:cs="Arial"/>
          <w:bCs/>
          <w:sz w:val="20"/>
          <w:szCs w:val="20"/>
          <w:lang w:val="es-ES_tradnl" w:eastAsia="es-CO"/>
        </w:rPr>
        <w:t xml:space="preserve">[…] </w:t>
      </w:r>
    </w:p>
    <w:p w14:paraId="28181E8D" w14:textId="171A4F7D" w:rsidR="002C00CC" w:rsidRPr="002E294E" w:rsidRDefault="002C00CC" w:rsidP="002C00CC">
      <w:pPr>
        <w:spacing w:after="0" w:line="240" w:lineRule="auto"/>
        <w:ind w:left="709" w:right="709"/>
        <w:jc w:val="both"/>
        <w:rPr>
          <w:rFonts w:ascii="Verdana" w:eastAsia="Calibri" w:hAnsi="Verdana" w:cs="Arial"/>
          <w:bCs/>
          <w:sz w:val="20"/>
          <w:szCs w:val="20"/>
          <w:lang w:val="es-ES_tradnl" w:eastAsia="es-CO"/>
        </w:rPr>
      </w:pPr>
      <w:r w:rsidRPr="002E294E">
        <w:rPr>
          <w:rFonts w:ascii="Verdana" w:eastAsia="Calibri" w:hAnsi="Verdana" w:cs="Arial"/>
          <w:bCs/>
          <w:sz w:val="20"/>
          <w:szCs w:val="20"/>
          <w:lang w:val="es-ES_tradnl"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008C6276">
        <w:rPr>
          <w:rFonts w:ascii="Verdana" w:eastAsia="Calibri" w:hAnsi="Verdana" w:cs="Arial"/>
          <w:bCs/>
          <w:sz w:val="20"/>
          <w:szCs w:val="20"/>
          <w:lang w:val="es-ES_tradnl" w:eastAsia="es-CO"/>
        </w:rPr>
        <w:t>”</w:t>
      </w:r>
      <w:r w:rsidRPr="002E294E">
        <w:rPr>
          <w:rFonts w:ascii="Verdana" w:eastAsia="Calibri" w:hAnsi="Verdana" w:cs="Arial"/>
          <w:sz w:val="20"/>
          <w:szCs w:val="20"/>
          <w:vertAlign w:val="superscript"/>
          <w:lang w:val="es-ES_tradnl" w:eastAsia="es-ES_tradnl"/>
        </w:rPr>
        <w:footnoteReference w:id="3"/>
      </w:r>
      <w:r w:rsidR="008C6276">
        <w:rPr>
          <w:rFonts w:ascii="Verdana" w:eastAsia="Calibri" w:hAnsi="Verdana" w:cs="Arial"/>
          <w:bCs/>
          <w:sz w:val="20"/>
          <w:szCs w:val="20"/>
          <w:lang w:val="es-ES_tradnl" w:eastAsia="es-CO"/>
        </w:rPr>
        <w:t>.</w:t>
      </w:r>
    </w:p>
    <w:p w14:paraId="4058E003" w14:textId="77777777" w:rsidR="002C00CC" w:rsidRPr="002E294E" w:rsidRDefault="002C00CC" w:rsidP="002C00CC">
      <w:pPr>
        <w:spacing w:after="0" w:line="240" w:lineRule="auto"/>
        <w:ind w:left="709" w:right="709"/>
        <w:jc w:val="both"/>
        <w:rPr>
          <w:rFonts w:ascii="Verdana" w:eastAsia="Calibri" w:hAnsi="Verdana" w:cs="Arial"/>
          <w:bCs/>
          <w:sz w:val="20"/>
          <w:szCs w:val="20"/>
          <w:lang w:val="es-ES_tradnl" w:eastAsia="es-CO"/>
        </w:rPr>
      </w:pPr>
    </w:p>
    <w:p w14:paraId="2C96B64C" w14:textId="77777777" w:rsidR="002C00CC" w:rsidRPr="002E294E" w:rsidRDefault="002C00CC" w:rsidP="002C00CC">
      <w:pPr>
        <w:spacing w:after="120" w:line="276" w:lineRule="auto"/>
        <w:ind w:firstLine="709"/>
        <w:jc w:val="both"/>
        <w:rPr>
          <w:rFonts w:ascii="Verdana" w:eastAsia="Times New Roman" w:hAnsi="Verdana" w:cs="Arial"/>
          <w:bCs/>
          <w:lang w:val="es-MX" w:eastAsia="es-CO"/>
        </w:rPr>
      </w:pPr>
      <w:bookmarkStart w:id="3" w:name="_Hlk78818186"/>
      <w:r w:rsidRPr="002E294E">
        <w:rPr>
          <w:rFonts w:ascii="Verdana" w:eastAsia="Times New Roman" w:hAnsi="Verdana" w:cs="Arial"/>
          <w:bCs/>
          <w:lang w:val="es-MX" w:eastAsia="es-CO"/>
        </w:rPr>
        <w:t xml:space="preserve">En este contexto, la Ley de Garantías Electorales establece el marco jurídico para el desarrollo de las elecciones, procurando condiciones de igualdad y transparencia para los aspirantes y, paralelamente, incluyendo restricciones en el actuar de los servidores públicos, las cuales buscan evitar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w:t>
      </w:r>
    </w:p>
    <w:p w14:paraId="2CDC47F8" w14:textId="7D91061B" w:rsidR="002C00CC" w:rsidRDefault="002C00CC" w:rsidP="00C87EB5">
      <w:pPr>
        <w:spacing w:after="0" w:line="276" w:lineRule="auto"/>
        <w:ind w:left="142" w:firstLine="709"/>
        <w:jc w:val="both"/>
        <w:rPr>
          <w:rFonts w:ascii="Verdana" w:eastAsia="Times New Roman" w:hAnsi="Verdana" w:cs="Arial"/>
          <w:bCs/>
          <w:lang w:val="es-MX" w:eastAsia="es-CO"/>
        </w:rPr>
      </w:pPr>
      <w:r w:rsidRPr="002E294E">
        <w:rPr>
          <w:rFonts w:ascii="Verdana" w:eastAsia="Times New Roman" w:hAnsi="Verdana" w:cs="Arial"/>
          <w:bCs/>
          <w:lang w:val="es-MX" w:eastAsia="es-CO"/>
        </w:rPr>
        <w:t>En efecto, la Sala de Consulta y Servicio Civil del Consejo de Estado al analizar la referida ley, precisó lo siguiente:</w:t>
      </w:r>
      <w:bookmarkEnd w:id="3"/>
    </w:p>
    <w:p w14:paraId="3FA437EA" w14:textId="77777777" w:rsidR="00C87EB5" w:rsidRPr="002E294E" w:rsidRDefault="00C87EB5" w:rsidP="00D93E65">
      <w:pPr>
        <w:spacing w:after="0" w:line="276" w:lineRule="auto"/>
        <w:ind w:left="142" w:firstLine="709"/>
        <w:jc w:val="both"/>
        <w:rPr>
          <w:rFonts w:ascii="Verdana" w:eastAsia="Calibri" w:hAnsi="Verdana" w:cs="Arial"/>
          <w:bCs/>
          <w:lang w:val="es-ES_tradnl" w:eastAsia="es-CO"/>
        </w:rPr>
      </w:pPr>
    </w:p>
    <w:p w14:paraId="19C1BE14" w14:textId="1178230C" w:rsidR="002C00CC" w:rsidRPr="002E294E" w:rsidRDefault="00C771C1" w:rsidP="00D93E65">
      <w:pPr>
        <w:spacing w:after="0" w:line="240" w:lineRule="auto"/>
        <w:ind w:left="850" w:right="709"/>
        <w:jc w:val="both"/>
        <w:rPr>
          <w:rFonts w:ascii="Verdana" w:eastAsia="Calibri" w:hAnsi="Verdana" w:cs="Arial"/>
          <w:sz w:val="20"/>
          <w:szCs w:val="20"/>
          <w:lang w:val="es-ES" w:eastAsia="es-CO"/>
        </w:rPr>
      </w:pPr>
      <w:r>
        <w:rPr>
          <w:rFonts w:ascii="Verdana" w:eastAsia="Calibri" w:hAnsi="Verdana" w:cs="Arial"/>
          <w:sz w:val="20"/>
          <w:szCs w:val="20"/>
          <w:lang w:val="es-ES" w:eastAsia="es-CO"/>
        </w:rPr>
        <w:t>“</w:t>
      </w:r>
      <w:r w:rsidR="002C00CC" w:rsidRPr="002E294E">
        <w:rPr>
          <w:rFonts w:ascii="Verdana" w:eastAsia="Calibri" w:hAnsi="Verdana" w:cs="Arial"/>
          <w:sz w:val="20"/>
          <w:szCs w:val="20"/>
          <w:lang w:val="es-ES"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38A5B598" w14:textId="52ACC078" w:rsidR="002C00CC" w:rsidRPr="002E294E" w:rsidRDefault="002C00CC" w:rsidP="00D93E65">
      <w:pPr>
        <w:spacing w:after="0" w:line="240" w:lineRule="auto"/>
        <w:ind w:left="850" w:right="709"/>
        <w:jc w:val="both"/>
        <w:rPr>
          <w:rFonts w:ascii="Verdana" w:eastAsia="Calibri" w:hAnsi="Verdana" w:cs="Arial"/>
          <w:bCs/>
          <w:sz w:val="20"/>
          <w:szCs w:val="20"/>
          <w:lang w:val="es-ES_tradnl" w:eastAsia="es-CO"/>
        </w:rPr>
      </w:pPr>
      <w:r w:rsidRPr="002E294E">
        <w:rPr>
          <w:rFonts w:ascii="Verdana" w:eastAsia="Calibri" w:hAnsi="Verdana" w:cs="Arial"/>
          <w:bCs/>
          <w:sz w:val="20"/>
          <w:szCs w:val="20"/>
          <w:lang w:val="es-ES_tradnl" w:eastAsia="es-CO"/>
        </w:rPr>
        <w:t>La jurisprudencia de la Corte Constitucional</w:t>
      </w:r>
      <w:r w:rsidRPr="002E294E">
        <w:rPr>
          <w:rFonts w:ascii="Verdana" w:eastAsia="Calibri" w:hAnsi="Verdana" w:cs="Arial"/>
          <w:bCs/>
          <w:sz w:val="20"/>
          <w:szCs w:val="20"/>
          <w:vertAlign w:val="superscript"/>
          <w:lang w:val="es-ES_tradnl" w:eastAsia="es-CO"/>
        </w:rPr>
        <w:footnoteReference w:id="4"/>
      </w:r>
      <w:r w:rsidRPr="002E294E">
        <w:rPr>
          <w:rFonts w:ascii="Verdana" w:eastAsia="Calibri" w:hAnsi="Verdana" w:cs="Arial"/>
          <w:bCs/>
          <w:sz w:val="20"/>
          <w:szCs w:val="20"/>
          <w:lang w:val="es-ES_tradnl" w:eastAsia="es-CO"/>
        </w:rPr>
        <w:t> y del Consejo de Estado</w:t>
      </w:r>
      <w:r w:rsidRPr="002E294E">
        <w:rPr>
          <w:rFonts w:ascii="Verdana" w:eastAsia="Calibri" w:hAnsi="Verdana" w:cs="Arial"/>
          <w:bCs/>
          <w:sz w:val="20"/>
          <w:szCs w:val="20"/>
          <w:vertAlign w:val="superscript"/>
          <w:lang w:val="es-ES_tradnl" w:eastAsia="es-CO"/>
        </w:rPr>
        <w:footnoteReference w:id="5"/>
      </w:r>
      <w:r w:rsidRPr="002E294E">
        <w:rPr>
          <w:rFonts w:ascii="Verdana" w:eastAsia="Calibri" w:hAnsi="Verdana" w:cs="Arial"/>
          <w:bCs/>
          <w:sz w:val="20"/>
          <w:szCs w:val="20"/>
          <w:lang w:val="es-ES_tradnl" w:eastAsia="es-CO"/>
        </w:rPr>
        <w:t xml:space="preserve">, coinciden en que las normas que establecen prohibiciones deben estar </w:t>
      </w:r>
      <w:r w:rsidRPr="002E294E">
        <w:rPr>
          <w:rFonts w:ascii="Verdana" w:eastAsia="Calibri" w:hAnsi="Verdana" w:cs="Arial"/>
          <w:bCs/>
          <w:sz w:val="20"/>
          <w:szCs w:val="20"/>
          <w:lang w:val="es-ES_tradnl" w:eastAsia="es-CO"/>
        </w:rPr>
        <w:lastRenderedPageBreak/>
        <w:t>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00C771C1">
        <w:rPr>
          <w:rFonts w:ascii="Verdana" w:eastAsia="Calibri" w:hAnsi="Verdana" w:cs="Arial"/>
          <w:bCs/>
          <w:sz w:val="20"/>
          <w:szCs w:val="20"/>
          <w:lang w:val="es-ES_tradnl" w:eastAsia="es-CO"/>
        </w:rPr>
        <w:t>”</w:t>
      </w:r>
      <w:r w:rsidRPr="002E294E">
        <w:rPr>
          <w:rFonts w:ascii="Verdana" w:eastAsia="Calibri" w:hAnsi="Verdana" w:cs="Arial"/>
          <w:bCs/>
          <w:sz w:val="20"/>
          <w:szCs w:val="20"/>
          <w:vertAlign w:val="superscript"/>
          <w:lang w:val="es-ES_tradnl" w:eastAsia="es-CO"/>
        </w:rPr>
        <w:footnoteReference w:id="6"/>
      </w:r>
      <w:r w:rsidRPr="002E294E">
        <w:rPr>
          <w:rFonts w:ascii="Verdana" w:eastAsia="Calibri" w:hAnsi="Verdana" w:cs="Arial"/>
          <w:bCs/>
          <w:sz w:val="20"/>
          <w:szCs w:val="20"/>
          <w:lang w:val="es-ES_tradnl" w:eastAsia="es-CO"/>
        </w:rPr>
        <w:t>.</w:t>
      </w:r>
    </w:p>
    <w:p w14:paraId="48346820" w14:textId="77777777" w:rsidR="002C00CC" w:rsidRPr="00D93E65" w:rsidRDefault="002C00CC" w:rsidP="00D93E65">
      <w:pPr>
        <w:spacing w:after="0" w:line="276" w:lineRule="auto"/>
        <w:ind w:left="851" w:right="709"/>
        <w:jc w:val="both"/>
        <w:rPr>
          <w:rFonts w:ascii="Verdana" w:eastAsia="Calibri" w:hAnsi="Verdana" w:cs="Arial"/>
          <w:bCs/>
          <w:lang w:val="es-ES_tradnl" w:eastAsia="es-CO"/>
        </w:rPr>
      </w:pPr>
    </w:p>
    <w:p w14:paraId="1D8B80A6" w14:textId="77777777" w:rsidR="002C00CC" w:rsidRPr="002E294E" w:rsidRDefault="002C00CC" w:rsidP="00AF0230">
      <w:pPr>
        <w:spacing w:after="120" w:line="276" w:lineRule="auto"/>
        <w:ind w:left="142"/>
        <w:jc w:val="both"/>
        <w:rPr>
          <w:rFonts w:ascii="Verdana" w:eastAsia="Arial" w:hAnsi="Verdana" w:cs="Arial"/>
          <w:lang w:val="es-ES" w:eastAsia="es-ES" w:bidi="es-ES"/>
        </w:rPr>
      </w:pPr>
      <w:r w:rsidRPr="002E294E">
        <w:rPr>
          <w:rFonts w:ascii="Verdana" w:eastAsia="Calibri" w:hAnsi="Verdana" w:cs="Arial"/>
          <w:bCs/>
          <w:lang w:val="es-ES_tradnl" w:eastAsia="es-CO"/>
        </w:rPr>
        <w:tab/>
        <w:t>De</w:t>
      </w:r>
      <w:r w:rsidRPr="002E294E">
        <w:rPr>
          <w:rFonts w:ascii="Verdana" w:eastAsia="Arial" w:hAnsi="Verdana" w:cs="Arial"/>
          <w:lang w:val="es-ES" w:eastAsia="es-ES" w:bidi="es-ES"/>
        </w:rPr>
        <w:t xml:space="preserve"> conformidad con lo anterior, </w:t>
      </w:r>
      <w:bookmarkStart w:id="4" w:name="_Hlk77236098"/>
      <w:r w:rsidRPr="002E294E">
        <w:rPr>
          <w:rFonts w:ascii="Verdana" w:eastAsia="Arial" w:hAnsi="Verdana" w:cs="Arial"/>
          <w:lang w:val="es-ES" w:eastAsia="es-ES" w:bidi="es-ES"/>
        </w:rPr>
        <w:t>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4"/>
    </w:p>
    <w:p w14:paraId="0BD31ECC" w14:textId="77777777" w:rsidR="002C00CC" w:rsidRPr="002E294E" w:rsidRDefault="002C00CC" w:rsidP="00D93E65">
      <w:pPr>
        <w:spacing w:after="120" w:line="276" w:lineRule="auto"/>
        <w:ind w:firstLine="709"/>
        <w:jc w:val="both"/>
        <w:rPr>
          <w:rFonts w:ascii="Verdana" w:eastAsia="Calibri" w:hAnsi="Verdana" w:cs="Arial"/>
          <w:lang w:val="es-ES_tradnl" w:eastAsia="es-ES_tradnl"/>
        </w:rPr>
      </w:pPr>
      <w:r w:rsidRPr="002E294E">
        <w:rPr>
          <w:rFonts w:ascii="Verdana" w:eastAsia="Calibri" w:hAnsi="Verdana" w:cs="Arial"/>
          <w:lang w:val="es-ES_tradnl" w:eastAsia="es-ES_tradnl"/>
        </w:rPr>
        <w:t xml:space="preserve">Por un lado, el artículo 33 de la Ley 996 de 2005 prohíbe </w:t>
      </w:r>
      <w:r w:rsidRPr="002E294E">
        <w:rPr>
          <w:rFonts w:ascii="Verdana" w:eastAsia="Calibri" w:hAnsi="Verdana" w:cs="Arial"/>
          <w:bCs/>
          <w:lang w:val="es-ES_tradnl" w:eastAsia="es-ES_tradnl"/>
        </w:rPr>
        <w:t xml:space="preserve">“[…] </w:t>
      </w:r>
      <w:r w:rsidRPr="002E294E">
        <w:rPr>
          <w:rFonts w:ascii="Verdana" w:eastAsia="Calibri" w:hAnsi="Verdana" w:cs="Arial"/>
          <w:lang w:val="es-ES_tradnl" w:eastAsia="es-ES_tradnl"/>
        </w:rPr>
        <w:t>la contratación directa por parte de todos los entes del Estado</w:t>
      </w:r>
      <w:r w:rsidRPr="002E294E">
        <w:rPr>
          <w:rFonts w:ascii="Verdana" w:eastAsia="Calibri" w:hAnsi="Verdana" w:cs="Arial"/>
          <w:bCs/>
          <w:lang w:val="es-ES_tradnl" w:eastAsia="es-ES_tradnl"/>
        </w:rPr>
        <w:t>”</w:t>
      </w:r>
      <w:r w:rsidRPr="002E294E">
        <w:rPr>
          <w:rFonts w:ascii="Verdana" w:eastAsia="Calibri" w:hAnsi="Verdana" w:cs="Arial"/>
          <w:lang w:val="es-ES_tradnl" w:eastAsia="es-ES_tradnl"/>
        </w:rPr>
        <w:t xml:space="preserve"> durante los cuatro (4) meses anteriores a las elecciones presidenciales, salvo </w:t>
      </w:r>
      <w:r w:rsidRPr="002E294E">
        <w:rPr>
          <w:rFonts w:ascii="Verdana" w:eastAsia="Calibri" w:hAnsi="Verdana" w:cs="Arial"/>
          <w:bCs/>
          <w:lang w:val="es-ES_tradnl" w:eastAsia="es-ES_tradnl"/>
        </w:rPr>
        <w:t xml:space="preserve">“[…] </w:t>
      </w:r>
      <w:r w:rsidRPr="002E294E">
        <w:rPr>
          <w:rFonts w:ascii="Verdana" w:eastAsia="Calibri" w:hAnsi="Verdana" w:cs="Arial"/>
          <w:lang w:val="es-ES_tradnl" w:eastAsia="es-ES_tradnl"/>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2E294E">
        <w:rPr>
          <w:rFonts w:ascii="Verdana" w:eastAsia="Calibri" w:hAnsi="Verdana" w:cs="Arial"/>
          <w:bCs/>
          <w:lang w:val="es-ES_tradnl" w:eastAsia="es-ES_tradnl"/>
        </w:rPr>
        <w:t>”</w:t>
      </w:r>
      <w:r w:rsidRPr="002E294E">
        <w:rPr>
          <w:rFonts w:ascii="Verdana" w:eastAsia="Calibri" w:hAnsi="Verdana" w:cs="Arial"/>
          <w:bCs/>
          <w:vertAlign w:val="superscript"/>
          <w:lang w:val="es-ES_tradnl" w:eastAsia="es-ES_tradnl"/>
        </w:rPr>
        <w:footnoteReference w:id="7"/>
      </w:r>
      <w:r w:rsidRPr="002E294E">
        <w:rPr>
          <w:rFonts w:ascii="Verdana" w:eastAsia="Calibri" w:hAnsi="Verdana" w:cs="Arial"/>
          <w:lang w:val="es-ES_tradnl" w:eastAsia="es-ES_tradnl"/>
        </w:rPr>
        <w:t>.</w:t>
      </w:r>
    </w:p>
    <w:p w14:paraId="70D08AD4" w14:textId="39D77237" w:rsidR="002C00CC" w:rsidRPr="002E294E" w:rsidRDefault="002C00CC" w:rsidP="00D93E65">
      <w:pPr>
        <w:widowControl w:val="0"/>
        <w:autoSpaceDE w:val="0"/>
        <w:autoSpaceDN w:val="0"/>
        <w:spacing w:after="120" w:line="276" w:lineRule="auto"/>
        <w:ind w:firstLine="709"/>
        <w:jc w:val="both"/>
        <w:rPr>
          <w:rFonts w:ascii="Verdana" w:eastAsia="Arial" w:hAnsi="Verdana" w:cs="Arial"/>
          <w:lang w:val="es-ES" w:eastAsia="es-ES" w:bidi="es-ES"/>
        </w:rPr>
      </w:pPr>
      <w:r w:rsidRPr="002E294E">
        <w:rPr>
          <w:rFonts w:ascii="Verdana" w:eastAsia="Calibri" w:hAnsi="Verdana" w:cs="Arial"/>
          <w:lang w:val="es-ES_tradnl" w:eastAsia="es-ES_tradnl"/>
        </w:rPr>
        <w:t xml:space="preserve">Por otro lado, el parágrafo del artículo 38 de la Ley 996 de 2005 prevé </w:t>
      </w:r>
      <w:r w:rsidRPr="002E294E">
        <w:rPr>
          <w:rFonts w:ascii="Verdana" w:eastAsia="Calibri" w:hAnsi="Verdana" w:cs="Arial"/>
          <w:lang w:val="es-ES_tradnl" w:eastAsia="es-ES_tradnl"/>
        </w:rPr>
        <w:lastRenderedPageBreak/>
        <w:t xml:space="preserve">una restricción, aplicable respecto de cualquier tipo de contienda electoral, que prohíbe a los gobernadores, alcaldes municipales o distritales, secretarios, gerentes y directores de entidades descentralizadas del orden municipal, departamental o distrital </w:t>
      </w:r>
      <w:r w:rsidRPr="002E294E">
        <w:rPr>
          <w:rFonts w:ascii="Verdana" w:eastAsia="Calibri" w:hAnsi="Verdana" w:cs="Arial"/>
          <w:bCs/>
          <w:lang w:val="es-ES_tradnl" w:eastAsia="es-ES_tradnl"/>
        </w:rPr>
        <w:t xml:space="preserve">“[…] </w:t>
      </w:r>
      <w:r w:rsidRPr="002E294E">
        <w:rPr>
          <w:rFonts w:ascii="Verdana" w:eastAsia="Calibri" w:hAnsi="Verdana" w:cs="Arial"/>
          <w:lang w:val="es-ES_tradnl" w:eastAsia="es-ES_tradn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2E294E">
        <w:rPr>
          <w:rFonts w:ascii="Verdana" w:eastAsia="Calibri" w:hAnsi="Verdana" w:cs="Arial"/>
          <w:bCs/>
          <w:lang w:val="es-ES_tradnl" w:eastAsia="es-ES_tradnl"/>
        </w:rPr>
        <w:t>”</w:t>
      </w:r>
      <w:r w:rsidRPr="002E294E">
        <w:rPr>
          <w:rFonts w:ascii="Verdana" w:eastAsia="Calibri" w:hAnsi="Verdana" w:cs="Arial"/>
          <w:bCs/>
          <w:vertAlign w:val="superscript"/>
          <w:lang w:val="es-ES_tradnl" w:eastAsia="es-ES_tradnl"/>
        </w:rPr>
        <w:footnoteReference w:id="8"/>
      </w:r>
      <w:r w:rsidRPr="002E294E">
        <w:rPr>
          <w:rFonts w:ascii="Verdana" w:eastAsia="Calibri" w:hAnsi="Verdana" w:cs="Arial"/>
          <w:lang w:val="es-ES_tradnl" w:eastAsia="es-ES_tradnl"/>
        </w:rPr>
        <w:t>.</w:t>
      </w:r>
      <w:r w:rsidRPr="002E294E">
        <w:rPr>
          <w:rFonts w:ascii="Verdana" w:eastAsia="Arial" w:hAnsi="Verdana" w:cs="Arial"/>
          <w:lang w:val="es-ES" w:eastAsia="es-ES" w:bidi="es-ES"/>
        </w:rPr>
        <w:t xml:space="preserve"> </w:t>
      </w:r>
    </w:p>
    <w:p w14:paraId="0B6AEC51" w14:textId="77777777" w:rsidR="002C00CC" w:rsidRPr="002E294E" w:rsidRDefault="002C00CC" w:rsidP="002C00CC">
      <w:pPr>
        <w:widowControl w:val="0"/>
        <w:autoSpaceDE w:val="0"/>
        <w:autoSpaceDN w:val="0"/>
        <w:spacing w:after="0" w:line="276" w:lineRule="auto"/>
        <w:ind w:left="142" w:right="113" w:firstLine="708"/>
        <w:jc w:val="both"/>
        <w:rPr>
          <w:rFonts w:ascii="Verdana" w:eastAsia="Arial" w:hAnsi="Verdana" w:cs="Arial"/>
          <w:lang w:val="es-ES" w:eastAsia="es-ES" w:bidi="es-ES"/>
        </w:rPr>
      </w:pPr>
      <w:r w:rsidRPr="002E294E">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1FF8984C" w14:textId="77777777" w:rsidR="002C00CC" w:rsidRPr="002E294E" w:rsidRDefault="002C00CC" w:rsidP="002C00CC">
      <w:pPr>
        <w:widowControl w:val="0"/>
        <w:autoSpaceDE w:val="0"/>
        <w:autoSpaceDN w:val="0"/>
        <w:spacing w:after="0" w:line="240" w:lineRule="auto"/>
        <w:ind w:left="851" w:right="709"/>
        <w:jc w:val="both"/>
        <w:rPr>
          <w:rFonts w:ascii="Verdana" w:eastAsia="Arial" w:hAnsi="Verdana" w:cs="Arial"/>
          <w:sz w:val="20"/>
          <w:szCs w:val="20"/>
          <w:lang w:val="es-ES" w:eastAsia="es-ES" w:bidi="es-ES"/>
        </w:rPr>
      </w:pPr>
    </w:p>
    <w:p w14:paraId="1EF77048" w14:textId="5CD63D5A" w:rsidR="002C00CC" w:rsidRPr="002E294E" w:rsidRDefault="003F3FB3" w:rsidP="002C00CC">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w:t>
      </w:r>
      <w:r w:rsidR="002C00CC" w:rsidRPr="002E294E">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w:t>
      </w:r>
      <w:r w:rsidR="002C00CC" w:rsidRPr="002E294E">
        <w:rPr>
          <w:rFonts w:ascii="Verdana" w:eastAsia="Arial" w:hAnsi="Verdana" w:cs="Arial"/>
          <w:bCs/>
          <w:sz w:val="20"/>
          <w:szCs w:val="20"/>
          <w:lang w:val="es-ES" w:eastAsia="es-ES" w:bidi="es-ES"/>
        </w:rPr>
        <w:t>En cambio, para elecciones en general, excluyendo las correspondientes a Presidente de la República, a las autoridades territoriales allí mencionadas sólo se aplican las restricciones contenidas en el parágrafo del artículo 38</w:t>
      </w:r>
      <w:r>
        <w:rPr>
          <w:rFonts w:ascii="Verdana" w:eastAsia="Arial" w:hAnsi="Verdana" w:cs="Arial"/>
          <w:bCs/>
          <w:sz w:val="20"/>
          <w:szCs w:val="20"/>
          <w:lang w:val="es-ES" w:eastAsia="es-ES" w:bidi="es-ES"/>
        </w:rPr>
        <w:t>”</w:t>
      </w:r>
      <w:r w:rsidR="002C00CC" w:rsidRPr="002E294E">
        <w:rPr>
          <w:rFonts w:ascii="Verdana" w:eastAsia="Arial" w:hAnsi="Verdana" w:cs="Arial"/>
          <w:sz w:val="20"/>
          <w:szCs w:val="20"/>
          <w:vertAlign w:val="superscript"/>
          <w:lang w:val="es-ES" w:eastAsia="es-ES" w:bidi="es-ES"/>
        </w:rPr>
        <w:footnoteReference w:id="9"/>
      </w:r>
      <w:r w:rsidR="002C00CC" w:rsidRPr="002E294E">
        <w:rPr>
          <w:rFonts w:ascii="Verdana" w:eastAsia="Arial" w:hAnsi="Verdana" w:cs="Arial"/>
          <w:sz w:val="20"/>
          <w:szCs w:val="20"/>
          <w:lang w:val="es-ES" w:eastAsia="es-ES" w:bidi="es-ES"/>
        </w:rPr>
        <w:t>.</w:t>
      </w:r>
    </w:p>
    <w:p w14:paraId="159B3760" w14:textId="77777777" w:rsidR="002C00CC" w:rsidRPr="002E294E" w:rsidRDefault="002C00CC" w:rsidP="002C00CC">
      <w:pPr>
        <w:spacing w:after="0" w:line="276" w:lineRule="auto"/>
        <w:ind w:left="142" w:firstLine="709"/>
        <w:jc w:val="both"/>
        <w:rPr>
          <w:rFonts w:ascii="Verdana" w:eastAsia="Arial" w:hAnsi="Verdana" w:cs="Arial"/>
          <w:lang w:val="es-ES" w:eastAsia="es-ES" w:bidi="es-ES"/>
        </w:rPr>
      </w:pPr>
    </w:p>
    <w:p w14:paraId="7EA820B5" w14:textId="77777777" w:rsidR="002C00CC" w:rsidRPr="002E294E" w:rsidRDefault="002C00CC" w:rsidP="002C00CC">
      <w:pPr>
        <w:spacing w:after="120" w:line="276" w:lineRule="auto"/>
        <w:ind w:firstLine="709"/>
        <w:jc w:val="both"/>
        <w:rPr>
          <w:rFonts w:ascii="Verdana" w:eastAsia="Arial" w:hAnsi="Verdana" w:cs="Arial"/>
          <w:lang w:val="es-ES" w:eastAsia="es-ES" w:bidi="es-ES"/>
        </w:rPr>
      </w:pPr>
      <w:r w:rsidRPr="002E294E">
        <w:rPr>
          <w:rFonts w:ascii="Verdana" w:eastAsia="Arial" w:hAnsi="Verdana" w:cs="Arial"/>
          <w:lang w:val="es-ES" w:eastAsia="es-ES" w:bidi="es-ES"/>
        </w:rPr>
        <w:t xml:space="preserve">De lo anterior se desprende que </w:t>
      </w:r>
      <w:bookmarkStart w:id="6" w:name="_Hlk77236420"/>
      <w:bookmarkStart w:id="7" w:name="_Hlk78818435"/>
      <w:r w:rsidRPr="002E294E">
        <w:rPr>
          <w:rFonts w:ascii="Verdana" w:eastAsia="Arial" w:hAnsi="Verdana" w:cs="Arial"/>
          <w:lang w:val="es-ES" w:eastAsia="es-ES" w:bidi="es-ES"/>
        </w:rPr>
        <w:t xml:space="preserve">la Ley 996 de 2005 establece dos (2) tipos de restricciones en materia de contratación, las cuales coinciden parcialmente. </w:t>
      </w:r>
      <w:r w:rsidRPr="002E294E">
        <w:rPr>
          <w:rFonts w:ascii="Verdana" w:eastAsia="Arial" w:hAnsi="Verdana" w:cs="Arial"/>
          <w:i/>
          <w:iCs/>
          <w:lang w:val="es-ES" w:eastAsia="es-ES" w:bidi="es-ES"/>
        </w:rPr>
        <w:t>En primer lugar</w:t>
      </w:r>
      <w:r w:rsidRPr="002E294E">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w:t>
      </w:r>
      <w:r w:rsidRPr="002E294E">
        <w:rPr>
          <w:rFonts w:ascii="Verdana" w:eastAsia="Arial" w:hAnsi="Verdana" w:cs="Arial"/>
          <w:lang w:val="es-ES" w:eastAsia="es-ES" w:bidi="es-ES"/>
        </w:rPr>
        <w:lastRenderedPageBreak/>
        <w:t xml:space="preserve">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2E294E">
        <w:rPr>
          <w:rFonts w:ascii="Verdana" w:eastAsia="Arial" w:hAnsi="Verdana" w:cs="Arial"/>
          <w:i/>
          <w:iCs/>
          <w:lang w:val="es-ES" w:eastAsia="es-ES" w:bidi="es-ES"/>
        </w:rPr>
        <w:t>En segundo lugar</w:t>
      </w:r>
      <w:r w:rsidRPr="002E294E">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6"/>
    </w:p>
    <w:bookmarkEnd w:id="7"/>
    <w:p w14:paraId="12FBC0DC" w14:textId="77777777" w:rsidR="002C00CC" w:rsidRPr="002E294E" w:rsidRDefault="002C00CC" w:rsidP="002C00CC">
      <w:pPr>
        <w:spacing w:after="120" w:line="276" w:lineRule="auto"/>
        <w:ind w:firstLine="709"/>
        <w:jc w:val="both"/>
        <w:rPr>
          <w:rFonts w:ascii="Verdana" w:eastAsia="Arial" w:hAnsi="Verdana" w:cs="Arial"/>
          <w:lang w:val="es-ES" w:eastAsia="es-ES" w:bidi="es-ES"/>
        </w:rPr>
      </w:pPr>
      <w:r w:rsidRPr="002E294E">
        <w:rPr>
          <w:rFonts w:ascii="Verdana" w:eastAsia="Arial" w:hAnsi="Verdana" w:cs="Arial"/>
          <w:lang w:val="es-ES" w:eastAsia="es-ES" w:bidi="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p w14:paraId="5F226A32" w14:textId="6CEFCBCD" w:rsidR="002C00CC" w:rsidRDefault="002C00CC" w:rsidP="00D93E65">
      <w:pPr>
        <w:spacing w:after="120" w:line="276" w:lineRule="auto"/>
        <w:ind w:firstLine="709"/>
        <w:jc w:val="both"/>
        <w:rPr>
          <w:rFonts w:ascii="Verdana" w:eastAsia="Arial" w:hAnsi="Verdana" w:cs="Arial"/>
          <w:lang w:val="es-ES" w:eastAsia="es-ES" w:bidi="es-ES"/>
        </w:rPr>
      </w:pPr>
      <w:r w:rsidRPr="002E294E">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  </w:t>
      </w:r>
    </w:p>
    <w:p w14:paraId="466A6CF6" w14:textId="2C77AF74" w:rsidR="003D2E63" w:rsidRPr="002E294E" w:rsidRDefault="003D2E63" w:rsidP="002C00CC">
      <w:pPr>
        <w:spacing w:after="0" w:line="276" w:lineRule="auto"/>
        <w:ind w:firstLine="708"/>
        <w:jc w:val="both"/>
        <w:rPr>
          <w:rFonts w:ascii="Verdana" w:eastAsia="Arial" w:hAnsi="Verdana" w:cs="Arial"/>
          <w:lang w:val="es-ES" w:eastAsia="es-ES" w:bidi="es-ES"/>
        </w:rPr>
      </w:pPr>
      <w:r>
        <w:rPr>
          <w:rFonts w:ascii="Verdana" w:eastAsia="Arial" w:hAnsi="Verdana" w:cs="Arial"/>
          <w:lang w:val="es-ES" w:eastAsia="es-ES" w:bidi="es-ES"/>
        </w:rPr>
        <w:t xml:space="preserve">Teniendo en cuenta el objeto de su consulta, a continuación, se hará un análisis del alcance de cada una de las prohibiciones, con el fin de determinar si son aplicables a la contratación con los Cuerpos Voluntarios de Bomberos. </w:t>
      </w:r>
    </w:p>
    <w:p w14:paraId="4650FBCC" w14:textId="77777777" w:rsidR="002C00CC" w:rsidRPr="002E294E" w:rsidRDefault="002C00CC" w:rsidP="002C00CC">
      <w:pPr>
        <w:spacing w:after="0" w:line="276" w:lineRule="auto"/>
        <w:jc w:val="both"/>
        <w:rPr>
          <w:rFonts w:ascii="Verdana" w:eastAsia="Calibri" w:hAnsi="Verdana" w:cs="Arial"/>
          <w:lang w:val="es-ES"/>
        </w:rPr>
      </w:pPr>
    </w:p>
    <w:p w14:paraId="2BD88FB6" w14:textId="77777777" w:rsidR="002C00CC" w:rsidRPr="002E294E" w:rsidRDefault="002C00CC" w:rsidP="002C00CC">
      <w:pPr>
        <w:spacing w:after="0" w:line="276" w:lineRule="auto"/>
        <w:jc w:val="both"/>
        <w:rPr>
          <w:rFonts w:ascii="Verdana" w:eastAsia="Calibri" w:hAnsi="Verdana" w:cs="Arial"/>
          <w:lang w:val="es-ES_tradnl" w:eastAsia="es-CO"/>
        </w:rPr>
      </w:pPr>
      <w:r w:rsidRPr="002E294E">
        <w:rPr>
          <w:rFonts w:ascii="Verdana" w:eastAsia="Calibri" w:hAnsi="Verdana" w:cs="Arial"/>
          <w:bCs/>
          <w:lang w:val="es-ES" w:eastAsia="es-CO"/>
        </w:rPr>
        <w:lastRenderedPageBreak/>
        <w:t xml:space="preserve">ii. </w:t>
      </w:r>
      <w:r w:rsidRPr="002E294E">
        <w:rPr>
          <w:rFonts w:ascii="Verdana" w:eastAsia="Calibri" w:hAnsi="Verdana" w:cs="Arial"/>
          <w:bCs/>
          <w:lang w:val="es-ES_tradnl" w:eastAsia="x-none"/>
        </w:rPr>
        <w:t xml:space="preserve">El ámbito material de la prohibición contenida en el artículo 33 de la ley 996 de 2005 está delimitado por la expresión </w:t>
      </w:r>
      <w:r w:rsidRPr="002E294E">
        <w:rPr>
          <w:rFonts w:ascii="Verdana" w:eastAsia="Calibri" w:hAnsi="Verdana" w:cs="Arial"/>
          <w:bCs/>
          <w:lang w:val="es-ES_tradnl" w:eastAsia="es-ES_tradnl"/>
        </w:rPr>
        <w:t>“</w:t>
      </w:r>
      <w:r w:rsidRPr="002E294E">
        <w:rPr>
          <w:rFonts w:ascii="Verdana" w:eastAsia="Calibri" w:hAnsi="Verdana" w:cs="Arial"/>
          <w:bCs/>
          <w:lang w:val="es-ES_tradnl" w:eastAsia="x-none"/>
        </w:rPr>
        <w:t>queda prohibida la contratación directa</w:t>
      </w:r>
      <w:r w:rsidRPr="002E294E">
        <w:rPr>
          <w:rFonts w:ascii="Verdana" w:eastAsia="Calibri" w:hAnsi="Verdana" w:cs="Arial"/>
          <w:lang w:val="es-ES_tradnl" w:eastAsia="es-ES_tradnl"/>
        </w:rPr>
        <w:t>”</w:t>
      </w:r>
      <w:r w:rsidRPr="002E294E">
        <w:rPr>
          <w:rFonts w:ascii="Verdana" w:eastAsia="Calibri" w:hAnsi="Verdana" w:cs="Arial"/>
          <w:bCs/>
          <w:lang w:val="es-ES_tradnl" w:eastAsia="x-none"/>
        </w:rPr>
        <w:t xml:space="preserve">. </w:t>
      </w:r>
      <w:r w:rsidRPr="002E294E">
        <w:rPr>
          <w:rFonts w:ascii="Verdana" w:eastAsia="Calibri" w:hAnsi="Verdana" w:cs="Arial"/>
          <w:lang w:val="es-ES_tradnl" w:eastAsia="es-CO"/>
        </w:rPr>
        <w:t xml:space="preserve"> A propósito de esta restricción de la Ley de Garantías Electorales, la Sala de Consulta y Servicio Civil del Consejo de Estado ha considerado que:</w:t>
      </w:r>
    </w:p>
    <w:p w14:paraId="2E0E0159" w14:textId="77777777" w:rsidR="002C00CC" w:rsidRPr="002E294E" w:rsidRDefault="002C00CC" w:rsidP="002C00CC">
      <w:pPr>
        <w:spacing w:after="0" w:line="276" w:lineRule="auto"/>
        <w:jc w:val="both"/>
        <w:rPr>
          <w:rFonts w:ascii="Verdana" w:eastAsia="Calibri" w:hAnsi="Verdana" w:cs="Arial"/>
          <w:bCs/>
          <w:lang w:val="es-ES_tradnl" w:eastAsia="es-CO"/>
        </w:rPr>
      </w:pPr>
    </w:p>
    <w:p w14:paraId="6A569111" w14:textId="06088C17" w:rsidR="002C00CC" w:rsidRPr="002E294E" w:rsidRDefault="003D2E63" w:rsidP="002C00CC">
      <w:pPr>
        <w:spacing w:after="0" w:line="240" w:lineRule="auto"/>
        <w:ind w:left="709" w:right="709"/>
        <w:jc w:val="both"/>
        <w:rPr>
          <w:rFonts w:ascii="Verdana" w:eastAsia="Calibri" w:hAnsi="Verdana" w:cs="Arial"/>
          <w:sz w:val="20"/>
          <w:szCs w:val="20"/>
          <w:lang w:val="es-ES_tradnl" w:eastAsia="es-ES_tradnl"/>
        </w:rPr>
      </w:pPr>
      <w:r>
        <w:rPr>
          <w:rFonts w:ascii="Verdana" w:eastAsia="Calibri" w:hAnsi="Verdana" w:cs="Arial"/>
          <w:sz w:val="20"/>
          <w:szCs w:val="20"/>
          <w:lang w:val="es-ES_tradnl" w:eastAsia="es-ES_tradnl"/>
        </w:rPr>
        <w:t>“</w:t>
      </w:r>
      <w:r w:rsidR="002C00CC" w:rsidRPr="002E294E">
        <w:rPr>
          <w:rFonts w:ascii="Verdana" w:eastAsia="Calibri" w:hAnsi="Verdana" w:cs="Arial"/>
          <w:sz w:val="20"/>
          <w:szCs w:val="20"/>
          <w:lang w:val="es-ES_tradnl" w:eastAsia="es-ES_tradnl"/>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002C00CC" w:rsidRPr="002E294E">
        <w:rPr>
          <w:rFonts w:ascii="Verdana" w:eastAsia="Calibri" w:hAnsi="Verdana" w:cs="Arial"/>
          <w:sz w:val="20"/>
          <w:szCs w:val="20"/>
          <w:vertAlign w:val="superscript"/>
          <w:lang w:val="es-ES_tradnl" w:eastAsia="es-CO"/>
        </w:rPr>
        <w:footnoteReference w:id="10"/>
      </w:r>
      <w:r w:rsidR="002C00CC" w:rsidRPr="002E294E">
        <w:rPr>
          <w:rFonts w:ascii="Verdana" w:eastAsia="Calibri" w:hAnsi="Verdana" w:cs="Arial"/>
          <w:sz w:val="20"/>
          <w:szCs w:val="20"/>
          <w:lang w:val="es-ES_tradnl" w:eastAsia="es-ES_tradnl"/>
        </w:rPr>
        <w:t>.</w:t>
      </w:r>
    </w:p>
    <w:p w14:paraId="16081BEF" w14:textId="77777777" w:rsidR="002C00CC" w:rsidRPr="002E294E" w:rsidRDefault="002C00CC" w:rsidP="002C00CC">
      <w:pPr>
        <w:spacing w:after="0" w:line="240" w:lineRule="auto"/>
        <w:ind w:left="709" w:right="709"/>
        <w:jc w:val="both"/>
        <w:rPr>
          <w:rFonts w:ascii="Verdana" w:eastAsia="Calibri" w:hAnsi="Verdana" w:cs="Arial"/>
          <w:sz w:val="20"/>
          <w:szCs w:val="20"/>
          <w:lang w:val="es-ES_tradnl" w:eastAsia="es-ES_tradnl"/>
        </w:rPr>
      </w:pPr>
    </w:p>
    <w:p w14:paraId="502462BC" w14:textId="6CC466DF" w:rsidR="002C00CC" w:rsidRPr="002E294E" w:rsidRDefault="002C00CC" w:rsidP="002C00CC">
      <w:pPr>
        <w:spacing w:after="0" w:line="240" w:lineRule="auto"/>
        <w:ind w:left="709" w:right="709"/>
        <w:jc w:val="both"/>
        <w:rPr>
          <w:rFonts w:ascii="Verdana" w:eastAsia="Calibri" w:hAnsi="Verdana" w:cs="Arial"/>
          <w:sz w:val="20"/>
          <w:szCs w:val="20"/>
          <w:lang w:val="es-ES" w:eastAsia="es-ES"/>
        </w:rPr>
      </w:pPr>
      <w:r w:rsidRPr="002E294E">
        <w:rPr>
          <w:rFonts w:ascii="Verdana" w:eastAsia="Calibri" w:hAnsi="Verdana" w:cs="Arial"/>
          <w:sz w:val="20"/>
          <w:szCs w:val="20"/>
          <w:lang w:val="es-ES" w:eastAsia="es-ES"/>
        </w:rPr>
        <w:t xml:space="preserve">Esta Sala ha entendido </w:t>
      </w:r>
      <w:proofErr w:type="gramStart"/>
      <w:r w:rsidRPr="002E294E">
        <w:rPr>
          <w:rFonts w:ascii="Verdana" w:eastAsia="Calibri" w:hAnsi="Verdana" w:cs="Arial"/>
          <w:sz w:val="20"/>
          <w:szCs w:val="20"/>
          <w:lang w:val="es-ES" w:eastAsia="es-ES"/>
        </w:rPr>
        <w:t>que</w:t>
      </w:r>
      <w:proofErr w:type="gramEnd"/>
      <w:r w:rsidRPr="002E294E">
        <w:rPr>
          <w:rFonts w:ascii="Verdana" w:eastAsia="Calibri" w:hAnsi="Verdana" w:cs="Arial"/>
          <w:sz w:val="20"/>
          <w:szCs w:val="20"/>
          <w:lang w:val="es-ES" w:eastAsia="es-ES"/>
        </w:rPr>
        <w:t xml:space="preserv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2E294E">
        <w:rPr>
          <w:rFonts w:ascii="Verdana" w:eastAsia="Calibri" w:hAnsi="Verdana" w:cs="Arial"/>
          <w:sz w:val="20"/>
          <w:szCs w:val="20"/>
          <w:vertAlign w:val="superscript"/>
          <w:lang w:val="es-ES" w:eastAsia="es-ES"/>
        </w:rPr>
        <w:footnoteReference w:id="11"/>
      </w:r>
      <w:r w:rsidRPr="002E294E">
        <w:rPr>
          <w:rFonts w:ascii="Verdana" w:eastAsia="Calibri" w:hAnsi="Verdana" w:cs="Arial"/>
          <w:sz w:val="20"/>
          <w:szCs w:val="20"/>
          <w:vertAlign w:val="superscript"/>
          <w:lang w:val="es-ES" w:eastAsia="es-ES"/>
        </w:rPr>
        <w:t>.</w:t>
      </w:r>
      <w:r w:rsidRPr="002E294E">
        <w:rPr>
          <w:rFonts w:ascii="Verdana" w:eastAsia="Calibri" w:hAnsi="Verdana" w:cs="Arial"/>
          <w:sz w:val="20"/>
          <w:szCs w:val="20"/>
          <w:lang w:val="es-ES" w:eastAsia="es-ES"/>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003D2E63">
        <w:rPr>
          <w:rFonts w:ascii="Verdana" w:eastAsia="Calibri" w:hAnsi="Verdana" w:cs="Arial"/>
          <w:sz w:val="20"/>
          <w:szCs w:val="20"/>
          <w:lang w:val="es-ES" w:eastAsia="es-ES"/>
        </w:rPr>
        <w:t>”</w:t>
      </w:r>
      <w:r w:rsidRPr="002E294E">
        <w:rPr>
          <w:rFonts w:ascii="Verdana" w:eastAsia="Calibri" w:hAnsi="Verdana" w:cs="Arial"/>
          <w:sz w:val="20"/>
          <w:szCs w:val="20"/>
          <w:vertAlign w:val="superscript"/>
          <w:lang w:val="es-ES" w:eastAsia="es-CO"/>
        </w:rPr>
        <w:footnoteReference w:id="12"/>
      </w:r>
      <w:r w:rsidRPr="002E294E">
        <w:rPr>
          <w:rFonts w:ascii="Verdana" w:eastAsia="Calibri" w:hAnsi="Verdana" w:cs="Arial"/>
          <w:sz w:val="20"/>
          <w:szCs w:val="20"/>
          <w:lang w:val="es-ES" w:eastAsia="es-ES"/>
        </w:rPr>
        <w:t xml:space="preserve"> .</w:t>
      </w:r>
    </w:p>
    <w:p w14:paraId="1EECA801" w14:textId="77777777" w:rsidR="002C00CC" w:rsidRPr="00D93E65" w:rsidRDefault="002C00CC" w:rsidP="00D93E65">
      <w:pPr>
        <w:spacing w:after="0" w:line="276" w:lineRule="auto"/>
        <w:ind w:left="709" w:right="709"/>
        <w:jc w:val="both"/>
        <w:rPr>
          <w:rFonts w:ascii="Verdana" w:eastAsia="Calibri" w:hAnsi="Verdana" w:cs="Arial"/>
          <w:lang w:val="es-ES" w:eastAsia="es-ES"/>
        </w:rPr>
      </w:pPr>
    </w:p>
    <w:p w14:paraId="77F602CE" w14:textId="77777777" w:rsidR="002C00CC" w:rsidRPr="002E294E" w:rsidRDefault="002C00CC" w:rsidP="00D93E65">
      <w:pPr>
        <w:spacing w:after="120" w:line="276" w:lineRule="auto"/>
        <w:ind w:firstLine="709"/>
        <w:jc w:val="both"/>
        <w:rPr>
          <w:rFonts w:ascii="Verdana" w:eastAsia="Times New Roman" w:hAnsi="Verdana" w:cs="Arial"/>
          <w:bCs/>
          <w:lang w:val="es-ES_tradnl" w:eastAsia="x-none"/>
        </w:rPr>
      </w:pPr>
      <w:r w:rsidRPr="002E294E">
        <w:rPr>
          <w:rFonts w:ascii="Verdana" w:eastAsia="Calibri" w:hAnsi="Verdana" w:cs="Arial"/>
          <w:lang w:val="es-ES_tradnl" w:eastAsia="x-none"/>
        </w:rPr>
        <w:t xml:space="preserve">De acuerdo con el citado concepto, la prohibición del artículo 33 de la Ley de Garantías Electorales se refiere a </w:t>
      </w:r>
      <w:r w:rsidRPr="002E294E">
        <w:rPr>
          <w:rFonts w:ascii="Verdana" w:eastAsia="Calibri" w:hAnsi="Verdana" w:cs="Arial"/>
          <w:lang w:val="es-ES_tradnl" w:eastAsia="en-GB"/>
        </w:rPr>
        <w:t>“</w:t>
      </w:r>
      <w:r w:rsidRPr="002E294E">
        <w:rPr>
          <w:rFonts w:ascii="Verdana" w:eastAsia="Calibri" w:hAnsi="Verdana" w:cs="Arial"/>
          <w:lang w:val="es-ES_tradnl" w:eastAsia="x-none"/>
        </w:rPr>
        <w:t>cualquier sistema que no implique convocatoria pública y posibilidad de pluralidad de oferentes</w:t>
      </w:r>
      <w:r w:rsidRPr="002E294E">
        <w:rPr>
          <w:rFonts w:ascii="Verdana" w:eastAsia="Calibri" w:hAnsi="Verdana" w:cs="Arial"/>
          <w:lang w:val="es-ES_tradnl" w:eastAsia="en-GB"/>
        </w:rPr>
        <w:t>”</w:t>
      </w:r>
      <w:r w:rsidRPr="002E294E">
        <w:rPr>
          <w:rFonts w:ascii="Verdana" w:eastAsia="Calibri" w:hAnsi="Verdana" w:cs="Arial"/>
          <w:lang w:val="es-ES_tradnl" w:eastAsia="x-none"/>
        </w:rPr>
        <w:t xml:space="preserve">, por lo que excluye las demás modalidades de contratación previstas en la Ley 1150 de 2007, es decir, la licitación pública, la selección abreviada, el concurso de méritos y la mínima cuantía u otros previstos en normas especiales, que contemplen en alguna de sus etapas la posible participación de pluralidad de oferentes. Esta posición es congruente con la expedición de la Ley 1150 de 2007 que, entre otras reformas, introdujo la selección abreviada, rediseñó el concurso de méritos y sistematizó las causales de contratación directa, </w:t>
      </w:r>
      <w:r w:rsidRPr="002E294E">
        <w:rPr>
          <w:rFonts w:ascii="Verdana" w:eastAsia="Calibri" w:hAnsi="Verdana" w:cs="Arial"/>
          <w:color w:val="000000"/>
          <w:lang w:val="es-ES_tradnl" w:eastAsia="x-none"/>
        </w:rPr>
        <w:t xml:space="preserve">además lo es con la posterior creación de la modalidad de mínima cuantía establecida actualmente en el </w:t>
      </w:r>
      <w:r w:rsidRPr="002E294E">
        <w:rPr>
          <w:rFonts w:ascii="Verdana" w:eastAsia="Calibri" w:hAnsi="Verdana" w:cs="Arial"/>
          <w:color w:val="000000"/>
          <w:lang w:val="es-ES_tradnl" w:eastAsia="x-none"/>
        </w:rPr>
        <w:lastRenderedPageBreak/>
        <w:t>numeral 5 del artículo 2 de la Ley 1150 de 2007, de acuerdo con las modificaciones realizadas por leyes posteriores</w:t>
      </w:r>
      <w:r w:rsidRPr="002E294E">
        <w:rPr>
          <w:rFonts w:ascii="Verdana" w:eastAsia="Calibri" w:hAnsi="Verdana" w:cs="Arial"/>
          <w:color w:val="000000"/>
          <w:vertAlign w:val="superscript"/>
          <w:lang w:val="es-ES_tradnl" w:eastAsia="x-none"/>
        </w:rPr>
        <w:footnoteReference w:id="13"/>
      </w:r>
      <w:r w:rsidRPr="002E294E">
        <w:rPr>
          <w:rFonts w:ascii="Verdana" w:eastAsia="Calibri" w:hAnsi="Verdana" w:cs="Arial"/>
          <w:color w:val="000000"/>
          <w:lang w:val="es-ES_tradnl" w:eastAsia="x-none"/>
        </w:rPr>
        <w:t>.</w:t>
      </w:r>
      <w:r w:rsidRPr="002E294E">
        <w:rPr>
          <w:rFonts w:ascii="Verdana" w:eastAsia="Times New Roman" w:hAnsi="Verdana" w:cs="Arial"/>
          <w:lang w:val="es-ES_tradnl" w:eastAsia="x-none"/>
        </w:rPr>
        <w:t xml:space="preserve"> </w:t>
      </w:r>
    </w:p>
    <w:p w14:paraId="33D68DE0" w14:textId="77777777" w:rsidR="002C00CC" w:rsidRPr="002E294E" w:rsidRDefault="002C00CC" w:rsidP="002C00CC">
      <w:pPr>
        <w:spacing w:after="120" w:line="276" w:lineRule="auto"/>
        <w:ind w:firstLine="708"/>
        <w:jc w:val="both"/>
        <w:rPr>
          <w:rFonts w:ascii="Verdana" w:eastAsia="Calibri" w:hAnsi="Verdana" w:cs="Arial"/>
          <w:lang w:val="es-ES_tradnl" w:eastAsia="x-none"/>
        </w:rPr>
      </w:pPr>
      <w:r w:rsidRPr="002E294E">
        <w:rPr>
          <w:rFonts w:ascii="Verdana" w:eastAsia="Calibri" w:hAnsi="Verdana" w:cs="Arial"/>
          <w:lang w:val="es-ES_tradnl" w:eastAsia="x-none"/>
        </w:rPr>
        <w:t xml:space="preserve">De esta forma, con fundamento en la evolución de la normativa sobre la contratación pública, se ha depurado la noción de </w:t>
      </w:r>
      <w:r w:rsidRPr="002E294E">
        <w:rPr>
          <w:rFonts w:ascii="Verdana" w:eastAsia="Calibri" w:hAnsi="Verdana" w:cs="Arial"/>
          <w:lang w:val="es-ES_tradnl" w:eastAsia="en-GB"/>
        </w:rPr>
        <w:t>“</w:t>
      </w:r>
      <w:r w:rsidRPr="002E294E">
        <w:rPr>
          <w:rFonts w:ascii="Verdana" w:eastAsia="Calibri" w:hAnsi="Verdana" w:cs="Arial"/>
          <w:lang w:val="es-ES_tradnl" w:eastAsia="x-none"/>
        </w:rPr>
        <w:t>contratación directa</w:t>
      </w:r>
      <w:r w:rsidRPr="002E294E">
        <w:rPr>
          <w:rFonts w:ascii="Verdana" w:eastAsia="Calibri" w:hAnsi="Verdana" w:cs="Arial"/>
          <w:lang w:val="es-ES_tradnl" w:eastAsia="en-GB"/>
        </w:rPr>
        <w:t>”</w:t>
      </w:r>
      <w:r w:rsidRPr="002E294E">
        <w:rPr>
          <w:rFonts w:ascii="Verdana" w:eastAsia="Calibri" w:hAnsi="Verdana" w:cs="Arial"/>
          <w:lang w:val="es-ES_tradnl"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2E294E">
        <w:rPr>
          <w:rFonts w:ascii="Verdana" w:eastAsia="Calibri" w:hAnsi="Verdana" w:cs="Arial"/>
          <w:vertAlign w:val="superscript"/>
          <w:lang w:val="en-GB" w:eastAsia="x-none"/>
        </w:rPr>
        <w:footnoteReference w:id="14"/>
      </w:r>
      <w:r w:rsidRPr="002E294E">
        <w:rPr>
          <w:rFonts w:ascii="Verdana" w:eastAsia="Calibri" w:hAnsi="Verdana" w:cs="Arial"/>
          <w:lang w:val="es-ES_tradnl" w:eastAsia="x-none"/>
        </w:rPr>
        <w:t>, han establecido sistemas de contratación que implican convocatoria pública y participación de varios oferentes</w:t>
      </w:r>
      <w:r w:rsidRPr="002E294E">
        <w:rPr>
          <w:rFonts w:ascii="Verdana" w:eastAsia="Calibri" w:hAnsi="Verdana" w:cs="Arial"/>
          <w:lang w:val="es-ES_tradnl" w:eastAsia="en-GB"/>
        </w:rPr>
        <w:t>”</w:t>
      </w:r>
      <w:r w:rsidRPr="002E294E">
        <w:rPr>
          <w:rFonts w:ascii="Verdana" w:eastAsia="Calibri" w:hAnsi="Verdana" w:cs="Arial"/>
          <w:lang w:val="es-ES_tradnl" w:eastAsia="x-none"/>
        </w:rPr>
        <w:t xml:space="preserve">. </w:t>
      </w:r>
    </w:p>
    <w:p w14:paraId="490D99B9" w14:textId="77777777" w:rsidR="002C00CC" w:rsidRPr="002E294E" w:rsidRDefault="002C00CC" w:rsidP="002C00CC">
      <w:pPr>
        <w:spacing w:after="120" w:line="276" w:lineRule="auto"/>
        <w:ind w:firstLine="708"/>
        <w:jc w:val="both"/>
        <w:rPr>
          <w:rFonts w:ascii="Verdana" w:eastAsia="Calibri" w:hAnsi="Verdana" w:cs="Arial"/>
          <w:bCs/>
          <w:lang w:val="es-ES_tradnl" w:eastAsia="es-CO"/>
        </w:rPr>
      </w:pPr>
      <w:r w:rsidRPr="002E294E">
        <w:rPr>
          <w:rFonts w:ascii="Verdana" w:eastAsia="Calibri" w:hAnsi="Verdana" w:cs="Arial"/>
          <w:bCs/>
          <w:lang w:val="es-ES_tradnl" w:eastAsia="x-none"/>
        </w:rPr>
        <w:t>E</w:t>
      </w:r>
      <w:r w:rsidRPr="002E294E">
        <w:rPr>
          <w:rFonts w:ascii="Verdana" w:eastAsia="Calibri" w:hAnsi="Verdana" w:cs="Arial"/>
          <w:lang w:val="es-ES_tradnl"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sidRPr="002E294E">
        <w:rPr>
          <w:rFonts w:ascii="Verdana" w:eastAsia="Calibri" w:hAnsi="Verdana" w:cs="Arial"/>
          <w:vertAlign w:val="superscript"/>
          <w:lang w:val="es-ES_tradnl" w:eastAsia="x-none"/>
        </w:rPr>
        <w:footnoteReference w:id="15"/>
      </w:r>
      <w:r w:rsidRPr="002E294E">
        <w:rPr>
          <w:rFonts w:ascii="Verdana" w:eastAsia="Calibri" w:hAnsi="Verdana" w:cs="Arial"/>
          <w:lang w:val="es-ES_tradnl" w:eastAsia="x-none"/>
        </w:rPr>
        <w:t xml:space="preserve">. </w:t>
      </w:r>
    </w:p>
    <w:p w14:paraId="29CF35C2" w14:textId="77777777" w:rsidR="002C00CC" w:rsidRPr="002E294E" w:rsidRDefault="002C00CC" w:rsidP="002C00CC">
      <w:pPr>
        <w:spacing w:after="120" w:line="276" w:lineRule="auto"/>
        <w:ind w:firstLine="708"/>
        <w:jc w:val="both"/>
        <w:rPr>
          <w:rFonts w:ascii="Verdana" w:eastAsia="Calibri" w:hAnsi="Verdana" w:cs="Arial"/>
          <w:lang w:val="es-ES" w:eastAsia="es-CO"/>
        </w:rPr>
      </w:pPr>
      <w:r w:rsidRPr="002E294E">
        <w:rPr>
          <w:rFonts w:ascii="Verdana" w:eastAsia="Calibri" w:hAnsi="Verdana" w:cs="Arial"/>
          <w:lang w:val="es-ES" w:eastAsia="es-CO"/>
        </w:rPr>
        <w:t xml:space="preserve">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 sino también frente a las entidades que tengan un régimen especial de contratación. No obstante, también se observa que luego </w:t>
      </w:r>
      <w:r w:rsidRPr="002E294E">
        <w:rPr>
          <w:rFonts w:ascii="Verdana" w:eastAsia="Calibri" w:hAnsi="Verdana" w:cs="Arial"/>
          <w:lang w:val="es-ES" w:eastAsia="es-CO"/>
        </w:rPr>
        <w:lastRenderedPageBreak/>
        <w:t>de la expedición de Ley 1150 de 2007, el Consejo de Estado comenzó a delimitar con mayor precisión el término de “contratación directa”.</w:t>
      </w:r>
    </w:p>
    <w:p w14:paraId="0D4E2E5E" w14:textId="77777777" w:rsidR="002C00CC" w:rsidRPr="002E294E" w:rsidRDefault="002C00CC" w:rsidP="002C00CC">
      <w:pPr>
        <w:spacing w:after="120" w:line="276" w:lineRule="auto"/>
        <w:ind w:firstLine="708"/>
        <w:jc w:val="both"/>
        <w:rPr>
          <w:rFonts w:ascii="Verdana" w:eastAsia="Calibri" w:hAnsi="Verdana" w:cs="Arial"/>
          <w:bCs/>
          <w:lang w:val="es-ES_tradnl" w:eastAsia="x-none"/>
        </w:rPr>
      </w:pPr>
      <w:r w:rsidRPr="002E294E">
        <w:rPr>
          <w:rFonts w:ascii="Verdana" w:eastAsia="Calibri" w:hAnsi="Verdana" w:cs="Arial"/>
          <w:bCs/>
          <w:lang w:val="es-ES_tradnl"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2E294E">
        <w:rPr>
          <w:rFonts w:ascii="Verdana" w:eastAsia="Calibri" w:hAnsi="Verdana" w:cs="Arial"/>
          <w:vertAlign w:val="superscript"/>
          <w:lang w:val="es-ES_tradnl" w:eastAsia="x-none"/>
        </w:rPr>
        <w:footnoteReference w:id="16"/>
      </w:r>
      <w:r w:rsidRPr="002E294E">
        <w:rPr>
          <w:rFonts w:ascii="Verdana" w:eastAsia="Calibri" w:hAnsi="Verdana" w:cs="Arial"/>
          <w:bCs/>
          <w:lang w:val="es-ES_tradnl" w:eastAsia="x-none"/>
        </w:rPr>
        <w:t>.</w:t>
      </w:r>
      <w:r w:rsidRPr="002E294E">
        <w:rPr>
          <w:rFonts w:ascii="Verdana" w:eastAsia="Calibri" w:hAnsi="Verdana" w:cs="Arial"/>
          <w:vertAlign w:val="superscript"/>
          <w:lang w:val="es-ES_tradnl" w:eastAsia="x-none"/>
        </w:rPr>
        <w:t xml:space="preserve"> </w:t>
      </w:r>
    </w:p>
    <w:p w14:paraId="0B558C4A" w14:textId="194568DF" w:rsidR="002C00CC" w:rsidRPr="002E294E" w:rsidRDefault="002C00CC" w:rsidP="002C00CC">
      <w:pPr>
        <w:spacing w:after="120" w:line="276" w:lineRule="auto"/>
        <w:ind w:firstLine="708"/>
        <w:jc w:val="both"/>
        <w:rPr>
          <w:rFonts w:ascii="Verdana" w:eastAsia="Calibri" w:hAnsi="Verdana" w:cs="Arial"/>
          <w:lang w:val="es-ES_tradnl" w:eastAsia="x-none"/>
        </w:rPr>
      </w:pPr>
      <w:r w:rsidRPr="002E294E">
        <w:rPr>
          <w:rFonts w:ascii="Verdana" w:eastAsia="Calibri" w:hAnsi="Verdana" w:cs="Arial"/>
          <w:bCs/>
          <w:lang w:val="es-ES_tradnl" w:eastAsia="x-none"/>
        </w:rPr>
        <w:t>De lo anterior se desprende que la restricción aplica, sin perjuicio de las excepciones establecidas en la misma ley, para celebrar cualquier contrato de forma directa, esto es, sin que exista un proceso abierto y competitivo.</w:t>
      </w:r>
      <w:r w:rsidRPr="002E294E">
        <w:rPr>
          <w:rFonts w:ascii="Verdana" w:eastAsia="Calibri" w:hAnsi="Verdana" w:cs="Arial"/>
          <w:lang w:val="es-ES_tradnl" w:eastAsia="x-none"/>
        </w:rPr>
        <w:t xml:space="preserve"> Por tanto, no son materia de la prohibición las demás modalidades de selección previstas en la Ley 1150 de 2007, es decir, la licitación pública, el concurso de méritos y la selección abreviada,</w:t>
      </w:r>
      <w:r w:rsidR="007E41C8">
        <w:rPr>
          <w:rFonts w:ascii="Verdana" w:eastAsia="Calibri" w:hAnsi="Verdana" w:cs="Arial"/>
          <w:lang w:val="es-ES_tradnl" w:eastAsia="x-none"/>
        </w:rPr>
        <w:t xml:space="preserve"> así como aquellos procesos competitivos y abiertos definidos en los manuales de las entidades con regímenes especiales de contratación, </w:t>
      </w:r>
      <w:r w:rsidRPr="002E294E">
        <w:rPr>
          <w:rFonts w:ascii="Verdana" w:eastAsia="Calibri" w:hAnsi="Verdana" w:cs="Arial"/>
          <w:lang w:val="es-ES_tradnl" w:eastAsia="x-none"/>
        </w:rPr>
        <w:t>razón por la cual en ese período preelectoral de que trata la disposición pueden las entidades públicas seguir contratando bajo estos sistemas.</w:t>
      </w:r>
    </w:p>
    <w:p w14:paraId="6BF3B8F0" w14:textId="77777777" w:rsidR="002C00CC" w:rsidRPr="002E294E" w:rsidRDefault="002C00CC" w:rsidP="002C00CC">
      <w:pPr>
        <w:spacing w:after="120" w:line="276" w:lineRule="auto"/>
        <w:ind w:firstLine="708"/>
        <w:jc w:val="both"/>
        <w:rPr>
          <w:rFonts w:ascii="Verdana" w:eastAsia="Calibri" w:hAnsi="Verdana" w:cs="Arial"/>
          <w:lang w:val="es-ES"/>
        </w:rPr>
      </w:pPr>
      <w:r w:rsidRPr="002E294E">
        <w:rPr>
          <w:rFonts w:ascii="Verdana" w:eastAsia="Calibri" w:hAnsi="Verdana" w:cs="Arial"/>
          <w:lang w:val="es-ES" w:eastAsia="es-CO"/>
        </w:rPr>
        <w:t xml:space="preserve">Como en otras oportunidades lo ha manifestado esta Agencia, las prórrogas, modificaciones o adiciones de los contratos suscritos antes de la entrada en vigencia de las prohibiciones anotadas, así como la cesión de </w:t>
      </w:r>
      <w:proofErr w:type="gramStart"/>
      <w:r w:rsidRPr="002E294E">
        <w:rPr>
          <w:rFonts w:ascii="Verdana" w:eastAsia="Calibri" w:hAnsi="Verdana" w:cs="Arial"/>
          <w:lang w:val="es-ES" w:eastAsia="es-CO"/>
        </w:rPr>
        <w:t>los mismos</w:t>
      </w:r>
      <w:proofErr w:type="gramEnd"/>
      <w:r w:rsidRPr="002E294E">
        <w:rPr>
          <w:rFonts w:ascii="Verdana" w:eastAsia="Calibri" w:hAnsi="Verdana" w:cs="Arial"/>
          <w:lang w:val="es-ES" w:eastAsia="es-CO"/>
        </w:rPr>
        <w:t>, pueden tener lugar en el período de aplicación de la Ley de Garantías, sin que ello haga nugatoria la restricción de la contratación directa y siempre que cumplan los principios de planeación, transparencia y responsabilidad.</w:t>
      </w:r>
    </w:p>
    <w:p w14:paraId="000AC906" w14:textId="77777777" w:rsidR="002C00CC" w:rsidRPr="002E294E" w:rsidRDefault="002C00CC" w:rsidP="002C00CC">
      <w:pPr>
        <w:spacing w:after="120" w:line="276" w:lineRule="auto"/>
        <w:ind w:firstLine="708"/>
        <w:jc w:val="both"/>
        <w:rPr>
          <w:rFonts w:ascii="Verdana" w:eastAsia="Calibri" w:hAnsi="Verdana" w:cs="Arial"/>
          <w:lang w:val="es-ES" w:eastAsia="es-CO"/>
        </w:rPr>
      </w:pPr>
      <w:r w:rsidRPr="002E294E">
        <w:rPr>
          <w:rFonts w:ascii="Verdana" w:eastAsia="Calibri" w:hAnsi="Verdana" w:cs="Arial"/>
          <w:lang w:val="es-ES"/>
        </w:rPr>
        <w:t xml:space="preserve">De otro lado, las excepciones a la restricción prevista en la Ley de Garantías Electorales,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w:t>
      </w:r>
      <w:r w:rsidRPr="002E294E">
        <w:rPr>
          <w:rFonts w:ascii="Verdana" w:eastAsia="Calibri" w:hAnsi="Verdana" w:cs="Arial"/>
          <w:lang w:val="es-ES"/>
        </w:rPr>
        <w:lastRenderedPageBreak/>
        <w:t>objeto de atentados, acciones terroristas, desastres naturales o casos de fuerza mayor; y, v) los que deban realizar las entidades sanitarias y hospitalarias.</w:t>
      </w:r>
      <w:r w:rsidRPr="002E294E">
        <w:rPr>
          <w:rFonts w:ascii="Verdana" w:eastAsia="Calibri" w:hAnsi="Verdana" w:cs="Arial"/>
          <w:lang w:val="es-ES"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7165C926" w14:textId="77777777" w:rsidR="00996BB9" w:rsidRDefault="002C00CC" w:rsidP="00996BB9">
      <w:pPr>
        <w:shd w:val="clear" w:color="auto" w:fill="FFFFFF" w:themeFill="background1"/>
        <w:spacing w:line="276" w:lineRule="auto"/>
        <w:ind w:firstLine="709"/>
        <w:jc w:val="both"/>
        <w:rPr>
          <w:rFonts w:ascii="Verdana" w:hAnsi="Verdana" w:cs="Arial"/>
          <w:lang w:val="es-ES" w:eastAsia="es-CO"/>
        </w:rPr>
      </w:pPr>
      <w:r w:rsidRPr="002E294E">
        <w:rPr>
          <w:rFonts w:ascii="Verdana" w:eastAsia="Calibri" w:hAnsi="Verdana" w:cs="Arial"/>
          <w:bCs/>
          <w:lang w:val="es-ES_tradnl" w:eastAsia="x-none"/>
        </w:rPr>
        <w:t>En esta labor es importante tener en cuenta, como lo anotó la Corte Constitucional, en Sentencia C-1153 de noviembre 11 de 2005</w:t>
      </w:r>
      <w:r w:rsidRPr="002E294E">
        <w:rPr>
          <w:rFonts w:ascii="Verdana" w:eastAsia="Calibri" w:hAnsi="Verdana" w:cs="Calibri"/>
          <w:vertAlign w:val="superscript"/>
          <w:lang w:val="es-ES_tradnl" w:eastAsia="es-ES_tradnl"/>
        </w:rPr>
        <w:t>,</w:t>
      </w:r>
      <w:r w:rsidRPr="002E294E">
        <w:rPr>
          <w:rFonts w:ascii="Verdana" w:eastAsia="Calibri" w:hAnsi="Verdana" w:cs="Arial"/>
          <w:bCs/>
          <w:lang w:val="es-ES_tradnl" w:eastAsia="x-none"/>
        </w:rPr>
        <w:t xml:space="preserve">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2E294E">
        <w:rPr>
          <w:rFonts w:ascii="Verdana" w:eastAsia="Calibri" w:hAnsi="Verdana" w:cs="Arial"/>
          <w:vertAlign w:val="superscript"/>
          <w:lang w:val="es-ES_tradnl" w:eastAsia="es-ES_tradnl"/>
        </w:rPr>
        <w:footnoteReference w:id="17"/>
      </w:r>
      <w:r w:rsidRPr="002E294E">
        <w:rPr>
          <w:rFonts w:ascii="Verdana" w:eastAsia="Calibri" w:hAnsi="Verdana" w:cs="Arial"/>
          <w:bCs/>
          <w:lang w:val="es-ES_tradnl" w:eastAsia="x-none"/>
        </w:rPr>
        <w:t>.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r w:rsidR="00996BB9" w:rsidRPr="00996BB9">
        <w:rPr>
          <w:rFonts w:ascii="Verdana" w:hAnsi="Verdana" w:cs="Arial"/>
          <w:lang w:val="es-ES" w:eastAsia="es-CO"/>
        </w:rPr>
        <w:t xml:space="preserve"> </w:t>
      </w:r>
    </w:p>
    <w:p w14:paraId="38CEAC25" w14:textId="1D5A20AD" w:rsidR="002C00CC" w:rsidRPr="00D93E65" w:rsidRDefault="00996BB9" w:rsidP="00D93E65">
      <w:pPr>
        <w:shd w:val="clear" w:color="auto" w:fill="FFFFFF" w:themeFill="background1"/>
        <w:spacing w:line="276" w:lineRule="auto"/>
        <w:ind w:firstLine="709"/>
        <w:jc w:val="both"/>
        <w:rPr>
          <w:rFonts w:ascii="Verdana" w:hAnsi="Verdana" w:cs="Arial"/>
          <w:lang w:val="es-ES" w:eastAsia="es-CO"/>
        </w:rPr>
      </w:pPr>
      <w:r w:rsidRPr="002E294E">
        <w:rPr>
          <w:rFonts w:ascii="Verdana" w:hAnsi="Verdana" w:cs="Arial"/>
          <w:lang w:val="es-ES" w:eastAsia="es-CO"/>
        </w:rPr>
        <w:t xml:space="preserve">A su vez, la Corte Constitucional, al analizar la constitucionalidad de la Ley de Garantías Electorales, consideró que las prohibiciones consagradas en los artículos 32 y 33 de la </w:t>
      </w:r>
      <w:r>
        <w:rPr>
          <w:rFonts w:ascii="Verdana" w:hAnsi="Verdana" w:cs="Arial"/>
          <w:lang w:val="es-ES" w:eastAsia="es-CO"/>
        </w:rPr>
        <w:t>L</w:t>
      </w:r>
      <w:r w:rsidRPr="002E294E">
        <w:rPr>
          <w:rFonts w:ascii="Verdana" w:hAnsi="Verdana" w:cs="Arial"/>
          <w:lang w:val="es-ES" w:eastAsia="es-CO"/>
        </w:rPr>
        <w:t>ey mencionada no pueden ir en detrimento de intereses públicos. Por lo anterior, la Alta Corte consideró que las excepciones para la prohibición de contratación se encontraban justificadas, declarando su exequibilidad. Así, por ejemplo, la Corte Constitucional explicó que “[…] las excepciones de limitación protegen diversos tipos de urgencias de defensa, salud, educación, infraestructura vial y de servicios públicos y ecológicas tienden a no limitar desproporcionadamente la acción del Estado en el cumplimiento de sus fines, en procura de la igualdad entre candidatos como garantía electoral”</w:t>
      </w:r>
      <w:r w:rsidRPr="002E294E">
        <w:rPr>
          <w:rStyle w:val="Refdenotaalpie"/>
          <w:rFonts w:ascii="Verdana" w:hAnsi="Verdana" w:cs="Arial"/>
          <w:lang w:val="es-ES_tradnl" w:eastAsia="es-CO"/>
        </w:rPr>
        <w:footnoteReference w:id="18"/>
      </w:r>
      <w:r w:rsidRPr="002E294E">
        <w:rPr>
          <w:rFonts w:ascii="Verdana" w:hAnsi="Verdana" w:cs="Arial"/>
          <w:lang w:val="es-ES" w:eastAsia="es-CO"/>
        </w:rPr>
        <w:t xml:space="preserve">. </w:t>
      </w:r>
    </w:p>
    <w:p w14:paraId="4E1C22D0" w14:textId="684642B3" w:rsidR="00B72320" w:rsidRPr="002E294E" w:rsidRDefault="00B72320" w:rsidP="00D93E65">
      <w:pPr>
        <w:spacing w:line="276" w:lineRule="auto"/>
        <w:ind w:firstLine="708"/>
        <w:jc w:val="both"/>
        <w:rPr>
          <w:rFonts w:ascii="Verdana" w:hAnsi="Verdana" w:cs="Arial"/>
          <w:bCs/>
          <w:lang w:val="es-MX" w:eastAsia="x-none"/>
        </w:rPr>
      </w:pPr>
      <w:r>
        <w:rPr>
          <w:rFonts w:ascii="Verdana" w:eastAsia="Times New Roman" w:hAnsi="Verdana" w:cs="Arial"/>
          <w:lang w:eastAsia="es-CO"/>
        </w:rPr>
        <w:t xml:space="preserve">Así </w:t>
      </w:r>
      <w:r w:rsidR="00996BB9">
        <w:rPr>
          <w:rFonts w:ascii="Verdana" w:eastAsia="Times New Roman" w:hAnsi="Verdana" w:cs="Arial"/>
          <w:lang w:eastAsia="es-CO"/>
        </w:rPr>
        <w:t>mismo</w:t>
      </w:r>
      <w:r>
        <w:rPr>
          <w:rFonts w:ascii="Verdana" w:eastAsia="Times New Roman" w:hAnsi="Verdana" w:cs="Arial"/>
          <w:lang w:eastAsia="es-CO"/>
        </w:rPr>
        <w:t xml:space="preserve">, </w:t>
      </w:r>
      <w:r>
        <w:rPr>
          <w:rFonts w:ascii="Verdana" w:hAnsi="Verdana" w:cs="Arial"/>
          <w:bCs/>
          <w:lang w:val="es-MX" w:eastAsia="x-none"/>
        </w:rPr>
        <w:t>l</w:t>
      </w:r>
      <w:r w:rsidRPr="002E294E">
        <w:rPr>
          <w:rFonts w:ascii="Verdana" w:hAnsi="Verdana" w:cs="Arial"/>
          <w:bCs/>
          <w:lang w:val="es-MX" w:eastAsia="x-none"/>
        </w:rPr>
        <w:t xml:space="preserve">a Sala de Consulta y Servicio Civil del Consejo de Estado, en Concepto del 4 de febrero de 2010, explica que “[…] Las excepciones establecidas en los artículos 32 y 33 en comento, guardan relación, exclusivamente, con algunos servicios públicos que por su naturaleza no admiten </w:t>
      </w:r>
      <w:r w:rsidRPr="002E294E">
        <w:rPr>
          <w:rFonts w:ascii="Verdana" w:hAnsi="Verdana" w:cs="Arial"/>
          <w:bCs/>
          <w:lang w:val="es-MX" w:eastAsia="x-none"/>
        </w:rPr>
        <w:lastRenderedPageBreak/>
        <w:t>postergaciones en la atención de sus necesidades de personal, bienes y servicios [...]”</w:t>
      </w:r>
      <w:r w:rsidRPr="002E294E">
        <w:rPr>
          <w:rStyle w:val="Refdenotaalpie"/>
          <w:rFonts w:ascii="Verdana" w:hAnsi="Verdana" w:cs="Arial"/>
          <w:lang w:val="es-ES_tradnl" w:eastAsia="es-CO"/>
        </w:rPr>
        <w:footnoteReference w:id="19"/>
      </w:r>
      <w:r w:rsidRPr="002E294E">
        <w:rPr>
          <w:rFonts w:ascii="Verdana" w:hAnsi="Verdana" w:cs="Arial"/>
          <w:bCs/>
          <w:lang w:val="es-MX" w:eastAsia="x-none"/>
        </w:rPr>
        <w:t>.</w:t>
      </w:r>
    </w:p>
    <w:p w14:paraId="782E796D" w14:textId="3991D656" w:rsidR="00B72320" w:rsidRPr="002E294E" w:rsidRDefault="00B72320" w:rsidP="00B72320">
      <w:pPr>
        <w:shd w:val="clear" w:color="auto" w:fill="FFFFFF"/>
        <w:spacing w:line="276" w:lineRule="auto"/>
        <w:ind w:firstLine="709"/>
        <w:jc w:val="both"/>
        <w:rPr>
          <w:rFonts w:ascii="Verdana" w:hAnsi="Verdana" w:cs="Arial"/>
          <w:lang w:val="es-ES_tradnl" w:eastAsia="es-CO"/>
        </w:rPr>
      </w:pPr>
      <w:r w:rsidRPr="002E294E">
        <w:rPr>
          <w:rFonts w:ascii="Verdana" w:hAnsi="Verdana" w:cs="Arial"/>
          <w:bCs/>
          <w:lang w:val="es-ES_tradnl"/>
        </w:rPr>
        <w:t xml:space="preserve">Por tanto, las excepciones a la prohibición contenida en el inciso segundo de artículo 33 de la </w:t>
      </w:r>
      <w:r>
        <w:rPr>
          <w:rFonts w:ascii="Verdana" w:hAnsi="Verdana" w:cs="Arial"/>
          <w:bCs/>
          <w:lang w:val="es-ES_tradnl"/>
        </w:rPr>
        <w:t>L</w:t>
      </w:r>
      <w:r w:rsidRPr="002E294E">
        <w:rPr>
          <w:rFonts w:ascii="Verdana" w:hAnsi="Verdana" w:cs="Arial"/>
          <w:bCs/>
          <w:lang w:val="es-ES_tradnl"/>
        </w:rPr>
        <w:t xml:space="preserve">ey de </w:t>
      </w:r>
      <w:r>
        <w:rPr>
          <w:rFonts w:ascii="Verdana" w:hAnsi="Verdana" w:cs="Arial"/>
          <w:bCs/>
          <w:lang w:val="es-ES_tradnl"/>
        </w:rPr>
        <w:t>G</w:t>
      </w:r>
      <w:r w:rsidRPr="002E294E">
        <w:rPr>
          <w:rFonts w:ascii="Verdana" w:hAnsi="Verdana" w:cs="Arial"/>
          <w:bCs/>
          <w:lang w:val="es-ES_tradnl"/>
        </w:rPr>
        <w:t xml:space="preserve">arantías </w:t>
      </w:r>
      <w:r>
        <w:rPr>
          <w:rFonts w:ascii="Verdana" w:hAnsi="Verdana" w:cs="Arial"/>
          <w:bCs/>
          <w:lang w:val="es-ES_tradnl"/>
        </w:rPr>
        <w:t>E</w:t>
      </w:r>
      <w:r w:rsidRPr="002E294E">
        <w:rPr>
          <w:rFonts w:ascii="Verdana" w:hAnsi="Verdana" w:cs="Arial"/>
          <w:bCs/>
          <w:lang w:val="es-ES_tradnl"/>
        </w:rPr>
        <w:t>lectorales tienen por finalidad garantizar la prestación ininterrumpida de algunos servicios públicos que, dada su importancia en el orden interno, se verían irrazonablemente afectados por la restricción explicada. Lo anterior implica que las excepciones al artículo 33 en comento deben interpretarse y aplicarse de manera restrictiva. En otras palabras, que no sería factible hacer interpretaciones extensivas para incluir otros supuestos de hecho similares a las circunstancias previstas en dicho artículo, pues el carácter taxativo implica que solo en los eventos consagrados expresamente en la norma permiten que ciertas entidades estatales se vean exceptuadas de la prohibición.</w:t>
      </w:r>
    </w:p>
    <w:p w14:paraId="29F53FCA" w14:textId="77777777" w:rsidR="00B72320" w:rsidRPr="002E294E" w:rsidRDefault="00B72320" w:rsidP="00B72320">
      <w:pPr>
        <w:spacing w:line="276" w:lineRule="auto"/>
        <w:ind w:firstLine="708"/>
        <w:jc w:val="both"/>
        <w:rPr>
          <w:rFonts w:ascii="Verdana" w:eastAsia="Calibri" w:hAnsi="Verdana" w:cs="Arial"/>
        </w:rPr>
      </w:pPr>
      <w:r w:rsidRPr="002E294E">
        <w:rPr>
          <w:rFonts w:ascii="Verdana" w:hAnsi="Verdana" w:cs="Arial"/>
          <w:bCs/>
          <w:lang w:val="es-MX" w:eastAsia="x-none"/>
        </w:rPr>
        <w:t>Entre las excepciones del artículo en comento se encuentran “[…] l</w:t>
      </w:r>
      <w:r w:rsidRPr="002E294E">
        <w:rPr>
          <w:rFonts w:ascii="Verdana" w:hAnsi="Verdana" w:cs="Arial"/>
          <w:bCs/>
          <w:lang w:eastAsia="x-none"/>
        </w:rPr>
        <w:t>os requeridos para cubrir las emergencias educativas, sanitarias y desastres […]</w:t>
      </w:r>
      <w:r w:rsidRPr="002E294E">
        <w:rPr>
          <w:rFonts w:ascii="Verdana" w:hAnsi="Verdana" w:cs="Arial"/>
          <w:bCs/>
          <w:lang w:val="es-MX" w:eastAsia="x-none"/>
        </w:rPr>
        <w:t>”</w:t>
      </w:r>
      <w:r w:rsidRPr="002E294E">
        <w:rPr>
          <w:rFonts w:ascii="Verdana" w:eastAsia="Calibri" w:hAnsi="Verdana" w:cs="Arial"/>
        </w:rPr>
        <w:t xml:space="preserve">. Sobre el alcance de estas excepciones, es necesario tener en cuenta que el </w:t>
      </w:r>
      <w:r w:rsidRPr="002E294E">
        <w:rPr>
          <w:rFonts w:ascii="Verdana" w:eastAsia="Calibri" w:hAnsi="Verdana" w:cs="Arial"/>
          <w:bCs/>
          <w:color w:val="000000" w:themeColor="text1"/>
        </w:rPr>
        <w:t xml:space="preserve">artículo 28 del Código Civil dispone que “Las palabras de la ley se entenderán en su sentido natural y obvio, según el uso general de las mismas palabras; pero cuando el legislador las haya definido expresamente para ciertas materias, se les dará en éstas su significado legal”; igualmente, el artículo 29 </w:t>
      </w:r>
      <w:r w:rsidRPr="002E294E">
        <w:rPr>
          <w:rFonts w:ascii="Verdana" w:eastAsia="Calibri" w:hAnsi="Verdana" w:cs="Arial"/>
          <w:bCs/>
          <w:i/>
          <w:iCs/>
          <w:color w:val="000000" w:themeColor="text1"/>
        </w:rPr>
        <w:t>ibidem</w:t>
      </w:r>
      <w:r w:rsidRPr="002E294E">
        <w:rPr>
          <w:rFonts w:ascii="Verdana" w:eastAsia="Calibri" w:hAnsi="Verdana" w:cs="Arial"/>
          <w:bCs/>
          <w:color w:val="000000" w:themeColor="text1"/>
        </w:rPr>
        <w:t xml:space="preserve"> prescribe lo siguiente: “Las palabras técnicas de toda ciencia o arte se tomarán en el sentido que les den los que profesan la misma ciencia o arte; a menos que aparezca claramente que se han formado en sentido diverso”</w:t>
      </w:r>
      <w:r w:rsidRPr="002E294E">
        <w:rPr>
          <w:rStyle w:val="Refdenotaalpie"/>
          <w:rFonts w:ascii="Verdana" w:eastAsia="Calibri" w:hAnsi="Verdana" w:cs="Arial"/>
          <w:bCs/>
          <w:color w:val="000000" w:themeColor="text1"/>
        </w:rPr>
        <w:footnoteReference w:id="20"/>
      </w:r>
      <w:r w:rsidRPr="002E294E">
        <w:rPr>
          <w:rFonts w:ascii="Verdana" w:eastAsia="Calibri" w:hAnsi="Verdana" w:cs="Arial"/>
          <w:bCs/>
          <w:color w:val="000000" w:themeColor="text1"/>
        </w:rPr>
        <w:t>.</w:t>
      </w:r>
    </w:p>
    <w:p w14:paraId="409CDF28" w14:textId="77777777" w:rsidR="00B72320" w:rsidRPr="002E294E" w:rsidRDefault="00B72320" w:rsidP="00B72320">
      <w:pPr>
        <w:spacing w:line="276" w:lineRule="auto"/>
        <w:jc w:val="both"/>
        <w:rPr>
          <w:rFonts w:ascii="Verdana" w:eastAsia="Calibri" w:hAnsi="Verdana" w:cs="Arial"/>
          <w:bCs/>
          <w:color w:val="000000" w:themeColor="text1"/>
        </w:rPr>
      </w:pPr>
      <w:r w:rsidRPr="002E294E">
        <w:rPr>
          <w:rFonts w:ascii="Verdana" w:eastAsia="Calibri" w:hAnsi="Verdana" w:cs="Arial"/>
          <w:bCs/>
          <w:color w:val="000000" w:themeColor="text1"/>
        </w:rPr>
        <w:tab/>
        <w:t xml:space="preserve">Dentro de este marco, </w:t>
      </w:r>
      <w:r w:rsidRPr="002E294E">
        <w:rPr>
          <w:rFonts w:ascii="Verdana" w:eastAsia="Calibri" w:hAnsi="Verdana" w:cs="Arial"/>
          <w:lang w:val="es-ES"/>
        </w:rPr>
        <w:t xml:space="preserve">el artículo 42 de la Ley 80 de 1993 dispone que la urgencia manifiesta se declara, entre otras tres (3) circunstancias, con la finalidad de “[…] conjurar situaciones excepcionales relacionadas con hechos de </w:t>
      </w:r>
      <w:r w:rsidRPr="002E294E">
        <w:rPr>
          <w:rFonts w:ascii="Verdana" w:eastAsia="Calibri" w:hAnsi="Verdana" w:cs="Arial"/>
          <w:lang w:val="es-ES"/>
        </w:rPr>
        <w:lastRenderedPageBreak/>
        <w:t xml:space="preserve">calamidad o constitutivos de fuerza mayor o desastre que demanden actuaciones inmediatas […]”. En la medida en que la norma utiliza la conjunción “o”, en principio asimilaría la </w:t>
      </w:r>
      <w:r w:rsidRPr="002E294E">
        <w:rPr>
          <w:rFonts w:ascii="Verdana" w:eastAsia="Calibri" w:hAnsi="Verdana" w:cs="Arial"/>
          <w:i/>
          <w:lang w:val="es-ES"/>
        </w:rPr>
        <w:t>calamidad</w:t>
      </w:r>
      <w:r w:rsidRPr="002E294E">
        <w:rPr>
          <w:rFonts w:ascii="Verdana" w:eastAsia="Calibri" w:hAnsi="Verdana" w:cs="Arial"/>
          <w:lang w:val="es-ES"/>
        </w:rPr>
        <w:t xml:space="preserve"> y el </w:t>
      </w:r>
      <w:r w:rsidRPr="002E294E">
        <w:rPr>
          <w:rFonts w:ascii="Verdana" w:eastAsia="Calibri" w:hAnsi="Verdana" w:cs="Arial"/>
          <w:i/>
          <w:lang w:val="es-ES"/>
        </w:rPr>
        <w:t xml:space="preserve">desastre </w:t>
      </w:r>
      <w:r w:rsidRPr="002E294E">
        <w:rPr>
          <w:rFonts w:ascii="Verdana" w:eastAsia="Calibri" w:hAnsi="Verdana" w:cs="Arial"/>
          <w:lang w:val="es-ES"/>
        </w:rPr>
        <w:t xml:space="preserve">con la </w:t>
      </w:r>
      <w:r w:rsidRPr="002E294E">
        <w:rPr>
          <w:rFonts w:ascii="Verdana" w:eastAsia="Calibri" w:hAnsi="Verdana" w:cs="Arial"/>
          <w:i/>
          <w:lang w:val="es-ES"/>
        </w:rPr>
        <w:t>fuerza mayor</w:t>
      </w:r>
      <w:r w:rsidRPr="002E294E">
        <w:rPr>
          <w:rFonts w:ascii="Verdana" w:eastAsia="Calibri" w:hAnsi="Verdana" w:cs="Arial"/>
          <w:lang w:val="es-ES"/>
        </w:rPr>
        <w:t xml:space="preserve"> o el </w:t>
      </w:r>
      <w:r w:rsidRPr="002E294E">
        <w:rPr>
          <w:rFonts w:ascii="Verdana" w:eastAsia="Calibri" w:hAnsi="Verdana" w:cs="Arial"/>
          <w:i/>
          <w:lang w:val="es-ES"/>
        </w:rPr>
        <w:t>caso fortuito</w:t>
      </w:r>
      <w:r w:rsidRPr="002E294E">
        <w:rPr>
          <w:rFonts w:ascii="Verdana" w:eastAsia="Calibri" w:hAnsi="Verdana" w:cs="Arial"/>
          <w:lang w:val="es-ES"/>
        </w:rPr>
        <w:t xml:space="preserve">. </w:t>
      </w:r>
    </w:p>
    <w:p w14:paraId="5D29D2E7" w14:textId="77777777" w:rsidR="00B72320" w:rsidRPr="002E294E" w:rsidRDefault="00B72320" w:rsidP="00B72320">
      <w:pPr>
        <w:spacing w:after="0" w:line="276" w:lineRule="auto"/>
        <w:ind w:firstLine="708"/>
        <w:jc w:val="both"/>
        <w:rPr>
          <w:rFonts w:ascii="Verdana" w:eastAsia="Calibri" w:hAnsi="Verdana" w:cs="Arial"/>
          <w:lang w:val="es-ES_tradnl"/>
        </w:rPr>
      </w:pPr>
      <w:r w:rsidRPr="002E294E">
        <w:rPr>
          <w:rFonts w:ascii="Verdana" w:eastAsia="Calibri" w:hAnsi="Verdana" w:cs="Arial"/>
          <w:lang w:val="es-ES_tradnl"/>
        </w:rPr>
        <w:t>Al respecto, el artículo 64 del Código Civil define como tal “[…] el imprevisto o que no es posible resistir, como un naufragio, un terremoto, el apresamiento de enemigos, los actos de autoridad ejercidos por un funcionario público, etc.”</w:t>
      </w:r>
      <w:r w:rsidRPr="002E294E">
        <w:rPr>
          <w:rFonts w:ascii="Verdana" w:eastAsia="Calibri" w:hAnsi="Verdana" w:cs="Arial"/>
          <w:sz w:val="21"/>
          <w:szCs w:val="21"/>
          <w:vertAlign w:val="superscript"/>
          <w:lang w:val="es-ES_tradnl"/>
        </w:rPr>
        <w:footnoteReference w:id="21"/>
      </w:r>
      <w:r w:rsidRPr="002E294E">
        <w:rPr>
          <w:rFonts w:ascii="Verdana" w:eastAsia="Calibri" w:hAnsi="Verdana" w:cs="Arial"/>
          <w:sz w:val="21"/>
          <w:szCs w:val="21"/>
          <w:lang w:val="es-ES_tradnl"/>
        </w:rPr>
        <w:t>.</w:t>
      </w:r>
      <w:r w:rsidRPr="002E294E">
        <w:rPr>
          <w:rFonts w:ascii="Verdana" w:eastAsia="Calibri" w:hAnsi="Verdana" w:cs="Arial"/>
          <w:lang w:val="es-ES_tradnl"/>
        </w:rPr>
        <w:t xml:space="preserve"> Cuando provienen de fenómenos de la naturaleza estas características confluyen con los conceptos de desastre y calamidad, los cuales –conforme al Diccionario de la Real Academia Española– constituyen una “Desgracia grande, suceso infeliz y lamentable” o “Desgracia o infortunio que alcanza a muchas personas”, respectivamente. Conforme al significado natural de las palabras, parece que la diferencia es el mayor alcance de la segunda respecto al primero. No obstante, además de la ocurrencia de desastres y calamidades que –aunque irresistibles– se presentan con cierto grado de previsibilidad o que, incluso, se originan en la actuación humana intencional, estos dos conceptos también los definió el artículo 4, numerales 5 y 8, de la Ley 1523 de 2012:</w:t>
      </w:r>
    </w:p>
    <w:p w14:paraId="288CCBCD" w14:textId="77777777" w:rsidR="00B72320" w:rsidRPr="002E294E" w:rsidRDefault="00B72320" w:rsidP="00B72320">
      <w:pPr>
        <w:spacing w:after="0" w:line="276" w:lineRule="auto"/>
        <w:ind w:firstLine="708"/>
        <w:jc w:val="both"/>
        <w:rPr>
          <w:rFonts w:ascii="Verdana" w:eastAsia="Calibri" w:hAnsi="Verdana" w:cs="Arial"/>
          <w:lang w:val="es-ES_tradnl"/>
        </w:rPr>
      </w:pPr>
    </w:p>
    <w:p w14:paraId="3C732FD2" w14:textId="77777777" w:rsidR="00B72320" w:rsidRPr="002E294E" w:rsidRDefault="00B72320" w:rsidP="00B72320">
      <w:pPr>
        <w:spacing w:after="0" w:line="240" w:lineRule="auto"/>
        <w:ind w:left="709" w:right="709"/>
        <w:jc w:val="both"/>
        <w:rPr>
          <w:rFonts w:ascii="Verdana" w:eastAsia="Calibri" w:hAnsi="Verdana" w:cs="Arial"/>
          <w:sz w:val="20"/>
          <w:szCs w:val="20"/>
          <w:lang w:val="es-ES_tradnl"/>
        </w:rPr>
      </w:pPr>
      <w:r w:rsidRPr="002E294E">
        <w:rPr>
          <w:rFonts w:ascii="Verdana" w:eastAsia="Calibri" w:hAnsi="Verdana" w:cs="Arial"/>
          <w:sz w:val="20"/>
          <w:szCs w:val="20"/>
          <w:lang w:val="es-ES_tradnl"/>
        </w:rPr>
        <w:t>“Art. 4. Para efectos de la presente ley se entenderá por:</w:t>
      </w:r>
    </w:p>
    <w:p w14:paraId="29FE558B" w14:textId="77777777" w:rsidR="00B72320" w:rsidRPr="002E294E" w:rsidRDefault="00B72320" w:rsidP="00B72320">
      <w:pPr>
        <w:spacing w:after="120" w:line="240" w:lineRule="auto"/>
        <w:ind w:left="709" w:right="709"/>
        <w:jc w:val="both"/>
        <w:rPr>
          <w:rFonts w:ascii="Verdana" w:eastAsia="Calibri" w:hAnsi="Verdana" w:cs="Arial"/>
          <w:sz w:val="20"/>
          <w:szCs w:val="20"/>
          <w:lang w:val="es-ES_tradnl"/>
        </w:rPr>
      </w:pPr>
      <w:r w:rsidRPr="002E294E">
        <w:rPr>
          <w:rFonts w:ascii="Verdana" w:eastAsia="Calibri" w:hAnsi="Verdana" w:cs="Arial"/>
          <w:sz w:val="20"/>
          <w:szCs w:val="20"/>
          <w:lang w:val="es-ES_tradnl"/>
        </w:rPr>
        <w:t>[…]</w:t>
      </w:r>
    </w:p>
    <w:p w14:paraId="1D248F90" w14:textId="77777777" w:rsidR="00B72320" w:rsidRPr="002E294E" w:rsidRDefault="00B72320" w:rsidP="00B72320">
      <w:pPr>
        <w:spacing w:after="0" w:line="240" w:lineRule="auto"/>
        <w:ind w:left="709" w:right="709"/>
        <w:jc w:val="both"/>
        <w:rPr>
          <w:rFonts w:ascii="Verdana" w:eastAsia="Calibri" w:hAnsi="Verdana" w:cs="Arial"/>
          <w:sz w:val="20"/>
          <w:szCs w:val="20"/>
          <w:lang w:val="es-ES_tradnl"/>
        </w:rPr>
      </w:pPr>
      <w:r w:rsidRPr="002E294E">
        <w:rPr>
          <w:rFonts w:ascii="Verdana" w:eastAsia="Calibri" w:hAnsi="Verdana" w:cs="Arial"/>
          <w:sz w:val="20"/>
          <w:szCs w:val="20"/>
          <w:lang w:val="es-ES_tradnl"/>
        </w:rPr>
        <w:t xml:space="preserve">5. Calamidad pública: Es el resultado que se desencadena de la manifestación de uno o varios eventos naturales o antropogénicos no intencionales que al encontrar condiciones propicias de vulnerabilidad en </w:t>
      </w:r>
      <w:r w:rsidRPr="002E294E">
        <w:rPr>
          <w:rFonts w:ascii="Verdana" w:eastAsia="Calibri" w:hAnsi="Verdana" w:cs="Arial"/>
          <w:sz w:val="20"/>
          <w:szCs w:val="20"/>
          <w:lang w:val="es-ES_tradnl"/>
        </w:rPr>
        <w:lastRenderedPageBreak/>
        <w:t>las personas, los bienes, la infraestructura, los medios de subsistencia, la prestación de servicios o los recursos ambientales, causa daños o pérdidas humanas, materiales, económicas o ambientales, generando una alteración intensa, grave y extendida en las condiciones normales de funcionamiento de la población, en el respectivo territorio, que exige al municipio, distrito o departamento ejecutar acciones de respuesta a la emergencia, rehabilitación y reconstrucción.</w:t>
      </w:r>
    </w:p>
    <w:p w14:paraId="1EA44787" w14:textId="77777777" w:rsidR="00B72320" w:rsidRPr="002E294E" w:rsidRDefault="00B72320" w:rsidP="00B72320">
      <w:pPr>
        <w:spacing w:after="120" w:line="240" w:lineRule="auto"/>
        <w:ind w:left="709" w:right="709"/>
        <w:jc w:val="both"/>
        <w:rPr>
          <w:rFonts w:ascii="Verdana" w:eastAsia="Calibri" w:hAnsi="Verdana" w:cs="Arial"/>
          <w:sz w:val="20"/>
          <w:szCs w:val="20"/>
          <w:lang w:val="es-ES_tradnl"/>
        </w:rPr>
      </w:pPr>
      <w:r w:rsidRPr="002E294E">
        <w:rPr>
          <w:rFonts w:ascii="Verdana" w:eastAsia="Calibri" w:hAnsi="Verdana" w:cs="Arial"/>
          <w:sz w:val="20"/>
          <w:szCs w:val="20"/>
          <w:lang w:val="es-ES_tradnl"/>
        </w:rPr>
        <w:t xml:space="preserve">[…] </w:t>
      </w:r>
    </w:p>
    <w:p w14:paraId="1F58D312" w14:textId="77777777" w:rsidR="00B72320" w:rsidRPr="002E294E" w:rsidRDefault="00B72320" w:rsidP="00B72320">
      <w:pPr>
        <w:spacing w:after="0" w:line="240" w:lineRule="auto"/>
        <w:ind w:left="709" w:right="709"/>
        <w:jc w:val="both"/>
        <w:rPr>
          <w:rFonts w:ascii="Verdana" w:eastAsia="Calibri" w:hAnsi="Verdana" w:cs="Arial"/>
          <w:sz w:val="20"/>
          <w:szCs w:val="20"/>
          <w:lang w:val="es-ES_tradnl"/>
        </w:rPr>
      </w:pPr>
      <w:r w:rsidRPr="002E294E">
        <w:rPr>
          <w:rFonts w:ascii="Verdana" w:eastAsia="Calibri" w:hAnsi="Verdana" w:cs="Arial"/>
          <w:sz w:val="20"/>
          <w:szCs w:val="20"/>
          <w:lang w:val="es-ES_tradnl"/>
        </w:rPr>
        <w:t>8. Desastre: Es el resultado que se desencadena de la manifestación de uno o varios eventos naturales o antropogénicos no intencionales que al encontrar condiciones propicias de vulnerabilidad en las personas, los bienes, la infraestructura, los medios de subsistencia, la prestación de servicios o los recursos ambientales, causa daños o pérdidas humanas, materiales, económicas o ambientales, generando una alteración intensa, grave y extendida en las condiciones normales de funcionamiento de la sociedad, que exige del Estado y del sistema nacional ejecutar acciones de respuesta a la emergencia, rehabilitación y reconstrucción</w:t>
      </w:r>
    </w:p>
    <w:p w14:paraId="2DA628E4" w14:textId="77777777" w:rsidR="00B72320" w:rsidRPr="002E294E" w:rsidRDefault="00B72320" w:rsidP="00B72320">
      <w:pPr>
        <w:spacing w:after="0" w:line="240" w:lineRule="auto"/>
        <w:ind w:left="709" w:right="709"/>
        <w:jc w:val="both"/>
        <w:rPr>
          <w:rFonts w:ascii="Verdana" w:eastAsia="Calibri" w:hAnsi="Verdana" w:cs="Arial"/>
          <w:sz w:val="20"/>
          <w:szCs w:val="20"/>
        </w:rPr>
      </w:pPr>
    </w:p>
    <w:p w14:paraId="5A7B7404" w14:textId="77777777" w:rsidR="00B72320" w:rsidRPr="002E294E" w:rsidRDefault="00B72320" w:rsidP="00B72320">
      <w:pPr>
        <w:spacing w:after="0" w:line="240" w:lineRule="auto"/>
        <w:ind w:left="709" w:right="709"/>
        <w:jc w:val="both"/>
        <w:rPr>
          <w:rFonts w:ascii="Verdana" w:eastAsia="Calibri" w:hAnsi="Verdana" w:cs="Arial"/>
          <w:lang w:val="es-ES_tradnl"/>
        </w:rPr>
      </w:pPr>
      <w:r w:rsidRPr="002E294E">
        <w:rPr>
          <w:rFonts w:ascii="Verdana" w:eastAsia="Calibri" w:hAnsi="Verdana" w:cs="Arial"/>
          <w:sz w:val="20"/>
          <w:szCs w:val="20"/>
        </w:rPr>
        <w:t xml:space="preserve">9. Emergencia: Situación caracterizada por la alteración o interrupción intensa y grave de las condiciones normales de funcionamiento u operación de una comunidad, causada por un evento adverso o por la inminencia </w:t>
      </w:r>
      <w:proofErr w:type="gramStart"/>
      <w:r w:rsidRPr="002E294E">
        <w:rPr>
          <w:rFonts w:ascii="Verdana" w:eastAsia="Calibri" w:hAnsi="Verdana" w:cs="Arial"/>
          <w:sz w:val="20"/>
          <w:szCs w:val="20"/>
        </w:rPr>
        <w:t>del mismo</w:t>
      </w:r>
      <w:proofErr w:type="gramEnd"/>
      <w:r w:rsidRPr="002E294E">
        <w:rPr>
          <w:rFonts w:ascii="Verdana" w:eastAsia="Calibri" w:hAnsi="Verdana" w:cs="Arial"/>
          <w:sz w:val="20"/>
          <w:szCs w:val="20"/>
        </w:rPr>
        <w:t>, que obliga a una reacción inmediata y que requiere la respuesta de las instituciones del Estado, los medios de comunicación y de la comunidad en general</w:t>
      </w:r>
      <w:r w:rsidRPr="002E294E">
        <w:rPr>
          <w:rFonts w:ascii="Verdana" w:eastAsia="Calibri" w:hAnsi="Verdana" w:cs="Arial"/>
          <w:sz w:val="20"/>
          <w:szCs w:val="20"/>
          <w:lang w:val="es-ES_tradnl"/>
        </w:rPr>
        <w:t>”.</w:t>
      </w:r>
    </w:p>
    <w:p w14:paraId="4D1E9857" w14:textId="77777777" w:rsidR="00B72320" w:rsidRDefault="00B72320" w:rsidP="00B72320">
      <w:pPr>
        <w:spacing w:after="0" w:line="276" w:lineRule="auto"/>
        <w:ind w:firstLine="709"/>
        <w:jc w:val="both"/>
        <w:rPr>
          <w:rFonts w:ascii="Verdana" w:eastAsia="Calibri" w:hAnsi="Verdana" w:cs="Arial"/>
          <w:lang w:val="es-ES"/>
        </w:rPr>
      </w:pPr>
    </w:p>
    <w:p w14:paraId="3C4C1706" w14:textId="27F61449" w:rsidR="00B72320" w:rsidRPr="002E294E" w:rsidRDefault="00B72320" w:rsidP="00D93E65">
      <w:pPr>
        <w:spacing w:after="120" w:line="276" w:lineRule="auto"/>
        <w:ind w:firstLine="709"/>
        <w:jc w:val="both"/>
        <w:rPr>
          <w:rFonts w:ascii="Verdana" w:eastAsia="Calibri" w:hAnsi="Verdana" w:cs="Arial"/>
          <w:bCs/>
          <w:lang w:val="es-ES_tradnl" w:eastAsia="x-none"/>
        </w:rPr>
      </w:pPr>
      <w:r w:rsidRPr="002E294E">
        <w:rPr>
          <w:rFonts w:ascii="Verdana" w:eastAsia="Calibri" w:hAnsi="Verdana" w:cs="Arial"/>
          <w:lang w:val="es-ES"/>
        </w:rPr>
        <w:t xml:space="preserve">Esta norma debe armonizarse con los artículos 56 y 57 </w:t>
      </w:r>
      <w:r w:rsidRPr="002E294E">
        <w:rPr>
          <w:rFonts w:ascii="Verdana" w:eastAsia="Calibri" w:hAnsi="Verdana" w:cs="Arial"/>
          <w:i/>
          <w:lang w:val="es-ES"/>
        </w:rPr>
        <w:t>ibidem</w:t>
      </w:r>
      <w:r w:rsidRPr="002E294E">
        <w:rPr>
          <w:rFonts w:ascii="Verdana" w:eastAsia="Calibri" w:hAnsi="Verdana" w:cs="Arial"/>
          <w:lang w:val="es-ES"/>
        </w:rPr>
        <w:t xml:space="preserve">, que asignan la competencia para declarar la ocurrencia de una situación de </w:t>
      </w:r>
      <w:r w:rsidRPr="002E294E">
        <w:rPr>
          <w:rFonts w:ascii="Verdana" w:eastAsia="Calibri" w:hAnsi="Verdana" w:cs="Arial"/>
          <w:i/>
          <w:lang w:val="es-ES"/>
        </w:rPr>
        <w:t>desastre</w:t>
      </w:r>
      <w:r w:rsidRPr="002E294E">
        <w:rPr>
          <w:rFonts w:ascii="Verdana" w:eastAsia="Calibri" w:hAnsi="Verdana" w:cs="Arial"/>
          <w:lang w:val="es-ES"/>
        </w:rPr>
        <w:t xml:space="preserve"> o una situación de </w:t>
      </w:r>
      <w:r w:rsidRPr="002E294E">
        <w:rPr>
          <w:rFonts w:ascii="Verdana" w:eastAsia="Calibri" w:hAnsi="Verdana" w:cs="Arial"/>
          <w:i/>
          <w:lang w:val="es-ES"/>
        </w:rPr>
        <w:t>calamidad pública</w:t>
      </w:r>
      <w:r w:rsidRPr="002E294E">
        <w:rPr>
          <w:rFonts w:ascii="Verdana" w:eastAsia="Calibri" w:hAnsi="Verdana" w:cs="Arial"/>
          <w:lang w:val="es-ES"/>
        </w:rPr>
        <w:t xml:space="preserve">. Particularmente, disponen que al Presidente de la República le corresponde declarar la situación de </w:t>
      </w:r>
      <w:r w:rsidRPr="002E294E">
        <w:rPr>
          <w:rFonts w:ascii="Verdana" w:eastAsia="Calibri" w:hAnsi="Verdana" w:cs="Arial"/>
          <w:i/>
          <w:lang w:val="es-ES"/>
        </w:rPr>
        <w:t>desastre</w:t>
      </w:r>
      <w:r w:rsidRPr="002E294E">
        <w:rPr>
          <w:rFonts w:ascii="Verdana" w:eastAsia="Calibri" w:hAnsi="Verdana" w:cs="Arial"/>
          <w:lang w:val="es-ES"/>
        </w:rPr>
        <w:t>, tanto en el orden nacional, departamental, como en el municipal y distrital</w:t>
      </w:r>
      <w:r w:rsidRPr="002E294E">
        <w:rPr>
          <w:rStyle w:val="Refdenotaalpie"/>
          <w:rFonts w:ascii="Verdana" w:eastAsia="Calibri" w:hAnsi="Verdana" w:cs="Arial"/>
          <w:lang w:val="es-ES"/>
        </w:rPr>
        <w:footnoteReference w:id="22"/>
      </w:r>
      <w:r w:rsidRPr="002E294E">
        <w:rPr>
          <w:rFonts w:ascii="Verdana" w:eastAsia="Calibri" w:hAnsi="Verdana" w:cs="Arial"/>
          <w:lang w:val="es-ES"/>
        </w:rPr>
        <w:t xml:space="preserve">, facultad </w:t>
      </w:r>
      <w:r w:rsidRPr="002E294E">
        <w:rPr>
          <w:rFonts w:ascii="Verdana" w:eastAsia="Calibri" w:hAnsi="Verdana" w:cs="Arial"/>
          <w:lang w:val="es-ES"/>
        </w:rPr>
        <w:lastRenderedPageBreak/>
        <w:t xml:space="preserve">que no pueden ejercer los gobernadores y alcaldes, porque la norma no les asignó esta competencia. No obstante, a los gobernadores y alcaldes sí les corresponde declarar la </w:t>
      </w:r>
      <w:r w:rsidRPr="002E294E">
        <w:rPr>
          <w:rFonts w:ascii="Verdana" w:eastAsia="Calibri" w:hAnsi="Verdana" w:cs="Arial"/>
          <w:i/>
          <w:lang w:val="es-ES"/>
        </w:rPr>
        <w:t>situación de calamidad pública</w:t>
      </w:r>
      <w:r w:rsidRPr="002E294E">
        <w:rPr>
          <w:rFonts w:ascii="Verdana" w:eastAsia="Calibri" w:hAnsi="Verdana" w:cs="Arial"/>
          <w:lang w:val="es-ES"/>
        </w:rPr>
        <w:t>, en los respectivos ámbitos, facultad que, en cambio, no puede ejercer el presidente de la república</w:t>
      </w:r>
      <w:r w:rsidRPr="002E294E">
        <w:rPr>
          <w:rStyle w:val="Refdenotaalpie"/>
          <w:rFonts w:ascii="Verdana" w:eastAsia="Calibri" w:hAnsi="Verdana" w:cs="Arial"/>
          <w:lang w:val="es-ES"/>
        </w:rPr>
        <w:footnoteReference w:id="23"/>
      </w:r>
      <w:r w:rsidRPr="002E294E">
        <w:rPr>
          <w:rFonts w:ascii="Verdana" w:eastAsia="Calibri" w:hAnsi="Verdana" w:cs="Arial"/>
          <w:lang w:val="es-ES"/>
        </w:rPr>
        <w:t xml:space="preserve">. </w:t>
      </w:r>
    </w:p>
    <w:p w14:paraId="6BAECD6C" w14:textId="77777777" w:rsidR="002C00CC" w:rsidRPr="002E294E" w:rsidRDefault="002C00CC" w:rsidP="002C00CC">
      <w:pPr>
        <w:spacing w:after="120" w:line="276" w:lineRule="auto"/>
        <w:ind w:firstLine="709"/>
        <w:jc w:val="both"/>
        <w:rPr>
          <w:rFonts w:ascii="Verdana" w:eastAsia="Times New Roman" w:hAnsi="Verdana" w:cs="Arial"/>
          <w:bCs/>
          <w:lang w:val="es-MX" w:eastAsia="es-CO"/>
        </w:rPr>
      </w:pPr>
      <w:r w:rsidRPr="002E294E">
        <w:rPr>
          <w:rFonts w:ascii="Verdana" w:eastAsia="Calibri" w:hAnsi="Verdana" w:cs="Arial"/>
          <w:bCs/>
          <w:color w:val="000000"/>
          <w:lang w:val="es-MX" w:eastAsia="x-none"/>
        </w:rPr>
        <w:t>En relación con los destinatarios de la restricción analizada</w:t>
      </w:r>
      <w:r w:rsidRPr="002E294E">
        <w:rPr>
          <w:rFonts w:ascii="Verdana" w:eastAsia="Times New Roman" w:hAnsi="Verdana" w:cs="Arial"/>
          <w:bCs/>
          <w:lang w:val="es-MX" w:eastAsia="x-none"/>
        </w:rPr>
        <w:t>, el artículo 33 de la Ley 996 de 2005 señala expresamente a los destinatarios de la prohibición, en el sentido de que son “todos los entes del Estado”, expresión que contempla a los diferentes organismos o entidades autorizadas por la ley para suscribir contratos.</w:t>
      </w:r>
      <w:r w:rsidRPr="002E294E">
        <w:rPr>
          <w:rFonts w:ascii="Verdana" w:eastAsia="Calibri" w:hAnsi="Verdana" w:cs="Arial"/>
          <w:lang w:val="es-MX"/>
        </w:rPr>
        <w:t xml:space="preserve"> </w:t>
      </w:r>
      <w:r w:rsidRPr="002E294E">
        <w:rPr>
          <w:rFonts w:ascii="Verdana" w:eastAsia="Times New Roman" w:hAnsi="Verdana" w:cs="Arial"/>
          <w:bCs/>
          <w:lang w:val="es-MX" w:eastAsia="x-none"/>
        </w:rPr>
        <w:t>En efecto, tal como lo ha sostenido el Consejo de Estado, el vocablo “todos” utilizado por el legislador comprende</w:t>
      </w:r>
      <w:r w:rsidRPr="002E294E">
        <w:rPr>
          <w:rFonts w:ascii="Verdana" w:eastAsia="Calibri" w:hAnsi="Verdana" w:cs="Arial"/>
          <w:lang w:val="es-MX"/>
        </w:rPr>
        <w:t xml:space="preserve"> </w:t>
      </w:r>
      <w:r w:rsidRPr="002E294E">
        <w:rPr>
          <w:rFonts w:ascii="Verdana" w:eastAsia="Times New Roman" w:hAnsi="Verdana" w:cs="Arial"/>
          <w:bCs/>
          <w:lang w:val="es-MX"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Sobre el particular, el Consejo de Estado, en Concepto con radicado 1727 de fecha 20 de febrero de 2006, consideró que</w:t>
      </w:r>
      <w:bookmarkStart w:id="8" w:name="_Hlk75787147"/>
      <w:r w:rsidRPr="002E294E">
        <w:rPr>
          <w:rFonts w:ascii="Verdana" w:eastAsia="Times New Roman" w:hAnsi="Verdana" w:cs="Arial"/>
          <w:bCs/>
          <w:lang w:val="es-MX" w:eastAsia="x-none"/>
        </w:rPr>
        <w:t xml:space="preserve"> </w:t>
      </w:r>
      <w:r w:rsidRPr="002E294E">
        <w:rPr>
          <w:rFonts w:ascii="Verdana" w:eastAsia="Calibri" w:hAnsi="Verdana" w:cs="Arial"/>
          <w:bCs/>
          <w:color w:val="000000"/>
          <w:lang w:val="es-MX" w:eastAsia="x-none"/>
        </w:rPr>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2E294E">
        <w:rPr>
          <w:rFonts w:ascii="Verdana" w:eastAsia="Calibri" w:hAnsi="Verdana" w:cs="Arial"/>
          <w:bCs/>
          <w:color w:val="000000"/>
          <w:vertAlign w:val="superscript"/>
          <w:lang w:val="es-MX" w:eastAsia="x-none"/>
        </w:rPr>
        <w:footnoteReference w:id="24"/>
      </w:r>
      <w:r w:rsidRPr="002E294E">
        <w:rPr>
          <w:rFonts w:ascii="Verdana" w:eastAsia="Calibri" w:hAnsi="Verdana" w:cs="Arial"/>
          <w:bCs/>
          <w:color w:val="000000"/>
          <w:lang w:val="es-MX" w:eastAsia="x-none"/>
        </w:rPr>
        <w:t>.</w:t>
      </w:r>
    </w:p>
    <w:p w14:paraId="2C0BA8BD" w14:textId="77777777" w:rsidR="002C00CC" w:rsidRPr="002E294E" w:rsidRDefault="002C00CC" w:rsidP="002C00CC">
      <w:pPr>
        <w:spacing w:after="0" w:line="276" w:lineRule="auto"/>
        <w:ind w:firstLine="708"/>
        <w:jc w:val="both"/>
        <w:rPr>
          <w:rFonts w:ascii="Verdana" w:eastAsia="Times New Roman" w:hAnsi="Verdana" w:cs="Arial"/>
          <w:bCs/>
          <w:lang w:val="es-MX" w:eastAsia="x-none"/>
        </w:rPr>
      </w:pPr>
      <w:bookmarkStart w:id="9" w:name="_Hlk77237229"/>
      <w:bookmarkEnd w:id="8"/>
      <w:r w:rsidRPr="002E294E">
        <w:rPr>
          <w:rFonts w:ascii="Verdana" w:eastAsia="Calibri" w:hAnsi="Verdana" w:cs="Arial"/>
          <w:lang w:val="es-MX"/>
        </w:rPr>
        <w:t>Por lo tanto, la restricción prevista en la Ley 996 de 200</w:t>
      </w:r>
      <w:bookmarkStart w:id="10" w:name="_Hlk75741539"/>
      <w:r w:rsidRPr="002E294E">
        <w:rPr>
          <w:rFonts w:ascii="Verdana" w:eastAsia="Calibri" w:hAnsi="Verdana" w:cs="Arial"/>
          <w:lang w:val="es-MX"/>
        </w:rPr>
        <w:t xml:space="preserve">5, </w:t>
      </w:r>
      <w:r w:rsidRPr="002E294E">
        <w:rPr>
          <w:rFonts w:ascii="Verdana" w:eastAsia="Times New Roman" w:hAnsi="Verdana" w:cs="Arial"/>
          <w:bCs/>
          <w:lang w:val="es-MX" w:eastAsia="x-none"/>
        </w:rPr>
        <w:t xml:space="preserve">teniendo en cuenta la finalidad de la Ley de Garantías Electorales, cobija a cualquier ente público que pueda a través de la contratación directa romper el equilibrio entre </w:t>
      </w:r>
      <w:r w:rsidRPr="002E294E">
        <w:rPr>
          <w:rFonts w:ascii="Verdana" w:eastAsia="Times New Roman" w:hAnsi="Verdana" w:cs="Arial"/>
          <w:bCs/>
          <w:lang w:val="es-MX" w:eastAsia="x-none"/>
        </w:rPr>
        <w:lastRenderedPageBreak/>
        <w:t>los partidos y los candidatos en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w:t>
      </w:r>
      <w:bookmarkEnd w:id="9"/>
      <w:bookmarkEnd w:id="10"/>
      <w:r w:rsidRPr="002E294E">
        <w:rPr>
          <w:rFonts w:ascii="Verdana" w:eastAsia="Times New Roman" w:hAnsi="Verdana" w:cs="Arial"/>
          <w:bCs/>
          <w:lang w:val="es-MX" w:eastAsia="x-none"/>
        </w:rPr>
        <w:t>.</w:t>
      </w:r>
    </w:p>
    <w:p w14:paraId="565521EA" w14:textId="77777777" w:rsidR="002C00CC" w:rsidRPr="002E294E" w:rsidRDefault="002C00CC" w:rsidP="002C00CC">
      <w:pPr>
        <w:spacing w:after="0" w:line="276" w:lineRule="auto"/>
        <w:jc w:val="both"/>
        <w:rPr>
          <w:rFonts w:ascii="Verdana" w:eastAsia="Times New Roman" w:hAnsi="Verdana" w:cs="Arial"/>
          <w:bCs/>
          <w:lang w:val="es-ES" w:eastAsia="x-none"/>
        </w:rPr>
      </w:pPr>
    </w:p>
    <w:p w14:paraId="1B03043F" w14:textId="457590A8" w:rsidR="002C00CC" w:rsidRPr="002E294E" w:rsidRDefault="002C00CC" w:rsidP="002C00CC">
      <w:pPr>
        <w:spacing w:after="0" w:line="276" w:lineRule="auto"/>
        <w:jc w:val="both"/>
        <w:rPr>
          <w:rFonts w:ascii="Verdana" w:eastAsia="Times New Roman" w:hAnsi="Verdana" w:cs="Arial"/>
          <w:lang w:eastAsia="es-CO"/>
        </w:rPr>
      </w:pPr>
      <w:r w:rsidRPr="002E294E">
        <w:rPr>
          <w:rFonts w:ascii="Verdana" w:eastAsia="Times New Roman" w:hAnsi="Verdana" w:cs="Arial"/>
          <w:bCs/>
          <w:lang w:val="es-MX" w:eastAsia="x-none"/>
        </w:rPr>
        <w:t xml:space="preserve">iii. De otra parte, es importante precisar </w:t>
      </w:r>
      <w:r w:rsidR="00EB5921">
        <w:rPr>
          <w:rFonts w:ascii="Verdana" w:eastAsia="Times New Roman" w:hAnsi="Verdana" w:cs="Arial"/>
          <w:bCs/>
          <w:lang w:val="es-MX" w:eastAsia="x-none"/>
        </w:rPr>
        <w:t xml:space="preserve">el </w:t>
      </w:r>
      <w:proofErr w:type="spellStart"/>
      <w:r w:rsidR="00EB5921">
        <w:rPr>
          <w:rFonts w:ascii="Verdana" w:eastAsia="Times New Roman" w:hAnsi="Verdana" w:cs="Arial"/>
          <w:bCs/>
          <w:lang w:val="es-MX" w:eastAsia="x-none"/>
        </w:rPr>
        <w:t>alacance</w:t>
      </w:r>
      <w:proofErr w:type="spellEnd"/>
      <w:r w:rsidR="00EB5921">
        <w:rPr>
          <w:rFonts w:ascii="Verdana" w:eastAsia="Times New Roman" w:hAnsi="Verdana" w:cs="Arial"/>
          <w:bCs/>
          <w:lang w:val="es-MX" w:eastAsia="x-none"/>
        </w:rPr>
        <w:t xml:space="preserve"> de </w:t>
      </w:r>
      <w:r w:rsidRPr="002E294E">
        <w:rPr>
          <w:rFonts w:ascii="Verdana" w:eastAsia="Times New Roman" w:hAnsi="Verdana" w:cs="Arial"/>
          <w:lang w:val="es-MX" w:eastAsia="es-CO"/>
        </w:rPr>
        <w:t>la prohibición establecida en el parágrafo del artículo 38 de la Ley 996 de 2005</w:t>
      </w:r>
      <w:r w:rsidR="00EB5921">
        <w:rPr>
          <w:rFonts w:ascii="Verdana" w:eastAsia="Times New Roman" w:hAnsi="Verdana" w:cs="Arial"/>
          <w:lang w:val="es-MX" w:eastAsia="es-CO"/>
        </w:rPr>
        <w:t>. Al respecto,</w:t>
      </w:r>
      <w:r w:rsidRPr="002E294E">
        <w:rPr>
          <w:rFonts w:ascii="Verdana" w:eastAsia="Times New Roman" w:hAnsi="Verdana" w:cs="Arial"/>
          <w:lang w:val="es-MX" w:eastAsia="es-CO"/>
        </w:rPr>
        <w:t xml:space="preserve"> la Circular Externa No. 006 de 2025 expedida por la ANCP -CCE, en los literales ii) y iv) del numeral 2</w:t>
      </w:r>
      <w:r w:rsidRPr="002E294E">
        <w:rPr>
          <w:rFonts w:ascii="Verdana" w:eastAsia="Times New Roman" w:hAnsi="Verdana" w:cs="Arial"/>
          <w:lang w:eastAsia="es-CO"/>
        </w:rPr>
        <w:t>,</w:t>
      </w:r>
      <w:r w:rsidRPr="002E294E">
        <w:rPr>
          <w:rFonts w:ascii="Verdana" w:eastAsia="Times New Roman" w:hAnsi="Verdana" w:cs="Arial"/>
          <w:lang w:val="es-MX" w:eastAsia="es-CO"/>
        </w:rPr>
        <w:t xml:space="preserve"> indica que esta disposición</w:t>
      </w:r>
      <w:r w:rsidRPr="002E294E">
        <w:rPr>
          <w:rFonts w:ascii="Verdana" w:eastAsia="Times New Roman" w:hAnsi="Verdana" w:cs="Arial"/>
          <w:lang w:eastAsia="es-CO"/>
        </w:rPr>
        <w:t xml:space="preserve"> cobija expresamente a los </w:t>
      </w:r>
      <w:r w:rsidRPr="002E294E">
        <w:rPr>
          <w:rFonts w:ascii="Verdana" w:eastAsia="Times New Roman" w:hAnsi="Verdana" w:cs="Arial"/>
          <w:i/>
          <w:iCs/>
          <w:lang w:eastAsia="es-CO"/>
        </w:rPr>
        <w:t>convenios interadministrativos</w:t>
      </w:r>
      <w:r w:rsidRPr="002E294E">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2E294E">
        <w:rPr>
          <w:rFonts w:ascii="Verdana" w:eastAsia="Times New Roman" w:hAnsi="Verdana" w:cs="Arial"/>
          <w:i/>
          <w:iCs/>
          <w:lang w:eastAsia="es-CO"/>
        </w:rPr>
        <w:t>“aunque se configure alguno de los supuestos de excepción que señaló el inciso final del artículo 33”.</w:t>
      </w:r>
      <w:r w:rsidRPr="002E294E">
        <w:rPr>
          <w:rFonts w:ascii="Verdana" w:eastAsia="Times New Roman" w:hAnsi="Verdana" w:cs="Arial"/>
          <w:lang w:eastAsia="es-CO"/>
        </w:rPr>
        <w:t xml:space="preserve"> </w:t>
      </w:r>
    </w:p>
    <w:p w14:paraId="5DC6B07D" w14:textId="77777777" w:rsidR="002C00CC" w:rsidRPr="002E294E" w:rsidRDefault="002C00CC" w:rsidP="002C00CC">
      <w:pPr>
        <w:spacing w:before="120" w:after="0" w:line="276" w:lineRule="auto"/>
        <w:ind w:firstLine="708"/>
        <w:jc w:val="both"/>
        <w:rPr>
          <w:rFonts w:ascii="Verdana" w:eastAsia="Times New Roman" w:hAnsi="Verdana" w:cs="Arial"/>
          <w:lang w:eastAsia="es-CO"/>
        </w:rPr>
      </w:pPr>
      <w:r w:rsidRPr="002E294E">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sidRPr="002E294E">
        <w:rPr>
          <w:rFonts w:ascii="Verdana" w:eastAsia="Times New Roman" w:hAnsi="Verdana" w:cs="Arial"/>
          <w:i/>
          <w:iCs/>
          <w:lang w:eastAsia="es-CO"/>
        </w:rPr>
        <w:t>convenios interadministrativos</w:t>
      </w:r>
      <w:r w:rsidRPr="002E294E">
        <w:rPr>
          <w:rFonts w:ascii="Verdana" w:eastAsia="Times New Roman" w:hAnsi="Verdana" w:cs="Arial"/>
          <w:lang w:eastAsia="es-CO"/>
        </w:rPr>
        <w:t xml:space="preserve"> en los que se contemple la </w:t>
      </w:r>
      <w:r w:rsidRPr="002E294E">
        <w:rPr>
          <w:rFonts w:ascii="Verdana" w:eastAsia="Times New Roman" w:hAnsi="Verdana" w:cs="Arial"/>
          <w:i/>
          <w:iCs/>
          <w:lang w:eastAsia="es-CO"/>
        </w:rPr>
        <w:t>ejecución de recursos públicos</w:t>
      </w:r>
      <w:r w:rsidRPr="002E294E">
        <w:rPr>
          <w:rFonts w:ascii="Verdana" w:eastAsia="Times New Roman" w:hAnsi="Verdana" w:cs="Arial"/>
          <w:lang w:eastAsia="es-CO"/>
        </w:rPr>
        <w:t xml:space="preserve">. Esto significa que la prohibición no resulta aplicable a </w:t>
      </w:r>
      <w:r w:rsidRPr="002E294E">
        <w:rPr>
          <w:rFonts w:ascii="Verdana" w:eastAsia="Times New Roman" w:hAnsi="Verdana" w:cs="Arial"/>
          <w:i/>
          <w:iCs/>
          <w:lang w:eastAsia="es-CO"/>
        </w:rPr>
        <w:t>convenios interadministrativos a título gratuito,</w:t>
      </w:r>
      <w:r w:rsidRPr="002E294E">
        <w:rPr>
          <w:rFonts w:ascii="Verdana" w:eastAsia="Times New Roman" w:hAnsi="Verdana" w:cs="Arial"/>
          <w:lang w:eastAsia="es-CO"/>
        </w:rPr>
        <w:t xml:space="preserve"> los cuales pueden celebrarse válidamente durante la vigencia de la mencionada restricción. </w:t>
      </w:r>
    </w:p>
    <w:p w14:paraId="2A6D8FD1" w14:textId="77777777" w:rsidR="002C00CC" w:rsidRPr="002E294E" w:rsidRDefault="002C00CC" w:rsidP="002C00CC">
      <w:pPr>
        <w:spacing w:before="120" w:after="0" w:line="276" w:lineRule="auto"/>
        <w:ind w:firstLine="708"/>
        <w:jc w:val="both"/>
        <w:rPr>
          <w:rFonts w:ascii="Verdana" w:eastAsia="Times New Roman" w:hAnsi="Verdana" w:cs="Arial"/>
          <w:lang w:eastAsia="es-CO"/>
        </w:rPr>
      </w:pPr>
      <w:r w:rsidRPr="002E294E">
        <w:rPr>
          <w:rFonts w:ascii="Verdana" w:eastAsia="Times New Roman" w:hAnsi="Verdana" w:cs="Arial"/>
          <w:lang w:eastAsia="es-CO"/>
        </w:rPr>
        <w:t xml:space="preserve">De esta manera, conforme a lo dispuesto en la Circular referida, si se suscriben </w:t>
      </w:r>
      <w:r w:rsidRPr="002E294E">
        <w:rPr>
          <w:rFonts w:ascii="Verdana" w:eastAsia="Times New Roman" w:hAnsi="Verdana" w:cs="Arial"/>
          <w:i/>
          <w:iCs/>
          <w:lang w:eastAsia="es-CO"/>
        </w:rPr>
        <w:t>convenios interadministrativos para la ejecución de recursos públicos</w:t>
      </w:r>
      <w:r w:rsidRPr="002E294E">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2E294E">
        <w:rPr>
          <w:rFonts w:ascii="Verdana" w:eastAsia="Times New Roman" w:hAnsi="Verdana" w:cs="Arial"/>
          <w:i/>
          <w:iCs/>
          <w:lang w:eastAsia="es-CO"/>
        </w:rPr>
        <w:t>ibidem</w:t>
      </w:r>
      <w:r w:rsidRPr="002E294E">
        <w:rPr>
          <w:rFonts w:ascii="Verdana" w:eastAsia="Times New Roman" w:hAnsi="Verdana" w:cs="Arial"/>
          <w:lang w:eastAsia="es-CO"/>
        </w:rPr>
        <w:t>, independientemente de que se configure alguno de los supuestos de excepción que señaló el inciso final del artículo 33, es decir, que se trate de:</w:t>
      </w:r>
      <w:r w:rsidRPr="002E294E">
        <w:rPr>
          <w:rFonts w:ascii="Verdana" w:eastAsia="Aptos" w:hAnsi="Verdana" w:cs="Arial"/>
          <w:bCs/>
          <w:lang w:val="es-MX" w:eastAsia="x-none"/>
        </w:rPr>
        <w:t xml:space="preserve">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w:t>
      </w:r>
      <w:r w:rsidRPr="002E294E">
        <w:rPr>
          <w:rFonts w:ascii="Verdana" w:eastAsia="Aptos" w:hAnsi="Verdana" w:cs="Arial"/>
          <w:bCs/>
          <w:lang w:val="es-MX" w:eastAsia="x-none"/>
        </w:rPr>
        <w:lastRenderedPageBreak/>
        <w:t>de fuerza mayor; y, v) los que deban realizar las entidades sanitarias y hospitalarias.</w:t>
      </w:r>
      <w:r w:rsidRPr="002E294E">
        <w:rPr>
          <w:rFonts w:ascii="Verdana" w:eastAsia="Aptos" w:hAnsi="Verdana" w:cs="Arial"/>
          <w:bCs/>
          <w:lang w:val="es-MX" w:eastAsia="es-CO"/>
        </w:rPr>
        <w:t xml:space="preserve"> </w:t>
      </w:r>
      <w:r w:rsidRPr="002E294E">
        <w:rPr>
          <w:rFonts w:ascii="Verdana" w:eastAsia="Times New Roman" w:hAnsi="Verdana" w:cs="Arial"/>
          <w:lang w:eastAsia="es-CO"/>
        </w:rPr>
        <w:t xml:space="preserve">  </w:t>
      </w:r>
    </w:p>
    <w:p w14:paraId="483307B0" w14:textId="77777777" w:rsidR="002C00CC" w:rsidRPr="002E294E" w:rsidRDefault="002C00CC" w:rsidP="002C00CC">
      <w:pPr>
        <w:spacing w:before="120" w:after="0" w:line="276" w:lineRule="auto"/>
        <w:ind w:firstLine="708"/>
        <w:jc w:val="both"/>
        <w:rPr>
          <w:rFonts w:ascii="Verdana" w:eastAsia="Times New Roman" w:hAnsi="Verdana" w:cs="Arial"/>
          <w:lang w:eastAsia="es-CO"/>
        </w:rPr>
      </w:pPr>
      <w:r w:rsidRPr="002E294E">
        <w:rPr>
          <w:rFonts w:ascii="Verdana" w:eastAsia="Times New Roman" w:hAnsi="Verdana" w:cs="Arial"/>
          <w:lang w:eastAsia="es-CO"/>
        </w:rPr>
        <w:t xml:space="preserve">En este punto, teniendo en cuenta lo señalado en el contenido de su petición, vale la pena destacar que, </w:t>
      </w:r>
      <w:r w:rsidRPr="002E294E">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2E294E">
        <w:rPr>
          <w:rFonts w:ascii="Verdana" w:eastAsia="Aptos" w:hAnsi="Verdana" w:cs="Arial"/>
        </w:rPr>
        <w:t>numeral 16.2 de la Circular Externa Única de 2022 expedida por la Agencia Nacional de Contratación Pública -Colombia Compra Eficiente-, concretamente, respecto de los siguientes apartes normativos</w:t>
      </w:r>
      <w:r w:rsidRPr="002E294E">
        <w:rPr>
          <w:rFonts w:ascii="Verdana" w:eastAsia="Aptos" w:hAnsi="Verdana" w:cs="Arial"/>
          <w:vertAlign w:val="superscript"/>
        </w:rPr>
        <w:footnoteReference w:id="25"/>
      </w:r>
      <w:r w:rsidRPr="002E294E">
        <w:rPr>
          <w:rFonts w:ascii="Verdana" w:eastAsia="Aptos" w:hAnsi="Verdana" w:cs="Arial"/>
        </w:rPr>
        <w:t xml:space="preserve">: </w:t>
      </w:r>
    </w:p>
    <w:p w14:paraId="68BABEB5" w14:textId="77777777" w:rsidR="002C00CC" w:rsidRPr="002E294E" w:rsidRDefault="002C00CC" w:rsidP="002C00CC">
      <w:pPr>
        <w:spacing w:after="0" w:line="276" w:lineRule="auto"/>
        <w:ind w:firstLine="709"/>
        <w:jc w:val="both"/>
        <w:rPr>
          <w:rFonts w:ascii="Verdana" w:eastAsia="Aptos" w:hAnsi="Verdana" w:cs="Arial"/>
        </w:rPr>
      </w:pPr>
    </w:p>
    <w:p w14:paraId="5F330270" w14:textId="77777777" w:rsidR="002C00CC" w:rsidRPr="002E294E" w:rsidRDefault="002C00CC" w:rsidP="002C00CC">
      <w:pPr>
        <w:spacing w:after="0" w:line="240" w:lineRule="auto"/>
        <w:ind w:left="709" w:right="709"/>
        <w:jc w:val="both"/>
        <w:rPr>
          <w:rFonts w:ascii="Verdana" w:eastAsia="Aptos" w:hAnsi="Verdana" w:cs="Arial"/>
          <w:sz w:val="20"/>
          <w:szCs w:val="20"/>
        </w:rPr>
      </w:pPr>
      <w:r w:rsidRPr="002E294E">
        <w:rPr>
          <w:rFonts w:ascii="Verdana" w:eastAsia="Aptos" w:hAnsi="Verdana" w:cs="Arial"/>
          <w:sz w:val="20"/>
          <w:szCs w:val="20"/>
          <w:lang w:val="es-MX"/>
        </w:rPr>
        <w:t>i)</w:t>
      </w:r>
      <w:r w:rsidRPr="002E294E">
        <w:rPr>
          <w:rFonts w:ascii="Verdana" w:eastAsia="Aptos"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42F176FA" w14:textId="77777777" w:rsidR="002C00CC" w:rsidRPr="002E294E" w:rsidRDefault="002C00CC" w:rsidP="002C00CC">
      <w:pPr>
        <w:spacing w:after="0" w:line="240" w:lineRule="auto"/>
        <w:ind w:left="709" w:right="709"/>
        <w:jc w:val="both"/>
        <w:rPr>
          <w:rFonts w:ascii="Verdana" w:eastAsia="Aptos" w:hAnsi="Verdana" w:cs="Arial"/>
          <w:sz w:val="20"/>
          <w:szCs w:val="20"/>
        </w:rPr>
      </w:pPr>
    </w:p>
    <w:p w14:paraId="446E2B10" w14:textId="77777777" w:rsidR="002C00CC" w:rsidRPr="002E294E" w:rsidRDefault="002C00CC" w:rsidP="002C00CC">
      <w:pPr>
        <w:spacing w:after="0" w:line="240" w:lineRule="auto"/>
        <w:ind w:left="709" w:right="709"/>
        <w:jc w:val="both"/>
        <w:rPr>
          <w:rFonts w:ascii="Verdana" w:eastAsia="Aptos" w:hAnsi="Verdana" w:cs="Arial"/>
          <w:sz w:val="20"/>
          <w:szCs w:val="20"/>
        </w:rPr>
      </w:pPr>
      <w:r w:rsidRPr="002E294E">
        <w:rPr>
          <w:rFonts w:ascii="Verdana" w:eastAsia="Aptos" w:hAnsi="Verdana" w:cs="Arial"/>
          <w:sz w:val="20"/>
          <w:szCs w:val="20"/>
        </w:rPr>
        <w:t xml:space="preserve">ii)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1BF3EC94" w14:textId="77777777" w:rsidR="00C703E4" w:rsidRDefault="00C703E4" w:rsidP="00D93E65">
      <w:pPr>
        <w:spacing w:after="0" w:line="276" w:lineRule="auto"/>
        <w:ind w:firstLine="709"/>
        <w:jc w:val="both"/>
        <w:rPr>
          <w:rFonts w:ascii="Verdana" w:eastAsia="Arial" w:hAnsi="Verdana" w:cs="Arial"/>
          <w:lang w:val="es-MX" w:eastAsia="es-ES" w:bidi="es-ES"/>
        </w:rPr>
      </w:pPr>
    </w:p>
    <w:p w14:paraId="5176E146" w14:textId="75CEDCA7" w:rsidR="002C00CC" w:rsidRPr="002E294E" w:rsidRDefault="002C00CC" w:rsidP="002C00CC">
      <w:pPr>
        <w:spacing w:after="120" w:line="276" w:lineRule="auto"/>
        <w:ind w:firstLine="709"/>
        <w:jc w:val="both"/>
        <w:rPr>
          <w:rFonts w:ascii="Verdana" w:eastAsia="Arial" w:hAnsi="Verdana" w:cs="Arial"/>
          <w:i/>
          <w:iCs/>
          <w:lang w:eastAsia="es-ES" w:bidi="es-ES"/>
        </w:rPr>
      </w:pPr>
      <w:r w:rsidRPr="002E294E">
        <w:rPr>
          <w:rFonts w:ascii="Verdana" w:eastAsia="Arial" w:hAnsi="Verdana" w:cs="Arial"/>
          <w:lang w:val="es-MX" w:eastAsia="es-ES" w:bidi="es-ES"/>
        </w:rPr>
        <w:t xml:space="preserve">De conformidad con los argumentos de dicha providencia, se parte de la distinción entre los conceptos </w:t>
      </w:r>
      <w:r w:rsidRPr="002E294E">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2E294E">
        <w:rPr>
          <w:rFonts w:ascii="Verdana" w:eastAsia="Aptos" w:hAnsi="Verdana" w:cs="Times New Roman"/>
          <w:sz w:val="24"/>
          <w:szCs w:val="24"/>
          <w:lang w:eastAsia="es-CO"/>
        </w:rPr>
        <w:t xml:space="preserve"> </w:t>
      </w:r>
      <w:r w:rsidRPr="002E294E">
        <w:rPr>
          <w:rFonts w:ascii="Verdana" w:eastAsia="Arial" w:hAnsi="Verdana" w:cs="Arial"/>
          <w:lang w:eastAsia="es-ES" w:bidi="es-ES"/>
        </w:rPr>
        <w:t xml:space="preserve">En este sentido, en relación con el parágrafo del artículo 38 de la Ley 996 de 2005 concluyó que </w:t>
      </w:r>
      <w:r w:rsidRPr="002E294E">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2E294E">
        <w:rPr>
          <w:rFonts w:ascii="Verdana" w:eastAsia="Arial" w:hAnsi="Verdana" w:cs="Arial"/>
          <w:lang w:eastAsia="es-ES" w:bidi="es-ES"/>
        </w:rPr>
        <w:t xml:space="preserve">Por tal motivo, para efectos de decretar la medida de suspensión provisional de los apartes señalados del numeral 16.2 de la Circular Externa </w:t>
      </w:r>
      <w:r w:rsidRPr="002E294E">
        <w:rPr>
          <w:rFonts w:ascii="Verdana" w:eastAsia="Arial" w:hAnsi="Verdana" w:cs="Arial"/>
          <w:lang w:eastAsia="es-ES" w:bidi="es-ES"/>
        </w:rPr>
        <w:lastRenderedPageBreak/>
        <w:t xml:space="preserve">Única, argumentó que </w:t>
      </w:r>
      <w:r w:rsidRPr="002E294E">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58AD19D0" w14:textId="77777777" w:rsidR="002C00CC" w:rsidRPr="002E294E" w:rsidRDefault="002C00CC" w:rsidP="002C00CC">
      <w:pPr>
        <w:spacing w:after="120" w:line="276" w:lineRule="auto"/>
        <w:ind w:firstLine="709"/>
        <w:jc w:val="both"/>
        <w:rPr>
          <w:rFonts w:ascii="Verdana" w:eastAsia="Arial" w:hAnsi="Verdana" w:cs="Arial"/>
          <w:lang w:eastAsia="es-ES" w:bidi="es-ES"/>
        </w:rPr>
      </w:pPr>
      <w:r w:rsidRPr="002E294E">
        <w:rPr>
          <w:rFonts w:ascii="Verdana" w:eastAsia="Arial" w:hAnsi="Verdana" w:cs="Arial"/>
          <w:lang w:eastAsia="es-ES" w:bidi="es-ES"/>
        </w:rPr>
        <w:t>De igual manera, mediante auto del 6 de noviembre de 2025, el Consejo de Estado, Subsección A de la Sección Tercera, decretó</w:t>
      </w:r>
      <w:r w:rsidRPr="002E294E">
        <w:rPr>
          <w:rFonts w:ascii="Verdana" w:eastAsia="Arial" w:hAnsi="Verdana" w:cs="Arial"/>
          <w:b/>
          <w:bCs/>
          <w:lang w:eastAsia="es-ES" w:bidi="es-ES"/>
        </w:rPr>
        <w:t xml:space="preserve"> </w:t>
      </w:r>
      <w:r w:rsidRPr="002E294E">
        <w:rPr>
          <w:rFonts w:ascii="Verdana" w:eastAsia="Arial" w:hAnsi="Verdana" w:cs="Arial"/>
          <w:lang w:eastAsia="es-ES" w:bidi="es-ES"/>
        </w:rPr>
        <w:t xml:space="preserve">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 Para tales efectos, el alto tribunal resaltó la interpretación restrictiva de las normas que contienen prohibiciones, como la del parágrafo del artículo 38 de la Ley 996 de 2005, por manera que se excluye la analogía legis o iuris y la interpretación extensiva y reiteró los argumentos sobre la diferencia entre contratos y convenios interadministrativos. </w:t>
      </w:r>
    </w:p>
    <w:p w14:paraId="03C4232C" w14:textId="77777777" w:rsidR="002C00CC" w:rsidRPr="002E294E" w:rsidRDefault="002C00CC" w:rsidP="002C00CC">
      <w:pPr>
        <w:spacing w:after="120" w:line="276" w:lineRule="auto"/>
        <w:ind w:firstLine="709"/>
        <w:jc w:val="both"/>
        <w:rPr>
          <w:rFonts w:ascii="Verdana" w:eastAsia="Times New Roman" w:hAnsi="Verdana" w:cs="Times New Roman"/>
          <w:lang w:eastAsia="es-ES"/>
        </w:rPr>
      </w:pPr>
      <w:r w:rsidRPr="002E294E">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002E294E">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168603F6" w14:textId="77777777" w:rsidR="002C00CC" w:rsidRPr="002E294E" w:rsidRDefault="002C00CC" w:rsidP="002C00CC">
      <w:pPr>
        <w:spacing w:after="120" w:line="276" w:lineRule="auto"/>
        <w:ind w:firstLine="709"/>
        <w:jc w:val="both"/>
        <w:rPr>
          <w:rFonts w:ascii="Verdana" w:eastAsia="Times New Roman" w:hAnsi="Verdana" w:cs="Times New Roman"/>
          <w:lang w:eastAsia="es-ES"/>
        </w:rPr>
      </w:pPr>
      <w:r w:rsidRPr="002E294E">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002E294E">
        <w:rPr>
          <w:rFonts w:ascii="Verdana" w:eastAsia="Times New Roman" w:hAnsi="Verdana" w:cs="Times New Roman"/>
          <w:vertAlign w:val="superscript"/>
          <w:lang w:eastAsia="es-ES"/>
        </w:rPr>
        <w:footnoteReference w:id="26"/>
      </w:r>
      <w:r w:rsidRPr="002E294E">
        <w:rPr>
          <w:rFonts w:ascii="Verdana" w:eastAsia="Times New Roman" w:hAnsi="Verdana" w:cs="Times New Roman"/>
          <w:lang w:eastAsia="es-ES"/>
        </w:rPr>
        <w:t xml:space="preserve">. Sobre el </w:t>
      </w:r>
      <w:r w:rsidRPr="002E294E">
        <w:rPr>
          <w:rFonts w:ascii="Verdana" w:eastAsia="Times New Roman" w:hAnsi="Verdana" w:cs="Times New Roman"/>
          <w:lang w:eastAsia="es-ES"/>
        </w:rPr>
        <w:lastRenderedPageBreak/>
        <w:t xml:space="preserve">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6A0B8619" w14:textId="606F7295" w:rsidR="00B72320" w:rsidRPr="002E294E" w:rsidRDefault="002C00CC" w:rsidP="00D93E65">
      <w:pPr>
        <w:spacing w:after="0" w:line="276" w:lineRule="auto"/>
        <w:ind w:firstLine="709"/>
        <w:jc w:val="both"/>
        <w:rPr>
          <w:rFonts w:ascii="Verdana" w:eastAsia="Times New Roman" w:hAnsi="Verdana" w:cs="Arial"/>
          <w:lang w:eastAsia="es-CO"/>
        </w:rPr>
      </w:pPr>
      <w:r w:rsidRPr="002E294E">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r w:rsidRPr="002E294E">
        <w:rPr>
          <w:rFonts w:ascii="Verdana" w:eastAsia="Times New Roman" w:hAnsi="Verdana" w:cs="Arial"/>
          <w:lang w:eastAsia="es-CO"/>
        </w:rPr>
        <w:t xml:space="preserve"> 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2E294E">
        <w:rPr>
          <w:rFonts w:ascii="Verdana" w:eastAsia="Times New Roman" w:hAnsi="Verdana" w:cs="Arial"/>
          <w:i/>
          <w:iCs/>
          <w:lang w:eastAsia="es-CO"/>
        </w:rPr>
        <w:t>contratos interadministrativos</w:t>
      </w:r>
      <w:r w:rsidRPr="002E294E">
        <w:rPr>
          <w:rFonts w:ascii="Verdana" w:eastAsia="Times New Roman" w:hAnsi="Verdana" w:cs="Arial"/>
          <w:lang w:eastAsia="es-CO"/>
        </w:rPr>
        <w:t>, esta prohibición solo aplicaría a los convenios interadministrativos que impliquen la ejecución de recursos públicos</w:t>
      </w:r>
      <w:r w:rsidRPr="002E294E">
        <w:rPr>
          <w:rFonts w:ascii="Verdana" w:eastAsia="Times New Roman" w:hAnsi="Verdana" w:cs="Arial"/>
          <w:vertAlign w:val="superscript"/>
          <w:lang w:eastAsia="es-CO"/>
        </w:rPr>
        <w:footnoteReference w:id="27"/>
      </w:r>
      <w:r w:rsidRPr="002E294E">
        <w:rPr>
          <w:rFonts w:ascii="Verdana" w:eastAsia="Times New Roman" w:hAnsi="Verdana" w:cs="Arial"/>
          <w:lang w:eastAsia="es-CO"/>
        </w:rPr>
        <w:t xml:space="preserve">. </w:t>
      </w:r>
    </w:p>
    <w:p w14:paraId="153FE1D3" w14:textId="77777777" w:rsidR="002C00CC" w:rsidRPr="002E294E" w:rsidRDefault="002C00CC" w:rsidP="00D93E65">
      <w:pPr>
        <w:spacing w:after="0" w:line="276" w:lineRule="auto"/>
        <w:jc w:val="both"/>
        <w:rPr>
          <w:rFonts w:ascii="Verdana" w:eastAsia="Times New Roman" w:hAnsi="Verdana" w:cs="Arial"/>
          <w:lang w:eastAsia="es-CO"/>
        </w:rPr>
      </w:pPr>
    </w:p>
    <w:p w14:paraId="4EC72023" w14:textId="77777777" w:rsidR="002C00CC" w:rsidRPr="002E294E" w:rsidRDefault="002C00CC" w:rsidP="002C00CC">
      <w:pPr>
        <w:spacing w:after="120" w:line="276" w:lineRule="auto"/>
        <w:jc w:val="both"/>
        <w:rPr>
          <w:rFonts w:ascii="Verdana" w:eastAsia="Times New Roman" w:hAnsi="Verdana" w:cs="Arial"/>
          <w:bCs/>
          <w:lang w:eastAsia="es-CO"/>
        </w:rPr>
      </w:pPr>
      <w:r w:rsidRPr="002E294E">
        <w:rPr>
          <w:rFonts w:ascii="Verdana" w:eastAsia="Times New Roman" w:hAnsi="Verdana" w:cs="Arial"/>
          <w:lang w:eastAsia="es-CO"/>
        </w:rPr>
        <w:t xml:space="preserve">iv. Ahora bien, para dar respuesta al problema jurídico objeto de consulta es necesario revisar el ámbito de aplicación de la </w:t>
      </w:r>
      <w:r w:rsidRPr="002E294E">
        <w:rPr>
          <w:rFonts w:ascii="Verdana" w:eastAsia="Times New Roman" w:hAnsi="Verdana" w:cs="Arial"/>
          <w:bCs/>
          <w:lang w:eastAsia="es-CO"/>
        </w:rPr>
        <w:t xml:space="preserve">Ley 1575 de 2012, denominada </w:t>
      </w:r>
      <w:r w:rsidRPr="002E294E">
        <w:rPr>
          <w:rFonts w:ascii="Verdana" w:eastAsia="Times New Roman" w:hAnsi="Verdana" w:cs="Arial"/>
          <w:bCs/>
          <w:i/>
          <w:iCs/>
          <w:lang w:eastAsia="es-CO"/>
        </w:rPr>
        <w:t>“Ley General de Bomberos de Colombia”</w:t>
      </w:r>
      <w:r w:rsidRPr="002E294E">
        <w:rPr>
          <w:rFonts w:ascii="Verdana" w:eastAsia="Times New Roman" w:hAnsi="Verdana" w:cs="Arial"/>
          <w:bCs/>
          <w:lang w:eastAsia="es-CO"/>
        </w:rPr>
        <w:t xml:space="preserve">. El artículo 1 de este cuerpo normativo define </w:t>
      </w:r>
      <w:r w:rsidRPr="002E294E">
        <w:rPr>
          <w:rFonts w:ascii="Verdana" w:hAnsi="Verdana" w:cs="Arial"/>
          <w:bCs/>
        </w:rPr>
        <w:t>la gestión integral del riesgo de incendios, la preparación y atención de rescates en todas sus modalidades y la respuesta a incidentes con materiales peligrosos constituyen una responsabilidad concurrente de las autoridades y de los habitantes del territorio nacional, con especial énfasis en los municipios, los departamentos y la Nación, sin perjuicio de las competencias asignadas a las demás entidades que integran el Sistema Nacional para la Prevención y Atención de Desastres</w:t>
      </w:r>
      <w:r w:rsidRPr="002E294E">
        <w:rPr>
          <w:rFonts w:ascii="Verdana" w:eastAsia="Times New Roman" w:hAnsi="Verdana" w:cs="Arial"/>
          <w:bCs/>
          <w:vertAlign w:val="superscript"/>
          <w:lang w:eastAsia="es-CO"/>
        </w:rPr>
        <w:footnoteReference w:id="28"/>
      </w:r>
      <w:r w:rsidRPr="002E294E">
        <w:rPr>
          <w:rFonts w:ascii="Verdana" w:hAnsi="Verdana" w:cs="Arial"/>
          <w:bCs/>
        </w:rPr>
        <w:t>.</w:t>
      </w:r>
      <w:r w:rsidRPr="002E294E">
        <w:rPr>
          <w:rFonts w:ascii="Verdana" w:hAnsi="Verdana" w:cs="Arial"/>
        </w:rPr>
        <w:t xml:space="preserve"> </w:t>
      </w:r>
      <w:r w:rsidRPr="002E294E">
        <w:rPr>
          <w:rFonts w:ascii="Verdana" w:eastAsia="Times New Roman" w:hAnsi="Verdana" w:cs="Arial"/>
          <w:bCs/>
          <w:lang w:eastAsia="es-CO"/>
        </w:rPr>
        <w:t xml:space="preserve">De acuerdo con esto, la norma dispone en esquema de </w:t>
      </w:r>
      <w:r w:rsidRPr="002E294E">
        <w:rPr>
          <w:rFonts w:ascii="Verdana" w:eastAsia="Times New Roman" w:hAnsi="Verdana" w:cs="Arial"/>
          <w:bCs/>
          <w:i/>
          <w:iCs/>
          <w:lang w:eastAsia="es-CO"/>
        </w:rPr>
        <w:t>responsabilidad compartida</w:t>
      </w:r>
      <w:r w:rsidRPr="002E294E">
        <w:rPr>
          <w:rFonts w:ascii="Verdana" w:eastAsia="Times New Roman" w:hAnsi="Verdana" w:cs="Arial"/>
          <w:bCs/>
          <w:lang w:eastAsia="es-CO"/>
        </w:rPr>
        <w:t xml:space="preserve">, en el marco del cual las entidades públicas y privadas deben incorporar la contingencia asociada a estos riesgos en la </w:t>
      </w:r>
      <w:r w:rsidRPr="002E294E">
        <w:rPr>
          <w:rFonts w:ascii="Verdana" w:eastAsia="Times New Roman" w:hAnsi="Verdana" w:cs="Arial"/>
          <w:bCs/>
          <w:lang w:eastAsia="es-CO"/>
        </w:rPr>
        <w:lastRenderedPageBreak/>
        <w:t xml:space="preserve">administración de sus bienes muebles e inmuebles —incluidos parques naturales, edificaciones, desarrollos urbanísticos e instalaciones— y adelantar planes, programas y proyectos orientados a reducir su vulnerabilidad y fortalecer la prevención y atención de tales eventos. </w:t>
      </w:r>
    </w:p>
    <w:p w14:paraId="4828B94E" w14:textId="77777777" w:rsidR="002C00CC" w:rsidRPr="002E294E" w:rsidRDefault="002C00CC" w:rsidP="002C00CC">
      <w:pPr>
        <w:spacing w:after="120" w:line="276" w:lineRule="auto"/>
        <w:jc w:val="both"/>
        <w:rPr>
          <w:rFonts w:ascii="Verdana" w:eastAsia="Times New Roman" w:hAnsi="Verdana" w:cs="Arial"/>
          <w:bCs/>
          <w:lang w:eastAsia="es-CO"/>
        </w:rPr>
      </w:pPr>
      <w:r w:rsidRPr="002E294E">
        <w:rPr>
          <w:rFonts w:ascii="Verdana" w:eastAsia="Times New Roman" w:hAnsi="Verdana" w:cs="Arial"/>
          <w:bCs/>
          <w:lang w:eastAsia="es-CO"/>
        </w:rPr>
        <w:tab/>
        <w:t xml:space="preserve">En consonancia con lo anterior, el artículo 2 </w:t>
      </w:r>
      <w:r w:rsidRPr="002E294E">
        <w:rPr>
          <w:rFonts w:ascii="Verdana" w:hAnsi="Verdana" w:cs="Arial"/>
          <w:bCs/>
        </w:rPr>
        <w:t xml:space="preserve">dispone que la gestión integral del riesgo contra incendio, la preparación y atención de rescates en todas sus modalidades y la respuesta a incidentes con materiales peligrosos se encuentran a cargo de las instituciones bomberiles y, para todos los efectos, constituyen un servicio público esencial bajo responsabilidad del Estado. </w:t>
      </w:r>
      <w:r w:rsidRPr="002E294E">
        <w:rPr>
          <w:rFonts w:ascii="Verdana" w:eastAsia="Times New Roman" w:hAnsi="Verdana" w:cs="Arial"/>
          <w:bCs/>
          <w:lang w:eastAsia="es-CO"/>
        </w:rPr>
        <w:t>En ese sentido, corresponde al Estado garantizar su prestación eficiente a todos los habitantes del territorio nacional, de manera directa a través de los Cuerpos de Bomberos Oficiales, Voluntarios y aeronáuticos, asegurando la continuidad y cobertura de este servicio.</w:t>
      </w:r>
    </w:p>
    <w:p w14:paraId="5D59AFF7" w14:textId="77777777" w:rsidR="002C00CC" w:rsidRPr="002E294E" w:rsidRDefault="002C00CC" w:rsidP="002C00CC">
      <w:pPr>
        <w:spacing w:after="120" w:line="276" w:lineRule="auto"/>
        <w:jc w:val="both"/>
        <w:rPr>
          <w:rFonts w:ascii="Verdana" w:eastAsia="Times New Roman" w:hAnsi="Verdana" w:cs="Arial"/>
          <w:bCs/>
          <w:lang w:eastAsia="es-CO"/>
        </w:rPr>
      </w:pPr>
      <w:r w:rsidRPr="002E294E">
        <w:rPr>
          <w:rFonts w:ascii="Verdana" w:eastAsia="Times New Roman" w:hAnsi="Verdana" w:cs="Arial"/>
          <w:bCs/>
          <w:lang w:eastAsia="es-CO"/>
        </w:rPr>
        <w:tab/>
        <w:t xml:space="preserve">Por su parte, el artículo 3 de la Ley 1575 de 2012 establece el marco conceptual y los principios que orientan la organización, dirección y prestación del servicio público esencial de gestión integral del riesgo contra incendio, así como las actividades de rescate y atención de incidentes con materiales peligrosos. En este sentido, precisa los elementos que estructuran la función bomberil y delimita su alcance dentro del sistema de gestión del riesgo, reafirmando su carácter de servicio público a cargo del Estado. Para el efecto, el inciso cuarto de la norma estable que: “Es obligación de los distritos, con asiento en su respectiva jurisdicción y de los municipios la prestación del servicio público esencial a través de los cuerpos de bomberos oficiales o </w:t>
      </w:r>
      <w:r w:rsidRPr="002E294E">
        <w:rPr>
          <w:rFonts w:ascii="Verdana" w:eastAsia="Times New Roman" w:hAnsi="Verdana" w:cs="Arial"/>
          <w:bCs/>
          <w:i/>
          <w:iCs/>
          <w:lang w:eastAsia="es-CO"/>
        </w:rPr>
        <w:t>mediante la celebración de contratos y/o convenios con los cuerpos de bomberos voluntarios</w:t>
      </w:r>
      <w:r w:rsidRPr="002E294E">
        <w:rPr>
          <w:rFonts w:ascii="Verdana" w:eastAsia="Times New Roman" w:hAnsi="Verdana" w:cs="Arial"/>
          <w:bCs/>
          <w:lang w:eastAsia="es-CO"/>
        </w:rPr>
        <w:t>” [Énfasis fuera de texto]. </w:t>
      </w:r>
    </w:p>
    <w:p w14:paraId="54C06D46" w14:textId="77777777" w:rsidR="002C00CC" w:rsidRPr="002E294E" w:rsidRDefault="002C00CC" w:rsidP="002C00CC">
      <w:pPr>
        <w:spacing w:after="120" w:line="276" w:lineRule="auto"/>
        <w:jc w:val="both"/>
        <w:rPr>
          <w:rFonts w:ascii="Verdana" w:eastAsia="Times New Roman" w:hAnsi="Verdana" w:cs="Arial"/>
          <w:bCs/>
          <w:lang w:eastAsia="es-CO"/>
        </w:rPr>
      </w:pPr>
      <w:r w:rsidRPr="002E294E">
        <w:rPr>
          <w:rFonts w:ascii="Verdana" w:eastAsia="Times New Roman" w:hAnsi="Verdana" w:cs="Arial"/>
          <w:bCs/>
          <w:lang w:eastAsia="es-CO"/>
        </w:rPr>
        <w:t xml:space="preserve"> </w:t>
      </w:r>
      <w:r w:rsidRPr="002E294E">
        <w:rPr>
          <w:rFonts w:ascii="Verdana" w:eastAsia="Times New Roman" w:hAnsi="Verdana" w:cs="Arial"/>
          <w:bCs/>
          <w:lang w:eastAsia="es-CO"/>
        </w:rPr>
        <w:tab/>
        <w:t xml:space="preserve">Con arreglo a lo dispuesto en el artículo 4 de la referida ley, los </w:t>
      </w:r>
      <w:r w:rsidRPr="002E294E">
        <w:rPr>
          <w:rFonts w:ascii="Verdana" w:eastAsia="Times New Roman" w:hAnsi="Verdana" w:cs="Arial"/>
          <w:bCs/>
          <w:i/>
          <w:iCs/>
          <w:lang w:eastAsia="es-CO"/>
        </w:rPr>
        <w:t xml:space="preserve">Cuerpos de Bomberos Voluntarios Reconocidos </w:t>
      </w:r>
      <w:r w:rsidRPr="002E294E">
        <w:rPr>
          <w:rFonts w:ascii="Verdana" w:eastAsia="Times New Roman" w:hAnsi="Verdana" w:cs="Arial"/>
          <w:bCs/>
          <w:lang w:eastAsia="es-CO"/>
        </w:rPr>
        <w:t xml:space="preserve">integran los Bomberos de Colombia y hacen parte integral del Sistema Nacional para la Prevención y Atención de Desastres. Estos son definidos por el artículo 18 como aquellos </w:t>
      </w:r>
      <w:r w:rsidRPr="002E294E">
        <w:rPr>
          <w:rFonts w:ascii="Verdana" w:eastAsia="Times New Roman" w:hAnsi="Verdana" w:cs="Arial"/>
          <w:i/>
          <w:lang w:eastAsia="es-CO"/>
        </w:rPr>
        <w:t xml:space="preserve">“organizados como asociaciones sin ánimo de lucro, de utilidad común y con personería jurídica expedida por las secretarías de gobierno departamentales, organizadas para la prestación del servicio público para la gestión integral del riesgo contra incendio, los preparativos y atención de rescates en todas sus modalidades y la atención de incidentes con materiales peligrosos, en los términos del artículo </w:t>
      </w:r>
      <w:r w:rsidRPr="002E294E">
        <w:rPr>
          <w:rFonts w:ascii="Verdana" w:eastAsia="Times New Roman" w:hAnsi="Verdana" w:cs="Arial"/>
          <w:i/>
          <w:lang w:eastAsia="es-CO"/>
        </w:rPr>
        <w:lastRenderedPageBreak/>
        <w:t>segundo de la presente ley y con certificado de cumplimiento expedido por la dirección Nacional de Bomberos”</w:t>
      </w:r>
      <w:r w:rsidRPr="002E294E">
        <w:rPr>
          <w:rFonts w:ascii="Verdana" w:eastAsia="Times New Roman" w:hAnsi="Verdana" w:cs="Arial"/>
          <w:bCs/>
          <w:lang w:eastAsia="es-CO"/>
        </w:rPr>
        <w:t xml:space="preserve">. </w:t>
      </w:r>
    </w:p>
    <w:p w14:paraId="752CE866" w14:textId="77777777" w:rsidR="002C00CC" w:rsidRPr="002E294E" w:rsidRDefault="002C00CC" w:rsidP="002C00CC">
      <w:pPr>
        <w:spacing w:after="120" w:line="276" w:lineRule="auto"/>
        <w:jc w:val="both"/>
        <w:rPr>
          <w:rFonts w:ascii="Verdana" w:eastAsia="Times New Roman" w:hAnsi="Verdana" w:cs="Arial"/>
          <w:bCs/>
          <w:lang w:eastAsia="es-CO"/>
        </w:rPr>
      </w:pPr>
      <w:r w:rsidRPr="002E294E">
        <w:rPr>
          <w:rFonts w:ascii="Verdana" w:eastAsia="Times New Roman" w:hAnsi="Verdana" w:cs="Arial"/>
          <w:bCs/>
          <w:lang w:eastAsia="es-CO"/>
        </w:rPr>
        <w:tab/>
      </w:r>
      <w:r w:rsidRPr="002E294E">
        <w:rPr>
          <w:rFonts w:ascii="Verdana" w:hAnsi="Verdana" w:cs="Arial"/>
          <w:bCs/>
        </w:rPr>
        <w:t xml:space="preserve">El artículo 22 de la Ley 1575 de 2012 define las funciones asignadas a los cuerpos de bomberos en el marco de la gestión integral del riesgo contra incendio, los preparativos y atención de rescates en todas sus modalidades y la respuesta a incidentes con materiales peligrosos. De esta manera, precisa el conjunto de competencias operativas, preventivas y de apoyo que estructuran el ejercicio de la función bomberil dentro del servicio público esencial a cargo del Estado. </w:t>
      </w:r>
      <w:r w:rsidRPr="002E294E">
        <w:rPr>
          <w:rFonts w:ascii="Verdana" w:eastAsia="Times New Roman" w:hAnsi="Verdana" w:cs="Arial"/>
          <w:bCs/>
          <w:lang w:eastAsia="es-CO"/>
        </w:rPr>
        <w:t>La disposición orienta la actuación de estas instituciones hacia la protección de la vida, los bienes y el ambiente, bajo criterios de coordinación con las autoridades competentes y en articulación con el Sistema Nacional de Gestión del Riesgo de Desastres, asegurando una respuesta oportuna, eficaz y organizada frente a las situaciones de emergencia.</w:t>
      </w:r>
    </w:p>
    <w:p w14:paraId="19880AAF" w14:textId="77777777" w:rsidR="00CC77D2" w:rsidRDefault="002C00CC" w:rsidP="00D93E65">
      <w:pPr>
        <w:tabs>
          <w:tab w:val="left" w:pos="426"/>
        </w:tabs>
        <w:spacing w:after="120" w:line="276" w:lineRule="auto"/>
        <w:ind w:firstLine="709"/>
        <w:jc w:val="both"/>
        <w:rPr>
          <w:rFonts w:ascii="Verdana" w:eastAsia="Times New Roman" w:hAnsi="Verdana" w:cs="Arial"/>
          <w:bCs/>
          <w:lang w:eastAsia="es-CO"/>
        </w:rPr>
      </w:pPr>
      <w:r w:rsidRPr="002E294E">
        <w:rPr>
          <w:rFonts w:ascii="Verdana" w:eastAsia="Times New Roman" w:hAnsi="Verdana" w:cs="Arial"/>
          <w:bCs/>
          <w:lang w:eastAsia="es-CO"/>
        </w:rPr>
        <w:t xml:space="preserve">De conformidad con las normas citadas, la gestión integral del riesgo contra incendio, los preparativos y atención de rescates y la atención de incidentes con materiales peligrosos se constituyen como un servicio público esencial a cargo del Estado, cuya prestación le fue asignada a los municipios y distritos, por lo tanto, es su deber asegurar la prestación eficiente a todos los habitantes del territorio nacional. Con el fin de prestar de forma eficiente el servicio público bomberil, los municipios y distritos pueden constituir su propio cuerpo de bomberos oficiales o pueden optar por celebrar contratos o convenios con cuerpos de bomberos voluntarios. </w:t>
      </w:r>
    </w:p>
    <w:p w14:paraId="56DC8651" w14:textId="7CB7280A" w:rsidR="002C00CC" w:rsidRPr="002E294E" w:rsidRDefault="002C00CC" w:rsidP="002C00CC">
      <w:pPr>
        <w:tabs>
          <w:tab w:val="left" w:pos="426"/>
        </w:tabs>
        <w:spacing w:after="0" w:line="276" w:lineRule="auto"/>
        <w:ind w:firstLine="709"/>
        <w:jc w:val="both"/>
        <w:rPr>
          <w:rFonts w:ascii="Verdana" w:eastAsia="Times New Roman" w:hAnsi="Verdana" w:cs="Arial"/>
          <w:bCs/>
          <w:lang w:eastAsia="es-CO"/>
        </w:rPr>
      </w:pPr>
      <w:r w:rsidRPr="002E294E">
        <w:rPr>
          <w:rFonts w:ascii="Verdana" w:eastAsia="Times New Roman" w:hAnsi="Verdana" w:cs="Arial"/>
          <w:bCs/>
          <w:lang w:eastAsia="es-CO"/>
        </w:rPr>
        <w:t xml:space="preserve">Sobre la prestación del servicio objeto de la consulta, esta Agencia se pronunció mediante el concepto con radicado número 2201913000008606, del 19 de noviembre de 2019, indicando lo siguiente: </w:t>
      </w:r>
    </w:p>
    <w:p w14:paraId="6519B59A" w14:textId="77777777" w:rsidR="002C00CC" w:rsidRPr="002E294E" w:rsidRDefault="002C00CC" w:rsidP="002C00CC">
      <w:pPr>
        <w:tabs>
          <w:tab w:val="left" w:pos="426"/>
        </w:tabs>
        <w:spacing w:after="0" w:line="276" w:lineRule="auto"/>
        <w:ind w:firstLine="709"/>
        <w:jc w:val="both"/>
        <w:rPr>
          <w:rFonts w:ascii="Verdana" w:eastAsia="Times New Roman" w:hAnsi="Verdana" w:cs="Arial"/>
          <w:bCs/>
          <w:lang w:eastAsia="es-CO"/>
        </w:rPr>
      </w:pPr>
    </w:p>
    <w:p w14:paraId="2658CF88" w14:textId="77777777" w:rsidR="002C00CC" w:rsidRPr="002E294E" w:rsidRDefault="002C00CC" w:rsidP="002C00CC">
      <w:pPr>
        <w:spacing w:after="0" w:line="240" w:lineRule="auto"/>
        <w:ind w:left="709" w:right="709"/>
        <w:jc w:val="both"/>
        <w:rPr>
          <w:rFonts w:ascii="Verdana" w:eastAsia="Calibri" w:hAnsi="Verdana" w:cs="Arial"/>
          <w:sz w:val="20"/>
          <w:szCs w:val="20"/>
          <w:lang w:val="es-ES"/>
        </w:rPr>
      </w:pPr>
      <w:r w:rsidRPr="002E294E">
        <w:rPr>
          <w:rFonts w:ascii="Verdana" w:eastAsia="Calibri" w:hAnsi="Verdana" w:cs="Arial"/>
          <w:sz w:val="20"/>
          <w:szCs w:val="20"/>
          <w:lang w:val="es-ES"/>
        </w:rPr>
        <w:t xml:space="preserve">“Ahora bien, recopilando los fundamentos normativos del concepto, la Ley 1575 de 2012, artículo 3, inciso 4, establece que los municipios pueden cumplir la obligación de prestar el servicio esencial de gestión del riesgo contra incendios mediante: i) la constitución de cuerpos de bomberos oficiales o ii) la celebración de contratos y/o convenios con los cuerpos de bomberos voluntarios. </w:t>
      </w:r>
    </w:p>
    <w:p w14:paraId="381E4E2D" w14:textId="77777777" w:rsidR="002C00CC" w:rsidRPr="002E294E" w:rsidRDefault="002C00CC" w:rsidP="002C00CC">
      <w:pPr>
        <w:spacing w:after="0" w:line="240" w:lineRule="auto"/>
        <w:ind w:left="709" w:right="709"/>
        <w:jc w:val="both"/>
        <w:rPr>
          <w:rFonts w:ascii="Verdana" w:eastAsia="Calibri" w:hAnsi="Verdana" w:cs="Arial"/>
          <w:sz w:val="20"/>
          <w:szCs w:val="20"/>
          <w:lang w:val="es-ES_tradnl"/>
        </w:rPr>
      </w:pPr>
      <w:r w:rsidRPr="002E294E">
        <w:rPr>
          <w:rFonts w:ascii="Verdana" w:eastAsia="Calibri" w:hAnsi="Verdana" w:cs="Arial"/>
          <w:sz w:val="20"/>
          <w:szCs w:val="20"/>
          <w:lang w:val="es-ES_tradnl"/>
        </w:rPr>
        <w:t>[…]</w:t>
      </w:r>
    </w:p>
    <w:p w14:paraId="7DA9EFE8" w14:textId="77777777" w:rsidR="002C00CC" w:rsidRPr="002E294E" w:rsidRDefault="002C00CC" w:rsidP="002C00CC">
      <w:pPr>
        <w:spacing w:after="0" w:line="240" w:lineRule="auto"/>
        <w:ind w:left="709" w:right="709"/>
        <w:jc w:val="both"/>
        <w:rPr>
          <w:rFonts w:ascii="Verdana" w:hAnsi="Verdana" w:cs="Arial"/>
          <w:i/>
          <w:iCs/>
          <w:sz w:val="20"/>
          <w:szCs w:val="20"/>
        </w:rPr>
      </w:pPr>
      <w:r w:rsidRPr="002E294E">
        <w:rPr>
          <w:rFonts w:ascii="Verdana" w:eastAsia="Calibri" w:hAnsi="Verdana" w:cs="Arial"/>
          <w:sz w:val="20"/>
          <w:szCs w:val="20"/>
          <w:lang w:val="es-ES_tradnl"/>
        </w:rPr>
        <w:t xml:space="preserve">El texto de la norma no obliga a contratar con los bomberos voluntario, sino que faculta al municipio a hacerlo cuando no cuente con un cuerpo de bomberos oficiales, es más, la norma dispone que los municipios de menos de veinte mil habitantes cuentan con apoyo técnico del departamento, quien podrá asesorarlos con el fin de escoger la opción que </w:t>
      </w:r>
      <w:r w:rsidRPr="002E294E">
        <w:rPr>
          <w:rFonts w:ascii="Verdana" w:eastAsia="Calibri" w:hAnsi="Verdana" w:cs="Arial"/>
          <w:sz w:val="20"/>
          <w:szCs w:val="20"/>
          <w:lang w:val="es-ES_tradnl"/>
        </w:rPr>
        <w:lastRenderedPageBreak/>
        <w:t>mejor convenga entre constituir un cuerpo de bomberos oficial o contratar con uno voluntario</w:t>
      </w:r>
      <w:r w:rsidRPr="002E294E">
        <w:rPr>
          <w:rFonts w:ascii="Verdana" w:hAnsi="Verdana" w:cs="Arial"/>
          <w:i/>
          <w:iCs/>
          <w:sz w:val="20"/>
          <w:szCs w:val="20"/>
        </w:rPr>
        <w:t>.</w:t>
      </w:r>
    </w:p>
    <w:p w14:paraId="7B659622" w14:textId="77777777" w:rsidR="002C00CC" w:rsidRPr="002E294E" w:rsidRDefault="002C00CC" w:rsidP="002C00CC">
      <w:pPr>
        <w:spacing w:after="0" w:line="240" w:lineRule="auto"/>
        <w:ind w:left="709" w:right="709"/>
        <w:jc w:val="both"/>
        <w:rPr>
          <w:rFonts w:ascii="Verdana" w:hAnsi="Verdana" w:cs="Arial"/>
          <w:i/>
          <w:iCs/>
          <w:sz w:val="18"/>
          <w:szCs w:val="18"/>
        </w:rPr>
      </w:pPr>
    </w:p>
    <w:p w14:paraId="033D8420" w14:textId="77777777" w:rsidR="002C00CC" w:rsidRPr="002E294E" w:rsidRDefault="002C00CC" w:rsidP="002C00CC">
      <w:pPr>
        <w:spacing w:after="0" w:line="240" w:lineRule="auto"/>
        <w:ind w:left="709" w:right="709"/>
        <w:jc w:val="both"/>
        <w:rPr>
          <w:rFonts w:ascii="Verdana" w:eastAsia="Times New Roman" w:hAnsi="Verdana" w:cs="Arial"/>
          <w:bCs/>
          <w:sz w:val="20"/>
          <w:szCs w:val="20"/>
          <w:lang w:eastAsia="es-CO"/>
        </w:rPr>
      </w:pPr>
      <w:r w:rsidRPr="002E294E">
        <w:rPr>
          <w:rFonts w:ascii="Verdana" w:eastAsia="Times New Roman" w:hAnsi="Verdana" w:cs="Arial"/>
          <w:bCs/>
          <w:sz w:val="20"/>
          <w:szCs w:val="20"/>
          <w:lang w:eastAsia="es-CO"/>
        </w:rPr>
        <w:t>Los elementos del contrato o convenio dados por la ley 1575 de 2012 son: i) el objeto contractual: la gestión integral del riesgo contra incendio, los preparativos y atención de rescates en todas sus modalidades y la atención de incidentes con materiales peligrosos, actividades que están a cargo de instituciones bomberiles; y ii) las partes: un municipio, a cuyo cargo esta la prestación del servicio público esencial de atención integral del riesgo de incendio, y un cuerpo de bomberos voluntarios reconocido, que sea capaz de prestar el servicio y cumpla con la regulación propia de su actividad”</w:t>
      </w:r>
      <w:r w:rsidRPr="002E294E">
        <w:rPr>
          <w:rFonts w:ascii="Verdana" w:eastAsia="Times New Roman" w:hAnsi="Verdana" w:cs="Arial"/>
          <w:bCs/>
          <w:sz w:val="20"/>
          <w:szCs w:val="20"/>
          <w:vertAlign w:val="superscript"/>
          <w:lang w:eastAsia="es-CO"/>
        </w:rPr>
        <w:footnoteReference w:id="29"/>
      </w:r>
      <w:r w:rsidRPr="002E294E">
        <w:rPr>
          <w:rFonts w:ascii="Verdana" w:eastAsia="Times New Roman" w:hAnsi="Verdana" w:cs="Arial"/>
          <w:bCs/>
          <w:sz w:val="20"/>
          <w:szCs w:val="20"/>
          <w:lang w:eastAsia="es-CO"/>
        </w:rPr>
        <w:t xml:space="preserve">. </w:t>
      </w:r>
    </w:p>
    <w:p w14:paraId="6A027725" w14:textId="77777777" w:rsidR="002C00CC" w:rsidRPr="002E294E" w:rsidRDefault="002C00CC" w:rsidP="00D93E65">
      <w:pPr>
        <w:spacing w:after="0" w:line="276" w:lineRule="auto"/>
        <w:ind w:left="709" w:right="709"/>
        <w:jc w:val="both"/>
        <w:rPr>
          <w:rFonts w:ascii="Verdana" w:eastAsia="Times New Roman" w:hAnsi="Verdana" w:cs="Arial"/>
          <w:bCs/>
          <w:lang w:eastAsia="es-CO"/>
        </w:rPr>
      </w:pPr>
    </w:p>
    <w:p w14:paraId="7BA1B722" w14:textId="77777777" w:rsidR="002C00CC" w:rsidRPr="002E294E" w:rsidRDefault="002C00CC" w:rsidP="002C00CC">
      <w:pPr>
        <w:tabs>
          <w:tab w:val="left" w:pos="426"/>
        </w:tabs>
        <w:spacing w:after="120" w:line="276" w:lineRule="auto"/>
        <w:ind w:firstLine="709"/>
        <w:jc w:val="both"/>
        <w:rPr>
          <w:rFonts w:ascii="Verdana" w:eastAsia="Times New Roman" w:hAnsi="Verdana" w:cs="Arial"/>
          <w:bCs/>
          <w:lang w:eastAsia="es-CO"/>
        </w:rPr>
      </w:pPr>
      <w:r w:rsidRPr="002E294E">
        <w:rPr>
          <w:rFonts w:ascii="Verdana" w:eastAsia="Times New Roman" w:hAnsi="Verdana" w:cs="Arial"/>
          <w:bCs/>
          <w:lang w:eastAsia="es-CO"/>
        </w:rPr>
        <w:t>Respecto al proceso de selección para la celebración de un contrato con el cuerpo de bomberos voluntarios, como se señaló en el concepto 4201913000006918 –radicado de salida 2201913000008606– del 19 de noviembre de 2019, el artículo 9 de la Ley 322 de 1996 disponía que los distritos, municipios y territorios indígenas debían contratar directamente con los Cuerpos de Bomberos Voluntarios, cuando no contaran con un cuerpo oficial</w:t>
      </w:r>
      <w:r w:rsidRPr="002E294E">
        <w:rPr>
          <w:rStyle w:val="Refdenotaalpie"/>
          <w:rFonts w:ascii="Verdana" w:eastAsia="Times New Roman" w:hAnsi="Verdana" w:cs="Arial"/>
          <w:bCs/>
          <w:lang w:eastAsia="es-CO"/>
        </w:rPr>
        <w:footnoteReference w:id="30"/>
      </w:r>
      <w:r w:rsidRPr="002E294E">
        <w:rPr>
          <w:rFonts w:ascii="Verdana" w:eastAsia="Times New Roman" w:hAnsi="Verdana" w:cs="Arial"/>
          <w:bCs/>
          <w:lang w:eastAsia="es-CO"/>
        </w:rPr>
        <w:t xml:space="preserve">. No obstante, dicha norma fue derogada con la expedición de la Ley 1575 de 2012, la cual no establece una modalidad de selección específica para la elección del contratista, de lo cual se concluye que quedó derogada la posibilidad de que los municipios contrataran directamente el servicio bomberil con fundamento en aquella causal. </w:t>
      </w:r>
    </w:p>
    <w:p w14:paraId="05FB8B64" w14:textId="5B961005" w:rsidR="002C00CC" w:rsidRPr="002E294E" w:rsidRDefault="002C00CC" w:rsidP="002C00CC">
      <w:pPr>
        <w:tabs>
          <w:tab w:val="left" w:pos="426"/>
        </w:tabs>
        <w:spacing w:after="120" w:line="276" w:lineRule="auto"/>
        <w:ind w:firstLine="709"/>
        <w:jc w:val="both"/>
        <w:rPr>
          <w:rFonts w:ascii="Verdana" w:eastAsia="Times New Roman" w:hAnsi="Verdana" w:cs="Arial"/>
          <w:bCs/>
          <w:lang w:eastAsia="es-CO"/>
        </w:rPr>
      </w:pPr>
      <w:r w:rsidRPr="002E294E">
        <w:rPr>
          <w:rFonts w:ascii="Verdana" w:eastAsia="Times New Roman" w:hAnsi="Verdana" w:cs="Arial"/>
          <w:bCs/>
          <w:lang w:eastAsia="es-CO"/>
        </w:rPr>
        <w:t xml:space="preserve">En efecto, consultada la exposición de motivos de la Ley 1575 de 2012 no se encuentra una justificación para dicha modificación, ni tampoco se encuentran los motivos que condujeron a que el legislador no determinara cuál es la modalidad de selección para la contratación con cuerpos de bomberos voluntarios. En ese orden, dado que no existe una modalidad o causal especifica, para la celebración de </w:t>
      </w:r>
      <w:r w:rsidRPr="002E294E">
        <w:rPr>
          <w:rFonts w:ascii="Verdana" w:eastAsia="Times New Roman" w:hAnsi="Verdana" w:cs="Arial"/>
          <w:bCs/>
          <w:i/>
          <w:iCs/>
          <w:lang w:eastAsia="es-CO"/>
        </w:rPr>
        <w:t>contratos</w:t>
      </w:r>
      <w:r w:rsidRPr="002E294E">
        <w:rPr>
          <w:rFonts w:ascii="Verdana" w:eastAsia="Times New Roman" w:hAnsi="Verdana" w:cs="Arial"/>
          <w:bCs/>
          <w:lang w:eastAsia="es-CO"/>
        </w:rPr>
        <w:t xml:space="preserve"> que tengan por objeto el desarrollo de actividades relacionadas con el servicio público bomberil, las Entidades Estatales sujetas al E</w:t>
      </w:r>
      <w:r w:rsidR="005F3D28">
        <w:rPr>
          <w:rFonts w:ascii="Verdana" w:eastAsia="Times New Roman" w:hAnsi="Verdana" w:cs="Arial"/>
          <w:bCs/>
          <w:lang w:eastAsia="es-CO"/>
        </w:rPr>
        <w:t xml:space="preserve">statuto </w:t>
      </w:r>
      <w:r w:rsidRPr="002E294E">
        <w:rPr>
          <w:rFonts w:ascii="Verdana" w:eastAsia="Times New Roman" w:hAnsi="Verdana" w:cs="Arial"/>
          <w:bCs/>
          <w:lang w:eastAsia="es-CO"/>
        </w:rPr>
        <w:t>G</w:t>
      </w:r>
      <w:r w:rsidR="005F3D28">
        <w:rPr>
          <w:rFonts w:ascii="Verdana" w:eastAsia="Times New Roman" w:hAnsi="Verdana" w:cs="Arial"/>
          <w:bCs/>
          <w:lang w:eastAsia="es-CO"/>
        </w:rPr>
        <w:t xml:space="preserve">eneral de </w:t>
      </w:r>
      <w:r w:rsidRPr="002E294E">
        <w:rPr>
          <w:rFonts w:ascii="Verdana" w:eastAsia="Times New Roman" w:hAnsi="Verdana" w:cs="Arial"/>
          <w:bCs/>
          <w:lang w:eastAsia="es-CO"/>
        </w:rPr>
        <w:t>C</w:t>
      </w:r>
      <w:r w:rsidR="005F3D28">
        <w:rPr>
          <w:rFonts w:ascii="Verdana" w:eastAsia="Times New Roman" w:hAnsi="Verdana" w:cs="Arial"/>
          <w:bCs/>
          <w:lang w:eastAsia="es-CO"/>
        </w:rPr>
        <w:t xml:space="preserve">ontratación de la </w:t>
      </w:r>
      <w:r w:rsidRPr="002E294E">
        <w:rPr>
          <w:rFonts w:ascii="Verdana" w:eastAsia="Times New Roman" w:hAnsi="Verdana" w:cs="Arial"/>
          <w:bCs/>
          <w:lang w:eastAsia="es-CO"/>
        </w:rPr>
        <w:t>A</w:t>
      </w:r>
      <w:r w:rsidR="005F3D28">
        <w:rPr>
          <w:rFonts w:ascii="Verdana" w:eastAsia="Times New Roman" w:hAnsi="Verdana" w:cs="Arial"/>
          <w:bCs/>
          <w:lang w:eastAsia="es-CO"/>
        </w:rPr>
        <w:t xml:space="preserve">dministración </w:t>
      </w:r>
      <w:r w:rsidRPr="002E294E">
        <w:rPr>
          <w:rFonts w:ascii="Verdana" w:eastAsia="Times New Roman" w:hAnsi="Verdana" w:cs="Arial"/>
          <w:bCs/>
          <w:lang w:eastAsia="es-CO"/>
        </w:rPr>
        <w:t>P</w:t>
      </w:r>
      <w:r w:rsidR="005F3D28">
        <w:rPr>
          <w:rFonts w:ascii="Verdana" w:eastAsia="Times New Roman" w:hAnsi="Verdana" w:cs="Arial"/>
          <w:bCs/>
          <w:lang w:eastAsia="es-CO"/>
        </w:rPr>
        <w:t>ública</w:t>
      </w:r>
      <w:r w:rsidRPr="002E294E">
        <w:rPr>
          <w:rFonts w:ascii="Verdana" w:eastAsia="Times New Roman" w:hAnsi="Verdana" w:cs="Arial"/>
          <w:bCs/>
          <w:lang w:eastAsia="es-CO"/>
        </w:rPr>
        <w:t xml:space="preserve"> deben acudir a las modalidades de selección previstas en el artículo 2 de la Ley 1150 de 2007, –licitación pública, selección abreviada, concurso de méritos, mínima </w:t>
      </w:r>
      <w:r w:rsidRPr="002E294E">
        <w:rPr>
          <w:rFonts w:ascii="Verdana" w:eastAsia="Times New Roman" w:hAnsi="Verdana" w:cs="Arial"/>
          <w:bCs/>
          <w:lang w:eastAsia="es-CO"/>
        </w:rPr>
        <w:lastRenderedPageBreak/>
        <w:t xml:space="preserve">cuantía o contratación directa–, siguiendo las reglas y causales que dicha disposición establece. </w:t>
      </w:r>
    </w:p>
    <w:p w14:paraId="1E1F2E82" w14:textId="77777777" w:rsidR="002C00CC" w:rsidRPr="002E294E" w:rsidRDefault="002C00CC" w:rsidP="002C00CC">
      <w:pPr>
        <w:tabs>
          <w:tab w:val="left" w:pos="426"/>
        </w:tabs>
        <w:spacing w:after="120" w:line="276" w:lineRule="auto"/>
        <w:ind w:firstLine="709"/>
        <w:jc w:val="both"/>
        <w:rPr>
          <w:rFonts w:ascii="Verdana" w:eastAsia="Times New Roman" w:hAnsi="Verdana" w:cs="Arial"/>
          <w:bCs/>
          <w:lang w:eastAsia="es-CO"/>
        </w:rPr>
      </w:pPr>
      <w:r w:rsidRPr="002E294E">
        <w:rPr>
          <w:rFonts w:ascii="Verdana" w:eastAsia="Times New Roman" w:hAnsi="Verdana" w:cs="Arial"/>
          <w:bCs/>
          <w:lang w:eastAsia="es-CO"/>
        </w:rPr>
        <w:t xml:space="preserve">Sin embargo, en atención a la naturaleza jurídica de los </w:t>
      </w:r>
      <w:r w:rsidRPr="002E294E">
        <w:rPr>
          <w:rFonts w:ascii="Verdana" w:eastAsia="Times New Roman" w:hAnsi="Verdana" w:cs="Arial"/>
          <w:bCs/>
          <w:i/>
          <w:iCs/>
          <w:lang w:eastAsia="es-CO"/>
        </w:rPr>
        <w:t>Cuerpos de Bomberos Voluntarios</w:t>
      </w:r>
      <w:r w:rsidRPr="002E294E">
        <w:rPr>
          <w:rFonts w:ascii="Verdana" w:eastAsia="Times New Roman" w:hAnsi="Verdana" w:cs="Arial"/>
          <w:bCs/>
          <w:lang w:eastAsia="es-CO"/>
        </w:rPr>
        <w:t>–entidades sin ánimo de lucro–, al interés general asociado a la prestación del servicio de gestión integral del riesgo de incendio y a la gratuidad que la ley impone respecto de algunas de las actividades desarrolladas por los bomberos</w:t>
      </w:r>
      <w:r w:rsidRPr="002E294E">
        <w:rPr>
          <w:rStyle w:val="Refdenotaalpie"/>
          <w:rFonts w:ascii="Verdana" w:eastAsia="Times New Roman" w:hAnsi="Verdana" w:cs="Arial"/>
          <w:bCs/>
          <w:lang w:eastAsia="es-CO"/>
        </w:rPr>
        <w:footnoteReference w:id="31"/>
      </w:r>
      <w:r w:rsidRPr="002E294E">
        <w:rPr>
          <w:rFonts w:ascii="Verdana" w:eastAsia="Times New Roman" w:hAnsi="Verdana" w:cs="Arial"/>
          <w:bCs/>
          <w:lang w:eastAsia="es-CO"/>
        </w:rPr>
        <w:t>, también es posible que, para efectos de cumplir con la obligación dispuesta en el inciso cuarto del artículo 3 de la Ley 1575 de 2012 se desarrollen convenios de asociación de acuerdo con lo establecido en el artículo 96 de Ley 489 de 1998, cuya selección reglamenta el artículo 5 del Decreto 092 de 2017.</w:t>
      </w:r>
    </w:p>
    <w:p w14:paraId="2D47E707" w14:textId="4A3B566C" w:rsidR="002C00CC" w:rsidRPr="002E294E" w:rsidRDefault="00CC77D2" w:rsidP="002C00CC">
      <w:pPr>
        <w:tabs>
          <w:tab w:val="left" w:pos="426"/>
        </w:tabs>
        <w:spacing w:after="120" w:line="276" w:lineRule="auto"/>
        <w:jc w:val="both"/>
        <w:rPr>
          <w:rFonts w:ascii="Verdana" w:eastAsia="Times New Roman" w:hAnsi="Verdana" w:cs="Arial"/>
          <w:bCs/>
          <w:lang w:eastAsia="es-CO"/>
        </w:rPr>
      </w:pPr>
      <w:r>
        <w:rPr>
          <w:rFonts w:ascii="Verdana" w:eastAsia="Times New Roman" w:hAnsi="Verdana" w:cs="Arial"/>
          <w:bCs/>
          <w:lang w:eastAsia="es-CO"/>
        </w:rPr>
        <w:tab/>
      </w:r>
      <w:r>
        <w:rPr>
          <w:rFonts w:ascii="Verdana" w:eastAsia="Times New Roman" w:hAnsi="Verdana" w:cs="Arial"/>
          <w:bCs/>
          <w:lang w:eastAsia="es-CO"/>
        </w:rPr>
        <w:tab/>
      </w:r>
      <w:r w:rsidR="002C00CC" w:rsidRPr="002E294E">
        <w:rPr>
          <w:rFonts w:ascii="Verdana" w:eastAsia="Times New Roman" w:hAnsi="Verdana" w:cs="Arial"/>
          <w:bCs/>
          <w:lang w:eastAsia="es-CO"/>
        </w:rPr>
        <w:t xml:space="preserve">Teniendo en cuenta el análisis precedente, de cara a la aplicación de la Ley de Garantías Electorales, los municipios y distritos, durante el periodo de aplicación de la prohibición establecida en el artículo 33 de la Ley 996 de 2005 podrán celebrar contratos y convenios con Cuerpos de Bomberos Voluntarios siempre que se realice un procedimiento competitivo, que permita la participación de pluralidad de oferentes. Por el contrario, no le será posible a un ente territorial celebrar contratos a través de una </w:t>
      </w:r>
      <w:r w:rsidR="002C00CC" w:rsidRPr="002E294E">
        <w:rPr>
          <w:rFonts w:ascii="Verdana" w:eastAsia="Times New Roman" w:hAnsi="Verdana" w:cs="Arial"/>
          <w:i/>
          <w:lang w:eastAsia="es-CO"/>
        </w:rPr>
        <w:t>contratación directa</w:t>
      </w:r>
      <w:r w:rsidR="002C00CC" w:rsidRPr="002E294E">
        <w:rPr>
          <w:rFonts w:ascii="Verdana" w:eastAsia="Times New Roman" w:hAnsi="Verdana" w:cs="Arial"/>
          <w:bCs/>
          <w:lang w:eastAsia="es-CO"/>
        </w:rPr>
        <w:t>, entendiendo esta como aquel sistema de selección de contratistas en el que no exista convocatoria pública, ni sea posible la participación de una pluralidad de oferentes, independientemente del régimen de contratación que se aplique. En el caso de entidades sometidas al E</w:t>
      </w:r>
      <w:r>
        <w:rPr>
          <w:rFonts w:ascii="Verdana" w:eastAsia="Times New Roman" w:hAnsi="Verdana" w:cs="Arial"/>
          <w:bCs/>
          <w:lang w:eastAsia="es-CO"/>
        </w:rPr>
        <w:t xml:space="preserve">statuto </w:t>
      </w:r>
      <w:r w:rsidR="002C00CC" w:rsidRPr="002E294E">
        <w:rPr>
          <w:rFonts w:ascii="Verdana" w:eastAsia="Times New Roman" w:hAnsi="Verdana" w:cs="Arial"/>
          <w:bCs/>
          <w:lang w:eastAsia="es-CO"/>
        </w:rPr>
        <w:t>G</w:t>
      </w:r>
      <w:r>
        <w:rPr>
          <w:rFonts w:ascii="Verdana" w:eastAsia="Times New Roman" w:hAnsi="Verdana" w:cs="Arial"/>
          <w:bCs/>
          <w:lang w:eastAsia="es-CO"/>
        </w:rPr>
        <w:t xml:space="preserve">eneral de </w:t>
      </w:r>
      <w:r w:rsidR="002C00CC" w:rsidRPr="002E294E">
        <w:rPr>
          <w:rFonts w:ascii="Verdana" w:eastAsia="Times New Roman" w:hAnsi="Verdana" w:cs="Arial"/>
          <w:bCs/>
          <w:lang w:eastAsia="es-CO"/>
        </w:rPr>
        <w:t>C</w:t>
      </w:r>
      <w:r>
        <w:rPr>
          <w:rFonts w:ascii="Verdana" w:eastAsia="Times New Roman" w:hAnsi="Verdana" w:cs="Arial"/>
          <w:bCs/>
          <w:lang w:eastAsia="es-CO"/>
        </w:rPr>
        <w:t xml:space="preserve">ontratación de la </w:t>
      </w:r>
      <w:r w:rsidR="002C00CC" w:rsidRPr="002E294E">
        <w:rPr>
          <w:rFonts w:ascii="Verdana" w:eastAsia="Times New Roman" w:hAnsi="Verdana" w:cs="Arial"/>
          <w:bCs/>
          <w:lang w:eastAsia="es-CO"/>
        </w:rPr>
        <w:t>A</w:t>
      </w:r>
      <w:r>
        <w:rPr>
          <w:rFonts w:ascii="Verdana" w:eastAsia="Times New Roman" w:hAnsi="Verdana" w:cs="Arial"/>
          <w:bCs/>
          <w:lang w:eastAsia="es-CO"/>
        </w:rPr>
        <w:t xml:space="preserve">dministración </w:t>
      </w:r>
      <w:r w:rsidR="002C00CC" w:rsidRPr="002E294E">
        <w:rPr>
          <w:rFonts w:ascii="Verdana" w:eastAsia="Times New Roman" w:hAnsi="Verdana" w:cs="Arial"/>
          <w:bCs/>
          <w:lang w:eastAsia="es-CO"/>
        </w:rPr>
        <w:t>P</w:t>
      </w:r>
      <w:r>
        <w:rPr>
          <w:rFonts w:ascii="Verdana" w:eastAsia="Times New Roman" w:hAnsi="Verdana" w:cs="Arial"/>
          <w:bCs/>
          <w:lang w:eastAsia="es-CO"/>
        </w:rPr>
        <w:t>ública</w:t>
      </w:r>
      <w:r w:rsidR="002C00CC" w:rsidRPr="002E294E">
        <w:rPr>
          <w:rFonts w:ascii="Verdana" w:eastAsia="Times New Roman" w:hAnsi="Verdana" w:cs="Arial"/>
          <w:bCs/>
          <w:lang w:eastAsia="es-CO"/>
        </w:rPr>
        <w:t xml:space="preserve">, como los municipios y distritos, tal restricción implica la imposibilidad de acudir a las causales de contratación directa previstas en el artículo 2, numeral 4 de la Ley 1150 de 2007, ni al supuesto de contratación directa regulado en el artículo 5 del Decreto 092 de 2017, salvo que se configure alguna de las excepciones previstas en el inciso segundo del artículo 33 de la Ley 996 de 2005. </w:t>
      </w:r>
    </w:p>
    <w:p w14:paraId="3A76BB0E" w14:textId="578A8902" w:rsidR="002C00CC" w:rsidRPr="002E294E" w:rsidRDefault="002C00CC" w:rsidP="002C00CC">
      <w:pPr>
        <w:tabs>
          <w:tab w:val="left" w:pos="426"/>
        </w:tabs>
        <w:spacing w:after="120" w:line="276" w:lineRule="auto"/>
        <w:ind w:firstLine="709"/>
        <w:jc w:val="both"/>
        <w:rPr>
          <w:rFonts w:ascii="Verdana" w:eastAsia="Times New Roman" w:hAnsi="Verdana" w:cs="Arial"/>
          <w:bCs/>
          <w:lang w:eastAsia="es-CO"/>
        </w:rPr>
      </w:pPr>
      <w:r w:rsidRPr="002E294E">
        <w:rPr>
          <w:rFonts w:ascii="Verdana" w:eastAsia="Times New Roman" w:hAnsi="Verdana" w:cs="Arial"/>
          <w:bCs/>
          <w:lang w:eastAsia="es-CO"/>
        </w:rPr>
        <w:t xml:space="preserve"> Con todo, se debe advertir que, si bien el artículo 2 de la Ley 1575 de 2012 establece que la gestión integral del riesgo contra incendios, los preparativos y atención de rescates en todas sus modalidades y la atención de incidentes con materiales peligrosos constituyen un servicio público esencial, dicha calidad, </w:t>
      </w:r>
      <w:r w:rsidRPr="002E294E">
        <w:rPr>
          <w:rFonts w:ascii="Verdana" w:eastAsia="Times New Roman" w:hAnsi="Verdana" w:cs="Arial"/>
          <w:bCs/>
          <w:i/>
          <w:iCs/>
          <w:lang w:eastAsia="es-CO"/>
        </w:rPr>
        <w:t>per se,</w:t>
      </w:r>
      <w:r w:rsidRPr="002E294E">
        <w:rPr>
          <w:rFonts w:ascii="Verdana" w:eastAsia="Times New Roman" w:hAnsi="Verdana" w:cs="Arial"/>
          <w:bCs/>
          <w:lang w:eastAsia="es-CO"/>
        </w:rPr>
        <w:t xml:space="preserve"> no implica que los contratos requeridos para su prestación </w:t>
      </w:r>
      <w:r w:rsidRPr="002E294E">
        <w:rPr>
          <w:rFonts w:ascii="Verdana" w:eastAsia="Times New Roman" w:hAnsi="Verdana" w:cs="Arial"/>
          <w:bCs/>
          <w:lang w:eastAsia="es-CO"/>
        </w:rPr>
        <w:lastRenderedPageBreak/>
        <w:t>estén sustraídos de la restricción del artículo 33 de la Ley 996 de 2005. En ese orden, si en vigencia de la restricción del artículo 33 de la Ley 996 de 2005, para dar cumplimiento a la obligación prevista en el inciso cuarto del artículo 3 de la Ley 1575 de 2012, se pretende suscribir un contrato o convenio de manera directa, además de la causal legal que sustenta dicha posibilidad, es necesario sustentar de qué manera el objeto del contrato configura alguna de las referidas excepciones</w:t>
      </w:r>
      <w:r w:rsidR="009A2F7E">
        <w:rPr>
          <w:rFonts w:ascii="Verdana" w:eastAsia="Times New Roman" w:hAnsi="Verdana" w:cs="Arial"/>
          <w:bCs/>
          <w:lang w:eastAsia="es-CO"/>
        </w:rPr>
        <w:t xml:space="preserve"> del parágrafo 33</w:t>
      </w:r>
      <w:r w:rsidRPr="002E294E">
        <w:rPr>
          <w:rFonts w:ascii="Verdana" w:eastAsia="Times New Roman" w:hAnsi="Verdana" w:cs="Arial"/>
          <w:bCs/>
          <w:lang w:eastAsia="es-CO"/>
        </w:rPr>
        <w:t xml:space="preserve">.   </w:t>
      </w:r>
    </w:p>
    <w:p w14:paraId="77F2D4CF" w14:textId="77777777" w:rsidR="002C00CC" w:rsidRPr="002E294E" w:rsidRDefault="002C00CC" w:rsidP="002C00CC">
      <w:pPr>
        <w:tabs>
          <w:tab w:val="left" w:pos="426"/>
        </w:tabs>
        <w:spacing w:after="120" w:line="276" w:lineRule="auto"/>
        <w:ind w:firstLine="709"/>
        <w:jc w:val="both"/>
        <w:rPr>
          <w:rFonts w:ascii="Verdana" w:eastAsia="Times New Roman" w:hAnsi="Verdana" w:cs="Arial"/>
          <w:bCs/>
          <w:lang w:eastAsia="es-CO"/>
        </w:rPr>
      </w:pPr>
      <w:r w:rsidRPr="002E294E">
        <w:rPr>
          <w:rFonts w:ascii="Verdana" w:eastAsia="Times New Roman" w:hAnsi="Verdana" w:cs="Arial"/>
          <w:bCs/>
          <w:lang w:eastAsia="es-CO"/>
        </w:rPr>
        <w:t xml:space="preserve">Para el efecto, puede resultar relevante la excepción establecida por dicha norma respecto de los contratos que deban celebrarse para la atención de situaciones de emergencia y/o desastre, de conformidad con lo establecido en las leyes 1523 y 1575 de 2012. Al respecto, debe tenerse en cuenta que, actividades como la </w:t>
      </w:r>
      <w:r w:rsidRPr="002E294E">
        <w:rPr>
          <w:rFonts w:ascii="Verdana" w:eastAsia="Times New Roman" w:hAnsi="Verdana" w:cs="Arial"/>
          <w:bCs/>
          <w:i/>
          <w:iCs/>
          <w:lang w:eastAsia="es-CO"/>
        </w:rPr>
        <w:t>atención de incidentes relacionados con incendios</w:t>
      </w:r>
      <w:r w:rsidRPr="002E294E">
        <w:rPr>
          <w:rFonts w:ascii="Verdana" w:eastAsia="Times New Roman" w:hAnsi="Verdana" w:cs="Arial"/>
          <w:bCs/>
          <w:lang w:eastAsia="es-CO"/>
        </w:rPr>
        <w:t xml:space="preserve">, que de conformidad con el artículo 22 de la Ley 1575 de 2012, desarrollan los cuerpos de bomberos, están contempladas dentro de las actividades asociadas a la </w:t>
      </w:r>
      <w:r w:rsidRPr="002E294E">
        <w:rPr>
          <w:rFonts w:ascii="Verdana" w:eastAsia="Times New Roman" w:hAnsi="Verdana" w:cs="Arial"/>
          <w:bCs/>
          <w:i/>
          <w:iCs/>
          <w:lang w:eastAsia="es-CO"/>
        </w:rPr>
        <w:t>Preparación</w:t>
      </w:r>
      <w:r w:rsidRPr="002E294E">
        <w:rPr>
          <w:rFonts w:ascii="Verdana" w:eastAsia="Times New Roman" w:hAnsi="Verdana" w:cs="Arial"/>
          <w:bCs/>
          <w:lang w:eastAsia="es-CO"/>
        </w:rPr>
        <w:t xml:space="preserve"> y </w:t>
      </w:r>
      <w:r w:rsidRPr="002E294E">
        <w:rPr>
          <w:rFonts w:ascii="Verdana" w:eastAsia="Times New Roman" w:hAnsi="Verdana" w:cs="Arial"/>
          <w:bCs/>
          <w:i/>
          <w:iCs/>
          <w:lang w:eastAsia="es-CO"/>
        </w:rPr>
        <w:t xml:space="preserve">Respuesta, </w:t>
      </w:r>
      <w:r w:rsidRPr="002E294E">
        <w:rPr>
          <w:rFonts w:ascii="Verdana" w:eastAsia="Times New Roman" w:hAnsi="Verdana" w:cs="Arial"/>
          <w:bCs/>
          <w:lang w:eastAsia="es-CO"/>
        </w:rPr>
        <w:t>reguladas por la Ley 1523 de 2012 en el marco del Sistema Nacional de Gestión del Riesgo de Desastres y la Estrategia Nacional para la Respuesta a Emergencias</w:t>
      </w:r>
      <w:r w:rsidRPr="002E294E">
        <w:rPr>
          <w:rStyle w:val="Refdenotaalpie"/>
          <w:rFonts w:ascii="Verdana" w:eastAsia="Times New Roman" w:hAnsi="Verdana" w:cs="Arial"/>
          <w:bCs/>
          <w:lang w:eastAsia="es-CO"/>
        </w:rPr>
        <w:footnoteReference w:id="32"/>
      </w:r>
      <w:r w:rsidRPr="002E294E">
        <w:rPr>
          <w:rFonts w:ascii="Verdana" w:eastAsia="Times New Roman" w:hAnsi="Verdana" w:cs="Arial"/>
          <w:bCs/>
          <w:lang w:eastAsia="es-CO"/>
        </w:rPr>
        <w:t xml:space="preserve">. </w:t>
      </w:r>
    </w:p>
    <w:p w14:paraId="39DB0967" w14:textId="177F1058" w:rsidR="002C00CC" w:rsidRDefault="002C00CC" w:rsidP="00FB24A9">
      <w:pPr>
        <w:tabs>
          <w:tab w:val="left" w:pos="426"/>
        </w:tabs>
        <w:spacing w:after="0" w:line="276" w:lineRule="auto"/>
        <w:ind w:firstLine="709"/>
        <w:jc w:val="both"/>
        <w:rPr>
          <w:rFonts w:ascii="Verdana" w:eastAsia="Times New Roman" w:hAnsi="Verdana" w:cs="Arial"/>
          <w:bCs/>
          <w:lang w:eastAsia="es-CO"/>
        </w:rPr>
      </w:pPr>
      <w:r w:rsidRPr="002E294E">
        <w:rPr>
          <w:rFonts w:ascii="Verdana" w:eastAsia="Times New Roman" w:hAnsi="Verdana" w:cs="Arial"/>
          <w:bCs/>
          <w:lang w:eastAsia="es-CO"/>
        </w:rPr>
        <w:t xml:space="preserve"> Sin perjuicio de lo anterior, es importante considerar que, cuando la necesidad de celebrar el contrato no se presenta en función de la necesidad de atender una emergencia o desastre especifico efectivamente declarado, no </w:t>
      </w:r>
      <w:r w:rsidRPr="002E294E">
        <w:rPr>
          <w:rFonts w:ascii="Verdana" w:eastAsia="Times New Roman" w:hAnsi="Verdana" w:cs="Arial"/>
          <w:bCs/>
          <w:lang w:eastAsia="es-CO"/>
        </w:rPr>
        <w:lastRenderedPageBreak/>
        <w:t xml:space="preserve">resulta viable acudir a causales de contratación directa como la urgencia manifiesta y ni a lo regulado en el artículo 66 de la Ley 1523 de 2012, por lo que, en principio, es necesario que la entidad estatal desarrolle un proceso competitivo para escoger el prestador del servicio, supuesto en el cual, por sustracción de materia, no sería aplicable ninguna de las excepciones establecidas en el segundo inciso del artículo 33 de la Ley 996 de 2005. No obstante, en caso de que se cumplan los presupuestos para la aplicación de alguna de las otras causales de contratación directa previstas en las normas que rigen la contratación de la entidad estatal contratante, esta podrá valorar la posibilidad de celebrar directamente el contrato para la prestación del servicio establecido en el artículo 2 de la Ley  1575 de 2012 al amparo de la excepción establecida relacionada con los contratos requeridos para la atención de emergencias y desastres, establecida en el inciso segundo del artículo 33 de la Ley 996 de 2005.    </w:t>
      </w:r>
    </w:p>
    <w:p w14:paraId="00A2CC2D" w14:textId="77777777" w:rsidR="00FB24A9" w:rsidRPr="002E294E" w:rsidRDefault="00FB24A9" w:rsidP="00D93E65">
      <w:pPr>
        <w:tabs>
          <w:tab w:val="left" w:pos="426"/>
        </w:tabs>
        <w:spacing w:after="0" w:line="276" w:lineRule="auto"/>
        <w:ind w:firstLine="709"/>
        <w:jc w:val="both"/>
        <w:rPr>
          <w:rFonts w:ascii="Verdana" w:eastAsia="Times New Roman" w:hAnsi="Verdana" w:cs="Arial"/>
          <w:bCs/>
          <w:lang w:eastAsia="es-CO"/>
        </w:rPr>
      </w:pPr>
    </w:p>
    <w:p w14:paraId="2304862B" w14:textId="65C6D24F" w:rsidR="002C00CC" w:rsidRDefault="00FB24A9" w:rsidP="00D93E65">
      <w:pPr>
        <w:spacing w:after="0" w:line="276" w:lineRule="auto"/>
        <w:jc w:val="both"/>
        <w:rPr>
          <w:rFonts w:ascii="Verdana" w:eastAsia="Times New Roman" w:hAnsi="Verdana" w:cs="Times New Roman"/>
          <w:lang w:eastAsia="es-ES"/>
        </w:rPr>
      </w:pPr>
      <w:r>
        <w:rPr>
          <w:rFonts w:ascii="Verdana" w:eastAsia="Calibri" w:hAnsi="Verdana" w:cs="Arial"/>
        </w:rPr>
        <w:t xml:space="preserve">v. </w:t>
      </w:r>
      <w:r w:rsidR="002C00CC" w:rsidRPr="002E294E">
        <w:rPr>
          <w:rFonts w:ascii="Verdana" w:eastAsia="Calibri" w:hAnsi="Verdana" w:cs="Arial"/>
        </w:rPr>
        <w:t xml:space="preserve">Finalmente, es pertinente indicar que </w:t>
      </w:r>
      <w:r w:rsidR="009A2F7E">
        <w:rPr>
          <w:rFonts w:ascii="Verdana" w:eastAsia="Calibri" w:hAnsi="Verdana" w:cs="Arial"/>
        </w:rPr>
        <w:t xml:space="preserve">la Agencia Nacional de Contratación Púbica - </w:t>
      </w:r>
      <w:r w:rsidR="002C00CC" w:rsidRPr="002E294E">
        <w:rPr>
          <w:rFonts w:ascii="Verdana" w:eastAsia="Calibri" w:hAnsi="Verdana" w:cs="Arial"/>
        </w:rPr>
        <w:t>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w:t>
      </w:r>
      <w:r w:rsidR="009A2F7E">
        <w:rPr>
          <w:rFonts w:ascii="Verdana" w:eastAsia="Calibri" w:hAnsi="Verdana" w:cs="Arial"/>
        </w:rPr>
        <w:t xml:space="preserve">statuto </w:t>
      </w:r>
      <w:r w:rsidR="002C00CC" w:rsidRPr="002E294E">
        <w:rPr>
          <w:rFonts w:ascii="Verdana" w:eastAsia="Calibri" w:hAnsi="Verdana" w:cs="Arial"/>
        </w:rPr>
        <w:t>G</w:t>
      </w:r>
      <w:r w:rsidR="009A2F7E">
        <w:rPr>
          <w:rFonts w:ascii="Verdana" w:eastAsia="Calibri" w:hAnsi="Verdana" w:cs="Arial"/>
        </w:rPr>
        <w:t xml:space="preserve">eneral de </w:t>
      </w:r>
      <w:r w:rsidR="002C00CC" w:rsidRPr="002E294E">
        <w:rPr>
          <w:rFonts w:ascii="Verdana" w:eastAsia="Calibri" w:hAnsi="Verdana" w:cs="Arial"/>
        </w:rPr>
        <w:t>C</w:t>
      </w:r>
      <w:r w:rsidR="009A2F7E">
        <w:rPr>
          <w:rFonts w:ascii="Verdana" w:eastAsia="Calibri" w:hAnsi="Verdana" w:cs="Arial"/>
        </w:rPr>
        <w:t xml:space="preserve">ontratación de la </w:t>
      </w:r>
      <w:r w:rsidR="002C00CC" w:rsidRPr="002E294E">
        <w:rPr>
          <w:rFonts w:ascii="Verdana" w:eastAsia="Calibri" w:hAnsi="Verdana" w:cs="Arial"/>
        </w:rPr>
        <w:t>A</w:t>
      </w:r>
      <w:r w:rsidR="009A2F7E">
        <w:rPr>
          <w:rFonts w:ascii="Verdana" w:eastAsia="Calibri" w:hAnsi="Verdana" w:cs="Arial"/>
        </w:rPr>
        <w:t xml:space="preserve">dministración </w:t>
      </w:r>
      <w:r w:rsidR="002C00CC" w:rsidRPr="002E294E">
        <w:rPr>
          <w:rFonts w:ascii="Verdana" w:eastAsia="Calibri" w:hAnsi="Verdana" w:cs="Arial"/>
        </w:rPr>
        <w:t>P</w:t>
      </w:r>
      <w:r w:rsidR="009A2F7E">
        <w:rPr>
          <w:rFonts w:ascii="Verdana" w:eastAsia="Calibri" w:hAnsi="Verdana" w:cs="Arial"/>
        </w:rPr>
        <w:t>ública</w:t>
      </w:r>
      <w:r w:rsidR="002C00CC" w:rsidRPr="002E294E">
        <w:rPr>
          <w:rFonts w:ascii="Verdana" w:eastAsia="Calibri" w:hAnsi="Verdana" w:cs="Arial"/>
        </w:rPr>
        <w:t xml:space="preserve">.  </w:t>
      </w:r>
      <w:r w:rsidR="002C00CC" w:rsidRPr="002E294E">
        <w:rPr>
          <w:rFonts w:ascii="Verdana" w:eastAsia="Times New Roman" w:hAnsi="Verdana" w:cs="Times New Roman"/>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p>
    <w:p w14:paraId="36F832F4" w14:textId="77777777" w:rsidR="006A4550" w:rsidRPr="006A4550" w:rsidRDefault="006A4550" w:rsidP="00D93E65">
      <w:pPr>
        <w:spacing w:after="0" w:line="276" w:lineRule="auto"/>
        <w:ind w:firstLine="708"/>
        <w:jc w:val="both"/>
        <w:rPr>
          <w:rFonts w:ascii="Verdana" w:eastAsia="Times New Roman" w:hAnsi="Verdana" w:cs="Times New Roman"/>
          <w:lang w:eastAsia="es-ES"/>
        </w:rPr>
      </w:pPr>
    </w:p>
    <w:bookmarkEnd w:id="1"/>
    <w:bookmarkEnd w:id="2"/>
    <w:p w14:paraId="7F9BD99D" w14:textId="3438468E" w:rsidR="002C00CC" w:rsidRPr="006A4550" w:rsidRDefault="002C00CC" w:rsidP="00D93E65">
      <w:pPr>
        <w:spacing w:after="0" w:line="276" w:lineRule="auto"/>
        <w:jc w:val="both"/>
        <w:rPr>
          <w:rFonts w:ascii="Verdana" w:eastAsia="Century Gothic" w:hAnsi="Verdana" w:cs="Century Gothic"/>
          <w:b/>
          <w:color w:val="000000" w:themeColor="text1"/>
          <w:lang w:val="es-ES"/>
        </w:rPr>
      </w:pPr>
      <w:r w:rsidRPr="006A4550">
        <w:rPr>
          <w:rFonts w:ascii="Verdana" w:eastAsia="Century Gothic" w:hAnsi="Verdana" w:cs="Century Gothic"/>
          <w:b/>
          <w:color w:val="000000" w:themeColor="text1"/>
          <w:lang w:val="es-ES"/>
        </w:rPr>
        <w:t>4. Referencias normativas, jurisprudenciales y otras fuentes:</w:t>
      </w:r>
    </w:p>
    <w:p w14:paraId="6DF77499" w14:textId="77777777" w:rsidR="006A4550" w:rsidRPr="00E521A7" w:rsidRDefault="006A4550" w:rsidP="00D93E65">
      <w:pPr>
        <w:spacing w:after="0" w:line="276" w:lineRule="auto"/>
        <w:jc w:val="both"/>
        <w:rPr>
          <w:rFonts w:ascii="Verdana" w:eastAsia="Century Gothic" w:hAnsi="Verdana" w:cs="Century Gothic"/>
          <w:b/>
          <w:color w:val="000000" w:themeColor="tex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C00CC" w:rsidRPr="006A4550" w14:paraId="79B90A92" w14:textId="77777777" w:rsidTr="00EA53B7">
        <w:trPr>
          <w:trHeight w:val="870"/>
        </w:trPr>
        <w:tc>
          <w:tcPr>
            <w:tcW w:w="8647" w:type="dxa"/>
          </w:tcPr>
          <w:p w14:paraId="18F84C81" w14:textId="77777777" w:rsidR="002C00CC" w:rsidRPr="006A4550" w:rsidRDefault="002C00CC" w:rsidP="006A4550">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6A4550">
              <w:rPr>
                <w:rFonts w:ascii="Verdana" w:eastAsia="Arial MT" w:hAnsi="Verdana" w:cs="Arial"/>
                <w:bCs/>
                <w:lang w:eastAsia="es-ES" w:bidi="es-ES"/>
              </w:rPr>
              <w:t>Constitución Política de Colombia. Artículo 127.</w:t>
            </w:r>
          </w:p>
          <w:p w14:paraId="089BBD12" w14:textId="77777777" w:rsidR="002C00CC" w:rsidRPr="006A4550" w:rsidRDefault="002C00CC" w:rsidP="006A4550">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6A4550">
              <w:rPr>
                <w:rFonts w:ascii="Verdana" w:eastAsia="Arial MT" w:hAnsi="Verdana" w:cs="Arial"/>
                <w:bCs/>
                <w:lang w:eastAsia="es-ES" w:bidi="es-ES"/>
              </w:rPr>
              <w:t>Ley 996 de 2005. Artículos 33 y 38.</w:t>
            </w:r>
          </w:p>
          <w:p w14:paraId="59B10499" w14:textId="77777777" w:rsidR="002C00CC" w:rsidRPr="006A4550" w:rsidRDefault="002C00CC" w:rsidP="00E521A7">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6A4550">
              <w:rPr>
                <w:rFonts w:ascii="Verdana" w:eastAsia="Arial MT" w:hAnsi="Verdana" w:cs="Arial"/>
                <w:bCs/>
                <w:lang w:eastAsia="es-ES" w:bidi="es-ES"/>
              </w:rPr>
              <w:t>Ley 1150 de 2007. Artículo 2.</w:t>
            </w:r>
          </w:p>
          <w:p w14:paraId="770A5019" w14:textId="77777777" w:rsidR="002C00CC" w:rsidRPr="006A4550" w:rsidRDefault="002C00CC">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6A4550">
              <w:rPr>
                <w:rFonts w:ascii="Verdana" w:eastAsia="Arial MT" w:hAnsi="Verdana" w:cs="Arial"/>
                <w:bCs/>
                <w:lang w:eastAsia="es-ES" w:bidi="es-ES"/>
              </w:rPr>
              <w:t>Ley 1523 de 2012. Artículos 4, 35 y 66.</w:t>
            </w:r>
          </w:p>
          <w:p w14:paraId="61AFCC36" w14:textId="77777777" w:rsidR="002C00CC" w:rsidRPr="006A4550" w:rsidRDefault="002C00CC">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6A4550">
              <w:rPr>
                <w:rFonts w:ascii="Verdana" w:eastAsia="Arial MT" w:hAnsi="Verdana" w:cs="Arial"/>
                <w:bCs/>
                <w:lang w:eastAsia="es-ES" w:bidi="es-ES"/>
              </w:rPr>
              <w:lastRenderedPageBreak/>
              <w:t>Ley 1575 de 2012. Artículos 1, 2, 3, y 18, 22.</w:t>
            </w:r>
          </w:p>
          <w:p w14:paraId="303A1AA5" w14:textId="77777777" w:rsidR="002C00CC" w:rsidRPr="006A4550" w:rsidRDefault="002C00CC">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6A4550">
              <w:rPr>
                <w:rFonts w:ascii="Verdana" w:eastAsia="Arial MT" w:hAnsi="Verdana" w:cs="Arial"/>
                <w:bCs/>
                <w:lang w:eastAsia="es-ES" w:bidi="es-ES"/>
              </w:rPr>
              <w:t>Corte Constitucional, Sentencia C- 1153 de 2005. M.P. Marco Gerardo Monroy Cabra.</w:t>
            </w:r>
          </w:p>
          <w:p w14:paraId="401CFC6A" w14:textId="77777777" w:rsidR="002C00CC" w:rsidRPr="006A4550" w:rsidRDefault="002C00CC">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6A4550">
              <w:rPr>
                <w:rFonts w:ascii="Verdana" w:eastAsia="Arial MT" w:hAnsi="Verdana" w:cs="Arial"/>
                <w:bCs/>
                <w:lang w:eastAsia="es-ES" w:bidi="es-ES"/>
              </w:rPr>
              <w:t xml:space="preserve">Consejo de Estado, Sala de Consulta y Servicio Civil de fecha 24 de julio de 2013, radicado 2166, Consejero Ponente: Álvaro Namén Vargas.  </w:t>
            </w:r>
          </w:p>
          <w:p w14:paraId="330C4B7F" w14:textId="77777777" w:rsidR="002C00CC" w:rsidRPr="006A4550" w:rsidRDefault="002C00CC" w:rsidP="00D93E65">
            <w:pPr>
              <w:widowControl w:val="0"/>
              <w:numPr>
                <w:ilvl w:val="0"/>
                <w:numId w:val="16"/>
              </w:numPr>
              <w:autoSpaceDE w:val="0"/>
              <w:autoSpaceDN w:val="0"/>
              <w:spacing w:line="276" w:lineRule="auto"/>
              <w:jc w:val="both"/>
              <w:rPr>
                <w:rFonts w:ascii="Verdana" w:eastAsia="Calibri" w:hAnsi="Verdana" w:cs="Arial"/>
                <w:color w:val="ED7D31" w:themeColor="accent2"/>
                <w:lang w:val="es-ES"/>
              </w:rPr>
            </w:pPr>
            <w:r w:rsidRPr="006A4550">
              <w:rPr>
                <w:rFonts w:ascii="Verdana" w:eastAsia="Arial MT" w:hAnsi="Verdana" w:cs="Arial"/>
                <w:bCs/>
                <w:lang w:eastAsia="es-ES" w:bidi="es-ES"/>
              </w:rPr>
              <w:t>Consejo de Estado. Sala de Consulta y Servicio Civil, Concepto de 8 de mayo de 2018. Radicación Número: 11001-03-06-000-2018-00095-00(2382). Consejero Ponente: Álvaro Namén Vargas.</w:t>
            </w:r>
          </w:p>
        </w:tc>
      </w:tr>
    </w:tbl>
    <w:p w14:paraId="4AD76F29" w14:textId="77777777" w:rsidR="002C00CC" w:rsidRPr="006A4550" w:rsidRDefault="002C00CC" w:rsidP="006A4550">
      <w:pPr>
        <w:widowControl w:val="0"/>
        <w:autoSpaceDE w:val="0"/>
        <w:autoSpaceDN w:val="0"/>
        <w:spacing w:after="0" w:line="276" w:lineRule="auto"/>
        <w:jc w:val="both"/>
        <w:rPr>
          <w:rFonts w:ascii="Verdana" w:hAnsi="Verdana" w:cs="Arial"/>
          <w:color w:val="ED7D31" w:themeColor="accent2"/>
          <w:highlight w:val="lightGray"/>
          <w:lang w:val="es-ES"/>
        </w:rPr>
      </w:pPr>
    </w:p>
    <w:p w14:paraId="45D055EE" w14:textId="383722C7" w:rsidR="002C00CC" w:rsidRDefault="002C00CC" w:rsidP="006A4550">
      <w:pPr>
        <w:tabs>
          <w:tab w:val="left" w:pos="142"/>
          <w:tab w:val="left" w:pos="284"/>
        </w:tabs>
        <w:spacing w:after="0" w:line="276" w:lineRule="auto"/>
        <w:jc w:val="both"/>
        <w:rPr>
          <w:rFonts w:ascii="Verdana" w:eastAsia="Century Gothic" w:hAnsi="Verdana" w:cs="Century Gothic"/>
          <w:b/>
          <w:lang w:val="es-ES"/>
        </w:rPr>
      </w:pPr>
      <w:r w:rsidRPr="006A4550">
        <w:rPr>
          <w:rFonts w:ascii="Verdana" w:eastAsia="Century Gothic" w:hAnsi="Verdana" w:cs="Century Gothic"/>
          <w:b/>
          <w:lang w:val="es-ES"/>
        </w:rPr>
        <w:t>5. Doctrina de la Agencia Nacional de Contratación Pública:</w:t>
      </w:r>
    </w:p>
    <w:p w14:paraId="363DFD4B" w14:textId="77777777" w:rsidR="006A4550" w:rsidRPr="006A4550" w:rsidRDefault="006A4550" w:rsidP="006A4550">
      <w:pPr>
        <w:tabs>
          <w:tab w:val="left" w:pos="142"/>
          <w:tab w:val="left" w:pos="284"/>
        </w:tabs>
        <w:spacing w:after="0" w:line="276" w:lineRule="auto"/>
        <w:jc w:val="both"/>
        <w:rPr>
          <w:rFonts w:ascii="Verdana" w:eastAsia="Century Gothic" w:hAnsi="Verdana" w:cs="Century Gothic"/>
          <w:b/>
          <w:lang w:val="es-ES"/>
        </w:rPr>
      </w:pPr>
    </w:p>
    <w:p w14:paraId="647D63B9" w14:textId="77777777" w:rsidR="002C00CC" w:rsidRPr="006A4550" w:rsidRDefault="002C00CC" w:rsidP="00D93E65">
      <w:pPr>
        <w:widowControl w:val="0"/>
        <w:autoSpaceDE w:val="0"/>
        <w:autoSpaceDN w:val="0"/>
        <w:spacing w:after="0" w:line="276" w:lineRule="auto"/>
        <w:jc w:val="both"/>
        <w:rPr>
          <w:rFonts w:ascii="Verdana" w:hAnsi="Verdana" w:cs="Arial"/>
          <w:shd w:val="clear" w:color="auto" w:fill="FFFFFF"/>
        </w:rPr>
      </w:pPr>
      <w:r w:rsidRPr="006A4550">
        <w:rPr>
          <w:rFonts w:ascii="Verdana" w:eastAsia="Calibri" w:hAnsi="Verdana" w:cs="Arial"/>
          <w:lang w:val="es-ES"/>
        </w:rPr>
        <w:t xml:space="preserve">La Agencia Nacional de Contratación Pública – Colombia Compra Eficiente se ha referido </w:t>
      </w:r>
      <w:r w:rsidRPr="00E521A7">
        <w:rPr>
          <w:rFonts w:ascii="Verdana" w:hAnsi="Verdana" w:cs="Arial"/>
          <w:shd w:val="clear" w:color="auto" w:fill="FFFFFF"/>
          <w:lang w:val="es-ES"/>
        </w:rPr>
        <w:t xml:space="preserve">sobre </w:t>
      </w:r>
      <w:r w:rsidRPr="00FB24A9">
        <w:rPr>
          <w:rFonts w:ascii="Verdana" w:hAnsi="Verdana" w:cs="Arial"/>
        </w:rPr>
        <w:t xml:space="preserve">sobre la Ley de Garantías </w:t>
      </w:r>
      <w:r w:rsidRPr="006A4550">
        <w:rPr>
          <w:rFonts w:ascii="Verdana" w:hAnsi="Verdana" w:cs="Arial"/>
        </w:rPr>
        <w:t>Electorales</w:t>
      </w:r>
      <w:r w:rsidRPr="006A4550">
        <w:rPr>
          <w:rFonts w:ascii="Verdana" w:hAnsi="Verdana" w:cs="Arial"/>
          <w:color w:val="ED7D31" w:themeColor="accent2"/>
          <w:shd w:val="clear" w:color="auto" w:fill="FFFFFF"/>
        </w:rPr>
        <w:t xml:space="preserve"> </w:t>
      </w:r>
      <w:r w:rsidRPr="006A4550">
        <w:rPr>
          <w:rFonts w:ascii="Verdana" w:hAnsi="Verdana" w:cs="Arial"/>
        </w:rPr>
        <w:t xml:space="preserve">en los Conceptos C- 022 del 21 de febrero de 2022, C-045 del 3 de marzo de 2022, C-064 del 8 de marzo de 2022, C-072 del 11 de marzo de 2022, C- 097 del 18 de febrero de 2022, C-116 del 18 de febrero de 2022 y C-077 del 17 de marzo de 2022, </w:t>
      </w:r>
      <w:r w:rsidRPr="006A4550">
        <w:rPr>
          <w:rFonts w:ascii="Verdana" w:hAnsi="Verdana" w:cs="Arial"/>
          <w:shd w:val="clear" w:color="auto" w:fill="FFFFFF"/>
        </w:rPr>
        <w:t xml:space="preserve">C-180 del 21 de marzo de 2025, C-317 del 25 de abril de 2025, C-510 del 4 de junio de 2025, </w:t>
      </w:r>
      <w:r w:rsidRPr="006A4550">
        <w:rPr>
          <w:rFonts w:ascii="Verdana" w:hAnsi="Verdana" w:cs="Arial"/>
          <w:shd w:val="clear" w:color="auto" w:fill="FFFFFF"/>
          <w:lang w:val="es-ES"/>
        </w:rPr>
        <w:t xml:space="preserve">646 del 26 de junio de 2025, C-957 del 23 de agosto de 2025, C-975 del 28 de agosto de 2025, C-1015 del 4 de septiembre de 2025, C-1096 del 28 de agosto de 2025, C-1170 del 16 de septiembre de 2025, </w:t>
      </w:r>
      <w:r w:rsidRPr="006A4550">
        <w:rPr>
          <w:rFonts w:ascii="Verdana" w:hAnsi="Verdana" w:cs="Arial"/>
          <w:shd w:val="clear" w:color="auto" w:fill="FFFFFF"/>
        </w:rPr>
        <w:t>C–750 de 17 de julio 2025, C-868 del 12 de agosto de 2025, C-1057 del 5 de septiembre de 2025, C-1195 del 3 de octubre de 2025, C-1350 del 19 de septiembre de 2025, C- 1236 del 27 de octubre de 2025, C-1835 del 21 de enero de 2026 C-021 del 18 de febrero de  2026, entre otros.</w:t>
      </w:r>
    </w:p>
    <w:p w14:paraId="548BCFEB" w14:textId="77777777" w:rsidR="006A4550" w:rsidRDefault="006A4550" w:rsidP="006A4550">
      <w:pPr>
        <w:widowControl w:val="0"/>
        <w:autoSpaceDE w:val="0"/>
        <w:autoSpaceDN w:val="0"/>
        <w:spacing w:after="0" w:line="276" w:lineRule="auto"/>
        <w:jc w:val="both"/>
        <w:rPr>
          <w:rFonts w:ascii="Verdana" w:hAnsi="Verdana" w:cs="Arial"/>
          <w:shd w:val="clear" w:color="auto" w:fill="FFFFFF"/>
          <w:lang w:val="es-ES"/>
        </w:rPr>
      </w:pPr>
    </w:p>
    <w:p w14:paraId="3967AF5C" w14:textId="7B06F256" w:rsidR="002C00CC" w:rsidRDefault="002C00CC" w:rsidP="006A4550">
      <w:pPr>
        <w:widowControl w:val="0"/>
        <w:autoSpaceDE w:val="0"/>
        <w:autoSpaceDN w:val="0"/>
        <w:spacing w:after="0" w:line="276" w:lineRule="auto"/>
        <w:jc w:val="both"/>
        <w:rPr>
          <w:rStyle w:val="Hipervnculo"/>
          <w:rFonts w:ascii="Verdana" w:hAnsi="Verdana" w:cs="Arial"/>
          <w:shd w:val="clear" w:color="auto" w:fill="FFFFFF"/>
          <w:lang w:val="es-ES"/>
        </w:rPr>
      </w:pPr>
      <w:r w:rsidRPr="006A4550">
        <w:rPr>
          <w:rFonts w:ascii="Verdana" w:hAnsi="Verdana" w:cs="Arial"/>
          <w:shd w:val="clear" w:color="auto" w:fill="FFFFFF"/>
          <w:lang w:val="es-ES"/>
        </w:rPr>
        <w:t>Estos</w:t>
      </w:r>
      <w:r w:rsidRPr="006A4550">
        <w:rPr>
          <w:rFonts w:ascii="Verdana" w:hAnsi="Verdana"/>
          <w:lang w:val="es-ES"/>
        </w:rPr>
        <w:t xml:space="preserve"> y otros se encuentran disponibles para consulta en el Sistema de relatoría de la Agencia, al cual se puede acceder a través del siguiente enlace:</w:t>
      </w:r>
      <w:r w:rsidRPr="00E521A7">
        <w:rPr>
          <w:rFonts w:ascii="Verdana" w:hAnsi="Verdana" w:cs="Arial"/>
          <w:shd w:val="clear" w:color="auto" w:fill="FFFFFF"/>
          <w:lang w:val="es-ES"/>
        </w:rPr>
        <w:t xml:space="preserve"> </w:t>
      </w:r>
      <w:hyperlink r:id="rId14" w:history="1">
        <w:r w:rsidRPr="006A4550">
          <w:rPr>
            <w:rStyle w:val="Hipervnculo"/>
            <w:rFonts w:ascii="Verdana" w:hAnsi="Verdana" w:cs="Arial"/>
            <w:shd w:val="clear" w:color="auto" w:fill="FFFFFF"/>
            <w:lang w:val="es-ES"/>
          </w:rPr>
          <w:t>https://relatoria.colombiacompra.gov.co/busqueda/conceptos</w:t>
        </w:r>
      </w:hyperlink>
    </w:p>
    <w:p w14:paraId="1FF7A879" w14:textId="77777777" w:rsidR="006A4550" w:rsidRPr="006A4550" w:rsidRDefault="006A4550" w:rsidP="00D93E65">
      <w:pPr>
        <w:widowControl w:val="0"/>
        <w:autoSpaceDE w:val="0"/>
        <w:autoSpaceDN w:val="0"/>
        <w:spacing w:after="0" w:line="276" w:lineRule="auto"/>
        <w:jc w:val="both"/>
        <w:rPr>
          <w:rFonts w:ascii="Verdana" w:hAnsi="Verdana" w:cs="Arial"/>
          <w:shd w:val="clear" w:color="auto" w:fill="FFFFFF"/>
        </w:rPr>
      </w:pPr>
    </w:p>
    <w:p w14:paraId="59BF3FA0" w14:textId="77777777" w:rsidR="002C00CC" w:rsidRPr="006A4550" w:rsidRDefault="002C00CC" w:rsidP="00D93E65">
      <w:pPr>
        <w:spacing w:after="0" w:line="276" w:lineRule="auto"/>
        <w:jc w:val="both"/>
        <w:rPr>
          <w:rFonts w:ascii="Verdana" w:hAnsi="Verdana"/>
        </w:rPr>
      </w:pPr>
      <w:r w:rsidRPr="006A4550">
        <w:rPr>
          <w:rFonts w:ascii="Verdana" w:hAnsi="Verdana"/>
        </w:rPr>
        <w:t xml:space="preserve">La sostenibilidad no es una opción, es una obligación. Por ello, la Agencia Nacional de Contratación Pública –Colombia Compra Eficiente– te invita a realizar el </w:t>
      </w:r>
      <w:r w:rsidRPr="006A4550">
        <w:rPr>
          <w:rFonts w:ascii="Verdana" w:hAnsi="Verdana"/>
          <w:b/>
          <w:bCs/>
        </w:rPr>
        <w:t>Curso de Contratación Pública Sostenible y Socialmente Responsable</w:t>
      </w:r>
      <w:r w:rsidRPr="006A4550">
        <w:rPr>
          <w:rFonts w:ascii="Verdana" w:hAnsi="Verdana"/>
        </w:rPr>
        <w:t xml:space="preserve">, una herramienta clave para </w:t>
      </w:r>
      <w:r w:rsidRPr="00E521A7">
        <w:rPr>
          <w:rFonts w:ascii="Verdana" w:hAnsi="Verdana"/>
        </w:rPr>
        <w:t xml:space="preserve">fortalecer las capacidades de todos los compradores públicos, proveedores, servidores públicos v para generar mayor valor público. Accede al curso y aprende como implementar criterios </w:t>
      </w:r>
      <w:r w:rsidRPr="00E521A7">
        <w:rPr>
          <w:rFonts w:ascii="Verdana" w:hAnsi="Verdana"/>
        </w:rPr>
        <w:lastRenderedPageBreak/>
        <w:t>sociales y ambientales en las diferentes etapas del proceso de contratación:</w:t>
      </w:r>
      <w:r w:rsidRPr="00E521A7">
        <w:rPr>
          <w:rFonts w:ascii="Verdana" w:hAnsi="Verdana"/>
        </w:rPr>
        <w:br/>
      </w:r>
      <w:hyperlink r:id="rId15" w:tgtFrame="_new" w:history="1">
        <w:r w:rsidRPr="006A4550">
          <w:rPr>
            <w:rStyle w:val="Hipervnculo"/>
            <w:rFonts w:ascii="Verdana" w:hAnsi="Verdana"/>
          </w:rPr>
          <w:t>https://formacionvirtual.colombiacompra.gov.co/mod/page/view.php?id=3718</w:t>
        </w:r>
      </w:hyperlink>
    </w:p>
    <w:p w14:paraId="2767ABC6" w14:textId="77777777" w:rsidR="006A4550" w:rsidRDefault="006A4550" w:rsidP="006A4550">
      <w:pPr>
        <w:spacing w:after="0" w:line="276" w:lineRule="auto"/>
        <w:jc w:val="both"/>
        <w:rPr>
          <w:rFonts w:ascii="Verdana" w:hAnsi="Verdana"/>
        </w:rPr>
      </w:pPr>
    </w:p>
    <w:p w14:paraId="18F8C9D9" w14:textId="12B43BD2" w:rsidR="002C00CC" w:rsidRPr="006A4550" w:rsidRDefault="002C00CC" w:rsidP="00D93E65">
      <w:pPr>
        <w:spacing w:after="0" w:line="276" w:lineRule="auto"/>
        <w:jc w:val="both"/>
        <w:rPr>
          <w:rFonts w:ascii="Verdana" w:hAnsi="Verdana"/>
        </w:rPr>
      </w:pPr>
      <w:r w:rsidRPr="006A4550">
        <w:rPr>
          <w:rFonts w:ascii="Verdana" w:hAnsi="Verdana"/>
        </w:rPr>
        <w:t xml:space="preserve">De otro lado, te contamos que esta Agencia ha da un paso decisivo en la estandarización y modernización del </w:t>
      </w:r>
      <w:r w:rsidRPr="006A4550">
        <w:rPr>
          <w:rFonts w:ascii="Verdana" w:hAnsi="Verdana"/>
          <w:b/>
          <w:bCs/>
        </w:rPr>
        <w:t>sector  social</w:t>
      </w:r>
      <w:r w:rsidRPr="006A4550">
        <w:rPr>
          <w:rFonts w:ascii="Verdana" w:hAnsi="Verdana"/>
        </w:rPr>
        <w:t xml:space="preserve"> con la expedición de las </w:t>
      </w:r>
      <w:r w:rsidRPr="006A4550">
        <w:rPr>
          <w:rFonts w:ascii="Verdana" w:hAnsi="Verdana"/>
          <w:b/>
          <w:bCs/>
        </w:rPr>
        <w:t>Resoluciones 539, 540, 541, 952 y 953 de 2025</w:t>
      </w:r>
      <w:r w:rsidRPr="006A4550">
        <w:rPr>
          <w:rFonts w:ascii="Verdana" w:hAnsi="Verdana"/>
        </w:rPr>
        <w:t xml:space="preserve">, </w:t>
      </w:r>
      <w:r w:rsidRPr="006A4550">
        <w:rPr>
          <w:rFonts w:ascii="Verdana" w:hAnsi="Verdana"/>
          <w:b/>
          <w:bCs/>
        </w:rPr>
        <w:t>mediante las cuales adoptó Documentos Tipo</w:t>
      </w:r>
      <w:r w:rsidRPr="00E521A7">
        <w:rPr>
          <w:rFonts w:ascii="Verdana" w:hAnsi="Verdana"/>
        </w:rPr>
        <w:t xml:space="preserve"> para las modalidad</w:t>
      </w:r>
      <w:r w:rsidRPr="006A4550">
        <w:rPr>
          <w:rFonts w:ascii="Verdana" w:hAnsi="Verdana"/>
        </w:rPr>
        <w:t>es de selección de</w:t>
      </w:r>
      <w:r w:rsidRPr="006A4550">
        <w:rPr>
          <w:rFonts w:ascii="Verdana" w:hAnsi="Verdana"/>
          <w:b/>
          <w:bCs/>
        </w:rPr>
        <w:t xml:space="preserve"> licitación pública (versión 2), selección abreviada de menor cuantía, mínima cuantía, consultoría e interventoría</w:t>
      </w:r>
      <w:r w:rsidRPr="006A4550">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6" w:tgtFrame="_new" w:history="1">
        <w:r w:rsidRPr="006A4550">
          <w:rPr>
            <w:rStyle w:val="Hipervnculo"/>
            <w:rFonts w:ascii="Verdana" w:hAnsi="Verdana"/>
          </w:rPr>
          <w:t>https://www.colombiacompra.gov.co/normativa-y-relatoria/documentos-tipo</w:t>
        </w:r>
      </w:hyperlink>
    </w:p>
    <w:p w14:paraId="581BA9F2" w14:textId="77777777" w:rsidR="006A4550" w:rsidRDefault="006A4550" w:rsidP="006A4550">
      <w:pPr>
        <w:spacing w:after="0" w:line="276" w:lineRule="auto"/>
        <w:jc w:val="both"/>
        <w:rPr>
          <w:rFonts w:ascii="Verdana" w:hAnsi="Verdana"/>
        </w:rPr>
      </w:pPr>
    </w:p>
    <w:p w14:paraId="1B6452D1" w14:textId="4F35A584" w:rsidR="002C00CC" w:rsidRPr="006A4550" w:rsidRDefault="002C00CC" w:rsidP="00D93E65">
      <w:pPr>
        <w:spacing w:after="0" w:line="276" w:lineRule="auto"/>
        <w:jc w:val="both"/>
        <w:rPr>
          <w:rFonts w:ascii="Verdana" w:hAnsi="Verdana"/>
        </w:rPr>
      </w:pPr>
      <w:r w:rsidRPr="006A4550">
        <w:rPr>
          <w:rFonts w:ascii="Verdana" w:hAnsi="Verdana"/>
        </w:rPr>
        <w:t xml:space="preserve">Si quieres conocer más sobre la aplicación de Documentos Tipo puedes consultar la última versión de la </w:t>
      </w:r>
      <w:r w:rsidRPr="006A4550">
        <w:rPr>
          <w:rFonts w:ascii="Verdana" w:hAnsi="Verdana"/>
          <w:b/>
          <w:bCs/>
        </w:rPr>
        <w:t>Guía para la comprensión e implementación de los Documentos Tipo de obra pública de infraestructura de transporte</w:t>
      </w:r>
      <w:r w:rsidRPr="00E521A7">
        <w:rPr>
          <w:rFonts w:ascii="Verdana" w:hAnsi="Verdana"/>
        </w:rPr>
        <w:t xml:space="preserve">. En esta actualización </w:t>
      </w:r>
      <w:r w:rsidRPr="006A4550">
        <w:rPr>
          <w:rFonts w:ascii="Verdana" w:hAnsi="Verdana"/>
        </w:rPr>
        <w:t>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6A4550">
        <w:rPr>
          <w:rFonts w:ascii="Verdana" w:hAnsi="Verdana"/>
        </w:rPr>
        <w:br/>
      </w:r>
      <w:hyperlink r:id="rId17" w:tgtFrame="_new" w:history="1">
        <w:r w:rsidRPr="006A4550">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764D7D79" w14:textId="77777777" w:rsidR="006A4550" w:rsidRDefault="006A4550" w:rsidP="006A4550">
      <w:pPr>
        <w:spacing w:after="0" w:line="276" w:lineRule="auto"/>
        <w:jc w:val="both"/>
        <w:rPr>
          <w:rFonts w:ascii="Verdana" w:hAnsi="Verdana" w:cs="Arial"/>
          <w:shd w:val="clear" w:color="auto" w:fill="FFFFFF"/>
        </w:rPr>
      </w:pPr>
    </w:p>
    <w:p w14:paraId="72C9CC40" w14:textId="38537F75" w:rsidR="002C00CC" w:rsidRPr="006A4550" w:rsidRDefault="002C00CC" w:rsidP="00D93E65">
      <w:pPr>
        <w:spacing w:after="0" w:line="276" w:lineRule="auto"/>
        <w:jc w:val="both"/>
        <w:rPr>
          <w:rFonts w:ascii="Verdana" w:hAnsi="Verdana" w:cs="Arial"/>
          <w:shd w:val="clear" w:color="auto" w:fill="FFFFFF"/>
        </w:rPr>
      </w:pPr>
      <w:r w:rsidRPr="006A4550">
        <w:rPr>
          <w:rFonts w:ascii="Verdana" w:hAnsi="Verdana" w:cs="Arial"/>
          <w:shd w:val="clear" w:color="auto" w:fill="FFFFFF"/>
        </w:rPr>
        <w:t xml:space="preserve">Por último, lo invitamos a seguirnos en las redes sociales en las cuales se difunde información institucional: </w:t>
      </w:r>
    </w:p>
    <w:p w14:paraId="42ADB986" w14:textId="77777777" w:rsidR="002C00CC" w:rsidRPr="006A4550" w:rsidRDefault="002C00CC" w:rsidP="00D93E65">
      <w:pPr>
        <w:spacing w:after="0" w:line="276" w:lineRule="auto"/>
        <w:jc w:val="both"/>
        <w:rPr>
          <w:rFonts w:ascii="Verdana" w:hAnsi="Verdana" w:cs="Arial"/>
          <w:shd w:val="clear" w:color="auto" w:fill="FFFFFF"/>
        </w:rPr>
      </w:pPr>
    </w:p>
    <w:p w14:paraId="1DB31057" w14:textId="77777777" w:rsidR="002C00CC" w:rsidRPr="006A4550" w:rsidRDefault="002C00CC" w:rsidP="00D93E65">
      <w:pPr>
        <w:spacing w:after="0" w:line="276" w:lineRule="auto"/>
        <w:jc w:val="both"/>
        <w:rPr>
          <w:rFonts w:ascii="Verdana" w:hAnsi="Verdana" w:cs="Arial"/>
          <w:shd w:val="clear" w:color="auto" w:fill="FFFFFF"/>
        </w:rPr>
      </w:pPr>
      <w:r w:rsidRPr="00E521A7">
        <w:rPr>
          <w:rFonts w:ascii="Verdana" w:hAnsi="Verdana" w:cs="Arial"/>
          <w:shd w:val="clear" w:color="auto" w:fill="FFFFFF"/>
        </w:rPr>
        <w:t xml:space="preserve">Twitter: </w:t>
      </w:r>
      <w:r w:rsidRPr="006A4550">
        <w:rPr>
          <w:rStyle w:val="Hipervnculo"/>
          <w:rFonts w:ascii="Verdana" w:hAnsi="Verdana"/>
        </w:rPr>
        <w:t>@colombiacompra</w:t>
      </w:r>
      <w:r w:rsidRPr="006A4550">
        <w:rPr>
          <w:rFonts w:ascii="Verdana" w:hAnsi="Verdana" w:cs="Arial"/>
          <w:shd w:val="clear" w:color="auto" w:fill="FFFFFF"/>
        </w:rPr>
        <w:t xml:space="preserve"> </w:t>
      </w:r>
    </w:p>
    <w:p w14:paraId="79869818" w14:textId="77777777" w:rsidR="002C00CC" w:rsidRPr="006A4550" w:rsidRDefault="002C00CC" w:rsidP="00D93E65">
      <w:pPr>
        <w:spacing w:after="0" w:line="276" w:lineRule="auto"/>
        <w:jc w:val="both"/>
        <w:rPr>
          <w:rFonts w:ascii="Verdana" w:hAnsi="Verdana" w:cs="Arial"/>
          <w:shd w:val="clear" w:color="auto" w:fill="FFFFFF"/>
        </w:rPr>
      </w:pPr>
      <w:r w:rsidRPr="006A4550">
        <w:rPr>
          <w:rFonts w:ascii="Verdana" w:hAnsi="Verdana" w:cs="Arial"/>
          <w:shd w:val="clear" w:color="auto" w:fill="FFFFFF"/>
        </w:rPr>
        <w:t>Facebook:</w:t>
      </w:r>
      <w:r w:rsidRPr="006A4550">
        <w:rPr>
          <w:rStyle w:val="Hipervnculo"/>
          <w:rFonts w:ascii="Verdana" w:hAnsi="Verdana"/>
          <w:color w:val="auto"/>
          <w:lang w:val="es-ES"/>
        </w:rPr>
        <w:t xml:space="preserve"> </w:t>
      </w:r>
      <w:r w:rsidRPr="006A4550">
        <w:rPr>
          <w:rStyle w:val="Hipervnculo"/>
          <w:rFonts w:ascii="Verdana" w:hAnsi="Verdana"/>
        </w:rPr>
        <w:t>ColombiaCompraEficiente</w:t>
      </w:r>
    </w:p>
    <w:p w14:paraId="3B85BD4A" w14:textId="77777777" w:rsidR="002C00CC" w:rsidRPr="006A4550" w:rsidRDefault="002C00CC" w:rsidP="00D93E65">
      <w:pPr>
        <w:spacing w:after="0" w:line="276" w:lineRule="auto"/>
        <w:jc w:val="both"/>
        <w:rPr>
          <w:rFonts w:ascii="Verdana" w:hAnsi="Verdana" w:cs="Arial"/>
          <w:shd w:val="clear" w:color="auto" w:fill="FFFFFF"/>
        </w:rPr>
      </w:pPr>
      <w:r w:rsidRPr="006A4550">
        <w:rPr>
          <w:rFonts w:ascii="Verdana" w:hAnsi="Verdana" w:cs="Arial"/>
          <w:shd w:val="clear" w:color="auto" w:fill="FFFFFF"/>
        </w:rPr>
        <w:t xml:space="preserve">LinkedIn: </w:t>
      </w:r>
      <w:r w:rsidRPr="006A4550">
        <w:rPr>
          <w:rStyle w:val="Hipervnculo"/>
          <w:rFonts w:ascii="Verdana" w:hAnsi="Verdana"/>
        </w:rPr>
        <w:t>Agencia Nacional de Contratación Pública - Colombia Compra Eficiente</w:t>
      </w:r>
      <w:r w:rsidRPr="006A4550">
        <w:rPr>
          <w:rFonts w:ascii="Verdana" w:hAnsi="Verdana" w:cs="Arial"/>
          <w:shd w:val="clear" w:color="auto" w:fill="FFFFFF"/>
        </w:rPr>
        <w:t xml:space="preserve"> </w:t>
      </w:r>
    </w:p>
    <w:p w14:paraId="14BBA15E" w14:textId="77777777" w:rsidR="002C00CC" w:rsidRPr="006A4550" w:rsidRDefault="002C00CC" w:rsidP="00D93E65">
      <w:pPr>
        <w:spacing w:after="0" w:line="276" w:lineRule="auto"/>
        <w:jc w:val="both"/>
        <w:rPr>
          <w:rFonts w:ascii="Verdana" w:hAnsi="Verdana" w:cs="Arial"/>
          <w:shd w:val="clear" w:color="auto" w:fill="FFFFFF"/>
        </w:rPr>
      </w:pPr>
      <w:r w:rsidRPr="006A4550">
        <w:rPr>
          <w:rFonts w:ascii="Verdana" w:hAnsi="Verdana" w:cs="Arial"/>
          <w:shd w:val="clear" w:color="auto" w:fill="FFFFFF"/>
        </w:rPr>
        <w:t xml:space="preserve">Instagram: </w:t>
      </w:r>
      <w:r w:rsidRPr="006A4550">
        <w:rPr>
          <w:rStyle w:val="Hipervnculo"/>
          <w:rFonts w:ascii="Verdana" w:hAnsi="Verdana"/>
        </w:rPr>
        <w:t>@colombiacompraeficiente_cce</w:t>
      </w:r>
    </w:p>
    <w:p w14:paraId="7D2A52AF" w14:textId="77777777" w:rsidR="002C00CC" w:rsidRPr="006A4550" w:rsidRDefault="002C00CC" w:rsidP="006A4550">
      <w:pPr>
        <w:widowControl w:val="0"/>
        <w:autoSpaceDE w:val="0"/>
        <w:autoSpaceDN w:val="0"/>
        <w:spacing w:after="0" w:line="276" w:lineRule="auto"/>
        <w:jc w:val="both"/>
        <w:rPr>
          <w:rFonts w:ascii="Verdana" w:hAnsi="Verdana" w:cs="Arial"/>
          <w:lang w:val="es-ES"/>
        </w:rPr>
      </w:pPr>
    </w:p>
    <w:p w14:paraId="5BB304F9" w14:textId="77777777" w:rsidR="002C00CC" w:rsidRPr="006A4550" w:rsidRDefault="002C00CC" w:rsidP="006A4550">
      <w:pPr>
        <w:widowControl w:val="0"/>
        <w:autoSpaceDE w:val="0"/>
        <w:autoSpaceDN w:val="0"/>
        <w:spacing w:after="0" w:line="276" w:lineRule="auto"/>
        <w:jc w:val="both"/>
        <w:rPr>
          <w:rFonts w:ascii="Verdana" w:hAnsi="Verdana" w:cs="Arial"/>
          <w:lang w:val="es-ES"/>
        </w:rPr>
      </w:pPr>
      <w:r w:rsidRPr="006A4550">
        <w:rPr>
          <w:rFonts w:ascii="Verdana" w:hAnsi="Verdana" w:cs="Arial"/>
          <w:lang w:val="es-ES"/>
        </w:rPr>
        <w:lastRenderedPageBreak/>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DD2B8F8" w14:textId="77777777" w:rsidR="002C00CC" w:rsidRPr="006A4550" w:rsidRDefault="002C00CC">
      <w:pPr>
        <w:widowControl w:val="0"/>
        <w:autoSpaceDE w:val="0"/>
        <w:autoSpaceDN w:val="0"/>
        <w:spacing w:after="0" w:line="276" w:lineRule="auto"/>
        <w:jc w:val="both"/>
        <w:rPr>
          <w:rFonts w:ascii="Verdana" w:hAnsi="Verdana" w:cs="Arial"/>
          <w:lang w:val="es-ES"/>
        </w:rPr>
      </w:pPr>
    </w:p>
    <w:p w14:paraId="180EED3E" w14:textId="77777777" w:rsidR="002C00CC" w:rsidRDefault="002C00CC">
      <w:pPr>
        <w:spacing w:after="0" w:line="276" w:lineRule="auto"/>
        <w:rPr>
          <w:rFonts w:ascii="Verdana" w:hAnsi="Verdana" w:cs="Arial"/>
          <w:lang w:val="es-ES" w:eastAsia="es-CO"/>
        </w:rPr>
      </w:pPr>
      <w:r w:rsidRPr="006A4550">
        <w:rPr>
          <w:rFonts w:ascii="Verdana" w:eastAsia="Times New Roman" w:hAnsi="Verdana" w:cs="Arial"/>
          <w:lang w:val="es-ES" w:eastAsia="es-CO"/>
        </w:rPr>
        <w:t>Atentamente,</w:t>
      </w:r>
      <w:r w:rsidRPr="006A4550">
        <w:rPr>
          <w:rFonts w:ascii="Verdana" w:hAnsi="Verdana" w:cs="Arial"/>
          <w:lang w:val="es-ES" w:eastAsia="es-CO"/>
        </w:rPr>
        <w:t xml:space="preserve"> </w:t>
      </w:r>
    </w:p>
    <w:p w14:paraId="1CB0D511" w14:textId="77777777" w:rsidR="00B62222" w:rsidRPr="006A4550" w:rsidRDefault="00B62222">
      <w:pPr>
        <w:spacing w:after="0" w:line="276" w:lineRule="auto"/>
        <w:rPr>
          <w:rFonts w:ascii="Verdana" w:hAnsi="Verdana" w:cs="Arial"/>
          <w:lang w:val="es-ES" w:eastAsia="es-CO"/>
        </w:rPr>
      </w:pPr>
    </w:p>
    <w:p w14:paraId="5DF005F8" w14:textId="0E4CA2A9" w:rsidR="002C00CC" w:rsidRPr="00B62222" w:rsidRDefault="00B62222" w:rsidP="002C00CC">
      <w:pPr>
        <w:spacing w:after="0" w:line="276" w:lineRule="auto"/>
        <w:jc w:val="center"/>
        <w:rPr>
          <w:rFonts w:ascii="Verdana" w:hAnsi="Verdana"/>
          <w:noProof/>
          <w:color w:val="ED7D31" w:themeColor="accent2"/>
        </w:rPr>
      </w:pPr>
      <w:r w:rsidRPr="00B62222">
        <w:rPr>
          <w:rFonts w:ascii="Verdana" w:hAnsi="Verdana"/>
          <w:noProof/>
          <w:color w:val="ED7D31" w:themeColor="accent2"/>
        </w:rPr>
        <w:drawing>
          <wp:inline distT="0" distB="0" distL="0" distR="0" wp14:anchorId="6D2C6891" wp14:editId="4952E933">
            <wp:extent cx="2754412" cy="1105786"/>
            <wp:effectExtent l="0" t="0" r="8255" b="0"/>
            <wp:docPr id="57995998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959980" name=""/>
                    <pic:cNvPicPr/>
                  </pic:nvPicPr>
                  <pic:blipFill>
                    <a:blip r:embed="rId18"/>
                    <a:stretch>
                      <a:fillRect/>
                    </a:stretch>
                  </pic:blipFill>
                  <pic:spPr>
                    <a:xfrm>
                      <a:off x="0" y="0"/>
                      <a:ext cx="2758899" cy="1107587"/>
                    </a:xfrm>
                    <a:prstGeom prst="rect">
                      <a:avLst/>
                    </a:prstGeom>
                  </pic:spPr>
                </pic:pic>
              </a:graphicData>
            </a:graphic>
          </wp:inline>
        </w:drawing>
      </w:r>
    </w:p>
    <w:p w14:paraId="5C21D2C2" w14:textId="77777777" w:rsidR="002C00CC" w:rsidRPr="002E294E" w:rsidRDefault="002C00CC" w:rsidP="002C00CC">
      <w:pPr>
        <w:spacing w:after="0" w:line="276" w:lineRule="auto"/>
        <w:jc w:val="center"/>
        <w:rPr>
          <w:rFonts w:ascii="Verdana" w:hAnsi="Verdana" w:cs="Arial"/>
          <w:color w:val="ED7D31" w:themeColor="accent2"/>
          <w:highlight w:val="lightGray"/>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C00CC" w:rsidRPr="002E294E" w14:paraId="31C6E91F" w14:textId="77777777" w:rsidTr="00EA53B7">
        <w:trPr>
          <w:trHeight w:val="315"/>
        </w:trPr>
        <w:tc>
          <w:tcPr>
            <w:tcW w:w="893" w:type="dxa"/>
            <w:vAlign w:val="center"/>
            <w:hideMark/>
          </w:tcPr>
          <w:p w14:paraId="189F4A40" w14:textId="77777777" w:rsidR="002C00CC" w:rsidRPr="002E294E" w:rsidRDefault="002C00CC" w:rsidP="00EA53B7">
            <w:pPr>
              <w:contextualSpacing/>
              <w:rPr>
                <w:rFonts w:ascii="Verdana" w:hAnsi="Verdana" w:cs="Arial"/>
                <w:sz w:val="16"/>
                <w:szCs w:val="16"/>
                <w:lang w:val="es-ES" w:eastAsia="es-ES"/>
              </w:rPr>
            </w:pPr>
            <w:r w:rsidRPr="002E294E">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1F030B3" w14:textId="77777777" w:rsidR="002C00CC" w:rsidRPr="002E294E" w:rsidRDefault="002C00CC" w:rsidP="00EA53B7">
            <w:pPr>
              <w:rPr>
                <w:rFonts w:ascii="Verdana" w:eastAsia="Times New Roman" w:hAnsi="Verdana" w:cs="Arial"/>
                <w:sz w:val="16"/>
                <w:szCs w:val="16"/>
                <w:lang w:eastAsia="es-ES"/>
              </w:rPr>
            </w:pPr>
            <w:r w:rsidRPr="002E294E">
              <w:rPr>
                <w:rFonts w:ascii="Verdana" w:eastAsia="Times New Roman" w:hAnsi="Verdana" w:cs="Arial"/>
                <w:sz w:val="16"/>
                <w:szCs w:val="16"/>
                <w:lang w:eastAsia="es-ES"/>
              </w:rPr>
              <w:t>Camila Alejandra Naranjo Gómez</w:t>
            </w:r>
          </w:p>
          <w:p w14:paraId="66890663" w14:textId="77777777" w:rsidR="002C00CC" w:rsidRPr="002E294E" w:rsidRDefault="002C00CC" w:rsidP="00EA53B7">
            <w:pPr>
              <w:contextualSpacing/>
              <w:rPr>
                <w:rFonts w:ascii="Verdana" w:eastAsia="Arial" w:hAnsi="Verdana" w:cs="Arial"/>
                <w:sz w:val="16"/>
                <w:szCs w:val="16"/>
                <w:lang w:val="es-ES"/>
              </w:rPr>
            </w:pPr>
            <w:r w:rsidRPr="002E294E">
              <w:rPr>
                <w:rFonts w:ascii="Verdana" w:eastAsia="Times New Roman" w:hAnsi="Verdana" w:cs="Arial"/>
                <w:sz w:val="16"/>
                <w:szCs w:val="16"/>
                <w:lang w:eastAsia="es-ES"/>
              </w:rPr>
              <w:t>Analista T2-02 de la Subdirección de Gestión Contractual</w:t>
            </w:r>
          </w:p>
        </w:tc>
      </w:tr>
      <w:tr w:rsidR="002C00CC" w:rsidRPr="002E294E" w14:paraId="208C4E99" w14:textId="77777777" w:rsidTr="00EA53B7">
        <w:trPr>
          <w:trHeight w:val="330"/>
        </w:trPr>
        <w:tc>
          <w:tcPr>
            <w:tcW w:w="893" w:type="dxa"/>
            <w:vAlign w:val="center"/>
            <w:hideMark/>
          </w:tcPr>
          <w:p w14:paraId="36EA05FB" w14:textId="77777777" w:rsidR="002C00CC" w:rsidRPr="002E294E" w:rsidRDefault="002C00CC" w:rsidP="00EA53B7">
            <w:pPr>
              <w:contextualSpacing/>
              <w:rPr>
                <w:rFonts w:ascii="Verdana" w:hAnsi="Verdana" w:cs="Arial"/>
                <w:sz w:val="16"/>
                <w:szCs w:val="16"/>
                <w:lang w:val="es-ES" w:eastAsia="es-ES"/>
              </w:rPr>
            </w:pPr>
            <w:r w:rsidRPr="002E294E">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AF43F1B" w14:textId="77777777" w:rsidR="002C00CC" w:rsidRPr="002E294E" w:rsidRDefault="002C00CC" w:rsidP="00EA53B7">
            <w:pPr>
              <w:rPr>
                <w:rFonts w:ascii="Verdana" w:eastAsia="Times New Roman" w:hAnsi="Verdana" w:cs="Arial"/>
                <w:sz w:val="16"/>
                <w:szCs w:val="16"/>
                <w:lang w:eastAsia="es-ES"/>
              </w:rPr>
            </w:pPr>
            <w:r w:rsidRPr="002E294E">
              <w:rPr>
                <w:rFonts w:ascii="Verdana" w:eastAsia="Times New Roman" w:hAnsi="Verdana" w:cs="Arial"/>
                <w:sz w:val="16"/>
                <w:szCs w:val="16"/>
                <w:lang w:eastAsia="es-ES"/>
              </w:rPr>
              <w:t>Diana Lucia Saavedra Castañeda</w:t>
            </w:r>
          </w:p>
          <w:p w14:paraId="1725CF3E" w14:textId="77777777" w:rsidR="002C00CC" w:rsidRPr="002E294E" w:rsidRDefault="002C00CC" w:rsidP="00EA53B7">
            <w:pPr>
              <w:pStyle w:val="paragraph"/>
              <w:spacing w:before="0" w:beforeAutospacing="0" w:after="0" w:afterAutospacing="0"/>
              <w:contextualSpacing/>
              <w:textAlignment w:val="baseline"/>
              <w:rPr>
                <w:rFonts w:ascii="Verdana" w:hAnsi="Verdana" w:cs="Segoe UI"/>
                <w:sz w:val="16"/>
                <w:szCs w:val="16"/>
                <w:lang w:val="es-ES"/>
              </w:rPr>
            </w:pPr>
            <w:r w:rsidRPr="002E294E">
              <w:rPr>
                <w:rFonts w:ascii="Verdana" w:hAnsi="Verdana" w:cs="Arial"/>
                <w:sz w:val="16"/>
                <w:szCs w:val="16"/>
                <w:lang w:eastAsia="es-ES"/>
              </w:rPr>
              <w:t>Contratista de la Subdirección de Gestión Contractual</w:t>
            </w:r>
          </w:p>
        </w:tc>
      </w:tr>
      <w:tr w:rsidR="002C00CC" w:rsidRPr="002E294E" w14:paraId="74AB9E73" w14:textId="77777777" w:rsidTr="00EA53B7">
        <w:trPr>
          <w:trHeight w:val="300"/>
        </w:trPr>
        <w:tc>
          <w:tcPr>
            <w:tcW w:w="893" w:type="dxa"/>
            <w:vAlign w:val="center"/>
          </w:tcPr>
          <w:p w14:paraId="41B00B97" w14:textId="77777777" w:rsidR="002C00CC" w:rsidRPr="002E294E" w:rsidRDefault="002C00CC" w:rsidP="00EA53B7">
            <w:pPr>
              <w:contextualSpacing/>
              <w:rPr>
                <w:rFonts w:ascii="Verdana" w:hAnsi="Verdana" w:cs="Arial"/>
                <w:sz w:val="16"/>
                <w:szCs w:val="16"/>
                <w:lang w:val="es-ES" w:eastAsia="es-ES"/>
              </w:rPr>
            </w:pPr>
            <w:r w:rsidRPr="002E294E">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9B968B0" w14:textId="77777777" w:rsidR="002C00CC" w:rsidRPr="002E294E" w:rsidRDefault="002C00CC" w:rsidP="00EA53B7">
            <w:pPr>
              <w:contextualSpacing/>
              <w:rPr>
                <w:rFonts w:ascii="Verdana" w:eastAsia="Calibri" w:hAnsi="Verdana" w:cs="Arial"/>
                <w:sz w:val="16"/>
                <w:szCs w:val="16"/>
                <w:lang w:val="es-ES" w:eastAsia="es-ES"/>
              </w:rPr>
            </w:pPr>
            <w:r w:rsidRPr="002E294E">
              <w:rPr>
                <w:rFonts w:ascii="Verdana" w:eastAsia="Calibri" w:hAnsi="Verdana" w:cs="Arial"/>
                <w:sz w:val="16"/>
                <w:szCs w:val="16"/>
                <w:lang w:val="es-ES" w:eastAsia="es-ES"/>
              </w:rPr>
              <w:t>Carolina Quintero Gacharná</w:t>
            </w:r>
          </w:p>
          <w:p w14:paraId="78F1F0B1" w14:textId="77777777" w:rsidR="002C00CC" w:rsidRPr="002E294E" w:rsidRDefault="002C00CC" w:rsidP="00EA53B7">
            <w:pPr>
              <w:contextualSpacing/>
              <w:rPr>
                <w:rFonts w:ascii="Verdana" w:eastAsia="Calibri" w:hAnsi="Verdana" w:cs="Arial"/>
                <w:sz w:val="16"/>
                <w:szCs w:val="16"/>
                <w:lang w:val="es-ES" w:eastAsia="es-ES"/>
              </w:rPr>
            </w:pPr>
            <w:r w:rsidRPr="002E294E">
              <w:rPr>
                <w:rFonts w:ascii="Verdana" w:eastAsia="Calibri" w:hAnsi="Verdana" w:cs="Arial"/>
                <w:sz w:val="16"/>
                <w:szCs w:val="16"/>
                <w:lang w:val="es-ES" w:eastAsia="es-ES"/>
              </w:rPr>
              <w:t>Subdirectora de Gestión Contractual ANCP – CCE</w:t>
            </w:r>
          </w:p>
        </w:tc>
      </w:tr>
      <w:bookmarkEnd w:id="0"/>
    </w:tbl>
    <w:p w14:paraId="76EA8E32" w14:textId="77777777" w:rsidR="002C00CC" w:rsidRPr="002E294E" w:rsidRDefault="002C00CC" w:rsidP="002C00CC">
      <w:pPr>
        <w:spacing w:after="120" w:line="276" w:lineRule="auto"/>
        <w:jc w:val="both"/>
        <w:rPr>
          <w:rFonts w:ascii="Verdana" w:eastAsia="Century Gothic" w:hAnsi="Verdana" w:cs="Century Gothic"/>
          <w:b/>
          <w:color w:val="ED7D31" w:themeColor="accent2"/>
          <w:lang w:val="es-ES"/>
        </w:rPr>
      </w:pPr>
    </w:p>
    <w:p w14:paraId="0F293BF4" w14:textId="12254C11" w:rsidR="00127233" w:rsidRPr="002E294E" w:rsidRDefault="00127233" w:rsidP="002E294E">
      <w:pPr>
        <w:spacing w:after="120" w:line="276" w:lineRule="auto"/>
        <w:jc w:val="both"/>
        <w:rPr>
          <w:rFonts w:ascii="Verdana" w:eastAsia="Century Gothic" w:hAnsi="Verdana" w:cs="Century Gothic"/>
          <w:b/>
          <w:color w:val="ED7D31" w:themeColor="accent2"/>
          <w:lang w:val="es-ES"/>
        </w:rPr>
      </w:pPr>
    </w:p>
    <w:sectPr w:rsidR="00127233" w:rsidRPr="002E294E"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7D9A6B" w14:textId="77777777" w:rsidR="002534EF" w:rsidRDefault="002534EF" w:rsidP="004A1847">
      <w:pPr>
        <w:spacing w:after="0" w:line="240" w:lineRule="auto"/>
      </w:pPr>
      <w:r>
        <w:separator/>
      </w:r>
    </w:p>
  </w:endnote>
  <w:endnote w:type="continuationSeparator" w:id="0">
    <w:p w14:paraId="155A349F" w14:textId="77777777" w:rsidR="002534EF" w:rsidRDefault="002534E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812A9B" w14:textId="77777777" w:rsidR="002534EF" w:rsidRDefault="002534EF" w:rsidP="004A1847">
      <w:pPr>
        <w:spacing w:after="0" w:line="240" w:lineRule="auto"/>
      </w:pPr>
      <w:r>
        <w:separator/>
      </w:r>
    </w:p>
  </w:footnote>
  <w:footnote w:type="continuationSeparator" w:id="0">
    <w:p w14:paraId="5F1E189C" w14:textId="77777777" w:rsidR="002534EF" w:rsidRDefault="002534EF" w:rsidP="004A1847">
      <w:pPr>
        <w:spacing w:after="0" w:line="240" w:lineRule="auto"/>
      </w:pPr>
      <w:r>
        <w:continuationSeparator/>
      </w:r>
    </w:p>
  </w:footnote>
  <w:footnote w:id="1">
    <w:p w14:paraId="55ED8F30" w14:textId="77777777" w:rsidR="002C00CC" w:rsidRPr="00D93E65" w:rsidRDefault="002C00CC" w:rsidP="005B3558">
      <w:pPr>
        <w:pStyle w:val="Textonotapie"/>
        <w:ind w:firstLine="709"/>
        <w:jc w:val="both"/>
        <w:rPr>
          <w:rFonts w:ascii="Verdana" w:hAnsi="Verdana" w:cs="Arial"/>
          <w:sz w:val="14"/>
          <w:szCs w:val="14"/>
        </w:rPr>
      </w:pPr>
      <w:r w:rsidRPr="00D93E65">
        <w:rPr>
          <w:rStyle w:val="Refdenotaalpie"/>
          <w:rFonts w:ascii="Verdana" w:hAnsi="Verdana" w:cs="Arial"/>
          <w:sz w:val="14"/>
          <w:szCs w:val="14"/>
        </w:rPr>
        <w:footnoteRef/>
      </w:r>
      <w:r w:rsidRPr="00D93E65">
        <w:rPr>
          <w:rFonts w:ascii="Verdana" w:hAnsi="Verdana" w:cs="Arial"/>
          <w:sz w:val="14"/>
          <w:szCs w:val="14"/>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159AFB95" w14:textId="77777777" w:rsidR="002C00CC" w:rsidRPr="00D93E65" w:rsidRDefault="002C00CC" w:rsidP="00E521A7">
      <w:pPr>
        <w:pStyle w:val="Textonotapie"/>
        <w:ind w:firstLine="709"/>
        <w:jc w:val="both"/>
        <w:rPr>
          <w:rFonts w:ascii="Verdana" w:hAnsi="Verdana" w:cs="Arial"/>
          <w:sz w:val="14"/>
          <w:szCs w:val="14"/>
        </w:rPr>
      </w:pPr>
      <w:r w:rsidRPr="00D93E65">
        <w:rPr>
          <w:rFonts w:ascii="Verdana" w:hAnsi="Verdana" w:cs="Arial"/>
          <w:sz w:val="14"/>
          <w:szCs w:val="14"/>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75B2401E" w14:textId="77777777" w:rsidR="002C00CC" w:rsidRPr="00D93E65" w:rsidRDefault="002C00CC">
      <w:pPr>
        <w:pStyle w:val="Textonotapie"/>
        <w:ind w:firstLine="709"/>
        <w:jc w:val="both"/>
        <w:rPr>
          <w:rFonts w:ascii="Verdana" w:hAnsi="Verdana" w:cs="Arial"/>
          <w:sz w:val="14"/>
          <w:szCs w:val="14"/>
        </w:rPr>
      </w:pPr>
      <w:r w:rsidRPr="00D93E65">
        <w:rPr>
          <w:rStyle w:val="Refdenotaalpie"/>
          <w:rFonts w:ascii="Verdana" w:hAnsi="Verdana" w:cs="Arial"/>
          <w:sz w:val="14"/>
          <w:szCs w:val="14"/>
        </w:rPr>
        <w:footnoteRef/>
      </w:r>
      <w:r w:rsidRPr="00D93E65">
        <w:rPr>
          <w:rFonts w:ascii="Verdana" w:hAnsi="Verdana" w:cs="Arial"/>
          <w:sz w:val="14"/>
          <w:szCs w:val="14"/>
        </w:rPr>
        <w:t xml:space="preserve"> Gaceta del Congreso de la República No. 71 del 2005.</w:t>
      </w:r>
    </w:p>
  </w:footnote>
  <w:footnote w:id="3">
    <w:p w14:paraId="5252B98E" w14:textId="77777777" w:rsidR="002C00CC" w:rsidRPr="00D93E65" w:rsidRDefault="002C00CC">
      <w:pPr>
        <w:pStyle w:val="Textonotapie"/>
        <w:ind w:firstLine="709"/>
        <w:jc w:val="both"/>
        <w:rPr>
          <w:rFonts w:ascii="Verdana" w:hAnsi="Verdana" w:cs="Arial"/>
          <w:sz w:val="14"/>
          <w:szCs w:val="14"/>
        </w:rPr>
      </w:pPr>
      <w:r w:rsidRPr="00D93E65">
        <w:rPr>
          <w:rStyle w:val="Refdenotaalpie"/>
          <w:rFonts w:ascii="Verdana" w:hAnsi="Verdana" w:cs="Arial"/>
          <w:sz w:val="14"/>
          <w:szCs w:val="14"/>
        </w:rPr>
        <w:footnoteRef/>
      </w:r>
      <w:r w:rsidRPr="00D93E65">
        <w:rPr>
          <w:rFonts w:ascii="Verdana" w:hAnsi="Verdana" w:cs="Arial"/>
          <w:sz w:val="14"/>
          <w:szCs w:val="14"/>
        </w:rPr>
        <w:t xml:space="preserve"> Corte Constitucional, Sentencia C- 1153 de 2005, M.P. Marco Gerardo Monroy Cabra.</w:t>
      </w:r>
    </w:p>
  </w:footnote>
  <w:footnote w:id="4">
    <w:p w14:paraId="4AA563C3" w14:textId="77777777" w:rsidR="002C00CC" w:rsidRPr="00D93E65" w:rsidRDefault="002C00CC">
      <w:pPr>
        <w:pStyle w:val="Textonotapie"/>
        <w:ind w:firstLine="709"/>
        <w:jc w:val="both"/>
        <w:rPr>
          <w:rFonts w:ascii="Verdana" w:hAnsi="Verdana" w:cs="Arial"/>
          <w:sz w:val="14"/>
          <w:szCs w:val="14"/>
        </w:rPr>
      </w:pPr>
      <w:r w:rsidRPr="00D93E65">
        <w:rPr>
          <w:rStyle w:val="Refdenotaalpie"/>
          <w:rFonts w:ascii="Verdana" w:hAnsi="Verdana" w:cs="Arial"/>
          <w:sz w:val="14"/>
          <w:szCs w:val="14"/>
        </w:rPr>
        <w:footnoteRef/>
      </w:r>
      <w:r w:rsidRPr="00D93E65">
        <w:rPr>
          <w:rFonts w:ascii="Verdana" w:hAnsi="Verdana" w:cs="Arial"/>
          <w:sz w:val="14"/>
          <w:szCs w:val="14"/>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45F10E40" w14:textId="77777777" w:rsidR="002C00CC" w:rsidRPr="00D93E65" w:rsidRDefault="002C00CC">
      <w:pPr>
        <w:pStyle w:val="Textonotapie"/>
        <w:ind w:firstLine="708"/>
        <w:jc w:val="both"/>
        <w:rPr>
          <w:rFonts w:ascii="Verdana" w:hAnsi="Verdana" w:cs="Arial"/>
          <w:sz w:val="14"/>
          <w:szCs w:val="14"/>
          <w:lang w:val="es-CO"/>
        </w:rPr>
      </w:pPr>
      <w:r w:rsidRPr="00D93E65">
        <w:rPr>
          <w:rStyle w:val="Refdenotaalpie"/>
          <w:rFonts w:ascii="Verdana" w:hAnsi="Verdana" w:cs="Arial"/>
          <w:sz w:val="14"/>
          <w:szCs w:val="14"/>
        </w:rPr>
        <w:footnoteRef/>
      </w:r>
      <w:r w:rsidRPr="00D93E65">
        <w:rPr>
          <w:rFonts w:ascii="Verdana" w:hAnsi="Verdana" w:cs="Arial"/>
          <w:sz w:val="14"/>
          <w:szCs w:val="14"/>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4BBC81FE" w14:textId="77777777" w:rsidR="002C00CC" w:rsidRPr="00D93E65" w:rsidRDefault="002C00CC">
      <w:pPr>
        <w:pStyle w:val="Textonotapie"/>
        <w:ind w:firstLine="709"/>
        <w:jc w:val="both"/>
        <w:rPr>
          <w:rFonts w:ascii="Verdana" w:hAnsi="Verdana" w:cs="Arial"/>
          <w:sz w:val="14"/>
          <w:szCs w:val="14"/>
        </w:rPr>
      </w:pPr>
      <w:r w:rsidRPr="00D93E65">
        <w:rPr>
          <w:rStyle w:val="Refdenotaalpie"/>
          <w:rFonts w:ascii="Verdana" w:hAnsi="Verdana" w:cs="Arial"/>
          <w:sz w:val="14"/>
          <w:szCs w:val="14"/>
        </w:rPr>
        <w:footnoteRef/>
      </w:r>
      <w:r w:rsidRPr="00D93E65">
        <w:rPr>
          <w:rFonts w:ascii="Verdana" w:hAnsi="Verdana" w:cs="Arial"/>
          <w:sz w:val="14"/>
          <w:szCs w:val="14"/>
        </w:rPr>
        <w:t xml:space="preserve"> Consejo de Estado, Sala de Consulta y Servicio Civil de fecha 24 de julio de 2013, radicado 2166, Consejero Ponente: Álvaro Namén Vargas.  </w:t>
      </w:r>
    </w:p>
  </w:footnote>
  <w:footnote w:id="7">
    <w:p w14:paraId="19D3D7D3" w14:textId="77777777" w:rsidR="002C00CC" w:rsidRPr="00D93E65" w:rsidRDefault="002C00CC">
      <w:pPr>
        <w:spacing w:after="0" w:line="240" w:lineRule="auto"/>
        <w:ind w:firstLine="709"/>
        <w:jc w:val="both"/>
        <w:rPr>
          <w:rFonts w:ascii="Verdana" w:hAnsi="Verdana" w:cs="Arial"/>
          <w:sz w:val="14"/>
          <w:szCs w:val="14"/>
        </w:rPr>
      </w:pPr>
      <w:r w:rsidRPr="00D93E65">
        <w:rPr>
          <w:rStyle w:val="Refdenotaalpie"/>
          <w:rFonts w:ascii="Verdana" w:hAnsi="Verdana" w:cs="Arial"/>
          <w:sz w:val="14"/>
          <w:szCs w:val="14"/>
        </w:rPr>
        <w:footnoteRef/>
      </w:r>
      <w:r w:rsidRPr="00D93E65">
        <w:rPr>
          <w:rFonts w:ascii="Verdana" w:hAnsi="Verdana" w:cs="Arial"/>
          <w:sz w:val="14"/>
          <w:szCs w:val="14"/>
        </w:rPr>
        <w:t xml:space="preserve"> </w:t>
      </w:r>
      <w:r w:rsidRPr="00D93E65">
        <w:rPr>
          <w:rFonts w:ascii="Verdana" w:hAnsi="Verdana" w:cs="Arial"/>
          <w:bCs/>
          <w:color w:val="000000"/>
          <w:sz w:val="14"/>
          <w:szCs w:val="14"/>
        </w:rPr>
        <w:t>“</w:t>
      </w:r>
      <w:r w:rsidRPr="00D93E65">
        <w:rPr>
          <w:rFonts w:ascii="Verdana" w:hAnsi="Verdana" w:cs="Arial"/>
          <w:sz w:val="14"/>
          <w:szCs w:val="14"/>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26158943" w14:textId="1F3744BE" w:rsidR="002C00CC" w:rsidRPr="00D93E65" w:rsidRDefault="002C00CC">
      <w:pPr>
        <w:spacing w:after="0" w:line="240" w:lineRule="auto"/>
        <w:ind w:firstLine="709"/>
        <w:jc w:val="both"/>
        <w:rPr>
          <w:rFonts w:ascii="Verdana" w:hAnsi="Verdana" w:cs="Arial"/>
          <w:sz w:val="14"/>
          <w:szCs w:val="14"/>
        </w:rPr>
      </w:pPr>
      <w:r w:rsidRPr="00D93E65">
        <w:rPr>
          <w:rFonts w:ascii="Verdana" w:hAnsi="Verdana" w:cs="Arial"/>
          <w:sz w:val="14"/>
          <w:szCs w:val="14"/>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D93E65">
        <w:rPr>
          <w:rFonts w:ascii="Verdana" w:hAnsi="Verdana" w:cs="Arial"/>
          <w:bCs/>
          <w:color w:val="000000"/>
          <w:sz w:val="14"/>
          <w:szCs w:val="14"/>
        </w:rPr>
        <w:t>”</w:t>
      </w:r>
      <w:r w:rsidRPr="00D93E65">
        <w:rPr>
          <w:rFonts w:ascii="Verdana" w:hAnsi="Verdana" w:cs="Arial"/>
          <w:sz w:val="14"/>
          <w:szCs w:val="14"/>
        </w:rPr>
        <w:t>.</w:t>
      </w:r>
    </w:p>
  </w:footnote>
  <w:footnote w:id="8">
    <w:p w14:paraId="233FA463" w14:textId="77777777" w:rsidR="002C00CC" w:rsidRPr="00D93E65" w:rsidRDefault="002C00CC" w:rsidP="005B3558">
      <w:pPr>
        <w:pStyle w:val="NormalWeb"/>
        <w:spacing w:before="0" w:beforeAutospacing="0" w:after="0" w:afterAutospacing="0"/>
        <w:ind w:firstLine="709"/>
        <w:jc w:val="both"/>
        <w:rPr>
          <w:rFonts w:ascii="Verdana" w:hAnsi="Verdana" w:cs="Arial"/>
          <w:sz w:val="14"/>
          <w:szCs w:val="14"/>
          <w:lang w:val="es-MX"/>
        </w:rPr>
      </w:pPr>
      <w:r w:rsidRPr="00D93E65">
        <w:rPr>
          <w:rStyle w:val="Refdenotaalpie"/>
          <w:rFonts w:ascii="Verdana" w:hAnsi="Verdana" w:cs="Arial"/>
          <w:sz w:val="14"/>
          <w:szCs w:val="14"/>
        </w:rPr>
        <w:footnoteRef/>
      </w:r>
      <w:r w:rsidRPr="00D93E65">
        <w:rPr>
          <w:rFonts w:ascii="Verdana" w:hAnsi="Verdana" w:cs="Arial"/>
          <w:sz w:val="14"/>
          <w:szCs w:val="14"/>
        </w:rPr>
        <w:t xml:space="preserve"> </w:t>
      </w:r>
      <w:bookmarkStart w:id="5" w:name="38"/>
      <w:r w:rsidRPr="00D93E65">
        <w:rPr>
          <w:rFonts w:ascii="Verdana" w:hAnsi="Verdana" w:cs="Arial"/>
          <w:sz w:val="14"/>
          <w:szCs w:val="14"/>
        </w:rPr>
        <w:t>“</w:t>
      </w:r>
      <w:r w:rsidRPr="00D93E65">
        <w:rPr>
          <w:rFonts w:ascii="Verdana" w:hAnsi="Verdana" w:cs="Arial"/>
          <w:sz w:val="14"/>
          <w:szCs w:val="14"/>
          <w:lang w:val="es-MX"/>
        </w:rPr>
        <w:t>Artículo 38. Prohibiciones para los servidores públicos. A los empleados del Estado les está prohibido:</w:t>
      </w:r>
      <w:bookmarkEnd w:id="5"/>
      <w:r w:rsidRPr="00D93E65">
        <w:rPr>
          <w:rFonts w:ascii="Verdana" w:hAnsi="Verdana" w:cs="Arial"/>
          <w:sz w:val="14"/>
          <w:szCs w:val="14"/>
          <w:lang w:val="es-MX"/>
        </w:rPr>
        <w:t xml:space="preserve"> […] </w:t>
      </w:r>
      <w:r w:rsidRPr="00D93E65">
        <w:rPr>
          <w:rStyle w:val="baj"/>
          <w:rFonts w:ascii="Verdana" w:hAnsi="Verdana" w:cs="Arial"/>
          <w:sz w:val="14"/>
          <w:szCs w:val="14"/>
          <w:lang w:val="es-MX"/>
        </w:rPr>
        <w:t>Parágrafo.</w:t>
      </w:r>
      <w:r w:rsidRPr="00D93E65">
        <w:rPr>
          <w:rFonts w:ascii="Verdana" w:hAnsi="Verdana" w:cs="Arial"/>
          <w:sz w:val="14"/>
          <w:szCs w:val="14"/>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D93E65">
        <w:rPr>
          <w:rFonts w:ascii="Verdana" w:eastAsia="Calibri" w:hAnsi="Verdana" w:cs="Arial"/>
          <w:bCs/>
          <w:color w:val="000000"/>
          <w:sz w:val="14"/>
          <w:szCs w:val="14"/>
        </w:rPr>
        <w:t>”</w:t>
      </w:r>
      <w:r w:rsidRPr="00D93E65">
        <w:rPr>
          <w:rFonts w:ascii="Verdana" w:hAnsi="Verdana" w:cs="Arial"/>
          <w:sz w:val="14"/>
          <w:szCs w:val="14"/>
          <w:lang w:val="es-MX"/>
        </w:rPr>
        <w:t>.</w:t>
      </w:r>
    </w:p>
  </w:footnote>
  <w:footnote w:id="9">
    <w:p w14:paraId="106EDEFE" w14:textId="2940B551" w:rsidR="002C00CC" w:rsidRPr="00D93E65" w:rsidRDefault="002C00CC" w:rsidP="005F3D28">
      <w:pPr>
        <w:spacing w:after="0" w:line="240" w:lineRule="auto"/>
        <w:ind w:firstLine="709"/>
        <w:jc w:val="both"/>
        <w:rPr>
          <w:rFonts w:ascii="Verdana" w:hAnsi="Verdana" w:cs="Arial"/>
          <w:sz w:val="14"/>
          <w:szCs w:val="14"/>
          <w:lang w:val="es-ES"/>
        </w:rPr>
      </w:pPr>
      <w:r w:rsidRPr="00D93E65">
        <w:rPr>
          <w:rStyle w:val="Refdenotaalpie"/>
          <w:rFonts w:ascii="Verdana" w:hAnsi="Verdana" w:cs="Arial"/>
          <w:sz w:val="14"/>
          <w:szCs w:val="14"/>
        </w:rPr>
        <w:footnoteRef/>
      </w:r>
      <w:r w:rsidRPr="00D93E65">
        <w:rPr>
          <w:rFonts w:ascii="Verdana" w:hAnsi="Verdana" w:cs="Arial"/>
          <w:sz w:val="14"/>
          <w:szCs w:val="14"/>
        </w:rPr>
        <w:t xml:space="preserve"> Consejo de Estado. Sala de Consulta y Servicio Civil. Concepto del 17 de febrero de 2015. C.P. William Zambrano Cetina. Radicación No. 11001-03-06-000-2015-00164-00(2269).</w:t>
      </w:r>
    </w:p>
  </w:footnote>
  <w:footnote w:id="10">
    <w:p w14:paraId="086D6C86" w14:textId="77777777" w:rsidR="002C00CC" w:rsidRPr="00D93E65" w:rsidRDefault="002C00CC" w:rsidP="005F3D28">
      <w:pPr>
        <w:pStyle w:val="Textonotapie"/>
        <w:ind w:firstLine="709"/>
        <w:jc w:val="both"/>
        <w:rPr>
          <w:rFonts w:ascii="Verdana" w:hAnsi="Verdana" w:cs="Arial"/>
          <w:sz w:val="14"/>
          <w:szCs w:val="14"/>
        </w:rPr>
      </w:pPr>
      <w:r w:rsidRPr="00D93E65">
        <w:rPr>
          <w:rStyle w:val="Refdenotaalpie"/>
          <w:rFonts w:ascii="Verdana" w:hAnsi="Verdana" w:cs="Arial"/>
          <w:sz w:val="14"/>
          <w:szCs w:val="14"/>
        </w:rPr>
        <w:footnoteRef/>
      </w:r>
      <w:r w:rsidRPr="00D93E65">
        <w:rPr>
          <w:rFonts w:ascii="Verdana" w:hAnsi="Verdana" w:cs="Arial"/>
          <w:sz w:val="14"/>
          <w:szCs w:val="14"/>
        </w:rPr>
        <w:t xml:space="preserve"> Consejo de Estado. Sección Tercera. Sentencia de 3 de diciembre de 2007. Radicados: 24.715, 25.206, 25.409, 24.524, 27.834, 25.410, 26.105, 28.244, 31.447 -acumulados- “.</w:t>
      </w:r>
    </w:p>
  </w:footnote>
  <w:footnote w:id="11">
    <w:p w14:paraId="68E917A2" w14:textId="77777777" w:rsidR="002C00CC" w:rsidRPr="00D93E65" w:rsidRDefault="002C00CC" w:rsidP="005F3D28">
      <w:pPr>
        <w:pStyle w:val="Textonotapie"/>
        <w:ind w:firstLine="709"/>
        <w:jc w:val="both"/>
        <w:rPr>
          <w:rFonts w:ascii="Verdana" w:hAnsi="Verdana" w:cs="Arial"/>
          <w:sz w:val="14"/>
          <w:szCs w:val="14"/>
        </w:rPr>
      </w:pPr>
      <w:r w:rsidRPr="00D93E65">
        <w:rPr>
          <w:rStyle w:val="Refdenotaalpie"/>
          <w:rFonts w:ascii="Verdana" w:hAnsi="Verdana" w:cs="Arial"/>
          <w:sz w:val="14"/>
          <w:szCs w:val="14"/>
        </w:rPr>
        <w:footnoteRef/>
      </w:r>
      <w:r w:rsidRPr="00D93E65">
        <w:rPr>
          <w:rFonts w:ascii="Verdana" w:hAnsi="Verdana" w:cs="Arial"/>
          <w:sz w:val="14"/>
          <w:szCs w:val="14"/>
        </w:rPr>
        <w:t xml:space="preserve"> “Al respecto ver el concepto 1712 de 2 de febrero de 2006. Consejo de Estado Sala de Consulta y Servicio Civil”.</w:t>
      </w:r>
    </w:p>
  </w:footnote>
  <w:footnote w:id="12">
    <w:p w14:paraId="513CA294" w14:textId="77777777" w:rsidR="002C00CC" w:rsidRPr="00D93E65" w:rsidRDefault="002C00CC" w:rsidP="00E521A7">
      <w:pPr>
        <w:pStyle w:val="Textonotapie"/>
        <w:ind w:firstLine="709"/>
        <w:jc w:val="both"/>
        <w:rPr>
          <w:rFonts w:ascii="Verdana" w:hAnsi="Verdana" w:cs="Arial"/>
          <w:sz w:val="14"/>
          <w:szCs w:val="14"/>
        </w:rPr>
      </w:pPr>
      <w:r w:rsidRPr="00D93E65">
        <w:rPr>
          <w:rStyle w:val="Refdenotaalpie"/>
          <w:rFonts w:ascii="Verdana" w:hAnsi="Verdana" w:cs="Arial"/>
          <w:sz w:val="14"/>
          <w:szCs w:val="14"/>
        </w:rPr>
        <w:footnoteRef/>
      </w:r>
      <w:r w:rsidRPr="00D93E65">
        <w:rPr>
          <w:rFonts w:ascii="Verdana" w:hAnsi="Verdana" w:cs="Arial"/>
          <w:sz w:val="14"/>
          <w:szCs w:val="14"/>
        </w:rPr>
        <w:t xml:space="preserve"> Consejo de Estado. Sala de Consulta y Servicio Civil. Concepto del 2 de septiembre de 2013. Radicación número: 11001-03-06-000-2013-00412-00 (2168). Consejero Ponente: Álvaro Namén Vargas.</w:t>
      </w:r>
    </w:p>
  </w:footnote>
  <w:footnote w:id="13">
    <w:p w14:paraId="1E35E3DB" w14:textId="77777777" w:rsidR="002C00CC" w:rsidRPr="00D93E65" w:rsidRDefault="002C00CC" w:rsidP="00E521A7">
      <w:pPr>
        <w:pStyle w:val="Textonotapie"/>
        <w:ind w:firstLine="708"/>
        <w:jc w:val="both"/>
        <w:rPr>
          <w:rFonts w:ascii="Verdana" w:hAnsi="Verdana" w:cs="Arial"/>
          <w:sz w:val="14"/>
          <w:szCs w:val="14"/>
        </w:rPr>
      </w:pPr>
      <w:r w:rsidRPr="00D93E65">
        <w:rPr>
          <w:rStyle w:val="Refdenotaalpie"/>
          <w:rFonts w:ascii="Verdana" w:hAnsi="Verdana" w:cs="Arial"/>
          <w:sz w:val="14"/>
          <w:szCs w:val="14"/>
        </w:rPr>
        <w:footnoteRef/>
      </w:r>
      <w:r w:rsidRPr="00D93E65">
        <w:rPr>
          <w:rFonts w:ascii="Verdana" w:hAnsi="Verdana" w:cs="Arial"/>
          <w:sz w:val="14"/>
          <w:szCs w:val="14"/>
        </w:rPr>
        <w:t xml:space="preserve"> “Artículo 2. De Las Modalidades De Selección. La escogencia del contratista se efectuará con arreglo a las modalidades de selección de licitación pública, selección abreviada, concurso de méritos y contratación directa, con base en las siguientes reglas: </w:t>
      </w:r>
    </w:p>
    <w:p w14:paraId="1473051B" w14:textId="77777777" w:rsidR="002C00CC" w:rsidRPr="00D93E65" w:rsidRDefault="002C00CC" w:rsidP="00E521A7">
      <w:pPr>
        <w:pStyle w:val="Textonotapie"/>
        <w:ind w:firstLine="708"/>
        <w:jc w:val="both"/>
        <w:rPr>
          <w:rFonts w:ascii="Verdana" w:hAnsi="Verdana" w:cs="Arial"/>
          <w:sz w:val="14"/>
          <w:szCs w:val="14"/>
        </w:rPr>
      </w:pPr>
      <w:r w:rsidRPr="00D93E65">
        <w:rPr>
          <w:rFonts w:ascii="Verdana" w:hAnsi="Verdana" w:cs="Arial"/>
          <w:sz w:val="14"/>
          <w:szCs w:val="14"/>
        </w:rPr>
        <w:t>[…]</w:t>
      </w:r>
    </w:p>
    <w:p w14:paraId="1B97874C" w14:textId="77777777" w:rsidR="002C00CC" w:rsidRPr="00D93E65" w:rsidRDefault="002C00CC">
      <w:pPr>
        <w:pStyle w:val="Textonotapie"/>
        <w:ind w:firstLine="708"/>
        <w:jc w:val="both"/>
        <w:rPr>
          <w:rFonts w:ascii="Verdana" w:hAnsi="Verdana" w:cs="Arial"/>
          <w:sz w:val="14"/>
          <w:szCs w:val="14"/>
        </w:rPr>
      </w:pPr>
      <w:r w:rsidRPr="00D93E65">
        <w:rPr>
          <w:rFonts w:ascii="Verdana" w:hAnsi="Verdana" w:cs="Arial"/>
          <w:sz w:val="14"/>
          <w:szCs w:val="14"/>
        </w:rPr>
        <w:t>5. Contratación mínima cuantía. [Numeral modificado por el artículo 30 de la Ley 2069 de 2020]”.</w:t>
      </w:r>
    </w:p>
  </w:footnote>
  <w:footnote w:id="14">
    <w:p w14:paraId="1F2E21B6" w14:textId="77777777" w:rsidR="002C00CC" w:rsidRPr="00D93E65" w:rsidRDefault="002C00CC">
      <w:pPr>
        <w:pStyle w:val="Textonotapie"/>
        <w:ind w:firstLine="709"/>
        <w:jc w:val="both"/>
        <w:rPr>
          <w:rFonts w:ascii="Verdana" w:hAnsi="Verdana" w:cs="Arial"/>
          <w:sz w:val="14"/>
          <w:szCs w:val="14"/>
          <w:lang w:val="es-ES"/>
        </w:rPr>
      </w:pPr>
      <w:r w:rsidRPr="00D93E65">
        <w:rPr>
          <w:rStyle w:val="Refdenotaalpie"/>
          <w:rFonts w:ascii="Verdana" w:hAnsi="Verdana" w:cs="Arial"/>
          <w:sz w:val="14"/>
          <w:szCs w:val="14"/>
        </w:rPr>
        <w:footnoteRef/>
      </w:r>
      <w:r w:rsidRPr="00D93E65">
        <w:rPr>
          <w:rStyle w:val="Refdenotaalpie"/>
          <w:rFonts w:ascii="Verdana" w:hAnsi="Verdana" w:cs="Arial"/>
          <w:sz w:val="14"/>
          <w:szCs w:val="14"/>
        </w:rPr>
        <w:t xml:space="preserve"> </w:t>
      </w:r>
      <w:r w:rsidRPr="00D93E65">
        <w:rPr>
          <w:rFonts w:ascii="Verdana" w:hAnsi="Verdana" w:cs="Arial"/>
          <w:sz w:val="14"/>
          <w:szCs w:val="14"/>
          <w:lang w:val="es-ES"/>
        </w:rPr>
        <w:t xml:space="preserve">“[…] A este respecto, cabe recordar que el artículo 860 del Código de Comercio regula la licitación en el derecho privado”. </w:t>
      </w:r>
    </w:p>
  </w:footnote>
  <w:footnote w:id="15">
    <w:p w14:paraId="15417CB2" w14:textId="3D4FDE8F" w:rsidR="002C00CC" w:rsidRPr="00D93E65" w:rsidRDefault="002C00CC">
      <w:pPr>
        <w:shd w:val="clear" w:color="auto" w:fill="FFFFFF"/>
        <w:spacing w:after="0" w:line="240" w:lineRule="auto"/>
        <w:ind w:firstLine="709"/>
        <w:jc w:val="both"/>
        <w:rPr>
          <w:rFonts w:ascii="Verdana" w:hAnsi="Verdana" w:cs="Arial"/>
          <w:sz w:val="14"/>
          <w:szCs w:val="14"/>
          <w:lang w:val="es-ES"/>
        </w:rPr>
      </w:pPr>
      <w:r w:rsidRPr="00D93E65">
        <w:rPr>
          <w:rStyle w:val="Refdenotaalpie"/>
          <w:rFonts w:ascii="Verdana" w:hAnsi="Verdana" w:cs="Arial"/>
          <w:sz w:val="14"/>
          <w:szCs w:val="14"/>
        </w:rPr>
        <w:footnoteRef/>
      </w:r>
      <w:r w:rsidRPr="00D93E65">
        <w:rPr>
          <w:rStyle w:val="Refdenotaalpie"/>
          <w:rFonts w:ascii="Verdana" w:hAnsi="Verdana" w:cs="Arial"/>
          <w:sz w:val="14"/>
          <w:szCs w:val="14"/>
        </w:rPr>
        <w:t xml:space="preserve"> </w:t>
      </w:r>
      <w:r w:rsidRPr="00D93E65">
        <w:rPr>
          <w:rFonts w:ascii="Verdana" w:hAnsi="Verdana" w:cs="Arial"/>
          <w:sz w:val="14"/>
          <w:szCs w:val="14"/>
          <w:lang w:val="es-ES"/>
        </w:rPr>
        <w:t>Consejo de Estado. Sala de Consulta y Servicio Civil, Concepto de 8 de mayo de 2018. Radicación Número: 11001-03-06-000-2018-00095-00(2382). Consejero Ponente: Álvaro Namén Vargas.</w:t>
      </w:r>
    </w:p>
  </w:footnote>
  <w:footnote w:id="16">
    <w:p w14:paraId="6150C7D0" w14:textId="4155D0FF" w:rsidR="002C00CC" w:rsidRPr="00D93E65" w:rsidRDefault="002C00CC">
      <w:pPr>
        <w:pStyle w:val="Textonotapie"/>
        <w:ind w:firstLine="709"/>
        <w:jc w:val="both"/>
        <w:rPr>
          <w:rFonts w:ascii="Verdana" w:hAnsi="Verdana" w:cs="Arial"/>
          <w:sz w:val="14"/>
          <w:szCs w:val="14"/>
        </w:rPr>
      </w:pPr>
      <w:r w:rsidRPr="00D93E65">
        <w:rPr>
          <w:rStyle w:val="Refdenotaalpie"/>
          <w:rFonts w:ascii="Verdana" w:hAnsi="Verdana" w:cs="Arial"/>
          <w:sz w:val="14"/>
          <w:szCs w:val="14"/>
        </w:rPr>
        <w:footnoteRef/>
      </w:r>
      <w:r w:rsidRPr="00D93E65">
        <w:rPr>
          <w:rFonts w:ascii="Verdana" w:hAnsi="Verdana" w:cs="Arial"/>
          <w:sz w:val="14"/>
          <w:szCs w:val="14"/>
        </w:rPr>
        <w:t xml:space="preserve"> Consejo de Estado. Sala de Consulta y Servicio Civil. Concepto del 08 de mayo de 2018. Exp. 2.382. C.P. Álvaro Namén Vargas.</w:t>
      </w:r>
    </w:p>
  </w:footnote>
  <w:footnote w:id="17">
    <w:p w14:paraId="090C7BA0" w14:textId="273AE231" w:rsidR="002C00CC" w:rsidRPr="00D93E65" w:rsidRDefault="002C00CC">
      <w:pPr>
        <w:pStyle w:val="Textonotapie"/>
        <w:ind w:firstLine="709"/>
        <w:jc w:val="both"/>
        <w:rPr>
          <w:rFonts w:ascii="Verdana" w:hAnsi="Verdana" w:cs="Arial"/>
          <w:sz w:val="14"/>
          <w:szCs w:val="14"/>
        </w:rPr>
      </w:pPr>
      <w:r w:rsidRPr="00D93E65">
        <w:rPr>
          <w:rStyle w:val="Refdenotaalpie"/>
          <w:rFonts w:ascii="Verdana" w:hAnsi="Verdana" w:cs="Arial"/>
          <w:sz w:val="14"/>
          <w:szCs w:val="14"/>
        </w:rPr>
        <w:footnoteRef/>
      </w:r>
      <w:r w:rsidRPr="00D93E65">
        <w:rPr>
          <w:rFonts w:ascii="Verdana" w:hAnsi="Verdana" w:cs="Arial"/>
          <w:sz w:val="14"/>
          <w:szCs w:val="14"/>
        </w:rPr>
        <w:t xml:space="preserve"> La Corte Constitucional mediante Sentencia C-1153-05 de 11 de noviembre de 2005, Magistrado Ponente Marco Gerardo Monroy Cabra, efectuó el Control constitucional al Proyecto de Ley Estatutaria No 216/05 Senado, No 235-Cámara que dio lugar a la Ley de Garantías Electorales.</w:t>
      </w:r>
    </w:p>
  </w:footnote>
  <w:footnote w:id="18">
    <w:p w14:paraId="7C4EB7CB" w14:textId="77777777" w:rsidR="00996BB9" w:rsidRPr="00D93E65" w:rsidRDefault="00996BB9" w:rsidP="005F3D28">
      <w:pPr>
        <w:pStyle w:val="Textonotapie"/>
        <w:ind w:firstLine="708"/>
        <w:jc w:val="both"/>
        <w:rPr>
          <w:rFonts w:ascii="Verdana" w:hAnsi="Verdana" w:cs="Arial"/>
          <w:sz w:val="14"/>
          <w:szCs w:val="14"/>
        </w:rPr>
      </w:pPr>
      <w:r w:rsidRPr="00D93E65">
        <w:rPr>
          <w:rStyle w:val="Refdenotaalpie"/>
          <w:rFonts w:ascii="Verdana" w:hAnsi="Verdana" w:cs="Arial"/>
          <w:sz w:val="14"/>
          <w:szCs w:val="14"/>
        </w:rPr>
        <w:footnoteRef/>
      </w:r>
      <w:r w:rsidRPr="00D93E65">
        <w:rPr>
          <w:rFonts w:ascii="Verdana" w:hAnsi="Verdana" w:cs="Arial"/>
          <w:sz w:val="14"/>
          <w:szCs w:val="14"/>
        </w:rPr>
        <w:t xml:space="preserve"> Corte Constitucional. Sentencia C-1153 de 2005 M.P. Marco Gerardo Monroy Cabra. </w:t>
      </w:r>
    </w:p>
  </w:footnote>
  <w:footnote w:id="19">
    <w:p w14:paraId="585A803B" w14:textId="77777777" w:rsidR="00B72320" w:rsidRPr="00D93E65" w:rsidRDefault="00B72320" w:rsidP="00E521A7">
      <w:pPr>
        <w:pStyle w:val="Textonotapie"/>
        <w:ind w:firstLine="708"/>
        <w:jc w:val="both"/>
        <w:rPr>
          <w:rFonts w:ascii="Verdana" w:hAnsi="Verdana" w:cs="Arial"/>
          <w:sz w:val="14"/>
          <w:szCs w:val="14"/>
        </w:rPr>
      </w:pPr>
      <w:r w:rsidRPr="00D93E65">
        <w:rPr>
          <w:rStyle w:val="Refdenotaalpie"/>
          <w:rFonts w:ascii="Verdana" w:hAnsi="Verdana" w:cs="Arial"/>
          <w:sz w:val="14"/>
          <w:szCs w:val="14"/>
        </w:rPr>
        <w:footnoteRef/>
      </w:r>
      <w:r w:rsidRPr="00D93E65">
        <w:rPr>
          <w:rFonts w:ascii="Verdana" w:hAnsi="Verdana" w:cs="Arial"/>
          <w:sz w:val="14"/>
          <w:szCs w:val="14"/>
        </w:rPr>
        <w:t xml:space="preserve"> Consejo de Estado. Sala de Consulta y Servicio Civil. Concepto del 18 de febrero 2010. Rad. 11001-03-06-000-2010-00006-00 (1985). C.P. Enrique José Arboleda Perdomo.</w:t>
      </w:r>
    </w:p>
  </w:footnote>
  <w:footnote w:id="20">
    <w:p w14:paraId="58D8C718" w14:textId="4F2FED5F" w:rsidR="00B72320" w:rsidRPr="00D93E65" w:rsidRDefault="00B72320">
      <w:pPr>
        <w:pStyle w:val="Textonotapie"/>
        <w:ind w:firstLine="708"/>
        <w:jc w:val="both"/>
        <w:rPr>
          <w:rFonts w:ascii="Verdana" w:hAnsi="Verdana"/>
          <w:sz w:val="14"/>
          <w:szCs w:val="14"/>
          <w:lang w:val="es-CO"/>
        </w:rPr>
      </w:pPr>
      <w:r w:rsidRPr="00D93E65">
        <w:rPr>
          <w:rStyle w:val="Refdenotaalpie"/>
          <w:rFonts w:ascii="Verdana" w:hAnsi="Verdana"/>
          <w:sz w:val="14"/>
          <w:szCs w:val="14"/>
        </w:rPr>
        <w:footnoteRef/>
      </w:r>
      <w:r w:rsidRPr="00D93E65">
        <w:rPr>
          <w:rFonts w:ascii="Verdana" w:hAnsi="Verdana"/>
          <w:sz w:val="14"/>
          <w:szCs w:val="14"/>
        </w:rPr>
        <w:t xml:space="preserve"> Sobre el alcance de las normas equivalentes en el Código Civil chileno, CLARO SOLAR explica lo siguiente: “Las palabras de que el legislador se sirve pueden tener dos significaciones: el sentido vulgar y el sentido técnico. Según el artículo 20, ‘</w:t>
      </w:r>
      <w:r w:rsidRPr="00D93E65">
        <w:rPr>
          <w:rFonts w:ascii="Verdana" w:hAnsi="Verdana"/>
          <w:i/>
          <w:iCs/>
          <w:sz w:val="14"/>
          <w:szCs w:val="14"/>
        </w:rPr>
        <w:t>las palabras de la ley se entenderán en su sentido natural y obvio, según el uso general de las mismas palabras</w:t>
      </w:r>
      <w:r w:rsidRPr="00D93E65">
        <w:rPr>
          <w:rFonts w:ascii="Verdana" w:hAnsi="Verdana"/>
          <w:sz w:val="14"/>
          <w:szCs w:val="14"/>
        </w:rPr>
        <w:t>’, es decir, el uso de la gente educada. El Diccionario de la Lengua publicado por la Real Academia Española goza a este respecto de gran autoridad. ‘</w:t>
      </w:r>
      <w:r w:rsidRPr="00D93E65">
        <w:rPr>
          <w:rFonts w:ascii="Verdana" w:hAnsi="Verdana"/>
          <w:i/>
          <w:iCs/>
          <w:sz w:val="14"/>
          <w:szCs w:val="14"/>
        </w:rPr>
        <w:t>Pero cuando el legislador</w:t>
      </w:r>
      <w:r w:rsidRPr="00D93E65">
        <w:rPr>
          <w:rFonts w:ascii="Verdana" w:hAnsi="Verdana"/>
          <w:sz w:val="14"/>
          <w:szCs w:val="14"/>
        </w:rPr>
        <w:t xml:space="preserve">, agrega el artículo 20, </w:t>
      </w:r>
      <w:r w:rsidRPr="00D93E65">
        <w:rPr>
          <w:rFonts w:ascii="Verdana" w:hAnsi="Verdana"/>
          <w:i/>
          <w:iCs/>
          <w:sz w:val="14"/>
          <w:szCs w:val="14"/>
        </w:rPr>
        <w:t>las haya definido expresamente para ciertas materias se les dará en éstas su significado legal</w:t>
      </w:r>
      <w:r w:rsidRPr="00D93E65">
        <w:rPr>
          <w:rFonts w:ascii="Verdana" w:hAnsi="Verdana"/>
          <w:sz w:val="14"/>
          <w:szCs w:val="14"/>
        </w:rPr>
        <w:t>’. Por la inversa, según el artículo 21, ‘las palabras técnicas de toda ciencia o arte se tomarán en el sentido que les den los que profesan la misma ciencia o arte; a menos que aparezca claramente que se han tomado en sentido diverso’. Es de suponer que el legislador conozca bastante el idioma en que legisla y sea suficientemente instruido en la ciencia o arte para dar a las palabras de la lengua y a las palabras especiales de la ciencia o arte a que se refiere, el significado que les es propio; en el caso contrario, es necesario que ello aparezca de manifiesto y con toda claridad” (CLARO SOLAR, Luis. Explicaciones de derecho civil chileno y comparado. Volumen I. Tomo I. Santiago: Editorial Jurídica de Chile, 2013. p. 117. Énfasis dentro del texto).</w:t>
      </w:r>
    </w:p>
  </w:footnote>
  <w:footnote w:id="21">
    <w:p w14:paraId="0F5AC222" w14:textId="77777777" w:rsidR="00B72320" w:rsidRPr="00D93E65" w:rsidRDefault="00B72320">
      <w:pPr>
        <w:spacing w:after="0" w:line="240" w:lineRule="auto"/>
        <w:ind w:firstLine="708"/>
        <w:jc w:val="both"/>
        <w:rPr>
          <w:rFonts w:ascii="Verdana" w:eastAsia="Calibri" w:hAnsi="Verdana" w:cs="Arial"/>
          <w:sz w:val="14"/>
          <w:szCs w:val="14"/>
          <w:lang w:val="es-ES_tradnl"/>
        </w:rPr>
      </w:pPr>
      <w:r w:rsidRPr="00D93E65">
        <w:rPr>
          <w:rStyle w:val="Refdenotaalpie"/>
          <w:rFonts w:ascii="Verdana" w:hAnsi="Verdana" w:cs="Arial"/>
          <w:sz w:val="14"/>
          <w:szCs w:val="14"/>
        </w:rPr>
        <w:footnoteRef/>
      </w:r>
      <w:r w:rsidRPr="00D93E65">
        <w:rPr>
          <w:rFonts w:ascii="Verdana" w:hAnsi="Verdana" w:cs="Arial"/>
          <w:sz w:val="14"/>
          <w:szCs w:val="14"/>
        </w:rPr>
        <w:t xml:space="preserve"> </w:t>
      </w:r>
      <w:r w:rsidRPr="00D93E65">
        <w:rPr>
          <w:rFonts w:ascii="Verdana" w:hAnsi="Verdana" w:cs="Arial"/>
          <w:sz w:val="14"/>
          <w:szCs w:val="14"/>
          <w:lang w:val="es-ES_tradnl"/>
        </w:rPr>
        <w:t>La jurisprudencia delimita su sentido y alcance de la siguiente manera –</w:t>
      </w:r>
      <w:r w:rsidRPr="00D93E65">
        <w:rPr>
          <w:rFonts w:ascii="Verdana" w:hAnsi="Verdana" w:cs="Arial"/>
          <w:sz w:val="14"/>
          <w:szCs w:val="14"/>
          <w:lang w:val="es-ES"/>
        </w:rPr>
        <w:t>CORTE SUPREMA DE JUSTICIA. Sala de Casación Civil. Sentencia 20 de noviembre de 1989. MP. Alberto Ospina Botero. Publicada en la Gaceta Judicial. Tomo CXCVI. N° 2435. p. 93</w:t>
      </w:r>
      <w:r w:rsidRPr="00D93E65">
        <w:rPr>
          <w:rFonts w:ascii="Verdana" w:hAnsi="Verdana" w:cs="Arial"/>
          <w:sz w:val="14"/>
          <w:szCs w:val="14"/>
          <w:lang w:val="es-ES_tradnl"/>
        </w:rPr>
        <w:t>–:</w:t>
      </w:r>
    </w:p>
    <w:p w14:paraId="27D640BC" w14:textId="77777777" w:rsidR="00B72320" w:rsidRPr="00D93E65" w:rsidRDefault="00B72320">
      <w:pPr>
        <w:spacing w:after="0" w:line="240" w:lineRule="auto"/>
        <w:ind w:right="49" w:firstLine="708"/>
        <w:jc w:val="both"/>
        <w:rPr>
          <w:rFonts w:ascii="Verdana" w:eastAsia="Calibri" w:hAnsi="Verdana" w:cs="Arial"/>
          <w:sz w:val="14"/>
          <w:szCs w:val="14"/>
          <w:lang w:val="es-ES_tradnl"/>
        </w:rPr>
      </w:pPr>
      <w:r w:rsidRPr="00D93E65">
        <w:rPr>
          <w:rFonts w:ascii="Verdana" w:eastAsia="Calibri" w:hAnsi="Verdana" w:cs="Arial"/>
          <w:sz w:val="14"/>
          <w:szCs w:val="14"/>
          <w:lang w:val="es-ES_tradnl"/>
        </w:rPr>
        <w:t>“6. […] la fuerza mayor o caso fortuito se configura por la concurrencia de dos factores:</w:t>
      </w:r>
    </w:p>
    <w:p w14:paraId="617E307B" w14:textId="77777777" w:rsidR="00B72320" w:rsidRPr="00D93E65" w:rsidRDefault="00B72320">
      <w:pPr>
        <w:spacing w:after="0" w:line="240" w:lineRule="auto"/>
        <w:ind w:right="49" w:firstLine="708"/>
        <w:jc w:val="both"/>
        <w:rPr>
          <w:rFonts w:ascii="Verdana" w:eastAsia="Calibri" w:hAnsi="Verdana" w:cs="Arial"/>
          <w:sz w:val="14"/>
          <w:szCs w:val="14"/>
          <w:lang w:val="es-ES_tradnl"/>
        </w:rPr>
      </w:pPr>
      <w:r w:rsidRPr="00D93E65">
        <w:rPr>
          <w:rFonts w:ascii="Verdana" w:eastAsia="Calibri" w:hAnsi="Verdana" w:cs="Arial"/>
          <w:sz w:val="14"/>
          <w:szCs w:val="14"/>
          <w:lang w:val="es-ES_tradnl"/>
        </w:rPr>
        <w:t>a) Que el hecho sea imprevisible, esto es, que dentro de las circunstancias normales de la vida, no sea posible contemplar por anticipado su ocurrencia. Por el contrario, si el hecho razonablemente hubiera podido preverse, por ser un acontecimiento normal o de ocurrencia frecuente, tal hecho no estructura el elemento imprevisible, y</w:t>
      </w:r>
    </w:p>
    <w:p w14:paraId="4116C3C3" w14:textId="77777777" w:rsidR="00B72320" w:rsidRPr="00D93E65" w:rsidRDefault="00B72320">
      <w:pPr>
        <w:spacing w:after="0" w:line="240" w:lineRule="auto"/>
        <w:ind w:right="49" w:firstLine="708"/>
        <w:jc w:val="both"/>
        <w:rPr>
          <w:rFonts w:ascii="Verdana" w:eastAsia="Calibri" w:hAnsi="Verdana" w:cs="Arial"/>
          <w:sz w:val="14"/>
          <w:szCs w:val="14"/>
          <w:lang w:val="es-ES_tradnl"/>
        </w:rPr>
      </w:pPr>
      <w:r w:rsidRPr="00D93E65">
        <w:rPr>
          <w:rFonts w:ascii="Verdana" w:eastAsia="Calibri" w:hAnsi="Verdana" w:cs="Arial"/>
          <w:sz w:val="14"/>
          <w:szCs w:val="14"/>
          <w:lang w:val="es-ES_tradnl"/>
        </w:rPr>
        <w:t>b) Que el hecho sea irresistible, o sea, que el agente no pueda evitar su acaecimiento ni superar sus consecuencias.</w:t>
      </w:r>
    </w:p>
    <w:p w14:paraId="2160EAF4" w14:textId="77777777" w:rsidR="00B72320" w:rsidRPr="00D93E65" w:rsidRDefault="00B72320">
      <w:pPr>
        <w:spacing w:after="0" w:line="240" w:lineRule="auto"/>
        <w:ind w:right="49" w:firstLine="708"/>
        <w:jc w:val="both"/>
        <w:rPr>
          <w:rFonts w:ascii="Verdana" w:eastAsia="Calibri" w:hAnsi="Verdana" w:cs="Arial"/>
          <w:sz w:val="14"/>
          <w:szCs w:val="14"/>
          <w:lang w:val="es-ES_tradnl"/>
        </w:rPr>
      </w:pPr>
      <w:r w:rsidRPr="00D93E65">
        <w:rPr>
          <w:rFonts w:ascii="Verdana" w:eastAsia="Calibri" w:hAnsi="Verdana" w:cs="Arial"/>
          <w:sz w:val="14"/>
          <w:szCs w:val="14"/>
          <w:lang w:val="es-ES_tradnl"/>
        </w:rPr>
        <w:t>En este preciso punto es indispensable anotar la diferencia existente entre la imposibilidad para resistir o superar el hecho y la dificultad para enfrentarlo. Porque un hecho no constituye caso fortuito o fuerza mayor, por la sola circunstancia de que se haga más difícil o más onerosa de lo previsto inicialmente.</w:t>
      </w:r>
    </w:p>
    <w:p w14:paraId="1E2267B0" w14:textId="77777777" w:rsidR="00B72320" w:rsidRPr="00D93E65" w:rsidRDefault="00B72320">
      <w:pPr>
        <w:spacing w:after="0" w:line="240" w:lineRule="auto"/>
        <w:ind w:right="49" w:firstLine="708"/>
        <w:jc w:val="both"/>
        <w:rPr>
          <w:rFonts w:ascii="Verdana" w:eastAsia="Calibri" w:hAnsi="Verdana" w:cs="Arial"/>
          <w:sz w:val="14"/>
          <w:szCs w:val="14"/>
          <w:lang w:val="es-ES_tradnl"/>
        </w:rPr>
      </w:pPr>
      <w:r w:rsidRPr="00D93E65">
        <w:rPr>
          <w:rFonts w:ascii="Verdana" w:eastAsia="Calibri" w:hAnsi="Verdana" w:cs="Arial"/>
          <w:sz w:val="14"/>
          <w:szCs w:val="14"/>
          <w:lang w:val="es-ES_tradnl"/>
        </w:rPr>
        <w:t>7. Según el verdadero sentido o inteligencia […] los elementos integrantes del caso fortuito o fuerza mayor, antes reseñados, deben ser concurrentes, lo cual se traduce en que si el hecho o suceso ciertamente es imprevisible pero se le puede resistir, no se da tal fenómeno, como tampoco se configura cuando a pesar de ser irresistible pudo preverse</w:t>
      </w:r>
    </w:p>
    <w:p w14:paraId="28F084A2" w14:textId="77777777" w:rsidR="00B72320" w:rsidRPr="00D93E65" w:rsidRDefault="00B72320">
      <w:pPr>
        <w:spacing w:after="0" w:line="240" w:lineRule="auto"/>
        <w:ind w:right="49"/>
        <w:jc w:val="both"/>
        <w:rPr>
          <w:rFonts w:ascii="Verdana" w:eastAsia="Calibri" w:hAnsi="Verdana" w:cs="Arial"/>
          <w:sz w:val="14"/>
          <w:szCs w:val="14"/>
          <w:lang w:val="es-ES_tradnl"/>
        </w:rPr>
      </w:pPr>
      <w:r w:rsidRPr="00D93E65">
        <w:rPr>
          <w:rFonts w:ascii="Verdana" w:eastAsia="Calibri" w:hAnsi="Verdana" w:cs="Arial"/>
          <w:sz w:val="14"/>
          <w:szCs w:val="14"/>
          <w:lang w:val="es-ES_tradnl"/>
        </w:rPr>
        <w:t>[…]</w:t>
      </w:r>
    </w:p>
    <w:p w14:paraId="2E1D0F72" w14:textId="77777777" w:rsidR="00B72320" w:rsidRPr="00D93E65" w:rsidRDefault="00B72320">
      <w:pPr>
        <w:pStyle w:val="Textonotapie"/>
        <w:ind w:right="49" w:firstLine="708"/>
        <w:jc w:val="both"/>
        <w:rPr>
          <w:rFonts w:ascii="Verdana" w:hAnsi="Verdana" w:cs="Arial"/>
          <w:sz w:val="14"/>
          <w:szCs w:val="14"/>
          <w:lang w:val="es-CO"/>
        </w:rPr>
      </w:pPr>
      <w:r w:rsidRPr="00D93E65">
        <w:rPr>
          <w:rFonts w:ascii="Verdana" w:eastAsia="Calibri" w:hAnsi="Verdana" w:cs="Arial"/>
          <w:sz w:val="14"/>
          <w:szCs w:val="14"/>
          <w:lang w:val="es-ES_tradnl"/>
        </w:rPr>
        <w:t>8. Si, sólo puede calificarse como caso fortuito o fuerza mayor el hecho que concurrentemente contemple los caracteres de imprevisible e irresistible, no resulta propio elaborar un listado de los acontecimientos que constituyen tal fenómeno, ni de los que no lo constituyen. Por tal virtud, ha sostenido la doctrina nacional y foránea que un acontecimiento determinado no puede calificarse fatalmente, por sí mismo y por fuerza de su naturaleza específica como constitutivo de fuerza mayor o caso fortuito, puesto que es indispensable, en cada caso o acontecimiento, analizar y ponderar todas las circunstancias que rodearon el hecho”.</w:t>
      </w:r>
    </w:p>
  </w:footnote>
  <w:footnote w:id="22">
    <w:p w14:paraId="2BE66507" w14:textId="77777777" w:rsidR="00B72320" w:rsidRPr="00D93E65" w:rsidRDefault="00B72320">
      <w:pPr>
        <w:pStyle w:val="Textonotapie"/>
        <w:ind w:firstLine="708"/>
        <w:jc w:val="both"/>
        <w:rPr>
          <w:rFonts w:ascii="Verdana" w:hAnsi="Verdana" w:cs="Arial"/>
          <w:sz w:val="14"/>
          <w:szCs w:val="14"/>
          <w:lang w:val="es-ES"/>
        </w:rPr>
      </w:pPr>
      <w:r w:rsidRPr="00D93E65">
        <w:rPr>
          <w:rStyle w:val="Refdenotaalpie"/>
          <w:rFonts w:ascii="Verdana" w:hAnsi="Verdana" w:cs="Arial"/>
          <w:sz w:val="14"/>
          <w:szCs w:val="14"/>
        </w:rPr>
        <w:footnoteRef/>
      </w:r>
      <w:r w:rsidRPr="00D93E65">
        <w:rPr>
          <w:rFonts w:ascii="Verdana" w:hAnsi="Verdana" w:cs="Arial"/>
          <w:sz w:val="14"/>
          <w:szCs w:val="14"/>
        </w:rPr>
        <w:t xml:space="preserve"> “</w:t>
      </w:r>
      <w:r w:rsidRPr="00D93E65">
        <w:rPr>
          <w:rFonts w:ascii="Verdana" w:hAnsi="Verdana" w:cs="Arial"/>
          <w:sz w:val="14"/>
          <w:szCs w:val="14"/>
          <w:lang w:val="es-ES"/>
        </w:rPr>
        <w:t>Artículo 56. Declaratoria de situación de desastre. Previa recomendación del Consejo Nacional, el Presidente de la República declarará mediante decreto la existencia de una situación de desastre y, en el mismo acto, la clasificará según su magnitud y efectos como de carácter nacional, regional, departamental, distrital o municipal, y pondrá en vigor las normas pertinentes propias del régimen especial para situaciones de desastre.</w:t>
      </w:r>
    </w:p>
    <w:p w14:paraId="40BE8480" w14:textId="77777777" w:rsidR="00B72320" w:rsidRPr="00D93E65" w:rsidRDefault="00B72320">
      <w:pPr>
        <w:pStyle w:val="Textonotapie"/>
        <w:ind w:firstLine="708"/>
        <w:jc w:val="both"/>
        <w:rPr>
          <w:rFonts w:ascii="Verdana" w:hAnsi="Verdana" w:cs="Arial"/>
          <w:sz w:val="14"/>
          <w:szCs w:val="14"/>
          <w:lang w:val="es-ES"/>
        </w:rPr>
      </w:pPr>
      <w:r w:rsidRPr="00D93E65">
        <w:rPr>
          <w:rFonts w:ascii="Verdana" w:hAnsi="Verdana" w:cs="Arial"/>
          <w:sz w:val="14"/>
          <w:szCs w:val="14"/>
          <w:lang w:val="es-ES"/>
        </w:rPr>
        <w:t>1. Nacional. Existirá una situación de desastre nacional:</w:t>
      </w:r>
    </w:p>
    <w:p w14:paraId="67EDFCDD" w14:textId="77777777" w:rsidR="00B72320" w:rsidRPr="00D93E65" w:rsidRDefault="00B72320">
      <w:pPr>
        <w:pStyle w:val="Textonotapie"/>
        <w:ind w:firstLine="708"/>
        <w:jc w:val="both"/>
        <w:rPr>
          <w:rFonts w:ascii="Verdana" w:hAnsi="Verdana" w:cs="Arial"/>
          <w:sz w:val="14"/>
          <w:szCs w:val="14"/>
          <w:lang w:val="es-ES"/>
        </w:rPr>
      </w:pPr>
      <w:r w:rsidRPr="00D93E65">
        <w:rPr>
          <w:rFonts w:ascii="Verdana" w:hAnsi="Verdana" w:cs="Arial"/>
          <w:sz w:val="14"/>
          <w:szCs w:val="14"/>
          <w:lang w:val="es-ES"/>
        </w:rPr>
        <w:t>a). Cuando la materialización del riesgo afecte de manera desfavorable y grave los bienes jurídicos protegidos de las personas, de la colectividad nacional y de las instituciones de la Administración Pública Nacional, en todo el territorio nacional o en parte considerable del mismo.</w:t>
      </w:r>
    </w:p>
    <w:p w14:paraId="300A8660" w14:textId="77777777" w:rsidR="00B72320" w:rsidRPr="00D93E65" w:rsidRDefault="00B72320">
      <w:pPr>
        <w:pStyle w:val="Textonotapie"/>
        <w:ind w:firstLine="708"/>
        <w:jc w:val="both"/>
        <w:rPr>
          <w:rFonts w:ascii="Verdana" w:hAnsi="Verdana" w:cs="Arial"/>
          <w:sz w:val="14"/>
          <w:szCs w:val="14"/>
          <w:lang w:val="es-ES"/>
        </w:rPr>
      </w:pPr>
      <w:r w:rsidRPr="00D93E65">
        <w:rPr>
          <w:rFonts w:ascii="Verdana" w:hAnsi="Verdana" w:cs="Arial"/>
          <w:sz w:val="14"/>
          <w:szCs w:val="14"/>
          <w:lang w:val="es-ES"/>
        </w:rPr>
        <w:t>b). Cuando se hayan producido efectos adversos en uno (1) o más departamentos y su impacto rebase la capacidad técnica y los recursos de las administraciones departamentales y municipales involucradas.</w:t>
      </w:r>
    </w:p>
    <w:p w14:paraId="1ED1CD6B" w14:textId="77777777" w:rsidR="00B72320" w:rsidRPr="00D93E65" w:rsidRDefault="00B72320">
      <w:pPr>
        <w:pStyle w:val="Textonotapie"/>
        <w:ind w:firstLine="708"/>
        <w:jc w:val="both"/>
        <w:rPr>
          <w:rFonts w:ascii="Verdana" w:hAnsi="Verdana" w:cs="Arial"/>
          <w:sz w:val="14"/>
          <w:szCs w:val="14"/>
          <w:lang w:val="es-ES"/>
        </w:rPr>
      </w:pPr>
      <w:r w:rsidRPr="00D93E65">
        <w:rPr>
          <w:rFonts w:ascii="Verdana" w:hAnsi="Verdana" w:cs="Arial"/>
          <w:sz w:val="14"/>
          <w:szCs w:val="14"/>
          <w:lang w:val="es-ES"/>
        </w:rPr>
        <w:t>c). Cuando la emergencia tenga la capacidad de impactar de manera desfavorable y grave la economía nacional, las redes de servicios nacionales en su totalidad o en parte significativa de las mismas, el distrito capital y otros centros urbanos de importancia regional en la red de ciudades.</w:t>
      </w:r>
    </w:p>
    <w:p w14:paraId="71C252B7" w14:textId="77777777" w:rsidR="00B72320" w:rsidRPr="00D93E65" w:rsidRDefault="00B72320">
      <w:pPr>
        <w:pStyle w:val="Textonotapie"/>
        <w:ind w:firstLine="708"/>
        <w:jc w:val="both"/>
        <w:rPr>
          <w:rFonts w:ascii="Verdana" w:hAnsi="Verdana" w:cs="Arial"/>
          <w:sz w:val="14"/>
          <w:szCs w:val="14"/>
          <w:lang w:val="es-ES"/>
        </w:rPr>
      </w:pPr>
      <w:r w:rsidRPr="00D93E65">
        <w:rPr>
          <w:rFonts w:ascii="Verdana" w:hAnsi="Verdana" w:cs="Arial"/>
          <w:sz w:val="14"/>
          <w:szCs w:val="14"/>
          <w:lang w:val="es-ES"/>
        </w:rPr>
        <w:t>2. Departamental. Existirá una situación de desastre departamental cuando la materialización del riesgo afecte de manera desfavorable y grave los bienes jurídicos protegidos de los habitantes de un (1) departamento y de la administración pública departamental. El desastre de orden departamental puede presentarse en todo el departamento o en parte sustancial de su territorio rebasando la capacidad técnica y de recursos de los municipios afectados.</w:t>
      </w:r>
    </w:p>
    <w:p w14:paraId="46EC364F" w14:textId="77777777" w:rsidR="00B72320" w:rsidRPr="00D93E65" w:rsidRDefault="00B72320">
      <w:pPr>
        <w:pStyle w:val="Textonotapie"/>
        <w:ind w:firstLine="708"/>
        <w:jc w:val="both"/>
        <w:rPr>
          <w:rFonts w:ascii="Verdana" w:hAnsi="Verdana" w:cs="Arial"/>
          <w:sz w:val="14"/>
          <w:szCs w:val="14"/>
          <w:lang w:val="es-ES"/>
        </w:rPr>
      </w:pPr>
      <w:r w:rsidRPr="00D93E65">
        <w:rPr>
          <w:rFonts w:ascii="Verdana" w:hAnsi="Verdana" w:cs="Arial"/>
          <w:sz w:val="14"/>
          <w:szCs w:val="14"/>
          <w:lang w:val="es-ES"/>
        </w:rPr>
        <w:t>3. Distrital o Municipal. Existirá una situación de desastre municipal o distrital cuando la materialización del riesgo afecte de manera desfavorable y grave los bienes jurídicos protegidos de los habitantes del municipio o distrito impactado y de la administración pública distrital. El desastre de orden distrital o municipal puede presentarse en todo el distrito o municipio o en parte sustancial del territorio de su jurisdicción, rebasando su capacidad técnica y de recursos […]”.</w:t>
      </w:r>
    </w:p>
  </w:footnote>
  <w:footnote w:id="23">
    <w:p w14:paraId="6EEC4A0A" w14:textId="77777777" w:rsidR="00B72320" w:rsidRPr="00D93E65" w:rsidRDefault="00B72320">
      <w:pPr>
        <w:pStyle w:val="Textonotapie"/>
        <w:ind w:firstLine="708"/>
        <w:jc w:val="both"/>
        <w:rPr>
          <w:rFonts w:ascii="Verdana" w:hAnsi="Verdana" w:cs="Arial"/>
          <w:sz w:val="14"/>
          <w:szCs w:val="14"/>
          <w:lang w:val="es-CO"/>
        </w:rPr>
      </w:pPr>
      <w:r w:rsidRPr="00D93E65">
        <w:rPr>
          <w:rStyle w:val="Refdenotaalpie"/>
          <w:rFonts w:ascii="Verdana" w:hAnsi="Verdana" w:cs="Arial"/>
          <w:sz w:val="14"/>
          <w:szCs w:val="14"/>
        </w:rPr>
        <w:footnoteRef/>
      </w:r>
      <w:r w:rsidRPr="00D93E65">
        <w:rPr>
          <w:rFonts w:ascii="Verdana" w:hAnsi="Verdana" w:cs="Arial"/>
          <w:sz w:val="14"/>
          <w:szCs w:val="14"/>
        </w:rPr>
        <w:t xml:space="preserve"> “</w:t>
      </w:r>
      <w:r w:rsidRPr="00D93E65">
        <w:rPr>
          <w:rFonts w:ascii="Verdana" w:hAnsi="Verdana" w:cs="Arial"/>
          <w:sz w:val="14"/>
          <w:szCs w:val="14"/>
          <w:lang w:val="es-ES"/>
        </w:rPr>
        <w:t>Artículo 57. Declaratoria de situación de calamidad pública. Los gobernadores y alcaldes, previo concepto favorable del Consejo Departamental, Distrital o Municipal de Gestión del Riesgo, podrán declararla situación de calamidad pública en su respectiva jurisdicción. Las declaratorias de situación de calamidad pública se producirán y aplicarán, en lo pertinente, de conformidad con las reglas de la declaratoria de la situación de desastre”.</w:t>
      </w:r>
    </w:p>
  </w:footnote>
  <w:footnote w:id="24">
    <w:p w14:paraId="00A64746" w14:textId="3A50013C" w:rsidR="002C00CC" w:rsidRPr="00D93E65" w:rsidRDefault="002C00CC">
      <w:pPr>
        <w:spacing w:after="0" w:line="240" w:lineRule="auto"/>
        <w:ind w:firstLine="709"/>
        <w:jc w:val="both"/>
        <w:rPr>
          <w:rFonts w:ascii="Verdana" w:hAnsi="Verdana" w:cs="Arial"/>
          <w:color w:val="000000"/>
          <w:sz w:val="14"/>
          <w:szCs w:val="14"/>
        </w:rPr>
      </w:pPr>
      <w:r w:rsidRPr="00D93E65">
        <w:rPr>
          <w:rStyle w:val="Refdenotaalpie"/>
          <w:rFonts w:ascii="Verdana" w:hAnsi="Verdana" w:cs="Arial"/>
          <w:color w:val="000000"/>
          <w:sz w:val="14"/>
          <w:szCs w:val="14"/>
        </w:rPr>
        <w:footnoteRef/>
      </w:r>
      <w:r w:rsidRPr="00D93E65">
        <w:rPr>
          <w:rFonts w:ascii="Verdana" w:hAnsi="Verdana" w:cs="Arial"/>
          <w:color w:val="000000"/>
          <w:sz w:val="14"/>
          <w:szCs w:val="14"/>
        </w:rPr>
        <w:t xml:space="preserve"> Consejo de Estado. Sala de Consulta y Servicio Civil. Concepto de 20 de febrero de 2006. Radicación Número: 11001-03-06-000-2006-00026-00 (1727).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5">
    <w:p w14:paraId="23F96AD5" w14:textId="665829DB" w:rsidR="002C00CC" w:rsidRPr="00D93E65" w:rsidRDefault="002C00CC">
      <w:pPr>
        <w:pStyle w:val="Textonotapie"/>
        <w:ind w:firstLine="709"/>
        <w:jc w:val="both"/>
        <w:rPr>
          <w:rFonts w:ascii="Verdana" w:hAnsi="Verdana"/>
          <w:sz w:val="14"/>
          <w:szCs w:val="14"/>
          <w:lang w:val="es-CO"/>
        </w:rPr>
      </w:pPr>
      <w:r w:rsidRPr="00D93E65">
        <w:rPr>
          <w:rStyle w:val="Refdenotaalpie"/>
          <w:rFonts w:ascii="Verdana" w:hAnsi="Verdana"/>
          <w:sz w:val="14"/>
          <w:szCs w:val="14"/>
        </w:rPr>
        <w:footnoteRef/>
      </w:r>
      <w:r w:rsidRPr="00D93E65">
        <w:rPr>
          <w:rFonts w:ascii="Verdana" w:hAnsi="Verdana"/>
          <w:sz w:val="14"/>
          <w:szCs w:val="14"/>
        </w:rPr>
        <w:t xml:space="preserve"> Consejo de Estado, Sección Tercera. Auto del 4 de octubre de 2024. Exp. 70.313. C.P: Fredy Ibarra Martínez.</w:t>
      </w:r>
    </w:p>
  </w:footnote>
  <w:footnote w:id="26">
    <w:p w14:paraId="32843771" w14:textId="77777777" w:rsidR="002C00CC" w:rsidRPr="00D93E65" w:rsidRDefault="002C00CC" w:rsidP="005F3D28">
      <w:pPr>
        <w:spacing w:after="0" w:line="240" w:lineRule="auto"/>
        <w:ind w:firstLine="709"/>
        <w:jc w:val="both"/>
        <w:rPr>
          <w:rFonts w:ascii="Verdana" w:eastAsia="Times New Roman" w:hAnsi="Verdana" w:cs="Times New Roman"/>
          <w:sz w:val="14"/>
          <w:szCs w:val="14"/>
          <w:lang w:eastAsia="es-ES"/>
        </w:rPr>
      </w:pPr>
      <w:r w:rsidRPr="00D93E65">
        <w:rPr>
          <w:rStyle w:val="Refdenotaalpie"/>
          <w:rFonts w:ascii="Verdana" w:hAnsi="Verdana"/>
          <w:sz w:val="14"/>
          <w:szCs w:val="14"/>
        </w:rPr>
        <w:footnoteRef/>
      </w:r>
      <w:r w:rsidRPr="00D93E65">
        <w:rPr>
          <w:rFonts w:ascii="Verdana" w:hAnsi="Verdana"/>
          <w:sz w:val="14"/>
          <w:szCs w:val="14"/>
        </w:rPr>
        <w:t xml:space="preserve"> </w:t>
      </w:r>
      <w:r w:rsidRPr="00D93E65">
        <w:rPr>
          <w:rFonts w:ascii="Verdana" w:eastAsia="Times New Roman" w:hAnsi="Verdana" w:cs="Times New Roman"/>
          <w:sz w:val="14"/>
          <w:szCs w:val="14"/>
          <w:lang w:eastAsia="es-ES"/>
        </w:rPr>
        <w:t xml:space="preserve">Consejo de Estado. Sala de lo Contencioso Administrativo. Sección Tercera. Subsección B. 17 de octubre de 2025. Magistrado Ponente: Fredy Ibarra Martínez.  </w:t>
      </w:r>
      <w:r w:rsidRPr="00D93E65">
        <w:rPr>
          <w:rFonts w:ascii="Verdana" w:hAnsi="Verdana"/>
          <w:sz w:val="14"/>
          <w:szCs w:val="14"/>
        </w:rPr>
        <w:t xml:space="preserve">La parte de la providencia señala: </w:t>
      </w:r>
      <w:r w:rsidRPr="00D93E65">
        <w:rPr>
          <w:rFonts w:ascii="Verdana" w:eastAsia="Times New Roman" w:hAnsi="Verdana" w:cs="Times New Roman"/>
          <w:sz w:val="14"/>
          <w:szCs w:val="14"/>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27">
    <w:p w14:paraId="154FBE3C" w14:textId="77777777" w:rsidR="002C00CC" w:rsidRPr="00D93E65" w:rsidRDefault="002C00CC" w:rsidP="005F3D28">
      <w:pPr>
        <w:pStyle w:val="Textonotapie"/>
        <w:ind w:firstLine="709"/>
        <w:jc w:val="both"/>
        <w:rPr>
          <w:rFonts w:ascii="Verdana" w:hAnsi="Verdana"/>
          <w:sz w:val="14"/>
          <w:szCs w:val="14"/>
          <w:lang w:val="es-CO"/>
        </w:rPr>
      </w:pPr>
      <w:r w:rsidRPr="00D93E65">
        <w:rPr>
          <w:rStyle w:val="Refdenotaalpie"/>
          <w:rFonts w:ascii="Verdana" w:hAnsi="Verdana"/>
          <w:sz w:val="14"/>
          <w:szCs w:val="14"/>
        </w:rPr>
        <w:footnoteRef/>
      </w:r>
      <w:r w:rsidRPr="00D93E65">
        <w:rPr>
          <w:rFonts w:ascii="Verdana" w:hAnsi="Verdana"/>
          <w:sz w:val="14"/>
          <w:szCs w:val="14"/>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 w:id="28">
    <w:p w14:paraId="2B7D3843" w14:textId="77777777" w:rsidR="002C00CC" w:rsidRPr="00D93E65" w:rsidRDefault="002C00CC">
      <w:pPr>
        <w:pStyle w:val="Textonotapie"/>
        <w:ind w:firstLine="708"/>
        <w:jc w:val="both"/>
        <w:rPr>
          <w:rStyle w:val="Refdenotaalpie"/>
          <w:rFonts w:ascii="Verdana" w:hAnsi="Verdana" w:cs="Arial"/>
          <w:sz w:val="14"/>
          <w:szCs w:val="14"/>
          <w:vertAlign w:val="baseline"/>
        </w:rPr>
      </w:pPr>
      <w:r w:rsidRPr="00D93E65">
        <w:rPr>
          <w:rStyle w:val="Refdenotaalpie"/>
          <w:rFonts w:ascii="Verdana" w:hAnsi="Verdana" w:cs="Arial"/>
          <w:sz w:val="14"/>
          <w:szCs w:val="14"/>
        </w:rPr>
        <w:footnoteRef/>
      </w:r>
      <w:r w:rsidRPr="00D93E65">
        <w:rPr>
          <w:rStyle w:val="Refdenotaalpie"/>
          <w:rFonts w:ascii="Verdana" w:hAnsi="Verdana" w:cs="Arial"/>
          <w:sz w:val="14"/>
          <w:szCs w:val="14"/>
          <w:vertAlign w:val="baseline"/>
        </w:rPr>
        <w:t xml:space="preserve"> Ley 1575 de 2012. </w:t>
      </w:r>
      <w:r w:rsidRPr="00D93E65">
        <w:rPr>
          <w:rFonts w:ascii="Verdana" w:hAnsi="Verdana" w:cs="Arial"/>
          <w:sz w:val="14"/>
          <w:szCs w:val="14"/>
        </w:rPr>
        <w:t>“</w:t>
      </w:r>
      <w:r w:rsidRPr="00D93E65">
        <w:rPr>
          <w:rStyle w:val="Refdenotaalpie"/>
          <w:rFonts w:ascii="Verdana" w:hAnsi="Verdana" w:cs="Arial"/>
          <w:sz w:val="14"/>
          <w:szCs w:val="14"/>
          <w:vertAlign w:val="baseline"/>
        </w:rPr>
        <w:t>Artículo 3. Competencias Del Nivel Nacional Y Territorial. El servicio público esencial se prestará con fundamento en los principios de subsidiariedad, coordinación y concurrencia, en cumplimiento de lo dispuesto en el artículo 288 de la Constitución.   </w:t>
      </w:r>
    </w:p>
    <w:p w14:paraId="7DE43193" w14:textId="77777777" w:rsidR="002C00CC" w:rsidRPr="00D93E65" w:rsidRDefault="002C00CC">
      <w:pPr>
        <w:pStyle w:val="Textonotapie"/>
        <w:ind w:firstLine="708"/>
        <w:jc w:val="both"/>
        <w:rPr>
          <w:rStyle w:val="Refdenotaalpie"/>
          <w:rFonts w:ascii="Verdana" w:hAnsi="Verdana" w:cs="Arial"/>
          <w:sz w:val="14"/>
          <w:szCs w:val="14"/>
          <w:vertAlign w:val="baseline"/>
        </w:rPr>
      </w:pPr>
      <w:r w:rsidRPr="00D93E65">
        <w:rPr>
          <w:rFonts w:ascii="Verdana" w:hAnsi="Verdana" w:cs="Arial"/>
          <w:sz w:val="14"/>
          <w:szCs w:val="14"/>
        </w:rPr>
        <w:t>[</w:t>
      </w:r>
      <w:r w:rsidRPr="00D93E65">
        <w:rPr>
          <w:rStyle w:val="Refdenotaalpie"/>
          <w:rFonts w:ascii="Verdana" w:hAnsi="Verdana" w:cs="Arial"/>
          <w:sz w:val="14"/>
          <w:szCs w:val="14"/>
          <w:vertAlign w:val="baseline"/>
        </w:rPr>
        <w:t>…</w:t>
      </w:r>
      <w:r w:rsidRPr="00D93E65">
        <w:rPr>
          <w:rFonts w:ascii="Verdana" w:hAnsi="Verdana" w:cs="Arial"/>
          <w:sz w:val="14"/>
          <w:szCs w:val="14"/>
        </w:rPr>
        <w:t>]</w:t>
      </w:r>
      <w:r w:rsidRPr="00D93E65">
        <w:rPr>
          <w:rStyle w:val="Refdenotaalpie"/>
          <w:rFonts w:ascii="Verdana" w:hAnsi="Verdana" w:cs="Arial"/>
          <w:sz w:val="14"/>
          <w:szCs w:val="14"/>
          <w:vertAlign w:val="baseline"/>
        </w:rPr>
        <w:t>   </w:t>
      </w:r>
    </w:p>
    <w:p w14:paraId="06DC3B94" w14:textId="7F17AFEE" w:rsidR="002C00CC" w:rsidRPr="00D93E65" w:rsidRDefault="002C00CC" w:rsidP="00D93E65">
      <w:pPr>
        <w:pStyle w:val="Textonotapie"/>
        <w:ind w:firstLine="707"/>
        <w:jc w:val="both"/>
        <w:rPr>
          <w:rFonts w:ascii="Verdana" w:hAnsi="Verdana" w:cs="Arial"/>
          <w:sz w:val="14"/>
          <w:szCs w:val="14"/>
          <w:lang w:val="es-ES"/>
        </w:rPr>
      </w:pPr>
      <w:r w:rsidRPr="00D93E65">
        <w:rPr>
          <w:rFonts w:ascii="Verdana" w:hAnsi="Verdana" w:cs="Arial"/>
          <w:sz w:val="14"/>
          <w:szCs w:val="14"/>
        </w:rPr>
        <w:t>“</w:t>
      </w:r>
      <w:r w:rsidRPr="00D93E65">
        <w:rPr>
          <w:rStyle w:val="Refdenotaalpie"/>
          <w:rFonts w:ascii="Verdana" w:hAnsi="Verdana" w:cs="Arial"/>
          <w:sz w:val="14"/>
          <w:szCs w:val="14"/>
          <w:vertAlign w:val="baseline"/>
        </w:rPr>
        <w:t>Es obligación de los distritos, con asiento en su respectiva jurisdicción y de los municipios la prestación del servicio público esencial a través de los cuerpos de bomberos oficiales o mediante la celebración de contratos y/o convenios con los cuerpos de bomberos voluntarios</w:t>
      </w:r>
      <w:r w:rsidRPr="00D93E65">
        <w:rPr>
          <w:rFonts w:ascii="Verdana" w:hAnsi="Verdana" w:cs="Arial"/>
          <w:sz w:val="14"/>
          <w:szCs w:val="14"/>
        </w:rPr>
        <w:t>”</w:t>
      </w:r>
      <w:r w:rsidRPr="00D93E65">
        <w:rPr>
          <w:rStyle w:val="Refdenotaalpie"/>
          <w:rFonts w:ascii="Verdana" w:hAnsi="Verdana" w:cs="Arial"/>
          <w:sz w:val="14"/>
          <w:szCs w:val="14"/>
          <w:vertAlign w:val="baseline"/>
        </w:rPr>
        <w:t>.</w:t>
      </w:r>
    </w:p>
  </w:footnote>
  <w:footnote w:id="29">
    <w:p w14:paraId="49E6539D" w14:textId="77777777" w:rsidR="002C00CC" w:rsidRPr="00D93E65" w:rsidRDefault="002C00CC" w:rsidP="005F3D28">
      <w:pPr>
        <w:spacing w:after="0" w:line="240" w:lineRule="auto"/>
        <w:ind w:firstLine="707"/>
        <w:jc w:val="both"/>
        <w:rPr>
          <w:rFonts w:ascii="Verdana" w:hAnsi="Verdana" w:cs="Arial"/>
          <w:sz w:val="14"/>
          <w:szCs w:val="14"/>
        </w:rPr>
      </w:pPr>
      <w:r w:rsidRPr="00D93E65">
        <w:rPr>
          <w:rStyle w:val="Refdenotaalpie"/>
          <w:rFonts w:ascii="Verdana" w:hAnsi="Verdana" w:cs="Arial"/>
          <w:sz w:val="14"/>
          <w:szCs w:val="14"/>
        </w:rPr>
        <w:footnoteRef/>
      </w:r>
      <w:r w:rsidRPr="00D93E65">
        <w:rPr>
          <w:rFonts w:ascii="Verdana" w:hAnsi="Verdana" w:cs="Arial"/>
          <w:sz w:val="14"/>
          <w:szCs w:val="14"/>
        </w:rPr>
        <w:t xml:space="preserve"> </w:t>
      </w:r>
      <w:r w:rsidRPr="00D93E65">
        <w:rPr>
          <w:rFonts w:ascii="Verdana" w:hAnsi="Verdana" w:cs="Arial"/>
          <w:position w:val="6"/>
          <w:sz w:val="14"/>
          <w:szCs w:val="14"/>
        </w:rPr>
        <w:t xml:space="preserve"> </w:t>
      </w:r>
      <w:r w:rsidRPr="00D93E65">
        <w:rPr>
          <w:rFonts w:ascii="Verdana" w:hAnsi="Verdana" w:cs="Arial"/>
          <w:sz w:val="14"/>
          <w:szCs w:val="14"/>
        </w:rPr>
        <w:t xml:space="preserve">Colombia Compra Eficiente. Concepto 2201913000008606, del 19 de noviembre de 2019. </w:t>
      </w:r>
    </w:p>
  </w:footnote>
  <w:footnote w:id="30">
    <w:p w14:paraId="24228661" w14:textId="77777777" w:rsidR="002C00CC" w:rsidRPr="00D93E65" w:rsidRDefault="002C00CC" w:rsidP="005F3D28">
      <w:pPr>
        <w:pStyle w:val="Textonotapie"/>
        <w:ind w:firstLine="707"/>
        <w:jc w:val="both"/>
        <w:rPr>
          <w:rFonts w:ascii="Verdana" w:hAnsi="Verdana" w:cs="Arial"/>
          <w:sz w:val="14"/>
          <w:szCs w:val="14"/>
          <w:lang w:val="es-CO"/>
        </w:rPr>
      </w:pPr>
      <w:r w:rsidRPr="00D93E65">
        <w:rPr>
          <w:rStyle w:val="Refdenotaalpie"/>
          <w:rFonts w:ascii="Verdana" w:hAnsi="Verdana" w:cs="Arial"/>
          <w:sz w:val="14"/>
          <w:szCs w:val="14"/>
        </w:rPr>
        <w:footnoteRef/>
      </w:r>
      <w:r w:rsidRPr="00D93E65">
        <w:rPr>
          <w:rFonts w:ascii="Verdana" w:hAnsi="Verdana" w:cs="Arial"/>
          <w:sz w:val="14"/>
          <w:szCs w:val="14"/>
        </w:rPr>
        <w:t xml:space="preserve"> “Artículo 9. Los distritos, municipios y territorios indígenas que no cuenten con sus propios Cuerpos de Bomberos Oficiales, o cuando la cobertura de éstos no sea la adecuada, de acuerdo con los parámetros que fije la Junta Nacional de Bomberos de Colombia, deberán contratar directamente con los Cuerpos de Bomberos Voluntarios, que se organicen conforme a la presente Ley, la prestación total o parcial según sea el caso del servicio público a su cargo”.</w:t>
      </w:r>
    </w:p>
  </w:footnote>
  <w:footnote w:id="31">
    <w:p w14:paraId="5B89F0A2" w14:textId="77777777" w:rsidR="002C00CC" w:rsidRPr="00D93E65" w:rsidRDefault="002C00CC" w:rsidP="00D93E65">
      <w:pPr>
        <w:pStyle w:val="Textonotapie"/>
        <w:ind w:firstLine="709"/>
        <w:jc w:val="both"/>
        <w:rPr>
          <w:rFonts w:ascii="Verdana" w:hAnsi="Verdana"/>
          <w:sz w:val="14"/>
          <w:szCs w:val="14"/>
        </w:rPr>
      </w:pPr>
      <w:r w:rsidRPr="00D93E65">
        <w:rPr>
          <w:rStyle w:val="Refdenotaalpie"/>
          <w:rFonts w:ascii="Verdana" w:hAnsi="Verdana"/>
          <w:sz w:val="14"/>
          <w:szCs w:val="14"/>
        </w:rPr>
        <w:footnoteRef/>
      </w:r>
      <w:r w:rsidRPr="00D93E65">
        <w:rPr>
          <w:rFonts w:ascii="Verdana" w:hAnsi="Verdana"/>
          <w:sz w:val="14"/>
          <w:szCs w:val="14"/>
        </w:rPr>
        <w:t xml:space="preserve">  Ley 1575 de 2012: “Los cuerpos de bomberos no podrán cobrar suma alguna a la ciudadanía o exigir compensación de cualquier naturaleza en contraprestación a los servicios de emergencia”.</w:t>
      </w:r>
    </w:p>
  </w:footnote>
  <w:footnote w:id="32">
    <w:p w14:paraId="55E155EF" w14:textId="77777777" w:rsidR="002C00CC" w:rsidRPr="00D93E65" w:rsidRDefault="002C00CC" w:rsidP="005F3D28">
      <w:pPr>
        <w:pStyle w:val="Textonotapie"/>
        <w:ind w:firstLine="709"/>
        <w:jc w:val="both"/>
        <w:rPr>
          <w:rFonts w:ascii="Verdana" w:hAnsi="Verdana"/>
          <w:sz w:val="14"/>
          <w:szCs w:val="14"/>
        </w:rPr>
      </w:pPr>
      <w:r w:rsidRPr="00D93E65">
        <w:rPr>
          <w:rStyle w:val="Refdenotaalpie"/>
          <w:rFonts w:ascii="Verdana" w:hAnsi="Verdana"/>
          <w:sz w:val="14"/>
          <w:szCs w:val="14"/>
        </w:rPr>
        <w:footnoteRef/>
      </w:r>
      <w:r w:rsidRPr="00D93E65">
        <w:rPr>
          <w:rFonts w:ascii="Verdana" w:hAnsi="Verdana"/>
          <w:sz w:val="14"/>
          <w:szCs w:val="14"/>
        </w:rPr>
        <w:t xml:space="preserve"> Ley 1523 de 2012: “</w:t>
      </w:r>
      <w:r w:rsidRPr="00D93E65">
        <w:rPr>
          <w:rFonts w:ascii="Verdana" w:hAnsi="Verdana"/>
          <w:sz w:val="14"/>
          <w:szCs w:val="14"/>
          <w:lang w:val="es-CO"/>
        </w:rPr>
        <w:t>Artículo 4°. </w:t>
      </w:r>
      <w:r w:rsidRPr="00D93E65">
        <w:rPr>
          <w:rFonts w:ascii="Verdana" w:hAnsi="Verdana"/>
          <w:i/>
          <w:iCs/>
          <w:sz w:val="14"/>
          <w:szCs w:val="14"/>
          <w:lang w:val="es-CO"/>
        </w:rPr>
        <w:t>Definiciones. </w:t>
      </w:r>
      <w:r w:rsidRPr="00D93E65">
        <w:rPr>
          <w:rFonts w:ascii="Verdana" w:hAnsi="Verdana"/>
          <w:sz w:val="14"/>
          <w:szCs w:val="14"/>
          <w:lang w:val="es-CO"/>
        </w:rPr>
        <w:t>Para efectos de la presente ley se entenderá por:</w:t>
      </w:r>
      <w:r w:rsidRPr="00D93E65">
        <w:rPr>
          <w:rFonts w:ascii="Verdana" w:hAnsi="Verdana"/>
          <w:sz w:val="14"/>
          <w:szCs w:val="14"/>
        </w:rPr>
        <w:t xml:space="preserve"> </w:t>
      </w:r>
    </w:p>
    <w:p w14:paraId="40AA9EEC" w14:textId="77777777" w:rsidR="002C00CC" w:rsidRPr="00D93E65" w:rsidRDefault="002C00CC" w:rsidP="00E521A7">
      <w:pPr>
        <w:pStyle w:val="Textonotapie"/>
        <w:ind w:firstLine="709"/>
        <w:jc w:val="both"/>
        <w:rPr>
          <w:rFonts w:ascii="Verdana" w:hAnsi="Verdana"/>
          <w:sz w:val="14"/>
          <w:szCs w:val="14"/>
        </w:rPr>
      </w:pPr>
      <w:r w:rsidRPr="00D93E65">
        <w:rPr>
          <w:rFonts w:ascii="Verdana" w:hAnsi="Verdana"/>
          <w:sz w:val="14"/>
          <w:szCs w:val="14"/>
        </w:rPr>
        <w:t>[…]</w:t>
      </w:r>
    </w:p>
    <w:p w14:paraId="6C9F8931" w14:textId="77777777" w:rsidR="002C00CC" w:rsidRPr="00D93E65" w:rsidRDefault="002C00CC">
      <w:pPr>
        <w:pStyle w:val="Textonotapie"/>
        <w:ind w:firstLine="709"/>
        <w:jc w:val="both"/>
        <w:rPr>
          <w:rFonts w:ascii="Verdana" w:hAnsi="Verdana"/>
          <w:sz w:val="14"/>
          <w:szCs w:val="14"/>
          <w:lang w:val="es-CO"/>
        </w:rPr>
      </w:pPr>
      <w:r w:rsidRPr="00D93E65">
        <w:rPr>
          <w:rFonts w:ascii="Verdana" w:hAnsi="Verdana"/>
          <w:sz w:val="14"/>
          <w:szCs w:val="14"/>
          <w:lang w:val="es-CO"/>
        </w:rPr>
        <w:t>17. Preparación: Es el conjunto de acciones principalmente de coordinación, sistemas de alerta, capacitación, equipamiento, centros de reserva y albergues y entrenamiento, con el propósito de optimizar la ejecución de los diferentes servicios básicos de respuesta, como accesibilidad y transporte, telecomunicaciones, evaluación de daños y análisis de necesidades, salud y saneamiento básico, búsqueda y rescate, extinción de incendios y manejo de materiales peligrosos, albergues y alimentación, servicios públicos, seguridad y convivencia, aspectos financieros y legales, información pública y el manejo general de la respuesta, entre otros.</w:t>
      </w:r>
    </w:p>
    <w:p w14:paraId="3F5F0540" w14:textId="77777777" w:rsidR="002C00CC" w:rsidRPr="00D93E65" w:rsidRDefault="002C00CC">
      <w:pPr>
        <w:pStyle w:val="Textonotapie"/>
        <w:ind w:firstLine="709"/>
        <w:jc w:val="both"/>
        <w:rPr>
          <w:rFonts w:ascii="Verdana" w:hAnsi="Verdana"/>
          <w:sz w:val="14"/>
          <w:szCs w:val="14"/>
        </w:rPr>
      </w:pPr>
      <w:r w:rsidRPr="00D93E65">
        <w:rPr>
          <w:rFonts w:ascii="Verdana" w:hAnsi="Verdana"/>
          <w:sz w:val="14"/>
          <w:szCs w:val="14"/>
        </w:rPr>
        <w:t>[…]</w:t>
      </w:r>
    </w:p>
    <w:p w14:paraId="3B594A2F" w14:textId="77777777" w:rsidR="002C00CC" w:rsidRPr="00D93E65" w:rsidRDefault="002C00CC">
      <w:pPr>
        <w:pStyle w:val="Textonotapie"/>
        <w:ind w:firstLine="709"/>
        <w:jc w:val="both"/>
        <w:rPr>
          <w:rFonts w:ascii="Verdana" w:hAnsi="Verdana"/>
          <w:sz w:val="14"/>
          <w:szCs w:val="14"/>
          <w:lang w:val="es-CO"/>
        </w:rPr>
      </w:pPr>
      <w:r w:rsidRPr="00D93E65">
        <w:rPr>
          <w:rFonts w:ascii="Verdana" w:hAnsi="Verdana"/>
          <w:sz w:val="14"/>
          <w:szCs w:val="14"/>
          <w:lang w:val="es-CO"/>
        </w:rPr>
        <w:t>24. Respuesta: Ejecución de las actividades necesarias para la atención de la emergencia como accesibilidad y transporte, telecomunicaciones, evaluación de daños y análisis de necesidades, salud y saneamiento básico, búsqueda y rescate, extinción de incendios y manejo de materiales peligrosos, albergues y alimentación, servicios públicos, seguridad y convivencia, aspectos financieros y legales, información pública y el manejo general de la respuesta, entre otros. La efectividad de la respuesta depende de la calidad de preparación.</w:t>
      </w:r>
    </w:p>
    <w:p w14:paraId="6B7FB00F" w14:textId="77777777" w:rsidR="002C00CC" w:rsidRPr="00D93E65" w:rsidRDefault="002C00CC">
      <w:pPr>
        <w:pStyle w:val="Textonotapie"/>
        <w:ind w:firstLine="709"/>
        <w:jc w:val="both"/>
        <w:rPr>
          <w:rFonts w:ascii="Verdana" w:hAnsi="Verdana"/>
          <w:sz w:val="14"/>
          <w:szCs w:val="14"/>
          <w:lang w:val="es-CO"/>
        </w:rPr>
      </w:pPr>
      <w:r w:rsidRPr="00D93E65">
        <w:rPr>
          <w:rFonts w:ascii="Verdana" w:hAnsi="Verdana"/>
          <w:sz w:val="14"/>
          <w:szCs w:val="14"/>
          <w:lang w:val="es-CO"/>
        </w:rPr>
        <w:t>[…]</w:t>
      </w:r>
    </w:p>
    <w:p w14:paraId="1C921820" w14:textId="77777777" w:rsidR="002C00CC" w:rsidRPr="00D93E65" w:rsidRDefault="002C00CC">
      <w:pPr>
        <w:pStyle w:val="Textonotapie"/>
        <w:ind w:firstLine="709"/>
        <w:jc w:val="both"/>
        <w:rPr>
          <w:rFonts w:ascii="Verdana" w:hAnsi="Verdana"/>
          <w:sz w:val="14"/>
          <w:szCs w:val="14"/>
        </w:rPr>
      </w:pPr>
      <w:r w:rsidRPr="00D93E65">
        <w:rPr>
          <w:rFonts w:ascii="Verdana" w:hAnsi="Verdana"/>
          <w:sz w:val="14"/>
          <w:szCs w:val="14"/>
        </w:rPr>
        <w:t xml:space="preserve">Artículo 35. </w:t>
      </w:r>
      <w:r w:rsidRPr="00D93E65">
        <w:rPr>
          <w:rFonts w:ascii="Verdana" w:hAnsi="Verdana"/>
          <w:i/>
          <w:iCs/>
          <w:sz w:val="14"/>
          <w:szCs w:val="14"/>
        </w:rPr>
        <w:t>Estrategia Nacional para la Respuesta a Emergencias. </w:t>
      </w:r>
      <w:r w:rsidRPr="00D93E65">
        <w:rPr>
          <w:rFonts w:ascii="Verdana" w:hAnsi="Verdana"/>
          <w:sz w:val="14"/>
          <w:szCs w:val="14"/>
        </w:rPr>
        <w:t>La estrategia nacional para la respuesta a emergencias es el marco de actuación de las entidades del sistema nacional de gestión del riesgo para la reacción y atención de emergencias. Se refiere a todos los aspectos que deben activarse por las entidades en forma individual y colectiva con el propósito de ejecutar la respuesta a emergencias de manera oportuna y efectiva.</w:t>
      </w:r>
    </w:p>
    <w:p w14:paraId="2BB45406" w14:textId="77777777" w:rsidR="002C00CC" w:rsidRPr="00D93E65" w:rsidRDefault="002C00CC">
      <w:pPr>
        <w:pStyle w:val="Textonotapie"/>
        <w:ind w:firstLine="709"/>
        <w:jc w:val="both"/>
        <w:rPr>
          <w:rFonts w:ascii="Verdana" w:hAnsi="Verdana"/>
          <w:sz w:val="14"/>
          <w:szCs w:val="14"/>
        </w:rPr>
      </w:pPr>
      <w:r w:rsidRPr="00D93E65">
        <w:rPr>
          <w:rFonts w:ascii="Verdana" w:hAnsi="Verdana"/>
          <w:sz w:val="14"/>
          <w:szCs w:val="14"/>
        </w:rPr>
        <w:t>Parágrafo.</w:t>
      </w:r>
    </w:p>
    <w:p w14:paraId="1793AC16" w14:textId="0ABC0D1F" w:rsidR="002C00CC" w:rsidRPr="00D93E65" w:rsidRDefault="002C00CC" w:rsidP="00D93E65">
      <w:pPr>
        <w:pStyle w:val="Textonotapie"/>
        <w:ind w:firstLine="709"/>
        <w:jc w:val="both"/>
        <w:rPr>
          <w:rFonts w:ascii="Verdana" w:hAnsi="Verdana"/>
          <w:sz w:val="14"/>
          <w:szCs w:val="14"/>
          <w:lang w:val="es-CO"/>
        </w:rPr>
      </w:pPr>
      <w:r w:rsidRPr="00D93E65">
        <w:rPr>
          <w:rFonts w:ascii="Verdana" w:hAnsi="Verdana"/>
          <w:sz w:val="14"/>
          <w:szCs w:val="14"/>
        </w:rPr>
        <w:t>La estrategia nacional para la respuesta a emergencias, como una acción de preparación para la respuesta que busca la efectividad de la actuación interinstitucional, en los tres niveles de gobierno, se centrará principalmente en la optimización de la prestación de servicios básicos durante la respuesta como accesibilidad y transporte, comunicaciones, evaluación de daños y análisis de necesidades, salud y saneamiento básico, búsqueda y rescate, extinción de incendios y manejo de materiales peligrosos, albergues y alimentación, servicios públicos, seguridad y convivencia, aspectos financieros y legales, información pública, información geográfica, el manejo general de la respuesta y definición de estados de alerta, entre otros”.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pt;height: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675A6FB0"/>
    <w:lvl w:ilvl="0" w:tplc="15EC6280">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790465B"/>
    <w:multiLevelType w:val="hybridMultilevel"/>
    <w:tmpl w:val="CCC65A98"/>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08103598">
    <w:abstractNumId w:val="5"/>
  </w:num>
  <w:num w:numId="2" w16cid:durableId="278490552">
    <w:abstractNumId w:val="1"/>
  </w:num>
  <w:num w:numId="3" w16cid:durableId="305277796">
    <w:abstractNumId w:val="3"/>
  </w:num>
  <w:num w:numId="4" w16cid:durableId="128982040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650258787">
    <w:abstractNumId w:val="1"/>
  </w:num>
  <w:num w:numId="6" w16cid:durableId="1026055824">
    <w:abstractNumId w:val="13"/>
  </w:num>
  <w:num w:numId="7" w16cid:durableId="266547962">
    <w:abstractNumId w:val="4"/>
  </w:num>
  <w:num w:numId="8" w16cid:durableId="9642672">
    <w:abstractNumId w:val="12"/>
  </w:num>
  <w:num w:numId="9" w16cid:durableId="1723944429">
    <w:abstractNumId w:val="6"/>
  </w:num>
  <w:num w:numId="10" w16cid:durableId="259143712">
    <w:abstractNumId w:val="11"/>
  </w:num>
  <w:num w:numId="11" w16cid:durableId="1037436587">
    <w:abstractNumId w:val="7"/>
  </w:num>
  <w:num w:numId="12" w16cid:durableId="65152839">
    <w:abstractNumId w:val="0"/>
  </w:num>
  <w:num w:numId="13" w16cid:durableId="2008942795">
    <w:abstractNumId w:val="2"/>
  </w:num>
  <w:num w:numId="14" w16cid:durableId="311327210">
    <w:abstractNumId w:val="14"/>
  </w:num>
  <w:num w:numId="15" w16cid:durableId="1597708298">
    <w:abstractNumId w:val="9"/>
  </w:num>
  <w:num w:numId="16" w16cid:durableId="1569146480">
    <w:abstractNumId w:val="8"/>
  </w:num>
  <w:num w:numId="17" w16cid:durableId="49696310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1335"/>
    <w:rsid w:val="000D5DA7"/>
    <w:rsid w:val="000F6486"/>
    <w:rsid w:val="0010062D"/>
    <w:rsid w:val="00116940"/>
    <w:rsid w:val="00125105"/>
    <w:rsid w:val="00127233"/>
    <w:rsid w:val="00130202"/>
    <w:rsid w:val="0015699B"/>
    <w:rsid w:val="001A33BF"/>
    <w:rsid w:val="001E4177"/>
    <w:rsid w:val="001F0B24"/>
    <w:rsid w:val="001F7DC6"/>
    <w:rsid w:val="00203C21"/>
    <w:rsid w:val="0022400B"/>
    <w:rsid w:val="002421BB"/>
    <w:rsid w:val="002534EF"/>
    <w:rsid w:val="0025796E"/>
    <w:rsid w:val="002707A2"/>
    <w:rsid w:val="002951A0"/>
    <w:rsid w:val="002962BC"/>
    <w:rsid w:val="002A093D"/>
    <w:rsid w:val="002A0DD0"/>
    <w:rsid w:val="002A49AC"/>
    <w:rsid w:val="002A64FD"/>
    <w:rsid w:val="002A652C"/>
    <w:rsid w:val="002C00CC"/>
    <w:rsid w:val="002C7A84"/>
    <w:rsid w:val="002E294E"/>
    <w:rsid w:val="002E2BF8"/>
    <w:rsid w:val="002E4FD9"/>
    <w:rsid w:val="0030657A"/>
    <w:rsid w:val="00322A85"/>
    <w:rsid w:val="00324168"/>
    <w:rsid w:val="00330834"/>
    <w:rsid w:val="003448F4"/>
    <w:rsid w:val="00374F5E"/>
    <w:rsid w:val="00377E3E"/>
    <w:rsid w:val="003A779E"/>
    <w:rsid w:val="003D0F4D"/>
    <w:rsid w:val="003D2E63"/>
    <w:rsid w:val="003D5B0D"/>
    <w:rsid w:val="003E0499"/>
    <w:rsid w:val="003E4F80"/>
    <w:rsid w:val="003E6439"/>
    <w:rsid w:val="003F3941"/>
    <w:rsid w:val="003F3FB3"/>
    <w:rsid w:val="00406575"/>
    <w:rsid w:val="00414C74"/>
    <w:rsid w:val="0042722E"/>
    <w:rsid w:val="0044528D"/>
    <w:rsid w:val="00466E39"/>
    <w:rsid w:val="00467D8E"/>
    <w:rsid w:val="00497D6D"/>
    <w:rsid w:val="004A1847"/>
    <w:rsid w:val="004A305D"/>
    <w:rsid w:val="004F21C4"/>
    <w:rsid w:val="004F685F"/>
    <w:rsid w:val="005566E8"/>
    <w:rsid w:val="00574867"/>
    <w:rsid w:val="00591460"/>
    <w:rsid w:val="005A4D2B"/>
    <w:rsid w:val="005A65E0"/>
    <w:rsid w:val="005B3558"/>
    <w:rsid w:val="005C3777"/>
    <w:rsid w:val="005C5CDC"/>
    <w:rsid w:val="005D476C"/>
    <w:rsid w:val="005F3D28"/>
    <w:rsid w:val="006200BF"/>
    <w:rsid w:val="006219F8"/>
    <w:rsid w:val="006302F7"/>
    <w:rsid w:val="00646B9F"/>
    <w:rsid w:val="00665D70"/>
    <w:rsid w:val="006900D9"/>
    <w:rsid w:val="006A4550"/>
    <w:rsid w:val="00703F4B"/>
    <w:rsid w:val="00706C16"/>
    <w:rsid w:val="007340C3"/>
    <w:rsid w:val="00746B65"/>
    <w:rsid w:val="0075235A"/>
    <w:rsid w:val="00756841"/>
    <w:rsid w:val="007649AB"/>
    <w:rsid w:val="00771D0C"/>
    <w:rsid w:val="007833AC"/>
    <w:rsid w:val="007B268C"/>
    <w:rsid w:val="007B7171"/>
    <w:rsid w:val="007C0C0F"/>
    <w:rsid w:val="007C20CE"/>
    <w:rsid w:val="007C3DC2"/>
    <w:rsid w:val="007E41C8"/>
    <w:rsid w:val="007E5497"/>
    <w:rsid w:val="00806F5F"/>
    <w:rsid w:val="00820278"/>
    <w:rsid w:val="008258C9"/>
    <w:rsid w:val="00844AE9"/>
    <w:rsid w:val="00867F95"/>
    <w:rsid w:val="008843B6"/>
    <w:rsid w:val="00885C4F"/>
    <w:rsid w:val="00891928"/>
    <w:rsid w:val="008A446D"/>
    <w:rsid w:val="008B25F1"/>
    <w:rsid w:val="008B4A9D"/>
    <w:rsid w:val="008C6276"/>
    <w:rsid w:val="008D180B"/>
    <w:rsid w:val="008F0EA7"/>
    <w:rsid w:val="00923EEF"/>
    <w:rsid w:val="009419F9"/>
    <w:rsid w:val="0095685E"/>
    <w:rsid w:val="00961B09"/>
    <w:rsid w:val="00965334"/>
    <w:rsid w:val="0097093E"/>
    <w:rsid w:val="00996BB9"/>
    <w:rsid w:val="009A0DFA"/>
    <w:rsid w:val="009A1C6F"/>
    <w:rsid w:val="009A2F7E"/>
    <w:rsid w:val="009B2D26"/>
    <w:rsid w:val="009C71FA"/>
    <w:rsid w:val="009C72E7"/>
    <w:rsid w:val="009C7F7E"/>
    <w:rsid w:val="009D3058"/>
    <w:rsid w:val="009F3A13"/>
    <w:rsid w:val="00A122D3"/>
    <w:rsid w:val="00A14468"/>
    <w:rsid w:val="00A17F13"/>
    <w:rsid w:val="00A20739"/>
    <w:rsid w:val="00A23AF9"/>
    <w:rsid w:val="00A33C78"/>
    <w:rsid w:val="00AB0ADB"/>
    <w:rsid w:val="00AE121B"/>
    <w:rsid w:val="00AE5FC3"/>
    <w:rsid w:val="00AF0230"/>
    <w:rsid w:val="00B00C0E"/>
    <w:rsid w:val="00B01B1A"/>
    <w:rsid w:val="00B0381D"/>
    <w:rsid w:val="00B44A47"/>
    <w:rsid w:val="00B62222"/>
    <w:rsid w:val="00B72320"/>
    <w:rsid w:val="00B72CD3"/>
    <w:rsid w:val="00B72FFF"/>
    <w:rsid w:val="00B7319B"/>
    <w:rsid w:val="00BC3D36"/>
    <w:rsid w:val="00BD54A6"/>
    <w:rsid w:val="00BD7F72"/>
    <w:rsid w:val="00BF7425"/>
    <w:rsid w:val="00C04FB3"/>
    <w:rsid w:val="00C11D8B"/>
    <w:rsid w:val="00C15139"/>
    <w:rsid w:val="00C330EB"/>
    <w:rsid w:val="00C50D69"/>
    <w:rsid w:val="00C5365C"/>
    <w:rsid w:val="00C703E4"/>
    <w:rsid w:val="00C754BE"/>
    <w:rsid w:val="00C76B1C"/>
    <w:rsid w:val="00C771C1"/>
    <w:rsid w:val="00C87EB5"/>
    <w:rsid w:val="00C925AC"/>
    <w:rsid w:val="00CB6357"/>
    <w:rsid w:val="00CC1B26"/>
    <w:rsid w:val="00CC77D2"/>
    <w:rsid w:val="00CE09BE"/>
    <w:rsid w:val="00D361FD"/>
    <w:rsid w:val="00D423A2"/>
    <w:rsid w:val="00D44E26"/>
    <w:rsid w:val="00D512AD"/>
    <w:rsid w:val="00D520D8"/>
    <w:rsid w:val="00D63AC2"/>
    <w:rsid w:val="00D7383B"/>
    <w:rsid w:val="00D743F6"/>
    <w:rsid w:val="00D7788A"/>
    <w:rsid w:val="00D93E65"/>
    <w:rsid w:val="00DA231B"/>
    <w:rsid w:val="00DC39FC"/>
    <w:rsid w:val="00DF5254"/>
    <w:rsid w:val="00E02524"/>
    <w:rsid w:val="00E16408"/>
    <w:rsid w:val="00E20894"/>
    <w:rsid w:val="00E245AB"/>
    <w:rsid w:val="00E2764C"/>
    <w:rsid w:val="00E27F2E"/>
    <w:rsid w:val="00E50AFE"/>
    <w:rsid w:val="00E521A7"/>
    <w:rsid w:val="00E608C0"/>
    <w:rsid w:val="00E75C92"/>
    <w:rsid w:val="00E771DC"/>
    <w:rsid w:val="00E8772A"/>
    <w:rsid w:val="00E90F6B"/>
    <w:rsid w:val="00E92C27"/>
    <w:rsid w:val="00EA0469"/>
    <w:rsid w:val="00EA0E3D"/>
    <w:rsid w:val="00EA632C"/>
    <w:rsid w:val="00EB5921"/>
    <w:rsid w:val="00EC0471"/>
    <w:rsid w:val="00EC38A7"/>
    <w:rsid w:val="00EE1AA8"/>
    <w:rsid w:val="00F23FEA"/>
    <w:rsid w:val="00F31EDC"/>
    <w:rsid w:val="00F462B3"/>
    <w:rsid w:val="00F5664F"/>
    <w:rsid w:val="00F666C4"/>
    <w:rsid w:val="00F76AFC"/>
    <w:rsid w:val="00F90911"/>
    <w:rsid w:val="00FA47C0"/>
    <w:rsid w:val="00FB24A9"/>
    <w:rsid w:val="00FB5DD1"/>
    <w:rsid w:val="00FC2B5D"/>
    <w:rsid w:val="00FE433C"/>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2C00CC"/>
    <w:pPr>
      <w:spacing w:line="240" w:lineRule="exact"/>
    </w:pPr>
    <w:rPr>
      <w:vertAlign w:val="superscript"/>
    </w:rPr>
  </w:style>
  <w:style w:type="character" w:customStyle="1" w:styleId="baj">
    <w:name w:val="b_aj"/>
    <w:basedOn w:val="Fuentedeprrafopredeter"/>
    <w:rsid w:val="002C00CC"/>
  </w:style>
  <w:style w:type="character" w:customStyle="1" w:styleId="NormalWebCar">
    <w:name w:val="Normal (Web) Car"/>
    <w:link w:val="NormalWeb"/>
    <w:uiPriority w:val="99"/>
    <w:locked/>
    <w:rsid w:val="002C00CC"/>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C00CC"/>
    <w:rPr>
      <w:rFonts w:ascii="Geomanist Light" w:hAnsi="Geomanist Light"/>
      <w:lang w:val="es-ES"/>
    </w:rPr>
  </w:style>
  <w:style w:type="character" w:customStyle="1" w:styleId="s15">
    <w:name w:val="s15"/>
    <w:basedOn w:val="Fuentedeprrafopredeter"/>
    <w:rsid w:val="002C00CC"/>
  </w:style>
  <w:style w:type="character" w:customStyle="1" w:styleId="apple-converted-space">
    <w:name w:val="apple-converted-space"/>
    <w:basedOn w:val="Fuentedeprrafopredeter"/>
    <w:rsid w:val="002C00CC"/>
  </w:style>
  <w:style w:type="character" w:styleId="Refdecomentario">
    <w:name w:val="annotation reference"/>
    <w:basedOn w:val="Fuentedeprrafopredeter"/>
    <w:uiPriority w:val="99"/>
    <w:semiHidden/>
    <w:unhideWhenUsed/>
    <w:rsid w:val="00996BB9"/>
    <w:rPr>
      <w:sz w:val="16"/>
      <w:szCs w:val="16"/>
    </w:rPr>
  </w:style>
  <w:style w:type="paragraph" w:styleId="Textocomentario">
    <w:name w:val="annotation text"/>
    <w:basedOn w:val="Normal"/>
    <w:link w:val="TextocomentarioCar"/>
    <w:uiPriority w:val="99"/>
    <w:semiHidden/>
    <w:unhideWhenUsed/>
    <w:rsid w:val="00996BB9"/>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996BB9"/>
    <w:rPr>
      <w:sz w:val="20"/>
      <w:szCs w:val="20"/>
    </w:rPr>
  </w:style>
  <w:style w:type="paragraph" w:styleId="Asuntodelcomentario">
    <w:name w:val="annotation subject"/>
    <w:basedOn w:val="Textocomentario"/>
    <w:next w:val="Textocomentario"/>
    <w:link w:val="AsuntodelcomentarioCar"/>
    <w:uiPriority w:val="99"/>
    <w:semiHidden/>
    <w:unhideWhenUsed/>
    <w:rsid w:val="00996BB9"/>
    <w:rPr>
      <w:b/>
      <w:bCs/>
    </w:rPr>
  </w:style>
  <w:style w:type="character" w:customStyle="1" w:styleId="AsuntodelcomentarioCar">
    <w:name w:val="Asunto del comentario Car"/>
    <w:basedOn w:val="TextocomentarioCar"/>
    <w:link w:val="Asuntodelcomentario"/>
    <w:uiPriority w:val="99"/>
    <w:semiHidden/>
    <w:rsid w:val="00996BB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alcaldia@planadas-tolima.gov.co" TargetMode="External"/><Relationship Id="rId18" Type="http://schemas.openxmlformats.org/officeDocument/2006/relationships/image" Target="media/image4.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3.png"/><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formacionvirtual.colombiacompra.gov.co/mod/page/view.php?id=3718"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7F5EAFE3-251C-495D-B369-898172EAD5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6DB0A3-EF63-4678-888E-7BBE86862C10}">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37</TotalTime>
  <Pages>32</Pages>
  <Words>10587</Words>
  <Characters>58231</Characters>
  <Application>Microsoft Office Word</Application>
  <DocSecurity>0</DocSecurity>
  <Lines>485</Lines>
  <Paragraphs>137</Paragraphs>
  <ScaleCrop>false</ScaleCrop>
  <Company/>
  <LinksUpToDate>false</LinksUpToDate>
  <CharactersWithSpaces>68681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Camila Alejandra Naranjo Gómez</cp:lastModifiedBy>
  <cp:revision>10</cp:revision>
  <cp:lastPrinted>2023-01-10T21:18:00Z</cp:lastPrinted>
  <dcterms:created xsi:type="dcterms:W3CDTF">2026-03-30T13:32:00Z</dcterms:created>
  <dcterms:modified xsi:type="dcterms:W3CDTF">2026-05-14T23:06:00Z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