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B3BCD" w14:textId="75F52F07" w:rsidR="008774DB" w:rsidRPr="00832CD6" w:rsidRDefault="008774DB" w:rsidP="00C6754C">
      <w:pPr>
        <w:shd w:val="clear" w:color="auto" w:fill="FFFFFF"/>
        <w:spacing w:after="120" w:line="276" w:lineRule="auto"/>
        <w:ind w:right="51"/>
        <w:jc w:val="both"/>
        <w:rPr>
          <w:rFonts w:ascii="Verdana" w:eastAsia="Calibri" w:hAnsi="Verdana" w:cs="Arial"/>
          <w:b/>
          <w:bCs/>
          <w:lang w:val="es-ES"/>
        </w:rPr>
      </w:pPr>
      <w:bookmarkStart w:id="0" w:name="_Hlk143780582"/>
      <w:r w:rsidRPr="008774DB">
        <w:rPr>
          <w:rFonts w:ascii="Verdana" w:hAnsi="Verdana"/>
          <w:b/>
          <w:bCs/>
        </w:rPr>
        <w:t xml:space="preserve">EMPRESAS DE SERVICIOS PÚBLICOS DOMICILIARIOS – Régimen </w:t>
      </w:r>
      <w:r w:rsidRPr="008774DB">
        <w:rPr>
          <w:rFonts w:ascii="Verdana" w:eastAsia="Calibri" w:hAnsi="Verdana" w:cs="Arial"/>
          <w:b/>
          <w:bCs/>
          <w:lang w:val="es-ES"/>
        </w:rPr>
        <w:t>jurídico</w:t>
      </w:r>
    </w:p>
    <w:p w14:paraId="357462F9" w14:textId="7A314905" w:rsidR="008774DB" w:rsidRPr="008774DB" w:rsidRDefault="008774DB" w:rsidP="00C6754C">
      <w:pPr>
        <w:shd w:val="clear" w:color="auto" w:fill="FFFFFF"/>
        <w:spacing w:after="120" w:line="276" w:lineRule="auto"/>
        <w:ind w:right="51"/>
        <w:jc w:val="both"/>
        <w:rPr>
          <w:rFonts w:ascii="Verdana" w:hAnsi="Verdana"/>
          <w:sz w:val="20"/>
          <w:szCs w:val="20"/>
        </w:rPr>
      </w:pPr>
      <w:r w:rsidRPr="008774DB">
        <w:rPr>
          <w:rFonts w:ascii="Verdana" w:eastAsia="Calibri" w:hAnsi="Verdana" w:cs="Arial"/>
          <w:lang w:val="es-ES"/>
        </w:rPr>
        <w:t>En relación con el régimen de</w:t>
      </w:r>
      <w:r w:rsidRPr="008774DB">
        <w:rPr>
          <w:rFonts w:ascii="Verdana" w:hAnsi="Verdana"/>
          <w:sz w:val="20"/>
          <w:szCs w:val="20"/>
        </w:rPr>
        <w:t xml:space="preserve"> contratación de las empresas de servicios públicos, el artículo 31 de la Ley 142 de 1994, modificado por el artículo 3 de la Ley 689 de 2001, dispone que los contratos que celebren las entidades estatales que prestan los servicios públicos domiciliarios </w:t>
      </w:r>
      <w:r w:rsidRPr="008774DB">
        <w:rPr>
          <w:rFonts w:ascii="Verdana" w:hAnsi="Verdana"/>
          <w:i/>
          <w:iCs/>
          <w:sz w:val="20"/>
          <w:szCs w:val="20"/>
        </w:rPr>
        <w:t>“no estarán sujetos a las disposiciones del Estatuto General de Contratación de la Administración Pública, salvo en lo que la presente ley disponga otra cosa”</w:t>
      </w:r>
      <w:r w:rsidRPr="008774DB">
        <w:rPr>
          <w:rFonts w:ascii="Verdana" w:hAnsi="Verdana"/>
          <w:sz w:val="20"/>
          <w:szCs w:val="20"/>
        </w:rPr>
        <w:t>. Por su parte, el artículo 32 de la Ley 142 consagra el régimen de derecho privado para las empresas de servicios públicos domiciliarios, indicando que sus actos se rigen por los principios y reglas aplicables a los particulares.</w:t>
      </w:r>
    </w:p>
    <w:p w14:paraId="4D05CBB7" w14:textId="77777777" w:rsidR="008774DB" w:rsidRPr="008774DB" w:rsidRDefault="008774DB" w:rsidP="00C6754C">
      <w:pPr>
        <w:spacing w:after="0"/>
        <w:jc w:val="both"/>
        <w:rPr>
          <w:rFonts w:ascii="Verdana" w:hAnsi="Verdana"/>
          <w:sz w:val="20"/>
          <w:szCs w:val="20"/>
        </w:rPr>
      </w:pPr>
      <w:r w:rsidRPr="008774DB">
        <w:rPr>
          <w:rFonts w:ascii="Verdana" w:hAnsi="Verdana"/>
          <w:sz w:val="20"/>
          <w:szCs w:val="20"/>
        </w:rPr>
        <w:t xml:space="preserve">Así, en la actividad contractual las empresas de servicios públicos se sujetan a las disposiciones del derecho privado, salvo en aquellos casos en que la normativa (Constitución Política, Ley 142 de 1994 u otras normas especiales) someta dicha actuación al </w:t>
      </w:r>
      <w:proofErr w:type="spellStart"/>
      <w:r w:rsidRPr="008774DB">
        <w:rPr>
          <w:rFonts w:ascii="Verdana" w:hAnsi="Verdana"/>
          <w:sz w:val="20"/>
          <w:szCs w:val="20"/>
        </w:rPr>
        <w:t>al</w:t>
      </w:r>
      <w:proofErr w:type="spellEnd"/>
      <w:r w:rsidRPr="008774DB">
        <w:rPr>
          <w:rFonts w:ascii="Verdana" w:hAnsi="Verdana"/>
          <w:sz w:val="20"/>
          <w:szCs w:val="20"/>
        </w:rPr>
        <w:t xml:space="preserve"> Estatuto General de Contratación de la Administración Pública.</w:t>
      </w:r>
    </w:p>
    <w:p w14:paraId="00612E93" w14:textId="77777777" w:rsidR="008774DB" w:rsidRDefault="008774DB" w:rsidP="00C6754C">
      <w:pPr>
        <w:spacing w:after="0"/>
        <w:jc w:val="both"/>
        <w:rPr>
          <w:rFonts w:ascii="Verdana" w:hAnsi="Verdana"/>
        </w:rPr>
      </w:pPr>
    </w:p>
    <w:p w14:paraId="1EC481AE" w14:textId="72106E80" w:rsidR="008774DB" w:rsidRPr="00832CD6" w:rsidRDefault="008774DB" w:rsidP="00C6754C">
      <w:pPr>
        <w:shd w:val="clear" w:color="auto" w:fill="FFFFFF"/>
        <w:spacing w:after="120" w:line="276" w:lineRule="auto"/>
        <w:ind w:right="51"/>
        <w:jc w:val="both"/>
        <w:rPr>
          <w:rFonts w:ascii="Verdana" w:eastAsia="Calibri" w:hAnsi="Verdana" w:cs="Arial"/>
          <w:b/>
          <w:bCs/>
          <w:lang w:val="es-ES"/>
        </w:rPr>
      </w:pPr>
      <w:r w:rsidRPr="008774DB">
        <w:rPr>
          <w:rFonts w:ascii="Verdana" w:eastAsia="Calibri" w:hAnsi="Verdana" w:cs="Arial"/>
          <w:b/>
          <w:bCs/>
          <w:lang w:val="es-ES"/>
        </w:rPr>
        <w:t xml:space="preserve">EMPRESAS DE SERVICIOS PÚBLICOS – Naturaleza </w:t>
      </w:r>
      <w:r w:rsidR="00832CD6">
        <w:rPr>
          <w:rFonts w:ascii="Verdana" w:eastAsia="Calibri" w:hAnsi="Verdana" w:cs="Arial"/>
          <w:b/>
          <w:bCs/>
          <w:lang w:val="es-ES"/>
        </w:rPr>
        <w:t xml:space="preserve">– Régimen </w:t>
      </w:r>
    </w:p>
    <w:p w14:paraId="5F0D6406" w14:textId="1FC32CE6" w:rsidR="00832CD6" w:rsidRPr="00832CD6" w:rsidRDefault="008774DB" w:rsidP="00C6754C">
      <w:pPr>
        <w:shd w:val="clear" w:color="auto" w:fill="FFFFFF"/>
        <w:spacing w:after="120" w:line="276" w:lineRule="auto"/>
        <w:ind w:right="51"/>
        <w:jc w:val="both"/>
        <w:rPr>
          <w:rFonts w:ascii="Verdana" w:hAnsi="Verdana"/>
          <w:sz w:val="20"/>
          <w:szCs w:val="20"/>
        </w:rPr>
      </w:pPr>
      <w:r w:rsidRPr="008774DB">
        <w:rPr>
          <w:rFonts w:ascii="Verdana" w:eastAsia="Calibri" w:hAnsi="Verdana" w:cs="Arial"/>
          <w:sz w:val="20"/>
          <w:szCs w:val="20"/>
          <w:lang w:val="es-ES"/>
        </w:rPr>
        <w:t>Las Empresas Prestadoras de Servicios Públicos tienen la naturaleza jurídica de empresas que pertenecen</w:t>
      </w:r>
      <w:r w:rsidRPr="008774DB">
        <w:rPr>
          <w:rFonts w:ascii="Verdana" w:hAnsi="Verdana"/>
          <w:sz w:val="20"/>
          <w:szCs w:val="20"/>
        </w:rPr>
        <w:t xml:space="preserve"> a la rama ejecutiva del poder público. El literal d) del artículo 38 de la Ley 489 de 1998 señala que las Empresas Sociales del Estado y las Empresas Oficiales de Servicios Públicos Domiciliarios pertenecen a las entidades de la Rama Ejecutiva del sector descentralizado por servicios. Además de confirmar que las Empresas de Servicios Públicos pertenecen a la rama ejecutiva, la Corte Constitucional sostuvo que tienen el carácter de entidades descentralizadas por servicios.</w:t>
      </w:r>
    </w:p>
    <w:p w14:paraId="176C1CE1" w14:textId="7667E96C" w:rsidR="00832CD6" w:rsidRPr="00832CD6" w:rsidRDefault="00832CD6" w:rsidP="00C6754C">
      <w:pPr>
        <w:shd w:val="clear" w:color="auto" w:fill="FFFFFF"/>
        <w:spacing w:after="120" w:line="276" w:lineRule="auto"/>
        <w:ind w:right="51"/>
        <w:jc w:val="both"/>
        <w:rPr>
          <w:rFonts w:ascii="Verdana" w:eastAsia="Calibri" w:hAnsi="Verdana" w:cs="Arial"/>
          <w:b/>
          <w:bCs/>
          <w:lang w:val="es-ES"/>
        </w:rPr>
      </w:pPr>
      <w:r w:rsidRPr="00832CD6">
        <w:rPr>
          <w:rFonts w:ascii="Verdana" w:eastAsia="Calibri" w:hAnsi="Verdana" w:cs="Arial"/>
          <w:b/>
          <w:bCs/>
          <w:lang w:val="es-ES"/>
        </w:rPr>
        <w:t>PRINCIPIO DE ANUALIDAD – Alcance – Rentas y gastos</w:t>
      </w:r>
    </w:p>
    <w:p w14:paraId="7616CFCA" w14:textId="46299BA7" w:rsidR="00832CD6" w:rsidRPr="00832CD6" w:rsidRDefault="00832CD6" w:rsidP="00C6754C">
      <w:pPr>
        <w:shd w:val="clear" w:color="auto" w:fill="FFFFFF"/>
        <w:spacing w:after="120" w:line="276" w:lineRule="auto"/>
        <w:ind w:right="51"/>
        <w:jc w:val="both"/>
        <w:rPr>
          <w:rFonts w:ascii="Verdana" w:hAnsi="Verdana"/>
          <w:sz w:val="20"/>
          <w:szCs w:val="20"/>
        </w:rPr>
      </w:pPr>
      <w:r w:rsidRPr="00832CD6">
        <w:rPr>
          <w:rFonts w:ascii="Verdana" w:eastAsia="Calibri" w:hAnsi="Verdana" w:cs="Arial"/>
          <w:lang w:val="es-ES"/>
        </w:rPr>
        <w:t>[…] el Estatuto Orgánico</w:t>
      </w:r>
      <w:r w:rsidRPr="00832CD6">
        <w:rPr>
          <w:rFonts w:ascii="Verdana" w:hAnsi="Verdana"/>
          <w:sz w:val="20"/>
          <w:szCs w:val="20"/>
        </w:rPr>
        <w:t xml:space="preserve">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 En el mismo sentido, el artículo 89 </w:t>
      </w:r>
      <w:r w:rsidRPr="00832CD6">
        <w:rPr>
          <w:rFonts w:ascii="Verdana" w:hAnsi="Verdana"/>
          <w:i/>
          <w:iCs/>
          <w:sz w:val="20"/>
          <w:szCs w:val="20"/>
        </w:rPr>
        <w:t>ibidem</w:t>
      </w:r>
      <w:r w:rsidRPr="00832CD6">
        <w:rPr>
          <w:rFonts w:ascii="Verdana" w:hAnsi="Verdana"/>
          <w:sz w:val="20"/>
          <w:szCs w:val="20"/>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832CD6">
        <w:rPr>
          <w:rFonts w:ascii="Verdana" w:hAnsi="Verdana"/>
          <w:sz w:val="20"/>
          <w:szCs w:val="20"/>
        </w:rPr>
        <w:t>contracreditarse</w:t>
      </w:r>
      <w:proofErr w:type="spellEnd"/>
      <w:r w:rsidRPr="00832CD6">
        <w:rPr>
          <w:rFonts w:ascii="Verdana" w:hAnsi="Verdana"/>
          <w:sz w:val="20"/>
          <w:szCs w:val="20"/>
        </w:rPr>
        <w:t>”.</w:t>
      </w:r>
    </w:p>
    <w:p w14:paraId="2678854E" w14:textId="59200BD4" w:rsidR="00832CD6" w:rsidRPr="00832CD6" w:rsidRDefault="00832CD6" w:rsidP="00C6754C">
      <w:pPr>
        <w:shd w:val="clear" w:color="auto" w:fill="FFFFFF"/>
        <w:spacing w:after="120" w:line="276" w:lineRule="auto"/>
        <w:ind w:right="51"/>
        <w:jc w:val="both"/>
        <w:rPr>
          <w:rFonts w:ascii="Verdana" w:hAnsi="Verdana"/>
          <w:sz w:val="20"/>
          <w:szCs w:val="20"/>
        </w:rPr>
      </w:pPr>
      <w:r w:rsidRPr="00832CD6">
        <w:rPr>
          <w:rFonts w:ascii="Verdana" w:hAnsi="Verdana"/>
          <w:sz w:val="20"/>
          <w:szCs w:val="20"/>
        </w:rPr>
        <w:t xml:space="preserve">A su turno, el artículo 8 de la Ley 819 de 2003 consagra el principio de anualidad al disponer que “la preparación y elaboración del Presupuesto General de la Nación y el de </w:t>
      </w:r>
      <w:r w:rsidRPr="00832CD6">
        <w:rPr>
          <w:rFonts w:ascii="Verdana" w:hAnsi="Verdana"/>
          <w:sz w:val="20"/>
          <w:szCs w:val="20"/>
        </w:rPr>
        <w:lastRenderedPageBreak/>
        <w:t>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342B81F5" w14:textId="6547F0C7" w:rsidR="008774DB" w:rsidRPr="00832CD6" w:rsidRDefault="00832CD6" w:rsidP="00C6754C">
      <w:pPr>
        <w:shd w:val="clear" w:color="auto" w:fill="FFFFFF"/>
        <w:spacing w:after="120" w:line="276" w:lineRule="auto"/>
        <w:ind w:right="51"/>
        <w:jc w:val="both"/>
        <w:rPr>
          <w:rFonts w:ascii="Verdana" w:hAnsi="Verdana"/>
          <w:b/>
          <w:bCs/>
        </w:rPr>
      </w:pPr>
      <w:r w:rsidRPr="00832CD6">
        <w:rPr>
          <w:rFonts w:ascii="Verdana" w:hAnsi="Verdana"/>
          <w:b/>
          <w:bCs/>
        </w:rPr>
        <w:t>PRINCIPIO DE ANUALIDAD – Alcance – Rentas y gastos</w:t>
      </w:r>
    </w:p>
    <w:p w14:paraId="2BD6DEED" w14:textId="05BC0B52" w:rsidR="008774DB" w:rsidRPr="00832CD6" w:rsidRDefault="00832CD6" w:rsidP="00C6754C">
      <w:pPr>
        <w:shd w:val="clear" w:color="auto" w:fill="FFFFFF"/>
        <w:spacing w:after="120" w:line="276" w:lineRule="auto"/>
        <w:ind w:right="51"/>
        <w:jc w:val="both"/>
        <w:rPr>
          <w:rFonts w:ascii="Verdana" w:hAnsi="Verdana" w:cs="Arial"/>
          <w:noProof/>
          <w:color w:val="000000" w:themeColor="text1"/>
          <w:sz w:val="20"/>
          <w:szCs w:val="20"/>
          <w:lang w:val="es-ES_tradnl"/>
        </w:rPr>
      </w:pPr>
      <w:r w:rsidRPr="00832CD6">
        <w:rPr>
          <w:rFonts w:ascii="Verdana" w:hAnsi="Verdana"/>
          <w:sz w:val="20"/>
          <w:szCs w:val="20"/>
        </w:rPr>
        <w:t>Por otra parte, la concesión ha sido tradicionalmente</w:t>
      </w:r>
      <w:r w:rsidRPr="00832CD6">
        <w:rPr>
          <w:rFonts w:ascii="Verdana" w:hAnsi="Verdana" w:cs="Arial"/>
          <w:noProof/>
          <w:color w:val="000000" w:themeColor="text1"/>
          <w:sz w:val="20"/>
          <w:szCs w:val="20"/>
          <w:lang w:val="es-ES_tradnl"/>
        </w:rPr>
        <w:t xml:space="preserve"> uno de los contratos estatales paradigmáticos, ya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en el futuro.</w:t>
      </w:r>
    </w:p>
    <w:p w14:paraId="481D6D81" w14:textId="5ECD517D" w:rsidR="00832CD6" w:rsidRPr="00832CD6" w:rsidRDefault="00832CD6" w:rsidP="00C6754C">
      <w:pPr>
        <w:shd w:val="clear" w:color="auto" w:fill="FFFFFF"/>
        <w:spacing w:after="120" w:line="276" w:lineRule="auto"/>
        <w:ind w:right="51"/>
        <w:jc w:val="both"/>
        <w:rPr>
          <w:rFonts w:ascii="Verdana" w:hAnsi="Verdana"/>
          <w:b/>
          <w:bCs/>
        </w:rPr>
      </w:pPr>
      <w:r w:rsidRPr="00832CD6">
        <w:rPr>
          <w:rFonts w:ascii="Verdana" w:hAnsi="Verdana"/>
          <w:b/>
          <w:bCs/>
        </w:rPr>
        <w:t>ANUALIDAD DEL GASTO – Alcance – Rentas contractuales </w:t>
      </w:r>
    </w:p>
    <w:p w14:paraId="3238908C" w14:textId="77777777" w:rsidR="00832CD6" w:rsidRPr="00832CD6" w:rsidRDefault="00832CD6" w:rsidP="00C6754C">
      <w:pPr>
        <w:shd w:val="clear" w:color="auto" w:fill="FFFFFF"/>
        <w:spacing w:after="120" w:line="276" w:lineRule="auto"/>
        <w:ind w:right="51"/>
        <w:jc w:val="both"/>
        <w:rPr>
          <w:rFonts w:ascii="Verdana" w:hAnsi="Verdana"/>
          <w:sz w:val="20"/>
          <w:szCs w:val="20"/>
        </w:rPr>
      </w:pPr>
      <w:r w:rsidRPr="00832CD6">
        <w:rPr>
          <w:rFonts w:ascii="Verdana" w:hAnsi="Verdana"/>
          <w:sz w:val="20"/>
          <w:szCs w:val="20"/>
        </w:rPr>
        <w:t>Las vigencias futuras, las cuentas por pagar y las reservas presupuestales son excepciones frente al principio de anualidad del gasto público, de modo que no son aplicables frente a la estimación de los ingresos, como es el caso de las rentas contractuales. Sin embargo, la Entidad deberá tener en cuenta en su planeación presupuestal la necesidad de hacer uso de dichas figuras cuando el contrato implique, además de ingresos o rentas, asumir compromisos presupuestales que deben ser ejecutados en una vigencia; como es el caso de los contratos de concesión en los que la entidad reconoce y paga una contraprestación al concesionario, en la forma de derechos, tarifas, tasas, valorización, participaciones en la explotación del bien, o una suma periódica o porcentual. En estos supuestos, la Entidad deberá considerar cuál de las figuras excepcionales a dicho principio es pertinente en el caso concreto.</w:t>
      </w:r>
    </w:p>
    <w:p w14:paraId="564DE0D6" w14:textId="77777777" w:rsidR="008774DB" w:rsidRDefault="008774DB" w:rsidP="00E245AB">
      <w:pPr>
        <w:spacing w:after="0"/>
        <w:rPr>
          <w:rFonts w:ascii="Verdana" w:hAnsi="Verdana"/>
        </w:rPr>
      </w:pPr>
    </w:p>
    <w:p w14:paraId="090ECB75" w14:textId="77777777" w:rsidR="008774DB" w:rsidRDefault="008774DB" w:rsidP="00E245AB">
      <w:pPr>
        <w:spacing w:after="0"/>
        <w:rPr>
          <w:rFonts w:ascii="Verdana" w:hAnsi="Verdana"/>
        </w:rPr>
      </w:pPr>
    </w:p>
    <w:p w14:paraId="6F0A8540" w14:textId="77777777" w:rsidR="008774DB" w:rsidRDefault="008774DB" w:rsidP="00E245AB">
      <w:pPr>
        <w:spacing w:after="0"/>
        <w:rPr>
          <w:rFonts w:ascii="Verdana" w:hAnsi="Verdana"/>
        </w:rPr>
      </w:pPr>
    </w:p>
    <w:p w14:paraId="791F93AE" w14:textId="77777777" w:rsidR="008774DB" w:rsidRDefault="008774DB" w:rsidP="00E245AB">
      <w:pPr>
        <w:spacing w:after="0"/>
        <w:rPr>
          <w:rFonts w:ascii="Verdana" w:hAnsi="Verdana"/>
        </w:rPr>
      </w:pPr>
    </w:p>
    <w:p w14:paraId="5B1335FC" w14:textId="77777777" w:rsidR="008774DB" w:rsidRDefault="008774DB" w:rsidP="00E245AB">
      <w:pPr>
        <w:spacing w:after="0"/>
        <w:rPr>
          <w:rFonts w:ascii="Verdana" w:hAnsi="Verdana"/>
        </w:rPr>
      </w:pPr>
    </w:p>
    <w:p w14:paraId="3DEACC24" w14:textId="77777777" w:rsidR="008774DB" w:rsidRDefault="008774DB" w:rsidP="00E245AB">
      <w:pPr>
        <w:spacing w:after="0"/>
        <w:rPr>
          <w:rFonts w:ascii="Verdana" w:hAnsi="Verdana"/>
        </w:rPr>
      </w:pPr>
    </w:p>
    <w:p w14:paraId="50EF100D" w14:textId="77777777" w:rsidR="008774DB" w:rsidRDefault="008774DB" w:rsidP="00E245AB">
      <w:pPr>
        <w:spacing w:after="0"/>
        <w:rPr>
          <w:rFonts w:ascii="Verdana" w:hAnsi="Verdana"/>
        </w:rPr>
      </w:pPr>
    </w:p>
    <w:p w14:paraId="1B7F1B4C" w14:textId="77777777" w:rsidR="008774DB" w:rsidRDefault="008774DB" w:rsidP="00E245AB">
      <w:pPr>
        <w:spacing w:after="0"/>
        <w:rPr>
          <w:rFonts w:ascii="Verdana" w:hAnsi="Verdana"/>
        </w:rPr>
      </w:pPr>
    </w:p>
    <w:p w14:paraId="1D22FB8F" w14:textId="77777777" w:rsidR="008774DB" w:rsidRDefault="008774DB" w:rsidP="00E245AB">
      <w:pPr>
        <w:spacing w:after="0"/>
        <w:rPr>
          <w:rFonts w:ascii="Verdana" w:hAnsi="Verdana"/>
        </w:rPr>
      </w:pPr>
    </w:p>
    <w:p w14:paraId="37240DC9" w14:textId="77777777" w:rsidR="00C6754C" w:rsidRDefault="00C6754C" w:rsidP="00E245AB">
      <w:pPr>
        <w:spacing w:after="0"/>
        <w:rPr>
          <w:rFonts w:ascii="Verdana" w:hAnsi="Verdana"/>
        </w:rPr>
      </w:pPr>
    </w:p>
    <w:p w14:paraId="76C3339E" w14:textId="77777777" w:rsidR="00C6754C" w:rsidRDefault="00C6754C" w:rsidP="00E245AB">
      <w:pPr>
        <w:spacing w:after="0"/>
        <w:rPr>
          <w:rFonts w:ascii="Verdana" w:hAnsi="Verdana"/>
        </w:rPr>
      </w:pPr>
    </w:p>
    <w:p w14:paraId="4F4BA981" w14:textId="77777777" w:rsidR="00C6754C" w:rsidRDefault="00C6754C" w:rsidP="00E245AB">
      <w:pPr>
        <w:spacing w:after="0"/>
        <w:rPr>
          <w:rFonts w:ascii="Verdana" w:hAnsi="Verdana"/>
        </w:rPr>
      </w:pPr>
    </w:p>
    <w:p w14:paraId="7545EA9D" w14:textId="77777777" w:rsidR="00C6754C" w:rsidRDefault="00C6754C" w:rsidP="00E245AB">
      <w:pPr>
        <w:spacing w:after="0"/>
        <w:rPr>
          <w:rFonts w:ascii="Verdana" w:hAnsi="Verdana"/>
        </w:rPr>
      </w:pPr>
    </w:p>
    <w:p w14:paraId="2C564C1C" w14:textId="77777777" w:rsidR="00C6754C" w:rsidRDefault="00C6754C" w:rsidP="00E245AB">
      <w:pPr>
        <w:spacing w:after="0"/>
        <w:rPr>
          <w:rFonts w:ascii="Verdana" w:hAnsi="Verdana"/>
        </w:rPr>
      </w:pPr>
    </w:p>
    <w:p w14:paraId="31E16CE4" w14:textId="77777777" w:rsidR="00C6754C" w:rsidRDefault="00C6754C" w:rsidP="00E245AB">
      <w:pPr>
        <w:spacing w:after="0"/>
        <w:rPr>
          <w:rFonts w:ascii="Verdana" w:hAnsi="Verdana"/>
        </w:rPr>
      </w:pPr>
    </w:p>
    <w:p w14:paraId="3FE2184B" w14:textId="05B2A7F1" w:rsidR="00E245AB" w:rsidRPr="00C43757" w:rsidRDefault="008774DB" w:rsidP="00E245AB">
      <w:pPr>
        <w:spacing w:after="0"/>
        <w:rPr>
          <w:rFonts w:ascii="Verdana" w:hAnsi="Verdana"/>
          <w:lang w:val="es-ES"/>
        </w:rPr>
      </w:pPr>
      <w:r w:rsidRPr="008774DB">
        <w:rPr>
          <w:rFonts w:ascii="Verdana" w:hAnsi="Verdana"/>
        </w:rPr>
        <w:lastRenderedPageBreak/>
        <w:t xml:space="preserve">Bogotá D.C., 31 </w:t>
      </w:r>
      <w:r>
        <w:rPr>
          <w:rFonts w:ascii="Verdana" w:hAnsi="Verdana"/>
        </w:rPr>
        <w:t>m</w:t>
      </w:r>
      <w:r w:rsidRPr="008774DB">
        <w:rPr>
          <w:rFonts w:ascii="Verdana" w:hAnsi="Verdana"/>
        </w:rPr>
        <w:t>arzo 2026</w:t>
      </w:r>
      <w:r>
        <w:rPr>
          <w:rFonts w:ascii="Verdana" w:hAnsi="Verdana"/>
        </w:rPr>
        <w:t xml:space="preserve"> </w:t>
      </w:r>
    </w:p>
    <w:p w14:paraId="414C8ECC" w14:textId="77777777" w:rsidR="00CF7035" w:rsidRPr="00C43757" w:rsidRDefault="00CF7035" w:rsidP="00794E61">
      <w:pPr>
        <w:spacing w:after="0" w:line="240" w:lineRule="auto"/>
        <w:jc w:val="both"/>
        <w:rPr>
          <w:rFonts w:ascii="Verdana" w:eastAsia="Calibri" w:hAnsi="Verdana" w:cs="Arial"/>
          <w:color w:val="000000" w:themeColor="text1"/>
          <w:lang w:val="es-ES" w:eastAsia="es-ES"/>
        </w:rPr>
      </w:pPr>
    </w:p>
    <w:p w14:paraId="5E4BEBEF" w14:textId="4501A309" w:rsidR="008774DB" w:rsidRDefault="008774DB" w:rsidP="00794E61">
      <w:pPr>
        <w:spacing w:after="0" w:line="240" w:lineRule="auto"/>
        <w:jc w:val="both"/>
        <w:rPr>
          <w:rFonts w:ascii="Verdana" w:eastAsia="Calibri" w:hAnsi="Verdana" w:cs="Arial"/>
          <w:color w:val="000000" w:themeColor="text1"/>
          <w:lang w:val="es-ES" w:eastAsia="es-ES"/>
        </w:rPr>
      </w:pPr>
      <w:r w:rsidRPr="008774DB">
        <w:rPr>
          <w:rFonts w:ascii="Verdana" w:eastAsia="Calibri" w:hAnsi="Verdana" w:cs="Arial"/>
          <w:noProof/>
          <w:color w:val="000000" w:themeColor="text1"/>
          <w:lang w:val="es-ES" w:eastAsia="es-ES"/>
        </w:rPr>
        <w:drawing>
          <wp:anchor distT="0" distB="0" distL="114300" distR="114300" simplePos="0" relativeHeight="251658240" behindDoc="1" locked="0" layoutInCell="1" allowOverlap="1" wp14:anchorId="11BCDFBB" wp14:editId="7F9A4B84">
            <wp:simplePos x="0" y="0"/>
            <wp:positionH relativeFrom="column">
              <wp:posOffset>3421408</wp:posOffset>
            </wp:positionH>
            <wp:positionV relativeFrom="paragraph">
              <wp:posOffset>79751</wp:posOffset>
            </wp:positionV>
            <wp:extent cx="2552700" cy="781050"/>
            <wp:effectExtent l="0" t="0" r="0" b="0"/>
            <wp:wrapTight wrapText="bothSides">
              <wp:wrapPolygon edited="0">
                <wp:start x="0" y="0"/>
                <wp:lineTo x="0" y="21073"/>
                <wp:lineTo x="21439" y="21073"/>
                <wp:lineTo x="21439" y="0"/>
                <wp:lineTo x="0" y="0"/>
              </wp:wrapPolygon>
            </wp:wrapTight>
            <wp:docPr id="11732830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283074" name=""/>
                    <pic:cNvPicPr/>
                  </pic:nvPicPr>
                  <pic:blipFill>
                    <a:blip r:embed="rId11">
                      <a:extLst>
                        <a:ext uri="{28A0092B-C50C-407E-A947-70E740481C1C}">
                          <a14:useLocalDpi xmlns:a14="http://schemas.microsoft.com/office/drawing/2010/main" val="0"/>
                        </a:ext>
                      </a:extLst>
                    </a:blip>
                    <a:stretch>
                      <a:fillRect/>
                    </a:stretch>
                  </pic:blipFill>
                  <pic:spPr>
                    <a:xfrm>
                      <a:off x="0" y="0"/>
                      <a:ext cx="2552700" cy="781050"/>
                    </a:xfrm>
                    <a:prstGeom prst="rect">
                      <a:avLst/>
                    </a:prstGeom>
                  </pic:spPr>
                </pic:pic>
              </a:graphicData>
            </a:graphic>
          </wp:anchor>
        </w:drawing>
      </w:r>
    </w:p>
    <w:p w14:paraId="23E4E57F" w14:textId="7F784BD2" w:rsidR="008774DB" w:rsidRDefault="008774DB" w:rsidP="00794E61">
      <w:pPr>
        <w:spacing w:after="0" w:line="240" w:lineRule="auto"/>
        <w:jc w:val="both"/>
        <w:rPr>
          <w:rFonts w:ascii="Verdana" w:eastAsia="Calibri" w:hAnsi="Verdana" w:cs="Arial"/>
          <w:color w:val="000000" w:themeColor="text1"/>
          <w:lang w:val="es-ES" w:eastAsia="es-ES"/>
        </w:rPr>
      </w:pPr>
    </w:p>
    <w:p w14:paraId="65A3DDF9" w14:textId="21A7228B" w:rsidR="00794E61" w:rsidRPr="00C43757" w:rsidRDefault="00794E61" w:rsidP="00794E61">
      <w:pPr>
        <w:spacing w:after="0" w:line="240" w:lineRule="auto"/>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Señor</w:t>
      </w:r>
    </w:p>
    <w:p w14:paraId="39960038" w14:textId="2E24AE20" w:rsidR="008A702B" w:rsidRPr="00C43757" w:rsidRDefault="008A702B" w:rsidP="00794E61">
      <w:pPr>
        <w:spacing w:after="0" w:line="240" w:lineRule="auto"/>
        <w:jc w:val="both"/>
        <w:rPr>
          <w:rFonts w:ascii="Verdana" w:eastAsia="Calibri" w:hAnsi="Verdana" w:cs="Arial"/>
          <w:b/>
          <w:bCs/>
          <w:color w:val="000000" w:themeColor="text1"/>
          <w:lang w:val="es-ES" w:eastAsia="es-ES"/>
        </w:rPr>
      </w:pPr>
      <w:r w:rsidRPr="00C43757">
        <w:rPr>
          <w:rFonts w:ascii="Verdana" w:eastAsia="Calibri" w:hAnsi="Verdana" w:cs="Arial"/>
          <w:b/>
          <w:bCs/>
          <w:color w:val="000000" w:themeColor="text1"/>
          <w:lang w:val="es-ES" w:eastAsia="es-ES"/>
        </w:rPr>
        <w:t>Jorge Camargo Franco</w:t>
      </w:r>
    </w:p>
    <w:p w14:paraId="7659A954" w14:textId="391C24E9" w:rsidR="008A702B" w:rsidRPr="00C43757" w:rsidRDefault="008A702B" w:rsidP="008A702B">
      <w:pPr>
        <w:spacing w:after="0" w:line="240" w:lineRule="auto"/>
        <w:jc w:val="both"/>
        <w:rPr>
          <w:rFonts w:ascii="Verdana" w:eastAsia="Calibri" w:hAnsi="Verdana" w:cs="Arial"/>
          <w:color w:val="000000" w:themeColor="text1"/>
          <w:lang w:val="es-ES" w:eastAsia="es-ES"/>
        </w:rPr>
      </w:pPr>
      <w:hyperlink r:id="rId12" w:history="1">
        <w:r w:rsidRPr="00C43757">
          <w:rPr>
            <w:rStyle w:val="Hipervnculo"/>
            <w:rFonts w:ascii="Verdana" w:eastAsia="Calibri" w:hAnsi="Verdana" w:cs="Arial"/>
            <w:lang w:val="es-ES" w:eastAsia="es-ES"/>
          </w:rPr>
          <w:t>jorgecamargofranco@gmail.com</w:t>
        </w:r>
      </w:hyperlink>
    </w:p>
    <w:p w14:paraId="34CE6C0C" w14:textId="6A4D733C" w:rsidR="00794E61" w:rsidRPr="00C43757" w:rsidRDefault="008A702B" w:rsidP="00572EE9">
      <w:pPr>
        <w:spacing w:after="0" w:line="240" w:lineRule="auto"/>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Bogotá D.C.</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94E61" w:rsidRPr="00C43757" w14:paraId="35DD1E12" w14:textId="77777777">
        <w:trPr>
          <w:trHeight w:val="304"/>
        </w:trPr>
        <w:tc>
          <w:tcPr>
            <w:tcW w:w="2689" w:type="dxa"/>
          </w:tcPr>
          <w:p w14:paraId="6E13E292" w14:textId="77777777" w:rsidR="00794E61" w:rsidRPr="00C43757" w:rsidRDefault="00794E61">
            <w:pPr>
              <w:jc w:val="both"/>
              <w:rPr>
                <w:rFonts w:ascii="Verdana" w:eastAsia="Calibri" w:hAnsi="Verdana" w:cs="Arial"/>
                <w:b/>
                <w:bCs/>
                <w:color w:val="000000" w:themeColor="text1"/>
                <w:lang w:val="es-ES" w:eastAsia="es-ES_tradnl"/>
              </w:rPr>
            </w:pPr>
          </w:p>
        </w:tc>
        <w:tc>
          <w:tcPr>
            <w:tcW w:w="6100" w:type="dxa"/>
          </w:tcPr>
          <w:p w14:paraId="0BE7EF8E" w14:textId="77777777" w:rsidR="00794E61" w:rsidRPr="00C43757" w:rsidRDefault="00794E61">
            <w:pPr>
              <w:jc w:val="both"/>
              <w:rPr>
                <w:rFonts w:ascii="Verdana" w:eastAsia="Calibri" w:hAnsi="Verdana" w:cs="Arial"/>
                <w:b/>
                <w:bCs/>
                <w:color w:val="000000" w:themeColor="text1"/>
                <w:lang w:val="es-ES" w:eastAsia="es-ES"/>
              </w:rPr>
            </w:pPr>
          </w:p>
          <w:p w14:paraId="5BDDDF72" w14:textId="338E4437" w:rsidR="00794E61" w:rsidRPr="00C43757" w:rsidRDefault="00794E61">
            <w:pPr>
              <w:jc w:val="both"/>
              <w:rPr>
                <w:rFonts w:ascii="Verdana" w:eastAsia="Calibri" w:hAnsi="Verdana" w:cs="Arial"/>
                <w:b/>
                <w:bCs/>
                <w:color w:val="000000" w:themeColor="text1"/>
                <w:lang w:val="es-ES" w:eastAsia="es-ES"/>
              </w:rPr>
            </w:pPr>
            <w:r w:rsidRPr="00C43757">
              <w:rPr>
                <w:rFonts w:ascii="Verdana" w:eastAsia="Calibri" w:hAnsi="Verdana" w:cs="Arial"/>
                <w:b/>
                <w:bCs/>
                <w:color w:val="000000" w:themeColor="text1"/>
                <w:lang w:val="es-ES" w:eastAsia="es-ES"/>
              </w:rPr>
              <w:t>Concepto C-</w:t>
            </w:r>
            <w:r w:rsidR="00920A1D">
              <w:rPr>
                <w:rFonts w:ascii="Verdana" w:eastAsia="Calibri" w:hAnsi="Verdana" w:cs="Arial"/>
                <w:b/>
                <w:bCs/>
                <w:color w:val="000000" w:themeColor="text1"/>
                <w:lang w:val="es-ES" w:eastAsia="es-ES"/>
              </w:rPr>
              <w:t>252</w:t>
            </w:r>
            <w:r w:rsidRPr="00C43757">
              <w:rPr>
                <w:rFonts w:ascii="Verdana" w:eastAsia="Calibri" w:hAnsi="Verdana" w:cs="Arial"/>
                <w:b/>
                <w:bCs/>
                <w:color w:val="000000" w:themeColor="text1"/>
                <w:lang w:val="es-ES" w:eastAsia="es-ES"/>
              </w:rPr>
              <w:t xml:space="preserve"> de 202</w:t>
            </w:r>
            <w:r w:rsidR="00CF7035" w:rsidRPr="00C43757">
              <w:rPr>
                <w:rFonts w:ascii="Verdana" w:eastAsia="Calibri" w:hAnsi="Verdana" w:cs="Arial"/>
                <w:b/>
                <w:bCs/>
                <w:color w:val="000000" w:themeColor="text1"/>
                <w:lang w:val="es-ES" w:eastAsia="es-ES"/>
              </w:rPr>
              <w:t>6</w:t>
            </w:r>
          </w:p>
          <w:p w14:paraId="69D1EF7A" w14:textId="77777777" w:rsidR="00794E61" w:rsidRPr="00C43757" w:rsidRDefault="00794E61">
            <w:pPr>
              <w:jc w:val="both"/>
              <w:rPr>
                <w:rFonts w:ascii="Verdana" w:eastAsia="Calibri" w:hAnsi="Verdana" w:cs="Arial"/>
                <w:b/>
                <w:bCs/>
                <w:color w:val="000000" w:themeColor="text1"/>
                <w:lang w:val="es-ES" w:eastAsia="es-ES"/>
              </w:rPr>
            </w:pPr>
          </w:p>
        </w:tc>
      </w:tr>
      <w:tr w:rsidR="00794E61" w:rsidRPr="00C43757" w14:paraId="350A2B84" w14:textId="77777777">
        <w:trPr>
          <w:trHeight w:val="884"/>
        </w:trPr>
        <w:tc>
          <w:tcPr>
            <w:tcW w:w="2689" w:type="dxa"/>
          </w:tcPr>
          <w:p w14:paraId="7ED770F3" w14:textId="77777777" w:rsidR="00794E61" w:rsidRPr="00C43757" w:rsidRDefault="00794E61">
            <w:pPr>
              <w:jc w:val="both"/>
              <w:rPr>
                <w:rFonts w:ascii="Verdana" w:eastAsia="Calibri" w:hAnsi="Verdana" w:cs="Arial"/>
                <w:color w:val="000000" w:themeColor="text1"/>
                <w:lang w:val="es-ES" w:eastAsia="es-ES_tradnl"/>
              </w:rPr>
            </w:pPr>
            <w:r w:rsidRPr="00C43757">
              <w:rPr>
                <w:rFonts w:ascii="Verdana" w:eastAsia="Calibri" w:hAnsi="Verdana" w:cs="Arial"/>
                <w:b/>
                <w:color w:val="000000" w:themeColor="text1"/>
                <w:lang w:val="es-ES" w:eastAsia="es-ES_tradnl"/>
              </w:rPr>
              <w:t>Temas:</w:t>
            </w:r>
            <w:r w:rsidRPr="00C43757">
              <w:rPr>
                <w:rFonts w:ascii="Verdana" w:eastAsia="Calibri" w:hAnsi="Verdana" w:cs="Arial"/>
                <w:color w:val="000000" w:themeColor="text1"/>
                <w:lang w:val="es-ES" w:eastAsia="es-ES_tradnl"/>
              </w:rPr>
              <w:t xml:space="preserve">                   </w:t>
            </w:r>
          </w:p>
        </w:tc>
        <w:tc>
          <w:tcPr>
            <w:tcW w:w="6100" w:type="dxa"/>
          </w:tcPr>
          <w:p w14:paraId="2A15275E" w14:textId="4BC6EDA1" w:rsidR="00794E61" w:rsidRPr="00C43757" w:rsidRDefault="0032445E">
            <w:pPr>
              <w:jc w:val="both"/>
              <w:rPr>
                <w:rFonts w:ascii="Verdana" w:eastAsia="Calibri" w:hAnsi="Verdana" w:cs="Arial"/>
                <w:lang w:val="es-ES" w:eastAsia="es-ES"/>
              </w:rPr>
            </w:pPr>
            <w:r w:rsidRPr="00C43757">
              <w:rPr>
                <w:rFonts w:ascii="Verdana" w:eastAsia="Calibri" w:hAnsi="Verdana" w:cs="Arial"/>
                <w:lang w:val="es-ES"/>
              </w:rPr>
              <w:t xml:space="preserve">EMPRESAS DE SERVICIOS PÚBLICOS DOMICILIARIOS– Régimen jurídico / EMPRESAS DE SERVICIOS PÚBLICOS – Naturaleza – régimen especial / </w:t>
            </w:r>
            <w:r w:rsidR="00794E61" w:rsidRPr="00C43757">
              <w:rPr>
                <w:rFonts w:ascii="Verdana" w:eastAsia="Calibri" w:hAnsi="Verdana" w:cs="Arial"/>
                <w:bCs/>
                <w:lang w:val="es-ES"/>
              </w:rPr>
              <w:t>PRINCIPIO DE ANUALIDAD – Fundamento / PRINCIPIO DE ANUALIDAD</w:t>
            </w:r>
            <w:r w:rsidR="00794E61" w:rsidRPr="00C43757">
              <w:rPr>
                <w:rFonts w:ascii="Verdana" w:eastAsia="Calibri" w:hAnsi="Verdana" w:cs="Arial"/>
                <w:lang w:val="es-ES" w:eastAsia="es-ES"/>
              </w:rPr>
              <w:t xml:space="preserve"> – Alcance – Rentas y gastos / CONTRATO DE CONCESIÓN – Concepto / ANUALIDAD DEL GASTO – A</w:t>
            </w:r>
            <w:r w:rsidR="00794E61" w:rsidRPr="00C43757">
              <w:rPr>
                <w:rFonts w:ascii="Verdana" w:eastAsia="Calibri" w:hAnsi="Verdana"/>
                <w:lang w:val="es-ES" w:eastAsia="es-ES"/>
              </w:rPr>
              <w:t xml:space="preserve">lcance </w:t>
            </w:r>
            <w:r w:rsidR="00794E61" w:rsidRPr="00C43757">
              <w:rPr>
                <w:rFonts w:ascii="Verdana" w:eastAsia="Calibri" w:hAnsi="Verdana" w:cs="Arial"/>
                <w:lang w:val="es-ES" w:eastAsia="es-ES"/>
              </w:rPr>
              <w:t xml:space="preserve">– </w:t>
            </w:r>
            <w:r w:rsidR="001E3CD8" w:rsidRPr="00C43757">
              <w:rPr>
                <w:rFonts w:ascii="Verdana" w:eastAsia="Calibri" w:hAnsi="Verdana" w:cs="Arial"/>
                <w:lang w:val="es-ES" w:eastAsia="es-ES"/>
              </w:rPr>
              <w:t>Rentas contractuales</w:t>
            </w:r>
          </w:p>
          <w:p w14:paraId="08941C31" w14:textId="77777777" w:rsidR="00794E61" w:rsidRPr="00C43757" w:rsidRDefault="00794E61">
            <w:pPr>
              <w:contextualSpacing/>
              <w:jc w:val="both"/>
              <w:rPr>
                <w:rFonts w:ascii="Verdana" w:eastAsia="Calibri" w:hAnsi="Verdana" w:cs="Arial"/>
                <w:color w:val="000000" w:themeColor="text1"/>
                <w:lang w:val="es-ES" w:eastAsia="es-ES"/>
              </w:rPr>
            </w:pPr>
          </w:p>
        </w:tc>
      </w:tr>
      <w:tr w:rsidR="00794E61" w:rsidRPr="00C43757" w14:paraId="38479827" w14:textId="77777777">
        <w:tc>
          <w:tcPr>
            <w:tcW w:w="2689" w:type="dxa"/>
          </w:tcPr>
          <w:p w14:paraId="623424C4" w14:textId="77777777" w:rsidR="00794E61" w:rsidRPr="00C43757" w:rsidRDefault="00794E61">
            <w:pPr>
              <w:jc w:val="both"/>
              <w:rPr>
                <w:rFonts w:ascii="Verdana" w:eastAsia="Calibri" w:hAnsi="Verdana" w:cs="Arial"/>
                <w:b/>
                <w:color w:val="000000" w:themeColor="text1"/>
                <w:lang w:val="es-ES" w:eastAsia="es-ES_tradnl"/>
              </w:rPr>
            </w:pPr>
            <w:r w:rsidRPr="00C43757">
              <w:rPr>
                <w:rFonts w:ascii="Verdana" w:eastAsia="Calibri" w:hAnsi="Verdana" w:cs="Arial"/>
                <w:b/>
                <w:color w:val="000000" w:themeColor="text1"/>
                <w:lang w:val="es-ES" w:eastAsia="es-ES_tradnl"/>
              </w:rPr>
              <w:t>Radicación:</w:t>
            </w:r>
            <w:r w:rsidRPr="00C43757">
              <w:rPr>
                <w:rFonts w:ascii="Verdana" w:eastAsia="Calibri" w:hAnsi="Verdana" w:cs="Arial"/>
                <w:color w:val="000000" w:themeColor="text1"/>
                <w:lang w:val="es-ES" w:eastAsia="es-ES_tradnl"/>
              </w:rPr>
              <w:t xml:space="preserve">               </w:t>
            </w:r>
          </w:p>
        </w:tc>
        <w:tc>
          <w:tcPr>
            <w:tcW w:w="6100" w:type="dxa"/>
          </w:tcPr>
          <w:p w14:paraId="05736DCA" w14:textId="2DC679E5" w:rsidR="00794E61" w:rsidRPr="00C43757" w:rsidRDefault="00794E61">
            <w:pPr>
              <w:jc w:val="both"/>
              <w:rPr>
                <w:rFonts w:ascii="Verdana" w:eastAsia="Calibri" w:hAnsi="Verdana" w:cs="Arial"/>
                <w:color w:val="000000" w:themeColor="text1"/>
                <w:lang w:val="es-ES" w:eastAsia="es-ES_tradnl"/>
              </w:rPr>
            </w:pPr>
            <w:r w:rsidRPr="00C43757">
              <w:rPr>
                <w:rFonts w:ascii="Verdana" w:eastAsia="Calibri" w:hAnsi="Verdana" w:cs="Arial"/>
                <w:color w:val="000000" w:themeColor="text1"/>
                <w:lang w:val="es-ES" w:eastAsia="es-ES_tradnl"/>
              </w:rPr>
              <w:t>Respuesta a consulta</w:t>
            </w:r>
            <w:r w:rsidR="003F178F">
              <w:rPr>
                <w:rFonts w:ascii="Verdana" w:eastAsia="Calibri" w:hAnsi="Verdana" w:cs="Arial"/>
                <w:color w:val="000000" w:themeColor="text1"/>
                <w:lang w:val="es-ES" w:eastAsia="es-ES_tradnl"/>
              </w:rPr>
              <w:t>s</w:t>
            </w:r>
            <w:r w:rsidRPr="00C43757">
              <w:rPr>
                <w:rFonts w:ascii="Verdana" w:eastAsia="Calibri" w:hAnsi="Verdana" w:cs="Arial"/>
                <w:color w:val="000000" w:themeColor="text1"/>
                <w:lang w:val="es-ES" w:eastAsia="es-ES_tradnl"/>
              </w:rPr>
              <w:t xml:space="preserve"> con radicado</w:t>
            </w:r>
            <w:r w:rsidR="003F178F">
              <w:rPr>
                <w:rFonts w:ascii="Verdana" w:eastAsia="Calibri" w:hAnsi="Verdana" w:cs="Arial"/>
                <w:color w:val="000000" w:themeColor="text1"/>
                <w:lang w:val="es-ES" w:eastAsia="es-ES_tradnl"/>
              </w:rPr>
              <w:t>s</w:t>
            </w:r>
            <w:r w:rsidRPr="00C43757">
              <w:rPr>
                <w:rFonts w:ascii="Verdana" w:eastAsia="Calibri" w:hAnsi="Verdana" w:cs="Arial"/>
                <w:color w:val="000000" w:themeColor="text1"/>
                <w:lang w:val="es-ES" w:eastAsia="es-ES_tradnl"/>
              </w:rPr>
              <w:t xml:space="preserve"> </w:t>
            </w:r>
            <w:proofErr w:type="gramStart"/>
            <w:r w:rsidRPr="00C43757">
              <w:rPr>
                <w:rFonts w:ascii="Verdana" w:eastAsia="Calibri" w:hAnsi="Verdana" w:cs="Arial"/>
                <w:color w:val="000000" w:themeColor="text1"/>
                <w:lang w:val="es-ES" w:eastAsia="es-ES_tradnl"/>
              </w:rPr>
              <w:t xml:space="preserve">No.  </w:t>
            </w:r>
            <w:r w:rsidR="0032445E" w:rsidRPr="00C43757">
              <w:rPr>
                <w:rFonts w:ascii="Verdana" w:eastAsia="Calibri" w:hAnsi="Verdana" w:cs="Arial"/>
                <w:color w:val="000000" w:themeColor="text1"/>
                <w:lang w:val="es-ES" w:eastAsia="es-ES_tradnl"/>
              </w:rPr>
              <w:t>1</w:t>
            </w:r>
            <w:proofErr w:type="gramEnd"/>
            <w:r w:rsidR="0032445E" w:rsidRPr="00C43757">
              <w:rPr>
                <w:rFonts w:ascii="Verdana" w:eastAsia="Calibri" w:hAnsi="Verdana" w:cs="Arial"/>
                <w:color w:val="000000" w:themeColor="text1"/>
                <w:lang w:val="es-ES" w:eastAsia="es-ES_tradnl"/>
              </w:rPr>
              <w:t>_2026_02_18_002165</w:t>
            </w:r>
            <w:r w:rsidR="003F178F">
              <w:rPr>
                <w:rFonts w:ascii="Verdana" w:eastAsia="Calibri" w:hAnsi="Verdana" w:cs="Arial"/>
                <w:color w:val="000000" w:themeColor="text1"/>
                <w:lang w:val="es-ES" w:eastAsia="es-ES_tradnl"/>
              </w:rPr>
              <w:t xml:space="preserve"> y </w:t>
            </w:r>
            <w:r w:rsidR="003F178F" w:rsidRPr="003F178F">
              <w:rPr>
                <w:rFonts w:ascii="Verdana" w:eastAsia="Calibri" w:hAnsi="Verdana" w:cs="Arial"/>
                <w:color w:val="000000" w:themeColor="text1"/>
                <w:lang w:eastAsia="es-ES_tradnl"/>
              </w:rPr>
              <w:t>1_2026_02_18_002206</w:t>
            </w:r>
            <w:r w:rsidR="003F178F">
              <w:rPr>
                <w:rFonts w:ascii="Verdana" w:eastAsia="Calibri" w:hAnsi="Verdana" w:cs="Arial"/>
                <w:color w:val="000000" w:themeColor="text1"/>
                <w:lang w:eastAsia="es-ES_tradnl"/>
              </w:rPr>
              <w:t xml:space="preserve"> (acumuladas)</w:t>
            </w:r>
          </w:p>
        </w:tc>
      </w:tr>
    </w:tbl>
    <w:p w14:paraId="2DA4EBBB" w14:textId="77777777" w:rsidR="00794E61" w:rsidRPr="00C43757" w:rsidRDefault="00794E61" w:rsidP="00794E61">
      <w:pPr>
        <w:spacing w:after="0" w:line="276" w:lineRule="auto"/>
        <w:jc w:val="both"/>
        <w:rPr>
          <w:rFonts w:ascii="Verdana" w:eastAsia="Calibri" w:hAnsi="Verdana" w:cs="Arial"/>
          <w:color w:val="000000" w:themeColor="text1"/>
          <w:lang w:val="es-ES" w:eastAsia="es-ES_tradnl"/>
        </w:rPr>
      </w:pPr>
    </w:p>
    <w:p w14:paraId="76E545ED" w14:textId="6B83954C" w:rsidR="00794E61" w:rsidRPr="00C43757" w:rsidRDefault="00794E61" w:rsidP="00794E61">
      <w:pPr>
        <w:spacing w:after="0" w:line="276" w:lineRule="auto"/>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Estimad</w:t>
      </w:r>
      <w:r w:rsidR="008A702B" w:rsidRPr="00C43757">
        <w:rPr>
          <w:rFonts w:ascii="Verdana" w:eastAsia="Calibri" w:hAnsi="Verdana" w:cs="Arial"/>
          <w:color w:val="000000" w:themeColor="text1"/>
          <w:lang w:val="es-ES" w:eastAsia="es-ES"/>
        </w:rPr>
        <w:t>o</w:t>
      </w:r>
      <w:r w:rsidRPr="00C43757">
        <w:rPr>
          <w:rFonts w:ascii="Verdana" w:eastAsia="Calibri" w:hAnsi="Verdana" w:cs="Arial"/>
          <w:color w:val="000000" w:themeColor="text1"/>
          <w:lang w:val="es-ES" w:eastAsia="es-ES"/>
        </w:rPr>
        <w:t xml:space="preserve"> señor </w:t>
      </w:r>
      <w:r w:rsidR="008A702B" w:rsidRPr="00C43757">
        <w:rPr>
          <w:rFonts w:ascii="Verdana" w:eastAsia="Calibri" w:hAnsi="Verdana" w:cs="Arial"/>
          <w:color w:val="000000" w:themeColor="text1"/>
          <w:lang w:val="es-ES" w:eastAsia="es-ES"/>
        </w:rPr>
        <w:t>Camargo</w:t>
      </w:r>
      <w:r w:rsidRPr="00C43757">
        <w:rPr>
          <w:rFonts w:ascii="Verdana" w:eastAsia="Calibri" w:hAnsi="Verdana" w:cs="Arial"/>
          <w:color w:val="000000" w:themeColor="text1"/>
          <w:lang w:val="es-ES" w:eastAsia="es-ES"/>
        </w:rPr>
        <w:t xml:space="preserve">: </w:t>
      </w:r>
    </w:p>
    <w:p w14:paraId="54B8924D" w14:textId="77777777" w:rsidR="00794E61" w:rsidRPr="00C43757" w:rsidRDefault="00794E61" w:rsidP="00794E61">
      <w:pPr>
        <w:tabs>
          <w:tab w:val="left" w:pos="3768"/>
        </w:tabs>
        <w:spacing w:after="0" w:line="276" w:lineRule="auto"/>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ab/>
      </w:r>
    </w:p>
    <w:p w14:paraId="47D181E4" w14:textId="0F151AD1" w:rsidR="00794E61" w:rsidRPr="00C43757" w:rsidRDefault="00794E61" w:rsidP="00794E61">
      <w:pPr>
        <w:spacing w:after="0" w:line="276" w:lineRule="auto"/>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En ejercicio de la competencia otorgada por los artículos 3, numeral 5º, y 11, numeral 8º, del Decreto Ley 4170 de 2011,</w:t>
      </w:r>
      <w:r w:rsidRPr="00C43757">
        <w:rPr>
          <w:rFonts w:ascii="Verdana" w:eastAsia="Arial MT" w:hAnsi="Verdana" w:cs="Arial MT"/>
          <w:color w:val="000000" w:themeColor="text1"/>
          <w:lang w:val="es-ES" w:eastAsia="es-ES"/>
        </w:rPr>
        <w:t xml:space="preserve"> </w:t>
      </w:r>
      <w:r w:rsidRPr="00C43757">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consulta </w:t>
      </w:r>
      <w:r w:rsidR="00D214CB" w:rsidRPr="00C43757">
        <w:rPr>
          <w:rFonts w:ascii="Verdana" w:hAnsi="Verdana" w:cs="Arial"/>
          <w:color w:val="000000" w:themeColor="text1"/>
          <w:lang w:val="es-ES"/>
        </w:rPr>
        <w:t xml:space="preserve">remitida por la Contraloría General de la República </w:t>
      </w:r>
      <w:r w:rsidRPr="00C43757">
        <w:rPr>
          <w:rFonts w:ascii="Verdana" w:hAnsi="Verdana" w:cs="Arial"/>
          <w:color w:val="000000" w:themeColor="text1"/>
          <w:lang w:val="es-ES"/>
        </w:rPr>
        <w:t>el 10 de marzo de 202</w:t>
      </w:r>
      <w:r w:rsidR="008A702B" w:rsidRPr="00C43757">
        <w:rPr>
          <w:rFonts w:ascii="Verdana" w:hAnsi="Verdana" w:cs="Arial"/>
          <w:color w:val="000000" w:themeColor="text1"/>
          <w:lang w:val="es-ES"/>
        </w:rPr>
        <w:t>6</w:t>
      </w:r>
      <w:r w:rsidRPr="00C43757">
        <w:rPr>
          <w:rFonts w:ascii="Verdana" w:hAnsi="Verdana" w:cs="Arial"/>
          <w:color w:val="000000" w:themeColor="text1"/>
          <w:lang w:val="es-ES"/>
        </w:rPr>
        <w:t>, en la cual manifiesta lo siguiente:</w:t>
      </w:r>
      <w:r w:rsidRPr="00C43757">
        <w:rPr>
          <w:rFonts w:ascii="Verdana" w:eastAsia="Calibri" w:hAnsi="Verdana" w:cs="Arial"/>
          <w:color w:val="000000" w:themeColor="text1"/>
          <w:lang w:val="es-ES" w:eastAsia="es-ES"/>
        </w:rPr>
        <w:t xml:space="preserve"> </w:t>
      </w:r>
    </w:p>
    <w:p w14:paraId="4B70F393" w14:textId="77777777" w:rsidR="00794E61" w:rsidRPr="00C43757" w:rsidRDefault="00794E61" w:rsidP="00794E61">
      <w:pPr>
        <w:spacing w:after="0" w:line="276" w:lineRule="auto"/>
        <w:jc w:val="both"/>
        <w:rPr>
          <w:rFonts w:ascii="Verdana" w:eastAsia="Calibri" w:hAnsi="Verdana" w:cs="Arial"/>
          <w:color w:val="000000" w:themeColor="text1"/>
          <w:lang w:val="es-ES" w:eastAsia="es-ES"/>
        </w:rPr>
      </w:pPr>
    </w:p>
    <w:p w14:paraId="65F16807" w14:textId="77777777" w:rsidR="0032445E" w:rsidRPr="00C43757" w:rsidRDefault="00794E61" w:rsidP="0032445E">
      <w:pPr>
        <w:spacing w:after="0"/>
        <w:ind w:left="709" w:right="709"/>
        <w:jc w:val="both"/>
        <w:rPr>
          <w:rFonts w:ascii="Verdana" w:eastAsia="Century Gothic" w:hAnsi="Verdana" w:cs="Century Gothic"/>
          <w:color w:val="000000" w:themeColor="text1"/>
          <w:sz w:val="20"/>
          <w:szCs w:val="20"/>
          <w:lang w:val="es-ES"/>
        </w:rPr>
      </w:pPr>
      <w:bookmarkStart w:id="1" w:name="_Hlk95313578"/>
      <w:r w:rsidRPr="00C43757">
        <w:rPr>
          <w:rFonts w:ascii="Verdana" w:eastAsia="Century Gothic" w:hAnsi="Verdana" w:cs="Century Gothic"/>
          <w:color w:val="000000" w:themeColor="text1"/>
          <w:sz w:val="20"/>
          <w:szCs w:val="20"/>
          <w:lang w:val="es-ES"/>
        </w:rPr>
        <w:t>“[…</w:t>
      </w:r>
      <w:proofErr w:type="gramStart"/>
      <w:r w:rsidRPr="00C43757">
        <w:rPr>
          <w:rFonts w:ascii="Verdana" w:eastAsia="Century Gothic" w:hAnsi="Verdana" w:cs="Century Gothic"/>
          <w:color w:val="000000" w:themeColor="text1"/>
          <w:sz w:val="20"/>
          <w:szCs w:val="20"/>
          <w:lang w:val="es-ES"/>
        </w:rPr>
        <w:t>]</w:t>
      </w:r>
      <w:r w:rsidR="0032445E" w:rsidRPr="00C43757">
        <w:rPr>
          <w:rFonts w:ascii="Verdana" w:eastAsia="Century Gothic" w:hAnsi="Verdana" w:cs="Century Gothic"/>
          <w:i/>
          <w:iCs/>
          <w:color w:val="000000" w:themeColor="text1"/>
          <w:sz w:val="20"/>
          <w:szCs w:val="20"/>
          <w:lang w:val="es-ES"/>
        </w:rPr>
        <w:t>“</w:t>
      </w:r>
      <w:proofErr w:type="gramEnd"/>
      <w:r w:rsidR="0032445E" w:rsidRPr="00C43757">
        <w:rPr>
          <w:rFonts w:ascii="Verdana" w:eastAsia="Century Gothic" w:hAnsi="Verdana" w:cs="Century Gothic"/>
          <w:i/>
          <w:iCs/>
          <w:color w:val="000000" w:themeColor="text1"/>
          <w:sz w:val="20"/>
          <w:szCs w:val="20"/>
          <w:lang w:val="es-ES"/>
        </w:rPr>
        <w:t xml:space="preserve">1. Si, en el marco del </w:t>
      </w:r>
      <w:proofErr w:type="spellStart"/>
      <w:r w:rsidR="0032445E" w:rsidRPr="00C43757">
        <w:rPr>
          <w:rFonts w:ascii="Verdana" w:eastAsia="Century Gothic" w:hAnsi="Verdana" w:cs="Century Gothic"/>
          <w:i/>
          <w:iCs/>
          <w:color w:val="000000" w:themeColor="text1"/>
          <w:sz w:val="20"/>
          <w:szCs w:val="20"/>
          <w:lang w:val="es-ES"/>
        </w:rPr>
        <w:t>régimen</w:t>
      </w:r>
      <w:proofErr w:type="spellEnd"/>
      <w:r w:rsidR="0032445E" w:rsidRPr="00C43757">
        <w:rPr>
          <w:rFonts w:ascii="Verdana" w:eastAsia="Century Gothic" w:hAnsi="Verdana" w:cs="Century Gothic"/>
          <w:i/>
          <w:iCs/>
          <w:color w:val="000000" w:themeColor="text1"/>
          <w:sz w:val="20"/>
          <w:szCs w:val="20"/>
          <w:lang w:val="es-ES"/>
        </w:rPr>
        <w:t xml:space="preserve"> </w:t>
      </w:r>
      <w:proofErr w:type="spellStart"/>
      <w:r w:rsidR="0032445E" w:rsidRPr="00C43757">
        <w:rPr>
          <w:rFonts w:ascii="Verdana" w:eastAsia="Century Gothic" w:hAnsi="Verdana" w:cs="Century Gothic"/>
          <w:i/>
          <w:iCs/>
          <w:color w:val="000000" w:themeColor="text1"/>
          <w:sz w:val="20"/>
          <w:szCs w:val="20"/>
          <w:lang w:val="es-ES"/>
        </w:rPr>
        <w:t>jurídico</w:t>
      </w:r>
      <w:proofErr w:type="spellEnd"/>
      <w:r w:rsidR="0032445E" w:rsidRPr="00C43757">
        <w:rPr>
          <w:rFonts w:ascii="Verdana" w:eastAsia="Century Gothic" w:hAnsi="Verdana" w:cs="Century Gothic"/>
          <w:i/>
          <w:iCs/>
          <w:color w:val="000000" w:themeColor="text1"/>
          <w:sz w:val="20"/>
          <w:szCs w:val="20"/>
          <w:lang w:val="es-ES"/>
        </w:rPr>
        <w:t xml:space="preserve"> previsto en la Ley 142 de 1994 para las empresas de servicios </w:t>
      </w:r>
      <w:proofErr w:type="spellStart"/>
      <w:r w:rsidR="0032445E" w:rsidRPr="00C43757">
        <w:rPr>
          <w:rFonts w:ascii="Verdana" w:eastAsia="Century Gothic" w:hAnsi="Verdana" w:cs="Century Gothic"/>
          <w:i/>
          <w:iCs/>
          <w:color w:val="000000" w:themeColor="text1"/>
          <w:sz w:val="20"/>
          <w:szCs w:val="20"/>
          <w:lang w:val="es-ES"/>
        </w:rPr>
        <w:t>públicos</w:t>
      </w:r>
      <w:proofErr w:type="spellEnd"/>
      <w:r w:rsidR="0032445E" w:rsidRPr="00C43757">
        <w:rPr>
          <w:rFonts w:ascii="Verdana" w:eastAsia="Century Gothic" w:hAnsi="Verdana" w:cs="Century Gothic"/>
          <w:i/>
          <w:iCs/>
          <w:color w:val="000000" w:themeColor="text1"/>
          <w:sz w:val="20"/>
          <w:szCs w:val="20"/>
          <w:lang w:val="es-ES"/>
        </w:rPr>
        <w:t xml:space="preserve"> domiciliarios, resulta </w:t>
      </w:r>
      <w:proofErr w:type="spellStart"/>
      <w:r w:rsidR="0032445E" w:rsidRPr="00C43757">
        <w:rPr>
          <w:rFonts w:ascii="Verdana" w:eastAsia="Century Gothic" w:hAnsi="Verdana" w:cs="Century Gothic"/>
          <w:i/>
          <w:iCs/>
          <w:color w:val="000000" w:themeColor="text1"/>
          <w:sz w:val="20"/>
          <w:szCs w:val="20"/>
          <w:lang w:val="es-ES"/>
        </w:rPr>
        <w:t>jurídicamente</w:t>
      </w:r>
      <w:proofErr w:type="spellEnd"/>
      <w:r w:rsidR="0032445E" w:rsidRPr="00C43757">
        <w:rPr>
          <w:rFonts w:ascii="Verdana" w:eastAsia="Century Gothic" w:hAnsi="Verdana" w:cs="Century Gothic"/>
          <w:i/>
          <w:iCs/>
          <w:color w:val="000000" w:themeColor="text1"/>
          <w:sz w:val="20"/>
          <w:szCs w:val="20"/>
          <w:lang w:val="es-ES"/>
        </w:rPr>
        <w:t xml:space="preserve"> viable celebrar contratos de leasing o renting con plazos superiores a una vigencia fiscal.</w:t>
      </w:r>
      <w:r w:rsidR="0032445E" w:rsidRPr="00C43757">
        <w:rPr>
          <w:rFonts w:ascii="Verdana" w:eastAsia="Century Gothic" w:hAnsi="Verdana" w:cs="Century Gothic"/>
          <w:i/>
          <w:iCs/>
          <w:color w:val="000000" w:themeColor="text1"/>
          <w:sz w:val="20"/>
          <w:szCs w:val="20"/>
          <w:lang w:val="es-ES"/>
        </w:rPr>
        <w:br/>
        <w:t xml:space="preserve">2. Si la celebración de este tipo de contratos plurianuales, destinados a garantizar la continuidad y eficiencia del servicio público, puede considerarse ajustada al principio de anualidad presupuestal. </w:t>
      </w:r>
    </w:p>
    <w:p w14:paraId="7930BDF7" w14:textId="77777777" w:rsidR="0032445E" w:rsidRPr="00C43757" w:rsidRDefault="0032445E" w:rsidP="0032445E">
      <w:pPr>
        <w:spacing w:after="0" w:line="240" w:lineRule="auto"/>
        <w:ind w:left="709" w:right="709"/>
        <w:jc w:val="both"/>
        <w:rPr>
          <w:rFonts w:ascii="Verdana" w:eastAsia="Century Gothic" w:hAnsi="Verdana" w:cs="Century Gothic"/>
          <w:color w:val="000000" w:themeColor="text1"/>
          <w:sz w:val="20"/>
          <w:szCs w:val="20"/>
          <w:lang w:val="es-ES"/>
        </w:rPr>
      </w:pPr>
      <w:r w:rsidRPr="00C43757">
        <w:rPr>
          <w:rFonts w:ascii="Verdana" w:eastAsia="Century Gothic" w:hAnsi="Verdana" w:cs="Century Gothic"/>
          <w:i/>
          <w:iCs/>
          <w:color w:val="000000" w:themeColor="text1"/>
          <w:sz w:val="20"/>
          <w:szCs w:val="20"/>
          <w:lang w:val="es-ES"/>
        </w:rPr>
        <w:t xml:space="preserve">3. Qué requisitos, condiciones o mecanismos de planeación financiera se recomiendan adoptar para evitar eventuales riesgos de </w:t>
      </w:r>
      <w:proofErr w:type="spellStart"/>
      <w:r w:rsidRPr="00C43757">
        <w:rPr>
          <w:rFonts w:ascii="Verdana" w:eastAsia="Century Gothic" w:hAnsi="Verdana" w:cs="Century Gothic"/>
          <w:i/>
          <w:iCs/>
          <w:color w:val="000000" w:themeColor="text1"/>
          <w:sz w:val="20"/>
          <w:szCs w:val="20"/>
          <w:lang w:val="es-ES"/>
        </w:rPr>
        <w:t>carácter</w:t>
      </w:r>
      <w:proofErr w:type="spellEnd"/>
      <w:r w:rsidRPr="00C43757">
        <w:rPr>
          <w:rFonts w:ascii="Verdana" w:eastAsia="Century Gothic" w:hAnsi="Verdana" w:cs="Century Gothic"/>
          <w:i/>
          <w:iCs/>
          <w:color w:val="000000" w:themeColor="text1"/>
          <w:sz w:val="20"/>
          <w:szCs w:val="20"/>
          <w:lang w:val="es-ES"/>
        </w:rPr>
        <w:t xml:space="preserve"> fiscal o disciplinario.</w:t>
      </w:r>
      <w:r w:rsidRPr="00C43757">
        <w:rPr>
          <w:rFonts w:ascii="Verdana" w:eastAsia="Century Gothic" w:hAnsi="Verdana" w:cs="Century Gothic"/>
          <w:i/>
          <w:iCs/>
          <w:color w:val="000000" w:themeColor="text1"/>
          <w:sz w:val="20"/>
          <w:szCs w:val="20"/>
          <w:lang w:val="es-ES"/>
        </w:rPr>
        <w:br/>
      </w:r>
      <w:r w:rsidRPr="00C43757">
        <w:rPr>
          <w:rFonts w:ascii="Verdana" w:eastAsia="Century Gothic" w:hAnsi="Verdana" w:cs="Century Gothic"/>
          <w:i/>
          <w:iCs/>
          <w:color w:val="000000" w:themeColor="text1"/>
          <w:sz w:val="20"/>
          <w:szCs w:val="20"/>
          <w:lang w:val="es-ES"/>
        </w:rPr>
        <w:lastRenderedPageBreak/>
        <w:t xml:space="preserve">4. Si resulta procedente la utilización de figuras como vigencias futuras, autorizaciones especiales u otros instrumentos de </w:t>
      </w:r>
      <w:proofErr w:type="spellStart"/>
      <w:r w:rsidRPr="00C43757">
        <w:rPr>
          <w:rFonts w:ascii="Verdana" w:eastAsia="Century Gothic" w:hAnsi="Verdana" w:cs="Century Gothic"/>
          <w:i/>
          <w:iCs/>
          <w:color w:val="000000" w:themeColor="text1"/>
          <w:sz w:val="20"/>
          <w:szCs w:val="20"/>
          <w:lang w:val="es-ES"/>
        </w:rPr>
        <w:t>programación</w:t>
      </w:r>
      <w:proofErr w:type="spellEnd"/>
      <w:r w:rsidRPr="00C43757">
        <w:rPr>
          <w:rFonts w:ascii="Verdana" w:eastAsia="Century Gothic" w:hAnsi="Verdana" w:cs="Century Gothic"/>
          <w:i/>
          <w:iCs/>
          <w:color w:val="000000" w:themeColor="text1"/>
          <w:sz w:val="20"/>
          <w:szCs w:val="20"/>
          <w:lang w:val="es-ES"/>
        </w:rPr>
        <w:t xml:space="preserve"> financiera para este tipo de contratos en empresas sometidas al régimen de derecho privado.” </w:t>
      </w:r>
    </w:p>
    <w:bookmarkEnd w:id="1"/>
    <w:p w14:paraId="1162D702" w14:textId="77777777" w:rsidR="00794E61" w:rsidRPr="00C43757" w:rsidRDefault="00794E61" w:rsidP="00794E61">
      <w:pPr>
        <w:spacing w:after="0" w:line="276" w:lineRule="auto"/>
        <w:contextualSpacing/>
        <w:jc w:val="both"/>
        <w:rPr>
          <w:rFonts w:ascii="Verdana" w:eastAsia="Calibri" w:hAnsi="Verdana" w:cs="Arial"/>
          <w:color w:val="000000" w:themeColor="text1"/>
          <w:lang w:val="es-ES" w:eastAsia="es-ES"/>
        </w:rPr>
      </w:pPr>
    </w:p>
    <w:p w14:paraId="17DF1C67" w14:textId="77777777" w:rsidR="00794E61" w:rsidRPr="00C43757" w:rsidRDefault="00794E61" w:rsidP="00794E61">
      <w:pPr>
        <w:spacing w:after="0" w:line="276" w:lineRule="auto"/>
        <w:ind w:firstLine="709"/>
        <w:contextualSpacing/>
        <w:jc w:val="both"/>
        <w:rPr>
          <w:rFonts w:ascii="Verdana" w:eastAsia="Calibri" w:hAnsi="Verdana" w:cs="Arial"/>
          <w:color w:val="000000" w:themeColor="text1"/>
          <w:szCs w:val="24"/>
          <w:lang w:val="es-ES" w:eastAsia="es-ES_tradnl"/>
        </w:rPr>
      </w:pPr>
      <w:r w:rsidRPr="00C43757">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43757">
        <w:rPr>
          <w:rFonts w:ascii="Verdana" w:eastAsia="Calibri" w:hAnsi="Verdana" w:cs="Arial"/>
          <w:color w:val="000000" w:themeColor="text1"/>
          <w:szCs w:val="24"/>
          <w:lang w:val="es-ES" w:eastAsia="es-ES_tradnl"/>
        </w:rPr>
        <w:tab/>
      </w:r>
    </w:p>
    <w:p w14:paraId="6551697E" w14:textId="42C08E89" w:rsidR="00794E61" w:rsidRPr="00C43757" w:rsidRDefault="00794E61" w:rsidP="00794E61">
      <w:pPr>
        <w:spacing w:before="120" w:after="0" w:line="276" w:lineRule="auto"/>
        <w:ind w:firstLine="709"/>
        <w:jc w:val="both"/>
        <w:rPr>
          <w:rFonts w:ascii="Verdana" w:eastAsia="Calibri" w:hAnsi="Verdana" w:cs="Arial"/>
          <w:color w:val="000000" w:themeColor="text1"/>
          <w:lang w:val="es-ES" w:eastAsia="es-ES"/>
        </w:rPr>
      </w:pPr>
      <w:r w:rsidRPr="00C43757">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65116C" w:rsidRPr="00C43757">
        <w:rPr>
          <w:rFonts w:ascii="Verdana" w:eastAsia="Calibri" w:hAnsi="Verdana" w:cs="Arial"/>
          <w:color w:val="000000" w:themeColor="text1"/>
          <w:lang w:val="es-ES" w:eastAsia="es-ES"/>
        </w:rPr>
        <w:t>señalando alg</w:t>
      </w:r>
      <w:r w:rsidRPr="00C43757">
        <w:rPr>
          <w:rFonts w:ascii="Verdana" w:eastAsia="Calibri" w:hAnsi="Verdana" w:cs="Arial"/>
          <w:color w:val="000000" w:themeColor="text1"/>
          <w:lang w:val="es-ES" w:eastAsia="es-ES"/>
        </w:rPr>
        <w:t xml:space="preserve">unas consideraciones sobre las normas generales relacionadas con los problemas jurídicos de su consulta. </w:t>
      </w:r>
    </w:p>
    <w:p w14:paraId="7F48EAF3" w14:textId="77777777" w:rsidR="00794E61" w:rsidRPr="00C43757" w:rsidRDefault="00794E61" w:rsidP="00794E61">
      <w:pPr>
        <w:spacing w:after="0" w:line="276" w:lineRule="auto"/>
        <w:ind w:firstLine="709"/>
        <w:jc w:val="both"/>
        <w:rPr>
          <w:rFonts w:ascii="Verdana" w:eastAsia="Calibri" w:hAnsi="Verdana" w:cs="Arial"/>
          <w:color w:val="000000" w:themeColor="text1"/>
          <w:lang w:val="es-ES" w:eastAsia="es-ES"/>
        </w:rPr>
      </w:pPr>
    </w:p>
    <w:p w14:paraId="2B6A66DD" w14:textId="77777777" w:rsidR="00794E61" w:rsidRPr="00C43757" w:rsidRDefault="00794E61" w:rsidP="00794E6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43757">
        <w:rPr>
          <w:rFonts w:ascii="Verdana" w:eastAsia="Century Gothic" w:hAnsi="Verdana" w:cs="Century Gothic"/>
          <w:b/>
          <w:bCs/>
          <w:color w:val="000000" w:themeColor="text1"/>
        </w:rPr>
        <w:t>Problema planteado:</w:t>
      </w:r>
    </w:p>
    <w:p w14:paraId="2BF8E60E" w14:textId="77777777" w:rsidR="00794E61" w:rsidRPr="00C43757" w:rsidRDefault="00794E61" w:rsidP="00794E61">
      <w:pPr>
        <w:tabs>
          <w:tab w:val="left" w:pos="426"/>
        </w:tabs>
        <w:spacing w:after="0" w:line="276" w:lineRule="auto"/>
        <w:jc w:val="both"/>
        <w:rPr>
          <w:rFonts w:ascii="Verdana" w:eastAsia="Century Gothic" w:hAnsi="Verdana" w:cs="Century Gothic"/>
          <w:color w:val="000000" w:themeColor="text1"/>
          <w:lang w:val="es-ES"/>
        </w:rPr>
      </w:pPr>
    </w:p>
    <w:p w14:paraId="069E82A7" w14:textId="02BE7FB6" w:rsidR="00794E61" w:rsidRPr="00C43757" w:rsidRDefault="00794E61" w:rsidP="00794E61">
      <w:pPr>
        <w:spacing w:after="0" w:line="276" w:lineRule="auto"/>
        <w:jc w:val="both"/>
        <w:rPr>
          <w:rFonts w:ascii="Verdana" w:eastAsia="Century Gothic" w:hAnsi="Verdana" w:cs="Century Gothic"/>
          <w:color w:val="000000" w:themeColor="text1"/>
          <w:lang w:val="es-ES"/>
        </w:rPr>
      </w:pPr>
      <w:r w:rsidRPr="00C43757">
        <w:rPr>
          <w:rFonts w:ascii="Verdana" w:eastAsia="Century Gothic" w:hAnsi="Verdana" w:cs="Century Gothic"/>
          <w:color w:val="000000" w:themeColor="text1"/>
          <w:lang w:val="es-ES"/>
        </w:rPr>
        <w:t>De acuerdo con el contenido de su solicitud, esta Agencia resolverá los siguientes problemas jurídicos: i) ¿</w:t>
      </w:r>
      <w:r w:rsidR="000C38C9" w:rsidRPr="00C43757">
        <w:rPr>
          <w:rFonts w:ascii="Verdana" w:eastAsia="Century Gothic" w:hAnsi="Verdana" w:cs="Century Gothic"/>
          <w:color w:val="000000" w:themeColor="text1"/>
          <w:lang w:val="es-ES"/>
        </w:rPr>
        <w:t>p</w:t>
      </w:r>
      <w:r w:rsidR="009573CE" w:rsidRPr="00C43757">
        <w:rPr>
          <w:rFonts w:ascii="Verdana" w:eastAsia="Century Gothic" w:hAnsi="Verdana" w:cs="Century Gothic"/>
          <w:color w:val="000000" w:themeColor="text1"/>
          <w:lang w:val="es-ES"/>
        </w:rPr>
        <w:t xml:space="preserve">ueden las Empresas de Servicios Públicos </w:t>
      </w:r>
      <w:r w:rsidR="00D5282E" w:rsidRPr="00C43757">
        <w:rPr>
          <w:rFonts w:ascii="Verdana" w:eastAsia="Century Gothic" w:hAnsi="Verdana" w:cs="Century Gothic"/>
          <w:color w:val="000000" w:themeColor="text1"/>
          <w:lang w:val="es-ES"/>
        </w:rPr>
        <w:t>D</w:t>
      </w:r>
      <w:r w:rsidR="009573CE" w:rsidRPr="00C43757">
        <w:rPr>
          <w:rFonts w:ascii="Verdana" w:eastAsia="Century Gothic" w:hAnsi="Verdana" w:cs="Century Gothic"/>
          <w:color w:val="000000" w:themeColor="text1"/>
          <w:lang w:val="es-ES"/>
        </w:rPr>
        <w:t>omiciliarios suscribir contratos de leasing o de renting</w:t>
      </w:r>
      <w:r w:rsidRPr="00C43757">
        <w:rPr>
          <w:rFonts w:ascii="Verdana" w:eastAsia="Century Gothic" w:hAnsi="Verdana" w:cs="Century Gothic"/>
          <w:color w:val="000000" w:themeColor="text1"/>
          <w:lang w:val="es-ES"/>
        </w:rPr>
        <w:t xml:space="preserve">? y </w:t>
      </w:r>
      <w:proofErr w:type="spellStart"/>
      <w:r w:rsidRPr="00C43757">
        <w:rPr>
          <w:rFonts w:ascii="Verdana" w:eastAsia="Century Gothic" w:hAnsi="Verdana" w:cs="Century Gothic"/>
          <w:color w:val="000000" w:themeColor="text1"/>
          <w:lang w:val="es-ES"/>
        </w:rPr>
        <w:t>ii</w:t>
      </w:r>
      <w:proofErr w:type="spellEnd"/>
      <w:r w:rsidRPr="00C43757">
        <w:rPr>
          <w:rFonts w:ascii="Verdana" w:eastAsia="Century Gothic" w:hAnsi="Verdana" w:cs="Century Gothic"/>
          <w:color w:val="000000" w:themeColor="text1"/>
          <w:lang w:val="es-ES"/>
        </w:rPr>
        <w:t xml:space="preserve">) ¿cuál es el alcance </w:t>
      </w:r>
      <w:r w:rsidR="009573CE" w:rsidRPr="00C43757">
        <w:rPr>
          <w:rFonts w:ascii="Verdana" w:eastAsia="Century Gothic" w:hAnsi="Verdana" w:cs="Century Gothic"/>
          <w:color w:val="000000" w:themeColor="text1"/>
          <w:lang w:val="es-ES"/>
        </w:rPr>
        <w:t xml:space="preserve">del </w:t>
      </w:r>
      <w:r w:rsidRPr="00C43757">
        <w:rPr>
          <w:rFonts w:ascii="Verdana" w:eastAsia="Century Gothic" w:hAnsi="Verdana" w:cs="Century Gothic"/>
          <w:color w:val="000000" w:themeColor="text1"/>
          <w:lang w:val="es-ES"/>
        </w:rPr>
        <w:t>principio de anualidad presupuestal</w:t>
      </w:r>
      <w:r w:rsidR="009573CE" w:rsidRPr="00C43757">
        <w:rPr>
          <w:rFonts w:ascii="Verdana" w:eastAsia="Century Gothic" w:hAnsi="Verdana" w:cs="Century Gothic"/>
          <w:color w:val="000000" w:themeColor="text1"/>
          <w:lang w:val="es-ES"/>
        </w:rPr>
        <w:t xml:space="preserve"> y de sus excepciones con respecto</w:t>
      </w:r>
      <w:r w:rsidR="000C38C9" w:rsidRPr="00C43757">
        <w:rPr>
          <w:rFonts w:ascii="Verdana" w:eastAsia="Century Gothic" w:hAnsi="Verdana" w:cs="Century Gothic"/>
          <w:color w:val="000000" w:themeColor="text1"/>
          <w:lang w:val="es-ES"/>
        </w:rPr>
        <w:t xml:space="preserve"> a los contratos que celebren dichas </w:t>
      </w:r>
      <w:r w:rsidR="008774DB" w:rsidRPr="00C43757">
        <w:rPr>
          <w:rFonts w:ascii="Verdana" w:eastAsia="Century Gothic" w:hAnsi="Verdana" w:cs="Century Gothic"/>
          <w:color w:val="000000" w:themeColor="text1"/>
          <w:lang w:val="es-ES"/>
        </w:rPr>
        <w:t>entidades?</w:t>
      </w:r>
    </w:p>
    <w:p w14:paraId="0A06F2CC" w14:textId="77777777" w:rsidR="00794E61" w:rsidRPr="00C43757" w:rsidRDefault="00794E61" w:rsidP="00794E61">
      <w:pPr>
        <w:spacing w:after="0" w:line="276" w:lineRule="auto"/>
        <w:jc w:val="both"/>
        <w:rPr>
          <w:rFonts w:ascii="Verdana" w:eastAsia="Calibri" w:hAnsi="Verdana" w:cs="Arial"/>
          <w:color w:val="000000" w:themeColor="text1"/>
          <w:lang w:val="es-ES"/>
        </w:rPr>
      </w:pPr>
    </w:p>
    <w:p w14:paraId="479D4371" w14:textId="77777777" w:rsidR="00794E61" w:rsidRPr="00C43757" w:rsidRDefault="00794E61" w:rsidP="00794E6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43757">
        <w:rPr>
          <w:rFonts w:ascii="Verdana" w:eastAsia="Century Gothic" w:hAnsi="Verdana" w:cs="Century Gothic"/>
          <w:b/>
          <w:bCs/>
          <w:color w:val="000000" w:themeColor="text1"/>
        </w:rPr>
        <w:t>Respuesta:</w:t>
      </w:r>
    </w:p>
    <w:p w14:paraId="77311CE4" w14:textId="77777777" w:rsidR="00794E61" w:rsidRPr="00C43757" w:rsidRDefault="00794E61" w:rsidP="00794E6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4E61" w:rsidRPr="00C43757" w14:paraId="16D11350" w14:textId="77777777">
        <w:tc>
          <w:tcPr>
            <w:tcW w:w="8828" w:type="dxa"/>
          </w:tcPr>
          <w:p w14:paraId="00D8AC95" w14:textId="77777777" w:rsidR="0019437B" w:rsidRPr="00C43757" w:rsidRDefault="00794E61" w:rsidP="00C43757">
            <w:pPr>
              <w:shd w:val="clear" w:color="auto" w:fill="FFFFFF"/>
              <w:spacing w:before="120" w:after="120" w:line="276" w:lineRule="auto"/>
              <w:ind w:right="51"/>
              <w:jc w:val="both"/>
              <w:rPr>
                <w:rFonts w:ascii="Verdana" w:hAnsi="Verdana" w:cs="Arial"/>
                <w:color w:val="000000" w:themeColor="text1"/>
                <w:lang w:val="es-ES"/>
              </w:rPr>
            </w:pPr>
            <w:r w:rsidRPr="00C43757">
              <w:rPr>
                <w:rFonts w:ascii="Verdana" w:eastAsia="Calibri" w:hAnsi="Verdana" w:cs="Arial"/>
                <w:color w:val="000000" w:themeColor="text1"/>
                <w:lang w:val="es-ES"/>
              </w:rPr>
              <w:t>i)</w:t>
            </w:r>
            <w:r w:rsidRPr="00C43757">
              <w:rPr>
                <w:rFonts w:ascii="Verdana" w:hAnsi="Verdana" w:cs="Arial"/>
                <w:color w:val="000000" w:themeColor="text1"/>
                <w:lang w:val="es-ES"/>
              </w:rPr>
              <w:t xml:space="preserve"> </w:t>
            </w:r>
            <w:r w:rsidR="0019437B" w:rsidRPr="00C43757">
              <w:rPr>
                <w:rFonts w:ascii="Verdana" w:hAnsi="Verdana" w:cs="Arial"/>
                <w:color w:val="000000" w:themeColor="text1"/>
                <w:lang w:val="es-ES"/>
              </w:rPr>
              <w:t xml:space="preserve">Las Empresas de Servicios Públicos Domiciliarios están sometidas, por regla general, a un régimen contractual de derecho privado, conforme a lo dispuesto en los artículos 31 y 32 de la Ley 142 de 1994, lo que implica que </w:t>
            </w:r>
            <w:r w:rsidR="0019437B" w:rsidRPr="00C43757">
              <w:rPr>
                <w:rFonts w:ascii="Verdana" w:hAnsi="Verdana" w:cs="Arial"/>
                <w:color w:val="000000" w:themeColor="text1"/>
                <w:lang w:val="es-ES"/>
              </w:rPr>
              <w:lastRenderedPageBreak/>
              <w:t xml:space="preserve">su actividad contractual se rige por las normas civiles y comerciales, salvo disposición expresa en contrario. </w:t>
            </w:r>
          </w:p>
          <w:p w14:paraId="6980B8B9" w14:textId="55598431" w:rsidR="00A53EE9" w:rsidRPr="00C43757" w:rsidRDefault="0019437B" w:rsidP="00C43757">
            <w:pPr>
              <w:shd w:val="clear" w:color="auto" w:fill="FFFFFF"/>
              <w:spacing w:before="120" w:after="120" w:line="276" w:lineRule="auto"/>
              <w:ind w:right="51" w:firstLine="735"/>
              <w:jc w:val="both"/>
              <w:rPr>
                <w:rFonts w:ascii="Verdana" w:hAnsi="Verdana" w:cs="Arial"/>
                <w:color w:val="000000" w:themeColor="text1"/>
                <w:lang w:val="es-ES"/>
              </w:rPr>
            </w:pPr>
            <w:r w:rsidRPr="0019437B">
              <w:rPr>
                <w:rFonts w:ascii="Verdana" w:hAnsi="Verdana" w:cs="Arial"/>
                <w:color w:val="000000" w:themeColor="text1"/>
                <w:lang w:val="es-ES"/>
              </w:rPr>
              <w:t xml:space="preserve">En virtud de este régimen especial, dichas entidades pueden celebrar los contratos que se encuentran permitidos en el derecho común, en ejercicio de la autonomía de la voluntad. En consecuencia, las Empresas de Servicios Públicos Domiciliarios pueden suscribir contratos de leasing o de renting, en tanto se trata de figuras contractuales propias del derecho privado, aun cuando sean atípicas y su regulación dependa principalmente de lo pactado por las partes. </w:t>
            </w:r>
            <w:r w:rsidR="00C43757">
              <w:rPr>
                <w:rFonts w:ascii="Verdana" w:hAnsi="Verdana" w:cs="Arial"/>
                <w:color w:val="000000" w:themeColor="text1"/>
                <w:lang w:val="es-ES"/>
              </w:rPr>
              <w:t xml:space="preserve">En cualquier caso, </w:t>
            </w:r>
            <w:r w:rsidRPr="0019437B">
              <w:rPr>
                <w:rFonts w:ascii="Verdana" w:hAnsi="Verdana" w:cs="Arial"/>
                <w:color w:val="000000" w:themeColor="text1"/>
                <w:lang w:val="es-ES"/>
              </w:rPr>
              <w:t>la celebración de estos contratos</w:t>
            </w:r>
            <w:r w:rsidR="00C43757">
              <w:rPr>
                <w:rFonts w:ascii="Verdana" w:hAnsi="Verdana" w:cs="Arial"/>
                <w:color w:val="000000" w:themeColor="text1"/>
                <w:lang w:val="es-ES"/>
              </w:rPr>
              <w:t xml:space="preserve"> deberá someterse a </w:t>
            </w:r>
            <w:r w:rsidRPr="0019437B">
              <w:rPr>
                <w:rFonts w:ascii="Verdana" w:hAnsi="Verdana" w:cs="Arial"/>
                <w:color w:val="000000" w:themeColor="text1"/>
                <w:lang w:val="es-ES"/>
              </w:rPr>
              <w:t>lo previsto en su norma de creación y su manual de contratación, así como a los principios de la función administrativa y de la gestión fiscal.</w:t>
            </w:r>
          </w:p>
          <w:p w14:paraId="6E66995A" w14:textId="095EBC43" w:rsidR="00A53EE9" w:rsidRPr="00C43757" w:rsidRDefault="0019437B" w:rsidP="00C43757">
            <w:pPr>
              <w:shd w:val="clear" w:color="auto" w:fill="FFFFFF"/>
              <w:spacing w:before="120" w:after="120" w:line="276" w:lineRule="auto"/>
              <w:ind w:right="51" w:firstLine="735"/>
              <w:jc w:val="both"/>
              <w:rPr>
                <w:rFonts w:ascii="Verdana" w:hAnsi="Verdana" w:cs="Arial"/>
                <w:color w:val="000000" w:themeColor="text1"/>
                <w:lang w:val="es-ES"/>
              </w:rPr>
            </w:pPr>
            <w:proofErr w:type="spellStart"/>
            <w:r w:rsidRPr="0019437B">
              <w:rPr>
                <w:rFonts w:ascii="Verdana" w:hAnsi="Verdana" w:cs="Arial"/>
                <w:color w:val="000000" w:themeColor="text1"/>
                <w:lang w:val="es-ES"/>
              </w:rPr>
              <w:t>ii</w:t>
            </w:r>
            <w:proofErr w:type="spellEnd"/>
            <w:r w:rsidRPr="0019437B">
              <w:rPr>
                <w:rFonts w:ascii="Verdana" w:hAnsi="Verdana" w:cs="Arial"/>
                <w:color w:val="000000" w:themeColor="text1"/>
                <w:lang w:val="es-ES"/>
              </w:rPr>
              <w:t>)</w:t>
            </w:r>
            <w:r w:rsidRPr="0019437B">
              <w:rPr>
                <w:rFonts w:ascii="Verdana" w:hAnsi="Verdana" w:cs="Arial"/>
                <w:b/>
                <w:bCs/>
                <w:color w:val="000000" w:themeColor="text1"/>
                <w:lang w:val="es-ES"/>
              </w:rPr>
              <w:t xml:space="preserve"> </w:t>
            </w:r>
            <w:r w:rsidRPr="0019437B">
              <w:rPr>
                <w:rFonts w:ascii="Verdana" w:hAnsi="Verdana" w:cs="Arial"/>
                <w:color w:val="000000" w:themeColor="text1"/>
                <w:lang w:val="es-ES"/>
              </w:rPr>
              <w:t xml:space="preserve">El principio de anualidad presupuestal implica que el presupuesto tiene una vigencia fiscal anual y que los gastos autorizados deben ejecutarse dentro del período comprendido entre el 1 de enero y el 31 de diciembre, imponiendo un límite máximo de gasto por vigencia. </w:t>
            </w:r>
            <w:r w:rsidR="00C43757">
              <w:rPr>
                <w:rFonts w:ascii="Verdana" w:hAnsi="Verdana" w:cs="Arial"/>
                <w:color w:val="000000" w:themeColor="text1"/>
                <w:lang w:val="es-ES"/>
              </w:rPr>
              <w:t xml:space="preserve">Esto </w:t>
            </w:r>
            <w:r w:rsidRPr="0019437B">
              <w:rPr>
                <w:rFonts w:ascii="Verdana" w:hAnsi="Verdana" w:cs="Arial"/>
                <w:color w:val="000000" w:themeColor="text1"/>
                <w:lang w:val="es-ES"/>
              </w:rPr>
              <w:t xml:space="preserve">supone que las entidades deben planear su actividad contractual de manera que los compromisos adquiridos se atiendan dentro de la respectiva vigencia fiscal. Sin embargo, este principio no es absoluto, dado que el ordenamiento prevé mecanismos que permiten asumir compromisos que trascienden una vigencia fiscal, en armonía con el principio de planeación. </w:t>
            </w:r>
          </w:p>
          <w:p w14:paraId="02EC9924" w14:textId="12690ACB" w:rsidR="00A53EE9" w:rsidRPr="00C43757" w:rsidRDefault="0019437B" w:rsidP="00A53EE9">
            <w:pPr>
              <w:shd w:val="clear" w:color="auto" w:fill="FFFFFF"/>
              <w:spacing w:before="120" w:after="120" w:line="276" w:lineRule="auto"/>
              <w:ind w:right="51" w:firstLine="735"/>
              <w:jc w:val="both"/>
              <w:rPr>
                <w:rFonts w:ascii="Verdana" w:hAnsi="Verdana" w:cs="Arial"/>
                <w:color w:val="000000" w:themeColor="text1"/>
                <w:lang w:val="es-ES"/>
              </w:rPr>
            </w:pPr>
            <w:r w:rsidRPr="0019437B">
              <w:rPr>
                <w:rFonts w:ascii="Verdana" w:hAnsi="Verdana" w:cs="Arial"/>
                <w:color w:val="000000" w:themeColor="text1"/>
                <w:lang w:val="es-ES"/>
              </w:rPr>
              <w:t xml:space="preserve">En este sentido, las vigencias futuras, las reservas presupuestales y las cuentas por pagar constituyen excepciones al principio de anualidad, las cuales permiten comprometer o ejecutar recursos en más de una vigencia fiscal, siempre que se cumplan los requisitos legales y se justifique su utilización. </w:t>
            </w:r>
          </w:p>
          <w:p w14:paraId="47442FD5" w14:textId="77777777" w:rsidR="00794E61" w:rsidRDefault="00C43757" w:rsidP="00C43757">
            <w:pPr>
              <w:shd w:val="clear" w:color="auto" w:fill="FFFFFF"/>
              <w:spacing w:before="120" w:after="120" w:line="276" w:lineRule="auto"/>
              <w:ind w:right="51" w:firstLine="735"/>
              <w:jc w:val="both"/>
              <w:rPr>
                <w:rFonts w:ascii="Verdana" w:hAnsi="Verdana" w:cs="Arial"/>
                <w:color w:val="000000" w:themeColor="text1"/>
                <w:lang w:val="es-ES"/>
              </w:rPr>
            </w:pPr>
            <w:r>
              <w:rPr>
                <w:rFonts w:ascii="Verdana" w:hAnsi="Verdana" w:cs="Arial"/>
                <w:color w:val="000000" w:themeColor="text1"/>
                <w:lang w:val="es-ES"/>
              </w:rPr>
              <w:t>Sin embargo, e</w:t>
            </w:r>
            <w:r w:rsidR="0019437B" w:rsidRPr="0019437B">
              <w:rPr>
                <w:rFonts w:ascii="Verdana" w:hAnsi="Verdana" w:cs="Arial"/>
                <w:color w:val="000000" w:themeColor="text1"/>
                <w:lang w:val="es-ES"/>
              </w:rPr>
              <w:t xml:space="preserve">l régimen presupuestal aplicable a las Empresas de Servicios Públicos Domiciliarios depende de su composición y de lo previsto en el Estatuto Orgánico del Presupuesto, </w:t>
            </w:r>
            <w:r>
              <w:rPr>
                <w:rFonts w:ascii="Verdana" w:hAnsi="Verdana" w:cs="Arial"/>
                <w:color w:val="000000" w:themeColor="text1"/>
                <w:lang w:val="es-ES"/>
              </w:rPr>
              <w:t xml:space="preserve">en especial en sus artículos 3, 4 y 5, </w:t>
            </w:r>
            <w:r w:rsidR="0019437B" w:rsidRPr="0019437B">
              <w:rPr>
                <w:rFonts w:ascii="Verdana" w:hAnsi="Verdana" w:cs="Arial"/>
                <w:color w:val="000000" w:themeColor="text1"/>
                <w:lang w:val="es-ES"/>
              </w:rPr>
              <w:t xml:space="preserve">por lo que corresponde a cada entidad determinar si se encuentra sujeta al principio de anualidad. En caso afirmativo, la entidad </w:t>
            </w:r>
            <w:r w:rsidR="006522FA">
              <w:rPr>
                <w:rFonts w:ascii="Verdana" w:hAnsi="Verdana" w:cs="Arial"/>
                <w:color w:val="000000" w:themeColor="text1"/>
                <w:lang w:val="es-ES"/>
              </w:rPr>
              <w:t xml:space="preserve">podrá acudir </w:t>
            </w:r>
            <w:r w:rsidR="0019437B" w:rsidRPr="0019437B">
              <w:rPr>
                <w:rFonts w:ascii="Verdana" w:hAnsi="Verdana" w:cs="Arial"/>
                <w:color w:val="000000" w:themeColor="text1"/>
                <w:lang w:val="es-ES"/>
              </w:rPr>
              <w:t>a las excepciones previstas cuando los contratos</w:t>
            </w:r>
            <w:r>
              <w:rPr>
                <w:rFonts w:ascii="Verdana" w:hAnsi="Verdana" w:cs="Arial"/>
                <w:color w:val="000000" w:themeColor="text1"/>
                <w:lang w:val="es-ES"/>
              </w:rPr>
              <w:t xml:space="preserve">, </w:t>
            </w:r>
            <w:r w:rsidR="0019437B" w:rsidRPr="0019437B">
              <w:rPr>
                <w:rFonts w:ascii="Verdana" w:hAnsi="Verdana" w:cs="Arial"/>
                <w:color w:val="000000" w:themeColor="text1"/>
                <w:lang w:val="es-ES"/>
              </w:rPr>
              <w:t>como el leasing o el renting por su naturaleza de tracto sucesiv</w:t>
            </w:r>
            <w:r>
              <w:rPr>
                <w:rFonts w:ascii="Verdana" w:hAnsi="Verdana" w:cs="Arial"/>
                <w:color w:val="000000" w:themeColor="text1"/>
                <w:lang w:val="es-ES"/>
              </w:rPr>
              <w:t>o,</w:t>
            </w:r>
            <w:r w:rsidR="0019437B" w:rsidRPr="0019437B">
              <w:rPr>
                <w:rFonts w:ascii="Verdana" w:hAnsi="Verdana" w:cs="Arial"/>
                <w:color w:val="000000" w:themeColor="text1"/>
                <w:lang w:val="es-ES"/>
              </w:rPr>
              <w:t xml:space="preserve"> impliquen compromisos que excedan la vigencia fiscal. En consecuencia, la entidad debe planear sus contratos conforme al principio de anualidad cuando este le sea aplicable y, de ser necesario, emplear las figuras excepcionales previstas en la normativa </w:t>
            </w:r>
            <w:r w:rsidR="0019437B" w:rsidRPr="0019437B">
              <w:rPr>
                <w:rFonts w:ascii="Verdana" w:hAnsi="Verdana" w:cs="Arial"/>
                <w:color w:val="000000" w:themeColor="text1"/>
                <w:lang w:val="es-ES"/>
              </w:rPr>
              <w:lastRenderedPageBreak/>
              <w:t>presupuestal para garantizar la adecuada ejecución de obligaciones plurianuales.</w:t>
            </w:r>
          </w:p>
          <w:p w14:paraId="1833D077" w14:textId="7A881CE3" w:rsidR="006522FA" w:rsidRPr="006522FA" w:rsidRDefault="006522FA" w:rsidP="00B40628">
            <w:pPr>
              <w:spacing w:before="120" w:after="120" w:line="276" w:lineRule="auto"/>
              <w:ind w:firstLine="709"/>
              <w:jc w:val="both"/>
              <w:rPr>
                <w:rFonts w:ascii="Verdana" w:hAnsi="Verdana" w:cs="Arial"/>
                <w:lang w:val="es-ES" w:eastAsia="es-ES"/>
              </w:rPr>
            </w:pPr>
            <w:r w:rsidRPr="00C43757">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DDEB2BC" w14:textId="77777777" w:rsidR="00794E61" w:rsidRPr="00C43757" w:rsidRDefault="00794E61" w:rsidP="00794E6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37BCBDD" w14:textId="77777777" w:rsidR="00794E61" w:rsidRPr="00C43757" w:rsidRDefault="00794E61" w:rsidP="00794E6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43757">
        <w:rPr>
          <w:rFonts w:ascii="Verdana" w:eastAsia="Century Gothic" w:hAnsi="Verdana" w:cs="Century Gothic"/>
          <w:b/>
          <w:bCs/>
          <w:color w:val="000000" w:themeColor="text1"/>
        </w:rPr>
        <w:t>Razones de la respuesta:</w:t>
      </w:r>
    </w:p>
    <w:p w14:paraId="0F48909D" w14:textId="77777777" w:rsidR="00794E61" w:rsidRPr="00C43757" w:rsidRDefault="00794E61" w:rsidP="00794E61">
      <w:pPr>
        <w:spacing w:after="0" w:line="276" w:lineRule="auto"/>
        <w:jc w:val="both"/>
        <w:rPr>
          <w:rFonts w:ascii="Verdana" w:eastAsia="Calibri" w:hAnsi="Verdana" w:cs="Arial"/>
          <w:color w:val="000000" w:themeColor="text1"/>
          <w:lang w:val="es-ES"/>
        </w:rPr>
      </w:pPr>
    </w:p>
    <w:p w14:paraId="6DE09AC5" w14:textId="77777777" w:rsidR="00794E61" w:rsidRPr="00C43757" w:rsidRDefault="00794E61" w:rsidP="00794E61">
      <w:pPr>
        <w:spacing w:after="0" w:line="276" w:lineRule="auto"/>
        <w:jc w:val="both"/>
        <w:rPr>
          <w:rFonts w:ascii="Verdana" w:eastAsia="Calibri" w:hAnsi="Verdana" w:cs="Arial"/>
          <w:color w:val="000000" w:themeColor="text1"/>
          <w:lang w:val="es-ES"/>
        </w:rPr>
      </w:pPr>
      <w:r w:rsidRPr="00C43757">
        <w:rPr>
          <w:rFonts w:ascii="Verdana" w:eastAsia="Calibri" w:hAnsi="Verdana" w:cs="Arial"/>
          <w:color w:val="000000" w:themeColor="text1"/>
          <w:lang w:val="es-ES"/>
        </w:rPr>
        <w:t xml:space="preserve">Lo anterior se sustenta en las siguientes consideraciones: </w:t>
      </w:r>
    </w:p>
    <w:p w14:paraId="5C9E5932" w14:textId="77777777" w:rsidR="00794E61" w:rsidRPr="00C43757" w:rsidRDefault="00794E61" w:rsidP="00794E61">
      <w:pPr>
        <w:spacing w:after="0" w:line="276" w:lineRule="auto"/>
        <w:jc w:val="both"/>
        <w:rPr>
          <w:rFonts w:ascii="Verdana" w:eastAsia="Calibri" w:hAnsi="Verdana" w:cs="Arial"/>
          <w:color w:val="000000" w:themeColor="text1"/>
          <w:lang w:val="es-ES"/>
        </w:rPr>
      </w:pPr>
    </w:p>
    <w:p w14:paraId="058340F8" w14:textId="601E41AA" w:rsidR="000C38C9" w:rsidRPr="00C43757" w:rsidRDefault="00794E61" w:rsidP="000C38C9">
      <w:pPr>
        <w:spacing w:after="0" w:line="276" w:lineRule="auto"/>
        <w:jc w:val="both"/>
        <w:rPr>
          <w:rFonts w:ascii="Verdana" w:eastAsia="Times New Roman" w:hAnsi="Verdana" w:cs="Arial"/>
          <w:bCs/>
          <w:lang w:val="es-ES" w:eastAsia="x-none"/>
        </w:rPr>
      </w:pPr>
      <w:r w:rsidRPr="00C43757">
        <w:rPr>
          <w:rFonts w:ascii="Verdana" w:eastAsia="Calibri" w:hAnsi="Verdana" w:cs="Arial"/>
          <w:lang w:val="es-ES"/>
        </w:rPr>
        <w:t xml:space="preserve">i) </w:t>
      </w:r>
      <w:r w:rsidR="000C38C9" w:rsidRPr="00C43757">
        <w:rPr>
          <w:rFonts w:ascii="Verdana" w:eastAsia="Times New Roman" w:hAnsi="Verdana" w:cs="Arial"/>
          <w:bCs/>
          <w:lang w:val="es-ES" w:eastAsia="x-none"/>
        </w:rPr>
        <w:t xml:space="preserve">El artículo 14 de la Ley 142 de 1994 contiene las definiciones para la correcta aplicación e interpretación del régimen de servicios públicos domiciliarios. Esta norma define los distintos tipos de Empresas de Servicios Públicos en los siguientes términos: </w:t>
      </w:r>
    </w:p>
    <w:p w14:paraId="176015EE" w14:textId="77777777" w:rsidR="000C38C9" w:rsidRPr="00C43757" w:rsidRDefault="000C38C9" w:rsidP="000C38C9">
      <w:pPr>
        <w:spacing w:after="0" w:line="276" w:lineRule="auto"/>
        <w:jc w:val="both"/>
        <w:rPr>
          <w:rFonts w:ascii="Verdana" w:eastAsia="Times New Roman" w:hAnsi="Verdana" w:cs="Arial"/>
          <w:bCs/>
          <w:lang w:val="es-ES" w:eastAsia="x-none"/>
        </w:rPr>
      </w:pPr>
    </w:p>
    <w:p w14:paraId="5C3608E7" w14:textId="77777777" w:rsidR="000C38C9" w:rsidRPr="00C43757" w:rsidRDefault="000C38C9" w:rsidP="000C38C9">
      <w:pPr>
        <w:widowControl w:val="0"/>
        <w:tabs>
          <w:tab w:val="left" w:pos="709"/>
        </w:tabs>
        <w:spacing w:after="0" w:line="240" w:lineRule="auto"/>
        <w:ind w:left="709" w:right="709"/>
        <w:jc w:val="both"/>
        <w:rPr>
          <w:rFonts w:ascii="Verdana" w:eastAsia="Arial" w:hAnsi="Verdana" w:cs="Arial"/>
          <w:sz w:val="20"/>
          <w:szCs w:val="20"/>
          <w:lang w:val="es-ES" w:eastAsia="es-CO"/>
        </w:rPr>
      </w:pPr>
      <w:r w:rsidRPr="00C43757">
        <w:rPr>
          <w:rFonts w:ascii="Verdana" w:eastAsia="Arial" w:hAnsi="Verdana" w:cs="Arial"/>
          <w:sz w:val="20"/>
          <w:szCs w:val="20"/>
          <w:lang w:val="es-ES" w:eastAsia="es-CO"/>
        </w:rPr>
        <w:t>“14.5.</w:t>
      </w:r>
      <w:r w:rsidRPr="00C43757">
        <w:rPr>
          <w:rFonts w:ascii="Verdana" w:eastAsia="Arial" w:hAnsi="Verdana" w:cs="Arial"/>
          <w:sz w:val="20"/>
          <w:szCs w:val="20"/>
          <w:lang w:val="es-ES" w:eastAsia="es-CO"/>
        </w:rPr>
        <w:tab/>
        <w:t>Empresa de servicios públicos oficial. Es aquella en cuyo capital la Nación, las entidades territoriales, o las entidades descentralizadas de aquella o estas tienen el 100% de los aportes.</w:t>
      </w:r>
    </w:p>
    <w:p w14:paraId="20005DA9" w14:textId="77777777" w:rsidR="000C38C9" w:rsidRPr="00C43757" w:rsidRDefault="000C38C9" w:rsidP="000C38C9">
      <w:pPr>
        <w:widowControl w:val="0"/>
        <w:tabs>
          <w:tab w:val="left" w:pos="709"/>
        </w:tabs>
        <w:spacing w:after="0" w:line="240" w:lineRule="auto"/>
        <w:ind w:left="709" w:right="709"/>
        <w:jc w:val="both"/>
        <w:rPr>
          <w:rFonts w:ascii="Verdana" w:eastAsia="Arial" w:hAnsi="Verdana" w:cs="Arial"/>
          <w:sz w:val="20"/>
          <w:szCs w:val="20"/>
          <w:lang w:val="es-ES" w:eastAsia="es-CO"/>
        </w:rPr>
      </w:pPr>
    </w:p>
    <w:p w14:paraId="4915EAC5" w14:textId="77777777" w:rsidR="000C38C9" w:rsidRPr="00C43757" w:rsidRDefault="000C38C9" w:rsidP="000C38C9">
      <w:pPr>
        <w:widowControl w:val="0"/>
        <w:tabs>
          <w:tab w:val="left" w:pos="709"/>
        </w:tabs>
        <w:spacing w:after="0" w:line="240" w:lineRule="auto"/>
        <w:ind w:left="709" w:right="709"/>
        <w:jc w:val="both"/>
        <w:rPr>
          <w:rFonts w:ascii="Verdana" w:eastAsia="Arial" w:hAnsi="Verdana" w:cs="Arial"/>
          <w:sz w:val="20"/>
          <w:szCs w:val="20"/>
          <w:lang w:val="es-ES" w:eastAsia="es-CO"/>
        </w:rPr>
      </w:pPr>
      <w:r w:rsidRPr="00C43757">
        <w:rPr>
          <w:rFonts w:ascii="Verdana" w:eastAsia="Arial" w:hAnsi="Verdana" w:cs="Arial"/>
          <w:sz w:val="20"/>
          <w:szCs w:val="20"/>
          <w:lang w:val="es-ES" w:eastAsia="es-CO"/>
        </w:rPr>
        <w:t>14.6.</w:t>
      </w:r>
      <w:r w:rsidRPr="00C43757">
        <w:rPr>
          <w:rFonts w:ascii="Verdana" w:eastAsia="Arial" w:hAnsi="Verdana" w:cs="Arial"/>
          <w:sz w:val="20"/>
          <w:szCs w:val="20"/>
          <w:lang w:val="es-ES" w:eastAsia="es-CO"/>
        </w:rPr>
        <w:tab/>
        <w:t>Empresa de servicios públicos mixta. Es aquella en cuyo capital la Nación, las entidades territoriales, o las entidades descentralizadas de aquella o éstas tienen aportes iguales o superiores al 50%.</w:t>
      </w:r>
    </w:p>
    <w:p w14:paraId="68DC6141" w14:textId="77777777" w:rsidR="000C38C9" w:rsidRPr="00C43757" w:rsidRDefault="000C38C9" w:rsidP="000C38C9">
      <w:pPr>
        <w:widowControl w:val="0"/>
        <w:tabs>
          <w:tab w:val="left" w:pos="709"/>
        </w:tabs>
        <w:spacing w:after="0" w:line="240" w:lineRule="auto"/>
        <w:ind w:left="709" w:right="709"/>
        <w:jc w:val="both"/>
        <w:rPr>
          <w:rFonts w:ascii="Verdana" w:eastAsia="Arial" w:hAnsi="Verdana" w:cs="Arial"/>
          <w:sz w:val="20"/>
          <w:szCs w:val="20"/>
          <w:lang w:val="es-ES" w:eastAsia="es-CO"/>
        </w:rPr>
      </w:pPr>
    </w:p>
    <w:p w14:paraId="698BE4B6" w14:textId="77777777" w:rsidR="000C38C9" w:rsidRPr="00C43757" w:rsidRDefault="000C38C9" w:rsidP="000C38C9">
      <w:pPr>
        <w:widowControl w:val="0"/>
        <w:tabs>
          <w:tab w:val="left" w:pos="709"/>
        </w:tabs>
        <w:spacing w:after="0" w:line="240" w:lineRule="auto"/>
        <w:ind w:left="709" w:right="709"/>
        <w:jc w:val="both"/>
        <w:rPr>
          <w:rFonts w:ascii="Verdana" w:eastAsia="Arial" w:hAnsi="Verdana" w:cs="Arial"/>
          <w:sz w:val="20"/>
          <w:szCs w:val="20"/>
          <w:lang w:val="es-ES" w:eastAsia="es-CO"/>
        </w:rPr>
      </w:pPr>
      <w:r w:rsidRPr="00C43757">
        <w:rPr>
          <w:rFonts w:ascii="Verdana" w:eastAsia="Arial" w:hAnsi="Verdana" w:cs="Arial"/>
          <w:sz w:val="20"/>
          <w:szCs w:val="20"/>
          <w:lang w:val="es-ES" w:eastAsia="es-CO"/>
        </w:rPr>
        <w:t>14.7.</w:t>
      </w:r>
      <w:r w:rsidRPr="00C43757">
        <w:rPr>
          <w:rFonts w:ascii="Verdana" w:eastAsia="Arial" w:hAnsi="Verdana" w:cs="Arial"/>
          <w:sz w:val="20"/>
          <w:szCs w:val="20"/>
          <w:lang w:val="es-ES" w:eastAsia="es-CO"/>
        </w:rPr>
        <w:tab/>
        <w:t>Empresa de servicios públicos privada. Es aquella cuyo capital pertenece mayoritariamente a particulares, o a entidades surgidas de convenios internacionales que deseen someterse íntegramente para estos efectos a las reglas a las que se someten los particulares.”</w:t>
      </w:r>
    </w:p>
    <w:p w14:paraId="36D1FBC0" w14:textId="77777777" w:rsidR="000C38C9" w:rsidRPr="00C43757" w:rsidRDefault="000C38C9" w:rsidP="000C38C9">
      <w:pPr>
        <w:spacing w:after="120" w:line="276" w:lineRule="auto"/>
        <w:jc w:val="both"/>
        <w:rPr>
          <w:rFonts w:ascii="Verdana" w:eastAsia="Times New Roman" w:hAnsi="Verdana" w:cs="Arial"/>
          <w:bCs/>
          <w:lang w:val="es-ES" w:eastAsia="x-none"/>
        </w:rPr>
      </w:pPr>
    </w:p>
    <w:p w14:paraId="30B3C23A" w14:textId="07BAD7D1" w:rsidR="000C38C9" w:rsidRPr="00C43757" w:rsidRDefault="000C38C9" w:rsidP="000C38C9">
      <w:pPr>
        <w:widowControl w:val="0"/>
        <w:spacing w:after="120" w:line="276" w:lineRule="auto"/>
        <w:ind w:firstLine="708"/>
        <w:jc w:val="both"/>
        <w:rPr>
          <w:rFonts w:ascii="Verdana" w:eastAsia="Arial" w:hAnsi="Verdana" w:cs="Arial"/>
          <w:lang w:val="es-ES" w:eastAsia="es-CO"/>
        </w:rPr>
      </w:pPr>
      <w:r w:rsidRPr="00C43757">
        <w:rPr>
          <w:rFonts w:ascii="Verdana" w:eastAsia="Arial" w:hAnsi="Verdana" w:cs="Arial"/>
          <w:lang w:val="es-ES" w:eastAsia="es-CO"/>
        </w:rPr>
        <w:t xml:space="preserve">A su turno, el artículo 17 de la ley citada señala que “las empresas de servicios públicos son sociedades por acciones cuyo objeto es la prestación de los servicios públicos de que trata esta ley”. Lo cual significa que, en el evento de constituirse un prestador de estos servicios bajo la modalidad del numeral 1, </w:t>
      </w:r>
      <w:r w:rsidRPr="00C43757">
        <w:rPr>
          <w:rFonts w:ascii="Verdana" w:eastAsia="Arial" w:hAnsi="Verdana" w:cs="Arial"/>
          <w:lang w:val="es-ES" w:eastAsia="es-CO"/>
        </w:rPr>
        <w:lastRenderedPageBreak/>
        <w:t xml:space="preserve">del artículo 15, esta deberá conformarse bajo la forma societaria de una sociedad por acciones, respecto de las cuales existen tres tipos: i) sociedad anónima, </w:t>
      </w:r>
      <w:proofErr w:type="spellStart"/>
      <w:r w:rsidRPr="00C43757">
        <w:rPr>
          <w:rFonts w:ascii="Verdana" w:eastAsia="Arial" w:hAnsi="Verdana" w:cs="Arial"/>
          <w:lang w:val="es-ES" w:eastAsia="es-CO"/>
        </w:rPr>
        <w:t>ii</w:t>
      </w:r>
      <w:proofErr w:type="spellEnd"/>
      <w:r w:rsidRPr="00C43757">
        <w:rPr>
          <w:rFonts w:ascii="Verdana" w:eastAsia="Arial" w:hAnsi="Verdana" w:cs="Arial"/>
          <w:lang w:val="es-ES" w:eastAsia="es-CO"/>
        </w:rPr>
        <w:t xml:space="preserve">) sociedad en comandita por acciones, o </w:t>
      </w:r>
      <w:proofErr w:type="spellStart"/>
      <w:r w:rsidRPr="00C43757">
        <w:rPr>
          <w:rFonts w:ascii="Verdana" w:eastAsia="Arial" w:hAnsi="Verdana" w:cs="Arial"/>
          <w:lang w:val="es-ES" w:eastAsia="es-CO"/>
        </w:rPr>
        <w:t>iii</w:t>
      </w:r>
      <w:proofErr w:type="spellEnd"/>
      <w:r w:rsidRPr="00C43757">
        <w:rPr>
          <w:rFonts w:ascii="Verdana" w:eastAsia="Arial" w:hAnsi="Verdana" w:cs="Arial"/>
          <w:lang w:val="es-ES" w:eastAsia="es-CO"/>
        </w:rPr>
        <w:t>) sociedad por acciones simplificada, ya que la legislación vigente así las tipifica</w:t>
      </w:r>
      <w:r w:rsidRPr="00C43757">
        <w:rPr>
          <w:rFonts w:ascii="Verdana" w:eastAsia="Arial" w:hAnsi="Verdana" w:cs="Arial"/>
          <w:vertAlign w:val="superscript"/>
          <w:lang w:val="es-ES" w:eastAsia="es-CO"/>
        </w:rPr>
        <w:footnoteReference w:id="1"/>
      </w:r>
      <w:r w:rsidRPr="00C43757">
        <w:rPr>
          <w:rFonts w:ascii="Verdana" w:eastAsia="Arial" w:hAnsi="Verdana" w:cs="Arial"/>
          <w:lang w:val="es-ES" w:eastAsia="es-CO"/>
        </w:rPr>
        <w:t>.</w:t>
      </w:r>
    </w:p>
    <w:p w14:paraId="7B2EFDDD" w14:textId="753BBD79" w:rsidR="000C38C9" w:rsidRPr="00C43757" w:rsidRDefault="00A715B1" w:rsidP="000C38C9">
      <w:pPr>
        <w:spacing w:after="0" w:line="276" w:lineRule="auto"/>
        <w:ind w:firstLine="709"/>
        <w:jc w:val="both"/>
        <w:rPr>
          <w:rFonts w:ascii="Verdana" w:eastAsia="Calibri" w:hAnsi="Verdana" w:cs="Arial"/>
          <w:bCs/>
          <w:lang w:val="es-ES"/>
        </w:rPr>
      </w:pPr>
      <w:r w:rsidRPr="00C43757">
        <w:rPr>
          <w:rFonts w:ascii="Verdana" w:eastAsia="Calibri" w:hAnsi="Verdana" w:cs="Arial"/>
          <w:bCs/>
          <w:lang w:val="es-ES"/>
        </w:rPr>
        <w:t>Adicionalmente, l</w:t>
      </w:r>
      <w:r w:rsidR="000C38C9" w:rsidRPr="00C43757">
        <w:rPr>
          <w:rFonts w:ascii="Verdana" w:eastAsia="Calibri" w:hAnsi="Verdana" w:cs="Arial"/>
          <w:bCs/>
          <w:lang w:val="es-ES"/>
        </w:rPr>
        <w:t xml:space="preserve">as Empresas Prestadoras de Servicios Públicos tienen la naturaleza jurídica de empresas que pertenecen a la </w:t>
      </w:r>
      <w:r w:rsidR="000C38C9" w:rsidRPr="00C43757">
        <w:rPr>
          <w:rFonts w:ascii="Verdana" w:eastAsia="Calibri" w:hAnsi="Verdana" w:cs="Arial"/>
          <w:bCs/>
          <w:i/>
          <w:iCs/>
          <w:lang w:val="es-ES"/>
        </w:rPr>
        <w:t>rama ejecutiva</w:t>
      </w:r>
      <w:r w:rsidR="000C38C9" w:rsidRPr="00C43757">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 Además de confirmar que las Empresas de Servicios Públicos pertenecen a la rama ejecutiva, la Corte Constitucional sostuvo que tienen el carácter de </w:t>
      </w:r>
      <w:r w:rsidR="000C38C9" w:rsidRPr="00C43757">
        <w:rPr>
          <w:rFonts w:ascii="Verdana" w:eastAsia="Calibri" w:hAnsi="Verdana" w:cs="Arial"/>
          <w:bCs/>
          <w:i/>
          <w:iCs/>
          <w:lang w:val="es-ES"/>
        </w:rPr>
        <w:t>entidades descentralizadas por servicios</w:t>
      </w:r>
      <w:r w:rsidR="000C38C9" w:rsidRPr="00C43757">
        <w:rPr>
          <w:rFonts w:ascii="Verdana" w:eastAsia="Calibri" w:hAnsi="Verdana" w:cs="Arial"/>
          <w:bCs/>
          <w:lang w:val="es-ES"/>
        </w:rPr>
        <w:t>, en los términos del artículo 68 de la Ley 489 de 1998:</w:t>
      </w:r>
    </w:p>
    <w:p w14:paraId="54CDFC79" w14:textId="77777777" w:rsidR="000C38C9" w:rsidRPr="00C43757" w:rsidRDefault="000C38C9" w:rsidP="000C38C9">
      <w:pPr>
        <w:spacing w:after="0" w:line="276" w:lineRule="auto"/>
        <w:ind w:firstLine="709"/>
        <w:jc w:val="both"/>
        <w:rPr>
          <w:rFonts w:ascii="Verdana" w:eastAsia="Calibri" w:hAnsi="Verdana" w:cs="Arial"/>
          <w:bCs/>
          <w:lang w:val="es-ES"/>
        </w:rPr>
      </w:pPr>
    </w:p>
    <w:p w14:paraId="7D5B8B17" w14:textId="77777777" w:rsidR="000C38C9" w:rsidRPr="00C43757" w:rsidRDefault="000C38C9" w:rsidP="000C38C9">
      <w:pPr>
        <w:spacing w:after="0" w:line="240" w:lineRule="auto"/>
        <w:ind w:left="709" w:right="709"/>
        <w:jc w:val="both"/>
        <w:rPr>
          <w:rFonts w:ascii="Verdana" w:eastAsia="Calibri" w:hAnsi="Verdana" w:cs="Arial"/>
          <w:bCs/>
          <w:sz w:val="20"/>
          <w:szCs w:val="20"/>
          <w:lang w:val="es-ES"/>
        </w:rPr>
      </w:pPr>
      <w:r w:rsidRPr="00C43757">
        <w:rPr>
          <w:rFonts w:ascii="Verdana" w:eastAsia="Calibri" w:hAnsi="Verdana" w:cs="Arial"/>
          <w:bCs/>
          <w:sz w:val="20"/>
          <w:szCs w:val="20"/>
          <w:lang w:val="es-ES"/>
        </w:rPr>
        <w:t>“Nótese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público es igual o superior al cincuenta por ciento (50%), lo cual significa que minoritariamente pertenece a 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derivadas de tal naturaleza jurídica, dispuestas expresamente por la Constitución”.</w:t>
      </w:r>
    </w:p>
    <w:p w14:paraId="3BF3E917" w14:textId="77777777" w:rsidR="000C38C9" w:rsidRPr="00C43757" w:rsidRDefault="000C38C9" w:rsidP="000C38C9">
      <w:pPr>
        <w:spacing w:after="0" w:line="276" w:lineRule="auto"/>
        <w:ind w:left="709" w:right="709"/>
        <w:contextualSpacing/>
        <w:jc w:val="both"/>
        <w:rPr>
          <w:rFonts w:ascii="Verdana" w:eastAsia="Calibri" w:hAnsi="Verdana" w:cs="Arial"/>
          <w:bCs/>
          <w:lang w:val="es-ES"/>
        </w:rPr>
      </w:pPr>
    </w:p>
    <w:p w14:paraId="1741FB63" w14:textId="42F22308" w:rsidR="000C38C9" w:rsidRPr="00C43757" w:rsidRDefault="000C38C9" w:rsidP="000C38C9">
      <w:pPr>
        <w:spacing w:after="0" w:line="276" w:lineRule="auto"/>
        <w:ind w:firstLine="709"/>
        <w:jc w:val="both"/>
        <w:rPr>
          <w:rFonts w:ascii="Verdana" w:eastAsia="Calibri" w:hAnsi="Verdana" w:cs="Arial"/>
          <w:color w:val="000000" w:themeColor="text1"/>
          <w:lang w:val="es-ES"/>
        </w:rPr>
      </w:pPr>
      <w:r w:rsidRPr="00C43757">
        <w:rPr>
          <w:rFonts w:ascii="Verdana" w:eastAsia="Arial" w:hAnsi="Verdana" w:cs="Arial"/>
          <w:lang w:val="es-ES" w:eastAsia="es-CO"/>
        </w:rPr>
        <w:t xml:space="preserve">En relación con el régimen de contratación, </w:t>
      </w:r>
      <w:r w:rsidRPr="00C43757">
        <w:rPr>
          <w:rFonts w:ascii="Verdana" w:eastAsia="Calibri" w:hAnsi="Verdana" w:cs="Arial"/>
          <w:color w:val="000000"/>
          <w:szCs w:val="24"/>
          <w:lang w:val="es-ES" w:eastAsia="es-ES_tradnl"/>
        </w:rPr>
        <w:t>el artículo 31 de la Ley 142 de 1994, modificado por el artículo 3 de la Ley 689 de 2001, dispone que</w:t>
      </w:r>
      <w:r w:rsidRPr="00C43757">
        <w:rPr>
          <w:rFonts w:ascii="Verdana" w:eastAsia="Calibri" w:hAnsi="Verdana" w:cs="Arial"/>
          <w:color w:val="000000"/>
          <w:bdr w:val="none" w:sz="0" w:space="0" w:color="auto" w:frame="1"/>
          <w:lang w:val="es-ES"/>
        </w:rPr>
        <w:t xml:space="preserve"> los contratos que celebren las Entidades Estatales que prestan los Servicios Públicos Domiciliarios </w:t>
      </w:r>
      <w:r w:rsidRPr="00C43757">
        <w:rPr>
          <w:rFonts w:ascii="Verdana" w:eastAsia="Calibri" w:hAnsi="Verdana" w:cs="Arial"/>
          <w:i/>
          <w:color w:val="000000"/>
          <w:bdr w:val="none" w:sz="0" w:space="0" w:color="auto" w:frame="1"/>
          <w:lang w:val="es-ES"/>
        </w:rPr>
        <w:t>“no estarán sujetos a las disposiciones del Estatuto General de Contratación de la Administración Pública, salvo en lo que la presente ley disponga otra cosa”</w:t>
      </w:r>
      <w:r w:rsidRPr="00C43757">
        <w:rPr>
          <w:rFonts w:ascii="Verdana" w:eastAsia="Calibri" w:hAnsi="Verdana" w:cs="Arial"/>
          <w:color w:val="000000"/>
          <w:szCs w:val="24"/>
          <w:lang w:val="es-ES" w:eastAsia="es-ES_tradnl"/>
        </w:rPr>
        <w:t xml:space="preserve">. </w:t>
      </w:r>
      <w:r w:rsidRPr="00C43757">
        <w:rPr>
          <w:rFonts w:ascii="Verdana" w:hAnsi="Verdana" w:cs="Arial"/>
          <w:bCs/>
          <w:lang w:val="es-ES"/>
        </w:rPr>
        <w:t xml:space="preserve">Asimismo, el inciso primero del artículo 32 precisa lo siguiente: “Salvo en cuanto la Constitución Política o esta Ley dispongan expresamente lo contrario, la constitución, y los actos de todas las </w:t>
      </w:r>
      <w:r w:rsidRPr="00C43757">
        <w:rPr>
          <w:rFonts w:ascii="Verdana" w:hAnsi="Verdana" w:cs="Arial"/>
          <w:bCs/>
          <w:i/>
          <w:iCs/>
          <w:lang w:val="es-ES"/>
        </w:rPr>
        <w:t>empresas de servicios públicos</w:t>
      </w:r>
      <w:r w:rsidRPr="00C43757">
        <w:rPr>
          <w:rFonts w:ascii="Verdana" w:hAnsi="Verdana" w:cs="Arial"/>
          <w:bCs/>
          <w:lang w:val="es-ES"/>
        </w:rPr>
        <w:t xml:space="preserve">, así como los requeridos para la administración y el ejercicio </w:t>
      </w:r>
      <w:r w:rsidRPr="00C43757">
        <w:rPr>
          <w:rFonts w:ascii="Verdana" w:hAnsi="Verdana" w:cs="Arial"/>
          <w:bCs/>
          <w:lang w:val="es-ES"/>
        </w:rPr>
        <w:lastRenderedPageBreak/>
        <w:t xml:space="preserve">de los derechos de todas las personas que sean socias de ellas, en lo no dispuesto en esta Ley, se regirán exclusivamente por las reglas del derecho privado” (Énfasis fuera de texto). </w:t>
      </w:r>
      <w:r w:rsidRPr="00C43757">
        <w:rPr>
          <w:rFonts w:ascii="Verdana" w:eastAsia="Calibri" w:hAnsi="Verdana" w:cs="Arial"/>
          <w:color w:val="000000" w:themeColor="text1"/>
          <w:lang w:val="es-ES"/>
        </w:rPr>
        <w:t xml:space="preserve">De esta manera, el máximo órgano de la Jurisdicción de lo Contencioso Administrativo considera que: </w:t>
      </w:r>
    </w:p>
    <w:p w14:paraId="5955CB3F" w14:textId="77777777" w:rsidR="000C38C9" w:rsidRPr="00C43757" w:rsidRDefault="000C38C9" w:rsidP="000C38C9">
      <w:pPr>
        <w:spacing w:after="0" w:line="276" w:lineRule="auto"/>
        <w:jc w:val="both"/>
        <w:rPr>
          <w:rFonts w:ascii="Verdana" w:hAnsi="Verdana" w:cs="Arial"/>
          <w:lang w:val="es-ES"/>
        </w:rPr>
      </w:pPr>
    </w:p>
    <w:p w14:paraId="4B631843" w14:textId="5E36D234" w:rsidR="000C38C9" w:rsidRPr="00C43757" w:rsidRDefault="000C38C9" w:rsidP="000C38C9">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C43757">
        <w:rPr>
          <w:rFonts w:ascii="Verdana" w:eastAsia="Calibri" w:hAnsi="Verdana" w:cs="Arial"/>
          <w:color w:val="000000" w:themeColor="text1"/>
          <w:sz w:val="20"/>
          <w:szCs w:val="20"/>
          <w:lang w:val="es-ES"/>
        </w:rPr>
        <w:t xml:space="preserve">“el régimen jurídico aplicable a las empresas de servicios públicos domiciliarios en materia contractual es el propio del derecho común y sólo excepcionalmente se aplican las reglas del derecho público, es decir, las reglas de la Ley 80 de 1993. </w:t>
      </w:r>
    </w:p>
    <w:p w14:paraId="33A69D27" w14:textId="77777777" w:rsidR="000C38C9" w:rsidRPr="00C43757" w:rsidRDefault="000C38C9" w:rsidP="000C38C9">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19E7C0B4" w14:textId="77777777" w:rsidR="000C38C9" w:rsidRPr="00C43757" w:rsidRDefault="000C38C9" w:rsidP="000C38C9">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C43757">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C43757">
        <w:rPr>
          <w:rStyle w:val="Refdenotaalpie"/>
          <w:rFonts w:ascii="Verdana" w:eastAsia="Calibri" w:hAnsi="Verdana" w:cs="Arial"/>
          <w:color w:val="000000" w:themeColor="text1"/>
          <w:sz w:val="20"/>
          <w:szCs w:val="20"/>
          <w:lang w:val="es-ES"/>
        </w:rPr>
        <w:footnoteReference w:id="2"/>
      </w:r>
      <w:r w:rsidRPr="00C43757">
        <w:rPr>
          <w:rFonts w:ascii="Verdana" w:eastAsia="Calibri" w:hAnsi="Verdana" w:cs="Arial"/>
          <w:color w:val="000000" w:themeColor="text1"/>
          <w:sz w:val="20"/>
          <w:szCs w:val="20"/>
          <w:lang w:val="es-ES"/>
        </w:rPr>
        <w:t>.</w:t>
      </w:r>
    </w:p>
    <w:p w14:paraId="6AD88391" w14:textId="77777777" w:rsidR="000C38C9" w:rsidRPr="00C43757" w:rsidRDefault="000C38C9" w:rsidP="000C38C9">
      <w:pPr>
        <w:spacing w:after="120" w:line="276" w:lineRule="auto"/>
        <w:jc w:val="both"/>
        <w:rPr>
          <w:rFonts w:ascii="Verdana" w:eastAsia="Calibri" w:hAnsi="Verdana" w:cs="Arial"/>
          <w:color w:val="000000"/>
          <w:szCs w:val="24"/>
          <w:lang w:val="es-ES" w:eastAsia="es-ES_tradnl"/>
        </w:rPr>
      </w:pPr>
    </w:p>
    <w:p w14:paraId="347FDB44" w14:textId="058CB6A1" w:rsidR="000C38C9" w:rsidRPr="00C43757" w:rsidRDefault="000C38C9" w:rsidP="003258CC">
      <w:pPr>
        <w:spacing w:after="0" w:line="276" w:lineRule="auto"/>
        <w:ind w:firstLine="709"/>
        <w:jc w:val="both"/>
        <w:rPr>
          <w:rFonts w:ascii="Verdana" w:eastAsia="Calibri" w:hAnsi="Verdana" w:cs="Arial"/>
          <w:color w:val="000000"/>
          <w:szCs w:val="24"/>
          <w:lang w:val="es-ES" w:eastAsia="es-ES_tradnl"/>
        </w:rPr>
      </w:pPr>
      <w:proofErr w:type="gramStart"/>
      <w:r w:rsidRPr="00C43757">
        <w:rPr>
          <w:rFonts w:ascii="Verdana" w:eastAsia="Times New Roman" w:hAnsi="Verdana" w:cs="Arial"/>
          <w:lang w:val="es-ES" w:eastAsia="es-ES_tradnl"/>
          <w14:ligatures w14:val="standardContextual"/>
        </w:rPr>
        <w:t>Así,</w:t>
      </w:r>
      <w:r w:rsidR="00682225" w:rsidRPr="00C43757">
        <w:rPr>
          <w:rFonts w:ascii="Verdana" w:eastAsia="Times New Roman" w:hAnsi="Verdana" w:cs="Arial"/>
          <w:lang w:val="es-ES" w:eastAsia="es-ES_tradnl"/>
          <w14:ligatures w14:val="standardContextual"/>
        </w:rPr>
        <w:t xml:space="preserve"> </w:t>
      </w:r>
      <w:r w:rsidRPr="00C43757">
        <w:rPr>
          <w:rFonts w:ascii="Verdana" w:eastAsia="Times New Roman" w:hAnsi="Verdana" w:cs="Arial"/>
          <w:lang w:val="es-ES" w:eastAsia="es-ES_tradnl"/>
          <w14:ligatures w14:val="standardContextual"/>
        </w:rPr>
        <w:t xml:space="preserve"> la</w:t>
      </w:r>
      <w:proofErr w:type="gramEnd"/>
      <w:r w:rsidRPr="00C43757">
        <w:rPr>
          <w:rFonts w:ascii="Verdana" w:eastAsia="Times New Roman" w:hAnsi="Verdana" w:cs="Arial"/>
          <w:lang w:val="es-ES" w:eastAsia="es-ES_tradnl"/>
          <w14:ligatures w14:val="standardContextual"/>
        </w:rPr>
        <w:t xml:space="preserve"> actividad contractual </w:t>
      </w:r>
      <w:r w:rsidR="00682225" w:rsidRPr="00C43757">
        <w:rPr>
          <w:rFonts w:ascii="Verdana" w:eastAsia="Times New Roman" w:hAnsi="Verdana" w:cs="Arial"/>
          <w:lang w:val="es-ES" w:eastAsia="es-ES_tradnl"/>
          <w14:ligatures w14:val="standardContextual"/>
        </w:rPr>
        <w:t xml:space="preserve">de </w:t>
      </w:r>
      <w:r w:rsidRPr="00C43757">
        <w:rPr>
          <w:rFonts w:ascii="Verdana" w:eastAsia="Times New Roman" w:hAnsi="Verdana" w:cs="Arial"/>
          <w:lang w:val="es-ES" w:eastAsia="es-ES_tradnl"/>
          <w14:ligatures w14:val="standardContextual"/>
        </w:rPr>
        <w:t>las Empresas de Servicios Públicos se sujeta a las disposiciones del derecho privado, salvo en aquellos casos en que la normativa (Constitución Política, Ley 142 de 1994 u otras normas especiales) someta dicha actuación a</w:t>
      </w:r>
      <w:r w:rsidRPr="00C43757">
        <w:rPr>
          <w:rFonts w:ascii="Verdana" w:eastAsia="Calibri" w:hAnsi="Verdana" w:cs="Arial"/>
          <w:color w:val="000000"/>
          <w:lang w:val="es-ES" w:eastAsia="es-ES"/>
        </w:rPr>
        <w:t xml:space="preserve">l Estatuto General de Contratación de la Administración Pública. Adicionalmente, su actuar se encuentra regido por </w:t>
      </w:r>
      <w:r w:rsidRPr="00C43757">
        <w:rPr>
          <w:rFonts w:ascii="Verdana" w:eastAsia="Calibri" w:hAnsi="Verdana" w:cs="Arial"/>
          <w:color w:val="000000"/>
          <w:szCs w:val="24"/>
          <w:lang w:val="es-ES" w:eastAsia="es-ES_tradnl"/>
        </w:rPr>
        <w:t>los principios de la función administrativa y de la gestión fiscal, previstos en los artículos 209 y 267 de la Constitución, toda vez que así lo dispone el artículo 13 de la Ley 1150 de 2007</w:t>
      </w:r>
      <w:r w:rsidRPr="00C43757">
        <w:rPr>
          <w:rFonts w:ascii="Verdana" w:eastAsia="Calibri" w:hAnsi="Verdana" w:cs="Arial"/>
          <w:color w:val="000000"/>
          <w:szCs w:val="24"/>
          <w:vertAlign w:val="superscript"/>
          <w:lang w:val="es-ES" w:eastAsia="es-ES_tradnl"/>
        </w:rPr>
        <w:footnoteReference w:id="3"/>
      </w:r>
      <w:r w:rsidRPr="00C43757">
        <w:rPr>
          <w:rFonts w:ascii="Verdana" w:eastAsia="Calibri" w:hAnsi="Verdana" w:cs="Arial"/>
          <w:color w:val="000000"/>
          <w:szCs w:val="24"/>
          <w:lang w:val="es-ES" w:eastAsia="es-ES_tradnl"/>
        </w:rPr>
        <w:t>.</w:t>
      </w:r>
    </w:p>
    <w:p w14:paraId="3D21BD9D" w14:textId="77777777" w:rsidR="003258CC" w:rsidRPr="00C43757" w:rsidRDefault="003258CC" w:rsidP="003258CC">
      <w:pPr>
        <w:spacing w:after="0" w:line="276" w:lineRule="auto"/>
        <w:ind w:firstLine="709"/>
        <w:jc w:val="both"/>
        <w:rPr>
          <w:rFonts w:ascii="Verdana" w:eastAsia="Calibri" w:hAnsi="Verdana" w:cs="Arial"/>
          <w:color w:val="000000"/>
          <w:szCs w:val="24"/>
          <w:lang w:val="es-ES" w:eastAsia="es-ES_tradnl"/>
        </w:rPr>
      </w:pPr>
    </w:p>
    <w:p w14:paraId="6FC57143" w14:textId="77777777" w:rsidR="00682225" w:rsidRPr="00C43757" w:rsidRDefault="000C38C9" w:rsidP="00794E61">
      <w:pPr>
        <w:shd w:val="clear" w:color="auto" w:fill="FFFFFF" w:themeFill="background1"/>
        <w:spacing w:after="120" w:line="276" w:lineRule="auto"/>
        <w:ind w:right="51"/>
        <w:jc w:val="both"/>
        <w:rPr>
          <w:rFonts w:ascii="Verdana" w:eastAsia="Calibri" w:hAnsi="Verdana" w:cs="Arial"/>
          <w:lang w:val="es-ES"/>
        </w:rPr>
      </w:pPr>
      <w:proofErr w:type="spellStart"/>
      <w:r w:rsidRPr="00C43757">
        <w:rPr>
          <w:rFonts w:ascii="Verdana" w:eastAsia="Calibri" w:hAnsi="Verdana" w:cs="Arial"/>
          <w:lang w:val="es-ES"/>
        </w:rPr>
        <w:t>ii</w:t>
      </w:r>
      <w:proofErr w:type="spellEnd"/>
      <w:r w:rsidRPr="00C43757">
        <w:rPr>
          <w:rFonts w:ascii="Verdana" w:eastAsia="Calibri" w:hAnsi="Verdana" w:cs="Arial"/>
          <w:lang w:val="es-ES"/>
        </w:rPr>
        <w:t xml:space="preserve">) </w:t>
      </w:r>
      <w:r w:rsidR="003258CC" w:rsidRPr="00C43757">
        <w:rPr>
          <w:rFonts w:ascii="Verdana" w:eastAsia="Calibri" w:hAnsi="Verdana" w:cs="Arial"/>
          <w:lang w:val="es-ES"/>
        </w:rPr>
        <w:t xml:space="preserve">En virtud de lo expuesto, las </w:t>
      </w:r>
      <w:r w:rsidR="00682225" w:rsidRPr="00C43757">
        <w:rPr>
          <w:rFonts w:ascii="Verdana" w:eastAsia="Calibri" w:hAnsi="Verdana" w:cs="Arial"/>
          <w:lang w:val="es-ES"/>
        </w:rPr>
        <w:t xml:space="preserve">Empresas de Servicios Públicos Domiciliarios </w:t>
      </w:r>
      <w:r w:rsidR="003258CC" w:rsidRPr="00C43757">
        <w:rPr>
          <w:rFonts w:ascii="Verdana" w:eastAsia="Calibri" w:hAnsi="Verdana" w:cs="Arial"/>
          <w:lang w:val="es-ES"/>
        </w:rPr>
        <w:t>pueden celebrar los contratos que les permite el derecho privado</w:t>
      </w:r>
      <w:r w:rsidR="00682225" w:rsidRPr="00C43757">
        <w:rPr>
          <w:rFonts w:ascii="Verdana" w:eastAsia="Calibri" w:hAnsi="Verdana" w:cs="Arial"/>
          <w:lang w:val="es-ES"/>
        </w:rPr>
        <w:t xml:space="preserve"> al estar </w:t>
      </w:r>
      <w:r w:rsidR="00682225" w:rsidRPr="00C43757">
        <w:rPr>
          <w:rFonts w:ascii="Verdana" w:eastAsia="Calibri" w:hAnsi="Verdana" w:cs="Arial"/>
          <w:lang w:val="es-ES"/>
        </w:rPr>
        <w:lastRenderedPageBreak/>
        <w:t xml:space="preserve">sometidas a un régimen especial de contratación, salvo que la normativa directamente las someta al EGCAP. </w:t>
      </w:r>
    </w:p>
    <w:p w14:paraId="2B7F64A9" w14:textId="21BBB38F" w:rsidR="0026223F" w:rsidRPr="00C43757" w:rsidRDefault="0026223F" w:rsidP="0026223F">
      <w:pPr>
        <w:spacing w:after="120" w:line="276" w:lineRule="auto"/>
        <w:ind w:firstLine="709"/>
        <w:jc w:val="both"/>
        <w:rPr>
          <w:rFonts w:ascii="Verdana" w:hAnsi="Verdana" w:cs="Arial"/>
          <w:bCs/>
          <w:lang w:val="es-ES"/>
        </w:rPr>
      </w:pPr>
      <w:r w:rsidRPr="00C43757">
        <w:rPr>
          <w:rFonts w:ascii="Verdana" w:hAnsi="Verdana" w:cs="Arial"/>
          <w:lang w:val="es-ES"/>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2" w:name="_Hlk97724318"/>
      <w:r w:rsidRPr="00C43757">
        <w:rPr>
          <w:rFonts w:ascii="Verdana" w:hAnsi="Verdana" w:cs="Arial"/>
          <w:lang w:val="es-ES"/>
        </w:rPr>
        <w:t>EGCAP</w:t>
      </w:r>
      <w:bookmarkEnd w:id="2"/>
      <w:r w:rsidRPr="00C43757">
        <w:rPr>
          <w:rFonts w:ascii="Verdana" w:hAnsi="Verdana" w:cs="Arial"/>
          <w:lang w:val="es-ES"/>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514568F5" w14:textId="77777777" w:rsidR="0026223F" w:rsidRPr="00C43757" w:rsidRDefault="0026223F" w:rsidP="0026223F">
      <w:pPr>
        <w:spacing w:before="120" w:after="120" w:line="276" w:lineRule="auto"/>
        <w:ind w:firstLine="709"/>
        <w:jc w:val="both"/>
        <w:rPr>
          <w:rFonts w:ascii="Verdana" w:hAnsi="Verdana" w:cs="Arial"/>
          <w:lang w:val="es-ES"/>
        </w:rPr>
      </w:pPr>
      <w:r w:rsidRPr="00C43757">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010272B3" w14:textId="77777777" w:rsidR="007E4B75" w:rsidRPr="00C43757" w:rsidRDefault="007E4B75" w:rsidP="007E4B75">
      <w:pPr>
        <w:spacing w:before="120" w:after="0" w:line="276" w:lineRule="auto"/>
        <w:ind w:firstLine="709"/>
        <w:jc w:val="both"/>
        <w:rPr>
          <w:rFonts w:ascii="Verdana" w:hAnsi="Verdana" w:cs="Arial"/>
          <w:bCs/>
          <w:lang w:val="es-ES"/>
        </w:rPr>
      </w:pPr>
      <w:r w:rsidRPr="00C43757">
        <w:rPr>
          <w:rFonts w:ascii="Verdana" w:hAnsi="Verdana" w:cs="Arial"/>
          <w:lang w:val="es-ES"/>
        </w:rPr>
        <w:t>Pese a que</w:t>
      </w:r>
      <w:r w:rsidRPr="00C43757">
        <w:rPr>
          <w:rFonts w:ascii="Verdana" w:eastAsia="Calibri" w:hAnsi="Verdana" w:cs="Arial"/>
          <w:lang w:val="es-ES"/>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reglas dispuestas en la normativa de contratación estatal, que son transversales a todas las entidades, sin importar su régimen contractual. Al respecto, el artículo 13 </w:t>
      </w:r>
      <w:r w:rsidRPr="00C43757">
        <w:rPr>
          <w:rFonts w:ascii="Verdana" w:hAnsi="Verdana" w:cs="Arial"/>
          <w:bCs/>
          <w:lang w:val="es-ES"/>
        </w:rPr>
        <w:t>de la Ley 1150 de 2007 preceptúa lo siguiente:</w:t>
      </w:r>
    </w:p>
    <w:p w14:paraId="55F6F140" w14:textId="77777777" w:rsidR="007E4B75" w:rsidRPr="00C43757" w:rsidRDefault="007E4B75" w:rsidP="007E4B75">
      <w:pPr>
        <w:spacing w:after="0" w:line="276" w:lineRule="auto"/>
        <w:ind w:firstLine="708"/>
        <w:jc w:val="both"/>
        <w:rPr>
          <w:rFonts w:ascii="Verdana" w:hAnsi="Verdana" w:cs="Arial"/>
          <w:bCs/>
          <w:lang w:val="es-ES"/>
        </w:rPr>
      </w:pPr>
      <w:r w:rsidRPr="00C43757">
        <w:rPr>
          <w:rFonts w:ascii="Verdana" w:hAnsi="Verdana" w:cs="Arial"/>
          <w:bCs/>
          <w:lang w:val="es-ES"/>
        </w:rPr>
        <w:t xml:space="preserve"> </w:t>
      </w:r>
    </w:p>
    <w:p w14:paraId="7D92153D" w14:textId="77777777" w:rsidR="007E4B75" w:rsidRPr="00C43757" w:rsidRDefault="007E4B75" w:rsidP="007E4B75">
      <w:pPr>
        <w:spacing w:after="0" w:line="240" w:lineRule="auto"/>
        <w:ind w:left="708" w:right="709"/>
        <w:jc w:val="both"/>
        <w:rPr>
          <w:rFonts w:ascii="Verdana" w:hAnsi="Verdana" w:cs="Arial"/>
          <w:bCs/>
          <w:sz w:val="20"/>
          <w:szCs w:val="20"/>
          <w:lang w:val="es-ES"/>
        </w:rPr>
      </w:pPr>
      <w:r w:rsidRPr="00C43757">
        <w:rPr>
          <w:rFonts w:ascii="Verdana" w:hAnsi="Verdana" w:cs="Arial"/>
          <w:bCs/>
          <w:sz w:val="20"/>
          <w:szCs w:val="20"/>
          <w:lang w:val="es-ES"/>
        </w:rPr>
        <w:t>“Artículo 13. Principios generales de la actividad contractual para entidades no sometidas al estatuto general de contratación de la administración pública.</w:t>
      </w:r>
      <w:r w:rsidRPr="00C43757">
        <w:rPr>
          <w:rFonts w:ascii="Verdana" w:hAnsi="Verdana" w:cs="Arial"/>
          <w:b/>
          <w:sz w:val="20"/>
          <w:szCs w:val="20"/>
          <w:lang w:val="es-ES"/>
        </w:rPr>
        <w:t xml:space="preserve"> </w:t>
      </w:r>
      <w:r w:rsidRPr="00C4375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3" w:anchor="209" w:history="1">
        <w:r w:rsidRPr="00C43757">
          <w:rPr>
            <w:rFonts w:ascii="Verdana" w:hAnsi="Verdana" w:cs="Arial"/>
            <w:bCs/>
            <w:sz w:val="20"/>
            <w:szCs w:val="20"/>
            <w:lang w:val="es-ES"/>
          </w:rPr>
          <w:t>209</w:t>
        </w:r>
      </w:hyperlink>
      <w:r w:rsidRPr="00C43757">
        <w:rPr>
          <w:rFonts w:ascii="Verdana" w:hAnsi="Verdana" w:cs="Arial"/>
          <w:bCs/>
          <w:sz w:val="20"/>
          <w:szCs w:val="20"/>
          <w:lang w:val="es-ES"/>
        </w:rPr>
        <w:t> y </w:t>
      </w:r>
      <w:hyperlink r:id="rId14" w:anchor="267" w:history="1">
        <w:r w:rsidRPr="00C43757">
          <w:rPr>
            <w:rFonts w:ascii="Verdana" w:hAnsi="Verdana" w:cs="Arial"/>
            <w:bCs/>
            <w:sz w:val="20"/>
            <w:szCs w:val="20"/>
            <w:lang w:val="es-ES"/>
          </w:rPr>
          <w:t>267</w:t>
        </w:r>
      </w:hyperlink>
      <w:r w:rsidRPr="00C4375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p>
    <w:p w14:paraId="6845CD87" w14:textId="77777777" w:rsidR="007E4B75" w:rsidRPr="00C43757" w:rsidRDefault="007E4B75" w:rsidP="007E4B75">
      <w:pPr>
        <w:spacing w:after="0" w:line="276" w:lineRule="auto"/>
        <w:ind w:firstLine="709"/>
        <w:jc w:val="both"/>
        <w:rPr>
          <w:rFonts w:ascii="Verdana" w:eastAsia="Calibri" w:hAnsi="Verdana" w:cs="Arial"/>
          <w:lang w:val="es-ES"/>
        </w:rPr>
      </w:pPr>
    </w:p>
    <w:p w14:paraId="58EAA45C" w14:textId="77777777" w:rsidR="007E4B75" w:rsidRPr="00C43757" w:rsidRDefault="007E4B75" w:rsidP="007E4B75">
      <w:pPr>
        <w:spacing w:after="0" w:line="276" w:lineRule="auto"/>
        <w:ind w:firstLine="709"/>
        <w:jc w:val="both"/>
        <w:rPr>
          <w:rFonts w:ascii="Verdana" w:eastAsia="Calibri" w:hAnsi="Verdana" w:cs="Arial"/>
          <w:lang w:val="es-ES"/>
        </w:rPr>
      </w:pPr>
      <w:r w:rsidRPr="00C43757">
        <w:rPr>
          <w:rFonts w:ascii="Verdana" w:eastAsia="Calibri" w:hAnsi="Verdana" w:cs="Arial"/>
          <w:lang w:val="es-ES"/>
        </w:rPr>
        <w:lastRenderedPageBreak/>
        <w:t>Lo anterior es reafirmado por el Consejo de Estado, que destaca las reglas que sigue la contratación de las entidades de régimen especial:</w:t>
      </w:r>
    </w:p>
    <w:p w14:paraId="3CB041FA" w14:textId="77777777" w:rsidR="007E4B75" w:rsidRPr="00C43757" w:rsidRDefault="007E4B75" w:rsidP="007E4B75">
      <w:pPr>
        <w:spacing w:after="0" w:line="276" w:lineRule="auto"/>
        <w:ind w:firstLine="709"/>
        <w:jc w:val="both"/>
        <w:rPr>
          <w:rFonts w:ascii="Verdana" w:eastAsia="Calibri" w:hAnsi="Verdana" w:cs="Arial"/>
          <w:lang w:val="es-ES"/>
        </w:rPr>
      </w:pPr>
    </w:p>
    <w:p w14:paraId="50DFE484"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384E8DD8"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p>
    <w:p w14:paraId="38A474E8"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1825AF2B"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p>
    <w:p w14:paraId="78BDB1A6"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C43757">
        <w:rPr>
          <w:rFonts w:ascii="Verdana" w:eastAsia="Calibri" w:hAnsi="Verdana" w:cs="Arial"/>
          <w:sz w:val="20"/>
          <w:szCs w:val="20"/>
          <w:vertAlign w:val="superscript"/>
          <w:lang w:val="es-ES"/>
        </w:rPr>
        <w:footnoteReference w:id="4"/>
      </w:r>
      <w:r w:rsidRPr="00C43757">
        <w:rPr>
          <w:rFonts w:ascii="Verdana" w:eastAsia="Calibri" w:hAnsi="Verdana" w:cs="Arial"/>
          <w:sz w:val="20"/>
          <w:szCs w:val="20"/>
          <w:lang w:val="es-ES"/>
        </w:rPr>
        <w:t>.</w:t>
      </w:r>
    </w:p>
    <w:p w14:paraId="205533E1" w14:textId="77777777" w:rsidR="007E4B75" w:rsidRPr="00C43757" w:rsidRDefault="007E4B75" w:rsidP="007E4B75">
      <w:pPr>
        <w:spacing w:after="0" w:line="240" w:lineRule="auto"/>
        <w:ind w:left="709" w:right="709"/>
        <w:jc w:val="both"/>
        <w:rPr>
          <w:rFonts w:ascii="Verdana" w:eastAsia="Calibri" w:hAnsi="Verdana" w:cs="Arial"/>
          <w:sz w:val="20"/>
          <w:szCs w:val="20"/>
          <w:lang w:val="es-ES"/>
        </w:rPr>
      </w:pPr>
    </w:p>
    <w:p w14:paraId="5ABADF5C" w14:textId="77777777" w:rsidR="008445F6" w:rsidRPr="00C43757" w:rsidRDefault="007E4B75" w:rsidP="008445F6">
      <w:pPr>
        <w:spacing w:after="120" w:line="276" w:lineRule="auto"/>
        <w:ind w:firstLine="708"/>
        <w:jc w:val="both"/>
        <w:rPr>
          <w:rFonts w:ascii="Verdana" w:eastAsia="Calibri" w:hAnsi="Verdana" w:cs="Arial"/>
          <w:lang w:val="es-ES"/>
        </w:rPr>
      </w:pPr>
      <w:r w:rsidRPr="00C43757">
        <w:rPr>
          <w:rFonts w:ascii="Verdana" w:hAnsi="Verdana" w:cs="Arial"/>
          <w:bCs/>
          <w:lang w:val="es-ES"/>
        </w:rPr>
        <w:t xml:space="preserve">En consecuencia, el régimen de derecho privado que, por regla general, caracteriza a los regímenes especiales, como es el caso de las Entidades de Servicios Públicos Domiciliarios, no implica </w:t>
      </w:r>
      <w:r w:rsidRPr="00C43757">
        <w:rPr>
          <w:rFonts w:ascii="Verdana" w:hAnsi="Verdana" w:cs="Arial"/>
          <w:lang w:val="es-ES"/>
        </w:rPr>
        <w:t xml:space="preserve">una privatización absoluta, pues la actividad contractual de dichas entidades debe someterse a los principios </w:t>
      </w:r>
      <w:r w:rsidRPr="00C43757">
        <w:rPr>
          <w:rFonts w:ascii="Verdana" w:eastAsia="Calibri" w:hAnsi="Verdana" w:cs="Arial"/>
          <w:lang w:val="es-ES"/>
        </w:rPr>
        <w:t>de la función administrativa y de la gestión fiscal, asi como a otras reglas de contratación que son transversales a todas las entidades.</w:t>
      </w:r>
    </w:p>
    <w:p w14:paraId="644D1D45" w14:textId="008072A5" w:rsidR="00471A6C" w:rsidRPr="00C43757" w:rsidRDefault="00471A6C" w:rsidP="008445F6">
      <w:pPr>
        <w:spacing w:after="0" w:line="276" w:lineRule="auto"/>
        <w:ind w:firstLine="708"/>
        <w:jc w:val="both"/>
        <w:rPr>
          <w:rFonts w:ascii="Verdana" w:eastAsia="Calibri" w:hAnsi="Verdana" w:cs="Arial"/>
          <w:lang w:val="es-ES"/>
        </w:rPr>
      </w:pPr>
      <w:r w:rsidRPr="00C43757">
        <w:rPr>
          <w:rFonts w:ascii="Verdana" w:hAnsi="Verdana" w:cs="Arial"/>
          <w:color w:val="000000" w:themeColor="text1"/>
          <w:lang w:val="es-ES"/>
        </w:rPr>
        <w:t>Una de las reglas derivada de las normas de derecho público que irradian el régimen jurídico de las entidades exceptuadas del EGCAP, consiste en el deber de expedir un manual de contratación. Este documento debe concretar los principios de la función administrativa y de la gestión fiscal, así como determinar la manera concreta en que dichos principios orientarán el derecho privado en el ejercicio de la actividad contractual. De esta manera, los potenciales oferentes podrán identificar las reglas que aplica la entidad en sus procesos contractuales.</w:t>
      </w:r>
    </w:p>
    <w:p w14:paraId="7D68DAA6" w14:textId="77777777" w:rsidR="00471A6C" w:rsidRPr="00C43757" w:rsidRDefault="00471A6C" w:rsidP="008445F6">
      <w:pPr>
        <w:spacing w:before="120" w:after="12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lastRenderedPageBreak/>
        <w:t>Las entidades sometidas a regímenes especiales de derecho privado tienen una amplia libertad de configuración del contenido de su manual de contratación. Esta libertad se deriva del principio de autonomía de la voluntad reconocido a estas entidades, que les permite establecer la manera en que adelantarán sus procesos de contratación</w:t>
      </w:r>
      <w:r w:rsidRPr="00C43757">
        <w:rPr>
          <w:rFonts w:ascii="Verdana" w:hAnsi="Verdana" w:cs="Arial"/>
          <w:color w:val="000000" w:themeColor="text1"/>
          <w:vertAlign w:val="superscript"/>
          <w:lang w:val="es-ES"/>
        </w:rPr>
        <w:footnoteReference w:id="5"/>
      </w:r>
      <w:r w:rsidRPr="00C43757">
        <w:rPr>
          <w:rFonts w:ascii="Verdana" w:hAnsi="Verdana" w:cs="Arial"/>
          <w:color w:val="000000" w:themeColor="text1"/>
          <w:lang w:val="es-ES"/>
        </w:rPr>
        <w:t>. Esta libertad es similar a la reconocida a los particulares por el derecho privado, pero no es idéntica en la medida en que encuentra importantes límites</w:t>
      </w:r>
      <w:r w:rsidRPr="00C43757">
        <w:rPr>
          <w:rFonts w:ascii="Verdana" w:eastAsia="Calibri" w:hAnsi="Verdana" w:cs="Arial"/>
          <w:lang w:val="es-ES"/>
        </w:rPr>
        <w:t xml:space="preserve"> en el cumplimiento los principios de la función administrativa y la gestión fiscal, así como por el régimen de inhabilidades e incompatibilidades</w:t>
      </w:r>
      <w:r w:rsidRPr="00C43757">
        <w:rPr>
          <w:rFonts w:ascii="Verdana" w:hAnsi="Verdana" w:cs="Arial"/>
          <w:color w:val="000000" w:themeColor="text1"/>
          <w:lang w:val="es-ES"/>
        </w:rPr>
        <w:t>.</w:t>
      </w:r>
    </w:p>
    <w:p w14:paraId="3A990971" w14:textId="77777777" w:rsidR="00471A6C" w:rsidRPr="00C43757" w:rsidRDefault="00471A6C" w:rsidP="00471A6C">
      <w:pPr>
        <w:spacing w:after="12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t xml:space="preserve">La elaboración de esos manuales debe incluir procedimientos de selección públicos que garanticen la imparcialidad de la entidad contratante, la igualdad entre los oferentes, y en los cuales se respeten los principios constitucionales relevantes, como la eficacia, economía, celeridad, moralidad, entre otros. Es decir, deben reflejar los principios de la función administrativa y los de la gestión fiscal. La forma precisa que la forma en que estos principios se armonizan con su régimen de derecho </w:t>
      </w:r>
      <w:proofErr w:type="gramStart"/>
      <w:r w:rsidRPr="00C43757">
        <w:rPr>
          <w:rFonts w:ascii="Verdana" w:hAnsi="Verdana" w:cs="Arial"/>
          <w:color w:val="000000" w:themeColor="text1"/>
          <w:lang w:val="es-ES"/>
        </w:rPr>
        <w:t>privado,</w:t>
      </w:r>
      <w:proofErr w:type="gramEnd"/>
      <w:r w:rsidRPr="00C43757">
        <w:rPr>
          <w:rFonts w:ascii="Verdana" w:hAnsi="Verdana" w:cs="Arial"/>
          <w:color w:val="000000" w:themeColor="text1"/>
          <w:lang w:val="es-ES"/>
        </w:rPr>
        <w:t xml:space="preserve"> es un asunto que debe decidir la entidad en el ejercicio de la discrecionalidad concedida por el ordenamiento jurídico. No obstante, como mínimo, los manuales diseñados por la entidad de régimen especial deben indicar cuáles son sus procedimientos de selección y una descripción de cada uno de ellos, al igual que las etapas que los componen, las cuales deben estar alineadas con la garantía de los principios de la función administrativa</w:t>
      </w:r>
      <w:r w:rsidRPr="00C43757">
        <w:rPr>
          <w:rFonts w:ascii="Verdana" w:hAnsi="Verdana" w:cs="Arial"/>
          <w:color w:val="000000" w:themeColor="text1"/>
          <w:vertAlign w:val="superscript"/>
          <w:lang w:val="es-ES"/>
        </w:rPr>
        <w:footnoteReference w:id="6"/>
      </w:r>
      <w:r w:rsidRPr="00C43757">
        <w:rPr>
          <w:rFonts w:ascii="Verdana" w:hAnsi="Verdana" w:cs="Arial"/>
          <w:color w:val="000000" w:themeColor="text1"/>
          <w:lang w:val="es-ES"/>
        </w:rPr>
        <w:t xml:space="preserve">. </w:t>
      </w:r>
    </w:p>
    <w:p w14:paraId="3C6EA203" w14:textId="7326B22C" w:rsidR="00471A6C" w:rsidRPr="00C43757" w:rsidRDefault="00471A6C" w:rsidP="00471A6C">
      <w:pPr>
        <w:spacing w:after="12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t>El ordenamiento jurídico determina ciertos contenidos que no pueden ser modificados por los manuales internos, por tratarse de asuntos con reserva de ley. En este sentido, estos reglamentos internos de las entidades con régimen especial no pueden crear causales de inhabilidad o incompatibilidad, crear nuevos supuestos de conflictos de interés, prescribir requisitos de perfeccionamiento, tipologías contractuales o limitar la capacidad contractual establecida en la ley. En general, no pueden modificar o incluir aspectos con reserva de ley dado que un acto administrativo no podría alterarlos</w:t>
      </w:r>
      <w:r w:rsidRPr="00C43757">
        <w:rPr>
          <w:rFonts w:ascii="Verdana" w:hAnsi="Verdana" w:cs="Arial"/>
          <w:color w:val="000000" w:themeColor="text1"/>
          <w:vertAlign w:val="superscript"/>
          <w:lang w:val="es-ES"/>
        </w:rPr>
        <w:footnoteReference w:id="7"/>
      </w:r>
      <w:r w:rsidRPr="00C43757">
        <w:rPr>
          <w:rFonts w:ascii="Verdana" w:hAnsi="Verdana" w:cs="Arial"/>
          <w:color w:val="000000" w:themeColor="text1"/>
          <w:lang w:val="es-ES"/>
        </w:rPr>
        <w:t>.</w:t>
      </w:r>
    </w:p>
    <w:p w14:paraId="77786FB9" w14:textId="32778330" w:rsidR="0087155E" w:rsidRDefault="00471A6C" w:rsidP="002562E6">
      <w:pPr>
        <w:spacing w:after="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t xml:space="preserve">Sin perjuicio de lo anterior, otros aspectos pueden ser objeto de regulación en el manual de contratación, por hacer parte del ámbito de </w:t>
      </w:r>
      <w:r w:rsidRPr="00C43757">
        <w:rPr>
          <w:rFonts w:ascii="Verdana" w:hAnsi="Verdana" w:cs="Arial"/>
          <w:color w:val="000000" w:themeColor="text1"/>
          <w:lang w:val="es-ES"/>
        </w:rPr>
        <w:lastRenderedPageBreak/>
        <w:t xml:space="preserve">configuración en desarrollo de su autonomía contractual, siempre que no contravengan la Constitución ni la ley. Por ejemplo, la definición de algunos requisitos de ejecución del contrato, con excepción de los que la ley imponga, la definición de si una actuación de la actividad contractual la debe realizar cierta dependencia de la entidad, establecer límites en cuanto a posibilidad de realizar adiciones, así como detallar los trámites internos que se surten al interior de la entidad. Por ser parte de los aspectos que pueden ser objeto de regulación en su manual, las entidades de régimen especial tienen la facultad de establecer las condiciones para la liquidación o finalización de sus contratos y demás aspectos que hagan parte de su ámbito de configuración. </w:t>
      </w:r>
    </w:p>
    <w:p w14:paraId="4FFC79FB" w14:textId="77777777" w:rsidR="002562E6" w:rsidRPr="00C43757" w:rsidRDefault="002562E6" w:rsidP="002562E6">
      <w:pPr>
        <w:spacing w:after="0" w:line="276" w:lineRule="auto"/>
        <w:ind w:firstLine="709"/>
        <w:jc w:val="both"/>
        <w:rPr>
          <w:rFonts w:ascii="Verdana" w:hAnsi="Verdana" w:cs="Arial"/>
          <w:color w:val="000000" w:themeColor="text1"/>
          <w:lang w:val="es-ES"/>
        </w:rPr>
      </w:pPr>
    </w:p>
    <w:p w14:paraId="1B12376F" w14:textId="2CD258C7" w:rsidR="003258CC" w:rsidRPr="00C43757" w:rsidRDefault="002562E6" w:rsidP="002562E6">
      <w:pPr>
        <w:spacing w:after="0" w:line="276" w:lineRule="auto"/>
        <w:jc w:val="both"/>
        <w:rPr>
          <w:rFonts w:ascii="Verdana" w:eastAsia="Calibri" w:hAnsi="Verdana" w:cs="Arial"/>
          <w:lang w:val="es-ES"/>
        </w:rPr>
      </w:pPr>
      <w:proofErr w:type="spellStart"/>
      <w:r>
        <w:rPr>
          <w:rFonts w:ascii="Verdana" w:hAnsi="Verdana" w:cs="Arial"/>
          <w:color w:val="000000" w:themeColor="text1"/>
          <w:lang w:val="es-ES"/>
        </w:rPr>
        <w:t>iii</w:t>
      </w:r>
      <w:proofErr w:type="spellEnd"/>
      <w:r>
        <w:rPr>
          <w:rFonts w:ascii="Verdana" w:hAnsi="Verdana" w:cs="Arial"/>
          <w:color w:val="000000" w:themeColor="text1"/>
          <w:lang w:val="es-ES"/>
        </w:rPr>
        <w:t xml:space="preserve">) </w:t>
      </w:r>
      <w:r w:rsidR="0087155E" w:rsidRPr="00C43757">
        <w:rPr>
          <w:rFonts w:ascii="Verdana" w:hAnsi="Verdana" w:cs="Arial"/>
          <w:color w:val="000000" w:themeColor="text1"/>
          <w:lang w:val="es-ES"/>
        </w:rPr>
        <w:t>En virtud de lo</w:t>
      </w:r>
      <w:r>
        <w:rPr>
          <w:rFonts w:ascii="Verdana" w:hAnsi="Verdana" w:cs="Arial"/>
          <w:color w:val="000000" w:themeColor="text1"/>
          <w:lang w:val="es-ES"/>
        </w:rPr>
        <w:t xml:space="preserve"> expuesto</w:t>
      </w:r>
      <w:r w:rsidR="0087155E" w:rsidRPr="00C43757">
        <w:rPr>
          <w:rFonts w:ascii="Verdana" w:hAnsi="Verdana" w:cs="Arial"/>
          <w:color w:val="000000" w:themeColor="text1"/>
          <w:lang w:val="es-ES"/>
        </w:rPr>
        <w:t xml:space="preserve">, las Empresas de Servicios Públicos Domiciliarios, al estar sometidas a un régimen especial de contratación, </w:t>
      </w:r>
      <w:r w:rsidR="003258CC" w:rsidRPr="00C43757">
        <w:rPr>
          <w:rFonts w:ascii="Verdana" w:eastAsia="Calibri" w:hAnsi="Verdana" w:cs="Arial"/>
          <w:lang w:val="es-ES"/>
        </w:rPr>
        <w:t>podrán celebrar contratos como el leasing o renting</w:t>
      </w:r>
      <w:r>
        <w:rPr>
          <w:rFonts w:ascii="Verdana" w:eastAsia="Calibri" w:hAnsi="Verdana" w:cs="Arial"/>
          <w:lang w:val="es-ES"/>
        </w:rPr>
        <w:t>,</w:t>
      </w:r>
      <w:r w:rsidR="003258CC" w:rsidRPr="00C43757">
        <w:rPr>
          <w:rFonts w:ascii="Verdana" w:eastAsia="Calibri" w:hAnsi="Verdana" w:cs="Arial"/>
          <w:lang w:val="es-ES"/>
        </w:rPr>
        <w:t xml:space="preserve"> a los cuales hace referencia su consulta</w:t>
      </w:r>
      <w:r w:rsidR="0087155E" w:rsidRPr="00C43757">
        <w:rPr>
          <w:rFonts w:ascii="Verdana" w:eastAsia="Calibri" w:hAnsi="Verdana" w:cs="Arial"/>
          <w:lang w:val="es-ES"/>
        </w:rPr>
        <w:t xml:space="preserve">, conforme al </w:t>
      </w:r>
      <w:r w:rsidR="003258CC" w:rsidRPr="00C43757">
        <w:rPr>
          <w:rFonts w:ascii="Verdana" w:eastAsia="Calibri" w:hAnsi="Verdana" w:cs="Arial"/>
          <w:lang w:val="es-ES"/>
        </w:rPr>
        <w:t xml:space="preserve">marco jurídico </w:t>
      </w:r>
      <w:r w:rsidR="0087155E" w:rsidRPr="00C43757">
        <w:rPr>
          <w:rFonts w:ascii="Verdana" w:eastAsia="Calibri" w:hAnsi="Verdana" w:cs="Arial"/>
          <w:lang w:val="es-ES"/>
        </w:rPr>
        <w:t>de</w:t>
      </w:r>
      <w:r>
        <w:rPr>
          <w:rFonts w:ascii="Verdana" w:eastAsia="Calibri" w:hAnsi="Verdana" w:cs="Arial"/>
          <w:lang w:val="es-ES"/>
        </w:rPr>
        <w:t>l</w:t>
      </w:r>
      <w:r w:rsidR="0087155E" w:rsidRPr="00C43757">
        <w:rPr>
          <w:rFonts w:ascii="Verdana" w:eastAsia="Calibri" w:hAnsi="Verdana" w:cs="Arial"/>
          <w:lang w:val="es-ES"/>
        </w:rPr>
        <w:t xml:space="preserve"> </w:t>
      </w:r>
      <w:r w:rsidR="003258CC" w:rsidRPr="00C43757">
        <w:rPr>
          <w:rFonts w:ascii="Verdana" w:eastAsia="Calibri" w:hAnsi="Verdana" w:cs="Arial"/>
          <w:lang w:val="es-ES"/>
        </w:rPr>
        <w:t>derecho común y</w:t>
      </w:r>
      <w:r w:rsidR="0087155E" w:rsidRPr="00C43757">
        <w:rPr>
          <w:rFonts w:ascii="Verdana" w:eastAsia="Calibri" w:hAnsi="Verdana" w:cs="Arial"/>
          <w:lang w:val="es-ES"/>
        </w:rPr>
        <w:t xml:space="preserve"> a</w:t>
      </w:r>
      <w:r w:rsidR="003258CC" w:rsidRPr="00C43757">
        <w:rPr>
          <w:rFonts w:ascii="Verdana" w:eastAsia="Calibri" w:hAnsi="Verdana" w:cs="Arial"/>
          <w:lang w:val="es-ES"/>
        </w:rPr>
        <w:t xml:space="preserve"> la autonomía de la voluntad de las partes. </w:t>
      </w:r>
      <w:r w:rsidR="0087155E" w:rsidRPr="00C43757">
        <w:rPr>
          <w:rFonts w:ascii="Verdana" w:eastAsia="Calibri" w:hAnsi="Verdana" w:cs="Arial"/>
          <w:lang w:val="es-ES"/>
        </w:rPr>
        <w:t xml:space="preserve">Lo anterior, sin perjuicio de lo que al respecto establezca la norma de creación del régimen especial y </w:t>
      </w:r>
      <w:r w:rsidR="00C53FF9">
        <w:rPr>
          <w:rFonts w:ascii="Verdana" w:eastAsia="Calibri" w:hAnsi="Verdana" w:cs="Arial"/>
          <w:lang w:val="es-ES"/>
        </w:rPr>
        <w:t>su</w:t>
      </w:r>
      <w:r w:rsidR="0087155E" w:rsidRPr="00C43757">
        <w:rPr>
          <w:rFonts w:ascii="Verdana" w:eastAsia="Calibri" w:hAnsi="Verdana" w:cs="Arial"/>
          <w:lang w:val="es-ES"/>
        </w:rPr>
        <w:t xml:space="preserve"> manual de contratación. </w:t>
      </w:r>
    </w:p>
    <w:p w14:paraId="0199F630" w14:textId="0AC90F21" w:rsidR="0099627A" w:rsidRPr="00C43757" w:rsidRDefault="0087155E" w:rsidP="0099627A">
      <w:pPr>
        <w:spacing w:before="120" w:after="0" w:line="276" w:lineRule="auto"/>
        <w:ind w:firstLine="709"/>
        <w:jc w:val="both"/>
        <w:rPr>
          <w:rFonts w:ascii="Verdana" w:hAnsi="Verdana" w:cs="Arial"/>
          <w:color w:val="000000" w:themeColor="text1"/>
          <w:lang w:val="es-ES"/>
        </w:rPr>
      </w:pPr>
      <w:r w:rsidRPr="00C43757">
        <w:rPr>
          <w:rFonts w:ascii="Verdana" w:eastAsia="Calibri" w:hAnsi="Verdana" w:cs="Arial"/>
          <w:lang w:val="es-ES"/>
        </w:rPr>
        <w:t xml:space="preserve">En términos generales, </w:t>
      </w:r>
      <w:r w:rsidR="00A1047B" w:rsidRPr="00C43757">
        <w:rPr>
          <w:rFonts w:ascii="Verdana" w:eastAsia="Calibri" w:hAnsi="Verdana" w:cs="Arial"/>
          <w:lang w:val="es-ES"/>
        </w:rPr>
        <w:t>el contrato de renting, conocido también como</w:t>
      </w:r>
      <w:r w:rsidR="008D7C46">
        <w:rPr>
          <w:rFonts w:ascii="Verdana" w:eastAsia="Calibri" w:hAnsi="Verdana" w:cs="Arial"/>
          <w:lang w:val="es-ES"/>
        </w:rPr>
        <w:t xml:space="preserve"> </w:t>
      </w:r>
      <w:r w:rsidR="00A1047B" w:rsidRPr="00C43757">
        <w:rPr>
          <w:rFonts w:ascii="Verdana" w:eastAsia="Calibri" w:hAnsi="Verdana" w:cs="Arial"/>
          <w:lang w:val="es-ES"/>
        </w:rPr>
        <w:t>arrendamiento</w:t>
      </w:r>
      <w:r w:rsidR="008D7C46">
        <w:rPr>
          <w:rFonts w:ascii="Verdana" w:eastAsia="Calibri" w:hAnsi="Verdana" w:cs="Arial"/>
          <w:lang w:val="es-ES"/>
        </w:rPr>
        <w:t xml:space="preserve"> </w:t>
      </w:r>
      <w:r w:rsidR="00A1047B" w:rsidRPr="00C43757">
        <w:rPr>
          <w:rFonts w:ascii="Verdana" w:eastAsia="Calibri" w:hAnsi="Verdana" w:cs="Arial"/>
          <w:lang w:val="es-ES"/>
        </w:rPr>
        <w:t>operativo</w:t>
      </w:r>
      <w:r w:rsidR="008D7C46">
        <w:rPr>
          <w:rFonts w:ascii="Verdana" w:eastAsia="Calibri" w:hAnsi="Verdana" w:cs="Arial"/>
          <w:lang w:val="es-ES"/>
        </w:rPr>
        <w:t>,</w:t>
      </w:r>
      <w:r w:rsidR="00A1047B" w:rsidRPr="00C43757">
        <w:rPr>
          <w:rFonts w:ascii="Verdana" w:eastAsia="Calibri" w:hAnsi="Verdana" w:cs="Arial"/>
          <w:lang w:val="es-ES"/>
        </w:rPr>
        <w:t xml:space="preserve"> </w:t>
      </w:r>
      <w:r w:rsidR="00A1047B" w:rsidRPr="00C43757">
        <w:rPr>
          <w:rFonts w:ascii="Verdana" w:hAnsi="Verdana" w:cs="Arial"/>
          <w:color w:val="000000" w:themeColor="text1"/>
          <w:lang w:val="es-ES"/>
        </w:rPr>
        <w:t xml:space="preserve">es un contrato de tracto sucesivo en el cual la propiedad de un bien se encuentra en cabeza de </w:t>
      </w:r>
      <w:r w:rsidR="00324118" w:rsidRPr="00C43757">
        <w:rPr>
          <w:rFonts w:ascii="Verdana" w:hAnsi="Verdana" w:cs="Arial"/>
          <w:color w:val="000000" w:themeColor="text1"/>
          <w:lang w:val="es-ES"/>
        </w:rPr>
        <w:t xml:space="preserve">un sujeto que </w:t>
      </w:r>
      <w:r w:rsidR="008D7C46">
        <w:rPr>
          <w:rFonts w:ascii="Verdana" w:hAnsi="Verdana" w:cs="Arial"/>
          <w:color w:val="000000" w:themeColor="text1"/>
          <w:lang w:val="es-ES"/>
        </w:rPr>
        <w:t xml:space="preserve">lo da </w:t>
      </w:r>
      <w:r w:rsidR="00324118" w:rsidRPr="00C43757">
        <w:rPr>
          <w:rFonts w:ascii="Verdana" w:hAnsi="Verdana" w:cs="Arial"/>
          <w:color w:val="000000" w:themeColor="text1"/>
          <w:lang w:val="es-ES"/>
        </w:rPr>
        <w:t xml:space="preserve">en </w:t>
      </w:r>
      <w:r w:rsidR="00A1047B" w:rsidRPr="00C43757">
        <w:rPr>
          <w:rFonts w:ascii="Verdana" w:hAnsi="Verdana" w:cs="Arial"/>
          <w:color w:val="000000" w:themeColor="text1"/>
          <w:lang w:val="es-ES"/>
        </w:rPr>
        <w:t>arrendamiento</w:t>
      </w:r>
      <w:r w:rsidR="00324118" w:rsidRPr="00C43757">
        <w:rPr>
          <w:rFonts w:ascii="Verdana" w:hAnsi="Verdana" w:cs="Arial"/>
          <w:color w:val="000000" w:themeColor="text1"/>
          <w:lang w:val="es-ES"/>
        </w:rPr>
        <w:t xml:space="preserve"> a otro</w:t>
      </w:r>
      <w:r w:rsidR="00A1047B" w:rsidRPr="00C43757">
        <w:rPr>
          <w:rFonts w:ascii="Verdana" w:hAnsi="Verdana" w:cs="Arial"/>
          <w:color w:val="000000" w:themeColor="text1"/>
          <w:lang w:val="es-ES"/>
        </w:rPr>
        <w:t>, por un tiempo determinado</w:t>
      </w:r>
      <w:r w:rsidR="008D7C46">
        <w:rPr>
          <w:rFonts w:ascii="Verdana" w:hAnsi="Verdana" w:cs="Arial"/>
          <w:color w:val="000000" w:themeColor="text1"/>
          <w:lang w:val="es-ES"/>
        </w:rPr>
        <w:t xml:space="preserve"> y</w:t>
      </w:r>
      <w:r w:rsidR="00A1047B" w:rsidRPr="00C43757">
        <w:rPr>
          <w:rFonts w:ascii="Verdana" w:hAnsi="Verdana" w:cs="Arial"/>
          <w:color w:val="000000" w:themeColor="text1"/>
          <w:lang w:val="es-ES"/>
        </w:rPr>
        <w:t xml:space="preserve"> a cambio de un canon</w:t>
      </w:r>
      <w:r w:rsidR="008D7C46">
        <w:rPr>
          <w:rFonts w:ascii="Verdana" w:hAnsi="Verdana" w:cs="Arial"/>
          <w:color w:val="000000" w:themeColor="text1"/>
          <w:lang w:val="es-ES"/>
        </w:rPr>
        <w:t>.</w:t>
      </w:r>
      <w:r w:rsidR="00A1047B" w:rsidRPr="00C43757">
        <w:rPr>
          <w:rFonts w:ascii="Verdana" w:hAnsi="Verdana" w:cs="Arial"/>
          <w:color w:val="000000" w:themeColor="text1"/>
          <w:lang w:val="es-ES"/>
        </w:rPr>
        <w:t xml:space="preserve"> </w:t>
      </w:r>
      <w:r w:rsidR="008D7C46">
        <w:rPr>
          <w:rFonts w:ascii="Verdana" w:hAnsi="Verdana" w:cs="Arial"/>
          <w:color w:val="000000" w:themeColor="text1"/>
          <w:lang w:val="es-ES"/>
        </w:rPr>
        <w:t>E</w:t>
      </w:r>
      <w:r w:rsidR="00A1047B" w:rsidRPr="00C43757">
        <w:rPr>
          <w:rFonts w:ascii="Verdana" w:hAnsi="Verdana" w:cs="Arial"/>
          <w:color w:val="000000" w:themeColor="text1"/>
          <w:lang w:val="es-ES"/>
        </w:rPr>
        <w:t xml:space="preserve">n </w:t>
      </w:r>
      <w:r w:rsidR="008D7C46">
        <w:rPr>
          <w:rFonts w:ascii="Verdana" w:hAnsi="Verdana" w:cs="Arial"/>
          <w:color w:val="000000" w:themeColor="text1"/>
          <w:lang w:val="es-ES"/>
        </w:rPr>
        <w:t xml:space="preserve">este contrato </w:t>
      </w:r>
      <w:r w:rsidR="00A1047B" w:rsidRPr="00C43757">
        <w:rPr>
          <w:rFonts w:ascii="Verdana" w:hAnsi="Verdana" w:cs="Arial"/>
          <w:color w:val="000000" w:themeColor="text1"/>
          <w:lang w:val="es-ES"/>
        </w:rPr>
        <w:t>el arrendatario ejerce las facultades de uso, usufructo y goce del bien</w:t>
      </w:r>
      <w:r w:rsidR="008D7C46">
        <w:rPr>
          <w:rFonts w:ascii="Verdana" w:hAnsi="Verdana" w:cs="Arial"/>
          <w:color w:val="000000" w:themeColor="text1"/>
          <w:lang w:val="es-ES"/>
        </w:rPr>
        <w:t>.</w:t>
      </w:r>
      <w:r w:rsidR="008F339A" w:rsidRPr="00C43757">
        <w:rPr>
          <w:rFonts w:ascii="Verdana" w:hAnsi="Verdana" w:cs="Arial"/>
          <w:color w:val="000000" w:themeColor="text1"/>
          <w:lang w:val="es-ES"/>
        </w:rPr>
        <w:t xml:space="preserve"> </w:t>
      </w:r>
      <w:r w:rsidR="008D7C46">
        <w:rPr>
          <w:rFonts w:ascii="Verdana" w:hAnsi="Verdana" w:cs="Arial"/>
          <w:color w:val="000000" w:themeColor="text1"/>
          <w:lang w:val="es-ES"/>
        </w:rPr>
        <w:t>P</w:t>
      </w:r>
      <w:r w:rsidR="008F339A" w:rsidRPr="00C43757">
        <w:rPr>
          <w:rFonts w:ascii="Verdana" w:hAnsi="Verdana" w:cs="Arial"/>
          <w:color w:val="000000" w:themeColor="text1"/>
          <w:lang w:val="es-ES"/>
        </w:rPr>
        <w:t xml:space="preserve">or lo general, las partes también acuerdan </w:t>
      </w:r>
      <w:r w:rsidR="00A1047B" w:rsidRPr="00C43757">
        <w:rPr>
          <w:rFonts w:ascii="Verdana" w:hAnsi="Verdana" w:cs="Arial"/>
          <w:color w:val="000000" w:themeColor="text1"/>
          <w:lang w:val="es-ES"/>
        </w:rPr>
        <w:t>que el arrendador asuma el mantenimiento y asistencia técnica durante el plazo del contrato</w:t>
      </w:r>
      <w:r w:rsidR="00EA4C66" w:rsidRPr="00C43757">
        <w:rPr>
          <w:rStyle w:val="Refdenotaalpie"/>
          <w:rFonts w:ascii="Verdana" w:hAnsi="Verdana" w:cs="Arial"/>
          <w:color w:val="000000" w:themeColor="text1"/>
          <w:lang w:val="es-ES"/>
        </w:rPr>
        <w:footnoteReference w:id="8"/>
      </w:r>
      <w:r w:rsidR="006F5E3A" w:rsidRPr="00C43757">
        <w:rPr>
          <w:rFonts w:ascii="Verdana" w:hAnsi="Verdana" w:cs="Arial"/>
          <w:color w:val="000000" w:themeColor="text1"/>
          <w:lang w:val="es-ES"/>
        </w:rPr>
        <w:t xml:space="preserve">. </w:t>
      </w:r>
    </w:p>
    <w:p w14:paraId="24E256A2" w14:textId="4A364CEE" w:rsidR="0099627A" w:rsidRPr="00C43757" w:rsidRDefault="0099627A" w:rsidP="0099627A">
      <w:pPr>
        <w:spacing w:before="120" w:after="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t>Por otra parte, el Artículo 2.2.1.1.1 del Decreto 255 de 2010, modificado por el artículo 62 del Decreto 1745 de 2020, define el leasing o arrendamiento financiero como “la entrega a título de arrendamiento de bienes adquiridos para el efecto financiando su uso y goce a cambio del pago de cánones que recibirá durante un plazo determinado, pactándose para el arrendatario la facultad de ejercer al final del período una opción de compra”. </w:t>
      </w:r>
      <w:r w:rsidR="000E6C34" w:rsidRPr="00C43757">
        <w:rPr>
          <w:rFonts w:ascii="Verdana" w:hAnsi="Verdana" w:cs="Arial"/>
          <w:color w:val="000000" w:themeColor="text1"/>
          <w:lang w:val="es-ES"/>
        </w:rPr>
        <w:t>De esta manera, el bie</w:t>
      </w:r>
      <w:r w:rsidR="00C63B20" w:rsidRPr="00C43757">
        <w:rPr>
          <w:rFonts w:ascii="Verdana" w:hAnsi="Verdana" w:cs="Arial"/>
          <w:color w:val="000000" w:themeColor="text1"/>
          <w:lang w:val="es-ES"/>
        </w:rPr>
        <w:t>n</w:t>
      </w:r>
      <w:r w:rsidR="000E6C34" w:rsidRPr="00C43757">
        <w:rPr>
          <w:rFonts w:ascii="Verdana" w:hAnsi="Verdana" w:cs="Arial"/>
          <w:color w:val="000000" w:themeColor="text1"/>
          <w:lang w:val="es-ES"/>
        </w:rPr>
        <w:t xml:space="preserve"> es de propiedad del arrendador, que conserva el derecho de dominio ha</w:t>
      </w:r>
      <w:r w:rsidR="00C63B20" w:rsidRPr="00C43757">
        <w:rPr>
          <w:rFonts w:ascii="Verdana" w:hAnsi="Verdana" w:cs="Arial"/>
          <w:color w:val="000000" w:themeColor="text1"/>
          <w:lang w:val="es-ES"/>
        </w:rPr>
        <w:t>s</w:t>
      </w:r>
      <w:r w:rsidR="000E6C34" w:rsidRPr="00C43757">
        <w:rPr>
          <w:rFonts w:ascii="Verdana" w:hAnsi="Verdana" w:cs="Arial"/>
          <w:color w:val="000000" w:themeColor="text1"/>
          <w:lang w:val="es-ES"/>
        </w:rPr>
        <w:t>ta que el arrendatario ejerza la opción de compra.</w:t>
      </w:r>
      <w:r w:rsidR="008D7C46">
        <w:rPr>
          <w:rFonts w:ascii="Verdana" w:hAnsi="Verdana" w:cs="Arial"/>
          <w:color w:val="000000" w:themeColor="text1"/>
          <w:lang w:val="es-ES"/>
        </w:rPr>
        <w:t xml:space="preserve"> Al respecto</w:t>
      </w:r>
      <w:r w:rsidR="000E6C34" w:rsidRPr="00C43757">
        <w:rPr>
          <w:rFonts w:ascii="Verdana" w:hAnsi="Verdana" w:cs="Arial"/>
          <w:color w:val="000000" w:themeColor="text1"/>
          <w:lang w:val="es-ES"/>
        </w:rPr>
        <w:t>, la norma aclara que el costo del bien dado en arrendamiento se amortiza durante el término de duración del contrato.</w:t>
      </w:r>
      <w:r w:rsidR="00C63B20" w:rsidRPr="00C43757">
        <w:rPr>
          <w:rFonts w:ascii="Verdana" w:hAnsi="Verdana" w:cs="Arial"/>
          <w:color w:val="000000" w:themeColor="text1"/>
          <w:lang w:val="es-ES"/>
        </w:rPr>
        <w:t xml:space="preserve"> </w:t>
      </w:r>
    </w:p>
    <w:p w14:paraId="7ABE9D89" w14:textId="13EC588E" w:rsidR="00424C02" w:rsidRPr="00C43757" w:rsidRDefault="00C63B20" w:rsidP="00D71328">
      <w:pPr>
        <w:spacing w:before="120" w:after="0" w:line="276" w:lineRule="auto"/>
        <w:ind w:firstLine="709"/>
        <w:jc w:val="both"/>
        <w:rPr>
          <w:rFonts w:ascii="Verdana" w:hAnsi="Verdana" w:cs="Arial"/>
          <w:color w:val="000000" w:themeColor="text1"/>
          <w:lang w:val="es-ES"/>
        </w:rPr>
      </w:pPr>
      <w:r w:rsidRPr="00C43757">
        <w:rPr>
          <w:rFonts w:ascii="Verdana" w:hAnsi="Verdana" w:cs="Arial"/>
          <w:color w:val="000000" w:themeColor="text1"/>
          <w:lang w:val="es-ES"/>
        </w:rPr>
        <w:lastRenderedPageBreak/>
        <w:t xml:space="preserve">De esta manera, </w:t>
      </w:r>
      <w:r w:rsidR="00D71328" w:rsidRPr="00C43757">
        <w:rPr>
          <w:rFonts w:ascii="Verdana" w:hAnsi="Verdana" w:cs="Arial"/>
          <w:color w:val="000000" w:themeColor="text1"/>
          <w:lang w:val="es-ES"/>
        </w:rPr>
        <w:t>en ambos tipos de contrato</w:t>
      </w:r>
      <w:r w:rsidR="008D7C46">
        <w:rPr>
          <w:rFonts w:ascii="Verdana" w:hAnsi="Verdana" w:cs="Arial"/>
          <w:color w:val="000000" w:themeColor="text1"/>
          <w:lang w:val="es-ES"/>
        </w:rPr>
        <w:t xml:space="preserve"> </w:t>
      </w:r>
      <w:r w:rsidR="00D71328" w:rsidRPr="00C43757">
        <w:rPr>
          <w:rFonts w:ascii="Verdana" w:hAnsi="Verdana" w:cs="Arial"/>
          <w:color w:val="000000" w:themeColor="text1"/>
          <w:lang w:val="es-ES"/>
        </w:rPr>
        <w:t>el propietario de un bien lo entrega a otro para su uso y goce a cambio del pago de un canon. Sin embargo, el renting se caracteriza porque elimina “</w:t>
      </w:r>
      <w:r w:rsidR="00424C02" w:rsidRPr="00C43757">
        <w:rPr>
          <w:rFonts w:ascii="Verdana" w:hAnsi="Verdana" w:cs="Arial"/>
          <w:color w:val="000000" w:themeColor="text1"/>
          <w:lang w:val="es-ES"/>
        </w:rPr>
        <w:t>la llamada etapa de colaboración entre las partes destinadas a la adquisición de los bienes, los cuales son simplemente arrendados al usuario</w:t>
      </w:r>
      <w:r w:rsidR="00D71328" w:rsidRPr="00C43757">
        <w:rPr>
          <w:rFonts w:ascii="Verdana" w:hAnsi="Verdana" w:cs="Arial"/>
          <w:color w:val="000000" w:themeColor="text1"/>
          <w:lang w:val="es-ES"/>
        </w:rPr>
        <w:t xml:space="preserve"> [y]</w:t>
      </w:r>
      <w:r w:rsidR="00424C02" w:rsidRPr="00C43757">
        <w:rPr>
          <w:rFonts w:ascii="Verdana" w:hAnsi="Verdana" w:cs="Arial"/>
          <w:color w:val="000000" w:themeColor="text1"/>
          <w:lang w:val="es-ES"/>
        </w:rPr>
        <w:t xml:space="preserve"> </w:t>
      </w:r>
      <w:r w:rsidR="00D71328" w:rsidRPr="00C43757">
        <w:rPr>
          <w:rFonts w:ascii="Verdana" w:hAnsi="Verdana" w:cs="Arial"/>
          <w:color w:val="000000" w:themeColor="text1"/>
          <w:lang w:val="es-ES"/>
        </w:rPr>
        <w:t>s</w:t>
      </w:r>
      <w:r w:rsidR="00424C02" w:rsidRPr="00C43757">
        <w:rPr>
          <w:rFonts w:ascii="Verdana" w:hAnsi="Verdana" w:cs="Arial"/>
          <w:color w:val="000000" w:themeColor="text1"/>
          <w:lang w:val="es-ES"/>
        </w:rPr>
        <w:t>e acompaña de una serie de servicios exclusivos a favor del arrendador para el mantenimiento, reparación, asistencia técnica, etc., de los bienes</w:t>
      </w:r>
      <w:r w:rsidR="00D71328" w:rsidRPr="00C43757">
        <w:rPr>
          <w:rFonts w:ascii="Verdana" w:hAnsi="Verdana" w:cs="Arial"/>
          <w:color w:val="000000" w:themeColor="text1"/>
          <w:lang w:val="es-ES"/>
        </w:rPr>
        <w:t>”</w:t>
      </w:r>
      <w:r w:rsidR="00D71328" w:rsidRPr="00C43757">
        <w:rPr>
          <w:rStyle w:val="Refdenotaalpie"/>
          <w:rFonts w:ascii="Verdana" w:hAnsi="Verdana" w:cs="Arial"/>
          <w:color w:val="000000" w:themeColor="text1"/>
          <w:lang w:val="es-ES"/>
        </w:rPr>
        <w:footnoteReference w:id="9"/>
      </w:r>
      <w:r w:rsidR="00424C02" w:rsidRPr="00C43757">
        <w:rPr>
          <w:rFonts w:ascii="Verdana" w:hAnsi="Verdana" w:cs="Arial"/>
          <w:color w:val="000000" w:themeColor="text1"/>
          <w:lang w:val="es-ES"/>
        </w:rPr>
        <w:t xml:space="preserve">. </w:t>
      </w:r>
      <w:r w:rsidR="00D71328" w:rsidRPr="00C43757">
        <w:rPr>
          <w:rFonts w:ascii="Verdana" w:hAnsi="Verdana" w:cs="Arial"/>
          <w:color w:val="000000" w:themeColor="text1"/>
          <w:lang w:val="es-ES"/>
        </w:rPr>
        <w:t xml:space="preserve">En efecto, en estos contratos es remota la </w:t>
      </w:r>
      <w:r w:rsidR="00424C02" w:rsidRPr="00C43757">
        <w:rPr>
          <w:rFonts w:ascii="Verdana" w:hAnsi="Verdana" w:cs="Arial"/>
          <w:color w:val="000000" w:themeColor="text1"/>
          <w:lang w:val="es-ES"/>
        </w:rPr>
        <w:t xml:space="preserve">opción de compra </w:t>
      </w:r>
      <w:r w:rsidR="00D71328" w:rsidRPr="00C43757">
        <w:rPr>
          <w:rFonts w:ascii="Verdana" w:hAnsi="Verdana" w:cs="Arial"/>
          <w:color w:val="000000" w:themeColor="text1"/>
          <w:lang w:val="es-ES"/>
        </w:rPr>
        <w:t xml:space="preserve">y el arrendador de los bienes puede negarse a </w:t>
      </w:r>
      <w:r w:rsidR="00424C02" w:rsidRPr="00C43757">
        <w:rPr>
          <w:rFonts w:ascii="Verdana" w:hAnsi="Verdana" w:cs="Arial"/>
          <w:color w:val="000000" w:themeColor="text1"/>
          <w:lang w:val="es-ES"/>
        </w:rPr>
        <w:t>venderlos</w:t>
      </w:r>
      <w:r w:rsidR="008D7C46">
        <w:rPr>
          <w:rFonts w:ascii="Verdana" w:hAnsi="Verdana" w:cs="Arial"/>
          <w:color w:val="000000" w:themeColor="text1"/>
          <w:lang w:val="es-ES"/>
        </w:rPr>
        <w:t>,</w:t>
      </w:r>
      <w:r w:rsidR="00424C02" w:rsidRPr="00C43757">
        <w:rPr>
          <w:rFonts w:ascii="Verdana" w:hAnsi="Verdana" w:cs="Arial"/>
          <w:color w:val="000000" w:themeColor="text1"/>
          <w:lang w:val="es-ES"/>
        </w:rPr>
        <w:t xml:space="preserve"> pues parte de su estructura de mercado implica conservar</w:t>
      </w:r>
      <w:r w:rsidR="00D71328" w:rsidRPr="00C43757">
        <w:rPr>
          <w:rFonts w:ascii="Verdana" w:hAnsi="Verdana" w:cs="Arial"/>
          <w:color w:val="000000" w:themeColor="text1"/>
          <w:lang w:val="es-ES"/>
        </w:rPr>
        <w:t>los. E</w:t>
      </w:r>
      <w:r w:rsidR="00424C02" w:rsidRPr="00C43757">
        <w:rPr>
          <w:rFonts w:ascii="Verdana" w:hAnsi="Verdana" w:cs="Arial"/>
          <w:color w:val="000000" w:themeColor="text1"/>
          <w:lang w:val="es-ES"/>
        </w:rPr>
        <w:t>ntonces</w:t>
      </w:r>
      <w:r w:rsidR="00D71328" w:rsidRPr="00C43757">
        <w:rPr>
          <w:rFonts w:ascii="Verdana" w:hAnsi="Verdana" w:cs="Arial"/>
          <w:color w:val="000000" w:themeColor="text1"/>
          <w:lang w:val="es-ES"/>
        </w:rPr>
        <w:t xml:space="preserve">, </w:t>
      </w:r>
      <w:r w:rsidR="00424C02" w:rsidRPr="00C43757">
        <w:rPr>
          <w:rFonts w:ascii="Verdana" w:hAnsi="Verdana" w:cs="Arial"/>
          <w:color w:val="000000" w:themeColor="text1"/>
          <w:lang w:val="es-ES"/>
        </w:rPr>
        <w:t xml:space="preserve">el contrato de arrendamiento operativo o renting </w:t>
      </w:r>
      <w:r w:rsidR="00D71328" w:rsidRPr="00C43757">
        <w:rPr>
          <w:rFonts w:ascii="Verdana" w:hAnsi="Verdana" w:cs="Arial"/>
          <w:color w:val="000000" w:themeColor="text1"/>
          <w:lang w:val="es-ES"/>
        </w:rPr>
        <w:t>s</w:t>
      </w:r>
      <w:r w:rsidR="00424C02" w:rsidRPr="00C43757">
        <w:rPr>
          <w:rFonts w:ascii="Verdana" w:hAnsi="Verdana" w:cs="Arial"/>
          <w:color w:val="000000" w:themeColor="text1"/>
          <w:lang w:val="es-ES"/>
        </w:rPr>
        <w:t>e diferencia del leasing o arrendamiento financiero, en que no tiene por finalidad última la adquisición del bien arrendado.</w:t>
      </w:r>
    </w:p>
    <w:p w14:paraId="03B2BDC0" w14:textId="1E31B860" w:rsidR="00D71328" w:rsidRPr="00C43757" w:rsidRDefault="00D71328" w:rsidP="00D71328">
      <w:pPr>
        <w:spacing w:before="120" w:after="0" w:line="276" w:lineRule="auto"/>
        <w:ind w:firstLine="709"/>
        <w:jc w:val="both"/>
        <w:rPr>
          <w:rFonts w:ascii="Verdana" w:eastAsia="Calibri" w:hAnsi="Verdana" w:cs="Arial"/>
          <w:lang w:val="es-ES"/>
        </w:rPr>
      </w:pPr>
      <w:r w:rsidRPr="00C43757">
        <w:rPr>
          <w:rFonts w:ascii="Verdana" w:hAnsi="Verdana" w:cs="Arial"/>
          <w:color w:val="000000" w:themeColor="text1"/>
          <w:lang w:val="es-ES"/>
        </w:rPr>
        <w:t xml:space="preserve">En efecto, se trata de contratos atípicos dado que no se encuentran expresamente regulados en la normativa, de modo que sus estipulaciones se rigen primeramente por lo que establezcan las partes en el contrato en ejercicio de la autonomía de la voluntad. </w:t>
      </w:r>
      <w:r w:rsidR="008445F6" w:rsidRPr="00C43757">
        <w:rPr>
          <w:rFonts w:ascii="Verdana" w:hAnsi="Verdana" w:cs="Arial"/>
          <w:color w:val="000000" w:themeColor="text1"/>
          <w:lang w:val="es-ES"/>
        </w:rPr>
        <w:t xml:space="preserve">De esta forma, las entidades </w:t>
      </w:r>
      <w:r w:rsidR="004119F2" w:rsidRPr="00C43757">
        <w:rPr>
          <w:rFonts w:ascii="Verdana" w:hAnsi="Verdana" w:cs="Arial"/>
          <w:color w:val="000000" w:themeColor="text1"/>
          <w:lang w:val="es-ES"/>
        </w:rPr>
        <w:t xml:space="preserve">con un régimen contractual excepcional al </w:t>
      </w:r>
      <w:r w:rsidR="008445F6" w:rsidRPr="00C43757">
        <w:rPr>
          <w:rFonts w:ascii="Verdana" w:eastAsia="Calibri" w:hAnsi="Verdana" w:cs="Arial"/>
          <w:lang w:val="es-ES"/>
        </w:rPr>
        <w:t>EGCAP</w:t>
      </w:r>
      <w:r w:rsidR="004119F2" w:rsidRPr="00C43757">
        <w:rPr>
          <w:rFonts w:ascii="Verdana" w:eastAsia="Calibri" w:hAnsi="Verdana" w:cs="Arial"/>
          <w:lang w:val="es-ES"/>
        </w:rPr>
        <w:t>, como es el caso de las Empresas de Servicios Públicos Domiciliarios,</w:t>
      </w:r>
      <w:r w:rsidR="008445F6" w:rsidRPr="00C43757">
        <w:rPr>
          <w:rFonts w:ascii="Verdana" w:eastAsia="Calibri" w:hAnsi="Verdana" w:cs="Arial"/>
          <w:lang w:val="es-ES"/>
        </w:rPr>
        <w:t xml:space="preserve"> podrán celebrar este tipo de contratos de acuerdo con los procedimientos, reglas y límites establecidos en su norma de creación y sus manuales de contratación. En cualquier caso, en estos procedimientos, deberán cumplir los principios de la función administrativa y de la gestión fiscal de que tratan los artículos </w:t>
      </w:r>
      <w:hyperlink r:id="rId15" w:anchor="209" w:history="1">
        <w:r w:rsidR="008445F6" w:rsidRPr="00C43757">
          <w:rPr>
            <w:rFonts w:ascii="Verdana" w:eastAsia="Calibri" w:hAnsi="Verdana" w:cs="Arial"/>
            <w:lang w:val="es-ES"/>
          </w:rPr>
          <w:t>209</w:t>
        </w:r>
      </w:hyperlink>
      <w:r w:rsidR="008445F6" w:rsidRPr="00C43757">
        <w:rPr>
          <w:rFonts w:ascii="Verdana" w:eastAsia="Calibri" w:hAnsi="Verdana" w:cs="Arial"/>
          <w:lang w:val="es-ES"/>
        </w:rPr>
        <w:t> y </w:t>
      </w:r>
      <w:hyperlink r:id="rId16" w:anchor="267" w:history="1">
        <w:r w:rsidR="008445F6" w:rsidRPr="00C43757">
          <w:rPr>
            <w:rFonts w:ascii="Verdana" w:eastAsia="Calibri" w:hAnsi="Verdana" w:cs="Arial"/>
            <w:lang w:val="es-ES"/>
          </w:rPr>
          <w:t>267</w:t>
        </w:r>
      </w:hyperlink>
      <w:r w:rsidR="008445F6" w:rsidRPr="00C43757">
        <w:rPr>
          <w:rFonts w:ascii="Verdana" w:eastAsia="Calibri" w:hAnsi="Verdana" w:cs="Arial"/>
          <w:lang w:val="es-ES"/>
        </w:rPr>
        <w:t> de la Constitución Política</w:t>
      </w:r>
      <w:r w:rsidR="00EA4C98">
        <w:rPr>
          <w:rFonts w:ascii="Verdana" w:eastAsia="Calibri" w:hAnsi="Verdana" w:cs="Arial"/>
          <w:lang w:val="es-ES"/>
        </w:rPr>
        <w:t>,</w:t>
      </w:r>
      <w:r w:rsidR="008445F6" w:rsidRPr="00C43757">
        <w:rPr>
          <w:rFonts w:ascii="Verdana" w:eastAsia="Calibri" w:hAnsi="Verdana" w:cs="Arial"/>
          <w:lang w:val="es-ES"/>
        </w:rPr>
        <w:t xml:space="preserve"> y estarán sometidas al régimen de inhabilidades e incompatibilidades previsto legalmente para la contratación estatal.</w:t>
      </w:r>
    </w:p>
    <w:p w14:paraId="4E5B0BF4" w14:textId="77777777" w:rsidR="0087155E" w:rsidRPr="00C43757" w:rsidRDefault="0087155E" w:rsidP="0087155E">
      <w:pPr>
        <w:spacing w:after="0" w:line="276" w:lineRule="auto"/>
        <w:ind w:firstLine="709"/>
        <w:jc w:val="both"/>
        <w:rPr>
          <w:rFonts w:ascii="Verdana" w:hAnsi="Verdana" w:cs="Arial"/>
          <w:color w:val="000000" w:themeColor="text1"/>
          <w:lang w:val="es-ES"/>
        </w:rPr>
      </w:pPr>
    </w:p>
    <w:p w14:paraId="4E415B4C" w14:textId="5555966B" w:rsidR="004119F2" w:rsidRPr="00C43757" w:rsidRDefault="003258CC" w:rsidP="004119F2">
      <w:pPr>
        <w:shd w:val="clear" w:color="auto" w:fill="FFFFFF" w:themeFill="background1"/>
        <w:spacing w:after="120" w:line="276" w:lineRule="auto"/>
        <w:ind w:right="51"/>
        <w:jc w:val="both"/>
        <w:rPr>
          <w:rFonts w:ascii="Verdana" w:eastAsia="Calibri" w:hAnsi="Verdana" w:cs="Arial"/>
          <w:lang w:val="es-ES"/>
        </w:rPr>
      </w:pPr>
      <w:proofErr w:type="spellStart"/>
      <w:r w:rsidRPr="00C43757">
        <w:rPr>
          <w:rFonts w:ascii="Verdana" w:eastAsia="Calibri" w:hAnsi="Verdana" w:cs="Arial"/>
          <w:lang w:val="es-ES"/>
        </w:rPr>
        <w:t>i</w:t>
      </w:r>
      <w:r w:rsidR="008D7C46">
        <w:rPr>
          <w:rFonts w:ascii="Verdana" w:eastAsia="Calibri" w:hAnsi="Verdana" w:cs="Arial"/>
          <w:lang w:val="es-ES"/>
        </w:rPr>
        <w:t>v</w:t>
      </w:r>
      <w:proofErr w:type="spellEnd"/>
      <w:r w:rsidRPr="00C43757">
        <w:rPr>
          <w:rFonts w:ascii="Verdana" w:eastAsia="Calibri" w:hAnsi="Verdana" w:cs="Arial"/>
          <w:lang w:val="es-ES"/>
        </w:rPr>
        <w:t>) Aunque de lo expuesto es claro que la actividad contractual de las Empresas de Servicios Públicos Domiciliarios no se somete a lo establecido en el E</w:t>
      </w:r>
      <w:r w:rsidR="00EA4C98">
        <w:rPr>
          <w:rFonts w:ascii="Verdana" w:eastAsia="Calibri" w:hAnsi="Verdana" w:cs="Arial"/>
          <w:lang w:val="es-ES"/>
        </w:rPr>
        <w:t>statuto General de Contratación de la Administración Pública</w:t>
      </w:r>
      <w:r w:rsidR="004119F2" w:rsidRPr="00C43757">
        <w:rPr>
          <w:rFonts w:ascii="Verdana" w:eastAsia="Calibri" w:hAnsi="Verdana" w:cs="Arial"/>
          <w:lang w:val="es-ES"/>
        </w:rPr>
        <w:t xml:space="preserve">, </w:t>
      </w:r>
      <w:r w:rsidRPr="00C43757">
        <w:rPr>
          <w:rFonts w:ascii="Verdana" w:eastAsia="Calibri" w:hAnsi="Verdana" w:cs="Arial"/>
          <w:lang w:val="es-ES"/>
        </w:rPr>
        <w:t xml:space="preserve">es importante destacar que el régimen </w:t>
      </w:r>
      <w:r w:rsidRPr="00C43757">
        <w:rPr>
          <w:rFonts w:ascii="Verdana" w:eastAsia="Calibri" w:hAnsi="Verdana" w:cs="Arial"/>
          <w:i/>
          <w:iCs/>
          <w:lang w:val="es-ES"/>
        </w:rPr>
        <w:t xml:space="preserve">contractual </w:t>
      </w:r>
      <w:r w:rsidRPr="00C43757">
        <w:rPr>
          <w:rFonts w:ascii="Verdana" w:eastAsia="Calibri" w:hAnsi="Verdana" w:cs="Arial"/>
          <w:lang w:val="es-ES"/>
        </w:rPr>
        <w:t xml:space="preserve">aplicable y el régimen </w:t>
      </w:r>
      <w:r w:rsidRPr="00C43757">
        <w:rPr>
          <w:rFonts w:ascii="Verdana" w:eastAsia="Calibri" w:hAnsi="Verdana" w:cs="Arial"/>
          <w:i/>
          <w:iCs/>
          <w:lang w:val="es-ES"/>
        </w:rPr>
        <w:t xml:space="preserve">presupuestal </w:t>
      </w:r>
      <w:r w:rsidRPr="00C43757">
        <w:rPr>
          <w:rFonts w:ascii="Verdana" w:eastAsia="Calibri" w:hAnsi="Verdana" w:cs="Arial"/>
          <w:lang w:val="es-ES"/>
        </w:rPr>
        <w:t xml:space="preserve">son conceptos </w:t>
      </w:r>
      <w:r w:rsidR="00851E34" w:rsidRPr="00C43757">
        <w:rPr>
          <w:rFonts w:ascii="Verdana" w:eastAsia="Calibri" w:hAnsi="Verdana" w:cs="Arial"/>
          <w:lang w:val="es-ES"/>
        </w:rPr>
        <w:t>con distinto alcance</w:t>
      </w:r>
      <w:r w:rsidR="00017CDC" w:rsidRPr="00C43757">
        <w:rPr>
          <w:rFonts w:ascii="Verdana" w:eastAsia="Calibri" w:hAnsi="Verdana" w:cs="Arial"/>
          <w:lang w:val="es-ES"/>
        </w:rPr>
        <w:t>.</w:t>
      </w:r>
    </w:p>
    <w:p w14:paraId="12795333" w14:textId="552C277A" w:rsidR="00017CDC" w:rsidRPr="00C43757" w:rsidRDefault="00851E34" w:rsidP="004119F2">
      <w:pPr>
        <w:shd w:val="clear" w:color="auto" w:fill="FFFFFF" w:themeFill="background1"/>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Las </w:t>
      </w:r>
      <w:r w:rsidR="00794E61" w:rsidRPr="00C43757">
        <w:rPr>
          <w:rFonts w:ascii="Verdana" w:eastAsia="Calibri" w:hAnsi="Verdana" w:cs="Arial"/>
          <w:lang w:val="es-ES"/>
        </w:rPr>
        <w:t>contrataciones que adelanten las Entidades Estatales</w:t>
      </w:r>
      <w:r w:rsidR="004119F2" w:rsidRPr="00C43757">
        <w:rPr>
          <w:rFonts w:ascii="Verdana" w:eastAsia="Calibri" w:hAnsi="Verdana" w:cs="Arial"/>
          <w:lang w:val="es-ES"/>
        </w:rPr>
        <w:t xml:space="preserve"> </w:t>
      </w:r>
      <w:r w:rsidR="00EA4C98">
        <w:rPr>
          <w:rFonts w:ascii="Verdana" w:eastAsia="Calibri" w:hAnsi="Verdana" w:cs="Arial"/>
          <w:lang w:val="es-ES"/>
        </w:rPr>
        <w:t xml:space="preserve">señaladas en el Estatuto Orgánico de Presupuesto </w:t>
      </w:r>
      <w:r w:rsidR="00794E61" w:rsidRPr="00C43757">
        <w:rPr>
          <w:rFonts w:ascii="Verdana" w:eastAsia="Calibri" w:hAnsi="Verdana" w:cs="Arial"/>
          <w:lang w:val="es-ES"/>
        </w:rPr>
        <w:t>deben sujetarse</w:t>
      </w:r>
      <w:r w:rsidR="00017CDC" w:rsidRPr="00C43757">
        <w:rPr>
          <w:rFonts w:ascii="Verdana" w:eastAsia="Calibri" w:hAnsi="Verdana" w:cs="Arial"/>
          <w:lang w:val="es-ES"/>
        </w:rPr>
        <w:t xml:space="preserve"> </w:t>
      </w:r>
      <w:r w:rsidR="00794E61" w:rsidRPr="00C43757">
        <w:rPr>
          <w:rFonts w:ascii="Verdana" w:eastAsia="Calibri" w:hAnsi="Verdana" w:cs="Arial"/>
          <w:lang w:val="es-ES"/>
        </w:rPr>
        <w:t xml:space="preserve">a los principios que rigen el sistema presupuestal colombiano, entre los cuales se encuentra el de anualidad. </w:t>
      </w:r>
      <w:r w:rsidR="00017CDC" w:rsidRPr="00C43757">
        <w:rPr>
          <w:rFonts w:ascii="Verdana" w:eastAsia="Calibri" w:hAnsi="Verdana" w:cs="Arial"/>
          <w:lang w:val="es-ES"/>
        </w:rPr>
        <w:t xml:space="preserve">Este principio encuentra fundamento constitucional </w:t>
      </w:r>
      <w:bookmarkStart w:id="3" w:name="_Hlk65717879"/>
      <w:r w:rsidR="00017CDC" w:rsidRPr="00C43757">
        <w:rPr>
          <w:rFonts w:ascii="Verdana" w:eastAsia="Calibri" w:hAnsi="Verdana" w:cs="Arial"/>
          <w:lang w:val="es-ES"/>
        </w:rPr>
        <w:t xml:space="preserve">en el artículo 346 superior, que contiene el régimen general del presupuesto de rentas y la ley de </w:t>
      </w:r>
      <w:r w:rsidR="00017CDC" w:rsidRPr="00C43757">
        <w:rPr>
          <w:rFonts w:ascii="Verdana" w:eastAsia="Calibri" w:hAnsi="Verdana" w:cs="Arial"/>
          <w:lang w:val="es-ES"/>
        </w:rPr>
        <w:lastRenderedPageBreak/>
        <w:t>apropiaciones</w:t>
      </w:r>
      <w:r w:rsidR="00017CDC" w:rsidRPr="00C43757">
        <w:rPr>
          <w:rFonts w:ascii="Verdana" w:eastAsia="Calibri" w:hAnsi="Verdana" w:cs="Arial"/>
          <w:vertAlign w:val="superscript"/>
          <w:lang w:val="es-ES"/>
        </w:rPr>
        <w:footnoteReference w:id="10"/>
      </w:r>
      <w:r w:rsidR="00017CDC" w:rsidRPr="00C43757">
        <w:rPr>
          <w:rFonts w:ascii="Verdana" w:eastAsia="Calibri" w:hAnsi="Verdana" w:cs="Arial"/>
          <w:lang w:val="es-ES"/>
        </w:rPr>
        <w:t xml:space="preserve"> que deberá presentarse al Congreso dentro de los primeros diez (10) días de cada legislatura, elaborarse y aprobarse dentro de un marco de sostenibilidad fiscal y corresponder al Plan Nacional de Desarrollo</w:t>
      </w:r>
      <w:r w:rsidR="00017CDC" w:rsidRPr="00C43757">
        <w:rPr>
          <w:rFonts w:ascii="Verdana" w:eastAsia="Calibri" w:hAnsi="Verdana" w:cs="Arial"/>
          <w:vertAlign w:val="superscript"/>
          <w:lang w:val="es-ES"/>
        </w:rPr>
        <w:footnoteReference w:id="11"/>
      </w:r>
      <w:r w:rsidR="00017CDC" w:rsidRPr="00C43757">
        <w:rPr>
          <w:rFonts w:ascii="Verdana" w:eastAsia="Calibri" w:hAnsi="Verdana" w:cs="Arial"/>
          <w:lang w:val="es-ES"/>
        </w:rPr>
        <w:t>. De conformidad con la misma norma constitucional, el presupuesto tiene vigencia anual y tiene como finalidad fijar los gastos y las rentas nacionales del Estado para la respectiva vigencia fiscal anual</w:t>
      </w:r>
      <w:bookmarkEnd w:id="3"/>
      <w:r w:rsidR="00017CDC" w:rsidRPr="00C43757">
        <w:rPr>
          <w:rFonts w:ascii="Verdana" w:eastAsia="Calibri" w:hAnsi="Verdana" w:cs="Arial"/>
          <w:lang w:val="es-ES"/>
        </w:rPr>
        <w:t xml:space="preserve">. </w:t>
      </w:r>
    </w:p>
    <w:p w14:paraId="53799901" w14:textId="77777777" w:rsidR="00017CDC" w:rsidRPr="00C43757" w:rsidRDefault="00017CDC" w:rsidP="00017CDC">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En armonía con lo anterior, el Estatuto Orgánico del Presupuesto</w:t>
      </w:r>
      <w:r w:rsidRPr="00C43757">
        <w:rPr>
          <w:rStyle w:val="Refdenotaalpie"/>
          <w:rFonts w:ascii="Verdana" w:eastAsia="Calibri" w:hAnsi="Verdana" w:cs="Arial"/>
          <w:lang w:val="es-ES"/>
        </w:rPr>
        <w:footnoteReference w:id="12"/>
      </w:r>
      <w:r w:rsidRPr="00C43757">
        <w:rPr>
          <w:rFonts w:ascii="Verdana" w:eastAsia="Calibri" w:hAnsi="Verdana" w:cs="Arial"/>
          <w:lang w:val="es-ES"/>
        </w:rPr>
        <w:t xml:space="preserve"> establece el principio de anualidad en el artículo 14, según el cual: “El año fiscal comienza el 1º de enero y termina el 31 de diciembre de cada año. Después del 31 de diciembre no podrán asumirse compromisos con cargo a las apropiaciones del año fiscal que se cierra en esa fecha y los saldos de apropiación no afectados por compromisos caducarán sin excepción”. Es decir, </w:t>
      </w:r>
      <w:r w:rsidRPr="00C43757">
        <w:rPr>
          <w:rFonts w:ascii="Verdana" w:eastAsia="Calibri" w:hAnsi="Verdana" w:cs="Arial"/>
          <w:i/>
          <w:iCs/>
          <w:lang w:val="es-ES"/>
        </w:rPr>
        <w:t>los gastos</w:t>
      </w:r>
      <w:r w:rsidRPr="00C43757">
        <w:rPr>
          <w:rFonts w:ascii="Verdana" w:eastAsia="Calibri" w:hAnsi="Verdana" w:cs="Arial"/>
          <w:lang w:val="es-ES"/>
        </w:rPr>
        <w:t xml:space="preserve"> previstos en el presupuesto anual se deben ejecutar dentro de una vigencia fiscal comprendida entre el 1 de enero y el 31 de diciembre</w:t>
      </w:r>
      <w:r w:rsidRPr="00C43757">
        <w:rPr>
          <w:rStyle w:val="Refdenotaalpie"/>
          <w:rFonts w:ascii="Verdana" w:eastAsia="Calibri" w:hAnsi="Verdana" w:cs="Arial"/>
          <w:lang w:val="es-ES"/>
        </w:rPr>
        <w:footnoteReference w:id="13"/>
      </w:r>
      <w:r w:rsidRPr="00C43757">
        <w:rPr>
          <w:rFonts w:ascii="Verdana" w:eastAsia="Calibri" w:hAnsi="Verdana" w:cs="Arial"/>
          <w:lang w:val="es-ES"/>
        </w:rPr>
        <w:t xml:space="preserve">. </w:t>
      </w:r>
    </w:p>
    <w:p w14:paraId="7AEF8E28" w14:textId="77777777" w:rsidR="00017CDC" w:rsidRPr="00C43757" w:rsidRDefault="00017CDC" w:rsidP="00017CDC">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Este principio indica entonces que el presupuesto debe ser aprobado para cada una de estas vigencias. En el caso de las entidades territoriales, las </w:t>
      </w:r>
      <w:r w:rsidRPr="00C43757">
        <w:rPr>
          <w:rFonts w:ascii="Verdana" w:eastAsia="Calibri" w:hAnsi="Verdana" w:cs="Arial"/>
          <w:lang w:val="es-ES"/>
        </w:rPr>
        <w:lastRenderedPageBreak/>
        <w:t>asambleas departamentales y los concejos municipales aprobarán el presupuesto para una vigencia comprendida entre el 1 de enero y el 31 de diciembre del año correspondiente. Así, el presupuesto de rentas y de apropiaciones tendrá una vigencia fiscal de un año, en todos los niveles de gobierno.</w:t>
      </w:r>
    </w:p>
    <w:p w14:paraId="0993902E" w14:textId="7D0EFA04" w:rsidR="00AD2E8A" w:rsidRPr="00C43757" w:rsidRDefault="00017CDC" w:rsidP="00AD2E8A">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En consecuencia, el principio de anualidad se traduce en que el presupuesto tenga un alcance temporal definido, con el fin de “materializar el presupuesto de rentas y ejecutar de forma oportuna el gasto autorizado” en el marco de una vigencia fiscal</w:t>
      </w:r>
      <w:r w:rsidRPr="00C43757">
        <w:rPr>
          <w:rStyle w:val="Refdenotaalpie"/>
          <w:rFonts w:ascii="Verdana" w:eastAsia="Calibri" w:hAnsi="Verdana" w:cs="Arial"/>
          <w:lang w:val="es-ES"/>
        </w:rPr>
        <w:footnoteReference w:id="14"/>
      </w:r>
      <w:r w:rsidRPr="00C43757">
        <w:rPr>
          <w:rFonts w:ascii="Verdana" w:eastAsia="Calibri" w:hAnsi="Verdana" w:cs="Arial"/>
          <w:lang w:val="es-ES"/>
        </w:rPr>
        <w:t>. De esta forma, es aplicable al presupuesto en su conjunto, pues tiene como componentes tanto a las (i) rentas y recursos de capital como a los (</w:t>
      </w:r>
      <w:proofErr w:type="spellStart"/>
      <w:r w:rsidRPr="00C43757">
        <w:rPr>
          <w:rFonts w:ascii="Verdana" w:eastAsia="Calibri" w:hAnsi="Verdana" w:cs="Arial"/>
          <w:lang w:val="es-ES"/>
        </w:rPr>
        <w:t>ii</w:t>
      </w:r>
      <w:proofErr w:type="spellEnd"/>
      <w:r w:rsidRPr="00C43757">
        <w:rPr>
          <w:rFonts w:ascii="Verdana" w:eastAsia="Calibri" w:hAnsi="Verdana" w:cs="Arial"/>
          <w:lang w:val="es-ES"/>
        </w:rPr>
        <w:t>) gastos previstos para cada vigencia.</w:t>
      </w:r>
      <w:r w:rsidR="00AD2E8A" w:rsidRPr="00C43757">
        <w:rPr>
          <w:rFonts w:ascii="Verdana" w:eastAsia="Calibri" w:hAnsi="Verdana" w:cs="Arial"/>
          <w:lang w:val="es-ES"/>
        </w:rPr>
        <w:t xml:space="preserve"> </w:t>
      </w:r>
      <w:r w:rsidR="009A40AF" w:rsidRPr="00C43757">
        <w:rPr>
          <w:rFonts w:ascii="Verdana" w:eastAsia="Calibri" w:hAnsi="Verdana" w:cs="Arial"/>
          <w:lang w:val="es-ES"/>
        </w:rPr>
        <w:t xml:space="preserve">De esta manera, el principio de anualidad exige una </w:t>
      </w:r>
      <w:r w:rsidR="009A40AF" w:rsidRPr="00C43757">
        <w:rPr>
          <w:rFonts w:ascii="Verdana" w:eastAsia="Calibri" w:hAnsi="Verdana" w:cs="Arial"/>
          <w:i/>
          <w:iCs/>
          <w:lang w:val="es-ES"/>
        </w:rPr>
        <w:t>estimación</w:t>
      </w:r>
      <w:r w:rsidR="009A40AF" w:rsidRPr="00C43757">
        <w:rPr>
          <w:rFonts w:ascii="Verdana" w:eastAsia="Calibri" w:hAnsi="Verdana" w:cs="Arial"/>
          <w:lang w:val="es-ES"/>
        </w:rPr>
        <w:t xml:space="preserve"> de los ingresos o rentas, mientras que, en el caso del gasto, impone un </w:t>
      </w:r>
      <w:r w:rsidR="009A40AF" w:rsidRPr="00C43757">
        <w:rPr>
          <w:rFonts w:ascii="Verdana" w:eastAsia="Calibri" w:hAnsi="Verdana" w:cs="Arial"/>
          <w:i/>
          <w:iCs/>
          <w:lang w:val="es-ES"/>
        </w:rPr>
        <w:t>máximo autorizado</w:t>
      </w:r>
      <w:r w:rsidR="009A40AF" w:rsidRPr="00C43757">
        <w:rPr>
          <w:rFonts w:ascii="Verdana" w:eastAsia="Calibri" w:hAnsi="Verdana" w:cs="Arial"/>
          <w:lang w:val="es-ES"/>
        </w:rPr>
        <w:t xml:space="preserve"> para una vigencia fiscal. </w:t>
      </w:r>
    </w:p>
    <w:p w14:paraId="0F14AFA7" w14:textId="5FC4523B" w:rsidR="009A40AF" w:rsidRPr="00C43757" w:rsidRDefault="009A40AF" w:rsidP="00AD2E8A">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A su turno, el artículo 8 de la Ley 819 de 2003 consagra el principio de anualidad en la ejecución del gasto al disponer que “la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3A0EBBFA" w14:textId="1A551262" w:rsidR="009A40AF" w:rsidRPr="00C43757" w:rsidRDefault="009A40AF" w:rsidP="00734E80">
      <w:pPr>
        <w:shd w:val="clear" w:color="auto" w:fill="FFFFFF" w:themeFill="background1"/>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En este contexto, </w:t>
      </w:r>
      <w:bookmarkStart w:id="5" w:name="_Hlk192237340"/>
      <w:r w:rsidRPr="00C43757">
        <w:rPr>
          <w:rFonts w:ascii="Verdana" w:eastAsia="Calibri" w:hAnsi="Verdana" w:cs="Arial"/>
          <w:lang w:val="es-ES"/>
        </w:rPr>
        <w:t xml:space="preserve">la anualidad </w:t>
      </w:r>
      <w:r w:rsidRPr="00EA4C98">
        <w:rPr>
          <w:rFonts w:ascii="Verdana" w:eastAsia="Calibri" w:hAnsi="Verdana" w:cs="Arial"/>
          <w:lang w:val="es-ES"/>
        </w:rPr>
        <w:t>del gasto</w:t>
      </w:r>
      <w:r w:rsidRPr="00C43757">
        <w:rPr>
          <w:rFonts w:ascii="Verdana" w:eastAsia="Calibri" w:hAnsi="Verdana" w:cs="Arial"/>
          <w:lang w:val="es-ES"/>
        </w:rPr>
        <w:t xml:space="preserve"> implica que las entidades deben planear sus contrataciones de manera que sus compromisos contractuales sean atendidos durante la respectiva vigencia fiscal comprendida entre el 1 de enero y el 31 de diciembre</w:t>
      </w:r>
      <w:bookmarkEnd w:id="5"/>
      <w:r w:rsidRPr="00C43757">
        <w:rPr>
          <w:rFonts w:ascii="Verdana" w:eastAsia="Calibri" w:hAnsi="Verdana" w:cs="Arial"/>
          <w:lang w:val="es-ES"/>
        </w:rPr>
        <w:t xml:space="preserve">. Así, la regla general es que las Entidades Estatales solo pueden </w:t>
      </w:r>
      <w:r w:rsidRPr="00FA0D1F">
        <w:rPr>
          <w:rFonts w:ascii="Verdana" w:eastAsia="Calibri" w:hAnsi="Verdana" w:cs="Arial"/>
          <w:lang w:val="es-ES"/>
        </w:rPr>
        <w:t xml:space="preserve">adquirir </w:t>
      </w:r>
      <w:r w:rsidRPr="00C43757">
        <w:rPr>
          <w:rFonts w:ascii="Verdana" w:eastAsia="Calibri" w:hAnsi="Verdana" w:cs="Arial"/>
          <w:lang w:val="es-ES"/>
        </w:rPr>
        <w:t>compromisos presupuestales que no excedan en su ejecución la vigencia fiscal en la que se suscribe el respectivo contrato.</w:t>
      </w:r>
    </w:p>
    <w:p w14:paraId="738CE5F0" w14:textId="6EEF113E" w:rsidR="00851E34" w:rsidRPr="00C43757" w:rsidRDefault="00017CDC" w:rsidP="00734E80">
      <w:pPr>
        <w:shd w:val="clear" w:color="auto" w:fill="FFFFFF" w:themeFill="background1"/>
        <w:spacing w:after="0" w:line="276" w:lineRule="auto"/>
        <w:ind w:right="51" w:firstLine="708"/>
        <w:jc w:val="both"/>
        <w:rPr>
          <w:rFonts w:ascii="Verdana" w:eastAsia="Calibri" w:hAnsi="Verdana" w:cs="Arial"/>
          <w:lang w:val="es-ES"/>
        </w:rPr>
      </w:pPr>
      <w:r w:rsidRPr="00C43757">
        <w:rPr>
          <w:rFonts w:ascii="Verdana" w:eastAsia="Calibri" w:hAnsi="Verdana" w:cs="Arial"/>
          <w:lang w:val="es-ES"/>
        </w:rPr>
        <w:t xml:space="preserve">Sin embargo, </w:t>
      </w:r>
      <w:proofErr w:type="gramStart"/>
      <w:r w:rsidRPr="00C43757">
        <w:rPr>
          <w:rFonts w:ascii="Verdana" w:eastAsia="Calibri" w:hAnsi="Verdana" w:cs="Arial"/>
          <w:lang w:val="es-ES"/>
        </w:rPr>
        <w:t xml:space="preserve">el régimen presupuestal </w:t>
      </w:r>
      <w:r w:rsidR="00734E80" w:rsidRPr="00C43757">
        <w:rPr>
          <w:rFonts w:ascii="Verdana" w:eastAsia="Calibri" w:hAnsi="Verdana" w:cs="Arial"/>
          <w:lang w:val="es-ES"/>
        </w:rPr>
        <w:t xml:space="preserve">antedicho </w:t>
      </w:r>
      <w:r w:rsidRPr="00C43757">
        <w:rPr>
          <w:rFonts w:ascii="Verdana" w:eastAsia="Calibri" w:hAnsi="Verdana" w:cs="Arial"/>
          <w:lang w:val="es-ES"/>
        </w:rPr>
        <w:t>tienen</w:t>
      </w:r>
      <w:proofErr w:type="gramEnd"/>
      <w:r w:rsidRPr="00C43757">
        <w:rPr>
          <w:rFonts w:ascii="Verdana" w:eastAsia="Calibri" w:hAnsi="Verdana" w:cs="Arial"/>
          <w:lang w:val="es-ES"/>
        </w:rPr>
        <w:t xml:space="preserve"> un alcance delimitado a ciertas entidades. En este sentido, e</w:t>
      </w:r>
      <w:r w:rsidR="00851E34" w:rsidRPr="00C43757">
        <w:rPr>
          <w:rFonts w:ascii="Verdana" w:eastAsia="Calibri" w:hAnsi="Verdana" w:cs="Arial"/>
          <w:lang w:val="es-ES"/>
        </w:rPr>
        <w:t>l artículo 3 del Estatuto</w:t>
      </w:r>
      <w:r w:rsidRPr="00C43757">
        <w:rPr>
          <w:rFonts w:ascii="Verdana" w:eastAsia="Calibri" w:hAnsi="Verdana" w:cs="Arial"/>
          <w:lang w:val="es-ES"/>
        </w:rPr>
        <w:t xml:space="preserve"> Orgánico de Presupuesto</w:t>
      </w:r>
      <w:r w:rsidR="00851E34" w:rsidRPr="00C43757">
        <w:rPr>
          <w:rFonts w:ascii="Verdana" w:eastAsia="Calibri" w:hAnsi="Verdana" w:cs="Arial"/>
          <w:lang w:val="es-ES"/>
        </w:rPr>
        <w:t xml:space="preserve"> señala lo siguiente frente </w:t>
      </w:r>
      <w:r w:rsidRPr="00C43757">
        <w:rPr>
          <w:rFonts w:ascii="Verdana" w:eastAsia="Calibri" w:hAnsi="Verdana" w:cs="Arial"/>
          <w:lang w:val="es-ES"/>
        </w:rPr>
        <w:t xml:space="preserve">a su </w:t>
      </w:r>
      <w:r w:rsidR="00851E34" w:rsidRPr="00C43757">
        <w:rPr>
          <w:rFonts w:ascii="Verdana" w:eastAsia="Calibri" w:hAnsi="Verdana" w:cs="Arial"/>
          <w:lang w:val="es-ES"/>
        </w:rPr>
        <w:t xml:space="preserve">ámbito de aplicación: </w:t>
      </w:r>
    </w:p>
    <w:p w14:paraId="22882888" w14:textId="77777777" w:rsidR="00734E80" w:rsidRPr="00C43757" w:rsidRDefault="00734E80" w:rsidP="00734E80">
      <w:pPr>
        <w:shd w:val="clear" w:color="auto" w:fill="FFFFFF" w:themeFill="background1"/>
        <w:spacing w:after="0" w:line="276" w:lineRule="auto"/>
        <w:ind w:right="51" w:firstLine="708"/>
        <w:jc w:val="both"/>
        <w:rPr>
          <w:rFonts w:ascii="Verdana" w:eastAsia="Calibri" w:hAnsi="Verdana" w:cs="Arial"/>
          <w:lang w:val="es-ES"/>
        </w:rPr>
      </w:pPr>
    </w:p>
    <w:p w14:paraId="770C1295" w14:textId="453B7600" w:rsidR="00851E34" w:rsidRPr="00C43757" w:rsidRDefault="00734E80" w:rsidP="00851E34">
      <w:pPr>
        <w:shd w:val="clear" w:color="auto" w:fill="FFFFFF" w:themeFill="background1"/>
        <w:spacing w:after="12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Artículo 3. </w:t>
      </w:r>
      <w:r w:rsidR="00851E34" w:rsidRPr="00C43757">
        <w:rPr>
          <w:rFonts w:ascii="Verdana" w:eastAsia="Calibri" w:hAnsi="Verdana" w:cs="Arial"/>
          <w:sz w:val="20"/>
          <w:szCs w:val="20"/>
          <w:lang w:val="es-ES"/>
        </w:rPr>
        <w:t xml:space="preserve">Cobertura del estatuto. Consta de dos (2) niveles: un primer nivel corresponde al presupuesto general de la Nación, compuesto por los </w:t>
      </w:r>
      <w:r w:rsidR="00851E34" w:rsidRPr="00C43757">
        <w:rPr>
          <w:rFonts w:ascii="Verdana" w:eastAsia="Calibri" w:hAnsi="Verdana" w:cs="Arial"/>
          <w:sz w:val="20"/>
          <w:szCs w:val="20"/>
          <w:lang w:val="es-ES"/>
        </w:rPr>
        <w:lastRenderedPageBreak/>
        <w:t xml:space="preserve">presupuestos de los establecimientos públicos del </w:t>
      </w:r>
      <w:proofErr w:type="gramStart"/>
      <w:r w:rsidR="00851E34" w:rsidRPr="00C43757">
        <w:rPr>
          <w:rFonts w:ascii="Verdana" w:eastAsia="Calibri" w:hAnsi="Verdana" w:cs="Arial"/>
          <w:sz w:val="20"/>
          <w:szCs w:val="20"/>
          <w:lang w:val="es-ES"/>
        </w:rPr>
        <w:t>orden nacional y el presupuesto nacional</w:t>
      </w:r>
      <w:proofErr w:type="gramEnd"/>
      <w:r w:rsidR="00851E34" w:rsidRPr="00C43757">
        <w:rPr>
          <w:rFonts w:ascii="Verdana" w:eastAsia="Calibri" w:hAnsi="Verdana" w:cs="Arial"/>
          <w:sz w:val="20"/>
          <w:szCs w:val="20"/>
          <w:lang w:val="es-ES"/>
        </w:rPr>
        <w:t>.</w:t>
      </w:r>
    </w:p>
    <w:p w14:paraId="2531CD8D" w14:textId="77777777" w:rsidR="00851E34" w:rsidRPr="00C43757" w:rsidRDefault="00851E34" w:rsidP="00851E34">
      <w:pPr>
        <w:shd w:val="clear" w:color="auto" w:fill="FFFFFF" w:themeFill="background1"/>
        <w:spacing w:after="12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El presupuesto nacional comprende las ramas legislativa y judicial, el Ministerio Público, la Contraloría General de la República, la organización electoral, y la rama ejecutiva del nivel nacional, con excepción de los establecimientos públicos, las empresas industriales y comerciales del Estado y las sociedades de economía mixta.</w:t>
      </w:r>
    </w:p>
    <w:p w14:paraId="02A75199" w14:textId="77777777" w:rsidR="00851E34" w:rsidRPr="00C43757" w:rsidRDefault="00851E34" w:rsidP="00851E34">
      <w:pPr>
        <w:shd w:val="clear" w:color="auto" w:fill="FFFFFF" w:themeFill="background1"/>
        <w:spacing w:after="12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Un segundo nivel, que incluye la fijación de metas financieras a todo el sector público y la distribución de los excedentes financieros de las empresas industriales y comerciales del Estado, y de las sociedades de economía mixta con el régimen de aquéllas, sin perjuicio de la autonomía que la Constitución y la ley les otorga.</w:t>
      </w:r>
    </w:p>
    <w:p w14:paraId="21A74586" w14:textId="77777777" w:rsidR="005B2A00" w:rsidRPr="00C43757" w:rsidRDefault="00851E34" w:rsidP="00F02ED2">
      <w:pPr>
        <w:shd w:val="clear" w:color="auto" w:fill="FFFFFF" w:themeFill="background1"/>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i/>
          <w:iCs/>
          <w:sz w:val="20"/>
          <w:szCs w:val="20"/>
          <w:u w:val="single"/>
          <w:lang w:val="es-ES"/>
        </w:rPr>
        <w:t>A las empresas industriales y comerciales del Estado y las sociedades de economía mixta con el régimen de aquéllas, se les aplicarán las normas que expresamente las mencione</w:t>
      </w:r>
      <w:r w:rsidRPr="00C43757">
        <w:rPr>
          <w:rFonts w:ascii="Verdana" w:eastAsia="Calibri" w:hAnsi="Verdana" w:cs="Arial"/>
          <w:sz w:val="20"/>
          <w:szCs w:val="20"/>
          <w:lang w:val="es-ES"/>
        </w:rPr>
        <w:t xml:space="preserve"> (L. 38/89, art. 2; L. 179/94, art. 1).</w:t>
      </w:r>
    </w:p>
    <w:p w14:paraId="3CEB376C" w14:textId="77777777" w:rsidR="005B2A00" w:rsidRPr="00C43757" w:rsidRDefault="005B2A00" w:rsidP="00F02ED2">
      <w:pPr>
        <w:shd w:val="clear" w:color="auto" w:fill="FFFFFF" w:themeFill="background1"/>
        <w:spacing w:after="0" w:line="240" w:lineRule="auto"/>
        <w:ind w:left="709" w:right="709"/>
        <w:jc w:val="both"/>
        <w:rPr>
          <w:rFonts w:ascii="Verdana" w:eastAsia="Calibri" w:hAnsi="Verdana" w:cs="Arial"/>
          <w:sz w:val="20"/>
          <w:szCs w:val="20"/>
          <w:lang w:val="es-ES"/>
        </w:rPr>
      </w:pPr>
    </w:p>
    <w:p w14:paraId="7B58E27B" w14:textId="0078D220" w:rsidR="00851E34" w:rsidRPr="00C43757" w:rsidRDefault="005B2A00" w:rsidP="00F02ED2">
      <w:pPr>
        <w:shd w:val="clear" w:color="auto" w:fill="FFFFFF" w:themeFill="background1"/>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Artículo 4. Para efectos presupuestales, todas las personas jurídicas públicas del orden nacional, cuyo patrimonio esté constituido por fondos públicos y no sean empresas industriales y comerciales del Estado o sociedades de economía mixta o asimiladas a éstas por la ley de la República, se les aplicarán las disposiciones que rigen los establecimientos públicos del orden nacional (L. 179/94, art. 63).</w:t>
      </w:r>
      <w:r w:rsidR="00DB74FF" w:rsidRPr="00C43757">
        <w:rPr>
          <w:rFonts w:ascii="Verdana" w:eastAsia="Calibri" w:hAnsi="Verdana" w:cs="Arial"/>
          <w:sz w:val="20"/>
          <w:szCs w:val="20"/>
          <w:lang w:val="es-ES"/>
        </w:rPr>
        <w:t xml:space="preserve"> [Énfasis Propio]</w:t>
      </w:r>
    </w:p>
    <w:p w14:paraId="7B2DBA84" w14:textId="77777777" w:rsidR="00F02ED2" w:rsidRPr="00C43757" w:rsidRDefault="00F02ED2" w:rsidP="00F02ED2">
      <w:pPr>
        <w:shd w:val="clear" w:color="auto" w:fill="FFFFFF" w:themeFill="background1"/>
        <w:spacing w:after="0" w:line="240" w:lineRule="auto"/>
        <w:ind w:left="709" w:right="709"/>
        <w:jc w:val="both"/>
        <w:rPr>
          <w:rFonts w:ascii="Verdana" w:eastAsia="Calibri" w:hAnsi="Verdana" w:cs="Arial"/>
          <w:sz w:val="20"/>
          <w:szCs w:val="20"/>
          <w:lang w:val="es-ES"/>
        </w:rPr>
      </w:pPr>
    </w:p>
    <w:p w14:paraId="4A7C2D30" w14:textId="17F22458" w:rsidR="00017CDC" w:rsidRPr="00C43757" w:rsidRDefault="00394170" w:rsidP="00017CDC">
      <w:pPr>
        <w:shd w:val="clear" w:color="auto" w:fill="FFFFFF" w:themeFill="background1"/>
        <w:spacing w:after="120" w:line="276" w:lineRule="auto"/>
        <w:ind w:right="51" w:firstLine="708"/>
        <w:jc w:val="both"/>
        <w:rPr>
          <w:rFonts w:ascii="Verdana" w:eastAsia="Calibri" w:hAnsi="Verdana" w:cs="Arial"/>
          <w:lang w:val="es-ES"/>
        </w:rPr>
      </w:pPr>
      <w:r w:rsidRPr="00C43757">
        <w:rPr>
          <w:rFonts w:ascii="Verdana" w:eastAsia="Calibri" w:hAnsi="Verdana" w:cs="Arial"/>
          <w:lang w:val="es-ES"/>
        </w:rPr>
        <w:t>En particular, s</w:t>
      </w:r>
      <w:r w:rsidR="00017CDC" w:rsidRPr="00C43757">
        <w:rPr>
          <w:rFonts w:ascii="Verdana" w:eastAsia="Calibri" w:hAnsi="Verdana" w:cs="Arial"/>
          <w:lang w:val="es-ES"/>
        </w:rPr>
        <w:t xml:space="preserve">obre las Empresas de Servicios Públicos Domiciliarios, </w:t>
      </w:r>
      <w:r w:rsidRPr="00C43757">
        <w:rPr>
          <w:rFonts w:ascii="Verdana" w:eastAsia="Calibri" w:hAnsi="Verdana" w:cs="Arial"/>
          <w:lang w:val="es-ES"/>
        </w:rPr>
        <w:t xml:space="preserve">el Estatuto Orgánico de Presupuesto </w:t>
      </w:r>
      <w:r w:rsidR="00017CDC" w:rsidRPr="00C43757">
        <w:rPr>
          <w:rFonts w:ascii="Verdana" w:eastAsia="Calibri" w:hAnsi="Verdana" w:cs="Arial"/>
          <w:lang w:val="es-ES"/>
        </w:rPr>
        <w:t>estableció una regla especial en el artículo quinto:</w:t>
      </w:r>
    </w:p>
    <w:p w14:paraId="260F6ADE" w14:textId="492FF9A2" w:rsidR="00017CDC" w:rsidRPr="00C43757" w:rsidRDefault="00394170" w:rsidP="00017CDC">
      <w:pPr>
        <w:shd w:val="clear" w:color="auto" w:fill="FFFFFF" w:themeFill="background1"/>
        <w:spacing w:after="12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Artículo </w:t>
      </w:r>
      <w:bookmarkStart w:id="6" w:name="5"/>
      <w:bookmarkEnd w:id="6"/>
      <w:r w:rsidRPr="00C43757">
        <w:rPr>
          <w:rFonts w:ascii="Verdana" w:eastAsia="Calibri" w:hAnsi="Verdana" w:cs="Arial"/>
          <w:sz w:val="20"/>
          <w:szCs w:val="20"/>
          <w:lang w:val="es-ES"/>
        </w:rPr>
        <w:t>5.</w:t>
      </w:r>
      <w:r w:rsidRPr="00C43757">
        <w:rPr>
          <w:rFonts w:ascii="Verdana" w:eastAsia="Calibri" w:hAnsi="Verdana" w:cs="Arial"/>
          <w:b/>
          <w:bCs/>
          <w:sz w:val="20"/>
          <w:szCs w:val="20"/>
          <w:lang w:val="es-ES"/>
        </w:rPr>
        <w:t> </w:t>
      </w:r>
      <w:r w:rsidR="00017CDC" w:rsidRPr="00C43757">
        <w:rPr>
          <w:rFonts w:ascii="Verdana" w:eastAsia="Calibri" w:hAnsi="Verdana" w:cs="Arial"/>
          <w:sz w:val="20"/>
          <w:szCs w:val="20"/>
          <w:lang w:val="es-ES"/>
        </w:rPr>
        <w:t>Las empresas de servicios públicos domiciliarios en cuyo capital la Nación o sus entidades descentralizadas posean el 90% o más, tendrán para efectos presupuestales el régimen de las empresas industriales y comerciales del Estado.</w:t>
      </w:r>
    </w:p>
    <w:p w14:paraId="5AE77146" w14:textId="6CC7B745" w:rsidR="00017CDC" w:rsidRPr="00C43757" w:rsidRDefault="00017CDC" w:rsidP="005B2A00">
      <w:pPr>
        <w:shd w:val="clear" w:color="auto" w:fill="FFFFFF" w:themeFill="background1"/>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 xml:space="preserve">Para los mismos efectos, las empresas sociales del Estado del orden nacional que constituyan una categoría especial de entidad pública </w:t>
      </w:r>
      <w:proofErr w:type="gramStart"/>
      <w:r w:rsidRPr="00C43757">
        <w:rPr>
          <w:rFonts w:ascii="Verdana" w:eastAsia="Calibri" w:hAnsi="Verdana" w:cs="Arial"/>
          <w:sz w:val="20"/>
          <w:szCs w:val="20"/>
          <w:lang w:val="es-ES"/>
        </w:rPr>
        <w:t>descentralizada,</w:t>
      </w:r>
      <w:proofErr w:type="gramEnd"/>
      <w:r w:rsidRPr="00C43757">
        <w:rPr>
          <w:rFonts w:ascii="Verdana" w:eastAsia="Calibri" w:hAnsi="Verdana" w:cs="Arial"/>
          <w:sz w:val="20"/>
          <w:szCs w:val="20"/>
          <w:lang w:val="es-ES"/>
        </w:rPr>
        <w:t xml:space="preserve"> se sujetarán al régimen de las empresas industriales y comerciales del Estado. (L. 225/95, art. 11).</w:t>
      </w:r>
    </w:p>
    <w:p w14:paraId="1A83A614" w14:textId="77777777" w:rsidR="005B2A00" w:rsidRPr="00C43757" w:rsidRDefault="005B2A00" w:rsidP="005B2A00">
      <w:pPr>
        <w:shd w:val="clear" w:color="auto" w:fill="FFFFFF" w:themeFill="background1"/>
        <w:spacing w:after="0" w:line="240" w:lineRule="auto"/>
        <w:ind w:left="709" w:right="709"/>
        <w:jc w:val="both"/>
        <w:rPr>
          <w:rFonts w:ascii="Verdana" w:eastAsia="Calibri" w:hAnsi="Verdana" w:cs="Arial"/>
          <w:sz w:val="20"/>
          <w:szCs w:val="20"/>
          <w:lang w:val="es-ES"/>
        </w:rPr>
      </w:pPr>
    </w:p>
    <w:p w14:paraId="0CBAA619" w14:textId="2B230B99" w:rsidR="00CE1C9F" w:rsidRDefault="00CE1C9F" w:rsidP="00FA0D1F">
      <w:pPr>
        <w:shd w:val="clear" w:color="auto" w:fill="FFFFFF" w:themeFill="background1"/>
        <w:spacing w:after="0" w:line="276" w:lineRule="auto"/>
        <w:ind w:right="51" w:firstLine="708"/>
        <w:jc w:val="both"/>
        <w:rPr>
          <w:rFonts w:ascii="Verdana" w:eastAsia="Calibri" w:hAnsi="Verdana" w:cs="Arial"/>
          <w:lang w:val="es-ES"/>
        </w:rPr>
      </w:pPr>
      <w:r w:rsidRPr="00C43757">
        <w:rPr>
          <w:rFonts w:ascii="Verdana" w:eastAsia="Calibri" w:hAnsi="Verdana" w:cs="Arial"/>
          <w:lang w:val="es-ES"/>
        </w:rPr>
        <w:t>Sobre la aplicación de los principios en materia presupuestal a las empresas industriales y comerciales del Estado, cuyo régimen presupuestal será aplicable a las Empresas de Servicios Públicos Domiciliarios en el supuesto del artículo 5 ibidem, el mismo Estatuto señala lo siguiente:</w:t>
      </w:r>
    </w:p>
    <w:p w14:paraId="654DF138" w14:textId="77777777" w:rsidR="00FA0D1F" w:rsidRPr="00C43757" w:rsidRDefault="00FA0D1F" w:rsidP="00FA0D1F">
      <w:pPr>
        <w:shd w:val="clear" w:color="auto" w:fill="FFFFFF" w:themeFill="background1"/>
        <w:spacing w:after="0" w:line="276" w:lineRule="auto"/>
        <w:ind w:right="51" w:firstLine="708"/>
        <w:jc w:val="both"/>
        <w:rPr>
          <w:rFonts w:ascii="Verdana" w:eastAsia="Calibri" w:hAnsi="Verdana" w:cs="Arial"/>
          <w:lang w:val="es-ES"/>
        </w:rPr>
      </w:pPr>
    </w:p>
    <w:p w14:paraId="2632CBD9" w14:textId="7872FC25" w:rsidR="00CE1C9F" w:rsidRPr="00CE1C9F" w:rsidRDefault="003C3592" w:rsidP="00CE1C9F">
      <w:pPr>
        <w:shd w:val="clear" w:color="auto" w:fill="FFFFFF" w:themeFill="background1"/>
        <w:spacing w:after="12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Artículo </w:t>
      </w:r>
      <w:bookmarkStart w:id="7" w:name="BM96"/>
      <w:bookmarkStart w:id="8" w:name="96"/>
      <w:bookmarkEnd w:id="7"/>
      <w:bookmarkEnd w:id="8"/>
      <w:r w:rsidRPr="00C43757">
        <w:rPr>
          <w:rFonts w:ascii="Verdana" w:eastAsia="Calibri" w:hAnsi="Verdana" w:cs="Arial"/>
          <w:sz w:val="20"/>
          <w:szCs w:val="20"/>
          <w:lang w:val="es-ES"/>
        </w:rPr>
        <w:t xml:space="preserve">96. </w:t>
      </w:r>
      <w:r w:rsidR="00CE1C9F" w:rsidRPr="00CE1C9F">
        <w:rPr>
          <w:rFonts w:ascii="Verdana" w:eastAsia="Calibri" w:hAnsi="Verdana" w:cs="Arial"/>
          <w:sz w:val="20"/>
          <w:szCs w:val="20"/>
          <w:lang w:val="es-ES"/>
        </w:rPr>
        <w:t xml:space="preserve">A las empresas industriales y comerciales del Estado y a las sociedades de economía mixta con régimen de empresa industrial y </w:t>
      </w:r>
      <w:r w:rsidR="00CE1C9F" w:rsidRPr="00CE1C9F">
        <w:rPr>
          <w:rFonts w:ascii="Verdana" w:eastAsia="Calibri" w:hAnsi="Verdana" w:cs="Arial"/>
          <w:sz w:val="20"/>
          <w:szCs w:val="20"/>
          <w:lang w:val="es-ES"/>
        </w:rPr>
        <w:lastRenderedPageBreak/>
        <w:t>comercial del Estado, dedicadas a actividades no financieras, le son aplicables los principios presupuestales contenidos en la ley orgánica del presupuesto con excepción del de inembargabilidad.</w:t>
      </w:r>
    </w:p>
    <w:p w14:paraId="05C30F5D" w14:textId="77777777" w:rsidR="00CE1C9F" w:rsidRPr="00CE1C9F" w:rsidRDefault="00CE1C9F" w:rsidP="0041013D">
      <w:pPr>
        <w:shd w:val="clear" w:color="auto" w:fill="FFFFFF" w:themeFill="background1"/>
        <w:spacing w:after="120" w:line="240" w:lineRule="auto"/>
        <w:ind w:left="709" w:right="709"/>
        <w:jc w:val="both"/>
        <w:rPr>
          <w:rFonts w:ascii="Verdana" w:eastAsia="Calibri" w:hAnsi="Verdana" w:cs="Arial"/>
          <w:sz w:val="20"/>
          <w:szCs w:val="20"/>
          <w:lang w:val="es-ES"/>
        </w:rPr>
      </w:pPr>
      <w:r w:rsidRPr="00CE1C9F">
        <w:rPr>
          <w:rFonts w:ascii="Verdana" w:eastAsia="Calibri" w:hAnsi="Verdana" w:cs="Arial"/>
          <w:sz w:val="20"/>
          <w:szCs w:val="20"/>
          <w:lang w:val="es-ES"/>
        </w:rPr>
        <w:t>Le corresponde al gobierno establecer las directrices y controles que estos órganos deben cumplir en la elaboración, conformación y ejecución de los presupuestos, así como de la inversión de sus excedentes.</w:t>
      </w:r>
    </w:p>
    <w:p w14:paraId="0D821194" w14:textId="6E4012C5" w:rsidR="00CE1C9F" w:rsidRPr="00C43757" w:rsidRDefault="00CE1C9F" w:rsidP="00F7711F">
      <w:pPr>
        <w:shd w:val="clear" w:color="auto" w:fill="FFFFFF" w:themeFill="background1"/>
        <w:spacing w:after="0" w:line="240" w:lineRule="auto"/>
        <w:ind w:left="709" w:right="709"/>
        <w:jc w:val="both"/>
        <w:rPr>
          <w:rFonts w:ascii="Verdana" w:eastAsia="Calibri" w:hAnsi="Verdana" w:cs="Arial"/>
          <w:sz w:val="20"/>
          <w:szCs w:val="20"/>
          <w:lang w:val="es-ES"/>
        </w:rPr>
      </w:pPr>
      <w:r w:rsidRPr="00CE1C9F">
        <w:rPr>
          <w:rFonts w:ascii="Verdana" w:eastAsia="Calibri" w:hAnsi="Verdana" w:cs="Arial"/>
          <w:sz w:val="20"/>
          <w:szCs w:val="20"/>
          <w:lang w:val="es-ES"/>
        </w:rPr>
        <w:t xml:space="preserve">El </w:t>
      </w:r>
      <w:proofErr w:type="gramStart"/>
      <w:r w:rsidRPr="00CE1C9F">
        <w:rPr>
          <w:rFonts w:ascii="Verdana" w:eastAsia="Calibri" w:hAnsi="Verdana" w:cs="Arial"/>
          <w:sz w:val="20"/>
          <w:szCs w:val="20"/>
          <w:lang w:val="es-ES"/>
        </w:rPr>
        <w:t>Ministro</w:t>
      </w:r>
      <w:proofErr w:type="gramEnd"/>
      <w:r w:rsidRPr="00CE1C9F">
        <w:rPr>
          <w:rFonts w:ascii="Verdana" w:eastAsia="Calibri" w:hAnsi="Verdana" w:cs="Arial"/>
          <w:sz w:val="20"/>
          <w:szCs w:val="20"/>
          <w:lang w:val="es-ES"/>
        </w:rPr>
        <w:t xml:space="preserve"> de Hacienda establecerá las directrices y controles que las empresas industriales y comerciales del Estado y las sociedades de economía mixta dedicadas actividades financieras deben cumplir en la elaboración, aprobación, conformación y ejecución de sus presupuestos, esta función podrá ser delegada en el Superintendente Bancario (L. 179/94, art. 43).</w:t>
      </w:r>
    </w:p>
    <w:p w14:paraId="2DA5B91D" w14:textId="77777777" w:rsidR="00F7711F" w:rsidRPr="00C43757" w:rsidRDefault="00F7711F" w:rsidP="00F7711F">
      <w:pPr>
        <w:shd w:val="clear" w:color="auto" w:fill="FFFFFF" w:themeFill="background1"/>
        <w:spacing w:after="0" w:line="240" w:lineRule="auto"/>
        <w:ind w:left="709" w:right="709"/>
        <w:jc w:val="both"/>
        <w:rPr>
          <w:rFonts w:ascii="Verdana" w:eastAsia="Calibri" w:hAnsi="Verdana" w:cs="Arial"/>
          <w:sz w:val="20"/>
          <w:szCs w:val="20"/>
          <w:lang w:val="es-ES"/>
        </w:rPr>
      </w:pPr>
    </w:p>
    <w:p w14:paraId="6BE6DF33" w14:textId="262F0B38" w:rsidR="00017CDC" w:rsidRPr="00C43757" w:rsidRDefault="00772E46" w:rsidP="00772E46">
      <w:pPr>
        <w:shd w:val="clear" w:color="auto" w:fill="FFFFFF" w:themeFill="background1"/>
        <w:spacing w:after="120" w:line="276" w:lineRule="auto"/>
        <w:ind w:right="51" w:firstLine="708"/>
        <w:jc w:val="both"/>
        <w:rPr>
          <w:rFonts w:ascii="Verdana" w:eastAsia="Calibri" w:hAnsi="Verdana" w:cs="Arial"/>
          <w:lang w:val="es-ES"/>
        </w:rPr>
      </w:pPr>
      <w:r w:rsidRPr="00C43757">
        <w:rPr>
          <w:rFonts w:ascii="Verdana" w:eastAsia="Calibri" w:hAnsi="Verdana" w:cs="Arial"/>
          <w:lang w:val="es-ES"/>
        </w:rPr>
        <w:t xml:space="preserve">En este marco, corresponde a la Empresa de Servicios Públicos Domiciliarios que pretenda adelantar un proceso de contratación determinar su régimen presupuestal </w:t>
      </w:r>
      <w:r w:rsidR="00CE1C9F" w:rsidRPr="00C43757">
        <w:rPr>
          <w:rFonts w:ascii="Verdana" w:eastAsia="Calibri" w:hAnsi="Verdana" w:cs="Arial"/>
          <w:lang w:val="es-ES"/>
        </w:rPr>
        <w:t xml:space="preserve">conforme a su composición y a lo </w:t>
      </w:r>
      <w:r w:rsidRPr="00C43757">
        <w:rPr>
          <w:rFonts w:ascii="Verdana" w:eastAsia="Calibri" w:hAnsi="Verdana" w:cs="Arial"/>
          <w:lang w:val="es-ES"/>
        </w:rPr>
        <w:t>establecido en el Estatuto Orgánico de Presupuesto</w:t>
      </w:r>
      <w:r w:rsidR="00CE1C9F" w:rsidRPr="00C43757">
        <w:rPr>
          <w:rFonts w:ascii="Verdana" w:eastAsia="Calibri" w:hAnsi="Verdana" w:cs="Arial"/>
          <w:lang w:val="es-ES"/>
        </w:rPr>
        <w:t>. C</w:t>
      </w:r>
      <w:r w:rsidRPr="00C43757">
        <w:rPr>
          <w:rFonts w:ascii="Verdana" w:eastAsia="Calibri" w:hAnsi="Verdana" w:cs="Arial"/>
          <w:lang w:val="es-ES"/>
        </w:rPr>
        <w:t xml:space="preserve">omo resultado de este análisis, </w:t>
      </w:r>
      <w:r w:rsidR="00CE1C9F" w:rsidRPr="00C43757">
        <w:rPr>
          <w:rFonts w:ascii="Verdana" w:eastAsia="Calibri" w:hAnsi="Verdana" w:cs="Arial"/>
          <w:lang w:val="es-ES"/>
        </w:rPr>
        <w:t xml:space="preserve">deberá </w:t>
      </w:r>
      <w:r w:rsidR="00F550A3">
        <w:rPr>
          <w:rFonts w:ascii="Verdana" w:eastAsia="Calibri" w:hAnsi="Verdana" w:cs="Arial"/>
          <w:lang w:val="es-ES"/>
        </w:rPr>
        <w:t xml:space="preserve">establecer </w:t>
      </w:r>
      <w:r w:rsidRPr="00C43757">
        <w:rPr>
          <w:rFonts w:ascii="Verdana" w:eastAsia="Calibri" w:hAnsi="Verdana" w:cs="Arial"/>
          <w:lang w:val="es-ES"/>
        </w:rPr>
        <w:t xml:space="preserve">si su actividad contractual se encuentra o no sujeta al principio de anualidad. </w:t>
      </w:r>
    </w:p>
    <w:p w14:paraId="2C0CFDA5" w14:textId="3BFB22EE" w:rsidR="00794E61" w:rsidRPr="00C43757" w:rsidRDefault="003E2F40" w:rsidP="003E2F40">
      <w:pPr>
        <w:shd w:val="clear" w:color="auto" w:fill="FFFFFF" w:themeFill="background1"/>
        <w:spacing w:after="120" w:line="276" w:lineRule="auto"/>
        <w:ind w:right="51" w:firstLine="708"/>
        <w:jc w:val="both"/>
        <w:rPr>
          <w:rFonts w:ascii="Verdana" w:eastAsia="Calibri" w:hAnsi="Verdana" w:cs="Arial"/>
          <w:lang w:val="es-ES"/>
        </w:rPr>
      </w:pPr>
      <w:r w:rsidRPr="00C43757">
        <w:rPr>
          <w:rFonts w:ascii="Verdana" w:eastAsia="Calibri" w:hAnsi="Verdana" w:cs="Arial"/>
          <w:lang w:val="es-ES"/>
        </w:rPr>
        <w:t>En caso de que su actividad se encuentre sujeta a este principio</w:t>
      </w:r>
      <w:bookmarkStart w:id="9" w:name="_Hlk192245807"/>
      <w:r w:rsidR="00794E61" w:rsidRPr="00C43757">
        <w:rPr>
          <w:rFonts w:ascii="Verdana" w:eastAsia="Calibri" w:hAnsi="Verdana" w:cs="Arial"/>
          <w:lang w:val="es-ES"/>
        </w:rPr>
        <w:t xml:space="preserve">, </w:t>
      </w:r>
      <w:bookmarkEnd w:id="9"/>
      <w:r w:rsidR="00794E61" w:rsidRPr="00C43757">
        <w:rPr>
          <w:rFonts w:ascii="Verdana" w:eastAsia="Calibri" w:hAnsi="Verdana" w:cs="Arial"/>
          <w:lang w:val="es-ES"/>
        </w:rPr>
        <w:t xml:space="preserve">deberá tener en cuenta </w:t>
      </w:r>
      <w:r w:rsidR="00745E09" w:rsidRPr="00C43757">
        <w:rPr>
          <w:rFonts w:ascii="Verdana" w:eastAsia="Calibri" w:hAnsi="Verdana" w:cs="Arial"/>
          <w:lang w:val="es-ES"/>
        </w:rPr>
        <w:t>que existen excepciones y determinar en</w:t>
      </w:r>
      <w:r w:rsidR="00794E61" w:rsidRPr="00C43757">
        <w:rPr>
          <w:rFonts w:ascii="Verdana" w:eastAsia="Calibri" w:hAnsi="Verdana" w:cs="Arial"/>
          <w:lang w:val="es-ES"/>
        </w:rPr>
        <w:t xml:space="preserve"> su planeación presupuestal la necesidad de hacer uso de figuras </w:t>
      </w:r>
      <w:r w:rsidR="0059263B" w:rsidRPr="00C43757">
        <w:rPr>
          <w:rFonts w:ascii="Verdana" w:eastAsia="Calibri" w:hAnsi="Verdana" w:cs="Arial"/>
          <w:lang w:val="es-ES"/>
        </w:rPr>
        <w:t xml:space="preserve">como las vigencias futuras o las reservas presupuestales </w:t>
      </w:r>
      <w:r w:rsidR="00794E61" w:rsidRPr="00C43757">
        <w:rPr>
          <w:rFonts w:ascii="Verdana" w:eastAsia="Calibri" w:hAnsi="Verdana" w:cs="Arial"/>
          <w:lang w:val="es-ES"/>
        </w:rPr>
        <w:t>cuando el contrato implique</w:t>
      </w:r>
      <w:r w:rsidR="00745E09" w:rsidRPr="00C43757">
        <w:rPr>
          <w:rFonts w:ascii="Verdana" w:eastAsia="Calibri" w:hAnsi="Verdana" w:cs="Arial"/>
          <w:lang w:val="es-ES"/>
        </w:rPr>
        <w:t xml:space="preserve"> </w:t>
      </w:r>
      <w:r w:rsidR="00794E61" w:rsidRPr="00C43757">
        <w:rPr>
          <w:rFonts w:ascii="Verdana" w:eastAsia="Calibri" w:hAnsi="Verdana" w:cs="Arial"/>
          <w:lang w:val="es-ES"/>
        </w:rPr>
        <w:t>asumir compromisos que deben ser ejecutados en</w:t>
      </w:r>
      <w:r w:rsidR="00F550A3">
        <w:rPr>
          <w:rFonts w:ascii="Verdana" w:eastAsia="Calibri" w:hAnsi="Verdana" w:cs="Arial"/>
          <w:lang w:val="es-ES"/>
        </w:rPr>
        <w:t xml:space="preserve"> más de</w:t>
      </w:r>
      <w:r w:rsidR="00794E61" w:rsidRPr="00C43757">
        <w:rPr>
          <w:rFonts w:ascii="Verdana" w:eastAsia="Calibri" w:hAnsi="Verdana" w:cs="Arial"/>
          <w:lang w:val="es-ES"/>
        </w:rPr>
        <w:t xml:space="preserve"> una vigencia; como </w:t>
      </w:r>
      <w:r w:rsidR="00745E09" w:rsidRPr="00C43757">
        <w:rPr>
          <w:rFonts w:ascii="Verdana" w:eastAsia="Calibri" w:hAnsi="Verdana" w:cs="Arial"/>
          <w:lang w:val="es-ES"/>
        </w:rPr>
        <w:t xml:space="preserve">puede ser el </w:t>
      </w:r>
      <w:r w:rsidR="00794E61" w:rsidRPr="00C43757">
        <w:rPr>
          <w:rFonts w:ascii="Verdana" w:eastAsia="Calibri" w:hAnsi="Verdana" w:cs="Arial"/>
          <w:lang w:val="es-ES"/>
        </w:rPr>
        <w:t>caso de</w:t>
      </w:r>
      <w:r w:rsidR="00745E09" w:rsidRPr="00C43757">
        <w:rPr>
          <w:rFonts w:ascii="Verdana" w:eastAsia="Calibri" w:hAnsi="Verdana" w:cs="Arial"/>
          <w:lang w:val="es-ES"/>
        </w:rPr>
        <w:t xml:space="preserve"> </w:t>
      </w:r>
      <w:r w:rsidR="00F550A3">
        <w:rPr>
          <w:rFonts w:ascii="Verdana" w:eastAsia="Calibri" w:hAnsi="Verdana" w:cs="Arial"/>
          <w:lang w:val="es-ES"/>
        </w:rPr>
        <w:t xml:space="preserve">los </w:t>
      </w:r>
      <w:r w:rsidR="00745E09" w:rsidRPr="00C43757">
        <w:rPr>
          <w:rFonts w:ascii="Verdana" w:eastAsia="Calibri" w:hAnsi="Verdana" w:cs="Arial"/>
          <w:lang w:val="es-ES"/>
        </w:rPr>
        <w:t>contratos de tracto sucesivo</w:t>
      </w:r>
      <w:r w:rsidR="00F550A3">
        <w:rPr>
          <w:rFonts w:ascii="Verdana" w:eastAsia="Calibri" w:hAnsi="Verdana" w:cs="Arial"/>
          <w:lang w:val="es-ES"/>
        </w:rPr>
        <w:t xml:space="preserve"> referidos en su consulta</w:t>
      </w:r>
      <w:r w:rsidR="00794E61" w:rsidRPr="00C43757">
        <w:rPr>
          <w:rFonts w:ascii="Verdana" w:eastAsia="Calibri" w:hAnsi="Verdana" w:cs="Arial"/>
          <w:lang w:val="es-ES"/>
        </w:rPr>
        <w:t>. En estos supuestos, la Entidad deberá considerar cuál de las figuras excepcionales a</w:t>
      </w:r>
      <w:r w:rsidR="00F219A5" w:rsidRPr="00C43757">
        <w:rPr>
          <w:rFonts w:ascii="Verdana" w:eastAsia="Calibri" w:hAnsi="Verdana" w:cs="Arial"/>
          <w:lang w:val="es-ES"/>
        </w:rPr>
        <w:t xml:space="preserve">l principio de anualidad </w:t>
      </w:r>
      <w:r w:rsidR="00794E61" w:rsidRPr="00C43757">
        <w:rPr>
          <w:rFonts w:ascii="Verdana" w:eastAsia="Calibri" w:hAnsi="Verdana" w:cs="Arial"/>
          <w:lang w:val="es-ES"/>
        </w:rPr>
        <w:t xml:space="preserve">es pertinente en el caso concreto. </w:t>
      </w:r>
    </w:p>
    <w:p w14:paraId="6EE5C9EB" w14:textId="576ADA57" w:rsidR="00794E61" w:rsidRPr="00C43757" w:rsidRDefault="00794E61" w:rsidP="00F219A5">
      <w:pPr>
        <w:shd w:val="clear" w:color="auto" w:fill="FFFFFF" w:themeFill="background1"/>
        <w:spacing w:after="120" w:line="276" w:lineRule="auto"/>
        <w:ind w:right="51" w:firstLine="708"/>
        <w:jc w:val="both"/>
        <w:rPr>
          <w:rFonts w:ascii="Verdana" w:eastAsia="Calibri" w:hAnsi="Verdana" w:cs="Arial"/>
          <w:lang w:val="es-ES"/>
        </w:rPr>
      </w:pPr>
      <w:r w:rsidRPr="00C43757">
        <w:rPr>
          <w:rFonts w:ascii="Verdana" w:eastAsia="Calibri" w:hAnsi="Verdana" w:cs="Arial"/>
          <w:lang w:val="es-ES"/>
        </w:rPr>
        <w:t>Conforme lo ha señalado el Consejo de Estado, el principio de anualidad no es absoluto en “la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C43757">
        <w:rPr>
          <w:rStyle w:val="Refdenotaalpie"/>
          <w:rFonts w:ascii="Verdana" w:eastAsia="Calibri" w:hAnsi="Verdana" w:cs="Arial"/>
          <w:lang w:val="es-ES"/>
        </w:rPr>
        <w:footnoteReference w:id="15"/>
      </w:r>
      <w:r w:rsidRPr="00C43757">
        <w:rPr>
          <w:rFonts w:ascii="Verdana" w:eastAsia="Calibri" w:hAnsi="Verdana" w:cs="Arial"/>
          <w:lang w:val="es-ES"/>
        </w:rPr>
        <w:t>.</w:t>
      </w:r>
      <w:r w:rsidR="00F219A5" w:rsidRPr="00C43757">
        <w:rPr>
          <w:rFonts w:ascii="Verdana" w:eastAsia="Calibri" w:hAnsi="Verdana" w:cs="Arial"/>
          <w:lang w:val="es-ES"/>
        </w:rPr>
        <w:t xml:space="preserve"> </w:t>
      </w:r>
      <w:r w:rsidRPr="00C43757">
        <w:rPr>
          <w:rFonts w:ascii="Verdana" w:eastAsia="Calibri" w:hAnsi="Verdana" w:cs="Arial"/>
          <w:lang w:val="es-ES"/>
        </w:rPr>
        <w:t>Algunos de los mecanismos presupuestales que constituyen excepciones al principio de anualidad son: (i) las vigencias futuras, (</w:t>
      </w:r>
      <w:proofErr w:type="spellStart"/>
      <w:r w:rsidRPr="00C43757">
        <w:rPr>
          <w:rFonts w:ascii="Verdana" w:eastAsia="Calibri" w:hAnsi="Verdana" w:cs="Arial"/>
          <w:lang w:val="es-ES"/>
        </w:rPr>
        <w:t>ii</w:t>
      </w:r>
      <w:proofErr w:type="spellEnd"/>
      <w:r w:rsidRPr="00C43757">
        <w:rPr>
          <w:rFonts w:ascii="Verdana" w:eastAsia="Calibri" w:hAnsi="Verdana" w:cs="Arial"/>
          <w:lang w:val="es-ES"/>
        </w:rPr>
        <w:t>) las cuentas por pagar, y (</w:t>
      </w:r>
      <w:proofErr w:type="spellStart"/>
      <w:r w:rsidRPr="00C43757">
        <w:rPr>
          <w:rFonts w:ascii="Verdana" w:eastAsia="Calibri" w:hAnsi="Verdana" w:cs="Arial"/>
          <w:lang w:val="es-ES"/>
        </w:rPr>
        <w:t>iii</w:t>
      </w:r>
      <w:proofErr w:type="spellEnd"/>
      <w:r w:rsidRPr="00C43757">
        <w:rPr>
          <w:rFonts w:ascii="Verdana" w:eastAsia="Calibri" w:hAnsi="Verdana" w:cs="Arial"/>
          <w:lang w:val="es-ES"/>
        </w:rPr>
        <w:t xml:space="preserve">) las reservas presupuestales. Según el artículo 23 del Estatuto Orgánico </w:t>
      </w:r>
      <w:r w:rsidRPr="00C43757">
        <w:rPr>
          <w:rFonts w:ascii="Verdana" w:eastAsia="Calibri" w:hAnsi="Verdana" w:cs="Arial"/>
          <w:lang w:val="es-ES"/>
        </w:rPr>
        <w:lastRenderedPageBreak/>
        <w:t>del Presupuesto</w:t>
      </w:r>
      <w:r w:rsidRPr="00C43757">
        <w:rPr>
          <w:rStyle w:val="Refdenotaalpie"/>
          <w:rFonts w:ascii="Verdana" w:eastAsia="Calibri" w:hAnsi="Verdana" w:cs="Arial"/>
          <w:lang w:val="es-ES"/>
        </w:rPr>
        <w:footnoteReference w:id="16"/>
      </w:r>
      <w:r w:rsidRPr="00C43757">
        <w:rPr>
          <w:rFonts w:ascii="Verdana" w:eastAsia="Calibri" w:hAnsi="Verdana" w:cs="Arial"/>
          <w:lang w:val="es-ES"/>
        </w:rPr>
        <w:t xml:space="preserve"> las </w:t>
      </w:r>
      <w:r w:rsidRPr="00C43757">
        <w:rPr>
          <w:rFonts w:ascii="Verdana" w:eastAsia="Calibri" w:hAnsi="Verdana" w:cs="Arial"/>
          <w:i/>
          <w:iCs/>
          <w:lang w:val="es-ES"/>
        </w:rPr>
        <w:t xml:space="preserve">primeras </w:t>
      </w:r>
      <w:r w:rsidRPr="00C43757">
        <w:rPr>
          <w:rFonts w:ascii="Verdana" w:eastAsia="Calibri" w:hAnsi="Verdana" w:cs="Arial"/>
          <w:lang w:val="es-ES"/>
        </w:rPr>
        <w:t>se</w:t>
      </w:r>
      <w:r w:rsidRPr="00C43757">
        <w:rPr>
          <w:rFonts w:ascii="Verdana" w:eastAsia="Calibri" w:hAnsi="Verdana" w:cs="Arial"/>
          <w:i/>
          <w:iCs/>
          <w:lang w:val="es-ES"/>
        </w:rPr>
        <w:t xml:space="preserve"> </w:t>
      </w:r>
      <w:r w:rsidRPr="00C43757">
        <w:rPr>
          <w:rFonts w:ascii="Verdana" w:eastAsia="Calibri" w:hAnsi="Verdana" w:cs="Arial"/>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figura el Consejo de Estado precisó que: </w:t>
      </w:r>
      <w:bookmarkStart w:id="11" w:name="_Hlk192252197"/>
    </w:p>
    <w:p w14:paraId="0080415F" w14:textId="77777777" w:rsidR="00794E61" w:rsidRPr="00C43757" w:rsidRDefault="00794E61" w:rsidP="00794E61">
      <w:pPr>
        <w:shd w:val="clear" w:color="auto" w:fill="FFFFFF"/>
        <w:spacing w:after="0" w:line="240" w:lineRule="auto"/>
        <w:ind w:left="709" w:right="709"/>
        <w:jc w:val="both"/>
        <w:rPr>
          <w:rFonts w:ascii="Verdana" w:eastAsia="Calibri" w:hAnsi="Verdana" w:cs="Arial"/>
          <w:sz w:val="21"/>
          <w:szCs w:val="21"/>
          <w:lang w:val="es-ES"/>
        </w:rPr>
      </w:pPr>
      <w:r w:rsidRPr="00C43757">
        <w:rPr>
          <w:rFonts w:ascii="Verdana" w:eastAsia="Calibri" w:hAnsi="Verdana" w:cs="Arial"/>
          <w:sz w:val="21"/>
          <w:szCs w:val="21"/>
          <w:lang w:val="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bookmarkEnd w:id="11"/>
      <w:r w:rsidRPr="00C43757">
        <w:rPr>
          <w:rStyle w:val="Refdenotaalpie"/>
          <w:rFonts w:ascii="Verdana" w:eastAsia="Calibri" w:hAnsi="Verdana" w:cs="Arial"/>
          <w:sz w:val="21"/>
          <w:szCs w:val="21"/>
          <w:lang w:val="es-ES"/>
        </w:rPr>
        <w:footnoteReference w:id="17"/>
      </w:r>
      <w:r w:rsidRPr="00C43757">
        <w:rPr>
          <w:rFonts w:ascii="Verdana" w:eastAsia="Calibri" w:hAnsi="Verdana" w:cs="Arial"/>
          <w:sz w:val="21"/>
          <w:szCs w:val="21"/>
          <w:lang w:val="es-ES"/>
        </w:rPr>
        <w:t xml:space="preserve">. </w:t>
      </w:r>
    </w:p>
    <w:p w14:paraId="53589CDF" w14:textId="77777777" w:rsidR="00794E61" w:rsidRPr="00C43757" w:rsidRDefault="00794E61" w:rsidP="00794E61">
      <w:pPr>
        <w:shd w:val="clear" w:color="auto" w:fill="FFFFFF"/>
        <w:spacing w:after="0" w:line="276" w:lineRule="auto"/>
        <w:ind w:right="709" w:firstLine="708"/>
        <w:jc w:val="both"/>
        <w:rPr>
          <w:rFonts w:ascii="Verdana" w:eastAsia="Calibri" w:hAnsi="Verdana" w:cs="Arial"/>
          <w:lang w:val="es-ES"/>
        </w:rPr>
      </w:pPr>
    </w:p>
    <w:p w14:paraId="0986FC2B" w14:textId="77777777" w:rsidR="00794E61" w:rsidRPr="00C43757" w:rsidRDefault="00794E61" w:rsidP="00794E61">
      <w:pPr>
        <w:shd w:val="clear" w:color="auto" w:fill="FFFFFF"/>
        <w:spacing w:after="0" w:line="276" w:lineRule="auto"/>
        <w:ind w:firstLine="708"/>
        <w:jc w:val="both"/>
        <w:rPr>
          <w:rFonts w:ascii="Verdana" w:eastAsia="Calibri" w:hAnsi="Verdana" w:cs="Arial"/>
          <w:sz w:val="21"/>
          <w:szCs w:val="21"/>
          <w:lang w:val="es-ES"/>
        </w:rPr>
      </w:pPr>
      <w:r w:rsidRPr="00C43757">
        <w:rPr>
          <w:rFonts w:ascii="Verdana" w:eastAsia="Calibri" w:hAnsi="Verdana" w:cs="Arial"/>
          <w:lang w:val="es-ES"/>
        </w:rPr>
        <w:t xml:space="preserve">La Ley 813 de 2003 establece en sus artículos 10° y 11° dos tipos de vigencias futuras: (i) las </w:t>
      </w:r>
      <w:r w:rsidRPr="00C43757">
        <w:rPr>
          <w:rFonts w:ascii="Verdana" w:eastAsia="Calibri" w:hAnsi="Verdana" w:cs="Arial"/>
          <w:i/>
          <w:iCs/>
          <w:lang w:val="es-ES"/>
        </w:rPr>
        <w:t>vigencias futuras ordinarias</w:t>
      </w:r>
      <w:r w:rsidRPr="00C43757">
        <w:rPr>
          <w:rFonts w:ascii="Verdana" w:eastAsia="Calibri" w:hAnsi="Verdana" w:cs="Arial"/>
          <w:lang w:val="es-ES"/>
        </w:rPr>
        <w:t>, según las cuales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w:t>
      </w:r>
      <w:proofErr w:type="spellStart"/>
      <w:r w:rsidRPr="00C43757">
        <w:rPr>
          <w:rFonts w:ascii="Verdana" w:eastAsia="Calibri" w:hAnsi="Verdana" w:cs="Arial"/>
          <w:lang w:val="es-ES"/>
        </w:rPr>
        <w:t>ii</w:t>
      </w:r>
      <w:proofErr w:type="spellEnd"/>
      <w:r w:rsidRPr="00C43757">
        <w:rPr>
          <w:rFonts w:ascii="Verdana" w:eastAsia="Calibri" w:hAnsi="Verdana" w:cs="Arial"/>
          <w:lang w:val="es-ES"/>
        </w:rPr>
        <w:t xml:space="preserve">) las </w:t>
      </w:r>
      <w:r w:rsidRPr="00C43757">
        <w:rPr>
          <w:rFonts w:ascii="Verdana" w:eastAsia="Calibri" w:hAnsi="Verdana" w:cs="Arial"/>
          <w:i/>
          <w:iCs/>
          <w:lang w:val="es-ES"/>
        </w:rPr>
        <w:t>vigencias futuras excepcionales</w:t>
      </w:r>
      <w:r w:rsidRPr="00C43757">
        <w:rPr>
          <w:rFonts w:ascii="Verdana" w:eastAsia="Calibri" w:hAnsi="Verdana" w:cs="Arial"/>
          <w:lang w:val="es-ES"/>
        </w:rPr>
        <w:t xml:space="preserve">, en virtud de la cual el Confis podrá autorizar que se asuman obligaciones que afecten el presupuesto de vigencias futuras sin apropiación en el presupuesto del año en que se concede la autorización, siempre que se trate de casos excepcionales para obras de infraestructura, energía, comunicaciones, aeronáutica, defensa y seguridad, así como para las garantías a las concesiones. </w:t>
      </w:r>
    </w:p>
    <w:p w14:paraId="1A84C4CE" w14:textId="77777777" w:rsidR="00794E61" w:rsidRPr="00C43757" w:rsidRDefault="00794E61" w:rsidP="00794E61">
      <w:pPr>
        <w:shd w:val="clear" w:color="auto" w:fill="FFFFFF"/>
        <w:spacing w:before="120" w:after="120" w:line="276" w:lineRule="auto"/>
        <w:ind w:right="51" w:firstLine="709"/>
        <w:jc w:val="both"/>
        <w:rPr>
          <w:rFonts w:ascii="Verdana" w:eastAsia="Calibri" w:hAnsi="Verdana" w:cs="Arial"/>
          <w:lang w:val="es-ES"/>
        </w:rPr>
      </w:pPr>
      <w:r w:rsidRPr="00C43757">
        <w:rPr>
          <w:rFonts w:ascii="Verdana" w:eastAsia="Calibri" w:hAnsi="Verdana" w:cs="Arial"/>
          <w:lang w:val="es-ES"/>
        </w:rPr>
        <w:lastRenderedPageBreak/>
        <w:t xml:space="preserve">Por su parte, el artículo 12 de la Ley 813 de 2003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establecidas en la Ley 1483 de 2011. </w:t>
      </w:r>
    </w:p>
    <w:p w14:paraId="727EDBBD" w14:textId="77777777" w:rsidR="00794E61" w:rsidRPr="00C43757" w:rsidRDefault="00794E61" w:rsidP="00794E61">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Sobre la distinción entre las vigencias futuras ordinarias y las excepcionales el Consejo de Estado señaló que: </w:t>
      </w:r>
    </w:p>
    <w:p w14:paraId="07C0D7C0" w14:textId="77777777" w:rsidR="00794E61" w:rsidRPr="00C43757" w:rsidRDefault="00794E61" w:rsidP="00794E61">
      <w:pPr>
        <w:shd w:val="clear" w:color="auto" w:fill="FFFFFF"/>
        <w:spacing w:after="0" w:line="240" w:lineRule="auto"/>
        <w:ind w:left="709" w:right="709"/>
        <w:jc w:val="both"/>
        <w:rPr>
          <w:rFonts w:ascii="Verdana" w:eastAsia="Calibri" w:hAnsi="Verdana" w:cs="Arial"/>
          <w:sz w:val="21"/>
          <w:szCs w:val="21"/>
          <w:lang w:val="es-ES"/>
        </w:rPr>
      </w:pPr>
      <w:r w:rsidRPr="00C43757">
        <w:rPr>
          <w:rFonts w:ascii="Verdana" w:eastAsia="Calibri" w:hAnsi="Verdana" w:cs="Arial"/>
          <w:sz w:val="21"/>
          <w:szCs w:val="21"/>
          <w:lang w:val="es-ES"/>
        </w:rPr>
        <w:t>“</w:t>
      </w:r>
      <w:r w:rsidRPr="00C43757">
        <w:rPr>
          <w:rFonts w:ascii="Verdana" w:hAnsi="Verdana" w:cs="Symbol"/>
          <w:sz w:val="21"/>
          <w:szCs w:val="21"/>
          <w:lang w:val="es-ES"/>
        </w:rPr>
        <w:t xml:space="preserve">la diferencia fundamental entre las vigencias futuras ordinarias y las vigencias futuras </w:t>
      </w:r>
      <w:proofErr w:type="gramStart"/>
      <w:r w:rsidRPr="00C43757">
        <w:rPr>
          <w:rFonts w:ascii="Verdana" w:hAnsi="Verdana" w:cs="Symbol"/>
          <w:sz w:val="21"/>
          <w:szCs w:val="21"/>
          <w:lang w:val="es-ES"/>
        </w:rPr>
        <w:t>excepcionales,</w:t>
      </w:r>
      <w:proofErr w:type="gramEnd"/>
      <w:r w:rsidRPr="00C43757">
        <w:rPr>
          <w:rFonts w:ascii="Verdana" w:hAnsi="Verdana" w:cs="Symbol"/>
          <w:sz w:val="21"/>
          <w:szCs w:val="21"/>
          <w:lang w:val="es-ES"/>
        </w:rPr>
        <w:t xml:space="preserve"> radica, esencialmente, en que en las primeras la ejecución se inicia con el presupuesto de la vigencia en curso, mientras </w:t>
      </w:r>
      <w:proofErr w:type="gramStart"/>
      <w:r w:rsidRPr="00C43757">
        <w:rPr>
          <w:rFonts w:ascii="Verdana" w:hAnsi="Verdana" w:cs="Symbol"/>
          <w:sz w:val="21"/>
          <w:szCs w:val="21"/>
          <w:lang w:val="es-ES"/>
        </w:rPr>
        <w:t>que</w:t>
      </w:r>
      <w:proofErr w:type="gramEnd"/>
      <w:r w:rsidRPr="00C43757">
        <w:rPr>
          <w:rFonts w:ascii="Verdana" w:hAnsi="Verdana" w:cs="Symbol"/>
          <w:sz w:val="21"/>
          <w:szCs w:val="21"/>
          <w:lang w:val="es-ES"/>
        </w:rPr>
        <w:t xml:space="preserve"> en las excepcionales, se afecta el presupuesto de vigencias futuras, sin apropiación en el presupuesto del año en que se concede la autorización</w:t>
      </w:r>
      <w:r w:rsidRPr="00C43757">
        <w:rPr>
          <w:rFonts w:ascii="Verdana" w:eastAsia="Calibri" w:hAnsi="Verdana" w:cs="Arial"/>
          <w:sz w:val="21"/>
          <w:szCs w:val="21"/>
          <w:lang w:val="es-ES"/>
        </w:rPr>
        <w:t>”</w:t>
      </w:r>
      <w:r w:rsidRPr="00C43757">
        <w:rPr>
          <w:rStyle w:val="Refdenotaalpie"/>
          <w:rFonts w:ascii="Verdana" w:eastAsia="Calibri" w:hAnsi="Verdana" w:cs="Arial"/>
          <w:sz w:val="21"/>
          <w:szCs w:val="21"/>
          <w:lang w:val="es-ES"/>
        </w:rPr>
        <w:footnoteReference w:id="18"/>
      </w:r>
      <w:r w:rsidRPr="00C43757">
        <w:rPr>
          <w:rFonts w:ascii="Verdana" w:hAnsi="Verdana" w:cs="Symbol"/>
          <w:sz w:val="21"/>
          <w:szCs w:val="21"/>
          <w:lang w:val="es-ES"/>
        </w:rPr>
        <w:t>.</w:t>
      </w:r>
    </w:p>
    <w:p w14:paraId="0C219E6B" w14:textId="77777777" w:rsidR="00794E61" w:rsidRPr="00C43757" w:rsidRDefault="00794E61" w:rsidP="00794E61">
      <w:pPr>
        <w:shd w:val="clear" w:color="auto" w:fill="FFFFFF"/>
        <w:spacing w:after="0" w:line="276" w:lineRule="auto"/>
        <w:ind w:right="51" w:firstLine="709"/>
        <w:contextualSpacing/>
        <w:jc w:val="both"/>
        <w:rPr>
          <w:rFonts w:ascii="Verdana" w:eastAsia="Calibri" w:hAnsi="Verdana" w:cs="Arial"/>
          <w:lang w:val="es-ES"/>
        </w:rPr>
      </w:pPr>
    </w:p>
    <w:p w14:paraId="00C73528" w14:textId="77777777" w:rsidR="00794E61" w:rsidRPr="00C43757" w:rsidRDefault="00794E61" w:rsidP="00794E61">
      <w:pPr>
        <w:shd w:val="clear" w:color="auto" w:fill="FFFFFF"/>
        <w:spacing w:after="0" w:line="276" w:lineRule="auto"/>
        <w:ind w:right="51" w:firstLine="709"/>
        <w:contextualSpacing/>
        <w:jc w:val="both"/>
        <w:rPr>
          <w:rFonts w:ascii="Verdana" w:eastAsia="Calibri" w:hAnsi="Verdana" w:cs="Arial"/>
          <w:lang w:val="es-ES"/>
        </w:rPr>
      </w:pPr>
      <w:r w:rsidRPr="00C43757">
        <w:rPr>
          <w:rFonts w:ascii="Verdana" w:eastAsia="Calibri" w:hAnsi="Verdana" w:cs="Arial"/>
          <w:lang w:val="es-ES"/>
        </w:rPr>
        <w:t xml:space="preserve">Las </w:t>
      </w:r>
      <w:r w:rsidRPr="00C43757">
        <w:rPr>
          <w:rFonts w:ascii="Verdana" w:eastAsia="Calibri" w:hAnsi="Verdana" w:cs="Arial"/>
          <w:i/>
          <w:iCs/>
          <w:lang w:val="es-ES"/>
        </w:rPr>
        <w:t xml:space="preserve">cuentas por pagar </w:t>
      </w:r>
      <w:r w:rsidRPr="00C43757">
        <w:rPr>
          <w:rFonts w:ascii="Verdana" w:eastAsia="Calibri" w:hAnsi="Verdana" w:cs="Arial"/>
          <w:lang w:val="es-ES"/>
        </w:rPr>
        <w:t>consisten en obligaciones cumplidas en la vigencia actual, correspondientes a los anticipos pactados en los contratos y a la entrega de bienes y servicios, de las cuales solo se encuentra pendiente el pago de acuerdo con los compromisos presupuestales adquiridos por la entidad</w:t>
      </w:r>
      <w:r w:rsidRPr="00C43757">
        <w:rPr>
          <w:rStyle w:val="Refdenotaalpie"/>
          <w:rFonts w:ascii="Verdana" w:eastAsia="Calibri" w:hAnsi="Verdana" w:cs="Arial"/>
          <w:lang w:val="es-ES"/>
        </w:rPr>
        <w:footnoteReference w:id="19"/>
      </w:r>
      <w:r w:rsidRPr="00C43757">
        <w:rPr>
          <w:rFonts w:ascii="Verdana" w:eastAsia="Calibri" w:hAnsi="Verdana" w:cs="Arial"/>
          <w:lang w:val="es-ES"/>
        </w:rPr>
        <w:t xml:space="preserve">. </w:t>
      </w:r>
    </w:p>
    <w:p w14:paraId="754F018A" w14:textId="77777777" w:rsidR="00794E61" w:rsidRPr="00C43757" w:rsidRDefault="00794E61" w:rsidP="00794E61">
      <w:pPr>
        <w:shd w:val="clear" w:color="auto" w:fill="FFFFFF"/>
        <w:spacing w:before="120" w:after="120" w:line="276" w:lineRule="auto"/>
        <w:ind w:right="51" w:firstLine="709"/>
        <w:jc w:val="both"/>
        <w:rPr>
          <w:rFonts w:ascii="Verdana" w:eastAsia="Calibri" w:hAnsi="Verdana" w:cs="Arial"/>
          <w:lang w:val="es-ES"/>
        </w:rPr>
      </w:pPr>
      <w:r w:rsidRPr="00C43757">
        <w:rPr>
          <w:rFonts w:ascii="Verdana" w:eastAsia="Calibri" w:hAnsi="Verdana" w:cs="Arial"/>
          <w:lang w:val="es-ES"/>
        </w:rPr>
        <w:t>Por su parte</w:t>
      </w:r>
      <w:r w:rsidRPr="00C43757">
        <w:rPr>
          <w:rFonts w:ascii="Verdana" w:eastAsia="Calibri" w:hAnsi="Verdana" w:cs="Arial"/>
          <w:i/>
          <w:iCs/>
          <w:lang w:val="es-ES"/>
        </w:rPr>
        <w:t xml:space="preserve">, </w:t>
      </w:r>
      <w:r w:rsidRPr="00C43757">
        <w:rPr>
          <w:rFonts w:ascii="Verdana" w:eastAsia="Calibri" w:hAnsi="Verdana" w:cs="Arial"/>
          <w:lang w:val="es-ES"/>
        </w:rPr>
        <w:t xml:space="preserve">las </w:t>
      </w:r>
      <w:r w:rsidRPr="00C43757">
        <w:rPr>
          <w:rFonts w:ascii="Verdana" w:eastAsia="Calibri" w:hAnsi="Verdana" w:cs="Arial"/>
          <w:i/>
          <w:iCs/>
          <w:lang w:val="es-ES"/>
        </w:rPr>
        <w:t>reservas presupuestales</w:t>
      </w:r>
      <w:bookmarkStart w:id="12" w:name="_Hlk93517351"/>
      <w:r w:rsidRPr="00C43757">
        <w:rPr>
          <w:rFonts w:ascii="Verdana" w:eastAsia="Calibri" w:hAnsi="Verdana" w:cs="Arial"/>
          <w:lang w:val="es-ES"/>
        </w:rPr>
        <w:t xml:space="preserve"> 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C43757">
        <w:rPr>
          <w:rStyle w:val="Refdenotaalpie"/>
          <w:rFonts w:ascii="Verdana" w:eastAsia="Calibri" w:hAnsi="Verdana" w:cs="Arial"/>
          <w:lang w:val="es-ES"/>
        </w:rPr>
        <w:footnoteReference w:id="20"/>
      </w:r>
      <w:r w:rsidRPr="00C43757">
        <w:rPr>
          <w:rFonts w:ascii="Verdana" w:eastAsia="Calibri" w:hAnsi="Verdana" w:cs="Arial"/>
          <w:lang w:val="es-ES"/>
        </w:rPr>
        <w:t xml:space="preserve">. </w:t>
      </w:r>
      <w:bookmarkEnd w:id="12"/>
      <w:r w:rsidRPr="00C43757">
        <w:rPr>
          <w:rFonts w:ascii="Verdana" w:eastAsia="Calibri" w:hAnsi="Verdana" w:cs="Arial"/>
          <w:lang w:val="es-ES"/>
        </w:rPr>
        <w:t>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C43757">
        <w:rPr>
          <w:rStyle w:val="Refdenotaalpie"/>
          <w:rFonts w:ascii="Verdana" w:eastAsia="Calibri" w:hAnsi="Verdana" w:cs="Arial"/>
          <w:lang w:val="es-ES"/>
        </w:rPr>
        <w:footnoteReference w:id="21"/>
      </w:r>
      <w:r w:rsidRPr="00C43757">
        <w:rPr>
          <w:rFonts w:ascii="Verdana" w:eastAsia="Calibri" w:hAnsi="Verdana" w:cs="Arial"/>
          <w:lang w:val="es-ES"/>
        </w:rPr>
        <w:t xml:space="preserve">. </w:t>
      </w:r>
    </w:p>
    <w:p w14:paraId="72FB0C4F" w14:textId="77777777" w:rsidR="00794E61" w:rsidRPr="00C43757" w:rsidRDefault="00794E61" w:rsidP="00794E61">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lastRenderedPageBreak/>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“un instrumento de uso esporádico y justificado únicamente en situaciones atípicas que impiden la ejecución de los compromisos en las fechas inicialmente previstas para ello, dentro de la misma vigencia a aquella en que el compromiso se celebró”</w:t>
      </w:r>
      <w:r w:rsidRPr="00C43757">
        <w:rPr>
          <w:rStyle w:val="Refdenotaalpie"/>
          <w:rFonts w:ascii="Verdana" w:eastAsia="Calibri" w:hAnsi="Verdana" w:cs="Arial"/>
          <w:lang w:val="es-ES"/>
        </w:rPr>
        <w:footnoteReference w:id="22"/>
      </w:r>
      <w:r w:rsidRPr="00C43757">
        <w:rPr>
          <w:rFonts w:ascii="Verdana" w:eastAsia="Calibri" w:hAnsi="Verdana" w:cs="Arial"/>
          <w:lang w:val="es-ES"/>
        </w:rPr>
        <w:t>.</w:t>
      </w:r>
    </w:p>
    <w:p w14:paraId="24141DC6" w14:textId="77777777" w:rsidR="00794E61" w:rsidRPr="00C43757" w:rsidRDefault="00794E61" w:rsidP="00794E61">
      <w:pPr>
        <w:shd w:val="clear" w:color="auto" w:fill="FFFFFF"/>
        <w:spacing w:after="12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w:t>
      </w:r>
      <w:proofErr w:type="gramStart"/>
      <w:r w:rsidRPr="00C43757">
        <w:rPr>
          <w:rFonts w:ascii="Verdana" w:eastAsia="Calibri" w:hAnsi="Verdana" w:cs="Arial"/>
          <w:lang w:val="es-ES"/>
        </w:rPr>
        <w:t>autoridades públicas</w:t>
      </w:r>
      <w:proofErr w:type="gramEnd"/>
      <w:r w:rsidRPr="00C43757">
        <w:rPr>
          <w:rFonts w:ascii="Verdana" w:eastAsia="Calibri" w:hAnsi="Verdana" w:cs="Arial"/>
          <w:lang w:val="es-ES"/>
        </w:rPr>
        <w:t>”. En cambio, en las vigencias futuras se realiza una autorización que afecta presupuestos futuros que “se formaliza antes de que se aprueben las vigencias en las que se van a ejecutar y la vida jurídica de tales autorizaciones se prolonga a lo largo de varias vigencias”</w:t>
      </w:r>
      <w:r w:rsidRPr="00C43757">
        <w:rPr>
          <w:rStyle w:val="Refdenotaalpie"/>
          <w:rFonts w:ascii="Verdana" w:eastAsia="Calibri" w:hAnsi="Verdana" w:cs="Arial"/>
          <w:lang w:val="es-ES"/>
        </w:rPr>
        <w:footnoteReference w:id="23"/>
      </w:r>
      <w:r w:rsidRPr="00C43757">
        <w:rPr>
          <w:rFonts w:ascii="Verdana" w:eastAsia="Calibri" w:hAnsi="Verdana" w:cs="Arial"/>
          <w:lang w:val="es-ES"/>
        </w:rPr>
        <w:t xml:space="preserve">. </w:t>
      </w:r>
    </w:p>
    <w:p w14:paraId="32C6FE23" w14:textId="77777777" w:rsidR="00794E61" w:rsidRPr="00C43757" w:rsidRDefault="00794E61" w:rsidP="00794E61">
      <w:pPr>
        <w:shd w:val="clear" w:color="auto" w:fill="FFFFFF"/>
        <w:spacing w:after="0" w:line="276" w:lineRule="auto"/>
        <w:ind w:right="51" w:firstLine="709"/>
        <w:jc w:val="both"/>
        <w:rPr>
          <w:rFonts w:ascii="Verdana" w:eastAsia="Calibri" w:hAnsi="Verdana" w:cs="Arial"/>
          <w:lang w:val="es-ES"/>
        </w:rPr>
      </w:pPr>
      <w:r w:rsidRPr="00C43757">
        <w:rPr>
          <w:rFonts w:ascii="Verdana" w:eastAsia="Calibri" w:hAnsi="Verdana" w:cs="Arial"/>
          <w:lang w:val="es-ES"/>
        </w:rPr>
        <w:t xml:space="preserve">Finalmente, es importante hacer referencia a los “pagos de pasivos exigibles – vigencias expiradas” que procede en los casos en los que no se haya constituido la reserva presupuestal o la cuenta por pagar o cuando habiéndose constituido no se realizó el pago respectivo. El artículo 49 de la Ley 2159 de 2021 “Por la cual se decreta el presupuesto de rentas y recursos de capital y ley de apropiaciones para la vigencia fiscal del 1° de enero al 31 de diciembre de 2022” regula esta figura de la siguiente manera: </w:t>
      </w:r>
    </w:p>
    <w:p w14:paraId="171049F4" w14:textId="77777777" w:rsidR="00794E61" w:rsidRPr="00C43757" w:rsidRDefault="00794E61" w:rsidP="00794E61">
      <w:pPr>
        <w:shd w:val="clear" w:color="auto" w:fill="FFFFFF"/>
        <w:spacing w:after="0" w:line="276" w:lineRule="auto"/>
        <w:ind w:right="51" w:firstLine="709"/>
        <w:jc w:val="both"/>
        <w:rPr>
          <w:rFonts w:ascii="Verdana" w:eastAsia="Calibri" w:hAnsi="Verdana" w:cs="Arial"/>
          <w:lang w:val="es-ES"/>
        </w:rPr>
      </w:pPr>
    </w:p>
    <w:p w14:paraId="66F1C2D2" w14:textId="77777777" w:rsidR="00794E61" w:rsidRPr="00C43757" w:rsidRDefault="00794E61" w:rsidP="00794E61">
      <w:pPr>
        <w:spacing w:after="0" w:line="240" w:lineRule="auto"/>
        <w:ind w:left="709" w:right="709"/>
        <w:jc w:val="both"/>
        <w:rPr>
          <w:rFonts w:ascii="Verdana" w:eastAsia="Calibri" w:hAnsi="Verdana" w:cs="Arial"/>
          <w:i/>
          <w:iCs/>
          <w:sz w:val="20"/>
          <w:szCs w:val="20"/>
          <w:lang w:val="es-ES"/>
        </w:rPr>
      </w:pPr>
      <w:r w:rsidRPr="00C43757">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w:t>
      </w:r>
      <w:r w:rsidRPr="00C43757">
        <w:rPr>
          <w:rFonts w:ascii="Verdana" w:eastAsia="Calibri" w:hAnsi="Verdana" w:cs="Arial"/>
          <w:sz w:val="20"/>
          <w:szCs w:val="20"/>
          <w:lang w:val="es-ES"/>
        </w:rPr>
        <w:lastRenderedPageBreak/>
        <w:t xml:space="preserve">pagar correspondiente, se podrá hacer el pago bajo el concepto de </w:t>
      </w:r>
      <w:r w:rsidRPr="00C43757">
        <w:rPr>
          <w:rFonts w:ascii="Verdana" w:eastAsia="Calibri" w:hAnsi="Verdana" w:cs="Arial"/>
          <w:i/>
          <w:iCs/>
          <w:sz w:val="20"/>
          <w:szCs w:val="20"/>
          <w:lang w:val="es-ES"/>
        </w:rPr>
        <w:t xml:space="preserve">"Pago de Pasivos Exigibles - Vigencias Expiradas". </w:t>
      </w:r>
    </w:p>
    <w:p w14:paraId="63CBE06F" w14:textId="77777777" w:rsidR="00794E61" w:rsidRPr="00C43757" w:rsidRDefault="00794E61" w:rsidP="00794E61">
      <w:pPr>
        <w:spacing w:after="0" w:line="240" w:lineRule="auto"/>
        <w:ind w:left="709" w:right="709"/>
        <w:jc w:val="both"/>
        <w:rPr>
          <w:rFonts w:ascii="Verdana" w:eastAsia="Calibri" w:hAnsi="Verdana" w:cs="Arial"/>
          <w:i/>
          <w:iCs/>
          <w:sz w:val="20"/>
          <w:szCs w:val="20"/>
          <w:lang w:val="es-ES"/>
        </w:rPr>
      </w:pPr>
    </w:p>
    <w:p w14:paraId="1F6DDC9D" w14:textId="77777777" w:rsidR="00794E61" w:rsidRPr="00C43757" w:rsidRDefault="00794E61" w:rsidP="00794E61">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54B54827" w14:textId="77777777" w:rsidR="00794E61" w:rsidRPr="00C43757" w:rsidRDefault="00794E61" w:rsidP="00794E61">
      <w:pPr>
        <w:spacing w:after="0" w:line="240" w:lineRule="auto"/>
        <w:ind w:left="709" w:right="709"/>
        <w:jc w:val="both"/>
        <w:rPr>
          <w:rFonts w:ascii="Verdana" w:eastAsia="Calibri" w:hAnsi="Verdana" w:cs="Arial"/>
          <w:sz w:val="20"/>
          <w:szCs w:val="20"/>
          <w:lang w:val="es-ES"/>
        </w:rPr>
      </w:pPr>
    </w:p>
    <w:p w14:paraId="499DE732" w14:textId="77777777" w:rsidR="00794E61" w:rsidRPr="00C43757" w:rsidRDefault="00794E61" w:rsidP="00794E61">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w:t>
      </w:r>
      <w:proofErr w:type="gramStart"/>
      <w:r w:rsidRPr="00C43757">
        <w:rPr>
          <w:rFonts w:ascii="Verdana" w:eastAsia="Calibri" w:hAnsi="Verdana" w:cs="Arial"/>
          <w:sz w:val="20"/>
          <w:szCs w:val="20"/>
          <w:lang w:val="es-ES"/>
        </w:rPr>
        <w:t>disponibilidad presupuestal ni registro presupuestal</w:t>
      </w:r>
      <w:proofErr w:type="gramEnd"/>
      <w:r w:rsidRPr="00C43757">
        <w:rPr>
          <w:rFonts w:ascii="Verdana" w:eastAsia="Calibri" w:hAnsi="Verdana" w:cs="Arial"/>
          <w:sz w:val="20"/>
          <w:szCs w:val="20"/>
          <w:lang w:val="es-ES"/>
        </w:rPr>
        <w:t xml:space="preserve">. </w:t>
      </w:r>
    </w:p>
    <w:p w14:paraId="49BB39A3" w14:textId="77777777" w:rsidR="00794E61" w:rsidRPr="00C43757" w:rsidRDefault="00794E61" w:rsidP="00794E61">
      <w:pPr>
        <w:spacing w:after="0" w:line="240" w:lineRule="auto"/>
        <w:ind w:left="709" w:right="709"/>
        <w:jc w:val="both"/>
        <w:rPr>
          <w:rFonts w:ascii="Verdana" w:eastAsia="Calibri" w:hAnsi="Verdana" w:cs="Arial"/>
          <w:sz w:val="20"/>
          <w:szCs w:val="20"/>
          <w:lang w:val="es-ES"/>
        </w:rPr>
      </w:pPr>
    </w:p>
    <w:p w14:paraId="2E9EFF34" w14:textId="77777777" w:rsidR="00794E61" w:rsidRPr="00C43757" w:rsidRDefault="00794E61" w:rsidP="00794E61">
      <w:pPr>
        <w:spacing w:after="0" w:line="240" w:lineRule="auto"/>
        <w:ind w:left="709" w:right="709"/>
        <w:jc w:val="both"/>
        <w:rPr>
          <w:rFonts w:ascii="Verdana" w:eastAsia="Calibri" w:hAnsi="Verdana" w:cs="Arial"/>
          <w:sz w:val="20"/>
          <w:szCs w:val="20"/>
          <w:lang w:val="es-ES"/>
        </w:rPr>
      </w:pPr>
      <w:r w:rsidRPr="00C43757">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 [Cursiva fuera del texto original].</w:t>
      </w:r>
    </w:p>
    <w:p w14:paraId="24B13154" w14:textId="77777777" w:rsidR="00794E61" w:rsidRPr="00C43757" w:rsidRDefault="00794E61" w:rsidP="00794E61">
      <w:pPr>
        <w:spacing w:after="0" w:line="276" w:lineRule="auto"/>
        <w:ind w:left="709" w:right="709"/>
        <w:jc w:val="both"/>
        <w:rPr>
          <w:rFonts w:ascii="Verdana" w:eastAsia="Calibri" w:hAnsi="Verdana" w:cs="Arial"/>
          <w:lang w:val="es-ES"/>
        </w:rPr>
      </w:pPr>
    </w:p>
    <w:p w14:paraId="3CBE2946" w14:textId="77777777" w:rsidR="00794E61" w:rsidRPr="00C43757" w:rsidRDefault="00794E61" w:rsidP="00794E61">
      <w:pPr>
        <w:shd w:val="clear" w:color="auto" w:fill="FFFFFF"/>
        <w:spacing w:after="120" w:line="276" w:lineRule="auto"/>
        <w:ind w:firstLine="709"/>
        <w:jc w:val="both"/>
        <w:rPr>
          <w:rFonts w:ascii="Verdana" w:eastAsia="Calibri" w:hAnsi="Verdana" w:cs="Arial"/>
          <w:lang w:val="es-ES"/>
        </w:rPr>
      </w:pPr>
      <w:r w:rsidRPr="00C43757">
        <w:rPr>
          <w:rFonts w:ascii="Verdana" w:eastAsia="Calibri" w:hAnsi="Verdana" w:cs="Arial"/>
          <w:lang w:val="es-ES"/>
        </w:rPr>
        <w:t xml:space="preserve">En este sentido, el pago de “pasivos – vigencias expiradas” procederá cuando se cumplan los parámetros antes expuestos para las entidades que se rigen por dicha Ley. En los demás casos, se deberán atender las normas presupuestales particulares que lo regulen, atendiendo a la naturaleza de la entidad pública. </w:t>
      </w:r>
    </w:p>
    <w:p w14:paraId="03B7C470" w14:textId="4BB63B7C" w:rsidR="00EF2F65" w:rsidRPr="00C43757" w:rsidRDefault="00794E61" w:rsidP="00794E61">
      <w:pPr>
        <w:shd w:val="clear" w:color="auto" w:fill="FFFFFF"/>
        <w:spacing w:after="120" w:line="276" w:lineRule="auto"/>
        <w:ind w:firstLine="709"/>
        <w:jc w:val="both"/>
        <w:rPr>
          <w:rFonts w:ascii="Verdana" w:eastAsia="Calibri" w:hAnsi="Verdana" w:cs="Arial"/>
          <w:lang w:val="es-ES"/>
        </w:rPr>
      </w:pPr>
      <w:bookmarkStart w:id="14" w:name="_Hlk192252998"/>
      <w:r w:rsidRPr="00C43757">
        <w:rPr>
          <w:rFonts w:ascii="Verdana" w:eastAsia="Calibri" w:hAnsi="Verdana" w:cs="Arial"/>
          <w:lang w:val="es-ES"/>
        </w:rPr>
        <w:t>En conclusión, las E</w:t>
      </w:r>
      <w:r w:rsidR="00B96B42" w:rsidRPr="00C43757">
        <w:rPr>
          <w:rFonts w:ascii="Verdana" w:eastAsia="Calibri" w:hAnsi="Verdana" w:cs="Arial"/>
          <w:lang w:val="es-ES"/>
        </w:rPr>
        <w:t xml:space="preserve">mpresas de Servicios Públicos Domiciliarios cuentan con régimen de contratación exceptuado del Estatuto General de Contratación de la Administración Pública. </w:t>
      </w:r>
      <w:r w:rsidR="00EF2F65" w:rsidRPr="00C43757">
        <w:rPr>
          <w:rFonts w:ascii="Verdana" w:eastAsia="Calibri" w:hAnsi="Verdana" w:cs="Arial"/>
          <w:lang w:val="es-ES"/>
        </w:rPr>
        <w:t xml:space="preserve">De esta manera, salvo que exista norma especial que estipule lo contrario, podrán celebrar contratos de leasing o renting en ejercicio de la autonomía de la voluntad y </w:t>
      </w:r>
      <w:proofErr w:type="gramStart"/>
      <w:r w:rsidR="00EF2F65" w:rsidRPr="00C43757">
        <w:rPr>
          <w:rFonts w:ascii="Verdana" w:eastAsia="Calibri" w:hAnsi="Verdana" w:cs="Arial"/>
          <w:lang w:val="es-ES"/>
        </w:rPr>
        <w:t>de acuerdo a</w:t>
      </w:r>
      <w:proofErr w:type="gramEnd"/>
      <w:r w:rsidR="00EF2F65" w:rsidRPr="00C43757">
        <w:rPr>
          <w:rFonts w:ascii="Verdana" w:eastAsia="Calibri" w:hAnsi="Verdana" w:cs="Arial"/>
          <w:lang w:val="es-ES"/>
        </w:rPr>
        <w:t xml:space="preserve"> lo estipulado en sus manuales de contratación. Por otra parte, según el tipo de Empresa de la cual se trate y considerando lo establecido en el Estatuto Orgánico del Presupuesto, corresponde a cada Empresas de Servicios Públicos Domiciliarios determinar cuál es su régimen presupuestal y con este, si resulta aplicable el principio de anualidad. Cuando este sea el caso, la entidad podrá hacer uso de figuras excepcionales a dicho principio como es el caso de las vigencias futuras, las reservas presupuestales o las cuentas con pagar cuando se cumplan los supuestos que para estas define la normativa. </w:t>
      </w:r>
    </w:p>
    <w:p w14:paraId="52558B53" w14:textId="3EB431BB" w:rsidR="00794E61" w:rsidRPr="00C43757" w:rsidRDefault="00794E61" w:rsidP="00EF2F65">
      <w:pPr>
        <w:shd w:val="clear" w:color="auto" w:fill="FFFFFF"/>
        <w:spacing w:after="120" w:line="276" w:lineRule="auto"/>
        <w:ind w:firstLine="709"/>
        <w:jc w:val="both"/>
        <w:rPr>
          <w:rFonts w:ascii="Verdana" w:eastAsia="Calibri" w:hAnsi="Verdana" w:cs="Arial"/>
          <w:lang w:val="es-ES"/>
        </w:rPr>
      </w:pPr>
      <w:r w:rsidRPr="00C43757">
        <w:rPr>
          <w:rFonts w:ascii="Verdana" w:eastAsia="Calibri" w:hAnsi="Verdana" w:cs="Arial"/>
          <w:lang w:val="es-ES"/>
        </w:rPr>
        <w:lastRenderedPageBreak/>
        <w:t>De esta manera, en caso de que</w:t>
      </w:r>
      <w:r w:rsidR="00EF2F65" w:rsidRPr="00C43757">
        <w:rPr>
          <w:rFonts w:ascii="Verdana" w:eastAsia="Calibri" w:hAnsi="Verdana" w:cs="Arial"/>
          <w:lang w:val="es-ES"/>
        </w:rPr>
        <w:t xml:space="preserve"> la entidad deba planear sus contrataciones con fundamento en el principio de la </w:t>
      </w:r>
      <w:r w:rsidR="00EF2F65" w:rsidRPr="00C43757">
        <w:rPr>
          <w:rFonts w:ascii="Verdana" w:eastAsia="Calibri" w:hAnsi="Verdana" w:cs="Arial"/>
          <w:i/>
          <w:iCs/>
          <w:lang w:val="es-ES"/>
        </w:rPr>
        <w:t>anualidad del presupuesto</w:t>
      </w:r>
      <w:r w:rsidR="00EF2F65" w:rsidRPr="00C43757">
        <w:rPr>
          <w:rFonts w:ascii="Verdana" w:eastAsia="Calibri" w:hAnsi="Verdana" w:cs="Arial"/>
          <w:lang w:val="es-ES"/>
        </w:rPr>
        <w:t>, sus compromisos presupuestales deberán ser ejecutados dentro de la vigencia fiscal comprendida entre el 1 de enero y el 31 de diciembre. Sin embargo, como excepción a este principio, podrá hacer uso de mecanismos presupuestales que le permitan asumir compromisos que afecten el presupuesto de vigencias posteriores. De esta forma si</w:t>
      </w:r>
      <w:r w:rsidRPr="00C43757">
        <w:rPr>
          <w:rFonts w:ascii="Verdana" w:eastAsia="Calibri" w:hAnsi="Verdana" w:cs="Arial"/>
          <w:lang w:val="es-ES"/>
        </w:rPr>
        <w:t xml:space="preserve"> en la etapa de planeación la entidad evidenci</w:t>
      </w:r>
      <w:r w:rsidR="00EF2F65" w:rsidRPr="00C43757">
        <w:rPr>
          <w:rFonts w:ascii="Verdana" w:eastAsia="Calibri" w:hAnsi="Verdana" w:cs="Arial"/>
          <w:lang w:val="es-ES"/>
        </w:rPr>
        <w:t>a</w:t>
      </w:r>
      <w:r w:rsidRPr="00C43757">
        <w:rPr>
          <w:rFonts w:ascii="Verdana" w:eastAsia="Calibri" w:hAnsi="Verdana" w:cs="Arial"/>
          <w:lang w:val="es-ES"/>
        </w:rPr>
        <w:t xml:space="preserve"> que el contrato a ejecutar excede la vigencia fiscal correspondiente deberá atender las previsiones legales sobre las excepciones al principio de anualidad del gasto</w:t>
      </w:r>
      <w:r w:rsidRPr="00C43757">
        <w:rPr>
          <w:rFonts w:ascii="Verdana" w:eastAsia="Arial" w:hAnsi="Verdana" w:cs="Arial"/>
          <w:bCs/>
          <w:lang w:val="es-ES"/>
        </w:rPr>
        <w:t xml:space="preserve"> y determinar cuál resulta aplicable al caso en concreto</w:t>
      </w:r>
      <w:r w:rsidRPr="00C43757">
        <w:rPr>
          <w:rFonts w:ascii="Verdana" w:eastAsia="Calibri" w:hAnsi="Verdana" w:cs="Arial"/>
          <w:lang w:val="es-ES"/>
        </w:rPr>
        <w:t>. Dichas excepciones deben estar debidamente justificadas, cumplir con los requisitos establecidos por la normativa vigente, y seguir los procedimientos correspondientes para su autorización y ejecución, conforme a lo descrito en este concepto.</w:t>
      </w:r>
      <w:bookmarkEnd w:id="14"/>
    </w:p>
    <w:p w14:paraId="1C4EF056" w14:textId="42411FCE" w:rsidR="00186FB8" w:rsidRPr="00C43757" w:rsidRDefault="00186FB8" w:rsidP="00186FB8">
      <w:pPr>
        <w:widowControl w:val="0"/>
        <w:autoSpaceDE w:val="0"/>
        <w:autoSpaceDN w:val="0"/>
        <w:spacing w:after="0" w:line="276" w:lineRule="auto"/>
        <w:ind w:firstLine="708"/>
        <w:jc w:val="both"/>
        <w:rPr>
          <w:rFonts w:ascii="Verdana" w:hAnsi="Verdana"/>
          <w:lang w:val="es-ES"/>
        </w:rPr>
      </w:pPr>
      <w:r w:rsidRPr="00C43757">
        <w:rPr>
          <w:rFonts w:ascii="Verdana" w:hAnsi="Verdana" w:cs="Arial"/>
          <w:lang w:val="es-ES" w:eastAsia="es-ES"/>
        </w:rPr>
        <w:t>Al margen de la explicación precedente debe advertirse que el análisis requerido para resolver problemas específicos en torno a</w:t>
      </w:r>
      <w:r w:rsidR="007804ED" w:rsidRPr="00C43757">
        <w:rPr>
          <w:rFonts w:ascii="Verdana" w:hAnsi="Verdana" w:cs="Arial"/>
          <w:lang w:val="es-ES" w:eastAsia="es-ES"/>
        </w:rPr>
        <w:t xml:space="preserve">l régimen presupuestal aplicable </w:t>
      </w:r>
      <w:r w:rsidRPr="00C43757">
        <w:rPr>
          <w:rFonts w:ascii="Verdana" w:hAnsi="Verdana" w:cs="Arial"/>
          <w:lang w:val="es-ES"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w:t>
      </w:r>
      <w:r w:rsidR="006522FA">
        <w:rPr>
          <w:rFonts w:ascii="Verdana" w:hAnsi="Verdana" w:cs="Arial"/>
          <w:lang w:val="es-ES" w:eastAsia="es-ES"/>
        </w:rPr>
        <w:t xml:space="preserve"> </w:t>
      </w:r>
      <w:r w:rsidR="001E5493" w:rsidRPr="00C43757">
        <w:rPr>
          <w:rFonts w:ascii="Verdana" w:eastAsia="Calibri" w:hAnsi="Verdana" w:cs="Times New Roman"/>
          <w:lang w:val="es-ES"/>
        </w:rPr>
        <w:t xml:space="preserve">Por lo anterior, previo concepto de sus asesores, la solución de situaciones particulares corresponderá a los interesados de adoptar la decisión y, en caso de conflicto, a las autoridades judiciales, fiscales y disciplinarias. </w:t>
      </w:r>
    </w:p>
    <w:p w14:paraId="6C9B4911" w14:textId="1F83CD83" w:rsidR="00186FB8" w:rsidRPr="00C43757" w:rsidRDefault="00186FB8" w:rsidP="007804ED">
      <w:pPr>
        <w:spacing w:before="120" w:after="0" w:line="276" w:lineRule="auto"/>
        <w:ind w:firstLine="709"/>
        <w:jc w:val="both"/>
        <w:rPr>
          <w:rFonts w:ascii="Verdana" w:hAnsi="Verdana" w:cs="Arial"/>
          <w:lang w:val="es-ES" w:eastAsia="es-ES"/>
        </w:rPr>
      </w:pPr>
      <w:r w:rsidRPr="00C43757">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91437B" w14:textId="77777777" w:rsidR="00794E61" w:rsidRPr="00C43757" w:rsidRDefault="00794E61" w:rsidP="00794E61">
      <w:pPr>
        <w:widowControl w:val="0"/>
        <w:autoSpaceDE w:val="0"/>
        <w:autoSpaceDN w:val="0"/>
        <w:spacing w:after="0" w:line="276" w:lineRule="auto"/>
        <w:jc w:val="both"/>
        <w:rPr>
          <w:rFonts w:ascii="Verdana" w:hAnsi="Verdana"/>
          <w:shd w:val="clear" w:color="auto" w:fill="FFFFFF"/>
          <w:lang w:val="es-ES"/>
        </w:rPr>
      </w:pPr>
    </w:p>
    <w:p w14:paraId="7DD690D5" w14:textId="77777777" w:rsidR="00794E61" w:rsidRPr="00C43757" w:rsidRDefault="00794E61" w:rsidP="00794E6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43757">
        <w:rPr>
          <w:rFonts w:ascii="Verdana" w:eastAsia="Century Gothic" w:hAnsi="Verdana" w:cs="Century Gothic"/>
          <w:b/>
          <w:bCs/>
          <w:color w:val="000000" w:themeColor="text1"/>
        </w:rPr>
        <w:t>Referencias normativas, jurisprudenciales y otras fuentes:</w:t>
      </w:r>
    </w:p>
    <w:p w14:paraId="2B7F42B3" w14:textId="77777777" w:rsidR="00794E61" w:rsidRPr="00C43757" w:rsidRDefault="00794E61" w:rsidP="00794E61">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4E61" w:rsidRPr="00C43757" w14:paraId="05BA95C6" w14:textId="77777777">
        <w:trPr>
          <w:trHeight w:val="870"/>
        </w:trPr>
        <w:tc>
          <w:tcPr>
            <w:tcW w:w="8647" w:type="dxa"/>
          </w:tcPr>
          <w:p w14:paraId="4C2EA8AA" w14:textId="77777777" w:rsidR="00794E61" w:rsidRPr="00C43757" w:rsidRDefault="00794E61" w:rsidP="00027D1B">
            <w:pPr>
              <w:pStyle w:val="Prrafodelista"/>
              <w:numPr>
                <w:ilvl w:val="0"/>
                <w:numId w:val="17"/>
              </w:numPr>
              <w:spacing w:before="120" w:after="120" w:line="276" w:lineRule="auto"/>
              <w:contextualSpacing w:val="0"/>
              <w:jc w:val="both"/>
              <w:rPr>
                <w:rFonts w:ascii="Verdana" w:hAnsi="Verdana" w:cs="Arial"/>
              </w:rPr>
            </w:pPr>
            <w:r w:rsidRPr="00C43757">
              <w:rPr>
                <w:rFonts w:ascii="Verdana" w:hAnsi="Verdana" w:cs="Arial"/>
              </w:rPr>
              <w:lastRenderedPageBreak/>
              <w:t>Ley 80 de 1993, artículos 30 y 32.</w:t>
            </w:r>
          </w:p>
          <w:p w14:paraId="778EE5FF" w14:textId="0D3E7146" w:rsidR="00027D1B" w:rsidRPr="00C43757" w:rsidRDefault="00027D1B" w:rsidP="00027D1B">
            <w:pPr>
              <w:pStyle w:val="Prrafodelista"/>
              <w:numPr>
                <w:ilvl w:val="0"/>
                <w:numId w:val="17"/>
              </w:numPr>
              <w:spacing w:line="276" w:lineRule="auto"/>
              <w:contextualSpacing w:val="0"/>
              <w:jc w:val="both"/>
              <w:rPr>
                <w:rFonts w:ascii="Verdana" w:hAnsi="Verdana" w:cs="Arial"/>
              </w:rPr>
            </w:pPr>
            <w:r w:rsidRPr="00C43757">
              <w:rPr>
                <w:rFonts w:ascii="Verdana" w:hAnsi="Verdana"/>
              </w:rPr>
              <w:t xml:space="preserve">Ley 142 de 1994: Artículo 31 y 32. </w:t>
            </w:r>
          </w:p>
          <w:p w14:paraId="35096138" w14:textId="77777777" w:rsidR="00794E61" w:rsidRPr="00C43757" w:rsidRDefault="00794E61" w:rsidP="00027D1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43757">
              <w:rPr>
                <w:rFonts w:ascii="Verdana" w:hAnsi="Verdana" w:cs="Arial"/>
              </w:rPr>
              <w:t>Ley 813 de 2003: artículos 8, 10, 11 y 12.</w:t>
            </w:r>
          </w:p>
          <w:p w14:paraId="43E3648E" w14:textId="77777777" w:rsidR="00794E61" w:rsidRPr="00C43757" w:rsidRDefault="00794E61" w:rsidP="00027D1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43757">
              <w:rPr>
                <w:rFonts w:ascii="Verdana" w:hAnsi="Verdana" w:cs="Arial"/>
              </w:rPr>
              <w:t>Ley 1483 de 2011.</w:t>
            </w:r>
          </w:p>
          <w:p w14:paraId="059572CE" w14:textId="77777777" w:rsidR="00794E61" w:rsidRPr="00C43757" w:rsidRDefault="00794E61" w:rsidP="00027D1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43757">
              <w:rPr>
                <w:rFonts w:ascii="Verdana" w:hAnsi="Verdana" w:cs="Arial"/>
              </w:rPr>
              <w:t>Decreto 111 de 1996.</w:t>
            </w:r>
          </w:p>
          <w:p w14:paraId="51620CCC" w14:textId="77777777" w:rsidR="00794E61" w:rsidRPr="00C43757" w:rsidRDefault="00794E61" w:rsidP="00027D1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43757">
              <w:rPr>
                <w:rFonts w:ascii="Verdana" w:hAnsi="Verdana" w:cs="Arial"/>
              </w:rPr>
              <w:t xml:space="preserve">Decreto 1068 de 2015: artículo 2.8.3.4. </w:t>
            </w:r>
          </w:p>
          <w:p w14:paraId="273DB7A2" w14:textId="1BB3F63A" w:rsidR="00794E61" w:rsidRPr="00C43757" w:rsidRDefault="00794E61" w:rsidP="00027D1B">
            <w:pPr>
              <w:pStyle w:val="Prrafodelista"/>
              <w:widowControl w:val="0"/>
              <w:numPr>
                <w:ilvl w:val="0"/>
                <w:numId w:val="17"/>
              </w:numPr>
              <w:autoSpaceDE w:val="0"/>
              <w:autoSpaceDN w:val="0"/>
              <w:spacing w:before="120" w:after="120" w:line="276" w:lineRule="auto"/>
              <w:contextualSpacing w:val="0"/>
              <w:jc w:val="both"/>
            </w:pPr>
            <w:r w:rsidRPr="00C43757">
              <w:rPr>
                <w:rFonts w:ascii="Verdana" w:hAnsi="Verdana" w:cs="Arial"/>
              </w:rPr>
              <w:t xml:space="preserve">Jurisprudencia del Consejo de Estado. Disponible en: </w:t>
            </w:r>
            <w:hyperlink r:id="rId17" w:history="1">
              <w:r w:rsidRPr="00C43757">
                <w:rPr>
                  <w:rFonts w:ascii="Verdana" w:hAnsi="Verdana" w:cs="Arial"/>
                </w:rPr>
                <w:t>https://relatoria.colombiacompra.gov.co/providencias-consejo-de-estado/</w:t>
              </w:r>
            </w:hyperlink>
          </w:p>
        </w:tc>
      </w:tr>
    </w:tbl>
    <w:p w14:paraId="62109130" w14:textId="77777777" w:rsidR="00794E61" w:rsidRPr="00C43757" w:rsidRDefault="00794E61" w:rsidP="00794E61">
      <w:pPr>
        <w:widowControl w:val="0"/>
        <w:autoSpaceDE w:val="0"/>
        <w:autoSpaceDN w:val="0"/>
        <w:spacing w:after="0" w:line="276" w:lineRule="auto"/>
        <w:jc w:val="both"/>
        <w:rPr>
          <w:rFonts w:ascii="Verdana" w:hAnsi="Verdana" w:cs="Arial"/>
          <w:color w:val="000000" w:themeColor="text1"/>
          <w:lang w:val="es-ES"/>
        </w:rPr>
      </w:pPr>
    </w:p>
    <w:p w14:paraId="309ECA7C" w14:textId="77777777" w:rsidR="00794E61" w:rsidRPr="00C43757" w:rsidRDefault="00794E61" w:rsidP="00794E6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43757">
        <w:rPr>
          <w:rFonts w:ascii="Verdana" w:eastAsia="Century Gothic" w:hAnsi="Verdana" w:cs="Century Gothic"/>
          <w:b/>
          <w:bCs/>
          <w:color w:val="000000" w:themeColor="text1"/>
        </w:rPr>
        <w:t>Doctrina de la Agencia Nacional de Contratación Pública:</w:t>
      </w:r>
    </w:p>
    <w:p w14:paraId="56CACE0A" w14:textId="77777777" w:rsidR="00794E61" w:rsidRPr="00C43757" w:rsidRDefault="00794E61" w:rsidP="00794E61">
      <w:pPr>
        <w:widowControl w:val="0"/>
        <w:autoSpaceDE w:val="0"/>
        <w:autoSpaceDN w:val="0"/>
        <w:spacing w:after="0" w:line="276" w:lineRule="auto"/>
        <w:jc w:val="both"/>
        <w:rPr>
          <w:rFonts w:ascii="Verdana" w:hAnsi="Verdana" w:cs="Arial"/>
          <w:color w:val="000000" w:themeColor="text1"/>
          <w:lang w:val="es-ES"/>
        </w:rPr>
      </w:pPr>
    </w:p>
    <w:p w14:paraId="3D4F2B0D" w14:textId="52BAC0B5" w:rsidR="00794E61" w:rsidRPr="00C43757" w:rsidRDefault="00794E61" w:rsidP="00794E61">
      <w:pPr>
        <w:spacing w:line="276" w:lineRule="auto"/>
        <w:jc w:val="both"/>
        <w:rPr>
          <w:rStyle w:val="normaltextrun"/>
          <w:rFonts w:ascii="Verdana" w:eastAsia="Calibri" w:hAnsi="Verdana" w:cs="Arial"/>
          <w:b/>
          <w:bCs/>
          <w:lang w:val="es-ES" w:eastAsia="es-ES"/>
        </w:rPr>
      </w:pPr>
      <w:r w:rsidRPr="00C43757">
        <w:rPr>
          <w:rStyle w:val="normaltextrun"/>
          <w:rFonts w:ascii="Verdana" w:hAnsi="Verdana" w:cs="Arial"/>
          <w:color w:val="000000" w:themeColor="text1"/>
          <w:shd w:val="clear" w:color="auto" w:fill="FFFFFF"/>
          <w:lang w:val="es-ES"/>
        </w:rPr>
        <w:t xml:space="preserve">La Agencia Nacional de Contratación Pública – Colombia Compra Eficiente </w:t>
      </w:r>
      <w:r w:rsidR="00EF2F65" w:rsidRPr="00C43757">
        <w:rPr>
          <w:rStyle w:val="normaltextrun"/>
          <w:rFonts w:ascii="Verdana" w:hAnsi="Verdana" w:cs="Arial"/>
          <w:color w:val="000000" w:themeColor="text1"/>
          <w:shd w:val="clear" w:color="auto" w:fill="FFFFFF"/>
          <w:lang w:val="es-ES"/>
        </w:rPr>
        <w:t xml:space="preserve">se </w:t>
      </w:r>
      <w:r w:rsidRPr="00C43757">
        <w:rPr>
          <w:rStyle w:val="normaltextrun"/>
          <w:rFonts w:ascii="Verdana" w:hAnsi="Verdana" w:cs="Arial"/>
          <w:color w:val="000000" w:themeColor="text1"/>
          <w:shd w:val="clear" w:color="auto" w:fill="FFFFFF"/>
          <w:lang w:val="es-ES"/>
        </w:rPr>
        <w:t xml:space="preserve">ha </w:t>
      </w:r>
      <w:r w:rsidR="00EF2F65" w:rsidRPr="00C43757">
        <w:rPr>
          <w:rStyle w:val="normaltextrun"/>
          <w:rFonts w:ascii="Verdana" w:hAnsi="Verdana" w:cs="Arial"/>
          <w:shd w:val="clear" w:color="auto" w:fill="FFFFFF"/>
          <w:lang w:val="es-ES"/>
        </w:rPr>
        <w:t>pronunciado s</w:t>
      </w:r>
      <w:r w:rsidRPr="00C43757">
        <w:rPr>
          <w:rStyle w:val="normaltextrun"/>
          <w:rFonts w:ascii="Verdana" w:hAnsi="Verdana" w:cs="Arial"/>
          <w:shd w:val="clear" w:color="auto" w:fill="FFFFFF"/>
          <w:lang w:val="es-ES"/>
        </w:rPr>
        <w:t xml:space="preserve">obre el principio de anualidad en los conceptos </w:t>
      </w:r>
      <w:r w:rsidRPr="00C43757">
        <w:rPr>
          <w:rFonts w:ascii="Verdana" w:eastAsia="Calibri" w:hAnsi="Verdana" w:cs="Arial"/>
          <w:lang w:val="es-ES" w:eastAsia="es-ES"/>
        </w:rPr>
        <w:t xml:space="preserve">C-744 del 4 de febrero de 2022, C-850 del </w:t>
      </w:r>
      <w:r w:rsidRPr="00C43757">
        <w:rPr>
          <w:rFonts w:ascii="Verdana" w:eastAsia="Geomanist Light" w:hAnsi="Verdana" w:cs="Arial"/>
          <w:lang w:val="es-ES"/>
        </w:rPr>
        <w:t xml:space="preserve">5 de diciembre de 2024, </w:t>
      </w:r>
      <w:r w:rsidRPr="00C43757">
        <w:rPr>
          <w:rFonts w:ascii="Verdana" w:eastAsia="Calibri" w:hAnsi="Verdana" w:cs="Arial"/>
          <w:lang w:val="es-ES" w:eastAsia="es-ES"/>
        </w:rPr>
        <w:t>C-948 del 3 de enero de 2024</w:t>
      </w:r>
      <w:r w:rsidRPr="00C43757">
        <w:rPr>
          <w:rFonts w:ascii="Verdana" w:eastAsia="Geomanist Light" w:hAnsi="Verdana" w:cs="Arial"/>
          <w:lang w:val="es-ES"/>
        </w:rPr>
        <w:t xml:space="preserve"> y </w:t>
      </w:r>
      <w:r w:rsidRPr="00C43757">
        <w:rPr>
          <w:rFonts w:ascii="Verdana" w:eastAsia="Calibri" w:hAnsi="Verdana" w:cs="Arial"/>
          <w:lang w:val="es-ES" w:eastAsia="es-ES"/>
        </w:rPr>
        <w:t>C-082 del 7 de marzo de 2025</w:t>
      </w:r>
      <w:r w:rsidR="00EF2F65" w:rsidRPr="00C43757">
        <w:rPr>
          <w:rFonts w:ascii="Verdana" w:eastAsia="Calibri" w:hAnsi="Verdana" w:cs="Arial"/>
          <w:lang w:val="es-ES" w:eastAsia="es-ES"/>
        </w:rPr>
        <w:t>, entre otros</w:t>
      </w:r>
      <w:r w:rsidRPr="00C43757">
        <w:rPr>
          <w:rStyle w:val="normaltextrun"/>
          <w:rFonts w:ascii="Verdana" w:hAnsi="Verdana" w:cs="Arial"/>
          <w:shd w:val="clear" w:color="auto" w:fill="FFFFFF"/>
          <w:lang w:val="es-ES"/>
        </w:rPr>
        <w:t>.</w:t>
      </w:r>
      <w:r w:rsidRPr="00C43757">
        <w:rPr>
          <w:rFonts w:ascii="Verdana" w:hAnsi="Verdana" w:cs="Arial"/>
          <w:color w:val="000000" w:themeColor="text1"/>
          <w:shd w:val="clear" w:color="auto" w:fill="FFFFFF"/>
          <w:lang w:val="es-ES"/>
        </w:rPr>
        <w:t xml:space="preserve"> </w:t>
      </w:r>
      <w:r w:rsidR="007E7517" w:rsidRPr="00C43757">
        <w:rPr>
          <w:rFonts w:ascii="Verdana" w:hAnsi="Verdana" w:cs="Arial"/>
          <w:shd w:val="clear" w:color="auto" w:fill="FFFFFF"/>
          <w:lang w:val="es-ES"/>
        </w:rPr>
        <w:t xml:space="preserve">Sobre las empresas de servicios públicos domiciliarios se refirió en los conceptos con radicado C-792 del 28 de noviembre de 2024, C-429 del 13 de mayo de 2025, C-477 del 20 de mayo de 2025, C-1004 del 29 de agosto de 2025, C-1012 del 4 de septiembre de 2025, C-1368 del 5 de noviembre de 2025, C-1519 del 19 de noviembre de 2015, C-1605 del 15 de diciembre de 2025 y C-1606 del 15 de diciembre de 2025. </w:t>
      </w:r>
      <w:r w:rsidRPr="00C43757">
        <w:rPr>
          <w:rFonts w:ascii="Verdana" w:hAnsi="Verdana" w:cs="Arial"/>
          <w:color w:val="000000" w:themeColor="text1"/>
          <w:shd w:val="clear" w:color="auto" w:fill="FFFFFF"/>
          <w:lang w:val="es-ES"/>
        </w:rPr>
        <w:t xml:space="preserve">Estos </w:t>
      </w:r>
      <w:r w:rsidRPr="00C43757">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8" w:history="1">
        <w:r w:rsidRPr="00C43757">
          <w:rPr>
            <w:rStyle w:val="Hipervnculo"/>
            <w:rFonts w:ascii="Verdana" w:hAnsi="Verdana" w:cs="Arial"/>
            <w:shd w:val="clear" w:color="auto" w:fill="FFFFFF"/>
            <w:lang w:val="es-ES"/>
          </w:rPr>
          <w:t>https://relatoria.colombiacompra.gov.co/busqueda/conceptos</w:t>
        </w:r>
      </w:hyperlink>
      <w:r w:rsidRPr="00C43757">
        <w:rPr>
          <w:rStyle w:val="Hipervnculo"/>
          <w:rFonts w:ascii="Verdana" w:hAnsi="Verdana"/>
          <w:lang w:val="es-ES"/>
        </w:rPr>
        <w:t>.</w:t>
      </w:r>
      <w:r w:rsidRPr="00C43757">
        <w:rPr>
          <w:rStyle w:val="normaltextrun"/>
          <w:rFonts w:ascii="Verdana" w:hAnsi="Verdana" w:cs="Arial"/>
          <w:color w:val="000000" w:themeColor="text1"/>
          <w:shd w:val="clear" w:color="auto" w:fill="FFFFFF"/>
          <w:lang w:val="es-ES"/>
        </w:rPr>
        <w:t xml:space="preserve">  </w:t>
      </w:r>
    </w:p>
    <w:p w14:paraId="21F88EDF" w14:textId="77777777" w:rsidR="00794E61" w:rsidRPr="00C43757" w:rsidRDefault="00794E61" w:rsidP="00794E61">
      <w:pPr>
        <w:spacing w:after="0" w:line="276" w:lineRule="auto"/>
        <w:jc w:val="both"/>
        <w:rPr>
          <w:rFonts w:ascii="Verdana" w:hAnsi="Verdana"/>
          <w:lang w:val="es-ES"/>
        </w:rPr>
      </w:pPr>
      <w:r w:rsidRPr="00C43757">
        <w:rPr>
          <w:rFonts w:ascii="Verdana" w:hAnsi="Verdana"/>
          <w:lang w:val="es-ES"/>
        </w:rPr>
        <w:t xml:space="preserve">Por último, lo invitamos a seguirnos en las redes sociales en las cuales se difunde información institucional: </w:t>
      </w:r>
    </w:p>
    <w:p w14:paraId="578DC173" w14:textId="77777777" w:rsidR="00794E61" w:rsidRPr="00C43757" w:rsidRDefault="00794E61" w:rsidP="00794E61">
      <w:pPr>
        <w:spacing w:after="0" w:line="276" w:lineRule="auto"/>
        <w:jc w:val="both"/>
        <w:rPr>
          <w:rFonts w:ascii="Verdana" w:hAnsi="Verdana"/>
          <w:lang w:val="es-ES"/>
        </w:rPr>
      </w:pPr>
    </w:p>
    <w:p w14:paraId="74433AB5" w14:textId="77777777" w:rsidR="00794E61" w:rsidRPr="00C43757" w:rsidRDefault="00794E61" w:rsidP="00794E61">
      <w:pPr>
        <w:spacing w:after="0" w:line="276" w:lineRule="auto"/>
        <w:jc w:val="both"/>
        <w:rPr>
          <w:rFonts w:ascii="Verdana" w:hAnsi="Verdana"/>
          <w:lang w:val="es-ES"/>
        </w:rPr>
      </w:pPr>
      <w:r w:rsidRPr="00C43757">
        <w:rPr>
          <w:rFonts w:ascii="Verdana" w:hAnsi="Verdana"/>
          <w:lang w:val="es-ES"/>
        </w:rPr>
        <w:t xml:space="preserve">Twitter: </w:t>
      </w:r>
      <w:r w:rsidRPr="00C43757">
        <w:rPr>
          <w:rStyle w:val="Hipervnculo"/>
          <w:rFonts w:ascii="Verdana" w:hAnsi="Verdana" w:cs="Arial"/>
          <w:shd w:val="clear" w:color="auto" w:fill="FFFFFF"/>
          <w:lang w:val="es-ES"/>
        </w:rPr>
        <w:t>@colombiacompra</w:t>
      </w:r>
      <w:r w:rsidRPr="00C43757">
        <w:rPr>
          <w:rFonts w:ascii="Verdana" w:hAnsi="Verdana"/>
          <w:color w:val="4472C4" w:themeColor="accent1"/>
          <w:lang w:val="es-ES"/>
        </w:rPr>
        <w:t xml:space="preserve"> </w:t>
      </w:r>
    </w:p>
    <w:p w14:paraId="52301B1A" w14:textId="77777777" w:rsidR="00794E61" w:rsidRPr="00C43757" w:rsidRDefault="00794E61" w:rsidP="00794E61">
      <w:pPr>
        <w:spacing w:after="0" w:line="276" w:lineRule="auto"/>
        <w:jc w:val="both"/>
        <w:rPr>
          <w:rFonts w:ascii="Verdana" w:hAnsi="Verdana"/>
          <w:lang w:val="es-ES"/>
        </w:rPr>
      </w:pPr>
      <w:r w:rsidRPr="00C43757">
        <w:rPr>
          <w:rFonts w:ascii="Verdana" w:hAnsi="Verdana"/>
          <w:lang w:val="es-ES"/>
        </w:rPr>
        <w:t xml:space="preserve">Facebook: </w:t>
      </w:r>
      <w:proofErr w:type="spellStart"/>
      <w:r w:rsidRPr="00C43757">
        <w:rPr>
          <w:rStyle w:val="Hipervnculo"/>
          <w:rFonts w:ascii="Verdana" w:hAnsi="Verdana" w:cs="Arial"/>
          <w:shd w:val="clear" w:color="auto" w:fill="FFFFFF"/>
          <w:lang w:val="es-ES"/>
        </w:rPr>
        <w:t>ColombiaCompraEficiente</w:t>
      </w:r>
      <w:proofErr w:type="spellEnd"/>
    </w:p>
    <w:p w14:paraId="1A8C9D46" w14:textId="77777777" w:rsidR="00794E61" w:rsidRPr="00C43757" w:rsidRDefault="00794E61" w:rsidP="00794E61">
      <w:pPr>
        <w:spacing w:after="0" w:line="276" w:lineRule="auto"/>
        <w:jc w:val="both"/>
        <w:rPr>
          <w:rFonts w:ascii="Verdana" w:hAnsi="Verdana"/>
          <w:lang w:val="es-ES"/>
        </w:rPr>
      </w:pPr>
      <w:r w:rsidRPr="00C43757">
        <w:rPr>
          <w:rFonts w:ascii="Verdana" w:hAnsi="Verdana"/>
          <w:lang w:val="es-ES"/>
        </w:rPr>
        <w:t xml:space="preserve">LinkedIn: </w:t>
      </w:r>
      <w:r w:rsidRPr="00C43757">
        <w:rPr>
          <w:rStyle w:val="Hipervnculo"/>
          <w:rFonts w:ascii="Verdana" w:hAnsi="Verdana" w:cs="Arial"/>
          <w:shd w:val="clear" w:color="auto" w:fill="FFFFFF"/>
          <w:lang w:val="es-ES"/>
        </w:rPr>
        <w:t xml:space="preserve">Agencia Nacional de Contratación Pública - Colombia Compra Eficiente </w:t>
      </w:r>
      <w:r w:rsidRPr="00C43757">
        <w:rPr>
          <w:rFonts w:ascii="Verdana" w:hAnsi="Verdana"/>
          <w:lang w:val="es-ES"/>
        </w:rPr>
        <w:t xml:space="preserve">Instagram: </w:t>
      </w:r>
      <w:r w:rsidRPr="00C43757">
        <w:rPr>
          <w:rStyle w:val="Hipervnculo"/>
          <w:rFonts w:ascii="Verdana" w:hAnsi="Verdana" w:cs="Arial"/>
          <w:shd w:val="clear" w:color="auto" w:fill="FFFFFF"/>
          <w:lang w:val="es-ES"/>
        </w:rPr>
        <w:t>@colombiacompraeficiente_cce</w:t>
      </w:r>
    </w:p>
    <w:p w14:paraId="1F7A3E54" w14:textId="77777777" w:rsidR="00794E61" w:rsidRPr="00C43757" w:rsidRDefault="00794E61" w:rsidP="00794E61">
      <w:pPr>
        <w:widowControl w:val="0"/>
        <w:autoSpaceDE w:val="0"/>
        <w:autoSpaceDN w:val="0"/>
        <w:spacing w:after="0" w:line="276" w:lineRule="auto"/>
        <w:jc w:val="both"/>
        <w:rPr>
          <w:rFonts w:ascii="Verdana" w:hAnsi="Verdana" w:cs="Arial"/>
          <w:color w:val="000000" w:themeColor="text1"/>
          <w:lang w:val="es-ES"/>
        </w:rPr>
      </w:pPr>
    </w:p>
    <w:p w14:paraId="2FB5E353" w14:textId="77777777" w:rsidR="00794E61" w:rsidRPr="00C43757" w:rsidRDefault="00794E61" w:rsidP="00794E61">
      <w:pPr>
        <w:widowControl w:val="0"/>
        <w:autoSpaceDE w:val="0"/>
        <w:autoSpaceDN w:val="0"/>
        <w:spacing w:after="0" w:line="276" w:lineRule="auto"/>
        <w:jc w:val="both"/>
        <w:rPr>
          <w:rFonts w:ascii="Verdana" w:hAnsi="Verdana" w:cs="Arial"/>
          <w:color w:val="000000" w:themeColor="text1"/>
          <w:lang w:val="es-ES"/>
        </w:rPr>
      </w:pPr>
      <w:r w:rsidRPr="00C43757">
        <w:rPr>
          <w:rFonts w:ascii="Verdana" w:hAnsi="Verdana" w:cs="Arial"/>
          <w:color w:val="000000" w:themeColor="text1"/>
          <w:lang w:val="es-ES"/>
        </w:rPr>
        <w:t xml:space="preserve">Este concepto tiene el alcance previsto en el artículo 28 del Código de </w:t>
      </w:r>
      <w:r w:rsidRPr="00C43757">
        <w:rPr>
          <w:rFonts w:ascii="Verdana" w:hAnsi="Verdana" w:cs="Arial"/>
          <w:color w:val="000000" w:themeColor="text1"/>
          <w:lang w:val="es-ES"/>
        </w:rPr>
        <w:lastRenderedPageBreak/>
        <w:t>Procedimiento Administrativo y de lo Contencioso Administrativo y las expresiones aquí utilizadas con mayúscula inicial deben ser entendidas con el significado que les otorga el artículo 2.2.1.1.1.3.1. del Decreto 1082 de 2015.</w:t>
      </w:r>
    </w:p>
    <w:p w14:paraId="6FDEB394" w14:textId="77777777" w:rsidR="00794E61" w:rsidRPr="00C43757" w:rsidRDefault="00794E61" w:rsidP="00794E61">
      <w:pPr>
        <w:widowControl w:val="0"/>
        <w:autoSpaceDE w:val="0"/>
        <w:autoSpaceDN w:val="0"/>
        <w:spacing w:after="0" w:line="276" w:lineRule="auto"/>
        <w:jc w:val="both"/>
        <w:rPr>
          <w:rFonts w:ascii="Verdana" w:hAnsi="Verdana" w:cs="Arial"/>
          <w:color w:val="000000" w:themeColor="text1"/>
          <w:lang w:val="es-ES"/>
        </w:rPr>
      </w:pPr>
    </w:p>
    <w:p w14:paraId="4D9C1918" w14:textId="77777777" w:rsidR="00794E61" w:rsidRPr="00C43757" w:rsidRDefault="00794E61" w:rsidP="00794E61">
      <w:pPr>
        <w:spacing w:after="0" w:line="276" w:lineRule="auto"/>
        <w:rPr>
          <w:rFonts w:ascii="Verdana" w:hAnsi="Verdana" w:cs="Arial"/>
          <w:color w:val="000000" w:themeColor="text1"/>
          <w:lang w:val="es-ES" w:eastAsia="es-CO"/>
        </w:rPr>
      </w:pPr>
      <w:r w:rsidRPr="00C43757">
        <w:rPr>
          <w:rFonts w:ascii="Verdana" w:eastAsia="Times New Roman" w:hAnsi="Verdana" w:cs="Arial"/>
          <w:color w:val="000000" w:themeColor="text1"/>
          <w:lang w:val="es-ES" w:eastAsia="es-CO"/>
        </w:rPr>
        <w:t>Atentamente,</w:t>
      </w:r>
      <w:r w:rsidRPr="00C43757">
        <w:rPr>
          <w:rFonts w:ascii="Verdana" w:hAnsi="Verdana" w:cs="Arial"/>
          <w:color w:val="000000" w:themeColor="text1"/>
          <w:lang w:val="es-ES" w:eastAsia="es-CO"/>
        </w:rPr>
        <w:t xml:space="preserve"> </w:t>
      </w:r>
    </w:p>
    <w:p w14:paraId="787B8FF2" w14:textId="41C73B5C" w:rsidR="00794E61" w:rsidRPr="00C43757" w:rsidRDefault="008774DB" w:rsidP="00794E61">
      <w:pPr>
        <w:spacing w:line="276" w:lineRule="auto"/>
        <w:jc w:val="center"/>
        <w:rPr>
          <w:rFonts w:ascii="Verdana" w:hAnsi="Verdana" w:cs="Arial"/>
          <w:color w:val="000000" w:themeColor="text1"/>
          <w:lang w:val="es-ES" w:eastAsia="es-CO"/>
        </w:rPr>
      </w:pPr>
      <w:r>
        <w:rPr>
          <w:noProof/>
        </w:rPr>
        <w:drawing>
          <wp:inline distT="0" distB="0" distL="0" distR="0" wp14:anchorId="133D0AC5" wp14:editId="27D2F2F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4E61" w:rsidRPr="00C43757" w14:paraId="1503908E" w14:textId="77777777">
        <w:trPr>
          <w:trHeight w:val="315"/>
        </w:trPr>
        <w:tc>
          <w:tcPr>
            <w:tcW w:w="893" w:type="dxa"/>
            <w:vAlign w:val="center"/>
            <w:hideMark/>
          </w:tcPr>
          <w:p w14:paraId="374E3C23" w14:textId="77777777" w:rsidR="00794E61" w:rsidRPr="00C43757" w:rsidRDefault="00794E61">
            <w:pPr>
              <w:contextualSpacing/>
              <w:rPr>
                <w:rFonts w:ascii="Verdana" w:hAnsi="Verdana" w:cs="Arial"/>
                <w:sz w:val="16"/>
                <w:szCs w:val="16"/>
                <w:lang w:val="es-ES" w:eastAsia="es-ES"/>
              </w:rPr>
            </w:pPr>
            <w:r w:rsidRPr="00C4375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65E30E" w14:textId="77777777" w:rsidR="00794E61" w:rsidRPr="00C43757" w:rsidRDefault="00794E61">
            <w:pPr>
              <w:contextualSpacing/>
              <w:rPr>
                <w:rFonts w:ascii="Verdana" w:eastAsia="Arial" w:hAnsi="Verdana" w:cs="Arial"/>
                <w:color w:val="000000" w:themeColor="text1"/>
                <w:sz w:val="16"/>
                <w:szCs w:val="16"/>
                <w:lang w:val="es-ES"/>
              </w:rPr>
            </w:pPr>
            <w:r w:rsidRPr="00C43757">
              <w:rPr>
                <w:rFonts w:ascii="Verdana" w:eastAsia="Arial" w:hAnsi="Verdana" w:cs="Arial"/>
                <w:color w:val="000000" w:themeColor="text1"/>
                <w:sz w:val="16"/>
                <w:szCs w:val="16"/>
                <w:lang w:val="es-ES"/>
              </w:rPr>
              <w:t>Anamaría Bonilla Prieto</w:t>
            </w:r>
          </w:p>
          <w:p w14:paraId="12C46FD9" w14:textId="77777777" w:rsidR="00794E61" w:rsidRPr="00C43757" w:rsidRDefault="00794E61">
            <w:pPr>
              <w:contextualSpacing/>
              <w:rPr>
                <w:rFonts w:ascii="Verdana" w:eastAsia="Arial" w:hAnsi="Verdana" w:cs="Arial"/>
                <w:sz w:val="16"/>
                <w:szCs w:val="16"/>
                <w:lang w:val="es-ES"/>
              </w:rPr>
            </w:pPr>
            <w:r w:rsidRPr="00C43757">
              <w:rPr>
                <w:rStyle w:val="normaltextrun"/>
                <w:rFonts w:ascii="Verdana" w:eastAsia="Arial" w:hAnsi="Verdana" w:cs="Arial"/>
                <w:color w:val="000000" w:themeColor="text1"/>
                <w:sz w:val="16"/>
                <w:szCs w:val="16"/>
                <w:lang w:val="es-ES"/>
              </w:rPr>
              <w:t xml:space="preserve">Contratista de la Subdirección </w:t>
            </w:r>
            <w:r w:rsidRPr="00C43757">
              <w:rPr>
                <w:rStyle w:val="normaltextrun"/>
                <w:rFonts w:ascii="Verdana" w:eastAsia="Arial" w:hAnsi="Verdana" w:cs="Arial"/>
                <w:sz w:val="16"/>
                <w:szCs w:val="16"/>
                <w:lang w:val="es-ES"/>
              </w:rPr>
              <w:t>de Gestión Contractual</w:t>
            </w:r>
          </w:p>
        </w:tc>
      </w:tr>
      <w:tr w:rsidR="00794E61" w:rsidRPr="00C43757" w14:paraId="7EA0B705" w14:textId="77777777">
        <w:trPr>
          <w:trHeight w:val="330"/>
        </w:trPr>
        <w:tc>
          <w:tcPr>
            <w:tcW w:w="893" w:type="dxa"/>
            <w:vAlign w:val="center"/>
            <w:hideMark/>
          </w:tcPr>
          <w:p w14:paraId="44CD5E51" w14:textId="77777777" w:rsidR="00794E61" w:rsidRPr="00C43757" w:rsidRDefault="00794E61">
            <w:pPr>
              <w:contextualSpacing/>
              <w:rPr>
                <w:rFonts w:ascii="Verdana" w:hAnsi="Verdana" w:cs="Arial"/>
                <w:sz w:val="16"/>
                <w:szCs w:val="16"/>
                <w:lang w:val="es-ES" w:eastAsia="es-ES"/>
              </w:rPr>
            </w:pPr>
            <w:r w:rsidRPr="00C4375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A83540" w14:textId="77777777" w:rsidR="00794E61" w:rsidRPr="00C43757" w:rsidRDefault="00794E61">
            <w:pPr>
              <w:pStyle w:val="paragraph"/>
              <w:spacing w:before="0" w:beforeAutospacing="0" w:after="0" w:afterAutospacing="0"/>
              <w:contextualSpacing/>
              <w:textAlignment w:val="baseline"/>
              <w:rPr>
                <w:rStyle w:val="normaltextrun"/>
                <w:rFonts w:ascii="Verdana" w:hAnsi="Verdana" w:cs="Arial"/>
                <w:sz w:val="16"/>
                <w:szCs w:val="16"/>
                <w:lang w:val="es-ES"/>
              </w:rPr>
            </w:pPr>
            <w:r w:rsidRPr="00C43757">
              <w:rPr>
                <w:rStyle w:val="normaltextrun"/>
                <w:rFonts w:ascii="Verdana" w:hAnsi="Verdana" w:cs="Arial"/>
                <w:sz w:val="16"/>
                <w:szCs w:val="16"/>
                <w:lang w:val="es-ES"/>
              </w:rPr>
              <w:t>Diana Lucía Saavedra Castañeda</w:t>
            </w:r>
          </w:p>
          <w:p w14:paraId="710F9A56" w14:textId="77777777" w:rsidR="00794E61" w:rsidRPr="00C43757" w:rsidRDefault="00794E61">
            <w:pPr>
              <w:pStyle w:val="paragraph"/>
              <w:spacing w:before="0" w:beforeAutospacing="0" w:after="0" w:afterAutospacing="0"/>
              <w:contextualSpacing/>
              <w:textAlignment w:val="baseline"/>
              <w:rPr>
                <w:rFonts w:ascii="Verdana" w:hAnsi="Verdana" w:cs="Segoe UI"/>
                <w:sz w:val="16"/>
                <w:szCs w:val="16"/>
                <w:lang w:val="es-ES"/>
              </w:rPr>
            </w:pPr>
            <w:r w:rsidRPr="00C43757">
              <w:rPr>
                <w:rStyle w:val="normaltextrun"/>
                <w:rFonts w:ascii="Verdana" w:hAnsi="Verdana" w:cs="Arial"/>
                <w:sz w:val="16"/>
                <w:szCs w:val="16"/>
                <w:lang w:val="es-ES"/>
              </w:rPr>
              <w:t>Contratista de la Subdirección de Gestión Contractual</w:t>
            </w:r>
            <w:r w:rsidRPr="00C43757">
              <w:rPr>
                <w:rStyle w:val="eop"/>
                <w:rFonts w:ascii="Verdana" w:hAnsi="Verdana" w:cs="Arial"/>
                <w:sz w:val="16"/>
                <w:szCs w:val="16"/>
                <w:lang w:val="es-ES"/>
              </w:rPr>
              <w:t> </w:t>
            </w:r>
          </w:p>
        </w:tc>
      </w:tr>
      <w:tr w:rsidR="00794E61" w:rsidRPr="00C43757" w14:paraId="3D4378EC" w14:textId="77777777">
        <w:trPr>
          <w:trHeight w:val="300"/>
        </w:trPr>
        <w:tc>
          <w:tcPr>
            <w:tcW w:w="893" w:type="dxa"/>
            <w:vAlign w:val="center"/>
          </w:tcPr>
          <w:p w14:paraId="769A3CAA" w14:textId="77777777" w:rsidR="00794E61" w:rsidRPr="00C43757" w:rsidRDefault="00794E61">
            <w:pPr>
              <w:contextualSpacing/>
              <w:rPr>
                <w:rFonts w:ascii="Verdana" w:hAnsi="Verdana" w:cs="Arial"/>
                <w:sz w:val="16"/>
                <w:szCs w:val="16"/>
                <w:lang w:val="es-ES" w:eastAsia="es-ES"/>
              </w:rPr>
            </w:pPr>
            <w:r w:rsidRPr="00C4375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163DB9" w14:textId="77777777" w:rsidR="00794E61" w:rsidRPr="00C43757" w:rsidRDefault="00794E61">
            <w:pPr>
              <w:contextualSpacing/>
              <w:rPr>
                <w:rFonts w:ascii="Verdana" w:eastAsia="Calibri" w:hAnsi="Verdana" w:cs="Arial"/>
                <w:sz w:val="16"/>
                <w:szCs w:val="16"/>
                <w:lang w:val="es-ES" w:eastAsia="es-ES"/>
              </w:rPr>
            </w:pPr>
            <w:r w:rsidRPr="00C43757">
              <w:rPr>
                <w:rFonts w:ascii="Verdana" w:eastAsia="Calibri" w:hAnsi="Verdana" w:cs="Arial"/>
                <w:sz w:val="16"/>
                <w:szCs w:val="16"/>
                <w:lang w:val="es-ES" w:eastAsia="es-ES"/>
              </w:rPr>
              <w:t>Carolina Quintero Gacharná</w:t>
            </w:r>
          </w:p>
          <w:p w14:paraId="6E4A8E56" w14:textId="77777777" w:rsidR="00794E61" w:rsidRPr="00C43757" w:rsidRDefault="00794E61">
            <w:pPr>
              <w:contextualSpacing/>
              <w:rPr>
                <w:rFonts w:ascii="Verdana" w:eastAsia="Calibri" w:hAnsi="Verdana" w:cs="Arial"/>
                <w:sz w:val="16"/>
                <w:szCs w:val="16"/>
                <w:lang w:val="es-ES" w:eastAsia="es-ES"/>
              </w:rPr>
            </w:pPr>
            <w:r w:rsidRPr="00C43757">
              <w:rPr>
                <w:rFonts w:ascii="Verdana" w:eastAsia="Calibri" w:hAnsi="Verdana" w:cs="Arial"/>
                <w:sz w:val="16"/>
                <w:szCs w:val="16"/>
                <w:lang w:val="es-ES" w:eastAsia="es-ES"/>
              </w:rPr>
              <w:t>Subdirectora de Gestión Contractual ANCP – CCE</w:t>
            </w:r>
          </w:p>
        </w:tc>
      </w:tr>
      <w:bookmarkEnd w:id="0"/>
    </w:tbl>
    <w:p w14:paraId="3D771B1A" w14:textId="77777777" w:rsidR="00594DC1" w:rsidRDefault="00594DC1" w:rsidP="00594DC1">
      <w:pPr>
        <w:spacing w:line="276" w:lineRule="auto"/>
        <w:rPr>
          <w:rStyle w:val="normaltextrun"/>
          <w:rFonts w:eastAsia="Times New Roman"/>
          <w:sz w:val="16"/>
          <w:szCs w:val="16"/>
          <w:lang w:val="es-ES"/>
        </w:rPr>
      </w:pPr>
    </w:p>
    <w:p w14:paraId="06A1B3F9" w14:textId="77777777" w:rsidR="00794E61" w:rsidRPr="00C43757" w:rsidRDefault="00794E61" w:rsidP="00E245AB">
      <w:pPr>
        <w:spacing w:after="0"/>
        <w:rPr>
          <w:rFonts w:ascii="Verdana" w:hAnsi="Verdana"/>
          <w:lang w:val="es-ES"/>
        </w:rPr>
      </w:pPr>
    </w:p>
    <w:sectPr w:rsidR="00794E61" w:rsidRPr="00C43757"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3DCD3" w14:textId="77777777" w:rsidR="00A4483D" w:rsidRDefault="00A4483D" w:rsidP="004A1847">
      <w:pPr>
        <w:spacing w:after="0" w:line="240" w:lineRule="auto"/>
      </w:pPr>
      <w:r>
        <w:separator/>
      </w:r>
    </w:p>
  </w:endnote>
  <w:endnote w:type="continuationSeparator" w:id="0">
    <w:p w14:paraId="5DD0FD19" w14:textId="77777777" w:rsidR="00A4483D" w:rsidRDefault="00A448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88BA6" w14:textId="77777777" w:rsidR="00A4483D" w:rsidRDefault="00A4483D" w:rsidP="004A1847">
      <w:pPr>
        <w:spacing w:after="0" w:line="240" w:lineRule="auto"/>
      </w:pPr>
      <w:r>
        <w:separator/>
      </w:r>
    </w:p>
  </w:footnote>
  <w:footnote w:type="continuationSeparator" w:id="0">
    <w:p w14:paraId="2F81A965" w14:textId="77777777" w:rsidR="00A4483D" w:rsidRDefault="00A4483D" w:rsidP="004A1847">
      <w:pPr>
        <w:spacing w:after="0" w:line="240" w:lineRule="auto"/>
      </w:pPr>
      <w:r>
        <w:continuationSeparator/>
      </w:r>
    </w:p>
  </w:footnote>
  <w:footnote w:id="1">
    <w:p w14:paraId="0BC49940" w14:textId="77777777" w:rsidR="000C38C9" w:rsidRPr="00480A3F" w:rsidRDefault="000C38C9" w:rsidP="000C38C9">
      <w:pPr>
        <w:pStyle w:val="Textonotapie"/>
        <w:ind w:firstLine="707"/>
        <w:jc w:val="both"/>
        <w:rPr>
          <w:rFonts w:ascii="Verdana" w:hAnsi="Verdana"/>
          <w:sz w:val="16"/>
          <w:szCs w:val="16"/>
          <w:lang w:val="es-CO"/>
        </w:rPr>
      </w:pPr>
      <w:r w:rsidRPr="00480A3F">
        <w:rPr>
          <w:rStyle w:val="Refdenotaalpie"/>
          <w:rFonts w:ascii="Verdana" w:hAnsi="Verdana"/>
          <w:sz w:val="16"/>
          <w:szCs w:val="16"/>
        </w:rPr>
        <w:footnoteRef/>
      </w:r>
      <w:r w:rsidRPr="00480A3F">
        <w:rPr>
          <w:rFonts w:ascii="Verdana" w:hAnsi="Verdana"/>
          <w:sz w:val="16"/>
          <w:szCs w:val="16"/>
        </w:rPr>
        <w:t xml:space="preserve"> </w:t>
      </w:r>
      <w:r w:rsidRPr="00480A3F">
        <w:rPr>
          <w:rFonts w:ascii="Verdana" w:hAnsi="Verdana"/>
          <w:sz w:val="16"/>
          <w:szCs w:val="16"/>
          <w:lang w:val="es-CO"/>
        </w:rPr>
        <w:t xml:space="preserve">Superintendencia de Servicios Públicos Domiciliarios. Concepto 169 del 30 de marzo de 2023 disponible en el siguiente enlace: </w:t>
      </w:r>
      <w:hyperlink r:id="rId1" w:history="1">
        <w:r w:rsidRPr="00480A3F">
          <w:rPr>
            <w:rStyle w:val="Hipervnculo"/>
            <w:rFonts w:ascii="Verdana" w:hAnsi="Verdana"/>
            <w:sz w:val="16"/>
            <w:szCs w:val="16"/>
            <w:lang w:val="es-CO"/>
          </w:rPr>
          <w:t>https://normas.cra.gov.co/gestor/docs/concepto_superservicios_0000169_2023.htm</w:t>
        </w:r>
      </w:hyperlink>
      <w:r w:rsidRPr="00480A3F">
        <w:rPr>
          <w:rFonts w:ascii="Verdana" w:hAnsi="Verdana"/>
          <w:sz w:val="16"/>
          <w:szCs w:val="16"/>
          <w:lang w:val="es-CO"/>
        </w:rPr>
        <w:t xml:space="preserve"> </w:t>
      </w:r>
    </w:p>
    <w:p w14:paraId="1037D4A4" w14:textId="77777777" w:rsidR="000C38C9" w:rsidRPr="00480A3F" w:rsidRDefault="000C38C9" w:rsidP="000C38C9">
      <w:pPr>
        <w:pStyle w:val="Textonotapie"/>
        <w:ind w:firstLine="707"/>
        <w:jc w:val="both"/>
        <w:rPr>
          <w:rFonts w:ascii="Verdana" w:hAnsi="Verdana"/>
          <w:sz w:val="16"/>
          <w:szCs w:val="16"/>
          <w:lang w:val="es-CO"/>
        </w:rPr>
      </w:pPr>
    </w:p>
  </w:footnote>
  <w:footnote w:id="2">
    <w:p w14:paraId="48E54762" w14:textId="77777777" w:rsidR="000C38C9" w:rsidRPr="008F51F1" w:rsidRDefault="000C38C9" w:rsidP="000C38C9">
      <w:pPr>
        <w:pStyle w:val="Textonotapie"/>
        <w:ind w:firstLine="709"/>
        <w:jc w:val="both"/>
        <w:rPr>
          <w:rFonts w:ascii="Verdana" w:hAnsi="Verdana" w:cs="Arial"/>
          <w:color w:val="000000" w:themeColor="text1"/>
          <w:sz w:val="16"/>
          <w:szCs w:val="16"/>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3">
    <w:p w14:paraId="1EF05019" w14:textId="77777777" w:rsidR="000C38C9" w:rsidRDefault="000C38C9" w:rsidP="000C38C9">
      <w:pPr>
        <w:spacing w:after="0" w:line="240" w:lineRule="auto"/>
        <w:ind w:firstLine="709"/>
        <w:jc w:val="both"/>
        <w:rPr>
          <w:rFonts w:ascii="Verdana" w:eastAsia="Calibri" w:hAnsi="Verdana" w:cs="Arial"/>
          <w:color w:val="000000"/>
          <w:sz w:val="16"/>
          <w:szCs w:val="16"/>
          <w:lang w:val="es-ES_tradnl"/>
        </w:rPr>
      </w:pPr>
      <w:r w:rsidRPr="0013167A">
        <w:rPr>
          <w:rStyle w:val="Refdenotaalpie"/>
          <w:rFonts w:ascii="Verdana" w:hAnsi="Verdana" w:cs="Arial"/>
          <w:color w:val="000000"/>
          <w:sz w:val="16"/>
          <w:szCs w:val="16"/>
        </w:rPr>
        <w:footnoteRef/>
      </w:r>
      <w:r w:rsidRPr="0013167A">
        <w:rPr>
          <w:rFonts w:ascii="Verdana" w:hAnsi="Verdana" w:cs="Arial"/>
          <w:color w:val="000000"/>
          <w:sz w:val="16"/>
          <w:szCs w:val="16"/>
        </w:rPr>
        <w:t xml:space="preserve"> </w:t>
      </w:r>
      <w:r w:rsidRPr="0013167A">
        <w:rPr>
          <w:rFonts w:ascii="Verdana" w:hAnsi="Verdana" w:cs="Arial"/>
          <w:color w:val="000000"/>
          <w:sz w:val="16"/>
          <w:szCs w:val="16"/>
          <w:lang w:val="es-ES"/>
        </w:rPr>
        <w:t>Esta norma dispone: “</w:t>
      </w:r>
      <w:r w:rsidRPr="0013167A">
        <w:rPr>
          <w:rFonts w:ascii="Verdana" w:eastAsia="Calibri" w:hAnsi="Verdana" w:cs="Arial"/>
          <w:color w:val="000000"/>
          <w:sz w:val="16"/>
          <w:szCs w:val="16"/>
          <w:lang w:val="es-ES_tradnl"/>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43D8C3A" w14:textId="77777777" w:rsidR="000C38C9" w:rsidRPr="00C645FE" w:rsidRDefault="000C38C9" w:rsidP="000C38C9">
      <w:pPr>
        <w:spacing w:after="0" w:line="240" w:lineRule="auto"/>
        <w:ind w:firstLine="709"/>
        <w:jc w:val="both"/>
        <w:rPr>
          <w:rFonts w:ascii="Verdana" w:eastAsia="Calibri" w:hAnsi="Verdana" w:cs="Arial"/>
          <w:color w:val="000000"/>
          <w:sz w:val="16"/>
          <w:szCs w:val="16"/>
          <w:lang w:val="es-ES_tradnl"/>
        </w:rPr>
      </w:pPr>
    </w:p>
  </w:footnote>
  <w:footnote w:id="4">
    <w:p w14:paraId="36AD6AA7" w14:textId="77777777" w:rsidR="007E4B75" w:rsidRPr="00137B4E" w:rsidRDefault="007E4B75" w:rsidP="007E4B75">
      <w:pPr>
        <w:pStyle w:val="Textonotapie"/>
        <w:snapToGrid w:val="0"/>
        <w:ind w:firstLine="709"/>
        <w:jc w:val="both"/>
        <w:rPr>
          <w:rFonts w:ascii="Verdana" w:hAnsi="Verdana" w:cs="Arial"/>
          <w:color w:val="000000"/>
          <w:sz w:val="16"/>
          <w:szCs w:val="16"/>
        </w:rPr>
      </w:pPr>
      <w:r w:rsidRPr="00137B4E">
        <w:rPr>
          <w:rStyle w:val="Refdenotaalpie"/>
          <w:rFonts w:ascii="Verdana" w:hAnsi="Verdana" w:cs="Arial"/>
          <w:color w:val="000000"/>
          <w:sz w:val="16"/>
          <w:szCs w:val="16"/>
        </w:rPr>
        <w:footnoteRef/>
      </w:r>
      <w:r w:rsidRPr="00137B4E">
        <w:rPr>
          <w:rFonts w:ascii="Verdana" w:hAnsi="Verdana" w:cs="Arial"/>
          <w:color w:val="000000"/>
          <w:sz w:val="16"/>
          <w:szCs w:val="16"/>
        </w:rPr>
        <w:t xml:space="preserve"> Consejo de Estado. Sección Tercera. Radicado No. 45.607 del 24 de octubre de 2016. Consejera Ponente: María Nubia Velásquez Rico.</w:t>
      </w:r>
    </w:p>
  </w:footnote>
  <w:footnote w:id="5">
    <w:p w14:paraId="1469C1EB" w14:textId="77777777" w:rsidR="00471A6C" w:rsidRPr="00137B4E" w:rsidRDefault="00471A6C" w:rsidP="00471A6C">
      <w:pPr>
        <w:pStyle w:val="Textonotapie"/>
        <w:snapToGrid w:val="0"/>
        <w:ind w:firstLine="708"/>
        <w:jc w:val="both"/>
        <w:rPr>
          <w:rFonts w:ascii="Verdana" w:hAnsi="Verdana" w:cs="Arial"/>
          <w:color w:val="000000" w:themeColor="text1"/>
          <w:sz w:val="16"/>
          <w:szCs w:val="16"/>
        </w:rPr>
      </w:pPr>
      <w:r w:rsidRPr="00137B4E">
        <w:rPr>
          <w:rStyle w:val="Refdenotaalpie"/>
          <w:rFonts w:ascii="Verdana" w:hAnsi="Verdana" w:cs="Arial"/>
          <w:color w:val="000000" w:themeColor="text1"/>
          <w:sz w:val="16"/>
          <w:szCs w:val="16"/>
        </w:rPr>
        <w:footnoteRef/>
      </w:r>
      <w:r w:rsidRPr="00137B4E">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footnote>
  <w:footnote w:id="6">
    <w:p w14:paraId="38411363" w14:textId="77777777" w:rsidR="00471A6C" w:rsidRPr="00137B4E" w:rsidRDefault="00471A6C" w:rsidP="00471A6C">
      <w:pPr>
        <w:pStyle w:val="Textonotapie"/>
        <w:snapToGrid w:val="0"/>
        <w:ind w:firstLine="708"/>
        <w:jc w:val="both"/>
        <w:rPr>
          <w:rFonts w:ascii="Verdana" w:hAnsi="Verdana" w:cs="Arial"/>
          <w:sz w:val="16"/>
          <w:szCs w:val="16"/>
        </w:rPr>
      </w:pPr>
      <w:r w:rsidRPr="00137B4E">
        <w:rPr>
          <w:rStyle w:val="Refdenotaalpie"/>
          <w:rFonts w:ascii="Verdana" w:hAnsi="Verdana" w:cs="Arial"/>
          <w:sz w:val="16"/>
          <w:szCs w:val="16"/>
        </w:rPr>
        <w:footnoteRef/>
      </w:r>
      <w:r w:rsidRPr="00137B4E">
        <w:rPr>
          <w:rFonts w:ascii="Verdana" w:hAnsi="Verdana" w:cs="Arial"/>
          <w:sz w:val="16"/>
          <w:szCs w:val="16"/>
        </w:rPr>
        <w:t xml:space="preserve"> Cfr. Colombia Compra Eficiente. Subdirección de Gestión Contractual. Concepto C-362 del 3 de julio de 2020. Pág. 9.</w:t>
      </w:r>
    </w:p>
  </w:footnote>
  <w:footnote w:id="7">
    <w:p w14:paraId="65995795" w14:textId="77777777" w:rsidR="00471A6C" w:rsidRPr="00137B4E" w:rsidRDefault="00471A6C" w:rsidP="00471A6C">
      <w:pPr>
        <w:pStyle w:val="Textonotapie"/>
        <w:snapToGrid w:val="0"/>
        <w:ind w:firstLine="708"/>
        <w:jc w:val="both"/>
        <w:rPr>
          <w:rFonts w:ascii="Verdana" w:hAnsi="Verdana" w:cs="Arial"/>
          <w:sz w:val="16"/>
          <w:szCs w:val="16"/>
        </w:rPr>
      </w:pPr>
      <w:r w:rsidRPr="00137B4E">
        <w:rPr>
          <w:rStyle w:val="Refdenotaalpie"/>
          <w:rFonts w:ascii="Verdana" w:hAnsi="Verdana" w:cs="Arial"/>
          <w:sz w:val="16"/>
          <w:szCs w:val="16"/>
        </w:rPr>
        <w:footnoteRef/>
      </w:r>
      <w:r w:rsidRPr="00137B4E">
        <w:rPr>
          <w:rFonts w:ascii="Verdana" w:hAnsi="Verdana" w:cs="Arial"/>
          <w:sz w:val="16"/>
          <w:szCs w:val="16"/>
        </w:rPr>
        <w:t xml:space="preserve"> Ibíd. </w:t>
      </w:r>
    </w:p>
  </w:footnote>
  <w:footnote w:id="8">
    <w:p w14:paraId="35822BA9" w14:textId="18CCC603" w:rsidR="00EA4C66" w:rsidRPr="00EA4C66" w:rsidRDefault="00EA4C66" w:rsidP="006F5E3A">
      <w:pPr>
        <w:pStyle w:val="Textonotapie"/>
        <w:snapToGrid w:val="0"/>
        <w:ind w:firstLine="709"/>
        <w:contextualSpacing/>
        <w:jc w:val="both"/>
        <w:rPr>
          <w:lang w:val="es-ES"/>
        </w:rPr>
      </w:pPr>
      <w:r>
        <w:rPr>
          <w:rStyle w:val="Refdenotaalpie"/>
        </w:rPr>
        <w:footnoteRef/>
      </w:r>
      <w:r>
        <w:t xml:space="preserve"> </w:t>
      </w:r>
      <w:r w:rsidRPr="00EA4C66">
        <w:rPr>
          <w:rFonts w:ascii="Verdana" w:hAnsi="Verdana" w:cs="Arial"/>
          <w:sz w:val="16"/>
          <w:szCs w:val="16"/>
          <w:lang w:val="es-CO"/>
        </w:rPr>
        <w:t>Consejo de Estado. Sala de Consulta y Servicio Civil. Concepto No. 1740 de 2006. Consejero Ponente: Gustavo Aponte Santos</w:t>
      </w:r>
      <w:r w:rsidR="006F5E3A">
        <w:rPr>
          <w:rFonts w:ascii="Verdana" w:hAnsi="Verdana" w:cs="Arial"/>
          <w:sz w:val="16"/>
          <w:szCs w:val="16"/>
          <w:lang w:val="es-CO"/>
        </w:rPr>
        <w:t>.</w:t>
      </w:r>
    </w:p>
  </w:footnote>
  <w:footnote w:id="9">
    <w:p w14:paraId="4E818EAA" w14:textId="5A3A0DDD" w:rsidR="00D71328" w:rsidRPr="00D71328" w:rsidRDefault="00D71328" w:rsidP="00203E46">
      <w:pPr>
        <w:pStyle w:val="Textonotapie"/>
        <w:ind w:firstLine="708"/>
        <w:rPr>
          <w:lang w:val="es-ES"/>
        </w:rPr>
      </w:pPr>
      <w:r>
        <w:rPr>
          <w:rStyle w:val="Refdenotaalpie"/>
        </w:rPr>
        <w:footnoteRef/>
      </w:r>
      <w:r>
        <w:t xml:space="preserve"> </w:t>
      </w:r>
      <w:r w:rsidR="00203E46">
        <w:t>Ibidem.</w:t>
      </w:r>
    </w:p>
  </w:footnote>
  <w:footnote w:id="10">
    <w:p w14:paraId="1D42528F" w14:textId="77777777" w:rsidR="00017CDC" w:rsidRPr="009A1A14" w:rsidRDefault="00017CDC" w:rsidP="00017CDC">
      <w:pPr>
        <w:pStyle w:val="Textonotapie"/>
        <w:ind w:firstLine="708"/>
        <w:jc w:val="both"/>
        <w:rPr>
          <w:rFonts w:ascii="Verdana" w:hAnsi="Verdana" w:cs="Arial"/>
          <w:sz w:val="15"/>
          <w:szCs w:val="15"/>
        </w:rPr>
      </w:pPr>
      <w:r w:rsidRPr="009A1A14">
        <w:rPr>
          <w:rStyle w:val="Refdenotaalpie"/>
          <w:rFonts w:ascii="Verdana" w:hAnsi="Verdana" w:cs="Arial"/>
          <w:sz w:val="15"/>
          <w:szCs w:val="15"/>
        </w:rPr>
        <w:footnoteRef/>
      </w:r>
      <w:r w:rsidRPr="009A1A14">
        <w:rPr>
          <w:rFonts w:ascii="Verdana" w:hAnsi="Verdana" w:cs="Arial"/>
          <w:sz w:val="15"/>
          <w:szCs w:val="15"/>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11">
    <w:p w14:paraId="1465F578" w14:textId="77777777" w:rsidR="00017CDC" w:rsidRPr="009A1A14" w:rsidRDefault="00017CDC" w:rsidP="00017CDC">
      <w:pPr>
        <w:pStyle w:val="Textonotapie"/>
        <w:ind w:firstLine="708"/>
        <w:jc w:val="both"/>
        <w:rPr>
          <w:rFonts w:ascii="Verdana" w:hAnsi="Verdana" w:cs="Arial"/>
          <w:sz w:val="15"/>
          <w:szCs w:val="15"/>
        </w:rPr>
      </w:pPr>
      <w:r w:rsidRPr="009A1A14">
        <w:rPr>
          <w:rStyle w:val="Refdenotaalpie"/>
          <w:rFonts w:ascii="Verdana" w:hAnsi="Verdana" w:cs="Arial"/>
          <w:sz w:val="15"/>
          <w:szCs w:val="15"/>
        </w:rPr>
        <w:footnoteRef/>
      </w:r>
      <w:r w:rsidRPr="009A1A14">
        <w:rPr>
          <w:rFonts w:ascii="Verdana" w:hAnsi="Verdana" w:cs="Arial"/>
          <w:sz w:val="15"/>
          <w:szCs w:val="15"/>
        </w:rPr>
        <w:t xml:space="preserve"> De conformidad con lo dispuesto en el artículo 10 del Decreto 111 de 1996 “La Ley Anual sobre el Presupuesto General de la Nación es el instrumento para el cumplimiento de los planes y programas de desarrollo económico y social.</w:t>
      </w:r>
    </w:p>
    <w:p w14:paraId="2686B4F1" w14:textId="77777777" w:rsidR="00017CDC" w:rsidRPr="009A1A14" w:rsidRDefault="00017CDC" w:rsidP="00017CDC">
      <w:pPr>
        <w:pStyle w:val="Textonotapie"/>
        <w:ind w:firstLine="708"/>
        <w:jc w:val="both"/>
        <w:rPr>
          <w:rFonts w:ascii="Verdana" w:hAnsi="Verdana" w:cs="Arial"/>
          <w:sz w:val="15"/>
          <w:szCs w:val="15"/>
        </w:rPr>
      </w:pPr>
      <w:r w:rsidRPr="009A1A14">
        <w:rPr>
          <w:rFonts w:ascii="Verdana" w:hAnsi="Verdana" w:cs="Arial"/>
          <w:sz w:val="15"/>
          <w:szCs w:val="15"/>
        </w:rPr>
        <w:t xml:space="preserve">A su turno, el artículo 11 del mismo Decreto indica que </w:t>
      </w:r>
      <w:r>
        <w:rPr>
          <w:rFonts w:ascii="Verdana" w:hAnsi="Verdana" w:cs="Arial"/>
          <w:sz w:val="15"/>
          <w:szCs w:val="15"/>
        </w:rPr>
        <w:t>“</w:t>
      </w:r>
      <w:r w:rsidRPr="009A1A14">
        <w:rPr>
          <w:rFonts w:ascii="Verdana" w:hAnsi="Verdana" w:cs="Arial"/>
          <w:sz w:val="15"/>
          <w:szCs w:val="15"/>
        </w:rPr>
        <w:t>El Presupuesto General de la Nación se compone de las siguientes partes:</w:t>
      </w:r>
    </w:p>
    <w:p w14:paraId="18D84BCF" w14:textId="77777777" w:rsidR="00017CDC" w:rsidRPr="009A1A14" w:rsidRDefault="00017CDC" w:rsidP="00017CDC">
      <w:pPr>
        <w:pStyle w:val="Textonotapie"/>
        <w:ind w:firstLine="708"/>
        <w:jc w:val="both"/>
        <w:rPr>
          <w:rFonts w:ascii="Verdana" w:hAnsi="Verdana" w:cs="Arial"/>
          <w:sz w:val="15"/>
          <w:szCs w:val="15"/>
        </w:rPr>
      </w:pPr>
      <w:r w:rsidRPr="009A1A14">
        <w:rPr>
          <w:rFonts w:ascii="Verdana" w:hAnsi="Verdana" w:cs="Arial"/>
          <w:sz w:val="15"/>
          <w:szCs w:val="15"/>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3CE0F7E6" w14:textId="77777777" w:rsidR="00017CDC" w:rsidRPr="009A1A14" w:rsidRDefault="00017CDC" w:rsidP="00017CDC">
      <w:pPr>
        <w:pStyle w:val="Textonotapie"/>
        <w:ind w:firstLine="708"/>
        <w:jc w:val="both"/>
        <w:rPr>
          <w:rFonts w:ascii="Verdana" w:hAnsi="Verdana" w:cs="Arial"/>
          <w:sz w:val="15"/>
          <w:szCs w:val="15"/>
        </w:rPr>
      </w:pPr>
      <w:r w:rsidRPr="009A1A14">
        <w:rPr>
          <w:rFonts w:ascii="Verdana" w:hAnsi="Verdana" w:cs="Arial"/>
          <w:sz w:val="15"/>
          <w:szCs w:val="15"/>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1D931922" w14:textId="77777777" w:rsidR="00017CDC" w:rsidRPr="00E8280C" w:rsidRDefault="00017CDC" w:rsidP="00017CDC">
      <w:pPr>
        <w:pStyle w:val="Textonotapie"/>
        <w:ind w:firstLine="708"/>
        <w:jc w:val="both"/>
        <w:rPr>
          <w:rFonts w:ascii="Verdana" w:hAnsi="Verdana" w:cs="Arial"/>
          <w:sz w:val="15"/>
          <w:szCs w:val="15"/>
        </w:rPr>
      </w:pPr>
      <w:r w:rsidRPr="00E8280C">
        <w:rPr>
          <w:rFonts w:ascii="Verdana" w:hAnsi="Verdana" w:cs="Arial"/>
          <w:sz w:val="15"/>
          <w:szCs w:val="15"/>
        </w:rPr>
        <w:t xml:space="preserve"> c) Disposiciones generales. Corresponde a las normas tendientes a asegurar la correcta ejecución del Presupuesto General de la Nación, las cuales regirán únicamente para el año fiscal para el cual se expidan”.</w:t>
      </w:r>
    </w:p>
  </w:footnote>
  <w:footnote w:id="12">
    <w:p w14:paraId="2F37FA61" w14:textId="77777777" w:rsidR="00017CDC" w:rsidRPr="00E8280C" w:rsidRDefault="00017CDC" w:rsidP="00017CDC">
      <w:pPr>
        <w:pStyle w:val="Textonotapie"/>
        <w:ind w:firstLine="708"/>
        <w:jc w:val="both"/>
        <w:rPr>
          <w:rFonts w:ascii="Verdana" w:hAnsi="Verdana"/>
          <w:sz w:val="15"/>
          <w:szCs w:val="15"/>
        </w:rPr>
      </w:pPr>
      <w:r w:rsidRPr="00E8280C">
        <w:rPr>
          <w:rStyle w:val="Refdenotaalpie"/>
          <w:rFonts w:ascii="Verdana" w:hAnsi="Verdana"/>
          <w:sz w:val="15"/>
          <w:szCs w:val="15"/>
        </w:rPr>
        <w:footnoteRef/>
      </w:r>
      <w:r w:rsidRPr="00E8280C">
        <w:rPr>
          <w:rFonts w:ascii="Verdana" w:hAnsi="Verdana"/>
          <w:sz w:val="15"/>
          <w:szCs w:val="15"/>
        </w:rPr>
        <w:t xml:space="preserve"> Las leyes Ley 38 de 1989, 179 de 1994 y 225 de 1995 fueron expedidas en desarrollo del artículo 352 constitucional. Estas fueron luego compiladas en el Decreto 111 de 1996, conocido como el Estatuto Orgánico de Presupuesto. </w:t>
      </w:r>
    </w:p>
  </w:footnote>
  <w:footnote w:id="13">
    <w:p w14:paraId="118D2A97" w14:textId="77777777" w:rsidR="00017CDC" w:rsidRPr="009A1A14" w:rsidRDefault="00017CDC" w:rsidP="00017CDC">
      <w:pPr>
        <w:pStyle w:val="Textonotapie"/>
        <w:ind w:firstLine="709"/>
        <w:jc w:val="both"/>
        <w:rPr>
          <w:rFonts w:ascii="Verdana" w:hAnsi="Verdana" w:cs="Arial"/>
          <w:sz w:val="15"/>
          <w:szCs w:val="15"/>
          <w:lang w:val="es-CO"/>
        </w:rPr>
      </w:pPr>
      <w:r w:rsidRPr="009A1A14">
        <w:rPr>
          <w:rStyle w:val="Refdenotaalpie"/>
          <w:rFonts w:ascii="Verdana" w:hAnsi="Verdana" w:cs="Arial"/>
          <w:sz w:val="15"/>
          <w:szCs w:val="15"/>
        </w:rPr>
        <w:footnoteRef/>
      </w:r>
      <w:r w:rsidRPr="009A1A14">
        <w:rPr>
          <w:rFonts w:ascii="Verdana" w:hAnsi="Verdana" w:cs="Arial"/>
          <w:sz w:val="15"/>
          <w:szCs w:val="15"/>
        </w:rPr>
        <w:t xml:space="preserve"> Decreto 1068 de 2015 “</w:t>
      </w:r>
      <w:r w:rsidRPr="009A1A14">
        <w:rPr>
          <w:rFonts w:ascii="Verdana" w:hAnsi="Verdana" w:cs="Arial"/>
          <w:sz w:val="15"/>
          <w:szCs w:val="15"/>
          <w:lang w:val="es-CO"/>
        </w:rPr>
        <w:t>Artículo</w:t>
      </w:r>
      <w:bookmarkStart w:id="4" w:name="2.8.3.4"/>
      <w:bookmarkEnd w:id="4"/>
      <w:r w:rsidRPr="009A1A14">
        <w:rPr>
          <w:rFonts w:ascii="Verdana" w:hAnsi="Verdana" w:cs="Arial"/>
          <w:sz w:val="15"/>
          <w:szCs w:val="15"/>
          <w:lang w:val="es-CO"/>
        </w:rPr>
        <w:t xml:space="preserve"> 2.8.3.4. </w:t>
      </w:r>
      <w:r w:rsidRPr="009A1A14">
        <w:rPr>
          <w:rFonts w:ascii="Verdana" w:hAnsi="Verdana" w:cs="Arial"/>
          <w:i/>
          <w:iCs/>
          <w:sz w:val="15"/>
          <w:szCs w:val="15"/>
          <w:lang w:val="es-CO"/>
        </w:rPr>
        <w:t>Anualidad.</w:t>
      </w:r>
      <w:r w:rsidRPr="009A1A14">
        <w:rPr>
          <w:rFonts w:ascii="Verdana" w:hAnsi="Verdana" w:cs="Arial"/>
          <w:sz w:val="15"/>
          <w:szCs w:val="15"/>
          <w:lang w:val="es-CO"/>
        </w:rPr>
        <w:t xml:space="preserve">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r w:rsidRPr="009A1A14">
        <w:rPr>
          <w:rFonts w:ascii="Verdana" w:hAnsi="Verdana" w:cs="Arial"/>
          <w:sz w:val="15"/>
          <w:szCs w:val="15"/>
        </w:rPr>
        <w:t>”</w:t>
      </w:r>
      <w:r w:rsidRPr="009A1A14">
        <w:rPr>
          <w:rFonts w:ascii="Verdana" w:hAnsi="Verdana" w:cs="Arial"/>
          <w:sz w:val="15"/>
          <w:szCs w:val="15"/>
          <w:lang w:val="es-CO"/>
        </w:rPr>
        <w:t>.</w:t>
      </w:r>
    </w:p>
  </w:footnote>
  <w:footnote w:id="14">
    <w:p w14:paraId="6FA7A40A" w14:textId="77777777" w:rsidR="00017CDC" w:rsidRPr="009A1A14" w:rsidRDefault="00017CDC" w:rsidP="00017CDC">
      <w:pPr>
        <w:pStyle w:val="Textonotapie"/>
        <w:ind w:firstLine="708"/>
        <w:jc w:val="both"/>
        <w:rPr>
          <w:rFonts w:ascii="Verdana" w:hAnsi="Verdana"/>
          <w:sz w:val="15"/>
          <w:szCs w:val="15"/>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hAnsi="Verdana"/>
          <w:sz w:val="15"/>
          <w:szCs w:val="15"/>
          <w:lang w:val="es-ES"/>
        </w:rPr>
        <w:t xml:space="preserve">Corte Constitucional, </w:t>
      </w:r>
      <w:r w:rsidRPr="009A1A14">
        <w:rPr>
          <w:rFonts w:ascii="Verdana" w:hAnsi="Verdana"/>
          <w:sz w:val="15"/>
          <w:szCs w:val="15"/>
        </w:rPr>
        <w:t>Sentencia C - 178 de 2021</w:t>
      </w:r>
    </w:p>
  </w:footnote>
  <w:footnote w:id="15">
    <w:p w14:paraId="1F9C9F10" w14:textId="77777777" w:rsidR="00794E61" w:rsidRPr="009A1A14" w:rsidRDefault="00794E61" w:rsidP="00794E61">
      <w:pPr>
        <w:pStyle w:val="Textonotapie"/>
        <w:ind w:right="49" w:firstLine="708"/>
        <w:jc w:val="both"/>
        <w:rPr>
          <w:rFonts w:ascii="Verdana" w:hAnsi="Verdana" w:cs="Arial"/>
          <w:color w:val="000000"/>
          <w:sz w:val="15"/>
          <w:szCs w:val="15"/>
          <w:lang w:val="es-CO"/>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hAnsi="Verdana" w:cs="Arial"/>
          <w:color w:val="000000"/>
          <w:sz w:val="15"/>
          <w:szCs w:val="15"/>
        </w:rPr>
        <w:t>Consejo de Estado. Sección Tercera. Sentencia del 1 de febrero de 2018. Radicado Nro.</w:t>
      </w:r>
      <w:r w:rsidRPr="009A1A14">
        <w:rPr>
          <w:rFonts w:ascii="Verdana" w:hAnsi="Verdana" w:cs="Arial"/>
          <w:color w:val="000000"/>
          <w:sz w:val="15"/>
          <w:szCs w:val="15"/>
          <w:lang w:val="es-CO"/>
        </w:rPr>
        <w:t xml:space="preserve"> 08001-2331-000-2010-00987-01</w:t>
      </w:r>
      <w:r w:rsidRPr="009A1A14">
        <w:rPr>
          <w:rFonts w:ascii="Verdana" w:hAnsi="Verdana" w:cs="Arial"/>
          <w:color w:val="000000"/>
          <w:sz w:val="15"/>
          <w:szCs w:val="15"/>
        </w:rPr>
        <w:t xml:space="preserve">. C.P. </w:t>
      </w:r>
      <w:r w:rsidRPr="009A1A14">
        <w:rPr>
          <w:rFonts w:ascii="Verdana" w:hAnsi="Verdana" w:cs="Arial"/>
          <w:color w:val="000000"/>
          <w:sz w:val="15"/>
          <w:szCs w:val="15"/>
          <w:lang w:val="es-CO"/>
        </w:rPr>
        <w:t xml:space="preserve">Oswaldo Giraldo López. </w:t>
      </w:r>
    </w:p>
  </w:footnote>
  <w:footnote w:id="16">
    <w:p w14:paraId="568EE37B" w14:textId="77777777" w:rsidR="00794E61" w:rsidRPr="009A1A14" w:rsidRDefault="00794E61" w:rsidP="00794E61">
      <w:pPr>
        <w:pStyle w:val="Textonotapie"/>
        <w:ind w:firstLine="709"/>
        <w:jc w:val="both"/>
        <w:rPr>
          <w:rFonts w:ascii="Verdana" w:hAnsi="Verdana" w:cs="Arial"/>
          <w:sz w:val="15"/>
          <w:szCs w:val="15"/>
          <w:lang w:val="es-CO"/>
        </w:rPr>
      </w:pPr>
      <w:r w:rsidRPr="009A1A14">
        <w:rPr>
          <w:rStyle w:val="Refdenotaalpie"/>
          <w:rFonts w:ascii="Verdana" w:hAnsi="Verdana" w:cs="Arial"/>
          <w:sz w:val="15"/>
          <w:szCs w:val="15"/>
        </w:rPr>
        <w:footnoteRef/>
      </w:r>
      <w:r w:rsidRPr="009A1A14">
        <w:rPr>
          <w:rFonts w:ascii="Verdana" w:hAnsi="Verdana" w:cs="Arial"/>
          <w:sz w:val="15"/>
          <w:szCs w:val="15"/>
        </w:rPr>
        <w:t xml:space="preserve"> </w:t>
      </w:r>
      <w:bookmarkStart w:id="10" w:name="23"/>
      <w:r w:rsidRPr="009A1A14">
        <w:rPr>
          <w:rFonts w:ascii="Verdana" w:eastAsia="Calibri" w:hAnsi="Verdana" w:cs="Arial"/>
          <w:sz w:val="15"/>
          <w:szCs w:val="15"/>
          <w:lang w:val="es-ES_tradnl"/>
        </w:rPr>
        <w:t>“</w:t>
      </w:r>
      <w:r w:rsidRPr="009A1A14">
        <w:rPr>
          <w:rFonts w:ascii="Verdana" w:hAnsi="Verdana" w:cs="Arial"/>
          <w:sz w:val="15"/>
          <w:szCs w:val="15"/>
          <w:lang w:val="es-CO"/>
        </w:rPr>
        <w:t>Artículo 23.</w:t>
      </w:r>
      <w:bookmarkEnd w:id="10"/>
      <w:r w:rsidRPr="009A1A14">
        <w:rPr>
          <w:rFonts w:ascii="Verdana" w:hAnsi="Verdana" w:cs="Arial"/>
          <w:sz w:val="15"/>
          <w:szCs w:val="15"/>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42B9C824" w14:textId="77777777" w:rsidR="00794E61" w:rsidRPr="009A1A14" w:rsidRDefault="00794E61" w:rsidP="00794E61">
      <w:pPr>
        <w:pStyle w:val="Textonotapie"/>
        <w:ind w:firstLine="567"/>
        <w:jc w:val="both"/>
        <w:rPr>
          <w:rFonts w:ascii="Verdana" w:hAnsi="Verdana" w:cs="Arial"/>
          <w:sz w:val="15"/>
          <w:szCs w:val="15"/>
          <w:lang w:val="es-CO"/>
        </w:rPr>
      </w:pPr>
      <w:r w:rsidRPr="009A1A14">
        <w:rPr>
          <w:rFonts w:ascii="Verdana" w:hAnsi="Verdana" w:cs="Arial"/>
          <w:sz w:val="15"/>
          <w:szCs w:val="15"/>
          <w:lang w:val="es-CO"/>
        </w:rPr>
        <w:t xml:space="preserve">a) El monto máximo de vigencias futuras, el plazo y las condiciones de </w:t>
      </w:r>
      <w:proofErr w:type="gramStart"/>
      <w:r w:rsidRPr="009A1A14">
        <w:rPr>
          <w:rFonts w:ascii="Verdana" w:hAnsi="Verdana" w:cs="Arial"/>
          <w:sz w:val="15"/>
          <w:szCs w:val="15"/>
          <w:lang w:val="es-CO"/>
        </w:rPr>
        <w:t>las mismas</w:t>
      </w:r>
      <w:proofErr w:type="gramEnd"/>
      <w:r w:rsidRPr="009A1A14">
        <w:rPr>
          <w:rFonts w:ascii="Verdana" w:hAnsi="Verdana" w:cs="Arial"/>
          <w:sz w:val="15"/>
          <w:szCs w:val="15"/>
          <w:lang w:val="es-CO"/>
        </w:rPr>
        <w:t xml:space="preserve"> consulte las metas plurianuales del Marco Fiscal de Mediano Plazo de que trata el artículo </w:t>
      </w:r>
      <w:hyperlink r:id="rId2" w:anchor="1" w:history="1">
        <w:r w:rsidRPr="009A1A14">
          <w:rPr>
            <w:rStyle w:val="Hipervnculo"/>
            <w:rFonts w:ascii="Verdana" w:hAnsi="Verdana" w:cs="Arial"/>
            <w:sz w:val="15"/>
            <w:szCs w:val="15"/>
            <w:lang w:val="es-CO"/>
          </w:rPr>
          <w:t>1</w:t>
        </w:r>
      </w:hyperlink>
      <w:r w:rsidRPr="009A1A14">
        <w:rPr>
          <w:rFonts w:ascii="Verdana" w:hAnsi="Verdana" w:cs="Arial"/>
          <w:sz w:val="15"/>
          <w:szCs w:val="15"/>
          <w:lang w:val="es-CO"/>
        </w:rPr>
        <w:t>o de esta ley;</w:t>
      </w:r>
    </w:p>
    <w:p w14:paraId="6C3FDA7A" w14:textId="77777777" w:rsidR="00794E61" w:rsidRPr="009A1A14" w:rsidRDefault="00794E61" w:rsidP="00794E61">
      <w:pPr>
        <w:pStyle w:val="Textonotapie"/>
        <w:ind w:firstLine="567"/>
        <w:jc w:val="both"/>
        <w:rPr>
          <w:rFonts w:ascii="Verdana" w:hAnsi="Verdana" w:cs="Arial"/>
          <w:sz w:val="15"/>
          <w:szCs w:val="15"/>
          <w:lang w:val="es-CO"/>
        </w:rPr>
      </w:pPr>
      <w:r w:rsidRPr="009A1A14">
        <w:rPr>
          <w:rFonts w:ascii="Verdana" w:hAnsi="Verdana" w:cs="Arial"/>
          <w:sz w:val="15"/>
          <w:szCs w:val="15"/>
          <w:lang w:val="es-CO"/>
        </w:rPr>
        <w:t>b) Como mínimo, de las vigencias futuras que se soliciten se deberá contar con apropiación del quince por ciento (15%) en la vigencia fiscal en la que estas sean autorizadas;</w:t>
      </w:r>
    </w:p>
    <w:p w14:paraId="68AD6C82" w14:textId="77777777" w:rsidR="00794E61" w:rsidRPr="009A1A14" w:rsidRDefault="00794E61" w:rsidP="00794E61">
      <w:pPr>
        <w:pStyle w:val="Textonotapie"/>
        <w:ind w:firstLine="709"/>
        <w:jc w:val="both"/>
        <w:rPr>
          <w:rFonts w:ascii="Verdana" w:hAnsi="Verdana" w:cs="Arial"/>
          <w:sz w:val="15"/>
          <w:szCs w:val="15"/>
          <w:lang w:val="es-CO"/>
        </w:rPr>
      </w:pPr>
      <w:r w:rsidRPr="009A1A14">
        <w:rPr>
          <w:rFonts w:ascii="Verdana" w:hAnsi="Verdana" w:cs="Arial"/>
          <w:sz w:val="15"/>
          <w:szCs w:val="15"/>
          <w:lang w:val="es-CO"/>
        </w:rPr>
        <w:t>c) Cuando se trate de proyectos de inversión nacional deberá obtenerse el concepto previo y favorable del Departamento Nacional de Planeación y del Ministerio del ramo.</w:t>
      </w:r>
    </w:p>
    <w:p w14:paraId="6028B089" w14:textId="77777777" w:rsidR="00794E61" w:rsidRPr="009A1A14" w:rsidRDefault="00794E61" w:rsidP="00794E61">
      <w:pPr>
        <w:pStyle w:val="Textonotapie"/>
        <w:jc w:val="both"/>
        <w:rPr>
          <w:rFonts w:ascii="Verdana" w:hAnsi="Verdana" w:cs="Arial"/>
          <w:sz w:val="15"/>
          <w:szCs w:val="15"/>
          <w:lang w:val="es-CO"/>
        </w:rPr>
      </w:pPr>
      <w:r w:rsidRPr="009A1A14">
        <w:rPr>
          <w:rFonts w:ascii="Verdana" w:hAnsi="Verdana" w:cs="Arial"/>
          <w:sz w:val="15"/>
          <w:szCs w:val="15"/>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14095489" w14:textId="77777777" w:rsidR="00794E61" w:rsidRPr="009A1A14" w:rsidRDefault="00794E61" w:rsidP="00794E61">
      <w:pPr>
        <w:pStyle w:val="Textonotapie"/>
        <w:jc w:val="both"/>
        <w:rPr>
          <w:rFonts w:ascii="Verdana" w:hAnsi="Verdana" w:cs="Arial"/>
          <w:sz w:val="15"/>
          <w:szCs w:val="15"/>
          <w:lang w:val="es-CO"/>
        </w:rPr>
      </w:pPr>
      <w:r w:rsidRPr="009A1A14">
        <w:rPr>
          <w:rFonts w:ascii="Verdana" w:hAnsi="Verdana" w:cs="Arial"/>
          <w:sz w:val="15"/>
          <w:szCs w:val="15"/>
          <w:lang w:val="es-CO"/>
        </w:rPr>
        <w:t>Esta disposición también se aplicará a las entidades de que trata el artículo 9o de la presente ley. El Gobierno reglamentará la materia.</w:t>
      </w:r>
    </w:p>
    <w:p w14:paraId="44FCBA4D" w14:textId="77777777" w:rsidR="00794E61" w:rsidRPr="009A1A14" w:rsidRDefault="00794E61" w:rsidP="00794E61">
      <w:pPr>
        <w:pStyle w:val="Textonotapie"/>
        <w:ind w:firstLine="709"/>
        <w:jc w:val="both"/>
        <w:rPr>
          <w:rFonts w:ascii="Verdana" w:hAnsi="Verdana" w:cs="Arial"/>
          <w:sz w:val="15"/>
          <w:szCs w:val="15"/>
          <w:lang w:val="es-CO"/>
        </w:rPr>
      </w:pPr>
      <w:r w:rsidRPr="009A1A14">
        <w:rPr>
          <w:rFonts w:ascii="Verdana" w:hAnsi="Verdana" w:cs="Arial"/>
          <w:sz w:val="15"/>
          <w:szCs w:val="15"/>
          <w:lang w:val="es-CO"/>
        </w:rPr>
        <w:t>El Ministerio de Hacienda y Crédito Público, Dirección General del Presupuesto Público Nacional, incluirá en los proyectos de presupuesto las asignaciones necesarias para darle cumplimiento a lo dispuesto en este artículo. […]”.</w:t>
      </w:r>
    </w:p>
  </w:footnote>
  <w:footnote w:id="17">
    <w:p w14:paraId="2E83EE18" w14:textId="77777777" w:rsidR="00794E61" w:rsidRPr="009A1A14" w:rsidRDefault="00794E61" w:rsidP="00794E61">
      <w:pPr>
        <w:pStyle w:val="Textonotapie"/>
        <w:ind w:firstLine="567"/>
        <w:jc w:val="both"/>
        <w:rPr>
          <w:rFonts w:ascii="Verdana" w:hAnsi="Verdana" w:cs="Arial"/>
          <w:sz w:val="15"/>
          <w:szCs w:val="15"/>
        </w:rPr>
      </w:pPr>
      <w:r w:rsidRPr="009A1A14">
        <w:rPr>
          <w:rStyle w:val="Refdenotaalpie"/>
          <w:rFonts w:ascii="Verdana" w:hAnsi="Verdana" w:cs="Arial"/>
          <w:sz w:val="15"/>
          <w:szCs w:val="15"/>
        </w:rPr>
        <w:footnoteRef/>
      </w:r>
      <w:r w:rsidRPr="009A1A14">
        <w:rPr>
          <w:rFonts w:ascii="Verdana" w:hAnsi="Verdana" w:cs="Arial"/>
          <w:sz w:val="15"/>
          <w:szCs w:val="15"/>
        </w:rPr>
        <w:t xml:space="preserve"> Consejo de Estado. Sección Tercera. Sentencia del 1 de febrero de 2018. Radicado Nro. 08001-2331-000-2010-00987-01. C.P. Oswaldo Giraldo López.</w:t>
      </w:r>
    </w:p>
  </w:footnote>
  <w:footnote w:id="18">
    <w:p w14:paraId="1651EB8F" w14:textId="77777777" w:rsidR="00794E61" w:rsidRPr="009A1A14" w:rsidRDefault="00794E61" w:rsidP="00794E61">
      <w:pPr>
        <w:pStyle w:val="Textonotapie"/>
        <w:ind w:firstLine="709"/>
        <w:jc w:val="both"/>
        <w:rPr>
          <w:rFonts w:ascii="Verdana" w:hAnsi="Verdana" w:cs="Arial"/>
          <w:sz w:val="15"/>
          <w:szCs w:val="15"/>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hAnsi="Verdana" w:cs="Arial"/>
          <w:sz w:val="15"/>
          <w:szCs w:val="15"/>
        </w:rPr>
        <w:t xml:space="preserve">Consejo de Estado. Sección Tercera. Sentencia del 12 de agosto de 2014. Radicado Nro. </w:t>
      </w:r>
      <w:r w:rsidRPr="009A1A14">
        <w:rPr>
          <w:rFonts w:ascii="Verdana" w:hAnsi="Verdana" w:cs="Arial"/>
          <w:bCs/>
          <w:sz w:val="15"/>
          <w:szCs w:val="15"/>
          <w:lang w:val="es-ES"/>
        </w:rPr>
        <w:t xml:space="preserve">05001-23-31-000-1998-01350-01(28565) </w:t>
      </w:r>
      <w:r w:rsidRPr="009A1A14">
        <w:rPr>
          <w:rFonts w:ascii="Verdana" w:hAnsi="Verdana" w:cs="Arial"/>
          <w:sz w:val="15"/>
          <w:szCs w:val="15"/>
        </w:rPr>
        <w:t>C.P. Enrique Gil Botero.</w:t>
      </w:r>
    </w:p>
  </w:footnote>
  <w:footnote w:id="19">
    <w:p w14:paraId="5FC68272" w14:textId="77777777" w:rsidR="00794E61" w:rsidRPr="009A1A14" w:rsidRDefault="00794E61" w:rsidP="00794E61">
      <w:pPr>
        <w:pStyle w:val="Textonotapie"/>
        <w:ind w:firstLine="709"/>
        <w:jc w:val="both"/>
        <w:rPr>
          <w:rFonts w:ascii="Verdana" w:eastAsia="Calibri" w:hAnsi="Verdana" w:cs="Arial"/>
          <w:color w:val="000000" w:themeColor="text1"/>
          <w:sz w:val="15"/>
          <w:szCs w:val="15"/>
          <w:lang w:val="es-CO"/>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hAnsi="Verdana" w:cs="Arial"/>
          <w:sz w:val="15"/>
          <w:szCs w:val="15"/>
        </w:rPr>
        <w:t xml:space="preserve">Conforme al Artículo 89 del </w:t>
      </w:r>
      <w:r w:rsidRPr="009A1A14">
        <w:rPr>
          <w:rFonts w:ascii="Verdana" w:eastAsia="Calibri" w:hAnsi="Verdana" w:cs="Arial"/>
          <w:color w:val="000000" w:themeColor="text1"/>
          <w:sz w:val="15"/>
          <w:szCs w:val="15"/>
          <w:lang w:val="es-ES"/>
        </w:rPr>
        <w:t>Estatuto Orgánico del Presupuesto</w:t>
      </w:r>
      <w:r w:rsidRPr="009A1A14">
        <w:rPr>
          <w:rFonts w:ascii="Verdana" w:eastAsia="Times New Roman" w:hAnsi="Verdana" w:cs="Arial"/>
          <w:color w:val="4B4949"/>
          <w:sz w:val="15"/>
          <w:szCs w:val="15"/>
          <w:lang w:val="es-CO" w:eastAsia="es-ES_tradnl"/>
        </w:rPr>
        <w:t xml:space="preserve"> </w:t>
      </w:r>
      <w:r w:rsidRPr="009A1A14">
        <w:rPr>
          <w:rFonts w:ascii="Verdana" w:eastAsia="Calibri" w:hAnsi="Verdana" w:cs="Arial"/>
          <w:sz w:val="15"/>
          <w:szCs w:val="15"/>
          <w:lang w:val="es-ES_tradnl"/>
        </w:rPr>
        <w:t xml:space="preserve">“[…] </w:t>
      </w:r>
      <w:r w:rsidRPr="009A1A14">
        <w:rPr>
          <w:rFonts w:ascii="Verdana" w:eastAsia="Times New Roman" w:hAnsi="Verdana" w:cs="Arial"/>
          <w:color w:val="4B4949"/>
          <w:sz w:val="15"/>
          <w:szCs w:val="15"/>
          <w:lang w:val="es-CO" w:eastAsia="es-ES_tradnl"/>
        </w:rPr>
        <w:t>c</w:t>
      </w:r>
      <w:r w:rsidRPr="009A1A14">
        <w:rPr>
          <w:rFonts w:ascii="Verdana" w:eastAsia="Calibri" w:hAnsi="Verdana" w:cs="Arial"/>
          <w:color w:val="000000" w:themeColor="text1"/>
          <w:sz w:val="15"/>
          <w:szCs w:val="15"/>
          <w:lang w:val="es-CO"/>
        </w:rPr>
        <w:t>ada órgano constituirá al 31 de diciembre del año cuentas por pagar con las obligaciones correspondientes a los anticipos pactados en los contratos y a la entrega de bienes y servicios</w:t>
      </w:r>
      <w:r w:rsidRPr="009A1A14">
        <w:rPr>
          <w:rFonts w:ascii="Verdana" w:eastAsia="Calibri" w:hAnsi="Verdana" w:cs="Arial"/>
          <w:sz w:val="15"/>
          <w:szCs w:val="15"/>
          <w:lang w:val="es-ES_tradnl"/>
        </w:rPr>
        <w:t>”</w:t>
      </w:r>
      <w:r w:rsidRPr="009A1A14">
        <w:rPr>
          <w:rFonts w:ascii="Verdana" w:eastAsia="Calibri" w:hAnsi="Verdana" w:cs="Arial"/>
          <w:color w:val="000000" w:themeColor="text1"/>
          <w:sz w:val="15"/>
          <w:szCs w:val="15"/>
          <w:lang w:val="es-CO"/>
        </w:rPr>
        <w:t>.</w:t>
      </w:r>
    </w:p>
  </w:footnote>
  <w:footnote w:id="20">
    <w:p w14:paraId="5D8743C7" w14:textId="77777777" w:rsidR="00794E61" w:rsidRPr="009A1A14" w:rsidRDefault="00794E61" w:rsidP="00794E61">
      <w:pPr>
        <w:pStyle w:val="Textonotapie"/>
        <w:ind w:firstLine="709"/>
        <w:jc w:val="both"/>
        <w:rPr>
          <w:rFonts w:ascii="Verdana" w:hAnsi="Verdana" w:cs="Arial"/>
          <w:sz w:val="15"/>
          <w:szCs w:val="15"/>
          <w:lang w:val="es-CO"/>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eastAsia="Calibri" w:hAnsi="Verdana" w:cs="Arial"/>
          <w:color w:val="000000" w:themeColor="text1"/>
          <w:sz w:val="15"/>
          <w:szCs w:val="15"/>
          <w:lang w:val="es-ES"/>
        </w:rPr>
        <w:t>Artículo 89 del Estatuto Orgánico del Presupuesto</w:t>
      </w:r>
    </w:p>
  </w:footnote>
  <w:footnote w:id="21">
    <w:p w14:paraId="29400681" w14:textId="77777777" w:rsidR="00794E61" w:rsidRPr="009A1A14" w:rsidRDefault="00794E61" w:rsidP="00794E61">
      <w:pPr>
        <w:pStyle w:val="Textonotapie"/>
        <w:ind w:firstLine="709"/>
        <w:jc w:val="both"/>
        <w:rPr>
          <w:rFonts w:ascii="Verdana" w:hAnsi="Verdana"/>
          <w:sz w:val="15"/>
          <w:szCs w:val="15"/>
          <w:lang w:val="es-CO"/>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eastAsia="Calibri" w:hAnsi="Verdana" w:cs="Arial"/>
          <w:sz w:val="15"/>
          <w:szCs w:val="15"/>
          <w:lang w:val="es-ES_tradnl"/>
        </w:rPr>
        <w:t>“</w:t>
      </w:r>
      <w:r w:rsidRPr="009A1A14">
        <w:rPr>
          <w:rFonts w:ascii="Verdana" w:hAnsi="Verdana" w:cs="Arial"/>
          <w:sz w:val="15"/>
          <w:szCs w:val="15"/>
          <w:lang w:val="es-CO"/>
        </w:rPr>
        <w:t>Artículo </w:t>
      </w:r>
      <w:bookmarkStart w:id="13" w:name="2.8.1.7.3.2"/>
      <w:bookmarkEnd w:id="13"/>
      <w:r w:rsidRPr="009A1A14">
        <w:rPr>
          <w:rFonts w:ascii="Verdana" w:hAnsi="Verdana" w:cs="Arial"/>
          <w:sz w:val="15"/>
          <w:szCs w:val="15"/>
          <w:lang w:val="es-CO"/>
        </w:rPr>
        <w:t>2.8.1.7.3.2. </w:t>
      </w:r>
      <w:r w:rsidRPr="009A1A14">
        <w:rPr>
          <w:rFonts w:ascii="Verdana" w:hAnsi="Verdana" w:cs="Arial"/>
          <w:i/>
          <w:iCs/>
          <w:sz w:val="15"/>
          <w:szCs w:val="15"/>
          <w:lang w:val="es-CO"/>
        </w:rPr>
        <w:t>Constitución de reservas presupuestales y cuentas por pagar. </w:t>
      </w:r>
      <w:r w:rsidRPr="009A1A14">
        <w:rPr>
          <w:rFonts w:ascii="Verdana" w:hAnsi="Verdana" w:cs="Arial"/>
          <w:sz w:val="15"/>
          <w:szCs w:val="15"/>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9A1A14">
        <w:rPr>
          <w:rFonts w:ascii="Verdana" w:eastAsia="Calibri" w:hAnsi="Verdana" w:cs="Arial"/>
          <w:sz w:val="15"/>
          <w:szCs w:val="15"/>
          <w:lang w:val="es-ES_tradnl"/>
        </w:rPr>
        <w:t>”</w:t>
      </w:r>
      <w:r w:rsidRPr="009A1A14">
        <w:rPr>
          <w:rFonts w:ascii="Verdana" w:hAnsi="Verdana" w:cs="Arial"/>
          <w:sz w:val="15"/>
          <w:szCs w:val="15"/>
          <w:lang w:val="es-CO"/>
        </w:rPr>
        <w:t>.</w:t>
      </w:r>
    </w:p>
  </w:footnote>
  <w:footnote w:id="22">
    <w:p w14:paraId="18465B35" w14:textId="77777777" w:rsidR="00794E61" w:rsidRPr="009A1A14" w:rsidRDefault="00794E61" w:rsidP="00794E61">
      <w:pPr>
        <w:pStyle w:val="Textonotapie"/>
        <w:ind w:firstLine="709"/>
        <w:jc w:val="both"/>
        <w:rPr>
          <w:rFonts w:ascii="Verdana" w:hAnsi="Verdana" w:cs="Arial"/>
          <w:sz w:val="15"/>
          <w:szCs w:val="15"/>
          <w:lang w:val="es-CO"/>
        </w:rPr>
      </w:pPr>
      <w:r w:rsidRPr="009A1A14">
        <w:rPr>
          <w:rStyle w:val="Refdenotaalpie"/>
          <w:rFonts w:ascii="Verdana" w:hAnsi="Verdana" w:cs="Arial"/>
          <w:sz w:val="15"/>
          <w:szCs w:val="15"/>
        </w:rPr>
        <w:footnoteRef/>
      </w:r>
      <w:r w:rsidRPr="009A1A14">
        <w:rPr>
          <w:rFonts w:ascii="Verdana" w:hAnsi="Verdana" w:cs="Arial"/>
          <w:sz w:val="15"/>
          <w:szCs w:val="15"/>
        </w:rPr>
        <w:t xml:space="preserve"> </w:t>
      </w:r>
      <w:r w:rsidRPr="009A1A14">
        <w:rPr>
          <w:rFonts w:ascii="Verdana" w:hAnsi="Verdana" w:cs="Arial"/>
          <w:sz w:val="15"/>
          <w:szCs w:val="15"/>
          <w:lang w:val="es-CO"/>
        </w:rPr>
        <w:t>Contraloría General de la República. Circular Externa 43 de 2008.</w:t>
      </w:r>
    </w:p>
  </w:footnote>
  <w:footnote w:id="23">
    <w:p w14:paraId="5E25B9A6" w14:textId="77777777" w:rsidR="00794E61" w:rsidRPr="009A1A14" w:rsidRDefault="00794E61" w:rsidP="00794E61">
      <w:pPr>
        <w:pStyle w:val="Textonotapie"/>
        <w:ind w:right="49" w:firstLine="708"/>
        <w:jc w:val="both"/>
        <w:rPr>
          <w:rFonts w:ascii="Verdana" w:hAnsi="Verdana" w:cs="Arial"/>
          <w:color w:val="000000"/>
          <w:sz w:val="15"/>
          <w:szCs w:val="15"/>
        </w:rPr>
      </w:pPr>
      <w:r w:rsidRPr="009A1A14">
        <w:rPr>
          <w:rStyle w:val="Refdenotaalpie"/>
          <w:rFonts w:ascii="Verdana" w:hAnsi="Verdana"/>
          <w:sz w:val="15"/>
          <w:szCs w:val="15"/>
        </w:rPr>
        <w:footnoteRef/>
      </w:r>
      <w:r w:rsidRPr="009A1A14">
        <w:rPr>
          <w:rFonts w:ascii="Verdana" w:hAnsi="Verdana"/>
          <w:sz w:val="15"/>
          <w:szCs w:val="15"/>
        </w:rPr>
        <w:t xml:space="preserve"> </w:t>
      </w:r>
      <w:r w:rsidRPr="009A1A14">
        <w:rPr>
          <w:rFonts w:ascii="Verdana" w:hAnsi="Verdana" w:cs="Arial"/>
          <w:color w:val="000000"/>
          <w:sz w:val="15"/>
          <w:szCs w:val="15"/>
        </w:rPr>
        <w:t>Consejo de Estado. Sección Tercera. Sentencia del 1 de febrero de 2018. Radicado Nro.</w:t>
      </w:r>
      <w:r w:rsidRPr="009A1A14">
        <w:rPr>
          <w:rFonts w:ascii="Verdana" w:hAnsi="Verdana" w:cs="Arial"/>
          <w:color w:val="000000"/>
          <w:sz w:val="15"/>
          <w:szCs w:val="15"/>
          <w:lang w:val="es-CO"/>
        </w:rPr>
        <w:t xml:space="preserve"> 08001-2331-000-2010-00987-01</w:t>
      </w:r>
      <w:r w:rsidRPr="009A1A14">
        <w:rPr>
          <w:rFonts w:ascii="Verdana" w:hAnsi="Verdana" w:cs="Arial"/>
          <w:color w:val="000000"/>
          <w:sz w:val="15"/>
          <w:szCs w:val="15"/>
        </w:rPr>
        <w:t xml:space="preserve">. C.P. </w:t>
      </w:r>
      <w:r w:rsidRPr="009A1A14">
        <w:rPr>
          <w:rFonts w:ascii="Verdana" w:hAnsi="Verdana" w:cs="Arial"/>
          <w:color w:val="000000"/>
          <w:sz w:val="15"/>
          <w:szCs w:val="15"/>
          <w:lang w:val="es-CO"/>
        </w:rPr>
        <w:t>Oswaldo Giraldo López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A36B19"/>
    <w:multiLevelType w:val="hybridMultilevel"/>
    <w:tmpl w:val="953A4E2C"/>
    <w:lvl w:ilvl="0" w:tplc="0409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22711EB"/>
    <w:multiLevelType w:val="hybridMultilevel"/>
    <w:tmpl w:val="0FB63FEC"/>
    <w:lvl w:ilvl="0" w:tplc="EF92621A">
      <w:start w:val="1"/>
      <w:numFmt w:val="upperRoman"/>
      <w:lvlText w:val="(%1)"/>
      <w:lvlJc w:val="left"/>
      <w:pPr>
        <w:ind w:left="1440" w:hanging="108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86512"/>
    <w:multiLevelType w:val="multilevel"/>
    <w:tmpl w:val="3F867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CD5EE9"/>
    <w:multiLevelType w:val="hybridMultilevel"/>
    <w:tmpl w:val="DD14DA0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557C12"/>
    <w:multiLevelType w:val="multilevel"/>
    <w:tmpl w:val="3408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81D7D82"/>
    <w:multiLevelType w:val="hybridMultilevel"/>
    <w:tmpl w:val="97DC6182"/>
    <w:lvl w:ilvl="0" w:tplc="9A02B0A0">
      <w:start w:val="3"/>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F7234A4"/>
    <w:multiLevelType w:val="hybridMultilevel"/>
    <w:tmpl w:val="DB780AF2"/>
    <w:lvl w:ilvl="0" w:tplc="4A062EC6">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7B1080"/>
    <w:multiLevelType w:val="hybridMultilevel"/>
    <w:tmpl w:val="80B2A1A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15:restartNumberingAfterBreak="0">
    <w:nsid w:val="5E650EA1"/>
    <w:multiLevelType w:val="hybridMultilevel"/>
    <w:tmpl w:val="4F221DA8"/>
    <w:lvl w:ilvl="0" w:tplc="6EF2AD8C">
      <w:start w:val="1"/>
      <w:numFmt w:val="low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7AD0B1A"/>
    <w:multiLevelType w:val="hybridMultilevel"/>
    <w:tmpl w:val="450C5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48779781">
    <w:abstractNumId w:val="11"/>
  </w:num>
  <w:num w:numId="2" w16cid:durableId="19822139">
    <w:abstractNumId w:val="3"/>
  </w:num>
  <w:num w:numId="3" w16cid:durableId="876742304">
    <w:abstractNumId w:val="8"/>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2"/>
  </w:num>
  <w:num w:numId="7" w16cid:durableId="1946422806">
    <w:abstractNumId w:val="9"/>
  </w:num>
  <w:num w:numId="8" w16cid:durableId="152644682">
    <w:abstractNumId w:val="21"/>
  </w:num>
  <w:num w:numId="9" w16cid:durableId="1317221377">
    <w:abstractNumId w:val="12"/>
  </w:num>
  <w:num w:numId="10" w16cid:durableId="1471245386">
    <w:abstractNumId w:val="20"/>
  </w:num>
  <w:num w:numId="11" w16cid:durableId="289172385">
    <w:abstractNumId w:val="13"/>
  </w:num>
  <w:num w:numId="12" w16cid:durableId="1470781324">
    <w:abstractNumId w:val="1"/>
  </w:num>
  <w:num w:numId="13" w16cid:durableId="1512908409">
    <w:abstractNumId w:val="5"/>
  </w:num>
  <w:num w:numId="14" w16cid:durableId="895897244">
    <w:abstractNumId w:val="23"/>
  </w:num>
  <w:num w:numId="15" w16cid:durableId="390349800">
    <w:abstractNumId w:val="19"/>
  </w:num>
  <w:num w:numId="16" w16cid:durableId="341274352">
    <w:abstractNumId w:val="0"/>
  </w:num>
  <w:num w:numId="17" w16cid:durableId="679089576">
    <w:abstractNumId w:val="15"/>
  </w:num>
  <w:num w:numId="18" w16cid:durableId="210121676">
    <w:abstractNumId w:val="2"/>
  </w:num>
  <w:num w:numId="19" w16cid:durableId="2070420704">
    <w:abstractNumId w:val="6"/>
  </w:num>
  <w:num w:numId="20" w16cid:durableId="620262515">
    <w:abstractNumId w:val="18"/>
  </w:num>
  <w:num w:numId="21" w16cid:durableId="2034187924">
    <w:abstractNumId w:val="4"/>
  </w:num>
  <w:num w:numId="22" w16cid:durableId="26637755">
    <w:abstractNumId w:val="10"/>
  </w:num>
  <w:num w:numId="23" w16cid:durableId="1209611643">
    <w:abstractNumId w:val="25"/>
  </w:num>
  <w:num w:numId="24" w16cid:durableId="920336469">
    <w:abstractNumId w:val="14"/>
  </w:num>
  <w:num w:numId="25" w16cid:durableId="1442605298">
    <w:abstractNumId w:val="17"/>
  </w:num>
  <w:num w:numId="26" w16cid:durableId="475727215">
    <w:abstractNumId w:val="16"/>
  </w:num>
  <w:num w:numId="27" w16cid:durableId="1926646035">
    <w:abstractNumId w:val="7"/>
  </w:num>
  <w:num w:numId="28" w16cid:durableId="78403917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DED"/>
    <w:rsid w:val="00016F78"/>
    <w:rsid w:val="00016F7F"/>
    <w:rsid w:val="00017CDC"/>
    <w:rsid w:val="00027D1B"/>
    <w:rsid w:val="000313D6"/>
    <w:rsid w:val="00033096"/>
    <w:rsid w:val="00046945"/>
    <w:rsid w:val="00061B2A"/>
    <w:rsid w:val="00082362"/>
    <w:rsid w:val="000A683E"/>
    <w:rsid w:val="000B03FF"/>
    <w:rsid w:val="000B19B9"/>
    <w:rsid w:val="000C38C9"/>
    <w:rsid w:val="000D0334"/>
    <w:rsid w:val="000E6C34"/>
    <w:rsid w:val="000F6486"/>
    <w:rsid w:val="00125105"/>
    <w:rsid w:val="00127233"/>
    <w:rsid w:val="001361B1"/>
    <w:rsid w:val="00145BE1"/>
    <w:rsid w:val="001511A0"/>
    <w:rsid w:val="001706D2"/>
    <w:rsid w:val="001763E9"/>
    <w:rsid w:val="00186FB8"/>
    <w:rsid w:val="0019437B"/>
    <w:rsid w:val="001A34F0"/>
    <w:rsid w:val="001A665C"/>
    <w:rsid w:val="001E3CD8"/>
    <w:rsid w:val="001E4177"/>
    <w:rsid w:val="001E5493"/>
    <w:rsid w:val="001F26A7"/>
    <w:rsid w:val="001F7B30"/>
    <w:rsid w:val="001F7DC6"/>
    <w:rsid w:val="00203E46"/>
    <w:rsid w:val="002421BB"/>
    <w:rsid w:val="002562E6"/>
    <w:rsid w:val="0025796E"/>
    <w:rsid w:val="0026223F"/>
    <w:rsid w:val="00266D24"/>
    <w:rsid w:val="002707A2"/>
    <w:rsid w:val="002951A0"/>
    <w:rsid w:val="002962BC"/>
    <w:rsid w:val="002A093D"/>
    <w:rsid w:val="002A0DD0"/>
    <w:rsid w:val="002A49AC"/>
    <w:rsid w:val="002A64FD"/>
    <w:rsid w:val="002C7A84"/>
    <w:rsid w:val="002E4FD9"/>
    <w:rsid w:val="002F643B"/>
    <w:rsid w:val="00322A85"/>
    <w:rsid w:val="00324118"/>
    <w:rsid w:val="00324168"/>
    <w:rsid w:val="0032445E"/>
    <w:rsid w:val="003258CC"/>
    <w:rsid w:val="003448F4"/>
    <w:rsid w:val="00374F5E"/>
    <w:rsid w:val="00377E3E"/>
    <w:rsid w:val="00394170"/>
    <w:rsid w:val="003A779E"/>
    <w:rsid w:val="003C31BE"/>
    <w:rsid w:val="003C3592"/>
    <w:rsid w:val="003D0F4D"/>
    <w:rsid w:val="003D5B0D"/>
    <w:rsid w:val="003E0499"/>
    <w:rsid w:val="003E2F40"/>
    <w:rsid w:val="003F178F"/>
    <w:rsid w:val="003F2D75"/>
    <w:rsid w:val="003F3941"/>
    <w:rsid w:val="00406575"/>
    <w:rsid w:val="0041013D"/>
    <w:rsid w:val="004119F2"/>
    <w:rsid w:val="00414C74"/>
    <w:rsid w:val="00424C02"/>
    <w:rsid w:val="0042722E"/>
    <w:rsid w:val="00436B7B"/>
    <w:rsid w:val="0044528D"/>
    <w:rsid w:val="00471A6C"/>
    <w:rsid w:val="004760B2"/>
    <w:rsid w:val="004A1847"/>
    <w:rsid w:val="004A305D"/>
    <w:rsid w:val="004D7788"/>
    <w:rsid w:val="004F21C4"/>
    <w:rsid w:val="004F685F"/>
    <w:rsid w:val="005566E8"/>
    <w:rsid w:val="00572EE9"/>
    <w:rsid w:val="00574867"/>
    <w:rsid w:val="00591460"/>
    <w:rsid w:val="0059263B"/>
    <w:rsid w:val="00594DC1"/>
    <w:rsid w:val="005B1F0A"/>
    <w:rsid w:val="005B2A00"/>
    <w:rsid w:val="005B3816"/>
    <w:rsid w:val="005C3777"/>
    <w:rsid w:val="005C5CDC"/>
    <w:rsid w:val="005D476C"/>
    <w:rsid w:val="005E5FBA"/>
    <w:rsid w:val="00613243"/>
    <w:rsid w:val="006219F8"/>
    <w:rsid w:val="00646285"/>
    <w:rsid w:val="0065116C"/>
    <w:rsid w:val="006522FA"/>
    <w:rsid w:val="00665D70"/>
    <w:rsid w:val="00675756"/>
    <w:rsid w:val="00682225"/>
    <w:rsid w:val="006900D9"/>
    <w:rsid w:val="006A3F71"/>
    <w:rsid w:val="006F5E3A"/>
    <w:rsid w:val="00706C16"/>
    <w:rsid w:val="00707D6A"/>
    <w:rsid w:val="00734E80"/>
    <w:rsid w:val="00745E09"/>
    <w:rsid w:val="00756841"/>
    <w:rsid w:val="007649AB"/>
    <w:rsid w:val="00771D0C"/>
    <w:rsid w:val="00772E46"/>
    <w:rsid w:val="007804ED"/>
    <w:rsid w:val="007833AC"/>
    <w:rsid w:val="00791156"/>
    <w:rsid w:val="00794E61"/>
    <w:rsid w:val="007B268C"/>
    <w:rsid w:val="007B5C15"/>
    <w:rsid w:val="007B7171"/>
    <w:rsid w:val="007C0C0F"/>
    <w:rsid w:val="007C3DC2"/>
    <w:rsid w:val="007E4B75"/>
    <w:rsid w:val="007E5497"/>
    <w:rsid w:val="007E7517"/>
    <w:rsid w:val="00806F5F"/>
    <w:rsid w:val="00820278"/>
    <w:rsid w:val="00831BD4"/>
    <w:rsid w:val="00832CD6"/>
    <w:rsid w:val="008445F6"/>
    <w:rsid w:val="00851E34"/>
    <w:rsid w:val="00867F95"/>
    <w:rsid w:val="0087155E"/>
    <w:rsid w:val="008774DB"/>
    <w:rsid w:val="008843B6"/>
    <w:rsid w:val="00891928"/>
    <w:rsid w:val="008A446D"/>
    <w:rsid w:val="008A702B"/>
    <w:rsid w:val="008C4F18"/>
    <w:rsid w:val="008D180B"/>
    <w:rsid w:val="008D7C46"/>
    <w:rsid w:val="008F0EA7"/>
    <w:rsid w:val="008F339A"/>
    <w:rsid w:val="008F4E44"/>
    <w:rsid w:val="00920A1D"/>
    <w:rsid w:val="00923EEF"/>
    <w:rsid w:val="009419F9"/>
    <w:rsid w:val="0095685E"/>
    <w:rsid w:val="009573CE"/>
    <w:rsid w:val="00961B09"/>
    <w:rsid w:val="00965334"/>
    <w:rsid w:val="0097093E"/>
    <w:rsid w:val="00986AC5"/>
    <w:rsid w:val="0099627A"/>
    <w:rsid w:val="009A0DFA"/>
    <w:rsid w:val="009A40AF"/>
    <w:rsid w:val="009B2D26"/>
    <w:rsid w:val="009C71FA"/>
    <w:rsid w:val="009C72E7"/>
    <w:rsid w:val="009D3058"/>
    <w:rsid w:val="009D48E6"/>
    <w:rsid w:val="009F3A13"/>
    <w:rsid w:val="00A01F1C"/>
    <w:rsid w:val="00A1047B"/>
    <w:rsid w:val="00A122D3"/>
    <w:rsid w:val="00A17F13"/>
    <w:rsid w:val="00A20739"/>
    <w:rsid w:val="00A33C78"/>
    <w:rsid w:val="00A4483D"/>
    <w:rsid w:val="00A53EE9"/>
    <w:rsid w:val="00A715B1"/>
    <w:rsid w:val="00AB0ADB"/>
    <w:rsid w:val="00AD2E8A"/>
    <w:rsid w:val="00AD400B"/>
    <w:rsid w:val="00B01B1A"/>
    <w:rsid w:val="00B40291"/>
    <w:rsid w:val="00B40628"/>
    <w:rsid w:val="00B53601"/>
    <w:rsid w:val="00B61ED7"/>
    <w:rsid w:val="00B66319"/>
    <w:rsid w:val="00B72CD3"/>
    <w:rsid w:val="00B72FFF"/>
    <w:rsid w:val="00B96B42"/>
    <w:rsid w:val="00BC3D36"/>
    <w:rsid w:val="00BD5F45"/>
    <w:rsid w:val="00BD7F72"/>
    <w:rsid w:val="00C0447F"/>
    <w:rsid w:val="00C04FB3"/>
    <w:rsid w:val="00C330EB"/>
    <w:rsid w:val="00C41061"/>
    <w:rsid w:val="00C43757"/>
    <w:rsid w:val="00C53FF9"/>
    <w:rsid w:val="00C63B20"/>
    <w:rsid w:val="00C6754C"/>
    <w:rsid w:val="00C754BE"/>
    <w:rsid w:val="00C767D1"/>
    <w:rsid w:val="00C76B1C"/>
    <w:rsid w:val="00CB6357"/>
    <w:rsid w:val="00CC1B26"/>
    <w:rsid w:val="00CE1C9F"/>
    <w:rsid w:val="00CF0A87"/>
    <w:rsid w:val="00CF7035"/>
    <w:rsid w:val="00D03BD8"/>
    <w:rsid w:val="00D07D2B"/>
    <w:rsid w:val="00D20BC6"/>
    <w:rsid w:val="00D214CB"/>
    <w:rsid w:val="00D423A2"/>
    <w:rsid w:val="00D46F13"/>
    <w:rsid w:val="00D520D8"/>
    <w:rsid w:val="00D5282E"/>
    <w:rsid w:val="00D63AC2"/>
    <w:rsid w:val="00D71328"/>
    <w:rsid w:val="00D7383B"/>
    <w:rsid w:val="00DA0FB2"/>
    <w:rsid w:val="00DA231B"/>
    <w:rsid w:val="00DB74FF"/>
    <w:rsid w:val="00DC39FC"/>
    <w:rsid w:val="00DF5254"/>
    <w:rsid w:val="00E16408"/>
    <w:rsid w:val="00E20894"/>
    <w:rsid w:val="00E245AB"/>
    <w:rsid w:val="00E2764C"/>
    <w:rsid w:val="00E27F2E"/>
    <w:rsid w:val="00E50AFE"/>
    <w:rsid w:val="00E71804"/>
    <w:rsid w:val="00E75C92"/>
    <w:rsid w:val="00E771DC"/>
    <w:rsid w:val="00E8772A"/>
    <w:rsid w:val="00E90F6B"/>
    <w:rsid w:val="00E92C27"/>
    <w:rsid w:val="00EA0E3D"/>
    <w:rsid w:val="00EA4C66"/>
    <w:rsid w:val="00EA4C98"/>
    <w:rsid w:val="00EC38A7"/>
    <w:rsid w:val="00ED7384"/>
    <w:rsid w:val="00EE1AA8"/>
    <w:rsid w:val="00EF2F65"/>
    <w:rsid w:val="00F02ED2"/>
    <w:rsid w:val="00F219A5"/>
    <w:rsid w:val="00F231DA"/>
    <w:rsid w:val="00F31EDC"/>
    <w:rsid w:val="00F33E8F"/>
    <w:rsid w:val="00F42DCD"/>
    <w:rsid w:val="00F462B3"/>
    <w:rsid w:val="00F550A3"/>
    <w:rsid w:val="00F5664F"/>
    <w:rsid w:val="00F666C4"/>
    <w:rsid w:val="00F76AFC"/>
    <w:rsid w:val="00F7711F"/>
    <w:rsid w:val="00F915BD"/>
    <w:rsid w:val="00FA0D1F"/>
    <w:rsid w:val="00FA47C0"/>
    <w:rsid w:val="00FB5DD1"/>
    <w:rsid w:val="00FC2B5D"/>
    <w:rsid w:val="00FD4E04"/>
    <w:rsid w:val="00FF1449"/>
    <w:rsid w:val="00FF30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1DABC49-85F7-6449-BBCB-CCF152131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9962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94E6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94E61"/>
    <w:rPr>
      <w:rFonts w:ascii="Geomanist Light" w:hAnsi="Geomanist Light"/>
      <w:lang w:val="es-ES"/>
    </w:rPr>
  </w:style>
  <w:style w:type="paragraph" w:styleId="Textoindependiente">
    <w:name w:val="Body Text"/>
    <w:basedOn w:val="Normal"/>
    <w:link w:val="TextoindependienteCar"/>
    <w:uiPriority w:val="99"/>
    <w:unhideWhenUsed/>
    <w:rsid w:val="00794E6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794E61"/>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rsid w:val="00794E61"/>
    <w:rPr>
      <w:rFonts w:ascii="Times New Roman" w:eastAsia="Times New Roman" w:hAnsi="Times New Roman" w:cs="Times New Roman"/>
      <w:sz w:val="24"/>
      <w:szCs w:val="24"/>
      <w:lang w:eastAsia="es-CO"/>
    </w:rPr>
  </w:style>
  <w:style w:type="character" w:customStyle="1" w:styleId="Ttulo1Car">
    <w:name w:val="Título 1 Car"/>
    <w:basedOn w:val="Fuentedeprrafopredeter"/>
    <w:link w:val="Ttulo1"/>
    <w:uiPriority w:val="9"/>
    <w:rsid w:val="0099627A"/>
    <w:rPr>
      <w:rFonts w:asciiTheme="majorHAnsi" w:eastAsiaTheme="majorEastAsia" w:hAnsiTheme="majorHAnsi" w:cstheme="majorBidi"/>
      <w:color w:val="2F5496" w:themeColor="accent1" w:themeShade="BF"/>
      <w:sz w:val="32"/>
      <w:szCs w:val="32"/>
    </w:rPr>
  </w:style>
  <w:style w:type="character" w:customStyle="1" w:styleId="s15">
    <w:name w:val="s15"/>
    <w:basedOn w:val="Fuentedeprrafopredeter"/>
    <w:rsid w:val="00186FB8"/>
  </w:style>
  <w:style w:type="character" w:customStyle="1" w:styleId="apple-converted-space">
    <w:name w:val="apple-converted-space"/>
    <w:basedOn w:val="Fuentedeprrafopredeter"/>
    <w:rsid w:val="00186F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397711">
      <w:bodyDiv w:val="1"/>
      <w:marLeft w:val="0"/>
      <w:marRight w:val="0"/>
      <w:marTop w:val="0"/>
      <w:marBottom w:val="0"/>
      <w:divBdr>
        <w:top w:val="none" w:sz="0" w:space="0" w:color="auto"/>
        <w:left w:val="none" w:sz="0" w:space="0" w:color="auto"/>
        <w:bottom w:val="none" w:sz="0" w:space="0" w:color="auto"/>
        <w:right w:val="none" w:sz="0" w:space="0" w:color="auto"/>
      </w:divBdr>
    </w:div>
    <w:div w:id="270866895">
      <w:bodyDiv w:val="1"/>
      <w:marLeft w:val="0"/>
      <w:marRight w:val="0"/>
      <w:marTop w:val="0"/>
      <w:marBottom w:val="0"/>
      <w:divBdr>
        <w:top w:val="none" w:sz="0" w:space="0" w:color="auto"/>
        <w:left w:val="none" w:sz="0" w:space="0" w:color="auto"/>
        <w:bottom w:val="none" w:sz="0" w:space="0" w:color="auto"/>
        <w:right w:val="none" w:sz="0" w:space="0" w:color="auto"/>
      </w:divBdr>
    </w:div>
    <w:div w:id="436021120">
      <w:bodyDiv w:val="1"/>
      <w:marLeft w:val="0"/>
      <w:marRight w:val="0"/>
      <w:marTop w:val="0"/>
      <w:marBottom w:val="0"/>
      <w:divBdr>
        <w:top w:val="none" w:sz="0" w:space="0" w:color="auto"/>
        <w:left w:val="none" w:sz="0" w:space="0" w:color="auto"/>
        <w:bottom w:val="none" w:sz="0" w:space="0" w:color="auto"/>
        <w:right w:val="none" w:sz="0" w:space="0" w:color="auto"/>
      </w:divBdr>
    </w:div>
    <w:div w:id="482161101">
      <w:bodyDiv w:val="1"/>
      <w:marLeft w:val="0"/>
      <w:marRight w:val="0"/>
      <w:marTop w:val="0"/>
      <w:marBottom w:val="0"/>
      <w:divBdr>
        <w:top w:val="none" w:sz="0" w:space="0" w:color="auto"/>
        <w:left w:val="none" w:sz="0" w:space="0" w:color="auto"/>
        <w:bottom w:val="none" w:sz="0" w:space="0" w:color="auto"/>
        <w:right w:val="none" w:sz="0" w:space="0" w:color="auto"/>
      </w:divBdr>
    </w:div>
    <w:div w:id="505023509">
      <w:bodyDiv w:val="1"/>
      <w:marLeft w:val="0"/>
      <w:marRight w:val="0"/>
      <w:marTop w:val="0"/>
      <w:marBottom w:val="0"/>
      <w:divBdr>
        <w:top w:val="none" w:sz="0" w:space="0" w:color="auto"/>
        <w:left w:val="none" w:sz="0" w:space="0" w:color="auto"/>
        <w:bottom w:val="none" w:sz="0" w:space="0" w:color="auto"/>
        <w:right w:val="none" w:sz="0" w:space="0" w:color="auto"/>
      </w:divBdr>
    </w:div>
    <w:div w:id="534462927">
      <w:bodyDiv w:val="1"/>
      <w:marLeft w:val="0"/>
      <w:marRight w:val="0"/>
      <w:marTop w:val="0"/>
      <w:marBottom w:val="0"/>
      <w:divBdr>
        <w:top w:val="none" w:sz="0" w:space="0" w:color="auto"/>
        <w:left w:val="none" w:sz="0" w:space="0" w:color="auto"/>
        <w:bottom w:val="none" w:sz="0" w:space="0" w:color="auto"/>
        <w:right w:val="none" w:sz="0" w:space="0" w:color="auto"/>
      </w:divBdr>
      <w:divsChild>
        <w:div w:id="1252740549">
          <w:marLeft w:val="0"/>
          <w:marRight w:val="0"/>
          <w:marTop w:val="0"/>
          <w:marBottom w:val="0"/>
          <w:divBdr>
            <w:top w:val="none" w:sz="0" w:space="0" w:color="auto"/>
            <w:left w:val="none" w:sz="0" w:space="0" w:color="auto"/>
            <w:bottom w:val="none" w:sz="0" w:space="0" w:color="auto"/>
            <w:right w:val="none" w:sz="0" w:space="0" w:color="auto"/>
          </w:divBdr>
          <w:divsChild>
            <w:div w:id="1676881928">
              <w:marLeft w:val="0"/>
              <w:marRight w:val="0"/>
              <w:marTop w:val="0"/>
              <w:marBottom w:val="0"/>
              <w:divBdr>
                <w:top w:val="none" w:sz="0" w:space="0" w:color="auto"/>
                <w:left w:val="none" w:sz="0" w:space="0" w:color="auto"/>
                <w:bottom w:val="none" w:sz="0" w:space="0" w:color="auto"/>
                <w:right w:val="none" w:sz="0" w:space="0" w:color="auto"/>
              </w:divBdr>
              <w:divsChild>
                <w:div w:id="85033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5291154">
      <w:bodyDiv w:val="1"/>
      <w:marLeft w:val="0"/>
      <w:marRight w:val="0"/>
      <w:marTop w:val="0"/>
      <w:marBottom w:val="0"/>
      <w:divBdr>
        <w:top w:val="none" w:sz="0" w:space="0" w:color="auto"/>
        <w:left w:val="none" w:sz="0" w:space="0" w:color="auto"/>
        <w:bottom w:val="none" w:sz="0" w:space="0" w:color="auto"/>
        <w:right w:val="none" w:sz="0" w:space="0" w:color="auto"/>
      </w:divBdr>
    </w:div>
    <w:div w:id="914628700">
      <w:bodyDiv w:val="1"/>
      <w:marLeft w:val="0"/>
      <w:marRight w:val="0"/>
      <w:marTop w:val="0"/>
      <w:marBottom w:val="0"/>
      <w:divBdr>
        <w:top w:val="none" w:sz="0" w:space="0" w:color="auto"/>
        <w:left w:val="none" w:sz="0" w:space="0" w:color="auto"/>
        <w:bottom w:val="none" w:sz="0" w:space="0" w:color="auto"/>
        <w:right w:val="none" w:sz="0" w:space="0" w:color="auto"/>
      </w:divBdr>
      <w:divsChild>
        <w:div w:id="1766415094">
          <w:marLeft w:val="0"/>
          <w:marRight w:val="0"/>
          <w:marTop w:val="0"/>
          <w:marBottom w:val="0"/>
          <w:divBdr>
            <w:top w:val="none" w:sz="0" w:space="0" w:color="auto"/>
            <w:left w:val="none" w:sz="0" w:space="0" w:color="auto"/>
            <w:bottom w:val="none" w:sz="0" w:space="0" w:color="auto"/>
            <w:right w:val="none" w:sz="0" w:space="0" w:color="auto"/>
          </w:divBdr>
          <w:divsChild>
            <w:div w:id="694426922">
              <w:marLeft w:val="0"/>
              <w:marRight w:val="0"/>
              <w:marTop w:val="0"/>
              <w:marBottom w:val="0"/>
              <w:divBdr>
                <w:top w:val="none" w:sz="0" w:space="0" w:color="auto"/>
                <w:left w:val="none" w:sz="0" w:space="0" w:color="auto"/>
                <w:bottom w:val="none" w:sz="0" w:space="0" w:color="auto"/>
                <w:right w:val="none" w:sz="0" w:space="0" w:color="auto"/>
              </w:divBdr>
              <w:divsChild>
                <w:div w:id="1372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481486">
      <w:bodyDiv w:val="1"/>
      <w:marLeft w:val="0"/>
      <w:marRight w:val="0"/>
      <w:marTop w:val="0"/>
      <w:marBottom w:val="0"/>
      <w:divBdr>
        <w:top w:val="none" w:sz="0" w:space="0" w:color="auto"/>
        <w:left w:val="none" w:sz="0" w:space="0" w:color="auto"/>
        <w:bottom w:val="none" w:sz="0" w:space="0" w:color="auto"/>
        <w:right w:val="none" w:sz="0" w:space="0" w:color="auto"/>
      </w:divBdr>
    </w:div>
    <w:div w:id="951090393">
      <w:bodyDiv w:val="1"/>
      <w:marLeft w:val="0"/>
      <w:marRight w:val="0"/>
      <w:marTop w:val="0"/>
      <w:marBottom w:val="0"/>
      <w:divBdr>
        <w:top w:val="none" w:sz="0" w:space="0" w:color="auto"/>
        <w:left w:val="none" w:sz="0" w:space="0" w:color="auto"/>
        <w:bottom w:val="none" w:sz="0" w:space="0" w:color="auto"/>
        <w:right w:val="none" w:sz="0" w:space="0" w:color="auto"/>
      </w:divBdr>
    </w:div>
    <w:div w:id="951782477">
      <w:bodyDiv w:val="1"/>
      <w:marLeft w:val="0"/>
      <w:marRight w:val="0"/>
      <w:marTop w:val="0"/>
      <w:marBottom w:val="0"/>
      <w:divBdr>
        <w:top w:val="none" w:sz="0" w:space="0" w:color="auto"/>
        <w:left w:val="none" w:sz="0" w:space="0" w:color="auto"/>
        <w:bottom w:val="none" w:sz="0" w:space="0" w:color="auto"/>
        <w:right w:val="none" w:sz="0" w:space="0" w:color="auto"/>
      </w:divBdr>
    </w:div>
    <w:div w:id="98693801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5266109">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85010274">
      <w:bodyDiv w:val="1"/>
      <w:marLeft w:val="0"/>
      <w:marRight w:val="0"/>
      <w:marTop w:val="0"/>
      <w:marBottom w:val="0"/>
      <w:divBdr>
        <w:top w:val="none" w:sz="0" w:space="0" w:color="auto"/>
        <w:left w:val="none" w:sz="0" w:space="0" w:color="auto"/>
        <w:bottom w:val="none" w:sz="0" w:space="0" w:color="auto"/>
        <w:right w:val="none" w:sz="0" w:space="0" w:color="auto"/>
      </w:divBdr>
    </w:div>
    <w:div w:id="1675842698">
      <w:bodyDiv w:val="1"/>
      <w:marLeft w:val="0"/>
      <w:marRight w:val="0"/>
      <w:marTop w:val="0"/>
      <w:marBottom w:val="0"/>
      <w:divBdr>
        <w:top w:val="none" w:sz="0" w:space="0" w:color="auto"/>
        <w:left w:val="none" w:sz="0" w:space="0" w:color="auto"/>
        <w:bottom w:val="none" w:sz="0" w:space="0" w:color="auto"/>
        <w:right w:val="none" w:sz="0" w:space="0" w:color="auto"/>
      </w:divBdr>
    </w:div>
    <w:div w:id="1751080110">
      <w:bodyDiv w:val="1"/>
      <w:marLeft w:val="0"/>
      <w:marRight w:val="0"/>
      <w:marTop w:val="0"/>
      <w:marBottom w:val="0"/>
      <w:divBdr>
        <w:top w:val="none" w:sz="0" w:space="0" w:color="auto"/>
        <w:left w:val="none" w:sz="0" w:space="0" w:color="auto"/>
        <w:bottom w:val="none" w:sz="0" w:space="0" w:color="auto"/>
        <w:right w:val="none" w:sz="0" w:space="0" w:color="auto"/>
      </w:divBdr>
    </w:div>
    <w:div w:id="1973751088">
      <w:bodyDiv w:val="1"/>
      <w:marLeft w:val="0"/>
      <w:marRight w:val="0"/>
      <w:marTop w:val="0"/>
      <w:marBottom w:val="0"/>
      <w:divBdr>
        <w:top w:val="none" w:sz="0" w:space="0" w:color="auto"/>
        <w:left w:val="none" w:sz="0" w:space="0" w:color="auto"/>
        <w:bottom w:val="none" w:sz="0" w:space="0" w:color="auto"/>
        <w:right w:val="none" w:sz="0" w:space="0" w:color="auto"/>
      </w:divBdr>
      <w:divsChild>
        <w:div w:id="1117678549">
          <w:marLeft w:val="0"/>
          <w:marRight w:val="0"/>
          <w:marTop w:val="0"/>
          <w:marBottom w:val="0"/>
          <w:divBdr>
            <w:top w:val="none" w:sz="0" w:space="0" w:color="auto"/>
            <w:left w:val="none" w:sz="0" w:space="0" w:color="auto"/>
            <w:bottom w:val="none" w:sz="0" w:space="0" w:color="auto"/>
            <w:right w:val="none" w:sz="0" w:space="0" w:color="auto"/>
          </w:divBdr>
          <w:divsChild>
            <w:div w:id="680592636">
              <w:marLeft w:val="0"/>
              <w:marRight w:val="0"/>
              <w:marTop w:val="0"/>
              <w:marBottom w:val="0"/>
              <w:divBdr>
                <w:top w:val="none" w:sz="0" w:space="0" w:color="auto"/>
                <w:left w:val="none" w:sz="0" w:space="0" w:color="auto"/>
                <w:bottom w:val="none" w:sz="0" w:space="0" w:color="auto"/>
                <w:right w:val="none" w:sz="0" w:space="0" w:color="auto"/>
              </w:divBdr>
              <w:divsChild>
                <w:div w:id="90815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353145">
      <w:bodyDiv w:val="1"/>
      <w:marLeft w:val="0"/>
      <w:marRight w:val="0"/>
      <w:marTop w:val="0"/>
      <w:marBottom w:val="0"/>
      <w:divBdr>
        <w:top w:val="none" w:sz="0" w:space="0" w:color="auto"/>
        <w:left w:val="none" w:sz="0" w:space="0" w:color="auto"/>
        <w:bottom w:val="none" w:sz="0" w:space="0" w:color="auto"/>
        <w:right w:val="none" w:sz="0" w:space="0" w:color="auto"/>
      </w:divBdr>
      <w:divsChild>
        <w:div w:id="791358947">
          <w:marLeft w:val="0"/>
          <w:marRight w:val="0"/>
          <w:marTop w:val="0"/>
          <w:marBottom w:val="0"/>
          <w:divBdr>
            <w:top w:val="none" w:sz="0" w:space="0" w:color="auto"/>
            <w:left w:val="none" w:sz="0" w:space="0" w:color="auto"/>
            <w:bottom w:val="none" w:sz="0" w:space="0" w:color="auto"/>
            <w:right w:val="none" w:sz="0" w:space="0" w:color="auto"/>
          </w:divBdr>
          <w:divsChild>
            <w:div w:id="1346404349">
              <w:marLeft w:val="0"/>
              <w:marRight w:val="0"/>
              <w:marTop w:val="0"/>
              <w:marBottom w:val="0"/>
              <w:divBdr>
                <w:top w:val="none" w:sz="0" w:space="0" w:color="auto"/>
                <w:left w:val="none" w:sz="0" w:space="0" w:color="auto"/>
                <w:bottom w:val="none" w:sz="0" w:space="0" w:color="auto"/>
                <w:right w:val="none" w:sz="0" w:space="0" w:color="auto"/>
              </w:divBdr>
              <w:divsChild>
                <w:div w:id="5329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orgecamargofranco@gmail.com" TargetMode="External"/><Relationship Id="rId17" Type="http://schemas.openxmlformats.org/officeDocument/2006/relationships/hyperlink" Target="https://relatoria.colombiacompra.gov.co/providencias-consejo-de-estado/" TargetMode="External"/><Relationship Id="rId2" Type="http://schemas.openxmlformats.org/officeDocument/2006/relationships/customXml" Target="../customXml/item2.xml"/><Relationship Id="rId16" Type="http://schemas.openxmlformats.org/officeDocument/2006/relationships/hyperlink" Target="about:blan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ley_0179_1994.html" TargetMode="External"/><Relationship Id="rId1" Type="http://schemas.openxmlformats.org/officeDocument/2006/relationships/hyperlink" Target="https://normas.cra.gov.co/gestor/docs/concepto_superservicios_0000169_2023.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ACFBBFA-C064-5A4D-9B55-CDE5D496C4D5}">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85CC4C8-956B-4D5B-BE92-47ED284213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24</Pages>
  <Words>7985</Words>
  <Characters>43679</Characters>
  <Application>Microsoft Office Word</Application>
  <DocSecurity>0</DocSecurity>
  <Lines>824</Lines>
  <Paragraphs>163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2026-04-10T20:19:00Z</dcterms:created>
  <dcterms:modified xsi:type="dcterms:W3CDTF">2026-04-10T20:19:00Z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