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AACD1" w14:textId="77777777" w:rsidR="00A81297" w:rsidRPr="000036B2" w:rsidRDefault="00A81297" w:rsidP="00A81297">
      <w:pPr>
        <w:spacing w:after="0" w:line="240" w:lineRule="auto"/>
        <w:contextualSpacing/>
        <w:jc w:val="both"/>
        <w:rPr>
          <w:rFonts w:ascii="Verdana" w:eastAsia="Calibri" w:hAnsi="Verdana" w:cs="Arial"/>
          <w:b/>
          <w:lang w:val="es-MX" w:eastAsia="es-MX"/>
        </w:rPr>
      </w:pPr>
      <w:bookmarkStart w:id="0" w:name="_Hlk143780582"/>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1874C570" w14:textId="77777777" w:rsidR="00A81297" w:rsidRPr="000036B2" w:rsidRDefault="00A81297" w:rsidP="00A81297">
      <w:pPr>
        <w:spacing w:after="0" w:line="240" w:lineRule="auto"/>
        <w:contextualSpacing/>
        <w:jc w:val="both"/>
        <w:rPr>
          <w:rFonts w:ascii="Verdana" w:eastAsia="Calibri" w:hAnsi="Verdana" w:cs="Arial"/>
          <w:b/>
          <w:sz w:val="20"/>
          <w:szCs w:val="20"/>
          <w:lang w:val="es-MX" w:eastAsia="es-MX"/>
        </w:rPr>
      </w:pPr>
    </w:p>
    <w:p w14:paraId="52C728BC"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3D72A657" w14:textId="77777777" w:rsidR="00A81297" w:rsidRPr="000036B2" w:rsidRDefault="00A81297" w:rsidP="00A81297">
      <w:pPr>
        <w:spacing w:after="0" w:line="240" w:lineRule="auto"/>
        <w:jc w:val="both"/>
        <w:rPr>
          <w:rFonts w:ascii="Verdana" w:hAnsi="Verdana"/>
        </w:rPr>
      </w:pPr>
    </w:p>
    <w:p w14:paraId="72641C9D" w14:textId="77777777" w:rsidR="00A81297" w:rsidRPr="000036B2" w:rsidRDefault="00A81297" w:rsidP="00A81297">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05AA980B" w14:textId="77777777" w:rsidR="00A81297" w:rsidRPr="000036B2" w:rsidRDefault="00A81297" w:rsidP="00A81297">
      <w:pPr>
        <w:spacing w:after="0" w:line="240" w:lineRule="auto"/>
        <w:contextualSpacing/>
        <w:jc w:val="both"/>
        <w:rPr>
          <w:rFonts w:ascii="Verdana" w:eastAsia="Calibri" w:hAnsi="Verdana" w:cs="Arial"/>
          <w:b/>
          <w:sz w:val="20"/>
          <w:szCs w:val="20"/>
          <w:lang w:val="es-MX" w:eastAsia="es-MX"/>
        </w:rPr>
      </w:pPr>
    </w:p>
    <w:p w14:paraId="7C978BC6"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CDA2A75"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p>
    <w:p w14:paraId="389BAA57"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E28B4B"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p>
    <w:p w14:paraId="7C06A538" w14:textId="77777777" w:rsidR="00A81297" w:rsidRPr="000036B2" w:rsidRDefault="00A81297" w:rsidP="00A81297">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5FD418B" w14:textId="77777777" w:rsidR="00A81297" w:rsidRPr="000036B2" w:rsidRDefault="00A81297" w:rsidP="00A81297">
      <w:pPr>
        <w:tabs>
          <w:tab w:val="left" w:pos="1574"/>
        </w:tabs>
        <w:spacing w:after="0" w:line="240" w:lineRule="auto"/>
        <w:jc w:val="both"/>
        <w:rPr>
          <w:rFonts w:ascii="Verdana" w:eastAsia="Times New Roman" w:hAnsi="Verdana" w:cs="Arial"/>
          <w:bCs/>
          <w:sz w:val="20"/>
          <w:szCs w:val="20"/>
          <w:lang w:val="es-MX" w:eastAsia="es-CO"/>
        </w:rPr>
      </w:pPr>
    </w:p>
    <w:p w14:paraId="7FC8300F" w14:textId="77777777" w:rsidR="00A81297" w:rsidRPr="000036B2" w:rsidRDefault="00A81297" w:rsidP="00A81297">
      <w:pPr>
        <w:shd w:val="clear" w:color="auto" w:fill="FFFFFF"/>
        <w:spacing w:after="0" w:line="240" w:lineRule="auto"/>
        <w:contextualSpacing/>
        <w:jc w:val="both"/>
        <w:rPr>
          <w:rFonts w:ascii="Verdana" w:eastAsia="Times New Roman" w:hAnsi="Verdana" w:cs="Arial"/>
          <w:b/>
          <w:lang w:eastAsia="es-CO"/>
        </w:rPr>
      </w:pPr>
      <w:r w:rsidRPr="00F46F75">
        <w:rPr>
          <w:rFonts w:ascii="Verdana" w:eastAsia="Times New Roman" w:hAnsi="Verdana" w:cs="Arial"/>
          <w:b/>
          <w:bCs/>
          <w:lang w:eastAsia="es-CO"/>
        </w:rPr>
        <w:t>LEY DE GARANTÍAS ELECTORALES ─ Artículo 33 ‒ Excepciones – Contratos para la atención de emergencias</w:t>
      </w:r>
    </w:p>
    <w:p w14:paraId="3DE8A2FD" w14:textId="77777777" w:rsidR="00A81297" w:rsidRPr="00327549" w:rsidRDefault="00A81297" w:rsidP="00A81297">
      <w:pPr>
        <w:tabs>
          <w:tab w:val="left" w:pos="426"/>
        </w:tabs>
        <w:spacing w:after="120" w:line="240" w:lineRule="auto"/>
        <w:jc w:val="both"/>
        <w:rPr>
          <w:rFonts w:ascii="Verdana" w:eastAsia="Times New Roman" w:hAnsi="Verdana" w:cs="Arial"/>
          <w:bCs/>
          <w:sz w:val="20"/>
          <w:szCs w:val="20"/>
          <w:lang w:eastAsia="es-CO"/>
        </w:rPr>
      </w:pPr>
      <w:r w:rsidRPr="00327549">
        <w:rPr>
          <w:rFonts w:ascii="Verdana" w:eastAsia="Times New Roman" w:hAnsi="Verdana" w:cs="Arial"/>
          <w:sz w:val="20"/>
          <w:szCs w:val="20"/>
          <w:lang w:eastAsia="x-none"/>
        </w:rPr>
        <w:lastRenderedPageBreak/>
        <w:t xml:space="preserve">[…] </w:t>
      </w:r>
      <w:r w:rsidRPr="00327549">
        <w:rPr>
          <w:rFonts w:ascii="Verdana" w:eastAsia="Times New Roman" w:hAnsi="Verdana" w:cs="Arial"/>
          <w:bCs/>
          <w:sz w:val="20"/>
          <w:szCs w:val="20"/>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327549">
        <w:rPr>
          <w:rFonts w:ascii="Verdana" w:eastAsia="Times New Roman" w:hAnsi="Verdana" w:cs="Arial"/>
          <w:i/>
          <w:sz w:val="20"/>
          <w:szCs w:val="20"/>
          <w:lang w:eastAsia="es-CO"/>
        </w:rPr>
        <w:t>contratación directa</w:t>
      </w:r>
      <w:r w:rsidRPr="00327549">
        <w:rPr>
          <w:rFonts w:ascii="Verdana" w:eastAsia="Times New Roman" w:hAnsi="Verdana" w:cs="Arial"/>
          <w:bCs/>
          <w:sz w:val="20"/>
          <w:szCs w:val="20"/>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20C1A159" w14:textId="77777777" w:rsidR="00A81297" w:rsidRPr="00E12ADB" w:rsidRDefault="00A81297" w:rsidP="00A81297">
      <w:pPr>
        <w:tabs>
          <w:tab w:val="left" w:pos="426"/>
        </w:tabs>
        <w:spacing w:after="0" w:line="240" w:lineRule="auto"/>
        <w:contextualSpacing/>
        <w:jc w:val="both"/>
        <w:rPr>
          <w:rFonts w:ascii="Verdana" w:eastAsia="Times New Roman" w:hAnsi="Verdana" w:cs="Arial"/>
          <w:b/>
          <w:bCs/>
          <w:lang w:eastAsia="x-none"/>
        </w:rPr>
      </w:pPr>
    </w:p>
    <w:p w14:paraId="3F579A37" w14:textId="77777777" w:rsidR="00A81297" w:rsidRPr="00E12ADB" w:rsidRDefault="00A81297" w:rsidP="00A81297">
      <w:pPr>
        <w:spacing w:after="0" w:line="240" w:lineRule="auto"/>
        <w:contextualSpacing/>
        <w:jc w:val="both"/>
        <w:rPr>
          <w:rFonts w:ascii="Verdana" w:eastAsia="Times New Roman" w:hAnsi="Verdana" w:cs="Arial"/>
          <w:b/>
          <w:bCs/>
          <w:lang w:eastAsia="x-none"/>
        </w:rPr>
      </w:pPr>
      <w:r w:rsidRPr="00E12ADB">
        <w:rPr>
          <w:rFonts w:ascii="Verdana" w:eastAsia="Times New Roman" w:hAnsi="Verdana" w:cs="Arial"/>
          <w:b/>
          <w:bCs/>
          <w:lang w:eastAsia="x-none"/>
        </w:rPr>
        <w:t>CUERPOS DE BOMBEROS VOLUNTARIOS ‒ Noción</w:t>
      </w:r>
    </w:p>
    <w:p w14:paraId="1EC40361" w14:textId="77777777" w:rsidR="00A81297" w:rsidRPr="000036B2" w:rsidRDefault="00A81297" w:rsidP="00A81297">
      <w:pPr>
        <w:spacing w:after="0" w:line="240" w:lineRule="auto"/>
        <w:contextualSpacing/>
        <w:jc w:val="both"/>
        <w:rPr>
          <w:rFonts w:ascii="Verdana" w:eastAsia="Times New Roman" w:hAnsi="Verdana" w:cs="Arial"/>
          <w:b/>
          <w:lang w:val="es-ES" w:eastAsia="es-CO"/>
        </w:rPr>
      </w:pPr>
    </w:p>
    <w:p w14:paraId="60C25A15" w14:textId="77777777" w:rsidR="00A81297" w:rsidRPr="00FF2C4D" w:rsidRDefault="00A81297" w:rsidP="00A81297">
      <w:pPr>
        <w:spacing w:after="120" w:line="240" w:lineRule="auto"/>
        <w:jc w:val="both"/>
        <w:rPr>
          <w:rFonts w:ascii="Verdana" w:eastAsia="Times New Roman" w:hAnsi="Verdana" w:cs="Arial"/>
          <w:bCs/>
          <w:sz w:val="20"/>
          <w:szCs w:val="20"/>
          <w:lang w:eastAsia="es-CO"/>
        </w:rPr>
      </w:pPr>
      <w:r w:rsidRPr="00FF2C4D">
        <w:rPr>
          <w:rFonts w:ascii="Verdana" w:eastAsia="Times New Roman" w:hAnsi="Verdana" w:cs="Arial"/>
          <w:bCs/>
          <w:sz w:val="20"/>
          <w:szCs w:val="20"/>
          <w:lang w:eastAsia="es-CO"/>
        </w:rPr>
        <w:t>[…] Con arreglo a lo dispuesto en el artículo 4 de la referida ley, los Cuerpos de Bomberos Voluntarios Reconocidos integran los Bomberos de Colombia y hacen parte integral del Sistema Nacional para la Prevención y Atención de Desastres. Estos son definidos por el artículo 18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1B06BA2A" w14:textId="77777777" w:rsidR="00A81297" w:rsidRDefault="00A81297" w:rsidP="00A81297">
      <w:pPr>
        <w:spacing w:after="0"/>
        <w:jc w:val="both"/>
        <w:rPr>
          <w:rFonts w:ascii="Verdana" w:eastAsia="Times New Roman" w:hAnsi="Verdana" w:cs="Arial"/>
          <w:sz w:val="20"/>
          <w:szCs w:val="20"/>
          <w:lang w:eastAsia="x-none"/>
        </w:rPr>
      </w:pPr>
    </w:p>
    <w:p w14:paraId="6C208B43" w14:textId="77777777" w:rsidR="00A81297" w:rsidRPr="009969AD" w:rsidRDefault="00A81297" w:rsidP="00A81297">
      <w:pPr>
        <w:spacing w:after="0"/>
        <w:jc w:val="both"/>
        <w:rPr>
          <w:rFonts w:ascii="Verdana" w:eastAsia="Verdana" w:hAnsi="Verdana" w:cs="Verdana"/>
          <w:color w:val="ED7D31" w:themeColor="accent2"/>
          <w:sz w:val="20"/>
          <w:szCs w:val="20"/>
        </w:rPr>
      </w:pPr>
      <w:r w:rsidRPr="003C4FD7">
        <w:rPr>
          <w:rFonts w:ascii="Verdana" w:eastAsia="Times New Roman" w:hAnsi="Verdana" w:cs="Arial"/>
          <w:b/>
          <w:bCs/>
          <w:lang w:eastAsia="es-CO"/>
        </w:rPr>
        <w:t>CUERPOS DE BOMBEROS VOLUNTARIOS – Servicio público esencial</w:t>
      </w:r>
    </w:p>
    <w:p w14:paraId="378B7769" w14:textId="77777777" w:rsidR="00A81297" w:rsidRPr="003C4FD7" w:rsidRDefault="00A81297" w:rsidP="00A81297">
      <w:pPr>
        <w:spacing w:after="0"/>
        <w:jc w:val="both"/>
        <w:rPr>
          <w:rFonts w:ascii="Verdana" w:eastAsia="Verdana" w:hAnsi="Verdana" w:cs="Verdana"/>
          <w:color w:val="ED7D31" w:themeColor="accent2"/>
          <w:sz w:val="20"/>
          <w:szCs w:val="20"/>
        </w:rPr>
      </w:pPr>
    </w:p>
    <w:p w14:paraId="7C70CA89" w14:textId="77777777" w:rsidR="00A81297" w:rsidRDefault="00A81297" w:rsidP="00A81297">
      <w:pPr>
        <w:spacing w:after="12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C4FD7">
        <w:rPr>
          <w:rFonts w:ascii="Verdana" w:eastAsia="Times New Roman" w:hAnsi="Verdana" w:cs="Arial"/>
          <w:bCs/>
          <w:sz w:val="20"/>
          <w:szCs w:val="20"/>
          <w:lang w:eastAsia="es-CO"/>
        </w:rPr>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3C4FD7">
        <w:rPr>
          <w:rFonts w:ascii="Verdana" w:eastAsia="Times New Roman" w:hAnsi="Verdana" w:cs="Arial"/>
          <w:bCs/>
          <w:i/>
          <w:iCs/>
          <w:sz w:val="20"/>
          <w:szCs w:val="20"/>
          <w:lang w:eastAsia="es-CO"/>
        </w:rPr>
        <w:t>mediante la celebración de contratos y/o convenios con los cuerpos de bomberos voluntarios</w:t>
      </w:r>
      <w:r w:rsidRPr="003C4FD7">
        <w:rPr>
          <w:rFonts w:ascii="Verdana" w:eastAsia="Times New Roman" w:hAnsi="Verdana" w:cs="Arial"/>
          <w:bCs/>
          <w:sz w:val="20"/>
          <w:szCs w:val="20"/>
          <w:lang w:eastAsia="es-CO"/>
        </w:rPr>
        <w:t>” [Énfasis fuera de texto]. </w:t>
      </w:r>
      <w:r>
        <w:rPr>
          <w:rFonts w:ascii="Verdana" w:eastAsia="Times New Roman" w:hAnsi="Verdana" w:cs="Arial"/>
          <w:bCs/>
          <w:sz w:val="20"/>
          <w:szCs w:val="20"/>
          <w:lang w:eastAsia="es-CO"/>
        </w:rPr>
        <w:t>[…]</w:t>
      </w:r>
    </w:p>
    <w:p w14:paraId="0E16F058" w14:textId="77777777" w:rsidR="00A81297" w:rsidRDefault="00A81297" w:rsidP="00A81297">
      <w:pPr>
        <w:spacing w:after="120" w:line="240" w:lineRule="auto"/>
        <w:jc w:val="both"/>
        <w:rPr>
          <w:rFonts w:ascii="Verdana" w:eastAsia="Times New Roman" w:hAnsi="Verdana" w:cs="Arial"/>
          <w:b/>
          <w:lang w:eastAsia="es-CO"/>
        </w:rPr>
      </w:pPr>
      <w:r w:rsidRPr="00FC5C38">
        <w:rPr>
          <w:rFonts w:ascii="Verdana" w:eastAsia="Times New Roman" w:hAnsi="Verdana" w:cs="Arial"/>
          <w:b/>
          <w:lang w:eastAsia="es-CO"/>
        </w:rPr>
        <w:t>CUERPOS DE BOMBEROS VOLUNTARIOS – Modalidades de selección contratación</w:t>
      </w:r>
    </w:p>
    <w:p w14:paraId="210F1C23" w14:textId="77777777" w:rsidR="00A81297" w:rsidRPr="00752B85" w:rsidRDefault="00A81297" w:rsidP="00A81297">
      <w:pPr>
        <w:spacing w:after="120" w:line="240" w:lineRule="auto"/>
        <w:jc w:val="both"/>
        <w:rPr>
          <w:rFonts w:ascii="Verdana" w:eastAsia="Times New Roman" w:hAnsi="Verdana" w:cs="Arial"/>
          <w:b/>
          <w:sz w:val="20"/>
          <w:szCs w:val="20"/>
          <w:lang w:eastAsia="es-CO"/>
        </w:rPr>
      </w:pPr>
      <w:r w:rsidRPr="00752B85">
        <w:rPr>
          <w:rFonts w:ascii="Verdana" w:hAnsi="Verdana"/>
          <w:sz w:val="20"/>
          <w:szCs w:val="20"/>
        </w:rPr>
        <w:lastRenderedPageBreak/>
        <w:t xml:space="preserve">[…] </w:t>
      </w:r>
      <w:r w:rsidRPr="00752B85">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w:t>
      </w:r>
      <w:r>
        <w:rPr>
          <w:rFonts w:ascii="Verdana" w:eastAsia="Calibri" w:hAnsi="Verdana" w:cs="Arial"/>
          <w:bCs/>
          <w:sz w:val="20"/>
          <w:szCs w:val="20"/>
          <w:lang w:val="es-ES_tradnl" w:eastAsia="x-none"/>
        </w:rPr>
        <w:t>s.</w:t>
      </w:r>
    </w:p>
    <w:p w14:paraId="5BB73F15" w14:textId="77777777" w:rsidR="00A81297" w:rsidRPr="00752B85" w:rsidRDefault="00A81297" w:rsidP="00A81297">
      <w:pPr>
        <w:spacing w:after="120" w:line="240" w:lineRule="auto"/>
        <w:jc w:val="both"/>
        <w:rPr>
          <w:rFonts w:ascii="Verdana" w:eastAsia="Calibri" w:hAnsi="Verdana" w:cs="Arial"/>
          <w:sz w:val="20"/>
          <w:szCs w:val="20"/>
          <w:lang w:val="es-ES_tradnl" w:eastAsia="x-none"/>
        </w:rPr>
      </w:pPr>
      <w:r w:rsidRPr="00752B85">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752B85">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FFBF6B3" w14:textId="77777777" w:rsidR="00A81297" w:rsidRPr="00752B85" w:rsidRDefault="00A81297" w:rsidP="00A81297">
      <w:pPr>
        <w:spacing w:after="120" w:line="240" w:lineRule="auto"/>
        <w:jc w:val="both"/>
        <w:rPr>
          <w:rFonts w:ascii="Verdana" w:eastAsia="Times New Roman" w:hAnsi="Verdana" w:cs="Arial"/>
          <w:b/>
          <w:sz w:val="20"/>
          <w:szCs w:val="20"/>
          <w:lang w:eastAsia="es-CO"/>
        </w:rPr>
      </w:pPr>
      <w:r w:rsidRPr="00752B85">
        <w:rPr>
          <w:rFonts w:ascii="Verdana" w:eastAsia="Calibri" w:hAnsi="Verdana" w:cs="Arial"/>
          <w:sz w:val="20"/>
          <w:szCs w:val="20"/>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2034045A" w14:textId="77777777" w:rsidR="00A81297" w:rsidRPr="004E329C" w:rsidRDefault="00A81297" w:rsidP="00A81297">
      <w:pPr>
        <w:spacing w:after="0"/>
        <w:rPr>
          <w:rFonts w:ascii="Verdana" w:hAnsi="Verdana"/>
          <w:color w:val="ED7D31" w:themeColor="accent2"/>
        </w:rPr>
      </w:pPr>
    </w:p>
    <w:p w14:paraId="0697A393" w14:textId="77777777" w:rsidR="00A81297" w:rsidRDefault="00A81297" w:rsidP="00A81297">
      <w:pPr>
        <w:spacing w:after="0"/>
        <w:jc w:val="both"/>
        <w:rPr>
          <w:rFonts w:ascii="Verdana" w:hAnsi="Verdana"/>
          <w:b/>
          <w:bCs/>
        </w:rPr>
      </w:pPr>
      <w:r w:rsidRPr="004E329C">
        <w:rPr>
          <w:rFonts w:ascii="Verdana" w:hAnsi="Verdana"/>
          <w:b/>
          <w:bCs/>
        </w:rPr>
        <w:t>CUERPOS DE BOMBEROS VOLUNTARIOS – Objeto del contrato – Atención de emergencias – Excepción</w:t>
      </w:r>
    </w:p>
    <w:p w14:paraId="026AFEB2" w14:textId="77777777" w:rsidR="00A81297" w:rsidRDefault="00A81297" w:rsidP="00A81297">
      <w:pPr>
        <w:spacing w:after="0"/>
        <w:jc w:val="both"/>
        <w:rPr>
          <w:rFonts w:ascii="Verdana" w:hAnsi="Verdana"/>
          <w:b/>
          <w:bCs/>
        </w:rPr>
      </w:pPr>
    </w:p>
    <w:p w14:paraId="5DB9A04B" w14:textId="77777777" w:rsidR="00A81297" w:rsidRPr="00B94BF9" w:rsidRDefault="00A81297" w:rsidP="00A81297">
      <w:pPr>
        <w:spacing w:after="0" w:line="240" w:lineRule="auto"/>
        <w:jc w:val="both"/>
        <w:rPr>
          <w:rFonts w:ascii="Verdana" w:hAnsi="Verdana"/>
          <w:b/>
          <w:bCs/>
          <w:sz w:val="20"/>
          <w:szCs w:val="20"/>
        </w:rPr>
      </w:pPr>
      <w:r w:rsidRPr="00B94BF9">
        <w:rPr>
          <w:rFonts w:ascii="Verdana" w:hAnsi="Verdana"/>
          <w:sz w:val="20"/>
          <w:szCs w:val="20"/>
        </w:rPr>
        <w:t xml:space="preserve">[…] </w:t>
      </w:r>
      <w:r w:rsidRPr="00B94BF9">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B94BF9">
        <w:rPr>
          <w:rFonts w:ascii="Verdana" w:eastAsia="Times New Roman" w:hAnsi="Verdana" w:cs="Arial"/>
          <w:bCs/>
          <w:i/>
          <w:iCs/>
          <w:sz w:val="20"/>
          <w:szCs w:val="20"/>
          <w:lang w:eastAsia="es-CO"/>
        </w:rPr>
        <w:t>per se,</w:t>
      </w:r>
      <w:r w:rsidRPr="00B94BF9">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35474ED7" w14:textId="77777777" w:rsidR="00A81297" w:rsidRPr="00B94BF9" w:rsidRDefault="00A81297" w:rsidP="00A81297">
      <w:pPr>
        <w:spacing w:after="0" w:line="240" w:lineRule="auto"/>
        <w:jc w:val="both"/>
        <w:rPr>
          <w:rFonts w:ascii="Verdana" w:hAnsi="Verdana"/>
          <w:b/>
          <w:bCs/>
          <w:sz w:val="20"/>
          <w:szCs w:val="20"/>
        </w:rPr>
      </w:pPr>
    </w:p>
    <w:p w14:paraId="0BA866AD" w14:textId="77777777" w:rsidR="00A81297" w:rsidRPr="00B94BF9" w:rsidRDefault="00A81297" w:rsidP="00A81297">
      <w:pPr>
        <w:spacing w:after="0" w:line="240" w:lineRule="auto"/>
        <w:jc w:val="both"/>
        <w:rPr>
          <w:rFonts w:ascii="Verdana" w:hAnsi="Verdana"/>
          <w:b/>
          <w:bCs/>
          <w:sz w:val="20"/>
          <w:szCs w:val="20"/>
        </w:rPr>
      </w:pPr>
      <w:r w:rsidRPr="00B94BF9">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B94BF9">
        <w:rPr>
          <w:rFonts w:ascii="Verdana" w:eastAsia="Times New Roman" w:hAnsi="Verdana" w:cs="Arial"/>
          <w:bCs/>
          <w:i/>
          <w:iCs/>
          <w:sz w:val="20"/>
          <w:szCs w:val="20"/>
          <w:lang w:eastAsia="es-CO"/>
        </w:rPr>
        <w:t>atención de incidentes relacionados con incendios</w:t>
      </w:r>
      <w:r w:rsidRPr="00B94BF9">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B94BF9">
        <w:rPr>
          <w:rFonts w:ascii="Verdana" w:eastAsia="Times New Roman" w:hAnsi="Verdana" w:cs="Arial"/>
          <w:bCs/>
          <w:i/>
          <w:iCs/>
          <w:sz w:val="20"/>
          <w:szCs w:val="20"/>
          <w:lang w:eastAsia="es-CO"/>
        </w:rPr>
        <w:t>Preparación</w:t>
      </w:r>
      <w:r w:rsidRPr="00B94BF9">
        <w:rPr>
          <w:rFonts w:ascii="Verdana" w:eastAsia="Times New Roman" w:hAnsi="Verdana" w:cs="Arial"/>
          <w:bCs/>
          <w:sz w:val="20"/>
          <w:szCs w:val="20"/>
          <w:lang w:eastAsia="es-CO"/>
        </w:rPr>
        <w:t xml:space="preserve"> y </w:t>
      </w:r>
      <w:r w:rsidRPr="00B94BF9">
        <w:rPr>
          <w:rFonts w:ascii="Verdana" w:eastAsia="Times New Roman" w:hAnsi="Verdana" w:cs="Arial"/>
          <w:bCs/>
          <w:i/>
          <w:iCs/>
          <w:sz w:val="20"/>
          <w:szCs w:val="20"/>
          <w:lang w:eastAsia="es-CO"/>
        </w:rPr>
        <w:t xml:space="preserve">Respuesta, </w:t>
      </w:r>
      <w:r w:rsidRPr="00B94BF9">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5677A2C9" w14:textId="77777777" w:rsidR="00A81297" w:rsidRDefault="00A81297" w:rsidP="00A81297">
      <w:pPr>
        <w:spacing w:after="0" w:line="240" w:lineRule="auto"/>
        <w:rPr>
          <w:rFonts w:ascii="Verdana" w:hAnsi="Verdana"/>
          <w:color w:val="ED7D31" w:themeColor="accent2"/>
        </w:rPr>
      </w:pPr>
    </w:p>
    <w:p w14:paraId="17BD770F" w14:textId="0645565C" w:rsidR="009F0010" w:rsidRPr="00960F72" w:rsidRDefault="009F0010" w:rsidP="009F0010">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w:t>
      </w:r>
      <w:r w:rsidR="00BD5ED0">
        <w:rPr>
          <w:rFonts w:ascii="Verdana" w:eastAsia="Geomanist Light" w:hAnsi="Verdana" w:cs="Arial"/>
        </w:rPr>
        <w:t>29 de marzo de 2026</w:t>
      </w:r>
    </w:p>
    <w:p w14:paraId="5A8D2E73" w14:textId="6A57E452" w:rsidR="009F0010" w:rsidRDefault="00BD5ED0" w:rsidP="009F0010">
      <w:pPr>
        <w:spacing w:after="0" w:line="240" w:lineRule="auto"/>
        <w:rPr>
          <w:rFonts w:ascii="Verdana" w:eastAsia="Calibri" w:hAnsi="Verdana" w:cs="Arial"/>
          <w:b/>
          <w:bCs/>
          <w:lang w:eastAsia="es-ES_tradnl"/>
        </w:rPr>
      </w:pPr>
      <w:r w:rsidRPr="00A85398">
        <w:rPr>
          <w:rFonts w:ascii="Verdana" w:eastAsia="Calibri" w:hAnsi="Verdana" w:cs="Arial"/>
          <w:noProof/>
          <w:lang w:eastAsia="es-ES_tradnl"/>
        </w:rPr>
        <w:drawing>
          <wp:anchor distT="0" distB="0" distL="114300" distR="114300" simplePos="0" relativeHeight="251658240" behindDoc="1" locked="0" layoutInCell="1" allowOverlap="1" wp14:anchorId="7F6E1649" wp14:editId="37635267">
            <wp:simplePos x="0" y="0"/>
            <wp:positionH relativeFrom="column">
              <wp:posOffset>4095970</wp:posOffset>
            </wp:positionH>
            <wp:positionV relativeFrom="paragraph">
              <wp:posOffset>165707</wp:posOffset>
            </wp:positionV>
            <wp:extent cx="2426970" cy="890270"/>
            <wp:effectExtent l="0" t="0" r="0" b="5080"/>
            <wp:wrapSquare wrapText="bothSides"/>
            <wp:docPr id="42108304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083049" name="Imagen 1" descr="Texto&#10;&#10;Descripción generada automáticamente"/>
                    <pic:cNvPicPr/>
                  </pic:nvPicPr>
                  <pic:blipFill rotWithShape="1">
                    <a:blip r:embed="rId10" cstate="print">
                      <a:extLst>
                        <a:ext uri="{28A0092B-C50C-407E-A947-70E740481C1C}">
                          <a14:useLocalDpi xmlns:a14="http://schemas.microsoft.com/office/drawing/2010/main" val="0"/>
                        </a:ext>
                      </a:extLst>
                    </a:blip>
                    <a:srcRect r="10261" b="25956"/>
                    <a:stretch/>
                  </pic:blipFill>
                  <pic:spPr bwMode="auto">
                    <a:xfrm>
                      <a:off x="0" y="0"/>
                      <a:ext cx="2426970" cy="890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3BCDDC" w14:textId="78798E60" w:rsidR="009F0010" w:rsidRDefault="009F0010" w:rsidP="009F0010">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12557A32" w14:textId="2F50C116" w:rsidR="009F0010" w:rsidRPr="00763D98" w:rsidRDefault="009F0010" w:rsidP="009F0010">
      <w:pPr>
        <w:spacing w:after="0" w:line="240" w:lineRule="auto"/>
        <w:rPr>
          <w:rFonts w:ascii="Verdana" w:eastAsia="Calibri" w:hAnsi="Verdana" w:cs="Arial"/>
          <w:b/>
          <w:bCs/>
          <w:lang w:eastAsia="es-ES_tradnl"/>
        </w:rPr>
      </w:pPr>
      <w:r>
        <w:rPr>
          <w:rFonts w:ascii="Verdana" w:eastAsia="Calibri" w:hAnsi="Verdana" w:cs="Arial"/>
          <w:b/>
          <w:bCs/>
          <w:lang w:eastAsia="es-ES_tradnl"/>
        </w:rPr>
        <w:t>Álvaro José Olivares Soto</w:t>
      </w:r>
    </w:p>
    <w:p w14:paraId="743D7AA5" w14:textId="48DF09E9" w:rsidR="009F0010" w:rsidRDefault="009F0010" w:rsidP="009F0010">
      <w:pPr>
        <w:spacing w:after="0" w:line="240" w:lineRule="auto"/>
        <w:rPr>
          <w:rFonts w:ascii="Verdana" w:eastAsia="Calibri" w:hAnsi="Verdana" w:cs="Arial"/>
          <w:lang w:eastAsia="es-ES_tradnl"/>
        </w:rPr>
      </w:pPr>
      <w:r>
        <w:rPr>
          <w:rFonts w:ascii="Verdana" w:eastAsia="Calibri" w:hAnsi="Verdana" w:cs="Arial"/>
          <w:lang w:eastAsia="es-ES_tradnl"/>
        </w:rPr>
        <w:t>Secretario del Interior y Gestión Administrativa</w:t>
      </w:r>
      <w:r w:rsidR="00A85398" w:rsidRPr="00A85398">
        <w:rPr>
          <w:noProof/>
        </w:rPr>
        <w:t xml:space="preserve"> </w:t>
      </w:r>
    </w:p>
    <w:p w14:paraId="75970BC4" w14:textId="77777777" w:rsidR="009F0010" w:rsidRPr="007211E4" w:rsidRDefault="009F0010" w:rsidP="009F0010">
      <w:pPr>
        <w:spacing w:after="0" w:line="240" w:lineRule="auto"/>
        <w:rPr>
          <w:rFonts w:ascii="Verdana" w:eastAsia="Calibri" w:hAnsi="Verdana" w:cs="Arial"/>
          <w:lang w:eastAsia="es-ES_tradnl"/>
        </w:rPr>
      </w:pPr>
      <w:r>
        <w:rPr>
          <w:rFonts w:ascii="Verdana" w:eastAsia="Calibri" w:hAnsi="Verdana" w:cs="Arial"/>
          <w:lang w:eastAsia="es-ES_tradnl"/>
        </w:rPr>
        <w:t>secinterior@baranoa-atlantico.gov.co</w:t>
      </w:r>
    </w:p>
    <w:p w14:paraId="3EAB59E9" w14:textId="77777777" w:rsidR="009F0010" w:rsidRDefault="009F0010" w:rsidP="009F0010">
      <w:pPr>
        <w:spacing w:after="0" w:line="240" w:lineRule="auto"/>
        <w:rPr>
          <w:rFonts w:ascii="Verdana" w:eastAsia="Calibri" w:hAnsi="Verdana" w:cs="Arial"/>
          <w:lang w:eastAsia="es-ES_tradnl"/>
        </w:rPr>
      </w:pPr>
      <w:r>
        <w:rPr>
          <w:rFonts w:ascii="Verdana" w:eastAsia="Calibri" w:hAnsi="Verdana" w:cs="Arial"/>
          <w:lang w:eastAsia="es-ES_tradnl"/>
        </w:rPr>
        <w:t>Baranoa, Atlántico</w:t>
      </w:r>
    </w:p>
    <w:p w14:paraId="4EA51549" w14:textId="77777777" w:rsidR="009F0010" w:rsidRPr="00514983" w:rsidRDefault="009F0010" w:rsidP="009F0010">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0010" w:rsidRPr="00960F72" w14:paraId="5CAFE444" w14:textId="77777777" w:rsidTr="00896225">
        <w:trPr>
          <w:trHeight w:val="190"/>
        </w:trPr>
        <w:tc>
          <w:tcPr>
            <w:tcW w:w="2689" w:type="dxa"/>
          </w:tcPr>
          <w:p w14:paraId="2E2E82F6" w14:textId="77777777" w:rsidR="009F0010" w:rsidRPr="00960F72" w:rsidRDefault="009F0010" w:rsidP="00896225">
            <w:pPr>
              <w:jc w:val="both"/>
              <w:rPr>
                <w:rFonts w:ascii="Verdana" w:eastAsia="Calibri" w:hAnsi="Verdana" w:cs="Arial"/>
                <w:b/>
                <w:bCs/>
                <w:lang w:eastAsia="es-ES_tradnl"/>
              </w:rPr>
            </w:pPr>
          </w:p>
        </w:tc>
        <w:tc>
          <w:tcPr>
            <w:tcW w:w="6100" w:type="dxa"/>
          </w:tcPr>
          <w:p w14:paraId="4962F15B" w14:textId="5909177F" w:rsidR="009F0010" w:rsidRPr="00960F72" w:rsidRDefault="009F0010" w:rsidP="00896225">
            <w:pPr>
              <w:jc w:val="both"/>
              <w:rPr>
                <w:rFonts w:ascii="Verdana" w:eastAsia="Calibri" w:hAnsi="Verdana" w:cs="Arial"/>
                <w:b/>
                <w:bCs/>
                <w:lang w:eastAsia="es-ES"/>
              </w:rPr>
            </w:pPr>
            <w:r w:rsidRPr="00960F72">
              <w:rPr>
                <w:rFonts w:ascii="Verdana" w:eastAsia="Calibri" w:hAnsi="Verdana" w:cs="Arial"/>
                <w:b/>
                <w:bCs/>
                <w:lang w:eastAsia="es-ES"/>
              </w:rPr>
              <w:t>Concepto C-</w:t>
            </w:r>
            <w:r>
              <w:rPr>
                <w:rFonts w:ascii="Verdana" w:eastAsia="Calibri" w:hAnsi="Verdana" w:cs="Arial"/>
                <w:b/>
                <w:bCs/>
                <w:lang w:eastAsia="es-ES"/>
              </w:rPr>
              <w:t xml:space="preserve">255 </w:t>
            </w:r>
            <w:r w:rsidRPr="00960F72">
              <w:rPr>
                <w:rFonts w:ascii="Verdana" w:eastAsia="Calibri" w:hAnsi="Verdana" w:cs="Arial"/>
                <w:b/>
                <w:bCs/>
                <w:lang w:eastAsia="es-ES"/>
              </w:rPr>
              <w:t>de 202</w:t>
            </w:r>
            <w:r>
              <w:rPr>
                <w:rFonts w:ascii="Verdana" w:eastAsia="Calibri" w:hAnsi="Verdana" w:cs="Arial"/>
                <w:b/>
                <w:bCs/>
                <w:lang w:eastAsia="es-ES"/>
              </w:rPr>
              <w:t>6</w:t>
            </w:r>
          </w:p>
          <w:p w14:paraId="73D20FAA" w14:textId="77777777" w:rsidR="009F0010" w:rsidRPr="00960F72" w:rsidRDefault="009F0010" w:rsidP="00896225">
            <w:pPr>
              <w:jc w:val="both"/>
              <w:rPr>
                <w:rFonts w:ascii="Verdana" w:eastAsia="Calibri" w:hAnsi="Verdana" w:cs="Arial"/>
                <w:b/>
                <w:bCs/>
                <w:lang w:eastAsia="es-ES"/>
              </w:rPr>
            </w:pPr>
          </w:p>
        </w:tc>
      </w:tr>
      <w:tr w:rsidR="009F0010" w:rsidRPr="00960F72" w14:paraId="407676EF" w14:textId="77777777" w:rsidTr="00896225">
        <w:trPr>
          <w:trHeight w:val="884"/>
        </w:trPr>
        <w:tc>
          <w:tcPr>
            <w:tcW w:w="2689" w:type="dxa"/>
          </w:tcPr>
          <w:p w14:paraId="62D4FA1D" w14:textId="77777777" w:rsidR="009F0010" w:rsidRPr="00960F72" w:rsidRDefault="009F0010" w:rsidP="00896225">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F8C1C94" w14:textId="77777777" w:rsidR="009F0010" w:rsidRPr="0061670C" w:rsidRDefault="009F0010" w:rsidP="00896225">
            <w:pPr>
              <w:jc w:val="both"/>
              <w:rPr>
                <w:rFonts w:ascii="Verdana" w:hAnsi="Verdana" w:cs="Arial"/>
                <w:bCs/>
              </w:rPr>
            </w:pPr>
            <w:r w:rsidRPr="0061670C">
              <w:rPr>
                <w:rFonts w:ascii="Verdana" w:hAnsi="Verdana" w:cs="Arial"/>
                <w:bCs/>
              </w:rPr>
              <w:t>LEY DE GARANTÍAS ELECTORALES – Naturaleza jurídica / LEY DE GARANTÍAS ELECTORALES – Prohibiciones / LEY DE GARANTÍAS ELECTORALES ─ Artículo 33 ‒ Excepciones</w:t>
            </w:r>
            <w:r>
              <w:rPr>
                <w:rFonts w:ascii="Verdana" w:hAnsi="Verdana" w:cs="Arial"/>
                <w:bCs/>
              </w:rPr>
              <w:t xml:space="preserve"> –</w:t>
            </w:r>
            <w:r w:rsidRPr="0061670C" w:rsidDel="00B030F3">
              <w:rPr>
                <w:rFonts w:ascii="Verdana" w:hAnsi="Verdana" w:cs="Arial"/>
                <w:bCs/>
              </w:rPr>
              <w:t xml:space="preserve"> </w:t>
            </w:r>
            <w:r>
              <w:rPr>
                <w:rFonts w:ascii="Verdana" w:hAnsi="Verdana" w:cs="Arial"/>
                <w:bCs/>
              </w:rPr>
              <w:t xml:space="preserve">Contratos para la atención de emergencias </w:t>
            </w:r>
            <w:r w:rsidRPr="0061670C">
              <w:rPr>
                <w:rFonts w:ascii="Verdana" w:hAnsi="Verdana" w:cs="Arial"/>
                <w:bCs/>
              </w:rPr>
              <w:t>/ CUERPOS DE BOMBEROS VOLUNTARIOS ‒</w:t>
            </w:r>
            <w:r>
              <w:rPr>
                <w:rFonts w:ascii="Verdana" w:hAnsi="Verdana" w:cs="Arial"/>
                <w:bCs/>
              </w:rPr>
              <w:t xml:space="preserve"> Noción / </w:t>
            </w:r>
            <w:r w:rsidRPr="0061670C">
              <w:rPr>
                <w:rFonts w:ascii="Verdana" w:hAnsi="Verdana" w:cs="Arial"/>
                <w:bCs/>
              </w:rPr>
              <w:t>CUERPOS DE BOMBEROS VOLUNTARIOS</w:t>
            </w:r>
            <w:r>
              <w:rPr>
                <w:rFonts w:ascii="Verdana" w:hAnsi="Verdana" w:cs="Arial"/>
                <w:bCs/>
              </w:rPr>
              <w:t xml:space="preserve"> –</w:t>
            </w:r>
            <w:r w:rsidRPr="0061670C" w:rsidDel="00B030F3">
              <w:rPr>
                <w:rFonts w:ascii="Verdana" w:hAnsi="Verdana" w:cs="Arial"/>
                <w:bCs/>
              </w:rPr>
              <w:t xml:space="preserve"> </w:t>
            </w:r>
            <w:r>
              <w:rPr>
                <w:rFonts w:ascii="Verdana" w:hAnsi="Verdana" w:cs="Arial"/>
                <w:bCs/>
              </w:rPr>
              <w:t xml:space="preserve">Servicio público esencial / </w:t>
            </w:r>
            <w:r w:rsidRPr="0061670C">
              <w:rPr>
                <w:rFonts w:ascii="Verdana" w:hAnsi="Verdana" w:cs="Arial"/>
                <w:bCs/>
              </w:rPr>
              <w:t>CUERPOS DE BOMBEROS VOLUNTARIOS</w:t>
            </w:r>
            <w:r>
              <w:rPr>
                <w:rFonts w:ascii="Verdana" w:hAnsi="Verdana" w:cs="Arial"/>
                <w:bCs/>
              </w:rPr>
              <w:t xml:space="preserve"> – Modalidades de selección contratación / </w:t>
            </w:r>
            <w:r w:rsidRPr="0061670C">
              <w:rPr>
                <w:rFonts w:ascii="Verdana" w:hAnsi="Verdana" w:cs="Arial"/>
                <w:bCs/>
              </w:rPr>
              <w:t>CUERPOS DE BOMBEROS VOLUNTARIOS</w:t>
            </w:r>
            <w:r>
              <w:rPr>
                <w:rFonts w:ascii="Verdana" w:hAnsi="Verdana" w:cs="Arial"/>
                <w:bCs/>
              </w:rPr>
              <w:t xml:space="preserve"> – Objeto del contrato – Atención de emergencias – Excepción</w:t>
            </w:r>
          </w:p>
          <w:p w14:paraId="5D311EC6" w14:textId="77777777" w:rsidR="009F0010" w:rsidRPr="001F1B6C" w:rsidRDefault="009F0010" w:rsidP="00896225">
            <w:pPr>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9F0010" w:rsidRPr="00960F72" w14:paraId="1778ECAA" w14:textId="77777777" w:rsidTr="00896225">
        <w:tc>
          <w:tcPr>
            <w:tcW w:w="2689" w:type="dxa"/>
          </w:tcPr>
          <w:p w14:paraId="1BBD82F9" w14:textId="77777777" w:rsidR="009F0010" w:rsidRPr="008149BA" w:rsidRDefault="009F0010" w:rsidP="00896225">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0563D42" w14:textId="77777777" w:rsidR="009F0010" w:rsidRPr="008149BA" w:rsidRDefault="009F0010" w:rsidP="00896225">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763D98">
              <w:rPr>
                <w:rFonts w:ascii="Verdana" w:hAnsi="Verdana" w:cs="Segoe UI"/>
                <w:color w:val="2B2B2B"/>
                <w:shd w:val="clear" w:color="auto" w:fill="FFFFFF"/>
              </w:rPr>
              <w:t>1_2026_02_18_002175</w:t>
            </w:r>
            <w:r>
              <w:rPr>
                <w:rFonts w:ascii="Verdana" w:hAnsi="Verdana" w:cs="Segoe UI"/>
                <w:color w:val="2B2B2B"/>
                <w:shd w:val="clear" w:color="auto" w:fill="FFFFFF"/>
              </w:rPr>
              <w:t xml:space="preserve"> acumulada </w:t>
            </w:r>
            <w:r w:rsidRPr="00763D98">
              <w:rPr>
                <w:rFonts w:ascii="Verdana" w:hAnsi="Verdana" w:cs="Segoe UI"/>
                <w:color w:val="2B2B2B"/>
                <w:shd w:val="clear" w:color="auto" w:fill="FFFFFF"/>
              </w:rPr>
              <w:t>1_2026_02_18_002202</w:t>
            </w:r>
          </w:p>
        </w:tc>
      </w:tr>
    </w:tbl>
    <w:p w14:paraId="151BE783" w14:textId="77777777" w:rsidR="009F0010" w:rsidRPr="00960F72" w:rsidRDefault="009F0010" w:rsidP="009F0010">
      <w:pPr>
        <w:spacing w:after="0" w:line="276" w:lineRule="auto"/>
        <w:jc w:val="both"/>
        <w:rPr>
          <w:rFonts w:ascii="Verdana" w:eastAsia="Calibri" w:hAnsi="Verdana" w:cs="Arial"/>
          <w:lang w:eastAsia="es-ES_tradnl"/>
        </w:rPr>
      </w:pPr>
    </w:p>
    <w:p w14:paraId="6A8D5771" w14:textId="77777777" w:rsidR="009F0010" w:rsidRPr="00960F72" w:rsidRDefault="009F0010" w:rsidP="009F0010">
      <w:pPr>
        <w:spacing w:after="0" w:line="276" w:lineRule="auto"/>
        <w:jc w:val="both"/>
        <w:rPr>
          <w:rFonts w:ascii="Verdana" w:eastAsia="Calibri" w:hAnsi="Verdana" w:cs="Arial"/>
          <w:lang w:eastAsia="es-ES"/>
        </w:rPr>
      </w:pPr>
      <w:r>
        <w:rPr>
          <w:rFonts w:ascii="Verdana" w:eastAsia="Calibri" w:hAnsi="Verdana" w:cs="Arial"/>
          <w:lang w:eastAsia="es-ES"/>
        </w:rPr>
        <w:t>Estimada señor Olivares:</w:t>
      </w:r>
    </w:p>
    <w:p w14:paraId="4B60757F" w14:textId="77777777" w:rsidR="009F0010" w:rsidRPr="00960F72" w:rsidRDefault="009F0010" w:rsidP="009F0010">
      <w:pPr>
        <w:tabs>
          <w:tab w:val="left" w:pos="3768"/>
        </w:tabs>
        <w:spacing w:after="0" w:line="276" w:lineRule="auto"/>
        <w:jc w:val="both"/>
        <w:rPr>
          <w:rFonts w:ascii="Verdana" w:eastAsia="Calibri" w:hAnsi="Verdana" w:cs="Arial"/>
          <w:lang w:eastAsia="es-ES"/>
        </w:rPr>
      </w:pPr>
    </w:p>
    <w:p w14:paraId="4E88751C" w14:textId="77777777" w:rsidR="009F0010" w:rsidRPr="00960F72" w:rsidRDefault="009F0010" w:rsidP="009F0010">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recibida por competencia en esta Agencia el pasado 18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64018332" w14:textId="77777777" w:rsidR="009F0010" w:rsidRPr="00960F72" w:rsidRDefault="009F0010" w:rsidP="009F0010">
      <w:pPr>
        <w:spacing w:after="0" w:line="276" w:lineRule="auto"/>
        <w:jc w:val="both"/>
        <w:rPr>
          <w:rFonts w:ascii="Verdana" w:eastAsia="Calibri" w:hAnsi="Verdana" w:cs="Arial"/>
          <w:lang w:eastAsia="es-ES"/>
        </w:rPr>
      </w:pPr>
    </w:p>
    <w:p w14:paraId="2912EEB5" w14:textId="77777777" w:rsidR="009F0010" w:rsidRPr="00763D98" w:rsidRDefault="009F0010" w:rsidP="009F0010">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763D98">
        <w:rPr>
          <w:rFonts w:ascii="Verdana" w:eastAsia="Calibri" w:hAnsi="Verdana" w:cs="Arial"/>
          <w:sz w:val="20"/>
          <w:szCs w:val="20"/>
          <w:lang w:eastAsia="es-ES"/>
        </w:rPr>
        <w:t xml:space="preserve">¿Es jurídicamente viable que, durante la vigencia de la restricción establecida por el articulo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 xml:space="preserve">33 de la Ley 996 de 2005, el municipio de Baranoa suscriba un contrato de manera directa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 xml:space="preserve">con el fin exclusivo de garantizar la prestación continua, ininterrumpida y eficaz del servicio </w:t>
      </w:r>
    </w:p>
    <w:p w14:paraId="565C4B8D" w14:textId="77777777" w:rsidR="009F0010" w:rsidRDefault="009F0010" w:rsidP="009F0010">
      <w:pPr>
        <w:spacing w:after="0" w:line="240" w:lineRule="auto"/>
        <w:ind w:left="709" w:right="709"/>
        <w:jc w:val="both"/>
        <w:rPr>
          <w:rFonts w:ascii="Verdana" w:eastAsia="Calibri" w:hAnsi="Verdana" w:cs="Arial"/>
          <w:sz w:val="20"/>
          <w:szCs w:val="20"/>
          <w:lang w:eastAsia="es-ES"/>
        </w:rPr>
      </w:pPr>
      <w:r w:rsidRPr="00763D98">
        <w:rPr>
          <w:rFonts w:ascii="Verdana" w:eastAsia="Calibri" w:hAnsi="Verdana" w:cs="Arial"/>
          <w:sz w:val="20"/>
          <w:szCs w:val="20"/>
          <w:lang w:eastAsia="es-ES"/>
        </w:rPr>
        <w:t xml:space="preserve">público esencial de prevención y atención de incendios y demás emergencias a cargo del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 xml:space="preserve">cuerpo de bomberos, en atención a su carácter </w:t>
      </w:r>
      <w:r w:rsidRPr="00763D98">
        <w:rPr>
          <w:rFonts w:ascii="Verdana" w:eastAsia="Calibri" w:hAnsi="Verdana" w:cs="Arial"/>
          <w:sz w:val="20"/>
          <w:szCs w:val="20"/>
          <w:lang w:eastAsia="es-ES"/>
        </w:rPr>
        <w:lastRenderedPageBreak/>
        <w:t xml:space="preserve">indispensable para la protección de la vida, </w:t>
      </w:r>
      <w:r>
        <w:rPr>
          <w:rFonts w:ascii="Verdana" w:eastAsia="Calibri" w:hAnsi="Verdana" w:cs="Arial"/>
          <w:sz w:val="20"/>
          <w:szCs w:val="20"/>
          <w:lang w:eastAsia="es-ES"/>
        </w:rPr>
        <w:t>l</w:t>
      </w:r>
      <w:r w:rsidRPr="00763D98">
        <w:rPr>
          <w:rFonts w:ascii="Verdana" w:eastAsia="Calibri" w:hAnsi="Verdana" w:cs="Arial"/>
          <w:sz w:val="20"/>
          <w:szCs w:val="20"/>
          <w:lang w:eastAsia="es-ES"/>
        </w:rPr>
        <w:t>a integridad personal, la seguridad ciudadana y el interés general?</w:t>
      </w:r>
    </w:p>
    <w:p w14:paraId="2DCB4A19" w14:textId="77777777" w:rsidR="009F0010" w:rsidRPr="00763D98" w:rsidRDefault="009F0010" w:rsidP="009F0010">
      <w:pPr>
        <w:spacing w:after="0" w:line="240" w:lineRule="auto"/>
        <w:ind w:left="709" w:right="709"/>
        <w:jc w:val="both"/>
        <w:rPr>
          <w:rFonts w:ascii="Verdana" w:eastAsia="Calibri" w:hAnsi="Verdana" w:cs="Arial"/>
          <w:sz w:val="20"/>
          <w:szCs w:val="20"/>
          <w:lang w:eastAsia="es-ES"/>
        </w:rPr>
      </w:pPr>
    </w:p>
    <w:p w14:paraId="6AE66DCE" w14:textId="77777777" w:rsidR="009F0010" w:rsidRDefault="009F0010" w:rsidP="009F0010">
      <w:pPr>
        <w:spacing w:after="0" w:line="240" w:lineRule="auto"/>
        <w:ind w:left="709" w:right="709"/>
        <w:jc w:val="both"/>
        <w:rPr>
          <w:rFonts w:ascii="Verdana" w:eastAsia="Calibri" w:hAnsi="Verdana" w:cs="Arial"/>
          <w:sz w:val="20"/>
          <w:szCs w:val="20"/>
          <w:lang w:eastAsia="es-ES"/>
        </w:rPr>
      </w:pPr>
      <w:r w:rsidRPr="00763D98">
        <w:rPr>
          <w:rFonts w:ascii="Verdana" w:eastAsia="Calibri" w:hAnsi="Verdana" w:cs="Arial"/>
          <w:sz w:val="20"/>
          <w:szCs w:val="20"/>
          <w:lang w:eastAsia="es-ES"/>
        </w:rPr>
        <w:t xml:space="preserve">¿Es jurídicamente viable suscribir convenio con el cuerpo de bomberos voluntarios a través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 xml:space="preserve">de la contratación directa con posterioridad a la fecha límite de ley de garantías 30 de enero cuando no fue posible firmar por parte del contratista por colapso de la plataforma Secop,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 xml:space="preserve">haciendo claridad que la firma sería del clausulado que quedó montado en la plataforma </w:t>
      </w:r>
      <w:r>
        <w:rPr>
          <w:rFonts w:ascii="Verdana" w:eastAsia="Calibri" w:hAnsi="Verdana" w:cs="Arial"/>
          <w:sz w:val="20"/>
          <w:szCs w:val="20"/>
          <w:lang w:eastAsia="es-ES"/>
        </w:rPr>
        <w:t xml:space="preserve"> </w:t>
      </w:r>
      <w:r w:rsidRPr="00763D98">
        <w:rPr>
          <w:rFonts w:ascii="Verdana" w:eastAsia="Calibri" w:hAnsi="Verdana" w:cs="Arial"/>
          <w:sz w:val="20"/>
          <w:szCs w:val="20"/>
          <w:lang w:eastAsia="es-ES"/>
        </w:rPr>
        <w:t>antes del vencimiento</w:t>
      </w:r>
      <w:r>
        <w:rPr>
          <w:rFonts w:ascii="Verdana" w:eastAsia="Calibri" w:hAnsi="Verdana" w:cs="Arial"/>
          <w:sz w:val="20"/>
          <w:szCs w:val="20"/>
          <w:lang w:eastAsia="es-ES"/>
        </w:rPr>
        <w:t xml:space="preserve">”. </w:t>
      </w:r>
    </w:p>
    <w:p w14:paraId="250F780A" w14:textId="77777777" w:rsidR="009F0010" w:rsidRPr="00755387" w:rsidRDefault="009F0010" w:rsidP="009F0010">
      <w:pPr>
        <w:spacing w:after="0" w:line="276" w:lineRule="auto"/>
        <w:ind w:right="709"/>
        <w:jc w:val="both"/>
        <w:rPr>
          <w:rFonts w:ascii="Verdana" w:eastAsia="Calibri" w:hAnsi="Verdana" w:cs="Arial"/>
          <w:lang w:eastAsia="es-ES"/>
        </w:rPr>
      </w:pPr>
    </w:p>
    <w:p w14:paraId="5D7CE961" w14:textId="77777777" w:rsidR="009F0010" w:rsidRPr="00960F72" w:rsidRDefault="009F0010" w:rsidP="009F0010">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C120E99" w14:textId="77777777" w:rsidR="009F0010" w:rsidRDefault="009F0010" w:rsidP="009F0010">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BC6CDAF" w14:textId="77777777" w:rsidR="009F0010" w:rsidRPr="00960F72" w:rsidRDefault="009F0010" w:rsidP="009F0010">
      <w:pPr>
        <w:spacing w:after="0" w:line="276" w:lineRule="auto"/>
        <w:jc w:val="both"/>
        <w:rPr>
          <w:rFonts w:ascii="Verdana" w:eastAsia="Calibri" w:hAnsi="Verdana" w:cs="Arial"/>
          <w:lang w:eastAsia="es-ES"/>
        </w:rPr>
      </w:pPr>
    </w:p>
    <w:p w14:paraId="14CDA511" w14:textId="77777777" w:rsidR="009F0010" w:rsidRPr="00960F72" w:rsidRDefault="009F0010" w:rsidP="009F00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304245A2" w14:textId="77777777" w:rsidR="009F0010" w:rsidRPr="00960F72" w:rsidRDefault="009F0010" w:rsidP="009F0010">
      <w:pPr>
        <w:tabs>
          <w:tab w:val="left" w:pos="426"/>
        </w:tabs>
        <w:spacing w:after="0" w:line="276" w:lineRule="auto"/>
        <w:jc w:val="both"/>
        <w:rPr>
          <w:rFonts w:ascii="Verdana" w:eastAsia="Century Gothic" w:hAnsi="Verdana" w:cs="Century Gothic"/>
        </w:rPr>
      </w:pPr>
    </w:p>
    <w:p w14:paraId="79762420" w14:textId="77777777" w:rsidR="009F0010" w:rsidRPr="002E294E" w:rsidRDefault="009F0010" w:rsidP="009F0010">
      <w:pPr>
        <w:spacing w:after="0" w:line="276" w:lineRule="auto"/>
        <w:jc w:val="both"/>
        <w:rPr>
          <w:rFonts w:ascii="Verdana" w:eastAsia="Century Gothic" w:hAnsi="Verdana" w:cs="Century Gothic"/>
          <w:color w:val="ED7D31" w:themeColor="accent2"/>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2E294E">
        <w:rPr>
          <w:rFonts w:ascii="Verdana" w:eastAsia="Century Gothic" w:hAnsi="Verdana" w:cs="Century Gothic"/>
        </w:rPr>
        <w:t>¿Es jurídicamente viable la suscripción de convenios entre entidades territoriales y los Cuerpos de Bomberos Voluntarios durante la vigencia de las restricciones previstas en la Ley 996 de 2005?</w:t>
      </w:r>
    </w:p>
    <w:p w14:paraId="4454DC61" w14:textId="77777777" w:rsidR="009F0010" w:rsidRPr="00960F72" w:rsidRDefault="009F0010" w:rsidP="009F0010">
      <w:pPr>
        <w:spacing w:after="0" w:line="276" w:lineRule="auto"/>
        <w:jc w:val="both"/>
        <w:rPr>
          <w:rFonts w:ascii="Verdana" w:eastAsia="Century Gothic" w:hAnsi="Verdana" w:cs="Century Gothic"/>
        </w:rPr>
      </w:pPr>
    </w:p>
    <w:p w14:paraId="06975FB7" w14:textId="77777777" w:rsidR="009F0010" w:rsidRDefault="009F0010" w:rsidP="009F00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783FA739" w14:textId="77777777" w:rsidR="009F0010" w:rsidRPr="00027E7B" w:rsidRDefault="009F0010" w:rsidP="009F001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0010" w:rsidRPr="00960F72" w14:paraId="0588F3C5" w14:textId="77777777" w:rsidTr="00896225">
        <w:tc>
          <w:tcPr>
            <w:tcW w:w="8828" w:type="dxa"/>
          </w:tcPr>
          <w:p w14:paraId="3CFF3B4E" w14:textId="77777777" w:rsidR="009F0010" w:rsidRDefault="009F0010" w:rsidP="00896225">
            <w:pPr>
              <w:spacing w:before="120" w:after="120" w:line="276" w:lineRule="auto"/>
              <w:jc w:val="both"/>
              <w:rPr>
                <w:rFonts w:ascii="Verdana" w:eastAsia="Calibri" w:hAnsi="Verdana" w:cs="Arial"/>
              </w:rPr>
            </w:pPr>
            <w:r w:rsidRPr="002E294E">
              <w:rPr>
                <w:rFonts w:ascii="Verdana" w:eastAsia="Calibri" w:hAnsi="Verdana" w:cs="Arial"/>
              </w:rPr>
              <w:lastRenderedPageBreak/>
              <w:t xml:space="preserve">Para responder el problema jurídico, es importante precisar que, durante la vigencia de las restricciones previstas en la Ley 996 de 2005, en cumplimiento de la obligación dispuesta en el artículo 3 de la Ley 1575 de 2012, las entidades territoriales pueden celebrar contratos o convenios con los </w:t>
            </w:r>
            <w:r w:rsidRPr="002E294E">
              <w:rPr>
                <w:rFonts w:ascii="Verdana" w:eastAsia="Calibri" w:hAnsi="Verdana" w:cs="Arial"/>
                <w:i/>
                <w:iCs/>
              </w:rPr>
              <w:t>Cuerpos de Bomberos Voluntarios,</w:t>
            </w:r>
            <w:r w:rsidRPr="002E294E">
              <w:rPr>
                <w:rFonts w:ascii="Verdana" w:eastAsia="Calibri" w:hAnsi="Verdana" w:cs="Arial"/>
              </w:rPr>
              <w:t xml:space="preserve"> siempre que la escogencia del contratista se realice mediante un procedimiento competitivo que </w:t>
            </w:r>
            <w:r>
              <w:rPr>
                <w:rFonts w:ascii="Verdana" w:eastAsia="Calibri" w:hAnsi="Verdana" w:cs="Arial"/>
              </w:rPr>
              <w:t xml:space="preserve">sea abierto y que </w:t>
            </w:r>
            <w:r w:rsidRPr="002E294E">
              <w:rPr>
                <w:rFonts w:ascii="Verdana" w:eastAsia="Calibri" w:hAnsi="Verdana" w:cs="Arial"/>
              </w:rPr>
              <w:t>garantice la participación de una pluralidad de oferentes</w:t>
            </w:r>
            <w:r>
              <w:rPr>
                <w:rFonts w:ascii="Verdana" w:eastAsia="Calibri" w:hAnsi="Verdana" w:cs="Arial"/>
              </w:rPr>
              <w:t xml:space="preserve">. Esto </w:t>
            </w:r>
            <w:r w:rsidRPr="002E294E">
              <w:rPr>
                <w:rFonts w:ascii="Verdana" w:eastAsia="Calibri" w:hAnsi="Verdana" w:cs="Arial"/>
              </w:rPr>
              <w:t>en la medida en que la prohibición contenida en el artículo 33 recae específicamente sobre la contratación directa. En consecuencia, la celebración de acuerdos derivados de procesos abiertos y competitivos resulta jurídicamente viable dentro del periodo de la Ley de Garantías</w:t>
            </w:r>
            <w:r>
              <w:rPr>
                <w:rFonts w:ascii="Verdana" w:eastAsia="Calibri" w:hAnsi="Verdana" w:cs="Arial"/>
              </w:rPr>
              <w:t xml:space="preserve"> Electorales</w:t>
            </w:r>
            <w:r w:rsidRPr="002E294E">
              <w:rPr>
                <w:rFonts w:ascii="Verdana" w:eastAsia="Calibri" w:hAnsi="Verdana" w:cs="Arial"/>
              </w:rPr>
              <w:t xml:space="preserve">. </w:t>
            </w:r>
          </w:p>
          <w:p w14:paraId="2692F415" w14:textId="77777777" w:rsidR="009F0010" w:rsidRDefault="009F0010" w:rsidP="00896225">
            <w:pPr>
              <w:spacing w:before="120" w:after="120" w:line="276" w:lineRule="auto"/>
              <w:ind w:firstLine="709"/>
              <w:jc w:val="both"/>
              <w:rPr>
                <w:rFonts w:ascii="Verdana" w:eastAsia="Calibri" w:hAnsi="Verdana" w:cs="Arial"/>
              </w:rPr>
            </w:pPr>
            <w:r w:rsidRPr="002E294E">
              <w:rPr>
                <w:rFonts w:ascii="Verdana" w:eastAsia="Calibri" w:hAnsi="Verdana" w:cs="Arial"/>
              </w:rPr>
              <w:t>No obstante, excepcionalmente, durante la vigencia de la restricción del artículo 33 de la Ley 996 de 2005, las entidades estatales podrán acudir a mecanismos de contratación directa para celebrar este tipo de contratos o convenios cuando: i) se configure alguna de las causales de contratación directa previstas en la ley; y ii) el objeto contractual se enmarque en alguna de las excepciones previstas en el inciso segundo del artículo 33 de la Ley 996 de 2005, particularmente con aquellas actividades relacionadas con la atención de emergencias o desastres, comprendidas dentro del servicios prestados por los Cuerpos de Bomberos con sustento en las leyes 1523 y 1575 de 2012, circunstancia que debe ser analizada y debidamente sustentada por la entidad estatal en cada caso concreto. En ausencia de tales supuestos, la entidad deberá acudir a mecanismos de selección competitivos para dar cumplimiento al inciso cuarto del artículo 3 de la Ley 1523 de 2012, garantizando la validez de la contratación durante el periodo de restricción electoral.</w:t>
            </w:r>
          </w:p>
          <w:p w14:paraId="6EAA8DD0" w14:textId="77777777" w:rsidR="009F0010" w:rsidRPr="002E294E" w:rsidRDefault="009F0010" w:rsidP="00896225">
            <w:pPr>
              <w:spacing w:before="120" w:after="120" w:line="276" w:lineRule="auto"/>
              <w:ind w:firstLine="709"/>
              <w:jc w:val="both"/>
              <w:rPr>
                <w:rFonts w:ascii="Verdana" w:eastAsia="Calibri" w:hAnsi="Verdana" w:cs="Arial"/>
              </w:rPr>
            </w:pPr>
            <w:r>
              <w:rPr>
                <w:rFonts w:ascii="Verdana" w:eastAsia="Calibri" w:hAnsi="Verdana" w:cs="Arial"/>
              </w:rPr>
              <w:t>Por otro lado, l</w:t>
            </w:r>
            <w:r w:rsidRPr="002E294E">
              <w:rPr>
                <w:rFonts w:ascii="Verdana" w:eastAsia="Calibri" w:hAnsi="Verdana" w:cs="Arial"/>
              </w:rPr>
              <w:t xml:space="preserve">a prohibición de celebrar </w:t>
            </w:r>
            <w:r w:rsidRPr="002E294E">
              <w:rPr>
                <w:rFonts w:ascii="Verdana" w:eastAsia="Calibri" w:hAnsi="Verdana" w:cs="Arial"/>
                <w:i/>
                <w:iCs/>
              </w:rPr>
              <w:t>convenios interadministrativos</w:t>
            </w:r>
            <w:r w:rsidRPr="002E294E">
              <w:rPr>
                <w:rFonts w:ascii="Verdana" w:eastAsia="Calibri" w:hAnsi="Verdana" w:cs="Arial"/>
              </w:rPr>
              <w:t xml:space="preserve"> prevista en el parágrafo del artículo 38 de la Ley 996 de 2005 no resulta aplicable cuando el acuerdo se suscribe con </w:t>
            </w:r>
            <w:r w:rsidRPr="00896225">
              <w:rPr>
                <w:rFonts w:ascii="Verdana" w:eastAsia="Calibri" w:hAnsi="Verdana" w:cs="Arial"/>
                <w:i/>
                <w:iCs/>
              </w:rPr>
              <w:t>Cuerpos de Bomberos Voluntarios</w:t>
            </w:r>
            <w:r w:rsidRPr="002E294E">
              <w:rPr>
                <w:rFonts w:ascii="Verdana" w:eastAsia="Calibri" w:hAnsi="Verdana" w:cs="Arial"/>
              </w:rPr>
              <w:t>, debido a su naturaleza jurídica privada, lo que impide que dichos convenios sean calificados como interadministrativos bajo el criterio orgánico que caracteriza esta modalidad contractual.</w:t>
            </w:r>
          </w:p>
          <w:p w14:paraId="200F49A5" w14:textId="77777777" w:rsidR="009F0010" w:rsidRPr="00EB66F0" w:rsidRDefault="009F0010" w:rsidP="00896225">
            <w:pPr>
              <w:spacing w:line="276" w:lineRule="auto"/>
              <w:ind w:firstLine="709"/>
              <w:contextualSpacing/>
              <w:jc w:val="both"/>
              <w:rPr>
                <w:rFonts w:ascii="Verdana" w:hAnsi="Verdana" w:cs="Arial"/>
                <w:lang w:eastAsia="es-ES"/>
              </w:rPr>
            </w:pPr>
            <w:r w:rsidRPr="002E294E">
              <w:rPr>
                <w:rFonts w:ascii="Verdana" w:eastAsia="Calibri" w:hAnsi="Verdana" w:cs="Arial"/>
                <w:bCs/>
              </w:rPr>
              <w:t xml:space="preserve">Finalmente, al margen de la explicación precedente debe advertirse que </w:t>
            </w:r>
            <w:r w:rsidRPr="002E294E">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2E294E">
              <w:rPr>
                <w:rStyle w:val="apple-converted-space"/>
                <w:rFonts w:ascii="Verdana" w:hAnsi="Verdana"/>
              </w:rPr>
              <w:t> </w:t>
            </w:r>
            <w:r w:rsidRPr="002E294E">
              <w:rPr>
                <w:rStyle w:val="s15"/>
                <w:rFonts w:ascii="Verdana" w:hAnsi="Verdana"/>
              </w:rPr>
              <w:t xml:space="preserve">Por lo anterior, </w:t>
            </w:r>
            <w:r w:rsidRPr="002E294E">
              <w:rPr>
                <w:rStyle w:val="s15"/>
                <w:rFonts w:ascii="Verdana" w:hAnsi="Verdana"/>
              </w:rPr>
              <w:lastRenderedPageBreak/>
              <w:t>previo</w:t>
            </w:r>
            <w:r w:rsidRPr="002E294E">
              <w:rPr>
                <w:rStyle w:val="apple-converted-space"/>
                <w:rFonts w:ascii="Verdana" w:hAnsi="Verdana"/>
              </w:rPr>
              <w:t> </w:t>
            </w:r>
            <w:r w:rsidRPr="002E294E">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1FC8236" w14:textId="77777777" w:rsidR="009F0010" w:rsidRPr="00960F72" w:rsidRDefault="009F0010" w:rsidP="009F0010">
      <w:pPr>
        <w:tabs>
          <w:tab w:val="left" w:pos="142"/>
          <w:tab w:val="left" w:pos="284"/>
        </w:tabs>
        <w:spacing w:after="0" w:line="276" w:lineRule="auto"/>
        <w:jc w:val="both"/>
        <w:rPr>
          <w:rFonts w:ascii="Verdana" w:eastAsia="Century Gothic" w:hAnsi="Verdana" w:cs="Century Gothic"/>
          <w:b/>
          <w:bCs/>
        </w:rPr>
      </w:pPr>
    </w:p>
    <w:p w14:paraId="7F1C53EA" w14:textId="77777777" w:rsidR="009F0010" w:rsidRDefault="009F0010" w:rsidP="009F00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7CCC3369" w14:textId="77777777" w:rsidR="009F0010" w:rsidRDefault="009F0010" w:rsidP="009F001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40DD49A4" w14:textId="77777777" w:rsidR="009F0010" w:rsidRDefault="009F0010" w:rsidP="009F001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45EF438" w14:textId="77777777" w:rsidR="009F0010" w:rsidRPr="000C6D8F" w:rsidRDefault="009F0010" w:rsidP="009F0010">
      <w:pPr>
        <w:spacing w:after="0" w:line="276" w:lineRule="auto"/>
        <w:jc w:val="both"/>
        <w:rPr>
          <w:rFonts w:ascii="Verdana" w:eastAsia="Calibri" w:hAnsi="Verdana" w:cs="Arial"/>
          <w:lang w:val="es-ES"/>
        </w:rPr>
      </w:pPr>
    </w:p>
    <w:p w14:paraId="49CBC170" w14:textId="77777777" w:rsidR="009F0010" w:rsidRPr="002E294E" w:rsidRDefault="009F0010" w:rsidP="009F0010">
      <w:pPr>
        <w:tabs>
          <w:tab w:val="left" w:pos="426"/>
        </w:tabs>
        <w:spacing w:after="120" w:line="276" w:lineRule="auto"/>
        <w:jc w:val="both"/>
        <w:rPr>
          <w:rFonts w:ascii="Verdana" w:eastAsia="Calibri" w:hAnsi="Verdana" w:cs="Arial"/>
          <w:bCs/>
          <w:lang w:val="es-ES_tradnl" w:eastAsia="es-CO"/>
        </w:rPr>
      </w:pPr>
      <w:bookmarkStart w:id="1" w:name="_heading=h.4d34og8" w:colFirst="0" w:colLast="0"/>
      <w:bookmarkEnd w:id="1"/>
      <w:r w:rsidRPr="002E294E">
        <w:rPr>
          <w:rFonts w:ascii="Verdana" w:eastAsia="Calibri" w:hAnsi="Verdana" w:cs="Arial"/>
          <w:bCs/>
          <w:lang w:eastAsia="es-ES_tradnl"/>
        </w:rPr>
        <w:t xml:space="preserve">i. </w:t>
      </w:r>
      <w:r w:rsidRPr="002E294E">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2E294E">
        <w:rPr>
          <w:rFonts w:ascii="Verdana" w:eastAsia="Calibri" w:hAnsi="Verdana" w:cs="Arial"/>
          <w:bCs/>
          <w:i/>
          <w:iCs/>
          <w:lang w:val="es-ES_tradnl" w:eastAsia="es-ES_tradnl"/>
        </w:rPr>
        <w:t xml:space="preserve">. </w:t>
      </w:r>
      <w:r w:rsidRPr="002E294E">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2E294E">
        <w:rPr>
          <w:rFonts w:ascii="Verdana" w:eastAsia="Calibri" w:hAnsi="Verdana" w:cs="Arial"/>
          <w:bCs/>
          <w:vertAlign w:val="superscript"/>
          <w:lang w:val="es-ES_tradnl" w:eastAsia="es-ES_tradnl"/>
        </w:rPr>
        <w:footnoteReference w:id="1"/>
      </w:r>
      <w:r w:rsidRPr="002E294E">
        <w:rPr>
          <w:rFonts w:ascii="Verdana" w:eastAsia="Calibri" w:hAnsi="Verdana" w:cs="Arial"/>
          <w:bCs/>
          <w:lang w:val="es-ES_tradnl" w:eastAsia="es-ES_tradnl"/>
        </w:rPr>
        <w:t xml:space="preserve">. </w:t>
      </w:r>
    </w:p>
    <w:p w14:paraId="28C8CF43" w14:textId="77777777" w:rsidR="009F0010" w:rsidRDefault="009F0010" w:rsidP="009F0010">
      <w:pPr>
        <w:tabs>
          <w:tab w:val="left" w:pos="426"/>
        </w:tabs>
        <w:spacing w:after="120" w:line="276" w:lineRule="auto"/>
        <w:ind w:firstLine="709"/>
        <w:jc w:val="both"/>
        <w:rPr>
          <w:rFonts w:ascii="Verdana" w:eastAsia="Calibri" w:hAnsi="Verdana" w:cs="Arial"/>
          <w:noProof/>
          <w:lang w:val="es-ES_tradnl" w:eastAsia="es-ES_tradnl"/>
        </w:rPr>
      </w:pPr>
      <w:r w:rsidRPr="002E294E">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294E">
        <w:rPr>
          <w:rFonts w:ascii="Verdana" w:eastAsia="Calibri" w:hAnsi="Verdana" w:cs="Arial"/>
          <w:bCs/>
          <w:vertAlign w:val="superscript"/>
          <w:lang w:val="es-ES_tradnl" w:eastAsia="es-CO"/>
        </w:rPr>
        <w:footnoteReference w:id="2"/>
      </w:r>
      <w:r w:rsidRPr="002E294E">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2E294E">
        <w:rPr>
          <w:rFonts w:ascii="Verdana" w:eastAsia="Calibri" w:hAnsi="Verdana" w:cs="Arial"/>
          <w:noProof/>
          <w:lang w:val="es-ES_tradnl" w:eastAsia="es-ES_tradnl"/>
        </w:rPr>
        <w:t xml:space="preserve"> </w:t>
      </w:r>
    </w:p>
    <w:p w14:paraId="3AC4148F" w14:textId="77777777" w:rsidR="009F0010" w:rsidRDefault="009F0010" w:rsidP="009F0010">
      <w:pPr>
        <w:tabs>
          <w:tab w:val="left" w:pos="426"/>
        </w:tabs>
        <w:spacing w:after="0" w:line="276" w:lineRule="auto"/>
        <w:ind w:firstLine="709"/>
        <w:jc w:val="both"/>
        <w:rPr>
          <w:rFonts w:ascii="Verdana" w:eastAsia="Calibri" w:hAnsi="Verdana" w:cs="Arial"/>
          <w:bCs/>
          <w:lang w:val="es-ES_tradnl" w:eastAsia="es-CO"/>
        </w:rPr>
      </w:pPr>
      <w:r w:rsidRPr="002E294E">
        <w:rPr>
          <w:rFonts w:ascii="Verdana" w:eastAsia="Calibri" w:hAnsi="Verdana" w:cs="Arial"/>
          <w:bCs/>
          <w:lang w:val="es-ES_tradnl" w:eastAsia="es-CO"/>
        </w:rPr>
        <w:t>En armonía con lo anterior, la Corte Constitucional ha abordado la definición de la Ley de Garantías Electorales, en los siguientes términos:</w:t>
      </w:r>
    </w:p>
    <w:p w14:paraId="0F5575EA" w14:textId="77777777" w:rsidR="009F0010" w:rsidRPr="002E294E" w:rsidRDefault="009F0010" w:rsidP="009F0010">
      <w:pPr>
        <w:tabs>
          <w:tab w:val="left" w:pos="426"/>
        </w:tabs>
        <w:spacing w:after="0" w:line="276" w:lineRule="auto"/>
        <w:ind w:firstLine="709"/>
        <w:jc w:val="both"/>
        <w:rPr>
          <w:rFonts w:ascii="Verdana" w:eastAsia="Calibri" w:hAnsi="Verdana" w:cs="Arial"/>
          <w:bCs/>
          <w:lang w:val="es-ES_tradnl" w:eastAsia="es-CO"/>
        </w:rPr>
      </w:pPr>
    </w:p>
    <w:p w14:paraId="5C993BD1" w14:textId="77777777" w:rsidR="009F0010" w:rsidRPr="002E294E" w:rsidRDefault="009F0010" w:rsidP="009F0010">
      <w:pPr>
        <w:spacing w:after="0" w:line="240" w:lineRule="auto"/>
        <w:ind w:left="709" w:right="709"/>
        <w:jc w:val="both"/>
        <w:rPr>
          <w:rFonts w:ascii="Verdana" w:eastAsia="Calibri" w:hAnsi="Verdana" w:cs="Arial"/>
          <w:bCs/>
          <w:sz w:val="20"/>
          <w:szCs w:val="20"/>
          <w:lang w:val="es-ES_tradnl" w:eastAsia="es-CO"/>
        </w:rPr>
      </w:pPr>
      <w:r>
        <w:rPr>
          <w:rFonts w:ascii="Verdana" w:eastAsia="Calibri" w:hAnsi="Verdana" w:cs="Arial"/>
          <w:sz w:val="20"/>
          <w:szCs w:val="20"/>
          <w:lang w:val="es-ES" w:eastAsia="es-CO"/>
        </w:rPr>
        <w:lastRenderedPageBreak/>
        <w:t>“</w:t>
      </w:r>
      <w:r w:rsidRPr="002E294E">
        <w:rPr>
          <w:rFonts w:ascii="Verdana" w:eastAsia="Calibri" w:hAnsi="Verdana" w:cs="Arial"/>
          <w:sz w:val="20"/>
          <w:szCs w:val="20"/>
          <w:lang w:val="es-ES" w:eastAsia="es-CO"/>
        </w:rPr>
        <w:t xml:space="preserve">[…] </w:t>
      </w:r>
      <w:r w:rsidRPr="002E294E">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7D98A866" w14:textId="77777777" w:rsidR="009F0010" w:rsidRPr="002E294E" w:rsidRDefault="009F0010" w:rsidP="009F0010">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 xml:space="preserve">[…] </w:t>
      </w:r>
    </w:p>
    <w:p w14:paraId="64814B56" w14:textId="77777777" w:rsidR="009F0010" w:rsidRPr="002E294E" w:rsidRDefault="009F0010" w:rsidP="009F0010">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bCs/>
          <w:sz w:val="20"/>
          <w:szCs w:val="20"/>
          <w:lang w:val="es-ES_tradnl" w:eastAsia="es-CO"/>
        </w:rPr>
        <w:t>”</w:t>
      </w:r>
      <w:r w:rsidRPr="002E294E">
        <w:rPr>
          <w:rFonts w:ascii="Verdana" w:eastAsia="Calibri" w:hAnsi="Verdana" w:cs="Arial"/>
          <w:sz w:val="20"/>
          <w:szCs w:val="20"/>
          <w:vertAlign w:val="superscript"/>
          <w:lang w:val="es-ES_tradnl" w:eastAsia="es-ES_tradnl"/>
        </w:rPr>
        <w:footnoteReference w:id="3"/>
      </w:r>
      <w:r>
        <w:rPr>
          <w:rFonts w:ascii="Verdana" w:eastAsia="Calibri" w:hAnsi="Verdana" w:cs="Arial"/>
          <w:bCs/>
          <w:sz w:val="20"/>
          <w:szCs w:val="20"/>
          <w:lang w:val="es-ES_tradnl" w:eastAsia="es-CO"/>
        </w:rPr>
        <w:t>.</w:t>
      </w:r>
    </w:p>
    <w:p w14:paraId="4F340CDD" w14:textId="77777777" w:rsidR="009F0010" w:rsidRPr="002E294E" w:rsidRDefault="009F0010" w:rsidP="009F0010">
      <w:pPr>
        <w:spacing w:after="0" w:line="240" w:lineRule="auto"/>
        <w:ind w:left="709" w:right="709"/>
        <w:jc w:val="both"/>
        <w:rPr>
          <w:rFonts w:ascii="Verdana" w:eastAsia="Calibri" w:hAnsi="Verdana" w:cs="Arial"/>
          <w:bCs/>
          <w:sz w:val="20"/>
          <w:szCs w:val="20"/>
          <w:lang w:val="es-ES_tradnl" w:eastAsia="es-CO"/>
        </w:rPr>
      </w:pPr>
    </w:p>
    <w:p w14:paraId="1ADE6656" w14:textId="77777777" w:rsidR="009F0010" w:rsidRPr="002E294E" w:rsidRDefault="009F0010" w:rsidP="009F0010">
      <w:pPr>
        <w:spacing w:after="120" w:line="276" w:lineRule="auto"/>
        <w:ind w:firstLine="709"/>
        <w:jc w:val="both"/>
        <w:rPr>
          <w:rFonts w:ascii="Verdana" w:eastAsia="Times New Roman" w:hAnsi="Verdana" w:cs="Arial"/>
          <w:bCs/>
          <w:lang w:val="es-MX" w:eastAsia="es-CO"/>
        </w:rPr>
      </w:pPr>
      <w:bookmarkStart w:id="2" w:name="_Hlk78818186"/>
      <w:r w:rsidRPr="002E294E">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6108A1DE" w14:textId="77777777" w:rsidR="009F0010" w:rsidRDefault="009F0010" w:rsidP="009F0010">
      <w:pPr>
        <w:spacing w:after="0" w:line="276" w:lineRule="auto"/>
        <w:ind w:left="142" w:firstLine="709"/>
        <w:jc w:val="both"/>
        <w:rPr>
          <w:rFonts w:ascii="Verdana" w:eastAsia="Times New Roman" w:hAnsi="Verdana" w:cs="Arial"/>
          <w:bCs/>
          <w:lang w:val="es-MX" w:eastAsia="es-CO"/>
        </w:rPr>
      </w:pPr>
      <w:r w:rsidRPr="002E294E">
        <w:rPr>
          <w:rFonts w:ascii="Verdana" w:eastAsia="Times New Roman" w:hAnsi="Verdana" w:cs="Arial"/>
          <w:bCs/>
          <w:lang w:val="es-MX" w:eastAsia="es-CO"/>
        </w:rPr>
        <w:t>En efecto, la Sala de Consulta y Servicio Civil del Consejo de Estado al analizar la referida ley, precisó lo siguiente:</w:t>
      </w:r>
      <w:bookmarkEnd w:id="2"/>
    </w:p>
    <w:p w14:paraId="2336BD6F" w14:textId="77777777" w:rsidR="009F0010" w:rsidRPr="002E294E" w:rsidRDefault="009F0010" w:rsidP="009F0010">
      <w:pPr>
        <w:spacing w:after="0" w:line="276" w:lineRule="auto"/>
        <w:ind w:left="142" w:firstLine="709"/>
        <w:jc w:val="both"/>
        <w:rPr>
          <w:rFonts w:ascii="Verdana" w:eastAsia="Calibri" w:hAnsi="Verdana" w:cs="Arial"/>
          <w:bCs/>
          <w:lang w:val="es-ES_tradnl" w:eastAsia="es-CO"/>
        </w:rPr>
      </w:pPr>
    </w:p>
    <w:p w14:paraId="060E0180" w14:textId="77777777" w:rsidR="009F0010" w:rsidRPr="002E294E" w:rsidRDefault="009F0010" w:rsidP="009F0010">
      <w:pPr>
        <w:spacing w:after="0" w:line="240" w:lineRule="auto"/>
        <w:ind w:left="850" w:right="709"/>
        <w:jc w:val="both"/>
        <w:rPr>
          <w:rFonts w:ascii="Verdana" w:eastAsia="Calibri" w:hAnsi="Verdana" w:cs="Arial"/>
          <w:sz w:val="20"/>
          <w:szCs w:val="20"/>
          <w:lang w:val="es-ES" w:eastAsia="es-CO"/>
        </w:rPr>
      </w:pPr>
      <w:r>
        <w:rPr>
          <w:rFonts w:ascii="Verdana" w:eastAsia="Calibri" w:hAnsi="Verdana" w:cs="Arial"/>
          <w:sz w:val="20"/>
          <w:szCs w:val="20"/>
          <w:lang w:val="es-ES" w:eastAsia="es-CO"/>
        </w:rPr>
        <w:t>“</w:t>
      </w:r>
      <w:r w:rsidRPr="002E294E">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25C4B7D" w14:textId="77777777" w:rsidR="009F0010" w:rsidRPr="002E294E" w:rsidRDefault="009F0010" w:rsidP="009F0010">
      <w:pPr>
        <w:spacing w:after="0" w:line="240" w:lineRule="auto"/>
        <w:ind w:left="850"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La jurisprudencia de la Corte Constitucional</w:t>
      </w:r>
      <w:r w:rsidRPr="002E294E">
        <w:rPr>
          <w:rFonts w:ascii="Verdana" w:eastAsia="Calibri" w:hAnsi="Verdana" w:cs="Arial"/>
          <w:bCs/>
          <w:sz w:val="20"/>
          <w:szCs w:val="20"/>
          <w:vertAlign w:val="superscript"/>
          <w:lang w:val="es-ES_tradnl" w:eastAsia="es-CO"/>
        </w:rPr>
        <w:footnoteReference w:id="4"/>
      </w:r>
      <w:r w:rsidRPr="002E294E">
        <w:rPr>
          <w:rFonts w:ascii="Verdana" w:eastAsia="Calibri" w:hAnsi="Verdana" w:cs="Arial"/>
          <w:bCs/>
          <w:sz w:val="20"/>
          <w:szCs w:val="20"/>
          <w:lang w:val="es-ES_tradnl" w:eastAsia="es-CO"/>
        </w:rPr>
        <w:t> y del Consejo de Estado</w:t>
      </w:r>
      <w:r w:rsidRPr="002E294E">
        <w:rPr>
          <w:rFonts w:ascii="Verdana" w:eastAsia="Calibri" w:hAnsi="Verdana" w:cs="Arial"/>
          <w:bCs/>
          <w:sz w:val="20"/>
          <w:szCs w:val="20"/>
          <w:vertAlign w:val="superscript"/>
          <w:lang w:val="es-ES_tradnl" w:eastAsia="es-CO"/>
        </w:rPr>
        <w:footnoteReference w:id="5"/>
      </w:r>
      <w:r w:rsidRPr="002E294E">
        <w:rPr>
          <w:rFonts w:ascii="Verdana" w:eastAsia="Calibri" w:hAnsi="Verdana" w:cs="Arial"/>
          <w:bCs/>
          <w:sz w:val="20"/>
          <w:szCs w:val="20"/>
          <w:lang w:val="es-ES_tradnl" w:eastAsia="es-CO"/>
        </w:rPr>
        <w:t xml:space="preserve">, coinciden en que las normas que establecen prohibiciones deben estar </w:t>
      </w:r>
      <w:r w:rsidRPr="002E294E">
        <w:rPr>
          <w:rFonts w:ascii="Verdana" w:eastAsia="Calibri" w:hAnsi="Verdana" w:cs="Arial"/>
          <w:bCs/>
          <w:sz w:val="20"/>
          <w:szCs w:val="20"/>
          <w:lang w:val="es-ES_tradnl" w:eastAsia="es-CO"/>
        </w:rPr>
        <w:lastRenderedPageBreak/>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Calibri" w:hAnsi="Verdana" w:cs="Arial"/>
          <w:bCs/>
          <w:sz w:val="20"/>
          <w:szCs w:val="20"/>
          <w:lang w:val="es-ES_tradnl" w:eastAsia="es-CO"/>
        </w:rPr>
        <w:t>”</w:t>
      </w:r>
      <w:r w:rsidRPr="002E294E">
        <w:rPr>
          <w:rFonts w:ascii="Verdana" w:eastAsia="Calibri" w:hAnsi="Verdana" w:cs="Arial"/>
          <w:bCs/>
          <w:sz w:val="20"/>
          <w:szCs w:val="20"/>
          <w:vertAlign w:val="superscript"/>
          <w:lang w:val="es-ES_tradnl" w:eastAsia="es-CO"/>
        </w:rPr>
        <w:footnoteReference w:id="6"/>
      </w:r>
      <w:r w:rsidRPr="002E294E">
        <w:rPr>
          <w:rFonts w:ascii="Verdana" w:eastAsia="Calibri" w:hAnsi="Verdana" w:cs="Arial"/>
          <w:bCs/>
          <w:sz w:val="20"/>
          <w:szCs w:val="20"/>
          <w:lang w:val="es-ES_tradnl" w:eastAsia="es-CO"/>
        </w:rPr>
        <w:t>.</w:t>
      </w:r>
    </w:p>
    <w:p w14:paraId="09C8D8E6" w14:textId="77777777" w:rsidR="009F0010" w:rsidRPr="00896225" w:rsidRDefault="009F0010" w:rsidP="009F0010">
      <w:pPr>
        <w:spacing w:after="0" w:line="276" w:lineRule="auto"/>
        <w:ind w:left="851" w:right="709"/>
        <w:jc w:val="both"/>
        <w:rPr>
          <w:rFonts w:ascii="Verdana" w:eastAsia="Calibri" w:hAnsi="Verdana" w:cs="Arial"/>
          <w:bCs/>
          <w:lang w:val="es-ES_tradnl" w:eastAsia="es-CO"/>
        </w:rPr>
      </w:pPr>
    </w:p>
    <w:p w14:paraId="7935A4E7" w14:textId="77777777" w:rsidR="009F0010" w:rsidRPr="002E294E" w:rsidRDefault="009F0010" w:rsidP="009F0010">
      <w:pPr>
        <w:spacing w:after="120" w:line="276" w:lineRule="auto"/>
        <w:ind w:left="142"/>
        <w:jc w:val="both"/>
        <w:rPr>
          <w:rFonts w:ascii="Verdana" w:eastAsia="Arial" w:hAnsi="Verdana" w:cs="Arial"/>
          <w:lang w:val="es-ES" w:eastAsia="es-ES" w:bidi="es-ES"/>
        </w:rPr>
      </w:pPr>
      <w:r w:rsidRPr="002E294E">
        <w:rPr>
          <w:rFonts w:ascii="Verdana" w:eastAsia="Calibri" w:hAnsi="Verdana" w:cs="Arial"/>
          <w:bCs/>
          <w:lang w:val="es-ES_tradnl" w:eastAsia="es-CO"/>
        </w:rPr>
        <w:tab/>
        <w:t>De</w:t>
      </w:r>
      <w:r w:rsidRPr="002E294E">
        <w:rPr>
          <w:rFonts w:ascii="Verdana" w:eastAsia="Arial" w:hAnsi="Verdana" w:cs="Arial"/>
          <w:lang w:val="es-ES" w:eastAsia="es-ES" w:bidi="es-ES"/>
        </w:rPr>
        <w:t xml:space="preserve"> conformidad con lo anterior, </w:t>
      </w:r>
      <w:bookmarkStart w:id="3" w:name="_Hlk77236098"/>
      <w:r w:rsidRPr="002E294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A041859" w14:textId="77777777" w:rsidR="009F0010" w:rsidRPr="002E294E" w:rsidRDefault="009F0010" w:rsidP="009F0010">
      <w:pPr>
        <w:spacing w:after="120" w:line="276" w:lineRule="auto"/>
        <w:ind w:firstLine="709"/>
        <w:jc w:val="both"/>
        <w:rPr>
          <w:rFonts w:ascii="Verdana" w:eastAsia="Calibri" w:hAnsi="Verdana" w:cs="Arial"/>
          <w:lang w:val="es-ES_tradnl" w:eastAsia="es-ES_tradnl"/>
        </w:rPr>
      </w:pPr>
      <w:r w:rsidRPr="002E294E">
        <w:rPr>
          <w:rFonts w:ascii="Verdana" w:eastAsia="Calibri" w:hAnsi="Verdana" w:cs="Arial"/>
          <w:lang w:val="es-ES_tradnl" w:eastAsia="es-ES_tradnl"/>
        </w:rPr>
        <w:t xml:space="preserve">Por un lado, el artículo 33 de la Ley 996 de 2005 prohíbe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la contratación directa por parte de todos los entes del Estado</w:t>
      </w:r>
      <w:r w:rsidRPr="002E294E">
        <w:rPr>
          <w:rFonts w:ascii="Verdana" w:eastAsia="Calibri" w:hAnsi="Verdana" w:cs="Arial"/>
          <w:bCs/>
          <w:lang w:val="es-ES_tradnl" w:eastAsia="es-ES_tradnl"/>
        </w:rPr>
        <w:t>”</w:t>
      </w:r>
      <w:r w:rsidRPr="002E294E">
        <w:rPr>
          <w:rFonts w:ascii="Verdana" w:eastAsia="Calibri" w:hAnsi="Verdana" w:cs="Arial"/>
          <w:lang w:val="es-ES_tradnl" w:eastAsia="es-ES_tradnl"/>
        </w:rPr>
        <w:t xml:space="preserve"> durante los cuatro (4) meses anteriores a las elecciones presidenciales, salvo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7"/>
      </w:r>
      <w:r w:rsidRPr="002E294E">
        <w:rPr>
          <w:rFonts w:ascii="Verdana" w:eastAsia="Calibri" w:hAnsi="Verdana" w:cs="Arial"/>
          <w:lang w:val="es-ES_tradnl" w:eastAsia="es-ES_tradnl"/>
        </w:rPr>
        <w:t>.</w:t>
      </w:r>
    </w:p>
    <w:p w14:paraId="2A26CD80" w14:textId="77777777" w:rsidR="009F0010" w:rsidRPr="002E294E" w:rsidRDefault="009F0010" w:rsidP="009F0010">
      <w:pPr>
        <w:widowControl w:val="0"/>
        <w:autoSpaceDE w:val="0"/>
        <w:autoSpaceDN w:val="0"/>
        <w:spacing w:after="120" w:line="276" w:lineRule="auto"/>
        <w:ind w:firstLine="709"/>
        <w:jc w:val="both"/>
        <w:rPr>
          <w:rFonts w:ascii="Verdana" w:eastAsia="Arial" w:hAnsi="Verdana" w:cs="Arial"/>
          <w:lang w:val="es-ES" w:eastAsia="es-ES" w:bidi="es-ES"/>
        </w:rPr>
      </w:pPr>
      <w:r w:rsidRPr="002E294E">
        <w:rPr>
          <w:rFonts w:ascii="Verdana" w:eastAsia="Calibri" w:hAnsi="Verdana" w:cs="Arial"/>
          <w:lang w:val="es-ES_tradnl" w:eastAsia="es-ES_tradnl"/>
        </w:rPr>
        <w:t xml:space="preserve">Por otro lado, el parágrafo del artículo 38 de la Ley 996 de 2005 prevé </w:t>
      </w:r>
      <w:r w:rsidRPr="002E294E">
        <w:rPr>
          <w:rFonts w:ascii="Verdana" w:eastAsia="Calibri" w:hAnsi="Verdana" w:cs="Arial"/>
          <w:lang w:val="es-ES_tradnl" w:eastAsia="es-ES_tradnl"/>
        </w:rPr>
        <w:lastRenderedPageBreak/>
        <w:t xml:space="preserve">una restricción, aplicable respecto de cualquier tipo de contienda electoral, que prohíbe a los gobernadores, alcaldes municipales o distritales, secretarios, gerentes y directores de entidades descentralizadas del orden municipal, departamental o distrital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8"/>
      </w:r>
      <w:r w:rsidRPr="002E294E">
        <w:rPr>
          <w:rFonts w:ascii="Verdana" w:eastAsia="Calibri" w:hAnsi="Verdana" w:cs="Arial"/>
          <w:lang w:val="es-ES_tradnl" w:eastAsia="es-ES_tradnl"/>
        </w:rPr>
        <w:t>.</w:t>
      </w:r>
      <w:r w:rsidRPr="002E294E">
        <w:rPr>
          <w:rFonts w:ascii="Verdana" w:eastAsia="Arial" w:hAnsi="Verdana" w:cs="Arial"/>
          <w:lang w:val="es-ES" w:eastAsia="es-ES" w:bidi="es-ES"/>
        </w:rPr>
        <w:t xml:space="preserve"> </w:t>
      </w:r>
    </w:p>
    <w:p w14:paraId="2DA65FB3" w14:textId="77777777" w:rsidR="009F0010" w:rsidRPr="002E294E" w:rsidRDefault="009F0010" w:rsidP="009F0010">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2E294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62B21258" w14:textId="77777777" w:rsidR="009F0010" w:rsidRPr="002E294E" w:rsidRDefault="009F0010" w:rsidP="009F0010">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64769C46" w14:textId="77777777" w:rsidR="009F0010" w:rsidRPr="002E294E" w:rsidRDefault="009F0010" w:rsidP="009F001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2E294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2E294E">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bCs/>
          <w:sz w:val="20"/>
          <w:szCs w:val="20"/>
          <w:lang w:val="es-ES" w:eastAsia="es-ES" w:bidi="es-ES"/>
        </w:rPr>
        <w:t>”</w:t>
      </w:r>
      <w:r w:rsidRPr="002E294E">
        <w:rPr>
          <w:rFonts w:ascii="Verdana" w:eastAsia="Arial" w:hAnsi="Verdana" w:cs="Arial"/>
          <w:sz w:val="20"/>
          <w:szCs w:val="20"/>
          <w:vertAlign w:val="superscript"/>
          <w:lang w:val="es-ES" w:eastAsia="es-ES" w:bidi="es-ES"/>
        </w:rPr>
        <w:footnoteReference w:id="9"/>
      </w:r>
      <w:r w:rsidRPr="002E294E">
        <w:rPr>
          <w:rFonts w:ascii="Verdana" w:eastAsia="Arial" w:hAnsi="Verdana" w:cs="Arial"/>
          <w:sz w:val="20"/>
          <w:szCs w:val="20"/>
          <w:lang w:val="es-ES" w:eastAsia="es-ES" w:bidi="es-ES"/>
        </w:rPr>
        <w:t>.</w:t>
      </w:r>
    </w:p>
    <w:p w14:paraId="35560F42" w14:textId="77777777" w:rsidR="009F0010" w:rsidRPr="002E294E" w:rsidRDefault="009F0010" w:rsidP="009F0010">
      <w:pPr>
        <w:spacing w:after="0" w:line="276" w:lineRule="auto"/>
        <w:ind w:left="142" w:firstLine="709"/>
        <w:jc w:val="both"/>
        <w:rPr>
          <w:rFonts w:ascii="Verdana" w:eastAsia="Arial" w:hAnsi="Verdana" w:cs="Arial"/>
          <w:lang w:val="es-ES" w:eastAsia="es-ES" w:bidi="es-ES"/>
        </w:rPr>
      </w:pPr>
    </w:p>
    <w:p w14:paraId="41942B0C" w14:textId="77777777" w:rsidR="009F0010" w:rsidRPr="002E294E" w:rsidRDefault="009F0010" w:rsidP="009F0010">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De lo anterior se desprende que </w:t>
      </w:r>
      <w:bookmarkStart w:id="5" w:name="_Hlk77236420"/>
      <w:bookmarkStart w:id="6" w:name="_Hlk78818435"/>
      <w:r w:rsidRPr="002E294E">
        <w:rPr>
          <w:rFonts w:ascii="Verdana" w:eastAsia="Arial" w:hAnsi="Verdana" w:cs="Arial"/>
          <w:lang w:val="es-ES" w:eastAsia="es-ES" w:bidi="es-ES"/>
        </w:rPr>
        <w:t xml:space="preserve">la Ley 996 de 2005 establece dos (2) tipos de restricciones en materia de contratación, las cuales coinciden parcialmente. </w:t>
      </w:r>
      <w:r w:rsidRPr="002E294E">
        <w:rPr>
          <w:rFonts w:ascii="Verdana" w:eastAsia="Arial" w:hAnsi="Verdana" w:cs="Arial"/>
          <w:i/>
          <w:iCs/>
          <w:lang w:val="es-ES" w:eastAsia="es-ES" w:bidi="es-ES"/>
        </w:rPr>
        <w:t>En primer lugar</w:t>
      </w:r>
      <w:r w:rsidRPr="002E294E">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w:t>
      </w:r>
      <w:r w:rsidRPr="002E294E">
        <w:rPr>
          <w:rFonts w:ascii="Verdana" w:eastAsia="Arial" w:hAnsi="Verdana" w:cs="Arial"/>
          <w:lang w:val="es-ES" w:eastAsia="es-ES" w:bidi="es-ES"/>
        </w:rPr>
        <w:lastRenderedPageBreak/>
        <w:t xml:space="preserve">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294E">
        <w:rPr>
          <w:rFonts w:ascii="Verdana" w:eastAsia="Arial" w:hAnsi="Verdana" w:cs="Arial"/>
          <w:i/>
          <w:iCs/>
          <w:lang w:val="es-ES" w:eastAsia="es-ES" w:bidi="es-ES"/>
        </w:rPr>
        <w:t>En segundo lugar</w:t>
      </w:r>
      <w:r w:rsidRPr="002E294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5"/>
    </w:p>
    <w:bookmarkEnd w:id="6"/>
    <w:p w14:paraId="6C443D8E" w14:textId="77777777" w:rsidR="009F0010" w:rsidRPr="002E294E" w:rsidRDefault="009F0010" w:rsidP="009F0010">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10FA5465" w14:textId="77777777" w:rsidR="009F0010" w:rsidRDefault="009F0010" w:rsidP="009F0010">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E845811" w14:textId="77777777" w:rsidR="009F0010" w:rsidRPr="002E294E" w:rsidRDefault="009F0010" w:rsidP="009F0010">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Teniendo en cuenta el objeto de su consulta, a continuación, se hará un análisis del alcance de cada una de las prohibiciones, con el fin de determinar si son aplicables a la contratación con los Cuerpos Voluntarios de Bomberos. </w:t>
      </w:r>
    </w:p>
    <w:p w14:paraId="663378E9" w14:textId="77777777" w:rsidR="009F0010" w:rsidRPr="002E294E" w:rsidRDefault="009F0010" w:rsidP="009F0010">
      <w:pPr>
        <w:spacing w:after="0" w:line="276" w:lineRule="auto"/>
        <w:jc w:val="both"/>
        <w:rPr>
          <w:rFonts w:ascii="Verdana" w:eastAsia="Calibri" w:hAnsi="Verdana" w:cs="Arial"/>
          <w:lang w:val="es-ES"/>
        </w:rPr>
      </w:pPr>
    </w:p>
    <w:p w14:paraId="5FB282D8" w14:textId="77777777" w:rsidR="009F0010" w:rsidRPr="002E294E" w:rsidRDefault="009F0010" w:rsidP="009F0010">
      <w:pPr>
        <w:spacing w:after="0" w:line="276" w:lineRule="auto"/>
        <w:jc w:val="both"/>
        <w:rPr>
          <w:rFonts w:ascii="Verdana" w:eastAsia="Calibri" w:hAnsi="Verdana" w:cs="Arial"/>
          <w:lang w:val="es-ES_tradnl" w:eastAsia="es-CO"/>
        </w:rPr>
      </w:pPr>
      <w:r w:rsidRPr="002E294E">
        <w:rPr>
          <w:rFonts w:ascii="Verdana" w:eastAsia="Calibri" w:hAnsi="Verdana" w:cs="Arial"/>
          <w:bCs/>
          <w:lang w:val="es-ES" w:eastAsia="es-CO"/>
        </w:rPr>
        <w:lastRenderedPageBreak/>
        <w:t xml:space="preserve">ii. </w:t>
      </w:r>
      <w:r w:rsidRPr="002E294E">
        <w:rPr>
          <w:rFonts w:ascii="Verdana" w:eastAsia="Calibri" w:hAnsi="Verdana" w:cs="Arial"/>
          <w:bCs/>
          <w:lang w:val="es-ES_tradnl" w:eastAsia="x-none"/>
        </w:rPr>
        <w:t xml:space="preserve">El ámbito material de la prohibición contenida en el artículo 33 de la ley 996 de 2005 está delimitado por la expresión </w:t>
      </w:r>
      <w:r w:rsidRPr="002E294E">
        <w:rPr>
          <w:rFonts w:ascii="Verdana" w:eastAsia="Calibri" w:hAnsi="Verdana" w:cs="Arial"/>
          <w:bCs/>
          <w:lang w:val="es-ES_tradnl" w:eastAsia="es-ES_tradnl"/>
        </w:rPr>
        <w:t>“</w:t>
      </w:r>
      <w:r w:rsidRPr="002E294E">
        <w:rPr>
          <w:rFonts w:ascii="Verdana" w:eastAsia="Calibri" w:hAnsi="Verdana" w:cs="Arial"/>
          <w:bCs/>
          <w:lang w:val="es-ES_tradnl" w:eastAsia="x-none"/>
        </w:rPr>
        <w:t>queda prohibida la contratación directa</w:t>
      </w:r>
      <w:r w:rsidRPr="002E294E">
        <w:rPr>
          <w:rFonts w:ascii="Verdana" w:eastAsia="Calibri" w:hAnsi="Verdana" w:cs="Arial"/>
          <w:lang w:val="es-ES_tradnl" w:eastAsia="es-ES_tradnl"/>
        </w:rPr>
        <w:t>”</w:t>
      </w:r>
      <w:r w:rsidRPr="002E294E">
        <w:rPr>
          <w:rFonts w:ascii="Verdana" w:eastAsia="Calibri" w:hAnsi="Verdana" w:cs="Arial"/>
          <w:bCs/>
          <w:lang w:val="es-ES_tradnl" w:eastAsia="x-none"/>
        </w:rPr>
        <w:t xml:space="preserve">. </w:t>
      </w:r>
      <w:r w:rsidRPr="002E294E">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5E529081" w14:textId="77777777" w:rsidR="009F0010" w:rsidRPr="002E294E" w:rsidRDefault="009F0010" w:rsidP="009F0010">
      <w:pPr>
        <w:spacing w:after="0" w:line="276" w:lineRule="auto"/>
        <w:jc w:val="both"/>
        <w:rPr>
          <w:rFonts w:ascii="Verdana" w:eastAsia="Calibri" w:hAnsi="Verdana" w:cs="Arial"/>
          <w:bCs/>
          <w:lang w:val="es-ES_tradnl" w:eastAsia="es-CO"/>
        </w:rPr>
      </w:pPr>
    </w:p>
    <w:p w14:paraId="207E7E41"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eastAsia="es-ES_tradnl"/>
        </w:rPr>
      </w:pPr>
      <w:r>
        <w:rPr>
          <w:rFonts w:ascii="Verdana" w:eastAsia="Calibri" w:hAnsi="Verdana" w:cs="Arial"/>
          <w:sz w:val="20"/>
          <w:szCs w:val="20"/>
          <w:lang w:val="es-ES_tradnl" w:eastAsia="es-ES_tradnl"/>
        </w:rPr>
        <w:t>“</w:t>
      </w:r>
      <w:r w:rsidRPr="002E294E">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E294E">
        <w:rPr>
          <w:rFonts w:ascii="Verdana" w:eastAsia="Calibri" w:hAnsi="Verdana" w:cs="Arial"/>
          <w:sz w:val="20"/>
          <w:szCs w:val="20"/>
          <w:vertAlign w:val="superscript"/>
          <w:lang w:val="es-ES_tradnl" w:eastAsia="es-CO"/>
        </w:rPr>
        <w:footnoteReference w:id="10"/>
      </w:r>
      <w:r w:rsidRPr="002E294E">
        <w:rPr>
          <w:rFonts w:ascii="Verdana" w:eastAsia="Calibri" w:hAnsi="Verdana" w:cs="Arial"/>
          <w:sz w:val="20"/>
          <w:szCs w:val="20"/>
          <w:lang w:val="es-ES_tradnl" w:eastAsia="es-ES_tradnl"/>
        </w:rPr>
        <w:t>.</w:t>
      </w:r>
    </w:p>
    <w:p w14:paraId="2FBE51D7"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eastAsia="es-ES_tradnl"/>
        </w:rPr>
      </w:pPr>
    </w:p>
    <w:p w14:paraId="335670DC" w14:textId="77777777" w:rsidR="009F0010" w:rsidRPr="002E294E" w:rsidRDefault="009F0010" w:rsidP="009F0010">
      <w:pPr>
        <w:spacing w:after="0" w:line="240" w:lineRule="auto"/>
        <w:ind w:left="709" w:right="709"/>
        <w:jc w:val="both"/>
        <w:rPr>
          <w:rFonts w:ascii="Verdana" w:eastAsia="Calibri" w:hAnsi="Verdana" w:cs="Arial"/>
          <w:sz w:val="20"/>
          <w:szCs w:val="20"/>
          <w:lang w:val="es-ES" w:eastAsia="es-ES"/>
        </w:rPr>
      </w:pPr>
      <w:r w:rsidRPr="002E294E">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294E">
        <w:rPr>
          <w:rFonts w:ascii="Verdana" w:eastAsia="Calibri" w:hAnsi="Verdana" w:cs="Arial"/>
          <w:sz w:val="20"/>
          <w:szCs w:val="20"/>
          <w:vertAlign w:val="superscript"/>
          <w:lang w:val="es-ES" w:eastAsia="es-ES"/>
        </w:rPr>
        <w:footnoteReference w:id="11"/>
      </w:r>
      <w:r w:rsidRPr="002E294E">
        <w:rPr>
          <w:rFonts w:ascii="Verdana" w:eastAsia="Calibri" w:hAnsi="Verdana" w:cs="Arial"/>
          <w:sz w:val="20"/>
          <w:szCs w:val="20"/>
          <w:vertAlign w:val="superscript"/>
          <w:lang w:val="es-ES" w:eastAsia="es-ES"/>
        </w:rPr>
        <w:t>.</w:t>
      </w:r>
      <w:r w:rsidRPr="002E294E">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ES" w:eastAsia="es-ES"/>
        </w:rPr>
        <w:t>”</w:t>
      </w:r>
      <w:r w:rsidRPr="002E294E">
        <w:rPr>
          <w:rFonts w:ascii="Verdana" w:eastAsia="Calibri" w:hAnsi="Verdana" w:cs="Arial"/>
          <w:sz w:val="20"/>
          <w:szCs w:val="20"/>
          <w:vertAlign w:val="superscript"/>
          <w:lang w:val="es-ES" w:eastAsia="es-CO"/>
        </w:rPr>
        <w:footnoteReference w:id="12"/>
      </w:r>
      <w:r w:rsidRPr="002E294E">
        <w:rPr>
          <w:rFonts w:ascii="Verdana" w:eastAsia="Calibri" w:hAnsi="Verdana" w:cs="Arial"/>
          <w:sz w:val="20"/>
          <w:szCs w:val="20"/>
          <w:lang w:val="es-ES" w:eastAsia="es-ES"/>
        </w:rPr>
        <w:t xml:space="preserve"> .</w:t>
      </w:r>
    </w:p>
    <w:p w14:paraId="163473E7" w14:textId="77777777" w:rsidR="009F0010" w:rsidRPr="00896225" w:rsidRDefault="009F0010" w:rsidP="009F0010">
      <w:pPr>
        <w:spacing w:after="0" w:line="276" w:lineRule="auto"/>
        <w:ind w:left="709" w:right="709"/>
        <w:jc w:val="both"/>
        <w:rPr>
          <w:rFonts w:ascii="Verdana" w:eastAsia="Calibri" w:hAnsi="Verdana" w:cs="Arial"/>
          <w:lang w:val="es-ES" w:eastAsia="es-ES"/>
        </w:rPr>
      </w:pPr>
    </w:p>
    <w:p w14:paraId="754F1F6F" w14:textId="77777777" w:rsidR="009F0010" w:rsidRPr="002E294E" w:rsidRDefault="009F0010" w:rsidP="009F0010">
      <w:pPr>
        <w:spacing w:after="120" w:line="276" w:lineRule="auto"/>
        <w:ind w:firstLine="709"/>
        <w:jc w:val="both"/>
        <w:rPr>
          <w:rFonts w:ascii="Verdana" w:eastAsia="Times New Roman" w:hAnsi="Verdana" w:cs="Arial"/>
          <w:bCs/>
          <w:lang w:val="es-ES_tradnl" w:eastAsia="x-none"/>
        </w:rPr>
      </w:pPr>
      <w:r w:rsidRPr="002E294E">
        <w:rPr>
          <w:rFonts w:ascii="Verdana" w:eastAsia="Calibri" w:hAnsi="Verdana" w:cs="Arial"/>
          <w:lang w:val="es-ES_tradnl" w:eastAsia="x-none"/>
        </w:rPr>
        <w:t xml:space="preserve">De acuerdo con el citado concepto, la prohibición del artículo 33 de la Ley de Garantías Electorales se refiere a </w:t>
      </w:r>
      <w:r w:rsidRPr="002E294E">
        <w:rPr>
          <w:rFonts w:ascii="Verdana" w:eastAsia="Calibri" w:hAnsi="Verdana" w:cs="Arial"/>
          <w:lang w:val="es-ES_tradnl" w:eastAsia="en-GB"/>
        </w:rPr>
        <w:t>“</w:t>
      </w:r>
      <w:r w:rsidRPr="002E294E">
        <w:rPr>
          <w:rFonts w:ascii="Verdana" w:eastAsia="Calibri" w:hAnsi="Verdana" w:cs="Arial"/>
          <w:lang w:val="es-ES_tradnl" w:eastAsia="x-none"/>
        </w:rPr>
        <w:t>cualquier sistema que no implique convocatoria pública y posibilidad de pluralidad de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2E294E">
        <w:rPr>
          <w:rFonts w:ascii="Verdana" w:eastAsia="Calibri" w:hAnsi="Verdana" w:cs="Arial"/>
          <w:color w:val="000000"/>
          <w:lang w:val="es-ES_tradnl" w:eastAsia="x-none"/>
        </w:rPr>
        <w:t xml:space="preserve">además lo es con la posterior creación de la modalidad de mínima cuantía establecida actualmente en el </w:t>
      </w:r>
      <w:r w:rsidRPr="002E294E">
        <w:rPr>
          <w:rFonts w:ascii="Verdana" w:eastAsia="Calibri" w:hAnsi="Verdana" w:cs="Arial"/>
          <w:color w:val="000000"/>
          <w:lang w:val="es-ES_tradnl" w:eastAsia="x-none"/>
        </w:rPr>
        <w:lastRenderedPageBreak/>
        <w:t>numeral 5 del artículo 2 de la Ley 1150 de 2007, de acuerdo con las modificaciones realizadas por leyes posteriores</w:t>
      </w:r>
      <w:r w:rsidRPr="002E294E">
        <w:rPr>
          <w:rFonts w:ascii="Verdana" w:eastAsia="Calibri" w:hAnsi="Verdana" w:cs="Arial"/>
          <w:color w:val="000000"/>
          <w:vertAlign w:val="superscript"/>
          <w:lang w:val="es-ES_tradnl" w:eastAsia="x-none"/>
        </w:rPr>
        <w:footnoteReference w:id="13"/>
      </w:r>
      <w:r w:rsidRPr="002E294E">
        <w:rPr>
          <w:rFonts w:ascii="Verdana" w:eastAsia="Calibri" w:hAnsi="Verdana" w:cs="Arial"/>
          <w:color w:val="000000"/>
          <w:lang w:val="es-ES_tradnl" w:eastAsia="x-none"/>
        </w:rPr>
        <w:t>.</w:t>
      </w:r>
      <w:r w:rsidRPr="002E294E">
        <w:rPr>
          <w:rFonts w:ascii="Verdana" w:eastAsia="Times New Roman" w:hAnsi="Verdana" w:cs="Arial"/>
          <w:lang w:val="es-ES_tradnl" w:eastAsia="x-none"/>
        </w:rPr>
        <w:t xml:space="preserve"> </w:t>
      </w:r>
    </w:p>
    <w:p w14:paraId="7775E034" w14:textId="77777777" w:rsidR="009F0010" w:rsidRPr="002E294E" w:rsidRDefault="009F0010" w:rsidP="009F0010">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lang w:val="es-ES_tradnl" w:eastAsia="x-none"/>
        </w:rPr>
        <w:t xml:space="preserve">De esta forma, con fundamento en la evolución de la normativa sobre la contratación pública, se ha depurado la noción de </w:t>
      </w:r>
      <w:r w:rsidRPr="002E294E">
        <w:rPr>
          <w:rFonts w:ascii="Verdana" w:eastAsia="Calibri" w:hAnsi="Verdana" w:cs="Arial"/>
          <w:lang w:val="es-ES_tradnl" w:eastAsia="en-GB"/>
        </w:rPr>
        <w:t>“</w:t>
      </w:r>
      <w:r w:rsidRPr="002E294E">
        <w:rPr>
          <w:rFonts w:ascii="Verdana" w:eastAsia="Calibri" w:hAnsi="Verdana" w:cs="Arial"/>
          <w:lang w:val="es-ES_tradnl" w:eastAsia="x-none"/>
        </w:rPr>
        <w:t>contratación directa</w:t>
      </w:r>
      <w:r w:rsidRPr="002E294E">
        <w:rPr>
          <w:rFonts w:ascii="Verdana" w:eastAsia="Calibri" w:hAnsi="Verdana" w:cs="Arial"/>
          <w:lang w:val="es-ES_tradnl" w:eastAsia="en-GB"/>
        </w:rPr>
        <w:t>”</w:t>
      </w:r>
      <w:r w:rsidRPr="002E294E">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294E">
        <w:rPr>
          <w:rFonts w:ascii="Verdana" w:eastAsia="Calibri" w:hAnsi="Verdana" w:cs="Arial"/>
          <w:vertAlign w:val="superscript"/>
          <w:lang w:val="en-GB" w:eastAsia="x-none"/>
        </w:rPr>
        <w:footnoteReference w:id="14"/>
      </w:r>
      <w:r w:rsidRPr="002E294E">
        <w:rPr>
          <w:rFonts w:ascii="Verdana" w:eastAsia="Calibri" w:hAnsi="Verdana" w:cs="Arial"/>
          <w:lang w:val="es-ES_tradnl" w:eastAsia="x-none"/>
        </w:rPr>
        <w:t>, han establecido sistemas de contratación que implican convocatoria pública y participación de varios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w:t>
      </w:r>
    </w:p>
    <w:p w14:paraId="002726E7" w14:textId="77777777" w:rsidR="009F0010" w:rsidRPr="002E294E" w:rsidRDefault="009F0010" w:rsidP="009F0010">
      <w:pPr>
        <w:spacing w:after="120" w:line="276" w:lineRule="auto"/>
        <w:ind w:firstLine="708"/>
        <w:jc w:val="both"/>
        <w:rPr>
          <w:rFonts w:ascii="Verdana" w:eastAsia="Calibri" w:hAnsi="Verdana" w:cs="Arial"/>
          <w:bCs/>
          <w:lang w:val="es-ES_tradnl" w:eastAsia="es-CO"/>
        </w:rPr>
      </w:pPr>
      <w:r w:rsidRPr="002E294E">
        <w:rPr>
          <w:rFonts w:ascii="Verdana" w:eastAsia="Calibri" w:hAnsi="Verdana" w:cs="Arial"/>
          <w:bCs/>
          <w:lang w:val="es-ES_tradnl" w:eastAsia="x-none"/>
        </w:rPr>
        <w:t>E</w:t>
      </w:r>
      <w:r w:rsidRPr="002E294E">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294E">
        <w:rPr>
          <w:rFonts w:ascii="Verdana" w:eastAsia="Calibri" w:hAnsi="Verdana" w:cs="Arial"/>
          <w:vertAlign w:val="superscript"/>
          <w:lang w:val="es-ES_tradnl" w:eastAsia="x-none"/>
        </w:rPr>
        <w:footnoteReference w:id="15"/>
      </w:r>
      <w:r w:rsidRPr="002E294E">
        <w:rPr>
          <w:rFonts w:ascii="Verdana" w:eastAsia="Calibri" w:hAnsi="Verdana" w:cs="Arial"/>
          <w:lang w:val="es-ES_tradnl" w:eastAsia="x-none"/>
        </w:rPr>
        <w:t xml:space="preserve">. </w:t>
      </w:r>
    </w:p>
    <w:p w14:paraId="790C10B4" w14:textId="77777777" w:rsidR="009F0010" w:rsidRPr="002E294E" w:rsidRDefault="009F0010" w:rsidP="009F0010">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2E294E">
        <w:rPr>
          <w:rFonts w:ascii="Verdana" w:eastAsia="Calibri" w:hAnsi="Verdana" w:cs="Arial"/>
          <w:lang w:val="es-ES" w:eastAsia="es-CO"/>
        </w:rPr>
        <w:lastRenderedPageBreak/>
        <w:t>de la expedición de Ley 1150 de 2007, el Consejo de Estado comenzó a delimitar con mayor precisión el término de “contratación directa”.</w:t>
      </w:r>
    </w:p>
    <w:p w14:paraId="5EE9D0B6" w14:textId="77777777" w:rsidR="009F0010" w:rsidRPr="002E294E" w:rsidRDefault="009F0010" w:rsidP="009F0010">
      <w:pPr>
        <w:spacing w:after="120" w:line="276" w:lineRule="auto"/>
        <w:ind w:firstLine="708"/>
        <w:jc w:val="both"/>
        <w:rPr>
          <w:rFonts w:ascii="Verdana" w:eastAsia="Calibri" w:hAnsi="Verdana" w:cs="Arial"/>
          <w:bCs/>
          <w:lang w:val="es-ES_tradnl" w:eastAsia="x-none"/>
        </w:rPr>
      </w:pPr>
      <w:r w:rsidRPr="002E294E">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294E">
        <w:rPr>
          <w:rFonts w:ascii="Verdana" w:eastAsia="Calibri" w:hAnsi="Verdana" w:cs="Arial"/>
          <w:vertAlign w:val="superscript"/>
          <w:lang w:val="es-ES_tradnl" w:eastAsia="x-none"/>
        </w:rPr>
        <w:footnoteReference w:id="16"/>
      </w:r>
      <w:r w:rsidRPr="002E294E">
        <w:rPr>
          <w:rFonts w:ascii="Verdana" w:eastAsia="Calibri" w:hAnsi="Verdana" w:cs="Arial"/>
          <w:bCs/>
          <w:lang w:val="es-ES_tradnl" w:eastAsia="x-none"/>
        </w:rPr>
        <w:t>.</w:t>
      </w:r>
      <w:r w:rsidRPr="002E294E">
        <w:rPr>
          <w:rFonts w:ascii="Verdana" w:eastAsia="Calibri" w:hAnsi="Verdana" w:cs="Arial"/>
          <w:vertAlign w:val="superscript"/>
          <w:lang w:val="es-ES_tradnl" w:eastAsia="x-none"/>
        </w:rPr>
        <w:t xml:space="preserve"> </w:t>
      </w:r>
    </w:p>
    <w:p w14:paraId="4AF8BFFE" w14:textId="77777777" w:rsidR="009F0010" w:rsidRPr="002E294E" w:rsidRDefault="009F0010" w:rsidP="009F0010">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2E294E">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w:t>
      </w:r>
      <w:r>
        <w:rPr>
          <w:rFonts w:ascii="Verdana" w:eastAsia="Calibri" w:hAnsi="Verdana" w:cs="Arial"/>
          <w:lang w:val="es-ES_tradnl" w:eastAsia="x-none"/>
        </w:rPr>
        <w:t xml:space="preserve"> así como aquellos procesos competitivos y abiertos definidos en los manuales de las entidades con regímenes especiales de contratación, </w:t>
      </w:r>
      <w:r w:rsidRPr="002E294E">
        <w:rPr>
          <w:rFonts w:ascii="Verdana" w:eastAsia="Calibri" w:hAnsi="Verdana" w:cs="Arial"/>
          <w:lang w:val="es-ES_tradnl" w:eastAsia="x-none"/>
        </w:rPr>
        <w:t>razón por la cual en ese período preelectoral de que trata la disposición pueden las entidades públicas seguir contratando bajo estos sistemas.</w:t>
      </w:r>
    </w:p>
    <w:p w14:paraId="43EA4000" w14:textId="77777777" w:rsidR="009F0010" w:rsidRPr="002E294E" w:rsidRDefault="009F0010" w:rsidP="009F0010">
      <w:pPr>
        <w:spacing w:after="120" w:line="276" w:lineRule="auto"/>
        <w:ind w:firstLine="708"/>
        <w:jc w:val="both"/>
        <w:rPr>
          <w:rFonts w:ascii="Verdana" w:eastAsia="Calibri" w:hAnsi="Verdana" w:cs="Arial"/>
          <w:lang w:val="es-ES"/>
        </w:rPr>
      </w:pPr>
      <w:r w:rsidRPr="002E294E">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0CA619D8" w14:textId="77777777" w:rsidR="009F0010" w:rsidRPr="002E294E" w:rsidRDefault="009F0010" w:rsidP="009F0010">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2E294E">
        <w:rPr>
          <w:rFonts w:ascii="Verdana" w:eastAsia="Calibri" w:hAnsi="Verdana" w:cs="Arial"/>
          <w:lang w:val="es-ES"/>
        </w:rPr>
        <w:lastRenderedPageBreak/>
        <w:t>objeto de atentados, acciones terroristas, desastres naturales o casos de fuerza mayor; y, v) los que deban realizar las entidades sanitarias y hospitalarias.</w:t>
      </w:r>
      <w:r w:rsidRPr="002E294E">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3A1EC7" w14:textId="77777777" w:rsidR="009F0010" w:rsidRDefault="009F0010" w:rsidP="009F0010">
      <w:pPr>
        <w:shd w:val="clear" w:color="auto" w:fill="FFFFFF" w:themeFill="background1"/>
        <w:spacing w:line="276" w:lineRule="auto"/>
        <w:ind w:firstLine="709"/>
        <w:jc w:val="both"/>
        <w:rPr>
          <w:rFonts w:ascii="Verdana" w:hAnsi="Verdana" w:cs="Arial"/>
          <w:lang w:val="es-ES" w:eastAsia="es-CO"/>
        </w:rPr>
      </w:pPr>
      <w:r w:rsidRPr="002E294E">
        <w:rPr>
          <w:rFonts w:ascii="Verdana" w:eastAsia="Calibri" w:hAnsi="Verdana" w:cs="Arial"/>
          <w:bCs/>
          <w:lang w:val="es-ES_tradnl" w:eastAsia="x-none"/>
        </w:rPr>
        <w:t>En esta labor es importante tener en cuenta, como lo anotó la Corte Constitucional, en Sentencia C-1153 de noviembre 11 de 2005</w:t>
      </w:r>
      <w:r w:rsidRPr="002E294E">
        <w:rPr>
          <w:rFonts w:ascii="Verdana" w:eastAsia="Calibri" w:hAnsi="Verdana" w:cs="Calibri"/>
          <w:vertAlign w:val="superscript"/>
          <w:lang w:val="es-ES_tradnl" w:eastAsia="es-ES_tradnl"/>
        </w:rPr>
        <w:t>,</w:t>
      </w:r>
      <w:r w:rsidRPr="002E294E">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2E294E">
        <w:rPr>
          <w:rFonts w:ascii="Verdana" w:eastAsia="Calibri" w:hAnsi="Verdana" w:cs="Arial"/>
          <w:vertAlign w:val="superscript"/>
          <w:lang w:val="es-ES_tradnl" w:eastAsia="es-ES_tradnl"/>
        </w:rPr>
        <w:footnoteReference w:id="17"/>
      </w:r>
      <w:r w:rsidRPr="002E294E">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sidRPr="00996BB9">
        <w:rPr>
          <w:rFonts w:ascii="Verdana" w:hAnsi="Verdana" w:cs="Arial"/>
          <w:lang w:val="es-ES" w:eastAsia="es-CO"/>
        </w:rPr>
        <w:t xml:space="preserve"> </w:t>
      </w:r>
    </w:p>
    <w:p w14:paraId="5FBB91AE" w14:textId="77777777" w:rsidR="009F0010" w:rsidRPr="00896225" w:rsidRDefault="009F0010" w:rsidP="009F0010">
      <w:pPr>
        <w:shd w:val="clear" w:color="auto" w:fill="FFFFFF" w:themeFill="background1"/>
        <w:spacing w:line="276" w:lineRule="auto"/>
        <w:ind w:firstLine="709"/>
        <w:jc w:val="both"/>
        <w:rPr>
          <w:rFonts w:ascii="Verdana" w:hAnsi="Verdana" w:cs="Arial"/>
          <w:lang w:val="es-ES" w:eastAsia="es-CO"/>
        </w:rPr>
      </w:pPr>
      <w:r w:rsidRPr="002E294E">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Pr>
          <w:rFonts w:ascii="Verdana" w:hAnsi="Verdana" w:cs="Arial"/>
          <w:lang w:val="es-ES" w:eastAsia="es-CO"/>
        </w:rPr>
        <w:t>L</w:t>
      </w:r>
      <w:r w:rsidRPr="002E294E">
        <w:rPr>
          <w:rFonts w:ascii="Verdana" w:hAnsi="Verdana" w:cs="Arial"/>
          <w:lang w:val="es-ES" w:eastAsia="es-CO"/>
        </w:rPr>
        <w:t>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E294E">
        <w:rPr>
          <w:rStyle w:val="Refdenotaalpie"/>
          <w:rFonts w:ascii="Verdana" w:hAnsi="Verdana" w:cs="Arial"/>
          <w:lang w:val="es-ES_tradnl" w:eastAsia="es-CO"/>
        </w:rPr>
        <w:footnoteReference w:id="18"/>
      </w:r>
      <w:r w:rsidRPr="002E294E">
        <w:rPr>
          <w:rFonts w:ascii="Verdana" w:hAnsi="Verdana" w:cs="Arial"/>
          <w:lang w:val="es-ES" w:eastAsia="es-CO"/>
        </w:rPr>
        <w:t xml:space="preserve">. </w:t>
      </w:r>
    </w:p>
    <w:p w14:paraId="39D0B4CD" w14:textId="77777777" w:rsidR="009F0010" w:rsidRPr="002E294E" w:rsidRDefault="009F0010" w:rsidP="009F0010">
      <w:pPr>
        <w:spacing w:line="276" w:lineRule="auto"/>
        <w:ind w:firstLine="708"/>
        <w:jc w:val="both"/>
        <w:rPr>
          <w:rFonts w:ascii="Verdana" w:hAnsi="Verdana" w:cs="Arial"/>
          <w:bCs/>
          <w:lang w:val="es-MX" w:eastAsia="x-none"/>
        </w:rPr>
      </w:pPr>
      <w:r>
        <w:rPr>
          <w:rFonts w:ascii="Verdana" w:eastAsia="Times New Roman" w:hAnsi="Verdana" w:cs="Arial"/>
          <w:lang w:eastAsia="es-CO"/>
        </w:rPr>
        <w:t xml:space="preserve">Así mismo, </w:t>
      </w:r>
      <w:r>
        <w:rPr>
          <w:rFonts w:ascii="Verdana" w:hAnsi="Verdana" w:cs="Arial"/>
          <w:bCs/>
          <w:lang w:val="es-MX" w:eastAsia="x-none"/>
        </w:rPr>
        <w:t>l</w:t>
      </w:r>
      <w:r w:rsidRPr="002E294E">
        <w:rPr>
          <w:rFonts w:ascii="Verdana" w:hAnsi="Verdana" w:cs="Arial"/>
          <w:bCs/>
          <w:lang w:val="es-MX" w:eastAsia="x-none"/>
        </w:rPr>
        <w:t xml:space="preserve">a Sala de Consulta y Servicio Civil del Consejo de Estado, en Concepto del 4 de febrero de 2010, explica que “[…] Las excepciones establecidas en los artículos 32 y 33 en comento, guardan relación, exclusivamente, con algunos servicios públicos que por su naturaleza no admiten </w:t>
      </w:r>
      <w:r w:rsidRPr="002E294E">
        <w:rPr>
          <w:rFonts w:ascii="Verdana" w:hAnsi="Verdana" w:cs="Arial"/>
          <w:bCs/>
          <w:lang w:val="es-MX" w:eastAsia="x-none"/>
        </w:rPr>
        <w:lastRenderedPageBreak/>
        <w:t>postergaciones en la atención de sus necesidades de personal, bienes y servicios [...]”</w:t>
      </w:r>
      <w:r w:rsidRPr="002E294E">
        <w:rPr>
          <w:rStyle w:val="Refdenotaalpie"/>
          <w:rFonts w:ascii="Verdana" w:hAnsi="Verdana" w:cs="Arial"/>
          <w:lang w:val="es-ES_tradnl" w:eastAsia="es-CO"/>
        </w:rPr>
        <w:footnoteReference w:id="19"/>
      </w:r>
      <w:r w:rsidRPr="002E294E">
        <w:rPr>
          <w:rFonts w:ascii="Verdana" w:hAnsi="Verdana" w:cs="Arial"/>
          <w:bCs/>
          <w:lang w:val="es-MX" w:eastAsia="x-none"/>
        </w:rPr>
        <w:t>.</w:t>
      </w:r>
    </w:p>
    <w:p w14:paraId="16B4E83A" w14:textId="77777777" w:rsidR="009F0010" w:rsidRPr="002E294E" w:rsidRDefault="009F0010" w:rsidP="009F0010">
      <w:pPr>
        <w:shd w:val="clear" w:color="auto" w:fill="FFFFFF"/>
        <w:spacing w:line="276" w:lineRule="auto"/>
        <w:ind w:firstLine="709"/>
        <w:jc w:val="both"/>
        <w:rPr>
          <w:rFonts w:ascii="Verdana" w:hAnsi="Verdana" w:cs="Arial"/>
          <w:lang w:val="es-ES_tradnl" w:eastAsia="es-CO"/>
        </w:rPr>
      </w:pPr>
      <w:r w:rsidRPr="002E294E">
        <w:rPr>
          <w:rFonts w:ascii="Verdana" w:hAnsi="Verdana" w:cs="Arial"/>
          <w:bCs/>
          <w:lang w:val="es-ES_tradnl"/>
        </w:rPr>
        <w:t xml:space="preserve">Por tanto, las excepciones a la prohibición contenida en el inciso segundo de artículo 33 de la </w:t>
      </w:r>
      <w:r>
        <w:rPr>
          <w:rFonts w:ascii="Verdana" w:hAnsi="Verdana" w:cs="Arial"/>
          <w:bCs/>
          <w:lang w:val="es-ES_tradnl"/>
        </w:rPr>
        <w:t>L</w:t>
      </w:r>
      <w:r w:rsidRPr="002E294E">
        <w:rPr>
          <w:rFonts w:ascii="Verdana" w:hAnsi="Verdana" w:cs="Arial"/>
          <w:bCs/>
          <w:lang w:val="es-ES_tradnl"/>
        </w:rPr>
        <w:t xml:space="preserve">ey de </w:t>
      </w:r>
      <w:r>
        <w:rPr>
          <w:rFonts w:ascii="Verdana" w:hAnsi="Verdana" w:cs="Arial"/>
          <w:bCs/>
          <w:lang w:val="es-ES_tradnl"/>
        </w:rPr>
        <w:t>G</w:t>
      </w:r>
      <w:r w:rsidRPr="002E294E">
        <w:rPr>
          <w:rFonts w:ascii="Verdana" w:hAnsi="Verdana" w:cs="Arial"/>
          <w:bCs/>
          <w:lang w:val="es-ES_tradnl"/>
        </w:rPr>
        <w:t xml:space="preserve">arantías </w:t>
      </w:r>
      <w:r>
        <w:rPr>
          <w:rFonts w:ascii="Verdana" w:hAnsi="Verdana" w:cs="Arial"/>
          <w:bCs/>
          <w:lang w:val="es-ES_tradnl"/>
        </w:rPr>
        <w:t>E</w:t>
      </w:r>
      <w:r w:rsidRPr="002E294E">
        <w:rPr>
          <w:rFonts w:ascii="Verdana" w:hAnsi="Verdana" w:cs="Arial"/>
          <w:bCs/>
          <w:lang w:val="es-ES_tradnl"/>
        </w:rPr>
        <w:t>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53DC50C" w14:textId="77777777" w:rsidR="009F0010" w:rsidRPr="002E294E" w:rsidRDefault="009F0010" w:rsidP="009F0010">
      <w:pPr>
        <w:spacing w:line="276" w:lineRule="auto"/>
        <w:ind w:firstLine="708"/>
        <w:jc w:val="both"/>
        <w:rPr>
          <w:rFonts w:ascii="Verdana" w:eastAsia="Calibri" w:hAnsi="Verdana" w:cs="Arial"/>
        </w:rPr>
      </w:pPr>
      <w:r w:rsidRPr="002E294E">
        <w:rPr>
          <w:rFonts w:ascii="Verdana" w:hAnsi="Verdana" w:cs="Arial"/>
          <w:bCs/>
          <w:lang w:val="es-MX" w:eastAsia="x-none"/>
        </w:rPr>
        <w:t>Entre las excepciones del artículo en comento se encuentran “[…] l</w:t>
      </w:r>
      <w:r w:rsidRPr="002E294E">
        <w:rPr>
          <w:rFonts w:ascii="Verdana" w:hAnsi="Verdana" w:cs="Arial"/>
          <w:bCs/>
          <w:lang w:eastAsia="x-none"/>
        </w:rPr>
        <w:t>os requeridos para cubrir las emergencias educativas, sanitarias y desastres […]</w:t>
      </w:r>
      <w:r w:rsidRPr="002E294E">
        <w:rPr>
          <w:rFonts w:ascii="Verdana" w:hAnsi="Verdana" w:cs="Arial"/>
          <w:bCs/>
          <w:lang w:val="es-MX" w:eastAsia="x-none"/>
        </w:rPr>
        <w:t>”</w:t>
      </w:r>
      <w:r w:rsidRPr="002E294E">
        <w:rPr>
          <w:rFonts w:ascii="Verdana" w:eastAsia="Calibri" w:hAnsi="Verdana" w:cs="Arial"/>
        </w:rPr>
        <w:t xml:space="preserve">. Sobre el alcance de estas excepciones, es necesario tener en cuenta que el </w:t>
      </w:r>
      <w:r w:rsidRPr="002E294E">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2E294E">
        <w:rPr>
          <w:rFonts w:ascii="Verdana" w:eastAsia="Calibri" w:hAnsi="Verdana" w:cs="Arial"/>
          <w:bCs/>
          <w:i/>
          <w:iCs/>
          <w:color w:val="000000" w:themeColor="text1"/>
        </w:rPr>
        <w:t>ibidem</w:t>
      </w:r>
      <w:r w:rsidRPr="002E294E">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2E294E">
        <w:rPr>
          <w:rStyle w:val="Refdenotaalpie"/>
          <w:rFonts w:ascii="Verdana" w:eastAsia="Calibri" w:hAnsi="Verdana" w:cs="Arial"/>
          <w:bCs/>
          <w:color w:val="000000" w:themeColor="text1"/>
        </w:rPr>
        <w:footnoteReference w:id="20"/>
      </w:r>
      <w:r w:rsidRPr="002E294E">
        <w:rPr>
          <w:rFonts w:ascii="Verdana" w:eastAsia="Calibri" w:hAnsi="Verdana" w:cs="Arial"/>
          <w:bCs/>
          <w:color w:val="000000" w:themeColor="text1"/>
        </w:rPr>
        <w:t>.</w:t>
      </w:r>
    </w:p>
    <w:p w14:paraId="1DBD3E3E" w14:textId="77777777" w:rsidR="009F0010" w:rsidRPr="002E294E" w:rsidRDefault="009F0010" w:rsidP="009F0010">
      <w:pPr>
        <w:spacing w:line="276" w:lineRule="auto"/>
        <w:jc w:val="both"/>
        <w:rPr>
          <w:rFonts w:ascii="Verdana" w:eastAsia="Calibri" w:hAnsi="Verdana" w:cs="Arial"/>
          <w:bCs/>
          <w:color w:val="000000" w:themeColor="text1"/>
        </w:rPr>
      </w:pPr>
      <w:r w:rsidRPr="002E294E">
        <w:rPr>
          <w:rFonts w:ascii="Verdana" w:eastAsia="Calibri" w:hAnsi="Verdana" w:cs="Arial"/>
          <w:bCs/>
          <w:color w:val="000000" w:themeColor="text1"/>
        </w:rPr>
        <w:tab/>
        <w:t xml:space="preserve">Dentro de este marco, </w:t>
      </w:r>
      <w:r w:rsidRPr="002E294E">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w:t>
      </w:r>
      <w:r w:rsidRPr="002E294E">
        <w:rPr>
          <w:rFonts w:ascii="Verdana" w:eastAsia="Calibri" w:hAnsi="Verdana" w:cs="Arial"/>
          <w:lang w:val="es-ES"/>
        </w:rPr>
        <w:lastRenderedPageBreak/>
        <w:t xml:space="preserve">calamidad o constitutivos de fuerza mayor o desastre que demanden actuaciones inmediatas […]”. En la medida en que la norma utiliza la conjunción “o”, en principio asimilaría la </w:t>
      </w:r>
      <w:r w:rsidRPr="002E294E">
        <w:rPr>
          <w:rFonts w:ascii="Verdana" w:eastAsia="Calibri" w:hAnsi="Verdana" w:cs="Arial"/>
          <w:i/>
          <w:lang w:val="es-ES"/>
        </w:rPr>
        <w:t>calamidad</w:t>
      </w:r>
      <w:r w:rsidRPr="002E294E">
        <w:rPr>
          <w:rFonts w:ascii="Verdana" w:eastAsia="Calibri" w:hAnsi="Verdana" w:cs="Arial"/>
          <w:lang w:val="es-ES"/>
        </w:rPr>
        <w:t xml:space="preserve"> y el </w:t>
      </w:r>
      <w:r w:rsidRPr="002E294E">
        <w:rPr>
          <w:rFonts w:ascii="Verdana" w:eastAsia="Calibri" w:hAnsi="Verdana" w:cs="Arial"/>
          <w:i/>
          <w:lang w:val="es-ES"/>
        </w:rPr>
        <w:t xml:space="preserve">desastre </w:t>
      </w:r>
      <w:r w:rsidRPr="002E294E">
        <w:rPr>
          <w:rFonts w:ascii="Verdana" w:eastAsia="Calibri" w:hAnsi="Verdana" w:cs="Arial"/>
          <w:lang w:val="es-ES"/>
        </w:rPr>
        <w:t xml:space="preserve">con la </w:t>
      </w:r>
      <w:r w:rsidRPr="002E294E">
        <w:rPr>
          <w:rFonts w:ascii="Verdana" w:eastAsia="Calibri" w:hAnsi="Verdana" w:cs="Arial"/>
          <w:i/>
          <w:lang w:val="es-ES"/>
        </w:rPr>
        <w:t>fuerza mayor</w:t>
      </w:r>
      <w:r w:rsidRPr="002E294E">
        <w:rPr>
          <w:rFonts w:ascii="Verdana" w:eastAsia="Calibri" w:hAnsi="Verdana" w:cs="Arial"/>
          <w:lang w:val="es-ES"/>
        </w:rPr>
        <w:t xml:space="preserve"> o el </w:t>
      </w:r>
      <w:r w:rsidRPr="002E294E">
        <w:rPr>
          <w:rFonts w:ascii="Verdana" w:eastAsia="Calibri" w:hAnsi="Verdana" w:cs="Arial"/>
          <w:i/>
          <w:lang w:val="es-ES"/>
        </w:rPr>
        <w:t>caso fortuito</w:t>
      </w:r>
      <w:r w:rsidRPr="002E294E">
        <w:rPr>
          <w:rFonts w:ascii="Verdana" w:eastAsia="Calibri" w:hAnsi="Verdana" w:cs="Arial"/>
          <w:lang w:val="es-ES"/>
        </w:rPr>
        <w:t xml:space="preserve">. </w:t>
      </w:r>
    </w:p>
    <w:p w14:paraId="0009A50C" w14:textId="77777777" w:rsidR="009F0010" w:rsidRPr="002E294E" w:rsidRDefault="009F0010" w:rsidP="009F0010">
      <w:pPr>
        <w:spacing w:after="0" w:line="276" w:lineRule="auto"/>
        <w:ind w:firstLine="708"/>
        <w:jc w:val="both"/>
        <w:rPr>
          <w:rFonts w:ascii="Verdana" w:eastAsia="Calibri" w:hAnsi="Verdana" w:cs="Arial"/>
          <w:lang w:val="es-ES_tradnl"/>
        </w:rPr>
      </w:pPr>
      <w:r w:rsidRPr="002E294E">
        <w:rPr>
          <w:rFonts w:ascii="Verdana" w:eastAsia="Calibri" w:hAnsi="Verdana" w:cs="Arial"/>
          <w:lang w:val="es-ES_tradnl"/>
        </w:rPr>
        <w:t>Al respecto, el artículo 64 del Código Civil define como tal “[…] el imprevisto o que no es posible resistir, como un naufragio, un terremoto, el apresamiento de enemigos, los actos de autoridad ejercidos por un funcionario público, etc.”</w:t>
      </w:r>
      <w:r w:rsidRPr="002E294E">
        <w:rPr>
          <w:rFonts w:ascii="Verdana" w:eastAsia="Calibri" w:hAnsi="Verdana" w:cs="Arial"/>
          <w:sz w:val="21"/>
          <w:szCs w:val="21"/>
          <w:vertAlign w:val="superscript"/>
          <w:lang w:val="es-ES_tradnl"/>
        </w:rPr>
        <w:footnoteReference w:id="21"/>
      </w:r>
      <w:r w:rsidRPr="002E294E">
        <w:rPr>
          <w:rFonts w:ascii="Verdana" w:eastAsia="Calibri" w:hAnsi="Verdana" w:cs="Arial"/>
          <w:sz w:val="21"/>
          <w:szCs w:val="21"/>
          <w:lang w:val="es-ES_tradnl"/>
        </w:rPr>
        <w:t>.</w:t>
      </w:r>
      <w:r w:rsidRPr="002E294E">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el artículo 4, numerales 5 y 8, de la Ley 1523 de 2012:</w:t>
      </w:r>
    </w:p>
    <w:p w14:paraId="0D0D6CA4" w14:textId="77777777" w:rsidR="009F0010" w:rsidRPr="002E294E" w:rsidRDefault="009F0010" w:rsidP="009F0010">
      <w:pPr>
        <w:spacing w:after="0" w:line="276" w:lineRule="auto"/>
        <w:ind w:firstLine="708"/>
        <w:jc w:val="both"/>
        <w:rPr>
          <w:rFonts w:ascii="Verdana" w:eastAsia="Calibri" w:hAnsi="Verdana" w:cs="Arial"/>
          <w:lang w:val="es-ES_tradnl"/>
        </w:rPr>
      </w:pPr>
    </w:p>
    <w:p w14:paraId="570D9AA8"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“Art. 4. Para efectos de la presente ley se entenderá por:</w:t>
      </w:r>
    </w:p>
    <w:p w14:paraId="3FF306AD" w14:textId="77777777" w:rsidR="009F0010" w:rsidRPr="002E294E" w:rsidRDefault="009F0010" w:rsidP="009F001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6953F4D6"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5. Calamidad pública: Es el resultado que se desencadena de la manifestación de uno o varios eventos naturales o antropogénicos no intencionales que al encontrar condiciones propicias de vulnerabilidad en </w:t>
      </w:r>
      <w:r w:rsidRPr="002E294E">
        <w:rPr>
          <w:rFonts w:ascii="Verdana" w:eastAsia="Calibri" w:hAnsi="Verdana" w:cs="Arial"/>
          <w:sz w:val="20"/>
          <w:szCs w:val="20"/>
          <w:lang w:val="es-ES_tradnl"/>
        </w:rPr>
        <w:lastRenderedPageBreak/>
        <w:t>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municipio, distrito o departamento ejecutar acciones de respuesta a la emergencia, rehabilitación y reconstrucción.</w:t>
      </w:r>
    </w:p>
    <w:p w14:paraId="54E4955A" w14:textId="77777777" w:rsidR="009F0010" w:rsidRPr="002E294E" w:rsidRDefault="009F0010" w:rsidP="009F001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 </w:t>
      </w:r>
    </w:p>
    <w:p w14:paraId="60426ED7"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FA32371" w14:textId="77777777" w:rsidR="009F0010" w:rsidRPr="002E294E" w:rsidRDefault="009F0010" w:rsidP="009F0010">
      <w:pPr>
        <w:spacing w:after="0" w:line="240" w:lineRule="auto"/>
        <w:ind w:left="709" w:right="709"/>
        <w:jc w:val="both"/>
        <w:rPr>
          <w:rFonts w:ascii="Verdana" w:eastAsia="Calibri" w:hAnsi="Verdana" w:cs="Arial"/>
          <w:sz w:val="20"/>
          <w:szCs w:val="20"/>
        </w:rPr>
      </w:pPr>
    </w:p>
    <w:p w14:paraId="6093911F" w14:textId="77777777" w:rsidR="009F0010" w:rsidRPr="002E294E" w:rsidRDefault="009F0010" w:rsidP="009F0010">
      <w:pPr>
        <w:spacing w:after="0" w:line="240" w:lineRule="auto"/>
        <w:ind w:left="709" w:right="709"/>
        <w:jc w:val="both"/>
        <w:rPr>
          <w:rFonts w:ascii="Verdana" w:eastAsia="Calibri" w:hAnsi="Verdana" w:cs="Arial"/>
          <w:lang w:val="es-ES_tradnl"/>
        </w:rPr>
      </w:pPr>
      <w:r w:rsidRPr="002E294E">
        <w:rPr>
          <w:rFonts w:ascii="Verdana" w:eastAsia="Calibri" w:hAnsi="Verdana" w:cs="Arial"/>
          <w:sz w:val="20"/>
          <w:szCs w:val="20"/>
        </w:rPr>
        <w:t>9. Emergencia: 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r w:rsidRPr="002E294E">
        <w:rPr>
          <w:rFonts w:ascii="Verdana" w:eastAsia="Calibri" w:hAnsi="Verdana" w:cs="Arial"/>
          <w:sz w:val="20"/>
          <w:szCs w:val="20"/>
          <w:lang w:val="es-ES_tradnl"/>
        </w:rPr>
        <w:t>”.</w:t>
      </w:r>
    </w:p>
    <w:p w14:paraId="183341D5" w14:textId="77777777" w:rsidR="009F0010" w:rsidRDefault="009F0010" w:rsidP="009F0010">
      <w:pPr>
        <w:spacing w:after="0" w:line="276" w:lineRule="auto"/>
        <w:ind w:firstLine="709"/>
        <w:jc w:val="both"/>
        <w:rPr>
          <w:rFonts w:ascii="Verdana" w:eastAsia="Calibri" w:hAnsi="Verdana" w:cs="Arial"/>
          <w:lang w:val="es-ES"/>
        </w:rPr>
      </w:pPr>
    </w:p>
    <w:p w14:paraId="01714D9E" w14:textId="77777777" w:rsidR="009F0010" w:rsidRPr="002E294E" w:rsidRDefault="009F0010" w:rsidP="009F0010">
      <w:pPr>
        <w:spacing w:after="120" w:line="276" w:lineRule="auto"/>
        <w:ind w:firstLine="709"/>
        <w:jc w:val="both"/>
        <w:rPr>
          <w:rFonts w:ascii="Verdana" w:eastAsia="Calibri" w:hAnsi="Verdana" w:cs="Arial"/>
          <w:bCs/>
          <w:lang w:val="es-ES_tradnl" w:eastAsia="x-none"/>
        </w:rPr>
      </w:pPr>
      <w:r w:rsidRPr="002E294E">
        <w:rPr>
          <w:rFonts w:ascii="Verdana" w:eastAsia="Calibri" w:hAnsi="Verdana" w:cs="Arial"/>
          <w:lang w:val="es-ES"/>
        </w:rPr>
        <w:t xml:space="preserve">Esta norma debe armonizarse con los artículos 56 y 57 </w:t>
      </w:r>
      <w:r w:rsidRPr="002E294E">
        <w:rPr>
          <w:rFonts w:ascii="Verdana" w:eastAsia="Calibri" w:hAnsi="Verdana" w:cs="Arial"/>
          <w:i/>
          <w:lang w:val="es-ES"/>
        </w:rPr>
        <w:t>ibidem</w:t>
      </w:r>
      <w:r w:rsidRPr="002E294E">
        <w:rPr>
          <w:rFonts w:ascii="Verdana" w:eastAsia="Calibri" w:hAnsi="Verdana" w:cs="Arial"/>
          <w:lang w:val="es-ES"/>
        </w:rPr>
        <w:t xml:space="preserve">, que asignan la competencia para declarar la ocurrencia de una situación de </w:t>
      </w:r>
      <w:r w:rsidRPr="002E294E">
        <w:rPr>
          <w:rFonts w:ascii="Verdana" w:eastAsia="Calibri" w:hAnsi="Verdana" w:cs="Arial"/>
          <w:i/>
          <w:lang w:val="es-ES"/>
        </w:rPr>
        <w:t>desastre</w:t>
      </w:r>
      <w:r w:rsidRPr="002E294E">
        <w:rPr>
          <w:rFonts w:ascii="Verdana" w:eastAsia="Calibri" w:hAnsi="Verdana" w:cs="Arial"/>
          <w:lang w:val="es-ES"/>
        </w:rPr>
        <w:t xml:space="preserve"> o una situación de </w:t>
      </w:r>
      <w:r w:rsidRPr="002E294E">
        <w:rPr>
          <w:rFonts w:ascii="Verdana" w:eastAsia="Calibri" w:hAnsi="Verdana" w:cs="Arial"/>
          <w:i/>
          <w:lang w:val="es-ES"/>
        </w:rPr>
        <w:t>calamidad pública</w:t>
      </w:r>
      <w:r w:rsidRPr="002E294E">
        <w:rPr>
          <w:rFonts w:ascii="Verdana" w:eastAsia="Calibri" w:hAnsi="Verdana" w:cs="Arial"/>
          <w:lang w:val="es-ES"/>
        </w:rPr>
        <w:t xml:space="preserve">. Particularmente, disponen que al Presidente de la República le corresponde declarar la situación de </w:t>
      </w:r>
      <w:r w:rsidRPr="002E294E">
        <w:rPr>
          <w:rFonts w:ascii="Verdana" w:eastAsia="Calibri" w:hAnsi="Verdana" w:cs="Arial"/>
          <w:i/>
          <w:lang w:val="es-ES"/>
        </w:rPr>
        <w:t>desastre</w:t>
      </w:r>
      <w:r w:rsidRPr="002E294E">
        <w:rPr>
          <w:rFonts w:ascii="Verdana" w:eastAsia="Calibri" w:hAnsi="Verdana" w:cs="Arial"/>
          <w:lang w:val="es-ES"/>
        </w:rPr>
        <w:t>, tanto en el orden nacional, departamental, como en el municipal y distrital</w:t>
      </w:r>
      <w:r w:rsidRPr="002E294E">
        <w:rPr>
          <w:rStyle w:val="Refdenotaalpie"/>
          <w:rFonts w:ascii="Verdana" w:eastAsia="Calibri" w:hAnsi="Verdana" w:cs="Arial"/>
          <w:lang w:val="es-ES"/>
        </w:rPr>
        <w:footnoteReference w:id="22"/>
      </w:r>
      <w:r w:rsidRPr="002E294E">
        <w:rPr>
          <w:rFonts w:ascii="Verdana" w:eastAsia="Calibri" w:hAnsi="Verdana" w:cs="Arial"/>
          <w:lang w:val="es-ES"/>
        </w:rPr>
        <w:t xml:space="preserve">, facultad </w:t>
      </w:r>
      <w:r w:rsidRPr="002E294E">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002E294E">
        <w:rPr>
          <w:rFonts w:ascii="Verdana" w:eastAsia="Calibri" w:hAnsi="Verdana" w:cs="Arial"/>
          <w:i/>
          <w:lang w:val="es-ES"/>
        </w:rPr>
        <w:t>situación de calamidad pública</w:t>
      </w:r>
      <w:r w:rsidRPr="002E294E">
        <w:rPr>
          <w:rFonts w:ascii="Verdana" w:eastAsia="Calibri" w:hAnsi="Verdana" w:cs="Arial"/>
          <w:lang w:val="es-ES"/>
        </w:rPr>
        <w:t>, en los respectivos ámbitos, facultad que, en cambio, no puede ejercer el presidente de la república</w:t>
      </w:r>
      <w:r w:rsidRPr="002E294E">
        <w:rPr>
          <w:rStyle w:val="Refdenotaalpie"/>
          <w:rFonts w:ascii="Verdana" w:eastAsia="Calibri" w:hAnsi="Verdana" w:cs="Arial"/>
          <w:lang w:val="es-ES"/>
        </w:rPr>
        <w:footnoteReference w:id="23"/>
      </w:r>
      <w:r w:rsidRPr="002E294E">
        <w:rPr>
          <w:rFonts w:ascii="Verdana" w:eastAsia="Calibri" w:hAnsi="Verdana" w:cs="Arial"/>
          <w:lang w:val="es-ES"/>
        </w:rPr>
        <w:t xml:space="preserve">. </w:t>
      </w:r>
    </w:p>
    <w:p w14:paraId="72BB5394" w14:textId="77777777" w:rsidR="009F0010" w:rsidRPr="002E294E" w:rsidRDefault="009F0010" w:rsidP="009F0010">
      <w:pPr>
        <w:spacing w:after="120" w:line="276" w:lineRule="auto"/>
        <w:ind w:firstLine="709"/>
        <w:jc w:val="both"/>
        <w:rPr>
          <w:rFonts w:ascii="Verdana" w:eastAsia="Times New Roman" w:hAnsi="Verdana" w:cs="Arial"/>
          <w:bCs/>
          <w:lang w:val="es-MX" w:eastAsia="es-CO"/>
        </w:rPr>
      </w:pPr>
      <w:r w:rsidRPr="002E294E">
        <w:rPr>
          <w:rFonts w:ascii="Verdana" w:eastAsia="Calibri" w:hAnsi="Verdana" w:cs="Arial"/>
          <w:bCs/>
          <w:color w:val="000000"/>
          <w:lang w:val="es-MX" w:eastAsia="x-none"/>
        </w:rPr>
        <w:t>En relación con los destinatarios de la restricción analizada</w:t>
      </w:r>
      <w:r w:rsidRPr="002E294E">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E294E">
        <w:rPr>
          <w:rFonts w:ascii="Verdana" w:eastAsia="Calibri" w:hAnsi="Verdana" w:cs="Arial"/>
          <w:lang w:val="es-MX"/>
        </w:rPr>
        <w:t xml:space="preserve"> </w:t>
      </w:r>
      <w:r w:rsidRPr="002E294E">
        <w:rPr>
          <w:rFonts w:ascii="Verdana" w:eastAsia="Times New Roman" w:hAnsi="Verdana" w:cs="Arial"/>
          <w:bCs/>
          <w:lang w:val="es-MX" w:eastAsia="x-none"/>
        </w:rPr>
        <w:t>En efecto, tal como lo ha sostenido el Consejo de Estado, el vocablo “todos” utilizado por el legislador comprende</w:t>
      </w:r>
      <w:r w:rsidRPr="002E294E">
        <w:rPr>
          <w:rFonts w:ascii="Verdana" w:eastAsia="Calibri" w:hAnsi="Verdana" w:cs="Arial"/>
          <w:lang w:val="es-MX"/>
        </w:rPr>
        <w:t xml:space="preserve"> </w:t>
      </w:r>
      <w:r w:rsidRPr="002E294E">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7" w:name="_Hlk75787147"/>
      <w:r w:rsidRPr="002E294E">
        <w:rPr>
          <w:rFonts w:ascii="Verdana" w:eastAsia="Times New Roman" w:hAnsi="Verdana" w:cs="Arial"/>
          <w:bCs/>
          <w:lang w:val="es-MX" w:eastAsia="x-none"/>
        </w:rPr>
        <w:t xml:space="preserve"> </w:t>
      </w:r>
      <w:r w:rsidRPr="002E294E">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2E294E">
        <w:rPr>
          <w:rFonts w:ascii="Verdana" w:eastAsia="Calibri" w:hAnsi="Verdana" w:cs="Arial"/>
          <w:bCs/>
          <w:color w:val="000000"/>
          <w:vertAlign w:val="superscript"/>
          <w:lang w:val="es-MX" w:eastAsia="x-none"/>
        </w:rPr>
        <w:footnoteReference w:id="24"/>
      </w:r>
      <w:r w:rsidRPr="002E294E">
        <w:rPr>
          <w:rFonts w:ascii="Verdana" w:eastAsia="Calibri" w:hAnsi="Verdana" w:cs="Arial"/>
          <w:bCs/>
          <w:color w:val="000000"/>
          <w:lang w:val="es-MX" w:eastAsia="x-none"/>
        </w:rPr>
        <w:t>.</w:t>
      </w:r>
    </w:p>
    <w:p w14:paraId="178242EA" w14:textId="77777777" w:rsidR="009F0010" w:rsidRPr="002E294E" w:rsidRDefault="009F0010" w:rsidP="009F0010">
      <w:pPr>
        <w:spacing w:after="0" w:line="276" w:lineRule="auto"/>
        <w:ind w:firstLine="708"/>
        <w:jc w:val="both"/>
        <w:rPr>
          <w:rFonts w:ascii="Verdana" w:eastAsia="Times New Roman" w:hAnsi="Verdana" w:cs="Arial"/>
          <w:bCs/>
          <w:lang w:val="es-MX" w:eastAsia="x-none"/>
        </w:rPr>
      </w:pPr>
      <w:bookmarkStart w:id="8" w:name="_Hlk77237229"/>
      <w:bookmarkEnd w:id="7"/>
      <w:r w:rsidRPr="002E294E">
        <w:rPr>
          <w:rFonts w:ascii="Verdana" w:eastAsia="Calibri" w:hAnsi="Verdana" w:cs="Arial"/>
          <w:lang w:val="es-MX"/>
        </w:rPr>
        <w:t>Por lo tanto, la restricción prevista en la Ley 996 de 200</w:t>
      </w:r>
      <w:bookmarkStart w:id="9" w:name="_Hlk75741539"/>
      <w:r w:rsidRPr="002E294E">
        <w:rPr>
          <w:rFonts w:ascii="Verdana" w:eastAsia="Calibri" w:hAnsi="Verdana" w:cs="Arial"/>
          <w:lang w:val="es-MX"/>
        </w:rPr>
        <w:t xml:space="preserve">5, </w:t>
      </w:r>
      <w:r w:rsidRPr="002E294E">
        <w:rPr>
          <w:rFonts w:ascii="Verdana" w:eastAsia="Times New Roman" w:hAnsi="Verdana" w:cs="Arial"/>
          <w:bCs/>
          <w:lang w:val="es-MX" w:eastAsia="x-none"/>
        </w:rPr>
        <w:t xml:space="preserve">teniendo en cuenta la finalidad de la Ley de Garantías Electorales, cobija a cualquier ente público que pueda a través de la contratación directa romper el equilibrio entre </w:t>
      </w:r>
      <w:r w:rsidRPr="002E294E">
        <w:rPr>
          <w:rFonts w:ascii="Verdana" w:eastAsia="Times New Roman" w:hAnsi="Verdana" w:cs="Arial"/>
          <w:bCs/>
          <w:lang w:val="es-MX" w:eastAsia="x-none"/>
        </w:rPr>
        <w:lastRenderedPageBreak/>
        <w:t>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8"/>
      <w:bookmarkEnd w:id="9"/>
      <w:r w:rsidRPr="002E294E">
        <w:rPr>
          <w:rFonts w:ascii="Verdana" w:eastAsia="Times New Roman" w:hAnsi="Verdana" w:cs="Arial"/>
          <w:bCs/>
          <w:lang w:val="es-MX" w:eastAsia="x-none"/>
        </w:rPr>
        <w:t>.</w:t>
      </w:r>
    </w:p>
    <w:p w14:paraId="7B4DCA78" w14:textId="77777777" w:rsidR="009F0010" w:rsidRPr="002E294E" w:rsidRDefault="009F0010" w:rsidP="009F0010">
      <w:pPr>
        <w:spacing w:after="0" w:line="276" w:lineRule="auto"/>
        <w:jc w:val="both"/>
        <w:rPr>
          <w:rFonts w:ascii="Verdana" w:eastAsia="Times New Roman" w:hAnsi="Verdana" w:cs="Arial"/>
          <w:bCs/>
          <w:lang w:val="es-ES" w:eastAsia="x-none"/>
        </w:rPr>
      </w:pPr>
    </w:p>
    <w:p w14:paraId="725D5806" w14:textId="77777777" w:rsidR="009F0010" w:rsidRPr="002E294E" w:rsidRDefault="009F0010" w:rsidP="009F0010">
      <w:pPr>
        <w:spacing w:after="0" w:line="276" w:lineRule="auto"/>
        <w:jc w:val="both"/>
        <w:rPr>
          <w:rFonts w:ascii="Verdana" w:eastAsia="Times New Roman" w:hAnsi="Verdana" w:cs="Arial"/>
          <w:lang w:eastAsia="es-CO"/>
        </w:rPr>
      </w:pPr>
      <w:r w:rsidRPr="002E294E">
        <w:rPr>
          <w:rFonts w:ascii="Verdana" w:eastAsia="Times New Roman" w:hAnsi="Verdana" w:cs="Arial"/>
          <w:bCs/>
          <w:lang w:val="es-MX" w:eastAsia="x-none"/>
        </w:rPr>
        <w:t xml:space="preserve">iii. De otra parte, es importante precisar </w:t>
      </w:r>
      <w:r>
        <w:rPr>
          <w:rFonts w:ascii="Verdana" w:eastAsia="Times New Roman" w:hAnsi="Verdana" w:cs="Arial"/>
          <w:bCs/>
          <w:lang w:val="es-MX" w:eastAsia="x-none"/>
        </w:rPr>
        <w:t xml:space="preserve">el alacance de </w:t>
      </w:r>
      <w:r w:rsidRPr="002E294E">
        <w:rPr>
          <w:rFonts w:ascii="Verdana" w:eastAsia="Times New Roman" w:hAnsi="Verdana" w:cs="Arial"/>
          <w:lang w:val="es-MX" w:eastAsia="es-CO"/>
        </w:rPr>
        <w:t>la prohibición establecida en el parágrafo del artículo 38 de la Ley 996 de 2005</w:t>
      </w:r>
      <w:r>
        <w:rPr>
          <w:rFonts w:ascii="Verdana" w:eastAsia="Times New Roman" w:hAnsi="Verdana" w:cs="Arial"/>
          <w:lang w:val="es-MX" w:eastAsia="es-CO"/>
        </w:rPr>
        <w:t>. Al respecto,</w:t>
      </w:r>
      <w:r w:rsidRPr="002E294E">
        <w:rPr>
          <w:rFonts w:ascii="Verdana" w:eastAsia="Times New Roman" w:hAnsi="Verdana" w:cs="Arial"/>
          <w:lang w:val="es-MX" w:eastAsia="es-CO"/>
        </w:rPr>
        <w:t xml:space="preserve"> la Circular Externa No. 006 de 2025 expedida por la ANCP -CCE, en los literales ii) y iv) del numeral 2</w:t>
      </w:r>
      <w:r w:rsidRPr="002E294E">
        <w:rPr>
          <w:rFonts w:ascii="Verdana" w:eastAsia="Times New Roman" w:hAnsi="Verdana" w:cs="Arial"/>
          <w:lang w:eastAsia="es-CO"/>
        </w:rPr>
        <w:t>,</w:t>
      </w:r>
      <w:r w:rsidRPr="002E294E">
        <w:rPr>
          <w:rFonts w:ascii="Verdana" w:eastAsia="Times New Roman" w:hAnsi="Verdana" w:cs="Arial"/>
          <w:lang w:val="es-MX" w:eastAsia="es-CO"/>
        </w:rPr>
        <w:t xml:space="preserve"> indica que esta disposición</w:t>
      </w:r>
      <w:r w:rsidRPr="002E294E">
        <w:rPr>
          <w:rFonts w:ascii="Verdana" w:eastAsia="Times New Roman" w:hAnsi="Verdana" w:cs="Arial"/>
          <w:lang w:eastAsia="es-CO"/>
        </w:rPr>
        <w:t xml:space="preserve"> cobija expresamente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2E294E">
        <w:rPr>
          <w:rFonts w:ascii="Verdana" w:eastAsia="Times New Roman" w:hAnsi="Verdana" w:cs="Arial"/>
          <w:i/>
          <w:iCs/>
          <w:lang w:eastAsia="es-CO"/>
        </w:rPr>
        <w:t>“aunque se configure alguno de los supuestos de excepción que señaló el inciso final del artículo 33”.</w:t>
      </w:r>
      <w:r w:rsidRPr="002E294E">
        <w:rPr>
          <w:rFonts w:ascii="Verdana" w:eastAsia="Times New Roman" w:hAnsi="Verdana" w:cs="Arial"/>
          <w:lang w:eastAsia="es-CO"/>
        </w:rPr>
        <w:t xml:space="preserve"> </w:t>
      </w:r>
    </w:p>
    <w:p w14:paraId="0206D6E5" w14:textId="77777777" w:rsidR="009F0010" w:rsidRPr="002E294E" w:rsidRDefault="009F0010" w:rsidP="009F0010">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w:t>
      </w:r>
      <w:r w:rsidRPr="002E294E">
        <w:rPr>
          <w:rFonts w:ascii="Verdana" w:eastAsia="Times New Roman" w:hAnsi="Verdana" w:cs="Arial"/>
          <w:i/>
          <w:iCs/>
          <w:lang w:eastAsia="es-CO"/>
        </w:rPr>
        <w:t>ejecución de recursos públicos</w:t>
      </w:r>
      <w:r w:rsidRPr="002E294E">
        <w:rPr>
          <w:rFonts w:ascii="Verdana" w:eastAsia="Times New Roman" w:hAnsi="Verdana" w:cs="Arial"/>
          <w:lang w:eastAsia="es-CO"/>
        </w:rPr>
        <w:t xml:space="preserve">. Esto significa que la prohibición no resulta aplicable a </w:t>
      </w:r>
      <w:r w:rsidRPr="002E294E">
        <w:rPr>
          <w:rFonts w:ascii="Verdana" w:eastAsia="Times New Roman" w:hAnsi="Verdana" w:cs="Arial"/>
          <w:i/>
          <w:iCs/>
          <w:lang w:eastAsia="es-CO"/>
        </w:rPr>
        <w:t>convenios interadministrativos a título gratuito,</w:t>
      </w:r>
      <w:r w:rsidRPr="002E294E">
        <w:rPr>
          <w:rFonts w:ascii="Verdana" w:eastAsia="Times New Roman" w:hAnsi="Verdana" w:cs="Arial"/>
          <w:lang w:eastAsia="es-CO"/>
        </w:rPr>
        <w:t xml:space="preserve"> los cuales pueden celebrarse válidamente durante la vigencia de la mencionada restricción. </w:t>
      </w:r>
    </w:p>
    <w:p w14:paraId="5B6EB448" w14:textId="77777777" w:rsidR="009F0010" w:rsidRPr="002E294E" w:rsidRDefault="009F0010" w:rsidP="009F0010">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De esta manera, conforme a lo dispuesto en la Circular referida, si se suscriben </w:t>
      </w:r>
      <w:r w:rsidRPr="002E294E">
        <w:rPr>
          <w:rFonts w:ascii="Verdana" w:eastAsia="Times New Roman" w:hAnsi="Verdana" w:cs="Arial"/>
          <w:i/>
          <w:iCs/>
          <w:lang w:eastAsia="es-CO"/>
        </w:rPr>
        <w:t>convenios interadministrativos para la ejecución de recursos públicos</w:t>
      </w:r>
      <w:r w:rsidRPr="002E294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E294E">
        <w:rPr>
          <w:rFonts w:ascii="Verdana" w:eastAsia="Times New Roman" w:hAnsi="Verdana" w:cs="Arial"/>
          <w:i/>
          <w:iCs/>
          <w:lang w:eastAsia="es-CO"/>
        </w:rPr>
        <w:t>ibidem</w:t>
      </w:r>
      <w:r w:rsidRPr="002E294E">
        <w:rPr>
          <w:rFonts w:ascii="Verdana" w:eastAsia="Times New Roman" w:hAnsi="Verdana" w:cs="Arial"/>
          <w:lang w:eastAsia="es-CO"/>
        </w:rPr>
        <w:t>, independientemente de que se configure alguno de los supuestos de excepción que señaló el inciso final del artículo 33, es decir, que se trate de:</w:t>
      </w:r>
      <w:r w:rsidRPr="002E294E">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w:t>
      </w:r>
      <w:r w:rsidRPr="002E294E">
        <w:rPr>
          <w:rFonts w:ascii="Verdana" w:eastAsia="Aptos" w:hAnsi="Verdana" w:cs="Arial"/>
          <w:bCs/>
          <w:lang w:val="es-MX" w:eastAsia="x-none"/>
        </w:rPr>
        <w:lastRenderedPageBreak/>
        <w:t>de fuerza mayor; y, v) los que deban realizar las entidades sanitarias y hospitalarias.</w:t>
      </w:r>
      <w:r w:rsidRPr="002E294E">
        <w:rPr>
          <w:rFonts w:ascii="Verdana" w:eastAsia="Aptos" w:hAnsi="Verdana" w:cs="Arial"/>
          <w:bCs/>
          <w:lang w:val="es-MX" w:eastAsia="es-CO"/>
        </w:rPr>
        <w:t xml:space="preserve"> </w:t>
      </w:r>
      <w:r w:rsidRPr="002E294E">
        <w:rPr>
          <w:rFonts w:ascii="Verdana" w:eastAsia="Times New Roman" w:hAnsi="Verdana" w:cs="Arial"/>
          <w:lang w:eastAsia="es-CO"/>
        </w:rPr>
        <w:t xml:space="preserve">  </w:t>
      </w:r>
    </w:p>
    <w:p w14:paraId="410704A0" w14:textId="77777777" w:rsidR="009F0010" w:rsidRPr="002E294E" w:rsidRDefault="009F0010" w:rsidP="009F0010">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En este punto, teniendo en cuenta lo señalado en el contenido de su petición, vale la pena destacar que, </w:t>
      </w:r>
      <w:r w:rsidRPr="002E294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2E294E">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2E294E">
        <w:rPr>
          <w:rFonts w:ascii="Verdana" w:eastAsia="Aptos" w:hAnsi="Verdana" w:cs="Arial"/>
          <w:vertAlign w:val="superscript"/>
        </w:rPr>
        <w:footnoteReference w:id="25"/>
      </w:r>
      <w:r w:rsidRPr="002E294E">
        <w:rPr>
          <w:rFonts w:ascii="Verdana" w:eastAsia="Aptos" w:hAnsi="Verdana" w:cs="Arial"/>
        </w:rPr>
        <w:t xml:space="preserve">: </w:t>
      </w:r>
    </w:p>
    <w:p w14:paraId="45495022" w14:textId="77777777" w:rsidR="009F0010" w:rsidRPr="002E294E" w:rsidRDefault="009F0010" w:rsidP="009F0010">
      <w:pPr>
        <w:spacing w:after="0" w:line="276" w:lineRule="auto"/>
        <w:ind w:firstLine="709"/>
        <w:jc w:val="both"/>
        <w:rPr>
          <w:rFonts w:ascii="Verdana" w:eastAsia="Aptos" w:hAnsi="Verdana" w:cs="Arial"/>
        </w:rPr>
      </w:pPr>
    </w:p>
    <w:p w14:paraId="2893F24F" w14:textId="77777777" w:rsidR="009F0010" w:rsidRPr="002E294E" w:rsidRDefault="009F0010" w:rsidP="009F0010">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lang w:val="es-MX"/>
        </w:rPr>
        <w:t>i)</w:t>
      </w:r>
      <w:r w:rsidRPr="002E294E">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EC37EE4" w14:textId="77777777" w:rsidR="009F0010" w:rsidRPr="002E294E" w:rsidRDefault="009F0010" w:rsidP="009F0010">
      <w:pPr>
        <w:spacing w:after="0" w:line="240" w:lineRule="auto"/>
        <w:ind w:left="709" w:right="709"/>
        <w:jc w:val="both"/>
        <w:rPr>
          <w:rFonts w:ascii="Verdana" w:eastAsia="Aptos" w:hAnsi="Verdana" w:cs="Arial"/>
          <w:sz w:val="20"/>
          <w:szCs w:val="20"/>
        </w:rPr>
      </w:pPr>
    </w:p>
    <w:p w14:paraId="3CE7C187" w14:textId="77777777" w:rsidR="009F0010" w:rsidRPr="002E294E" w:rsidRDefault="009F0010" w:rsidP="009F0010">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1F82393" w14:textId="77777777" w:rsidR="009F0010" w:rsidRDefault="009F0010" w:rsidP="009F0010">
      <w:pPr>
        <w:spacing w:after="0" w:line="276" w:lineRule="auto"/>
        <w:ind w:firstLine="709"/>
        <w:jc w:val="both"/>
        <w:rPr>
          <w:rFonts w:ascii="Verdana" w:eastAsia="Arial" w:hAnsi="Verdana" w:cs="Arial"/>
          <w:lang w:val="es-MX" w:eastAsia="es-ES" w:bidi="es-ES"/>
        </w:rPr>
      </w:pPr>
    </w:p>
    <w:p w14:paraId="47797579" w14:textId="77777777" w:rsidR="009F0010" w:rsidRPr="002E294E" w:rsidRDefault="009F0010" w:rsidP="009F0010">
      <w:pPr>
        <w:spacing w:after="120" w:line="276" w:lineRule="auto"/>
        <w:ind w:firstLine="709"/>
        <w:jc w:val="both"/>
        <w:rPr>
          <w:rFonts w:ascii="Verdana" w:eastAsia="Arial" w:hAnsi="Verdana" w:cs="Arial"/>
          <w:i/>
          <w:iCs/>
          <w:lang w:eastAsia="es-ES" w:bidi="es-ES"/>
        </w:rPr>
      </w:pPr>
      <w:r w:rsidRPr="002E294E">
        <w:rPr>
          <w:rFonts w:ascii="Verdana" w:eastAsia="Arial" w:hAnsi="Verdana" w:cs="Arial"/>
          <w:lang w:val="es-MX" w:eastAsia="es-ES" w:bidi="es-ES"/>
        </w:rPr>
        <w:t xml:space="preserve">De conformidad con los argumentos de dicha providencia, se parte de la distinción entre los conceptos </w:t>
      </w:r>
      <w:r w:rsidRPr="002E294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2E294E">
        <w:rPr>
          <w:rFonts w:ascii="Verdana" w:eastAsia="Aptos" w:hAnsi="Verdana" w:cs="Times New Roman"/>
          <w:sz w:val="24"/>
          <w:szCs w:val="24"/>
          <w:lang w:eastAsia="es-CO"/>
        </w:rPr>
        <w:t xml:space="preserve"> </w:t>
      </w:r>
      <w:r w:rsidRPr="002E294E">
        <w:rPr>
          <w:rFonts w:ascii="Verdana" w:eastAsia="Arial" w:hAnsi="Verdana" w:cs="Arial"/>
          <w:lang w:eastAsia="es-ES" w:bidi="es-ES"/>
        </w:rPr>
        <w:t xml:space="preserve">En este sentido, en relación con el parágrafo del artículo 38 de la Ley 996 de 2005 concluyó que </w:t>
      </w:r>
      <w:r w:rsidRPr="002E294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2E294E">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2E294E">
        <w:rPr>
          <w:rFonts w:ascii="Verdana" w:eastAsia="Arial" w:hAnsi="Verdana" w:cs="Arial"/>
          <w:lang w:eastAsia="es-ES" w:bidi="es-ES"/>
        </w:rPr>
        <w:lastRenderedPageBreak/>
        <w:t xml:space="preserve">Única, argumentó que </w:t>
      </w:r>
      <w:r w:rsidRPr="002E294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99C9035" w14:textId="77777777" w:rsidR="009F0010" w:rsidRPr="002E294E" w:rsidRDefault="009F0010" w:rsidP="009F0010">
      <w:pPr>
        <w:spacing w:after="120" w:line="276" w:lineRule="auto"/>
        <w:ind w:firstLine="709"/>
        <w:jc w:val="both"/>
        <w:rPr>
          <w:rFonts w:ascii="Verdana" w:eastAsia="Arial" w:hAnsi="Verdana" w:cs="Arial"/>
          <w:lang w:eastAsia="es-ES" w:bidi="es-ES"/>
        </w:rPr>
      </w:pPr>
      <w:r w:rsidRPr="002E294E">
        <w:rPr>
          <w:rFonts w:ascii="Verdana" w:eastAsia="Arial" w:hAnsi="Verdana" w:cs="Arial"/>
          <w:lang w:eastAsia="es-ES" w:bidi="es-ES"/>
        </w:rPr>
        <w:t>De igual manera, mediante auto del 6 de noviembre de 2025, el Consejo de Estado, Subsección A de la Sección Tercera, decretó</w:t>
      </w:r>
      <w:r w:rsidRPr="002E294E">
        <w:rPr>
          <w:rFonts w:ascii="Verdana" w:eastAsia="Arial" w:hAnsi="Verdana" w:cs="Arial"/>
          <w:b/>
          <w:bCs/>
          <w:lang w:eastAsia="es-ES" w:bidi="es-ES"/>
        </w:rPr>
        <w:t xml:space="preserve"> </w:t>
      </w:r>
      <w:r w:rsidRPr="002E294E">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2654EE4A" w14:textId="77777777" w:rsidR="009F0010" w:rsidRPr="002E294E" w:rsidRDefault="009F0010" w:rsidP="009F0010">
      <w:pPr>
        <w:spacing w:after="120" w:line="276" w:lineRule="auto"/>
        <w:ind w:firstLine="709"/>
        <w:jc w:val="both"/>
        <w:rPr>
          <w:rFonts w:ascii="Verdana" w:eastAsia="Times New Roman" w:hAnsi="Verdana" w:cs="Times New Roman"/>
          <w:lang w:eastAsia="es-ES"/>
        </w:rPr>
      </w:pPr>
      <w:r w:rsidRPr="002E294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2E294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34646BB" w14:textId="77777777" w:rsidR="009F0010" w:rsidRPr="002E294E" w:rsidRDefault="009F0010" w:rsidP="009F0010">
      <w:pPr>
        <w:spacing w:after="120" w:line="276" w:lineRule="auto"/>
        <w:ind w:firstLine="709"/>
        <w:jc w:val="both"/>
        <w:rPr>
          <w:rFonts w:ascii="Verdana" w:eastAsia="Times New Roman" w:hAnsi="Verdana" w:cs="Times New Roman"/>
          <w:lang w:eastAsia="es-ES"/>
        </w:rPr>
      </w:pPr>
      <w:r w:rsidRPr="002E294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2E294E">
        <w:rPr>
          <w:rFonts w:ascii="Verdana" w:eastAsia="Times New Roman" w:hAnsi="Verdana" w:cs="Times New Roman"/>
          <w:vertAlign w:val="superscript"/>
          <w:lang w:eastAsia="es-ES"/>
        </w:rPr>
        <w:footnoteReference w:id="26"/>
      </w:r>
      <w:r w:rsidRPr="002E294E">
        <w:rPr>
          <w:rFonts w:ascii="Verdana" w:eastAsia="Times New Roman" w:hAnsi="Verdana" w:cs="Times New Roman"/>
          <w:lang w:eastAsia="es-ES"/>
        </w:rPr>
        <w:t xml:space="preserve">. Sobre el </w:t>
      </w:r>
      <w:r w:rsidRPr="002E294E">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A14301A" w14:textId="77777777" w:rsidR="009F0010" w:rsidRPr="002E294E" w:rsidRDefault="009F0010" w:rsidP="009F0010">
      <w:pPr>
        <w:spacing w:after="0" w:line="276" w:lineRule="auto"/>
        <w:ind w:firstLine="709"/>
        <w:jc w:val="both"/>
        <w:rPr>
          <w:rFonts w:ascii="Verdana" w:eastAsia="Times New Roman" w:hAnsi="Verdana" w:cs="Arial"/>
          <w:lang w:eastAsia="es-CO"/>
        </w:rPr>
      </w:pPr>
      <w:r w:rsidRPr="002E294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2E294E">
        <w:rPr>
          <w:rFonts w:ascii="Verdana" w:eastAsia="Times New Roman" w:hAnsi="Verdana" w:cs="Arial"/>
          <w:lang w:eastAsia="es-CO"/>
        </w:rPr>
        <w:t xml:space="preserve">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2E294E">
        <w:rPr>
          <w:rFonts w:ascii="Verdana" w:eastAsia="Times New Roman" w:hAnsi="Verdana" w:cs="Arial"/>
          <w:i/>
          <w:iCs/>
          <w:lang w:eastAsia="es-CO"/>
        </w:rPr>
        <w:t>contratos interadministrativos</w:t>
      </w:r>
      <w:r w:rsidRPr="002E294E">
        <w:rPr>
          <w:rFonts w:ascii="Verdana" w:eastAsia="Times New Roman" w:hAnsi="Verdana" w:cs="Arial"/>
          <w:lang w:eastAsia="es-CO"/>
        </w:rPr>
        <w:t>, esta prohibición solo aplicaría a los convenios interadministrativos que impliquen la ejecución de recursos públicos</w:t>
      </w:r>
      <w:r w:rsidRPr="002E294E">
        <w:rPr>
          <w:rFonts w:ascii="Verdana" w:eastAsia="Times New Roman" w:hAnsi="Verdana" w:cs="Arial"/>
          <w:vertAlign w:val="superscript"/>
          <w:lang w:eastAsia="es-CO"/>
        </w:rPr>
        <w:footnoteReference w:id="27"/>
      </w:r>
      <w:r w:rsidRPr="002E294E">
        <w:rPr>
          <w:rFonts w:ascii="Verdana" w:eastAsia="Times New Roman" w:hAnsi="Verdana" w:cs="Arial"/>
          <w:lang w:eastAsia="es-CO"/>
        </w:rPr>
        <w:t xml:space="preserve">. </w:t>
      </w:r>
    </w:p>
    <w:p w14:paraId="538629D0" w14:textId="77777777" w:rsidR="009F0010" w:rsidRPr="002E294E" w:rsidRDefault="009F0010" w:rsidP="009F0010">
      <w:pPr>
        <w:spacing w:after="0" w:line="276" w:lineRule="auto"/>
        <w:jc w:val="both"/>
        <w:rPr>
          <w:rFonts w:ascii="Verdana" w:eastAsia="Times New Roman" w:hAnsi="Verdana" w:cs="Arial"/>
          <w:lang w:eastAsia="es-CO"/>
        </w:rPr>
      </w:pPr>
    </w:p>
    <w:p w14:paraId="5CFEFEA1" w14:textId="77777777" w:rsidR="009F0010" w:rsidRPr="002E294E" w:rsidRDefault="009F0010" w:rsidP="009F0010">
      <w:pPr>
        <w:spacing w:after="120" w:line="276" w:lineRule="auto"/>
        <w:jc w:val="both"/>
        <w:rPr>
          <w:rFonts w:ascii="Verdana" w:eastAsia="Times New Roman" w:hAnsi="Verdana" w:cs="Arial"/>
          <w:bCs/>
          <w:lang w:eastAsia="es-CO"/>
        </w:rPr>
      </w:pPr>
      <w:r w:rsidRPr="002E294E">
        <w:rPr>
          <w:rFonts w:ascii="Verdana" w:eastAsia="Times New Roman" w:hAnsi="Verdana" w:cs="Arial"/>
          <w:lang w:eastAsia="es-CO"/>
        </w:rPr>
        <w:t xml:space="preserve">iv. Ahora bien, para dar respuesta al problema jurídico objeto de consulta es necesario revisar el ámbito de aplicación de la </w:t>
      </w:r>
      <w:r w:rsidRPr="002E294E">
        <w:rPr>
          <w:rFonts w:ascii="Verdana" w:eastAsia="Times New Roman" w:hAnsi="Verdana" w:cs="Arial"/>
          <w:bCs/>
          <w:lang w:eastAsia="es-CO"/>
        </w:rPr>
        <w:t xml:space="preserve">Ley 1575 de 2012, denominada </w:t>
      </w:r>
      <w:r w:rsidRPr="002E294E">
        <w:rPr>
          <w:rFonts w:ascii="Verdana" w:eastAsia="Times New Roman" w:hAnsi="Verdana" w:cs="Arial"/>
          <w:bCs/>
          <w:i/>
          <w:iCs/>
          <w:lang w:eastAsia="es-CO"/>
        </w:rPr>
        <w:t>“Ley General de Bomberos de Colombia”</w:t>
      </w:r>
      <w:r w:rsidRPr="002E294E">
        <w:rPr>
          <w:rFonts w:ascii="Verdana" w:eastAsia="Times New Roman" w:hAnsi="Verdana" w:cs="Arial"/>
          <w:bCs/>
          <w:lang w:eastAsia="es-CO"/>
        </w:rPr>
        <w:t xml:space="preserve">. El artículo 1 de este cuerpo normativo define </w:t>
      </w:r>
      <w:r w:rsidRPr="002E294E">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2E294E">
        <w:rPr>
          <w:rFonts w:ascii="Verdana" w:eastAsia="Times New Roman" w:hAnsi="Verdana" w:cs="Arial"/>
          <w:bCs/>
          <w:vertAlign w:val="superscript"/>
          <w:lang w:eastAsia="es-CO"/>
        </w:rPr>
        <w:footnoteReference w:id="28"/>
      </w:r>
      <w:r w:rsidRPr="002E294E">
        <w:rPr>
          <w:rFonts w:ascii="Verdana" w:hAnsi="Verdana" w:cs="Arial"/>
          <w:bCs/>
        </w:rPr>
        <w:t>.</w:t>
      </w:r>
      <w:r w:rsidRPr="002E294E">
        <w:rPr>
          <w:rFonts w:ascii="Verdana" w:hAnsi="Verdana" w:cs="Arial"/>
        </w:rPr>
        <w:t xml:space="preserve"> </w:t>
      </w:r>
      <w:r w:rsidRPr="002E294E">
        <w:rPr>
          <w:rFonts w:ascii="Verdana" w:eastAsia="Times New Roman" w:hAnsi="Verdana" w:cs="Arial"/>
          <w:bCs/>
          <w:lang w:eastAsia="es-CO"/>
        </w:rPr>
        <w:t xml:space="preserve">De acuerdo con esto, la norma dispone en esquema de </w:t>
      </w:r>
      <w:r w:rsidRPr="002E294E">
        <w:rPr>
          <w:rFonts w:ascii="Verdana" w:eastAsia="Times New Roman" w:hAnsi="Verdana" w:cs="Arial"/>
          <w:bCs/>
          <w:i/>
          <w:iCs/>
          <w:lang w:eastAsia="es-CO"/>
        </w:rPr>
        <w:t>responsabilidad compartida</w:t>
      </w:r>
      <w:r w:rsidRPr="002E294E">
        <w:rPr>
          <w:rFonts w:ascii="Verdana" w:eastAsia="Times New Roman" w:hAnsi="Verdana" w:cs="Arial"/>
          <w:bCs/>
          <w:lang w:eastAsia="es-CO"/>
        </w:rPr>
        <w:t xml:space="preserve">, en el marco del cual las entidades públicas y privadas deben incorporar la contingencia asociada a estos riesgos en la </w:t>
      </w:r>
      <w:r w:rsidRPr="002E294E">
        <w:rPr>
          <w:rFonts w:ascii="Verdana" w:eastAsia="Times New Roman" w:hAnsi="Verdana" w:cs="Arial"/>
          <w:bCs/>
          <w:lang w:eastAsia="es-CO"/>
        </w:rPr>
        <w:lastRenderedPageBreak/>
        <w:t xml:space="preserve">administración de sus bienes muebles e inmuebles —incluidos parques naturales, edificaciones, desarrollos urbanísticos e instalaciones— y adelantar planes, programas y proyectos orientados a reducir su vulnerabilidad y fortalecer la prevención y atención de tales eventos. </w:t>
      </w:r>
    </w:p>
    <w:p w14:paraId="3D7B602C" w14:textId="77777777" w:rsidR="009F0010" w:rsidRPr="002E294E" w:rsidRDefault="009F0010" w:rsidP="009F0010">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En consonancia con lo anterior, el artículo 2 </w:t>
      </w:r>
      <w:r w:rsidRPr="002E294E">
        <w:rPr>
          <w:rFonts w:ascii="Verdana" w:hAnsi="Verdana" w:cs="Arial"/>
          <w:bCs/>
        </w:rPr>
        <w:t xml:space="preserve">dispone que 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 </w:t>
      </w:r>
      <w:r w:rsidRPr="002E294E">
        <w:rPr>
          <w:rFonts w:ascii="Verdana" w:eastAsia="Times New Roman" w:hAnsi="Verdana" w:cs="Arial"/>
          <w:bCs/>
          <w:lang w:eastAsia="es-CO"/>
        </w:rPr>
        <w:t>En ese sentido, corresponde al Estado garantizar su prestación eficiente a todos los habitantes del territorio nacional, de manera directa a través de los Cuerpos de Bomberos Oficiales, Voluntarios y aeronáuticos, asegurando la continuidad y cobertura de este servicio.</w:t>
      </w:r>
    </w:p>
    <w:p w14:paraId="41255139" w14:textId="77777777" w:rsidR="009F0010" w:rsidRPr="002E294E" w:rsidRDefault="009F0010" w:rsidP="009F0010">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2E294E">
        <w:rPr>
          <w:rFonts w:ascii="Verdana" w:eastAsia="Times New Roman" w:hAnsi="Verdana" w:cs="Arial"/>
          <w:bCs/>
          <w:i/>
          <w:iCs/>
          <w:lang w:eastAsia="es-CO"/>
        </w:rPr>
        <w:t>mediante la celebración de contratos y/o convenios con los cuerpos de bomberos voluntarios</w:t>
      </w:r>
      <w:r w:rsidRPr="002E294E">
        <w:rPr>
          <w:rFonts w:ascii="Verdana" w:eastAsia="Times New Roman" w:hAnsi="Verdana" w:cs="Arial"/>
          <w:bCs/>
          <w:lang w:eastAsia="es-CO"/>
        </w:rPr>
        <w:t>” [Énfasis fuera de texto]. </w:t>
      </w:r>
    </w:p>
    <w:p w14:paraId="4FA9DE5C" w14:textId="77777777" w:rsidR="009F0010" w:rsidRPr="002E294E" w:rsidRDefault="009F0010" w:rsidP="009F0010">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 xml:space="preserve"> </w:t>
      </w:r>
      <w:r w:rsidRPr="002E294E">
        <w:rPr>
          <w:rFonts w:ascii="Verdana" w:eastAsia="Times New Roman" w:hAnsi="Verdana" w:cs="Arial"/>
          <w:bCs/>
          <w:lang w:eastAsia="es-CO"/>
        </w:rPr>
        <w:tab/>
        <w:t xml:space="preserve">Con arreglo a lo dispuesto en el artículo 4 de la referida ley, los </w:t>
      </w:r>
      <w:r w:rsidRPr="002E294E">
        <w:rPr>
          <w:rFonts w:ascii="Verdana" w:eastAsia="Times New Roman" w:hAnsi="Verdana" w:cs="Arial"/>
          <w:bCs/>
          <w:i/>
          <w:iCs/>
          <w:lang w:eastAsia="es-CO"/>
        </w:rPr>
        <w:t xml:space="preserve">Cuerpos de Bomberos Voluntarios Reconocidos </w:t>
      </w:r>
      <w:r w:rsidRPr="002E294E">
        <w:rPr>
          <w:rFonts w:ascii="Verdana" w:eastAsia="Times New Roman" w:hAnsi="Verdana" w:cs="Arial"/>
          <w:bCs/>
          <w:lang w:eastAsia="es-CO"/>
        </w:rPr>
        <w:t xml:space="preserve">integran los Bomberos de Colombia y hacen parte integral del Sistema Nacional para la Prevención y Atención de Desastres. Estos son definidos por el artículo 18 como aquellos </w:t>
      </w:r>
      <w:r w:rsidRPr="002E294E">
        <w:rPr>
          <w:rFonts w:ascii="Verdana" w:eastAsia="Times New Roman" w:hAnsi="Verdana" w:cs="Arial"/>
          <w:i/>
          <w:lang w:eastAsia="es-CO"/>
        </w:rPr>
        <w:t xml:space="preserve">“organizados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w:t>
      </w:r>
      <w:r w:rsidRPr="002E294E">
        <w:rPr>
          <w:rFonts w:ascii="Verdana" w:eastAsia="Times New Roman" w:hAnsi="Verdana" w:cs="Arial"/>
          <w:i/>
          <w:lang w:eastAsia="es-CO"/>
        </w:rPr>
        <w:lastRenderedPageBreak/>
        <w:t>segundo de la presente ley y con certificado de cumplimiento expedido por la dirección Nacional de Bomberos”</w:t>
      </w:r>
      <w:r w:rsidRPr="002E294E">
        <w:rPr>
          <w:rFonts w:ascii="Verdana" w:eastAsia="Times New Roman" w:hAnsi="Verdana" w:cs="Arial"/>
          <w:bCs/>
          <w:lang w:eastAsia="es-CO"/>
        </w:rPr>
        <w:t xml:space="preserve">. </w:t>
      </w:r>
    </w:p>
    <w:p w14:paraId="42C4436B" w14:textId="77777777" w:rsidR="009F0010" w:rsidRPr="002E294E" w:rsidRDefault="009F0010" w:rsidP="009F0010">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r>
      <w:r w:rsidRPr="002E294E">
        <w:rPr>
          <w:rFonts w:ascii="Verdana" w:hAnsi="Verdana" w:cs="Arial"/>
          <w:bCs/>
        </w:rPr>
        <w:t xml:space="preserve">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 </w:t>
      </w:r>
      <w:r w:rsidRPr="002E294E">
        <w:rPr>
          <w:rFonts w:ascii="Verdana" w:eastAsia="Times New Roman" w:hAnsi="Verdana" w:cs="Arial"/>
          <w:bCs/>
          <w:lang w:eastAsia="es-CO"/>
        </w:rPr>
        <w:t>La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7E5B2B18" w14:textId="77777777" w:rsidR="009F0010"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pueden optar por celebrar contratos o convenios con cuerpos de bomberos voluntarios. </w:t>
      </w:r>
    </w:p>
    <w:p w14:paraId="0A914603" w14:textId="77777777" w:rsidR="009F0010" w:rsidRPr="002E294E" w:rsidRDefault="009F0010" w:rsidP="009F0010">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Sobre la prestación del servicio objeto de la consulta, esta Agencia se pronunció mediante el concepto con radicado número 2201913000008606, del 19 de noviembre de 2019, indicando lo siguiente: </w:t>
      </w:r>
    </w:p>
    <w:p w14:paraId="0237922C" w14:textId="77777777" w:rsidR="009F0010" w:rsidRPr="002E294E" w:rsidRDefault="009F0010" w:rsidP="009F0010">
      <w:pPr>
        <w:tabs>
          <w:tab w:val="left" w:pos="426"/>
        </w:tabs>
        <w:spacing w:after="0" w:line="276" w:lineRule="auto"/>
        <w:ind w:firstLine="709"/>
        <w:jc w:val="both"/>
        <w:rPr>
          <w:rFonts w:ascii="Verdana" w:eastAsia="Times New Roman" w:hAnsi="Verdana" w:cs="Arial"/>
          <w:bCs/>
          <w:lang w:eastAsia="es-CO"/>
        </w:rPr>
      </w:pPr>
    </w:p>
    <w:p w14:paraId="28EF547D" w14:textId="77777777" w:rsidR="009F0010" w:rsidRPr="002E294E" w:rsidRDefault="009F0010" w:rsidP="009F0010">
      <w:pPr>
        <w:spacing w:after="0" w:line="240" w:lineRule="auto"/>
        <w:ind w:left="709" w:right="709"/>
        <w:jc w:val="both"/>
        <w:rPr>
          <w:rFonts w:ascii="Verdana" w:eastAsia="Calibri" w:hAnsi="Verdana" w:cs="Arial"/>
          <w:sz w:val="20"/>
          <w:szCs w:val="20"/>
          <w:lang w:val="es-ES"/>
        </w:rPr>
      </w:pPr>
      <w:r w:rsidRPr="002E294E">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0089033A" w14:textId="77777777" w:rsidR="009F0010" w:rsidRPr="002E294E" w:rsidRDefault="009F0010" w:rsidP="009F001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234D7AF3" w14:textId="77777777" w:rsidR="009F0010" w:rsidRPr="002E294E" w:rsidRDefault="009F0010" w:rsidP="009F0010">
      <w:pPr>
        <w:spacing w:after="0" w:line="240" w:lineRule="auto"/>
        <w:ind w:left="709" w:right="709"/>
        <w:jc w:val="both"/>
        <w:rPr>
          <w:rFonts w:ascii="Verdana" w:hAnsi="Verdana" w:cs="Arial"/>
          <w:i/>
          <w:iCs/>
          <w:sz w:val="20"/>
          <w:szCs w:val="20"/>
        </w:rPr>
      </w:pPr>
      <w:r w:rsidRPr="002E294E">
        <w:rPr>
          <w:rFonts w:ascii="Verdana" w:eastAsia="Calibri" w:hAnsi="Verdana" w:cs="Arial"/>
          <w:sz w:val="20"/>
          <w:szCs w:val="20"/>
          <w:lang w:val="es-ES_tradnl"/>
        </w:rPr>
        <w:t xml:space="preserve">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w:t>
      </w:r>
      <w:r w:rsidRPr="002E294E">
        <w:rPr>
          <w:rFonts w:ascii="Verdana" w:eastAsia="Calibri" w:hAnsi="Verdana" w:cs="Arial"/>
          <w:sz w:val="20"/>
          <w:szCs w:val="20"/>
          <w:lang w:val="es-ES_tradnl"/>
        </w:rPr>
        <w:lastRenderedPageBreak/>
        <w:t>mejor convenga entre constituir un cuerpo de bomberos oficial o contratar con uno voluntario</w:t>
      </w:r>
      <w:r w:rsidRPr="002E294E">
        <w:rPr>
          <w:rFonts w:ascii="Verdana" w:hAnsi="Verdana" w:cs="Arial"/>
          <w:i/>
          <w:iCs/>
          <w:sz w:val="20"/>
          <w:szCs w:val="20"/>
        </w:rPr>
        <w:t>.</w:t>
      </w:r>
    </w:p>
    <w:p w14:paraId="6E727C91" w14:textId="77777777" w:rsidR="009F0010" w:rsidRPr="002E294E" w:rsidRDefault="009F0010" w:rsidP="009F0010">
      <w:pPr>
        <w:spacing w:after="0" w:line="240" w:lineRule="auto"/>
        <w:ind w:left="709" w:right="709"/>
        <w:jc w:val="both"/>
        <w:rPr>
          <w:rFonts w:ascii="Verdana" w:hAnsi="Verdana" w:cs="Arial"/>
          <w:i/>
          <w:iCs/>
          <w:sz w:val="18"/>
          <w:szCs w:val="18"/>
        </w:rPr>
      </w:pPr>
    </w:p>
    <w:p w14:paraId="3921A62C" w14:textId="77777777" w:rsidR="009F0010" w:rsidRPr="002E294E" w:rsidRDefault="009F0010" w:rsidP="009F0010">
      <w:pPr>
        <w:spacing w:after="0" w:line="240" w:lineRule="auto"/>
        <w:ind w:left="709" w:right="709"/>
        <w:jc w:val="both"/>
        <w:rPr>
          <w:rFonts w:ascii="Verdana" w:eastAsia="Times New Roman" w:hAnsi="Verdana" w:cs="Arial"/>
          <w:bCs/>
          <w:sz w:val="20"/>
          <w:szCs w:val="20"/>
          <w:lang w:eastAsia="es-CO"/>
        </w:rPr>
      </w:pPr>
      <w:r w:rsidRPr="002E294E">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2E294E">
        <w:rPr>
          <w:rFonts w:ascii="Verdana" w:eastAsia="Times New Roman" w:hAnsi="Verdana" w:cs="Arial"/>
          <w:bCs/>
          <w:sz w:val="20"/>
          <w:szCs w:val="20"/>
          <w:vertAlign w:val="superscript"/>
          <w:lang w:eastAsia="es-CO"/>
        </w:rPr>
        <w:footnoteReference w:id="29"/>
      </w:r>
      <w:r w:rsidRPr="002E294E">
        <w:rPr>
          <w:rFonts w:ascii="Verdana" w:eastAsia="Times New Roman" w:hAnsi="Verdana" w:cs="Arial"/>
          <w:bCs/>
          <w:sz w:val="20"/>
          <w:szCs w:val="20"/>
          <w:lang w:eastAsia="es-CO"/>
        </w:rPr>
        <w:t xml:space="preserve">. </w:t>
      </w:r>
    </w:p>
    <w:p w14:paraId="5AF0BFF9" w14:textId="77777777" w:rsidR="009F0010" w:rsidRPr="002E294E" w:rsidRDefault="009F0010" w:rsidP="009F0010">
      <w:pPr>
        <w:spacing w:after="0" w:line="276" w:lineRule="auto"/>
        <w:ind w:left="709" w:right="709"/>
        <w:jc w:val="both"/>
        <w:rPr>
          <w:rFonts w:ascii="Verdana" w:eastAsia="Times New Roman" w:hAnsi="Verdana" w:cs="Arial"/>
          <w:bCs/>
          <w:lang w:eastAsia="es-CO"/>
        </w:rPr>
      </w:pPr>
    </w:p>
    <w:p w14:paraId="61019310" w14:textId="77777777" w:rsidR="009F0010" w:rsidRPr="002E294E"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2E294E">
        <w:rPr>
          <w:rStyle w:val="Refdenotaalpie"/>
          <w:rFonts w:ascii="Verdana" w:eastAsia="Times New Roman" w:hAnsi="Verdana" w:cs="Arial"/>
          <w:bCs/>
          <w:lang w:eastAsia="es-CO"/>
        </w:rPr>
        <w:footnoteReference w:id="30"/>
      </w:r>
      <w:r w:rsidRPr="002E294E">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en aquella causal. </w:t>
      </w:r>
    </w:p>
    <w:p w14:paraId="1473C453" w14:textId="77777777" w:rsidR="009F0010" w:rsidRPr="002E294E"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En ese orden, dado que no existe una modalidad o causal especifica, para la celebración de </w:t>
      </w:r>
      <w:r w:rsidRPr="002E294E">
        <w:rPr>
          <w:rFonts w:ascii="Verdana" w:eastAsia="Times New Roman" w:hAnsi="Verdana" w:cs="Arial"/>
          <w:bCs/>
          <w:i/>
          <w:iCs/>
          <w:lang w:eastAsia="es-CO"/>
        </w:rPr>
        <w:t>contratos</w:t>
      </w:r>
      <w:r w:rsidRPr="002E294E">
        <w:rPr>
          <w:rFonts w:ascii="Verdana" w:eastAsia="Times New Roman" w:hAnsi="Verdana" w:cs="Arial"/>
          <w:bCs/>
          <w:lang w:eastAsia="es-CO"/>
        </w:rPr>
        <w:t xml:space="preserve"> que tengan por objeto el desarrollo de actividades relacionadas con el servicio público bomberil, las Entidades Estatales sujetas al E</w:t>
      </w:r>
      <w:r>
        <w:rPr>
          <w:rFonts w:ascii="Verdana" w:eastAsia="Times New Roman" w:hAnsi="Verdana" w:cs="Arial"/>
          <w:bCs/>
          <w:lang w:eastAsia="es-CO"/>
        </w:rPr>
        <w:t xml:space="preserve">statuto </w:t>
      </w:r>
      <w:r w:rsidRPr="002E294E">
        <w:rPr>
          <w:rFonts w:ascii="Verdana" w:eastAsia="Times New Roman" w:hAnsi="Verdana" w:cs="Arial"/>
          <w:bCs/>
          <w:lang w:eastAsia="es-CO"/>
        </w:rPr>
        <w:t>G</w:t>
      </w:r>
      <w:r>
        <w:rPr>
          <w:rFonts w:ascii="Verdana" w:eastAsia="Times New Roman" w:hAnsi="Verdana" w:cs="Arial"/>
          <w:bCs/>
          <w:lang w:eastAsia="es-CO"/>
        </w:rPr>
        <w:t xml:space="preserve">eneral de </w:t>
      </w:r>
      <w:r w:rsidRPr="002E294E">
        <w:rPr>
          <w:rFonts w:ascii="Verdana" w:eastAsia="Times New Roman" w:hAnsi="Verdana" w:cs="Arial"/>
          <w:bCs/>
          <w:lang w:eastAsia="es-CO"/>
        </w:rPr>
        <w:t>C</w:t>
      </w:r>
      <w:r>
        <w:rPr>
          <w:rFonts w:ascii="Verdana" w:eastAsia="Times New Roman" w:hAnsi="Verdana" w:cs="Arial"/>
          <w:bCs/>
          <w:lang w:eastAsia="es-CO"/>
        </w:rPr>
        <w:t xml:space="preserve">ontratación de la </w:t>
      </w:r>
      <w:r w:rsidRPr="002E294E">
        <w:rPr>
          <w:rFonts w:ascii="Verdana" w:eastAsia="Times New Roman" w:hAnsi="Verdana" w:cs="Arial"/>
          <w:bCs/>
          <w:lang w:eastAsia="es-CO"/>
        </w:rPr>
        <w:t>A</w:t>
      </w:r>
      <w:r>
        <w:rPr>
          <w:rFonts w:ascii="Verdana" w:eastAsia="Times New Roman" w:hAnsi="Verdana" w:cs="Arial"/>
          <w:bCs/>
          <w:lang w:eastAsia="es-CO"/>
        </w:rPr>
        <w:t xml:space="preserve">dministración </w:t>
      </w:r>
      <w:r w:rsidRPr="002E294E">
        <w:rPr>
          <w:rFonts w:ascii="Verdana" w:eastAsia="Times New Roman" w:hAnsi="Verdana" w:cs="Arial"/>
          <w:bCs/>
          <w:lang w:eastAsia="es-CO"/>
        </w:rPr>
        <w:t>P</w:t>
      </w:r>
      <w:r>
        <w:rPr>
          <w:rFonts w:ascii="Verdana" w:eastAsia="Times New Roman" w:hAnsi="Verdana" w:cs="Arial"/>
          <w:bCs/>
          <w:lang w:eastAsia="es-CO"/>
        </w:rPr>
        <w:t>ública</w:t>
      </w:r>
      <w:r w:rsidRPr="002E294E">
        <w:rPr>
          <w:rFonts w:ascii="Verdana" w:eastAsia="Times New Roman" w:hAnsi="Verdana" w:cs="Arial"/>
          <w:bCs/>
          <w:lang w:eastAsia="es-CO"/>
        </w:rPr>
        <w:t xml:space="preserve"> deben acudir a las modalidades de selección previstas en el artículo 2 de la Ley 1150 de 2007, –licitación pública, selección abreviada, concurso de méritos, mínima </w:t>
      </w:r>
      <w:r w:rsidRPr="002E294E">
        <w:rPr>
          <w:rFonts w:ascii="Verdana" w:eastAsia="Times New Roman" w:hAnsi="Verdana" w:cs="Arial"/>
          <w:bCs/>
          <w:lang w:eastAsia="es-CO"/>
        </w:rPr>
        <w:lastRenderedPageBreak/>
        <w:t xml:space="preserve">cuantía o contratación directa–, siguiendo las reglas y causales que dicha disposición establece. </w:t>
      </w:r>
    </w:p>
    <w:p w14:paraId="383F7321" w14:textId="77777777" w:rsidR="009F0010" w:rsidRPr="002E294E"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Sin embargo, en atención a la naturaleza jurídica de los </w:t>
      </w:r>
      <w:r w:rsidRPr="002E294E">
        <w:rPr>
          <w:rFonts w:ascii="Verdana" w:eastAsia="Times New Roman" w:hAnsi="Verdana" w:cs="Arial"/>
          <w:bCs/>
          <w:i/>
          <w:iCs/>
          <w:lang w:eastAsia="es-CO"/>
        </w:rPr>
        <w:t>Cuerpos de Bomberos Voluntarios</w:t>
      </w:r>
      <w:r w:rsidRPr="002E294E">
        <w:rPr>
          <w:rFonts w:ascii="Verdana" w:eastAsia="Times New Roman" w:hAnsi="Verdana" w:cs="Arial"/>
          <w:bCs/>
          <w:lang w:eastAsia="es-CO"/>
        </w:rPr>
        <w:t>–entidades sin ánimo de lucro–, al interés general asociado a la prestación del servicio de gestión integral del riesgo de incendio y a la gratuidad que la ley impone respecto de algunas de las actividades desarrolladas por los bomberos</w:t>
      </w:r>
      <w:r w:rsidRPr="002E294E">
        <w:rPr>
          <w:rStyle w:val="Refdenotaalpie"/>
          <w:rFonts w:ascii="Verdana" w:eastAsia="Times New Roman" w:hAnsi="Verdana" w:cs="Arial"/>
          <w:bCs/>
          <w:lang w:eastAsia="es-CO"/>
        </w:rPr>
        <w:footnoteReference w:id="31"/>
      </w:r>
      <w:r w:rsidRPr="002E294E">
        <w:rPr>
          <w:rFonts w:ascii="Verdana" w:eastAsia="Times New Roman" w:hAnsi="Verdana" w:cs="Arial"/>
          <w:bCs/>
          <w:lang w:eastAsia="es-CO"/>
        </w:rPr>
        <w:t>, también es posible que, para efectos de cumplir con la obligación dispuesta en el inciso cuarto del artículo 3 de la Ley 1575 de 2012 se desarrollen convenios de asociación de acuerdo con lo establecido en el artículo 96 de Ley 489 de 1998, cuya selección reglamenta el artículo 5 del Decreto 092 de 2017.</w:t>
      </w:r>
    </w:p>
    <w:p w14:paraId="75307DB2" w14:textId="77777777" w:rsidR="009F0010" w:rsidRPr="002E294E" w:rsidRDefault="009F0010" w:rsidP="009F0010">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Pr>
          <w:rFonts w:ascii="Verdana" w:eastAsia="Times New Roman" w:hAnsi="Verdana" w:cs="Arial"/>
          <w:bCs/>
          <w:lang w:eastAsia="es-CO"/>
        </w:rPr>
        <w:tab/>
      </w:r>
      <w:r w:rsidRPr="002E294E">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2E294E">
        <w:rPr>
          <w:rFonts w:ascii="Verdana" w:eastAsia="Times New Roman" w:hAnsi="Verdana" w:cs="Arial"/>
          <w:i/>
          <w:lang w:eastAsia="es-CO"/>
        </w:rPr>
        <w:t>contratación directa</w:t>
      </w:r>
      <w:r w:rsidRPr="002E294E">
        <w:rPr>
          <w:rFonts w:ascii="Verdana" w:eastAsia="Times New Roman" w:hAnsi="Verdana" w:cs="Arial"/>
          <w:bCs/>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w:t>
      </w:r>
      <w:r>
        <w:rPr>
          <w:rFonts w:ascii="Verdana" w:eastAsia="Times New Roman" w:hAnsi="Verdana" w:cs="Arial"/>
          <w:bCs/>
          <w:lang w:eastAsia="es-CO"/>
        </w:rPr>
        <w:t xml:space="preserve">statuto </w:t>
      </w:r>
      <w:r w:rsidRPr="002E294E">
        <w:rPr>
          <w:rFonts w:ascii="Verdana" w:eastAsia="Times New Roman" w:hAnsi="Verdana" w:cs="Arial"/>
          <w:bCs/>
          <w:lang w:eastAsia="es-CO"/>
        </w:rPr>
        <w:t>G</w:t>
      </w:r>
      <w:r>
        <w:rPr>
          <w:rFonts w:ascii="Verdana" w:eastAsia="Times New Roman" w:hAnsi="Verdana" w:cs="Arial"/>
          <w:bCs/>
          <w:lang w:eastAsia="es-CO"/>
        </w:rPr>
        <w:t xml:space="preserve">eneral de </w:t>
      </w:r>
      <w:r w:rsidRPr="002E294E">
        <w:rPr>
          <w:rFonts w:ascii="Verdana" w:eastAsia="Times New Roman" w:hAnsi="Verdana" w:cs="Arial"/>
          <w:bCs/>
          <w:lang w:eastAsia="es-CO"/>
        </w:rPr>
        <w:t>C</w:t>
      </w:r>
      <w:r>
        <w:rPr>
          <w:rFonts w:ascii="Verdana" w:eastAsia="Times New Roman" w:hAnsi="Verdana" w:cs="Arial"/>
          <w:bCs/>
          <w:lang w:eastAsia="es-CO"/>
        </w:rPr>
        <w:t xml:space="preserve">ontratación de la </w:t>
      </w:r>
      <w:r w:rsidRPr="002E294E">
        <w:rPr>
          <w:rFonts w:ascii="Verdana" w:eastAsia="Times New Roman" w:hAnsi="Verdana" w:cs="Arial"/>
          <w:bCs/>
          <w:lang w:eastAsia="es-CO"/>
        </w:rPr>
        <w:t>A</w:t>
      </w:r>
      <w:r>
        <w:rPr>
          <w:rFonts w:ascii="Verdana" w:eastAsia="Times New Roman" w:hAnsi="Verdana" w:cs="Arial"/>
          <w:bCs/>
          <w:lang w:eastAsia="es-CO"/>
        </w:rPr>
        <w:t xml:space="preserve">dministración </w:t>
      </w:r>
      <w:r w:rsidRPr="002E294E">
        <w:rPr>
          <w:rFonts w:ascii="Verdana" w:eastAsia="Times New Roman" w:hAnsi="Verdana" w:cs="Arial"/>
          <w:bCs/>
          <w:lang w:eastAsia="es-CO"/>
        </w:rPr>
        <w:t>P</w:t>
      </w:r>
      <w:r>
        <w:rPr>
          <w:rFonts w:ascii="Verdana" w:eastAsia="Times New Roman" w:hAnsi="Verdana" w:cs="Arial"/>
          <w:bCs/>
          <w:lang w:eastAsia="es-CO"/>
        </w:rPr>
        <w:t>ública</w:t>
      </w:r>
      <w:r w:rsidRPr="002E294E">
        <w:rPr>
          <w:rFonts w:ascii="Verdana" w:eastAsia="Times New Roman" w:hAnsi="Verdana" w:cs="Arial"/>
          <w:bCs/>
          <w:lang w:eastAsia="es-CO"/>
        </w:rPr>
        <w:t xml:space="preserve">,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60530528" w14:textId="77777777" w:rsidR="009F0010" w:rsidRPr="002E294E"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2E294E">
        <w:rPr>
          <w:rFonts w:ascii="Verdana" w:eastAsia="Times New Roman" w:hAnsi="Verdana" w:cs="Arial"/>
          <w:bCs/>
          <w:i/>
          <w:iCs/>
          <w:lang w:eastAsia="es-CO"/>
        </w:rPr>
        <w:t>per se,</w:t>
      </w:r>
      <w:r w:rsidRPr="002E294E">
        <w:rPr>
          <w:rFonts w:ascii="Verdana" w:eastAsia="Times New Roman" w:hAnsi="Verdana" w:cs="Arial"/>
          <w:bCs/>
          <w:lang w:eastAsia="es-CO"/>
        </w:rPr>
        <w:t xml:space="preserve"> no implica que los contratos requeridos para su prestación </w:t>
      </w:r>
      <w:r w:rsidRPr="002E294E">
        <w:rPr>
          <w:rFonts w:ascii="Verdana" w:eastAsia="Times New Roman" w:hAnsi="Verdana" w:cs="Arial"/>
          <w:bCs/>
          <w:lang w:eastAsia="es-CO"/>
        </w:rPr>
        <w:lastRenderedPageBreak/>
        <w:t>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w:t>
      </w:r>
      <w:r>
        <w:rPr>
          <w:rFonts w:ascii="Verdana" w:eastAsia="Times New Roman" w:hAnsi="Verdana" w:cs="Arial"/>
          <w:bCs/>
          <w:lang w:eastAsia="es-CO"/>
        </w:rPr>
        <w:t xml:space="preserve"> del parágrafo 33</w:t>
      </w:r>
      <w:r w:rsidRPr="002E294E">
        <w:rPr>
          <w:rFonts w:ascii="Verdana" w:eastAsia="Times New Roman" w:hAnsi="Verdana" w:cs="Arial"/>
          <w:bCs/>
          <w:lang w:eastAsia="es-CO"/>
        </w:rPr>
        <w:t xml:space="preserve">.   </w:t>
      </w:r>
    </w:p>
    <w:p w14:paraId="6BF9B428" w14:textId="77777777" w:rsidR="009F0010" w:rsidRPr="002E294E" w:rsidRDefault="009F0010" w:rsidP="009F0010">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2E294E">
        <w:rPr>
          <w:rFonts w:ascii="Verdana" w:eastAsia="Times New Roman" w:hAnsi="Verdana" w:cs="Arial"/>
          <w:bCs/>
          <w:i/>
          <w:iCs/>
          <w:lang w:eastAsia="es-CO"/>
        </w:rPr>
        <w:t>atención de incidentes relacionados con incendios</w:t>
      </w:r>
      <w:r w:rsidRPr="002E294E">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2E294E">
        <w:rPr>
          <w:rFonts w:ascii="Verdana" w:eastAsia="Times New Roman" w:hAnsi="Verdana" w:cs="Arial"/>
          <w:bCs/>
          <w:i/>
          <w:iCs/>
          <w:lang w:eastAsia="es-CO"/>
        </w:rPr>
        <w:t>Preparación</w:t>
      </w:r>
      <w:r w:rsidRPr="002E294E">
        <w:rPr>
          <w:rFonts w:ascii="Verdana" w:eastAsia="Times New Roman" w:hAnsi="Verdana" w:cs="Arial"/>
          <w:bCs/>
          <w:lang w:eastAsia="es-CO"/>
        </w:rPr>
        <w:t xml:space="preserve"> y </w:t>
      </w:r>
      <w:r w:rsidRPr="002E294E">
        <w:rPr>
          <w:rFonts w:ascii="Verdana" w:eastAsia="Times New Roman" w:hAnsi="Verdana" w:cs="Arial"/>
          <w:bCs/>
          <w:i/>
          <w:iCs/>
          <w:lang w:eastAsia="es-CO"/>
        </w:rPr>
        <w:t xml:space="preserve">Respuesta, </w:t>
      </w:r>
      <w:r w:rsidRPr="002E294E">
        <w:rPr>
          <w:rFonts w:ascii="Verdana" w:eastAsia="Times New Roman" w:hAnsi="Verdana" w:cs="Arial"/>
          <w:bCs/>
          <w:lang w:eastAsia="es-CO"/>
        </w:rPr>
        <w:t>reguladas por la Ley 1523 de 2012 en el marco del Sistema Nacional de Gestión del Riesgo de Desastres y la Estrategia Nacional para la Respuesta a Emergencias</w:t>
      </w:r>
      <w:r w:rsidRPr="002E294E">
        <w:rPr>
          <w:rStyle w:val="Refdenotaalpie"/>
          <w:rFonts w:ascii="Verdana" w:eastAsia="Times New Roman" w:hAnsi="Verdana" w:cs="Arial"/>
          <w:bCs/>
          <w:lang w:eastAsia="es-CO"/>
        </w:rPr>
        <w:footnoteReference w:id="32"/>
      </w:r>
      <w:r w:rsidRPr="002E294E">
        <w:rPr>
          <w:rFonts w:ascii="Verdana" w:eastAsia="Times New Roman" w:hAnsi="Verdana" w:cs="Arial"/>
          <w:bCs/>
          <w:lang w:eastAsia="es-CO"/>
        </w:rPr>
        <w:t xml:space="preserve">. </w:t>
      </w:r>
    </w:p>
    <w:p w14:paraId="6581608F" w14:textId="77777777" w:rsidR="009F0010" w:rsidRDefault="009F0010" w:rsidP="009F0010">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Sin perjuicio de lo anterior, es importante considerar que, cuando la necesidad de celebrar el contrato no se presenta en función de la necesidad de atender una emergencia o desastre especifico efectivamente declarado, no </w:t>
      </w:r>
      <w:r w:rsidRPr="002E294E">
        <w:rPr>
          <w:rFonts w:ascii="Verdana" w:eastAsia="Times New Roman" w:hAnsi="Verdana" w:cs="Arial"/>
          <w:bCs/>
          <w:lang w:eastAsia="es-CO"/>
        </w:rPr>
        <w:lastRenderedPageBreak/>
        <w:t xml:space="preserve">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 en el artículo 2 de la Ley  1575 de 2012 al amparo de la excepción establecida relacionada con los contratos requeridos para la atención de emergencias y desastres, establecida en el inciso segundo del artículo 33 de la Ley 996 de 2005.    </w:t>
      </w:r>
    </w:p>
    <w:p w14:paraId="2F623BDF" w14:textId="77777777" w:rsidR="009F0010" w:rsidRPr="000C5C48" w:rsidRDefault="009F0010" w:rsidP="009F0010">
      <w:pPr>
        <w:tabs>
          <w:tab w:val="left" w:pos="426"/>
        </w:tabs>
        <w:spacing w:after="0" w:line="276" w:lineRule="auto"/>
        <w:ind w:firstLine="709"/>
        <w:jc w:val="both"/>
        <w:rPr>
          <w:rFonts w:ascii="Verdana" w:eastAsia="Times New Roman" w:hAnsi="Verdana" w:cs="Arial"/>
          <w:bCs/>
          <w:lang w:eastAsia="es-CO"/>
        </w:rPr>
      </w:pPr>
    </w:p>
    <w:p w14:paraId="669F9F65" w14:textId="77777777" w:rsidR="009F0010" w:rsidRPr="00E16931" w:rsidRDefault="009F0010" w:rsidP="009F0010">
      <w:pPr>
        <w:spacing w:after="120" w:line="276" w:lineRule="auto"/>
        <w:jc w:val="both"/>
        <w:rPr>
          <w:rFonts w:ascii="Verdana" w:eastAsia="Times New Roman" w:hAnsi="Verdana" w:cs="Arial"/>
          <w:bCs/>
          <w:lang w:val="es-MX" w:eastAsia="x-none"/>
        </w:rPr>
      </w:pPr>
      <w:r>
        <w:rPr>
          <w:rFonts w:ascii="Verdana" w:eastAsia="Times New Roman" w:hAnsi="Verdana" w:cs="Arial"/>
          <w:bCs/>
          <w:lang w:val="es-MX" w:eastAsia="x-none"/>
        </w:rPr>
        <w:t>i</w:t>
      </w:r>
      <w:r w:rsidRPr="00E16931">
        <w:rPr>
          <w:rFonts w:ascii="Verdana" w:eastAsia="Times New Roman" w:hAnsi="Verdana" w:cs="Arial"/>
          <w:bCs/>
          <w:lang w:val="es-MX" w:eastAsia="x-none"/>
        </w:rPr>
        <w:t xml:space="preserve">v. Ahora bien, para efectos de dar respuesta </w:t>
      </w:r>
      <w:r>
        <w:rPr>
          <w:rFonts w:ascii="Verdana" w:eastAsia="Times New Roman" w:hAnsi="Verdana" w:cs="Arial"/>
          <w:bCs/>
          <w:lang w:val="es-MX" w:eastAsia="x-none"/>
        </w:rPr>
        <w:t>a la consulta</w:t>
      </w:r>
      <w:r w:rsidRPr="00E16931">
        <w:rPr>
          <w:rFonts w:ascii="Verdana" w:eastAsia="Times New Roman" w:hAnsi="Verdana" w:cs="Arial"/>
          <w:bCs/>
          <w:lang w:val="es-MX" w:eastAsia="x-none"/>
        </w:rPr>
        <w:t xml:space="preserve"> plantead</w:t>
      </w:r>
      <w:r>
        <w:rPr>
          <w:rFonts w:ascii="Verdana" w:eastAsia="Times New Roman" w:hAnsi="Verdana" w:cs="Arial"/>
          <w:bCs/>
          <w:lang w:val="es-MX" w:eastAsia="x-none"/>
        </w:rPr>
        <w:t>a</w:t>
      </w:r>
      <w:r w:rsidRPr="00E16931">
        <w:rPr>
          <w:rFonts w:ascii="Verdana" w:eastAsia="Times New Roman" w:hAnsi="Verdana" w:cs="Arial"/>
          <w:bCs/>
          <w:lang w:val="es-MX" w:eastAsia="x-none"/>
        </w:rPr>
        <w:t xml:space="preserve">, es pertinente precisar el momento en el cual se realiza el perfeccionamiento del contrato en el SECOP II. </w:t>
      </w:r>
      <w:r>
        <w:rPr>
          <w:rFonts w:ascii="Verdana" w:eastAsia="Times New Roman" w:hAnsi="Verdana" w:cs="Arial"/>
          <w:bCs/>
          <w:lang w:val="es-MX" w:eastAsia="x-none"/>
        </w:rPr>
        <w:t>En primer lugar</w:t>
      </w:r>
      <w:r w:rsidRPr="00E16931">
        <w:rPr>
          <w:rFonts w:ascii="Verdana" w:eastAsia="Times New Roman" w:hAnsi="Verdana" w:cs="Arial"/>
          <w:bCs/>
          <w:lang w:val="es-MX" w:eastAsia="x-none"/>
        </w:rPr>
        <w:t xml:space="preserve">, es importante destacar que </w:t>
      </w:r>
      <w:r w:rsidRPr="00E16931">
        <w:rPr>
          <w:rFonts w:ascii="Verdana" w:eastAsia="Calibri" w:hAnsi="Verdana" w:cs="Arial"/>
          <w:color w:val="000000" w:themeColor="text1"/>
        </w:rPr>
        <w:t xml:space="preserve">el SECOP II es una plataforma transaccional, que permite gestionar en línea todos los procedimientos de contratación, </w:t>
      </w:r>
      <w:r w:rsidRPr="00E16931">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w:t>
      </w:r>
      <w:r>
        <w:rPr>
          <w:rFonts w:ascii="Verdana" w:eastAsia="Calibri" w:hAnsi="Verdana" w:cs="Arial"/>
          <w:lang w:val="es-ES"/>
        </w:rPr>
        <w:t>Por su parte, l</w:t>
      </w:r>
      <w:r w:rsidRPr="00E16931">
        <w:rPr>
          <w:rFonts w:ascii="Verdana" w:eastAsia="Calibri" w:hAnsi="Verdana" w:cs="Arial"/>
          <w:lang w:val="es-ES"/>
        </w:rPr>
        <w:t>os proveedores pueden hacer comentarios a los documentos del procedimiento, presentar ofertas y seguir el procedimiento de selección en línea.</w:t>
      </w:r>
    </w:p>
    <w:p w14:paraId="14B2C72D"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w:t>
      </w:r>
      <w:r>
        <w:rPr>
          <w:rFonts w:ascii="Verdana" w:eastAsia="Calibri" w:hAnsi="Verdana" w:cs="Arial"/>
          <w:lang w:val="es-ES"/>
        </w:rPr>
        <w:t>e desarrolla de manera</w:t>
      </w:r>
      <w:r w:rsidRPr="00E16931">
        <w:rPr>
          <w:rFonts w:ascii="Verdana" w:eastAsia="Calibri" w:hAnsi="Verdana" w:cs="Arial"/>
          <w:lang w:val="es-ES"/>
        </w:rPr>
        <w:t xml:space="preserve"> físic</w:t>
      </w:r>
      <w:r>
        <w:rPr>
          <w:rFonts w:ascii="Verdana" w:eastAsia="Calibri" w:hAnsi="Verdana" w:cs="Arial"/>
          <w:lang w:val="es-ES"/>
        </w:rPr>
        <w:t>a</w:t>
      </w:r>
      <w:r w:rsidRPr="00E16931">
        <w:rPr>
          <w:rFonts w:ascii="Verdana" w:eastAsia="Calibri" w:hAnsi="Verdana" w:cs="Arial"/>
          <w:lang w:val="es-ES"/>
        </w:rPr>
        <w:t>,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298FC8E3"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Debido a que la plataforma es totalmente transaccional, el trámite se realiza en línea y la publicidad de las actuaciones es concomitante, según </w:t>
      </w:r>
      <w:r w:rsidRPr="00E16931">
        <w:rPr>
          <w:rFonts w:ascii="Verdana" w:eastAsia="Calibri" w:hAnsi="Verdana" w:cs="Arial"/>
          <w:lang w:val="es-ES"/>
        </w:rPr>
        <w:lastRenderedPageBreak/>
        <w:t xml:space="preserve">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0C1A8782"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70CD2DF0"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El documento “Procesos de Contratación: Gestión Contractual en el SECOP II” expedido por esta entidad, detallas los pasos para aprobación del contrato en el SECOP II</w:t>
      </w:r>
      <w:r w:rsidRPr="00F31AC8">
        <w:rPr>
          <w:rFonts w:ascii="Verdana" w:hAnsi="Verdana"/>
          <w:vertAlign w:val="superscript"/>
          <w:lang w:val="es-ES"/>
        </w:rPr>
        <w:footnoteReference w:id="33"/>
      </w:r>
      <w:r w:rsidRPr="00E16931">
        <w:rPr>
          <w:rFonts w:ascii="Verdana" w:eastAsia="Calibri" w:hAnsi="Verdana" w:cs="Arial"/>
          <w:lang w:val="es-ES"/>
        </w:rPr>
        <w:t xml:space="preserve">. Específicamente, el literal III establece el procedimiento a seguir para aprobar o rechazar el contrato, según el cual el proveedor, </w:t>
      </w:r>
      <w:r w:rsidRPr="00E16931">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E16931">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0A68345F"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lastRenderedPageBreak/>
        <w:t xml:space="preserve"> </w:t>
      </w:r>
      <w:r>
        <w:rPr>
          <w:rFonts w:ascii="Verdana" w:eastAsia="Calibri" w:hAnsi="Verdana" w:cs="Arial"/>
          <w:lang w:val="es-ES"/>
        </w:rPr>
        <w:t>Ahora bien, c</w:t>
      </w:r>
      <w:r w:rsidRPr="00E16931">
        <w:rPr>
          <w:rFonts w:ascii="Verdana" w:eastAsia="Calibri" w:hAnsi="Verdana" w:cs="Arial"/>
          <w:lang w:val="es-ES"/>
        </w:rPr>
        <w:t>onforme lo señala “Guía SECOP II – Gestión Contractual Para Entidades Estatales</w:t>
      </w:r>
      <w:r w:rsidRPr="00E16931">
        <w:rPr>
          <w:rStyle w:val="Refdenotaalpie"/>
          <w:rFonts w:ascii="Verdana" w:eastAsia="Calibri" w:hAnsi="Verdana" w:cs="Arial"/>
          <w:lang w:val="es-ES"/>
        </w:rPr>
        <w:footnoteReference w:id="34"/>
      </w:r>
      <w:r w:rsidRPr="00E16931">
        <w:rPr>
          <w:rFonts w:ascii="Verdana" w:eastAsia="Calibri" w:hAnsi="Verdana" w:cs="Arial"/>
          <w:lang w:val="es-ES"/>
        </w:rPr>
        <w:t xml:space="preserve">” </w:t>
      </w:r>
      <w:r w:rsidRPr="00E16931">
        <w:rPr>
          <w:rFonts w:ascii="Verdana" w:eastAsia="Calibri" w:hAnsi="Verdana" w:cs="Arial"/>
        </w:rPr>
        <w:t xml:space="preserve">es </w:t>
      </w:r>
      <w:r>
        <w:rPr>
          <w:rFonts w:ascii="Verdana" w:eastAsia="Calibri" w:hAnsi="Verdana" w:cs="Arial"/>
        </w:rPr>
        <w:t>imprescindible</w:t>
      </w:r>
      <w:r w:rsidRPr="00E16931">
        <w:rPr>
          <w:rFonts w:ascii="Verdana" w:eastAsia="Calibri" w:hAnsi="Verdana" w:cs="Arial"/>
        </w:rPr>
        <w:t xml:space="preserve"> que previamente el usuario administrador de la Entidad Estatal haya configurado flujos de aprobación</w:t>
      </w:r>
      <w:r w:rsidRPr="00E16931">
        <w:rPr>
          <w:rStyle w:val="Refdenotaalpie"/>
          <w:rFonts w:ascii="Verdana" w:eastAsia="Calibri" w:hAnsi="Verdana" w:cs="Arial"/>
        </w:rPr>
        <w:footnoteReference w:id="35"/>
      </w:r>
      <w:r w:rsidRPr="00E16931">
        <w:rPr>
          <w:rFonts w:ascii="Verdana" w:eastAsia="Calibri" w:hAnsi="Verdana" w:cs="Arial"/>
        </w:rPr>
        <w:t xml:space="preserve"> en este hito del proceso</w:t>
      </w:r>
      <w:r>
        <w:rPr>
          <w:rFonts w:ascii="Verdana" w:eastAsia="Calibri" w:hAnsi="Verdana" w:cs="Arial"/>
        </w:rPr>
        <w:t>,</w:t>
      </w:r>
      <w:r w:rsidRPr="00E16931">
        <w:rPr>
          <w:rFonts w:ascii="Verdana" w:eastAsia="Calibri" w:hAnsi="Verdana" w:cs="Arial"/>
        </w:rPr>
        <w:t xml:space="preserve"> con el fin de que el contrato electrónico sea enviado al ordenador del gasto representante legal de la entidad para su aprobación final.</w:t>
      </w:r>
      <w:r w:rsidRPr="00E16931">
        <w:rPr>
          <w:rFonts w:ascii="Verdana" w:eastAsia="Calibri" w:hAnsi="Verdana" w:cs="Arial"/>
          <w:lang w:val="es-ES"/>
        </w:rPr>
        <w:t xml:space="preserve"> </w:t>
      </w:r>
      <w:r w:rsidRPr="00E16931">
        <w:rPr>
          <w:rFonts w:ascii="Verdana" w:eastAsia="Calibri" w:hAnsi="Verdana" w:cs="Arial"/>
        </w:rPr>
        <w:t>Una vez el ordenador del gasto de la entidad realice la aprobación el estado del contrato cambia a “Firmado” y quedará público para consulta de cualquier interesado.</w:t>
      </w:r>
    </w:p>
    <w:p w14:paraId="5AADCE71"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58D5AC27" w14:textId="77777777" w:rsidR="009F0010" w:rsidRPr="00E16931" w:rsidRDefault="009F0010" w:rsidP="009F0010">
      <w:pPr>
        <w:spacing w:after="120" w:line="276" w:lineRule="auto"/>
        <w:ind w:firstLine="709"/>
        <w:jc w:val="both"/>
        <w:rPr>
          <w:rFonts w:ascii="Verdana" w:eastAsia="Calibri" w:hAnsi="Verdana" w:cs="Arial"/>
          <w:lang w:val="es-ES"/>
        </w:rPr>
      </w:pPr>
      <w:r w:rsidRPr="00E16931">
        <w:rPr>
          <w:rFonts w:ascii="Verdana" w:eastAsia="Calibri" w:hAnsi="Verdana" w:cs="Arial"/>
          <w:lang w:val="es-ES"/>
        </w:rPr>
        <w:t>Así las cosas, cuando el proceso de contratación se adelanta por el SECOP II</w:t>
      </w:r>
      <w:r>
        <w:rPr>
          <w:rFonts w:ascii="Verdana" w:eastAsia="Calibri" w:hAnsi="Verdana" w:cs="Arial"/>
          <w:lang w:val="es-ES"/>
        </w:rPr>
        <w:t>,</w:t>
      </w:r>
      <w:r w:rsidRPr="00E16931">
        <w:rPr>
          <w:rFonts w:ascii="Verdana" w:eastAsia="Calibri" w:hAnsi="Verdana" w:cs="Arial"/>
          <w:lang w:val="es-ES"/>
        </w:rPr>
        <w:t xml:space="preserve">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 </w:t>
      </w:r>
    </w:p>
    <w:p w14:paraId="183A2B9D" w14:textId="77777777" w:rsidR="009F0010" w:rsidRPr="00E16931" w:rsidRDefault="009F0010" w:rsidP="009F001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w:t>
      </w:r>
      <w:r w:rsidRPr="00E16931">
        <w:rPr>
          <w:rFonts w:ascii="Verdana" w:eastAsia="Calibri" w:hAnsi="Verdana" w:cs="Arial"/>
          <w:lang w:val="es-ES"/>
        </w:rPr>
        <w:lastRenderedPageBreak/>
        <w:t>registra el estado de “firmado”, dejando constancia de la concurrencia de voluntades y del cumplimiento del requisito de perfeccionamiento.</w:t>
      </w:r>
    </w:p>
    <w:p w14:paraId="0AA7D88A" w14:textId="77777777" w:rsidR="009F0010" w:rsidRPr="00E16931" w:rsidRDefault="009F0010" w:rsidP="009F0010">
      <w:pPr>
        <w:spacing w:after="120" w:line="276" w:lineRule="auto"/>
        <w:ind w:firstLine="567"/>
        <w:jc w:val="both"/>
        <w:rPr>
          <w:rFonts w:ascii="Verdana" w:eastAsia="Calibri" w:hAnsi="Verdana" w:cs="Arial"/>
        </w:rPr>
      </w:pPr>
      <w:r w:rsidRPr="00E16931">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642AE9F1" w14:textId="77777777" w:rsidR="009F0010" w:rsidRPr="00E16931" w:rsidRDefault="009F0010" w:rsidP="009F0010">
      <w:pPr>
        <w:spacing w:after="120" w:line="276" w:lineRule="auto"/>
        <w:ind w:firstLine="567"/>
        <w:jc w:val="both"/>
        <w:rPr>
          <w:rFonts w:ascii="Verdana" w:eastAsia="Calibri" w:hAnsi="Verdana" w:cs="Arial"/>
        </w:rPr>
      </w:pPr>
      <w:r w:rsidRPr="00E16931">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5D5DAB26" w14:textId="77777777" w:rsidR="009F0010" w:rsidRDefault="009F0010" w:rsidP="009F0010">
      <w:pPr>
        <w:spacing w:after="0" w:line="276" w:lineRule="auto"/>
        <w:ind w:firstLine="567"/>
        <w:jc w:val="both"/>
        <w:rPr>
          <w:rFonts w:ascii="Verdana" w:eastAsia="Times New Roman" w:hAnsi="Verdana" w:cs="Arial"/>
          <w:bCs/>
          <w:lang w:val="es-ES" w:eastAsia="es-CO"/>
        </w:rPr>
      </w:pPr>
      <w:r w:rsidRPr="00E16931">
        <w:rPr>
          <w:rFonts w:ascii="Verdana" w:eastAsia="Calibri" w:hAnsi="Verdana" w:cs="Arial"/>
          <w:lang w:val="es-ES"/>
        </w:rPr>
        <w:t xml:space="preserve">En consecuencia, tratándose de procesos gestionados en SECOP II, las actuaciones necesarias para que el contrato adquiera el estado de “firmado” deben realizarse antes de la entrada en vigencia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Pr="00F31AC8">
        <w:rPr>
          <w:rFonts w:ascii="Verdana" w:eastAsia="Calibri" w:hAnsi="Verdana" w:cs="Arial"/>
          <w:i/>
          <w:iCs/>
          <w:lang w:val="es-ES"/>
        </w:rPr>
        <w:t>ibidem</w:t>
      </w:r>
      <w:r w:rsidRPr="00E16931">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w:t>
      </w:r>
      <w:r>
        <w:rPr>
          <w:rFonts w:ascii="Verdana" w:eastAsia="Calibri" w:hAnsi="Verdana" w:cs="Arial"/>
          <w:lang w:val="es-ES"/>
        </w:rPr>
        <w:t xml:space="preserve"> o que se hayan aprobado los demás flujos de aprobación configurados por la Entidad Estatal, previos al del ordenador del gasto</w:t>
      </w:r>
      <w:r w:rsidRPr="00E16931">
        <w:rPr>
          <w:rFonts w:ascii="Verdana" w:eastAsia="Calibri" w:hAnsi="Verdana" w:cs="Arial"/>
          <w:lang w:val="es-ES"/>
        </w:rPr>
        <w:t>.</w:t>
      </w:r>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En este último evento, la entidad deberá revisar la validez del contrato y analizar una posible configuración de nulidad a la luz de lo dispuesto en el artículo 44 de la Ley 80 de 1993. </w:t>
      </w:r>
    </w:p>
    <w:p w14:paraId="6D7BC085" w14:textId="77777777" w:rsidR="009F0010" w:rsidRDefault="009F0010" w:rsidP="009F0010">
      <w:pPr>
        <w:spacing w:after="0" w:line="276" w:lineRule="auto"/>
        <w:jc w:val="both"/>
        <w:rPr>
          <w:rFonts w:ascii="Verdana" w:eastAsia="Times New Roman" w:hAnsi="Verdana" w:cs="Arial"/>
          <w:bCs/>
          <w:lang w:val="es-ES" w:eastAsia="es-CO"/>
        </w:rPr>
      </w:pPr>
    </w:p>
    <w:p w14:paraId="3F95A7DA" w14:textId="77777777" w:rsidR="009F0010" w:rsidRPr="00E16931" w:rsidRDefault="009F0010" w:rsidP="009F0010">
      <w:pPr>
        <w:spacing w:after="120" w:line="276" w:lineRule="auto"/>
        <w:jc w:val="both"/>
        <w:rPr>
          <w:rFonts w:ascii="Verdana" w:eastAsia="Calibri" w:hAnsi="Verdana" w:cs="Arial"/>
        </w:rPr>
      </w:pPr>
      <w:r>
        <w:rPr>
          <w:rFonts w:ascii="Verdana" w:eastAsia="Times New Roman" w:hAnsi="Verdana" w:cs="Arial"/>
          <w:bCs/>
          <w:lang w:val="es-ES" w:eastAsia="es-CO"/>
        </w:rPr>
        <w:t xml:space="preserve">v. </w:t>
      </w:r>
      <w:r w:rsidRPr="00E16931">
        <w:rPr>
          <w:rFonts w:ascii="Verdana" w:eastAsia="Times New Roman" w:hAnsi="Verdana" w:cs="Arial"/>
          <w:bCs/>
          <w:lang w:val="es-ES" w:eastAsia="es-CO"/>
        </w:rPr>
        <w:t xml:space="preserve">Sobre el régimen de nulidad, la norma en cita </w:t>
      </w:r>
      <w:r w:rsidRPr="00E16931">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E16931">
        <w:rPr>
          <w:rFonts w:ascii="Verdana" w:eastAsia="Arial" w:hAnsi="Verdana" w:cs="Arial"/>
          <w:vertAlign w:val="superscript"/>
          <w:lang w:val="es-ES"/>
        </w:rPr>
        <w:footnoteReference w:id="36"/>
      </w:r>
      <w:r w:rsidRPr="00E16931">
        <w:rPr>
          <w:rFonts w:ascii="Verdana" w:eastAsia="Calibri" w:hAnsi="Verdana" w:cs="Arial"/>
        </w:rPr>
        <w:t>.</w:t>
      </w:r>
    </w:p>
    <w:p w14:paraId="6B5521A5" w14:textId="77777777" w:rsidR="009F0010" w:rsidRDefault="009F0010" w:rsidP="009F0010">
      <w:pPr>
        <w:spacing w:after="0" w:line="276" w:lineRule="auto"/>
        <w:ind w:firstLine="709"/>
        <w:jc w:val="both"/>
        <w:rPr>
          <w:rFonts w:ascii="Verdana" w:eastAsia="Calibri" w:hAnsi="Verdana" w:cs="Times New Roman"/>
          <w:bCs/>
        </w:rPr>
      </w:pPr>
      <w:r>
        <w:rPr>
          <w:rFonts w:ascii="Verdana" w:eastAsia="Calibri" w:hAnsi="Verdana" w:cs="Times New Roman"/>
          <w:bCs/>
        </w:rPr>
        <w:t>En concordancia con lo anterior, el artículo 45 de la Ley 80 de 1993 prescribe:</w:t>
      </w:r>
    </w:p>
    <w:p w14:paraId="3BF8B3C6" w14:textId="77777777" w:rsidR="009F0010" w:rsidRPr="00A72235" w:rsidRDefault="009F0010" w:rsidP="009F0010">
      <w:pPr>
        <w:spacing w:after="0" w:line="276" w:lineRule="auto"/>
        <w:ind w:firstLine="709"/>
        <w:jc w:val="both"/>
        <w:rPr>
          <w:rFonts w:ascii="Verdana" w:eastAsia="Calibri" w:hAnsi="Verdana" w:cs="Times New Roman"/>
          <w:bCs/>
        </w:rPr>
      </w:pPr>
    </w:p>
    <w:p w14:paraId="4F157E15" w14:textId="77777777" w:rsidR="009F0010" w:rsidRDefault="009F0010" w:rsidP="009F001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0692CC97" w14:textId="77777777" w:rsidR="009F0010" w:rsidRPr="002E1F8D" w:rsidRDefault="009F0010" w:rsidP="009F0010">
      <w:pPr>
        <w:spacing w:after="0" w:line="240" w:lineRule="auto"/>
        <w:ind w:left="709" w:right="709"/>
        <w:jc w:val="both"/>
        <w:rPr>
          <w:rFonts w:ascii="Verdana" w:eastAsia="Calibri" w:hAnsi="Verdana" w:cs="Times New Roman"/>
          <w:sz w:val="20"/>
          <w:szCs w:val="20"/>
        </w:rPr>
      </w:pPr>
    </w:p>
    <w:p w14:paraId="48BF71FB" w14:textId="77777777" w:rsidR="009F0010" w:rsidRPr="002E1F8D" w:rsidRDefault="009F0010" w:rsidP="009F001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w:t>
      </w:r>
      <w:r>
        <w:rPr>
          <w:rFonts w:ascii="Verdana" w:eastAsia="Calibri" w:hAnsi="Verdana" w:cs="Times New Roman"/>
          <w:sz w:val="20"/>
          <w:szCs w:val="20"/>
        </w:rPr>
        <w:t xml:space="preserve"> </w:t>
      </w:r>
      <w:r w:rsidRPr="6746F96C">
        <w:rPr>
          <w:rFonts w:ascii="Verdana" w:eastAsia="Calibri" w:hAnsi="Verdana" w:cs="Times New Roman"/>
          <w:sz w:val="20"/>
          <w:szCs w:val="20"/>
        </w:rPr>
        <w:t>debidamente motivado y ordenará su liquidación en el estado en que se encuentre”. </w:t>
      </w:r>
    </w:p>
    <w:p w14:paraId="73847BB4" w14:textId="77777777" w:rsidR="009F0010" w:rsidRDefault="009F0010" w:rsidP="009F0010">
      <w:pPr>
        <w:spacing w:after="0" w:line="276" w:lineRule="auto"/>
        <w:jc w:val="both"/>
        <w:rPr>
          <w:rFonts w:ascii="Verdana" w:eastAsia="Calibri" w:hAnsi="Verdana" w:cs="Times New Roman"/>
          <w:bCs/>
        </w:rPr>
      </w:pPr>
    </w:p>
    <w:p w14:paraId="3C8A9A35" w14:textId="77777777" w:rsidR="009F0010" w:rsidRDefault="009F0010" w:rsidP="009F0010">
      <w:pPr>
        <w:spacing w:after="120" w:line="276" w:lineRule="auto"/>
        <w:jc w:val="both"/>
        <w:rPr>
          <w:rFonts w:ascii="Verdana" w:eastAsia="Calibri" w:hAnsi="Verdana" w:cs="Arial"/>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w:t>
      </w:r>
      <w:r w:rsidRPr="008D2665">
        <w:rPr>
          <w:rFonts w:ascii="Verdana" w:eastAsia="Calibri" w:hAnsi="Verdana" w:cs="Arial"/>
        </w:rPr>
        <w:lastRenderedPageBreak/>
        <w:t>Constitución y la ley</w:t>
      </w:r>
      <w:r>
        <w:rPr>
          <w:rFonts w:ascii="Verdana" w:eastAsia="Calibri" w:hAnsi="Verdana" w:cs="Arial"/>
        </w:rPr>
        <w:t xml:space="preserve">, </w:t>
      </w:r>
      <w:r w:rsidRPr="00F31AC8">
        <w:rPr>
          <w:rFonts w:ascii="Verdana" w:eastAsia="Calibri" w:hAnsi="Verdana" w:cs="Arial"/>
          <w:i/>
          <w:iCs/>
        </w:rPr>
        <w:t>que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2C4AB9CC" w14:textId="77777777" w:rsidR="009F0010" w:rsidRDefault="009F0010" w:rsidP="009F0010">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49C69915" w14:textId="77777777" w:rsidR="009F0010" w:rsidRPr="0075226F" w:rsidRDefault="009F0010" w:rsidP="009F0010">
      <w:pPr>
        <w:spacing w:after="120" w:line="276" w:lineRule="auto"/>
        <w:ind w:firstLine="567"/>
        <w:jc w:val="both"/>
        <w:rPr>
          <w:rFonts w:ascii="Verdana" w:eastAsia="Calibri" w:hAnsi="Verdana" w:cs="Arial"/>
          <w:lang w:val="es-ES"/>
        </w:rPr>
      </w:pPr>
      <w:r>
        <w:rPr>
          <w:rFonts w:ascii="Verdana" w:eastAsia="Calibri" w:hAnsi="Verdana" w:cs="Arial"/>
        </w:rPr>
        <w:t xml:space="preserve">Sobre </w:t>
      </w:r>
      <w:r w:rsidRPr="0091487B">
        <w:rPr>
          <w:rFonts w:ascii="Verdana" w:eastAsia="Calibri" w:hAnsi="Verdana" w:cs="Arial"/>
        </w:rPr>
        <w:t>el alcance de la causal de nulidad contenida en el numeral 2 del artículo 44 de la Ley 80 de 1993,</w:t>
      </w:r>
      <w:r>
        <w:rPr>
          <w:rFonts w:ascii="Verdana" w:eastAsia="Calibri" w:hAnsi="Verdana" w:cs="Arial"/>
        </w:rPr>
        <w:t xml:space="preserve"> el Consejo de Estado ha señalado que “</w:t>
      </w:r>
      <w:r w:rsidRPr="0075226F">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Pr>
          <w:rStyle w:val="Refdenotaalpie"/>
          <w:rFonts w:ascii="Verdana" w:eastAsia="Calibri" w:hAnsi="Verdana" w:cs="Arial"/>
          <w:bCs/>
          <w:iCs/>
        </w:rPr>
        <w:footnoteReference w:id="37"/>
      </w:r>
      <w:r>
        <w:rPr>
          <w:rFonts w:ascii="Verdana" w:eastAsia="Calibri" w:hAnsi="Verdana" w:cs="Arial"/>
          <w:bCs/>
          <w:iCs/>
        </w:rPr>
        <w:t>”</w:t>
      </w:r>
      <w:r w:rsidRPr="0075226F">
        <w:rPr>
          <w:rFonts w:ascii="Verdana" w:eastAsia="Calibri" w:hAnsi="Verdana" w:cs="Arial"/>
          <w:bCs/>
          <w:iCs/>
        </w:rPr>
        <w:t xml:space="preserve">. </w:t>
      </w:r>
      <w:r>
        <w:rPr>
          <w:rFonts w:ascii="Verdana" w:eastAsia="Calibri" w:hAnsi="Verdana" w:cs="Arial"/>
          <w:bCs/>
          <w:iCs/>
        </w:rPr>
        <w:t xml:space="preserve">Tal es el caso de los </w:t>
      </w:r>
      <w:r>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62EB8987" w14:textId="77777777" w:rsidR="009F0010" w:rsidRPr="007B2BC2" w:rsidRDefault="009F0010" w:rsidP="009F0010">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0107E427" w14:textId="77777777" w:rsidR="009F0010" w:rsidRDefault="009F0010" w:rsidP="009F0010">
      <w:pPr>
        <w:spacing w:after="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w:t>
      </w:r>
      <w:r>
        <w:rPr>
          <w:rFonts w:ascii="Verdana" w:eastAsia="Times New Roman" w:hAnsi="Verdana" w:cs="Arial"/>
          <w:bCs/>
          <w:lang w:val="es-ES" w:eastAsia="es-CO"/>
        </w:rPr>
        <w:t>e</w:t>
      </w:r>
      <w:r w:rsidRPr="007B2BC2">
        <w:rPr>
          <w:rFonts w:ascii="Verdana" w:eastAsia="Times New Roman" w:hAnsi="Verdana" w:cs="Arial"/>
          <w:bCs/>
          <w:lang w:val="es-ES" w:eastAsia="es-CO"/>
        </w:rPr>
        <w:t xml:space="preserve">ntidad </w:t>
      </w:r>
      <w:r>
        <w:rPr>
          <w:rFonts w:ascii="Verdana" w:eastAsia="Times New Roman" w:hAnsi="Verdana" w:cs="Arial"/>
          <w:bCs/>
          <w:lang w:val="es-ES" w:eastAsia="es-CO"/>
        </w:rPr>
        <w:t>e</w:t>
      </w:r>
      <w:r w:rsidRPr="007B2BC2">
        <w:rPr>
          <w:rFonts w:ascii="Verdana" w:eastAsia="Times New Roman" w:hAnsi="Verdana" w:cs="Arial"/>
          <w:bCs/>
          <w:lang w:val="es-ES" w:eastAsia="es-CO"/>
        </w:rPr>
        <w:t xml:space="preserv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p w14:paraId="26C8530F" w14:textId="77777777" w:rsidR="009F0010" w:rsidRDefault="009F0010" w:rsidP="009F0010">
      <w:pPr>
        <w:spacing w:after="0" w:line="276" w:lineRule="auto"/>
        <w:jc w:val="both"/>
        <w:rPr>
          <w:rFonts w:ascii="Verdana" w:eastAsia="Calibri" w:hAnsi="Verdana" w:cs="Arial"/>
        </w:rPr>
      </w:pPr>
    </w:p>
    <w:p w14:paraId="6E272457" w14:textId="77777777" w:rsidR="009F0010" w:rsidRDefault="009F0010" w:rsidP="009F0010">
      <w:pPr>
        <w:spacing w:after="0" w:line="276" w:lineRule="auto"/>
        <w:jc w:val="both"/>
        <w:rPr>
          <w:rFonts w:ascii="Verdana" w:eastAsia="Times New Roman" w:hAnsi="Verdana" w:cs="Times New Roman"/>
          <w:lang w:eastAsia="es-ES"/>
        </w:rPr>
      </w:pPr>
      <w:r>
        <w:rPr>
          <w:rFonts w:ascii="Verdana" w:eastAsia="Calibri" w:hAnsi="Verdana" w:cs="Arial"/>
        </w:rPr>
        <w:t xml:space="preserve">vi. </w:t>
      </w:r>
      <w:r w:rsidRPr="002E294E">
        <w:rPr>
          <w:rFonts w:ascii="Verdana" w:eastAsia="Calibri" w:hAnsi="Verdana" w:cs="Arial"/>
        </w:rPr>
        <w:t xml:space="preserve">Finalmente, es pertinente indicar que </w:t>
      </w:r>
      <w:r>
        <w:rPr>
          <w:rFonts w:ascii="Verdana" w:eastAsia="Calibri" w:hAnsi="Verdana" w:cs="Arial"/>
        </w:rPr>
        <w:t xml:space="preserve">la Agencia Nacional de Contratación Púbica - </w:t>
      </w:r>
      <w:r w:rsidRPr="002E294E">
        <w:rPr>
          <w:rFonts w:ascii="Verdana" w:eastAsia="Calibri" w:hAnsi="Verdana" w:cs="Arial"/>
        </w:rPr>
        <w:t>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w:t>
      </w:r>
      <w:r>
        <w:rPr>
          <w:rFonts w:ascii="Verdana" w:eastAsia="Calibri" w:hAnsi="Verdana" w:cs="Arial"/>
        </w:rPr>
        <w:t xml:space="preserve">statuto </w:t>
      </w:r>
      <w:r w:rsidRPr="002E294E">
        <w:rPr>
          <w:rFonts w:ascii="Verdana" w:eastAsia="Calibri" w:hAnsi="Verdana" w:cs="Arial"/>
        </w:rPr>
        <w:t>G</w:t>
      </w:r>
      <w:r>
        <w:rPr>
          <w:rFonts w:ascii="Verdana" w:eastAsia="Calibri" w:hAnsi="Verdana" w:cs="Arial"/>
        </w:rPr>
        <w:t xml:space="preserve">eneral de </w:t>
      </w:r>
      <w:r w:rsidRPr="002E294E">
        <w:rPr>
          <w:rFonts w:ascii="Verdana" w:eastAsia="Calibri" w:hAnsi="Verdana" w:cs="Arial"/>
        </w:rPr>
        <w:t>C</w:t>
      </w:r>
      <w:r>
        <w:rPr>
          <w:rFonts w:ascii="Verdana" w:eastAsia="Calibri" w:hAnsi="Verdana" w:cs="Arial"/>
        </w:rPr>
        <w:t xml:space="preserve">ontratación de la </w:t>
      </w:r>
      <w:r w:rsidRPr="002E294E">
        <w:rPr>
          <w:rFonts w:ascii="Verdana" w:eastAsia="Calibri" w:hAnsi="Verdana" w:cs="Arial"/>
        </w:rPr>
        <w:t>A</w:t>
      </w:r>
      <w:r>
        <w:rPr>
          <w:rFonts w:ascii="Verdana" w:eastAsia="Calibri" w:hAnsi="Verdana" w:cs="Arial"/>
        </w:rPr>
        <w:t xml:space="preserve">dministración </w:t>
      </w:r>
      <w:r w:rsidRPr="002E294E">
        <w:rPr>
          <w:rFonts w:ascii="Verdana" w:eastAsia="Calibri" w:hAnsi="Verdana" w:cs="Arial"/>
        </w:rPr>
        <w:t>P</w:t>
      </w:r>
      <w:r>
        <w:rPr>
          <w:rFonts w:ascii="Verdana" w:eastAsia="Calibri" w:hAnsi="Verdana" w:cs="Arial"/>
        </w:rPr>
        <w:t>ública</w:t>
      </w:r>
      <w:r w:rsidRPr="002E294E">
        <w:rPr>
          <w:rFonts w:ascii="Verdana" w:eastAsia="Calibri" w:hAnsi="Verdana" w:cs="Arial"/>
        </w:rPr>
        <w:t xml:space="preserve">.  </w:t>
      </w:r>
      <w:r w:rsidRPr="002E294E">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p w14:paraId="6EAA044B" w14:textId="77777777" w:rsidR="009F0010" w:rsidRDefault="009F0010" w:rsidP="009F0010">
      <w:pPr>
        <w:spacing w:after="0" w:line="276" w:lineRule="auto"/>
        <w:jc w:val="both"/>
        <w:rPr>
          <w:rFonts w:ascii="Verdana" w:eastAsia="Times New Roman" w:hAnsi="Verdana" w:cs="Times New Roman"/>
          <w:lang w:eastAsia="es-ES"/>
        </w:rPr>
      </w:pPr>
    </w:p>
    <w:p w14:paraId="0B739C06" w14:textId="77777777" w:rsidR="009F0010" w:rsidRDefault="009F0010" w:rsidP="009F0010">
      <w:pPr>
        <w:tabs>
          <w:tab w:val="left" w:pos="426"/>
        </w:tabs>
        <w:spacing w:after="0" w:line="276" w:lineRule="auto"/>
        <w:jc w:val="both"/>
        <w:rPr>
          <w:rFonts w:ascii="Verdana" w:eastAsia="Arial" w:hAnsi="Verdana" w:cs="Arial"/>
          <w:b/>
          <w:bCs/>
        </w:rPr>
      </w:pPr>
      <w:r w:rsidRPr="004A2E17">
        <w:rPr>
          <w:rFonts w:ascii="Verdana" w:eastAsia="Arial" w:hAnsi="Verdana" w:cs="Arial"/>
          <w:b/>
          <w:bCs/>
        </w:rPr>
        <w:t xml:space="preserve">4. Referencias normativas, jurisprudenciales y otras fuentes: </w:t>
      </w:r>
    </w:p>
    <w:p w14:paraId="6D353F82" w14:textId="77777777" w:rsidR="009F0010" w:rsidRPr="004A2E17" w:rsidRDefault="009F0010" w:rsidP="009F0010">
      <w:pPr>
        <w:tabs>
          <w:tab w:val="left" w:pos="426"/>
        </w:tabs>
        <w:spacing w:after="0" w:line="276" w:lineRule="auto"/>
        <w:jc w:val="both"/>
        <w:rPr>
          <w:rFonts w:ascii="Verdana" w:eastAsia="Arial" w:hAnsi="Verdana" w:cs="Arial"/>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F0010" w:rsidRPr="004A2E17" w14:paraId="1DEBB21D" w14:textId="77777777" w:rsidTr="00896225">
        <w:trPr>
          <w:trHeight w:val="595"/>
        </w:trPr>
        <w:tc>
          <w:tcPr>
            <w:tcW w:w="8647" w:type="dxa"/>
          </w:tcPr>
          <w:p w14:paraId="2ED25A4F"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Constitución Política de Colombia. Artículo 127.</w:t>
            </w:r>
          </w:p>
          <w:p w14:paraId="56DF5ABF"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Ley 996 de 2005. Artículos 33 y 38.</w:t>
            </w:r>
          </w:p>
          <w:p w14:paraId="51A92741"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Ley 1150 de 2007. Artículo 2.</w:t>
            </w:r>
          </w:p>
          <w:p w14:paraId="6153C898"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Ley 1523 de 2012. Artículos 4, 35 y 66.</w:t>
            </w:r>
          </w:p>
          <w:p w14:paraId="66436335"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Ley 1575 de 2012. Artículos 1, 2, 3, y 18, 22.</w:t>
            </w:r>
          </w:p>
          <w:p w14:paraId="4241C8FD"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Corte Constitucional, Sentencia C- 1153 de 2005. M.P. Marco Gerardo Monroy Cabra.</w:t>
            </w:r>
          </w:p>
          <w:p w14:paraId="70C8587D"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50F7B7A8" w14:textId="77777777" w:rsidR="009F0010" w:rsidRPr="004A2E17" w:rsidRDefault="009F0010" w:rsidP="0089622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4A2E17">
              <w:rPr>
                <w:rFonts w:ascii="Verdana" w:eastAsia="Arial MT" w:hAnsi="Verdana" w:cs="Arial"/>
                <w:bCs/>
                <w:lang w:eastAsia="es-ES" w:bidi="es-ES"/>
              </w:rPr>
              <w:t>Consejo de Estado. Sala de Consulta y Servicio Civil. Concepto del 17 de febrero de 2015. C.P. William Zambrano Cetina. Radicación No. 11001-03-06-000-2015-00164-00 (2269).</w:t>
            </w:r>
          </w:p>
          <w:p w14:paraId="4A4D98CC" w14:textId="77777777" w:rsidR="009F0010" w:rsidRPr="004A2E17" w:rsidRDefault="009F0010" w:rsidP="00896225">
            <w:pPr>
              <w:widowControl w:val="0"/>
              <w:numPr>
                <w:ilvl w:val="0"/>
                <w:numId w:val="17"/>
              </w:numPr>
              <w:autoSpaceDE w:val="0"/>
              <w:autoSpaceDN w:val="0"/>
              <w:spacing w:line="276" w:lineRule="auto"/>
              <w:jc w:val="both"/>
              <w:rPr>
                <w:rFonts w:ascii="Verdana" w:eastAsia="Arial MT" w:hAnsi="Verdana" w:cs="Arial"/>
                <w:bCs/>
                <w:lang w:eastAsia="es-ES" w:bidi="es-ES"/>
              </w:rPr>
            </w:pPr>
            <w:r w:rsidRPr="004A2E17">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r w:rsidRPr="004A2E17" w:rsidDel="008A775A">
              <w:rPr>
                <w:rFonts w:ascii="Verdana" w:eastAsia="Arial MT" w:hAnsi="Verdana" w:cs="Arial"/>
                <w:bCs/>
                <w:lang w:eastAsia="es-ES" w:bidi="es-ES"/>
              </w:rPr>
              <w:t>.</w:t>
            </w:r>
          </w:p>
        </w:tc>
      </w:tr>
    </w:tbl>
    <w:p w14:paraId="761CBA81" w14:textId="77777777" w:rsidR="009F0010" w:rsidRPr="004A2E17" w:rsidRDefault="009F0010" w:rsidP="009F0010">
      <w:pPr>
        <w:widowControl w:val="0"/>
        <w:spacing w:after="0" w:line="276" w:lineRule="auto"/>
        <w:jc w:val="both"/>
        <w:rPr>
          <w:rFonts w:ascii="Verdana" w:eastAsia="Arial" w:hAnsi="Verdana" w:cs="Arial"/>
          <w:b/>
          <w:bCs/>
        </w:rPr>
      </w:pPr>
    </w:p>
    <w:p w14:paraId="472BDB01" w14:textId="77777777" w:rsidR="009F0010" w:rsidRPr="004A2E17" w:rsidRDefault="009F0010" w:rsidP="009F0010">
      <w:pPr>
        <w:widowControl w:val="0"/>
        <w:spacing w:after="0" w:line="276" w:lineRule="auto"/>
        <w:jc w:val="both"/>
        <w:rPr>
          <w:rFonts w:ascii="Verdana" w:eastAsia="Arial" w:hAnsi="Verdana" w:cs="Arial"/>
          <w:b/>
          <w:bCs/>
        </w:rPr>
      </w:pPr>
      <w:r w:rsidRPr="004A2E17">
        <w:rPr>
          <w:rFonts w:ascii="Verdana" w:eastAsia="Arial" w:hAnsi="Verdana" w:cs="Arial"/>
          <w:b/>
          <w:bCs/>
        </w:rPr>
        <w:t xml:space="preserve">5. Doctrina de la Agencia Nacional de Contratación Pública: </w:t>
      </w:r>
    </w:p>
    <w:p w14:paraId="787D7DD1" w14:textId="77777777" w:rsidR="009F0010" w:rsidRDefault="009F0010" w:rsidP="009F0010">
      <w:pPr>
        <w:spacing w:after="0" w:line="276" w:lineRule="auto"/>
        <w:jc w:val="both"/>
        <w:rPr>
          <w:rFonts w:ascii="Verdana" w:eastAsia="Calibri" w:hAnsi="Verdana" w:cs="Arial"/>
          <w:lang w:val="es-ES"/>
        </w:rPr>
      </w:pPr>
    </w:p>
    <w:p w14:paraId="0150AD92" w14:textId="77777777" w:rsidR="009F0010" w:rsidRPr="004A2E17" w:rsidRDefault="009F0010" w:rsidP="009F0010">
      <w:pPr>
        <w:spacing w:after="0" w:line="276" w:lineRule="auto"/>
        <w:jc w:val="both"/>
        <w:rPr>
          <w:rFonts w:ascii="Verdana" w:hAnsi="Verdana"/>
          <w:color w:val="0000FF"/>
          <w:lang w:val="es-ES"/>
        </w:rPr>
      </w:pPr>
      <w:r w:rsidRPr="004A2E17">
        <w:rPr>
          <w:rFonts w:ascii="Verdana" w:eastAsia="Calibri" w:hAnsi="Verdana" w:cs="Arial"/>
          <w:lang w:val="es-ES"/>
        </w:rPr>
        <w:t xml:space="preserve">La Agencia Nacional de Contratación Pública – Colombia Compra Eficiente se ha referido </w:t>
      </w:r>
      <w:r w:rsidRPr="004A2E17">
        <w:rPr>
          <w:rFonts w:ascii="Verdana" w:hAnsi="Verdana" w:cs="Arial"/>
          <w:shd w:val="clear" w:color="auto" w:fill="FFFFFF"/>
          <w:lang w:val="es-ES"/>
        </w:rPr>
        <w:t xml:space="preserve">sobre </w:t>
      </w:r>
      <w:r w:rsidRPr="004A2E17">
        <w:rPr>
          <w:rFonts w:ascii="Verdana" w:hAnsi="Verdana" w:cs="Arial"/>
        </w:rPr>
        <w:t>sobre la Ley de Garantías Electorales</w:t>
      </w:r>
      <w:r w:rsidRPr="004A2E17">
        <w:rPr>
          <w:rFonts w:ascii="Verdana" w:hAnsi="Verdana" w:cs="Arial"/>
          <w:color w:val="ED7D31" w:themeColor="accent2"/>
          <w:shd w:val="clear" w:color="auto" w:fill="FFFFFF"/>
        </w:rPr>
        <w:t xml:space="preserve"> </w:t>
      </w:r>
      <w:r w:rsidRPr="004A2E1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4A2E17">
        <w:rPr>
          <w:rFonts w:ascii="Verdana" w:hAnsi="Verdana" w:cs="Arial"/>
          <w:shd w:val="clear" w:color="auto" w:fill="FFFFFF"/>
        </w:rPr>
        <w:t xml:space="preserve">C-180 del 21 de marzo de 2025, C-317 del 25 de abril de 2025, C-510 del 4 de junio de 2025, </w:t>
      </w:r>
      <w:r w:rsidRPr="004A2E1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4A2E17">
        <w:rPr>
          <w:rFonts w:ascii="Verdana" w:hAnsi="Verdana" w:cs="Arial"/>
          <w:shd w:val="clear" w:color="auto" w:fill="FFFFFF"/>
        </w:rPr>
        <w:t xml:space="preserve">C–750 de 17 de julio 2025, C-868 del 12 de agosto de 2025, C-1057 del 5 de septiembre de 2025, C-1195 del 3 de octubre de 2025, C-1350 del 19 de septiembre de 2025, C- 1236 del 27 de octubre de 2025, C-1835 del 21 de enero de 2026, C-021 de 18 de febrero de 2026, </w:t>
      </w:r>
      <w:r w:rsidRPr="004A2E17">
        <w:rPr>
          <w:rFonts w:ascii="Verdana" w:hAnsi="Verdana" w:cs="Arial"/>
        </w:rPr>
        <w:t>entre otros</w:t>
      </w:r>
      <w:r w:rsidRPr="004A2E17">
        <w:rPr>
          <w:rFonts w:ascii="Verdana" w:hAnsi="Verdana" w:cs="Arial"/>
          <w:shd w:val="clear" w:color="auto" w:fill="FFFFFF"/>
        </w:rPr>
        <w:t>.</w:t>
      </w:r>
      <w:r w:rsidRPr="004A2E17">
        <w:rPr>
          <w:rFonts w:ascii="Verdana" w:hAnsi="Verdana" w:cs="Arial"/>
          <w:shd w:val="clear" w:color="auto" w:fill="FFFFFF"/>
          <w:lang w:val="es-ES"/>
        </w:rPr>
        <w:t xml:space="preserve"> Estos</w:t>
      </w:r>
      <w:r w:rsidRPr="004A2E17">
        <w:rPr>
          <w:rFonts w:ascii="Verdana" w:hAnsi="Verdana"/>
          <w:lang w:val="es-ES"/>
        </w:rPr>
        <w:t xml:space="preserve"> y otros se encuentran disponibles para consulta en el Sistema de relatoría de la Agencia, al cual se puede acceder a través del siguiente enlace:</w:t>
      </w:r>
      <w:r w:rsidRPr="004A2E17">
        <w:rPr>
          <w:rFonts w:ascii="Verdana" w:hAnsi="Verdana" w:cs="Arial"/>
          <w:shd w:val="clear" w:color="auto" w:fill="FFFFFF"/>
          <w:lang w:val="es-ES"/>
        </w:rPr>
        <w:t xml:space="preserve"> </w:t>
      </w:r>
      <w:hyperlink r:id="rId11" w:history="1">
        <w:r w:rsidRPr="004A2E17">
          <w:rPr>
            <w:rStyle w:val="Hipervnculo"/>
            <w:rFonts w:ascii="Verdana" w:hAnsi="Verdana" w:cs="Arial"/>
            <w:shd w:val="clear" w:color="auto" w:fill="FFFFFF"/>
            <w:lang w:val="es-ES"/>
          </w:rPr>
          <w:t>https://relatoria.colombiacompra.gov.co/busqueda/conceptos</w:t>
        </w:r>
      </w:hyperlink>
    </w:p>
    <w:p w14:paraId="0F1F6A39" w14:textId="77777777" w:rsidR="009F0010" w:rsidRPr="004A2E17" w:rsidRDefault="009F0010" w:rsidP="009F0010">
      <w:pPr>
        <w:widowControl w:val="0"/>
        <w:spacing w:after="0" w:line="276" w:lineRule="auto"/>
        <w:jc w:val="both"/>
        <w:rPr>
          <w:rFonts w:ascii="Verdana" w:eastAsia="Arial" w:hAnsi="Verdana" w:cs="Arial"/>
        </w:rPr>
      </w:pPr>
    </w:p>
    <w:p w14:paraId="433AB851" w14:textId="77777777" w:rsidR="009F0010" w:rsidRPr="004A2E17" w:rsidRDefault="009F0010" w:rsidP="009F0010">
      <w:pPr>
        <w:spacing w:after="0" w:line="276" w:lineRule="auto"/>
        <w:jc w:val="both"/>
        <w:rPr>
          <w:rFonts w:ascii="Verdana" w:hAnsi="Verdana"/>
        </w:rPr>
      </w:pPr>
      <w:r w:rsidRPr="004A2E1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EBDD5D4" w14:textId="77777777" w:rsidR="009F0010" w:rsidRPr="004A2E17" w:rsidRDefault="009F0010" w:rsidP="009F0010">
      <w:pPr>
        <w:spacing w:after="0" w:line="276" w:lineRule="auto"/>
        <w:jc w:val="both"/>
        <w:rPr>
          <w:rFonts w:ascii="Verdana" w:hAnsi="Verdana"/>
        </w:rPr>
      </w:pPr>
    </w:p>
    <w:p w14:paraId="13C0F272" w14:textId="77777777" w:rsidR="009F0010" w:rsidRPr="004A2E17" w:rsidRDefault="009F0010" w:rsidP="009F0010">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4A2E17">
        <w:rPr>
          <w:rFonts w:ascii="Verdana" w:eastAsia="Verdana" w:hAnsi="Verdana" w:cs="Verdana"/>
          <w:lang w:val="es-MX"/>
        </w:rPr>
        <w:t xml:space="preserve">Línea nacional gratuita o servicio a la ciudadanía (Mesa de servicio): </w:t>
      </w:r>
      <w:r w:rsidRPr="004A2E17">
        <w:rPr>
          <w:rStyle w:val="Hipervnculo"/>
          <w:rFonts w:ascii="Verdana" w:hAnsi="Verdana"/>
        </w:rPr>
        <w:t>01800 0520808</w:t>
      </w:r>
    </w:p>
    <w:p w14:paraId="6C21BD61" w14:textId="77777777" w:rsidR="009F0010" w:rsidRPr="004A2E17" w:rsidRDefault="009F0010" w:rsidP="009F0010">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4A2E17">
        <w:rPr>
          <w:rFonts w:ascii="Verdana" w:eastAsia="Verdana" w:hAnsi="Verdana" w:cs="Verdana"/>
          <w:lang w:val="es-MX"/>
        </w:rPr>
        <w:t>Línea en Bogotá (Mesa de servicio):</w:t>
      </w:r>
      <w:r w:rsidRPr="004A2E17">
        <w:rPr>
          <w:rStyle w:val="Hipervnculo"/>
          <w:rFonts w:ascii="Verdana" w:hAnsi="Verdana"/>
        </w:rPr>
        <w:t>+57 601 7456788</w:t>
      </w:r>
    </w:p>
    <w:p w14:paraId="656B1464" w14:textId="77777777" w:rsidR="009F0010" w:rsidRPr="004A2E17" w:rsidRDefault="009F0010" w:rsidP="009F0010">
      <w:pPr>
        <w:pStyle w:val="Prrafodelista"/>
        <w:numPr>
          <w:ilvl w:val="0"/>
          <w:numId w:val="15"/>
        </w:numPr>
        <w:spacing w:after="0" w:line="276" w:lineRule="auto"/>
        <w:contextualSpacing w:val="0"/>
        <w:rPr>
          <w:rFonts w:ascii="Verdana" w:eastAsia="Verdana" w:hAnsi="Verdana" w:cs="Verdana"/>
          <w:color w:val="0000FF"/>
          <w:u w:val="single"/>
          <w:lang w:val="es-MX"/>
        </w:rPr>
      </w:pPr>
      <w:r w:rsidRPr="004A2E17">
        <w:rPr>
          <w:rFonts w:ascii="Verdana" w:eastAsia="Verdana" w:hAnsi="Verdana" w:cs="Verdana"/>
          <w:lang w:val="es-MX"/>
        </w:rPr>
        <w:t xml:space="preserve">Correo de radicación de correspondencia: </w:t>
      </w:r>
      <w:hyperlink r:id="rId12">
        <w:r w:rsidRPr="004A2E17">
          <w:rPr>
            <w:rStyle w:val="Hipervnculo"/>
            <w:rFonts w:ascii="Verdana" w:eastAsia="Verdana" w:hAnsi="Verdana" w:cs="Verdana"/>
            <w:lang w:val="es-MX"/>
          </w:rPr>
          <w:t>ventanilladeradicacion@colombiacompra.gov.co</w:t>
        </w:r>
      </w:hyperlink>
    </w:p>
    <w:p w14:paraId="57FA3EBB" w14:textId="77777777" w:rsidR="009F0010" w:rsidRPr="004A2E17" w:rsidRDefault="009F0010" w:rsidP="009F0010">
      <w:pPr>
        <w:pStyle w:val="Prrafodelista"/>
        <w:numPr>
          <w:ilvl w:val="0"/>
          <w:numId w:val="15"/>
        </w:numPr>
        <w:spacing w:after="0" w:line="276" w:lineRule="auto"/>
        <w:contextualSpacing w:val="0"/>
        <w:rPr>
          <w:rFonts w:ascii="Verdana" w:eastAsia="Verdana" w:hAnsi="Verdana" w:cs="Verdana"/>
          <w:color w:val="0000FF"/>
          <w:u w:val="single"/>
          <w:lang w:val="es-MX"/>
        </w:rPr>
      </w:pPr>
      <w:r w:rsidRPr="004A2E17">
        <w:rPr>
          <w:rFonts w:ascii="Verdana" w:eastAsia="Verdana" w:hAnsi="Verdana" w:cs="Verdana"/>
        </w:rPr>
        <w:t>Formulario web para</w:t>
      </w:r>
      <w:r w:rsidRPr="004A2E17">
        <w:rPr>
          <w:rFonts w:ascii="Verdana" w:eastAsia="Verdana" w:hAnsi="Verdana" w:cs="Verdana"/>
          <w:lang w:val="es"/>
        </w:rPr>
        <w:t xml:space="preserve"> PQRSD: </w:t>
      </w:r>
      <w:hyperlink r:id="rId13">
        <w:r w:rsidRPr="004A2E17">
          <w:rPr>
            <w:rStyle w:val="Hipervnculo"/>
            <w:rFonts w:ascii="Verdana" w:eastAsia="Verdana" w:hAnsi="Verdana" w:cs="Verdana"/>
            <w:lang w:val="es-MX"/>
          </w:rPr>
          <w:t>https://www.colombiacompra.gov.co/pqrsd/informacion-importante-antes-de-formular-una-pqrsd</w:t>
        </w:r>
      </w:hyperlink>
    </w:p>
    <w:p w14:paraId="3645762F" w14:textId="77777777" w:rsidR="009F0010" w:rsidRPr="004A2E17" w:rsidRDefault="009F0010" w:rsidP="009F0010">
      <w:pPr>
        <w:spacing w:after="0" w:line="276" w:lineRule="auto"/>
        <w:ind w:left="720"/>
        <w:jc w:val="both"/>
        <w:rPr>
          <w:rFonts w:ascii="Verdana" w:hAnsi="Verdana"/>
        </w:rPr>
      </w:pPr>
    </w:p>
    <w:p w14:paraId="21D3B248" w14:textId="77777777" w:rsidR="009F0010" w:rsidRPr="004A2E17" w:rsidRDefault="009F0010" w:rsidP="009F0010">
      <w:pPr>
        <w:spacing w:after="0" w:line="276" w:lineRule="auto"/>
        <w:rPr>
          <w:rFonts w:ascii="Verdana" w:hAnsi="Verdana"/>
        </w:rPr>
      </w:pPr>
      <w:r w:rsidRPr="004A2E17">
        <w:rPr>
          <w:rFonts w:ascii="Verdana" w:hAnsi="Verdana"/>
        </w:rPr>
        <w:t>Evalúa el servicio que ofrece la Agencia por el canal de atención de PQRSD en el siguiente enlace :</w:t>
      </w:r>
      <w:hyperlink r:id="rId14" w:tgtFrame="_blank" w:tooltip="https://forms.office.com/r/pphywvs2sz" w:history="1">
        <w:r w:rsidRPr="004A2E17">
          <w:rPr>
            <w:rStyle w:val="Hipervnculo"/>
            <w:rFonts w:ascii="Verdana" w:hAnsi="Verdana"/>
          </w:rPr>
          <w:t>https://forms.office.com/r/pPHyWVs2SZ</w:t>
        </w:r>
      </w:hyperlink>
      <w:r w:rsidRPr="004A2E17">
        <w:rPr>
          <w:rFonts w:ascii="Verdana" w:hAnsi="Verdana"/>
        </w:rPr>
        <w:t xml:space="preserve"> .¡Ayúdanos a mejorar porque el compromiso es de todos!</w:t>
      </w:r>
    </w:p>
    <w:p w14:paraId="516B3964" w14:textId="77777777" w:rsidR="009F0010" w:rsidRPr="004A2E17" w:rsidRDefault="009F0010" w:rsidP="009F0010">
      <w:pPr>
        <w:spacing w:after="0" w:line="276" w:lineRule="auto"/>
        <w:rPr>
          <w:rFonts w:ascii="Verdana" w:hAnsi="Verdana"/>
        </w:rPr>
      </w:pPr>
    </w:p>
    <w:p w14:paraId="198584E0" w14:textId="77777777" w:rsidR="009F0010" w:rsidRPr="004A2E17" w:rsidRDefault="009F0010" w:rsidP="009F0010">
      <w:pPr>
        <w:spacing w:after="0" w:line="276" w:lineRule="auto"/>
        <w:jc w:val="both"/>
        <w:rPr>
          <w:rFonts w:ascii="Verdana" w:hAnsi="Verdana"/>
        </w:rPr>
      </w:pPr>
      <w:r w:rsidRPr="004A2E17">
        <w:rPr>
          <w:rFonts w:ascii="Verdana" w:hAnsi="Verdana"/>
        </w:rPr>
        <w:lastRenderedPageBreak/>
        <w:t xml:space="preserve">Por último, lo invitamos a seguirnos en las redes sociales en las cuales se difunde información institucional: </w:t>
      </w:r>
    </w:p>
    <w:p w14:paraId="32474D28" w14:textId="77777777" w:rsidR="009F0010" w:rsidRPr="004A2E17" w:rsidRDefault="009F0010" w:rsidP="009F0010">
      <w:pPr>
        <w:spacing w:after="0" w:line="276" w:lineRule="auto"/>
        <w:jc w:val="both"/>
        <w:rPr>
          <w:rFonts w:ascii="Verdana" w:hAnsi="Verdana"/>
        </w:rPr>
      </w:pPr>
    </w:p>
    <w:p w14:paraId="7467D1D1" w14:textId="77777777" w:rsidR="009F0010" w:rsidRPr="004A2E17" w:rsidRDefault="009F0010" w:rsidP="009F0010">
      <w:pPr>
        <w:spacing w:after="0" w:line="276" w:lineRule="auto"/>
        <w:jc w:val="both"/>
        <w:rPr>
          <w:rFonts w:ascii="Verdana" w:hAnsi="Verdana"/>
        </w:rPr>
      </w:pPr>
      <w:r w:rsidRPr="004A2E17">
        <w:rPr>
          <w:rFonts w:ascii="Verdana" w:hAnsi="Verdana"/>
        </w:rPr>
        <w:t xml:space="preserve">Twitter: </w:t>
      </w:r>
      <w:r w:rsidRPr="004A2E17">
        <w:rPr>
          <w:rStyle w:val="Hipervnculo"/>
          <w:rFonts w:ascii="Verdana" w:hAnsi="Verdana"/>
        </w:rPr>
        <w:t>@colombiacompra</w:t>
      </w:r>
      <w:r w:rsidRPr="004A2E17">
        <w:rPr>
          <w:rFonts w:ascii="Verdana" w:hAnsi="Verdana"/>
        </w:rPr>
        <w:t xml:space="preserve"> </w:t>
      </w:r>
    </w:p>
    <w:p w14:paraId="4DE93A68" w14:textId="77777777" w:rsidR="009F0010" w:rsidRPr="004A2E17" w:rsidRDefault="009F0010" w:rsidP="009F0010">
      <w:pPr>
        <w:spacing w:after="0" w:line="276" w:lineRule="auto"/>
        <w:jc w:val="both"/>
        <w:rPr>
          <w:rFonts w:ascii="Verdana" w:hAnsi="Verdana"/>
        </w:rPr>
      </w:pPr>
      <w:r w:rsidRPr="004A2E17">
        <w:rPr>
          <w:rFonts w:ascii="Verdana" w:hAnsi="Verdana"/>
        </w:rPr>
        <w:t xml:space="preserve">Facebook: </w:t>
      </w:r>
      <w:r w:rsidRPr="004A2E17">
        <w:rPr>
          <w:rStyle w:val="Hipervnculo"/>
          <w:rFonts w:ascii="Verdana" w:hAnsi="Verdana"/>
        </w:rPr>
        <w:t>ColombiaCompraEficiente</w:t>
      </w:r>
    </w:p>
    <w:p w14:paraId="07728ED0" w14:textId="77777777" w:rsidR="009F0010" w:rsidRPr="004A2E17" w:rsidRDefault="009F0010" w:rsidP="009F0010">
      <w:pPr>
        <w:spacing w:after="0" w:line="276" w:lineRule="auto"/>
        <w:jc w:val="both"/>
        <w:rPr>
          <w:rFonts w:ascii="Verdana" w:hAnsi="Verdana"/>
        </w:rPr>
      </w:pPr>
      <w:r w:rsidRPr="004A2E17">
        <w:rPr>
          <w:rFonts w:ascii="Verdana" w:hAnsi="Verdana"/>
        </w:rPr>
        <w:t xml:space="preserve">LinkedIn: </w:t>
      </w:r>
      <w:r w:rsidRPr="004A2E17">
        <w:rPr>
          <w:rStyle w:val="Hipervnculo"/>
          <w:rFonts w:ascii="Verdana" w:hAnsi="Verdana"/>
        </w:rPr>
        <w:t>Agencia Nacional de Contratación Pública - Colombia Compra Eficiente</w:t>
      </w:r>
      <w:r w:rsidRPr="004A2E17">
        <w:rPr>
          <w:rFonts w:ascii="Verdana" w:hAnsi="Verdana"/>
        </w:rPr>
        <w:t xml:space="preserve"> Instagram: </w:t>
      </w:r>
      <w:r w:rsidRPr="004A2E17">
        <w:rPr>
          <w:rStyle w:val="Hipervnculo"/>
          <w:rFonts w:ascii="Verdana" w:hAnsi="Verdana"/>
        </w:rPr>
        <w:t>@colombiacompraeficiente_cce</w:t>
      </w:r>
    </w:p>
    <w:p w14:paraId="50DD6BAC" w14:textId="77777777" w:rsidR="009F0010" w:rsidRPr="004A2E17" w:rsidRDefault="009F0010" w:rsidP="009F0010">
      <w:pPr>
        <w:spacing w:after="0" w:line="276" w:lineRule="auto"/>
        <w:jc w:val="both"/>
        <w:rPr>
          <w:rFonts w:ascii="Verdana" w:hAnsi="Verdana"/>
        </w:rPr>
      </w:pPr>
    </w:p>
    <w:p w14:paraId="59788278" w14:textId="77777777" w:rsidR="009F0010" w:rsidRPr="004A2E17" w:rsidRDefault="009F0010" w:rsidP="009F0010">
      <w:pPr>
        <w:spacing w:after="0" w:line="276" w:lineRule="auto"/>
        <w:jc w:val="both"/>
        <w:rPr>
          <w:rFonts w:ascii="Verdana" w:eastAsia="Calibri" w:hAnsi="Verdana" w:cs="Times New Roman"/>
          <w:bCs/>
          <w:lang w:val="es-ES_tradnl"/>
        </w:rPr>
      </w:pPr>
      <w:r w:rsidRPr="004A2E1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F321F64" w14:textId="77777777" w:rsidR="009F0010" w:rsidRPr="004A2E17" w:rsidRDefault="009F0010" w:rsidP="009F0010">
      <w:pPr>
        <w:spacing w:after="0" w:line="276" w:lineRule="auto"/>
        <w:jc w:val="both"/>
        <w:rPr>
          <w:rFonts w:ascii="Verdana" w:eastAsia="Calibri" w:hAnsi="Verdana" w:cs="Times New Roman"/>
          <w:lang w:val="es-ES_tradnl"/>
        </w:rPr>
      </w:pPr>
    </w:p>
    <w:p w14:paraId="40EB2B73" w14:textId="77777777" w:rsidR="009F0010" w:rsidRPr="000440A0" w:rsidRDefault="009F0010" w:rsidP="009F0010">
      <w:pPr>
        <w:spacing w:after="0" w:line="276" w:lineRule="auto"/>
        <w:jc w:val="both"/>
        <w:rPr>
          <w:rFonts w:ascii="Verdana" w:eastAsia="Calibri" w:hAnsi="Verdana" w:cs="Times New Roman"/>
        </w:rPr>
      </w:pPr>
      <w:r w:rsidRPr="004A2E17">
        <w:rPr>
          <w:rFonts w:ascii="Verdana" w:eastAsia="Calibri" w:hAnsi="Verdana" w:cs="Times New Roman"/>
        </w:rPr>
        <w:t>Atentamente,</w:t>
      </w:r>
    </w:p>
    <w:p w14:paraId="18EEB8D1" w14:textId="325C764C" w:rsidR="009F0010" w:rsidRDefault="00F23F79" w:rsidP="009F0010">
      <w:pPr>
        <w:spacing w:after="0" w:line="276" w:lineRule="auto"/>
        <w:jc w:val="center"/>
        <w:rPr>
          <w:rFonts w:ascii="Verdana" w:hAnsi="Verdana"/>
          <w:lang w:val="es-ES_tradnl"/>
        </w:rPr>
      </w:pPr>
      <w:r>
        <w:rPr>
          <w:rFonts w:ascii="Verdana" w:hAnsi="Verdana"/>
          <w:noProof/>
          <w:lang w:val="es-ES_tradnl"/>
        </w:rPr>
        <w:drawing>
          <wp:inline distT="0" distB="0" distL="0" distR="0" wp14:anchorId="203300A0" wp14:editId="5C8DEC4F">
            <wp:extent cx="3639058" cy="1343212"/>
            <wp:effectExtent l="0" t="0" r="0" b="0"/>
            <wp:docPr id="20298598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59818" name="Imagen 2029859818"/>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0010" w:rsidRPr="00D53651" w14:paraId="2BD0725B" w14:textId="77777777" w:rsidTr="00896225">
        <w:trPr>
          <w:trHeight w:val="315"/>
        </w:trPr>
        <w:tc>
          <w:tcPr>
            <w:tcW w:w="893" w:type="dxa"/>
            <w:vAlign w:val="center"/>
            <w:hideMark/>
          </w:tcPr>
          <w:p w14:paraId="1934DBD5"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BE22CCF" w14:textId="77777777" w:rsidR="009F0010" w:rsidRPr="00D53651" w:rsidRDefault="009F0010" w:rsidP="00896225">
            <w:pPr>
              <w:spacing w:line="276" w:lineRule="auto"/>
              <w:jc w:val="both"/>
              <w:rPr>
                <w:rFonts w:ascii="Verdana" w:hAnsi="Verdana"/>
                <w:sz w:val="16"/>
                <w:szCs w:val="16"/>
              </w:rPr>
            </w:pPr>
            <w:r>
              <w:rPr>
                <w:rFonts w:ascii="Verdana" w:hAnsi="Verdana"/>
                <w:sz w:val="16"/>
                <w:szCs w:val="16"/>
              </w:rPr>
              <w:t>Gloria Elizabeth Arango Builes</w:t>
            </w:r>
          </w:p>
          <w:p w14:paraId="4EDDBE0A"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9F0010" w:rsidRPr="00D53651" w14:paraId="45D2D057" w14:textId="77777777" w:rsidTr="00896225">
        <w:trPr>
          <w:trHeight w:val="330"/>
        </w:trPr>
        <w:tc>
          <w:tcPr>
            <w:tcW w:w="893" w:type="dxa"/>
            <w:vAlign w:val="center"/>
            <w:hideMark/>
          </w:tcPr>
          <w:p w14:paraId="76BFD609"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8831453" w14:textId="77777777" w:rsidR="009F0010" w:rsidRPr="00D53651" w:rsidRDefault="009F0010" w:rsidP="00896225">
            <w:pPr>
              <w:spacing w:line="276" w:lineRule="auto"/>
              <w:jc w:val="both"/>
              <w:rPr>
                <w:rFonts w:ascii="Verdana" w:hAnsi="Verdana"/>
                <w:sz w:val="16"/>
                <w:szCs w:val="16"/>
              </w:rPr>
            </w:pPr>
            <w:r>
              <w:rPr>
                <w:rFonts w:ascii="Verdana" w:hAnsi="Verdana"/>
                <w:sz w:val="16"/>
                <w:szCs w:val="16"/>
              </w:rPr>
              <w:t>Diana Lucía Saavedra Castañeda</w:t>
            </w:r>
          </w:p>
          <w:p w14:paraId="17AF9423"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9F0010" w:rsidRPr="00D53651" w14:paraId="688E5F8E" w14:textId="77777777" w:rsidTr="00896225">
        <w:trPr>
          <w:trHeight w:val="300"/>
        </w:trPr>
        <w:tc>
          <w:tcPr>
            <w:tcW w:w="893" w:type="dxa"/>
            <w:vAlign w:val="center"/>
            <w:hideMark/>
          </w:tcPr>
          <w:p w14:paraId="438F7A57"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255222F" w14:textId="77777777" w:rsidR="009F0010" w:rsidRPr="00D53651" w:rsidRDefault="009F0010" w:rsidP="00896225">
            <w:pPr>
              <w:spacing w:line="276" w:lineRule="auto"/>
              <w:jc w:val="both"/>
              <w:rPr>
                <w:rFonts w:ascii="Verdana" w:hAnsi="Verdana"/>
                <w:sz w:val="16"/>
                <w:szCs w:val="16"/>
                <w:lang w:val="pt-BR"/>
              </w:rPr>
            </w:pPr>
            <w:r w:rsidRPr="00D53651">
              <w:rPr>
                <w:rFonts w:ascii="Verdana" w:hAnsi="Verdana"/>
                <w:sz w:val="16"/>
                <w:szCs w:val="16"/>
                <w:lang w:val="pt-BR"/>
              </w:rPr>
              <w:t>Carolina Quintero Gacharná</w:t>
            </w:r>
          </w:p>
          <w:p w14:paraId="470D6953" w14:textId="77777777" w:rsidR="009F0010" w:rsidRPr="00D53651" w:rsidRDefault="009F0010" w:rsidP="00896225">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F4B296" w14:textId="77777777" w:rsidR="009F0010" w:rsidRPr="000E2B93" w:rsidRDefault="009F0010" w:rsidP="009F0010">
      <w:pPr>
        <w:spacing w:after="0" w:line="240" w:lineRule="auto"/>
        <w:textAlignment w:val="baseline"/>
        <w:rPr>
          <w:rFonts w:ascii="Verdana" w:eastAsia="Verdana" w:hAnsi="Verdana" w:cs="Verdana"/>
          <w:lang w:eastAsia="es-CO"/>
        </w:rPr>
      </w:pPr>
    </w:p>
    <w:p w14:paraId="1E7402D4" w14:textId="4BAF7441" w:rsidR="009F0010" w:rsidRPr="000E2B93" w:rsidRDefault="009F0010" w:rsidP="009F001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69BC4D14" w14:textId="3E171CED" w:rsidR="00C15139" w:rsidRPr="009F0010" w:rsidRDefault="00C15139" w:rsidP="009F0010"/>
    <w:sectPr w:rsidR="00C15139" w:rsidRPr="009F001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310BB" w14:textId="77777777" w:rsidR="00D72E01" w:rsidRDefault="00D72E01" w:rsidP="004A1847">
      <w:pPr>
        <w:spacing w:after="0" w:line="240" w:lineRule="auto"/>
      </w:pPr>
      <w:r>
        <w:separator/>
      </w:r>
    </w:p>
  </w:endnote>
  <w:endnote w:type="continuationSeparator" w:id="0">
    <w:p w14:paraId="1D9B7215" w14:textId="77777777" w:rsidR="00D72E01" w:rsidRDefault="00D72E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4E5CC" w14:textId="77777777" w:rsidR="00D72E01" w:rsidRDefault="00D72E01" w:rsidP="004A1847">
      <w:pPr>
        <w:spacing w:after="0" w:line="240" w:lineRule="auto"/>
      </w:pPr>
      <w:r>
        <w:separator/>
      </w:r>
    </w:p>
  </w:footnote>
  <w:footnote w:type="continuationSeparator" w:id="0">
    <w:p w14:paraId="5C754619" w14:textId="77777777" w:rsidR="00D72E01" w:rsidRDefault="00D72E01" w:rsidP="004A1847">
      <w:pPr>
        <w:spacing w:after="0" w:line="240" w:lineRule="auto"/>
      </w:pPr>
      <w:r>
        <w:continuationSeparator/>
      </w:r>
    </w:p>
  </w:footnote>
  <w:footnote w:id="1">
    <w:p w14:paraId="28428429"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AD4D7B0" w14:textId="77777777" w:rsidR="009F0010" w:rsidRPr="00A55A00" w:rsidRDefault="009F0010" w:rsidP="009F0010">
      <w:pPr>
        <w:pStyle w:val="Textonotapie"/>
        <w:ind w:firstLine="709"/>
        <w:jc w:val="both"/>
        <w:rPr>
          <w:rFonts w:ascii="Verdana" w:hAnsi="Verdana" w:cs="Arial"/>
          <w:sz w:val="14"/>
          <w:szCs w:val="14"/>
        </w:rPr>
      </w:pPr>
      <w:r w:rsidRPr="00A55A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26336A7"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Gaceta del Congreso de la República No. 71 del 2005.</w:t>
      </w:r>
    </w:p>
  </w:footnote>
  <w:footnote w:id="3">
    <w:p w14:paraId="63349BF4"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Corte Constitucional, Sentencia C- 1153 de 2005, M.P. Marco Gerardo Monroy Cabra.</w:t>
      </w:r>
    </w:p>
  </w:footnote>
  <w:footnote w:id="4">
    <w:p w14:paraId="744FC012"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28869FA" w14:textId="77777777" w:rsidR="009F0010" w:rsidRPr="00A55A00" w:rsidRDefault="009F0010" w:rsidP="009F0010">
      <w:pPr>
        <w:pStyle w:val="Textonotapie"/>
        <w:ind w:firstLine="708"/>
        <w:jc w:val="both"/>
        <w:rPr>
          <w:rFonts w:ascii="Verdana" w:hAnsi="Verdana" w:cs="Arial"/>
          <w:sz w:val="14"/>
          <w:szCs w:val="14"/>
          <w:lang w:val="es-CO"/>
        </w:rPr>
      </w:pPr>
      <w:r w:rsidRPr="00A55A00">
        <w:rPr>
          <w:rStyle w:val="Refdenotaalpie"/>
          <w:rFonts w:ascii="Verdana" w:hAnsi="Verdana" w:cs="Arial"/>
          <w:sz w:val="14"/>
          <w:szCs w:val="14"/>
        </w:rPr>
        <w:footnoteRef/>
      </w:r>
      <w:r w:rsidRPr="00A55A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65663FA"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Sala de Consulta y Servicio Civil de fecha 24 de julio de 2013, radicado 2166, Consejero Ponente: Álvaro Namén Vargas.  </w:t>
      </w:r>
    </w:p>
  </w:footnote>
  <w:footnote w:id="7">
    <w:p w14:paraId="2B464497" w14:textId="77777777" w:rsidR="009F0010" w:rsidRPr="00A55A00" w:rsidRDefault="009F0010" w:rsidP="009F0010">
      <w:pPr>
        <w:spacing w:after="0" w:line="240" w:lineRule="auto"/>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w:t>
      </w:r>
      <w:r w:rsidRPr="00A55A00">
        <w:rPr>
          <w:rFonts w:ascii="Verdana" w:hAnsi="Verdana" w:cs="Arial"/>
          <w:bCs/>
          <w:color w:val="000000"/>
          <w:sz w:val="14"/>
          <w:szCs w:val="14"/>
        </w:rPr>
        <w:t>“</w:t>
      </w:r>
      <w:r w:rsidRPr="00A55A00">
        <w:rPr>
          <w:rFonts w:ascii="Verdana"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1C2155E" w14:textId="77777777" w:rsidR="009F0010" w:rsidRPr="00A55A00" w:rsidRDefault="009F0010" w:rsidP="009F0010">
      <w:pPr>
        <w:spacing w:after="0" w:line="240" w:lineRule="auto"/>
        <w:ind w:firstLine="709"/>
        <w:jc w:val="both"/>
        <w:rPr>
          <w:rFonts w:ascii="Verdana" w:hAnsi="Verdana" w:cs="Arial"/>
          <w:sz w:val="14"/>
          <w:szCs w:val="14"/>
        </w:rPr>
      </w:pPr>
      <w:r w:rsidRPr="00A55A00">
        <w:rPr>
          <w:rFonts w:ascii="Verdana"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55A00">
        <w:rPr>
          <w:rFonts w:ascii="Verdana" w:hAnsi="Verdana" w:cs="Arial"/>
          <w:bCs/>
          <w:color w:val="000000"/>
          <w:sz w:val="14"/>
          <w:szCs w:val="14"/>
        </w:rPr>
        <w:t>”</w:t>
      </w:r>
      <w:r w:rsidRPr="00A55A00">
        <w:rPr>
          <w:rFonts w:ascii="Verdana" w:hAnsi="Verdana" w:cs="Arial"/>
          <w:sz w:val="14"/>
          <w:szCs w:val="14"/>
        </w:rPr>
        <w:t>.</w:t>
      </w:r>
    </w:p>
  </w:footnote>
  <w:footnote w:id="8">
    <w:p w14:paraId="4DBAA00C" w14:textId="77777777" w:rsidR="009F0010" w:rsidRPr="00A55A00" w:rsidRDefault="009F0010" w:rsidP="009F0010">
      <w:pPr>
        <w:pStyle w:val="NormalWeb"/>
        <w:spacing w:before="0" w:beforeAutospacing="0" w:after="0" w:afterAutospacing="0"/>
        <w:ind w:firstLine="709"/>
        <w:jc w:val="both"/>
        <w:rPr>
          <w:rFonts w:ascii="Verdana" w:hAnsi="Verdana" w:cs="Arial"/>
          <w:sz w:val="14"/>
          <w:szCs w:val="14"/>
          <w:lang w:val="es-MX"/>
        </w:rPr>
      </w:pPr>
      <w:r w:rsidRPr="00A55A00">
        <w:rPr>
          <w:rStyle w:val="Refdenotaalpie"/>
          <w:rFonts w:ascii="Verdana" w:hAnsi="Verdana" w:cs="Arial"/>
          <w:sz w:val="14"/>
          <w:szCs w:val="14"/>
        </w:rPr>
        <w:footnoteRef/>
      </w:r>
      <w:r w:rsidRPr="00A55A00">
        <w:rPr>
          <w:rFonts w:ascii="Verdana" w:hAnsi="Verdana" w:cs="Arial"/>
          <w:sz w:val="14"/>
          <w:szCs w:val="14"/>
        </w:rPr>
        <w:t xml:space="preserve"> </w:t>
      </w:r>
      <w:bookmarkStart w:id="4" w:name="38"/>
      <w:r w:rsidRPr="00A55A00">
        <w:rPr>
          <w:rFonts w:ascii="Verdana" w:hAnsi="Verdana" w:cs="Arial"/>
          <w:sz w:val="14"/>
          <w:szCs w:val="14"/>
        </w:rPr>
        <w:t>“</w:t>
      </w:r>
      <w:r w:rsidRPr="00A55A00">
        <w:rPr>
          <w:rFonts w:ascii="Verdana" w:hAnsi="Verdana" w:cs="Arial"/>
          <w:sz w:val="14"/>
          <w:szCs w:val="14"/>
          <w:lang w:val="es-MX"/>
        </w:rPr>
        <w:t>Artículo 38. Prohibiciones para los servidores públicos. A los empleados del Estado les está prohibido:</w:t>
      </w:r>
      <w:bookmarkEnd w:id="4"/>
      <w:r w:rsidRPr="00A55A00">
        <w:rPr>
          <w:rFonts w:ascii="Verdana" w:hAnsi="Verdana" w:cs="Arial"/>
          <w:sz w:val="14"/>
          <w:szCs w:val="14"/>
          <w:lang w:val="es-MX"/>
        </w:rPr>
        <w:t xml:space="preserve"> […] </w:t>
      </w:r>
      <w:r w:rsidRPr="00A55A00">
        <w:rPr>
          <w:rStyle w:val="baj"/>
          <w:rFonts w:ascii="Verdana" w:hAnsi="Verdana" w:cs="Arial"/>
          <w:sz w:val="14"/>
          <w:szCs w:val="14"/>
          <w:lang w:val="es-MX"/>
        </w:rPr>
        <w:t>Parágrafo.</w:t>
      </w:r>
      <w:r w:rsidRPr="00A55A00">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55A00">
        <w:rPr>
          <w:rFonts w:ascii="Verdana" w:eastAsia="Calibri" w:hAnsi="Verdana" w:cs="Arial"/>
          <w:bCs/>
          <w:color w:val="000000"/>
          <w:sz w:val="14"/>
          <w:szCs w:val="14"/>
        </w:rPr>
        <w:t>”</w:t>
      </w:r>
      <w:r w:rsidRPr="00A55A00">
        <w:rPr>
          <w:rFonts w:ascii="Verdana" w:hAnsi="Verdana" w:cs="Arial"/>
          <w:sz w:val="14"/>
          <w:szCs w:val="14"/>
          <w:lang w:val="es-MX"/>
        </w:rPr>
        <w:t>.</w:t>
      </w:r>
    </w:p>
  </w:footnote>
  <w:footnote w:id="9">
    <w:p w14:paraId="0B9AD197" w14:textId="77777777" w:rsidR="009F0010" w:rsidRPr="00A55A00" w:rsidRDefault="009F0010" w:rsidP="009F0010">
      <w:pPr>
        <w:spacing w:after="0" w:line="240" w:lineRule="auto"/>
        <w:ind w:firstLine="709"/>
        <w:jc w:val="both"/>
        <w:rPr>
          <w:rFonts w:ascii="Verdana" w:hAnsi="Verdana" w:cs="Arial"/>
          <w:sz w:val="14"/>
          <w:szCs w:val="14"/>
          <w:lang w:val="es-ES"/>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4D67508B"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Sección Tercera. Sentencia de 3 de diciembre de 2007. Radicados: 24.715, 25.206, 25.409, 24.524, 27.834, 25.410, 26.105, 28.244, 31.447 -acumulados- “.</w:t>
      </w:r>
    </w:p>
  </w:footnote>
  <w:footnote w:id="11">
    <w:p w14:paraId="0F89B14D"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“Al respecto ver el concepto 1712 de 2 de febrero de 2006. Consejo de Estado Sala de Consulta y Servicio Civil”.</w:t>
      </w:r>
    </w:p>
  </w:footnote>
  <w:footnote w:id="12">
    <w:p w14:paraId="3063916B"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76CE836B" w14:textId="77777777" w:rsidR="009F0010" w:rsidRPr="00A55A00" w:rsidRDefault="009F0010" w:rsidP="009F0010">
      <w:pPr>
        <w:pStyle w:val="Textonotapie"/>
        <w:ind w:firstLine="708"/>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6B949FFF" w14:textId="77777777" w:rsidR="009F0010" w:rsidRPr="00A55A00" w:rsidRDefault="009F0010" w:rsidP="009F0010">
      <w:pPr>
        <w:pStyle w:val="Textonotapie"/>
        <w:ind w:firstLine="708"/>
        <w:jc w:val="both"/>
        <w:rPr>
          <w:rFonts w:ascii="Verdana" w:hAnsi="Verdana" w:cs="Arial"/>
          <w:sz w:val="14"/>
          <w:szCs w:val="14"/>
        </w:rPr>
      </w:pPr>
      <w:r w:rsidRPr="00A55A00">
        <w:rPr>
          <w:rFonts w:ascii="Verdana" w:hAnsi="Verdana" w:cs="Arial"/>
          <w:sz w:val="14"/>
          <w:szCs w:val="14"/>
        </w:rPr>
        <w:t>[…]</w:t>
      </w:r>
    </w:p>
    <w:p w14:paraId="3FCAEADB" w14:textId="77777777" w:rsidR="009F0010" w:rsidRPr="00A55A00" w:rsidRDefault="009F0010" w:rsidP="009F0010">
      <w:pPr>
        <w:pStyle w:val="Textonotapie"/>
        <w:ind w:firstLine="708"/>
        <w:jc w:val="both"/>
        <w:rPr>
          <w:rFonts w:ascii="Verdana" w:hAnsi="Verdana" w:cs="Arial"/>
          <w:sz w:val="14"/>
          <w:szCs w:val="14"/>
        </w:rPr>
      </w:pPr>
      <w:r w:rsidRPr="00A55A00">
        <w:rPr>
          <w:rFonts w:ascii="Verdana" w:hAnsi="Verdana" w:cs="Arial"/>
          <w:sz w:val="14"/>
          <w:szCs w:val="14"/>
        </w:rPr>
        <w:t>5. Contratación mínima cuantía. [Numeral modificado por el artículo 30 de la Ley 2069 de 2020]”.</w:t>
      </w:r>
    </w:p>
  </w:footnote>
  <w:footnote w:id="14">
    <w:p w14:paraId="66A098B7" w14:textId="77777777" w:rsidR="009F0010" w:rsidRPr="00A55A00" w:rsidRDefault="009F0010" w:rsidP="009F0010">
      <w:pPr>
        <w:pStyle w:val="Textonotapie"/>
        <w:ind w:firstLine="709"/>
        <w:jc w:val="both"/>
        <w:rPr>
          <w:rFonts w:ascii="Verdana" w:hAnsi="Verdana" w:cs="Arial"/>
          <w:sz w:val="14"/>
          <w:szCs w:val="14"/>
          <w:lang w:val="es-ES"/>
        </w:rPr>
      </w:pPr>
      <w:r w:rsidRPr="00A55A00">
        <w:rPr>
          <w:rStyle w:val="Refdenotaalpie"/>
          <w:rFonts w:ascii="Verdana" w:hAnsi="Verdana" w:cs="Arial"/>
          <w:sz w:val="14"/>
          <w:szCs w:val="14"/>
        </w:rPr>
        <w:footnoteRef/>
      </w:r>
      <w:r w:rsidRPr="00A55A00">
        <w:rPr>
          <w:rStyle w:val="Refdenotaalpie"/>
          <w:rFonts w:ascii="Verdana" w:hAnsi="Verdana" w:cs="Arial"/>
          <w:sz w:val="14"/>
          <w:szCs w:val="14"/>
        </w:rPr>
        <w:t xml:space="preserve"> </w:t>
      </w:r>
      <w:r w:rsidRPr="00A55A00">
        <w:rPr>
          <w:rFonts w:ascii="Verdana" w:hAnsi="Verdana" w:cs="Arial"/>
          <w:sz w:val="14"/>
          <w:szCs w:val="14"/>
          <w:lang w:val="es-ES"/>
        </w:rPr>
        <w:t xml:space="preserve">“[…] A este respecto, cabe recordar que el artículo 860 del Código de Comercio regula la licitación en el derecho privado”. </w:t>
      </w:r>
    </w:p>
  </w:footnote>
  <w:footnote w:id="15">
    <w:p w14:paraId="3A0F976C" w14:textId="77777777" w:rsidR="009F0010" w:rsidRPr="00A55A00" w:rsidRDefault="009F0010" w:rsidP="009F0010">
      <w:pPr>
        <w:shd w:val="clear" w:color="auto" w:fill="FFFFFF"/>
        <w:spacing w:after="0" w:line="240" w:lineRule="auto"/>
        <w:ind w:firstLine="709"/>
        <w:jc w:val="both"/>
        <w:rPr>
          <w:rFonts w:ascii="Verdana" w:hAnsi="Verdana" w:cs="Arial"/>
          <w:sz w:val="14"/>
          <w:szCs w:val="14"/>
          <w:lang w:val="es-ES"/>
        </w:rPr>
      </w:pPr>
      <w:r w:rsidRPr="00A55A00">
        <w:rPr>
          <w:rStyle w:val="Refdenotaalpie"/>
          <w:rFonts w:ascii="Verdana" w:hAnsi="Verdana" w:cs="Arial"/>
          <w:sz w:val="14"/>
          <w:szCs w:val="14"/>
        </w:rPr>
        <w:footnoteRef/>
      </w:r>
      <w:r w:rsidRPr="00A55A00">
        <w:rPr>
          <w:rStyle w:val="Refdenotaalpie"/>
          <w:rFonts w:ascii="Verdana" w:hAnsi="Verdana" w:cs="Arial"/>
          <w:sz w:val="14"/>
          <w:szCs w:val="14"/>
        </w:rPr>
        <w:t xml:space="preserve"> </w:t>
      </w:r>
      <w:r w:rsidRPr="00A55A00">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6">
    <w:p w14:paraId="0330D624"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Sala de Consulta y Servicio Civil. Concepto del 08 de mayo de 2018. Exp. 2.382. C.P. Álvaro Namén Vargas.</w:t>
      </w:r>
    </w:p>
  </w:footnote>
  <w:footnote w:id="17">
    <w:p w14:paraId="0393D6A2" w14:textId="77777777" w:rsidR="009F0010" w:rsidRPr="00A55A00" w:rsidRDefault="009F0010" w:rsidP="009F0010">
      <w:pPr>
        <w:pStyle w:val="Textonotapie"/>
        <w:ind w:firstLine="709"/>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footnote>
  <w:footnote w:id="18">
    <w:p w14:paraId="599DB721" w14:textId="77777777" w:rsidR="009F0010" w:rsidRPr="00A55A00" w:rsidRDefault="009F0010" w:rsidP="009F0010">
      <w:pPr>
        <w:pStyle w:val="Textonotapie"/>
        <w:ind w:firstLine="708"/>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Corte Constitucional. Sentencia C-1153 de 2005 M.P. Marco Gerardo Monroy Cabra. </w:t>
      </w:r>
    </w:p>
  </w:footnote>
  <w:footnote w:id="19">
    <w:p w14:paraId="12875941" w14:textId="77777777" w:rsidR="009F0010" w:rsidRPr="00A55A00" w:rsidRDefault="009F0010" w:rsidP="009F0010">
      <w:pPr>
        <w:pStyle w:val="Textonotapie"/>
        <w:ind w:firstLine="708"/>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Consejo de Estado. Sala de Consulta y Servicio Civil. Concepto del 18 de febrero 2010. Rad. 11001-03-06-000-2010-00006-00 (1985). C.P. Enrique José Arboleda Perdomo.</w:t>
      </w:r>
    </w:p>
  </w:footnote>
  <w:footnote w:id="20">
    <w:p w14:paraId="6D77C8DC" w14:textId="77777777" w:rsidR="009F0010" w:rsidRPr="00A55A00" w:rsidRDefault="009F0010" w:rsidP="009F0010">
      <w:pPr>
        <w:pStyle w:val="Textonotapie"/>
        <w:ind w:firstLine="708"/>
        <w:jc w:val="both"/>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55A00">
        <w:rPr>
          <w:rFonts w:ascii="Verdana" w:hAnsi="Verdana"/>
          <w:i/>
          <w:iCs/>
          <w:sz w:val="14"/>
          <w:szCs w:val="14"/>
        </w:rPr>
        <w:t>las palabras de la ley se entenderán en su sentido natural y obvio, según el uso general de las mismas palabras</w:t>
      </w:r>
      <w:r w:rsidRPr="00A55A00">
        <w:rPr>
          <w:rFonts w:ascii="Verdana" w:hAnsi="Verdana"/>
          <w:sz w:val="14"/>
          <w:szCs w:val="14"/>
        </w:rPr>
        <w:t>’, es decir, el uso de la gente educada. El Diccionario de la Lengua publicado por la Real Academia Española goza a este respecto de gran autoridad. ‘</w:t>
      </w:r>
      <w:r w:rsidRPr="00A55A00">
        <w:rPr>
          <w:rFonts w:ascii="Verdana" w:hAnsi="Verdana"/>
          <w:i/>
          <w:iCs/>
          <w:sz w:val="14"/>
          <w:szCs w:val="14"/>
        </w:rPr>
        <w:t>Pero cuando el legislador</w:t>
      </w:r>
      <w:r w:rsidRPr="00A55A00">
        <w:rPr>
          <w:rFonts w:ascii="Verdana" w:hAnsi="Verdana"/>
          <w:sz w:val="14"/>
          <w:szCs w:val="14"/>
        </w:rPr>
        <w:t xml:space="preserve">, agrega el artículo 20, </w:t>
      </w:r>
      <w:r w:rsidRPr="00A55A00">
        <w:rPr>
          <w:rFonts w:ascii="Verdana" w:hAnsi="Verdana"/>
          <w:i/>
          <w:iCs/>
          <w:sz w:val="14"/>
          <w:szCs w:val="14"/>
        </w:rPr>
        <w:t>las haya definido expresamente para ciertas materias se les dará en éstas su significado legal</w:t>
      </w:r>
      <w:r w:rsidRPr="00A55A00">
        <w:rPr>
          <w:rFonts w:ascii="Verdana" w:hAnsi="Verdana"/>
          <w:sz w:val="14"/>
          <w:szCs w:val="14"/>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1">
    <w:p w14:paraId="27618D3E" w14:textId="77777777" w:rsidR="009F0010" w:rsidRPr="00A55A00" w:rsidRDefault="009F0010" w:rsidP="009F0010">
      <w:pPr>
        <w:spacing w:after="0" w:line="240" w:lineRule="auto"/>
        <w:ind w:firstLine="708"/>
        <w:jc w:val="both"/>
        <w:rPr>
          <w:rFonts w:ascii="Verdana" w:eastAsia="Calibri" w:hAnsi="Verdana" w:cs="Arial"/>
          <w:sz w:val="14"/>
          <w:szCs w:val="14"/>
          <w:lang w:val="es-ES_tradnl"/>
        </w:rPr>
      </w:pPr>
      <w:r w:rsidRPr="00A55A00">
        <w:rPr>
          <w:rStyle w:val="Refdenotaalpie"/>
          <w:rFonts w:ascii="Verdana" w:hAnsi="Verdana" w:cs="Arial"/>
          <w:sz w:val="14"/>
          <w:szCs w:val="14"/>
        </w:rPr>
        <w:footnoteRef/>
      </w:r>
      <w:r w:rsidRPr="00A55A00">
        <w:rPr>
          <w:rFonts w:ascii="Verdana" w:hAnsi="Verdana" w:cs="Arial"/>
          <w:sz w:val="14"/>
          <w:szCs w:val="14"/>
        </w:rPr>
        <w:t xml:space="preserve"> </w:t>
      </w:r>
      <w:r w:rsidRPr="00A55A00">
        <w:rPr>
          <w:rFonts w:ascii="Verdana" w:hAnsi="Verdana" w:cs="Arial"/>
          <w:sz w:val="14"/>
          <w:szCs w:val="14"/>
          <w:lang w:val="es-ES_tradnl"/>
        </w:rPr>
        <w:t>La jurisprudencia delimita su sentido y alcance de la siguiente manera –</w:t>
      </w:r>
      <w:r w:rsidRPr="00A55A00">
        <w:rPr>
          <w:rFonts w:ascii="Verdana" w:hAnsi="Verdana" w:cs="Arial"/>
          <w:sz w:val="14"/>
          <w:szCs w:val="14"/>
          <w:lang w:val="es-ES"/>
        </w:rPr>
        <w:t>CORTE SUPREMA DE JUSTICIA. Sala de Casación Civil. Sentencia 20 de noviembre de 1989. MP. Alberto Ospina Botero. Publicada en la Gaceta Judicial. Tomo CXCVI. N° 2435. p. 93</w:t>
      </w:r>
      <w:r w:rsidRPr="00A55A00">
        <w:rPr>
          <w:rFonts w:ascii="Verdana" w:hAnsi="Verdana" w:cs="Arial"/>
          <w:sz w:val="14"/>
          <w:szCs w:val="14"/>
          <w:lang w:val="es-ES_tradnl"/>
        </w:rPr>
        <w:t>–:</w:t>
      </w:r>
    </w:p>
    <w:p w14:paraId="64745DF6" w14:textId="77777777" w:rsidR="009F0010" w:rsidRPr="00A55A00" w:rsidRDefault="009F0010" w:rsidP="009F0010">
      <w:pPr>
        <w:spacing w:after="0" w:line="240" w:lineRule="auto"/>
        <w:ind w:right="49" w:firstLine="708"/>
        <w:jc w:val="both"/>
        <w:rPr>
          <w:rFonts w:ascii="Verdana" w:eastAsia="Calibri" w:hAnsi="Verdana" w:cs="Arial"/>
          <w:sz w:val="14"/>
          <w:szCs w:val="14"/>
          <w:lang w:val="es-ES_tradnl"/>
        </w:rPr>
      </w:pPr>
      <w:r w:rsidRPr="00A55A00">
        <w:rPr>
          <w:rFonts w:ascii="Verdana" w:eastAsia="Calibri" w:hAnsi="Verdana" w:cs="Arial"/>
          <w:sz w:val="14"/>
          <w:szCs w:val="14"/>
          <w:lang w:val="es-ES_tradnl"/>
        </w:rPr>
        <w:t>“6. […] la fuerza mayor o caso fortuito se configura por la concurrencia de dos factores:</w:t>
      </w:r>
    </w:p>
    <w:p w14:paraId="5F45896C" w14:textId="77777777" w:rsidR="009F0010" w:rsidRPr="00A55A00" w:rsidRDefault="009F0010" w:rsidP="009F0010">
      <w:pPr>
        <w:spacing w:after="0" w:line="240" w:lineRule="auto"/>
        <w:ind w:right="49" w:firstLine="708"/>
        <w:jc w:val="both"/>
        <w:rPr>
          <w:rFonts w:ascii="Verdana" w:eastAsia="Calibri" w:hAnsi="Verdana" w:cs="Arial"/>
          <w:sz w:val="14"/>
          <w:szCs w:val="14"/>
          <w:lang w:val="es-ES_tradnl"/>
        </w:rPr>
      </w:pPr>
      <w:r w:rsidRPr="00A55A00">
        <w:rPr>
          <w:rFonts w:ascii="Verdana" w:eastAsia="Calibri" w:hAnsi="Verdana" w:cs="Arial"/>
          <w:sz w:val="14"/>
          <w:szCs w:val="14"/>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09B5D306" w14:textId="77777777" w:rsidR="009F0010" w:rsidRPr="00A55A00" w:rsidRDefault="009F0010" w:rsidP="009F0010">
      <w:pPr>
        <w:spacing w:after="0" w:line="240" w:lineRule="auto"/>
        <w:ind w:right="49" w:firstLine="708"/>
        <w:jc w:val="both"/>
        <w:rPr>
          <w:rFonts w:ascii="Verdana" w:eastAsia="Calibri" w:hAnsi="Verdana" w:cs="Arial"/>
          <w:sz w:val="14"/>
          <w:szCs w:val="14"/>
          <w:lang w:val="es-ES_tradnl"/>
        </w:rPr>
      </w:pPr>
      <w:r w:rsidRPr="00A55A00">
        <w:rPr>
          <w:rFonts w:ascii="Verdana" w:eastAsia="Calibri" w:hAnsi="Verdana" w:cs="Arial"/>
          <w:sz w:val="14"/>
          <w:szCs w:val="14"/>
          <w:lang w:val="es-ES_tradnl"/>
        </w:rPr>
        <w:t>b) Que el hecho sea irresistible, o sea, que el agente no pueda evitar su acaecimiento ni superar sus consecuencias.</w:t>
      </w:r>
    </w:p>
    <w:p w14:paraId="1F6D380A" w14:textId="77777777" w:rsidR="009F0010" w:rsidRPr="00A55A00" w:rsidRDefault="009F0010" w:rsidP="009F0010">
      <w:pPr>
        <w:spacing w:after="0" w:line="240" w:lineRule="auto"/>
        <w:ind w:right="49" w:firstLine="708"/>
        <w:jc w:val="both"/>
        <w:rPr>
          <w:rFonts w:ascii="Verdana" w:eastAsia="Calibri" w:hAnsi="Verdana" w:cs="Arial"/>
          <w:sz w:val="14"/>
          <w:szCs w:val="14"/>
          <w:lang w:val="es-ES_tradnl"/>
        </w:rPr>
      </w:pPr>
      <w:r w:rsidRPr="00A55A00">
        <w:rPr>
          <w:rFonts w:ascii="Verdana" w:eastAsia="Calibri" w:hAnsi="Verdana" w:cs="Arial"/>
          <w:sz w:val="14"/>
          <w:szCs w:val="14"/>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3C0BAD93" w14:textId="77777777" w:rsidR="009F0010" w:rsidRPr="00A55A00" w:rsidRDefault="009F0010" w:rsidP="009F0010">
      <w:pPr>
        <w:spacing w:after="0" w:line="240" w:lineRule="auto"/>
        <w:ind w:right="49" w:firstLine="708"/>
        <w:jc w:val="both"/>
        <w:rPr>
          <w:rFonts w:ascii="Verdana" w:eastAsia="Calibri" w:hAnsi="Verdana" w:cs="Arial"/>
          <w:sz w:val="14"/>
          <w:szCs w:val="14"/>
          <w:lang w:val="es-ES_tradnl"/>
        </w:rPr>
      </w:pPr>
      <w:r w:rsidRPr="00A55A00">
        <w:rPr>
          <w:rFonts w:ascii="Verdana" w:eastAsia="Calibri" w:hAnsi="Verdana" w:cs="Arial"/>
          <w:sz w:val="14"/>
          <w:szCs w:val="14"/>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70EC75B" w14:textId="77777777" w:rsidR="009F0010" w:rsidRPr="00A55A00" w:rsidRDefault="009F0010" w:rsidP="009F0010">
      <w:pPr>
        <w:spacing w:after="0" w:line="240" w:lineRule="auto"/>
        <w:ind w:right="49"/>
        <w:jc w:val="both"/>
        <w:rPr>
          <w:rFonts w:ascii="Verdana" w:eastAsia="Calibri" w:hAnsi="Verdana" w:cs="Arial"/>
          <w:sz w:val="14"/>
          <w:szCs w:val="14"/>
          <w:lang w:val="es-ES_tradnl"/>
        </w:rPr>
      </w:pPr>
      <w:r w:rsidRPr="00A55A00">
        <w:rPr>
          <w:rFonts w:ascii="Verdana" w:eastAsia="Calibri" w:hAnsi="Verdana" w:cs="Arial"/>
          <w:sz w:val="14"/>
          <w:szCs w:val="14"/>
          <w:lang w:val="es-ES_tradnl"/>
        </w:rPr>
        <w:t>[…]</w:t>
      </w:r>
    </w:p>
    <w:p w14:paraId="7D02B78F" w14:textId="77777777" w:rsidR="009F0010" w:rsidRPr="00A55A00" w:rsidRDefault="009F0010" w:rsidP="009F0010">
      <w:pPr>
        <w:pStyle w:val="Textonotapie"/>
        <w:ind w:right="49" w:firstLine="708"/>
        <w:jc w:val="both"/>
        <w:rPr>
          <w:rFonts w:ascii="Verdana" w:hAnsi="Verdana" w:cs="Arial"/>
          <w:sz w:val="14"/>
          <w:szCs w:val="14"/>
          <w:lang w:val="es-CO"/>
        </w:rPr>
      </w:pPr>
      <w:r w:rsidRPr="00A55A00">
        <w:rPr>
          <w:rFonts w:ascii="Verdana" w:eastAsia="Calibri" w:hAnsi="Verdana" w:cs="Arial"/>
          <w:sz w:val="14"/>
          <w:szCs w:val="14"/>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2">
    <w:p w14:paraId="6C48F06B" w14:textId="77777777" w:rsidR="009F0010" w:rsidRPr="00A55A00" w:rsidRDefault="009F0010" w:rsidP="009F0010">
      <w:pPr>
        <w:pStyle w:val="Textonotapie"/>
        <w:ind w:firstLine="708"/>
        <w:jc w:val="both"/>
        <w:rPr>
          <w:rFonts w:ascii="Verdana" w:hAnsi="Verdana" w:cs="Arial"/>
          <w:sz w:val="14"/>
          <w:szCs w:val="14"/>
          <w:lang w:val="es-ES"/>
        </w:rPr>
      </w:pPr>
      <w:r w:rsidRPr="00A55A00">
        <w:rPr>
          <w:rStyle w:val="Refdenotaalpie"/>
          <w:rFonts w:ascii="Verdana" w:hAnsi="Verdana" w:cs="Arial"/>
          <w:sz w:val="14"/>
          <w:szCs w:val="14"/>
        </w:rPr>
        <w:footnoteRef/>
      </w:r>
      <w:r w:rsidRPr="00A55A00">
        <w:rPr>
          <w:rFonts w:ascii="Verdana" w:hAnsi="Verdana" w:cs="Arial"/>
          <w:sz w:val="14"/>
          <w:szCs w:val="14"/>
        </w:rPr>
        <w:t xml:space="preserve"> “</w:t>
      </w:r>
      <w:r w:rsidRPr="00A55A00">
        <w:rPr>
          <w:rFonts w:ascii="Verdana" w:hAnsi="Verdana" w:cs="Arial"/>
          <w:sz w:val="14"/>
          <w:szCs w:val="14"/>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453C224C"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1. Nacional. Existirá una situación de desastre nacional:</w:t>
      </w:r>
    </w:p>
    <w:p w14:paraId="2EFC86F7"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28D284E7"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b). Cuando se hayan producido efectos adversos en uno (1) o más departamentos y su impacto rebase la capacidad técnica y los recursos de las administraciones departamentales y municipales involucradas.</w:t>
      </w:r>
    </w:p>
    <w:p w14:paraId="2F415D39"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79A21C3C"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5B222367" w14:textId="77777777" w:rsidR="009F0010" w:rsidRPr="00A55A00" w:rsidRDefault="009F0010" w:rsidP="009F0010">
      <w:pPr>
        <w:pStyle w:val="Textonotapie"/>
        <w:ind w:firstLine="708"/>
        <w:jc w:val="both"/>
        <w:rPr>
          <w:rFonts w:ascii="Verdana" w:hAnsi="Verdana" w:cs="Arial"/>
          <w:sz w:val="14"/>
          <w:szCs w:val="14"/>
          <w:lang w:val="es-ES"/>
        </w:rPr>
      </w:pPr>
      <w:r w:rsidRPr="00A55A00">
        <w:rPr>
          <w:rFonts w:ascii="Verdana" w:hAnsi="Verdana" w:cs="Arial"/>
          <w:sz w:val="14"/>
          <w:szCs w:val="14"/>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3">
    <w:p w14:paraId="47B51F21" w14:textId="77777777" w:rsidR="009F0010" w:rsidRPr="00A55A00" w:rsidRDefault="009F0010" w:rsidP="009F0010">
      <w:pPr>
        <w:pStyle w:val="Textonotapie"/>
        <w:ind w:firstLine="708"/>
        <w:jc w:val="both"/>
        <w:rPr>
          <w:rFonts w:ascii="Verdana" w:hAnsi="Verdana" w:cs="Arial"/>
          <w:sz w:val="14"/>
          <w:szCs w:val="14"/>
          <w:lang w:val="es-CO"/>
        </w:rPr>
      </w:pPr>
      <w:r w:rsidRPr="00A55A00">
        <w:rPr>
          <w:rStyle w:val="Refdenotaalpie"/>
          <w:rFonts w:ascii="Verdana" w:hAnsi="Verdana" w:cs="Arial"/>
          <w:sz w:val="14"/>
          <w:szCs w:val="14"/>
        </w:rPr>
        <w:footnoteRef/>
      </w:r>
      <w:r w:rsidRPr="00A55A00">
        <w:rPr>
          <w:rFonts w:ascii="Verdana" w:hAnsi="Verdana" w:cs="Arial"/>
          <w:sz w:val="14"/>
          <w:szCs w:val="14"/>
        </w:rPr>
        <w:t xml:space="preserve"> “</w:t>
      </w:r>
      <w:r w:rsidRPr="00A55A00">
        <w:rPr>
          <w:rFonts w:ascii="Verdana" w:hAnsi="Verdana" w:cs="Arial"/>
          <w:sz w:val="14"/>
          <w:szCs w:val="14"/>
          <w:lang w:val="es-ES"/>
        </w:rPr>
        <w:t>Artículo 57. Declaratoria de situación de calamidad pública. 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p>
  </w:footnote>
  <w:footnote w:id="24">
    <w:p w14:paraId="0A78005F" w14:textId="77777777" w:rsidR="009F0010" w:rsidRPr="00A55A00" w:rsidRDefault="009F0010" w:rsidP="009F0010">
      <w:pPr>
        <w:spacing w:after="0" w:line="240" w:lineRule="auto"/>
        <w:ind w:firstLine="709"/>
        <w:jc w:val="both"/>
        <w:rPr>
          <w:rFonts w:ascii="Verdana" w:hAnsi="Verdana" w:cs="Arial"/>
          <w:color w:val="000000"/>
          <w:sz w:val="14"/>
          <w:szCs w:val="14"/>
        </w:rPr>
      </w:pPr>
      <w:r w:rsidRPr="00A55A00">
        <w:rPr>
          <w:rStyle w:val="Refdenotaalpie"/>
          <w:rFonts w:ascii="Verdana" w:hAnsi="Verdana" w:cs="Arial"/>
          <w:color w:val="000000"/>
          <w:sz w:val="14"/>
          <w:szCs w:val="14"/>
        </w:rPr>
        <w:footnoteRef/>
      </w:r>
      <w:r w:rsidRPr="00A55A00">
        <w:rPr>
          <w:rFonts w:ascii="Verdana" w:hAnsi="Verdana" w:cs="Arial"/>
          <w:color w:val="000000"/>
          <w:sz w:val="14"/>
          <w:szCs w:val="14"/>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5">
    <w:p w14:paraId="38B2E5A6" w14:textId="77777777" w:rsidR="009F0010" w:rsidRPr="00A55A00" w:rsidRDefault="009F0010" w:rsidP="009F0010">
      <w:pPr>
        <w:pStyle w:val="Textonotapie"/>
        <w:ind w:firstLine="709"/>
        <w:jc w:val="both"/>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lang w:val="es-CO"/>
        </w:rPr>
        <w:t xml:space="preserve"> Consejo de Estado, Sección Tercera. Auto del 4 de octubre de 2024. Exp. 70.313. C.P: Fredy Ibarra Martínez.</w:t>
      </w:r>
    </w:p>
  </w:footnote>
  <w:footnote w:id="26">
    <w:p w14:paraId="4220E06E" w14:textId="77777777" w:rsidR="009F0010" w:rsidRPr="00A55A00" w:rsidRDefault="009F0010" w:rsidP="009F0010">
      <w:pPr>
        <w:spacing w:after="0" w:line="240" w:lineRule="auto"/>
        <w:ind w:firstLine="709"/>
        <w:jc w:val="both"/>
        <w:rPr>
          <w:rFonts w:ascii="Verdana" w:eastAsia="Times New Roman" w:hAnsi="Verdana" w:cs="Times New Roman"/>
          <w:sz w:val="14"/>
          <w:szCs w:val="14"/>
          <w:lang w:eastAsia="es-ES"/>
        </w:rPr>
      </w:pPr>
      <w:r w:rsidRPr="00A55A00">
        <w:rPr>
          <w:rStyle w:val="Refdenotaalpie"/>
          <w:rFonts w:ascii="Verdana" w:hAnsi="Verdana"/>
          <w:sz w:val="14"/>
          <w:szCs w:val="14"/>
        </w:rPr>
        <w:footnoteRef/>
      </w:r>
      <w:r w:rsidRPr="00A55A00">
        <w:rPr>
          <w:rFonts w:ascii="Verdana" w:hAnsi="Verdana"/>
          <w:sz w:val="14"/>
          <w:szCs w:val="14"/>
        </w:rPr>
        <w:t xml:space="preserve"> </w:t>
      </w:r>
      <w:r w:rsidRPr="00A55A00">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A55A00">
        <w:rPr>
          <w:rFonts w:ascii="Verdana" w:hAnsi="Verdana"/>
          <w:sz w:val="14"/>
          <w:szCs w:val="14"/>
        </w:rPr>
        <w:t xml:space="preserve">La parte de la providencia señala: </w:t>
      </w:r>
      <w:r w:rsidRPr="00A55A00">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024EAE9C" w14:textId="77777777" w:rsidR="009F0010" w:rsidRPr="00A55A00" w:rsidRDefault="009F0010" w:rsidP="009F0010">
      <w:pPr>
        <w:pStyle w:val="Textonotapie"/>
        <w:ind w:firstLine="709"/>
        <w:jc w:val="both"/>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8">
    <w:p w14:paraId="1F8D5790" w14:textId="77777777" w:rsidR="009F0010" w:rsidRPr="00A55A00" w:rsidRDefault="009F0010" w:rsidP="009F0010">
      <w:pPr>
        <w:pStyle w:val="Textonotapie"/>
        <w:ind w:firstLine="708"/>
        <w:jc w:val="both"/>
        <w:rPr>
          <w:rStyle w:val="Refdenotaalpie"/>
          <w:rFonts w:ascii="Verdana" w:hAnsi="Verdana" w:cs="Arial"/>
          <w:sz w:val="14"/>
          <w:szCs w:val="14"/>
          <w:vertAlign w:val="baseline"/>
        </w:rPr>
      </w:pPr>
      <w:r w:rsidRPr="00A55A00">
        <w:rPr>
          <w:rStyle w:val="Refdenotaalpie"/>
          <w:rFonts w:ascii="Verdana" w:hAnsi="Verdana" w:cs="Arial"/>
          <w:sz w:val="14"/>
          <w:szCs w:val="14"/>
        </w:rPr>
        <w:footnoteRef/>
      </w:r>
      <w:r w:rsidRPr="00A55A00">
        <w:rPr>
          <w:rStyle w:val="Refdenotaalpie"/>
          <w:rFonts w:ascii="Verdana" w:hAnsi="Verdana" w:cs="Arial"/>
          <w:sz w:val="14"/>
          <w:szCs w:val="14"/>
          <w:vertAlign w:val="baseline"/>
        </w:rPr>
        <w:t xml:space="preserve"> Ley 1575 de 2012. </w:t>
      </w:r>
      <w:r w:rsidRPr="00A55A00">
        <w:rPr>
          <w:rFonts w:ascii="Verdana" w:hAnsi="Verdana" w:cs="Arial"/>
          <w:sz w:val="14"/>
          <w:szCs w:val="14"/>
        </w:rPr>
        <w:t>“</w:t>
      </w:r>
      <w:r w:rsidRPr="00A55A00">
        <w:rPr>
          <w:rStyle w:val="Refdenotaalpie"/>
          <w:rFonts w:ascii="Verdana" w:hAnsi="Verdana" w:cs="Arial"/>
          <w:sz w:val="14"/>
          <w:szCs w:val="14"/>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0C64EE55" w14:textId="77777777" w:rsidR="009F0010" w:rsidRPr="00A55A00" w:rsidRDefault="009F0010" w:rsidP="009F0010">
      <w:pPr>
        <w:pStyle w:val="Textonotapie"/>
        <w:ind w:firstLine="708"/>
        <w:jc w:val="both"/>
        <w:rPr>
          <w:rStyle w:val="Refdenotaalpie"/>
          <w:rFonts w:ascii="Verdana" w:hAnsi="Verdana" w:cs="Arial"/>
          <w:sz w:val="14"/>
          <w:szCs w:val="14"/>
          <w:vertAlign w:val="baseline"/>
        </w:rPr>
      </w:pPr>
      <w:r w:rsidRPr="00A55A00">
        <w:rPr>
          <w:rFonts w:ascii="Verdana" w:hAnsi="Verdana" w:cs="Arial"/>
          <w:sz w:val="14"/>
          <w:szCs w:val="14"/>
        </w:rPr>
        <w:t>[</w:t>
      </w:r>
      <w:r w:rsidRPr="00A55A00">
        <w:rPr>
          <w:rStyle w:val="Refdenotaalpie"/>
          <w:rFonts w:ascii="Verdana" w:hAnsi="Verdana" w:cs="Arial"/>
          <w:sz w:val="14"/>
          <w:szCs w:val="14"/>
          <w:vertAlign w:val="baseline"/>
        </w:rPr>
        <w:t>…</w:t>
      </w:r>
      <w:r w:rsidRPr="00A55A00">
        <w:rPr>
          <w:rFonts w:ascii="Verdana" w:hAnsi="Verdana" w:cs="Arial"/>
          <w:sz w:val="14"/>
          <w:szCs w:val="14"/>
        </w:rPr>
        <w:t>]</w:t>
      </w:r>
      <w:r w:rsidRPr="00A55A00">
        <w:rPr>
          <w:rStyle w:val="Refdenotaalpie"/>
          <w:rFonts w:ascii="Verdana" w:hAnsi="Verdana" w:cs="Arial"/>
          <w:sz w:val="14"/>
          <w:szCs w:val="14"/>
          <w:vertAlign w:val="baseline"/>
        </w:rPr>
        <w:t>   </w:t>
      </w:r>
    </w:p>
    <w:p w14:paraId="1717F425" w14:textId="77777777" w:rsidR="009F0010" w:rsidRPr="00A55A00" w:rsidRDefault="009F0010" w:rsidP="009F0010">
      <w:pPr>
        <w:pStyle w:val="Textonotapie"/>
        <w:ind w:firstLine="707"/>
        <w:jc w:val="both"/>
        <w:rPr>
          <w:rFonts w:ascii="Verdana" w:hAnsi="Verdana" w:cs="Arial"/>
          <w:sz w:val="14"/>
          <w:szCs w:val="14"/>
          <w:lang w:val="es-ES"/>
        </w:rPr>
      </w:pPr>
      <w:r w:rsidRPr="00A55A00">
        <w:rPr>
          <w:rFonts w:ascii="Verdana" w:hAnsi="Verdana" w:cs="Arial"/>
          <w:sz w:val="14"/>
          <w:szCs w:val="14"/>
        </w:rPr>
        <w:t>“</w:t>
      </w:r>
      <w:r w:rsidRPr="00A55A00">
        <w:rPr>
          <w:rStyle w:val="Refdenotaalpie"/>
          <w:rFonts w:ascii="Verdana" w:hAnsi="Verdana" w:cs="Arial"/>
          <w:sz w:val="14"/>
          <w:szCs w:val="14"/>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A55A00">
        <w:rPr>
          <w:rFonts w:ascii="Verdana" w:hAnsi="Verdana" w:cs="Arial"/>
          <w:sz w:val="14"/>
          <w:szCs w:val="14"/>
        </w:rPr>
        <w:t>”</w:t>
      </w:r>
      <w:r w:rsidRPr="00A55A00">
        <w:rPr>
          <w:rStyle w:val="Refdenotaalpie"/>
          <w:rFonts w:ascii="Verdana" w:hAnsi="Verdana" w:cs="Arial"/>
          <w:sz w:val="14"/>
          <w:szCs w:val="14"/>
          <w:vertAlign w:val="baseline"/>
        </w:rPr>
        <w:t>.</w:t>
      </w:r>
    </w:p>
  </w:footnote>
  <w:footnote w:id="29">
    <w:p w14:paraId="0CFDEAF0" w14:textId="77777777" w:rsidR="009F0010" w:rsidRPr="00A55A00" w:rsidRDefault="009F0010" w:rsidP="009F0010">
      <w:pPr>
        <w:spacing w:after="0" w:line="240" w:lineRule="auto"/>
        <w:ind w:firstLine="707"/>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w:t>
      </w:r>
      <w:r w:rsidRPr="00A55A00">
        <w:rPr>
          <w:rFonts w:ascii="Verdana" w:hAnsi="Verdana" w:cs="Arial"/>
          <w:position w:val="6"/>
          <w:sz w:val="14"/>
          <w:szCs w:val="14"/>
        </w:rPr>
        <w:t xml:space="preserve"> </w:t>
      </w:r>
      <w:r w:rsidRPr="00A55A00">
        <w:rPr>
          <w:rFonts w:ascii="Verdana" w:hAnsi="Verdana" w:cs="Arial"/>
          <w:sz w:val="14"/>
          <w:szCs w:val="14"/>
        </w:rPr>
        <w:t xml:space="preserve">Colombia Compra Eficiente. Concepto 2201913000008606, del 19 de noviembre de 2019. </w:t>
      </w:r>
    </w:p>
  </w:footnote>
  <w:footnote w:id="30">
    <w:p w14:paraId="042AB536" w14:textId="77777777" w:rsidR="009F0010" w:rsidRPr="00A55A00" w:rsidRDefault="009F0010" w:rsidP="009F0010">
      <w:pPr>
        <w:pStyle w:val="Textonotapie"/>
        <w:ind w:firstLine="707"/>
        <w:jc w:val="both"/>
        <w:rPr>
          <w:rFonts w:ascii="Verdana" w:hAnsi="Verdana" w:cs="Arial"/>
          <w:sz w:val="14"/>
          <w:szCs w:val="14"/>
          <w:lang w:val="es-CO"/>
        </w:rPr>
      </w:pPr>
      <w:r w:rsidRPr="00A55A00">
        <w:rPr>
          <w:rStyle w:val="Refdenotaalpie"/>
          <w:rFonts w:ascii="Verdana" w:hAnsi="Verdana" w:cs="Arial"/>
          <w:sz w:val="14"/>
          <w:szCs w:val="14"/>
        </w:rPr>
        <w:footnoteRef/>
      </w:r>
      <w:r w:rsidRPr="00A55A00">
        <w:rPr>
          <w:rFonts w:ascii="Verdana" w:hAnsi="Verdana" w:cs="Arial"/>
          <w:sz w:val="14"/>
          <w:szCs w:val="14"/>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757678AF" w14:textId="77777777" w:rsidR="009F0010" w:rsidRPr="00A55A00" w:rsidRDefault="009F0010" w:rsidP="009F0010">
      <w:pPr>
        <w:pStyle w:val="Textonotapie"/>
        <w:ind w:firstLine="709"/>
        <w:jc w:val="both"/>
        <w:rPr>
          <w:rFonts w:ascii="Verdana" w:hAnsi="Verdana"/>
          <w:sz w:val="14"/>
          <w:szCs w:val="14"/>
        </w:rPr>
      </w:pPr>
      <w:r w:rsidRPr="00A55A00">
        <w:rPr>
          <w:rStyle w:val="Refdenotaalpie"/>
          <w:rFonts w:ascii="Verdana" w:hAnsi="Verdana"/>
          <w:sz w:val="14"/>
          <w:szCs w:val="14"/>
        </w:rPr>
        <w:footnoteRef/>
      </w:r>
      <w:r w:rsidRPr="00A55A00">
        <w:rPr>
          <w:rFonts w:ascii="Verdana" w:hAnsi="Verdana"/>
          <w:sz w:val="14"/>
          <w:szCs w:val="14"/>
        </w:rPr>
        <w:t xml:space="preserve">  Ley 1575 de 2012: “Los cuerpos de bomberos no podrán cobrar suma alguna a la ciudadanía o exigir compensación de cualquier naturaleza en contraprestación a los servicios de emergencia”.</w:t>
      </w:r>
    </w:p>
  </w:footnote>
  <w:footnote w:id="32">
    <w:p w14:paraId="5D00C7E2" w14:textId="77777777" w:rsidR="009F0010" w:rsidRPr="00A55A00" w:rsidRDefault="009F0010" w:rsidP="009F0010">
      <w:pPr>
        <w:pStyle w:val="Textonotapie"/>
        <w:ind w:firstLine="709"/>
        <w:jc w:val="both"/>
        <w:rPr>
          <w:rFonts w:ascii="Verdana" w:hAnsi="Verdana"/>
          <w:sz w:val="14"/>
          <w:szCs w:val="14"/>
        </w:rPr>
      </w:pPr>
      <w:r w:rsidRPr="00A55A00">
        <w:rPr>
          <w:rStyle w:val="Refdenotaalpie"/>
          <w:rFonts w:ascii="Verdana" w:hAnsi="Verdana"/>
          <w:sz w:val="14"/>
          <w:szCs w:val="14"/>
        </w:rPr>
        <w:footnoteRef/>
      </w:r>
      <w:r w:rsidRPr="00A55A00">
        <w:rPr>
          <w:rFonts w:ascii="Verdana" w:hAnsi="Verdana"/>
          <w:sz w:val="14"/>
          <w:szCs w:val="14"/>
        </w:rPr>
        <w:t xml:space="preserve"> Ley 1523 de 2012: “</w:t>
      </w:r>
      <w:r w:rsidRPr="00A55A00">
        <w:rPr>
          <w:rFonts w:ascii="Verdana" w:hAnsi="Verdana"/>
          <w:sz w:val="14"/>
          <w:szCs w:val="14"/>
          <w:lang w:val="es-CO"/>
        </w:rPr>
        <w:t>Artículo 4°. </w:t>
      </w:r>
      <w:r w:rsidRPr="00A55A00">
        <w:rPr>
          <w:rFonts w:ascii="Verdana" w:hAnsi="Verdana"/>
          <w:i/>
          <w:iCs/>
          <w:sz w:val="14"/>
          <w:szCs w:val="14"/>
          <w:lang w:val="es-CO"/>
        </w:rPr>
        <w:t>Definiciones. </w:t>
      </w:r>
      <w:r w:rsidRPr="00A55A00">
        <w:rPr>
          <w:rFonts w:ascii="Verdana" w:hAnsi="Verdana"/>
          <w:sz w:val="14"/>
          <w:szCs w:val="14"/>
          <w:lang w:val="es-CO"/>
        </w:rPr>
        <w:t>Para efectos de la presente ley se entenderá por:</w:t>
      </w:r>
      <w:r w:rsidRPr="00A55A00">
        <w:rPr>
          <w:rFonts w:ascii="Verdana" w:hAnsi="Verdana"/>
          <w:sz w:val="14"/>
          <w:szCs w:val="14"/>
        </w:rPr>
        <w:t xml:space="preserve"> </w:t>
      </w:r>
    </w:p>
    <w:p w14:paraId="0201221D" w14:textId="77777777" w:rsidR="009F0010" w:rsidRPr="00A55A00" w:rsidRDefault="009F0010" w:rsidP="009F0010">
      <w:pPr>
        <w:pStyle w:val="Textonotapie"/>
        <w:ind w:firstLine="709"/>
        <w:jc w:val="both"/>
        <w:rPr>
          <w:rFonts w:ascii="Verdana" w:hAnsi="Verdana"/>
          <w:sz w:val="14"/>
          <w:szCs w:val="14"/>
        </w:rPr>
      </w:pPr>
      <w:r w:rsidRPr="00A55A00">
        <w:rPr>
          <w:rFonts w:ascii="Verdana" w:hAnsi="Verdana"/>
          <w:sz w:val="14"/>
          <w:szCs w:val="14"/>
        </w:rPr>
        <w:t>[…]</w:t>
      </w:r>
    </w:p>
    <w:p w14:paraId="0086736D" w14:textId="77777777" w:rsidR="009F0010" w:rsidRPr="00A55A00" w:rsidRDefault="009F0010" w:rsidP="009F0010">
      <w:pPr>
        <w:pStyle w:val="Textonotapie"/>
        <w:ind w:firstLine="709"/>
        <w:jc w:val="both"/>
        <w:rPr>
          <w:rFonts w:ascii="Verdana" w:hAnsi="Verdana"/>
          <w:sz w:val="14"/>
          <w:szCs w:val="14"/>
          <w:lang w:val="es-CO"/>
        </w:rPr>
      </w:pPr>
      <w:r w:rsidRPr="00A55A00">
        <w:rPr>
          <w:rFonts w:ascii="Verdana" w:hAnsi="Verdana"/>
          <w:sz w:val="14"/>
          <w:szCs w:val="14"/>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4106DB9D" w14:textId="77777777" w:rsidR="009F0010" w:rsidRPr="00A55A00" w:rsidRDefault="009F0010" w:rsidP="009F0010">
      <w:pPr>
        <w:pStyle w:val="Textonotapie"/>
        <w:ind w:firstLine="709"/>
        <w:jc w:val="both"/>
        <w:rPr>
          <w:rFonts w:ascii="Verdana" w:hAnsi="Verdana"/>
          <w:sz w:val="14"/>
          <w:szCs w:val="14"/>
        </w:rPr>
      </w:pPr>
      <w:r w:rsidRPr="00A55A00">
        <w:rPr>
          <w:rFonts w:ascii="Verdana" w:hAnsi="Verdana"/>
          <w:sz w:val="14"/>
          <w:szCs w:val="14"/>
        </w:rPr>
        <w:t>[…]</w:t>
      </w:r>
    </w:p>
    <w:p w14:paraId="3F23FDA8" w14:textId="77777777" w:rsidR="009F0010" w:rsidRPr="00A55A00" w:rsidRDefault="009F0010" w:rsidP="009F0010">
      <w:pPr>
        <w:pStyle w:val="Textonotapie"/>
        <w:ind w:firstLine="709"/>
        <w:jc w:val="both"/>
        <w:rPr>
          <w:rFonts w:ascii="Verdana" w:hAnsi="Verdana"/>
          <w:sz w:val="14"/>
          <w:szCs w:val="14"/>
          <w:lang w:val="es-CO"/>
        </w:rPr>
      </w:pPr>
      <w:r w:rsidRPr="00A55A00">
        <w:rPr>
          <w:rFonts w:ascii="Verdana" w:hAnsi="Verdana"/>
          <w:sz w:val="14"/>
          <w:szCs w:val="14"/>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62C6E4C7" w14:textId="77777777" w:rsidR="009F0010" w:rsidRPr="00A55A00" w:rsidRDefault="009F0010" w:rsidP="009F0010">
      <w:pPr>
        <w:pStyle w:val="Textonotapie"/>
        <w:ind w:firstLine="709"/>
        <w:jc w:val="both"/>
        <w:rPr>
          <w:rFonts w:ascii="Verdana" w:hAnsi="Verdana"/>
          <w:sz w:val="14"/>
          <w:szCs w:val="14"/>
          <w:lang w:val="es-CO"/>
        </w:rPr>
      </w:pPr>
      <w:r w:rsidRPr="00A55A00">
        <w:rPr>
          <w:rFonts w:ascii="Verdana" w:hAnsi="Verdana"/>
          <w:sz w:val="14"/>
          <w:szCs w:val="14"/>
          <w:lang w:val="es-CO"/>
        </w:rPr>
        <w:t>[…]</w:t>
      </w:r>
    </w:p>
    <w:p w14:paraId="0343A2D4" w14:textId="77777777" w:rsidR="009F0010" w:rsidRPr="00A55A00" w:rsidRDefault="009F0010" w:rsidP="009F0010">
      <w:pPr>
        <w:pStyle w:val="Textonotapie"/>
        <w:ind w:firstLine="709"/>
        <w:jc w:val="both"/>
        <w:rPr>
          <w:rFonts w:ascii="Verdana" w:hAnsi="Verdana"/>
          <w:sz w:val="14"/>
          <w:szCs w:val="14"/>
        </w:rPr>
      </w:pPr>
      <w:r w:rsidRPr="00A55A00">
        <w:rPr>
          <w:rFonts w:ascii="Verdana" w:hAnsi="Verdana"/>
          <w:sz w:val="14"/>
          <w:szCs w:val="14"/>
        </w:rPr>
        <w:t xml:space="preserve">Artículo 35. </w:t>
      </w:r>
      <w:r w:rsidRPr="00A55A00">
        <w:rPr>
          <w:rFonts w:ascii="Verdana" w:hAnsi="Verdana"/>
          <w:i/>
          <w:iCs/>
          <w:sz w:val="14"/>
          <w:szCs w:val="14"/>
        </w:rPr>
        <w:t>Estrategia Nacional para la Respuesta a Emergencias. </w:t>
      </w:r>
      <w:r w:rsidRPr="00A55A00">
        <w:rPr>
          <w:rFonts w:ascii="Verdana" w:hAnsi="Verdana"/>
          <w:sz w:val="14"/>
          <w:szCs w:val="14"/>
        </w:rPr>
        <w:t>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54CA4E25" w14:textId="77777777" w:rsidR="009F0010" w:rsidRPr="00A55A00" w:rsidRDefault="009F0010" w:rsidP="009F0010">
      <w:pPr>
        <w:pStyle w:val="Textonotapie"/>
        <w:ind w:firstLine="709"/>
        <w:jc w:val="both"/>
        <w:rPr>
          <w:rFonts w:ascii="Verdana" w:hAnsi="Verdana"/>
          <w:sz w:val="14"/>
          <w:szCs w:val="14"/>
        </w:rPr>
      </w:pPr>
      <w:r w:rsidRPr="00A55A00">
        <w:rPr>
          <w:rFonts w:ascii="Verdana" w:hAnsi="Verdana"/>
          <w:sz w:val="14"/>
          <w:szCs w:val="14"/>
        </w:rPr>
        <w:t>Parágrafo.</w:t>
      </w:r>
    </w:p>
    <w:p w14:paraId="7024C4F2" w14:textId="77777777" w:rsidR="009F0010" w:rsidRPr="00A55A00" w:rsidRDefault="009F0010" w:rsidP="009F0010">
      <w:pPr>
        <w:pStyle w:val="Textonotapie"/>
        <w:ind w:firstLine="709"/>
        <w:jc w:val="both"/>
        <w:rPr>
          <w:rFonts w:ascii="Verdana" w:hAnsi="Verdana"/>
          <w:sz w:val="14"/>
          <w:szCs w:val="14"/>
          <w:lang w:val="es-CO"/>
        </w:rPr>
      </w:pPr>
      <w:r w:rsidRPr="00A55A00">
        <w:rPr>
          <w:rFonts w:ascii="Verdana" w:hAnsi="Verdana"/>
          <w:sz w:val="14"/>
          <w:szCs w:val="14"/>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footnote>
  <w:footnote w:id="33">
    <w:p w14:paraId="4DA47126" w14:textId="77777777" w:rsidR="009F0010" w:rsidRPr="00A55A00" w:rsidRDefault="009F0010" w:rsidP="009F0010">
      <w:pPr>
        <w:pStyle w:val="Textonotapie"/>
        <w:ind w:firstLine="709"/>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w:t>
      </w:r>
      <w:r w:rsidRPr="00A55A00">
        <w:rPr>
          <w:rFonts w:ascii="Verdana" w:hAnsi="Verdana"/>
          <w:sz w:val="14"/>
          <w:szCs w:val="14"/>
          <w:lang w:val="es-CO"/>
        </w:rPr>
        <w:t xml:space="preserve">Disponible en: </w:t>
      </w:r>
      <w:hyperlink r:id="rId1" w:history="1">
        <w:r w:rsidRPr="00A55A00">
          <w:rPr>
            <w:rStyle w:val="Hipervnculo"/>
            <w:rFonts w:ascii="Verdana" w:hAnsi="Verdana"/>
            <w:sz w:val="14"/>
            <w:szCs w:val="14"/>
            <w:lang w:val="es-CO"/>
          </w:rPr>
          <w:t>https://www.colombiacompra.gov.co/node/23710</w:t>
        </w:r>
      </w:hyperlink>
      <w:r w:rsidRPr="00A55A00">
        <w:rPr>
          <w:rFonts w:ascii="Verdana" w:hAnsi="Verdana"/>
          <w:sz w:val="14"/>
          <w:szCs w:val="14"/>
          <w:lang w:val="es-CO"/>
        </w:rPr>
        <w:t xml:space="preserve"> </w:t>
      </w:r>
    </w:p>
  </w:footnote>
  <w:footnote w:id="34">
    <w:p w14:paraId="389594C0" w14:textId="77777777" w:rsidR="009F0010" w:rsidRPr="00A55A00" w:rsidRDefault="009F0010" w:rsidP="009F0010">
      <w:pPr>
        <w:pStyle w:val="Textonotapie"/>
        <w:ind w:firstLine="709"/>
        <w:jc w:val="both"/>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Disponible en: </w:t>
      </w:r>
      <w:hyperlink r:id="rId2" w:history="1">
        <w:r w:rsidRPr="00A55A00">
          <w:rPr>
            <w:rStyle w:val="Hipervnculo"/>
            <w:rFonts w:ascii="Verdana" w:hAnsi="Verdana"/>
            <w:sz w:val="14"/>
            <w:szCs w:val="14"/>
          </w:rPr>
          <w:t>https://www.colombiacompra.gov.co/base-conocimiento/gestion-contractual-envio-del-contrato-secop-ii</w:t>
        </w:r>
      </w:hyperlink>
      <w:r w:rsidRPr="00A55A00">
        <w:rPr>
          <w:rFonts w:ascii="Verdana" w:hAnsi="Verdana"/>
          <w:sz w:val="14"/>
          <w:szCs w:val="14"/>
        </w:rPr>
        <w:t xml:space="preserve"> </w:t>
      </w:r>
    </w:p>
  </w:footnote>
  <w:footnote w:id="35">
    <w:p w14:paraId="5D784A56" w14:textId="77777777" w:rsidR="009F0010" w:rsidRPr="00A55A00" w:rsidRDefault="009F0010" w:rsidP="009F0010">
      <w:pPr>
        <w:pStyle w:val="Textonotapie"/>
        <w:ind w:firstLine="709"/>
        <w:jc w:val="both"/>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w:t>
      </w:r>
      <w:r w:rsidRPr="00A55A00">
        <w:rPr>
          <w:rFonts w:ascii="Verdana" w:hAnsi="Verdana"/>
          <w:sz w:val="14"/>
          <w:szCs w:val="14"/>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A55A00">
        <w:rPr>
          <w:rFonts w:ascii="Verdana" w:hAnsi="Verdana"/>
          <w:sz w:val="14"/>
          <w:szCs w:val="14"/>
        </w:rPr>
        <w:t xml:space="preserve"> </w:t>
      </w:r>
      <w:hyperlink r:id="rId3" w:history="1">
        <w:r w:rsidRPr="00A55A00">
          <w:rPr>
            <w:rStyle w:val="Hipervnculo"/>
            <w:rFonts w:ascii="Verdana" w:hAnsi="Verdana"/>
            <w:sz w:val="14"/>
            <w:szCs w:val="14"/>
            <w:lang w:val="es-CO"/>
          </w:rPr>
          <w:t>https://www.colombiacompra.gov.co/base-conocimiento/configuracion-de-cuentas-secop-ii</w:t>
        </w:r>
      </w:hyperlink>
      <w:r w:rsidRPr="00A55A00">
        <w:rPr>
          <w:rFonts w:ascii="Verdana" w:hAnsi="Verdana"/>
          <w:sz w:val="14"/>
          <w:szCs w:val="14"/>
          <w:lang w:val="es-CO"/>
        </w:rPr>
        <w:t xml:space="preserve"> </w:t>
      </w:r>
    </w:p>
  </w:footnote>
  <w:footnote w:id="36">
    <w:p w14:paraId="6AC8B51C" w14:textId="77777777" w:rsidR="009F0010" w:rsidRPr="00A55A00" w:rsidRDefault="009F0010" w:rsidP="009F0010">
      <w:pPr>
        <w:spacing w:after="0" w:line="240" w:lineRule="auto"/>
        <w:ind w:firstLine="707"/>
        <w:jc w:val="both"/>
        <w:rPr>
          <w:rFonts w:ascii="Verdana" w:hAnsi="Verdana" w:cs="Arial"/>
          <w:sz w:val="14"/>
          <w:szCs w:val="14"/>
        </w:rPr>
      </w:pPr>
      <w:r w:rsidRPr="00A55A00">
        <w:rPr>
          <w:rStyle w:val="Refdenotaalpie"/>
          <w:rFonts w:ascii="Verdana" w:hAnsi="Verdana" w:cs="Arial"/>
          <w:sz w:val="14"/>
          <w:szCs w:val="14"/>
        </w:rPr>
        <w:footnoteRef/>
      </w:r>
      <w:r w:rsidRPr="00A55A00">
        <w:rPr>
          <w:rFonts w:ascii="Verdana" w:hAnsi="Verdana" w:cs="Arial"/>
          <w:sz w:val="14"/>
          <w:szCs w:val="14"/>
        </w:rPr>
        <w:t xml:space="preserve"> “Artículo 44. Los contratos del Estado son absolutamente nulos en los casos previstos en el derecho común y además cuando:</w:t>
      </w:r>
    </w:p>
    <w:p w14:paraId="30D8D448" w14:textId="77777777" w:rsidR="009F0010" w:rsidRPr="00A55A00" w:rsidRDefault="009F0010" w:rsidP="009F0010">
      <w:pPr>
        <w:spacing w:after="0" w:line="240" w:lineRule="auto"/>
        <w:ind w:firstLine="708"/>
        <w:jc w:val="both"/>
        <w:rPr>
          <w:rFonts w:ascii="Verdana" w:hAnsi="Verdana" w:cs="Arial"/>
          <w:sz w:val="14"/>
          <w:szCs w:val="14"/>
        </w:rPr>
      </w:pPr>
      <w:r w:rsidRPr="00A55A00">
        <w:rPr>
          <w:rFonts w:ascii="Verdana" w:hAnsi="Verdana" w:cs="Arial"/>
          <w:sz w:val="14"/>
          <w:szCs w:val="14"/>
        </w:rPr>
        <w:t>1o. Se celebren con personas incursas en causales de inhabilidad o incompatibilidad previstas en la Constitución y la ley;</w:t>
      </w:r>
    </w:p>
    <w:p w14:paraId="09549139" w14:textId="77777777" w:rsidR="009F0010" w:rsidRPr="00A55A00" w:rsidRDefault="009F0010" w:rsidP="009F0010">
      <w:pPr>
        <w:spacing w:after="0" w:line="240" w:lineRule="auto"/>
        <w:ind w:firstLine="708"/>
        <w:jc w:val="both"/>
        <w:rPr>
          <w:rFonts w:ascii="Verdana" w:hAnsi="Verdana" w:cs="Arial"/>
          <w:sz w:val="14"/>
          <w:szCs w:val="14"/>
        </w:rPr>
      </w:pPr>
      <w:r w:rsidRPr="00A55A00">
        <w:rPr>
          <w:rFonts w:ascii="Verdana" w:hAnsi="Verdana" w:cs="Arial"/>
          <w:sz w:val="14"/>
          <w:szCs w:val="14"/>
        </w:rPr>
        <w:t xml:space="preserve">2o. Se celebren contra expresa prohibición constitucional o legal; </w:t>
      </w:r>
    </w:p>
    <w:p w14:paraId="0C53DAA1" w14:textId="77777777" w:rsidR="009F0010" w:rsidRPr="00A55A00" w:rsidRDefault="009F0010" w:rsidP="009F0010">
      <w:pPr>
        <w:spacing w:after="0" w:line="240" w:lineRule="auto"/>
        <w:ind w:firstLine="708"/>
        <w:jc w:val="both"/>
        <w:rPr>
          <w:rFonts w:ascii="Verdana" w:hAnsi="Verdana" w:cs="Arial"/>
          <w:sz w:val="14"/>
          <w:szCs w:val="14"/>
        </w:rPr>
      </w:pPr>
      <w:r w:rsidRPr="00A55A00">
        <w:rPr>
          <w:rFonts w:ascii="Verdana" w:hAnsi="Verdana" w:cs="Arial"/>
          <w:sz w:val="14"/>
          <w:szCs w:val="14"/>
        </w:rPr>
        <w:t>3o. Se celebren con abuso o desviación de poder;</w:t>
      </w:r>
    </w:p>
    <w:p w14:paraId="07F6F855" w14:textId="77777777" w:rsidR="009F0010" w:rsidRPr="00A55A00" w:rsidRDefault="009F0010" w:rsidP="009F0010">
      <w:pPr>
        <w:spacing w:after="0" w:line="240" w:lineRule="auto"/>
        <w:ind w:firstLine="708"/>
        <w:jc w:val="both"/>
        <w:rPr>
          <w:rFonts w:ascii="Verdana" w:hAnsi="Verdana" w:cs="Arial"/>
          <w:sz w:val="14"/>
          <w:szCs w:val="14"/>
        </w:rPr>
      </w:pPr>
      <w:r w:rsidRPr="00A55A00">
        <w:rPr>
          <w:rFonts w:ascii="Verdana" w:hAnsi="Verdana" w:cs="Arial"/>
          <w:sz w:val="14"/>
          <w:szCs w:val="14"/>
        </w:rPr>
        <w:t>4o. Se declaren nulos los actos administrativos en que se fundamenten; y</w:t>
      </w:r>
    </w:p>
    <w:p w14:paraId="28A17DF1" w14:textId="77777777" w:rsidR="009F0010" w:rsidRPr="00A55A00" w:rsidRDefault="009F0010" w:rsidP="009F0010">
      <w:pPr>
        <w:spacing w:after="0" w:line="240" w:lineRule="auto"/>
        <w:ind w:firstLine="708"/>
        <w:jc w:val="both"/>
        <w:rPr>
          <w:rFonts w:ascii="Verdana" w:hAnsi="Verdana" w:cs="Arial"/>
          <w:sz w:val="14"/>
          <w:szCs w:val="14"/>
        </w:rPr>
      </w:pPr>
      <w:r w:rsidRPr="00A55A00">
        <w:rPr>
          <w:rFonts w:ascii="Verdana" w:hAnsi="Verdana" w:cs="Arial"/>
          <w:sz w:val="14"/>
          <w:szCs w:val="14"/>
        </w:rPr>
        <w:t>5o. Se hubieren celebrado con desconocimiento de los criterios previstos en el artículo 21 sobre tratamiento de ofertas nacionales y extranjeras o con violación de la reciprocidad de que trata esta ley”.</w:t>
      </w:r>
    </w:p>
  </w:footnote>
  <w:footnote w:id="37">
    <w:p w14:paraId="56694EB5" w14:textId="77777777" w:rsidR="009F0010" w:rsidRPr="00A55A00" w:rsidRDefault="009F0010" w:rsidP="009F0010">
      <w:pPr>
        <w:pStyle w:val="Textonotapie"/>
        <w:ind w:firstLine="709"/>
        <w:rPr>
          <w:rFonts w:ascii="Verdana" w:hAnsi="Verdana"/>
          <w:sz w:val="14"/>
          <w:szCs w:val="14"/>
          <w:lang w:val="es-CO"/>
        </w:rPr>
      </w:pPr>
      <w:r w:rsidRPr="00A55A00">
        <w:rPr>
          <w:rStyle w:val="Refdenotaalpie"/>
          <w:rFonts w:ascii="Verdana" w:hAnsi="Verdana"/>
          <w:sz w:val="14"/>
          <w:szCs w:val="14"/>
        </w:rPr>
        <w:footnoteRef/>
      </w:r>
      <w:r w:rsidRPr="00A55A00">
        <w:rPr>
          <w:rFonts w:ascii="Verdana" w:hAnsi="Verdana"/>
          <w:sz w:val="14"/>
          <w:szCs w:val="14"/>
        </w:rPr>
        <w:t xml:space="preserve"> </w:t>
      </w:r>
      <w:r w:rsidRPr="00A55A00">
        <w:rPr>
          <w:rFonts w:ascii="Verdana" w:hAnsi="Verdana" w:cs="Arial"/>
          <w:sz w:val="14"/>
          <w:szCs w:val="14"/>
          <w:lang w:val="es-CO"/>
        </w:rPr>
        <w:t xml:space="preserve">Consejo de Estado, Sala de lo Contencioso Administrativo, Sección Tercera, Subsección A.  Primera. Sentencia de 11 de junio de 2014, expediente número 34649.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1354125">
    <w:abstractNumId w:val="6"/>
  </w:num>
  <w:num w:numId="2" w16cid:durableId="1901817841">
    <w:abstractNumId w:val="2"/>
  </w:num>
  <w:num w:numId="3" w16cid:durableId="1586302826">
    <w:abstractNumId w:val="4"/>
  </w:num>
  <w:num w:numId="4" w16cid:durableId="72260799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64144557">
    <w:abstractNumId w:val="2"/>
  </w:num>
  <w:num w:numId="6" w16cid:durableId="306517490">
    <w:abstractNumId w:val="13"/>
  </w:num>
  <w:num w:numId="7" w16cid:durableId="1145851555">
    <w:abstractNumId w:val="5"/>
  </w:num>
  <w:num w:numId="8" w16cid:durableId="1840265693">
    <w:abstractNumId w:val="12"/>
  </w:num>
  <w:num w:numId="9" w16cid:durableId="722145836">
    <w:abstractNumId w:val="7"/>
  </w:num>
  <w:num w:numId="10" w16cid:durableId="700206453">
    <w:abstractNumId w:val="11"/>
  </w:num>
  <w:num w:numId="11" w16cid:durableId="2013943478">
    <w:abstractNumId w:val="8"/>
  </w:num>
  <w:num w:numId="12" w16cid:durableId="1749568848">
    <w:abstractNumId w:val="1"/>
  </w:num>
  <w:num w:numId="13" w16cid:durableId="352732526">
    <w:abstractNumId w:val="3"/>
  </w:num>
  <w:num w:numId="14" w16cid:durableId="2140417931">
    <w:abstractNumId w:val="14"/>
  </w:num>
  <w:num w:numId="15" w16cid:durableId="389036491">
    <w:abstractNumId w:val="10"/>
  </w:num>
  <w:num w:numId="16" w16cid:durableId="1447578744">
    <w:abstractNumId w:val="0"/>
  </w:num>
  <w:num w:numId="17" w16cid:durableId="7476560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80B"/>
    <w:rsid w:val="00061B2A"/>
    <w:rsid w:val="00082362"/>
    <w:rsid w:val="000A683E"/>
    <w:rsid w:val="000B19B9"/>
    <w:rsid w:val="000D0334"/>
    <w:rsid w:val="000D5DA7"/>
    <w:rsid w:val="000F6486"/>
    <w:rsid w:val="00116940"/>
    <w:rsid w:val="00125105"/>
    <w:rsid w:val="00127233"/>
    <w:rsid w:val="0015699B"/>
    <w:rsid w:val="00156A97"/>
    <w:rsid w:val="001A261B"/>
    <w:rsid w:val="001A33BF"/>
    <w:rsid w:val="001A5B0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257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471B"/>
    <w:rsid w:val="00646B9F"/>
    <w:rsid w:val="00650744"/>
    <w:rsid w:val="00665D70"/>
    <w:rsid w:val="006900D9"/>
    <w:rsid w:val="00706C16"/>
    <w:rsid w:val="007340C3"/>
    <w:rsid w:val="0075235A"/>
    <w:rsid w:val="00756841"/>
    <w:rsid w:val="007649AB"/>
    <w:rsid w:val="0077125E"/>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145D"/>
    <w:rsid w:val="009B2D26"/>
    <w:rsid w:val="009C71FA"/>
    <w:rsid w:val="009C72E7"/>
    <w:rsid w:val="009C7F7E"/>
    <w:rsid w:val="009D3058"/>
    <w:rsid w:val="009F0010"/>
    <w:rsid w:val="009F3A13"/>
    <w:rsid w:val="00A122D3"/>
    <w:rsid w:val="00A14468"/>
    <w:rsid w:val="00A17F13"/>
    <w:rsid w:val="00A20739"/>
    <w:rsid w:val="00A23AF9"/>
    <w:rsid w:val="00A33C78"/>
    <w:rsid w:val="00A81297"/>
    <w:rsid w:val="00A85398"/>
    <w:rsid w:val="00AA48A5"/>
    <w:rsid w:val="00AB0ADB"/>
    <w:rsid w:val="00AD5345"/>
    <w:rsid w:val="00B00C0E"/>
    <w:rsid w:val="00B01B1A"/>
    <w:rsid w:val="00B0381D"/>
    <w:rsid w:val="00B44A47"/>
    <w:rsid w:val="00B72CD3"/>
    <w:rsid w:val="00B72FFF"/>
    <w:rsid w:val="00B9420E"/>
    <w:rsid w:val="00BC3D36"/>
    <w:rsid w:val="00BD54A6"/>
    <w:rsid w:val="00BD5ED0"/>
    <w:rsid w:val="00BD7F72"/>
    <w:rsid w:val="00BF7425"/>
    <w:rsid w:val="00C012AB"/>
    <w:rsid w:val="00C0196D"/>
    <w:rsid w:val="00C04FB3"/>
    <w:rsid w:val="00C11D8B"/>
    <w:rsid w:val="00C15139"/>
    <w:rsid w:val="00C330EB"/>
    <w:rsid w:val="00C50D69"/>
    <w:rsid w:val="00C5365C"/>
    <w:rsid w:val="00C754BE"/>
    <w:rsid w:val="00C76B1C"/>
    <w:rsid w:val="00C925AC"/>
    <w:rsid w:val="00CA726D"/>
    <w:rsid w:val="00CB6357"/>
    <w:rsid w:val="00CC1B26"/>
    <w:rsid w:val="00D361FD"/>
    <w:rsid w:val="00D423A2"/>
    <w:rsid w:val="00D44E26"/>
    <w:rsid w:val="00D520D8"/>
    <w:rsid w:val="00D545BA"/>
    <w:rsid w:val="00D63AC2"/>
    <w:rsid w:val="00D72E01"/>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79"/>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012A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12AB"/>
    <w:rPr>
      <w:rFonts w:ascii="Geomanist Light" w:hAnsi="Geomanist Light"/>
      <w:lang w:val="es-ES"/>
    </w:rPr>
  </w:style>
  <w:style w:type="character" w:customStyle="1" w:styleId="baj">
    <w:name w:val="b_aj"/>
    <w:basedOn w:val="Fuentedeprrafopredeter"/>
    <w:rsid w:val="00C012AB"/>
  </w:style>
  <w:style w:type="character" w:customStyle="1" w:styleId="NormalWebCar">
    <w:name w:val="Normal (Web) Car"/>
    <w:link w:val="NormalWeb"/>
    <w:uiPriority w:val="99"/>
    <w:locked/>
    <w:rsid w:val="00C012AB"/>
    <w:rPr>
      <w:rFonts w:ascii="Times New Roman" w:eastAsia="Times New Roman" w:hAnsi="Times New Roman" w:cs="Times New Roman"/>
      <w:sz w:val="24"/>
      <w:szCs w:val="24"/>
      <w:lang w:eastAsia="es-CO"/>
    </w:rPr>
  </w:style>
  <w:style w:type="character" w:customStyle="1" w:styleId="s15">
    <w:name w:val="s15"/>
    <w:basedOn w:val="Fuentedeprrafopredeter"/>
    <w:rsid w:val="009F0010"/>
  </w:style>
  <w:style w:type="character" w:customStyle="1" w:styleId="apple-converted-space">
    <w:name w:val="apple-converted-space"/>
    <w:basedOn w:val="Fuentedeprrafopredeter"/>
    <w:rsid w:val="009F0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pqrsd/informacion-importante-antes-de-formular-una-pqrsd"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ventanilladeradicacion@colombiacompr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s.office.com/r/pPHyWVs2SZ"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configuracion-de-cuentas-secop-ii" TargetMode="External"/><Relationship Id="rId2" Type="http://schemas.openxmlformats.org/officeDocument/2006/relationships/hyperlink" Target="https://www.colombiacompra.gov.co/base-conocimiento/gestion-contractual-envio-del-contrato-secop-ii" TargetMode="External"/><Relationship Id="rId1" Type="http://schemas.openxmlformats.org/officeDocument/2006/relationships/hyperlink" Target="https://www.colombiacompra.gov.co/node/2371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64CBE3B-621C-495B-A4DF-0A70836752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37</Pages>
  <Words>12924</Words>
  <Characters>69533</Characters>
  <Application>Microsoft Office Word</Application>
  <DocSecurity>0</DocSecurity>
  <Lines>1241</Lines>
  <Paragraphs>209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2026-04-09T18:14:00Z</dcterms:created>
  <dcterms:modified xsi:type="dcterms:W3CDTF">2026-04-09T21:14:00Z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