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901BF5" w14:textId="77777777" w:rsidR="00640D15" w:rsidRDefault="00640D15" w:rsidP="00640D15">
      <w:pPr>
        <w:spacing w:after="0" w:line="240" w:lineRule="auto"/>
        <w:jc w:val="both"/>
        <w:rPr>
          <w:rFonts w:ascii="Verdana" w:hAnsi="Verdana" w:cs="Arial"/>
          <w:b/>
          <w:bCs/>
          <w:color w:val="000000" w:themeColor="text1"/>
        </w:rPr>
      </w:pPr>
      <w:bookmarkStart w:id="0" w:name="_Hlk143780582"/>
      <w:r w:rsidRPr="00BA16EC">
        <w:rPr>
          <w:rFonts w:ascii="Verdana" w:hAnsi="Verdana" w:cs="Arial"/>
          <w:b/>
          <w:bCs/>
          <w:color w:val="000000" w:themeColor="text1"/>
        </w:rPr>
        <w:t xml:space="preserve">LEY DE GARANTÍAS ELECTORALES – Propósito </w:t>
      </w:r>
    </w:p>
    <w:p w14:paraId="358D6E9B" w14:textId="77777777" w:rsidR="00640D15" w:rsidRDefault="00640D15" w:rsidP="00640D15">
      <w:pPr>
        <w:spacing w:after="0" w:line="240" w:lineRule="auto"/>
        <w:jc w:val="both"/>
        <w:rPr>
          <w:rFonts w:ascii="Verdana" w:hAnsi="Verdana" w:cs="Arial"/>
          <w:b/>
          <w:bCs/>
          <w:color w:val="000000" w:themeColor="text1"/>
        </w:rPr>
      </w:pPr>
    </w:p>
    <w:p w14:paraId="0DD8F9AB" w14:textId="77777777" w:rsidR="00640D15" w:rsidRPr="00BA16EC" w:rsidRDefault="00640D15" w:rsidP="00640D15">
      <w:pPr>
        <w:tabs>
          <w:tab w:val="left" w:pos="426"/>
        </w:tabs>
        <w:spacing w:after="0" w:line="240" w:lineRule="auto"/>
        <w:jc w:val="both"/>
        <w:rPr>
          <w:rFonts w:ascii="Verdana" w:eastAsia="Calibri" w:hAnsi="Verdana" w:cs="Arial"/>
          <w:noProof/>
          <w:sz w:val="20"/>
          <w:szCs w:val="20"/>
          <w:lang w:val="es-ES_tradnl"/>
        </w:rPr>
      </w:pPr>
      <w:r w:rsidRPr="00BA16EC">
        <w:rPr>
          <w:rFonts w:ascii="Verdana" w:hAnsi="Verdana" w:cs="Arial"/>
          <w:color w:val="000000" w:themeColor="text1"/>
          <w:sz w:val="20"/>
          <w:szCs w:val="20"/>
        </w:rPr>
        <w:t xml:space="preserve">[…] </w:t>
      </w:r>
      <w:r w:rsidRPr="00BA16EC">
        <w:rPr>
          <w:rFonts w:ascii="Verdana" w:eastAsia="Times New Roman" w:hAnsi="Verdana" w:cs="Arial"/>
          <w:sz w:val="20"/>
          <w:szCs w:val="20"/>
          <w:lang w:eastAsia="es-CO"/>
        </w:rPr>
        <w:t>la Ley 996 de 2005 […]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BA16EC">
        <w:rPr>
          <w:rFonts w:ascii="Verdana" w:eastAsia="Calibri" w:hAnsi="Verdana" w:cs="Arial"/>
          <w:noProof/>
          <w:sz w:val="20"/>
          <w:szCs w:val="20"/>
          <w:lang w:val="es-ES_tradnl"/>
        </w:rPr>
        <w:t xml:space="preserve"> </w:t>
      </w:r>
    </w:p>
    <w:p w14:paraId="57EEC1ED" w14:textId="77777777" w:rsidR="00640D15" w:rsidRPr="00BA16EC" w:rsidRDefault="00640D15" w:rsidP="00640D15">
      <w:pPr>
        <w:spacing w:after="0" w:line="240" w:lineRule="auto"/>
        <w:jc w:val="both"/>
        <w:rPr>
          <w:rFonts w:ascii="Verdana" w:hAnsi="Verdana" w:cs="Arial"/>
          <w:b/>
          <w:bCs/>
          <w:color w:val="000000" w:themeColor="text1"/>
          <w:lang w:val="es-ES_tradnl"/>
        </w:rPr>
      </w:pPr>
    </w:p>
    <w:p w14:paraId="7D9292C3" w14:textId="77777777" w:rsidR="00640D15" w:rsidRPr="00BA16EC" w:rsidRDefault="00640D15" w:rsidP="00640D15">
      <w:pPr>
        <w:spacing w:after="0" w:line="240" w:lineRule="auto"/>
        <w:jc w:val="both"/>
        <w:rPr>
          <w:rFonts w:ascii="Verdana" w:hAnsi="Verdana" w:cs="Arial"/>
          <w:b/>
          <w:bCs/>
          <w:color w:val="000000" w:themeColor="text1"/>
        </w:rPr>
      </w:pPr>
      <w:r w:rsidRPr="00BA16EC">
        <w:rPr>
          <w:rFonts w:ascii="Verdana" w:hAnsi="Verdana" w:cs="Arial"/>
          <w:b/>
          <w:bCs/>
          <w:color w:val="000000" w:themeColor="text1"/>
        </w:rPr>
        <w:t xml:space="preserve">LEY DE GARANTÍAS ELECTORALES – Prohibiciones – Restricciones </w:t>
      </w:r>
    </w:p>
    <w:p w14:paraId="7B1531BB" w14:textId="77777777" w:rsidR="00640D15" w:rsidRDefault="00640D15" w:rsidP="00640D15">
      <w:pPr>
        <w:spacing w:after="0" w:line="240" w:lineRule="auto"/>
        <w:jc w:val="both"/>
        <w:rPr>
          <w:rFonts w:ascii="Verdana" w:hAnsi="Verdana" w:cs="Arial"/>
          <w:color w:val="000000" w:themeColor="text1"/>
        </w:rPr>
      </w:pPr>
    </w:p>
    <w:p w14:paraId="7721CC8A" w14:textId="77777777" w:rsidR="00640D15" w:rsidRDefault="00640D15" w:rsidP="00640D15">
      <w:pPr>
        <w:spacing w:after="0" w:line="240" w:lineRule="auto"/>
        <w:jc w:val="both"/>
        <w:rPr>
          <w:rFonts w:ascii="Verdana" w:eastAsia="Arial" w:hAnsi="Verdana" w:cs="Arial"/>
          <w:sz w:val="20"/>
          <w:szCs w:val="20"/>
          <w:lang w:val="es-ES" w:eastAsia="es-ES" w:bidi="es-ES"/>
        </w:rPr>
      </w:pPr>
      <w:r w:rsidRPr="00BA16EC">
        <w:rPr>
          <w:rFonts w:ascii="Verdana" w:eastAsia="Arial" w:hAnsi="Verdana" w:cs="Arial"/>
          <w:sz w:val="20"/>
          <w:szCs w:val="20"/>
          <w:lang w:val="es-ES" w:eastAsia="es-ES" w:bidi="es-ES"/>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w:t>
      </w:r>
      <w:r>
        <w:rPr>
          <w:rFonts w:ascii="Verdana" w:eastAsia="Arial" w:hAnsi="Verdana" w:cs="Arial"/>
          <w:sz w:val="20"/>
          <w:szCs w:val="20"/>
          <w:lang w:val="es-ES" w:eastAsia="es-ES" w:bidi="es-ES"/>
        </w:rPr>
        <w:t>.</w:t>
      </w:r>
    </w:p>
    <w:p w14:paraId="66B0C2D7" w14:textId="77777777" w:rsidR="00640D15" w:rsidRDefault="00640D15" w:rsidP="00640D15">
      <w:pPr>
        <w:spacing w:after="0" w:line="240" w:lineRule="auto"/>
        <w:jc w:val="both"/>
        <w:rPr>
          <w:rFonts w:ascii="Verdana" w:eastAsia="Arial" w:hAnsi="Verdana" w:cs="Arial"/>
          <w:sz w:val="20"/>
          <w:szCs w:val="20"/>
          <w:lang w:val="es-ES" w:eastAsia="es-ES" w:bidi="es-ES"/>
        </w:rPr>
      </w:pPr>
    </w:p>
    <w:p w14:paraId="262FA3EC" w14:textId="77777777" w:rsidR="00640D15" w:rsidRPr="00BA16EC" w:rsidRDefault="00640D15" w:rsidP="00640D15">
      <w:pPr>
        <w:spacing w:after="0" w:line="240" w:lineRule="auto"/>
        <w:jc w:val="both"/>
        <w:rPr>
          <w:rFonts w:ascii="Verdana" w:hAnsi="Verdana" w:cs="Arial"/>
          <w:b/>
          <w:bCs/>
          <w:color w:val="000000" w:themeColor="text1"/>
        </w:rPr>
      </w:pPr>
      <w:r w:rsidRPr="00BA16EC">
        <w:rPr>
          <w:rFonts w:ascii="Verdana" w:hAnsi="Verdana" w:cs="Arial"/>
          <w:b/>
          <w:bCs/>
          <w:color w:val="000000" w:themeColor="text1"/>
        </w:rPr>
        <w:t xml:space="preserve">LEY DE GARANTÍAS ELECTORALES – Artículo 33 – Ámbito material </w:t>
      </w:r>
    </w:p>
    <w:p w14:paraId="0CB06B35" w14:textId="77777777" w:rsidR="00640D15" w:rsidRDefault="00640D15" w:rsidP="00640D15">
      <w:pPr>
        <w:spacing w:after="0" w:line="240" w:lineRule="auto"/>
        <w:jc w:val="both"/>
        <w:rPr>
          <w:rFonts w:ascii="Verdana" w:hAnsi="Verdana" w:cs="Arial"/>
          <w:color w:val="000000" w:themeColor="text1"/>
        </w:rPr>
      </w:pPr>
    </w:p>
    <w:p w14:paraId="670D74E4" w14:textId="77777777" w:rsidR="00640D15" w:rsidRDefault="00640D15" w:rsidP="00640D15">
      <w:pPr>
        <w:spacing w:after="0" w:line="240" w:lineRule="auto"/>
        <w:jc w:val="both"/>
        <w:rPr>
          <w:rFonts w:ascii="Verdana" w:hAnsi="Verdana" w:cs="Arial"/>
          <w:sz w:val="20"/>
          <w:szCs w:val="20"/>
          <w:lang w:eastAsia="x-none"/>
        </w:rPr>
      </w:pPr>
      <w:r w:rsidRPr="00BA16EC">
        <w:rPr>
          <w:rFonts w:ascii="Verdana" w:hAnsi="Verdana" w:cs="Arial"/>
          <w:bCs/>
          <w:sz w:val="20"/>
          <w:szCs w:val="20"/>
          <w:lang w:eastAsia="x-none"/>
        </w:rPr>
        <w:t xml:space="preserve">El ámbito material de la prohibición contenida en el artículo 33 de la ley 996 de 2005 está delimitado por la expresión </w:t>
      </w:r>
      <w:r w:rsidRPr="00BA16EC">
        <w:rPr>
          <w:rFonts w:ascii="Verdana" w:eastAsia="Calibri" w:hAnsi="Verdana" w:cs="Arial"/>
          <w:bCs/>
          <w:i/>
          <w:iCs/>
          <w:sz w:val="20"/>
          <w:szCs w:val="20"/>
        </w:rPr>
        <w:t>“</w:t>
      </w:r>
      <w:r w:rsidRPr="00BA16EC">
        <w:rPr>
          <w:rFonts w:ascii="Verdana" w:hAnsi="Verdana" w:cs="Arial"/>
          <w:bCs/>
          <w:i/>
          <w:iCs/>
          <w:sz w:val="20"/>
          <w:szCs w:val="20"/>
          <w:lang w:eastAsia="x-none"/>
        </w:rPr>
        <w:t>queda prohibida la contratación directa</w:t>
      </w:r>
      <w:r w:rsidRPr="00BA16EC">
        <w:rPr>
          <w:rFonts w:ascii="Verdana" w:hAnsi="Verdana" w:cs="Arial"/>
          <w:sz w:val="20"/>
          <w:szCs w:val="20"/>
        </w:rPr>
        <w:t>”</w:t>
      </w:r>
      <w:r w:rsidRPr="00BA16EC">
        <w:rPr>
          <w:rFonts w:ascii="Verdana" w:hAnsi="Verdana" w:cs="Arial"/>
          <w:bCs/>
          <w:sz w:val="20"/>
          <w:szCs w:val="20"/>
          <w:lang w:eastAsia="x-none"/>
        </w:rPr>
        <w:t xml:space="preserve">. […] </w:t>
      </w:r>
      <w:r w:rsidRPr="00BA16EC">
        <w:rPr>
          <w:rFonts w:ascii="Verdana" w:hAnsi="Verdana" w:cs="Arial"/>
          <w:sz w:val="20"/>
          <w:szCs w:val="20"/>
          <w:lang w:eastAsia="x-none"/>
        </w:rPr>
        <w:t xml:space="preserve">De acuerdo con el citado concepto, la prohibición del artículo 33 de la Ley de Garantías Electorales se refiere a </w:t>
      </w:r>
      <w:r w:rsidRPr="00BA16EC">
        <w:rPr>
          <w:rFonts w:ascii="Verdana" w:hAnsi="Verdana" w:cs="Arial"/>
          <w:sz w:val="20"/>
          <w:szCs w:val="20"/>
          <w:lang w:eastAsia="en-GB"/>
        </w:rPr>
        <w:t>“</w:t>
      </w:r>
      <w:r w:rsidRPr="00BA16EC">
        <w:rPr>
          <w:rFonts w:ascii="Verdana" w:hAnsi="Verdana" w:cs="Arial"/>
          <w:sz w:val="20"/>
          <w:szCs w:val="20"/>
          <w:lang w:eastAsia="x-none"/>
        </w:rPr>
        <w:t>cualquier sistema que no implique convocatoria pública y posibilidad de pluralidad de oferentes</w:t>
      </w:r>
      <w:r w:rsidRPr="00BA16EC">
        <w:rPr>
          <w:rFonts w:ascii="Verdana" w:hAnsi="Verdana" w:cs="Arial"/>
          <w:sz w:val="20"/>
          <w:szCs w:val="20"/>
          <w:lang w:eastAsia="en-GB"/>
        </w:rPr>
        <w:t>”</w:t>
      </w:r>
      <w:r w:rsidRPr="00BA16EC">
        <w:rPr>
          <w:rFonts w:ascii="Verdana" w:hAnsi="Verdana" w:cs="Arial"/>
          <w:sz w:val="20"/>
          <w:szCs w:val="20"/>
          <w:lang w:eastAsia="x-none"/>
        </w:rPr>
        <w:t xml:space="preserve">, por lo que excluye las demás modalidades de contratación previstas en la Ley 1150 de 2007. </w:t>
      </w:r>
    </w:p>
    <w:p w14:paraId="0A4A4837" w14:textId="77777777" w:rsidR="00640D15" w:rsidRDefault="00640D15" w:rsidP="00640D15">
      <w:pPr>
        <w:spacing w:after="0" w:line="240" w:lineRule="auto"/>
        <w:jc w:val="both"/>
        <w:rPr>
          <w:rFonts w:ascii="Verdana" w:hAnsi="Verdana" w:cs="Arial"/>
          <w:sz w:val="20"/>
          <w:szCs w:val="20"/>
          <w:lang w:eastAsia="x-none"/>
        </w:rPr>
      </w:pPr>
    </w:p>
    <w:p w14:paraId="5EC12358" w14:textId="77777777" w:rsidR="00640D15" w:rsidRDefault="00640D15" w:rsidP="00640D15">
      <w:pPr>
        <w:spacing w:after="0" w:line="240" w:lineRule="auto"/>
        <w:jc w:val="both"/>
        <w:rPr>
          <w:rFonts w:ascii="Verdana" w:hAnsi="Verdana" w:cs="Arial"/>
          <w:sz w:val="20"/>
          <w:szCs w:val="20"/>
          <w:lang w:eastAsia="x-none"/>
        </w:rPr>
      </w:pPr>
      <w:r>
        <w:rPr>
          <w:rFonts w:ascii="Verdana" w:hAnsi="Verdana" w:cs="Arial"/>
          <w:sz w:val="20"/>
          <w:szCs w:val="20"/>
          <w:lang w:eastAsia="x-none"/>
        </w:rPr>
        <w:t>[…]</w:t>
      </w:r>
    </w:p>
    <w:p w14:paraId="3275DE1B" w14:textId="77777777" w:rsidR="00640D15" w:rsidRDefault="00640D15" w:rsidP="00640D15">
      <w:pPr>
        <w:spacing w:after="0" w:line="240" w:lineRule="auto"/>
        <w:jc w:val="both"/>
        <w:rPr>
          <w:rFonts w:ascii="Verdana" w:hAnsi="Verdana" w:cs="Arial"/>
          <w:color w:val="000000" w:themeColor="text1"/>
          <w:sz w:val="20"/>
          <w:szCs w:val="20"/>
        </w:rPr>
      </w:pPr>
    </w:p>
    <w:p w14:paraId="6ED6844D" w14:textId="77777777" w:rsidR="00640D15" w:rsidRDefault="00640D15" w:rsidP="00640D15">
      <w:pPr>
        <w:spacing w:after="0" w:line="240" w:lineRule="auto"/>
        <w:jc w:val="both"/>
        <w:rPr>
          <w:rFonts w:ascii="Verdana" w:hAnsi="Verdana" w:cs="Arial"/>
          <w:color w:val="000000" w:themeColor="text1"/>
          <w:sz w:val="20"/>
          <w:szCs w:val="20"/>
        </w:rPr>
      </w:pPr>
      <w:r w:rsidRPr="00BA16EC">
        <w:rPr>
          <w:rFonts w:ascii="Verdana" w:hAnsi="Verdana" w:cs="Arial"/>
          <w:color w:val="000000" w:themeColor="text1"/>
          <w:sz w:val="20"/>
          <w:szCs w:val="20"/>
        </w:rPr>
        <w:t>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Pr>
          <w:rFonts w:ascii="Verdana" w:hAnsi="Verdana" w:cs="Arial"/>
          <w:color w:val="000000" w:themeColor="text1"/>
          <w:sz w:val="20"/>
          <w:szCs w:val="20"/>
        </w:rPr>
        <w:t>.</w:t>
      </w:r>
    </w:p>
    <w:p w14:paraId="369E7DA7" w14:textId="77777777" w:rsidR="00640D15" w:rsidRDefault="00640D15" w:rsidP="00640D15">
      <w:pPr>
        <w:spacing w:after="0" w:line="240" w:lineRule="auto"/>
        <w:jc w:val="both"/>
        <w:rPr>
          <w:rFonts w:ascii="Verdana" w:hAnsi="Verdana" w:cs="Arial"/>
          <w:color w:val="000000" w:themeColor="text1"/>
          <w:sz w:val="20"/>
          <w:szCs w:val="20"/>
        </w:rPr>
      </w:pPr>
    </w:p>
    <w:p w14:paraId="794736EC" w14:textId="77777777" w:rsidR="00640D15" w:rsidRDefault="00640D15" w:rsidP="00640D15">
      <w:pPr>
        <w:spacing w:after="0" w:line="240" w:lineRule="auto"/>
        <w:jc w:val="both"/>
        <w:rPr>
          <w:rFonts w:ascii="Verdana" w:hAnsi="Verdana" w:cs="Arial"/>
          <w:color w:val="000000" w:themeColor="text1"/>
          <w:sz w:val="20"/>
          <w:szCs w:val="20"/>
        </w:rPr>
      </w:pPr>
      <w:r>
        <w:rPr>
          <w:rFonts w:ascii="Verdana" w:hAnsi="Verdana" w:cs="Arial"/>
          <w:color w:val="000000" w:themeColor="text1"/>
          <w:sz w:val="20"/>
          <w:szCs w:val="20"/>
        </w:rPr>
        <w:t>[…]</w:t>
      </w:r>
    </w:p>
    <w:p w14:paraId="3C12F1F9" w14:textId="77777777" w:rsidR="00640D15" w:rsidRDefault="00640D15" w:rsidP="00640D15">
      <w:pPr>
        <w:spacing w:after="0" w:line="240" w:lineRule="auto"/>
        <w:jc w:val="both"/>
        <w:rPr>
          <w:rFonts w:ascii="Verdana" w:hAnsi="Verdana" w:cs="Arial"/>
          <w:color w:val="000000" w:themeColor="text1"/>
          <w:sz w:val="20"/>
          <w:szCs w:val="20"/>
        </w:rPr>
      </w:pPr>
    </w:p>
    <w:p w14:paraId="3DD9A90F" w14:textId="77777777" w:rsidR="00640D15" w:rsidRDefault="00640D15" w:rsidP="00640D15">
      <w:pPr>
        <w:spacing w:after="0" w:line="240" w:lineRule="auto"/>
        <w:jc w:val="both"/>
        <w:rPr>
          <w:rFonts w:ascii="Verdana" w:hAnsi="Verdana" w:cs="Arial"/>
          <w:color w:val="000000" w:themeColor="text1"/>
          <w:sz w:val="20"/>
          <w:szCs w:val="20"/>
        </w:rPr>
      </w:pPr>
      <w:r w:rsidRPr="00BA16EC">
        <w:rPr>
          <w:rFonts w:ascii="Verdana" w:hAnsi="Verdana" w:cs="Arial"/>
          <w:color w:val="000000" w:themeColor="text1"/>
          <w:sz w:val="20"/>
          <w:szCs w:val="20"/>
        </w:rPr>
        <w:t>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w:t>
      </w:r>
      <w:r>
        <w:rPr>
          <w:rFonts w:ascii="Verdana" w:hAnsi="Verdana" w:cs="Arial"/>
          <w:color w:val="000000" w:themeColor="text1"/>
          <w:sz w:val="20"/>
          <w:szCs w:val="20"/>
        </w:rPr>
        <w:t>s</w:t>
      </w:r>
      <w:r w:rsidRPr="00BA16EC">
        <w:rPr>
          <w:rFonts w:ascii="Verdana" w:hAnsi="Verdana" w:cs="Arial"/>
          <w:color w:val="000000" w:themeColor="text1"/>
          <w:sz w:val="20"/>
          <w:szCs w:val="20"/>
        </w:rPr>
        <w:t xml:space="preserve">. Esta circunstancia no se extiende a la contratación </w:t>
      </w:r>
      <w:r w:rsidRPr="00BA16EC">
        <w:rPr>
          <w:rFonts w:ascii="Verdana" w:hAnsi="Verdana" w:cs="Arial"/>
          <w:color w:val="000000" w:themeColor="text1"/>
          <w:sz w:val="20"/>
          <w:szCs w:val="20"/>
        </w:rPr>
        <w:lastRenderedPageBreak/>
        <w:t>directa aplicable en algunos regímenes especiales con listas de precalificados, ya que a efecto de que no se configure la contratación directa, la selección del futuro contratista debe darse en términos de competencia.</w:t>
      </w:r>
    </w:p>
    <w:p w14:paraId="623788DA" w14:textId="77777777" w:rsidR="00640D15" w:rsidRDefault="00640D15" w:rsidP="00640D15">
      <w:pPr>
        <w:spacing w:after="0" w:line="240" w:lineRule="auto"/>
        <w:jc w:val="both"/>
        <w:rPr>
          <w:rFonts w:ascii="Verdana" w:hAnsi="Verdana" w:cs="Arial"/>
          <w:color w:val="000000" w:themeColor="text1"/>
          <w:sz w:val="20"/>
          <w:szCs w:val="20"/>
        </w:rPr>
      </w:pPr>
    </w:p>
    <w:p w14:paraId="0789FC53" w14:textId="77777777" w:rsidR="00640D15" w:rsidRPr="00BA16EC" w:rsidRDefault="00640D15" w:rsidP="00640D15">
      <w:pPr>
        <w:spacing w:after="0" w:line="240" w:lineRule="auto"/>
        <w:jc w:val="both"/>
        <w:rPr>
          <w:rFonts w:ascii="Verdana" w:hAnsi="Verdana" w:cs="Arial"/>
          <w:b/>
          <w:bCs/>
          <w:color w:val="000000" w:themeColor="text1"/>
        </w:rPr>
      </w:pPr>
      <w:r w:rsidRPr="00BA16EC">
        <w:rPr>
          <w:rFonts w:ascii="Verdana" w:hAnsi="Verdana" w:cs="Arial"/>
          <w:b/>
          <w:bCs/>
          <w:color w:val="000000" w:themeColor="text1"/>
        </w:rPr>
        <w:t xml:space="preserve">LEY DE GARANTÍAS ELECTORALES – Destinatarios </w:t>
      </w:r>
    </w:p>
    <w:p w14:paraId="53A1A98F" w14:textId="77777777" w:rsidR="00640D15" w:rsidRDefault="00640D15" w:rsidP="00640D15">
      <w:pPr>
        <w:spacing w:after="0" w:line="240" w:lineRule="auto"/>
        <w:jc w:val="both"/>
        <w:rPr>
          <w:rFonts w:ascii="Verdana" w:hAnsi="Verdana" w:cs="Arial"/>
          <w:color w:val="000000" w:themeColor="text1"/>
        </w:rPr>
      </w:pPr>
    </w:p>
    <w:p w14:paraId="7BF2AFA2" w14:textId="77777777" w:rsidR="00640D15" w:rsidRPr="00BA16EC" w:rsidRDefault="00640D15" w:rsidP="00640D15">
      <w:pPr>
        <w:spacing w:after="0" w:line="240" w:lineRule="auto"/>
        <w:jc w:val="both"/>
        <w:rPr>
          <w:rFonts w:ascii="Verdana" w:hAnsi="Verdana" w:cs="Arial"/>
          <w:color w:val="000000" w:themeColor="text1"/>
          <w:lang w:val="es-MX"/>
        </w:rPr>
      </w:pPr>
      <w:r w:rsidRPr="00BA16EC">
        <w:rPr>
          <w:rFonts w:ascii="Verdana" w:hAnsi="Verdana" w:cs="Arial"/>
          <w:color w:val="000000" w:themeColor="text1"/>
          <w:sz w:val="20"/>
          <w:szCs w:val="20"/>
          <w:lang w:val="es-MX"/>
        </w:rPr>
        <w:t>Ahora bien, en relación con los destinatarios de las restricciones, el artículo 33 de la Ley 996 de 2005 los señala expresamente, en el sentido de que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BA16EC">
        <w:rPr>
          <w:rFonts w:ascii="Verdana" w:hAnsi="Verdana" w:cs="Arial"/>
          <w:color w:val="000000" w:themeColor="text1"/>
          <w:lang w:val="es-MX"/>
        </w:rPr>
        <w:t>.</w:t>
      </w:r>
    </w:p>
    <w:p w14:paraId="2848CE24" w14:textId="77777777" w:rsidR="00640D15" w:rsidRDefault="00640D15" w:rsidP="00640D15">
      <w:pPr>
        <w:spacing w:after="0" w:line="240" w:lineRule="auto"/>
        <w:jc w:val="both"/>
        <w:rPr>
          <w:rFonts w:ascii="Verdana" w:hAnsi="Verdana" w:cs="Arial"/>
          <w:color w:val="000000" w:themeColor="text1"/>
        </w:rPr>
      </w:pPr>
    </w:p>
    <w:p w14:paraId="0C191153" w14:textId="77777777" w:rsidR="00640D15" w:rsidRDefault="00640D15" w:rsidP="00640D15">
      <w:pPr>
        <w:spacing w:after="0" w:line="240" w:lineRule="auto"/>
        <w:jc w:val="both"/>
        <w:rPr>
          <w:rFonts w:ascii="Verdana" w:hAnsi="Verdana" w:cs="Arial"/>
          <w:b/>
          <w:bCs/>
          <w:color w:val="000000" w:themeColor="text1"/>
        </w:rPr>
      </w:pPr>
      <w:r w:rsidRPr="00BA16EC">
        <w:rPr>
          <w:rFonts w:ascii="Verdana" w:hAnsi="Verdana" w:cs="Arial"/>
          <w:b/>
          <w:bCs/>
          <w:color w:val="000000" w:themeColor="text1"/>
        </w:rPr>
        <w:t xml:space="preserve">LEY DE GARANTÍAS ELECTORALES – Excepciones </w:t>
      </w:r>
    </w:p>
    <w:p w14:paraId="38BA5340" w14:textId="77777777" w:rsidR="00640D15" w:rsidRPr="00E51E94" w:rsidRDefault="00640D15" w:rsidP="00640D15">
      <w:pPr>
        <w:spacing w:after="0" w:line="240" w:lineRule="auto"/>
        <w:jc w:val="both"/>
        <w:rPr>
          <w:rFonts w:ascii="Verdana" w:hAnsi="Verdana" w:cs="Arial"/>
          <w:b/>
          <w:bCs/>
          <w:color w:val="000000" w:themeColor="text1"/>
          <w:sz w:val="20"/>
          <w:szCs w:val="20"/>
        </w:rPr>
      </w:pPr>
    </w:p>
    <w:p w14:paraId="5F189DA2" w14:textId="77777777" w:rsidR="00640D15" w:rsidRDefault="00640D15" w:rsidP="00640D15">
      <w:pPr>
        <w:spacing w:after="0" w:line="240" w:lineRule="auto"/>
        <w:jc w:val="both"/>
        <w:rPr>
          <w:rFonts w:ascii="Verdana" w:hAnsi="Verdana" w:cs="Arial"/>
          <w:bCs/>
          <w:sz w:val="20"/>
          <w:szCs w:val="20"/>
          <w:lang w:eastAsia="x-none"/>
        </w:rPr>
      </w:pPr>
      <w:r w:rsidRPr="00E51E94">
        <w:rPr>
          <w:rFonts w:ascii="Verdana" w:eastAsia="Times New Roman" w:hAnsi="Verdana" w:cs="Arial"/>
          <w:bCs/>
          <w:sz w:val="20"/>
          <w:szCs w:val="20"/>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E51E94">
        <w:rPr>
          <w:rFonts w:ascii="Verdana" w:eastAsia="Times New Roman" w:hAnsi="Verdana" w:cs="Arial"/>
          <w:bCs/>
          <w:sz w:val="20"/>
          <w:szCs w:val="20"/>
          <w:lang w:val="es-ES" w:eastAsia="es-CO" w:bidi="es-ES"/>
        </w:rPr>
        <w:t>ii</w:t>
      </w:r>
      <w:proofErr w:type="spellEnd"/>
      <w:r w:rsidRPr="00E51E94">
        <w:rPr>
          <w:rFonts w:ascii="Verdana" w:eastAsia="Times New Roman" w:hAnsi="Verdana" w:cs="Arial"/>
          <w:bCs/>
          <w:sz w:val="20"/>
          <w:szCs w:val="20"/>
          <w:lang w:val="es-ES" w:eastAsia="es-CO" w:bidi="es-ES"/>
        </w:rPr>
        <w:t xml:space="preserve">) los contratos de crédito público; </w:t>
      </w:r>
      <w:proofErr w:type="spellStart"/>
      <w:r w:rsidRPr="00E51E94">
        <w:rPr>
          <w:rFonts w:ascii="Verdana" w:eastAsia="Times New Roman" w:hAnsi="Verdana" w:cs="Arial"/>
          <w:bCs/>
          <w:sz w:val="20"/>
          <w:szCs w:val="20"/>
          <w:lang w:val="es-ES" w:eastAsia="es-CO" w:bidi="es-ES"/>
        </w:rPr>
        <w:t>iii</w:t>
      </w:r>
      <w:proofErr w:type="spellEnd"/>
      <w:r w:rsidRPr="00E51E94">
        <w:rPr>
          <w:rFonts w:ascii="Verdana" w:eastAsia="Times New Roman" w:hAnsi="Verdana" w:cs="Arial"/>
          <w:bCs/>
          <w:sz w:val="20"/>
          <w:szCs w:val="20"/>
          <w:lang w:val="es-ES" w:eastAsia="es-CO" w:bidi="es-ES"/>
        </w:rPr>
        <w:t xml:space="preserve">) los requeridos para cubrir las emergencias educativas, sanitarias y desastres; </w:t>
      </w:r>
      <w:proofErr w:type="spellStart"/>
      <w:r w:rsidRPr="00E51E94">
        <w:rPr>
          <w:rFonts w:ascii="Verdana" w:eastAsia="Times New Roman" w:hAnsi="Verdana" w:cs="Arial"/>
          <w:bCs/>
          <w:sz w:val="20"/>
          <w:szCs w:val="20"/>
          <w:lang w:val="es-ES" w:eastAsia="es-CO" w:bidi="es-ES"/>
        </w:rPr>
        <w:t>iv</w:t>
      </w:r>
      <w:proofErr w:type="spellEnd"/>
      <w:r w:rsidRPr="00E51E94">
        <w:rPr>
          <w:rFonts w:ascii="Verdana" w:eastAsia="Times New Roman" w:hAnsi="Verdana" w:cs="Arial"/>
          <w:bCs/>
          <w:sz w:val="20"/>
          <w:szCs w:val="20"/>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51E94">
        <w:rPr>
          <w:rFonts w:ascii="Verdana" w:hAnsi="Verdana" w:cs="Arial"/>
          <w:bCs/>
          <w:sz w:val="20"/>
          <w:szCs w:val="20"/>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4E643275" w14:textId="77777777" w:rsidR="00640D15" w:rsidRDefault="00640D15" w:rsidP="00640D15">
      <w:pPr>
        <w:spacing w:after="0" w:line="240" w:lineRule="auto"/>
        <w:jc w:val="both"/>
        <w:rPr>
          <w:rFonts w:ascii="Verdana" w:hAnsi="Verdana" w:cs="Arial"/>
          <w:bCs/>
          <w:sz w:val="20"/>
          <w:szCs w:val="20"/>
          <w:lang w:eastAsia="x-none"/>
        </w:rPr>
      </w:pPr>
    </w:p>
    <w:p w14:paraId="74F08DD7" w14:textId="77777777" w:rsidR="00640D15" w:rsidRDefault="00640D15" w:rsidP="00640D15">
      <w:pPr>
        <w:spacing w:after="0" w:line="240" w:lineRule="auto"/>
        <w:jc w:val="both"/>
        <w:rPr>
          <w:rFonts w:ascii="Verdana" w:hAnsi="Verdana" w:cs="Arial"/>
          <w:bCs/>
          <w:sz w:val="20"/>
          <w:szCs w:val="20"/>
          <w:lang w:eastAsia="x-none"/>
        </w:rPr>
      </w:pPr>
      <w:r>
        <w:rPr>
          <w:rFonts w:ascii="Verdana" w:hAnsi="Verdana" w:cs="Arial"/>
          <w:bCs/>
          <w:sz w:val="20"/>
          <w:szCs w:val="20"/>
          <w:lang w:eastAsia="x-none"/>
        </w:rPr>
        <w:t xml:space="preserve">[…] </w:t>
      </w:r>
    </w:p>
    <w:p w14:paraId="4B7E5B0E" w14:textId="77777777" w:rsidR="00640D15" w:rsidRDefault="00640D15" w:rsidP="00640D15">
      <w:pPr>
        <w:spacing w:after="0" w:line="240" w:lineRule="auto"/>
        <w:jc w:val="both"/>
        <w:rPr>
          <w:rFonts w:ascii="Verdana" w:hAnsi="Verdana" w:cs="Arial"/>
          <w:bCs/>
          <w:sz w:val="20"/>
          <w:szCs w:val="20"/>
          <w:lang w:eastAsia="x-none"/>
        </w:rPr>
      </w:pPr>
    </w:p>
    <w:p w14:paraId="4E345B16" w14:textId="53689BD9" w:rsidR="00640D15" w:rsidRPr="00640D15" w:rsidRDefault="00640D15" w:rsidP="00640D15">
      <w:pPr>
        <w:spacing w:after="0" w:line="240" w:lineRule="auto"/>
        <w:jc w:val="both"/>
        <w:rPr>
          <w:rFonts w:ascii="Verdana" w:hAnsi="Verdana" w:cs="Arial"/>
          <w:bCs/>
          <w:sz w:val="20"/>
          <w:szCs w:val="20"/>
          <w:lang w:val="es-ES_tradnl" w:eastAsia="x-none"/>
        </w:rPr>
      </w:pPr>
      <w:r w:rsidRPr="00E51E94">
        <w:rPr>
          <w:rFonts w:ascii="Verdana" w:hAnsi="Verdana" w:cs="Arial"/>
          <w:bCs/>
          <w:sz w:val="20"/>
          <w:szCs w:val="20"/>
          <w:lang w:val="es-ES_tradnl" w:eastAsia="x-none"/>
        </w:rPr>
        <w:t xml:space="preserve">Por tanto, 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w:t>
      </w:r>
      <w:r w:rsidRPr="00E51E94">
        <w:rPr>
          <w:rFonts w:ascii="Verdana" w:hAnsi="Verdana" w:cs="Arial"/>
          <w:bCs/>
          <w:sz w:val="20"/>
          <w:szCs w:val="20"/>
          <w:lang w:val="es-ES_tradnl" w:eastAsia="x-none"/>
        </w:rPr>
        <w:lastRenderedPageBreak/>
        <w:t>expresamente en la norma permiten que ciertas entidades estatales se vean exceptuadas de la prohibición.</w:t>
      </w:r>
    </w:p>
    <w:p w14:paraId="784316B6" w14:textId="77777777" w:rsidR="00640D15" w:rsidRDefault="00640D15" w:rsidP="00640D15">
      <w:pPr>
        <w:spacing w:after="0" w:line="240" w:lineRule="auto"/>
        <w:jc w:val="both"/>
        <w:rPr>
          <w:rFonts w:ascii="Verdana" w:hAnsi="Verdana" w:cs="Arial"/>
          <w:color w:val="000000" w:themeColor="text1"/>
          <w:sz w:val="20"/>
          <w:szCs w:val="20"/>
        </w:rPr>
      </w:pPr>
    </w:p>
    <w:p w14:paraId="40CB4C43" w14:textId="77777777" w:rsidR="00640D15" w:rsidRDefault="00640D15" w:rsidP="00640D15">
      <w:pPr>
        <w:spacing w:after="0" w:line="240" w:lineRule="auto"/>
        <w:jc w:val="both"/>
        <w:rPr>
          <w:rFonts w:ascii="Verdana" w:hAnsi="Verdana" w:cs="Arial"/>
          <w:b/>
          <w:bCs/>
          <w:color w:val="000000" w:themeColor="text1"/>
        </w:rPr>
      </w:pPr>
      <w:r w:rsidRPr="00401715">
        <w:rPr>
          <w:rFonts w:ascii="Verdana" w:hAnsi="Verdana"/>
          <w:b/>
          <w:bCs/>
          <w:color w:val="000000" w:themeColor="text1"/>
        </w:rPr>
        <w:t>LEY DE GARANTÍAS ELECTORALES -</w:t>
      </w:r>
      <w:r w:rsidRPr="00401715">
        <w:rPr>
          <w:b/>
          <w:bCs/>
          <w:color w:val="000000" w:themeColor="text1"/>
        </w:rPr>
        <w:t xml:space="preserve"> </w:t>
      </w:r>
      <w:r w:rsidRPr="00401715">
        <w:rPr>
          <w:rFonts w:ascii="Verdana" w:eastAsia="Calibri" w:hAnsi="Verdana" w:cs="Arial"/>
          <w:b/>
          <w:bCs/>
          <w:lang w:val="es-ES" w:eastAsia="es-ES"/>
        </w:rPr>
        <w:t xml:space="preserve">Excepción - Contratación </w:t>
      </w:r>
      <w:r w:rsidRPr="00401715">
        <w:rPr>
          <w:rFonts w:ascii="Verdana" w:hAnsi="Verdana" w:cs="Arial"/>
          <w:b/>
          <w:bCs/>
          <w:color w:val="000000" w:themeColor="text1"/>
        </w:rPr>
        <w:t>por parte de entidades sanitarias y hospitalaria</w:t>
      </w:r>
      <w:r w:rsidRPr="00401715">
        <w:rPr>
          <w:b/>
          <w:bCs/>
          <w:color w:val="000000" w:themeColor="text1"/>
        </w:rPr>
        <w:t xml:space="preserve"> </w:t>
      </w:r>
      <w:r w:rsidRPr="00401715">
        <w:rPr>
          <w:rFonts w:ascii="Verdana" w:hAnsi="Verdana" w:cs="Arial"/>
          <w:b/>
          <w:bCs/>
          <w:color w:val="000000" w:themeColor="text1"/>
        </w:rPr>
        <w:t xml:space="preserve">  </w:t>
      </w:r>
    </w:p>
    <w:p w14:paraId="523981D4" w14:textId="77777777" w:rsidR="00640D15" w:rsidRPr="00E50D7B" w:rsidRDefault="00640D15" w:rsidP="00640D15">
      <w:pPr>
        <w:spacing w:after="0" w:line="240" w:lineRule="auto"/>
        <w:jc w:val="both"/>
        <w:rPr>
          <w:rFonts w:ascii="Verdana" w:hAnsi="Verdana" w:cs="Arial"/>
          <w:b/>
          <w:bCs/>
          <w:color w:val="000000" w:themeColor="text1"/>
          <w:sz w:val="20"/>
          <w:szCs w:val="20"/>
        </w:rPr>
      </w:pPr>
    </w:p>
    <w:p w14:paraId="0336738B" w14:textId="77777777" w:rsidR="00640D15" w:rsidRDefault="00640D15" w:rsidP="00640D15">
      <w:pPr>
        <w:pStyle w:val="paragraph"/>
        <w:shd w:val="clear" w:color="auto" w:fill="FFFFFF"/>
        <w:spacing w:before="0" w:beforeAutospacing="0" w:after="0" w:afterAutospacing="0"/>
        <w:jc w:val="both"/>
        <w:textAlignment w:val="baseline"/>
        <w:rPr>
          <w:rFonts w:ascii="Verdana" w:hAnsi="Verdana" w:cs="Arial"/>
          <w:bCs/>
          <w:color w:val="000000" w:themeColor="text1"/>
          <w:sz w:val="20"/>
          <w:szCs w:val="20"/>
        </w:rPr>
      </w:pPr>
      <w:r w:rsidRPr="00E50D7B">
        <w:rPr>
          <w:rFonts w:ascii="Verdana" w:eastAsia="Calibri" w:hAnsi="Verdana" w:cs="Arial"/>
          <w:bCs/>
          <w:color w:val="000000" w:themeColor="text1"/>
          <w:sz w:val="20"/>
          <w:szCs w:val="20"/>
        </w:rPr>
        <w:t xml:space="preserve">En torno a la procedencia de la contratación directa por parte de las E.S.E., es necesario </w:t>
      </w:r>
      <w:r w:rsidRPr="00E50D7B">
        <w:rPr>
          <w:rFonts w:ascii="Verdana" w:hAnsi="Verdana" w:cs="Arial"/>
          <w:bCs/>
          <w:color w:val="000000" w:themeColor="text1"/>
          <w:sz w:val="20"/>
          <w:szCs w:val="20"/>
        </w:rPr>
        <w:t xml:space="preserve">analizar el quinto evento exceptuado de la prohibición contemplada en el inciso segundo del artículo 33 de la Ley 996 de 2005, relacionado con la contratación por parte de entidades sanitarias y hospitalarias. Para ello, el artículo 94 de la Ley 100 de 1993 dispone que “la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5AFB4096" w14:textId="77777777" w:rsidR="00640D15" w:rsidRDefault="00640D15" w:rsidP="00640D15">
      <w:pPr>
        <w:pStyle w:val="paragraph"/>
        <w:shd w:val="clear" w:color="auto" w:fill="FFFFFF"/>
        <w:spacing w:before="0" w:beforeAutospacing="0" w:after="0" w:afterAutospacing="0"/>
        <w:jc w:val="both"/>
        <w:textAlignment w:val="baseline"/>
        <w:rPr>
          <w:rFonts w:ascii="Verdana" w:hAnsi="Verdana" w:cs="Arial"/>
          <w:bCs/>
          <w:color w:val="000000" w:themeColor="text1"/>
          <w:sz w:val="20"/>
          <w:szCs w:val="20"/>
        </w:rPr>
      </w:pPr>
    </w:p>
    <w:p w14:paraId="73E990F5" w14:textId="77777777" w:rsidR="00640D15" w:rsidRDefault="00640D15" w:rsidP="00640D15">
      <w:pPr>
        <w:pStyle w:val="paragraph"/>
        <w:shd w:val="clear" w:color="auto" w:fill="FFFFFF"/>
        <w:spacing w:before="0" w:beforeAutospacing="0" w:after="0" w:afterAutospacing="0"/>
        <w:jc w:val="both"/>
        <w:textAlignment w:val="baseline"/>
        <w:rPr>
          <w:rFonts w:ascii="Verdana" w:eastAsia="Calibri" w:hAnsi="Verdana" w:cs="Arial"/>
          <w:bCs/>
          <w:color w:val="000000" w:themeColor="text1"/>
          <w:sz w:val="20"/>
          <w:szCs w:val="20"/>
        </w:rPr>
      </w:pPr>
      <w:r>
        <w:rPr>
          <w:rFonts w:ascii="Verdana" w:eastAsia="Calibri" w:hAnsi="Verdana" w:cs="Arial"/>
          <w:bCs/>
          <w:color w:val="000000" w:themeColor="text1"/>
          <w:sz w:val="20"/>
          <w:szCs w:val="20"/>
        </w:rPr>
        <w:t xml:space="preserve">[…] </w:t>
      </w:r>
    </w:p>
    <w:p w14:paraId="40399FD4" w14:textId="77777777" w:rsidR="00640D15" w:rsidRPr="00E50D7B" w:rsidRDefault="00640D15" w:rsidP="00640D15">
      <w:pPr>
        <w:pStyle w:val="paragraph"/>
        <w:shd w:val="clear" w:color="auto" w:fill="FFFFFF"/>
        <w:spacing w:after="0"/>
        <w:jc w:val="both"/>
        <w:textAlignment w:val="baseline"/>
        <w:rPr>
          <w:rFonts w:ascii="Verdana" w:eastAsia="Calibri" w:hAnsi="Verdana" w:cs="Arial"/>
          <w:bCs/>
          <w:color w:val="000000" w:themeColor="text1"/>
          <w:sz w:val="20"/>
          <w:szCs w:val="20"/>
        </w:rPr>
      </w:pPr>
      <w:r w:rsidRPr="00E50D7B">
        <w:rPr>
          <w:rFonts w:ascii="Verdana" w:eastAsia="Calibri" w:hAnsi="Verdana" w:cs="Arial"/>
          <w:bCs/>
          <w:color w:val="000000" w:themeColor="text1"/>
          <w:sz w:val="20"/>
          <w:szCs w:val="20"/>
        </w:rPr>
        <w:t xml:space="preserve">Sobre lo anterior, el Consejo de Estado ha señalado que “las entidades que presten servicios tendientes a preservar la salud pública o humana deben ser consideradas como entidades sanitarias y en principio estarían exceptuadas de la prohibición de contratación directa”. Sobre la excepción dirigida a las entidades hospitalarias de carácter público resaltó que “debe ser entendida solo en aquellos eventos en que ocurran emergencias sanitarias o de salubridad que requieran la atención o prestación inmediata y oportuna de los servicios de salud”, pues las excepciones buscan que la red hospitalaria no limite su actuación en la prestación del servicio de salud en eventos catastróficos o de urgencia que se presenten. En consecuencia, sostuvo que las excepciones no se extienden a “los contratos que habitual y ordinariamente celebran las entidades territoriales con las entidades hospitalarias, ya que dichos órganos deben planear y desarrollar su gestión contractual con suficiente antelación para que no sea cobijada por la prohibición de contratación que establece la ley de garantías”. </w:t>
      </w:r>
    </w:p>
    <w:p w14:paraId="7DB56C91" w14:textId="77777777" w:rsidR="00640D15" w:rsidRPr="00E50D7B" w:rsidRDefault="00640D15" w:rsidP="00640D15">
      <w:pPr>
        <w:pStyle w:val="paragraph"/>
        <w:shd w:val="clear" w:color="auto" w:fill="FFFFFF"/>
        <w:spacing w:before="0" w:beforeAutospacing="0" w:after="0" w:afterAutospacing="0"/>
        <w:jc w:val="both"/>
        <w:textAlignment w:val="baseline"/>
        <w:rPr>
          <w:rFonts w:ascii="Verdana" w:eastAsia="Calibri" w:hAnsi="Verdana" w:cs="Arial"/>
          <w:bCs/>
          <w:color w:val="000000" w:themeColor="text1"/>
          <w:sz w:val="20"/>
          <w:szCs w:val="20"/>
        </w:rPr>
      </w:pPr>
      <w:r w:rsidRPr="00E50D7B">
        <w:rPr>
          <w:rFonts w:ascii="Verdana" w:eastAsia="Calibri" w:hAnsi="Verdana" w:cs="Arial"/>
          <w:bCs/>
          <w:color w:val="000000" w:themeColor="text1"/>
          <w:sz w:val="20"/>
          <w:szCs w:val="20"/>
        </w:rPr>
        <w:t>Conforme con lo expuesto, las entidades que requieran adelantar procesos de contratación directa durante el periodo de garantías electorales deberán analizar, primero, si se configuran los supuestos establecidos en el artículo 33 de la Ley 996 de 2005, es decir, si se trata de cualquier entidad pública que pretenda adelantar un proceso no competitivo. Adicionalmente, será pertinente analizar si se configura alguna de las excepciones previstas en la norma.</w:t>
      </w:r>
    </w:p>
    <w:p w14:paraId="3412EDBD" w14:textId="77777777" w:rsidR="00640D15" w:rsidRPr="00401715" w:rsidRDefault="00640D15" w:rsidP="00640D15">
      <w:pPr>
        <w:spacing w:after="0" w:line="240" w:lineRule="auto"/>
        <w:jc w:val="both"/>
        <w:rPr>
          <w:rFonts w:ascii="Verdana" w:eastAsia="Calibri" w:hAnsi="Verdana" w:cs="Arial"/>
          <w:b/>
          <w:bCs/>
          <w:lang w:eastAsia="es-ES"/>
        </w:rPr>
      </w:pPr>
    </w:p>
    <w:p w14:paraId="2D5FD1ED" w14:textId="47322A5D" w:rsidR="00261B7D" w:rsidRPr="00457DD8" w:rsidRDefault="00C15139" w:rsidP="000C2089">
      <w:pPr>
        <w:spacing w:after="0" w:line="240" w:lineRule="auto"/>
        <w:rPr>
          <w:rFonts w:ascii="Verdana" w:eastAsia="Verdana" w:hAnsi="Verdana" w:cs="Verdana"/>
        </w:rPr>
      </w:pPr>
      <w:r w:rsidRPr="000C2089">
        <w:rPr>
          <w:rFonts w:ascii="Verdana" w:hAnsi="Verdana"/>
        </w:rPr>
        <w:tab/>
      </w:r>
    </w:p>
    <w:p w14:paraId="3A9D4964" w14:textId="77777777" w:rsidR="00640D15" w:rsidRDefault="00640D15" w:rsidP="00261B7D">
      <w:pPr>
        <w:spacing w:after="0" w:line="240" w:lineRule="auto"/>
        <w:jc w:val="both"/>
        <w:rPr>
          <w:rFonts w:ascii="Verdana" w:eastAsia="Calibri" w:hAnsi="Verdana" w:cs="Arial"/>
          <w:lang w:val="es-ES" w:eastAsia="es-ES"/>
        </w:rPr>
      </w:pPr>
    </w:p>
    <w:p w14:paraId="30DE97BA" w14:textId="77777777" w:rsidR="00640D15" w:rsidRDefault="00640D15" w:rsidP="00261B7D">
      <w:pPr>
        <w:spacing w:after="0" w:line="240" w:lineRule="auto"/>
        <w:jc w:val="both"/>
        <w:rPr>
          <w:rFonts w:ascii="Verdana" w:eastAsia="Calibri" w:hAnsi="Verdana" w:cs="Arial"/>
          <w:lang w:val="es-ES" w:eastAsia="es-ES"/>
        </w:rPr>
      </w:pPr>
    </w:p>
    <w:p w14:paraId="5EBD72EC" w14:textId="77777777" w:rsidR="00640D15" w:rsidRDefault="00640D15" w:rsidP="00261B7D">
      <w:pPr>
        <w:spacing w:after="0" w:line="240" w:lineRule="auto"/>
        <w:jc w:val="both"/>
        <w:rPr>
          <w:rFonts w:ascii="Verdana" w:eastAsia="Calibri" w:hAnsi="Verdana" w:cs="Arial"/>
          <w:lang w:val="es-ES" w:eastAsia="es-ES"/>
        </w:rPr>
      </w:pPr>
    </w:p>
    <w:p w14:paraId="476A6EAB" w14:textId="178B1F6A" w:rsidR="00640D15" w:rsidRDefault="00640D15" w:rsidP="00640D15">
      <w:pPr>
        <w:pStyle w:val="Textoindependiente"/>
        <w:spacing w:before="21" w:line="530" w:lineRule="atLeast"/>
        <w:ind w:right="5247"/>
      </w:pPr>
      <w:r>
        <w:rPr>
          <w:noProof/>
        </w:rPr>
        <w:lastRenderedPageBreak/>
        <w:drawing>
          <wp:anchor distT="0" distB="0" distL="0" distR="0" simplePos="0" relativeHeight="251659264" behindDoc="0" locked="0" layoutInCell="1" allowOverlap="1" wp14:anchorId="592468EA" wp14:editId="64D9CE32">
            <wp:simplePos x="0" y="0"/>
            <wp:positionH relativeFrom="page">
              <wp:posOffset>4291965</wp:posOffset>
            </wp:positionH>
            <wp:positionV relativeFrom="paragraph">
              <wp:posOffset>181615</wp:posOffset>
            </wp:positionV>
            <wp:extent cx="2400300" cy="615950"/>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0" cstate="print"/>
                    <a:stretch>
                      <a:fillRect/>
                    </a:stretch>
                  </pic:blipFill>
                  <pic:spPr>
                    <a:xfrm>
                      <a:off x="0" y="0"/>
                      <a:ext cx="2400300" cy="615950"/>
                    </a:xfrm>
                    <a:prstGeom prst="rect">
                      <a:avLst/>
                    </a:prstGeom>
                  </pic:spPr>
                </pic:pic>
              </a:graphicData>
            </a:graphic>
          </wp:anchor>
        </w:drawing>
      </w:r>
      <w:r>
        <w:t>Bogotá</w:t>
      </w:r>
      <w:r>
        <w:rPr>
          <w:spacing w:val="-11"/>
        </w:rPr>
        <w:t xml:space="preserve"> </w:t>
      </w:r>
      <w:r>
        <w:t>D.C.,</w:t>
      </w:r>
      <w:r>
        <w:rPr>
          <w:spacing w:val="-10"/>
        </w:rPr>
        <w:t xml:space="preserve"> </w:t>
      </w:r>
      <w:r>
        <w:t>30</w:t>
      </w:r>
      <w:r>
        <w:rPr>
          <w:spacing w:val="-9"/>
        </w:rPr>
        <w:t xml:space="preserve"> </w:t>
      </w:r>
      <w:r w:rsidR="006A6190">
        <w:t>marzo</w:t>
      </w:r>
      <w:r>
        <w:rPr>
          <w:spacing w:val="-12"/>
        </w:rPr>
        <w:t xml:space="preserve"> </w:t>
      </w:r>
      <w:r>
        <w:t>2026</w:t>
      </w:r>
    </w:p>
    <w:p w14:paraId="64940949" w14:textId="77777777" w:rsidR="00640D15" w:rsidRDefault="00640D15" w:rsidP="00261B7D">
      <w:pPr>
        <w:spacing w:after="0" w:line="240" w:lineRule="auto"/>
        <w:jc w:val="both"/>
        <w:rPr>
          <w:rFonts w:ascii="Verdana" w:eastAsia="Calibri" w:hAnsi="Verdana" w:cs="Arial"/>
          <w:lang w:val="es-ES" w:eastAsia="es-ES"/>
        </w:rPr>
      </w:pPr>
    </w:p>
    <w:p w14:paraId="18927F81" w14:textId="77777777" w:rsidR="00640D15" w:rsidRDefault="00640D15" w:rsidP="00261B7D">
      <w:pPr>
        <w:spacing w:after="0" w:line="240" w:lineRule="auto"/>
        <w:jc w:val="both"/>
        <w:rPr>
          <w:rFonts w:ascii="Verdana" w:eastAsia="Calibri" w:hAnsi="Verdana" w:cs="Arial"/>
          <w:lang w:val="es-ES" w:eastAsia="es-ES"/>
        </w:rPr>
      </w:pPr>
    </w:p>
    <w:p w14:paraId="50054A7D" w14:textId="152DC95C" w:rsidR="00261B7D" w:rsidRDefault="00261B7D" w:rsidP="00261B7D">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w:t>
      </w:r>
      <w:r>
        <w:rPr>
          <w:rFonts w:ascii="Verdana" w:eastAsia="Calibri" w:hAnsi="Verdana" w:cs="Arial"/>
          <w:lang w:val="es-ES" w:eastAsia="es-ES"/>
        </w:rPr>
        <w:t>ora</w:t>
      </w:r>
    </w:p>
    <w:p w14:paraId="76076BA2" w14:textId="77777777" w:rsidR="00261B7D" w:rsidRPr="00D37EBD" w:rsidRDefault="00261B7D" w:rsidP="00261B7D">
      <w:pPr>
        <w:spacing w:after="0" w:line="240" w:lineRule="auto"/>
        <w:jc w:val="both"/>
        <w:rPr>
          <w:rFonts w:ascii="Verdana" w:eastAsia="Calibri" w:hAnsi="Verdana" w:cs="Arial"/>
          <w:b/>
          <w:bCs/>
          <w:lang w:val="es-ES" w:eastAsia="es-ES"/>
        </w:rPr>
      </w:pPr>
      <w:r w:rsidRPr="00D37EBD">
        <w:rPr>
          <w:rFonts w:ascii="Verdana" w:eastAsia="Calibri" w:hAnsi="Verdana" w:cs="Arial"/>
          <w:b/>
          <w:bCs/>
          <w:lang w:val="es-ES" w:eastAsia="es-ES"/>
        </w:rPr>
        <w:t>Ana María Tovar Gutiérrez</w:t>
      </w:r>
    </w:p>
    <w:p w14:paraId="15B917F8" w14:textId="77777777" w:rsidR="00261B7D" w:rsidRDefault="00261B7D" w:rsidP="00261B7D">
      <w:pPr>
        <w:spacing w:after="0" w:line="240" w:lineRule="auto"/>
        <w:rPr>
          <w:rFonts w:ascii="Verdana" w:eastAsia="Calibri" w:hAnsi="Verdana" w:cs="Arial"/>
          <w:lang w:val="es-ES" w:eastAsia="es-ES"/>
        </w:rPr>
      </w:pPr>
      <w:hyperlink r:id="rId11" w:history="1">
        <w:r w:rsidRPr="001727B0">
          <w:rPr>
            <w:rStyle w:val="Hipervnculo"/>
            <w:rFonts w:ascii="Verdana" w:eastAsia="Calibri" w:hAnsi="Verdana" w:cs="Arial"/>
            <w:lang w:val="es-ES" w:eastAsia="es-ES"/>
          </w:rPr>
          <w:t>anamariatovargutierrez46@gmail.com</w:t>
        </w:r>
      </w:hyperlink>
    </w:p>
    <w:p w14:paraId="78D95125" w14:textId="77777777" w:rsidR="00261B7D" w:rsidRPr="00B96799" w:rsidRDefault="00261B7D" w:rsidP="00261B7D">
      <w:pPr>
        <w:spacing w:after="0" w:line="240" w:lineRule="auto"/>
        <w:rPr>
          <w:rFonts w:ascii="Verdana" w:eastAsia="Calibri" w:hAnsi="Verdana" w:cs="Arial"/>
          <w:b/>
          <w:bCs/>
          <w:lang w:val="es-ES" w:eastAsia="es-ES"/>
        </w:rPr>
      </w:pPr>
      <w:r w:rsidRPr="00B96799">
        <w:rPr>
          <w:rFonts w:ascii="Verdana" w:eastAsia="Calibri" w:hAnsi="Verdana" w:cs="Arial"/>
          <w:lang w:val="es-ES" w:eastAsia="es-ES"/>
        </w:rPr>
        <w:t>C</w:t>
      </w:r>
      <w:r>
        <w:rPr>
          <w:rFonts w:ascii="Verdana" w:eastAsia="Calibri" w:hAnsi="Verdana" w:cs="Arial"/>
          <w:lang w:val="es-ES" w:eastAsia="es-ES"/>
        </w:rPr>
        <w:t>artago, Valle del Cauca</w:t>
      </w:r>
    </w:p>
    <w:p w14:paraId="440AE04B" w14:textId="77777777" w:rsidR="00261B7D" w:rsidRPr="00593A5F" w:rsidRDefault="00261B7D" w:rsidP="00261B7D">
      <w:pPr>
        <w:spacing w:after="0" w:line="240" w:lineRule="auto"/>
        <w:rPr>
          <w:rFonts w:ascii="Verdana" w:eastAsia="Calibri" w:hAnsi="Verdana" w:cs="Arial"/>
          <w:b/>
          <w:bCs/>
          <w:color w:val="000000"/>
          <w:lang w:val="es-ES_tradnl" w:eastAsia="es-ES_tradnl"/>
        </w:rPr>
      </w:pPr>
    </w:p>
    <w:p w14:paraId="704B6DA4" w14:textId="77777777" w:rsidR="00261B7D" w:rsidRPr="00593A5F" w:rsidRDefault="00261B7D" w:rsidP="00261B7D">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835"/>
        <w:gridCol w:w="5954"/>
      </w:tblGrid>
      <w:tr w:rsidR="00261B7D" w:rsidRPr="00593A5F" w14:paraId="0C42457C" w14:textId="77777777" w:rsidTr="000C2089">
        <w:trPr>
          <w:trHeight w:val="111"/>
        </w:trPr>
        <w:tc>
          <w:tcPr>
            <w:tcW w:w="2835" w:type="dxa"/>
          </w:tcPr>
          <w:p w14:paraId="18BA28F6" w14:textId="77777777" w:rsidR="00261B7D" w:rsidRPr="00C00976" w:rsidRDefault="00261B7D" w:rsidP="0031322D">
            <w:pPr>
              <w:jc w:val="both"/>
              <w:rPr>
                <w:rFonts w:ascii="Verdana" w:eastAsia="Calibri" w:hAnsi="Verdana" w:cs="Arial"/>
                <w:b/>
                <w:bCs/>
                <w:color w:val="7030A0"/>
                <w:lang w:val="es-ES_tradnl" w:eastAsia="es-ES_tradnl"/>
              </w:rPr>
            </w:pPr>
          </w:p>
        </w:tc>
        <w:tc>
          <w:tcPr>
            <w:tcW w:w="5954" w:type="dxa"/>
          </w:tcPr>
          <w:p w14:paraId="09184C36" w14:textId="77777777" w:rsidR="00261B7D" w:rsidRPr="001727B0" w:rsidRDefault="00261B7D">
            <w:pPr>
              <w:jc w:val="both"/>
              <w:rPr>
                <w:rFonts w:ascii="Verdana" w:eastAsia="Calibri" w:hAnsi="Verdana" w:cs="Arial"/>
                <w:b/>
                <w:bCs/>
                <w:lang w:val="es-ES" w:eastAsia="es-ES"/>
              </w:rPr>
            </w:pPr>
            <w:r w:rsidRPr="00247BDE">
              <w:rPr>
                <w:rFonts w:ascii="Verdana" w:eastAsia="Calibri" w:hAnsi="Verdana" w:cs="Arial"/>
                <w:b/>
                <w:bCs/>
                <w:lang w:val="es-ES" w:eastAsia="es-ES"/>
              </w:rPr>
              <w:t xml:space="preserve">Concepto C- </w:t>
            </w:r>
            <w:r>
              <w:rPr>
                <w:rFonts w:ascii="Verdana" w:eastAsia="Calibri" w:hAnsi="Verdana" w:cs="Arial"/>
                <w:b/>
                <w:bCs/>
                <w:lang w:val="es-ES" w:eastAsia="es-ES"/>
              </w:rPr>
              <w:t>262</w:t>
            </w:r>
            <w:r w:rsidRPr="00C00976">
              <w:rPr>
                <w:rFonts w:ascii="Verdana" w:eastAsia="Calibri" w:hAnsi="Verdana" w:cs="Arial"/>
                <w:b/>
                <w:bCs/>
                <w:color w:val="7030A0"/>
                <w:lang w:val="es-ES" w:eastAsia="es-ES"/>
              </w:rPr>
              <w:t xml:space="preserve"> </w:t>
            </w:r>
            <w:r w:rsidRPr="00247BDE">
              <w:rPr>
                <w:rFonts w:ascii="Verdana" w:eastAsia="Calibri" w:hAnsi="Verdana" w:cs="Arial"/>
                <w:b/>
                <w:bCs/>
                <w:lang w:val="es-ES" w:eastAsia="es-ES"/>
              </w:rPr>
              <w:t>de</w:t>
            </w:r>
            <w:r>
              <w:rPr>
                <w:rFonts w:ascii="Verdana" w:eastAsia="Calibri" w:hAnsi="Verdana" w:cs="Arial"/>
                <w:b/>
                <w:bCs/>
                <w:lang w:val="es-ES" w:eastAsia="es-ES"/>
              </w:rPr>
              <w:t xml:space="preserve"> 2026</w:t>
            </w:r>
          </w:p>
          <w:p w14:paraId="38C22CED" w14:textId="4EDCD65B" w:rsidR="00261B7D" w:rsidRPr="00C00976" w:rsidRDefault="00261B7D" w:rsidP="0031322D">
            <w:pPr>
              <w:jc w:val="both"/>
              <w:rPr>
                <w:rFonts w:ascii="Verdana" w:eastAsia="Calibri" w:hAnsi="Verdana" w:cs="Arial"/>
                <w:b/>
                <w:bCs/>
                <w:color w:val="7030A0"/>
                <w:lang w:val="es-ES" w:eastAsia="es-ES"/>
              </w:rPr>
            </w:pPr>
          </w:p>
        </w:tc>
      </w:tr>
      <w:tr w:rsidR="00261B7D" w:rsidRPr="00593A5F" w14:paraId="79299FE5" w14:textId="77777777" w:rsidTr="0031322D">
        <w:trPr>
          <w:trHeight w:val="884"/>
        </w:trPr>
        <w:tc>
          <w:tcPr>
            <w:tcW w:w="2835" w:type="dxa"/>
          </w:tcPr>
          <w:p w14:paraId="6570612A" w14:textId="77777777" w:rsidR="00261B7D" w:rsidRPr="00593A5F" w:rsidRDefault="00261B7D" w:rsidP="0031322D">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5954" w:type="dxa"/>
          </w:tcPr>
          <w:p w14:paraId="234C6E2A" w14:textId="77777777" w:rsidR="00261B7D" w:rsidRPr="00D37EBD" w:rsidRDefault="00261B7D" w:rsidP="000C2089">
            <w:pPr>
              <w:jc w:val="both"/>
              <w:rPr>
                <w:rFonts w:ascii="Verdana" w:eastAsia="Calibri" w:hAnsi="Verdana" w:cs="Arial"/>
                <w:color w:val="000000" w:themeColor="text1"/>
                <w:lang w:val="es-ES" w:eastAsia="es-ES"/>
              </w:rPr>
            </w:pPr>
            <w:bookmarkStart w:id="1" w:name="OLE_LINK2"/>
            <w:r w:rsidRPr="00D37EBD">
              <w:rPr>
                <w:rFonts w:ascii="Verdana" w:eastAsia="Calibri" w:hAnsi="Verdana" w:cs="Arial"/>
                <w:color w:val="000000" w:themeColor="text1"/>
                <w:lang w:val="es-ES" w:eastAsia="es-ES"/>
              </w:rPr>
              <w:t>LEY DE GARANTÍAS ELECTORALES ‒ Tipos de restricciones ‒ Ámbito temporal / LEY DE GARANTÍAS ELECTORALES ─ Prohibición ‒ Contratación directa ‒Excepciones - Alcance</w:t>
            </w:r>
            <w:bookmarkEnd w:id="1"/>
            <w:r w:rsidRPr="00D37EBD">
              <w:rPr>
                <w:rFonts w:ascii="Verdana" w:hAnsi="Verdana"/>
                <w:color w:val="000000" w:themeColor="text1"/>
              </w:rPr>
              <w:t>.</w:t>
            </w:r>
          </w:p>
          <w:p w14:paraId="462AF5EF" w14:textId="77777777" w:rsidR="00261B7D" w:rsidRPr="00D37EBD" w:rsidRDefault="00261B7D" w:rsidP="000C2089">
            <w:pPr>
              <w:jc w:val="both"/>
              <w:rPr>
                <w:rFonts w:ascii="Verdana" w:eastAsia="Calibri" w:hAnsi="Verdana" w:cs="Arial"/>
                <w:lang w:val="es-ES" w:eastAsia="es-ES"/>
              </w:rPr>
            </w:pPr>
          </w:p>
        </w:tc>
      </w:tr>
      <w:tr w:rsidR="00261B7D" w:rsidRPr="00593A5F" w14:paraId="316E15F5" w14:textId="77777777" w:rsidTr="0031322D">
        <w:tc>
          <w:tcPr>
            <w:tcW w:w="2835" w:type="dxa"/>
          </w:tcPr>
          <w:p w14:paraId="4CE81EBC" w14:textId="77777777" w:rsidR="00261B7D" w:rsidRPr="006C6854" w:rsidRDefault="00261B7D" w:rsidP="0031322D">
            <w:pPr>
              <w:jc w:val="both"/>
              <w:rPr>
                <w:rFonts w:ascii="Verdana" w:eastAsia="Calibri" w:hAnsi="Verdana" w:cs="Arial"/>
                <w:b/>
                <w:color w:val="000000" w:themeColor="text1"/>
                <w:lang w:val="es-ES_tradnl" w:eastAsia="es-ES_tradnl"/>
              </w:rPr>
            </w:pPr>
            <w:r w:rsidRPr="006C6854">
              <w:rPr>
                <w:rFonts w:ascii="Verdana" w:eastAsia="Calibri" w:hAnsi="Verdana" w:cs="Arial"/>
                <w:b/>
                <w:color w:val="000000" w:themeColor="text1"/>
                <w:lang w:val="es-ES_tradnl" w:eastAsia="es-ES_tradnl"/>
              </w:rPr>
              <w:t>Radicación:</w:t>
            </w:r>
            <w:r w:rsidRPr="006C6854">
              <w:rPr>
                <w:rFonts w:ascii="Verdana" w:eastAsia="Calibri" w:hAnsi="Verdana" w:cs="Arial"/>
                <w:color w:val="000000" w:themeColor="text1"/>
                <w:lang w:val="es-ES_tradnl" w:eastAsia="es-ES_tradnl"/>
              </w:rPr>
              <w:t xml:space="preserve">               </w:t>
            </w:r>
          </w:p>
        </w:tc>
        <w:tc>
          <w:tcPr>
            <w:tcW w:w="5954" w:type="dxa"/>
          </w:tcPr>
          <w:p w14:paraId="7FEFE696" w14:textId="77777777" w:rsidR="00261B7D" w:rsidRPr="006C6854" w:rsidRDefault="00261B7D" w:rsidP="0031322D">
            <w:pPr>
              <w:jc w:val="both"/>
              <w:rPr>
                <w:rFonts w:ascii="Verdana" w:eastAsia="Calibri" w:hAnsi="Verdana" w:cs="Arial"/>
                <w:color w:val="000000" w:themeColor="text1"/>
                <w:lang w:val="es-ES_tradnl" w:eastAsia="es-ES_tradnl"/>
              </w:rPr>
            </w:pPr>
            <w:r w:rsidRPr="006C6854">
              <w:rPr>
                <w:rFonts w:ascii="Verdana" w:eastAsia="Calibri" w:hAnsi="Verdana" w:cs="Arial"/>
                <w:color w:val="000000" w:themeColor="text1"/>
                <w:lang w:val="es-ES_tradnl" w:eastAsia="es-ES_tradnl"/>
              </w:rPr>
              <w:t xml:space="preserve">Respuesta a consulta con radicado No. </w:t>
            </w:r>
            <w:r w:rsidRPr="006C6854">
              <w:rPr>
                <w:rFonts w:ascii="Verdana" w:hAnsi="Verdana"/>
                <w:color w:val="000000" w:themeColor="text1"/>
                <w:shd w:val="clear" w:color="auto" w:fill="FFFFFF"/>
              </w:rPr>
              <w:t>1_2026_02_19_002286</w:t>
            </w:r>
          </w:p>
        </w:tc>
      </w:tr>
    </w:tbl>
    <w:p w14:paraId="674D2F71" w14:textId="77777777" w:rsidR="00261B7D" w:rsidRPr="00593A5F" w:rsidRDefault="00261B7D" w:rsidP="00261B7D">
      <w:pPr>
        <w:spacing w:after="0" w:line="240" w:lineRule="auto"/>
        <w:jc w:val="both"/>
        <w:rPr>
          <w:rFonts w:ascii="Verdana" w:eastAsia="Calibri" w:hAnsi="Verdana" w:cs="Arial"/>
          <w:color w:val="000000"/>
          <w:lang w:val="es-ES_tradnl" w:eastAsia="es-ES_tradnl"/>
        </w:rPr>
      </w:pPr>
    </w:p>
    <w:p w14:paraId="17220148" w14:textId="77777777" w:rsidR="00261B7D" w:rsidRPr="00593A5F" w:rsidRDefault="00261B7D" w:rsidP="00261B7D">
      <w:pPr>
        <w:spacing w:after="0" w:line="240" w:lineRule="auto"/>
        <w:jc w:val="both"/>
        <w:rPr>
          <w:rFonts w:ascii="Verdana" w:eastAsia="Calibri" w:hAnsi="Verdana" w:cs="Arial"/>
          <w:color w:val="000000"/>
          <w:lang w:val="es-ES_tradnl" w:eastAsia="es-ES_tradnl"/>
        </w:rPr>
      </w:pPr>
    </w:p>
    <w:p w14:paraId="0E97EAF8" w14:textId="77777777" w:rsidR="00261B7D" w:rsidRDefault="00261B7D" w:rsidP="00261B7D">
      <w:pPr>
        <w:spacing w:after="0" w:line="276" w:lineRule="auto"/>
        <w:jc w:val="both"/>
        <w:rPr>
          <w:rFonts w:ascii="Verdana" w:eastAsia="Calibri" w:hAnsi="Verdana" w:cs="Arial"/>
          <w:color w:val="000000" w:themeColor="text1"/>
          <w:lang w:val="es-ES" w:eastAsia="es-ES"/>
        </w:rPr>
      </w:pPr>
      <w:r w:rsidRPr="00593A5F">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593A5F">
        <w:rPr>
          <w:rFonts w:ascii="Verdana" w:eastAsia="Calibri" w:hAnsi="Verdana" w:cs="Arial"/>
          <w:color w:val="000000" w:themeColor="text1"/>
          <w:lang w:val="es-ES" w:eastAsia="es-ES"/>
        </w:rPr>
        <w:t xml:space="preserve"> señ</w:t>
      </w:r>
      <w:r>
        <w:rPr>
          <w:rFonts w:ascii="Verdana" w:eastAsia="Calibri" w:hAnsi="Verdana" w:cs="Arial"/>
          <w:color w:val="000000" w:themeColor="text1"/>
          <w:lang w:val="es-ES" w:eastAsia="es-ES"/>
        </w:rPr>
        <w:t>ora Tovar,</w:t>
      </w:r>
    </w:p>
    <w:p w14:paraId="751DEE54" w14:textId="77777777" w:rsidR="00261B7D" w:rsidRDefault="00261B7D" w:rsidP="00261B7D">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84CFC3D" w14:textId="77777777" w:rsidR="00261B7D" w:rsidRDefault="00261B7D" w:rsidP="00261B7D">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624473">
        <w:rPr>
          <w:rFonts w:ascii="Verdana" w:eastAsia="Calibri" w:hAnsi="Verdana" w:cs="Arial"/>
          <w:color w:val="000000" w:themeColor="text1"/>
          <w:lang w:val="es-ES" w:eastAsia="es-ES"/>
        </w:rPr>
        <w:t xml:space="preserve">fecha 19 de febrero de 2025, en la cual manifiesta lo siguiente: </w:t>
      </w:r>
    </w:p>
    <w:p w14:paraId="5C755D0A" w14:textId="77777777" w:rsidR="00261B7D" w:rsidRPr="00624473" w:rsidRDefault="00261B7D" w:rsidP="00261B7D">
      <w:pPr>
        <w:spacing w:after="0" w:line="276" w:lineRule="auto"/>
        <w:jc w:val="both"/>
        <w:rPr>
          <w:rFonts w:ascii="Verdana" w:eastAsia="Century Gothic" w:hAnsi="Verdana" w:cs="Century Gothic"/>
          <w:b/>
          <w:bCs/>
          <w:color w:val="000000" w:themeColor="text1"/>
          <w:lang w:val="es-ES"/>
        </w:rPr>
      </w:pPr>
    </w:p>
    <w:p w14:paraId="1D7F4145" w14:textId="77777777" w:rsidR="00261B7D" w:rsidRPr="00624473" w:rsidRDefault="00261B7D" w:rsidP="00261B7D">
      <w:pPr>
        <w:spacing w:after="0" w:line="240" w:lineRule="auto"/>
        <w:ind w:left="709" w:right="709"/>
        <w:jc w:val="both"/>
        <w:rPr>
          <w:rStyle w:val="normaltextrun"/>
          <w:rFonts w:ascii="Verdana" w:hAnsi="Verdana" w:cs="Arial"/>
          <w:color w:val="000000" w:themeColor="text1"/>
          <w:sz w:val="20"/>
          <w:szCs w:val="20"/>
          <w:shd w:val="clear" w:color="auto" w:fill="FFFFFF"/>
          <w:lang w:val="es-ES"/>
        </w:rPr>
      </w:pPr>
      <w:bookmarkStart w:id="2" w:name="_Hlk95313578"/>
      <w:bookmarkStart w:id="3" w:name="OLE_LINK1"/>
      <w:r w:rsidRPr="00624473">
        <w:rPr>
          <w:rFonts w:ascii="Verdana" w:eastAsia="Century Gothic" w:hAnsi="Verdana" w:cs="Century Gothic"/>
          <w:color w:val="000000" w:themeColor="text1"/>
          <w:sz w:val="20"/>
          <w:szCs w:val="20"/>
          <w:lang w:val="es-ES"/>
        </w:rPr>
        <w:t>“</w:t>
      </w:r>
      <w:bookmarkEnd w:id="2"/>
      <w:r w:rsidRPr="00624473">
        <w:rPr>
          <w:rFonts w:ascii="Verdana" w:eastAsia="Century Gothic" w:hAnsi="Verdana" w:cs="Century Gothic"/>
          <w:color w:val="000000" w:themeColor="text1"/>
          <w:sz w:val="20"/>
          <w:szCs w:val="20"/>
          <w:lang w:val="es-ES"/>
        </w:rPr>
        <w:t>Solicito amablemente me den un concepto sobre la ley de garantías. Un Hospital Público estando en Ley de Garantías puede comprar un equipo médico de manera directa, teniendo en cuenta que se necesita de manera urgente para prestar los servicios en el área de odontología”.</w:t>
      </w:r>
    </w:p>
    <w:p w14:paraId="7B6CF3F0" w14:textId="77777777" w:rsidR="00261B7D" w:rsidRPr="00593A5F" w:rsidRDefault="00261B7D" w:rsidP="000C2089">
      <w:pPr>
        <w:spacing w:after="0" w:line="276" w:lineRule="auto"/>
        <w:ind w:right="709"/>
        <w:jc w:val="both"/>
        <w:rPr>
          <w:rFonts w:ascii="Verdana" w:eastAsia="Century Gothic" w:hAnsi="Verdana" w:cs="Century Gothic"/>
          <w:b/>
          <w:bCs/>
          <w:lang w:val="es-ES"/>
        </w:rPr>
      </w:pPr>
    </w:p>
    <w:bookmarkEnd w:id="3"/>
    <w:p w14:paraId="1DD7334E" w14:textId="77777777" w:rsidR="00261B7D" w:rsidRDefault="00261B7D" w:rsidP="00261B7D">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w:t>
      </w:r>
      <w:r w:rsidRPr="00593A5F">
        <w:rPr>
          <w:rFonts w:ascii="Verdana" w:eastAsia="Calibri" w:hAnsi="Verdana" w:cs="Arial"/>
          <w:color w:val="000000"/>
          <w:lang w:val="es-ES" w:eastAsia="es-ES"/>
        </w:rPr>
        <w:lastRenderedPageBreak/>
        <w:t xml:space="preserve">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63D7E737" w14:textId="77777777" w:rsidR="00261B7D" w:rsidRDefault="00261B7D" w:rsidP="00261B7D">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 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w:t>
      </w:r>
      <w:r w:rsidRPr="00593A5F">
        <w:rPr>
          <w:rFonts w:ascii="Verdana" w:eastAsia="Calibri" w:hAnsi="Verdana" w:cs="Arial"/>
          <w:color w:val="000000"/>
          <w:lang w:val="es-ES" w:eastAsia="es-ES"/>
        </w:rPr>
        <w:t xml:space="preserve"> </w:t>
      </w:r>
    </w:p>
    <w:p w14:paraId="6CCE0571" w14:textId="77777777" w:rsidR="00261B7D" w:rsidRPr="00593A5F" w:rsidRDefault="00261B7D" w:rsidP="00261B7D">
      <w:pPr>
        <w:spacing w:after="0" w:line="276" w:lineRule="auto"/>
        <w:ind w:firstLine="709"/>
        <w:jc w:val="both"/>
        <w:rPr>
          <w:rFonts w:ascii="Verdana" w:eastAsia="Calibri" w:hAnsi="Verdana" w:cs="Arial"/>
          <w:color w:val="000000"/>
          <w:lang w:val="es-ES" w:eastAsia="es-ES"/>
        </w:rPr>
      </w:pPr>
    </w:p>
    <w:p w14:paraId="36B39F6F" w14:textId="77777777" w:rsidR="00261B7D" w:rsidRPr="00593A5F" w:rsidRDefault="00261B7D" w:rsidP="00261B7D">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23F84802" w14:textId="77777777" w:rsidR="00261B7D" w:rsidRPr="00593A5F" w:rsidRDefault="00261B7D" w:rsidP="00261B7D">
      <w:pPr>
        <w:tabs>
          <w:tab w:val="left" w:pos="426"/>
        </w:tabs>
        <w:spacing w:after="0" w:line="276" w:lineRule="auto"/>
        <w:jc w:val="both"/>
        <w:rPr>
          <w:rFonts w:ascii="Verdana" w:eastAsia="Century Gothic" w:hAnsi="Verdana" w:cs="Century Gothic"/>
          <w:lang w:val="es-ES"/>
        </w:rPr>
      </w:pPr>
    </w:p>
    <w:p w14:paraId="06EF30AC" w14:textId="5AB4D7C1" w:rsidR="00261B7D" w:rsidRDefault="00261B7D" w:rsidP="00261B7D">
      <w:pPr>
        <w:spacing w:after="0" w:line="276" w:lineRule="auto"/>
        <w:jc w:val="both"/>
        <w:rPr>
          <w:rFonts w:ascii="Verdana" w:hAnsi="Verdana"/>
        </w:rPr>
      </w:pPr>
      <w:r w:rsidRPr="1F9252E4">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B40C2B">
        <w:rPr>
          <w:rFonts w:ascii="Verdana" w:eastAsia="Century Gothic" w:hAnsi="Verdana" w:cs="Century Gothic"/>
        </w:rPr>
        <w:t>¿</w:t>
      </w:r>
      <w:r w:rsidRPr="00B40C2B">
        <w:rPr>
          <w:rStyle w:val="citation-61"/>
          <w:rFonts w:ascii="Verdana" w:hAnsi="Verdana"/>
        </w:rPr>
        <w:t>Puede una entidad hospitalaria y sanitaria, estando en periodo de Ley de Garantías</w:t>
      </w:r>
      <w:r w:rsidR="001727B0">
        <w:rPr>
          <w:rStyle w:val="citation-61"/>
          <w:rFonts w:ascii="Verdana" w:hAnsi="Verdana"/>
        </w:rPr>
        <w:t xml:space="preserve"> Electorales</w:t>
      </w:r>
      <w:r w:rsidRPr="00B40C2B">
        <w:rPr>
          <w:rStyle w:val="citation-61"/>
          <w:rFonts w:ascii="Verdana" w:hAnsi="Verdana"/>
        </w:rPr>
        <w:t>, adquirir un equipo médico de manera directa?</w:t>
      </w:r>
      <w:r w:rsidRPr="00B40C2B">
        <w:rPr>
          <w:rFonts w:ascii="Verdana" w:hAnsi="Verdana"/>
        </w:rPr>
        <w:t>.</w:t>
      </w:r>
    </w:p>
    <w:p w14:paraId="212AF5F3" w14:textId="77777777" w:rsidR="00261B7D" w:rsidRPr="00593A5F" w:rsidRDefault="00261B7D" w:rsidP="00261B7D">
      <w:pPr>
        <w:spacing w:after="0" w:line="276" w:lineRule="auto"/>
        <w:jc w:val="both"/>
        <w:rPr>
          <w:rFonts w:ascii="Verdana" w:eastAsia="Calibri" w:hAnsi="Verdana" w:cs="Arial"/>
          <w:color w:val="7030A0"/>
          <w:lang w:val="es-ES"/>
        </w:rPr>
      </w:pPr>
    </w:p>
    <w:p w14:paraId="082A3F5A" w14:textId="77777777" w:rsidR="00261B7D" w:rsidRPr="00593A5F" w:rsidRDefault="00261B7D" w:rsidP="00261B7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57CD0B87" w14:textId="77777777" w:rsidR="00261B7D" w:rsidRPr="00593A5F" w:rsidRDefault="00261B7D" w:rsidP="00261B7D">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61B7D" w:rsidRPr="00593A5F" w14:paraId="3FDFA6A0" w14:textId="77777777" w:rsidTr="0031322D">
        <w:tc>
          <w:tcPr>
            <w:tcW w:w="8828" w:type="dxa"/>
          </w:tcPr>
          <w:p w14:paraId="6907A52A" w14:textId="77777777" w:rsidR="0045744A" w:rsidRPr="001F1A8B" w:rsidRDefault="0045744A" w:rsidP="0045744A">
            <w:pPr>
              <w:spacing w:after="120" w:line="276" w:lineRule="auto"/>
              <w:jc w:val="both"/>
              <w:rPr>
                <w:rFonts w:ascii="Verdana" w:eastAsia="Calibri" w:hAnsi="Verdana" w:cs="Arial"/>
              </w:rPr>
            </w:pPr>
            <w:r w:rsidRPr="001F1A8B">
              <w:rPr>
                <w:rFonts w:ascii="Verdana" w:eastAsia="Calibri" w:hAnsi="Verdana" w:cs="Arial"/>
              </w:rPr>
              <w:t>En relación con el problema jurídico formulado y conforme a lo previsto en el artículo 33 de la Ley 996 de 2005, el legislador estableció excepciones puntuales a la prohibición general de celebrar contratos mediante la modalidad de contratación directa durante el período preelectoral</w:t>
            </w:r>
            <w:r>
              <w:rPr>
                <w:rFonts w:ascii="Verdana" w:eastAsia="Calibri" w:hAnsi="Verdana" w:cs="Arial"/>
              </w:rPr>
              <w:t xml:space="preserve"> de la presidencia de la Republica</w:t>
            </w:r>
            <w:r w:rsidRPr="001F1A8B">
              <w:rPr>
                <w:rFonts w:ascii="Verdana" w:eastAsia="Calibri" w:hAnsi="Verdana" w:cs="Arial"/>
              </w:rPr>
              <w:t>. Dichas excepciones, consagradas de manera taxativa en el inciso final de la citada disposición, habilitan a las entidades estatales para contratar sin acudir a procesos de selección pública cuando se configuren determinados supuestos de especial relevancia para el interés general.</w:t>
            </w:r>
          </w:p>
          <w:p w14:paraId="787D3D5B" w14:textId="77777777" w:rsidR="0045744A" w:rsidRPr="001F1A8B" w:rsidRDefault="0045744A" w:rsidP="0045744A">
            <w:pPr>
              <w:spacing w:after="120" w:line="276" w:lineRule="auto"/>
              <w:ind w:firstLine="709"/>
              <w:jc w:val="both"/>
              <w:rPr>
                <w:rFonts w:ascii="Verdana" w:eastAsia="Calibri" w:hAnsi="Verdana" w:cs="Arial"/>
              </w:rPr>
            </w:pPr>
            <w:r w:rsidRPr="001F1A8B">
              <w:rPr>
                <w:rFonts w:ascii="Verdana" w:eastAsia="Calibri" w:hAnsi="Verdana" w:cs="Arial"/>
              </w:rPr>
              <w:t>Entre estos eventos se encuentran los contratos destinados a garantizar la defensa y seguridad del Estado, las operaciones de crédito público, así como aquellos requeridos para la atención de emergencias en los sectores educativo</w:t>
            </w:r>
            <w:r>
              <w:rPr>
                <w:rFonts w:ascii="Verdana" w:eastAsia="Calibri" w:hAnsi="Verdana" w:cs="Arial"/>
              </w:rPr>
              <w:t xml:space="preserve">, </w:t>
            </w:r>
            <w:r w:rsidRPr="001F1A8B">
              <w:rPr>
                <w:rFonts w:ascii="Verdana" w:eastAsia="Calibri" w:hAnsi="Verdana" w:cs="Arial"/>
              </w:rPr>
              <w:t xml:space="preserve">sanitario o para enfrentar situaciones derivadas de desastres. Igualmente, la norma permite la contratación directa en los casos orientados a la reconstrucción de infraestructura vial, energética o de comunicaciones que </w:t>
            </w:r>
            <w:r w:rsidRPr="001F1A8B">
              <w:rPr>
                <w:rFonts w:ascii="Verdana" w:eastAsia="Calibri" w:hAnsi="Verdana" w:cs="Arial"/>
              </w:rPr>
              <w:lastRenderedPageBreak/>
              <w:t>haya resultado afectada por atentados, acciones terroristas, desastres naturales o eventos de fuerza mayor</w:t>
            </w:r>
            <w:r>
              <w:rPr>
                <w:rFonts w:ascii="Verdana" w:eastAsia="Calibri" w:hAnsi="Verdana" w:cs="Arial"/>
              </w:rPr>
              <w:t>, así como aquellos contratos necesarios para garantizar la operatividad y funcionalidad de las entidades del sector salud y hospitalario.</w:t>
            </w:r>
          </w:p>
          <w:p w14:paraId="510506DA" w14:textId="4F4713A2" w:rsidR="00261B7D" w:rsidRPr="0078433B" w:rsidRDefault="0045744A" w:rsidP="0031322D">
            <w:pPr>
              <w:pStyle w:val="paragraph"/>
              <w:shd w:val="clear" w:color="auto" w:fill="FFFFFF"/>
              <w:spacing w:before="0" w:beforeAutospacing="0" w:after="120" w:afterAutospacing="0" w:line="276" w:lineRule="auto"/>
              <w:ind w:firstLine="708"/>
              <w:jc w:val="both"/>
              <w:textAlignment w:val="baseline"/>
              <w:rPr>
                <w:rFonts w:ascii="Verdana" w:eastAsia="Calibri" w:hAnsi="Verdana" w:cs="Arial"/>
                <w:bCs/>
                <w:color w:val="000000" w:themeColor="text1"/>
                <w:sz w:val="22"/>
                <w:szCs w:val="22"/>
              </w:rPr>
            </w:pPr>
            <w:r w:rsidRPr="001F1A8B">
              <w:rPr>
                <w:rFonts w:ascii="Verdana" w:eastAsia="Calibri" w:hAnsi="Verdana" w:cs="Arial"/>
              </w:rPr>
              <w:t xml:space="preserve">De manera particular, </w:t>
            </w:r>
            <w:r>
              <w:rPr>
                <w:rFonts w:ascii="Verdana" w:eastAsia="Calibri" w:hAnsi="Verdana" w:cs="Arial"/>
              </w:rPr>
              <w:t xml:space="preserve">conforme a la consulta que nos ocupa, </w:t>
            </w:r>
            <w:r w:rsidRPr="001F1A8B">
              <w:rPr>
                <w:rFonts w:ascii="Verdana" w:eastAsia="Calibri" w:hAnsi="Verdana" w:cs="Arial"/>
              </w:rPr>
              <w:t xml:space="preserve">merece un énfasis especial la excepción relativa a los contratos necesarios para las entidades del sector salud y hospitalario. </w:t>
            </w:r>
            <w:r w:rsidR="00261B7D" w:rsidRPr="00EC1732">
              <w:rPr>
                <w:rFonts w:ascii="Verdana" w:hAnsi="Verdana" w:cs="Arial"/>
                <w:bCs/>
                <w:color w:val="000000" w:themeColor="text1"/>
                <w:sz w:val="22"/>
                <w:szCs w:val="22"/>
              </w:rPr>
              <w:t xml:space="preserve"> Para ello, el artículo 94 de la Ley 100 de 1993 dispone que “la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w:t>
            </w:r>
            <w:r w:rsidR="00261B7D" w:rsidRPr="0078433B">
              <w:rPr>
                <w:rFonts w:ascii="Verdana" w:hAnsi="Verdana" w:cs="Arial"/>
                <w:bCs/>
                <w:color w:val="000000" w:themeColor="text1"/>
                <w:sz w:val="22"/>
                <w:szCs w:val="22"/>
              </w:rPr>
              <w:t xml:space="preserve"> </w:t>
            </w:r>
          </w:p>
          <w:p w14:paraId="48E4B9DA" w14:textId="77777777" w:rsidR="00261B7D" w:rsidRPr="00FF007A" w:rsidRDefault="00261B7D" w:rsidP="0031322D">
            <w:pPr>
              <w:tabs>
                <w:tab w:val="left" w:pos="426"/>
              </w:tabs>
              <w:spacing w:before="120" w:line="276" w:lineRule="auto"/>
              <w:ind w:firstLine="709"/>
              <w:jc w:val="both"/>
              <w:rPr>
                <w:rFonts w:ascii="Verdana" w:hAnsi="Verdana" w:cs="Arial"/>
                <w:color w:val="000000" w:themeColor="text1"/>
              </w:rPr>
            </w:pPr>
            <w:r w:rsidRPr="00FF007A">
              <w:rPr>
                <w:rFonts w:ascii="Verdana" w:hAnsi="Verdana" w:cs="Arial"/>
                <w:color w:val="000000" w:themeColor="text1"/>
              </w:rPr>
              <w:t>De lo anterior se desprende que, bajo la Ley 100 de 1993, dentro de la estructura de la administración pública las Empresas Sociales del Estado</w:t>
            </w:r>
            <w:r>
              <w:rPr>
                <w:rFonts w:ascii="Verdana" w:hAnsi="Verdana" w:cs="Arial"/>
                <w:color w:val="000000" w:themeColor="text1"/>
              </w:rPr>
              <w:t>, según lo dispuesto en el artículo 194 de la Ley 100 de 1993,</w:t>
            </w:r>
            <w:r w:rsidRPr="00FF007A">
              <w:rPr>
                <w:rFonts w:ascii="Verdana" w:hAnsi="Verdana" w:cs="Arial"/>
                <w:color w:val="000000" w:themeColor="text1"/>
              </w:rPr>
              <w:t xml:space="preserve"> son las entidades encargadas de prestar el servicio de salud de manera directa. Además, el mismo artículo 197 estableció el deber de reestructurar y transformar en Empresas Sociales del Estado a las entidades descentralizadas que, al momento de entrada en vigor de la ley referida, prestaban directamente este servicio. Así, se observa que la voluntad del legislador fue homogeneizar o unificar la naturaleza jurídica de las entidades públicas descentralizadas prestadoras del servicio de salud en Empresas Sociales del Estado. De ello da cuenta no solo la creación de la institución jurídica referida sino además la imposición del mandato de reestructuración de aquellas entidades. </w:t>
            </w:r>
          </w:p>
          <w:p w14:paraId="09BAC62D" w14:textId="77777777" w:rsidR="00261B7D" w:rsidRPr="00FF007A" w:rsidRDefault="00261B7D" w:rsidP="0031322D">
            <w:pPr>
              <w:spacing w:before="120"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De otro lado, el artículo 2.8.8.1.1.3 del Decreto 780 de 2016, </w:t>
            </w:r>
            <w:r>
              <w:rPr>
                <w:rFonts w:ascii="Verdana" w:eastAsia="Arial" w:hAnsi="Verdana" w:cs="Arial"/>
                <w:bCs/>
                <w:color w:val="000000" w:themeColor="text1"/>
              </w:rPr>
              <w:t>“</w:t>
            </w:r>
            <w:r w:rsidRPr="00FF007A">
              <w:rPr>
                <w:rFonts w:ascii="Verdana" w:eastAsia="Arial" w:hAnsi="Verdana" w:cs="Arial"/>
                <w:bCs/>
                <w:color w:val="000000" w:themeColor="text1"/>
              </w:rPr>
              <w:t>Por medio del cual se expide el Decreto Único Reglamentario del Sector Salud y Protección Social</w:t>
            </w:r>
            <w:r>
              <w:rPr>
                <w:rFonts w:ascii="Verdana" w:eastAsia="Arial" w:hAnsi="Verdana" w:cs="Arial"/>
                <w:bCs/>
                <w:color w:val="000000" w:themeColor="text1"/>
              </w:rPr>
              <w:t>”</w:t>
            </w:r>
            <w:r w:rsidRPr="00FF007A">
              <w:rPr>
                <w:rFonts w:ascii="Verdana" w:eastAsia="Arial" w:hAnsi="Verdana" w:cs="Arial"/>
                <w:bCs/>
                <w:color w:val="000000" w:themeColor="text1"/>
              </w:rPr>
              <w:t xml:space="preserve">, definió a las </w:t>
            </w:r>
            <w:r w:rsidRPr="00FF007A">
              <w:rPr>
                <w:rFonts w:ascii="Verdana" w:eastAsia="Arial" w:hAnsi="Verdana" w:cs="Arial"/>
                <w:bCs/>
                <w:i/>
                <w:iCs/>
                <w:color w:val="000000" w:themeColor="text1"/>
              </w:rPr>
              <w:t>entidades sanitarias</w:t>
            </w:r>
            <w:r w:rsidRPr="00FF007A">
              <w:rPr>
                <w:rFonts w:ascii="Verdana" w:eastAsia="Arial" w:hAnsi="Verdana" w:cs="Arial"/>
                <w:bCs/>
                <w:color w:val="000000" w:themeColor="text1"/>
              </w:rPr>
              <w:t xml:space="preserve"> como</w:t>
            </w:r>
            <w:r>
              <w:rPr>
                <w:rFonts w:ascii="Verdana" w:eastAsia="Arial" w:hAnsi="Verdana" w:cs="Arial"/>
                <w:bCs/>
                <w:color w:val="000000" w:themeColor="text1"/>
              </w:rPr>
              <w:t xml:space="preserve"> las</w:t>
            </w:r>
            <w:r w:rsidRPr="00FF007A">
              <w:rPr>
                <w:rFonts w:ascii="Verdana" w:eastAsia="Arial" w:hAnsi="Verdana" w:cs="Arial"/>
                <w:bCs/>
                <w:color w:val="000000" w:themeColor="text1"/>
              </w:rPr>
              <w:t xml:space="preserve"> “Entidades del Estado que prestan servicios sanitarios o de sanidad con el propósito de preservar la salud humana y la salud pública”. El artículo citado también define las </w:t>
            </w:r>
            <w:r w:rsidRPr="00FF007A">
              <w:rPr>
                <w:rFonts w:ascii="Verdana" w:eastAsia="Arial" w:hAnsi="Verdana" w:cs="Arial"/>
                <w:bCs/>
                <w:i/>
                <w:iCs/>
                <w:color w:val="000000" w:themeColor="text1"/>
              </w:rPr>
              <w:t>autoridades sanitarias</w:t>
            </w:r>
            <w:r w:rsidRPr="00FF007A">
              <w:rPr>
                <w:rFonts w:ascii="Verdana" w:eastAsia="Arial" w:hAnsi="Verdana" w:cs="Arial"/>
                <w:bCs/>
                <w:color w:val="000000" w:themeColor="text1"/>
              </w:rPr>
              <w:t xml:space="preserve"> como </w:t>
            </w:r>
            <w:r>
              <w:rPr>
                <w:rFonts w:ascii="Verdana" w:eastAsia="Arial" w:hAnsi="Verdana" w:cs="Arial"/>
                <w:bCs/>
                <w:color w:val="000000" w:themeColor="text1"/>
              </w:rPr>
              <w:t xml:space="preserve">las </w:t>
            </w:r>
            <w:r w:rsidRPr="00FF007A">
              <w:rPr>
                <w:rFonts w:ascii="Verdana" w:eastAsia="Arial" w:hAnsi="Verdana" w:cs="Arial"/>
                <w:bCs/>
                <w:color w:val="000000" w:themeColor="text1"/>
              </w:rPr>
              <w:t xml:space="preserve">“Entidades jurídicas de carácter público con atribuciones para ejercer funciones de rectoría, regulación, inspección, vigilancia y control de los sectores público y privado en salud y adoptar medidas de prevención y seguimiento que garanticen la protección de la salud </w:t>
            </w:r>
            <w:r w:rsidRPr="00FF007A">
              <w:rPr>
                <w:rFonts w:ascii="Verdana" w:eastAsia="Arial" w:hAnsi="Verdana" w:cs="Arial"/>
                <w:bCs/>
                <w:color w:val="000000" w:themeColor="text1"/>
              </w:rPr>
              <w:lastRenderedPageBreak/>
              <w:t xml:space="preserve">pública”. De esta forma, </w:t>
            </w:r>
            <w:r>
              <w:rPr>
                <w:rFonts w:ascii="Verdana" w:eastAsia="Arial" w:hAnsi="Verdana" w:cs="Arial"/>
                <w:bCs/>
                <w:color w:val="000000" w:themeColor="text1"/>
              </w:rPr>
              <w:t xml:space="preserve">para efectos de la aplicación de la excepción, se debe verificar que se cumplan los requisitos del </w:t>
            </w:r>
            <w:r w:rsidRPr="00FF007A">
              <w:rPr>
                <w:rFonts w:ascii="Verdana" w:eastAsia="Arial" w:hAnsi="Verdana" w:cs="Arial"/>
                <w:bCs/>
                <w:color w:val="000000" w:themeColor="text1"/>
              </w:rPr>
              <w:t xml:space="preserve">artículo 33 de la Ley </w:t>
            </w:r>
            <w:r>
              <w:rPr>
                <w:rFonts w:ascii="Verdana" w:eastAsia="Arial" w:hAnsi="Verdana" w:cs="Arial"/>
                <w:bCs/>
                <w:color w:val="000000" w:themeColor="text1"/>
              </w:rPr>
              <w:t xml:space="preserve">996 de 2005. </w:t>
            </w:r>
          </w:p>
          <w:p w14:paraId="418A7EF6" w14:textId="77777777" w:rsidR="0045744A" w:rsidRPr="001F1A8B" w:rsidRDefault="0045744A" w:rsidP="0045744A">
            <w:pPr>
              <w:spacing w:after="120" w:line="276" w:lineRule="auto"/>
              <w:ind w:firstLine="709"/>
              <w:jc w:val="both"/>
              <w:rPr>
                <w:rFonts w:ascii="Verdana" w:eastAsia="Calibri" w:hAnsi="Verdana" w:cs="Arial"/>
              </w:rPr>
            </w:pPr>
            <w:r w:rsidRPr="00C01C95">
              <w:rPr>
                <w:rFonts w:ascii="Verdana" w:eastAsia="Calibri" w:hAnsi="Verdana" w:cs="Arial"/>
              </w:rPr>
              <w:t xml:space="preserve">En conclusión, de la </w:t>
            </w:r>
            <w:r>
              <w:rPr>
                <w:rFonts w:ascii="Verdana" w:eastAsia="Calibri" w:hAnsi="Verdana" w:cs="Arial"/>
              </w:rPr>
              <w:t>lectura taxativa</w:t>
            </w:r>
            <w:r w:rsidRPr="00C01C95">
              <w:rPr>
                <w:rFonts w:ascii="Verdana" w:eastAsia="Calibri" w:hAnsi="Verdana" w:cs="Arial"/>
              </w:rPr>
              <w:t xml:space="preserve"> del artículo 33 de la Ley 996 de 2005 se infiere que la excepción a la prohibición de contratar durante el período preelectoral cobija a las entidades hospitalarias, categoría en la que se inscriben las Empresas Sociales del Estado y aquellas instituciones públicas que, aun sin haber culminado el proceso de reestructuración previsto en la Ley 100 de 1993, prestan de manera directa servicios de salud. En tal medida, dichas entidades se encuentran jurídicamente habilitadas para celebrar contratos bajo la modalidad de contratación directa,</w:t>
            </w:r>
            <w:r>
              <w:rPr>
                <w:rFonts w:ascii="Verdana" w:eastAsia="Calibri" w:hAnsi="Verdana" w:cs="Arial"/>
              </w:rPr>
              <w:t xml:space="preserve"> durante la vigencia de la prohibición,</w:t>
            </w:r>
            <w:r w:rsidRPr="00C01C95">
              <w:rPr>
                <w:rFonts w:ascii="Verdana" w:eastAsia="Calibri" w:hAnsi="Verdana" w:cs="Arial"/>
              </w:rPr>
              <w:t xml:space="preserve"> conforme a las reglas y procedimientos previstos en sus respectivos manuales de contratación, sin que les sea oponible la restricción general establecida por la Ley de Garantías Electorales, en atención a la naturaleza esencial y continua del servicio público de salud que están llamadas a garantizar.</w:t>
            </w:r>
          </w:p>
          <w:p w14:paraId="793571D0" w14:textId="77777777" w:rsidR="0045744A" w:rsidRPr="001F1A8B" w:rsidRDefault="0045744A" w:rsidP="0045744A">
            <w:pPr>
              <w:spacing w:after="120" w:line="276" w:lineRule="auto"/>
              <w:ind w:firstLine="709"/>
              <w:jc w:val="both"/>
              <w:rPr>
                <w:rFonts w:ascii="Verdana" w:eastAsia="Calibri" w:hAnsi="Verdana" w:cs="Arial"/>
              </w:rPr>
            </w:pPr>
            <w:r w:rsidRPr="001F1A8B">
              <w:rPr>
                <w:rFonts w:ascii="Verdana" w:eastAsia="Calibri" w:hAnsi="Verdana" w:cs="Arial"/>
              </w:rPr>
              <w:t>Así, la excepción en comento no solo se justifica por razones de urgencia, sino también por la necesidad de garantizar la continuidad en la prestación de los servicios de salud, el suministro oportuno de bienes y servicios médicos y el adecuado funcionamiento de la red hospitalaria, aun en contextos de restricción electoral.</w:t>
            </w:r>
          </w:p>
          <w:p w14:paraId="170F453B" w14:textId="047BECA3" w:rsidR="00261B7D" w:rsidRPr="00163637" w:rsidRDefault="0045744A" w:rsidP="0031322D">
            <w:pPr>
              <w:spacing w:after="120" w:line="276" w:lineRule="auto"/>
              <w:ind w:firstLine="709"/>
              <w:jc w:val="both"/>
              <w:rPr>
                <w:rFonts w:ascii="Verdana" w:eastAsia="Arial" w:hAnsi="Verdana" w:cs="Arial"/>
                <w:bCs/>
                <w:color w:val="000000" w:themeColor="text1"/>
              </w:rPr>
            </w:pPr>
            <w:r w:rsidRPr="001F1A8B">
              <w:rPr>
                <w:rFonts w:ascii="Verdana" w:eastAsia="Calibri" w:hAnsi="Verdana" w:cs="Arial"/>
              </w:rPr>
              <w:t>Sin perjuicio de lo anterior, es deber de cada entidad pública efectuar un análisis serio, objetivo y debidamente motivado de la naturaleza y finalidad del contrato que pretende celebrar, a fin de constatar que este se enmarca efectivamente dentro de las excepciones legales previstas. Solo en la medida en que se cumpla dicho examen resultará procedente la contratación directa, en observancia de los principios de legalidad, necesidad, proporcionalidad y responsabilidad que rigen la función administrativa</w:t>
            </w:r>
            <w:r>
              <w:rPr>
                <w:rFonts w:ascii="Verdana" w:eastAsia="Calibri" w:hAnsi="Verdana" w:cs="Arial"/>
              </w:rPr>
              <w:t>.</w:t>
            </w:r>
          </w:p>
        </w:tc>
      </w:tr>
    </w:tbl>
    <w:p w14:paraId="020818D4" w14:textId="77777777" w:rsidR="00261B7D" w:rsidRPr="00593A5F" w:rsidRDefault="00261B7D" w:rsidP="00261B7D">
      <w:pPr>
        <w:tabs>
          <w:tab w:val="left" w:pos="142"/>
          <w:tab w:val="left" w:pos="284"/>
        </w:tabs>
        <w:spacing w:after="0" w:line="276" w:lineRule="auto"/>
        <w:jc w:val="both"/>
        <w:rPr>
          <w:rFonts w:ascii="Verdana" w:eastAsia="Century Gothic" w:hAnsi="Verdana" w:cs="Century Gothic"/>
          <w:b/>
          <w:bCs/>
          <w:lang w:val="es-ES"/>
        </w:rPr>
      </w:pPr>
    </w:p>
    <w:p w14:paraId="0BAD222F" w14:textId="77777777" w:rsidR="00261B7D" w:rsidRPr="00593A5F" w:rsidRDefault="00261B7D" w:rsidP="00261B7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C051C27" w14:textId="77777777" w:rsidR="00261B7D" w:rsidRPr="00593A5F" w:rsidRDefault="00261B7D" w:rsidP="00261B7D">
      <w:pPr>
        <w:spacing w:after="0" w:line="276" w:lineRule="auto"/>
        <w:jc w:val="both"/>
        <w:rPr>
          <w:rFonts w:ascii="Verdana" w:eastAsia="Calibri" w:hAnsi="Verdana" w:cs="Arial"/>
          <w:color w:val="7030A0"/>
          <w:lang w:val="es-ES"/>
        </w:rPr>
      </w:pPr>
    </w:p>
    <w:p w14:paraId="3B15BBAE" w14:textId="77777777" w:rsidR="00261B7D" w:rsidRDefault="00261B7D" w:rsidP="00261B7D">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4BCDE3A5" w14:textId="77777777" w:rsidR="00261B7D" w:rsidRPr="00B96799" w:rsidRDefault="00261B7D" w:rsidP="00261B7D">
      <w:pPr>
        <w:spacing w:after="0" w:line="276" w:lineRule="auto"/>
        <w:jc w:val="both"/>
        <w:rPr>
          <w:rFonts w:ascii="Verdana" w:eastAsia="Calibri" w:hAnsi="Verdana" w:cs="Arial"/>
          <w:lang w:val="es-ES"/>
        </w:rPr>
      </w:pPr>
    </w:p>
    <w:p w14:paraId="34A3174B" w14:textId="77777777" w:rsidR="00261B7D" w:rsidRPr="009D221F" w:rsidRDefault="00261B7D" w:rsidP="00261B7D">
      <w:pPr>
        <w:tabs>
          <w:tab w:val="left" w:pos="142"/>
          <w:tab w:val="left" w:pos="284"/>
          <w:tab w:val="left" w:pos="6912"/>
        </w:tabs>
        <w:spacing w:after="120" w:line="276" w:lineRule="auto"/>
        <w:jc w:val="both"/>
        <w:rPr>
          <w:rFonts w:ascii="Verdana" w:eastAsia="Times New Roman" w:hAnsi="Verdana" w:cs="Arial"/>
          <w:bCs/>
          <w:lang w:eastAsia="es-CO"/>
        </w:rPr>
      </w:pPr>
      <w:r w:rsidRPr="002D6B92">
        <w:rPr>
          <w:rFonts w:ascii="Verdana" w:eastAsia="Times New Roman" w:hAnsi="Verdana" w:cs="Arial"/>
          <w:bCs/>
          <w:lang w:eastAsia="es-CO"/>
        </w:rPr>
        <w:t xml:space="preserve">El ordenamiento jurídico colombiano contempla previsiones claras para evitar la obtención de beneficios personales en asuntos propios de la administración pública. Por ejemplo, el artículo 127 de la Constitución Política establece una </w:t>
      </w:r>
      <w:r w:rsidRPr="002D6B92">
        <w:rPr>
          <w:rFonts w:ascii="Verdana" w:eastAsia="Times New Roman" w:hAnsi="Verdana" w:cs="Arial"/>
          <w:bCs/>
          <w:lang w:eastAsia="es-CO"/>
        </w:rPr>
        <w:lastRenderedPageBreak/>
        <w:t>prohibición contractual a los servidores públicos y en cuanto a aspectos políticos establece restricciones a ciertos empleados del Estado, incluso en época no electoral</w:t>
      </w:r>
      <w:r w:rsidRPr="00F10E52">
        <w:rPr>
          <w:rStyle w:val="Refdenotaalpie"/>
          <w:rFonts w:ascii="Verdana" w:eastAsia="Calibri" w:hAnsi="Verdana" w:cs="Arial"/>
          <w:bCs/>
        </w:rPr>
        <w:footnoteReference w:id="1"/>
      </w:r>
      <w:r w:rsidRPr="00F10E52">
        <w:rPr>
          <w:rFonts w:ascii="Verdana" w:eastAsia="Calibri" w:hAnsi="Verdana" w:cs="Arial"/>
          <w:bCs/>
        </w:rPr>
        <w:t xml:space="preserve">. </w:t>
      </w:r>
    </w:p>
    <w:p w14:paraId="6FC176BA" w14:textId="2131E8D5" w:rsidR="00261B7D" w:rsidRDefault="00261B7D" w:rsidP="00261B7D">
      <w:pPr>
        <w:tabs>
          <w:tab w:val="left" w:pos="426"/>
        </w:tabs>
        <w:spacing w:after="120" w:line="276" w:lineRule="auto"/>
        <w:ind w:firstLine="709"/>
        <w:jc w:val="both"/>
        <w:rPr>
          <w:rFonts w:ascii="Verdana" w:eastAsia="Calibri" w:hAnsi="Verdana" w:cs="Arial"/>
          <w:noProof/>
          <w:lang w:val="es-ES_tradnl"/>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xml:space="preserve">, se suma al andamiaje de orden constitucional y legal que se ha ocupado de evitar la injerencia inadecuada de intereses particulares en el ejercicio de la función pública. Esta </w:t>
      </w:r>
      <w:r w:rsidR="00922BD6">
        <w:rPr>
          <w:rFonts w:ascii="Verdana" w:eastAsia="Times New Roman" w:hAnsi="Verdana" w:cs="Arial"/>
          <w:bCs/>
          <w:lang w:eastAsia="es-CO"/>
        </w:rPr>
        <w:t>L</w:t>
      </w:r>
      <w:r w:rsidRPr="00F10E52">
        <w:rPr>
          <w:rFonts w:ascii="Verdana" w:eastAsia="Times New Roman" w:hAnsi="Verdana" w:cs="Arial"/>
          <w:bCs/>
          <w:lang w:eastAsia="es-CO"/>
        </w:rPr>
        <w:t>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2"/>
      </w:r>
      <w:r w:rsidRPr="00F10E52">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p>
    <w:p w14:paraId="6BF4BFA5" w14:textId="31EBDA80" w:rsidR="00261B7D" w:rsidRPr="00F10E52" w:rsidRDefault="00261B7D" w:rsidP="002A0169">
      <w:pPr>
        <w:tabs>
          <w:tab w:val="left" w:pos="426"/>
        </w:tabs>
        <w:spacing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402A3B9D" w14:textId="77777777" w:rsidR="002A0169" w:rsidRPr="002A0169" w:rsidRDefault="002A0169" w:rsidP="000C2089">
      <w:pPr>
        <w:tabs>
          <w:tab w:val="left" w:pos="426"/>
        </w:tabs>
        <w:spacing w:after="0" w:line="276" w:lineRule="auto"/>
        <w:ind w:firstLine="709"/>
        <w:jc w:val="both"/>
        <w:rPr>
          <w:rFonts w:ascii="Verdana" w:eastAsia="Times New Roman" w:hAnsi="Verdana" w:cs="Arial"/>
          <w:bCs/>
          <w:lang w:eastAsia="es-CO"/>
        </w:rPr>
      </w:pPr>
    </w:p>
    <w:p w14:paraId="2769035F" w14:textId="77777777" w:rsidR="00261B7D" w:rsidRPr="007777F3" w:rsidRDefault="00261B7D" w:rsidP="00261B7D">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w:t>
      </w:r>
      <w:r w:rsidRPr="006A51F6">
        <w:rPr>
          <w:rFonts w:ascii="Verdana" w:eastAsia="Times New Roman" w:hAnsi="Verdana" w:cs="Arial"/>
          <w:sz w:val="20"/>
          <w:szCs w:val="20"/>
          <w:lang w:val="es-ES" w:eastAsia="es-CO"/>
        </w:rPr>
        <w:t xml:space="preserve"> </w:t>
      </w:r>
      <w:r w:rsidRPr="009E6EDF">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02B312AE" w14:textId="77777777" w:rsidR="00261B7D" w:rsidRPr="009E6EDF" w:rsidRDefault="00261B7D" w:rsidP="00261B7D">
      <w:pPr>
        <w:spacing w:after="0" w:line="240" w:lineRule="auto"/>
        <w:ind w:left="709" w:right="709"/>
        <w:jc w:val="both"/>
        <w:rPr>
          <w:rFonts w:ascii="Verdana" w:eastAsia="Times New Roman" w:hAnsi="Verdana" w:cs="Arial"/>
          <w:bCs/>
          <w:sz w:val="20"/>
          <w:szCs w:val="20"/>
          <w:lang w:eastAsia="es-CO"/>
        </w:rPr>
      </w:pPr>
    </w:p>
    <w:p w14:paraId="2AE05569" w14:textId="77777777" w:rsidR="00261B7D" w:rsidRPr="00E80F85" w:rsidRDefault="00261B7D" w:rsidP="00261B7D">
      <w:pPr>
        <w:spacing w:after="0" w:line="240" w:lineRule="auto"/>
        <w:ind w:left="709" w:right="709"/>
        <w:jc w:val="both"/>
        <w:rPr>
          <w:rFonts w:ascii="Verdana" w:eastAsia="Times New Roman" w:hAnsi="Verdana" w:cs="Arial"/>
          <w:bCs/>
          <w:sz w:val="20"/>
          <w:szCs w:val="20"/>
          <w:lang w:eastAsia="es-CO"/>
        </w:rPr>
      </w:pPr>
      <w:r w:rsidRPr="009E6EDF">
        <w:rPr>
          <w:rFonts w:ascii="Verdana" w:eastAsia="Times New Roman" w:hAnsi="Verdana" w:cs="Arial"/>
          <w:bCs/>
          <w:sz w:val="20"/>
          <w:szCs w:val="20"/>
          <w:lang w:eastAsia="es-CO"/>
        </w:rPr>
        <w:t xml:space="preserve">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w:t>
      </w:r>
      <w:r w:rsidRPr="009E6EDF">
        <w:rPr>
          <w:rFonts w:ascii="Verdana" w:eastAsia="Times New Roman" w:hAnsi="Verdana" w:cs="Arial"/>
          <w:bCs/>
          <w:sz w:val="20"/>
          <w:szCs w:val="20"/>
          <w:lang w:eastAsia="es-CO"/>
        </w:rPr>
        <w:lastRenderedPageBreak/>
        <w:t>las ideas y las propuestas las que definan el ascenso al poder, y no el músculo económico de los que se lo disputan</w:t>
      </w:r>
      <w:r>
        <w:rPr>
          <w:rFonts w:ascii="Verdana" w:eastAsia="Times New Roman" w:hAnsi="Verdana" w:cs="Arial"/>
          <w:bCs/>
          <w:sz w:val="20"/>
          <w:szCs w:val="20"/>
          <w:lang w:eastAsia="es-CO"/>
        </w:rPr>
        <w:t xml:space="preserve"> (…)”</w:t>
      </w:r>
      <w:r w:rsidRPr="009E6EDF">
        <w:rPr>
          <w:rStyle w:val="Refdenotaalpie"/>
          <w:rFonts w:ascii="Verdana" w:hAnsi="Verdana" w:cs="Arial"/>
          <w:sz w:val="20"/>
          <w:szCs w:val="20"/>
        </w:rPr>
        <w:footnoteReference w:id="3"/>
      </w:r>
      <w:r>
        <w:rPr>
          <w:rFonts w:ascii="Verdana" w:eastAsia="Times New Roman" w:hAnsi="Verdana" w:cs="Arial"/>
          <w:bCs/>
          <w:sz w:val="20"/>
          <w:szCs w:val="20"/>
          <w:lang w:eastAsia="es-CO"/>
        </w:rPr>
        <w:t>.</w:t>
      </w:r>
      <w:r w:rsidRPr="006A51F6">
        <w:rPr>
          <w:rFonts w:ascii="Verdana" w:eastAsia="Times New Roman" w:hAnsi="Verdana" w:cs="Arial"/>
          <w:bCs/>
          <w:sz w:val="20"/>
          <w:szCs w:val="20"/>
          <w:lang w:eastAsia="es-CO"/>
        </w:rPr>
        <w:t xml:space="preserve"> </w:t>
      </w:r>
      <w:bookmarkStart w:id="4" w:name="_Hlk78818186"/>
    </w:p>
    <w:p w14:paraId="7B395976" w14:textId="77777777" w:rsidR="00261B7D" w:rsidRDefault="00261B7D" w:rsidP="000C2089">
      <w:pPr>
        <w:spacing w:after="0" w:line="276" w:lineRule="auto"/>
        <w:ind w:firstLine="709"/>
        <w:jc w:val="both"/>
        <w:rPr>
          <w:rFonts w:ascii="Verdana" w:eastAsia="Times New Roman" w:hAnsi="Verdana" w:cs="Arial"/>
          <w:bCs/>
          <w:lang w:eastAsia="es-CO"/>
        </w:rPr>
      </w:pPr>
    </w:p>
    <w:p w14:paraId="50B9C6AF" w14:textId="77777777" w:rsidR="00471ED3" w:rsidRDefault="00261B7D" w:rsidP="00261B7D">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este contexto, la Ley de Garantías Electorales establece el marco jurídico para el desarrollo de las elecciones, procurando condiciones de igualdad y transparencia para los aspirantes y</w:t>
      </w:r>
      <w:r w:rsidR="002A0169">
        <w:rPr>
          <w:rFonts w:ascii="Verdana" w:eastAsia="Times New Roman" w:hAnsi="Verdana" w:cs="Arial"/>
          <w:bCs/>
          <w:lang w:eastAsia="es-CO"/>
        </w:rPr>
        <w:t>,</w:t>
      </w:r>
      <w:r w:rsidRPr="00F10E52">
        <w:rPr>
          <w:rFonts w:ascii="Verdana" w:eastAsia="Times New Roman" w:hAnsi="Verdana" w:cs="Arial"/>
          <w:bCs/>
          <w:lang w:eastAsia="es-CO"/>
        </w:rPr>
        <w:t xml:space="preserve"> paralelamente</w:t>
      </w:r>
      <w:r w:rsidR="002A0169">
        <w:rPr>
          <w:rFonts w:ascii="Verdana" w:eastAsia="Times New Roman" w:hAnsi="Verdana" w:cs="Arial"/>
          <w:bCs/>
          <w:lang w:eastAsia="es-CO"/>
        </w:rPr>
        <w:t>,</w:t>
      </w:r>
      <w:r w:rsidRPr="00F10E52">
        <w:rPr>
          <w:rFonts w:ascii="Verdana" w:eastAsia="Times New Roman" w:hAnsi="Verdana" w:cs="Arial"/>
          <w:bCs/>
          <w:lang w:eastAsia="es-CO"/>
        </w:rPr>
        <w:t xml:space="preserve"> se incluyen restricciones en el actuar de los servidores públicos, evitando interferencias en la contienda electoral, así como la posible desviación de recursos públicos en aspiraciones electorales. </w:t>
      </w:r>
      <w:bookmarkEnd w:id="4"/>
      <w:r w:rsidRPr="00F10E52">
        <w:rPr>
          <w:rFonts w:ascii="Verdana" w:eastAsia="Times New Roman" w:hAnsi="Verdana" w:cs="Arial"/>
          <w:bCs/>
          <w:lang w:eastAsia="es-CO"/>
        </w:rPr>
        <w:t xml:space="preserve">Por ello, varias de las disposiciones de la Ley 996 de 2005, al contener normas prohibitivas, no admiten una interpretación amplia, sino que deben interpretarse restrictivamente. </w:t>
      </w:r>
    </w:p>
    <w:p w14:paraId="6229FD2D" w14:textId="6E47385D" w:rsidR="00261B7D" w:rsidRPr="002D6B92" w:rsidRDefault="00261B7D" w:rsidP="00471ED3">
      <w:pPr>
        <w:spacing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efecto, la Sala de Consulta y Servicio Civil del Consejo de Estado al analizar la referida ley, precisó lo siguiente:</w:t>
      </w:r>
    </w:p>
    <w:p w14:paraId="3D4A4511" w14:textId="77777777" w:rsidR="00471ED3" w:rsidRPr="002D6B92" w:rsidRDefault="00471ED3" w:rsidP="000C2089">
      <w:pPr>
        <w:spacing w:after="0" w:line="276" w:lineRule="auto"/>
        <w:ind w:firstLine="709"/>
        <w:jc w:val="both"/>
        <w:rPr>
          <w:rFonts w:ascii="Verdana" w:eastAsia="Times New Roman" w:hAnsi="Verdana" w:cs="Arial"/>
          <w:bCs/>
          <w:lang w:eastAsia="es-CO"/>
        </w:rPr>
      </w:pPr>
    </w:p>
    <w:p w14:paraId="7FE2842E" w14:textId="77777777" w:rsidR="00261B7D" w:rsidRPr="009B20C5" w:rsidRDefault="00261B7D" w:rsidP="00261B7D">
      <w:pPr>
        <w:spacing w:after="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w:t>
      </w:r>
      <w:r w:rsidRPr="009B20C5">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9B20C5">
        <w:rPr>
          <w:rFonts w:ascii="Verdana" w:eastAsia="Times New Roman" w:hAnsi="Verdana" w:cs="Arial"/>
          <w:bCs/>
          <w:sz w:val="20"/>
          <w:szCs w:val="20"/>
          <w:lang w:eastAsia="es-CO"/>
        </w:rPr>
        <w:t>legis</w:t>
      </w:r>
      <w:proofErr w:type="spellEnd"/>
      <w:r w:rsidRPr="009B20C5">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2FF5DAF0" w14:textId="77777777" w:rsidR="00261B7D" w:rsidRDefault="00261B7D" w:rsidP="00261B7D">
      <w:pPr>
        <w:spacing w:after="0" w:line="240" w:lineRule="auto"/>
        <w:ind w:left="709" w:right="709"/>
        <w:jc w:val="both"/>
        <w:rPr>
          <w:rFonts w:ascii="Verdana" w:eastAsia="Times New Roman" w:hAnsi="Verdana" w:cs="Arial"/>
          <w:bCs/>
          <w:sz w:val="20"/>
          <w:szCs w:val="20"/>
          <w:lang w:eastAsia="es-CO"/>
        </w:rPr>
      </w:pPr>
    </w:p>
    <w:p w14:paraId="05DCF731" w14:textId="77777777" w:rsidR="00261B7D" w:rsidRPr="009B20C5" w:rsidRDefault="00261B7D" w:rsidP="00261B7D">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jurisprudencia de la Corte Constitucional</w:t>
      </w:r>
      <w:r w:rsidRPr="009B20C5">
        <w:rPr>
          <w:rStyle w:val="Refdenotaalpie"/>
          <w:rFonts w:ascii="Verdana" w:eastAsia="Times New Roman" w:hAnsi="Verdana" w:cs="Arial"/>
          <w:bCs/>
          <w:sz w:val="20"/>
          <w:szCs w:val="20"/>
          <w:lang w:eastAsia="es-CO"/>
        </w:rPr>
        <w:footnoteReference w:id="4"/>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5"/>
      </w:r>
      <w:r w:rsidRPr="009B20C5">
        <w:rPr>
          <w:rFonts w:ascii="Verdana" w:eastAsia="Times New Roman" w:hAnsi="Verdana" w:cs="Arial"/>
          <w:bCs/>
          <w:sz w:val="20"/>
          <w:szCs w:val="20"/>
          <w:lang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w:t>
      </w:r>
      <w:r w:rsidRPr="009B20C5">
        <w:rPr>
          <w:rFonts w:ascii="Verdana" w:eastAsia="Times New Roman" w:hAnsi="Verdana" w:cs="Arial"/>
          <w:bCs/>
          <w:sz w:val="20"/>
          <w:szCs w:val="20"/>
          <w:lang w:eastAsia="es-CO"/>
        </w:rPr>
        <w:lastRenderedPageBreak/>
        <w:t>como entrañan una limitación -así fuere justificada- a la libertad de actuar o capacidad de obrar, sobrepasar sus precisos términos comporta el desconocimiento de la voluntad del legislador</w:t>
      </w:r>
      <w:r>
        <w:rPr>
          <w:rFonts w:ascii="Verdana" w:eastAsia="Times New Roman" w:hAnsi="Verdana" w:cs="Arial"/>
          <w:bCs/>
          <w:sz w:val="20"/>
          <w:szCs w:val="20"/>
          <w:lang w:eastAsia="es-CO"/>
        </w:rPr>
        <w:t>”</w:t>
      </w:r>
      <w:r w:rsidRPr="009B20C5">
        <w:rPr>
          <w:rStyle w:val="Refdenotaalpie"/>
          <w:rFonts w:ascii="Verdana" w:eastAsia="Times New Roman" w:hAnsi="Verdana" w:cs="Arial"/>
          <w:bCs/>
          <w:sz w:val="20"/>
          <w:szCs w:val="20"/>
          <w:lang w:eastAsia="es-CO"/>
        </w:rPr>
        <w:footnoteReference w:id="6"/>
      </w:r>
      <w:r w:rsidRPr="009B20C5">
        <w:rPr>
          <w:rFonts w:ascii="Verdana" w:eastAsia="Times New Roman" w:hAnsi="Verdana" w:cs="Arial"/>
          <w:bCs/>
          <w:sz w:val="20"/>
          <w:szCs w:val="20"/>
          <w:lang w:eastAsia="es-CO"/>
        </w:rPr>
        <w:t>.</w:t>
      </w:r>
    </w:p>
    <w:p w14:paraId="0903C9A7" w14:textId="77777777" w:rsidR="00261B7D" w:rsidRDefault="00261B7D" w:rsidP="000C2089">
      <w:pPr>
        <w:spacing w:after="0" w:line="276" w:lineRule="auto"/>
        <w:jc w:val="both"/>
        <w:rPr>
          <w:rFonts w:ascii="Verdana" w:eastAsia="Times New Roman" w:hAnsi="Verdana" w:cs="Arial"/>
          <w:bCs/>
          <w:lang w:eastAsia="es-CO"/>
        </w:rPr>
      </w:pPr>
      <w:r w:rsidRPr="00F10E52">
        <w:rPr>
          <w:rFonts w:ascii="Verdana" w:eastAsia="Times New Roman" w:hAnsi="Verdana" w:cs="Arial"/>
          <w:bCs/>
          <w:lang w:eastAsia="es-CO"/>
        </w:rPr>
        <w:tab/>
      </w:r>
    </w:p>
    <w:p w14:paraId="715BBDA4" w14:textId="77777777" w:rsidR="00261B7D" w:rsidRDefault="00261B7D" w:rsidP="00261B7D">
      <w:pPr>
        <w:spacing w:after="120" w:line="276" w:lineRule="auto"/>
        <w:ind w:firstLine="709"/>
        <w:jc w:val="both"/>
        <w:rPr>
          <w:rFonts w:ascii="Verdana" w:eastAsia="Arial" w:hAnsi="Verdana" w:cs="Arial"/>
          <w:lang w:val="es-ES" w:eastAsia="es-ES" w:bidi="es-ES"/>
        </w:rPr>
      </w:pPr>
      <w:r w:rsidRPr="00F10E52">
        <w:rPr>
          <w:rFonts w:ascii="Verdana" w:eastAsia="Times New Roman" w:hAnsi="Verdana" w:cs="Arial"/>
          <w:bCs/>
          <w:lang w:eastAsia="es-CO"/>
        </w:rPr>
        <w:t>De</w:t>
      </w:r>
      <w:r w:rsidRPr="00F10E52">
        <w:rPr>
          <w:rFonts w:ascii="Verdana" w:eastAsia="Arial" w:hAnsi="Verdana" w:cs="Arial"/>
          <w:lang w:val="es-ES" w:eastAsia="es-ES" w:bidi="es-ES"/>
        </w:rPr>
        <w:t xml:space="preserve"> conformidad con lo anterior, </w:t>
      </w:r>
      <w:bookmarkStart w:id="5" w:name="_Hlk77236098"/>
      <w:r w:rsidRPr="00F10E52">
        <w:rPr>
          <w:rFonts w:ascii="Verdana" w:eastAsia="Arial" w:hAnsi="Verdana" w:cs="Arial"/>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678742B3" w14:textId="77777777" w:rsidR="00261B7D" w:rsidRPr="00F10E52" w:rsidRDefault="00261B7D" w:rsidP="00261B7D">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5"/>
    </w:p>
    <w:p w14:paraId="4B16AC1C" w14:textId="2B02E195" w:rsidR="00261B7D" w:rsidRPr="00F10E52" w:rsidRDefault="00261B7D" w:rsidP="00261B7D">
      <w:pPr>
        <w:spacing w:after="120" w:line="276" w:lineRule="auto"/>
        <w:ind w:firstLine="709"/>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Pr>
          <w:rFonts w:ascii="Verdana" w:eastAsia="Calibri" w:hAnsi="Verdana" w:cs="Arial"/>
          <w:bCs/>
        </w:rPr>
        <w:t xml:space="preserve">(…) </w:t>
      </w:r>
      <w:r w:rsidRPr="000C2089">
        <w:rPr>
          <w:rFonts w:ascii="Verdana" w:eastAsia="Calibri" w:hAnsi="Verdana" w:cs="Arial"/>
          <w:i/>
        </w:rPr>
        <w:t>la contratación directa</w:t>
      </w:r>
      <w:r w:rsidRPr="00F10E52">
        <w:rPr>
          <w:rFonts w:ascii="Verdana" w:eastAsia="Calibri" w:hAnsi="Verdana" w:cs="Arial"/>
        </w:rPr>
        <w:t xml:space="preserve">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bCs/>
          <w:vertAlign w:val="superscript"/>
        </w:rPr>
        <w:footnoteReference w:id="7"/>
      </w:r>
      <w:r w:rsidR="00471ED3">
        <w:rPr>
          <w:rFonts w:ascii="Verdana" w:eastAsia="Calibri" w:hAnsi="Verdana" w:cs="Arial"/>
          <w:bCs/>
        </w:rPr>
        <w:t xml:space="preserve"> [Énfasis fuera del texto </w:t>
      </w:r>
      <w:r w:rsidR="00B51E8A">
        <w:rPr>
          <w:rFonts w:ascii="Verdana" w:eastAsia="Calibri" w:hAnsi="Verdana" w:cs="Arial"/>
          <w:bCs/>
        </w:rPr>
        <w:t>original</w:t>
      </w:r>
      <w:r w:rsidR="00471ED3">
        <w:rPr>
          <w:rFonts w:ascii="Verdana" w:eastAsia="Calibri" w:hAnsi="Verdana" w:cs="Arial"/>
          <w:bCs/>
        </w:rPr>
        <w:t>]</w:t>
      </w:r>
      <w:r w:rsidRPr="00F10E52">
        <w:rPr>
          <w:rFonts w:ascii="Verdana" w:eastAsia="Calibri" w:hAnsi="Verdana" w:cs="Arial"/>
        </w:rPr>
        <w:t>.</w:t>
      </w:r>
    </w:p>
    <w:p w14:paraId="3FD59B45" w14:textId="25E6EE2A" w:rsidR="00261B7D" w:rsidRDefault="00261B7D" w:rsidP="00261B7D">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w:t>
      </w:r>
      <w:r w:rsidRPr="00F10E52">
        <w:rPr>
          <w:rFonts w:ascii="Verdana" w:eastAsia="Calibri" w:hAnsi="Verdana" w:cs="Arial"/>
        </w:rPr>
        <w:lastRenderedPageBreak/>
        <w:t xml:space="preserve">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bCs/>
          <w:vertAlign w:val="superscript"/>
        </w:rPr>
        <w:footnoteReference w:id="8"/>
      </w:r>
      <w:r w:rsidRPr="00F10E52">
        <w:rPr>
          <w:rFonts w:ascii="Verdana" w:eastAsia="Calibri" w:hAnsi="Verdana" w:cs="Arial"/>
        </w:rPr>
        <w:t>.</w:t>
      </w:r>
      <w:r w:rsidRPr="00F10E52">
        <w:rPr>
          <w:rFonts w:ascii="Verdana" w:eastAsia="Arial" w:hAnsi="Verdana" w:cs="Arial"/>
          <w:lang w:val="es-ES" w:eastAsia="es-ES" w:bidi="es-ES"/>
        </w:rPr>
        <w:t xml:space="preserve"> </w:t>
      </w:r>
    </w:p>
    <w:p w14:paraId="155F9B3F" w14:textId="7121C8C8" w:rsidR="001A26D6" w:rsidRDefault="001A26D6" w:rsidP="001A26D6">
      <w:pPr>
        <w:widowControl w:val="0"/>
        <w:autoSpaceDE w:val="0"/>
        <w:autoSpaceDN w:val="0"/>
        <w:spacing w:after="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3820A116" w14:textId="77777777" w:rsidR="001A26D6" w:rsidRPr="006A51F6" w:rsidRDefault="001A26D6" w:rsidP="000C2089">
      <w:pPr>
        <w:widowControl w:val="0"/>
        <w:autoSpaceDE w:val="0"/>
        <w:autoSpaceDN w:val="0"/>
        <w:spacing w:after="0" w:line="276" w:lineRule="auto"/>
        <w:ind w:firstLine="709"/>
        <w:jc w:val="both"/>
        <w:rPr>
          <w:rFonts w:ascii="Verdana" w:eastAsia="Arial" w:hAnsi="Verdana" w:cs="Arial"/>
          <w:lang w:val="es-ES" w:eastAsia="es-ES" w:bidi="es-ES"/>
        </w:rPr>
      </w:pPr>
    </w:p>
    <w:p w14:paraId="0FD382CD" w14:textId="77777777" w:rsidR="001A26D6" w:rsidRPr="009B20C5" w:rsidRDefault="001A26D6" w:rsidP="001A26D6">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9B20C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9B20C5">
        <w:rPr>
          <w:rFonts w:ascii="Verdana" w:eastAsia="Arial" w:hAnsi="Verdana" w:cs="Arial"/>
          <w:bCs/>
          <w:sz w:val="20"/>
          <w:szCs w:val="20"/>
          <w:lang w:val="es-ES" w:eastAsia="es-ES" w:bidi="es-ES"/>
        </w:rPr>
        <w:t>En cambio, para elecciones en general, excluyendo las correspondientes a Presidente de la República, a las autoridades territoriales allí mencionadas sólo se aplican las restricciones contenidas en el parágrafo del artículo 38</w:t>
      </w:r>
      <w:r>
        <w:rPr>
          <w:rFonts w:ascii="Verdana" w:eastAsia="Arial" w:hAnsi="Verdana" w:cs="Arial"/>
          <w:sz w:val="20"/>
          <w:szCs w:val="20"/>
          <w:lang w:val="es-ES" w:eastAsia="es-ES" w:bidi="es-ES"/>
        </w:rPr>
        <w:t>”</w:t>
      </w:r>
      <w:r w:rsidRPr="009B20C5">
        <w:rPr>
          <w:rFonts w:ascii="Verdana" w:eastAsia="Arial" w:hAnsi="Verdana" w:cs="Arial"/>
          <w:sz w:val="20"/>
          <w:szCs w:val="20"/>
          <w:vertAlign w:val="superscript"/>
          <w:lang w:val="es-ES" w:eastAsia="es-ES" w:bidi="es-ES"/>
        </w:rPr>
        <w:footnoteReference w:id="9"/>
      </w:r>
      <w:r>
        <w:rPr>
          <w:rFonts w:ascii="Verdana" w:eastAsia="Arial" w:hAnsi="Verdana" w:cs="Arial"/>
          <w:sz w:val="20"/>
          <w:szCs w:val="20"/>
          <w:lang w:val="es-ES" w:eastAsia="es-ES" w:bidi="es-ES"/>
        </w:rPr>
        <w:t>.</w:t>
      </w:r>
    </w:p>
    <w:p w14:paraId="404DADD1" w14:textId="77777777" w:rsidR="001A26D6" w:rsidRDefault="001A26D6" w:rsidP="001A26D6">
      <w:pPr>
        <w:spacing w:after="0" w:line="240" w:lineRule="auto"/>
        <w:ind w:firstLine="709"/>
        <w:jc w:val="both"/>
        <w:rPr>
          <w:rFonts w:ascii="Verdana" w:eastAsia="Arial" w:hAnsi="Verdana" w:cs="Arial"/>
          <w:lang w:val="es-ES" w:eastAsia="es-ES" w:bidi="es-ES"/>
        </w:rPr>
      </w:pPr>
    </w:p>
    <w:p w14:paraId="7F11FF5E" w14:textId="77777777" w:rsidR="001A26D6" w:rsidRPr="001A26D6" w:rsidRDefault="001A26D6" w:rsidP="001A26D6">
      <w:pPr>
        <w:spacing w:after="120" w:line="276" w:lineRule="auto"/>
        <w:ind w:firstLine="709"/>
        <w:jc w:val="both"/>
        <w:rPr>
          <w:rFonts w:ascii="Verdana" w:eastAsia="Arial" w:hAnsi="Verdana" w:cs="Arial"/>
          <w:lang w:val="es-ES" w:eastAsia="es-ES" w:bidi="es-ES"/>
        </w:rPr>
      </w:pPr>
      <w:r w:rsidRPr="001A26D6">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944391">
        <w:rPr>
          <w:rFonts w:ascii="Verdana" w:eastAsia="Arial" w:hAnsi="Verdana" w:cs="Arial"/>
          <w:i/>
          <w:iCs/>
          <w:lang w:val="es-ES" w:eastAsia="es-ES" w:bidi="es-ES"/>
        </w:rPr>
        <w:t>En primer lugar</w:t>
      </w:r>
      <w:r w:rsidRPr="0045744A">
        <w:rPr>
          <w:rFonts w:ascii="Verdana" w:eastAsia="Arial" w:hAnsi="Verdana" w:cs="Arial"/>
          <w:lang w:val="es-ES" w:eastAsia="es-ES" w:bidi="es-ES"/>
        </w:rPr>
        <w:t>, la del artículo 33 que opera solo respecto de las elecciones presidenciales, en virtud de la cual queda proscrita la</w:t>
      </w:r>
      <w:r w:rsidRPr="001A26D6">
        <w:rPr>
          <w:rFonts w:ascii="Verdana" w:eastAsia="Arial" w:hAnsi="Verdana" w:cs="Arial"/>
          <w:lang w:val="es-ES" w:eastAsia="es-ES" w:bidi="es-ES"/>
        </w:rPr>
        <w:t xml:space="preserve"> contratación directa dentro de los cuatro (4) meses anteriores a la celebración de los comicios, salvo las </w:t>
      </w:r>
      <w:r w:rsidRPr="001A26D6">
        <w:rPr>
          <w:rFonts w:ascii="Verdana" w:eastAsia="Arial" w:hAnsi="Verdana" w:cs="Arial"/>
          <w:lang w:val="es-ES" w:eastAsia="es-ES" w:bidi="es-ES"/>
        </w:rPr>
        <w:lastRenderedPageBreak/>
        <w:t xml:space="preserve">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1A26D6">
        <w:rPr>
          <w:rFonts w:ascii="Verdana" w:eastAsia="Arial" w:hAnsi="Verdana" w:cs="Arial"/>
          <w:i/>
          <w:iCs/>
          <w:lang w:val="es-ES" w:eastAsia="es-ES" w:bidi="es-ES"/>
        </w:rPr>
        <w:t>En segundo lugar</w:t>
      </w:r>
      <w:r w:rsidRPr="001A26D6">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707EAE2F" w14:textId="77777777" w:rsidR="001A26D6" w:rsidRPr="001A26D6" w:rsidRDefault="001A26D6" w:rsidP="00944391">
      <w:pPr>
        <w:spacing w:after="120" w:line="276" w:lineRule="auto"/>
        <w:ind w:firstLine="709"/>
        <w:jc w:val="both"/>
        <w:rPr>
          <w:rFonts w:ascii="Verdana" w:eastAsia="Arial" w:hAnsi="Verdana" w:cs="Arial"/>
          <w:lang w:val="es-ES" w:eastAsia="es-ES" w:bidi="es-ES"/>
        </w:rPr>
      </w:pPr>
      <w:r w:rsidRPr="001A26D6">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p w14:paraId="274B78A2" w14:textId="4B96D21D" w:rsidR="001A26D6" w:rsidRPr="001A26D6" w:rsidRDefault="001A26D6" w:rsidP="000C2089">
      <w:pPr>
        <w:spacing w:after="120" w:line="276" w:lineRule="auto"/>
        <w:ind w:firstLine="709"/>
        <w:jc w:val="both"/>
        <w:rPr>
          <w:rFonts w:ascii="Verdana" w:eastAsia="Arial" w:hAnsi="Verdana" w:cs="Arial"/>
          <w:lang w:val="es-ES" w:eastAsia="es-ES" w:bidi="es-ES"/>
        </w:rPr>
      </w:pPr>
      <w:r w:rsidRPr="001A26D6">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00B26B87" w14:textId="77777777" w:rsidR="00261B7D" w:rsidRDefault="00261B7D" w:rsidP="00261B7D">
      <w:pPr>
        <w:spacing w:after="120" w:line="276" w:lineRule="auto"/>
        <w:ind w:firstLine="709"/>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proofErr w:type="spellStart"/>
      <w:r w:rsidRPr="00116894">
        <w:rPr>
          <w:rFonts w:ascii="Verdana" w:eastAsia="Times New Roman" w:hAnsi="Verdana" w:cs="Arial"/>
          <w:bCs/>
          <w:i/>
          <w:iCs/>
          <w:lang w:eastAsia="es-CO"/>
        </w:rPr>
        <w:t>Proc</w:t>
      </w:r>
      <w:proofErr w:type="spellEnd"/>
      <w:r w:rsidRPr="00116894">
        <w:rPr>
          <w:rFonts w:ascii="Verdana" w:eastAsia="Times New Roman" w:hAnsi="Verdana" w:cs="Arial"/>
          <w:bCs/>
          <w:i/>
          <w:iCs/>
          <w:lang w:eastAsia="es-CO"/>
        </w:rPr>
        <w:t>.</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w:t>
      </w:r>
      <w:r>
        <w:rPr>
          <w:rFonts w:ascii="Verdana" w:eastAsia="Times New Roman" w:hAnsi="Verdana" w:cs="Arial"/>
          <w:bCs/>
          <w:lang w:eastAsia="es-CO"/>
        </w:rPr>
        <w:lastRenderedPageBreak/>
        <w:t xml:space="preserve">la que se acerca a la expresión “celebrar” en el contexto de la Ley de Garantías Electorales es la primera, esto es, al perfeccionamiento del contrato. </w:t>
      </w:r>
    </w:p>
    <w:p w14:paraId="57D3DC21" w14:textId="77777777" w:rsidR="00261B7D" w:rsidRDefault="00261B7D" w:rsidP="00261B7D">
      <w:pPr>
        <w:spacing w:after="120" w:line="276" w:lineRule="auto"/>
        <w:ind w:firstLine="709"/>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75B0BFC5" w14:textId="77777777" w:rsidR="00261B7D" w:rsidRDefault="00261B7D" w:rsidP="00261B7D">
      <w:pPr>
        <w:spacing w:after="120" w:line="276" w:lineRule="auto"/>
        <w:ind w:firstLine="709"/>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18B9CF72" w14:textId="5F6912F7" w:rsidR="00261B7D" w:rsidRPr="00AA5D69" w:rsidRDefault="00261B7D" w:rsidP="00261B7D">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 xml:space="preserve">omo en otras oportunidades lo ha manifestado esta Agencia, las prórrogas, modificaciones o adiciones de los contratos </w:t>
      </w:r>
      <w:r w:rsidR="00930325" w:rsidRPr="001A26D6">
        <w:rPr>
          <w:rFonts w:ascii="Verdana" w:eastAsia="Times New Roman" w:hAnsi="Verdana" w:cs="Arial"/>
          <w:bCs/>
          <w:lang w:val="es-MX" w:eastAsia="es-CO"/>
        </w:rPr>
        <w:t xml:space="preserve">convenios </w:t>
      </w:r>
      <w:r w:rsidRPr="00894384">
        <w:rPr>
          <w:rFonts w:ascii="Verdana" w:eastAsia="Times New Roman" w:hAnsi="Verdana" w:cs="Arial"/>
          <w:bCs/>
          <w:lang w:val="es-MX" w:eastAsia="es-CO"/>
        </w:rPr>
        <w:t>suscritos antes de la entrada en vigencia de las prohibiciones anotadas, así como la cesión de los mismos, pueden tener lugar en el período de aplicación de la Ley de Garantías</w:t>
      </w:r>
      <w:r w:rsidR="00E15AB1" w:rsidRPr="001A26D6">
        <w:rPr>
          <w:rFonts w:ascii="Verdana" w:eastAsia="Times New Roman" w:hAnsi="Verdana" w:cs="Arial"/>
          <w:bCs/>
          <w:lang w:val="es-MX" w:eastAsia="es-CO"/>
        </w:rPr>
        <w:t xml:space="preserve"> Electorales</w:t>
      </w:r>
      <w:r w:rsidRPr="00894384">
        <w:rPr>
          <w:rFonts w:ascii="Verdana" w:eastAsia="Times New Roman" w:hAnsi="Verdana" w:cs="Arial"/>
          <w:bCs/>
          <w:lang w:val="es-MX" w:eastAsia="es-CO"/>
        </w:rPr>
        <w:t xml:space="preserve">, sin que ello haga nugatoria </w:t>
      </w:r>
      <w:r w:rsidRPr="001A26D6">
        <w:rPr>
          <w:rFonts w:ascii="Verdana" w:eastAsia="Times New Roman" w:hAnsi="Verdana" w:cs="Arial"/>
          <w:bCs/>
          <w:lang w:val="es-MX" w:eastAsia="es-CO"/>
        </w:rPr>
        <w:t>la</w:t>
      </w:r>
      <w:r w:rsidR="00362436">
        <w:rPr>
          <w:rFonts w:ascii="Verdana" w:eastAsia="Times New Roman" w:hAnsi="Verdana" w:cs="Arial"/>
          <w:bCs/>
          <w:lang w:val="es-MX" w:eastAsia="es-CO"/>
        </w:rPr>
        <w:t>s</w:t>
      </w:r>
      <w:r w:rsidRPr="00362436">
        <w:rPr>
          <w:rFonts w:ascii="Verdana" w:eastAsia="Times New Roman" w:hAnsi="Verdana" w:cs="Arial"/>
          <w:bCs/>
          <w:lang w:val="es-MX" w:eastAsia="es-CO"/>
        </w:rPr>
        <w:t xml:space="preserve"> restricci</w:t>
      </w:r>
      <w:r w:rsidR="00362436">
        <w:rPr>
          <w:rFonts w:ascii="Verdana" w:eastAsia="Times New Roman" w:hAnsi="Verdana" w:cs="Arial"/>
          <w:bCs/>
          <w:lang w:val="es-MX" w:eastAsia="es-CO"/>
        </w:rPr>
        <w:t>ones</w:t>
      </w:r>
      <w:r w:rsidRPr="00894384">
        <w:rPr>
          <w:rFonts w:ascii="Verdana" w:eastAsia="Times New Roman" w:hAnsi="Verdana" w:cs="Arial"/>
          <w:bCs/>
          <w:lang w:val="es-MX" w:eastAsia="es-CO"/>
        </w:rPr>
        <w:t xml:space="preserve"> </w:t>
      </w:r>
      <w:r w:rsidR="00362436">
        <w:rPr>
          <w:rFonts w:ascii="Verdana" w:eastAsia="Times New Roman" w:hAnsi="Verdana" w:cs="Arial"/>
          <w:bCs/>
          <w:lang w:val="es-MX" w:eastAsia="es-CO"/>
        </w:rPr>
        <w:t>a</w:t>
      </w:r>
      <w:r w:rsidR="00362436" w:rsidRPr="00362436">
        <w:rPr>
          <w:rFonts w:ascii="Verdana" w:eastAsia="Times New Roman" w:hAnsi="Verdana" w:cs="Arial"/>
          <w:bCs/>
          <w:lang w:val="es-MX" w:eastAsia="es-CO"/>
        </w:rPr>
        <w:t xml:space="preserve"> </w:t>
      </w:r>
      <w:r w:rsidRPr="00894384">
        <w:rPr>
          <w:rFonts w:ascii="Verdana" w:eastAsia="Times New Roman" w:hAnsi="Verdana" w:cs="Arial"/>
          <w:bCs/>
          <w:lang w:val="es-MX" w:eastAsia="es-CO"/>
        </w:rPr>
        <w:t xml:space="preserve">la contratación directa y </w:t>
      </w:r>
      <w:r w:rsidR="00362436">
        <w:rPr>
          <w:rFonts w:ascii="Verdana" w:eastAsia="Times New Roman" w:hAnsi="Verdana" w:cs="Arial"/>
          <w:bCs/>
          <w:lang w:val="es-MX" w:eastAsia="es-CO"/>
        </w:rPr>
        <w:t>a la celebracion de convenios interadmnistrativos,</w:t>
      </w:r>
      <w:r w:rsidRPr="00362436">
        <w:rPr>
          <w:rFonts w:ascii="Verdana" w:eastAsia="Times New Roman" w:hAnsi="Verdana" w:cs="Arial"/>
          <w:bCs/>
          <w:lang w:val="es-MX" w:eastAsia="es-CO"/>
        </w:rPr>
        <w:t xml:space="preserve"> </w:t>
      </w:r>
      <w:r w:rsidRPr="00894384">
        <w:rPr>
          <w:rFonts w:ascii="Verdana" w:eastAsia="Times New Roman" w:hAnsi="Verdana" w:cs="Arial"/>
          <w:bCs/>
          <w:lang w:val="es-MX" w:eastAsia="es-CO"/>
        </w:rPr>
        <w:t>siempre que cumplan los principios de planeación, transparencia y responsabilidad</w:t>
      </w:r>
      <w:r w:rsidRPr="00894384">
        <w:rPr>
          <w:rFonts w:ascii="Verdana" w:eastAsia="Times New Roman" w:hAnsi="Verdana" w:cs="Arial"/>
          <w:bCs/>
          <w:vertAlign w:val="superscript"/>
          <w:lang w:val="es-MX" w:eastAsia="es-CO"/>
        </w:rPr>
        <w:footnoteReference w:id="10"/>
      </w:r>
      <w:r w:rsidRPr="00894384">
        <w:rPr>
          <w:rFonts w:ascii="Verdana" w:eastAsia="Times New Roman" w:hAnsi="Verdana" w:cs="Arial"/>
          <w:bCs/>
          <w:lang w:val="es-MX" w:eastAsia="es-CO"/>
        </w:rPr>
        <w:t xml:space="preserve">. </w:t>
      </w:r>
    </w:p>
    <w:p w14:paraId="1333D0FE" w14:textId="5D0982D8" w:rsidR="00261B7D" w:rsidRDefault="00261B7D" w:rsidP="00261B7D">
      <w:pPr>
        <w:spacing w:after="120" w:line="276" w:lineRule="auto"/>
        <w:ind w:firstLine="709"/>
        <w:jc w:val="both"/>
        <w:rPr>
          <w:rFonts w:ascii="Verdana" w:eastAsia="Arial" w:hAnsi="Verdana" w:cs="Arial"/>
          <w:lang w:val="es-ES" w:eastAsia="es-ES" w:bidi="es-ES"/>
        </w:rPr>
      </w:pPr>
      <w:r>
        <w:rPr>
          <w:rFonts w:ascii="Verdana" w:eastAsia="Times New Roman" w:hAnsi="Verdana" w:cs="Arial"/>
          <w:bCs/>
          <w:lang w:val="es-ES" w:eastAsia="es-CO"/>
        </w:rPr>
        <w:lastRenderedPageBreak/>
        <w:t>Teniendo en cuenta lo anterior</w:t>
      </w:r>
      <w:r w:rsidR="00362436">
        <w:rPr>
          <w:rFonts w:ascii="Verdana" w:eastAsia="Times New Roman" w:hAnsi="Verdana" w:cs="Arial"/>
          <w:bCs/>
          <w:lang w:val="es-ES" w:eastAsia="es-CO"/>
        </w:rPr>
        <w:t xml:space="preserve"> y en atención a su consulta</w:t>
      </w:r>
      <w:r>
        <w:rPr>
          <w:rFonts w:ascii="Verdana" w:eastAsia="Times New Roman" w:hAnsi="Verdana" w:cs="Arial"/>
          <w:bCs/>
          <w:lang w:val="es-ES" w:eastAsia="es-CO"/>
        </w:rPr>
        <w:t xml:space="preserve">, a continuación, se hará un análisis sobre la aplicación de la prohibición contenida en el artículo 33 </w:t>
      </w:r>
      <w:r w:rsidR="00362436">
        <w:rPr>
          <w:rFonts w:ascii="Verdana" w:eastAsia="Times New Roman" w:hAnsi="Verdana" w:cs="Arial"/>
          <w:bCs/>
          <w:lang w:val="es-ES" w:eastAsia="es-CO"/>
        </w:rPr>
        <w:t xml:space="preserve">de la Ley 996 de 2005 </w:t>
      </w:r>
      <w:r>
        <w:rPr>
          <w:rFonts w:ascii="Verdana" w:eastAsia="Times New Roman" w:hAnsi="Verdana" w:cs="Arial"/>
          <w:bCs/>
          <w:lang w:val="es-ES" w:eastAsia="es-CO"/>
        </w:rPr>
        <w:t xml:space="preserve">y sus excepciones. </w:t>
      </w:r>
    </w:p>
    <w:p w14:paraId="45E55CD1" w14:textId="68EEC95B" w:rsidR="00261B7D" w:rsidRDefault="00261B7D" w:rsidP="007A382A">
      <w:pPr>
        <w:spacing w:after="0" w:line="276" w:lineRule="auto"/>
        <w:ind w:firstLine="709"/>
        <w:jc w:val="both"/>
        <w:rPr>
          <w:rFonts w:ascii="Verdana" w:hAnsi="Verdana" w:cs="Arial"/>
          <w:lang w:eastAsia="es-CO"/>
        </w:rPr>
      </w:pPr>
      <w:r w:rsidRPr="00195E24">
        <w:rPr>
          <w:rFonts w:ascii="Verdana" w:hAnsi="Verdana" w:cs="Arial"/>
          <w:bCs/>
          <w:lang w:eastAsia="x-none"/>
        </w:rPr>
        <w:t xml:space="preserve">El ámbito material de la prohibición contenida </w:t>
      </w:r>
      <w:bookmarkStart w:id="8" w:name="_Hlk75628761"/>
      <w:r w:rsidRPr="00195E24">
        <w:rPr>
          <w:rFonts w:ascii="Verdana" w:hAnsi="Verdana" w:cs="Arial"/>
          <w:bCs/>
          <w:lang w:eastAsia="x-none"/>
        </w:rPr>
        <w:t xml:space="preserve">en el artículo 33 de la ley 996 de 2005 </w:t>
      </w:r>
      <w:bookmarkEnd w:id="8"/>
      <w:r w:rsidRPr="00195E24">
        <w:rPr>
          <w:rFonts w:ascii="Verdana" w:hAnsi="Verdana" w:cs="Arial"/>
          <w:bCs/>
          <w:lang w:eastAsia="x-none"/>
        </w:rPr>
        <w:t xml:space="preserve">está delimitado por la expresión </w:t>
      </w:r>
      <w:r w:rsidRPr="00195E24">
        <w:rPr>
          <w:rFonts w:ascii="Verdana" w:eastAsia="Calibri" w:hAnsi="Verdana" w:cs="Arial"/>
          <w:bCs/>
          <w:i/>
          <w:iCs/>
          <w:sz w:val="20"/>
          <w:szCs w:val="20"/>
        </w:rPr>
        <w:t>“</w:t>
      </w:r>
      <w:r w:rsidRPr="00195E24">
        <w:rPr>
          <w:rFonts w:ascii="Verdana" w:hAnsi="Verdana" w:cs="Arial"/>
          <w:bCs/>
          <w:i/>
          <w:iCs/>
          <w:lang w:eastAsia="x-none"/>
        </w:rPr>
        <w:t>queda prohibida la contratación directa</w:t>
      </w:r>
      <w:r w:rsidRPr="00195E24">
        <w:rPr>
          <w:rFonts w:ascii="Verdana" w:hAnsi="Verdana" w:cs="Arial"/>
          <w:sz w:val="20"/>
          <w:szCs w:val="20"/>
        </w:rPr>
        <w:t>”</w:t>
      </w:r>
      <w:r w:rsidRPr="00195E24">
        <w:rPr>
          <w:rFonts w:ascii="Verdana" w:hAnsi="Verdana" w:cs="Arial"/>
          <w:bCs/>
          <w:lang w:eastAsia="x-none"/>
        </w:rPr>
        <w:t>.</w:t>
      </w:r>
      <w:r w:rsidRPr="00195E24">
        <w:rPr>
          <w:rFonts w:ascii="Verdana" w:hAnsi="Verdana" w:cs="Arial"/>
          <w:lang w:eastAsia="es-CO"/>
        </w:rPr>
        <w:t xml:space="preserve"> A propósito de esta restricción de la Ley de Garantías Electorales, la Sala de Consulta y Servicio Civil del Consejo de Estado ha considerado que:</w:t>
      </w:r>
    </w:p>
    <w:p w14:paraId="2BAF8BA4" w14:textId="77777777" w:rsidR="007A382A" w:rsidRPr="00435A6A" w:rsidRDefault="007A382A" w:rsidP="000C2089">
      <w:pPr>
        <w:spacing w:after="0" w:line="276" w:lineRule="auto"/>
        <w:ind w:firstLine="709"/>
        <w:jc w:val="both"/>
        <w:rPr>
          <w:rFonts w:ascii="Verdana" w:eastAsia="Arial" w:hAnsi="Verdana" w:cs="Arial"/>
          <w:lang w:val="es-ES" w:eastAsia="es-ES" w:bidi="es-ES"/>
        </w:rPr>
      </w:pPr>
    </w:p>
    <w:p w14:paraId="0B268EC7" w14:textId="24F127DC" w:rsidR="00261B7D" w:rsidRDefault="00261B7D" w:rsidP="00261B7D">
      <w:pPr>
        <w:spacing w:after="0" w:line="240" w:lineRule="auto"/>
        <w:ind w:left="709" w:right="709"/>
        <w:jc w:val="both"/>
        <w:rPr>
          <w:rFonts w:ascii="Verdana" w:hAnsi="Verdana" w:cs="Arial"/>
          <w:sz w:val="20"/>
          <w:szCs w:val="20"/>
        </w:rPr>
      </w:pPr>
      <w:r w:rsidRPr="005800D0">
        <w:rPr>
          <w:rFonts w:ascii="Verdana" w:hAnsi="Verdana" w:cs="Arial"/>
          <w:sz w:val="20"/>
          <w:szCs w:val="20"/>
        </w:rPr>
        <w:t>“</w:t>
      </w:r>
      <w:r>
        <w:rPr>
          <w:rFonts w:ascii="Verdana" w:hAnsi="Verdana" w:cs="Arial"/>
          <w:sz w:val="20"/>
          <w:szCs w:val="20"/>
        </w:rPr>
        <w:t xml:space="preserve">(…) </w:t>
      </w:r>
      <w:r w:rsidRPr="005800D0">
        <w:rPr>
          <w:rFonts w:ascii="Verdana"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5800D0">
        <w:rPr>
          <w:rFonts w:ascii="Verdana" w:hAnsi="Verdana" w:cs="Arial"/>
          <w:sz w:val="20"/>
          <w:szCs w:val="20"/>
          <w:vertAlign w:val="superscript"/>
          <w:lang w:eastAsia="es-CO"/>
        </w:rPr>
        <w:footnoteReference w:id="11"/>
      </w:r>
      <w:r w:rsidRPr="005800D0">
        <w:rPr>
          <w:rFonts w:ascii="Verdana" w:hAnsi="Verdana" w:cs="Arial"/>
          <w:sz w:val="20"/>
          <w:szCs w:val="20"/>
        </w:rPr>
        <w:t>.</w:t>
      </w:r>
    </w:p>
    <w:p w14:paraId="5292F6D7" w14:textId="77777777" w:rsidR="007A382A" w:rsidRDefault="007A382A" w:rsidP="007A382A">
      <w:pPr>
        <w:spacing w:after="0" w:line="240" w:lineRule="auto"/>
        <w:ind w:left="709" w:right="709"/>
        <w:jc w:val="both"/>
        <w:rPr>
          <w:rFonts w:ascii="Verdana" w:hAnsi="Verdana" w:cs="Arial"/>
          <w:sz w:val="20"/>
          <w:szCs w:val="20"/>
        </w:rPr>
      </w:pPr>
    </w:p>
    <w:p w14:paraId="61401B64" w14:textId="77777777" w:rsidR="00261B7D" w:rsidRDefault="00261B7D" w:rsidP="00261B7D">
      <w:pPr>
        <w:spacing w:after="0" w:line="240" w:lineRule="auto"/>
        <w:ind w:left="709" w:right="709"/>
        <w:jc w:val="both"/>
        <w:rPr>
          <w:rFonts w:ascii="Verdana" w:hAnsi="Verdana" w:cs="Arial"/>
          <w:sz w:val="20"/>
          <w:szCs w:val="20"/>
        </w:rPr>
      </w:pPr>
      <w:r w:rsidRPr="005800D0">
        <w:rPr>
          <w:rFonts w:ascii="Verdana" w:hAnsi="Verdana" w:cs="Arial"/>
          <w:sz w:val="20"/>
          <w:szCs w:val="20"/>
        </w:rPr>
        <w:t xml:space="preserve">Esta Sala ha entendido que para los efectos de la ley de garantías, y dada su finalidad, el enunciado ´contratación directa´ es sinónimo </w:t>
      </w:r>
      <w:bookmarkStart w:id="9" w:name="_Hlk75741738"/>
      <w:r w:rsidRPr="005800D0">
        <w:rPr>
          <w:rFonts w:ascii="Verdana" w:hAnsi="Verdana" w:cs="Arial"/>
          <w:sz w:val="20"/>
          <w:szCs w:val="20"/>
        </w:rPr>
        <w:t xml:space="preserve">de cualquier sistema que no implique convocatoria pública y posibilidad de pluralidad de oferentes, </w:t>
      </w:r>
      <w:bookmarkEnd w:id="9"/>
      <w:r w:rsidRPr="005800D0">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5800D0">
        <w:rPr>
          <w:rFonts w:ascii="Verdana" w:hAnsi="Verdana" w:cs="Arial"/>
          <w:sz w:val="20"/>
          <w:szCs w:val="20"/>
          <w:vertAlign w:val="superscript"/>
        </w:rPr>
        <w:footnoteReference w:id="12"/>
      </w:r>
      <w:r w:rsidRPr="005800D0">
        <w:rPr>
          <w:rFonts w:ascii="Verdana" w:hAnsi="Verdana" w:cs="Arial"/>
          <w:sz w:val="20"/>
          <w:szCs w:val="20"/>
          <w:vertAlign w:val="superscript"/>
        </w:rPr>
        <w:t>.</w:t>
      </w:r>
      <w:r w:rsidRPr="005800D0">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hAnsi="Verdana" w:cs="Arial"/>
          <w:sz w:val="20"/>
          <w:szCs w:val="20"/>
        </w:rPr>
        <w:t>(…)”</w:t>
      </w:r>
      <w:r w:rsidRPr="005800D0">
        <w:rPr>
          <w:rFonts w:ascii="Verdana" w:hAnsi="Verdana" w:cs="Arial"/>
          <w:sz w:val="20"/>
          <w:szCs w:val="20"/>
          <w:vertAlign w:val="superscript"/>
          <w:lang w:eastAsia="es-CO"/>
        </w:rPr>
        <w:footnoteReference w:id="13"/>
      </w:r>
      <w:r w:rsidRPr="005800D0">
        <w:rPr>
          <w:rFonts w:ascii="Verdana" w:hAnsi="Verdana" w:cs="Arial"/>
          <w:sz w:val="20"/>
          <w:szCs w:val="20"/>
        </w:rPr>
        <w:t>.</w:t>
      </w:r>
    </w:p>
    <w:p w14:paraId="7367C6E2" w14:textId="77777777" w:rsidR="00261B7D" w:rsidRPr="005800D0" w:rsidRDefault="00261B7D" w:rsidP="000C2089">
      <w:pPr>
        <w:spacing w:after="0" w:line="276" w:lineRule="auto"/>
        <w:ind w:left="709" w:right="709"/>
        <w:jc w:val="both"/>
        <w:rPr>
          <w:rFonts w:ascii="Verdana" w:hAnsi="Verdana" w:cs="Arial"/>
        </w:rPr>
      </w:pPr>
    </w:p>
    <w:p w14:paraId="6F45BA18" w14:textId="145A870E" w:rsidR="00261B7D" w:rsidRPr="00195E24" w:rsidRDefault="00261B7D" w:rsidP="00261B7D">
      <w:pPr>
        <w:spacing w:after="120" w:line="276" w:lineRule="auto"/>
        <w:ind w:firstLine="709"/>
        <w:jc w:val="both"/>
        <w:rPr>
          <w:rFonts w:ascii="Verdana" w:hAnsi="Verdana" w:cs="Arial"/>
          <w:bCs/>
          <w:lang w:eastAsia="x-none"/>
        </w:rPr>
      </w:pPr>
      <w:bookmarkStart w:id="11" w:name="_Hlk94521748"/>
      <w:r w:rsidRPr="00195E24">
        <w:rPr>
          <w:rFonts w:ascii="Verdana" w:hAnsi="Verdana" w:cs="Arial"/>
          <w:lang w:eastAsia="x-none"/>
        </w:rPr>
        <w:t xml:space="preserve">De acuerdo con el citado concepto, la prohibición del artículo 33 de la Ley de Garantías Electorales se refiere a </w:t>
      </w:r>
      <w:r w:rsidRPr="007E27D9">
        <w:rPr>
          <w:rFonts w:ascii="Verdana" w:hAnsi="Verdana" w:cs="Arial"/>
          <w:lang w:eastAsia="en-GB"/>
        </w:rPr>
        <w:t>“</w:t>
      </w:r>
      <w:r w:rsidRPr="00195E24">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195E24">
        <w:rPr>
          <w:rFonts w:ascii="Verdana" w:hAnsi="Verdana" w:cs="Arial"/>
          <w:lang w:eastAsia="x-none"/>
        </w:rPr>
        <w:t xml:space="preserve">, por lo que excluye las demás modalidades de contratación previstas en la Ley 1150 de 2007, es decir, la licitación pública, la selección abreviada, el concurso de méritos </w:t>
      </w:r>
      <w:r w:rsidRPr="00195E24">
        <w:rPr>
          <w:rFonts w:ascii="Verdana" w:hAnsi="Verdana" w:cs="Arial"/>
          <w:lang w:val="es-ES_tradnl" w:eastAsia="x-none"/>
        </w:rPr>
        <w:t xml:space="preserve">y la </w:t>
      </w:r>
      <w:r w:rsidRPr="00195E24">
        <w:rPr>
          <w:rFonts w:ascii="Verdana" w:hAnsi="Verdana" w:cs="Arial"/>
          <w:lang w:val="es-ES_tradnl" w:eastAsia="x-none"/>
        </w:rPr>
        <w:lastRenderedPageBreak/>
        <w:t>mínima cuantía</w:t>
      </w:r>
      <w:r w:rsidRPr="00195E24" w:rsidDel="00A85D9F">
        <w:rPr>
          <w:rFonts w:ascii="Verdana" w:hAnsi="Verdana" w:cs="Arial"/>
          <w:lang w:eastAsia="x-none"/>
        </w:rPr>
        <w:t xml:space="preserve"> </w:t>
      </w:r>
      <w:r w:rsidRPr="00195E24">
        <w:rPr>
          <w:rFonts w:ascii="Verdana" w:hAnsi="Verdana" w:cs="Arial"/>
          <w:lang w:eastAsia="x-none"/>
        </w:rPr>
        <w:t xml:space="preserve">u otros </w:t>
      </w:r>
      <w:r w:rsidR="002B0932">
        <w:rPr>
          <w:rFonts w:ascii="Verdana" w:hAnsi="Verdana" w:cs="Arial"/>
          <w:lang w:eastAsia="x-none"/>
        </w:rPr>
        <w:t xml:space="preserve">procedimientos de selección abiertos y competitivos </w:t>
      </w:r>
      <w:r w:rsidRPr="00195E24">
        <w:rPr>
          <w:rFonts w:ascii="Verdana" w:hAnsi="Verdana" w:cs="Arial"/>
          <w:lang w:eastAsia="x-none"/>
        </w:rPr>
        <w:t>previstos en normas especiales. Esta posición es congruente con la expedición de la Ley 1150 de 2007 que, entre otras reformas, introdujo la selección abreviada, rediseñó el concurso de méritos</w:t>
      </w:r>
      <w:r w:rsidRPr="00195E24">
        <w:rPr>
          <w:rFonts w:ascii="Verdana" w:hAnsi="Verdana" w:cs="Arial"/>
          <w:vertAlign w:val="superscript"/>
          <w:lang w:val="en-GB" w:eastAsia="x-none"/>
        </w:rPr>
        <w:footnoteReference w:id="14"/>
      </w:r>
      <w:r w:rsidRPr="00195E24">
        <w:rPr>
          <w:rFonts w:ascii="Verdana" w:hAnsi="Verdana" w:cs="Arial"/>
          <w:lang w:eastAsia="x-none"/>
        </w:rPr>
        <w:t xml:space="preserve"> y sistematizó las causales de contratación directa</w:t>
      </w:r>
      <w:r w:rsidRPr="00195E24">
        <w:rPr>
          <w:rFonts w:ascii="Verdana" w:hAnsi="Verdana" w:cs="Arial"/>
          <w:vertAlign w:val="superscript"/>
          <w:lang w:val="en-GB" w:eastAsia="x-none"/>
        </w:rPr>
        <w:footnoteReference w:id="15"/>
      </w:r>
      <w:r w:rsidRPr="00195E24">
        <w:rPr>
          <w:rFonts w:ascii="Verdana" w:hAnsi="Verdana" w:cs="Arial"/>
          <w:lang w:eastAsia="x-none"/>
        </w:rPr>
        <w:t>, además lo es con la posterior creación de la modalidad de mínima cuantía establecida actualmente en el numeral 5 del artículo 2 de la Ley 1150 de 2007, de acuerdo con las modificaciones realizadas por leyes posteriores.</w:t>
      </w:r>
    </w:p>
    <w:bookmarkEnd w:id="11"/>
    <w:p w14:paraId="61011D6F" w14:textId="77777777" w:rsidR="00261B7D" w:rsidRPr="00195E24" w:rsidRDefault="00261B7D" w:rsidP="00261B7D">
      <w:pPr>
        <w:spacing w:after="120" w:line="276" w:lineRule="auto"/>
        <w:ind w:firstLine="709"/>
        <w:jc w:val="both"/>
        <w:rPr>
          <w:rFonts w:ascii="Verdana" w:hAnsi="Verdana" w:cs="Arial"/>
          <w:lang w:eastAsia="x-none"/>
        </w:rPr>
      </w:pPr>
      <w:r w:rsidRPr="00195E24">
        <w:rPr>
          <w:rFonts w:ascii="Verdana" w:hAnsi="Verdana" w:cs="Arial"/>
          <w:lang w:eastAsia="x-none"/>
        </w:rPr>
        <w:t xml:space="preserve">De esta forma, con fundamento en la evolución de la normativa sobre la contratación pública, se ha depurado la noción de </w:t>
      </w:r>
      <w:r w:rsidRPr="007E27D9">
        <w:rPr>
          <w:rFonts w:ascii="Verdana" w:hAnsi="Verdana" w:cs="Arial"/>
          <w:i/>
          <w:lang w:eastAsia="en-GB"/>
        </w:rPr>
        <w:t>“</w:t>
      </w:r>
      <w:r w:rsidRPr="00195E24">
        <w:rPr>
          <w:rFonts w:ascii="Verdana" w:hAnsi="Verdana" w:cs="Arial"/>
          <w:i/>
          <w:iCs/>
          <w:lang w:eastAsia="x-none"/>
        </w:rPr>
        <w:t>contratación directa</w:t>
      </w:r>
      <w:r w:rsidRPr="00195E24">
        <w:rPr>
          <w:rFonts w:ascii="Verdana" w:hAnsi="Verdana" w:cs="Arial"/>
          <w:lang w:eastAsia="en-GB"/>
        </w:rPr>
        <w:t>”</w:t>
      </w:r>
      <w:r w:rsidRPr="00195E24">
        <w:rPr>
          <w:rFonts w:ascii="Verdana" w:hAnsi="Verdana" w:cs="Arial"/>
          <w:lang w:eastAsia="x-none"/>
        </w:rPr>
        <w:t>, precisando el Consejo de Estado –en el concepto citado– que, “aun cuando no coincide única y exactamente con la regulación que de dicho sistema de selección hace el artículo 2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195E24">
        <w:rPr>
          <w:rFonts w:ascii="Verdana" w:hAnsi="Verdana" w:cs="Arial"/>
          <w:vertAlign w:val="superscript"/>
          <w:lang w:val="en-GB" w:eastAsia="x-none"/>
        </w:rPr>
        <w:footnoteReference w:id="16"/>
      </w:r>
      <w:r w:rsidRPr="00195E24">
        <w:rPr>
          <w:rFonts w:ascii="Verdana" w:hAnsi="Verdana" w:cs="Arial"/>
          <w:lang w:eastAsia="x-none"/>
        </w:rPr>
        <w:t>, han establecido sistemas de contratación que implican convocatoria pública y participación de varios oferentes</w:t>
      </w:r>
      <w:r w:rsidRPr="00195E24">
        <w:rPr>
          <w:rFonts w:ascii="Verdana" w:hAnsi="Verdana" w:cs="Arial"/>
          <w:lang w:eastAsia="en-GB"/>
        </w:rPr>
        <w:t>”</w:t>
      </w:r>
      <w:r w:rsidRPr="00195E24">
        <w:rPr>
          <w:rFonts w:ascii="Verdana" w:hAnsi="Verdana" w:cs="Arial"/>
          <w:lang w:eastAsia="x-none"/>
        </w:rPr>
        <w:t>.</w:t>
      </w:r>
    </w:p>
    <w:p w14:paraId="02D308C4" w14:textId="77777777" w:rsidR="00261B7D" w:rsidRPr="00195E24" w:rsidRDefault="00261B7D" w:rsidP="00261B7D">
      <w:pPr>
        <w:spacing w:after="120" w:line="276" w:lineRule="auto"/>
        <w:ind w:firstLine="709"/>
        <w:jc w:val="both"/>
        <w:rPr>
          <w:rFonts w:ascii="Verdana" w:hAnsi="Verdana" w:cs="Arial"/>
          <w:bCs/>
          <w:lang w:eastAsia="es-CO"/>
        </w:rPr>
      </w:pPr>
      <w:r w:rsidRPr="00195E24">
        <w:rPr>
          <w:rFonts w:ascii="Verdana" w:hAnsi="Verdana" w:cs="Arial"/>
          <w:bCs/>
          <w:lang w:eastAsia="x-none"/>
        </w:rPr>
        <w:t>E</w:t>
      </w:r>
      <w:r w:rsidRPr="00195E24">
        <w:rPr>
          <w:rFonts w:ascii="Verdana" w:hAnsi="Verdana" w:cs="Arial"/>
          <w:lang w:eastAsia="x-none"/>
        </w:rPr>
        <w:t xml:space="preserve">n efecto, vale la pena mencionar que, </w:t>
      </w:r>
      <w:bookmarkStart w:id="12" w:name="_Hlk75636073"/>
      <w:r w:rsidRPr="00195E24">
        <w:rPr>
          <w:rFonts w:ascii="Verdana" w:hAnsi="Verdana" w:cs="Arial"/>
          <w:lang w:eastAsia="x-none"/>
        </w:rPr>
        <w:t xml:space="preserve">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sidRPr="00195E24">
        <w:rPr>
          <w:rFonts w:ascii="Verdana" w:hAnsi="Verdana" w:cs="Arial"/>
          <w:i/>
          <w:iCs/>
          <w:lang w:eastAsia="x-none"/>
        </w:rPr>
        <w:t>“contratación directa</w:t>
      </w:r>
      <w:r w:rsidRPr="00195E24">
        <w:rPr>
          <w:rFonts w:ascii="Verdana" w:hAnsi="Verdana" w:cs="Arial"/>
          <w:lang w:eastAsia="x-none"/>
        </w:rPr>
        <w:t>”, es que la convocatoria para inscribirse en forma previa se haga de manera pública, y que se permita la participación de una pluralidad de oferentes</w:t>
      </w:r>
      <w:bookmarkEnd w:id="12"/>
      <w:r w:rsidRPr="00195E24">
        <w:rPr>
          <w:rFonts w:ascii="Verdana" w:hAnsi="Verdana" w:cs="Arial"/>
          <w:vertAlign w:val="superscript"/>
          <w:lang w:eastAsia="x-none"/>
        </w:rPr>
        <w:footnoteReference w:id="17"/>
      </w:r>
      <w:r w:rsidRPr="00195E24">
        <w:rPr>
          <w:rFonts w:ascii="Verdana" w:hAnsi="Verdana" w:cs="Arial"/>
          <w:lang w:eastAsia="x-none"/>
        </w:rPr>
        <w:t xml:space="preserve">. </w:t>
      </w:r>
    </w:p>
    <w:p w14:paraId="7503E7B8" w14:textId="10DC1467" w:rsidR="00261B7D" w:rsidRPr="00CE0712" w:rsidRDefault="00261B7D" w:rsidP="00261B7D">
      <w:pPr>
        <w:spacing w:after="120" w:line="276" w:lineRule="auto"/>
        <w:ind w:firstLine="709"/>
        <w:jc w:val="both"/>
        <w:rPr>
          <w:rFonts w:ascii="Verdana" w:hAnsi="Verdana" w:cs="Arial"/>
          <w:bCs/>
          <w:lang w:eastAsia="es-CO"/>
        </w:rPr>
      </w:pPr>
      <w:r w:rsidRPr="00195E24">
        <w:rPr>
          <w:rFonts w:ascii="Verdana" w:hAnsi="Verdana" w:cs="Arial"/>
          <w:bCs/>
          <w:lang w:eastAsia="es-CO"/>
        </w:rPr>
        <w:lastRenderedPageBreak/>
        <w:t>Como se advierte de lo anterior, el Consejo de Estado realiza una interpretación amplia de la contratación directa, para efectos de aplicar las restricciones establecidas en la Ley de Garantías</w:t>
      </w:r>
      <w:r w:rsidR="002B0932">
        <w:rPr>
          <w:rFonts w:ascii="Verdana" w:hAnsi="Verdana" w:cs="Arial"/>
          <w:bCs/>
          <w:lang w:eastAsia="es-CO"/>
        </w:rPr>
        <w:t xml:space="preserve"> Electorales</w:t>
      </w:r>
      <w:r w:rsidRPr="00195E24">
        <w:rPr>
          <w:rFonts w:ascii="Verdana" w:hAnsi="Verdana" w:cs="Arial"/>
          <w:bCs/>
          <w:lang w:eastAsia="es-CO"/>
        </w:rPr>
        <w:t xml:space="preserve">,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195E24">
        <w:rPr>
          <w:rFonts w:ascii="Verdana" w:hAnsi="Verdana" w:cs="Arial"/>
          <w:bCs/>
          <w:i/>
          <w:iCs/>
          <w:lang w:eastAsia="es-CO"/>
        </w:rPr>
        <w:t>“contratación directa”.</w:t>
      </w:r>
    </w:p>
    <w:p w14:paraId="31DD779B" w14:textId="77777777" w:rsidR="00261B7D" w:rsidRDefault="00261B7D" w:rsidP="00261B7D">
      <w:pPr>
        <w:spacing w:after="120" w:line="276" w:lineRule="auto"/>
        <w:ind w:firstLine="709"/>
        <w:jc w:val="both"/>
        <w:rPr>
          <w:rFonts w:ascii="Verdana" w:hAnsi="Verdana" w:cs="Arial"/>
          <w:vertAlign w:val="superscript"/>
          <w:lang w:eastAsia="x-none"/>
        </w:rPr>
      </w:pPr>
      <w:bookmarkStart w:id="13" w:name="_Hlk78818796"/>
      <w:r w:rsidRPr="00195E24">
        <w:rPr>
          <w:rFonts w:ascii="Verdana"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7E27D9">
        <w:rPr>
          <w:rFonts w:ascii="Verdana" w:hAnsi="Verdana" w:cs="Arial"/>
          <w:vertAlign w:val="superscript"/>
          <w:lang w:eastAsia="x-none"/>
        </w:rPr>
        <w:footnoteReference w:id="18"/>
      </w:r>
      <w:r w:rsidRPr="007E27D9">
        <w:rPr>
          <w:rFonts w:ascii="Verdana" w:hAnsi="Verdana" w:cs="Arial"/>
          <w:lang w:eastAsia="x-none"/>
        </w:rPr>
        <w:t>.</w:t>
      </w:r>
      <w:r w:rsidRPr="007E27D9">
        <w:rPr>
          <w:rFonts w:ascii="Verdana" w:hAnsi="Verdana" w:cs="Arial"/>
          <w:vertAlign w:val="superscript"/>
          <w:lang w:eastAsia="x-none"/>
        </w:rPr>
        <w:t xml:space="preserve"> </w:t>
      </w:r>
    </w:p>
    <w:p w14:paraId="18424629" w14:textId="77777777" w:rsidR="00261B7D" w:rsidRPr="007E27D9" w:rsidRDefault="00261B7D" w:rsidP="00261B7D">
      <w:pPr>
        <w:spacing w:after="120" w:line="276" w:lineRule="auto"/>
        <w:ind w:firstLine="709"/>
        <w:jc w:val="both"/>
        <w:rPr>
          <w:rFonts w:ascii="Verdana" w:hAnsi="Verdana" w:cs="Arial"/>
          <w:lang w:eastAsia="x-none"/>
        </w:rPr>
      </w:pPr>
      <w:r w:rsidRPr="00AD17FF">
        <w:rPr>
          <w:rFonts w:ascii="Verdana" w:hAnsi="Verdana" w:cs="Arial"/>
          <w:lang w:eastAsia="x-none"/>
        </w:rPr>
        <w:t>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oferentes. Esta circunstancia no se extiende a la contratación directa aplicable en algunos regímenes especiales con listas de precalificados, ya que a efecto de que no se configure la contratación directa, la selección del futuro contratista debe darse en términos de competencia</w:t>
      </w:r>
      <w:r>
        <w:rPr>
          <w:rStyle w:val="Refdenotaalpie"/>
          <w:rFonts w:ascii="Verdana" w:hAnsi="Verdana" w:cs="Arial"/>
          <w:lang w:eastAsia="x-none"/>
        </w:rPr>
        <w:footnoteReference w:id="19"/>
      </w:r>
      <w:r w:rsidRPr="00AD17FF">
        <w:rPr>
          <w:rFonts w:ascii="Verdana" w:hAnsi="Verdana" w:cs="Arial"/>
          <w:lang w:eastAsia="x-none"/>
        </w:rPr>
        <w:t>.</w:t>
      </w:r>
    </w:p>
    <w:bookmarkEnd w:id="13"/>
    <w:p w14:paraId="418A45FF" w14:textId="77777777" w:rsidR="00261B7D" w:rsidRPr="007E27D9" w:rsidRDefault="00261B7D" w:rsidP="00261B7D">
      <w:pPr>
        <w:spacing w:after="120" w:line="276" w:lineRule="auto"/>
        <w:ind w:firstLine="709"/>
        <w:jc w:val="both"/>
        <w:rPr>
          <w:rFonts w:ascii="Verdana" w:hAnsi="Verdana" w:cs="Arial"/>
          <w:lang w:eastAsia="x-none"/>
        </w:rPr>
      </w:pPr>
      <w:r w:rsidRPr="00195E24">
        <w:rPr>
          <w:rFonts w:ascii="Verdana" w:hAnsi="Verdana" w:cs="Arial"/>
          <w:bCs/>
          <w:lang w:eastAsia="x-none"/>
        </w:rPr>
        <w:t>De lo anterior se desprende que la restricción aplica, sin perjuicio de las excepciones establecidas en la misma ley</w:t>
      </w:r>
      <w:r w:rsidRPr="00671D27">
        <w:rPr>
          <w:rFonts w:ascii="Verdana" w:hAnsi="Verdana" w:cs="Arial"/>
          <w:bCs/>
          <w:lang w:eastAsia="x-none"/>
        </w:rPr>
        <w:t>, para celebrar cualquier contrato de forma directa, esto es, sin que exista un proceso abierto y competitivo.</w:t>
      </w:r>
      <w:r w:rsidRPr="00671D27">
        <w:rPr>
          <w:rFonts w:ascii="Verdana" w:hAnsi="Verdana" w:cs="Arial"/>
          <w:lang w:eastAsia="x-none"/>
        </w:rPr>
        <w:t xml:space="preserve"> Por tanto, no son materia de la prohibición las demás modalidades de selección previstas en la Ley 1150 de 2007, es decir, la licitación pública, el concurso de méritos, la selección abreviada y la contratación de mínima cuantía, razón por la cual en el</w:t>
      </w:r>
      <w:r w:rsidRPr="00195E24">
        <w:rPr>
          <w:rFonts w:ascii="Verdana" w:hAnsi="Verdana" w:cs="Arial"/>
          <w:lang w:eastAsia="x-none"/>
        </w:rPr>
        <w:t xml:space="preserve"> </w:t>
      </w:r>
      <w:r w:rsidRPr="00195E24">
        <w:rPr>
          <w:rFonts w:ascii="Verdana" w:hAnsi="Verdana" w:cs="Arial"/>
          <w:lang w:eastAsia="x-none"/>
        </w:rPr>
        <w:lastRenderedPageBreak/>
        <w:t>período preelectoral de que trata la disposición las entidades públicas pueden seguir contratando bajo estos sistemas</w:t>
      </w:r>
      <w:r w:rsidRPr="007E27D9">
        <w:rPr>
          <w:rFonts w:ascii="Verdana" w:hAnsi="Verdana" w:cs="Arial"/>
          <w:lang w:eastAsia="x-none"/>
        </w:rPr>
        <w:t>.</w:t>
      </w:r>
    </w:p>
    <w:p w14:paraId="70AC1CD4" w14:textId="77777777" w:rsidR="00261B7D" w:rsidRPr="00CE0712" w:rsidRDefault="00261B7D" w:rsidP="00261B7D">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Ahora bien, en relación con los destinatarios de las restricciones, el artículo 33 de la Ley 996 de 2005 los señala expresamente, en el sentido de que son “</w:t>
      </w:r>
      <w:r w:rsidRPr="73D21086">
        <w:rPr>
          <w:rFonts w:ascii="Verdana" w:hAnsi="Verdana" w:cs="Arial"/>
          <w:i/>
          <w:color w:val="000000" w:themeColor="text1"/>
          <w:lang w:val="es-MX"/>
        </w:rPr>
        <w:t>todos los entes del Estado</w:t>
      </w:r>
      <w:r w:rsidRPr="73D21086">
        <w:rPr>
          <w:rFonts w:ascii="Verdana" w:hAnsi="Verdana" w:cs="Arial"/>
          <w:color w:val="000000" w:themeColor="text1"/>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15DADF03" w14:textId="661E5B42" w:rsidR="00261B7D" w:rsidRDefault="00261B7D" w:rsidP="00261B7D">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 xml:space="preserve">La Sala de Consulta y Servicio Civil del Consejo de Estado, en Concepto 1727 del 20 de febrero de 2006, consideró que el artículo 33 de la </w:t>
      </w:r>
      <w:r w:rsidR="003F69B0">
        <w:rPr>
          <w:rFonts w:ascii="Verdana" w:hAnsi="Verdana" w:cs="Arial"/>
          <w:color w:val="000000" w:themeColor="text1"/>
          <w:lang w:val="es-MX"/>
        </w:rPr>
        <w:t>L</w:t>
      </w:r>
      <w:r w:rsidRPr="73D21086">
        <w:rPr>
          <w:rFonts w:ascii="Verdana" w:hAnsi="Verdana" w:cs="Arial"/>
          <w:color w:val="000000" w:themeColor="text1"/>
          <w:lang w:val="es-MX"/>
        </w:rPr>
        <w:t xml:space="preserve">ey 996 de 2005, efectivamente se aplica incluso a las </w:t>
      </w:r>
      <w:r w:rsidR="00850478">
        <w:rPr>
          <w:rFonts w:ascii="Verdana" w:hAnsi="Verdana" w:cs="Arial"/>
          <w:color w:val="000000" w:themeColor="text1"/>
          <w:lang w:val="es-MX"/>
        </w:rPr>
        <w:t>e</w:t>
      </w:r>
      <w:r w:rsidRPr="73D21086">
        <w:rPr>
          <w:rFonts w:ascii="Verdana" w:hAnsi="Verdana" w:cs="Arial"/>
          <w:color w:val="000000" w:themeColor="text1"/>
          <w:lang w:val="es-MX"/>
        </w:rPr>
        <w:t xml:space="preserve">ntidades </w:t>
      </w:r>
      <w:r w:rsidR="00850478">
        <w:rPr>
          <w:rFonts w:ascii="Verdana" w:hAnsi="Verdana" w:cs="Arial"/>
          <w:color w:val="000000" w:themeColor="text1"/>
          <w:lang w:val="es-MX"/>
        </w:rPr>
        <w:t>e</w:t>
      </w:r>
      <w:r w:rsidRPr="73D21086">
        <w:rPr>
          <w:rFonts w:ascii="Verdana" w:hAnsi="Verdana" w:cs="Arial"/>
          <w:color w:val="000000" w:themeColor="text1"/>
          <w:lang w:val="es-MX"/>
        </w:rPr>
        <w:t>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73D21086">
        <w:rPr>
          <w:rFonts w:ascii="Verdana" w:hAnsi="Verdana" w:cs="Arial"/>
          <w:color w:val="000000" w:themeColor="text1"/>
          <w:vertAlign w:val="superscript"/>
          <w:lang w:val="es-MX"/>
        </w:rPr>
        <w:footnoteReference w:id="20"/>
      </w:r>
      <w:r w:rsidRPr="73D21086">
        <w:rPr>
          <w:rFonts w:ascii="Verdana" w:hAnsi="Verdana" w:cs="Arial"/>
          <w:color w:val="000000" w:themeColor="text1"/>
          <w:lang w:val="es-MX"/>
        </w:rPr>
        <w:t xml:space="preserve">. </w:t>
      </w:r>
    </w:p>
    <w:p w14:paraId="06C3C66A" w14:textId="47F59A64" w:rsidR="00261B7D" w:rsidRPr="00CE0712" w:rsidRDefault="00261B7D" w:rsidP="000C2089">
      <w:pPr>
        <w:spacing w:after="120" w:line="276" w:lineRule="auto"/>
        <w:jc w:val="both"/>
        <w:rPr>
          <w:rFonts w:ascii="Verdana" w:hAnsi="Verdana" w:cs="Arial"/>
          <w:bCs/>
          <w:color w:val="000000" w:themeColor="text1"/>
          <w:lang w:val="es-MX" w:eastAsia="x-none"/>
        </w:rPr>
      </w:pPr>
      <w:r>
        <w:rPr>
          <w:rFonts w:ascii="Verdana" w:hAnsi="Verdana" w:cs="Arial"/>
          <w:color w:val="000000" w:themeColor="text1"/>
          <w:lang w:eastAsia="es-CO"/>
        </w:rPr>
        <w:t xml:space="preserve"> </w:t>
      </w:r>
      <w:r w:rsidR="002B0932">
        <w:rPr>
          <w:rFonts w:ascii="Verdana" w:hAnsi="Verdana" w:cs="Arial"/>
          <w:color w:val="000000" w:themeColor="text1"/>
          <w:lang w:eastAsia="es-CO"/>
        </w:rPr>
        <w:tab/>
      </w:r>
      <w:r>
        <w:rPr>
          <w:rFonts w:ascii="Verdana" w:hAnsi="Verdana" w:cs="Arial"/>
          <w:color w:val="000000" w:themeColor="text1"/>
          <w:lang w:eastAsia="es-CO"/>
        </w:rPr>
        <w:t xml:space="preserve">De otra parte, </w:t>
      </w:r>
      <w:r w:rsidRPr="00CE0D82">
        <w:rPr>
          <w:rFonts w:ascii="Verdana" w:hAnsi="Verdana" w:cs="Arial"/>
          <w:color w:val="000000" w:themeColor="text1"/>
          <w:lang w:val="es-MX"/>
        </w:rPr>
        <w:t xml:space="preserve">la restricción prevista en </w:t>
      </w:r>
      <w:r>
        <w:rPr>
          <w:rFonts w:ascii="Verdana" w:hAnsi="Verdana" w:cs="Arial"/>
          <w:color w:val="000000" w:themeColor="text1"/>
          <w:lang w:val="es-MX"/>
        </w:rPr>
        <w:t>en el artículo 33 de la</w:t>
      </w:r>
      <w:r w:rsidRPr="00CE0D82">
        <w:rPr>
          <w:rFonts w:ascii="Verdana" w:hAnsi="Verdana" w:cs="Arial"/>
          <w:color w:val="000000" w:themeColor="text1"/>
          <w:lang w:val="es-MX"/>
        </w:rPr>
        <w:t xml:space="preserve"> Ley 996 de 2005 </w:t>
      </w:r>
      <w:r w:rsidRPr="00CE0D82">
        <w:rPr>
          <w:rFonts w:ascii="Verdana" w:hAnsi="Verdana" w:cs="Arial"/>
          <w:bCs/>
          <w:color w:val="000000" w:themeColor="text1"/>
          <w:lang w:val="es-MX" w:eastAsia="x-none"/>
        </w:rPr>
        <w:t xml:space="preserve">cobija a cualquier entidad pública independiente del régimen jurídico, que pueda mediante la contratación directa romper el equilibrio entre los candidatos en desarrollo de las elecciones presidenciales. </w:t>
      </w:r>
      <w:r w:rsidR="006D45E7">
        <w:rPr>
          <w:rFonts w:ascii="Verdana" w:hAnsi="Verdana" w:cs="Arial"/>
          <w:color w:val="000000" w:themeColor="text1"/>
          <w:lang w:val="es-MX"/>
        </w:rPr>
        <w:t xml:space="preserve">Al respecto, es importante señalar que no </w:t>
      </w:r>
      <w:r w:rsidRPr="73D21086">
        <w:rPr>
          <w:rFonts w:ascii="Verdana" w:hAnsi="Verdana" w:cs="Arial"/>
          <w:color w:val="000000" w:themeColor="text1"/>
          <w:lang w:val="es-MX"/>
        </w:rPr>
        <w:t xml:space="preserve">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puede </w:t>
      </w:r>
      <w:r w:rsidRPr="73D21086">
        <w:rPr>
          <w:rFonts w:ascii="Verdana" w:hAnsi="Verdana" w:cs="Arial"/>
          <w:color w:val="000000" w:themeColor="text1"/>
          <w:lang w:val="es-MX"/>
        </w:rPr>
        <w:lastRenderedPageBreak/>
        <w:t xml:space="preserve">presentarse tanto en la contratación regulada por la Ley 80 de 1993 como en la regida por normas especiales. </w:t>
      </w:r>
    </w:p>
    <w:p w14:paraId="1F9F906D" w14:textId="50815403" w:rsidR="00261B7D" w:rsidRDefault="00261B7D" w:rsidP="00261B7D">
      <w:pPr>
        <w:spacing w:after="120" w:line="276" w:lineRule="auto"/>
        <w:ind w:firstLine="709"/>
        <w:jc w:val="both"/>
        <w:rPr>
          <w:rFonts w:ascii="Verdana" w:hAnsi="Verdana" w:cs="Arial"/>
          <w:bCs/>
          <w:lang w:eastAsia="x-none"/>
        </w:rPr>
      </w:pPr>
      <w:r w:rsidRPr="00E36918">
        <w:rPr>
          <w:rFonts w:ascii="Verdana" w:eastAsia="Times New Roman" w:hAnsi="Verdana" w:cs="Arial"/>
          <w:bCs/>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E36918">
        <w:rPr>
          <w:rFonts w:ascii="Verdana" w:eastAsia="Times New Roman" w:hAnsi="Verdana" w:cs="Arial"/>
          <w:bCs/>
          <w:lang w:val="es-ES" w:eastAsia="es-CO" w:bidi="es-ES"/>
        </w:rPr>
        <w:t>ii</w:t>
      </w:r>
      <w:proofErr w:type="spellEnd"/>
      <w:r w:rsidRPr="00E36918">
        <w:rPr>
          <w:rFonts w:ascii="Verdana" w:eastAsia="Times New Roman" w:hAnsi="Verdana" w:cs="Arial"/>
          <w:bCs/>
          <w:lang w:val="es-ES" w:eastAsia="es-CO" w:bidi="es-ES"/>
        </w:rPr>
        <w:t xml:space="preserve">) los contratos de crédito público; </w:t>
      </w:r>
      <w:proofErr w:type="spellStart"/>
      <w:r w:rsidRPr="00E36918">
        <w:rPr>
          <w:rFonts w:ascii="Verdana" w:eastAsia="Times New Roman" w:hAnsi="Verdana" w:cs="Arial"/>
          <w:bCs/>
          <w:lang w:val="es-ES" w:eastAsia="es-CO" w:bidi="es-ES"/>
        </w:rPr>
        <w:t>iii</w:t>
      </w:r>
      <w:proofErr w:type="spellEnd"/>
      <w:r w:rsidRPr="00E36918">
        <w:rPr>
          <w:rFonts w:ascii="Verdana" w:eastAsia="Times New Roman" w:hAnsi="Verdana" w:cs="Arial"/>
          <w:bCs/>
          <w:lang w:val="es-ES" w:eastAsia="es-CO" w:bidi="es-ES"/>
        </w:rPr>
        <w:t xml:space="preserve">) los requeridos para cubrir las emergencias educativas, sanitarias y desastres; </w:t>
      </w:r>
      <w:proofErr w:type="spellStart"/>
      <w:r w:rsidRPr="00E36918">
        <w:rPr>
          <w:rFonts w:ascii="Verdana" w:eastAsia="Times New Roman" w:hAnsi="Verdana" w:cs="Arial"/>
          <w:bCs/>
          <w:lang w:val="es-ES" w:eastAsia="es-CO" w:bidi="es-ES"/>
        </w:rPr>
        <w:t>iv</w:t>
      </w:r>
      <w:proofErr w:type="spellEnd"/>
      <w:r w:rsidRPr="00E36918">
        <w:rPr>
          <w:rFonts w:ascii="Verdana" w:eastAsia="Times New Roman" w:hAnsi="Verdana" w:cs="Arial"/>
          <w:bCs/>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w:t>
      </w:r>
      <w:r w:rsidRPr="000C2089">
        <w:rPr>
          <w:rFonts w:ascii="Verdana" w:eastAsia="Times New Roman" w:hAnsi="Verdana" w:cs="Arial"/>
          <w:i/>
          <w:lang w:val="es-ES" w:eastAsia="es-CO" w:bidi="es-ES"/>
        </w:rPr>
        <w:t xml:space="preserve">los que deban realizar las entidades sanitarias y hospitalarias. </w:t>
      </w:r>
    </w:p>
    <w:p w14:paraId="477456C0" w14:textId="77777777" w:rsidR="00261B7D" w:rsidRDefault="00261B7D" w:rsidP="00261B7D">
      <w:pPr>
        <w:spacing w:after="120" w:line="276" w:lineRule="auto"/>
        <w:ind w:firstLine="709"/>
        <w:jc w:val="both"/>
        <w:rPr>
          <w:rFonts w:ascii="Verdana" w:hAnsi="Verdana" w:cs="Arial"/>
          <w:bCs/>
          <w:lang w:val="es-MX" w:eastAsia="x-none"/>
        </w:rPr>
      </w:pPr>
      <w:r w:rsidRPr="00F8199A">
        <w:rPr>
          <w:rFonts w:ascii="Verdana" w:hAnsi="Verdana" w:cs="Arial"/>
          <w:bCs/>
          <w:lang w:val="es-MX" w:eastAsia="x-none"/>
        </w:rPr>
        <w:t xml:space="preserve">En esta labor es importante tener en cuenta, como lo anotó la Corte Constitucional, en Sentencia C-1153 de noviembre 11 de 2005 </w:t>
      </w:r>
      <w:bookmarkStart w:id="14" w:name="_Hlk74309042"/>
      <w:r w:rsidRPr="00F8199A">
        <w:rPr>
          <w:rFonts w:ascii="Verdana" w:hAnsi="Verdana" w:cs="Arial"/>
          <w:bCs/>
          <w:lang w:val="es-MX" w:eastAsia="x-none"/>
        </w:rPr>
        <w:t xml:space="preserve">que </w:t>
      </w:r>
      <w:r>
        <w:rPr>
          <w:rFonts w:ascii="Verdana" w:hAnsi="Verdana" w:cs="Arial"/>
          <w:bCs/>
          <w:lang w:val="es-MX" w:eastAsia="x-none"/>
        </w:rPr>
        <w:t>“</w:t>
      </w:r>
      <w:bookmarkEnd w:id="14"/>
      <w:r w:rsidRPr="00F8199A">
        <w:rPr>
          <w:rFonts w:ascii="Verdana" w:hAnsi="Verdana" w:cs="Arial"/>
          <w:bCs/>
          <w:lang w:val="es-MX" w:eastAsia="x-none"/>
        </w:rPr>
        <w:t xml:space="preserve">si bien la limitación garantiza la igualdad de condiciones, también es necesario que tal limitación que pretende la igualdad </w:t>
      </w:r>
      <w:bookmarkStart w:id="15" w:name="_Hlk75768308"/>
      <w:r w:rsidRPr="00F8199A">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Pr>
          <w:rFonts w:ascii="Verdana" w:hAnsi="Verdana" w:cs="Arial"/>
          <w:bCs/>
          <w:lang w:val="es-MX" w:eastAsia="x-none"/>
        </w:rPr>
        <w:t>”</w:t>
      </w:r>
      <w:r w:rsidRPr="00F8199A">
        <w:rPr>
          <w:rFonts w:ascii="Verdana" w:hAnsi="Verdana" w:cs="Arial"/>
          <w:vertAlign w:val="superscript"/>
          <w:lang w:val="es-MX"/>
        </w:rPr>
        <w:footnoteReference w:id="21"/>
      </w:r>
      <w:r w:rsidRPr="00F8199A">
        <w:rPr>
          <w:rFonts w:ascii="Verdana"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15"/>
    </w:p>
    <w:p w14:paraId="5530E395" w14:textId="3427A040" w:rsidR="00261B7D" w:rsidRPr="0004207F" w:rsidRDefault="00196209" w:rsidP="00261B7D">
      <w:pPr>
        <w:spacing w:after="120" w:line="276" w:lineRule="auto"/>
        <w:ind w:firstLine="709"/>
        <w:jc w:val="both"/>
        <w:rPr>
          <w:rFonts w:ascii="Verdana" w:hAnsi="Verdana" w:cs="Arial"/>
          <w:bCs/>
          <w:lang w:val="es-MX" w:eastAsia="x-none"/>
        </w:rPr>
      </w:pPr>
      <w:r>
        <w:rPr>
          <w:rFonts w:ascii="Verdana" w:hAnsi="Verdana" w:cs="Arial"/>
          <w:bCs/>
          <w:lang w:val="es-MX" w:eastAsia="x-none"/>
        </w:rPr>
        <w:t>Respecto de</w:t>
      </w:r>
      <w:r w:rsidR="00261B7D" w:rsidRPr="0004207F">
        <w:rPr>
          <w:rFonts w:ascii="Verdana" w:hAnsi="Verdana" w:cs="Arial"/>
          <w:bCs/>
          <w:lang w:val="es-MX" w:eastAsia="x-none"/>
        </w:rPr>
        <w:t xml:space="preserve"> las excepciones aplicables a la prohibición de contratación directa establecida</w:t>
      </w:r>
      <w:r>
        <w:rPr>
          <w:rFonts w:ascii="Verdana" w:hAnsi="Verdana" w:cs="Arial"/>
          <w:bCs/>
          <w:lang w:val="es-MX" w:eastAsia="x-none"/>
        </w:rPr>
        <w:t>, l</w:t>
      </w:r>
      <w:r w:rsidR="00261B7D" w:rsidRPr="0004207F">
        <w:rPr>
          <w:rFonts w:ascii="Verdana" w:hAnsi="Verdana" w:cs="Arial"/>
          <w:bCs/>
          <w:lang w:val="es-MX" w:eastAsia="x-none"/>
        </w:rPr>
        <w:t>a Sala de Consulta y Servicio Civil del Consejo de Estado, en Concepto del 4 de febrero de 2010, explica que “</w:t>
      </w:r>
      <w:r w:rsidR="00261B7D">
        <w:rPr>
          <w:rFonts w:ascii="Verdana" w:hAnsi="Verdana" w:cs="Arial"/>
          <w:bCs/>
          <w:lang w:val="es-MX" w:eastAsia="x-none"/>
        </w:rPr>
        <w:t>(…)</w:t>
      </w:r>
      <w:r w:rsidR="00261B7D" w:rsidRPr="0004207F">
        <w:rPr>
          <w:rFonts w:ascii="Verdana" w:hAnsi="Verdana" w:cs="Arial"/>
          <w:bCs/>
          <w:lang w:val="es-MX" w:eastAsia="x-none"/>
        </w:rPr>
        <w:t xml:space="preserve"> Las excepciones establecidas en los artículos 32 y 33 en comento, guardan relación, exclusivamente, con algunos servicios públicos que por su naturaleza no admiten </w:t>
      </w:r>
      <w:r w:rsidR="00261B7D" w:rsidRPr="0004207F">
        <w:rPr>
          <w:rFonts w:ascii="Verdana" w:hAnsi="Verdana" w:cs="Arial"/>
          <w:bCs/>
          <w:lang w:val="es-MX" w:eastAsia="x-none"/>
        </w:rPr>
        <w:lastRenderedPageBreak/>
        <w:t xml:space="preserve">postergaciones en la atención de sus necesidades de personal, bienes y servicios </w:t>
      </w:r>
      <w:r w:rsidR="00261B7D">
        <w:rPr>
          <w:rFonts w:ascii="Verdana" w:hAnsi="Verdana" w:cs="Arial"/>
          <w:bCs/>
          <w:lang w:val="es-MX" w:eastAsia="x-none"/>
        </w:rPr>
        <w:t>(…)</w:t>
      </w:r>
      <w:r w:rsidR="00261B7D" w:rsidRPr="0004207F">
        <w:rPr>
          <w:rFonts w:ascii="Verdana" w:hAnsi="Verdana" w:cs="Arial"/>
          <w:bCs/>
          <w:lang w:val="es-MX" w:eastAsia="x-none"/>
        </w:rPr>
        <w:t>”</w:t>
      </w:r>
      <w:r w:rsidR="00261B7D" w:rsidRPr="0004207F">
        <w:rPr>
          <w:rStyle w:val="Refdenotaalpie"/>
          <w:rFonts w:ascii="Verdana" w:hAnsi="Verdana" w:cs="Arial"/>
          <w:lang w:val="es-ES_tradnl" w:eastAsia="es-CO"/>
        </w:rPr>
        <w:footnoteReference w:id="22"/>
      </w:r>
      <w:r w:rsidR="00261B7D" w:rsidRPr="0004207F">
        <w:rPr>
          <w:rFonts w:ascii="Verdana" w:hAnsi="Verdana" w:cs="Arial"/>
          <w:bCs/>
          <w:lang w:val="es-MX" w:eastAsia="x-none"/>
        </w:rPr>
        <w:t>.</w:t>
      </w:r>
    </w:p>
    <w:p w14:paraId="4F97B12E" w14:textId="6F3B7417" w:rsidR="00261B7D" w:rsidRPr="0004207F" w:rsidRDefault="00261B7D" w:rsidP="000C2089">
      <w:pPr>
        <w:shd w:val="clear" w:color="auto" w:fill="FFFFFF" w:themeFill="background1"/>
        <w:spacing w:after="120" w:line="276" w:lineRule="auto"/>
        <w:ind w:firstLine="709"/>
        <w:jc w:val="both"/>
        <w:rPr>
          <w:rFonts w:ascii="Verdana" w:hAnsi="Verdana" w:cs="Arial"/>
          <w:lang w:val="es-ES" w:eastAsia="es-CO"/>
        </w:rPr>
      </w:pPr>
      <w:r w:rsidRPr="2E79A5E2">
        <w:rPr>
          <w:rFonts w:ascii="Verdana" w:hAnsi="Verdana" w:cs="Arial"/>
          <w:lang w:val="es-ES" w:eastAsia="es-CO"/>
        </w:rPr>
        <w:t xml:space="preserve">A su vez, la Corte Constitucional, al analizar la constitucionalidad de la Ley de Garantías Electorales, consideró que las prohibiciones consagradas en los artículos 32 y 33 de la </w:t>
      </w:r>
      <w:r w:rsidR="00B52231">
        <w:rPr>
          <w:rFonts w:ascii="Verdana" w:hAnsi="Verdana" w:cs="Arial"/>
          <w:lang w:val="es-ES" w:eastAsia="es-CO"/>
        </w:rPr>
        <w:t>L</w:t>
      </w:r>
      <w:r w:rsidRPr="2E79A5E2">
        <w:rPr>
          <w:rFonts w:ascii="Verdana" w:hAnsi="Verdana" w:cs="Arial"/>
          <w:lang w:val="es-ES" w:eastAsia="es-CO"/>
        </w:rPr>
        <w:t xml:space="preserve">ey mencionada no pueden ir en detrimento de intereses públicos. Por lo anterior, la Alta Corte consideró que las excepciones para la prohibición de contratación se encontraban justificadas, declarando su </w:t>
      </w:r>
      <w:proofErr w:type="spellStart"/>
      <w:r w:rsidRPr="2E79A5E2">
        <w:rPr>
          <w:rFonts w:ascii="Verdana" w:hAnsi="Verdana" w:cs="Arial"/>
          <w:lang w:val="es-ES" w:eastAsia="es-CO"/>
        </w:rPr>
        <w:t>exequibilidad</w:t>
      </w:r>
      <w:proofErr w:type="spellEnd"/>
      <w:r w:rsidRPr="2E79A5E2">
        <w:rPr>
          <w:rFonts w:ascii="Verdana" w:hAnsi="Verdana" w:cs="Arial"/>
          <w:lang w:val="es-ES" w:eastAsia="es-CO"/>
        </w:rPr>
        <w:t>. Así, por ejemplo, la Corte Constitucional explicó que “</w:t>
      </w:r>
      <w:r>
        <w:rPr>
          <w:rFonts w:ascii="Verdana" w:hAnsi="Verdana" w:cs="Arial"/>
          <w:lang w:val="es-ES" w:eastAsia="es-CO"/>
        </w:rPr>
        <w:t>(…)</w:t>
      </w:r>
      <w:r w:rsidRPr="2E79A5E2">
        <w:rPr>
          <w:rFonts w:ascii="Verdana" w:hAnsi="Verdana" w:cs="Arial"/>
          <w:lang w:val="es-ES" w:eastAsia="es-CO"/>
        </w:rPr>
        <w:t xml:space="preserve"> las 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sidRPr="2E79A5E2">
        <w:rPr>
          <w:rStyle w:val="Refdenotaalpie"/>
          <w:rFonts w:ascii="Verdana" w:hAnsi="Verdana" w:cs="Arial"/>
          <w:lang w:val="es-ES" w:eastAsia="es-CO"/>
        </w:rPr>
        <w:footnoteReference w:id="23"/>
      </w:r>
      <w:r w:rsidRPr="2E79A5E2">
        <w:rPr>
          <w:rFonts w:ascii="Verdana" w:hAnsi="Verdana" w:cs="Arial"/>
          <w:lang w:val="es-ES" w:eastAsia="es-CO"/>
        </w:rPr>
        <w:t xml:space="preserve">. </w:t>
      </w:r>
    </w:p>
    <w:p w14:paraId="6C8D97C5" w14:textId="394BAA73" w:rsidR="00261B7D" w:rsidRPr="00457DD8" w:rsidRDefault="00261B7D" w:rsidP="000C2089">
      <w:pPr>
        <w:shd w:val="clear" w:color="auto" w:fill="FFFFFF"/>
        <w:spacing w:after="120" w:line="276" w:lineRule="auto"/>
        <w:ind w:firstLine="709"/>
        <w:jc w:val="both"/>
        <w:rPr>
          <w:rFonts w:ascii="Verdana" w:hAnsi="Verdana" w:cs="Arial"/>
          <w:lang w:val="es-ES_tradnl" w:eastAsia="es-CO"/>
        </w:rPr>
      </w:pPr>
      <w:r w:rsidRPr="0004207F">
        <w:rPr>
          <w:rFonts w:ascii="Verdana" w:hAnsi="Verdana" w:cs="Arial"/>
          <w:bCs/>
          <w:lang w:val="es-ES_tradnl"/>
        </w:rPr>
        <w:t xml:space="preserve">Por tanto, las excepciones a la prohibición contenida en el inciso segundo de artículo 33 de la </w:t>
      </w:r>
      <w:r w:rsidR="00B52231">
        <w:rPr>
          <w:rFonts w:ascii="Verdana" w:hAnsi="Verdana" w:cs="Arial"/>
          <w:bCs/>
          <w:lang w:val="es-ES_tradnl"/>
        </w:rPr>
        <w:t>L</w:t>
      </w:r>
      <w:r w:rsidRPr="0004207F">
        <w:rPr>
          <w:rFonts w:ascii="Verdana" w:hAnsi="Verdana" w:cs="Arial"/>
          <w:bCs/>
          <w:lang w:val="es-ES_tradnl"/>
        </w:rPr>
        <w:t xml:space="preserve">ey de </w:t>
      </w:r>
      <w:r w:rsidR="00B52231">
        <w:rPr>
          <w:rFonts w:ascii="Verdana" w:hAnsi="Verdana" w:cs="Arial"/>
          <w:bCs/>
          <w:lang w:val="es-ES_tradnl"/>
        </w:rPr>
        <w:t>G</w:t>
      </w:r>
      <w:r w:rsidRPr="0004207F">
        <w:rPr>
          <w:rFonts w:ascii="Verdana" w:hAnsi="Verdana" w:cs="Arial"/>
          <w:bCs/>
          <w:lang w:val="es-ES_tradnl"/>
        </w:rPr>
        <w:t xml:space="preserve">arantías </w:t>
      </w:r>
      <w:r w:rsidR="00B52231">
        <w:rPr>
          <w:rFonts w:ascii="Verdana" w:hAnsi="Verdana" w:cs="Arial"/>
          <w:bCs/>
          <w:lang w:val="es-ES_tradnl"/>
        </w:rPr>
        <w:t>E</w:t>
      </w:r>
      <w:r w:rsidRPr="0004207F">
        <w:rPr>
          <w:rFonts w:ascii="Verdana" w:hAnsi="Verdana" w:cs="Arial"/>
          <w:bCs/>
          <w:lang w:val="es-ES_tradnl"/>
        </w:rPr>
        <w:t>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p>
    <w:p w14:paraId="0F044580" w14:textId="19BC3F17" w:rsidR="00261B7D" w:rsidRDefault="00261B7D" w:rsidP="00261B7D">
      <w:pPr>
        <w:pStyle w:val="paragraph"/>
        <w:shd w:val="clear" w:color="auto" w:fill="FFFFFF"/>
        <w:spacing w:before="0" w:beforeAutospacing="0" w:after="120" w:afterAutospacing="0" w:line="276" w:lineRule="auto"/>
        <w:ind w:firstLine="708"/>
        <w:jc w:val="both"/>
        <w:textAlignment w:val="baseline"/>
        <w:rPr>
          <w:rFonts w:ascii="Verdana" w:eastAsia="Calibri" w:hAnsi="Verdana" w:cs="Arial"/>
          <w:color w:val="000000" w:themeColor="text1"/>
          <w:sz w:val="22"/>
          <w:szCs w:val="22"/>
        </w:rPr>
      </w:pPr>
      <w:r>
        <w:rPr>
          <w:rFonts w:ascii="Verdana" w:eastAsia="Calibri" w:hAnsi="Verdana" w:cs="Arial"/>
          <w:bCs/>
          <w:color w:val="000000" w:themeColor="text1"/>
          <w:sz w:val="22"/>
          <w:szCs w:val="22"/>
        </w:rPr>
        <w:t>Finalmente y con el propósito de dar respuesta al objeto de la consulta, e</w:t>
      </w:r>
      <w:r w:rsidRPr="00EC1732">
        <w:rPr>
          <w:rFonts w:ascii="Verdana" w:eastAsia="Calibri" w:hAnsi="Verdana" w:cs="Arial"/>
          <w:bCs/>
          <w:color w:val="000000" w:themeColor="text1"/>
          <w:sz w:val="22"/>
          <w:szCs w:val="22"/>
        </w:rPr>
        <w:t>n torno a la procedencia de la contratación directa por parte de las E</w:t>
      </w:r>
      <w:r w:rsidR="008041F2">
        <w:rPr>
          <w:rFonts w:ascii="Verdana" w:eastAsia="Calibri" w:hAnsi="Verdana" w:cs="Arial"/>
          <w:bCs/>
          <w:color w:val="000000" w:themeColor="text1"/>
          <w:sz w:val="22"/>
          <w:szCs w:val="22"/>
        </w:rPr>
        <w:t xml:space="preserve">mpresas </w:t>
      </w:r>
      <w:r w:rsidRPr="00EC1732">
        <w:rPr>
          <w:rFonts w:ascii="Verdana" w:eastAsia="Calibri" w:hAnsi="Verdana" w:cs="Arial"/>
          <w:bCs/>
          <w:color w:val="000000" w:themeColor="text1"/>
          <w:sz w:val="22"/>
          <w:szCs w:val="22"/>
        </w:rPr>
        <w:t>S</w:t>
      </w:r>
      <w:r w:rsidR="008041F2">
        <w:rPr>
          <w:rFonts w:ascii="Verdana" w:eastAsia="Calibri" w:hAnsi="Verdana" w:cs="Arial"/>
          <w:bCs/>
          <w:color w:val="000000" w:themeColor="text1"/>
          <w:sz w:val="22"/>
          <w:szCs w:val="22"/>
        </w:rPr>
        <w:t xml:space="preserve">ociales del </w:t>
      </w:r>
      <w:r w:rsidRPr="00EC1732">
        <w:rPr>
          <w:rFonts w:ascii="Verdana" w:eastAsia="Calibri" w:hAnsi="Verdana" w:cs="Arial"/>
          <w:bCs/>
          <w:color w:val="000000" w:themeColor="text1"/>
          <w:sz w:val="22"/>
          <w:szCs w:val="22"/>
        </w:rPr>
        <w:t>E</w:t>
      </w:r>
      <w:r w:rsidR="008041F2">
        <w:rPr>
          <w:rFonts w:ascii="Verdana" w:eastAsia="Calibri" w:hAnsi="Verdana" w:cs="Arial"/>
          <w:bCs/>
          <w:color w:val="000000" w:themeColor="text1"/>
          <w:sz w:val="22"/>
          <w:szCs w:val="22"/>
        </w:rPr>
        <w:t>stado</w:t>
      </w:r>
      <w:r w:rsidRPr="00EC1732">
        <w:rPr>
          <w:rFonts w:ascii="Verdana" w:eastAsia="Calibri" w:hAnsi="Verdana" w:cs="Arial"/>
          <w:bCs/>
          <w:color w:val="000000" w:themeColor="text1"/>
          <w:sz w:val="22"/>
          <w:szCs w:val="22"/>
        </w:rPr>
        <w:t xml:space="preserve">, es necesario </w:t>
      </w:r>
      <w:r w:rsidRPr="00EC1732">
        <w:rPr>
          <w:rFonts w:ascii="Verdana" w:hAnsi="Verdana" w:cs="Arial"/>
          <w:bCs/>
          <w:color w:val="000000" w:themeColor="text1"/>
          <w:sz w:val="22"/>
          <w:szCs w:val="22"/>
        </w:rPr>
        <w:t xml:space="preserve">analizar el quinto evento exceptuado de la prohibición contemplada en el inciso segundo del artículo 33 de la Ley 996 de 2005, relacionado con la contratación por parte de entidades sanitarias y hospitalarias. Para ello, </w:t>
      </w:r>
      <w:r w:rsidR="00A23190">
        <w:rPr>
          <w:rFonts w:ascii="Verdana" w:hAnsi="Verdana" w:cs="Arial"/>
          <w:bCs/>
          <w:color w:val="000000" w:themeColor="text1"/>
          <w:sz w:val="22"/>
          <w:szCs w:val="22"/>
        </w:rPr>
        <w:t>debe tenerse en cuenta que</w:t>
      </w:r>
      <w:r w:rsidRPr="00EC1732">
        <w:rPr>
          <w:rFonts w:ascii="Verdana" w:hAnsi="Verdana" w:cs="Arial"/>
          <w:bCs/>
          <w:color w:val="000000" w:themeColor="text1"/>
          <w:sz w:val="22"/>
          <w:szCs w:val="22"/>
        </w:rPr>
        <w:t xml:space="preserve">, el artículo 94 de la Ley 100 de 1993 dispone que “la prestación de servicios de salud en forma directa por la nación o por las entidades territoriales, se hará principalmente a través de las </w:t>
      </w:r>
      <w:r w:rsidRPr="00EC1732">
        <w:rPr>
          <w:rFonts w:ascii="Verdana" w:hAnsi="Verdana" w:cs="Arial"/>
          <w:bCs/>
          <w:color w:val="000000" w:themeColor="text1"/>
          <w:sz w:val="22"/>
          <w:szCs w:val="22"/>
        </w:rPr>
        <w:lastRenderedPageBreak/>
        <w:t>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w:t>
      </w:r>
      <w:r w:rsidRPr="0078433B">
        <w:rPr>
          <w:rFonts w:ascii="Verdana" w:hAnsi="Verdana" w:cs="Arial"/>
          <w:bCs/>
          <w:color w:val="000000" w:themeColor="text1"/>
          <w:sz w:val="22"/>
          <w:szCs w:val="22"/>
        </w:rPr>
        <w:t xml:space="preserve"> </w:t>
      </w:r>
    </w:p>
    <w:p w14:paraId="69006351" w14:textId="68103BEE" w:rsidR="00A23190" w:rsidRPr="000C2089" w:rsidRDefault="00A23190" w:rsidP="000C2089">
      <w:pPr>
        <w:tabs>
          <w:tab w:val="left" w:pos="426"/>
        </w:tabs>
        <w:spacing w:after="120" w:line="276" w:lineRule="auto"/>
        <w:ind w:firstLine="709"/>
        <w:jc w:val="both"/>
        <w:rPr>
          <w:rFonts w:ascii="Verdana" w:hAnsi="Verdana" w:cs="Arial"/>
          <w:color w:val="000000" w:themeColor="text1"/>
        </w:rPr>
      </w:pPr>
      <w:r w:rsidRPr="3A5322BA">
        <w:rPr>
          <w:rFonts w:ascii="Verdana" w:hAnsi="Verdana" w:cs="Arial"/>
          <w:color w:val="000000" w:themeColor="text1"/>
          <w:lang w:val="es-ES"/>
        </w:rPr>
        <w:t>Es decir que, a partir de la entrada en vigencia de la Ley 100 de 1993, las Empresas Sociales del Estado son las entidades públicas que tienen a su cargo la prestación de servicios de salud de manera directa. Igualmente, el artículo 197 de la misma disposición</w:t>
      </w:r>
      <w:r w:rsidRPr="005F5922">
        <w:rPr>
          <w:rFonts w:ascii="Verdana" w:hAnsi="Verdana" w:cs="Arial"/>
          <w:color w:val="000000" w:themeColor="text1"/>
          <w:vertAlign w:val="superscript"/>
          <w:lang w:val="es-ES_tradnl"/>
        </w:rPr>
        <w:footnoteReference w:id="24"/>
      </w:r>
      <w:r w:rsidRPr="3A5322BA">
        <w:rPr>
          <w:rFonts w:ascii="Verdana" w:hAnsi="Verdana" w:cs="Arial"/>
          <w:color w:val="000000" w:themeColor="text1"/>
          <w:lang w:val="es-ES"/>
        </w:rPr>
        <w:t xml:space="preserve"> otorgó un término de seis (6) meses a las entidades territoriales prestadoras del servicio de salud para restructurarlas en Empresas Sociales del Estado. </w:t>
      </w:r>
    </w:p>
    <w:p w14:paraId="78D8E0FF" w14:textId="77777777" w:rsidR="00C71CAD" w:rsidRDefault="00261B7D" w:rsidP="002B0932">
      <w:pPr>
        <w:tabs>
          <w:tab w:val="left" w:pos="426"/>
        </w:tabs>
        <w:spacing w:after="120" w:line="276" w:lineRule="auto"/>
        <w:ind w:firstLine="709"/>
        <w:jc w:val="both"/>
        <w:rPr>
          <w:rFonts w:ascii="Verdana" w:hAnsi="Verdana" w:cs="Arial"/>
          <w:color w:val="000000" w:themeColor="text1"/>
        </w:rPr>
      </w:pPr>
      <w:r w:rsidRPr="00FF007A">
        <w:rPr>
          <w:rFonts w:ascii="Verdana" w:hAnsi="Verdana" w:cs="Arial"/>
          <w:color w:val="000000" w:themeColor="text1"/>
        </w:rPr>
        <w:t>De lo anterior se desprende que, bajo la Ley 100 de 1993, dentro de la estructura de la administración pública las Empresas Sociales del Estado</w:t>
      </w:r>
      <w:r>
        <w:rPr>
          <w:rFonts w:ascii="Verdana" w:hAnsi="Verdana" w:cs="Arial"/>
          <w:color w:val="000000" w:themeColor="text1"/>
        </w:rPr>
        <w:t>, según lo dispuesto en el artículo 194 de la Ley 100 de 1993,</w:t>
      </w:r>
      <w:r w:rsidRPr="00FF007A">
        <w:rPr>
          <w:rFonts w:ascii="Verdana" w:hAnsi="Verdana" w:cs="Arial"/>
          <w:color w:val="000000" w:themeColor="text1"/>
        </w:rPr>
        <w:t xml:space="preserve"> son las entidades encargadas de prestar el servicio de salud de manera directa</w:t>
      </w:r>
      <w:r>
        <w:rPr>
          <w:rStyle w:val="Refdenotaalpie"/>
          <w:rFonts w:ascii="Verdana" w:hAnsi="Verdana" w:cs="Arial"/>
          <w:color w:val="000000" w:themeColor="text1"/>
        </w:rPr>
        <w:footnoteReference w:id="25"/>
      </w:r>
      <w:r w:rsidRPr="00FF007A">
        <w:rPr>
          <w:rFonts w:ascii="Verdana" w:hAnsi="Verdana" w:cs="Arial"/>
          <w:color w:val="000000" w:themeColor="text1"/>
        </w:rPr>
        <w:t>. Además, el mismo artículo 197</w:t>
      </w:r>
      <w:r w:rsidRPr="00FF007A">
        <w:rPr>
          <w:rFonts w:ascii="Arial" w:hAnsi="Arial" w:cs="Arial"/>
          <w:color w:val="000000" w:themeColor="text1"/>
          <w:vertAlign w:val="superscript"/>
        </w:rPr>
        <w:footnoteReference w:id="26"/>
      </w:r>
      <w:r w:rsidRPr="00FF007A">
        <w:rPr>
          <w:rFonts w:ascii="Verdana" w:hAnsi="Verdana" w:cs="Arial"/>
          <w:color w:val="000000" w:themeColor="text1"/>
        </w:rPr>
        <w:t xml:space="preserve"> estableció el deber de reestructurar y transformar en Empresas Sociales del Estado a las entidades descentralizadas que, al momento de entrada en vigor de la ley referida, prestaban directamente este servicio. </w:t>
      </w:r>
    </w:p>
    <w:p w14:paraId="31EAE664" w14:textId="08EDC27D" w:rsidR="00261B7D" w:rsidRPr="00FF007A" w:rsidRDefault="00261B7D" w:rsidP="002B0932">
      <w:pPr>
        <w:tabs>
          <w:tab w:val="left" w:pos="426"/>
        </w:tabs>
        <w:spacing w:after="120" w:line="276" w:lineRule="auto"/>
        <w:ind w:firstLine="709"/>
        <w:jc w:val="both"/>
        <w:rPr>
          <w:rFonts w:ascii="Verdana" w:hAnsi="Verdana" w:cs="Arial"/>
          <w:color w:val="000000" w:themeColor="text1"/>
        </w:rPr>
      </w:pPr>
      <w:r w:rsidRPr="00FF007A">
        <w:rPr>
          <w:rFonts w:ascii="Verdana" w:hAnsi="Verdana" w:cs="Arial"/>
          <w:color w:val="000000" w:themeColor="text1"/>
        </w:rPr>
        <w:t xml:space="preserve">Así, se observa que la voluntad del legislador fue homogeneizar o unificar la naturaleza jurídica de las entidades públicas descentralizadas prestadoras del servicio de salud en Empresas Sociales del Estado. De ello da cuenta no solo la creación de la institución jurídica referida sino además la imposición del mandato de reestructuración de aquellas entidades. </w:t>
      </w:r>
    </w:p>
    <w:p w14:paraId="67DB0963" w14:textId="77777777" w:rsidR="00C71CAD" w:rsidRPr="005F5922" w:rsidRDefault="00C71CAD" w:rsidP="00C71CAD">
      <w:pPr>
        <w:tabs>
          <w:tab w:val="left" w:pos="426"/>
        </w:tabs>
        <w:spacing w:after="0" w:line="276" w:lineRule="auto"/>
        <w:ind w:firstLine="709"/>
        <w:jc w:val="both"/>
        <w:rPr>
          <w:rFonts w:ascii="Verdana" w:hAnsi="Verdana" w:cs="Arial"/>
          <w:color w:val="000000" w:themeColor="text1"/>
          <w:lang w:val="es-ES"/>
        </w:rPr>
      </w:pPr>
      <w:r w:rsidRPr="3A5322BA">
        <w:rPr>
          <w:rFonts w:ascii="Verdana" w:hAnsi="Verdana" w:cs="Arial"/>
          <w:color w:val="000000" w:themeColor="text1"/>
          <w:lang w:val="es-ES"/>
        </w:rPr>
        <w:t xml:space="preserve">Este proceso de reestructuración, dada las implicaciones administrativas que suponen, no ha sido inmediato, según se observa de lo señalado por el Ministerio de la Protección Social como cabeza del sector salud del orden </w:t>
      </w:r>
      <w:r w:rsidRPr="3A5322BA">
        <w:rPr>
          <w:rFonts w:ascii="Verdana" w:hAnsi="Verdana" w:cs="Arial"/>
          <w:color w:val="000000" w:themeColor="text1"/>
          <w:lang w:val="es-ES"/>
        </w:rPr>
        <w:lastRenderedPageBreak/>
        <w:t xml:space="preserve">nacional. En este sentido, en concepto del 14 de marzo de 2006, identificado con radicación No. 38644, al pronunciarse sobre el alcance de la regla de excepción establecida en el inciso 2 del artículo 33 de la Ley de Garantías Electorales, frente a las entidades sanitarias y hospitalarias, puso de presente el retardo en el proceso de reestructuración mencionado en la Ley 100 de 1993, así: </w:t>
      </w:r>
    </w:p>
    <w:p w14:paraId="5904019E" w14:textId="77777777" w:rsidR="00C71CAD" w:rsidRPr="005F5922" w:rsidRDefault="00C71CAD" w:rsidP="00C71CAD">
      <w:pPr>
        <w:tabs>
          <w:tab w:val="left" w:pos="426"/>
        </w:tabs>
        <w:spacing w:after="0" w:line="276" w:lineRule="auto"/>
        <w:ind w:firstLine="709"/>
        <w:jc w:val="both"/>
        <w:rPr>
          <w:rFonts w:ascii="Verdana" w:hAnsi="Verdana" w:cs="Arial"/>
          <w:color w:val="000000" w:themeColor="text1"/>
          <w:lang w:val="es-ES"/>
        </w:rPr>
      </w:pPr>
    </w:p>
    <w:p w14:paraId="09BEDE66" w14:textId="77777777" w:rsidR="00C71CAD" w:rsidRPr="005F5922" w:rsidRDefault="00C71CAD" w:rsidP="00C71CAD">
      <w:pPr>
        <w:tabs>
          <w:tab w:val="left" w:pos="426"/>
        </w:tabs>
        <w:spacing w:after="0" w:line="240" w:lineRule="auto"/>
        <w:ind w:left="709" w:right="709"/>
        <w:jc w:val="both"/>
        <w:rPr>
          <w:rFonts w:ascii="Verdana" w:hAnsi="Verdana" w:cs="Arial"/>
          <w:color w:val="000000" w:themeColor="text1"/>
          <w:sz w:val="20"/>
          <w:szCs w:val="20"/>
          <w:shd w:val="clear" w:color="auto" w:fill="FFFFFF"/>
          <w:lang w:val="es-ES"/>
        </w:rPr>
      </w:pPr>
      <w:r w:rsidRPr="00221312">
        <w:rPr>
          <w:rFonts w:ascii="Verdana" w:hAnsi="Verdana" w:cs="Arial"/>
          <w:color w:val="000000" w:themeColor="text1"/>
          <w:sz w:val="20"/>
          <w:szCs w:val="20"/>
          <w:shd w:val="clear" w:color="auto" w:fill="FFFFFF"/>
          <w:lang w:val="es-ES"/>
        </w:rPr>
        <w:t xml:space="preserve">“[…] se encuentran cubiertos por la excepción contemplada en el inciso 2 del artículo 33 de la Ley de Garantías Electorales, las entidades hospitalarias que a la luz de las normas vigentes </w:t>
      </w:r>
      <w:r w:rsidRPr="3A5322BA">
        <w:rPr>
          <w:rFonts w:ascii="Verdana" w:hAnsi="Verdana" w:cs="Arial"/>
          <w:i/>
          <w:iCs/>
          <w:color w:val="000000" w:themeColor="text1"/>
          <w:sz w:val="20"/>
          <w:szCs w:val="20"/>
          <w:shd w:val="clear" w:color="auto" w:fill="FFFFFF"/>
          <w:lang w:val="es-ES"/>
        </w:rPr>
        <w:t>no son otras distintas que las Empresas Sociales del estado y todas aquellas instituciones públicas que a pesar de no haberse transformado en Empresas Sociales del Estado, prestan un servicio de salud directo sobre el usuario en su carácter general de entidad hospitalaria</w:t>
      </w:r>
      <w:r w:rsidRPr="00221312">
        <w:rPr>
          <w:rFonts w:ascii="Verdana" w:hAnsi="Verdana" w:cs="Arial"/>
          <w:color w:val="000000" w:themeColor="text1"/>
          <w:sz w:val="20"/>
          <w:szCs w:val="20"/>
          <w:shd w:val="clear" w:color="auto" w:fill="FFFFFF"/>
          <w:lang w:val="es-ES"/>
        </w:rPr>
        <w:t xml:space="preserve"> […]”. (Énfasis fuera de texto) </w:t>
      </w:r>
    </w:p>
    <w:p w14:paraId="7A6693EB" w14:textId="77777777" w:rsidR="00C71CAD" w:rsidRPr="005F5922" w:rsidRDefault="00C71CAD" w:rsidP="00C71CAD">
      <w:pPr>
        <w:tabs>
          <w:tab w:val="left" w:pos="426"/>
        </w:tabs>
        <w:spacing w:after="0" w:line="276" w:lineRule="auto"/>
        <w:ind w:left="709" w:right="709"/>
        <w:jc w:val="both"/>
        <w:rPr>
          <w:rFonts w:ascii="Verdana" w:hAnsi="Verdana" w:cs="Arial"/>
          <w:color w:val="000000" w:themeColor="text1"/>
          <w:lang w:val="es-ES"/>
        </w:rPr>
      </w:pPr>
    </w:p>
    <w:p w14:paraId="4C45864C" w14:textId="77777777" w:rsidR="00C71CAD" w:rsidRPr="005F5922" w:rsidRDefault="00C71CAD" w:rsidP="00C71CAD">
      <w:pPr>
        <w:tabs>
          <w:tab w:val="left" w:pos="426"/>
        </w:tabs>
        <w:spacing w:after="120" w:line="276" w:lineRule="auto"/>
        <w:ind w:firstLine="709"/>
        <w:jc w:val="both"/>
        <w:rPr>
          <w:rFonts w:ascii="Verdana" w:hAnsi="Verdana" w:cs="Arial"/>
          <w:color w:val="000000" w:themeColor="text1"/>
          <w:lang w:val="es-ES"/>
        </w:rPr>
      </w:pPr>
      <w:r w:rsidRPr="3A5322BA">
        <w:rPr>
          <w:rFonts w:ascii="Verdana" w:hAnsi="Verdana" w:cs="Arial"/>
          <w:color w:val="000000" w:themeColor="text1"/>
          <w:lang w:val="es-ES"/>
        </w:rPr>
        <w:t xml:space="preserve">Del aparte transcrito se desprende que, para la autoridad administrativa del sector salud, las Empresas Sociales del Estado son las entidades hospitalarias de que trata la excepción a la prohibición establecida en el artículo 33 de la ley de Garantías Electorales. De igual forma, incluyen también dentro de esta excepción a la prohibición, a aquellas instituciones públicas que, aunque no cumplieron con el deber de reestructuración establecido en el artículo 197 de la Ley 100 de 1993, prestan un servicio de salud directo como entidad hospitalaria. </w:t>
      </w:r>
    </w:p>
    <w:p w14:paraId="244AE25F" w14:textId="11CA28CB" w:rsidR="00C71CAD" w:rsidRPr="000C2089" w:rsidRDefault="00C71CAD" w:rsidP="00C71CAD">
      <w:pPr>
        <w:tabs>
          <w:tab w:val="left" w:pos="426"/>
        </w:tabs>
        <w:spacing w:before="120" w:line="276" w:lineRule="auto"/>
        <w:ind w:firstLine="709"/>
        <w:jc w:val="both"/>
        <w:rPr>
          <w:rFonts w:ascii="Verdana" w:hAnsi="Verdana" w:cs="Arial"/>
          <w:color w:val="000000" w:themeColor="text1"/>
          <w:lang w:val="es-ES"/>
        </w:rPr>
      </w:pPr>
      <w:r w:rsidRPr="3A5322BA">
        <w:rPr>
          <w:rFonts w:ascii="Verdana" w:hAnsi="Verdana" w:cs="Arial"/>
          <w:color w:val="000000" w:themeColor="text1"/>
          <w:lang w:val="es-ES"/>
        </w:rPr>
        <w:t xml:space="preserve">Por tanto, las Empresas Sociales del Estado podrían suscribir contratos bajo la modalidad de contratación directa, porque el inciso segundo del artículo 33 de la Ley 996 de 2005 exceptuó de la prohibición de contratación bajo la modalidad referida a las entidades hospitalarias, categoría dentro de las cuales se incluye a las Empresas Sociales del Estado y, en consecuencia, podrán suscribir sus contratos en la forma establecida en sus manuales de contratación, sin que les resulte aplicable la prohibición establecida en el artículo 33 de la Ley 996 de 2005. </w:t>
      </w:r>
    </w:p>
    <w:p w14:paraId="1B954839" w14:textId="732FFAB0" w:rsidR="00261B7D" w:rsidRPr="00FF007A" w:rsidRDefault="00261B7D" w:rsidP="002B0932">
      <w:pPr>
        <w:spacing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De otro lado, el artículo 2.8.8.1.1.3 del Decreto 780 de 2016, </w:t>
      </w:r>
      <w:r>
        <w:rPr>
          <w:rFonts w:ascii="Verdana" w:eastAsia="Arial" w:hAnsi="Verdana" w:cs="Arial"/>
          <w:bCs/>
          <w:color w:val="000000" w:themeColor="text1"/>
        </w:rPr>
        <w:t>“</w:t>
      </w:r>
      <w:r w:rsidRPr="00FF007A">
        <w:rPr>
          <w:rFonts w:ascii="Verdana" w:eastAsia="Arial" w:hAnsi="Verdana" w:cs="Arial"/>
          <w:bCs/>
          <w:color w:val="000000" w:themeColor="text1"/>
        </w:rPr>
        <w:t>Por medio del cual se expide el Decreto Único Reglamentario del Sector Salud y Protección Social</w:t>
      </w:r>
      <w:r>
        <w:rPr>
          <w:rFonts w:ascii="Verdana" w:eastAsia="Arial" w:hAnsi="Verdana" w:cs="Arial"/>
          <w:bCs/>
          <w:color w:val="000000" w:themeColor="text1"/>
        </w:rPr>
        <w:t>”</w:t>
      </w:r>
      <w:r w:rsidRPr="00FF007A">
        <w:rPr>
          <w:rFonts w:ascii="Verdana" w:eastAsia="Arial" w:hAnsi="Verdana" w:cs="Arial"/>
          <w:bCs/>
          <w:color w:val="000000" w:themeColor="text1"/>
        </w:rPr>
        <w:t xml:space="preserve">, definió a las </w:t>
      </w:r>
      <w:r w:rsidRPr="00FF007A">
        <w:rPr>
          <w:rFonts w:ascii="Verdana" w:eastAsia="Arial" w:hAnsi="Verdana" w:cs="Arial"/>
          <w:bCs/>
          <w:i/>
          <w:iCs/>
          <w:color w:val="000000" w:themeColor="text1"/>
        </w:rPr>
        <w:t>entidades sanitarias</w:t>
      </w:r>
      <w:r w:rsidRPr="00FF007A">
        <w:rPr>
          <w:rFonts w:ascii="Verdana" w:eastAsia="Arial" w:hAnsi="Verdana" w:cs="Arial"/>
          <w:bCs/>
          <w:color w:val="000000" w:themeColor="text1"/>
        </w:rPr>
        <w:t xml:space="preserve"> como</w:t>
      </w:r>
      <w:r>
        <w:rPr>
          <w:rFonts w:ascii="Verdana" w:eastAsia="Arial" w:hAnsi="Verdana" w:cs="Arial"/>
          <w:bCs/>
          <w:color w:val="000000" w:themeColor="text1"/>
        </w:rPr>
        <w:t xml:space="preserve"> las</w:t>
      </w:r>
      <w:r w:rsidRPr="00FF007A">
        <w:rPr>
          <w:rFonts w:ascii="Verdana" w:eastAsia="Arial" w:hAnsi="Verdana" w:cs="Arial"/>
          <w:bCs/>
          <w:color w:val="000000" w:themeColor="text1"/>
        </w:rPr>
        <w:t xml:space="preserve"> “Entidades del Estado que prestan servicios sanitarios o de sanidad con el propósito de preservar la salud humana y la salud pública”. El artículo citado también define las </w:t>
      </w:r>
      <w:r w:rsidRPr="00FF007A">
        <w:rPr>
          <w:rFonts w:ascii="Verdana" w:eastAsia="Arial" w:hAnsi="Verdana" w:cs="Arial"/>
          <w:bCs/>
          <w:i/>
          <w:iCs/>
          <w:color w:val="000000" w:themeColor="text1"/>
        </w:rPr>
        <w:t>autoridades sanitarias</w:t>
      </w:r>
      <w:r w:rsidRPr="00FF007A">
        <w:rPr>
          <w:rFonts w:ascii="Verdana" w:eastAsia="Arial" w:hAnsi="Verdana" w:cs="Arial"/>
          <w:bCs/>
          <w:color w:val="000000" w:themeColor="text1"/>
        </w:rPr>
        <w:t xml:space="preserve"> como </w:t>
      </w:r>
      <w:r>
        <w:rPr>
          <w:rFonts w:ascii="Verdana" w:eastAsia="Arial" w:hAnsi="Verdana" w:cs="Arial"/>
          <w:bCs/>
          <w:color w:val="000000" w:themeColor="text1"/>
        </w:rPr>
        <w:t xml:space="preserve">las </w:t>
      </w:r>
      <w:r w:rsidRPr="00FF007A">
        <w:rPr>
          <w:rFonts w:ascii="Verdana" w:eastAsia="Arial" w:hAnsi="Verdana" w:cs="Arial"/>
          <w:bCs/>
          <w:color w:val="000000" w:themeColor="text1"/>
        </w:rPr>
        <w:t xml:space="preserve">“Entidades jurídicas de carácter público con atribuciones para ejercer funciones de rectoría, regulación, inspección, vigilancia y control de los </w:t>
      </w:r>
      <w:r w:rsidRPr="00FF007A">
        <w:rPr>
          <w:rFonts w:ascii="Verdana" w:eastAsia="Arial" w:hAnsi="Verdana" w:cs="Arial"/>
          <w:bCs/>
          <w:color w:val="000000" w:themeColor="text1"/>
        </w:rPr>
        <w:lastRenderedPageBreak/>
        <w:t>sectores público y privado en salud y adoptar medidas de prevención y seguimiento que garanticen la protección de la salud pública”</w:t>
      </w:r>
      <w:r w:rsidRPr="00FF007A">
        <w:rPr>
          <w:rFonts w:ascii="Verdana" w:eastAsia="Arial" w:hAnsi="Verdana" w:cs="Arial"/>
          <w:bCs/>
          <w:color w:val="000000" w:themeColor="text1"/>
          <w:vertAlign w:val="superscript"/>
        </w:rPr>
        <w:footnoteReference w:id="27"/>
      </w:r>
      <w:r w:rsidRPr="00FF007A">
        <w:rPr>
          <w:rFonts w:ascii="Verdana" w:eastAsia="Arial" w:hAnsi="Verdana" w:cs="Arial"/>
          <w:bCs/>
          <w:color w:val="000000" w:themeColor="text1"/>
        </w:rPr>
        <w:t xml:space="preserve">. </w:t>
      </w:r>
    </w:p>
    <w:p w14:paraId="55832781" w14:textId="479043CD" w:rsidR="001645F5" w:rsidRPr="000C2089" w:rsidRDefault="001645F5" w:rsidP="001645F5">
      <w:pPr>
        <w:spacing w:before="120" w:after="120" w:line="276" w:lineRule="auto"/>
        <w:ind w:firstLine="709"/>
        <w:jc w:val="both"/>
        <w:rPr>
          <w:rFonts w:ascii="Verdana" w:eastAsia="Arial" w:hAnsi="Verdana" w:cs="Arial"/>
          <w:color w:val="000000" w:themeColor="text1"/>
          <w:lang w:val="es-ES"/>
        </w:rPr>
      </w:pPr>
      <w:r w:rsidRPr="3A5322BA">
        <w:rPr>
          <w:rFonts w:ascii="Verdana" w:eastAsia="Arial" w:hAnsi="Verdana" w:cs="Arial"/>
          <w:color w:val="000000" w:themeColor="text1"/>
        </w:rPr>
        <w:t xml:space="preserve">Sin embargo, es necesario tener en cuenta que la excepción del artículo 33 de la Ley de Garantías Electorales solo aplica a las </w:t>
      </w:r>
      <w:r w:rsidRPr="3A5322BA">
        <w:rPr>
          <w:rFonts w:ascii="Verdana" w:eastAsia="Arial" w:hAnsi="Verdana" w:cs="Arial"/>
          <w:i/>
          <w:iCs/>
          <w:color w:val="000000" w:themeColor="text1"/>
        </w:rPr>
        <w:t>entidades sanitarias</w:t>
      </w:r>
      <w:r w:rsidRPr="3A5322BA">
        <w:rPr>
          <w:rFonts w:ascii="Verdana" w:eastAsia="Arial" w:hAnsi="Verdana" w:cs="Arial"/>
          <w:color w:val="000000" w:themeColor="text1"/>
        </w:rPr>
        <w:t xml:space="preserve">, no a las </w:t>
      </w:r>
      <w:r w:rsidRPr="3A5322BA">
        <w:rPr>
          <w:rFonts w:ascii="Verdana" w:eastAsia="Arial" w:hAnsi="Verdana" w:cs="Arial"/>
          <w:i/>
          <w:iCs/>
          <w:color w:val="000000" w:themeColor="text1"/>
        </w:rPr>
        <w:t>autoridades sanitarias</w:t>
      </w:r>
      <w:r w:rsidRPr="3A5322BA">
        <w:rPr>
          <w:rFonts w:ascii="Verdana" w:eastAsia="Arial" w:hAnsi="Verdana" w:cs="Arial"/>
          <w:color w:val="000000" w:themeColor="text1"/>
        </w:rPr>
        <w:t xml:space="preserve">. </w:t>
      </w:r>
      <w:r w:rsidRPr="3A5322BA">
        <w:rPr>
          <w:rFonts w:ascii="Verdana" w:eastAsia="Arial" w:hAnsi="Verdana" w:cs="Arial"/>
          <w:color w:val="000000" w:themeColor="text1"/>
          <w:lang w:val="es-ES"/>
        </w:rPr>
        <w:t xml:space="preserve">Así las cosas, para efectos de la excepción del artículo 33 es indiferente que la entidad estatal tenga funciones de </w:t>
      </w:r>
      <w:r w:rsidRPr="3A5322BA">
        <w:rPr>
          <w:rFonts w:ascii="Verdana" w:eastAsia="Arial" w:hAnsi="Verdana" w:cs="Arial"/>
          <w:i/>
          <w:iCs/>
          <w:color w:val="000000" w:themeColor="text1"/>
          <w:lang w:val="es-ES"/>
        </w:rPr>
        <w:t>autoridad sanitaria</w:t>
      </w:r>
      <w:r w:rsidRPr="3A5322BA">
        <w:rPr>
          <w:rFonts w:ascii="Verdana" w:eastAsia="Arial" w:hAnsi="Verdana" w:cs="Arial"/>
          <w:color w:val="000000" w:themeColor="text1"/>
          <w:lang w:val="es-ES"/>
        </w:rPr>
        <w:t xml:space="preserve">, pues lo relevante para determinar si la contratación está exceptuada de la prohibición general no es el carácter de autoridad sanitaria, sino que se trate de una </w:t>
      </w:r>
      <w:r w:rsidRPr="3A5322BA">
        <w:rPr>
          <w:rFonts w:ascii="Verdana" w:eastAsia="Arial" w:hAnsi="Verdana" w:cs="Arial"/>
          <w:i/>
          <w:iCs/>
          <w:color w:val="000000" w:themeColor="text1"/>
          <w:lang w:val="es-ES"/>
        </w:rPr>
        <w:t>entidad sanitaria</w:t>
      </w:r>
      <w:r w:rsidRPr="3A5322BA">
        <w:rPr>
          <w:rFonts w:ascii="Verdana" w:eastAsia="Arial" w:hAnsi="Verdana" w:cs="Arial"/>
          <w:color w:val="000000" w:themeColor="text1"/>
          <w:lang w:val="es-ES"/>
        </w:rPr>
        <w:t xml:space="preserve">. </w:t>
      </w:r>
    </w:p>
    <w:p w14:paraId="5B99ECCF" w14:textId="5FF7983A" w:rsidR="00261B7D" w:rsidRDefault="00261B7D" w:rsidP="000C2089">
      <w:pPr>
        <w:spacing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Conforme con lo expuesto, las entidades que requieran adelantar procesos de contratación directa durante el periodo de </w:t>
      </w:r>
      <w:r w:rsidR="001645F5">
        <w:rPr>
          <w:rFonts w:ascii="Verdana" w:eastAsia="Arial" w:hAnsi="Verdana" w:cs="Arial"/>
          <w:bCs/>
          <w:color w:val="000000" w:themeColor="text1"/>
        </w:rPr>
        <w:t>aplicación de la Ley de</w:t>
      </w:r>
      <w:r w:rsidRPr="00FF007A">
        <w:rPr>
          <w:rFonts w:ascii="Verdana" w:eastAsia="Arial" w:hAnsi="Verdana" w:cs="Arial"/>
          <w:bCs/>
          <w:color w:val="000000" w:themeColor="text1"/>
        </w:rPr>
        <w:t xml:space="preserve"> </w:t>
      </w:r>
      <w:r w:rsidR="001645F5">
        <w:rPr>
          <w:rFonts w:ascii="Verdana" w:eastAsia="Arial" w:hAnsi="Verdana" w:cs="Arial"/>
          <w:bCs/>
          <w:color w:val="000000" w:themeColor="text1"/>
        </w:rPr>
        <w:t>G</w:t>
      </w:r>
      <w:r w:rsidR="001645F5" w:rsidRPr="00FF007A">
        <w:rPr>
          <w:rFonts w:ascii="Verdana" w:eastAsia="Arial" w:hAnsi="Verdana" w:cs="Arial"/>
          <w:bCs/>
          <w:color w:val="000000" w:themeColor="text1"/>
        </w:rPr>
        <w:t xml:space="preserve">arantías </w:t>
      </w:r>
      <w:r w:rsidR="001645F5">
        <w:rPr>
          <w:rFonts w:ascii="Verdana" w:eastAsia="Arial" w:hAnsi="Verdana" w:cs="Arial"/>
          <w:bCs/>
          <w:color w:val="000000" w:themeColor="text1"/>
        </w:rPr>
        <w:t>E</w:t>
      </w:r>
      <w:r w:rsidRPr="00FF007A">
        <w:rPr>
          <w:rFonts w:ascii="Verdana" w:eastAsia="Arial" w:hAnsi="Verdana" w:cs="Arial"/>
          <w:bCs/>
          <w:color w:val="000000" w:themeColor="text1"/>
        </w:rPr>
        <w:t xml:space="preserve">lectorales deberán analizar, primero, </w:t>
      </w:r>
      <w:r w:rsidRPr="006E6949">
        <w:rPr>
          <w:rFonts w:ascii="Verdana" w:eastAsia="Arial" w:hAnsi="Verdana" w:cs="Arial"/>
          <w:bCs/>
          <w:color w:val="000000" w:themeColor="text1"/>
        </w:rPr>
        <w:t xml:space="preserve">si se configuran los supuestos establecidos en </w:t>
      </w:r>
      <w:r w:rsidRPr="006E6949">
        <w:rPr>
          <w:rFonts w:ascii="Verdana" w:eastAsia="Arial" w:hAnsi="Verdana" w:cs="Arial"/>
          <w:bCs/>
          <w:i/>
          <w:iCs/>
          <w:color w:val="000000" w:themeColor="text1"/>
        </w:rPr>
        <w:t>el artículo 33</w:t>
      </w:r>
      <w:r w:rsidRPr="006E6949">
        <w:rPr>
          <w:rFonts w:ascii="Verdana" w:eastAsia="Arial" w:hAnsi="Verdana" w:cs="Arial"/>
          <w:bCs/>
          <w:color w:val="000000" w:themeColor="text1"/>
        </w:rPr>
        <w:t xml:space="preserve"> de la Ley 996 de 2005, es decir, si se trata de cualquier entidad pública que pretenda adelantar un proceso no competitivo. Adicionalmente, será pertinente analizar si se configura alguna de las excepciones previstas en la norma. </w:t>
      </w:r>
    </w:p>
    <w:p w14:paraId="6A2126F3" w14:textId="77777777" w:rsidR="001645F5" w:rsidRPr="0057193B" w:rsidRDefault="001645F5" w:rsidP="001645F5">
      <w:pPr>
        <w:spacing w:line="276" w:lineRule="auto"/>
        <w:ind w:firstLine="709"/>
        <w:jc w:val="both"/>
        <w:rPr>
          <w:rFonts w:ascii="Verdana" w:eastAsia="Times New Roman" w:hAnsi="Verdana" w:cs="Arial"/>
          <w:sz w:val="20"/>
          <w:szCs w:val="20"/>
          <w:lang w:val="es-MX" w:eastAsia="x-none"/>
        </w:rPr>
      </w:pPr>
      <w:r w:rsidRPr="3A5322BA">
        <w:rPr>
          <w:rFonts w:ascii="Verdana" w:eastAsia="Arial" w:hAnsi="Verdana" w:cs="Arial"/>
          <w:color w:val="000000" w:themeColor="text1"/>
          <w:lang w:val="es-ES"/>
        </w:rPr>
        <w:t>Atendiendo el marco jurídico analizado</w:t>
      </w:r>
      <w:r w:rsidRPr="3A5322BA">
        <w:rPr>
          <w:rFonts w:ascii="Verdana" w:eastAsia="Times New Roman" w:hAnsi="Verdana" w:cs="Arial"/>
          <w:lang w:val="es-MX"/>
        </w:rPr>
        <w:t xml:space="preserve">, le compete a cada entidad estatal que considera celebrar un contrato específico, definir si este se enmarca en la prohibición establecida en el artículo 33 que restringe la contratación directa en el periodo preelectoral a las elecciones presidenciales. Lo anterior, adicionalmente, teniendo en cuenta las excepciones a la prohibición establecidas en el inciso segundo del mismo artículo 33. Además, se reitera que la restricción aplica frente a la contratación directa, entendida como cualquier sistema de selección o procedimiento de contratación utilizado por las entidades estatales que no incluya la convocatoria pública en alguna de sus etapas, ni permita la participación de una pluralidad de oferentes; por lo que las entidades que se rigen por el derecho privado podrán celebrar contratos de acuerdo con los procedimientos contractuales desarrollados en sus manuales de contratación, </w:t>
      </w:r>
      <w:r w:rsidRPr="3A5322BA">
        <w:rPr>
          <w:rFonts w:ascii="Verdana" w:eastAsia="Times New Roman" w:hAnsi="Verdana" w:cs="Arial"/>
          <w:lang w:val="es-MX"/>
        </w:rPr>
        <w:lastRenderedPageBreak/>
        <w:t xml:space="preserve">bajo el entendido que estos permitan la participación de una pluralidad de oferentes. </w:t>
      </w:r>
    </w:p>
    <w:p w14:paraId="14E01E2F" w14:textId="77777777" w:rsidR="001645F5" w:rsidRDefault="001645F5" w:rsidP="001645F5">
      <w:pPr>
        <w:spacing w:after="0" w:line="276" w:lineRule="auto"/>
        <w:ind w:firstLine="709"/>
        <w:jc w:val="both"/>
        <w:rPr>
          <w:rFonts w:ascii="Verdana" w:eastAsia="Times New Roman" w:hAnsi="Verdana" w:cs="Arial"/>
          <w:color w:val="000000" w:themeColor="text1"/>
          <w:lang w:val="es-ES" w:eastAsia="es-ES"/>
        </w:rPr>
      </w:pPr>
      <w:r w:rsidRPr="3A5322BA">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0737160B" w14:textId="77777777" w:rsidR="00261B7D" w:rsidRPr="00593A5F" w:rsidRDefault="00261B7D" w:rsidP="00261B7D">
      <w:pPr>
        <w:widowControl w:val="0"/>
        <w:autoSpaceDE w:val="0"/>
        <w:autoSpaceDN w:val="0"/>
        <w:spacing w:after="0" w:line="276" w:lineRule="auto"/>
        <w:jc w:val="both"/>
        <w:rPr>
          <w:rFonts w:ascii="Verdana" w:hAnsi="Verdana" w:cs="Arial"/>
        </w:rPr>
      </w:pPr>
    </w:p>
    <w:p w14:paraId="675569D4" w14:textId="77777777" w:rsidR="00261B7D" w:rsidRPr="00593A5F" w:rsidRDefault="00261B7D" w:rsidP="00261B7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52C9CEF1" w14:textId="77777777" w:rsidR="00261B7D" w:rsidRPr="00593A5F" w:rsidRDefault="00261B7D" w:rsidP="00261B7D">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61B7D" w:rsidRPr="00593A5F" w14:paraId="1EF7CAE7" w14:textId="77777777" w:rsidTr="0031322D">
        <w:trPr>
          <w:trHeight w:val="757"/>
        </w:trPr>
        <w:tc>
          <w:tcPr>
            <w:tcW w:w="8647" w:type="dxa"/>
          </w:tcPr>
          <w:p w14:paraId="2314E718" w14:textId="3EA55E21" w:rsidR="00261B7D" w:rsidRPr="00D37EBD" w:rsidRDefault="00310C76" w:rsidP="000C2089">
            <w:pPr>
              <w:pStyle w:val="NormalWeb"/>
              <w:numPr>
                <w:ilvl w:val="0"/>
                <w:numId w:val="18"/>
              </w:numPr>
              <w:spacing w:before="0" w:beforeAutospacing="0" w:after="0" w:afterAutospacing="0" w:line="276" w:lineRule="auto"/>
              <w:rPr>
                <w:rFonts w:ascii="Verdana" w:hAnsi="Verdana" w:cs="Arial"/>
                <w:sz w:val="22"/>
                <w:szCs w:val="22"/>
              </w:rPr>
            </w:pPr>
            <w:r w:rsidRPr="004613D5">
              <w:rPr>
                <w:rStyle w:val="citation-478"/>
                <w:rFonts w:ascii="Verdana" w:hAnsi="Verdana" w:cs="Arial"/>
                <w:sz w:val="22"/>
                <w:szCs w:val="22"/>
              </w:rPr>
              <w:t>Constitución Política de Colombia</w:t>
            </w:r>
            <w:r w:rsidR="009F194E">
              <w:rPr>
                <w:rStyle w:val="citation-478"/>
                <w:rFonts w:ascii="Verdana" w:hAnsi="Verdana" w:cs="Arial"/>
                <w:sz w:val="22"/>
                <w:szCs w:val="22"/>
              </w:rPr>
              <w:t xml:space="preserve"> - </w:t>
            </w:r>
            <w:r w:rsidR="00261B7D" w:rsidRPr="00D37EBD">
              <w:rPr>
                <w:rStyle w:val="citation-478"/>
                <w:rFonts w:ascii="Verdana" w:hAnsi="Verdana" w:cs="Arial"/>
                <w:sz w:val="22"/>
                <w:szCs w:val="22"/>
              </w:rPr>
              <w:t>Artículo 127</w:t>
            </w:r>
            <w:r w:rsidR="00261B7D" w:rsidRPr="00D37EBD">
              <w:rPr>
                <w:rFonts w:ascii="Verdana" w:hAnsi="Verdana" w:cs="Arial"/>
                <w:sz w:val="22"/>
                <w:szCs w:val="22"/>
              </w:rPr>
              <w:t>.</w:t>
            </w:r>
          </w:p>
          <w:p w14:paraId="73F23AA3" w14:textId="42389E8B" w:rsidR="00261B7D" w:rsidRPr="00D37EBD" w:rsidRDefault="00261B7D" w:rsidP="000C2089">
            <w:pPr>
              <w:pStyle w:val="NormalWeb"/>
              <w:numPr>
                <w:ilvl w:val="0"/>
                <w:numId w:val="18"/>
              </w:numPr>
              <w:spacing w:before="0" w:beforeAutospacing="0" w:after="0" w:afterAutospacing="0" w:line="276" w:lineRule="auto"/>
              <w:rPr>
                <w:rFonts w:ascii="Verdana" w:hAnsi="Verdana" w:cs="Arial"/>
                <w:sz w:val="22"/>
                <w:szCs w:val="22"/>
              </w:rPr>
            </w:pPr>
            <w:r w:rsidRPr="00D37EBD">
              <w:rPr>
                <w:rStyle w:val="citation-477"/>
                <w:rFonts w:ascii="Verdana" w:hAnsi="Verdana" w:cs="Arial"/>
                <w:sz w:val="22"/>
                <w:szCs w:val="22"/>
              </w:rPr>
              <w:t>Decreto 780 de 2016</w:t>
            </w:r>
            <w:r w:rsidR="008501FF">
              <w:t xml:space="preserve">, </w:t>
            </w:r>
            <w:r w:rsidR="008501FF" w:rsidRPr="00D37EBD">
              <w:rPr>
                <w:rStyle w:val="citation-477"/>
                <w:rFonts w:ascii="Verdana" w:hAnsi="Verdana" w:cs="Arial"/>
                <w:sz w:val="22"/>
                <w:szCs w:val="22"/>
              </w:rPr>
              <w:t>Artículo 2.8.8.1.1.3</w:t>
            </w:r>
          </w:p>
          <w:p w14:paraId="2EC084E3" w14:textId="584CC065" w:rsidR="00261B7D" w:rsidRPr="00D37EBD" w:rsidRDefault="00261B7D" w:rsidP="000C2089">
            <w:pPr>
              <w:pStyle w:val="NormalWeb"/>
              <w:numPr>
                <w:ilvl w:val="0"/>
                <w:numId w:val="18"/>
              </w:numPr>
              <w:spacing w:before="0" w:beforeAutospacing="0" w:after="0" w:afterAutospacing="0" w:line="276" w:lineRule="auto"/>
              <w:rPr>
                <w:rFonts w:ascii="Verdana" w:hAnsi="Verdana" w:cs="Arial"/>
                <w:sz w:val="22"/>
                <w:szCs w:val="22"/>
              </w:rPr>
            </w:pPr>
            <w:r w:rsidRPr="00D37EBD">
              <w:rPr>
                <w:rStyle w:val="citation-476"/>
                <w:rFonts w:ascii="Verdana" w:hAnsi="Verdana" w:cs="Arial"/>
                <w:sz w:val="22"/>
                <w:szCs w:val="22"/>
              </w:rPr>
              <w:t>Ley 996 de 2005</w:t>
            </w:r>
            <w:r w:rsidR="008501FF">
              <w:rPr>
                <w:rFonts w:ascii="Verdana" w:hAnsi="Verdana" w:cs="Arial"/>
                <w:sz w:val="22"/>
                <w:szCs w:val="22"/>
              </w:rPr>
              <w:t xml:space="preserve"> -</w:t>
            </w:r>
            <w:r w:rsidR="008501FF" w:rsidRPr="00D37EBD">
              <w:rPr>
                <w:rStyle w:val="citation-476"/>
                <w:rFonts w:ascii="Verdana" w:hAnsi="Verdana" w:cs="Arial"/>
                <w:sz w:val="22"/>
                <w:szCs w:val="22"/>
              </w:rPr>
              <w:t xml:space="preserve"> Artículos 33 y 38 (parágrafo)</w:t>
            </w:r>
          </w:p>
          <w:p w14:paraId="2AB6D41B" w14:textId="4F5B7F01" w:rsidR="00261B7D" w:rsidRPr="00D37EBD" w:rsidRDefault="00261B7D" w:rsidP="000C2089">
            <w:pPr>
              <w:pStyle w:val="NormalWeb"/>
              <w:numPr>
                <w:ilvl w:val="0"/>
                <w:numId w:val="18"/>
              </w:numPr>
              <w:spacing w:before="0" w:beforeAutospacing="0" w:after="0" w:afterAutospacing="0" w:line="276" w:lineRule="auto"/>
              <w:rPr>
                <w:rFonts w:ascii="Verdana" w:hAnsi="Verdana" w:cs="Arial"/>
                <w:sz w:val="22"/>
                <w:szCs w:val="22"/>
              </w:rPr>
            </w:pPr>
            <w:r w:rsidRPr="00D37EBD">
              <w:rPr>
                <w:rStyle w:val="citation-475"/>
                <w:rFonts w:ascii="Verdana" w:hAnsi="Verdana" w:cs="Arial"/>
                <w:sz w:val="22"/>
                <w:szCs w:val="22"/>
              </w:rPr>
              <w:t>Ley 100 de 1993</w:t>
            </w:r>
            <w:r w:rsidR="008501FF">
              <w:rPr>
                <w:rFonts w:ascii="Verdana" w:hAnsi="Verdana" w:cs="Arial"/>
                <w:sz w:val="22"/>
                <w:szCs w:val="22"/>
              </w:rPr>
              <w:t xml:space="preserve"> - </w:t>
            </w:r>
            <w:r w:rsidR="008501FF" w:rsidRPr="00D37EBD">
              <w:rPr>
                <w:rStyle w:val="citation-475"/>
                <w:rFonts w:ascii="Verdana" w:hAnsi="Verdana" w:cs="Arial"/>
                <w:sz w:val="22"/>
                <w:szCs w:val="22"/>
              </w:rPr>
              <w:t>Artículos 94, 194 y 197</w:t>
            </w:r>
            <w:r w:rsidR="008501FF">
              <w:rPr>
                <w:rStyle w:val="citation-475"/>
                <w:rFonts w:ascii="Verdana" w:hAnsi="Verdana" w:cs="Arial"/>
                <w:sz w:val="22"/>
                <w:szCs w:val="22"/>
              </w:rPr>
              <w:t xml:space="preserve">. </w:t>
            </w:r>
          </w:p>
          <w:p w14:paraId="42F3C8E7" w14:textId="6F2ABAF0" w:rsidR="00261B7D" w:rsidRPr="00D37EBD" w:rsidRDefault="00261B7D" w:rsidP="000C2089">
            <w:pPr>
              <w:pStyle w:val="NormalWeb"/>
              <w:numPr>
                <w:ilvl w:val="0"/>
                <w:numId w:val="18"/>
              </w:numPr>
              <w:spacing w:before="0" w:beforeAutospacing="0" w:after="0" w:afterAutospacing="0" w:line="276" w:lineRule="auto"/>
              <w:rPr>
                <w:rFonts w:ascii="Verdana" w:hAnsi="Verdana" w:cs="Arial"/>
                <w:sz w:val="22"/>
                <w:szCs w:val="22"/>
              </w:rPr>
            </w:pPr>
            <w:r w:rsidRPr="00D37EBD">
              <w:rPr>
                <w:rStyle w:val="citation-474"/>
                <w:rFonts w:ascii="Verdana" w:hAnsi="Verdana" w:cs="Arial"/>
                <w:sz w:val="22"/>
                <w:szCs w:val="22"/>
              </w:rPr>
              <w:t>Ley 1150 de 2007</w:t>
            </w:r>
            <w:r w:rsidR="008501FF">
              <w:rPr>
                <w:rFonts w:ascii="Verdana" w:hAnsi="Verdana" w:cs="Arial"/>
                <w:sz w:val="22"/>
                <w:szCs w:val="22"/>
              </w:rPr>
              <w:t xml:space="preserve"> -</w:t>
            </w:r>
            <w:r w:rsidR="008501FF" w:rsidRPr="00D37EBD">
              <w:rPr>
                <w:rStyle w:val="citation-474"/>
                <w:rFonts w:ascii="Verdana" w:hAnsi="Verdana" w:cs="Arial"/>
                <w:sz w:val="22"/>
                <w:szCs w:val="22"/>
              </w:rPr>
              <w:t xml:space="preserve"> Artículo 2 (numeral 4, literal c)</w:t>
            </w:r>
            <w:r w:rsidR="008501FF">
              <w:rPr>
                <w:rStyle w:val="citation-474"/>
                <w:rFonts w:ascii="Verdana" w:hAnsi="Verdana" w:cs="Arial"/>
                <w:sz w:val="22"/>
                <w:szCs w:val="22"/>
              </w:rPr>
              <w:t>.</w:t>
            </w:r>
          </w:p>
          <w:p w14:paraId="1D6F2F7F" w14:textId="32B75A2B" w:rsidR="00261B7D" w:rsidRDefault="00261B7D" w:rsidP="000C2089">
            <w:pPr>
              <w:pStyle w:val="NormalWeb"/>
              <w:numPr>
                <w:ilvl w:val="0"/>
                <w:numId w:val="18"/>
              </w:numPr>
              <w:spacing w:before="0" w:beforeAutospacing="0" w:after="0" w:afterAutospacing="0" w:line="276" w:lineRule="auto"/>
              <w:rPr>
                <w:rStyle w:val="citation-473"/>
                <w:rFonts w:ascii="Verdana" w:hAnsi="Verdana" w:cs="Arial"/>
                <w:sz w:val="22"/>
                <w:szCs w:val="22"/>
              </w:rPr>
            </w:pPr>
            <w:r w:rsidRPr="00D37EBD">
              <w:rPr>
                <w:rStyle w:val="citation-473"/>
                <w:rFonts w:ascii="Verdana" w:hAnsi="Verdana" w:cs="Arial"/>
                <w:sz w:val="22"/>
                <w:szCs w:val="22"/>
              </w:rPr>
              <w:t>Ley 80 de 1993</w:t>
            </w:r>
            <w:r w:rsidR="008501FF">
              <w:rPr>
                <w:rFonts w:ascii="Verdana" w:hAnsi="Verdana" w:cs="Arial"/>
                <w:sz w:val="22"/>
                <w:szCs w:val="22"/>
              </w:rPr>
              <w:t xml:space="preserve"> - </w:t>
            </w:r>
            <w:r w:rsidR="008501FF" w:rsidRPr="00D37EBD">
              <w:rPr>
                <w:rStyle w:val="citation-473"/>
                <w:rFonts w:ascii="Verdana" w:hAnsi="Verdana" w:cs="Arial"/>
                <w:sz w:val="22"/>
                <w:szCs w:val="22"/>
              </w:rPr>
              <w:t>Artículos 39 y 41</w:t>
            </w:r>
            <w:r w:rsidR="008501FF">
              <w:rPr>
                <w:rStyle w:val="citation-473"/>
                <w:rFonts w:ascii="Verdana" w:hAnsi="Verdana" w:cs="Arial"/>
                <w:sz w:val="22"/>
                <w:szCs w:val="22"/>
              </w:rPr>
              <w:t>.</w:t>
            </w:r>
          </w:p>
          <w:p w14:paraId="6E07933B" w14:textId="0BDA632E" w:rsidR="00261B7D" w:rsidRPr="00D37EBD" w:rsidRDefault="00967890" w:rsidP="000C2089">
            <w:pPr>
              <w:pStyle w:val="NormalWeb"/>
              <w:numPr>
                <w:ilvl w:val="0"/>
                <w:numId w:val="18"/>
              </w:numPr>
              <w:spacing w:before="0" w:beforeAutospacing="0" w:after="0" w:afterAutospacing="0" w:line="276" w:lineRule="auto"/>
              <w:rPr>
                <w:rFonts w:ascii="Verdana" w:hAnsi="Verdana" w:cs="Arial"/>
                <w:sz w:val="22"/>
                <w:szCs w:val="22"/>
              </w:rPr>
            </w:pPr>
            <w:r w:rsidRPr="00D37EBD">
              <w:rPr>
                <w:rStyle w:val="citation-471"/>
                <w:rFonts w:ascii="Verdana" w:hAnsi="Verdana" w:cs="Arial"/>
                <w:sz w:val="22"/>
                <w:szCs w:val="22"/>
              </w:rPr>
              <w:t>Ley 100 de 1993</w:t>
            </w:r>
            <w:r w:rsidR="00956E3F">
              <w:rPr>
                <w:rStyle w:val="citation-471"/>
                <w:rFonts w:ascii="Verdana" w:hAnsi="Verdana" w:cs="Arial"/>
                <w:sz w:val="22"/>
                <w:szCs w:val="22"/>
              </w:rPr>
              <w:t xml:space="preserve"> – Artículo </w:t>
            </w:r>
            <w:r w:rsidR="00F74F83">
              <w:rPr>
                <w:rStyle w:val="citation-471"/>
                <w:rFonts w:ascii="Verdana" w:hAnsi="Verdana" w:cs="Arial"/>
                <w:sz w:val="22"/>
                <w:szCs w:val="22"/>
              </w:rPr>
              <w:t xml:space="preserve">194. </w:t>
            </w:r>
          </w:p>
          <w:p w14:paraId="744DB5F5" w14:textId="77777777" w:rsidR="00261B7D" w:rsidRPr="00D37EBD" w:rsidRDefault="00261B7D" w:rsidP="000C2089">
            <w:pPr>
              <w:pStyle w:val="NormalWeb"/>
              <w:numPr>
                <w:ilvl w:val="0"/>
                <w:numId w:val="18"/>
              </w:numPr>
              <w:spacing w:before="0" w:beforeAutospacing="0" w:after="0" w:afterAutospacing="0" w:line="276" w:lineRule="auto"/>
              <w:rPr>
                <w:rFonts w:ascii="Verdana" w:hAnsi="Verdana" w:cs="Arial"/>
                <w:sz w:val="22"/>
                <w:szCs w:val="22"/>
              </w:rPr>
            </w:pPr>
            <w:r w:rsidRPr="00D37EBD">
              <w:rPr>
                <w:rStyle w:val="citation-468"/>
                <w:rFonts w:ascii="Verdana" w:hAnsi="Verdana" w:cs="Arial"/>
                <w:sz w:val="22"/>
                <w:szCs w:val="22"/>
              </w:rPr>
              <w:t>Corte Constitucional, Sentencia C-1153 de 2005</w:t>
            </w:r>
            <w:r w:rsidRPr="00D37EBD">
              <w:rPr>
                <w:rFonts w:ascii="Verdana" w:hAnsi="Verdana" w:cs="Arial"/>
                <w:sz w:val="22"/>
                <w:szCs w:val="22"/>
              </w:rPr>
              <w:t>.</w:t>
            </w:r>
          </w:p>
          <w:p w14:paraId="644A62A0" w14:textId="77777777" w:rsidR="00261B7D" w:rsidRPr="00D37EBD" w:rsidRDefault="00261B7D" w:rsidP="000C2089">
            <w:pPr>
              <w:pStyle w:val="NormalWeb"/>
              <w:numPr>
                <w:ilvl w:val="0"/>
                <w:numId w:val="18"/>
              </w:numPr>
              <w:spacing w:before="0" w:beforeAutospacing="0" w:after="0" w:afterAutospacing="0" w:line="276" w:lineRule="auto"/>
              <w:rPr>
                <w:rFonts w:ascii="Verdana" w:hAnsi="Verdana" w:cs="Arial"/>
                <w:sz w:val="22"/>
                <w:szCs w:val="22"/>
              </w:rPr>
            </w:pPr>
            <w:r w:rsidRPr="00D37EBD">
              <w:rPr>
                <w:rFonts w:ascii="Verdana" w:hAnsi="Verdana" w:cs="Arial"/>
                <w:sz w:val="22"/>
                <w:szCs w:val="22"/>
              </w:rPr>
              <w:t xml:space="preserve">Consejo de Estado, Sala de Consulta y Servicio Civil, concepto del 20 de febrero de 2006, Rad. </w:t>
            </w:r>
            <w:r w:rsidRPr="00D37EBD">
              <w:rPr>
                <w:rStyle w:val="citation-467"/>
                <w:rFonts w:ascii="Verdana" w:hAnsi="Verdana" w:cs="Arial"/>
                <w:sz w:val="22"/>
                <w:szCs w:val="22"/>
              </w:rPr>
              <w:t>1727</w:t>
            </w:r>
            <w:r w:rsidRPr="00D37EBD">
              <w:rPr>
                <w:rFonts w:ascii="Verdana" w:hAnsi="Verdana" w:cs="Arial"/>
                <w:sz w:val="22"/>
                <w:szCs w:val="22"/>
              </w:rPr>
              <w:t>.</w:t>
            </w:r>
          </w:p>
          <w:p w14:paraId="14B68040" w14:textId="77777777" w:rsidR="00261B7D" w:rsidRPr="00D37EBD" w:rsidRDefault="00261B7D" w:rsidP="000C2089">
            <w:pPr>
              <w:pStyle w:val="NormalWeb"/>
              <w:numPr>
                <w:ilvl w:val="0"/>
                <w:numId w:val="18"/>
              </w:numPr>
              <w:spacing w:before="0" w:beforeAutospacing="0" w:after="0" w:afterAutospacing="0" w:line="276" w:lineRule="auto"/>
              <w:rPr>
                <w:rFonts w:ascii="Verdana" w:hAnsi="Verdana" w:cs="Arial"/>
                <w:sz w:val="22"/>
                <w:szCs w:val="22"/>
              </w:rPr>
            </w:pPr>
            <w:r w:rsidRPr="00D37EBD">
              <w:rPr>
                <w:rFonts w:ascii="Verdana" w:hAnsi="Verdana" w:cs="Arial"/>
                <w:sz w:val="22"/>
                <w:szCs w:val="22"/>
              </w:rPr>
              <w:t xml:space="preserve">Consejo de Estado, Sala de Consulta y Servicio Civil, concepto del 4 de febrero de 2010, Rad. </w:t>
            </w:r>
            <w:r w:rsidRPr="00D37EBD">
              <w:rPr>
                <w:rStyle w:val="citation-466"/>
                <w:rFonts w:ascii="Verdana" w:hAnsi="Verdana" w:cs="Arial"/>
                <w:sz w:val="22"/>
                <w:szCs w:val="22"/>
              </w:rPr>
              <w:t>1985</w:t>
            </w:r>
            <w:r w:rsidRPr="00D37EBD">
              <w:rPr>
                <w:rFonts w:ascii="Verdana" w:hAnsi="Verdana" w:cs="Arial"/>
                <w:sz w:val="22"/>
                <w:szCs w:val="22"/>
              </w:rPr>
              <w:t>.</w:t>
            </w:r>
          </w:p>
          <w:p w14:paraId="3862CED9" w14:textId="77777777" w:rsidR="00261B7D" w:rsidRPr="00D37EBD" w:rsidRDefault="00261B7D" w:rsidP="000C2089">
            <w:pPr>
              <w:pStyle w:val="NormalWeb"/>
              <w:numPr>
                <w:ilvl w:val="0"/>
                <w:numId w:val="18"/>
              </w:numPr>
              <w:spacing w:before="0" w:beforeAutospacing="0" w:after="0" w:afterAutospacing="0" w:line="276" w:lineRule="auto"/>
              <w:rPr>
                <w:rFonts w:ascii="Verdana" w:hAnsi="Verdana" w:cs="Arial"/>
                <w:sz w:val="22"/>
                <w:szCs w:val="22"/>
              </w:rPr>
            </w:pPr>
            <w:r w:rsidRPr="00D37EBD">
              <w:rPr>
                <w:rFonts w:ascii="Verdana" w:hAnsi="Verdana" w:cs="Arial"/>
                <w:sz w:val="22"/>
                <w:szCs w:val="22"/>
              </w:rPr>
              <w:t xml:space="preserve">Consejo de Estado, Sala de Consulta y Servicio Civil, concepto del 12 de junio de 2018, Rad. </w:t>
            </w:r>
            <w:r w:rsidRPr="00D37EBD">
              <w:rPr>
                <w:rStyle w:val="citation-465"/>
                <w:rFonts w:ascii="Verdana" w:hAnsi="Verdana" w:cs="Arial"/>
                <w:sz w:val="22"/>
                <w:szCs w:val="22"/>
              </w:rPr>
              <w:t>2371</w:t>
            </w:r>
            <w:r w:rsidRPr="00D37EBD">
              <w:rPr>
                <w:rFonts w:ascii="Verdana" w:hAnsi="Verdana" w:cs="Arial"/>
                <w:sz w:val="22"/>
                <w:szCs w:val="22"/>
              </w:rPr>
              <w:t>.</w:t>
            </w:r>
          </w:p>
          <w:p w14:paraId="7508DA86" w14:textId="77777777" w:rsidR="00261B7D" w:rsidRPr="00944391" w:rsidRDefault="00261B7D" w:rsidP="000C2089">
            <w:pPr>
              <w:pStyle w:val="NormalWeb"/>
              <w:numPr>
                <w:ilvl w:val="0"/>
                <w:numId w:val="18"/>
              </w:numPr>
              <w:spacing w:before="0" w:beforeAutospacing="0" w:after="0" w:afterAutospacing="0" w:line="276" w:lineRule="auto"/>
              <w:jc w:val="both"/>
              <w:rPr>
                <w:rFonts w:ascii="Verdana" w:hAnsi="Verdana" w:cs="Arial"/>
                <w:sz w:val="22"/>
                <w:szCs w:val="22"/>
              </w:rPr>
            </w:pPr>
            <w:r w:rsidRPr="00D37EBD">
              <w:rPr>
                <w:rFonts w:ascii="Verdana" w:hAnsi="Verdana" w:cs="Arial"/>
                <w:sz w:val="22"/>
                <w:szCs w:val="22"/>
              </w:rPr>
              <w:t xml:space="preserve">Consejo de Estado, Sección Tercera, sentencia del 21 de febrero de 2025, </w:t>
            </w:r>
            <w:proofErr w:type="spellStart"/>
            <w:r w:rsidRPr="00D37EBD">
              <w:rPr>
                <w:rFonts w:ascii="Verdana" w:hAnsi="Verdana" w:cs="Arial"/>
                <w:sz w:val="22"/>
                <w:szCs w:val="22"/>
              </w:rPr>
              <w:t>Exp</w:t>
            </w:r>
            <w:proofErr w:type="spellEnd"/>
            <w:r w:rsidRPr="00D37EBD">
              <w:rPr>
                <w:rFonts w:ascii="Verdana" w:hAnsi="Verdana" w:cs="Arial"/>
                <w:sz w:val="22"/>
                <w:szCs w:val="22"/>
              </w:rPr>
              <w:t xml:space="preserve">. </w:t>
            </w:r>
            <w:r w:rsidRPr="00D37EBD">
              <w:rPr>
                <w:rStyle w:val="citation-464"/>
                <w:rFonts w:ascii="Verdana" w:hAnsi="Verdana" w:cs="Arial"/>
                <w:sz w:val="22"/>
                <w:szCs w:val="22"/>
              </w:rPr>
              <w:t>68.280</w:t>
            </w:r>
            <w:r w:rsidRPr="00D37EBD">
              <w:rPr>
                <w:rFonts w:ascii="Verdana" w:hAnsi="Verdana" w:cs="Arial"/>
                <w:sz w:val="22"/>
                <w:szCs w:val="22"/>
              </w:rPr>
              <w:t>.</w:t>
            </w:r>
          </w:p>
          <w:p w14:paraId="41A62C21" w14:textId="70DB167B" w:rsidR="00261B7D" w:rsidRPr="00D37EBD" w:rsidRDefault="00944391" w:rsidP="000C2089">
            <w:pPr>
              <w:pStyle w:val="NormalWeb"/>
              <w:numPr>
                <w:ilvl w:val="0"/>
                <w:numId w:val="18"/>
              </w:numPr>
              <w:spacing w:before="0" w:beforeAutospacing="0" w:after="0" w:afterAutospacing="0" w:line="276" w:lineRule="auto"/>
              <w:jc w:val="both"/>
              <w:rPr>
                <w:rFonts w:ascii="Verdana" w:hAnsi="Verdana" w:cs="Arial"/>
                <w:sz w:val="22"/>
                <w:szCs w:val="22"/>
              </w:rPr>
            </w:pPr>
            <w:r w:rsidRPr="000C2089">
              <w:rPr>
                <w:rFonts w:ascii="Verdana" w:hAnsi="Verdana" w:cs="Arial"/>
                <w:sz w:val="22"/>
                <w:szCs w:val="22"/>
              </w:rPr>
              <w:t>Agencia Nacional de Contratación Pública - Colombia Compra Eficiente. Circular Externa Única. Numeral 16.5</w:t>
            </w:r>
            <w:r w:rsidR="009F194E">
              <w:rPr>
                <w:rFonts w:ascii="Verdana" w:hAnsi="Verdana" w:cs="Arial"/>
                <w:sz w:val="22"/>
                <w:szCs w:val="22"/>
              </w:rPr>
              <w:t>.</w:t>
            </w:r>
          </w:p>
        </w:tc>
      </w:tr>
    </w:tbl>
    <w:p w14:paraId="232FBC63" w14:textId="77777777" w:rsidR="00261B7D" w:rsidRPr="00593A5F" w:rsidRDefault="00261B7D" w:rsidP="00261B7D">
      <w:pPr>
        <w:widowControl w:val="0"/>
        <w:autoSpaceDE w:val="0"/>
        <w:autoSpaceDN w:val="0"/>
        <w:spacing w:after="0" w:line="276" w:lineRule="auto"/>
        <w:jc w:val="both"/>
        <w:rPr>
          <w:rFonts w:ascii="Verdana" w:hAnsi="Verdana" w:cs="Arial"/>
        </w:rPr>
      </w:pPr>
    </w:p>
    <w:p w14:paraId="795AEBD7" w14:textId="77777777" w:rsidR="00261B7D" w:rsidRDefault="00261B7D" w:rsidP="00261B7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30169B0E" w14:textId="77777777" w:rsidR="00261B7D" w:rsidRDefault="00261B7D" w:rsidP="00261B7D">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E473CFA" w14:textId="77777777" w:rsidR="00261B7D" w:rsidRPr="00A54323" w:rsidRDefault="00261B7D" w:rsidP="00261B7D">
      <w:pPr>
        <w:widowControl w:val="0"/>
        <w:autoSpaceDE w:val="0"/>
        <w:autoSpaceDN w:val="0"/>
        <w:spacing w:after="0" w:line="276" w:lineRule="auto"/>
        <w:jc w:val="both"/>
        <w:rPr>
          <w:rFonts w:ascii="Verdana" w:hAnsi="Verdana" w:cs="Arial"/>
          <w:shd w:val="clear" w:color="auto" w:fill="FFFFFF"/>
          <w:lang w:val="es-ES"/>
        </w:rPr>
      </w:pPr>
      <w:r w:rsidRPr="000F79CF">
        <w:rPr>
          <w:rFonts w:ascii="Verdana" w:eastAsia="Calibri" w:hAnsi="Verdana" w:cs="Arial"/>
        </w:rPr>
        <w:t xml:space="preserve">La Agencia Nacional de Contratación Pública – Colombia Compra Eficiente se ha </w:t>
      </w:r>
      <w:r w:rsidRPr="000F79CF">
        <w:rPr>
          <w:rFonts w:ascii="Verdana" w:eastAsia="Calibri" w:hAnsi="Verdana" w:cs="Arial"/>
        </w:rPr>
        <w:lastRenderedPageBreak/>
        <w:t xml:space="preserve">referido </w:t>
      </w:r>
      <w:r w:rsidRPr="000F79CF">
        <w:rPr>
          <w:rFonts w:ascii="Verdana" w:hAnsi="Verdana" w:cs="Arial"/>
          <w:shd w:val="clear" w:color="auto" w:fill="FFFFFF"/>
        </w:rPr>
        <w:t xml:space="preserve">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C-523 del 10 de octubre de 2021, C-606 del 28 de octubre de 2021, C-614 del 2 de noviembre de 2021, C-636 del 16 de noviembre de 2021, C-681 del 7 de diciembre de 2021, C-686 del 21 de diciembre de 2021, C-697 del 3 de enero de 2022, C-180 del 21 de marzo de 2025, C-317 del 25 de abril de 2025, C-510 del 4 de junio de 2025, C -635 del 27 de junio de 2025, C–750 de 17 de julio 2025, C-868 del 12 de agosto de 2025, </w:t>
      </w:r>
      <w:r>
        <w:rPr>
          <w:rFonts w:ascii="Verdana" w:hAnsi="Verdana" w:cs="Arial"/>
          <w:shd w:val="clear" w:color="auto" w:fill="FFFFFF"/>
        </w:rPr>
        <w:t xml:space="preserve">C-1124 del 18 de septiembre de 2025, C-1491 del 20 de noviembre de 2025, C- 1492 del </w:t>
      </w:r>
      <w:r>
        <w:rPr>
          <w:rFonts w:ascii="Verdana" w:hAnsi="Verdana"/>
        </w:rPr>
        <w:t>21 de noviembre del 2025, C-</w:t>
      </w:r>
      <w:r w:rsidRPr="001450CA">
        <w:rPr>
          <w:rFonts w:ascii="Verdana" w:hAnsi="Verdana"/>
        </w:rPr>
        <w:t>1629, C-1646 del 17 de diciembre de 2025, C-1662 del 22 de diciembre de 2025</w:t>
      </w:r>
      <w:r w:rsidRPr="001450CA">
        <w:rPr>
          <w:rStyle w:val="normaltextrun"/>
          <w:rFonts w:ascii="Verdana" w:hAnsi="Verdana" w:cs="Arial"/>
          <w:shd w:val="clear" w:color="auto" w:fill="FFFFFF"/>
          <w:lang w:val="es-ES"/>
        </w:rPr>
        <w:t>, C-160 del 24 de febrero de 2026</w:t>
      </w:r>
      <w:r>
        <w:rPr>
          <w:rStyle w:val="normaltextrun"/>
          <w:rFonts w:ascii="Verdana" w:hAnsi="Verdana" w:cs="Arial"/>
          <w:shd w:val="clear" w:color="auto" w:fill="FFFFFF"/>
          <w:lang w:val="es-ES"/>
        </w:rPr>
        <w:t>, C-108 del 4 de marzo de 2026 y el C-177 del 16 de marzo de 2026,</w:t>
      </w:r>
      <w:r w:rsidRPr="001450CA">
        <w:rPr>
          <w:rStyle w:val="normaltextrun"/>
          <w:rFonts w:ascii="Verdana" w:hAnsi="Verdana" w:cs="Arial"/>
          <w:shd w:val="clear" w:color="auto" w:fill="FFFFFF"/>
          <w:lang w:val="es-ES"/>
        </w:rPr>
        <w:t xml:space="preserve"> entre otros.</w:t>
      </w:r>
      <w:r>
        <w:rPr>
          <w:rFonts w:ascii="Verdana" w:hAnsi="Verdana" w:cs="Arial"/>
          <w:shd w:val="clear" w:color="auto" w:fill="FFFFFF"/>
          <w:lang w:val="es-ES"/>
        </w:rPr>
        <w:t xml:space="preserve"> </w:t>
      </w:r>
      <w:r w:rsidRPr="001450CA">
        <w:rPr>
          <w:rFonts w:ascii="Verdana" w:hAnsi="Verdana" w:cs="Arial"/>
        </w:rPr>
        <w:t xml:space="preserve">Estos y otros </w:t>
      </w:r>
      <w:r w:rsidRPr="001450CA">
        <w:rPr>
          <w:rFonts w:ascii="Verdana" w:hAnsi="Verdana"/>
        </w:rPr>
        <w:t>conceptos se encuentran disponibles para consulta en el Sistema de relatoría de la Agencia, al cual se puede acceder a través del siguiente</w:t>
      </w:r>
      <w:r w:rsidRPr="00104DE4">
        <w:rPr>
          <w:rFonts w:ascii="Verdana" w:hAnsi="Verdana"/>
        </w:rPr>
        <w:t xml:space="preserve"> enlace:</w:t>
      </w:r>
      <w:r w:rsidRPr="00104DE4">
        <w:rPr>
          <w:rFonts w:ascii="Verdana" w:hAnsi="Verdana" w:cs="Arial"/>
          <w:shd w:val="clear" w:color="auto" w:fill="FFFFFF"/>
        </w:rPr>
        <w:t xml:space="preserve"> </w:t>
      </w:r>
      <w:hyperlink r:id="rId12" w:history="1">
        <w:r w:rsidRPr="001645F5">
          <w:rPr>
            <w:rFonts w:ascii="Verdana" w:hAnsi="Verdana" w:cs="Arial"/>
            <w:color w:val="0563C1" w:themeColor="hyperlink"/>
            <w:u w:val="single"/>
            <w:shd w:val="clear" w:color="auto" w:fill="FFFFFF"/>
          </w:rPr>
          <w:t>https://relatoria.colombiacompra.gov.co/busqueda/conceptos</w:t>
        </w:r>
      </w:hyperlink>
      <w:r w:rsidRPr="001645F5">
        <w:rPr>
          <w:rFonts w:ascii="Verdana" w:hAnsi="Verdana" w:cs="Arial"/>
          <w:shd w:val="clear" w:color="auto" w:fill="FFFFFF"/>
        </w:rPr>
        <w:t>.</w:t>
      </w:r>
      <w:r w:rsidRPr="001645F5">
        <w:rPr>
          <w:rFonts w:ascii="Verdana" w:hAnsi="Verdana" w:cs="Arial"/>
          <w:color w:val="FF0000"/>
          <w:shd w:val="clear" w:color="auto" w:fill="FFFFFF"/>
        </w:rPr>
        <w:t xml:space="preserve"> </w:t>
      </w:r>
      <w:r w:rsidRPr="001645F5">
        <w:rPr>
          <w:rFonts w:ascii="Verdana" w:hAnsi="Verdana" w:cs="Arial"/>
          <w:color w:val="000000" w:themeColor="text1"/>
          <w:shd w:val="clear" w:color="auto" w:fill="FFFFFF"/>
        </w:rPr>
        <w:t>  </w:t>
      </w:r>
    </w:p>
    <w:p w14:paraId="3DFB3B4E" w14:textId="77777777" w:rsidR="00261B7D" w:rsidRDefault="00261B7D" w:rsidP="000C2089">
      <w:pPr>
        <w:widowControl w:val="0"/>
        <w:autoSpaceDE w:val="0"/>
        <w:autoSpaceDN w:val="0"/>
        <w:spacing w:after="0" w:line="276" w:lineRule="auto"/>
        <w:jc w:val="both"/>
        <w:rPr>
          <w:rFonts w:ascii="Verdana" w:hAnsi="Verdana"/>
          <w:lang w:val="es-ES"/>
        </w:rPr>
      </w:pPr>
    </w:p>
    <w:p w14:paraId="6A1EFC2B" w14:textId="77777777" w:rsidR="00261B7D" w:rsidRPr="009A385A" w:rsidRDefault="00261B7D" w:rsidP="000C2089">
      <w:pPr>
        <w:spacing w:after="0" w:line="276" w:lineRule="auto"/>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1645F5">
          <w:rPr>
            <w:rStyle w:val="Hipervnculo"/>
            <w:rFonts w:ascii="Verdana" w:hAnsi="Verdana"/>
          </w:rPr>
          <w:t>https://formacionvirtual.colombiacompra.gov.co/mod/page/view.php?id=3718</w:t>
        </w:r>
      </w:hyperlink>
    </w:p>
    <w:p w14:paraId="12F5B055" w14:textId="77777777" w:rsidR="00944391" w:rsidRDefault="00944391" w:rsidP="001645F5">
      <w:pPr>
        <w:spacing w:after="0" w:line="276" w:lineRule="auto"/>
        <w:jc w:val="both"/>
        <w:rPr>
          <w:rFonts w:ascii="Verdana" w:hAnsi="Verdana"/>
        </w:rPr>
      </w:pPr>
    </w:p>
    <w:p w14:paraId="41BCFFD9" w14:textId="6191018F" w:rsidR="00261B7D" w:rsidRDefault="00261B7D" w:rsidP="000C2089">
      <w:pPr>
        <w:spacing w:after="0" w:line="276" w:lineRule="auto"/>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da</w:t>
      </w:r>
      <w:r>
        <w:rPr>
          <w:rFonts w:ascii="Verdana" w:hAnsi="Verdana"/>
        </w:rPr>
        <w:t>do</w:t>
      </w:r>
      <w:r w:rsidRPr="00635F16">
        <w:rPr>
          <w:rFonts w:ascii="Verdana" w:hAnsi="Verdana"/>
        </w:rPr>
        <w:t xml:space="preserve">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w:t>
      </w:r>
      <w:r w:rsidRPr="00635F16">
        <w:rPr>
          <w:rFonts w:ascii="Verdana" w:hAnsi="Verdana"/>
        </w:rPr>
        <w:lastRenderedPageBreak/>
        <w:t>como educación, salud, cultura, recreación</w:t>
      </w:r>
      <w:r>
        <w:rPr>
          <w:rFonts w:ascii="Verdana" w:hAnsi="Verdana"/>
        </w:rPr>
        <w:t xml:space="preserve">, </w:t>
      </w:r>
      <w:r w:rsidRPr="00635F16">
        <w:rPr>
          <w:rFonts w:ascii="Verdana" w:hAnsi="Verdana"/>
        </w:rPr>
        <w:t xml:space="preserve">deporte, institucional y vivienda. </w:t>
      </w:r>
      <w:r w:rsidRPr="001645F5">
        <w:rPr>
          <w:rFonts w:ascii="Verdana" w:hAnsi="Verdana"/>
        </w:rPr>
        <w:t xml:space="preserve">Consulta y descarga los documentos aquí: </w:t>
      </w:r>
      <w:hyperlink r:id="rId14" w:tgtFrame="_new" w:history="1">
        <w:r w:rsidRPr="001645F5">
          <w:rPr>
            <w:rStyle w:val="Hipervnculo"/>
            <w:rFonts w:ascii="Verdana" w:hAnsi="Verdana"/>
          </w:rPr>
          <w:t>https://www.colombiacompra.gov.co/normativa-y-relatoria/documentos-tipo</w:t>
        </w:r>
      </w:hyperlink>
    </w:p>
    <w:p w14:paraId="4E6DC4A3" w14:textId="77777777" w:rsidR="00944391" w:rsidRDefault="00944391" w:rsidP="001645F5">
      <w:pPr>
        <w:spacing w:after="0" w:line="276" w:lineRule="auto"/>
        <w:jc w:val="both"/>
        <w:rPr>
          <w:rFonts w:ascii="Verdana" w:hAnsi="Verdana"/>
        </w:rPr>
      </w:pPr>
    </w:p>
    <w:p w14:paraId="0AAFF5D6" w14:textId="767A5723" w:rsidR="00261B7D" w:rsidRDefault="00261B7D" w:rsidP="000C2089">
      <w:pPr>
        <w:spacing w:after="0" w:line="276" w:lineRule="auto"/>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1645F5">
        <w:rPr>
          <w:rFonts w:ascii="Verdana" w:hAnsi="Verdana"/>
        </w:rPr>
        <w:t>Además se incluyeron lineamientos que orientan la implementación de los criterios ambientales y sociales incluidos en los documentos tipo: Consulta la guía aquí:</w:t>
      </w:r>
      <w:r w:rsidRPr="001645F5">
        <w:rPr>
          <w:rFonts w:ascii="Verdana" w:hAnsi="Verdana"/>
        </w:rPr>
        <w:br/>
      </w:r>
      <w:hyperlink r:id="rId15" w:tgtFrame="_new" w:history="1">
        <w:r w:rsidRPr="001645F5">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5B318C4E" w14:textId="77777777" w:rsidR="00944391" w:rsidRDefault="00944391" w:rsidP="001645F5">
      <w:pPr>
        <w:widowControl w:val="0"/>
        <w:autoSpaceDE w:val="0"/>
        <w:autoSpaceDN w:val="0"/>
        <w:spacing w:after="0" w:line="276" w:lineRule="auto"/>
        <w:jc w:val="both"/>
        <w:rPr>
          <w:rFonts w:ascii="Verdana" w:hAnsi="Verdana"/>
        </w:rPr>
      </w:pPr>
    </w:p>
    <w:p w14:paraId="1B76C998" w14:textId="16E0857F" w:rsidR="00261B7D" w:rsidRDefault="00261B7D" w:rsidP="001645F5">
      <w:pPr>
        <w:widowControl w:val="0"/>
        <w:autoSpaceDE w:val="0"/>
        <w:autoSpaceDN w:val="0"/>
        <w:spacing w:after="0" w:line="276" w:lineRule="auto"/>
        <w:jc w:val="both"/>
        <w:rPr>
          <w:rFonts w:ascii="Verdana" w:hAnsi="Verdana"/>
        </w:rPr>
      </w:pPr>
      <w:r w:rsidRPr="001A68FB">
        <w:rPr>
          <w:rFonts w:ascii="Verdana" w:hAnsi="Verdana"/>
        </w:rPr>
        <w:t>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w:t>
      </w:r>
      <w:r w:rsidRPr="00116940">
        <w:rPr>
          <w:rFonts w:ascii="Verdana" w:hAnsi="Verdana"/>
        </w:rPr>
        <w:t xml:space="preserve"> </w:t>
      </w:r>
    </w:p>
    <w:p w14:paraId="3E6E27F6" w14:textId="77777777" w:rsidR="00944391" w:rsidRPr="00944391" w:rsidRDefault="00944391" w:rsidP="000C2089">
      <w:pPr>
        <w:widowControl w:val="0"/>
        <w:autoSpaceDE w:val="0"/>
        <w:autoSpaceDN w:val="0"/>
        <w:spacing w:after="0" w:line="276" w:lineRule="auto"/>
        <w:jc w:val="both"/>
        <w:rPr>
          <w:rFonts w:ascii="Verdana" w:hAnsi="Verdana" w:cs="Arial"/>
          <w:highlight w:val="yellow"/>
          <w:shd w:val="clear" w:color="auto" w:fill="FFFFFF"/>
          <w:lang w:val="es-MX"/>
        </w:rPr>
      </w:pPr>
    </w:p>
    <w:p w14:paraId="37207E32" w14:textId="77777777" w:rsidR="00261B7D" w:rsidRPr="00116940" w:rsidRDefault="00261B7D" w:rsidP="000C2089">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749623EB" w14:textId="77777777" w:rsidR="00261B7D" w:rsidRPr="00116940" w:rsidRDefault="00261B7D" w:rsidP="000C2089">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3EECF3D2" w14:textId="77777777" w:rsidR="00261B7D" w:rsidRPr="00116940" w:rsidRDefault="00261B7D" w:rsidP="000C2089">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23528619" w14:textId="77777777" w:rsidR="00261B7D" w:rsidRPr="00116940" w:rsidRDefault="00261B7D" w:rsidP="000C2089">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2FEF3983" w14:textId="77777777" w:rsidR="00261B7D" w:rsidRPr="00116940" w:rsidRDefault="00261B7D" w:rsidP="000C2089">
      <w:pPr>
        <w:spacing w:after="0" w:line="276" w:lineRule="auto"/>
        <w:ind w:left="720"/>
        <w:jc w:val="both"/>
        <w:rPr>
          <w:rFonts w:ascii="Verdana" w:hAnsi="Verdana"/>
        </w:rPr>
      </w:pPr>
    </w:p>
    <w:p w14:paraId="077E148F" w14:textId="77777777" w:rsidR="00261B7D" w:rsidRDefault="00261B7D" w:rsidP="000C2089">
      <w:pPr>
        <w:spacing w:after="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18" w:history="1">
        <w:r w:rsidRPr="001645F5">
          <w:rPr>
            <w:rStyle w:val="Hipervnculo"/>
            <w:rFonts w:ascii="Verdana" w:eastAsia="Verdana" w:hAnsi="Verdana" w:cs="Verdana"/>
            <w:lang w:val="es-MX"/>
          </w:rPr>
          <w:t>https://forms.office.com/r/pPHyWVs2SZ</w:t>
        </w:r>
      </w:hyperlink>
      <w:r w:rsidRPr="001645F5">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4FC029E6" w14:textId="77777777" w:rsidR="001645F5" w:rsidRDefault="001645F5" w:rsidP="001645F5">
      <w:pPr>
        <w:spacing w:after="0" w:line="276" w:lineRule="auto"/>
        <w:jc w:val="both"/>
        <w:rPr>
          <w:rFonts w:ascii="Verdana" w:hAnsi="Verdana"/>
        </w:rPr>
      </w:pPr>
    </w:p>
    <w:p w14:paraId="0AE76DBF" w14:textId="368963A3" w:rsidR="00261B7D" w:rsidRPr="00116940" w:rsidRDefault="00261B7D" w:rsidP="000C2089">
      <w:pPr>
        <w:spacing w:after="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6B69E9E9" w14:textId="77777777" w:rsidR="00261B7D" w:rsidRPr="00116940" w:rsidRDefault="00261B7D" w:rsidP="00261B7D">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593F9251" w14:textId="77777777" w:rsidR="00261B7D" w:rsidRPr="00116940" w:rsidRDefault="00261B7D" w:rsidP="00261B7D">
      <w:pPr>
        <w:spacing w:after="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76DD253C" w14:textId="77777777" w:rsidR="00261B7D" w:rsidRPr="00116940" w:rsidRDefault="00261B7D" w:rsidP="00261B7D">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1CEA59A6" w14:textId="77777777" w:rsidR="00261B7D" w:rsidRDefault="00261B7D" w:rsidP="00261B7D">
      <w:pPr>
        <w:spacing w:after="0" w:line="276" w:lineRule="auto"/>
        <w:jc w:val="both"/>
        <w:rPr>
          <w:rFonts w:ascii="Verdana" w:hAnsi="Verdana"/>
          <w:lang w:val="es-MX"/>
        </w:rPr>
      </w:pPr>
    </w:p>
    <w:p w14:paraId="657DE987" w14:textId="77777777" w:rsidR="00261B7D" w:rsidRPr="008A62D2" w:rsidRDefault="00261B7D" w:rsidP="00261B7D">
      <w:pPr>
        <w:spacing w:after="0" w:line="276" w:lineRule="auto"/>
        <w:jc w:val="both"/>
        <w:rPr>
          <w:rFonts w:ascii="Verdana" w:hAnsi="Verdana"/>
          <w:lang w:val="es-MX"/>
        </w:rPr>
      </w:pPr>
      <w:r w:rsidRPr="00E02524">
        <w:rPr>
          <w:rFonts w:ascii="Verdana" w:hAnsi="Verdana"/>
          <w:lang w:val="es-MX"/>
        </w:rPr>
        <w:t>Cordialmente,</w:t>
      </w:r>
    </w:p>
    <w:p w14:paraId="2A74D109" w14:textId="77777777" w:rsidR="00261B7D" w:rsidRPr="00593A5F" w:rsidRDefault="00261B7D" w:rsidP="00261B7D">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7CB1ACD" w14:textId="03FF5CD4" w:rsidR="003538F5" w:rsidRPr="009E6244" w:rsidRDefault="00640D15" w:rsidP="009E6244">
      <w:pPr>
        <w:widowControl w:val="0"/>
        <w:autoSpaceDE w:val="0"/>
        <w:autoSpaceDN w:val="0"/>
        <w:spacing w:after="0" w:line="276" w:lineRule="auto"/>
        <w:jc w:val="center"/>
        <w:rPr>
          <w:rFonts w:ascii="Verdana" w:hAnsi="Verdana" w:cs="Arial"/>
        </w:rPr>
      </w:pPr>
      <w:r>
        <w:rPr>
          <w:noProof/>
        </w:rPr>
        <w:drawing>
          <wp:inline distT="0" distB="0" distL="0" distR="0" wp14:anchorId="62F07198" wp14:editId="3D42B540">
            <wp:extent cx="3771429" cy="1400000"/>
            <wp:effectExtent l="0" t="0" r="635" b="0"/>
            <wp:docPr id="160314956"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14956" name="Imagen 1" descr="Texto&#10;&#10;El contenido generado por IA puede ser incorrecto."/>
                    <pic:cNvPicPr/>
                  </pic:nvPicPr>
                  <pic:blipFill>
                    <a:blip r:embed="rId19"/>
                    <a:stretch>
                      <a:fillRect/>
                    </a:stretch>
                  </pic:blipFill>
                  <pic:spPr>
                    <a:xfrm>
                      <a:off x="0" y="0"/>
                      <a:ext cx="3771429" cy="1400000"/>
                    </a:xfrm>
                    <a:prstGeom prst="rect">
                      <a:avLst/>
                    </a:prstGeom>
                  </pic:spPr>
                </pic:pic>
              </a:graphicData>
            </a:graphic>
          </wp:inline>
        </w:drawing>
      </w:r>
    </w:p>
    <w:tbl>
      <w:tblPr>
        <w:tblStyle w:val="Tablaconcuadrcula"/>
        <w:tblW w:w="6521" w:type="dxa"/>
        <w:tblLook w:val="04A0" w:firstRow="1" w:lastRow="0" w:firstColumn="1" w:lastColumn="0" w:noHBand="0" w:noVBand="1"/>
      </w:tblPr>
      <w:tblGrid>
        <w:gridCol w:w="893"/>
        <w:gridCol w:w="5628"/>
      </w:tblGrid>
      <w:tr w:rsidR="00261B7D" w:rsidRPr="00D37EBD" w14:paraId="62B6BF0B" w14:textId="77777777" w:rsidTr="0031322D">
        <w:trPr>
          <w:trHeight w:val="315"/>
        </w:trPr>
        <w:tc>
          <w:tcPr>
            <w:tcW w:w="893" w:type="dxa"/>
            <w:tcBorders>
              <w:top w:val="nil"/>
              <w:left w:val="nil"/>
              <w:bottom w:val="nil"/>
              <w:right w:val="nil"/>
            </w:tcBorders>
            <w:vAlign w:val="center"/>
            <w:hideMark/>
          </w:tcPr>
          <w:p w14:paraId="24103BAC" w14:textId="77777777" w:rsidR="00261B7D" w:rsidRPr="00D37EBD" w:rsidRDefault="00261B7D" w:rsidP="000C2089">
            <w:pPr>
              <w:contextualSpacing/>
              <w:rPr>
                <w:rFonts w:ascii="Verdana" w:hAnsi="Verdana" w:cs="Arial"/>
                <w:sz w:val="16"/>
                <w:szCs w:val="16"/>
                <w:lang w:val="es-ES" w:eastAsia="es-ES"/>
              </w:rPr>
            </w:pPr>
            <w:r w:rsidRPr="00D37EBD">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DCDF33A" w14:textId="77777777" w:rsidR="00261B7D" w:rsidRPr="00D37EBD" w:rsidRDefault="00261B7D" w:rsidP="000C2089">
            <w:pPr>
              <w:contextualSpacing/>
              <w:rPr>
                <w:rStyle w:val="normaltextrun"/>
                <w:rFonts w:ascii="Verdana" w:eastAsia="Arial" w:hAnsi="Verdana" w:cs="Arial"/>
                <w:sz w:val="16"/>
                <w:szCs w:val="16"/>
              </w:rPr>
            </w:pPr>
            <w:r w:rsidRPr="00D37EBD">
              <w:rPr>
                <w:rStyle w:val="normaltextrun"/>
                <w:rFonts w:ascii="Verdana" w:eastAsia="Arial" w:hAnsi="Verdana" w:cs="Arial"/>
                <w:sz w:val="16"/>
                <w:szCs w:val="16"/>
              </w:rPr>
              <w:t>Andrea del Pilar Garzón Sánchez.</w:t>
            </w:r>
          </w:p>
          <w:p w14:paraId="00F8C553" w14:textId="77777777" w:rsidR="00261B7D" w:rsidRPr="00D37EBD" w:rsidRDefault="00261B7D" w:rsidP="000C2089">
            <w:pPr>
              <w:contextualSpacing/>
              <w:rPr>
                <w:rFonts w:ascii="Verdana" w:eastAsia="Arial" w:hAnsi="Verdana" w:cs="Arial"/>
                <w:color w:val="7030A0"/>
                <w:sz w:val="16"/>
                <w:szCs w:val="16"/>
              </w:rPr>
            </w:pPr>
            <w:r w:rsidRPr="00D37EBD">
              <w:rPr>
                <w:rStyle w:val="normaltextrun"/>
                <w:rFonts w:ascii="Verdana" w:eastAsia="Arial" w:hAnsi="Verdana" w:cs="Arial"/>
                <w:sz w:val="16"/>
                <w:szCs w:val="16"/>
              </w:rPr>
              <w:t>Contratista de la Subdirección de Gestión Contractual</w:t>
            </w:r>
          </w:p>
        </w:tc>
      </w:tr>
      <w:tr w:rsidR="00261B7D" w:rsidRPr="00D37EBD" w14:paraId="3834C6B4" w14:textId="77777777" w:rsidTr="0031322D">
        <w:trPr>
          <w:trHeight w:val="330"/>
        </w:trPr>
        <w:tc>
          <w:tcPr>
            <w:tcW w:w="893" w:type="dxa"/>
            <w:tcBorders>
              <w:top w:val="nil"/>
              <w:left w:val="nil"/>
              <w:bottom w:val="nil"/>
              <w:right w:val="nil"/>
            </w:tcBorders>
            <w:vAlign w:val="center"/>
            <w:hideMark/>
          </w:tcPr>
          <w:p w14:paraId="17CBE430" w14:textId="77777777" w:rsidR="00261B7D" w:rsidRPr="00D37EBD" w:rsidRDefault="00261B7D" w:rsidP="000C2089">
            <w:pPr>
              <w:contextualSpacing/>
              <w:rPr>
                <w:rFonts w:ascii="Verdana" w:hAnsi="Verdana" w:cs="Arial"/>
                <w:sz w:val="16"/>
                <w:szCs w:val="16"/>
                <w:lang w:val="es-ES" w:eastAsia="es-ES"/>
              </w:rPr>
            </w:pPr>
            <w:r w:rsidRPr="00D37EBD">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3FDC68E" w14:textId="79DB3D3E" w:rsidR="00261B7D" w:rsidRPr="00D37EBD" w:rsidRDefault="00261B7D" w:rsidP="000C2089">
            <w:pPr>
              <w:pStyle w:val="paragraph"/>
              <w:spacing w:before="0" w:beforeAutospacing="0" w:after="0" w:afterAutospacing="0"/>
              <w:contextualSpacing/>
              <w:textAlignment w:val="baseline"/>
              <w:rPr>
                <w:rStyle w:val="normaltextrun"/>
                <w:rFonts w:ascii="Verdana" w:eastAsiaTheme="minorHAnsi" w:hAnsi="Verdana" w:cs="Arial"/>
                <w:sz w:val="16"/>
                <w:szCs w:val="16"/>
                <w:lang w:val="es-ES" w:eastAsia="en-US"/>
              </w:rPr>
            </w:pPr>
            <w:r w:rsidRPr="00D37EBD">
              <w:rPr>
                <w:rStyle w:val="normaltextrun"/>
                <w:rFonts w:ascii="Verdana" w:hAnsi="Verdana" w:cs="Arial"/>
                <w:sz w:val="16"/>
                <w:szCs w:val="16"/>
                <w:lang w:val="es-ES"/>
              </w:rPr>
              <w:t>Diana Lucia Saavedra</w:t>
            </w:r>
          </w:p>
          <w:p w14:paraId="39B6E325" w14:textId="77777777" w:rsidR="00261B7D" w:rsidRPr="00D37EBD" w:rsidRDefault="00261B7D" w:rsidP="000C2089">
            <w:pPr>
              <w:pStyle w:val="paragraph"/>
              <w:spacing w:before="0" w:beforeAutospacing="0" w:after="0" w:afterAutospacing="0"/>
              <w:contextualSpacing/>
              <w:textAlignment w:val="baseline"/>
              <w:rPr>
                <w:rFonts w:ascii="Verdana" w:hAnsi="Verdana" w:cs="Segoe UI"/>
                <w:sz w:val="16"/>
                <w:szCs w:val="16"/>
              </w:rPr>
            </w:pPr>
            <w:r w:rsidRPr="00D37EBD">
              <w:rPr>
                <w:rStyle w:val="normaltextrun"/>
                <w:rFonts w:ascii="Verdana" w:hAnsi="Verdana" w:cs="Arial"/>
                <w:sz w:val="16"/>
                <w:szCs w:val="16"/>
                <w:lang w:val="es-ES"/>
              </w:rPr>
              <w:t>Contratista de la Subdirección de Gestión Contractual</w:t>
            </w:r>
            <w:r w:rsidRPr="00D37EBD">
              <w:rPr>
                <w:rStyle w:val="eop"/>
                <w:rFonts w:ascii="Verdana" w:hAnsi="Verdana" w:cs="Arial"/>
                <w:sz w:val="16"/>
                <w:szCs w:val="16"/>
              </w:rPr>
              <w:t> </w:t>
            </w:r>
          </w:p>
        </w:tc>
      </w:tr>
      <w:tr w:rsidR="00261B7D" w:rsidRPr="00D37EBD" w14:paraId="402AD335" w14:textId="77777777" w:rsidTr="0031322D">
        <w:trPr>
          <w:trHeight w:val="300"/>
        </w:trPr>
        <w:tc>
          <w:tcPr>
            <w:tcW w:w="893" w:type="dxa"/>
            <w:tcBorders>
              <w:top w:val="nil"/>
              <w:left w:val="nil"/>
              <w:bottom w:val="nil"/>
              <w:right w:val="nil"/>
            </w:tcBorders>
            <w:vAlign w:val="center"/>
          </w:tcPr>
          <w:p w14:paraId="5BB7AD13" w14:textId="77777777" w:rsidR="00261B7D" w:rsidRPr="00D37EBD" w:rsidRDefault="00261B7D" w:rsidP="000C2089">
            <w:pPr>
              <w:contextualSpacing/>
              <w:rPr>
                <w:rFonts w:ascii="Verdana" w:hAnsi="Verdana" w:cs="Arial"/>
                <w:sz w:val="16"/>
                <w:szCs w:val="16"/>
                <w:lang w:val="es-ES" w:eastAsia="es-ES"/>
              </w:rPr>
            </w:pPr>
            <w:r w:rsidRPr="00D37EBD">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07788E5" w14:textId="77777777" w:rsidR="00261B7D" w:rsidRPr="00D37EBD" w:rsidRDefault="00261B7D" w:rsidP="000C2089">
            <w:pPr>
              <w:contextualSpacing/>
              <w:rPr>
                <w:rFonts w:ascii="Verdana" w:eastAsia="Calibri" w:hAnsi="Verdana" w:cs="Arial"/>
                <w:sz w:val="16"/>
                <w:szCs w:val="16"/>
                <w:lang w:val="pt-BR" w:eastAsia="es-ES"/>
              </w:rPr>
            </w:pPr>
            <w:r w:rsidRPr="00D37EBD">
              <w:rPr>
                <w:rFonts w:ascii="Verdana" w:eastAsia="Calibri" w:hAnsi="Verdana" w:cs="Arial"/>
                <w:sz w:val="16"/>
                <w:szCs w:val="16"/>
                <w:lang w:val="pt-BR" w:eastAsia="es-ES"/>
              </w:rPr>
              <w:t xml:space="preserve">Carolina Quintero </w:t>
            </w:r>
            <w:proofErr w:type="spellStart"/>
            <w:r w:rsidRPr="00D37EBD">
              <w:rPr>
                <w:rFonts w:ascii="Verdana" w:eastAsia="Calibri" w:hAnsi="Verdana" w:cs="Arial"/>
                <w:sz w:val="16"/>
                <w:szCs w:val="16"/>
                <w:lang w:val="pt-BR" w:eastAsia="es-ES"/>
              </w:rPr>
              <w:t>Gacharná</w:t>
            </w:r>
            <w:proofErr w:type="spellEnd"/>
          </w:p>
          <w:p w14:paraId="74CB8E9B" w14:textId="77777777" w:rsidR="00261B7D" w:rsidRPr="00D37EBD" w:rsidRDefault="00261B7D" w:rsidP="000C2089">
            <w:pPr>
              <w:contextualSpacing/>
              <w:rPr>
                <w:rFonts w:ascii="Verdana" w:eastAsia="Calibri" w:hAnsi="Verdana" w:cs="Arial"/>
                <w:sz w:val="16"/>
                <w:szCs w:val="16"/>
                <w:lang w:val="pt-BR" w:eastAsia="es-ES"/>
              </w:rPr>
            </w:pPr>
            <w:r w:rsidRPr="00D37EBD">
              <w:rPr>
                <w:rFonts w:ascii="Verdana" w:eastAsia="Calibri" w:hAnsi="Verdana" w:cs="Arial"/>
                <w:sz w:val="16"/>
                <w:szCs w:val="16"/>
                <w:lang w:eastAsia="es-ES"/>
              </w:rPr>
              <w:t>Subdirectora</w:t>
            </w:r>
            <w:r w:rsidRPr="00D37EBD">
              <w:rPr>
                <w:rFonts w:ascii="Verdana" w:eastAsia="Calibri" w:hAnsi="Verdana" w:cs="Arial"/>
                <w:sz w:val="16"/>
                <w:szCs w:val="16"/>
                <w:lang w:val="pt-BR" w:eastAsia="es-ES"/>
              </w:rPr>
              <w:t xml:space="preserve"> de Gestión </w:t>
            </w:r>
            <w:proofErr w:type="spellStart"/>
            <w:r w:rsidRPr="00D37EBD">
              <w:rPr>
                <w:rFonts w:ascii="Verdana" w:eastAsia="Calibri" w:hAnsi="Verdana" w:cs="Arial"/>
                <w:sz w:val="16"/>
                <w:szCs w:val="16"/>
                <w:lang w:val="pt-BR" w:eastAsia="es-ES"/>
              </w:rPr>
              <w:t>Contractual</w:t>
            </w:r>
            <w:proofErr w:type="spellEnd"/>
            <w:r w:rsidRPr="00D37EBD">
              <w:rPr>
                <w:rFonts w:ascii="Verdana" w:eastAsia="Calibri" w:hAnsi="Verdana" w:cs="Arial"/>
                <w:sz w:val="16"/>
                <w:szCs w:val="16"/>
                <w:lang w:val="pt-BR" w:eastAsia="es-ES"/>
              </w:rPr>
              <w:t xml:space="preserve"> ANCP – CCE</w:t>
            </w:r>
          </w:p>
        </w:tc>
      </w:tr>
    </w:tbl>
    <w:p w14:paraId="45F57EAE" w14:textId="77777777" w:rsidR="00261B7D" w:rsidRPr="00593A5F" w:rsidRDefault="00261B7D" w:rsidP="00261B7D">
      <w:pPr>
        <w:spacing w:after="0" w:line="240" w:lineRule="auto"/>
        <w:rPr>
          <w:rFonts w:ascii="Verdana" w:eastAsia="Times New Roman" w:hAnsi="Verdana" w:cs="Arial"/>
          <w:sz w:val="24"/>
          <w:szCs w:val="24"/>
          <w:lang w:eastAsia="es-ES"/>
        </w:rPr>
      </w:pPr>
    </w:p>
    <w:p w14:paraId="7609BEA9" w14:textId="77777777" w:rsidR="00261B7D" w:rsidRPr="00871B59" w:rsidRDefault="00261B7D" w:rsidP="00261B7D"/>
    <w:p w14:paraId="12443EE0" w14:textId="77777777" w:rsidR="00C15139" w:rsidRDefault="00C15139" w:rsidP="30821638">
      <w:pPr>
        <w:spacing w:after="0"/>
        <w:rPr>
          <w:rFonts w:ascii="Verdana" w:eastAsia="Verdana" w:hAnsi="Verdana" w:cs="Verdana"/>
        </w:rPr>
      </w:pPr>
    </w:p>
    <w:p w14:paraId="3016C8AA" w14:textId="77777777" w:rsidR="009675F3" w:rsidRDefault="009675F3" w:rsidP="30821638">
      <w:pPr>
        <w:spacing w:after="0"/>
        <w:rPr>
          <w:rFonts w:ascii="Verdana" w:eastAsia="Verdana" w:hAnsi="Verdana" w:cs="Verdana"/>
        </w:rPr>
      </w:pPr>
    </w:p>
    <w:p w14:paraId="73D8CF28" w14:textId="77777777" w:rsidR="009675F3" w:rsidRDefault="009675F3" w:rsidP="30821638">
      <w:pPr>
        <w:spacing w:after="0"/>
        <w:rPr>
          <w:rFonts w:ascii="Verdana" w:eastAsia="Verdana" w:hAnsi="Verdana" w:cs="Verdana"/>
        </w:rPr>
      </w:pPr>
    </w:p>
    <w:p w14:paraId="38555C1E" w14:textId="77777777" w:rsidR="009675F3" w:rsidRDefault="009675F3" w:rsidP="30821638">
      <w:pPr>
        <w:spacing w:after="0"/>
        <w:rPr>
          <w:rFonts w:ascii="Verdana" w:eastAsia="Verdana" w:hAnsi="Verdana" w:cs="Verdana"/>
        </w:rPr>
      </w:pPr>
    </w:p>
    <w:p w14:paraId="63BA2365" w14:textId="77777777" w:rsidR="009675F3" w:rsidRDefault="009675F3" w:rsidP="30821638">
      <w:pPr>
        <w:spacing w:after="0"/>
        <w:rPr>
          <w:rFonts w:ascii="Verdana" w:eastAsia="Verdana" w:hAnsi="Verdana" w:cs="Verdana"/>
        </w:rPr>
      </w:pPr>
    </w:p>
    <w:p w14:paraId="760E67C4" w14:textId="77777777" w:rsidR="009675F3" w:rsidRDefault="009675F3" w:rsidP="30821638">
      <w:pPr>
        <w:spacing w:after="0"/>
        <w:rPr>
          <w:rFonts w:ascii="Verdana" w:eastAsia="Verdana" w:hAnsi="Verdana" w:cs="Verdana"/>
        </w:rPr>
      </w:pPr>
    </w:p>
    <w:bookmarkEnd w:id="0"/>
    <w:p w14:paraId="69BC4D14" w14:textId="64762E7D" w:rsidR="00C15139" w:rsidRPr="000E2B93" w:rsidRDefault="00C15139" w:rsidP="30821638">
      <w:pPr>
        <w:spacing w:after="0" w:line="240" w:lineRule="auto"/>
        <w:textAlignment w:val="baseline"/>
        <w:rPr>
          <w:rFonts w:ascii="Verdana" w:eastAsia="Verdana" w:hAnsi="Verdana" w:cs="Verdana"/>
          <w:lang w:eastAsia="es-CO"/>
        </w:rPr>
      </w:pPr>
    </w:p>
    <w:sectPr w:rsidR="00C15139" w:rsidRPr="000E2B93"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2F47A3" w14:textId="77777777" w:rsidR="00736E80" w:rsidRDefault="00736E80" w:rsidP="004A1847">
      <w:pPr>
        <w:spacing w:after="0" w:line="240" w:lineRule="auto"/>
      </w:pPr>
      <w:r>
        <w:separator/>
      </w:r>
    </w:p>
  </w:endnote>
  <w:endnote w:type="continuationSeparator" w:id="0">
    <w:p w14:paraId="20578FA9" w14:textId="77777777" w:rsidR="00736E80" w:rsidRDefault="00736E8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F1EFCA" w14:textId="77777777" w:rsidR="00736E80" w:rsidRDefault="00736E80" w:rsidP="004A1847">
      <w:pPr>
        <w:spacing w:after="0" w:line="240" w:lineRule="auto"/>
      </w:pPr>
      <w:r>
        <w:separator/>
      </w:r>
    </w:p>
  </w:footnote>
  <w:footnote w:type="continuationSeparator" w:id="0">
    <w:p w14:paraId="363FC0B1" w14:textId="77777777" w:rsidR="00736E80" w:rsidRDefault="00736E80" w:rsidP="004A1847">
      <w:pPr>
        <w:spacing w:after="0" w:line="240" w:lineRule="auto"/>
      </w:pPr>
      <w:r>
        <w:continuationSeparator/>
      </w:r>
    </w:p>
  </w:footnote>
  <w:footnote w:id="1">
    <w:p w14:paraId="672E523A" w14:textId="77777777" w:rsidR="00261B7D" w:rsidRPr="000C2089" w:rsidRDefault="00261B7D" w:rsidP="00261B7D">
      <w:pPr>
        <w:pStyle w:val="Textonotapie"/>
        <w:ind w:firstLine="709"/>
        <w:jc w:val="both"/>
        <w:rPr>
          <w:rFonts w:ascii="Verdana" w:hAnsi="Verdana" w:cs="Arial"/>
          <w:sz w:val="16"/>
          <w:szCs w:val="16"/>
        </w:rPr>
      </w:pPr>
      <w:r w:rsidRPr="000C2089">
        <w:rPr>
          <w:rStyle w:val="Refdenotaalpie"/>
          <w:rFonts w:ascii="Verdana" w:hAnsi="Verdana" w:cs="Arial"/>
          <w:sz w:val="16"/>
          <w:szCs w:val="16"/>
        </w:rPr>
        <w:footnoteRef/>
      </w:r>
      <w:r w:rsidRPr="000C2089">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77156744" w14:textId="77777777" w:rsidR="00261B7D" w:rsidRPr="000C2089" w:rsidRDefault="00261B7D" w:rsidP="00261B7D">
      <w:pPr>
        <w:pStyle w:val="Textonotapie"/>
        <w:ind w:firstLine="709"/>
        <w:jc w:val="both"/>
        <w:rPr>
          <w:rFonts w:ascii="Verdana" w:hAnsi="Verdana" w:cs="Arial"/>
          <w:sz w:val="16"/>
          <w:szCs w:val="16"/>
        </w:rPr>
      </w:pPr>
      <w:r w:rsidRPr="000C2089">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0B2780A3" w14:textId="77777777" w:rsidR="00261B7D" w:rsidRPr="000C2089" w:rsidRDefault="00261B7D" w:rsidP="00261B7D">
      <w:pPr>
        <w:pStyle w:val="Textonotapie"/>
        <w:ind w:firstLine="709"/>
        <w:jc w:val="both"/>
        <w:rPr>
          <w:rFonts w:ascii="Verdana" w:hAnsi="Verdana" w:cs="Arial"/>
          <w:sz w:val="16"/>
          <w:szCs w:val="16"/>
        </w:rPr>
      </w:pPr>
    </w:p>
  </w:footnote>
  <w:footnote w:id="2">
    <w:p w14:paraId="057E941B" w14:textId="77777777" w:rsidR="00261B7D" w:rsidRPr="000C2089" w:rsidRDefault="00261B7D" w:rsidP="00261B7D">
      <w:pPr>
        <w:pStyle w:val="Textonotapie"/>
        <w:ind w:firstLine="709"/>
        <w:jc w:val="both"/>
        <w:rPr>
          <w:rFonts w:ascii="Verdana" w:hAnsi="Verdana" w:cs="Arial"/>
          <w:sz w:val="16"/>
          <w:szCs w:val="16"/>
        </w:rPr>
      </w:pPr>
      <w:r w:rsidRPr="000C2089">
        <w:rPr>
          <w:rStyle w:val="Refdenotaalpie"/>
          <w:rFonts w:ascii="Verdana" w:hAnsi="Verdana" w:cs="Arial"/>
          <w:sz w:val="16"/>
          <w:szCs w:val="16"/>
        </w:rPr>
        <w:footnoteRef/>
      </w:r>
      <w:r w:rsidRPr="000C2089">
        <w:rPr>
          <w:rFonts w:ascii="Verdana" w:hAnsi="Verdana" w:cs="Arial"/>
          <w:sz w:val="16"/>
          <w:szCs w:val="16"/>
        </w:rPr>
        <w:t xml:space="preserve"> Gaceta del Congreso de la República No. 71 del 2005.</w:t>
      </w:r>
    </w:p>
    <w:p w14:paraId="64048DB3" w14:textId="77777777" w:rsidR="00261B7D" w:rsidRPr="000C2089" w:rsidRDefault="00261B7D" w:rsidP="00261B7D">
      <w:pPr>
        <w:pStyle w:val="Textonotapie"/>
        <w:ind w:firstLine="709"/>
        <w:jc w:val="both"/>
        <w:rPr>
          <w:rFonts w:ascii="Verdana" w:hAnsi="Verdana" w:cs="Arial"/>
          <w:sz w:val="16"/>
          <w:szCs w:val="16"/>
        </w:rPr>
      </w:pPr>
    </w:p>
  </w:footnote>
  <w:footnote w:id="3">
    <w:p w14:paraId="1DBCE738" w14:textId="77777777" w:rsidR="00261B7D" w:rsidRPr="000C2089" w:rsidRDefault="00261B7D" w:rsidP="00261B7D">
      <w:pPr>
        <w:pStyle w:val="Textonotapie"/>
        <w:tabs>
          <w:tab w:val="left" w:pos="8145"/>
        </w:tabs>
        <w:ind w:firstLine="709"/>
        <w:jc w:val="both"/>
        <w:rPr>
          <w:rFonts w:ascii="Verdana" w:hAnsi="Verdana" w:cs="Arial"/>
          <w:sz w:val="16"/>
          <w:szCs w:val="16"/>
          <w:lang w:val="pt-PT"/>
        </w:rPr>
      </w:pPr>
      <w:r w:rsidRPr="000C2089">
        <w:rPr>
          <w:rStyle w:val="Refdenotaalpie"/>
          <w:rFonts w:ascii="Verdana" w:hAnsi="Verdana" w:cs="Arial"/>
          <w:sz w:val="16"/>
          <w:szCs w:val="16"/>
        </w:rPr>
        <w:footnoteRef/>
      </w:r>
      <w:r w:rsidRPr="000C2089">
        <w:rPr>
          <w:rFonts w:ascii="Verdana" w:hAnsi="Verdana" w:cs="Arial"/>
          <w:sz w:val="16"/>
          <w:szCs w:val="16"/>
          <w:lang w:val="pt-PT"/>
        </w:rPr>
        <w:t xml:space="preserve"> Corte Constitucional. Sentencia C- 1153 de 2005, </w:t>
      </w:r>
      <w:r w:rsidRPr="000C2089">
        <w:rPr>
          <w:rFonts w:ascii="Verdana" w:hAnsi="Verdana" w:cs="Arial"/>
          <w:sz w:val="16"/>
          <w:szCs w:val="16"/>
          <w:lang w:val="pt-PT"/>
        </w:rPr>
        <w:t>M.P: Marco Gerardo Monroy Cabra.</w:t>
      </w:r>
      <w:r w:rsidRPr="000C2089">
        <w:rPr>
          <w:rFonts w:ascii="Verdana" w:hAnsi="Verdana" w:cs="Arial"/>
          <w:sz w:val="16"/>
          <w:szCs w:val="16"/>
          <w:lang w:val="pt-PT"/>
        </w:rPr>
        <w:tab/>
      </w:r>
    </w:p>
    <w:p w14:paraId="72FF04FD" w14:textId="77777777" w:rsidR="00261B7D" w:rsidRPr="000C2089" w:rsidRDefault="00261B7D" w:rsidP="00261B7D">
      <w:pPr>
        <w:pStyle w:val="Textonotapie"/>
        <w:tabs>
          <w:tab w:val="left" w:pos="8145"/>
        </w:tabs>
        <w:ind w:firstLine="709"/>
        <w:jc w:val="both"/>
        <w:rPr>
          <w:rFonts w:ascii="Verdana" w:hAnsi="Verdana" w:cs="Arial"/>
          <w:sz w:val="16"/>
          <w:szCs w:val="16"/>
          <w:lang w:val="pt-PT"/>
        </w:rPr>
      </w:pPr>
    </w:p>
  </w:footnote>
  <w:footnote w:id="4">
    <w:p w14:paraId="3C6F6036" w14:textId="77777777" w:rsidR="00261B7D" w:rsidRPr="000C2089" w:rsidRDefault="00261B7D" w:rsidP="00261B7D">
      <w:pPr>
        <w:pStyle w:val="Textonotapie"/>
        <w:ind w:firstLine="709"/>
        <w:jc w:val="both"/>
        <w:rPr>
          <w:rFonts w:ascii="Verdana" w:hAnsi="Verdana" w:cs="Arial"/>
          <w:sz w:val="16"/>
          <w:szCs w:val="16"/>
          <w:lang w:val="pt-PT"/>
        </w:rPr>
      </w:pPr>
      <w:r w:rsidRPr="000C2089">
        <w:rPr>
          <w:rStyle w:val="Refdenotaalpie"/>
          <w:rFonts w:ascii="Verdana" w:hAnsi="Verdana" w:cs="Arial"/>
          <w:sz w:val="16"/>
          <w:szCs w:val="16"/>
        </w:rPr>
        <w:footnoteRef/>
      </w:r>
      <w:r w:rsidRPr="000C2089">
        <w:rPr>
          <w:rFonts w:ascii="Verdana" w:hAnsi="Verdana" w:cs="Arial"/>
          <w:sz w:val="16"/>
          <w:szCs w:val="16"/>
          <w:lang w:val="pt-PT"/>
        </w:rPr>
        <w:t xml:space="preserve"> </w:t>
      </w:r>
      <w:r w:rsidRPr="000C2089">
        <w:rPr>
          <w:rFonts w:ascii="Verdana" w:hAnsi="Verdana" w:cs="Arial"/>
          <w:sz w:val="16"/>
          <w:szCs w:val="16"/>
          <w:lang w:val="es-CO"/>
        </w:rPr>
        <w:t xml:space="preserve">Corte Constitucional. Sentencias: C-233 de 4 de abril de 2002. M.P: Álvaro Tafur Galvis; C-551 de 9 de julio de 2003. M.P: Eduardo Montealegre Lynnet; C-353 de 20 de mayo de 2009. M.P: Jorge Iván Palacio </w:t>
      </w:r>
      <w:proofErr w:type="spellStart"/>
      <w:r w:rsidRPr="000C2089">
        <w:rPr>
          <w:rFonts w:ascii="Verdana" w:hAnsi="Verdana" w:cs="Arial"/>
          <w:sz w:val="16"/>
          <w:szCs w:val="16"/>
          <w:lang w:val="es-CO"/>
        </w:rPr>
        <w:t>Palacio</w:t>
      </w:r>
      <w:proofErr w:type="spellEnd"/>
      <w:r w:rsidRPr="000C2089">
        <w:rPr>
          <w:rFonts w:ascii="Verdana" w:hAnsi="Verdana" w:cs="Arial"/>
          <w:sz w:val="16"/>
          <w:szCs w:val="16"/>
          <w:lang w:val="es-CO"/>
        </w:rPr>
        <w:t>; C-541 de 30 de junio de 2010. M.P: Gabriel Eduardo Mendoza Martelo; entre otras.</w:t>
      </w:r>
    </w:p>
    <w:p w14:paraId="17CACCAA" w14:textId="77777777" w:rsidR="00261B7D" w:rsidRPr="000C2089" w:rsidRDefault="00261B7D" w:rsidP="00261B7D">
      <w:pPr>
        <w:pStyle w:val="Textonotapie"/>
        <w:ind w:firstLine="709"/>
        <w:jc w:val="both"/>
        <w:rPr>
          <w:rFonts w:ascii="Verdana" w:hAnsi="Verdana" w:cs="Arial"/>
          <w:sz w:val="16"/>
          <w:szCs w:val="16"/>
          <w:lang w:val="pt-PT"/>
        </w:rPr>
      </w:pPr>
    </w:p>
  </w:footnote>
  <w:footnote w:id="5">
    <w:p w14:paraId="5A1A4F74" w14:textId="77777777" w:rsidR="00261B7D" w:rsidRPr="000C2089" w:rsidRDefault="00261B7D" w:rsidP="00261B7D">
      <w:pPr>
        <w:pStyle w:val="Textonotapie"/>
        <w:ind w:firstLine="709"/>
        <w:jc w:val="both"/>
        <w:rPr>
          <w:rFonts w:ascii="Verdana" w:hAnsi="Verdana" w:cs="Arial"/>
          <w:sz w:val="16"/>
          <w:szCs w:val="16"/>
          <w:lang w:val="es-CO"/>
        </w:rPr>
      </w:pPr>
      <w:r w:rsidRPr="000C2089">
        <w:rPr>
          <w:rStyle w:val="Refdenotaalpie"/>
          <w:rFonts w:ascii="Verdana" w:hAnsi="Verdana" w:cs="Arial"/>
          <w:sz w:val="16"/>
          <w:szCs w:val="16"/>
        </w:rPr>
        <w:footnoteRef/>
      </w:r>
      <w:r w:rsidRPr="000C2089">
        <w:rPr>
          <w:rFonts w:ascii="Verdana" w:hAnsi="Verdana" w:cs="Arial"/>
          <w:sz w:val="16"/>
          <w:szCs w:val="16"/>
          <w:lang w:val="es-CO"/>
        </w:rPr>
        <w:t xml:space="preserve"> Consejo de Estado. Sala de lo Contencioso Administrativo. Sección Primera. Sentencia de 3 de marzo de 2005. Radicado: </w:t>
      </w:r>
      <w:r w:rsidRPr="000C2089">
        <w:rPr>
          <w:rFonts w:ascii="Verdana" w:hAnsi="Verdana" w:cs="Arial"/>
          <w:sz w:val="16"/>
          <w:szCs w:val="16"/>
          <w:lang w:val="es-ES"/>
        </w:rPr>
        <w:t xml:space="preserve">25001-23-15-000-2004-00823-01 (PI). </w:t>
      </w:r>
      <w:r w:rsidRPr="000C2089">
        <w:rPr>
          <w:rFonts w:ascii="Verdana" w:hAnsi="Verdana" w:cs="Arial"/>
          <w:sz w:val="16"/>
          <w:szCs w:val="16"/>
          <w:lang w:val="es-CO"/>
        </w:rPr>
        <w:t>C.P: Camilo Arciniegas Andrade. Ver también, de la Sección Tercera. Sentencia de 22 de enero de 2002, expediente número 2001-0148-01 y, Sección Tercera. Sentencia de 20 de noviembre de 2001, expediente número 2001-0130-01(PI), entre otras.</w:t>
      </w:r>
    </w:p>
    <w:p w14:paraId="3E66E9BC" w14:textId="77777777" w:rsidR="00261B7D" w:rsidRPr="000C2089" w:rsidRDefault="00261B7D" w:rsidP="00261B7D">
      <w:pPr>
        <w:pStyle w:val="Textonotapie"/>
        <w:ind w:firstLine="709"/>
        <w:jc w:val="both"/>
        <w:rPr>
          <w:rFonts w:ascii="Verdana" w:hAnsi="Verdana" w:cs="Arial"/>
          <w:sz w:val="16"/>
          <w:szCs w:val="16"/>
          <w:lang w:val="es-CO"/>
        </w:rPr>
      </w:pPr>
    </w:p>
  </w:footnote>
  <w:footnote w:id="6">
    <w:p w14:paraId="0D21ADE9" w14:textId="77777777" w:rsidR="00261B7D" w:rsidRPr="000C2089" w:rsidRDefault="00261B7D" w:rsidP="00261B7D">
      <w:pPr>
        <w:pStyle w:val="Textonotapie"/>
        <w:ind w:firstLine="709"/>
        <w:jc w:val="both"/>
        <w:rPr>
          <w:rFonts w:ascii="Verdana" w:hAnsi="Verdana" w:cs="Arial"/>
          <w:sz w:val="16"/>
          <w:szCs w:val="16"/>
        </w:rPr>
      </w:pPr>
      <w:r w:rsidRPr="000C2089">
        <w:rPr>
          <w:rStyle w:val="Refdenotaalpie"/>
          <w:rFonts w:ascii="Verdana" w:hAnsi="Verdana" w:cs="Arial"/>
          <w:sz w:val="16"/>
          <w:szCs w:val="16"/>
        </w:rPr>
        <w:footnoteRef/>
      </w:r>
      <w:r w:rsidRPr="000C2089">
        <w:rPr>
          <w:rFonts w:ascii="Verdana" w:hAnsi="Verdana" w:cs="Arial"/>
          <w:sz w:val="16"/>
          <w:szCs w:val="16"/>
        </w:rPr>
        <w:t xml:space="preserve"> Consejo de Estado, Sala de Consulta y Servicio Civil. 24 de julio de 2013. Radicado: </w:t>
      </w:r>
      <w:r w:rsidRPr="000C2089">
        <w:rPr>
          <w:rFonts w:ascii="Verdana" w:hAnsi="Verdana" w:cs="Arial"/>
          <w:sz w:val="16"/>
          <w:szCs w:val="16"/>
          <w:lang w:val="es-CO"/>
        </w:rPr>
        <w:t xml:space="preserve">11001-03-06-000-2013-00407-00 </w:t>
      </w:r>
      <w:r w:rsidRPr="000C2089">
        <w:rPr>
          <w:rFonts w:ascii="Verdana" w:hAnsi="Verdana" w:cs="Arial"/>
          <w:sz w:val="16"/>
          <w:szCs w:val="16"/>
        </w:rPr>
        <w:t xml:space="preserve">(2166). C.P. Álvaro Namén Vargas.  </w:t>
      </w:r>
    </w:p>
    <w:p w14:paraId="60198A9A" w14:textId="77777777" w:rsidR="00261B7D" w:rsidRPr="000C2089" w:rsidRDefault="00261B7D" w:rsidP="00261B7D">
      <w:pPr>
        <w:pStyle w:val="Textonotapie"/>
        <w:ind w:firstLine="709"/>
        <w:jc w:val="both"/>
        <w:rPr>
          <w:rFonts w:ascii="Verdana" w:hAnsi="Verdana" w:cs="Arial"/>
          <w:sz w:val="16"/>
          <w:szCs w:val="16"/>
        </w:rPr>
      </w:pPr>
    </w:p>
  </w:footnote>
  <w:footnote w:id="7">
    <w:p w14:paraId="4EE7104F" w14:textId="77777777" w:rsidR="00261B7D" w:rsidRPr="000C2089" w:rsidRDefault="00261B7D" w:rsidP="00261B7D">
      <w:pPr>
        <w:spacing w:after="0" w:line="240" w:lineRule="auto"/>
        <w:ind w:firstLine="709"/>
        <w:jc w:val="both"/>
        <w:rPr>
          <w:rFonts w:ascii="Verdana" w:eastAsia="Times New Roman" w:hAnsi="Verdana" w:cs="Arial"/>
          <w:sz w:val="16"/>
          <w:szCs w:val="16"/>
        </w:rPr>
      </w:pPr>
      <w:r w:rsidRPr="000C2089">
        <w:rPr>
          <w:rStyle w:val="Refdenotaalpie"/>
          <w:rFonts w:ascii="Verdana" w:hAnsi="Verdana" w:cs="Arial"/>
          <w:sz w:val="16"/>
          <w:szCs w:val="16"/>
        </w:rPr>
        <w:footnoteRef/>
      </w:r>
      <w:r w:rsidRPr="000C2089">
        <w:rPr>
          <w:rFonts w:ascii="Verdana" w:hAnsi="Verdana" w:cs="Arial"/>
          <w:sz w:val="16"/>
          <w:szCs w:val="16"/>
        </w:rPr>
        <w:t xml:space="preserve"> </w:t>
      </w:r>
      <w:bookmarkStart w:id="6" w:name="33"/>
      <w:r w:rsidRPr="000C2089">
        <w:rPr>
          <w:rFonts w:ascii="Verdana" w:eastAsia="Calibri" w:hAnsi="Verdana" w:cs="Arial"/>
          <w:color w:val="000000"/>
          <w:sz w:val="16"/>
          <w:szCs w:val="16"/>
        </w:rPr>
        <w:t>“</w:t>
      </w:r>
      <w:r w:rsidRPr="000C2089">
        <w:rPr>
          <w:rFonts w:ascii="Verdana" w:eastAsia="Times New Roman" w:hAnsi="Verdana" w:cs="Arial"/>
          <w:sz w:val="16"/>
          <w:szCs w:val="16"/>
        </w:rPr>
        <w:t>Artículo 33. Restricciones a la contratación pública.</w:t>
      </w:r>
      <w:bookmarkEnd w:id="6"/>
      <w:r w:rsidRPr="000C2089">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116982CA" w14:textId="77777777" w:rsidR="00261B7D" w:rsidRPr="000C2089" w:rsidRDefault="00261B7D" w:rsidP="00261B7D">
      <w:pPr>
        <w:spacing w:after="0" w:line="240" w:lineRule="auto"/>
        <w:ind w:firstLine="709"/>
        <w:jc w:val="both"/>
        <w:rPr>
          <w:rFonts w:ascii="Verdana" w:eastAsia="Times New Roman" w:hAnsi="Verdana" w:cs="Arial"/>
          <w:sz w:val="16"/>
          <w:szCs w:val="16"/>
        </w:rPr>
      </w:pPr>
      <w:r w:rsidRPr="000C2089">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17CB3BED" w14:textId="77777777" w:rsidR="00261B7D" w:rsidRPr="000C2089" w:rsidRDefault="00261B7D" w:rsidP="00261B7D">
      <w:pPr>
        <w:spacing w:after="0" w:line="240" w:lineRule="auto"/>
        <w:ind w:firstLine="709"/>
        <w:jc w:val="both"/>
        <w:rPr>
          <w:rFonts w:ascii="Verdana" w:eastAsia="Times New Roman" w:hAnsi="Verdana" w:cs="Arial"/>
          <w:sz w:val="16"/>
          <w:szCs w:val="16"/>
        </w:rPr>
      </w:pPr>
    </w:p>
  </w:footnote>
  <w:footnote w:id="8">
    <w:p w14:paraId="6AC6C3F1" w14:textId="77777777" w:rsidR="00261B7D" w:rsidRPr="000C2089" w:rsidRDefault="00261B7D" w:rsidP="000C2089">
      <w:pPr>
        <w:pStyle w:val="NormalWeb"/>
        <w:spacing w:before="0" w:beforeAutospacing="0" w:after="0" w:afterAutospacing="0"/>
        <w:ind w:firstLine="709"/>
        <w:jc w:val="both"/>
        <w:rPr>
          <w:rFonts w:ascii="Verdana" w:hAnsi="Verdana" w:cs="Arial"/>
          <w:sz w:val="16"/>
          <w:szCs w:val="16"/>
          <w:lang w:val="es-MX"/>
        </w:rPr>
      </w:pPr>
      <w:r w:rsidRPr="000C2089">
        <w:rPr>
          <w:rStyle w:val="Refdenotaalpie"/>
          <w:rFonts w:ascii="Verdana" w:eastAsiaTheme="majorEastAsia" w:hAnsi="Verdana" w:cs="Arial"/>
          <w:sz w:val="16"/>
          <w:szCs w:val="16"/>
        </w:rPr>
        <w:footnoteRef/>
      </w:r>
      <w:r w:rsidRPr="000C2089">
        <w:rPr>
          <w:rFonts w:ascii="Verdana" w:hAnsi="Verdana" w:cs="Arial"/>
          <w:sz w:val="16"/>
          <w:szCs w:val="16"/>
        </w:rPr>
        <w:t xml:space="preserve"> </w:t>
      </w:r>
      <w:bookmarkStart w:id="7" w:name="38"/>
      <w:r w:rsidRPr="000C2089">
        <w:rPr>
          <w:rFonts w:ascii="Verdana" w:eastAsia="Calibri" w:hAnsi="Verdana" w:cs="Arial"/>
          <w:color w:val="000000"/>
          <w:sz w:val="16"/>
          <w:szCs w:val="16"/>
        </w:rPr>
        <w:t>“</w:t>
      </w:r>
      <w:r w:rsidRPr="000C2089">
        <w:rPr>
          <w:rFonts w:ascii="Verdana" w:hAnsi="Verdana" w:cs="Arial"/>
          <w:sz w:val="16"/>
          <w:szCs w:val="16"/>
          <w:lang w:val="es-MX"/>
        </w:rPr>
        <w:t>Artículo 38. Prohibiciones para los servidores públicos. A los empleados del Estado les está prohibido:</w:t>
      </w:r>
      <w:bookmarkEnd w:id="7"/>
    </w:p>
    <w:p w14:paraId="6657F460" w14:textId="77777777" w:rsidR="00261B7D" w:rsidRPr="000C2089" w:rsidRDefault="00261B7D" w:rsidP="000C2089">
      <w:pPr>
        <w:pStyle w:val="NormalWeb"/>
        <w:spacing w:before="0" w:beforeAutospacing="0" w:after="0" w:afterAutospacing="0"/>
        <w:ind w:firstLine="709"/>
        <w:jc w:val="both"/>
        <w:rPr>
          <w:rFonts w:ascii="Verdana" w:hAnsi="Verdana" w:cs="Arial"/>
          <w:sz w:val="16"/>
          <w:szCs w:val="16"/>
          <w:lang w:val="es-MX"/>
        </w:rPr>
      </w:pPr>
      <w:r w:rsidRPr="000C2089">
        <w:rPr>
          <w:rFonts w:ascii="Verdana" w:hAnsi="Verdana" w:cs="Arial"/>
          <w:sz w:val="16"/>
          <w:szCs w:val="16"/>
          <w:lang w:val="es-MX"/>
        </w:rPr>
        <w:t>(…)</w:t>
      </w:r>
    </w:p>
    <w:p w14:paraId="5747026E" w14:textId="77777777" w:rsidR="00261B7D" w:rsidRPr="000C2089" w:rsidRDefault="00261B7D" w:rsidP="000C2089">
      <w:pPr>
        <w:pStyle w:val="NormalWeb"/>
        <w:spacing w:before="0" w:beforeAutospacing="0" w:after="0" w:afterAutospacing="0"/>
        <w:ind w:firstLine="709"/>
        <w:jc w:val="both"/>
        <w:rPr>
          <w:rFonts w:ascii="Verdana" w:eastAsia="Calibri" w:hAnsi="Verdana" w:cs="Arial"/>
          <w:color w:val="000000"/>
          <w:sz w:val="16"/>
          <w:szCs w:val="16"/>
        </w:rPr>
      </w:pPr>
      <w:r w:rsidRPr="000C2089">
        <w:rPr>
          <w:rStyle w:val="baj"/>
          <w:rFonts w:ascii="Verdana" w:hAnsi="Verdana" w:cs="Arial"/>
          <w:sz w:val="16"/>
          <w:szCs w:val="16"/>
          <w:lang w:val="es-MX"/>
        </w:rPr>
        <w:t>Parágrafo.</w:t>
      </w:r>
      <w:r w:rsidRPr="000C2089">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0C2089">
        <w:rPr>
          <w:rFonts w:ascii="Verdana" w:eastAsia="Calibri" w:hAnsi="Verdana" w:cs="Arial"/>
          <w:color w:val="000000"/>
          <w:sz w:val="16"/>
          <w:szCs w:val="16"/>
        </w:rPr>
        <w:t>”.</w:t>
      </w:r>
    </w:p>
    <w:p w14:paraId="5A3523F4" w14:textId="77777777" w:rsidR="00261B7D" w:rsidRPr="000C2089" w:rsidRDefault="00261B7D" w:rsidP="000C2089">
      <w:pPr>
        <w:pStyle w:val="NormalWeb"/>
        <w:spacing w:before="0" w:beforeAutospacing="0" w:after="0" w:afterAutospacing="0"/>
        <w:ind w:firstLine="709"/>
        <w:jc w:val="both"/>
        <w:rPr>
          <w:rFonts w:ascii="Verdana" w:hAnsi="Verdana" w:cs="Arial"/>
          <w:sz w:val="16"/>
          <w:szCs w:val="16"/>
          <w:lang w:val="es-MX"/>
        </w:rPr>
      </w:pPr>
    </w:p>
  </w:footnote>
  <w:footnote w:id="9">
    <w:p w14:paraId="155BA4A6" w14:textId="77777777" w:rsidR="001A26D6" w:rsidRPr="0045744A" w:rsidRDefault="001A26D6" w:rsidP="00944391">
      <w:pPr>
        <w:tabs>
          <w:tab w:val="left" w:pos="2127"/>
        </w:tabs>
        <w:spacing w:after="0" w:line="240" w:lineRule="auto"/>
        <w:ind w:left="100" w:right="244" w:firstLine="709"/>
        <w:jc w:val="both"/>
        <w:rPr>
          <w:rFonts w:ascii="Verdana" w:hAnsi="Verdana" w:cs="Arial"/>
          <w:sz w:val="16"/>
          <w:szCs w:val="16"/>
        </w:rPr>
      </w:pPr>
      <w:r w:rsidRPr="00944391">
        <w:rPr>
          <w:rStyle w:val="Refdenotaalpie"/>
          <w:rFonts w:ascii="Verdana" w:hAnsi="Verdana" w:cs="Arial"/>
          <w:sz w:val="16"/>
          <w:szCs w:val="16"/>
        </w:rPr>
        <w:footnoteRef/>
      </w:r>
      <w:r w:rsidRPr="00944391">
        <w:rPr>
          <w:rFonts w:ascii="Verdana" w:hAnsi="Verdana" w:cs="Arial"/>
          <w:sz w:val="16"/>
          <w:szCs w:val="16"/>
        </w:rPr>
        <w:t xml:space="preserve"> Consejo de Estado. Sala de Consulta y Servicio Civil. Concepto del 17 de febrero de 2015. Radicado: 11001-03-06-000-2015-00164-00 (2269). C.P. William Zambrano Cetina.</w:t>
      </w:r>
    </w:p>
    <w:p w14:paraId="77C82FCB" w14:textId="77777777" w:rsidR="001A26D6" w:rsidRPr="0045744A" w:rsidRDefault="001A26D6" w:rsidP="0045744A">
      <w:pPr>
        <w:spacing w:after="0" w:line="240" w:lineRule="auto"/>
        <w:ind w:left="100" w:right="244" w:firstLine="709"/>
        <w:jc w:val="both"/>
        <w:rPr>
          <w:rFonts w:ascii="Verdana" w:hAnsi="Verdana" w:cs="Arial"/>
          <w:sz w:val="16"/>
          <w:szCs w:val="16"/>
          <w:lang w:val="es-ES"/>
        </w:rPr>
      </w:pPr>
    </w:p>
  </w:footnote>
  <w:footnote w:id="10">
    <w:p w14:paraId="43B13A5B" w14:textId="0B2AB5D3" w:rsidR="00261B7D" w:rsidRPr="000C2089" w:rsidRDefault="00261B7D" w:rsidP="00261B7D">
      <w:pPr>
        <w:pStyle w:val="Textonotapie"/>
        <w:ind w:firstLine="708"/>
        <w:jc w:val="both"/>
        <w:rPr>
          <w:rFonts w:ascii="Verdana" w:hAnsi="Verdana" w:cs="Arial"/>
          <w:sz w:val="16"/>
          <w:szCs w:val="16"/>
        </w:rPr>
      </w:pPr>
      <w:r w:rsidRPr="000C2089">
        <w:rPr>
          <w:rStyle w:val="Refdenotaalpie"/>
          <w:rFonts w:ascii="Verdana" w:hAnsi="Verdana" w:cs="Arial"/>
          <w:sz w:val="16"/>
          <w:szCs w:val="16"/>
        </w:rPr>
        <w:footnoteRef/>
      </w:r>
      <w:r w:rsidRPr="000C2089">
        <w:rPr>
          <w:rFonts w:ascii="Verdana" w:hAnsi="Verdana" w:cs="Arial"/>
          <w:sz w:val="16"/>
          <w:szCs w:val="16"/>
        </w:rPr>
        <w:t xml:space="preserve"> </w:t>
      </w:r>
      <w:r w:rsidR="00944391">
        <w:rPr>
          <w:rFonts w:ascii="Verdana" w:hAnsi="Verdana" w:cs="Arial"/>
          <w:sz w:val="16"/>
          <w:szCs w:val="16"/>
        </w:rPr>
        <w:t>Agencia Nacional de Contratación Pública -</w:t>
      </w:r>
      <w:r>
        <w:rPr>
          <w:rFonts w:ascii="Verdana" w:hAnsi="Verdana" w:cs="Arial"/>
          <w:sz w:val="16"/>
          <w:szCs w:val="16"/>
        </w:rPr>
        <w:t xml:space="preserve"> </w:t>
      </w:r>
      <w:r w:rsidRPr="000C2089">
        <w:rPr>
          <w:rFonts w:ascii="Verdana" w:hAnsi="Verdana" w:cs="Arial"/>
          <w:sz w:val="16"/>
          <w:szCs w:val="16"/>
        </w:rPr>
        <w:t xml:space="preserve">Colombia Compra Eficiente. Circular Externa Única. Numeral 16.5. </w:t>
      </w:r>
    </w:p>
  </w:footnote>
  <w:footnote w:id="11">
    <w:p w14:paraId="2E23FE53" w14:textId="77777777" w:rsidR="00261B7D" w:rsidRPr="000C2089" w:rsidRDefault="00261B7D" w:rsidP="00261B7D">
      <w:pPr>
        <w:pStyle w:val="Textonotapie"/>
        <w:ind w:firstLine="709"/>
        <w:jc w:val="both"/>
        <w:rPr>
          <w:rFonts w:ascii="Verdana" w:hAnsi="Verdana" w:cs="Arial"/>
          <w:sz w:val="16"/>
          <w:szCs w:val="16"/>
        </w:rPr>
      </w:pPr>
      <w:r w:rsidRPr="000C2089">
        <w:rPr>
          <w:rStyle w:val="Refdenotaalpie"/>
          <w:rFonts w:ascii="Verdana" w:hAnsi="Verdana" w:cs="Arial"/>
          <w:sz w:val="16"/>
          <w:szCs w:val="16"/>
        </w:rPr>
        <w:footnoteRef/>
      </w:r>
      <w:r w:rsidRPr="000C2089">
        <w:rPr>
          <w:rFonts w:ascii="Verdana" w:hAnsi="Verdana" w:cs="Arial"/>
          <w:sz w:val="16"/>
          <w:szCs w:val="16"/>
        </w:rPr>
        <w:t xml:space="preserve"> “</w:t>
      </w:r>
      <w:r w:rsidRPr="000C2089">
        <w:rPr>
          <w:rFonts w:ascii="Verdana" w:hAnsi="Verdana" w:cs="Arial"/>
          <w:sz w:val="16"/>
          <w:szCs w:val="16"/>
          <w:lang w:val="es-ES"/>
        </w:rPr>
        <w:t xml:space="preserve">[25] </w:t>
      </w:r>
      <w:r w:rsidRPr="000C2089">
        <w:rPr>
          <w:rFonts w:ascii="Verdana" w:hAnsi="Verdana" w:cs="Arial"/>
          <w:sz w:val="16"/>
          <w:szCs w:val="16"/>
        </w:rPr>
        <w:t>Cfr. Consejo de Estado. Sección Tercera. Sentencia de 3 de diciembre de 2007. Radicados: 24.715, 25.206, 25.409, 24.524, 27.834, 25.410, 26.105, 28.244, 31.447 -acumulados-“.</w:t>
      </w:r>
    </w:p>
    <w:p w14:paraId="35E07B20" w14:textId="77777777" w:rsidR="00261B7D" w:rsidRPr="000C2089" w:rsidRDefault="00261B7D" w:rsidP="00261B7D">
      <w:pPr>
        <w:pStyle w:val="Textonotapie"/>
        <w:ind w:firstLine="709"/>
        <w:jc w:val="both"/>
        <w:rPr>
          <w:rFonts w:ascii="Verdana" w:hAnsi="Verdana" w:cs="Arial"/>
          <w:sz w:val="16"/>
          <w:szCs w:val="16"/>
        </w:rPr>
      </w:pPr>
    </w:p>
  </w:footnote>
  <w:footnote w:id="12">
    <w:p w14:paraId="7FE048F5" w14:textId="77777777" w:rsidR="00261B7D" w:rsidRPr="000C2089" w:rsidRDefault="00261B7D" w:rsidP="00261B7D">
      <w:pPr>
        <w:pStyle w:val="Textonotapie"/>
        <w:ind w:firstLine="709"/>
        <w:jc w:val="both"/>
        <w:rPr>
          <w:rFonts w:ascii="Verdana" w:hAnsi="Verdana" w:cs="Arial"/>
          <w:sz w:val="16"/>
          <w:szCs w:val="16"/>
        </w:rPr>
      </w:pPr>
      <w:r w:rsidRPr="000C2089">
        <w:rPr>
          <w:rStyle w:val="Refdenotaalpie"/>
          <w:rFonts w:ascii="Verdana" w:hAnsi="Verdana" w:cs="Arial"/>
          <w:sz w:val="16"/>
          <w:szCs w:val="16"/>
        </w:rPr>
        <w:footnoteRef/>
      </w:r>
      <w:r w:rsidRPr="000C2089">
        <w:rPr>
          <w:rFonts w:ascii="Verdana" w:hAnsi="Verdana" w:cs="Arial"/>
          <w:sz w:val="16"/>
          <w:szCs w:val="16"/>
        </w:rPr>
        <w:t xml:space="preserve"> </w:t>
      </w:r>
      <w:bookmarkStart w:id="10" w:name="_Hlk74294506"/>
      <w:r w:rsidRPr="000C2089">
        <w:rPr>
          <w:rFonts w:ascii="Verdana" w:hAnsi="Verdana" w:cs="Arial"/>
          <w:sz w:val="16"/>
          <w:szCs w:val="16"/>
        </w:rPr>
        <w:t>“</w:t>
      </w:r>
      <w:r w:rsidRPr="000C2089">
        <w:rPr>
          <w:rFonts w:ascii="Verdana" w:hAnsi="Verdana" w:cs="Arial"/>
          <w:sz w:val="16"/>
          <w:szCs w:val="16"/>
          <w:lang w:val="es-ES"/>
        </w:rPr>
        <w:t xml:space="preserve">[26] </w:t>
      </w:r>
      <w:bookmarkEnd w:id="10"/>
      <w:r w:rsidRPr="000C2089">
        <w:rPr>
          <w:rFonts w:ascii="Verdana" w:hAnsi="Verdana" w:cs="Arial"/>
          <w:sz w:val="16"/>
          <w:szCs w:val="16"/>
        </w:rPr>
        <w:t>Al respecto ver el concepto 1712 de 2 de febrero de 2006. Consejo de Estado Sala de Consulta y Servicio Civil”.</w:t>
      </w:r>
    </w:p>
    <w:p w14:paraId="5A5BEECA" w14:textId="77777777" w:rsidR="00261B7D" w:rsidRPr="000C2089" w:rsidRDefault="00261B7D" w:rsidP="00261B7D">
      <w:pPr>
        <w:pStyle w:val="Textonotapie"/>
        <w:ind w:firstLine="709"/>
        <w:jc w:val="both"/>
        <w:rPr>
          <w:rFonts w:ascii="Verdana" w:hAnsi="Verdana" w:cs="Arial"/>
          <w:sz w:val="16"/>
          <w:szCs w:val="16"/>
        </w:rPr>
      </w:pPr>
    </w:p>
  </w:footnote>
  <w:footnote w:id="13">
    <w:p w14:paraId="13E4AB1B" w14:textId="77777777" w:rsidR="00261B7D" w:rsidRPr="000C2089" w:rsidRDefault="00261B7D" w:rsidP="00261B7D">
      <w:pPr>
        <w:pStyle w:val="Textonotapie"/>
        <w:ind w:firstLine="709"/>
        <w:jc w:val="both"/>
        <w:rPr>
          <w:rFonts w:ascii="Verdana" w:hAnsi="Verdana" w:cs="Arial"/>
          <w:sz w:val="16"/>
          <w:szCs w:val="16"/>
        </w:rPr>
      </w:pPr>
      <w:r w:rsidRPr="000C2089">
        <w:rPr>
          <w:rStyle w:val="Refdenotaalpie"/>
          <w:rFonts w:ascii="Verdana" w:hAnsi="Verdana" w:cs="Arial"/>
          <w:sz w:val="16"/>
          <w:szCs w:val="16"/>
        </w:rPr>
        <w:footnoteRef/>
      </w:r>
      <w:r w:rsidRPr="000C2089">
        <w:rPr>
          <w:rFonts w:ascii="Verdana" w:hAnsi="Verdana" w:cs="Arial"/>
          <w:sz w:val="16"/>
          <w:szCs w:val="16"/>
        </w:rPr>
        <w:t xml:space="preserve"> Consejo de Estado. Sala de Consulta y Servicio Civil. Concepto del 2 de septiembre de 2013. Radicación número: 11001-03-06-000-2013-00412-00 (2168). C.P: Álvaro Namén Vargas.</w:t>
      </w:r>
    </w:p>
    <w:p w14:paraId="4684D79E" w14:textId="77777777" w:rsidR="00261B7D" w:rsidRPr="000C2089" w:rsidRDefault="00261B7D" w:rsidP="00261B7D">
      <w:pPr>
        <w:pStyle w:val="Textonotapie"/>
        <w:ind w:firstLine="709"/>
        <w:jc w:val="both"/>
        <w:rPr>
          <w:rFonts w:ascii="Verdana" w:hAnsi="Verdana" w:cs="Arial"/>
          <w:sz w:val="16"/>
          <w:szCs w:val="16"/>
        </w:rPr>
      </w:pPr>
    </w:p>
  </w:footnote>
  <w:footnote w:id="14">
    <w:p w14:paraId="715093B3" w14:textId="77777777" w:rsidR="00261B7D" w:rsidRPr="000C2089" w:rsidRDefault="00261B7D" w:rsidP="00261B7D">
      <w:pPr>
        <w:pStyle w:val="Textonotapie"/>
        <w:ind w:firstLine="709"/>
        <w:rPr>
          <w:rFonts w:ascii="Verdana" w:hAnsi="Verdana" w:cs="Arial"/>
          <w:sz w:val="16"/>
          <w:szCs w:val="16"/>
          <w:lang w:val="es-ES"/>
        </w:rPr>
      </w:pPr>
      <w:r w:rsidRPr="000C2089">
        <w:rPr>
          <w:rStyle w:val="Refdenotaalpie"/>
          <w:rFonts w:ascii="Verdana" w:hAnsi="Verdana" w:cs="Arial"/>
          <w:sz w:val="16"/>
          <w:szCs w:val="16"/>
        </w:rPr>
        <w:footnoteRef/>
      </w:r>
      <w:r w:rsidRPr="000C2089">
        <w:rPr>
          <w:rFonts w:ascii="Verdana" w:hAnsi="Verdana" w:cs="Arial"/>
          <w:sz w:val="16"/>
          <w:szCs w:val="16"/>
        </w:rPr>
        <w:t xml:space="preserve"> </w:t>
      </w:r>
      <w:r w:rsidRPr="000C2089">
        <w:rPr>
          <w:rFonts w:ascii="Verdana" w:hAnsi="Verdana" w:cs="Arial"/>
          <w:sz w:val="16"/>
          <w:szCs w:val="16"/>
          <w:lang w:val="es-ES"/>
        </w:rPr>
        <w:t xml:space="preserve">Artículo 2. </w:t>
      </w:r>
    </w:p>
    <w:p w14:paraId="3B3F28EC" w14:textId="77777777" w:rsidR="00261B7D" w:rsidRPr="000C2089" w:rsidRDefault="00261B7D" w:rsidP="00261B7D">
      <w:pPr>
        <w:pStyle w:val="Textonotapie"/>
        <w:ind w:firstLine="709"/>
        <w:rPr>
          <w:rFonts w:ascii="Verdana" w:hAnsi="Verdana" w:cs="Arial"/>
          <w:sz w:val="16"/>
          <w:szCs w:val="16"/>
          <w:lang w:val="es-ES"/>
        </w:rPr>
      </w:pPr>
    </w:p>
  </w:footnote>
  <w:footnote w:id="15">
    <w:p w14:paraId="0111B8FC" w14:textId="77777777" w:rsidR="00261B7D" w:rsidRPr="000C2089" w:rsidRDefault="00261B7D" w:rsidP="00261B7D">
      <w:pPr>
        <w:pStyle w:val="Textonotapie"/>
        <w:ind w:firstLine="709"/>
        <w:rPr>
          <w:rFonts w:ascii="Verdana" w:hAnsi="Verdana" w:cs="Arial"/>
          <w:sz w:val="16"/>
          <w:szCs w:val="16"/>
          <w:lang w:val="es-ES"/>
        </w:rPr>
      </w:pPr>
      <w:r w:rsidRPr="000C2089">
        <w:rPr>
          <w:rStyle w:val="Refdenotaalpie"/>
          <w:rFonts w:ascii="Verdana" w:hAnsi="Verdana" w:cs="Arial"/>
          <w:sz w:val="16"/>
          <w:szCs w:val="16"/>
        </w:rPr>
        <w:footnoteRef/>
      </w:r>
      <w:r w:rsidRPr="000C2089">
        <w:rPr>
          <w:rFonts w:ascii="Verdana" w:hAnsi="Verdana" w:cs="Arial"/>
          <w:sz w:val="16"/>
          <w:szCs w:val="16"/>
        </w:rPr>
        <w:t xml:space="preserve"> </w:t>
      </w:r>
      <w:r w:rsidRPr="000C2089">
        <w:rPr>
          <w:rFonts w:ascii="Verdana" w:hAnsi="Verdana" w:cs="Arial"/>
          <w:i/>
          <w:sz w:val="16"/>
          <w:szCs w:val="16"/>
          <w:lang w:val="es-ES"/>
        </w:rPr>
        <w:t>Ídem</w:t>
      </w:r>
      <w:r w:rsidRPr="000C2089">
        <w:rPr>
          <w:rFonts w:ascii="Verdana" w:hAnsi="Verdana" w:cs="Arial"/>
          <w:sz w:val="16"/>
          <w:szCs w:val="16"/>
          <w:lang w:val="es-ES"/>
        </w:rPr>
        <w:t>.</w:t>
      </w:r>
    </w:p>
    <w:p w14:paraId="1FF24775" w14:textId="77777777" w:rsidR="00261B7D" w:rsidRPr="000C2089" w:rsidRDefault="00261B7D" w:rsidP="00261B7D">
      <w:pPr>
        <w:pStyle w:val="Textonotapie"/>
        <w:ind w:firstLine="709"/>
        <w:rPr>
          <w:rFonts w:ascii="Verdana" w:hAnsi="Verdana" w:cs="Arial"/>
          <w:sz w:val="16"/>
          <w:szCs w:val="16"/>
          <w:lang w:val="es-ES"/>
        </w:rPr>
      </w:pPr>
    </w:p>
  </w:footnote>
  <w:footnote w:id="16">
    <w:p w14:paraId="2CAC17EB" w14:textId="77777777" w:rsidR="00261B7D" w:rsidRPr="000C2089" w:rsidRDefault="00261B7D" w:rsidP="00261B7D">
      <w:pPr>
        <w:pStyle w:val="Textonotapie"/>
        <w:ind w:firstLine="709"/>
        <w:rPr>
          <w:rFonts w:ascii="Verdana" w:hAnsi="Verdana" w:cs="Arial"/>
          <w:sz w:val="16"/>
          <w:szCs w:val="16"/>
          <w:lang w:val="es-ES"/>
        </w:rPr>
      </w:pPr>
      <w:r w:rsidRPr="000C2089">
        <w:rPr>
          <w:rStyle w:val="Refdenotaalpie"/>
          <w:rFonts w:ascii="Verdana" w:hAnsi="Verdana" w:cs="Arial"/>
          <w:sz w:val="16"/>
          <w:szCs w:val="16"/>
        </w:rPr>
        <w:footnoteRef/>
      </w:r>
      <w:r w:rsidRPr="000C2089">
        <w:rPr>
          <w:rStyle w:val="Refdenotaalpie"/>
          <w:rFonts w:ascii="Verdana" w:hAnsi="Verdana" w:cs="Arial"/>
          <w:sz w:val="16"/>
          <w:szCs w:val="16"/>
        </w:rPr>
        <w:t xml:space="preserve"> </w:t>
      </w:r>
      <w:r w:rsidRPr="000C2089">
        <w:rPr>
          <w:rFonts w:ascii="Verdana" w:hAnsi="Verdana" w:cs="Arial"/>
          <w:sz w:val="16"/>
          <w:szCs w:val="16"/>
          <w:lang w:val="es-ES"/>
        </w:rPr>
        <w:t xml:space="preserve">[…] A este respecto, cabe recordar que el artículo 860 del Código de Comercio regula la licitación en el derecho privado. </w:t>
      </w:r>
    </w:p>
    <w:p w14:paraId="611E4B21" w14:textId="77777777" w:rsidR="00261B7D" w:rsidRPr="000C2089" w:rsidRDefault="00261B7D" w:rsidP="00261B7D">
      <w:pPr>
        <w:pStyle w:val="Textonotapie"/>
        <w:ind w:firstLine="709"/>
        <w:rPr>
          <w:rFonts w:ascii="Verdana" w:hAnsi="Verdana" w:cs="Arial"/>
          <w:sz w:val="16"/>
          <w:szCs w:val="16"/>
          <w:lang w:val="es-ES"/>
        </w:rPr>
      </w:pPr>
    </w:p>
  </w:footnote>
  <w:footnote w:id="17">
    <w:p w14:paraId="62350E62" w14:textId="77777777" w:rsidR="00261B7D" w:rsidRPr="000C2089" w:rsidRDefault="00261B7D" w:rsidP="00261B7D">
      <w:pPr>
        <w:shd w:val="clear" w:color="auto" w:fill="FFFFFF"/>
        <w:spacing w:after="0" w:line="240" w:lineRule="auto"/>
        <w:ind w:firstLine="709"/>
        <w:jc w:val="both"/>
        <w:rPr>
          <w:rFonts w:ascii="Verdana" w:hAnsi="Verdana" w:cs="Arial"/>
          <w:sz w:val="16"/>
          <w:szCs w:val="16"/>
          <w:lang w:val="es-ES"/>
        </w:rPr>
      </w:pPr>
      <w:r w:rsidRPr="000C2089">
        <w:rPr>
          <w:rStyle w:val="Refdenotaalpie"/>
          <w:rFonts w:ascii="Verdana" w:hAnsi="Verdana" w:cs="Arial"/>
          <w:sz w:val="16"/>
          <w:szCs w:val="16"/>
        </w:rPr>
        <w:footnoteRef/>
      </w:r>
      <w:r w:rsidRPr="000C2089">
        <w:rPr>
          <w:rStyle w:val="Refdenotaalpie"/>
          <w:rFonts w:ascii="Verdana" w:hAnsi="Verdana" w:cs="Arial"/>
          <w:sz w:val="16"/>
          <w:szCs w:val="16"/>
        </w:rPr>
        <w:t xml:space="preserve"> </w:t>
      </w:r>
      <w:r w:rsidRPr="000C2089">
        <w:rPr>
          <w:rFonts w:ascii="Verdana" w:hAnsi="Verdana" w:cs="Arial"/>
          <w:sz w:val="16"/>
          <w:szCs w:val="16"/>
          <w:lang w:val="es-ES"/>
        </w:rPr>
        <w:t>Consejo de Estado. Sala de Consulta y Servicio Civil, Concepto de 8 de mayo de 2018. Radicación Número: 11001-03-06-000-2018-00095-00 (2382). C.P: Álvaro Namén Vargas.</w:t>
      </w:r>
    </w:p>
    <w:p w14:paraId="2875C295" w14:textId="77777777" w:rsidR="00261B7D" w:rsidRPr="000C2089" w:rsidRDefault="00261B7D" w:rsidP="00261B7D">
      <w:pPr>
        <w:shd w:val="clear" w:color="auto" w:fill="FFFFFF"/>
        <w:spacing w:after="0" w:line="240" w:lineRule="auto"/>
        <w:ind w:firstLine="709"/>
        <w:jc w:val="both"/>
        <w:rPr>
          <w:rFonts w:ascii="Verdana" w:hAnsi="Verdana" w:cs="Arial"/>
          <w:sz w:val="16"/>
          <w:szCs w:val="16"/>
          <w:lang w:val="es-ES"/>
        </w:rPr>
      </w:pPr>
    </w:p>
  </w:footnote>
  <w:footnote w:id="18">
    <w:p w14:paraId="48B6A712" w14:textId="77777777" w:rsidR="00261B7D" w:rsidRPr="000C2089" w:rsidRDefault="00261B7D" w:rsidP="00261B7D">
      <w:pPr>
        <w:pStyle w:val="Textonotapie"/>
        <w:ind w:firstLine="709"/>
        <w:jc w:val="both"/>
        <w:rPr>
          <w:rFonts w:ascii="Verdana" w:hAnsi="Verdana" w:cs="Arial"/>
          <w:sz w:val="16"/>
          <w:szCs w:val="16"/>
        </w:rPr>
      </w:pPr>
      <w:r w:rsidRPr="000C2089">
        <w:rPr>
          <w:rStyle w:val="Refdenotaalpie"/>
          <w:rFonts w:ascii="Verdana" w:hAnsi="Verdana" w:cs="Arial"/>
          <w:sz w:val="16"/>
          <w:szCs w:val="16"/>
        </w:rPr>
        <w:footnoteRef/>
      </w:r>
      <w:r w:rsidRPr="000C2089">
        <w:rPr>
          <w:rFonts w:ascii="Verdana" w:hAnsi="Verdana" w:cs="Arial"/>
          <w:sz w:val="16"/>
          <w:szCs w:val="16"/>
        </w:rPr>
        <w:t xml:space="preserve"> Consejo de Estado. Sala de Consulta y Servicio Civil. Concepto del 08 de mayo de 2018. Exp. 2.382. C.P. Álvaro Namén Vargas.</w:t>
      </w:r>
    </w:p>
    <w:p w14:paraId="22342852" w14:textId="77777777" w:rsidR="00261B7D" w:rsidRPr="000C2089" w:rsidRDefault="00261B7D" w:rsidP="00261B7D">
      <w:pPr>
        <w:pStyle w:val="Textonotapie"/>
        <w:ind w:firstLine="709"/>
        <w:jc w:val="both"/>
        <w:rPr>
          <w:rFonts w:ascii="Verdana" w:hAnsi="Verdana" w:cs="Arial"/>
          <w:sz w:val="16"/>
          <w:szCs w:val="16"/>
        </w:rPr>
      </w:pPr>
    </w:p>
  </w:footnote>
  <w:footnote w:id="19">
    <w:p w14:paraId="45FB8FE8" w14:textId="785EE8F0" w:rsidR="00261B7D" w:rsidRPr="000C2089" w:rsidRDefault="00261B7D" w:rsidP="009A3DB2">
      <w:pPr>
        <w:pStyle w:val="Textonotapie"/>
        <w:ind w:firstLine="709"/>
        <w:rPr>
          <w:rFonts w:ascii="Verdana" w:hAnsi="Verdana"/>
          <w:sz w:val="16"/>
          <w:szCs w:val="16"/>
        </w:rPr>
      </w:pPr>
      <w:r w:rsidRPr="000C2089">
        <w:rPr>
          <w:rStyle w:val="Refdenotaalpie"/>
          <w:rFonts w:ascii="Verdana" w:hAnsi="Verdana"/>
          <w:sz w:val="16"/>
          <w:szCs w:val="16"/>
        </w:rPr>
        <w:footnoteRef/>
      </w:r>
      <w:r w:rsidRPr="000C2089">
        <w:rPr>
          <w:rFonts w:ascii="Verdana" w:hAnsi="Verdana"/>
          <w:sz w:val="16"/>
          <w:szCs w:val="16"/>
        </w:rPr>
        <w:t xml:space="preserve"> </w:t>
      </w:r>
      <w:r w:rsidRPr="000C2089">
        <w:rPr>
          <w:rFonts w:ascii="Verdana" w:hAnsi="Verdana"/>
          <w:sz w:val="16"/>
          <w:szCs w:val="16"/>
          <w:lang w:val="es-ES"/>
        </w:rPr>
        <w:t xml:space="preserve">Agencia Nacional de Contratación Pública. Circular Externa 006 del 25 de septiembre de 2025. Disponible en </w:t>
      </w:r>
      <w:hyperlink r:id="rId1" w:history="1">
        <w:r w:rsidRPr="000C2089">
          <w:rPr>
            <w:rStyle w:val="Hipervnculo"/>
            <w:rFonts w:ascii="Verdana" w:hAnsi="Verdana"/>
            <w:sz w:val="16"/>
            <w:szCs w:val="16"/>
            <w:lang w:val="es-CO"/>
          </w:rPr>
          <w:t>006-de-2025-Circular-Externa-L996-ajustado-comentarios-BM-BID-Rev-ARSC-V3.d-1.pdf</w:t>
        </w:r>
      </w:hyperlink>
    </w:p>
    <w:p w14:paraId="5ECC8102" w14:textId="77777777" w:rsidR="00261B7D" w:rsidRPr="000C2089" w:rsidRDefault="00261B7D" w:rsidP="00261B7D">
      <w:pPr>
        <w:pStyle w:val="Textonotapie"/>
        <w:rPr>
          <w:rFonts w:ascii="Verdana" w:hAnsi="Verdana"/>
          <w:sz w:val="16"/>
          <w:szCs w:val="16"/>
          <w:lang w:val="es-ES"/>
        </w:rPr>
      </w:pPr>
    </w:p>
  </w:footnote>
  <w:footnote w:id="20">
    <w:p w14:paraId="667E1FBD" w14:textId="77777777" w:rsidR="00261B7D" w:rsidRPr="000C2089" w:rsidRDefault="00261B7D" w:rsidP="00261B7D">
      <w:pPr>
        <w:spacing w:after="0" w:line="240" w:lineRule="auto"/>
        <w:ind w:firstLine="709"/>
        <w:jc w:val="both"/>
        <w:rPr>
          <w:rFonts w:ascii="Verdana" w:hAnsi="Verdana" w:cs="Arial"/>
          <w:color w:val="000000" w:themeColor="text1"/>
          <w:sz w:val="16"/>
          <w:szCs w:val="16"/>
        </w:rPr>
      </w:pPr>
      <w:r w:rsidRPr="000C2089">
        <w:rPr>
          <w:rStyle w:val="Refdenotaalpie"/>
          <w:rFonts w:ascii="Verdana" w:hAnsi="Verdana" w:cs="Arial"/>
          <w:color w:val="000000" w:themeColor="text1"/>
          <w:sz w:val="16"/>
          <w:szCs w:val="16"/>
        </w:rPr>
        <w:footnoteRef/>
      </w:r>
      <w:r w:rsidRPr="000C2089">
        <w:rPr>
          <w:rFonts w:ascii="Verdana" w:hAnsi="Verdana" w:cs="Arial"/>
          <w:color w:val="000000" w:themeColor="text1"/>
          <w:sz w:val="16"/>
          <w:szCs w:val="16"/>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0F9472B9" w14:textId="77777777" w:rsidR="00261B7D" w:rsidRPr="000C2089" w:rsidRDefault="00261B7D" w:rsidP="00261B7D">
      <w:pPr>
        <w:spacing w:after="0" w:line="240" w:lineRule="auto"/>
        <w:ind w:firstLine="709"/>
        <w:jc w:val="both"/>
        <w:rPr>
          <w:rFonts w:ascii="Verdana" w:hAnsi="Verdana" w:cs="Arial"/>
          <w:color w:val="000000" w:themeColor="text1"/>
          <w:sz w:val="16"/>
          <w:szCs w:val="16"/>
        </w:rPr>
      </w:pPr>
    </w:p>
  </w:footnote>
  <w:footnote w:id="21">
    <w:p w14:paraId="4D01ED9C" w14:textId="77777777" w:rsidR="00261B7D" w:rsidRPr="000C2089" w:rsidRDefault="00261B7D" w:rsidP="00261B7D">
      <w:pPr>
        <w:pStyle w:val="Textonotapie"/>
        <w:ind w:firstLine="709"/>
        <w:jc w:val="both"/>
        <w:rPr>
          <w:rFonts w:ascii="Verdana" w:hAnsi="Verdana" w:cs="Arial"/>
          <w:sz w:val="16"/>
          <w:szCs w:val="16"/>
        </w:rPr>
      </w:pPr>
      <w:r w:rsidRPr="000C2089">
        <w:rPr>
          <w:rStyle w:val="Refdenotaalpie"/>
          <w:rFonts w:ascii="Verdana" w:hAnsi="Verdana" w:cs="Arial"/>
          <w:sz w:val="16"/>
          <w:szCs w:val="16"/>
        </w:rPr>
        <w:footnoteRef/>
      </w:r>
      <w:r w:rsidRPr="000C2089">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p w14:paraId="5E0561AC" w14:textId="77777777" w:rsidR="00261B7D" w:rsidRPr="000C2089" w:rsidRDefault="00261B7D" w:rsidP="00261B7D">
      <w:pPr>
        <w:pStyle w:val="Textonotapie"/>
        <w:ind w:firstLine="709"/>
        <w:jc w:val="both"/>
        <w:rPr>
          <w:rFonts w:ascii="Verdana" w:hAnsi="Verdana" w:cs="Arial"/>
          <w:sz w:val="16"/>
          <w:szCs w:val="16"/>
        </w:rPr>
      </w:pPr>
    </w:p>
  </w:footnote>
  <w:footnote w:id="22">
    <w:p w14:paraId="0F80E1D3" w14:textId="77777777" w:rsidR="00261B7D" w:rsidRPr="000C2089" w:rsidRDefault="00261B7D" w:rsidP="00261B7D">
      <w:pPr>
        <w:pStyle w:val="Textonotapie"/>
        <w:ind w:firstLine="708"/>
        <w:jc w:val="both"/>
        <w:rPr>
          <w:rFonts w:ascii="Verdana" w:hAnsi="Verdana" w:cs="Arial"/>
          <w:sz w:val="16"/>
          <w:szCs w:val="16"/>
        </w:rPr>
      </w:pPr>
      <w:r w:rsidRPr="000C2089">
        <w:rPr>
          <w:rStyle w:val="Refdenotaalpie"/>
          <w:rFonts w:ascii="Verdana" w:hAnsi="Verdana" w:cs="Arial"/>
          <w:sz w:val="16"/>
          <w:szCs w:val="16"/>
        </w:rPr>
        <w:footnoteRef/>
      </w:r>
      <w:r w:rsidRPr="000C2089">
        <w:rPr>
          <w:rFonts w:ascii="Verdana" w:hAnsi="Verdana" w:cs="Arial"/>
          <w:sz w:val="16"/>
          <w:szCs w:val="16"/>
        </w:rPr>
        <w:t xml:space="preserve"> Consejo de Estado. Sala de Consulta y Servicio Civil. Concepto del 18 de febrero 2010. Rad. 11001-03-06-000-2010-00006-00 (1985). C.P. Enrique José Arboleda Perdomo.</w:t>
      </w:r>
    </w:p>
    <w:p w14:paraId="5E640310" w14:textId="77777777" w:rsidR="00261B7D" w:rsidRPr="000C2089" w:rsidRDefault="00261B7D" w:rsidP="00261B7D">
      <w:pPr>
        <w:pStyle w:val="Textonotapie"/>
        <w:ind w:firstLine="708"/>
        <w:jc w:val="both"/>
        <w:rPr>
          <w:rFonts w:ascii="Verdana" w:hAnsi="Verdana" w:cs="Arial"/>
          <w:sz w:val="16"/>
          <w:szCs w:val="16"/>
        </w:rPr>
      </w:pPr>
    </w:p>
  </w:footnote>
  <w:footnote w:id="23">
    <w:p w14:paraId="3DD66B7B" w14:textId="77777777" w:rsidR="00261B7D" w:rsidRPr="000C2089" w:rsidRDefault="00261B7D" w:rsidP="00261B7D">
      <w:pPr>
        <w:pStyle w:val="Textonotapie"/>
        <w:ind w:firstLine="708"/>
        <w:jc w:val="both"/>
        <w:rPr>
          <w:rFonts w:ascii="Verdana" w:hAnsi="Verdana" w:cs="Arial"/>
          <w:sz w:val="16"/>
          <w:szCs w:val="16"/>
        </w:rPr>
      </w:pPr>
      <w:r w:rsidRPr="000C2089">
        <w:rPr>
          <w:rStyle w:val="Refdenotaalpie"/>
          <w:rFonts w:ascii="Verdana" w:hAnsi="Verdana" w:cs="Arial"/>
          <w:sz w:val="16"/>
          <w:szCs w:val="16"/>
        </w:rPr>
        <w:footnoteRef/>
      </w:r>
      <w:r w:rsidRPr="000C2089">
        <w:rPr>
          <w:rFonts w:ascii="Verdana" w:hAnsi="Verdana" w:cs="Arial"/>
          <w:sz w:val="16"/>
          <w:szCs w:val="16"/>
        </w:rPr>
        <w:t xml:space="preserve"> Corte Constitucional. Sentencia C-1153 de 2005 M.P. Marco Gerardo Monroy Cabra. </w:t>
      </w:r>
    </w:p>
    <w:p w14:paraId="65E63263" w14:textId="77777777" w:rsidR="00261B7D" w:rsidRPr="000C2089" w:rsidRDefault="00261B7D" w:rsidP="00261B7D">
      <w:pPr>
        <w:pStyle w:val="Textonotapie"/>
        <w:ind w:firstLine="708"/>
        <w:jc w:val="both"/>
        <w:rPr>
          <w:rFonts w:ascii="Verdana" w:hAnsi="Verdana" w:cs="Arial"/>
          <w:sz w:val="16"/>
          <w:szCs w:val="16"/>
        </w:rPr>
      </w:pPr>
    </w:p>
  </w:footnote>
  <w:footnote w:id="24">
    <w:p w14:paraId="41A1B4EB" w14:textId="77777777" w:rsidR="00A23190" w:rsidRPr="00944391" w:rsidRDefault="00A23190">
      <w:pPr>
        <w:pStyle w:val="Textonotapie"/>
        <w:ind w:firstLine="708"/>
        <w:jc w:val="both"/>
        <w:rPr>
          <w:rFonts w:ascii="Verdana" w:hAnsi="Verdana" w:cs="Arial"/>
          <w:color w:val="000000" w:themeColor="text1"/>
          <w:sz w:val="16"/>
          <w:szCs w:val="16"/>
          <w:lang w:val="es-ES"/>
        </w:rPr>
      </w:pPr>
      <w:r w:rsidRPr="0045744A">
        <w:rPr>
          <w:rStyle w:val="Refdenotaalpie"/>
          <w:rFonts w:ascii="Verdana" w:hAnsi="Verdana" w:cs="Arial"/>
          <w:color w:val="000000" w:themeColor="text1"/>
          <w:sz w:val="16"/>
          <w:szCs w:val="16"/>
        </w:rPr>
        <w:footnoteRef/>
      </w:r>
      <w:r w:rsidRPr="0045744A">
        <w:rPr>
          <w:rFonts w:ascii="Verdana" w:hAnsi="Verdana" w:cs="Arial"/>
          <w:color w:val="000000" w:themeColor="text1"/>
          <w:sz w:val="16"/>
          <w:szCs w:val="16"/>
        </w:rPr>
        <w:t xml:space="preserve"> </w:t>
      </w:r>
      <w:r w:rsidRPr="0045744A">
        <w:rPr>
          <w:rFonts w:ascii="Verdana" w:hAnsi="Verdana" w:cs="Arial"/>
          <w:color w:val="000000" w:themeColor="text1"/>
          <w:sz w:val="16"/>
          <w:szCs w:val="16"/>
          <w:lang w:val="es-CO"/>
        </w:rPr>
        <w:t>«</w:t>
      </w:r>
      <w:r w:rsidRPr="0045744A">
        <w:rPr>
          <w:rFonts w:ascii="Verdana" w:hAnsi="Verdana" w:cs="Arial"/>
          <w:color w:val="000000" w:themeColor="text1"/>
          <w:sz w:val="16"/>
          <w:szCs w:val="16"/>
        </w:rPr>
        <w:t xml:space="preserve">Artículo 197. Empresas sociales de salud de carácter territorial. Las entidades territoriales deberán disponer, dentro de los seis (6) meses siguientes a la fecha de vigencia de esta Ley, la reestructuración de las entidades descentralizadas cuyo objeto principal sea la prestación de servicios de salud, con </w:t>
      </w:r>
      <w:r w:rsidRPr="00944391">
        <w:rPr>
          <w:rFonts w:ascii="Verdana" w:hAnsi="Verdana" w:cs="Arial"/>
          <w:color w:val="000000" w:themeColor="text1"/>
          <w:sz w:val="16"/>
          <w:szCs w:val="16"/>
        </w:rPr>
        <w:t>el fin de adecuarlas a lo dispuesto en este capítulo.</w:t>
      </w:r>
    </w:p>
  </w:footnote>
  <w:footnote w:id="25">
    <w:p w14:paraId="4B27DE99" w14:textId="77777777" w:rsidR="00261B7D" w:rsidRPr="000C2089" w:rsidRDefault="00261B7D" w:rsidP="00261B7D">
      <w:pPr>
        <w:pStyle w:val="Textonotapie"/>
        <w:ind w:firstLine="709"/>
        <w:jc w:val="both"/>
        <w:rPr>
          <w:rFonts w:ascii="Verdana" w:hAnsi="Verdana"/>
          <w:sz w:val="16"/>
          <w:szCs w:val="16"/>
          <w:lang w:val="es-CO"/>
        </w:rPr>
      </w:pPr>
      <w:r w:rsidRPr="000C2089">
        <w:rPr>
          <w:rStyle w:val="Refdenotaalpie"/>
          <w:rFonts w:ascii="Verdana" w:hAnsi="Verdana"/>
          <w:sz w:val="16"/>
          <w:szCs w:val="16"/>
        </w:rPr>
        <w:footnoteRef/>
      </w:r>
      <w:r w:rsidRPr="000C2089">
        <w:rPr>
          <w:rFonts w:ascii="Verdana" w:hAnsi="Verdana"/>
          <w:sz w:val="16"/>
          <w:szCs w:val="16"/>
        </w:rPr>
        <w:t xml:space="preserve"> </w:t>
      </w:r>
      <w:r w:rsidRPr="000C2089">
        <w:rPr>
          <w:rFonts w:ascii="Verdana" w:hAnsi="Verdana"/>
          <w:sz w:val="16"/>
          <w:szCs w:val="16"/>
          <w:lang w:val="es-ES"/>
        </w:rPr>
        <w:t xml:space="preserve">Ley 100 de 1993. </w:t>
      </w:r>
      <w:r w:rsidRPr="000C2089">
        <w:rPr>
          <w:rFonts w:ascii="Verdana" w:hAnsi="Verdana"/>
          <w:sz w:val="16"/>
          <w:szCs w:val="16"/>
          <w:lang w:val="es-CO"/>
        </w:rPr>
        <w:t>Artículo</w:t>
      </w:r>
      <w:bookmarkStart w:id="16" w:name="194"/>
      <w:bookmarkEnd w:id="16"/>
      <w:r w:rsidRPr="000C2089">
        <w:rPr>
          <w:rFonts w:ascii="Verdana" w:hAnsi="Verdana"/>
          <w:sz w:val="16"/>
          <w:szCs w:val="16"/>
          <w:lang w:val="es-CO"/>
        </w:rPr>
        <w:t> 194. Naturaleza. La prestación de servicios de salud en forma directa por la Nación o por las entidades territoriales, se hará a través de las Empresas Sociales del Estado, que constituyen una categoría especial de entidad pública descentralizada, con personería jurídica, patrimonio propio y autonomía administrativa, creadas por la</w:t>
      </w:r>
      <w:bookmarkStart w:id="17" w:name="LPHit237"/>
      <w:bookmarkEnd w:id="17"/>
      <w:r w:rsidRPr="000C2089">
        <w:rPr>
          <w:rFonts w:ascii="Verdana" w:hAnsi="Verdana"/>
          <w:sz w:val="16"/>
          <w:szCs w:val="16"/>
          <w:lang w:val="es-CO"/>
        </w:rPr>
        <w:t> Ley o por las asambleas o concejos, según el caso, sometidas al régimen jurídico previsto en este capítulo.</w:t>
      </w:r>
    </w:p>
    <w:p w14:paraId="53937D3B" w14:textId="77777777" w:rsidR="00261B7D" w:rsidRPr="000C2089" w:rsidRDefault="00261B7D" w:rsidP="00261B7D">
      <w:pPr>
        <w:pStyle w:val="Textonotapie"/>
        <w:ind w:firstLine="709"/>
        <w:jc w:val="both"/>
        <w:rPr>
          <w:rFonts w:ascii="Verdana" w:hAnsi="Verdana"/>
          <w:sz w:val="16"/>
          <w:szCs w:val="16"/>
          <w:lang w:val="es-CO"/>
        </w:rPr>
      </w:pPr>
    </w:p>
  </w:footnote>
  <w:footnote w:id="26">
    <w:p w14:paraId="5C381E9E" w14:textId="77777777" w:rsidR="00261B7D" w:rsidRPr="000C2089" w:rsidRDefault="00261B7D" w:rsidP="000C2089">
      <w:pPr>
        <w:pStyle w:val="Textonotapie"/>
        <w:ind w:firstLine="708"/>
        <w:jc w:val="both"/>
        <w:rPr>
          <w:rFonts w:ascii="Verdana" w:hAnsi="Verdana" w:cs="Arial"/>
          <w:color w:val="000000" w:themeColor="text1"/>
          <w:sz w:val="16"/>
          <w:szCs w:val="16"/>
          <w:lang w:val="es-CO"/>
        </w:rPr>
      </w:pPr>
      <w:r w:rsidRPr="000C2089">
        <w:rPr>
          <w:rStyle w:val="Refdenotaalpie"/>
          <w:rFonts w:ascii="Verdana" w:hAnsi="Verdana" w:cs="Arial"/>
          <w:color w:val="000000" w:themeColor="text1"/>
          <w:sz w:val="16"/>
          <w:szCs w:val="16"/>
          <w:lang w:val="es-CO"/>
        </w:rPr>
        <w:footnoteRef/>
      </w:r>
      <w:r w:rsidRPr="000C2089">
        <w:rPr>
          <w:rFonts w:ascii="Verdana" w:hAnsi="Verdana" w:cs="Arial"/>
          <w:color w:val="000000" w:themeColor="text1"/>
          <w:sz w:val="16"/>
          <w:szCs w:val="16"/>
          <w:lang w:val="es-CO"/>
        </w:rPr>
        <w:t xml:space="preserve"> “Artículo 197. Empresas sociales de salud de carácter territorial. Las entidades territoriales deberán disponer, dentro de los seis (6) meses siguientes a la fecha de vigencia de esta Ley, la reestructuración de las entidades descentralizadas cuyo objeto principal sea la prestación de servicios de salud, con el fin de adecuarlas a lo dispuesto en este capítulo”.</w:t>
      </w:r>
    </w:p>
  </w:footnote>
  <w:footnote w:id="27">
    <w:p w14:paraId="6FFB7999" w14:textId="77777777" w:rsidR="00261B7D" w:rsidRPr="000C2089" w:rsidRDefault="00261B7D" w:rsidP="000C2089">
      <w:pPr>
        <w:pStyle w:val="Textonotapie"/>
        <w:ind w:firstLine="708"/>
        <w:jc w:val="both"/>
        <w:rPr>
          <w:rFonts w:ascii="Verdana" w:hAnsi="Verdana" w:cs="Arial"/>
          <w:color w:val="000000" w:themeColor="text1"/>
          <w:sz w:val="16"/>
          <w:szCs w:val="16"/>
          <w:lang w:val="es-CO"/>
        </w:rPr>
      </w:pPr>
      <w:r w:rsidRPr="000C2089">
        <w:rPr>
          <w:rStyle w:val="Refdenotaalpie"/>
          <w:rFonts w:ascii="Verdana" w:hAnsi="Verdana" w:cs="Arial"/>
          <w:color w:val="000000" w:themeColor="text1"/>
          <w:sz w:val="16"/>
          <w:szCs w:val="16"/>
          <w:lang w:val="es-CO"/>
        </w:rPr>
        <w:footnoteRef/>
      </w:r>
      <w:r w:rsidRPr="000C2089">
        <w:rPr>
          <w:rFonts w:ascii="Verdana" w:hAnsi="Verdana" w:cs="Arial"/>
          <w:color w:val="000000" w:themeColor="text1"/>
          <w:sz w:val="16"/>
          <w:szCs w:val="16"/>
          <w:lang w:val="es-CO"/>
        </w:rPr>
        <w:t xml:space="preserve"> El artículo 2.8.8.1.4.2 del Decreto 780 de 2016 dispone que “Para efectos de la aplicación del presente Capítulo, entiéndase por Autoridades Sanitarias del </w:t>
      </w:r>
      <w:proofErr w:type="spellStart"/>
      <w:r w:rsidRPr="000C2089">
        <w:rPr>
          <w:rFonts w:ascii="Verdana" w:hAnsi="Verdana" w:cs="Arial"/>
          <w:color w:val="000000" w:themeColor="text1"/>
          <w:sz w:val="16"/>
          <w:szCs w:val="16"/>
          <w:lang w:val="es-CO"/>
        </w:rPr>
        <w:t>Sivigila</w:t>
      </w:r>
      <w:proofErr w:type="spellEnd"/>
      <w:r w:rsidRPr="000C2089">
        <w:rPr>
          <w:rFonts w:ascii="Verdana" w:hAnsi="Verdana" w:cs="Arial"/>
          <w:color w:val="000000" w:themeColor="text1"/>
          <w:sz w:val="16"/>
          <w:szCs w:val="16"/>
          <w:lang w:val="es-CO"/>
        </w:rPr>
        <w:t xml:space="preserve">, el Ministerio de Salud y Protección Social; el Instituto Nacional de Salud (INS); el Instituto Nacional de Vigilancia de Medicamentos y Alimentos (Invima), las Direcciones Territoriales de Salud, </w:t>
      </w:r>
      <w:r w:rsidRPr="000C2089">
        <w:rPr>
          <w:rFonts w:ascii="Verdana" w:hAnsi="Verdana" w:cs="Arial"/>
          <w:i/>
          <w:color w:val="000000" w:themeColor="text1"/>
          <w:sz w:val="16"/>
          <w:szCs w:val="16"/>
          <w:lang w:val="es-CO"/>
        </w:rPr>
        <w:t>y todas aquellas entidades que de acuerdo con la ley ejerzan funciones de vigilancia y control sanitario</w:t>
      </w:r>
      <w:r w:rsidRPr="000C2089">
        <w:rPr>
          <w:rFonts w:ascii="Verdana" w:hAnsi="Verdana" w:cs="Arial"/>
          <w:color w:val="000000" w:themeColor="text1"/>
          <w:sz w:val="16"/>
          <w:szCs w:val="16"/>
          <w:lang w:val="es-CO"/>
        </w:rPr>
        <w:t xml:space="preserve">, las cuales deben adoptar medidas sanitarias que garanticen la protección de la salud pública y el cumplimiento de lo dispuesto en esta norma, así como adelantar los procedimientos y aplicar las sanciones a que hubiere lugar» (Énfasis fuera de texto).  </w:t>
      </w:r>
    </w:p>
    <w:p w14:paraId="1D74D97F" w14:textId="77777777" w:rsidR="00261B7D" w:rsidRPr="000C2089" w:rsidRDefault="00261B7D" w:rsidP="000C2089">
      <w:pPr>
        <w:pStyle w:val="Textonotapie"/>
        <w:ind w:firstLine="708"/>
        <w:jc w:val="both"/>
        <w:rPr>
          <w:rFonts w:ascii="Verdana" w:hAnsi="Verdana" w:cs="Arial"/>
          <w:color w:val="000000" w:themeColor="text1"/>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15pt;height:13.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8033242"/>
    <w:multiLevelType w:val="hybridMultilevel"/>
    <w:tmpl w:val="7AAEE6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8960ED7"/>
    <w:multiLevelType w:val="hybridMultilevel"/>
    <w:tmpl w:val="FEC0AF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3"/>
  </w:num>
  <w:num w:numId="14" w16cid:durableId="895897244">
    <w:abstractNumId w:val="15"/>
  </w:num>
  <w:num w:numId="15" w16cid:durableId="390349800">
    <w:abstractNumId w:val="10"/>
  </w:num>
  <w:num w:numId="16" w16cid:durableId="341274352">
    <w:abstractNumId w:val="0"/>
  </w:num>
  <w:num w:numId="17" w16cid:durableId="534537855">
    <w:abstractNumId w:val="11"/>
  </w:num>
  <w:num w:numId="18" w16cid:durableId="39570959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C2089"/>
    <w:rsid w:val="000D0334"/>
    <w:rsid w:val="000D5DA7"/>
    <w:rsid w:val="000F6486"/>
    <w:rsid w:val="00116940"/>
    <w:rsid w:val="00125105"/>
    <w:rsid w:val="00127233"/>
    <w:rsid w:val="0015699B"/>
    <w:rsid w:val="001645F5"/>
    <w:rsid w:val="001727B0"/>
    <w:rsid w:val="00196209"/>
    <w:rsid w:val="001A26D6"/>
    <w:rsid w:val="001A33BF"/>
    <w:rsid w:val="001E4177"/>
    <w:rsid w:val="001F0B24"/>
    <w:rsid w:val="001F7DC6"/>
    <w:rsid w:val="0022400B"/>
    <w:rsid w:val="002421BB"/>
    <w:rsid w:val="0024647D"/>
    <w:rsid w:val="0025796E"/>
    <w:rsid w:val="00261B7D"/>
    <w:rsid w:val="002707A2"/>
    <w:rsid w:val="002951A0"/>
    <w:rsid w:val="002962BC"/>
    <w:rsid w:val="002A0169"/>
    <w:rsid w:val="002A093D"/>
    <w:rsid w:val="002A0DD0"/>
    <w:rsid w:val="002A49AC"/>
    <w:rsid w:val="002A64FD"/>
    <w:rsid w:val="002B0932"/>
    <w:rsid w:val="002C7A84"/>
    <w:rsid w:val="002E2BF8"/>
    <w:rsid w:val="002E4FD9"/>
    <w:rsid w:val="0030657A"/>
    <w:rsid w:val="00310C76"/>
    <w:rsid w:val="00322A85"/>
    <w:rsid w:val="00324168"/>
    <w:rsid w:val="00330834"/>
    <w:rsid w:val="003448F4"/>
    <w:rsid w:val="003538F5"/>
    <w:rsid w:val="00362436"/>
    <w:rsid w:val="00374F5E"/>
    <w:rsid w:val="00377E3E"/>
    <w:rsid w:val="003A779E"/>
    <w:rsid w:val="003B03AD"/>
    <w:rsid w:val="003C0A47"/>
    <w:rsid w:val="003D0F4D"/>
    <w:rsid w:val="003D5B0D"/>
    <w:rsid w:val="003E0499"/>
    <w:rsid w:val="003E4F80"/>
    <w:rsid w:val="003E6439"/>
    <w:rsid w:val="003F3941"/>
    <w:rsid w:val="003F69B0"/>
    <w:rsid w:val="00401ADE"/>
    <w:rsid w:val="00406575"/>
    <w:rsid w:val="00414C74"/>
    <w:rsid w:val="0042722E"/>
    <w:rsid w:val="00433851"/>
    <w:rsid w:val="0044528D"/>
    <w:rsid w:val="0045744A"/>
    <w:rsid w:val="00457DD8"/>
    <w:rsid w:val="00466E39"/>
    <w:rsid w:val="00467450"/>
    <w:rsid w:val="00471ED3"/>
    <w:rsid w:val="004A1847"/>
    <w:rsid w:val="004A305D"/>
    <w:rsid w:val="004F21C4"/>
    <w:rsid w:val="004F685F"/>
    <w:rsid w:val="00507DB2"/>
    <w:rsid w:val="00511F74"/>
    <w:rsid w:val="005566E8"/>
    <w:rsid w:val="00574867"/>
    <w:rsid w:val="00591460"/>
    <w:rsid w:val="005A65E0"/>
    <w:rsid w:val="005C3777"/>
    <w:rsid w:val="005C5CDC"/>
    <w:rsid w:val="005D476C"/>
    <w:rsid w:val="006200BF"/>
    <w:rsid w:val="006219F8"/>
    <w:rsid w:val="006302F7"/>
    <w:rsid w:val="00640D15"/>
    <w:rsid w:val="00646B9F"/>
    <w:rsid w:val="00665D70"/>
    <w:rsid w:val="006900D9"/>
    <w:rsid w:val="006A6190"/>
    <w:rsid w:val="006C625D"/>
    <w:rsid w:val="006D45E7"/>
    <w:rsid w:val="00706C16"/>
    <w:rsid w:val="007340C3"/>
    <w:rsid w:val="00736E80"/>
    <w:rsid w:val="0075235A"/>
    <w:rsid w:val="00756841"/>
    <w:rsid w:val="007649AB"/>
    <w:rsid w:val="00771D0C"/>
    <w:rsid w:val="007833AC"/>
    <w:rsid w:val="00796D0D"/>
    <w:rsid w:val="007A382A"/>
    <w:rsid w:val="007B268C"/>
    <w:rsid w:val="007B7171"/>
    <w:rsid w:val="007C0C0F"/>
    <w:rsid w:val="007C3DC2"/>
    <w:rsid w:val="007E5497"/>
    <w:rsid w:val="008041F2"/>
    <w:rsid w:val="00806F5F"/>
    <w:rsid w:val="00820278"/>
    <w:rsid w:val="008258C9"/>
    <w:rsid w:val="00844AE9"/>
    <w:rsid w:val="008501FF"/>
    <w:rsid w:val="00850478"/>
    <w:rsid w:val="00865106"/>
    <w:rsid w:val="00867F95"/>
    <w:rsid w:val="008843B6"/>
    <w:rsid w:val="00891928"/>
    <w:rsid w:val="008A446D"/>
    <w:rsid w:val="008B25F1"/>
    <w:rsid w:val="008D180B"/>
    <w:rsid w:val="008F0EA7"/>
    <w:rsid w:val="00922BD6"/>
    <w:rsid w:val="00923EEF"/>
    <w:rsid w:val="00930325"/>
    <w:rsid w:val="009419F9"/>
    <w:rsid w:val="00944391"/>
    <w:rsid w:val="0095685E"/>
    <w:rsid w:val="00956E3F"/>
    <w:rsid w:val="00961B09"/>
    <w:rsid w:val="00965334"/>
    <w:rsid w:val="009675F3"/>
    <w:rsid w:val="00967890"/>
    <w:rsid w:val="0097093E"/>
    <w:rsid w:val="009A0DFA"/>
    <w:rsid w:val="009A1C6F"/>
    <w:rsid w:val="009A3DB2"/>
    <w:rsid w:val="009B2D26"/>
    <w:rsid w:val="009C71FA"/>
    <w:rsid w:val="009C72E7"/>
    <w:rsid w:val="009C7F7E"/>
    <w:rsid w:val="009D3058"/>
    <w:rsid w:val="009E6244"/>
    <w:rsid w:val="009F194E"/>
    <w:rsid w:val="009F3A13"/>
    <w:rsid w:val="00A122D3"/>
    <w:rsid w:val="00A14468"/>
    <w:rsid w:val="00A17F13"/>
    <w:rsid w:val="00A20739"/>
    <w:rsid w:val="00A23190"/>
    <w:rsid w:val="00A23AF9"/>
    <w:rsid w:val="00A33C78"/>
    <w:rsid w:val="00A73ABA"/>
    <w:rsid w:val="00AB0ADB"/>
    <w:rsid w:val="00B00C0E"/>
    <w:rsid w:val="00B01B1A"/>
    <w:rsid w:val="00B0381D"/>
    <w:rsid w:val="00B44A47"/>
    <w:rsid w:val="00B44C08"/>
    <w:rsid w:val="00B51E8A"/>
    <w:rsid w:val="00B52231"/>
    <w:rsid w:val="00B72CD3"/>
    <w:rsid w:val="00B72FFF"/>
    <w:rsid w:val="00BC3D36"/>
    <w:rsid w:val="00BD54A6"/>
    <w:rsid w:val="00BD7F72"/>
    <w:rsid w:val="00BF7425"/>
    <w:rsid w:val="00C0104B"/>
    <w:rsid w:val="00C04FB3"/>
    <w:rsid w:val="00C11D8B"/>
    <w:rsid w:val="00C15139"/>
    <w:rsid w:val="00C330EB"/>
    <w:rsid w:val="00C50D69"/>
    <w:rsid w:val="00C5365C"/>
    <w:rsid w:val="00C61B1C"/>
    <w:rsid w:val="00C71CAD"/>
    <w:rsid w:val="00C754BE"/>
    <w:rsid w:val="00C76B1C"/>
    <w:rsid w:val="00C925AC"/>
    <w:rsid w:val="00C94BAF"/>
    <w:rsid w:val="00CB6357"/>
    <w:rsid w:val="00CC1B26"/>
    <w:rsid w:val="00CF25BD"/>
    <w:rsid w:val="00D1663E"/>
    <w:rsid w:val="00D361FD"/>
    <w:rsid w:val="00D423A2"/>
    <w:rsid w:val="00D44E26"/>
    <w:rsid w:val="00D520D8"/>
    <w:rsid w:val="00D54FAD"/>
    <w:rsid w:val="00D63AC2"/>
    <w:rsid w:val="00D7383B"/>
    <w:rsid w:val="00D7788A"/>
    <w:rsid w:val="00DA231B"/>
    <w:rsid w:val="00DC39FC"/>
    <w:rsid w:val="00DF5254"/>
    <w:rsid w:val="00E02524"/>
    <w:rsid w:val="00E15AB1"/>
    <w:rsid w:val="00E16408"/>
    <w:rsid w:val="00E20894"/>
    <w:rsid w:val="00E245AB"/>
    <w:rsid w:val="00E2764C"/>
    <w:rsid w:val="00E27F2E"/>
    <w:rsid w:val="00E50AFE"/>
    <w:rsid w:val="00E75C92"/>
    <w:rsid w:val="00E771DC"/>
    <w:rsid w:val="00E8772A"/>
    <w:rsid w:val="00E90F6B"/>
    <w:rsid w:val="00E92C27"/>
    <w:rsid w:val="00E95D5E"/>
    <w:rsid w:val="00EA0E3D"/>
    <w:rsid w:val="00EB7D27"/>
    <w:rsid w:val="00EC38A7"/>
    <w:rsid w:val="00EE1AA8"/>
    <w:rsid w:val="00F23FEA"/>
    <w:rsid w:val="00F31EDC"/>
    <w:rsid w:val="00F462B3"/>
    <w:rsid w:val="00F5664F"/>
    <w:rsid w:val="00F666C4"/>
    <w:rsid w:val="00F74F83"/>
    <w:rsid w:val="00F76128"/>
    <w:rsid w:val="00F76AFC"/>
    <w:rsid w:val="00FA47C0"/>
    <w:rsid w:val="00FB5DD1"/>
    <w:rsid w:val="00FC2B5D"/>
    <w:rsid w:val="00FC7001"/>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261B7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261B7D"/>
    <w:rPr>
      <w:rFonts w:ascii="Geomanist Light" w:hAnsi="Geomanist Light"/>
      <w:lang w:val="es-ES"/>
    </w:rPr>
  </w:style>
  <w:style w:type="character" w:customStyle="1" w:styleId="citation-61">
    <w:name w:val="citation-61"/>
    <w:basedOn w:val="Fuentedeprrafopredeter"/>
    <w:rsid w:val="00261B7D"/>
  </w:style>
  <w:style w:type="character" w:customStyle="1" w:styleId="NormalWebCar">
    <w:name w:val="Normal (Web) Car"/>
    <w:link w:val="NormalWeb"/>
    <w:uiPriority w:val="99"/>
    <w:locked/>
    <w:rsid w:val="00261B7D"/>
    <w:rPr>
      <w:rFonts w:ascii="Times New Roman" w:eastAsia="Times New Roman" w:hAnsi="Times New Roman" w:cs="Times New Roman"/>
      <w:sz w:val="24"/>
      <w:szCs w:val="24"/>
      <w:lang w:eastAsia="es-CO"/>
    </w:rPr>
  </w:style>
  <w:style w:type="character" w:customStyle="1" w:styleId="baj">
    <w:name w:val="b_aj"/>
    <w:basedOn w:val="Fuentedeprrafopredeter"/>
    <w:rsid w:val="00261B7D"/>
  </w:style>
  <w:style w:type="character" w:customStyle="1" w:styleId="citation-478">
    <w:name w:val="citation-478"/>
    <w:basedOn w:val="Fuentedeprrafopredeter"/>
    <w:rsid w:val="00261B7D"/>
  </w:style>
  <w:style w:type="character" w:customStyle="1" w:styleId="citation-477">
    <w:name w:val="citation-477"/>
    <w:basedOn w:val="Fuentedeprrafopredeter"/>
    <w:rsid w:val="00261B7D"/>
  </w:style>
  <w:style w:type="character" w:customStyle="1" w:styleId="citation-476">
    <w:name w:val="citation-476"/>
    <w:basedOn w:val="Fuentedeprrafopredeter"/>
    <w:rsid w:val="00261B7D"/>
  </w:style>
  <w:style w:type="character" w:customStyle="1" w:styleId="citation-475">
    <w:name w:val="citation-475"/>
    <w:basedOn w:val="Fuentedeprrafopredeter"/>
    <w:rsid w:val="00261B7D"/>
  </w:style>
  <w:style w:type="character" w:customStyle="1" w:styleId="citation-474">
    <w:name w:val="citation-474"/>
    <w:basedOn w:val="Fuentedeprrafopredeter"/>
    <w:rsid w:val="00261B7D"/>
  </w:style>
  <w:style w:type="character" w:customStyle="1" w:styleId="citation-473">
    <w:name w:val="citation-473"/>
    <w:basedOn w:val="Fuentedeprrafopredeter"/>
    <w:rsid w:val="00261B7D"/>
  </w:style>
  <w:style w:type="character" w:customStyle="1" w:styleId="citation-472">
    <w:name w:val="citation-472"/>
    <w:basedOn w:val="Fuentedeprrafopredeter"/>
    <w:rsid w:val="00261B7D"/>
  </w:style>
  <w:style w:type="character" w:customStyle="1" w:styleId="citation-471">
    <w:name w:val="citation-471"/>
    <w:basedOn w:val="Fuentedeprrafopredeter"/>
    <w:rsid w:val="00261B7D"/>
  </w:style>
  <w:style w:type="character" w:customStyle="1" w:styleId="citation-470">
    <w:name w:val="citation-470"/>
    <w:basedOn w:val="Fuentedeprrafopredeter"/>
    <w:rsid w:val="00261B7D"/>
  </w:style>
  <w:style w:type="character" w:customStyle="1" w:styleId="citation-469">
    <w:name w:val="citation-469"/>
    <w:basedOn w:val="Fuentedeprrafopredeter"/>
    <w:rsid w:val="00261B7D"/>
  </w:style>
  <w:style w:type="character" w:customStyle="1" w:styleId="citation-468">
    <w:name w:val="citation-468"/>
    <w:basedOn w:val="Fuentedeprrafopredeter"/>
    <w:rsid w:val="00261B7D"/>
  </w:style>
  <w:style w:type="character" w:customStyle="1" w:styleId="citation-467">
    <w:name w:val="citation-467"/>
    <w:basedOn w:val="Fuentedeprrafopredeter"/>
    <w:rsid w:val="00261B7D"/>
  </w:style>
  <w:style w:type="character" w:customStyle="1" w:styleId="citation-466">
    <w:name w:val="citation-466"/>
    <w:basedOn w:val="Fuentedeprrafopredeter"/>
    <w:rsid w:val="00261B7D"/>
  </w:style>
  <w:style w:type="character" w:customStyle="1" w:styleId="citation-465">
    <w:name w:val="citation-465"/>
    <w:basedOn w:val="Fuentedeprrafopredeter"/>
    <w:rsid w:val="00261B7D"/>
  </w:style>
  <w:style w:type="character" w:customStyle="1" w:styleId="citation-464">
    <w:name w:val="citation-464"/>
    <w:basedOn w:val="Fuentedeprrafopredeter"/>
    <w:rsid w:val="00261B7D"/>
  </w:style>
  <w:style w:type="character" w:styleId="Refdecomentario">
    <w:name w:val="annotation reference"/>
    <w:basedOn w:val="Fuentedeprrafopredeter"/>
    <w:uiPriority w:val="99"/>
    <w:semiHidden/>
    <w:unhideWhenUsed/>
    <w:rsid w:val="00433851"/>
    <w:rPr>
      <w:sz w:val="16"/>
      <w:szCs w:val="16"/>
    </w:rPr>
  </w:style>
  <w:style w:type="paragraph" w:styleId="Textocomentario">
    <w:name w:val="annotation text"/>
    <w:basedOn w:val="Normal"/>
    <w:link w:val="TextocomentarioCar"/>
    <w:uiPriority w:val="99"/>
    <w:semiHidden/>
    <w:unhideWhenUsed/>
    <w:rsid w:val="00433851"/>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433851"/>
    <w:rPr>
      <w:sz w:val="20"/>
      <w:szCs w:val="20"/>
    </w:rPr>
  </w:style>
  <w:style w:type="paragraph" w:styleId="Asuntodelcomentario">
    <w:name w:val="annotation subject"/>
    <w:basedOn w:val="Textocomentario"/>
    <w:next w:val="Textocomentario"/>
    <w:link w:val="AsuntodelcomentarioCar"/>
    <w:uiPriority w:val="99"/>
    <w:semiHidden/>
    <w:unhideWhenUsed/>
    <w:rsid w:val="00433851"/>
    <w:rPr>
      <w:b/>
      <w:bCs/>
    </w:rPr>
  </w:style>
  <w:style w:type="character" w:customStyle="1" w:styleId="AsuntodelcomentarioCar">
    <w:name w:val="Asunto del comentario Car"/>
    <w:basedOn w:val="TextocomentarioCar"/>
    <w:link w:val="Asuntodelcomentario"/>
    <w:uiPriority w:val="99"/>
    <w:semiHidden/>
    <w:rsid w:val="00433851"/>
    <w:rPr>
      <w:b/>
      <w:bCs/>
      <w:sz w:val="20"/>
      <w:szCs w:val="20"/>
    </w:rPr>
  </w:style>
  <w:style w:type="paragraph" w:styleId="Textoindependiente">
    <w:name w:val="Body Text"/>
    <w:basedOn w:val="Normal"/>
    <w:link w:val="TextoindependienteCar"/>
    <w:uiPriority w:val="1"/>
    <w:qFormat/>
    <w:rsid w:val="00640D15"/>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640D15"/>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amariatovargutierrez46@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wp-content/uploads/2025/09/006-de-2025-Circular-Externa-L996-ajustado-comentarios-BM-BID-Rev-ARSC-V3.d-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5D0F96A-1947-49AB-B458-5FB1910143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26</Pages>
  <Words>8749</Words>
  <Characters>48034</Characters>
  <Application>Microsoft Office Word</Application>
  <DocSecurity>0</DocSecurity>
  <Lines>889</Lines>
  <Paragraphs>170</Paragraphs>
  <ScaleCrop>false</ScaleCrop>
  <Company/>
  <LinksUpToDate>false</LinksUpToDate>
  <CharactersWithSpaces>56613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6</cp:revision>
  <cp:lastPrinted>2023-01-10T21:18:00Z</cp:lastPrinted>
  <dcterms:created xsi:type="dcterms:W3CDTF">2026-04-10T15:36:00Z</dcterms:created>
  <dcterms:modified xsi:type="dcterms:W3CDTF">2026-04-14T21:40:00Z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