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01BF5" w14:textId="77777777" w:rsidR="00640D15" w:rsidRDefault="00640D15" w:rsidP="00640D15">
      <w:pPr>
        <w:spacing w:after="0" w:line="240" w:lineRule="auto"/>
        <w:jc w:val="both"/>
        <w:rPr>
          <w:rFonts w:ascii="Verdana" w:hAnsi="Verdana" w:cs="Arial"/>
          <w:b/>
          <w:bCs/>
          <w:color w:val="000000" w:themeColor="text1"/>
        </w:rPr>
      </w:pPr>
      <w:bookmarkStart w:id="0" w:name="_Hlk143780582"/>
      <w:r w:rsidRPr="00BA16EC">
        <w:rPr>
          <w:rFonts w:ascii="Verdana" w:hAnsi="Verdana" w:cs="Arial"/>
          <w:b/>
          <w:bCs/>
          <w:color w:val="000000" w:themeColor="text1"/>
        </w:rPr>
        <w:t xml:space="preserve">LEY DE GARANTÍAS ELECTORALES – Propósito </w:t>
      </w:r>
    </w:p>
    <w:p w14:paraId="358D6E9B" w14:textId="77777777" w:rsidR="00640D15" w:rsidRDefault="00640D15" w:rsidP="00640D15">
      <w:pPr>
        <w:spacing w:after="0" w:line="240" w:lineRule="auto"/>
        <w:jc w:val="both"/>
        <w:rPr>
          <w:rFonts w:ascii="Verdana" w:hAnsi="Verdana" w:cs="Arial"/>
          <w:b/>
          <w:bCs/>
          <w:color w:val="000000" w:themeColor="text1"/>
        </w:rPr>
      </w:pPr>
    </w:p>
    <w:p w14:paraId="0DD8F9AB" w14:textId="77777777" w:rsidR="00640D15" w:rsidRPr="00BA16EC" w:rsidRDefault="00640D15" w:rsidP="00640D15">
      <w:pPr>
        <w:tabs>
          <w:tab w:val="left" w:pos="426"/>
        </w:tabs>
        <w:spacing w:after="0" w:line="240" w:lineRule="auto"/>
        <w:jc w:val="both"/>
        <w:rPr>
          <w:rFonts w:ascii="Verdana" w:eastAsia="Calibri" w:hAnsi="Verdana" w:cs="Arial"/>
          <w:noProof/>
          <w:sz w:val="20"/>
          <w:szCs w:val="20"/>
          <w:lang w:val="es-ES_tradnl"/>
        </w:rPr>
      </w:pPr>
      <w:r w:rsidRPr="00BA16EC">
        <w:rPr>
          <w:rFonts w:ascii="Verdana" w:hAnsi="Verdana" w:cs="Arial"/>
          <w:color w:val="000000" w:themeColor="text1"/>
          <w:sz w:val="20"/>
          <w:szCs w:val="20"/>
        </w:rPr>
        <w:t xml:space="preserve">[…] </w:t>
      </w:r>
      <w:r w:rsidRPr="00BA16EC">
        <w:rPr>
          <w:rFonts w:ascii="Verdana" w:eastAsia="Times New Roman" w:hAnsi="Verdana" w:cs="Arial"/>
          <w:sz w:val="20"/>
          <w:szCs w:val="20"/>
          <w:lang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A16EC">
        <w:rPr>
          <w:rFonts w:ascii="Verdana" w:eastAsia="Calibri" w:hAnsi="Verdana" w:cs="Arial"/>
          <w:noProof/>
          <w:sz w:val="20"/>
          <w:szCs w:val="20"/>
          <w:lang w:val="es-ES_tradnl"/>
        </w:rPr>
        <w:t xml:space="preserve"> </w:t>
      </w:r>
    </w:p>
    <w:p w14:paraId="57EEC1ED" w14:textId="77777777" w:rsidR="00640D15" w:rsidRPr="00BA16EC" w:rsidRDefault="00640D15" w:rsidP="00640D15">
      <w:pPr>
        <w:spacing w:after="0" w:line="240" w:lineRule="auto"/>
        <w:jc w:val="both"/>
        <w:rPr>
          <w:rFonts w:ascii="Verdana" w:hAnsi="Verdana" w:cs="Arial"/>
          <w:b/>
          <w:bCs/>
          <w:color w:val="000000" w:themeColor="text1"/>
          <w:lang w:val="es-ES_tradnl"/>
        </w:rPr>
      </w:pPr>
    </w:p>
    <w:p w14:paraId="7D9292C3" w14:textId="77777777" w:rsidR="00640D15" w:rsidRPr="00BA16EC"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Prohibiciones – Restricciones </w:t>
      </w:r>
    </w:p>
    <w:p w14:paraId="7B1531BB" w14:textId="77777777" w:rsidR="00640D15" w:rsidRDefault="00640D15" w:rsidP="00640D15">
      <w:pPr>
        <w:spacing w:after="0" w:line="240" w:lineRule="auto"/>
        <w:jc w:val="both"/>
        <w:rPr>
          <w:rFonts w:ascii="Verdana" w:hAnsi="Verdana" w:cs="Arial"/>
          <w:color w:val="000000" w:themeColor="text1"/>
        </w:rPr>
      </w:pPr>
    </w:p>
    <w:p w14:paraId="7721CC8A" w14:textId="77777777" w:rsidR="00640D15" w:rsidRDefault="00640D15" w:rsidP="00640D15">
      <w:pPr>
        <w:spacing w:after="0" w:line="240" w:lineRule="auto"/>
        <w:jc w:val="both"/>
        <w:rPr>
          <w:rFonts w:ascii="Verdana" w:eastAsia="Arial" w:hAnsi="Verdana" w:cs="Arial"/>
          <w:sz w:val="20"/>
          <w:szCs w:val="20"/>
          <w:lang w:val="es-ES" w:eastAsia="es-ES" w:bidi="es-ES"/>
        </w:rPr>
      </w:pPr>
      <w:r w:rsidRPr="00BA16EC">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66B0C2D7" w14:textId="77777777" w:rsidR="00640D15" w:rsidRDefault="00640D15" w:rsidP="00640D15">
      <w:pPr>
        <w:spacing w:after="0" w:line="240" w:lineRule="auto"/>
        <w:jc w:val="both"/>
        <w:rPr>
          <w:rFonts w:ascii="Verdana" w:eastAsia="Arial" w:hAnsi="Verdana" w:cs="Arial"/>
          <w:sz w:val="20"/>
          <w:szCs w:val="20"/>
          <w:lang w:val="es-ES" w:eastAsia="es-ES" w:bidi="es-ES"/>
        </w:rPr>
      </w:pPr>
    </w:p>
    <w:p w14:paraId="262FA3EC" w14:textId="77777777" w:rsidR="00640D15" w:rsidRPr="00BA16EC"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Artículo 33 – Ámbito material </w:t>
      </w:r>
    </w:p>
    <w:p w14:paraId="0CB06B35" w14:textId="77777777" w:rsidR="00640D15" w:rsidRDefault="00640D15" w:rsidP="00640D15">
      <w:pPr>
        <w:spacing w:after="0" w:line="240" w:lineRule="auto"/>
        <w:jc w:val="both"/>
        <w:rPr>
          <w:rFonts w:ascii="Verdana" w:hAnsi="Verdana" w:cs="Arial"/>
          <w:color w:val="000000" w:themeColor="text1"/>
        </w:rPr>
      </w:pPr>
    </w:p>
    <w:p w14:paraId="670D74E4" w14:textId="77777777" w:rsidR="00640D15" w:rsidRDefault="00640D15" w:rsidP="00640D15">
      <w:pPr>
        <w:spacing w:after="0" w:line="240" w:lineRule="auto"/>
        <w:jc w:val="both"/>
        <w:rPr>
          <w:rFonts w:ascii="Verdana" w:hAnsi="Verdana" w:cs="Arial"/>
          <w:sz w:val="20"/>
          <w:szCs w:val="20"/>
          <w:lang w:eastAsia="x-none"/>
        </w:rPr>
      </w:pPr>
      <w:r w:rsidRPr="00BA16EC">
        <w:rPr>
          <w:rFonts w:ascii="Verdana" w:hAnsi="Verdana" w:cs="Arial"/>
          <w:bCs/>
          <w:sz w:val="20"/>
          <w:szCs w:val="20"/>
          <w:lang w:eastAsia="x-none"/>
        </w:rPr>
        <w:t xml:space="preserve">El ámbito material de la prohibición contenida en el artículo 33 de la ley 996 de 2005 está delimitado por la expresión </w:t>
      </w:r>
      <w:r w:rsidRPr="00BA16EC">
        <w:rPr>
          <w:rFonts w:ascii="Verdana" w:eastAsia="Calibri" w:hAnsi="Verdana" w:cs="Arial"/>
          <w:bCs/>
          <w:i/>
          <w:iCs/>
          <w:sz w:val="20"/>
          <w:szCs w:val="20"/>
        </w:rPr>
        <w:t>“</w:t>
      </w:r>
      <w:r w:rsidRPr="00BA16EC">
        <w:rPr>
          <w:rFonts w:ascii="Verdana" w:hAnsi="Verdana" w:cs="Arial"/>
          <w:bCs/>
          <w:i/>
          <w:iCs/>
          <w:sz w:val="20"/>
          <w:szCs w:val="20"/>
          <w:lang w:eastAsia="x-none"/>
        </w:rPr>
        <w:t>queda prohibida la contratación directa</w:t>
      </w:r>
      <w:r w:rsidRPr="00BA16EC">
        <w:rPr>
          <w:rFonts w:ascii="Verdana" w:hAnsi="Verdana" w:cs="Arial"/>
          <w:sz w:val="20"/>
          <w:szCs w:val="20"/>
        </w:rPr>
        <w:t>”</w:t>
      </w:r>
      <w:r w:rsidRPr="00BA16EC">
        <w:rPr>
          <w:rFonts w:ascii="Verdana" w:hAnsi="Verdana" w:cs="Arial"/>
          <w:bCs/>
          <w:sz w:val="20"/>
          <w:szCs w:val="20"/>
          <w:lang w:eastAsia="x-none"/>
        </w:rPr>
        <w:t xml:space="preserve">. […] </w:t>
      </w:r>
      <w:r w:rsidRPr="00BA16EC">
        <w:rPr>
          <w:rFonts w:ascii="Verdana" w:hAnsi="Verdana" w:cs="Arial"/>
          <w:sz w:val="20"/>
          <w:szCs w:val="20"/>
          <w:lang w:eastAsia="x-none"/>
        </w:rPr>
        <w:t xml:space="preserve">De acuerdo con el citado concepto, la prohibición del artículo 33 de la Ley de Garantías Electorales se refiere a </w:t>
      </w:r>
      <w:r w:rsidRPr="00BA16EC">
        <w:rPr>
          <w:rFonts w:ascii="Verdana" w:hAnsi="Verdana" w:cs="Arial"/>
          <w:sz w:val="20"/>
          <w:szCs w:val="20"/>
          <w:lang w:eastAsia="en-GB"/>
        </w:rPr>
        <w:t>“</w:t>
      </w:r>
      <w:r w:rsidRPr="00BA16EC">
        <w:rPr>
          <w:rFonts w:ascii="Verdana" w:hAnsi="Verdana" w:cs="Arial"/>
          <w:sz w:val="20"/>
          <w:szCs w:val="20"/>
          <w:lang w:eastAsia="x-none"/>
        </w:rPr>
        <w:t>cualquier sistema que no implique convocatoria pública y posibilidad de pluralidad de oferentes</w:t>
      </w:r>
      <w:r w:rsidRPr="00BA16EC">
        <w:rPr>
          <w:rFonts w:ascii="Verdana" w:hAnsi="Verdana" w:cs="Arial"/>
          <w:sz w:val="20"/>
          <w:szCs w:val="20"/>
          <w:lang w:eastAsia="en-GB"/>
        </w:rPr>
        <w:t>”</w:t>
      </w:r>
      <w:r w:rsidRPr="00BA16EC">
        <w:rPr>
          <w:rFonts w:ascii="Verdana" w:hAnsi="Verdana" w:cs="Arial"/>
          <w:sz w:val="20"/>
          <w:szCs w:val="20"/>
          <w:lang w:eastAsia="x-none"/>
        </w:rPr>
        <w:t xml:space="preserve">, por lo que excluye las demás modalidades de contratación previstas en la Ley 1150 de 2007. </w:t>
      </w:r>
    </w:p>
    <w:p w14:paraId="0A4A4837" w14:textId="77777777" w:rsidR="00640D15" w:rsidRDefault="00640D15" w:rsidP="00640D15">
      <w:pPr>
        <w:spacing w:after="0" w:line="240" w:lineRule="auto"/>
        <w:jc w:val="both"/>
        <w:rPr>
          <w:rFonts w:ascii="Verdana" w:hAnsi="Verdana" w:cs="Arial"/>
          <w:sz w:val="20"/>
          <w:szCs w:val="20"/>
          <w:lang w:eastAsia="x-none"/>
        </w:rPr>
      </w:pPr>
    </w:p>
    <w:p w14:paraId="5EC12358" w14:textId="77777777" w:rsidR="00640D15" w:rsidRDefault="00640D15" w:rsidP="00640D15">
      <w:pPr>
        <w:spacing w:after="0" w:line="240" w:lineRule="auto"/>
        <w:jc w:val="both"/>
        <w:rPr>
          <w:rFonts w:ascii="Verdana" w:hAnsi="Verdana" w:cs="Arial"/>
          <w:sz w:val="20"/>
          <w:szCs w:val="20"/>
          <w:lang w:eastAsia="x-none"/>
        </w:rPr>
      </w:pPr>
      <w:r>
        <w:rPr>
          <w:rFonts w:ascii="Verdana" w:hAnsi="Verdana" w:cs="Arial"/>
          <w:sz w:val="20"/>
          <w:szCs w:val="20"/>
          <w:lang w:eastAsia="x-none"/>
        </w:rPr>
        <w:t>[…]</w:t>
      </w:r>
    </w:p>
    <w:p w14:paraId="3275DE1B" w14:textId="77777777" w:rsidR="00640D15" w:rsidRDefault="00640D15" w:rsidP="00640D15">
      <w:pPr>
        <w:spacing w:after="0" w:line="240" w:lineRule="auto"/>
        <w:jc w:val="both"/>
        <w:rPr>
          <w:rFonts w:ascii="Verdana" w:hAnsi="Verdana" w:cs="Arial"/>
          <w:color w:val="000000" w:themeColor="text1"/>
          <w:sz w:val="20"/>
          <w:szCs w:val="20"/>
        </w:rPr>
      </w:pPr>
    </w:p>
    <w:p w14:paraId="6ED6844D" w14:textId="77777777" w:rsidR="00640D15" w:rsidRDefault="00640D15" w:rsidP="00640D15">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color w:val="000000" w:themeColor="text1"/>
          <w:sz w:val="20"/>
          <w:szCs w:val="20"/>
        </w:rPr>
        <w:t>.</w:t>
      </w:r>
    </w:p>
    <w:p w14:paraId="369E7DA7" w14:textId="77777777" w:rsidR="00640D15" w:rsidRDefault="00640D15" w:rsidP="00640D15">
      <w:pPr>
        <w:spacing w:after="0" w:line="240" w:lineRule="auto"/>
        <w:jc w:val="both"/>
        <w:rPr>
          <w:rFonts w:ascii="Verdana" w:hAnsi="Verdana" w:cs="Arial"/>
          <w:color w:val="000000" w:themeColor="text1"/>
          <w:sz w:val="20"/>
          <w:szCs w:val="20"/>
        </w:rPr>
      </w:pPr>
    </w:p>
    <w:p w14:paraId="794736EC" w14:textId="77777777" w:rsidR="00640D15" w:rsidRDefault="00640D15" w:rsidP="00640D15">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3C12F1F9" w14:textId="77777777" w:rsidR="00640D15" w:rsidRDefault="00640D15" w:rsidP="00640D15">
      <w:pPr>
        <w:spacing w:after="0" w:line="240" w:lineRule="auto"/>
        <w:jc w:val="both"/>
        <w:rPr>
          <w:rFonts w:ascii="Verdana" w:hAnsi="Verdana" w:cs="Arial"/>
          <w:color w:val="000000" w:themeColor="text1"/>
          <w:sz w:val="20"/>
          <w:szCs w:val="20"/>
        </w:rPr>
      </w:pPr>
    </w:p>
    <w:p w14:paraId="3DD9A90F" w14:textId="77777777" w:rsidR="00640D15" w:rsidRDefault="00640D15" w:rsidP="00640D15">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w:t>
      </w:r>
      <w:r>
        <w:rPr>
          <w:rFonts w:ascii="Verdana" w:hAnsi="Verdana" w:cs="Arial"/>
          <w:color w:val="000000" w:themeColor="text1"/>
          <w:sz w:val="20"/>
          <w:szCs w:val="20"/>
        </w:rPr>
        <w:t>s</w:t>
      </w:r>
      <w:r w:rsidRPr="00BA16EC">
        <w:rPr>
          <w:rFonts w:ascii="Verdana" w:hAnsi="Verdana" w:cs="Arial"/>
          <w:color w:val="000000" w:themeColor="text1"/>
          <w:sz w:val="20"/>
          <w:szCs w:val="20"/>
        </w:rPr>
        <w:t xml:space="preserve">. Esta circunstancia no se extiende a la contratación </w:t>
      </w:r>
      <w:r w:rsidRPr="00BA16EC">
        <w:rPr>
          <w:rFonts w:ascii="Verdana" w:hAnsi="Verdana" w:cs="Arial"/>
          <w:color w:val="000000" w:themeColor="text1"/>
          <w:sz w:val="20"/>
          <w:szCs w:val="20"/>
        </w:rPr>
        <w:lastRenderedPageBreak/>
        <w:t>directa aplicable en algunos regímenes especiales con listas de precalificados, ya que a efecto de que no se configure la contratación directa, la selección del futuro contratista debe darse en términos de competencia.</w:t>
      </w:r>
    </w:p>
    <w:p w14:paraId="623788DA" w14:textId="77777777" w:rsidR="00640D15" w:rsidRDefault="00640D15" w:rsidP="00640D15">
      <w:pPr>
        <w:spacing w:after="0" w:line="240" w:lineRule="auto"/>
        <w:jc w:val="both"/>
        <w:rPr>
          <w:rFonts w:ascii="Verdana" w:hAnsi="Verdana" w:cs="Arial"/>
          <w:color w:val="000000" w:themeColor="text1"/>
          <w:sz w:val="20"/>
          <w:szCs w:val="20"/>
        </w:rPr>
      </w:pPr>
    </w:p>
    <w:p w14:paraId="0789FC53" w14:textId="77777777" w:rsidR="00640D15" w:rsidRPr="00BA16EC"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Destinatarios </w:t>
      </w:r>
    </w:p>
    <w:p w14:paraId="53A1A98F" w14:textId="77777777" w:rsidR="00640D15" w:rsidRDefault="00640D15" w:rsidP="00640D15">
      <w:pPr>
        <w:spacing w:after="0" w:line="240" w:lineRule="auto"/>
        <w:jc w:val="both"/>
        <w:rPr>
          <w:rFonts w:ascii="Verdana" w:hAnsi="Verdana" w:cs="Arial"/>
          <w:color w:val="000000" w:themeColor="text1"/>
        </w:rPr>
      </w:pPr>
    </w:p>
    <w:p w14:paraId="7BF2AFA2" w14:textId="77777777" w:rsidR="00640D15" w:rsidRPr="00BA16EC" w:rsidRDefault="00640D15" w:rsidP="00640D15">
      <w:pPr>
        <w:spacing w:after="0" w:line="240" w:lineRule="auto"/>
        <w:jc w:val="both"/>
        <w:rPr>
          <w:rFonts w:ascii="Verdana" w:hAnsi="Verdana" w:cs="Arial"/>
          <w:color w:val="000000" w:themeColor="text1"/>
          <w:lang w:val="es-MX"/>
        </w:rPr>
      </w:pPr>
      <w:r w:rsidRPr="00BA16EC">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A16EC">
        <w:rPr>
          <w:rFonts w:ascii="Verdana" w:hAnsi="Verdana" w:cs="Arial"/>
          <w:color w:val="000000" w:themeColor="text1"/>
          <w:lang w:val="es-MX"/>
        </w:rPr>
        <w:t>.</w:t>
      </w:r>
    </w:p>
    <w:p w14:paraId="2848CE24" w14:textId="77777777" w:rsidR="00640D15" w:rsidRDefault="00640D15" w:rsidP="00640D15">
      <w:pPr>
        <w:spacing w:after="0" w:line="240" w:lineRule="auto"/>
        <w:jc w:val="both"/>
        <w:rPr>
          <w:rFonts w:ascii="Verdana" w:hAnsi="Verdana" w:cs="Arial"/>
          <w:color w:val="000000" w:themeColor="text1"/>
        </w:rPr>
      </w:pPr>
    </w:p>
    <w:p w14:paraId="0C191153" w14:textId="77777777" w:rsidR="00640D15"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Excepciones </w:t>
      </w:r>
    </w:p>
    <w:p w14:paraId="38BA5340" w14:textId="77777777" w:rsidR="00640D15" w:rsidRPr="00E51E94" w:rsidRDefault="00640D15" w:rsidP="00640D15">
      <w:pPr>
        <w:spacing w:after="0" w:line="240" w:lineRule="auto"/>
        <w:jc w:val="both"/>
        <w:rPr>
          <w:rFonts w:ascii="Verdana" w:hAnsi="Verdana" w:cs="Arial"/>
          <w:b/>
          <w:bCs/>
          <w:color w:val="000000" w:themeColor="text1"/>
          <w:sz w:val="20"/>
          <w:szCs w:val="20"/>
        </w:rPr>
      </w:pPr>
    </w:p>
    <w:p w14:paraId="5F189DA2" w14:textId="77777777" w:rsidR="00640D15" w:rsidRDefault="00640D15" w:rsidP="00640D15">
      <w:pPr>
        <w:spacing w:after="0" w:line="240" w:lineRule="auto"/>
        <w:jc w:val="both"/>
        <w:rPr>
          <w:rFonts w:ascii="Verdana" w:hAnsi="Verdana" w:cs="Arial"/>
          <w:bCs/>
          <w:sz w:val="20"/>
          <w:szCs w:val="20"/>
          <w:lang w:eastAsia="x-none"/>
        </w:rPr>
      </w:pPr>
      <w:r w:rsidRPr="00E51E94">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51E94">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E643275" w14:textId="77777777" w:rsidR="00640D15" w:rsidRDefault="00640D15" w:rsidP="00640D15">
      <w:pPr>
        <w:spacing w:after="0" w:line="240" w:lineRule="auto"/>
        <w:jc w:val="both"/>
        <w:rPr>
          <w:rFonts w:ascii="Verdana" w:hAnsi="Verdana" w:cs="Arial"/>
          <w:bCs/>
          <w:sz w:val="20"/>
          <w:szCs w:val="20"/>
          <w:lang w:eastAsia="x-none"/>
        </w:rPr>
      </w:pPr>
    </w:p>
    <w:p w14:paraId="74F08DD7" w14:textId="77777777" w:rsidR="00640D15" w:rsidRDefault="00640D15" w:rsidP="00640D15">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4B7E5B0E" w14:textId="77777777" w:rsidR="00640D15" w:rsidRDefault="00640D15" w:rsidP="00640D15">
      <w:pPr>
        <w:spacing w:after="0" w:line="240" w:lineRule="auto"/>
        <w:jc w:val="both"/>
        <w:rPr>
          <w:rFonts w:ascii="Verdana" w:hAnsi="Verdana" w:cs="Arial"/>
          <w:bCs/>
          <w:sz w:val="20"/>
          <w:szCs w:val="20"/>
          <w:lang w:eastAsia="x-none"/>
        </w:rPr>
      </w:pPr>
    </w:p>
    <w:p w14:paraId="4E345B16" w14:textId="53689BD9" w:rsidR="00640D15" w:rsidRPr="00640D15" w:rsidRDefault="00640D15" w:rsidP="00640D15">
      <w:pPr>
        <w:spacing w:after="0" w:line="240" w:lineRule="auto"/>
        <w:jc w:val="both"/>
        <w:rPr>
          <w:rFonts w:ascii="Verdana" w:hAnsi="Verdana" w:cs="Arial"/>
          <w:bCs/>
          <w:sz w:val="20"/>
          <w:szCs w:val="20"/>
          <w:lang w:val="es-ES_tradnl" w:eastAsia="x-none"/>
        </w:rPr>
      </w:pPr>
      <w:r w:rsidRPr="00E51E94">
        <w:rPr>
          <w:rFonts w:ascii="Verdana" w:hAnsi="Verdana" w:cs="Arial"/>
          <w:bCs/>
          <w:sz w:val="20"/>
          <w:szCs w:val="20"/>
          <w:lang w:val="es-ES_tradnl" w:eastAsia="x-none"/>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E51E94">
        <w:rPr>
          <w:rFonts w:ascii="Verdana" w:hAnsi="Verdana" w:cs="Arial"/>
          <w:bCs/>
          <w:sz w:val="20"/>
          <w:szCs w:val="20"/>
          <w:lang w:val="es-ES_tradnl" w:eastAsia="x-none"/>
        </w:rPr>
        <w:lastRenderedPageBreak/>
        <w:t>expresamente en la norma permiten que ciertas entidades estatales se vean exceptuadas de la prohibición.</w:t>
      </w:r>
    </w:p>
    <w:p w14:paraId="784316B6" w14:textId="77777777" w:rsidR="00640D15" w:rsidRDefault="00640D15" w:rsidP="00640D15">
      <w:pPr>
        <w:spacing w:after="0" w:line="240" w:lineRule="auto"/>
        <w:jc w:val="both"/>
        <w:rPr>
          <w:rFonts w:ascii="Verdana" w:hAnsi="Verdana" w:cs="Arial"/>
          <w:color w:val="000000" w:themeColor="text1"/>
          <w:sz w:val="20"/>
          <w:szCs w:val="20"/>
        </w:rPr>
      </w:pPr>
    </w:p>
    <w:p w14:paraId="40CB4C43" w14:textId="77777777" w:rsidR="00640D15" w:rsidRDefault="00640D15" w:rsidP="00640D15">
      <w:pPr>
        <w:spacing w:after="0" w:line="240" w:lineRule="auto"/>
        <w:jc w:val="both"/>
        <w:rPr>
          <w:rFonts w:ascii="Verdana" w:hAnsi="Verdana" w:cs="Arial"/>
          <w:b/>
          <w:bCs/>
          <w:color w:val="000000" w:themeColor="text1"/>
        </w:rPr>
      </w:pPr>
      <w:r w:rsidRPr="00401715">
        <w:rPr>
          <w:rFonts w:ascii="Verdana" w:hAnsi="Verdana"/>
          <w:b/>
          <w:bCs/>
          <w:color w:val="000000" w:themeColor="text1"/>
        </w:rPr>
        <w:t>LEY DE GARANTÍAS ELECTORALES -</w:t>
      </w:r>
      <w:r w:rsidRPr="00401715">
        <w:rPr>
          <w:b/>
          <w:bCs/>
          <w:color w:val="000000" w:themeColor="text1"/>
        </w:rPr>
        <w:t xml:space="preserve"> </w:t>
      </w:r>
      <w:r w:rsidRPr="00401715">
        <w:rPr>
          <w:rFonts w:ascii="Verdana" w:eastAsia="Calibri" w:hAnsi="Verdana" w:cs="Arial"/>
          <w:b/>
          <w:bCs/>
          <w:lang w:val="es-ES" w:eastAsia="es-ES"/>
        </w:rPr>
        <w:t xml:space="preserve">Excepción - Contratación </w:t>
      </w:r>
      <w:r w:rsidRPr="00401715">
        <w:rPr>
          <w:rFonts w:ascii="Verdana" w:hAnsi="Verdana" w:cs="Arial"/>
          <w:b/>
          <w:bCs/>
          <w:color w:val="000000" w:themeColor="text1"/>
        </w:rPr>
        <w:t>por parte de entidades sanitarias y hospitalaria</w:t>
      </w:r>
      <w:r w:rsidRPr="00401715">
        <w:rPr>
          <w:b/>
          <w:bCs/>
          <w:color w:val="000000" w:themeColor="text1"/>
        </w:rPr>
        <w:t xml:space="preserve"> </w:t>
      </w:r>
      <w:r w:rsidRPr="00401715">
        <w:rPr>
          <w:rFonts w:ascii="Verdana" w:hAnsi="Verdana" w:cs="Arial"/>
          <w:b/>
          <w:bCs/>
          <w:color w:val="000000" w:themeColor="text1"/>
        </w:rPr>
        <w:t xml:space="preserve">  </w:t>
      </w:r>
    </w:p>
    <w:p w14:paraId="523981D4" w14:textId="77777777" w:rsidR="00640D15" w:rsidRPr="00E50D7B" w:rsidRDefault="00640D15" w:rsidP="00640D15">
      <w:pPr>
        <w:spacing w:after="0" w:line="240" w:lineRule="auto"/>
        <w:jc w:val="both"/>
        <w:rPr>
          <w:rFonts w:ascii="Verdana" w:hAnsi="Verdana" w:cs="Arial"/>
          <w:b/>
          <w:bCs/>
          <w:color w:val="000000" w:themeColor="text1"/>
          <w:sz w:val="20"/>
          <w:szCs w:val="20"/>
        </w:rPr>
      </w:pPr>
    </w:p>
    <w:p w14:paraId="0336738B" w14:textId="77777777" w:rsidR="00640D15" w:rsidRDefault="00640D15" w:rsidP="00640D15">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r w:rsidRPr="00E50D7B">
        <w:rPr>
          <w:rFonts w:ascii="Verdana" w:eastAsia="Calibri" w:hAnsi="Verdana" w:cs="Arial"/>
          <w:bCs/>
          <w:color w:val="000000" w:themeColor="text1"/>
          <w:sz w:val="20"/>
          <w:szCs w:val="20"/>
        </w:rPr>
        <w:t xml:space="preserve">En torno a la procedencia de la contratación directa por parte de las E.S.E., es necesario </w:t>
      </w:r>
      <w:r w:rsidRPr="00E50D7B">
        <w:rPr>
          <w:rFonts w:ascii="Verdana" w:hAnsi="Verdana" w:cs="Arial"/>
          <w:bCs/>
          <w:color w:val="000000" w:themeColor="text1"/>
          <w:sz w:val="20"/>
          <w:szCs w:val="20"/>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5AFB4096" w14:textId="77777777" w:rsidR="00640D15" w:rsidRDefault="00640D15" w:rsidP="00640D15">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p>
    <w:p w14:paraId="73E990F5" w14:textId="77777777" w:rsidR="00640D15" w:rsidRDefault="00640D15" w:rsidP="00640D15">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 xml:space="preserve">[…] </w:t>
      </w:r>
    </w:p>
    <w:p w14:paraId="40399FD4" w14:textId="77777777" w:rsidR="00640D15" w:rsidRPr="00E50D7B" w:rsidRDefault="00640D15" w:rsidP="00640D15">
      <w:pPr>
        <w:pStyle w:val="paragraph"/>
        <w:shd w:val="clear" w:color="auto" w:fill="FFFFFF"/>
        <w:spacing w:after="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 xml:space="preserve">Sobre lo anterior, el Consejo de Estado ha señalado que “las entidades que presten servicios tendientes a preservar la salud pública o humana deben ser consideradas como entidades sanitarias y en principio estarían exceptuadas de la prohibición de contratación directa”.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 </w:t>
      </w:r>
    </w:p>
    <w:p w14:paraId="7DB56C91" w14:textId="77777777" w:rsidR="00640D15" w:rsidRPr="00E50D7B" w:rsidRDefault="00640D15" w:rsidP="00640D15">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w:t>
      </w:r>
    </w:p>
    <w:p w14:paraId="3412EDBD" w14:textId="77777777" w:rsidR="00640D15" w:rsidRPr="00401715" w:rsidRDefault="00640D15" w:rsidP="00640D15">
      <w:pPr>
        <w:spacing w:after="0" w:line="240" w:lineRule="auto"/>
        <w:jc w:val="both"/>
        <w:rPr>
          <w:rFonts w:ascii="Verdana" w:eastAsia="Calibri" w:hAnsi="Verdana" w:cs="Arial"/>
          <w:b/>
          <w:bCs/>
          <w:lang w:eastAsia="es-ES"/>
        </w:rPr>
      </w:pPr>
    </w:p>
    <w:p w14:paraId="2D5FD1ED" w14:textId="47322A5D" w:rsidR="00261B7D" w:rsidRPr="00457DD8" w:rsidRDefault="00C15139" w:rsidP="000C2089">
      <w:pPr>
        <w:spacing w:after="0" w:line="240" w:lineRule="auto"/>
        <w:rPr>
          <w:rFonts w:ascii="Verdana" w:eastAsia="Verdana" w:hAnsi="Verdana" w:cs="Verdana"/>
        </w:rPr>
      </w:pPr>
      <w:r w:rsidRPr="000C2089">
        <w:rPr>
          <w:rFonts w:ascii="Verdana" w:hAnsi="Verdana"/>
        </w:rPr>
        <w:tab/>
      </w:r>
    </w:p>
    <w:p w14:paraId="3A9D4964" w14:textId="77777777" w:rsidR="00640D15" w:rsidRDefault="00640D15" w:rsidP="00261B7D">
      <w:pPr>
        <w:spacing w:after="0" w:line="240" w:lineRule="auto"/>
        <w:jc w:val="both"/>
        <w:rPr>
          <w:rFonts w:ascii="Verdana" w:eastAsia="Calibri" w:hAnsi="Verdana" w:cs="Arial"/>
          <w:lang w:val="es-ES" w:eastAsia="es-ES"/>
        </w:rPr>
      </w:pPr>
    </w:p>
    <w:p w14:paraId="30DE97BA" w14:textId="77777777" w:rsidR="00640D15" w:rsidRDefault="00640D15" w:rsidP="00261B7D">
      <w:pPr>
        <w:spacing w:after="0" w:line="240" w:lineRule="auto"/>
        <w:jc w:val="both"/>
        <w:rPr>
          <w:rFonts w:ascii="Verdana" w:eastAsia="Calibri" w:hAnsi="Verdana" w:cs="Arial"/>
          <w:lang w:val="es-ES" w:eastAsia="es-ES"/>
        </w:rPr>
      </w:pPr>
    </w:p>
    <w:p w14:paraId="5EBD72EC" w14:textId="77777777" w:rsidR="00640D15" w:rsidRDefault="00640D15" w:rsidP="00261B7D">
      <w:pPr>
        <w:spacing w:after="0" w:line="240" w:lineRule="auto"/>
        <w:jc w:val="both"/>
        <w:rPr>
          <w:rFonts w:ascii="Verdana" w:eastAsia="Calibri" w:hAnsi="Verdana" w:cs="Arial"/>
          <w:lang w:val="es-ES" w:eastAsia="es-ES"/>
        </w:rPr>
      </w:pPr>
    </w:p>
    <w:p w14:paraId="7487F5BD" w14:textId="77777777" w:rsidR="00640D15" w:rsidRDefault="00640D15" w:rsidP="00261B7D">
      <w:pPr>
        <w:spacing w:after="0" w:line="240" w:lineRule="auto"/>
        <w:jc w:val="both"/>
        <w:rPr>
          <w:rFonts w:ascii="Verdana" w:eastAsia="Calibri" w:hAnsi="Verdana" w:cs="Arial"/>
          <w:lang w:val="es-ES" w:eastAsia="es-ES"/>
        </w:rPr>
      </w:pPr>
    </w:p>
    <w:p w14:paraId="45C08E3D" w14:textId="77777777" w:rsidR="00640D15" w:rsidRDefault="00640D15" w:rsidP="00261B7D">
      <w:pPr>
        <w:spacing w:after="0" w:line="240" w:lineRule="auto"/>
        <w:jc w:val="both"/>
        <w:rPr>
          <w:rFonts w:ascii="Verdana" w:eastAsia="Calibri" w:hAnsi="Verdana" w:cs="Arial"/>
          <w:lang w:val="es-ES" w:eastAsia="es-ES"/>
        </w:rPr>
      </w:pPr>
    </w:p>
    <w:p w14:paraId="13FD3E99" w14:textId="77777777" w:rsidR="00640D15" w:rsidRDefault="00640D15" w:rsidP="00261B7D">
      <w:pPr>
        <w:spacing w:after="0" w:line="240" w:lineRule="auto"/>
        <w:jc w:val="both"/>
        <w:rPr>
          <w:rFonts w:ascii="Verdana" w:eastAsia="Calibri" w:hAnsi="Verdana" w:cs="Arial"/>
          <w:lang w:val="es-ES" w:eastAsia="es-ES"/>
        </w:rPr>
      </w:pPr>
    </w:p>
    <w:p w14:paraId="476A6EAB" w14:textId="551BCF2D" w:rsidR="00640D15" w:rsidRDefault="00640D15" w:rsidP="00640D15">
      <w:pPr>
        <w:pStyle w:val="Textoindependiente"/>
        <w:spacing w:before="21" w:line="530" w:lineRule="atLeast"/>
        <w:ind w:right="5247"/>
      </w:pPr>
      <w:r>
        <w:rPr>
          <w:noProof/>
        </w:rPr>
        <w:drawing>
          <wp:anchor distT="0" distB="0" distL="0" distR="0" simplePos="0" relativeHeight="251659264" behindDoc="0" locked="0" layoutInCell="1" allowOverlap="1" wp14:anchorId="592468EA" wp14:editId="64D9CE32">
            <wp:simplePos x="0" y="0"/>
            <wp:positionH relativeFrom="page">
              <wp:posOffset>4291965</wp:posOffset>
            </wp:positionH>
            <wp:positionV relativeFrom="paragraph">
              <wp:posOffset>181615</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11"/>
        </w:rPr>
        <w:t xml:space="preserve"> </w:t>
      </w:r>
      <w:r>
        <w:t>D.C.,</w:t>
      </w:r>
      <w:r>
        <w:rPr>
          <w:spacing w:val="-10"/>
        </w:rPr>
        <w:t xml:space="preserve"> </w:t>
      </w:r>
      <w:r>
        <w:t>30</w:t>
      </w:r>
      <w:r>
        <w:rPr>
          <w:spacing w:val="-9"/>
        </w:rPr>
        <w:t xml:space="preserve"> </w:t>
      </w:r>
      <w:r>
        <w:t>Marzo</w:t>
      </w:r>
      <w:r>
        <w:rPr>
          <w:spacing w:val="-12"/>
        </w:rPr>
        <w:t xml:space="preserve"> </w:t>
      </w:r>
      <w:r>
        <w:t>2026</w:t>
      </w:r>
    </w:p>
    <w:p w14:paraId="64940949" w14:textId="77777777" w:rsidR="00640D15" w:rsidRDefault="00640D15" w:rsidP="00261B7D">
      <w:pPr>
        <w:spacing w:after="0" w:line="240" w:lineRule="auto"/>
        <w:jc w:val="both"/>
        <w:rPr>
          <w:rFonts w:ascii="Verdana" w:eastAsia="Calibri" w:hAnsi="Verdana" w:cs="Arial"/>
          <w:lang w:val="es-ES" w:eastAsia="es-ES"/>
        </w:rPr>
      </w:pPr>
    </w:p>
    <w:p w14:paraId="18927F81" w14:textId="77777777" w:rsidR="00640D15" w:rsidRDefault="00640D15" w:rsidP="00261B7D">
      <w:pPr>
        <w:spacing w:after="0" w:line="240" w:lineRule="auto"/>
        <w:jc w:val="both"/>
        <w:rPr>
          <w:rFonts w:ascii="Verdana" w:eastAsia="Calibri" w:hAnsi="Verdana" w:cs="Arial"/>
          <w:lang w:val="es-ES" w:eastAsia="es-ES"/>
        </w:rPr>
      </w:pPr>
    </w:p>
    <w:p w14:paraId="50054A7D" w14:textId="152DC95C" w:rsidR="00261B7D" w:rsidRDefault="00261B7D" w:rsidP="00261B7D">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w:t>
      </w:r>
      <w:r>
        <w:rPr>
          <w:rFonts w:ascii="Verdana" w:eastAsia="Calibri" w:hAnsi="Verdana" w:cs="Arial"/>
          <w:lang w:val="es-ES" w:eastAsia="es-ES"/>
        </w:rPr>
        <w:t>ora</w:t>
      </w:r>
    </w:p>
    <w:p w14:paraId="76076BA2" w14:textId="77777777" w:rsidR="00261B7D" w:rsidRPr="00D37EBD" w:rsidRDefault="00261B7D" w:rsidP="00261B7D">
      <w:pPr>
        <w:spacing w:after="0" w:line="240" w:lineRule="auto"/>
        <w:jc w:val="both"/>
        <w:rPr>
          <w:rFonts w:ascii="Verdana" w:eastAsia="Calibri" w:hAnsi="Verdana" w:cs="Arial"/>
          <w:b/>
          <w:bCs/>
          <w:lang w:val="es-ES" w:eastAsia="es-ES"/>
        </w:rPr>
      </w:pPr>
      <w:r w:rsidRPr="00D37EBD">
        <w:rPr>
          <w:rFonts w:ascii="Verdana" w:eastAsia="Calibri" w:hAnsi="Verdana" w:cs="Arial"/>
          <w:b/>
          <w:bCs/>
          <w:lang w:val="es-ES" w:eastAsia="es-ES"/>
        </w:rPr>
        <w:t>Ana María Tovar Gutiérrez</w:t>
      </w:r>
    </w:p>
    <w:p w14:paraId="15B917F8" w14:textId="77777777" w:rsidR="00261B7D" w:rsidRDefault="00261B7D" w:rsidP="00261B7D">
      <w:pPr>
        <w:spacing w:after="0" w:line="240" w:lineRule="auto"/>
        <w:rPr>
          <w:rFonts w:ascii="Verdana" w:eastAsia="Calibri" w:hAnsi="Verdana" w:cs="Arial"/>
          <w:lang w:val="es-ES" w:eastAsia="es-ES"/>
        </w:rPr>
      </w:pPr>
      <w:hyperlink r:id="rId11" w:history="1">
        <w:r w:rsidRPr="001727B0">
          <w:rPr>
            <w:rStyle w:val="Hipervnculo"/>
            <w:rFonts w:ascii="Verdana" w:eastAsia="Calibri" w:hAnsi="Verdana" w:cs="Arial"/>
            <w:lang w:val="es-ES" w:eastAsia="es-ES"/>
          </w:rPr>
          <w:t>anamariatovargutierrez46@gmail.com</w:t>
        </w:r>
      </w:hyperlink>
    </w:p>
    <w:p w14:paraId="78D95125" w14:textId="77777777" w:rsidR="00261B7D" w:rsidRPr="00B96799" w:rsidRDefault="00261B7D" w:rsidP="00261B7D">
      <w:pPr>
        <w:spacing w:after="0" w:line="240" w:lineRule="auto"/>
        <w:rPr>
          <w:rFonts w:ascii="Verdana" w:eastAsia="Calibri" w:hAnsi="Verdana" w:cs="Arial"/>
          <w:b/>
          <w:bCs/>
          <w:lang w:val="es-ES" w:eastAsia="es-ES"/>
        </w:rPr>
      </w:pPr>
      <w:r w:rsidRPr="00B96799">
        <w:rPr>
          <w:rFonts w:ascii="Verdana" w:eastAsia="Calibri" w:hAnsi="Verdana" w:cs="Arial"/>
          <w:lang w:val="es-ES" w:eastAsia="es-ES"/>
        </w:rPr>
        <w:t>C</w:t>
      </w:r>
      <w:r>
        <w:rPr>
          <w:rFonts w:ascii="Verdana" w:eastAsia="Calibri" w:hAnsi="Verdana" w:cs="Arial"/>
          <w:lang w:val="es-ES" w:eastAsia="es-ES"/>
        </w:rPr>
        <w:t>artago, Valle del Cauca</w:t>
      </w:r>
    </w:p>
    <w:p w14:paraId="440AE04B" w14:textId="77777777" w:rsidR="00261B7D" w:rsidRPr="00593A5F" w:rsidRDefault="00261B7D" w:rsidP="00261B7D">
      <w:pPr>
        <w:spacing w:after="0" w:line="240" w:lineRule="auto"/>
        <w:rPr>
          <w:rFonts w:ascii="Verdana" w:eastAsia="Calibri" w:hAnsi="Verdana" w:cs="Arial"/>
          <w:b/>
          <w:bCs/>
          <w:color w:val="000000"/>
          <w:lang w:val="es-ES_tradnl" w:eastAsia="es-ES_tradnl"/>
        </w:rPr>
      </w:pPr>
    </w:p>
    <w:p w14:paraId="704B6DA4" w14:textId="77777777" w:rsidR="00261B7D" w:rsidRPr="00593A5F" w:rsidRDefault="00261B7D" w:rsidP="00261B7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261B7D" w:rsidRPr="00593A5F" w14:paraId="0C42457C" w14:textId="77777777" w:rsidTr="000C2089">
        <w:trPr>
          <w:trHeight w:val="111"/>
        </w:trPr>
        <w:tc>
          <w:tcPr>
            <w:tcW w:w="2835" w:type="dxa"/>
          </w:tcPr>
          <w:p w14:paraId="18BA28F6" w14:textId="77777777" w:rsidR="00261B7D" w:rsidRPr="00C00976" w:rsidRDefault="00261B7D" w:rsidP="0031322D">
            <w:pPr>
              <w:jc w:val="both"/>
              <w:rPr>
                <w:rFonts w:ascii="Verdana" w:eastAsia="Calibri" w:hAnsi="Verdana" w:cs="Arial"/>
                <w:b/>
                <w:bCs/>
                <w:color w:val="7030A0"/>
                <w:lang w:val="es-ES_tradnl" w:eastAsia="es-ES_tradnl"/>
              </w:rPr>
            </w:pPr>
          </w:p>
        </w:tc>
        <w:tc>
          <w:tcPr>
            <w:tcW w:w="5954" w:type="dxa"/>
          </w:tcPr>
          <w:p w14:paraId="09184C36" w14:textId="77777777" w:rsidR="00261B7D" w:rsidRPr="001727B0" w:rsidRDefault="00261B7D">
            <w:pPr>
              <w:jc w:val="both"/>
              <w:rPr>
                <w:rFonts w:ascii="Verdana" w:eastAsia="Calibri" w:hAnsi="Verdana" w:cs="Arial"/>
                <w:b/>
                <w:bCs/>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262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2026</w:t>
            </w:r>
          </w:p>
          <w:p w14:paraId="38C22CED" w14:textId="4EDCD65B" w:rsidR="00261B7D" w:rsidRPr="00C00976" w:rsidRDefault="00261B7D" w:rsidP="0031322D">
            <w:pPr>
              <w:jc w:val="both"/>
              <w:rPr>
                <w:rFonts w:ascii="Verdana" w:eastAsia="Calibri" w:hAnsi="Verdana" w:cs="Arial"/>
                <w:b/>
                <w:bCs/>
                <w:color w:val="7030A0"/>
                <w:lang w:val="es-ES" w:eastAsia="es-ES"/>
              </w:rPr>
            </w:pPr>
          </w:p>
        </w:tc>
      </w:tr>
      <w:tr w:rsidR="00261B7D" w:rsidRPr="00593A5F" w14:paraId="79299FE5" w14:textId="77777777" w:rsidTr="0031322D">
        <w:trPr>
          <w:trHeight w:val="884"/>
        </w:trPr>
        <w:tc>
          <w:tcPr>
            <w:tcW w:w="2835" w:type="dxa"/>
          </w:tcPr>
          <w:p w14:paraId="6570612A" w14:textId="77777777" w:rsidR="00261B7D" w:rsidRPr="00593A5F" w:rsidRDefault="00261B7D" w:rsidP="0031322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5954" w:type="dxa"/>
          </w:tcPr>
          <w:p w14:paraId="234C6E2A" w14:textId="77777777" w:rsidR="00261B7D" w:rsidRPr="00D37EBD" w:rsidRDefault="00261B7D" w:rsidP="000C2089">
            <w:pPr>
              <w:jc w:val="both"/>
              <w:rPr>
                <w:rFonts w:ascii="Verdana" w:eastAsia="Calibri" w:hAnsi="Verdana" w:cs="Arial"/>
                <w:color w:val="000000" w:themeColor="text1"/>
                <w:lang w:val="es-ES" w:eastAsia="es-ES"/>
              </w:rPr>
            </w:pPr>
            <w:bookmarkStart w:id="1" w:name="OLE_LINK2"/>
            <w:r w:rsidRPr="00D37EBD">
              <w:rPr>
                <w:rFonts w:ascii="Verdana" w:eastAsia="Calibri" w:hAnsi="Verdana" w:cs="Arial"/>
                <w:color w:val="000000" w:themeColor="text1"/>
                <w:lang w:val="es-ES" w:eastAsia="es-ES"/>
              </w:rPr>
              <w:t>LEY DE GARANTÍAS ELECTORALES ‒ Tipos de restricciones ‒ Ámbito temporal / LEY DE GARANTÍAS ELECTORALES ─ Prohibición ‒ Contratación directa ‒Excepciones - Alcance</w:t>
            </w:r>
            <w:bookmarkEnd w:id="1"/>
            <w:r w:rsidRPr="00D37EBD">
              <w:rPr>
                <w:rFonts w:ascii="Verdana" w:hAnsi="Verdana"/>
                <w:color w:val="000000" w:themeColor="text1"/>
              </w:rPr>
              <w:t>.</w:t>
            </w:r>
          </w:p>
          <w:p w14:paraId="462AF5EF" w14:textId="77777777" w:rsidR="00261B7D" w:rsidRPr="00D37EBD" w:rsidRDefault="00261B7D" w:rsidP="000C2089">
            <w:pPr>
              <w:jc w:val="both"/>
              <w:rPr>
                <w:rFonts w:ascii="Verdana" w:eastAsia="Calibri" w:hAnsi="Verdana" w:cs="Arial"/>
                <w:lang w:val="es-ES" w:eastAsia="es-ES"/>
              </w:rPr>
            </w:pPr>
          </w:p>
        </w:tc>
      </w:tr>
      <w:tr w:rsidR="00261B7D" w:rsidRPr="00593A5F" w14:paraId="316E15F5" w14:textId="77777777" w:rsidTr="0031322D">
        <w:tc>
          <w:tcPr>
            <w:tcW w:w="2835" w:type="dxa"/>
          </w:tcPr>
          <w:p w14:paraId="4CE81EBC" w14:textId="77777777" w:rsidR="00261B7D" w:rsidRPr="006C6854" w:rsidRDefault="00261B7D" w:rsidP="0031322D">
            <w:pPr>
              <w:jc w:val="both"/>
              <w:rPr>
                <w:rFonts w:ascii="Verdana" w:eastAsia="Calibri" w:hAnsi="Verdana" w:cs="Arial"/>
                <w:b/>
                <w:color w:val="000000" w:themeColor="text1"/>
                <w:lang w:val="es-ES_tradnl" w:eastAsia="es-ES_tradnl"/>
              </w:rPr>
            </w:pPr>
            <w:r w:rsidRPr="006C6854">
              <w:rPr>
                <w:rFonts w:ascii="Verdana" w:eastAsia="Calibri" w:hAnsi="Verdana" w:cs="Arial"/>
                <w:b/>
                <w:color w:val="000000" w:themeColor="text1"/>
                <w:lang w:val="es-ES_tradnl" w:eastAsia="es-ES_tradnl"/>
              </w:rPr>
              <w:t>Radicación:</w:t>
            </w:r>
            <w:r w:rsidRPr="006C6854">
              <w:rPr>
                <w:rFonts w:ascii="Verdana" w:eastAsia="Calibri" w:hAnsi="Verdana" w:cs="Arial"/>
                <w:color w:val="000000" w:themeColor="text1"/>
                <w:lang w:val="es-ES_tradnl" w:eastAsia="es-ES_tradnl"/>
              </w:rPr>
              <w:t xml:space="preserve">               </w:t>
            </w:r>
          </w:p>
        </w:tc>
        <w:tc>
          <w:tcPr>
            <w:tcW w:w="5954" w:type="dxa"/>
          </w:tcPr>
          <w:p w14:paraId="7FEFE696" w14:textId="77777777" w:rsidR="00261B7D" w:rsidRPr="006C6854" w:rsidRDefault="00261B7D" w:rsidP="0031322D">
            <w:pPr>
              <w:jc w:val="both"/>
              <w:rPr>
                <w:rFonts w:ascii="Verdana" w:eastAsia="Calibri" w:hAnsi="Verdana" w:cs="Arial"/>
                <w:color w:val="000000" w:themeColor="text1"/>
                <w:lang w:val="es-ES_tradnl" w:eastAsia="es-ES_tradnl"/>
              </w:rPr>
            </w:pPr>
            <w:r w:rsidRPr="006C6854">
              <w:rPr>
                <w:rFonts w:ascii="Verdana" w:eastAsia="Calibri" w:hAnsi="Verdana" w:cs="Arial"/>
                <w:color w:val="000000" w:themeColor="text1"/>
                <w:lang w:val="es-ES_tradnl" w:eastAsia="es-ES_tradnl"/>
              </w:rPr>
              <w:t xml:space="preserve">Respuesta a consulta con radicado No. </w:t>
            </w:r>
            <w:r w:rsidRPr="006C6854">
              <w:rPr>
                <w:rFonts w:ascii="Verdana" w:hAnsi="Verdana"/>
                <w:color w:val="000000" w:themeColor="text1"/>
                <w:shd w:val="clear" w:color="auto" w:fill="FFFFFF"/>
              </w:rPr>
              <w:t>1_2026_02_19_002286</w:t>
            </w:r>
          </w:p>
        </w:tc>
      </w:tr>
    </w:tbl>
    <w:p w14:paraId="674D2F71" w14:textId="77777777" w:rsidR="00261B7D" w:rsidRPr="00593A5F" w:rsidRDefault="00261B7D" w:rsidP="00261B7D">
      <w:pPr>
        <w:spacing w:after="0" w:line="240" w:lineRule="auto"/>
        <w:jc w:val="both"/>
        <w:rPr>
          <w:rFonts w:ascii="Verdana" w:eastAsia="Calibri" w:hAnsi="Verdana" w:cs="Arial"/>
          <w:color w:val="000000"/>
          <w:lang w:val="es-ES_tradnl" w:eastAsia="es-ES_tradnl"/>
        </w:rPr>
      </w:pPr>
    </w:p>
    <w:p w14:paraId="17220148" w14:textId="77777777" w:rsidR="00261B7D" w:rsidRPr="00593A5F" w:rsidRDefault="00261B7D" w:rsidP="00261B7D">
      <w:pPr>
        <w:spacing w:after="0" w:line="240" w:lineRule="auto"/>
        <w:jc w:val="both"/>
        <w:rPr>
          <w:rFonts w:ascii="Verdana" w:eastAsia="Calibri" w:hAnsi="Verdana" w:cs="Arial"/>
          <w:color w:val="000000"/>
          <w:lang w:val="es-ES_tradnl" w:eastAsia="es-ES_tradnl"/>
        </w:rPr>
      </w:pPr>
    </w:p>
    <w:p w14:paraId="0E97EAF8" w14:textId="77777777" w:rsidR="00261B7D" w:rsidRDefault="00261B7D" w:rsidP="00261B7D">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señ</w:t>
      </w:r>
      <w:r>
        <w:rPr>
          <w:rFonts w:ascii="Verdana" w:eastAsia="Calibri" w:hAnsi="Verdana" w:cs="Arial"/>
          <w:color w:val="000000" w:themeColor="text1"/>
          <w:lang w:val="es-ES" w:eastAsia="es-ES"/>
        </w:rPr>
        <w:t>ora Tovar,</w:t>
      </w:r>
    </w:p>
    <w:p w14:paraId="751DEE54" w14:textId="77777777" w:rsidR="00261B7D" w:rsidRDefault="00261B7D" w:rsidP="00261B7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84CFC3D" w14:textId="77777777" w:rsidR="00261B7D" w:rsidRDefault="00261B7D" w:rsidP="00261B7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624473">
        <w:rPr>
          <w:rFonts w:ascii="Verdana" w:eastAsia="Calibri" w:hAnsi="Verdana" w:cs="Arial"/>
          <w:color w:val="000000" w:themeColor="text1"/>
          <w:lang w:val="es-ES" w:eastAsia="es-ES"/>
        </w:rPr>
        <w:t xml:space="preserve">fecha 19 de febrero de 2025, en la cual manifiesta lo siguiente: </w:t>
      </w:r>
    </w:p>
    <w:p w14:paraId="5C755D0A" w14:textId="77777777" w:rsidR="00261B7D" w:rsidRPr="00624473" w:rsidRDefault="00261B7D" w:rsidP="00261B7D">
      <w:pPr>
        <w:spacing w:after="0" w:line="276" w:lineRule="auto"/>
        <w:jc w:val="both"/>
        <w:rPr>
          <w:rFonts w:ascii="Verdana" w:eastAsia="Century Gothic" w:hAnsi="Verdana" w:cs="Century Gothic"/>
          <w:b/>
          <w:bCs/>
          <w:color w:val="000000" w:themeColor="text1"/>
          <w:lang w:val="es-ES"/>
        </w:rPr>
      </w:pPr>
    </w:p>
    <w:p w14:paraId="1D7F4145" w14:textId="77777777" w:rsidR="00261B7D" w:rsidRPr="00624473" w:rsidRDefault="00261B7D" w:rsidP="00261B7D">
      <w:pPr>
        <w:spacing w:after="0" w:line="240" w:lineRule="auto"/>
        <w:ind w:left="709" w:right="709"/>
        <w:jc w:val="both"/>
        <w:rPr>
          <w:rStyle w:val="normaltextrun"/>
          <w:rFonts w:ascii="Verdana" w:hAnsi="Verdana" w:cs="Arial"/>
          <w:color w:val="000000" w:themeColor="text1"/>
          <w:sz w:val="20"/>
          <w:szCs w:val="20"/>
          <w:shd w:val="clear" w:color="auto" w:fill="FFFFFF"/>
          <w:lang w:val="es-ES"/>
        </w:rPr>
      </w:pPr>
      <w:bookmarkStart w:id="2" w:name="_Hlk95313578"/>
      <w:bookmarkStart w:id="3" w:name="OLE_LINK1"/>
      <w:r w:rsidRPr="00624473">
        <w:rPr>
          <w:rFonts w:ascii="Verdana" w:eastAsia="Century Gothic" w:hAnsi="Verdana" w:cs="Century Gothic"/>
          <w:color w:val="000000" w:themeColor="text1"/>
          <w:sz w:val="20"/>
          <w:szCs w:val="20"/>
          <w:lang w:val="es-ES"/>
        </w:rPr>
        <w:t>“</w:t>
      </w:r>
      <w:bookmarkEnd w:id="2"/>
      <w:r w:rsidRPr="00624473">
        <w:rPr>
          <w:rFonts w:ascii="Verdana" w:eastAsia="Century Gothic" w:hAnsi="Verdana" w:cs="Century Gothic"/>
          <w:color w:val="000000" w:themeColor="text1"/>
          <w:sz w:val="20"/>
          <w:szCs w:val="20"/>
          <w:lang w:val="es-ES"/>
        </w:rPr>
        <w:t>Solicito amablemente me den un concepto sobre la ley de garantías. Un Hospital Público estando en Ley de Garantías puede comprar un equipo médico de manera directa, teniendo en cuenta que se necesita de manera urgente para prestar los servicios en el área de odontología”.</w:t>
      </w:r>
    </w:p>
    <w:p w14:paraId="7B6CF3F0" w14:textId="77777777" w:rsidR="00261B7D" w:rsidRPr="00593A5F" w:rsidRDefault="00261B7D" w:rsidP="000C2089">
      <w:pPr>
        <w:spacing w:after="0" w:line="276" w:lineRule="auto"/>
        <w:ind w:right="709"/>
        <w:jc w:val="both"/>
        <w:rPr>
          <w:rFonts w:ascii="Verdana" w:eastAsia="Century Gothic" w:hAnsi="Verdana" w:cs="Century Gothic"/>
          <w:b/>
          <w:bCs/>
          <w:lang w:val="es-ES"/>
        </w:rPr>
      </w:pPr>
    </w:p>
    <w:bookmarkEnd w:id="3"/>
    <w:p w14:paraId="1DD7334E" w14:textId="77777777" w:rsidR="00261B7D" w:rsidRDefault="00261B7D" w:rsidP="00261B7D">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93A5F">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3D7E737" w14:textId="77777777" w:rsidR="00261B7D" w:rsidRDefault="00261B7D" w:rsidP="00261B7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w:t>
      </w:r>
      <w:r w:rsidRPr="00593A5F">
        <w:rPr>
          <w:rFonts w:ascii="Verdana" w:eastAsia="Calibri" w:hAnsi="Verdana" w:cs="Arial"/>
          <w:color w:val="000000"/>
          <w:lang w:val="es-ES" w:eastAsia="es-ES"/>
        </w:rPr>
        <w:t xml:space="preserve"> </w:t>
      </w:r>
    </w:p>
    <w:p w14:paraId="6CCE0571" w14:textId="77777777" w:rsidR="00261B7D" w:rsidRPr="00593A5F" w:rsidRDefault="00261B7D" w:rsidP="00261B7D">
      <w:pPr>
        <w:spacing w:after="0" w:line="276" w:lineRule="auto"/>
        <w:ind w:firstLine="709"/>
        <w:jc w:val="both"/>
        <w:rPr>
          <w:rFonts w:ascii="Verdana" w:eastAsia="Calibri" w:hAnsi="Verdana" w:cs="Arial"/>
          <w:color w:val="000000"/>
          <w:lang w:val="es-ES" w:eastAsia="es-ES"/>
        </w:rPr>
      </w:pPr>
    </w:p>
    <w:p w14:paraId="36B39F6F"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3F84802" w14:textId="77777777" w:rsidR="00261B7D" w:rsidRPr="00593A5F" w:rsidRDefault="00261B7D" w:rsidP="00261B7D">
      <w:pPr>
        <w:tabs>
          <w:tab w:val="left" w:pos="426"/>
        </w:tabs>
        <w:spacing w:after="0" w:line="276" w:lineRule="auto"/>
        <w:jc w:val="both"/>
        <w:rPr>
          <w:rFonts w:ascii="Verdana" w:eastAsia="Century Gothic" w:hAnsi="Verdana" w:cs="Century Gothic"/>
          <w:lang w:val="es-ES"/>
        </w:rPr>
      </w:pPr>
    </w:p>
    <w:p w14:paraId="06EF30AC" w14:textId="5AB4D7C1" w:rsidR="00261B7D" w:rsidRDefault="00261B7D" w:rsidP="00261B7D">
      <w:pPr>
        <w:spacing w:after="0" w:line="276" w:lineRule="auto"/>
        <w:jc w:val="both"/>
        <w:rPr>
          <w:rFonts w:ascii="Verdana" w:hAnsi="Verdana"/>
        </w:rPr>
      </w:pPr>
      <w:r w:rsidRPr="1F9252E4">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B40C2B">
        <w:rPr>
          <w:rFonts w:ascii="Verdana" w:eastAsia="Century Gothic" w:hAnsi="Verdana" w:cs="Century Gothic"/>
        </w:rPr>
        <w:t>¿</w:t>
      </w:r>
      <w:r w:rsidRPr="00B40C2B">
        <w:rPr>
          <w:rStyle w:val="citation-61"/>
          <w:rFonts w:ascii="Verdana" w:hAnsi="Verdana"/>
        </w:rPr>
        <w:t>Puede una entidad hospitalaria y sanitaria, estando en periodo de Ley de Garantías</w:t>
      </w:r>
      <w:r w:rsidR="001727B0">
        <w:rPr>
          <w:rStyle w:val="citation-61"/>
          <w:rFonts w:ascii="Verdana" w:hAnsi="Verdana"/>
        </w:rPr>
        <w:t xml:space="preserve"> Electorales</w:t>
      </w:r>
      <w:r w:rsidRPr="00B40C2B">
        <w:rPr>
          <w:rStyle w:val="citation-61"/>
          <w:rFonts w:ascii="Verdana" w:hAnsi="Verdana"/>
        </w:rPr>
        <w:t>, adquirir un equipo médico de manera directa?</w:t>
      </w:r>
      <w:r w:rsidRPr="00B40C2B">
        <w:rPr>
          <w:rFonts w:ascii="Verdana" w:hAnsi="Verdana"/>
        </w:rPr>
        <w:t>.</w:t>
      </w:r>
    </w:p>
    <w:p w14:paraId="212AF5F3" w14:textId="77777777" w:rsidR="00261B7D" w:rsidRPr="00593A5F" w:rsidRDefault="00261B7D" w:rsidP="00261B7D">
      <w:pPr>
        <w:spacing w:after="0" w:line="276" w:lineRule="auto"/>
        <w:jc w:val="both"/>
        <w:rPr>
          <w:rFonts w:ascii="Verdana" w:eastAsia="Calibri" w:hAnsi="Verdana" w:cs="Arial"/>
          <w:color w:val="7030A0"/>
          <w:lang w:val="es-ES"/>
        </w:rPr>
      </w:pPr>
    </w:p>
    <w:p w14:paraId="082A3F5A"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7CD0B87" w14:textId="77777777" w:rsidR="00261B7D" w:rsidRPr="00593A5F" w:rsidRDefault="00261B7D" w:rsidP="00261B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61B7D" w:rsidRPr="00593A5F" w14:paraId="3FDFA6A0" w14:textId="77777777" w:rsidTr="0031322D">
        <w:tc>
          <w:tcPr>
            <w:tcW w:w="8828" w:type="dxa"/>
          </w:tcPr>
          <w:p w14:paraId="6907A52A" w14:textId="77777777" w:rsidR="0045744A" w:rsidRPr="001F1A8B" w:rsidRDefault="0045744A" w:rsidP="0045744A">
            <w:pPr>
              <w:spacing w:after="120" w:line="276" w:lineRule="auto"/>
              <w:jc w:val="both"/>
              <w:rPr>
                <w:rFonts w:ascii="Verdana" w:eastAsia="Calibri" w:hAnsi="Verdana" w:cs="Arial"/>
              </w:rPr>
            </w:pPr>
            <w:r w:rsidRPr="001F1A8B">
              <w:rPr>
                <w:rFonts w:ascii="Verdana" w:eastAsia="Calibri" w:hAnsi="Verdana" w:cs="Arial"/>
              </w:rPr>
              <w:t>En relación con el problema jurídico formulado y conforme a lo previsto en el artículo 33 de la Ley 996 de 2005, el legislador estableció excepciones puntuales a la prohibición general de celebrar contratos mediante la modalidad de contratación directa durante el período preelectoral</w:t>
            </w:r>
            <w:r>
              <w:rPr>
                <w:rFonts w:ascii="Verdana" w:eastAsia="Calibri" w:hAnsi="Verdana" w:cs="Arial"/>
              </w:rPr>
              <w:t xml:space="preserve"> de la presidencia de la Republica</w:t>
            </w:r>
            <w:r w:rsidRPr="001F1A8B">
              <w:rPr>
                <w:rFonts w:ascii="Verdana" w:eastAsia="Calibri" w:hAnsi="Verdana" w:cs="Arial"/>
              </w:rPr>
              <w:t>. Dichas excepciones, consagradas de manera taxativa en el inciso final de la citada disposición, habilitan a las entidades estatales para contratar sin acudir a procesos de selección pública cuando se configuren determinados supuestos de especial relevancia para el interés general.</w:t>
            </w:r>
          </w:p>
          <w:p w14:paraId="787D3D5B" w14:textId="77777777" w:rsidR="0045744A" w:rsidRPr="001F1A8B" w:rsidRDefault="0045744A" w:rsidP="0045744A">
            <w:pPr>
              <w:spacing w:after="120" w:line="276" w:lineRule="auto"/>
              <w:ind w:firstLine="709"/>
              <w:jc w:val="both"/>
              <w:rPr>
                <w:rFonts w:ascii="Verdana" w:eastAsia="Calibri" w:hAnsi="Verdana" w:cs="Arial"/>
              </w:rPr>
            </w:pPr>
            <w:r w:rsidRPr="001F1A8B">
              <w:rPr>
                <w:rFonts w:ascii="Verdana" w:eastAsia="Calibri" w:hAnsi="Verdana" w:cs="Arial"/>
              </w:rPr>
              <w:t>Entre estos eventos se encuentran los contratos destinados a garantizar la defensa y seguridad del Estado, las operaciones de crédito público, así como aquellos requeridos para la atención de emergencias en los sectores educativo</w:t>
            </w:r>
            <w:r>
              <w:rPr>
                <w:rFonts w:ascii="Verdana" w:eastAsia="Calibri" w:hAnsi="Verdana" w:cs="Arial"/>
              </w:rPr>
              <w:t xml:space="preserve">, </w:t>
            </w:r>
            <w:r w:rsidRPr="001F1A8B">
              <w:rPr>
                <w:rFonts w:ascii="Verdana" w:eastAsia="Calibri" w:hAnsi="Verdana" w:cs="Arial"/>
              </w:rPr>
              <w:t xml:space="preserve">sanitario o para enfrentar situaciones derivadas de desastres. Igualmente, la </w:t>
            </w:r>
            <w:r w:rsidRPr="001F1A8B">
              <w:rPr>
                <w:rFonts w:ascii="Verdana" w:eastAsia="Calibri" w:hAnsi="Verdana" w:cs="Arial"/>
              </w:rPr>
              <w:lastRenderedPageBreak/>
              <w:t>norma permite la contratación directa en los casos orientados a la reconstrucción de infraestructura vial, energética o de comunicaciones que haya resultado afectada por atentados, acciones terroristas, desastres naturales o eventos de fuerza mayor</w:t>
            </w:r>
            <w:r>
              <w:rPr>
                <w:rFonts w:ascii="Verdana" w:eastAsia="Calibri" w:hAnsi="Verdana" w:cs="Arial"/>
              </w:rPr>
              <w:t>, así como aquellos contratos necesarios para garantizar la operatividad y funcionalidad de las entidades del sector salud y hospitalario.</w:t>
            </w:r>
          </w:p>
          <w:p w14:paraId="510506DA" w14:textId="4F4713A2" w:rsidR="00261B7D" w:rsidRPr="0078433B" w:rsidRDefault="0045744A" w:rsidP="0031322D">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1F1A8B">
              <w:rPr>
                <w:rFonts w:ascii="Verdana" w:eastAsia="Calibri" w:hAnsi="Verdana" w:cs="Arial"/>
              </w:rPr>
              <w:t xml:space="preserve">De manera particular, </w:t>
            </w:r>
            <w:r>
              <w:rPr>
                <w:rFonts w:ascii="Verdana" w:eastAsia="Calibri" w:hAnsi="Verdana" w:cs="Arial"/>
              </w:rPr>
              <w:t xml:space="preserve">conforme a la consulta que nos ocupa, </w:t>
            </w:r>
            <w:r w:rsidRPr="001F1A8B">
              <w:rPr>
                <w:rFonts w:ascii="Verdana" w:eastAsia="Calibri" w:hAnsi="Verdana" w:cs="Arial"/>
              </w:rPr>
              <w:t xml:space="preserve">merece un énfasis especial la excepción relativa a los contratos necesarios para las entidades del sector salud y hospitalario. </w:t>
            </w:r>
            <w:r w:rsidR="00261B7D" w:rsidRPr="00EC1732">
              <w:rPr>
                <w:rFonts w:ascii="Verdana" w:hAnsi="Verdana" w:cs="Arial"/>
                <w:bCs/>
                <w:color w:val="000000" w:themeColor="text1"/>
                <w:sz w:val="22"/>
                <w:szCs w:val="22"/>
              </w:rPr>
              <w:t xml:space="preserve">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00261B7D" w:rsidRPr="0078433B">
              <w:rPr>
                <w:rFonts w:ascii="Verdana" w:hAnsi="Verdana" w:cs="Arial"/>
                <w:bCs/>
                <w:color w:val="000000" w:themeColor="text1"/>
                <w:sz w:val="22"/>
                <w:szCs w:val="22"/>
              </w:rPr>
              <w:t xml:space="preserve"> </w:t>
            </w:r>
          </w:p>
          <w:p w14:paraId="48E4B9DA" w14:textId="77777777" w:rsidR="00261B7D" w:rsidRPr="00FF007A" w:rsidRDefault="00261B7D" w:rsidP="0031322D">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9BAC62D" w14:textId="77777777" w:rsidR="00261B7D" w:rsidRPr="00FF007A" w:rsidRDefault="00261B7D" w:rsidP="0031322D">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w:t>
            </w:r>
            <w:r w:rsidRPr="00FF007A">
              <w:rPr>
                <w:rFonts w:ascii="Verdana" w:eastAsia="Arial" w:hAnsi="Verdana" w:cs="Arial"/>
                <w:bCs/>
                <w:color w:val="000000" w:themeColor="text1"/>
              </w:rPr>
              <w:lastRenderedPageBreak/>
              <w:t xml:space="preserve">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418A7EF6" w14:textId="77777777" w:rsidR="0045744A" w:rsidRPr="001F1A8B" w:rsidRDefault="0045744A" w:rsidP="0045744A">
            <w:pPr>
              <w:spacing w:after="120" w:line="276" w:lineRule="auto"/>
              <w:ind w:firstLine="709"/>
              <w:jc w:val="both"/>
              <w:rPr>
                <w:rFonts w:ascii="Verdana" w:eastAsia="Calibri" w:hAnsi="Verdana" w:cs="Arial"/>
              </w:rPr>
            </w:pPr>
            <w:r w:rsidRPr="00C01C95">
              <w:rPr>
                <w:rFonts w:ascii="Verdana" w:eastAsia="Calibri" w:hAnsi="Verdana" w:cs="Arial"/>
              </w:rPr>
              <w:t xml:space="preserve">En conclusión, de la </w:t>
            </w:r>
            <w:r>
              <w:rPr>
                <w:rFonts w:ascii="Verdana" w:eastAsia="Calibri" w:hAnsi="Verdana" w:cs="Arial"/>
              </w:rPr>
              <w:t>lectura taxativa</w:t>
            </w:r>
            <w:r w:rsidRPr="00C01C95">
              <w:rPr>
                <w:rFonts w:ascii="Verdana" w:eastAsia="Calibri" w:hAnsi="Verdana" w:cs="Arial"/>
              </w:rPr>
              <w:t xml:space="preserve"> del artículo 33 de la Ley 996 de 2005 se infiere que la excepción a la prohibición de contratar durante el período preelectoral cobija a las entidades hospitalarias, categoría en la que se inscriben las Empresas Sociales del Estado y aquellas instituciones públicas que, aun sin haber culminado el proceso de reestructuración previsto en la Ley 100 de 1993, prestan de manera directa servicios de salud. En tal medida, dichas entidades se encuentran jurídicamente habilitadas para celebrar contratos bajo la modalidad de contratación directa,</w:t>
            </w:r>
            <w:r>
              <w:rPr>
                <w:rFonts w:ascii="Verdana" w:eastAsia="Calibri" w:hAnsi="Verdana" w:cs="Arial"/>
              </w:rPr>
              <w:t xml:space="preserve"> durante la vigencia de la prohibición,</w:t>
            </w:r>
            <w:r w:rsidRPr="00C01C95">
              <w:rPr>
                <w:rFonts w:ascii="Verdana" w:eastAsia="Calibri" w:hAnsi="Verdana" w:cs="Arial"/>
              </w:rPr>
              <w:t xml:space="preserve"> conforme a las reglas y procedimientos previstos en sus respectivos manuales de contratación, sin que les sea oponible la restricción general establecida por la Ley de Garantías Electorales, en atención a la naturaleza esencial y continua del servicio público de salud que están llamadas a garantizar.</w:t>
            </w:r>
          </w:p>
          <w:p w14:paraId="793571D0" w14:textId="77777777" w:rsidR="0045744A" w:rsidRPr="001F1A8B" w:rsidRDefault="0045744A" w:rsidP="0045744A">
            <w:pPr>
              <w:spacing w:after="120" w:line="276" w:lineRule="auto"/>
              <w:ind w:firstLine="709"/>
              <w:jc w:val="both"/>
              <w:rPr>
                <w:rFonts w:ascii="Verdana" w:eastAsia="Calibri" w:hAnsi="Verdana" w:cs="Arial"/>
              </w:rPr>
            </w:pPr>
            <w:r w:rsidRPr="001F1A8B">
              <w:rPr>
                <w:rFonts w:ascii="Verdana" w:eastAsia="Calibri" w:hAnsi="Verdana" w:cs="Arial"/>
              </w:rPr>
              <w:t>Así, la excepción en comento no solo se justifica por razones de urgencia, sino también por la necesidad de garantizar la continuidad en la prestación de los servicios de salud, el suministro oportuno de bienes y servicios médicos y el adecuado funcionamiento de la red hospitalaria, aun en contextos de restricción electoral.</w:t>
            </w:r>
          </w:p>
          <w:p w14:paraId="170F453B" w14:textId="047BECA3" w:rsidR="00261B7D" w:rsidRPr="00163637" w:rsidRDefault="0045744A" w:rsidP="0031322D">
            <w:pPr>
              <w:spacing w:after="120" w:line="276" w:lineRule="auto"/>
              <w:ind w:firstLine="709"/>
              <w:jc w:val="both"/>
              <w:rPr>
                <w:rFonts w:ascii="Verdana" w:eastAsia="Arial" w:hAnsi="Verdana" w:cs="Arial"/>
                <w:bCs/>
                <w:color w:val="000000" w:themeColor="text1"/>
              </w:rPr>
            </w:pPr>
            <w:r w:rsidRPr="001F1A8B">
              <w:rPr>
                <w:rFonts w:ascii="Verdana" w:eastAsia="Calibri" w:hAnsi="Verdana" w:cs="Arial"/>
              </w:rPr>
              <w:t>Sin perjuicio de lo anterior, es deber de cada entidad pública efectuar un análisis serio, objetivo y debidamente motivado de la naturaleza y finalidad del contrato que pretende celebrar, a fin de constatar que este se enmarca efectivamente dentro de las excepciones legales previstas. Solo en la medida en que se cumpla dicho examen resultará procedente la contratación directa, en observancia de los principios de legalidad, necesidad, proporcionalidad y responsabilidad que rigen la función administrativa</w:t>
            </w:r>
            <w:r>
              <w:rPr>
                <w:rFonts w:ascii="Verdana" w:eastAsia="Calibri" w:hAnsi="Verdana" w:cs="Arial"/>
              </w:rPr>
              <w:t>.</w:t>
            </w:r>
          </w:p>
        </w:tc>
      </w:tr>
    </w:tbl>
    <w:p w14:paraId="020818D4" w14:textId="77777777" w:rsidR="00261B7D" w:rsidRPr="00593A5F" w:rsidRDefault="00261B7D" w:rsidP="00261B7D">
      <w:pPr>
        <w:tabs>
          <w:tab w:val="left" w:pos="142"/>
          <w:tab w:val="left" w:pos="284"/>
        </w:tabs>
        <w:spacing w:after="0" w:line="276" w:lineRule="auto"/>
        <w:jc w:val="both"/>
        <w:rPr>
          <w:rFonts w:ascii="Verdana" w:eastAsia="Century Gothic" w:hAnsi="Verdana" w:cs="Century Gothic"/>
          <w:b/>
          <w:bCs/>
          <w:lang w:val="es-ES"/>
        </w:rPr>
      </w:pPr>
    </w:p>
    <w:p w14:paraId="0BAD222F"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C051C27" w14:textId="77777777" w:rsidR="00261B7D" w:rsidRPr="00593A5F" w:rsidRDefault="00261B7D" w:rsidP="00261B7D">
      <w:pPr>
        <w:spacing w:after="0" w:line="276" w:lineRule="auto"/>
        <w:jc w:val="both"/>
        <w:rPr>
          <w:rFonts w:ascii="Verdana" w:eastAsia="Calibri" w:hAnsi="Verdana" w:cs="Arial"/>
          <w:color w:val="7030A0"/>
          <w:lang w:val="es-ES"/>
        </w:rPr>
      </w:pPr>
    </w:p>
    <w:p w14:paraId="3B15BBAE" w14:textId="77777777" w:rsidR="00261B7D" w:rsidRDefault="00261B7D" w:rsidP="00261B7D">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BCDE3A5" w14:textId="77777777" w:rsidR="00261B7D" w:rsidRPr="00B96799" w:rsidRDefault="00261B7D" w:rsidP="00261B7D">
      <w:pPr>
        <w:spacing w:after="0" w:line="276" w:lineRule="auto"/>
        <w:jc w:val="both"/>
        <w:rPr>
          <w:rFonts w:ascii="Verdana" w:eastAsia="Calibri" w:hAnsi="Verdana" w:cs="Arial"/>
          <w:lang w:val="es-ES"/>
        </w:rPr>
      </w:pPr>
    </w:p>
    <w:p w14:paraId="34A3174B" w14:textId="77777777" w:rsidR="00261B7D" w:rsidRPr="009D221F" w:rsidRDefault="00261B7D" w:rsidP="00261B7D">
      <w:pPr>
        <w:tabs>
          <w:tab w:val="left" w:pos="142"/>
          <w:tab w:val="left" w:pos="284"/>
          <w:tab w:val="left" w:pos="6912"/>
        </w:tabs>
        <w:spacing w:after="120" w:line="276" w:lineRule="auto"/>
        <w:jc w:val="both"/>
        <w:rPr>
          <w:rFonts w:ascii="Verdana" w:eastAsia="Times New Roman" w:hAnsi="Verdana" w:cs="Arial"/>
          <w:bCs/>
          <w:lang w:eastAsia="es-CO"/>
        </w:rPr>
      </w:pPr>
      <w:r w:rsidRPr="002D6B92">
        <w:rPr>
          <w:rFonts w:ascii="Verdana" w:eastAsia="Times New Roman" w:hAnsi="Verdana" w:cs="Arial"/>
          <w:bCs/>
          <w:lang w:eastAsia="es-CO"/>
        </w:rPr>
        <w:lastRenderedPageBreak/>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6FC176BA" w14:textId="2131E8D5" w:rsidR="00261B7D" w:rsidRDefault="00261B7D" w:rsidP="00261B7D">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sidR="00922BD6">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6BF4BFA5" w14:textId="31EBDA80" w:rsidR="00261B7D" w:rsidRPr="00F10E52" w:rsidRDefault="00261B7D" w:rsidP="002A0169">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402A3B9D" w14:textId="77777777" w:rsidR="002A0169" w:rsidRPr="002A0169" w:rsidRDefault="002A0169" w:rsidP="000C2089">
      <w:pPr>
        <w:tabs>
          <w:tab w:val="left" w:pos="426"/>
        </w:tabs>
        <w:spacing w:after="0" w:line="276" w:lineRule="auto"/>
        <w:ind w:firstLine="709"/>
        <w:jc w:val="both"/>
        <w:rPr>
          <w:rFonts w:ascii="Verdana" w:eastAsia="Times New Roman" w:hAnsi="Verdana" w:cs="Arial"/>
          <w:bCs/>
          <w:lang w:eastAsia="es-CO"/>
        </w:rPr>
      </w:pPr>
    </w:p>
    <w:p w14:paraId="2769035F" w14:textId="77777777" w:rsidR="00261B7D" w:rsidRPr="007777F3" w:rsidRDefault="00261B7D" w:rsidP="00261B7D">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02B312AE" w14:textId="77777777" w:rsidR="00261B7D" w:rsidRPr="009E6EDF" w:rsidRDefault="00261B7D" w:rsidP="00261B7D">
      <w:pPr>
        <w:spacing w:after="0" w:line="240" w:lineRule="auto"/>
        <w:ind w:left="709" w:right="709"/>
        <w:jc w:val="both"/>
        <w:rPr>
          <w:rFonts w:ascii="Verdana" w:eastAsia="Times New Roman" w:hAnsi="Verdana" w:cs="Arial"/>
          <w:bCs/>
          <w:sz w:val="20"/>
          <w:szCs w:val="20"/>
          <w:lang w:eastAsia="es-CO"/>
        </w:rPr>
      </w:pPr>
    </w:p>
    <w:p w14:paraId="2AE05569" w14:textId="77777777" w:rsidR="00261B7D" w:rsidRPr="00E80F85" w:rsidRDefault="00261B7D" w:rsidP="00261B7D">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w:t>
      </w:r>
      <w:r w:rsidRPr="009E6EDF">
        <w:rPr>
          <w:rFonts w:ascii="Verdana" w:eastAsia="Times New Roman" w:hAnsi="Verdana" w:cs="Arial"/>
          <w:bCs/>
          <w:sz w:val="20"/>
          <w:szCs w:val="20"/>
          <w:lang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4" w:name="_Hlk78818186"/>
    </w:p>
    <w:p w14:paraId="7B395976" w14:textId="77777777" w:rsidR="00261B7D" w:rsidRDefault="00261B7D" w:rsidP="000C2089">
      <w:pPr>
        <w:spacing w:after="0" w:line="276" w:lineRule="auto"/>
        <w:ind w:firstLine="709"/>
        <w:jc w:val="both"/>
        <w:rPr>
          <w:rFonts w:ascii="Verdana" w:eastAsia="Times New Roman" w:hAnsi="Verdana" w:cs="Arial"/>
          <w:bCs/>
          <w:lang w:eastAsia="es-CO"/>
        </w:rPr>
      </w:pPr>
    </w:p>
    <w:p w14:paraId="50B9C6AF" w14:textId="77777777" w:rsidR="00471ED3" w:rsidRDefault="00261B7D" w:rsidP="00261B7D">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este contexto, la Ley de Garantías Electorales establece el marco jurídico para el desarrollo de las elecciones, procurando condiciones de igualdad y transparencia para los aspirantes y</w:t>
      </w:r>
      <w:r w:rsidR="002A0169">
        <w:rPr>
          <w:rFonts w:ascii="Verdana" w:eastAsia="Times New Roman" w:hAnsi="Verdana" w:cs="Arial"/>
          <w:bCs/>
          <w:lang w:eastAsia="es-CO"/>
        </w:rPr>
        <w:t>,</w:t>
      </w:r>
      <w:r w:rsidRPr="00F10E52">
        <w:rPr>
          <w:rFonts w:ascii="Verdana" w:eastAsia="Times New Roman" w:hAnsi="Verdana" w:cs="Arial"/>
          <w:bCs/>
          <w:lang w:eastAsia="es-CO"/>
        </w:rPr>
        <w:t xml:space="preserve"> paralelamente</w:t>
      </w:r>
      <w:r w:rsidR="002A0169">
        <w:rPr>
          <w:rFonts w:ascii="Verdana" w:eastAsia="Times New Roman" w:hAnsi="Verdana" w:cs="Arial"/>
          <w:bCs/>
          <w:lang w:eastAsia="es-CO"/>
        </w:rPr>
        <w:t>,</w:t>
      </w:r>
      <w:r w:rsidRPr="00F10E52">
        <w:rPr>
          <w:rFonts w:ascii="Verdana" w:eastAsia="Times New Roman" w:hAnsi="Verdana" w:cs="Arial"/>
          <w:bCs/>
          <w:lang w:eastAsia="es-CO"/>
        </w:rPr>
        <w:t xml:space="preserve"> se incluyen restricciones en el actuar de los servidores públicos, evitando interferencias en la contienda electoral, así como la posible desviación de recursos públicos en aspiraciones electorales. </w:t>
      </w:r>
      <w:bookmarkEnd w:id="4"/>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6229FD2D" w14:textId="6E47385D" w:rsidR="00261B7D" w:rsidRPr="002D6B92" w:rsidRDefault="00261B7D" w:rsidP="00471ED3">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3D4A4511" w14:textId="77777777" w:rsidR="00471ED3" w:rsidRPr="002D6B92" w:rsidRDefault="00471ED3" w:rsidP="000C2089">
      <w:pPr>
        <w:spacing w:after="0" w:line="276" w:lineRule="auto"/>
        <w:ind w:firstLine="709"/>
        <w:jc w:val="both"/>
        <w:rPr>
          <w:rFonts w:ascii="Verdana" w:eastAsia="Times New Roman" w:hAnsi="Verdana" w:cs="Arial"/>
          <w:bCs/>
          <w:lang w:eastAsia="es-CO"/>
        </w:rPr>
      </w:pPr>
    </w:p>
    <w:p w14:paraId="7FE2842E" w14:textId="77777777" w:rsidR="00261B7D" w:rsidRPr="009B20C5" w:rsidRDefault="00261B7D" w:rsidP="00261B7D">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FF5DAF0" w14:textId="77777777" w:rsidR="00261B7D" w:rsidRDefault="00261B7D" w:rsidP="00261B7D">
      <w:pPr>
        <w:spacing w:after="0" w:line="240" w:lineRule="auto"/>
        <w:ind w:left="709" w:right="709"/>
        <w:jc w:val="both"/>
        <w:rPr>
          <w:rFonts w:ascii="Verdana" w:eastAsia="Times New Roman" w:hAnsi="Verdana" w:cs="Arial"/>
          <w:bCs/>
          <w:sz w:val="20"/>
          <w:szCs w:val="20"/>
          <w:lang w:eastAsia="es-CO"/>
        </w:rPr>
      </w:pPr>
    </w:p>
    <w:p w14:paraId="05DCF731" w14:textId="77777777" w:rsidR="00261B7D" w:rsidRPr="009B20C5" w:rsidRDefault="00261B7D" w:rsidP="00261B7D">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w:t>
      </w:r>
      <w:r w:rsidRPr="009B20C5">
        <w:rPr>
          <w:rFonts w:ascii="Verdana" w:eastAsia="Times New Roman" w:hAnsi="Verdana" w:cs="Arial"/>
          <w:bCs/>
          <w:sz w:val="20"/>
          <w:szCs w:val="20"/>
          <w:lang w:eastAsia="es-CO"/>
        </w:rPr>
        <w:lastRenderedPageBreak/>
        <w:t>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0903C9A7" w14:textId="77777777" w:rsidR="00261B7D" w:rsidRDefault="00261B7D" w:rsidP="000C2089">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715BBDA4" w14:textId="77777777" w:rsidR="00261B7D" w:rsidRDefault="00261B7D" w:rsidP="00261B7D">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78742B3" w14:textId="77777777" w:rsidR="00261B7D" w:rsidRPr="00F10E52" w:rsidRDefault="00261B7D" w:rsidP="00261B7D">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4B16AC1C" w14:textId="2B02E195" w:rsidR="00261B7D" w:rsidRPr="00F10E52" w:rsidRDefault="00261B7D" w:rsidP="00261B7D">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0C2089">
        <w:rPr>
          <w:rFonts w:ascii="Verdana" w:eastAsia="Calibri" w:hAnsi="Verdana" w:cs="Arial"/>
          <w:i/>
        </w:rPr>
        <w:t>la contratación directa</w:t>
      </w:r>
      <w:r w:rsidRPr="00F10E52">
        <w:rPr>
          <w:rFonts w:ascii="Verdana" w:eastAsia="Calibri" w:hAnsi="Verdana" w:cs="Arial"/>
        </w:rPr>
        <w:t xml:space="preserve">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00471ED3">
        <w:rPr>
          <w:rFonts w:ascii="Verdana" w:eastAsia="Calibri" w:hAnsi="Verdana" w:cs="Arial"/>
          <w:bCs/>
        </w:rPr>
        <w:t xml:space="preserve"> [Énfasis fuera del texto </w:t>
      </w:r>
      <w:r w:rsidR="00B51E8A">
        <w:rPr>
          <w:rFonts w:ascii="Verdana" w:eastAsia="Calibri" w:hAnsi="Verdana" w:cs="Arial"/>
          <w:bCs/>
        </w:rPr>
        <w:t>original</w:t>
      </w:r>
      <w:r w:rsidR="00471ED3">
        <w:rPr>
          <w:rFonts w:ascii="Verdana" w:eastAsia="Calibri" w:hAnsi="Verdana" w:cs="Arial"/>
          <w:bCs/>
        </w:rPr>
        <w:t>]</w:t>
      </w:r>
      <w:r w:rsidRPr="00F10E52">
        <w:rPr>
          <w:rFonts w:ascii="Verdana" w:eastAsia="Calibri" w:hAnsi="Verdana" w:cs="Arial"/>
        </w:rPr>
        <w:t>.</w:t>
      </w:r>
    </w:p>
    <w:p w14:paraId="3FD59B45" w14:textId="25E6EE2A" w:rsidR="00261B7D" w:rsidRDefault="00261B7D" w:rsidP="00261B7D">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w:t>
      </w:r>
      <w:r w:rsidRPr="00F10E52">
        <w:rPr>
          <w:rFonts w:ascii="Verdana" w:eastAsia="Calibri" w:hAnsi="Verdana" w:cs="Arial"/>
        </w:rPr>
        <w:lastRenderedPageBreak/>
        <w:t xml:space="preserve">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155F9B3F" w14:textId="7121C8C8" w:rsidR="001A26D6" w:rsidRDefault="001A26D6" w:rsidP="001A26D6">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820A116" w14:textId="77777777" w:rsidR="001A26D6" w:rsidRPr="006A51F6" w:rsidRDefault="001A26D6" w:rsidP="000C2089">
      <w:pPr>
        <w:widowControl w:val="0"/>
        <w:autoSpaceDE w:val="0"/>
        <w:autoSpaceDN w:val="0"/>
        <w:spacing w:after="0" w:line="276" w:lineRule="auto"/>
        <w:ind w:firstLine="709"/>
        <w:jc w:val="both"/>
        <w:rPr>
          <w:rFonts w:ascii="Verdana" w:eastAsia="Arial" w:hAnsi="Verdana" w:cs="Arial"/>
          <w:lang w:val="es-ES" w:eastAsia="es-ES" w:bidi="es-ES"/>
        </w:rPr>
      </w:pPr>
    </w:p>
    <w:p w14:paraId="0FD382CD" w14:textId="77777777" w:rsidR="001A26D6" w:rsidRPr="009B20C5" w:rsidRDefault="001A26D6" w:rsidP="001A26D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404DADD1" w14:textId="77777777" w:rsidR="001A26D6" w:rsidRDefault="001A26D6" w:rsidP="001A26D6">
      <w:pPr>
        <w:spacing w:after="0" w:line="240" w:lineRule="auto"/>
        <w:ind w:firstLine="709"/>
        <w:jc w:val="both"/>
        <w:rPr>
          <w:rFonts w:ascii="Verdana" w:eastAsia="Arial" w:hAnsi="Verdana" w:cs="Arial"/>
          <w:lang w:val="es-ES" w:eastAsia="es-ES" w:bidi="es-ES"/>
        </w:rPr>
      </w:pPr>
    </w:p>
    <w:p w14:paraId="7F11FF5E" w14:textId="77777777" w:rsidR="001A26D6" w:rsidRPr="001A26D6" w:rsidRDefault="001A26D6" w:rsidP="001A26D6">
      <w:pPr>
        <w:spacing w:after="120" w:line="276" w:lineRule="auto"/>
        <w:ind w:firstLine="709"/>
        <w:jc w:val="both"/>
        <w:rPr>
          <w:rFonts w:ascii="Verdana" w:eastAsia="Arial" w:hAnsi="Verdana" w:cs="Arial"/>
          <w:lang w:val="es-ES" w:eastAsia="es-ES" w:bidi="es-ES"/>
        </w:rPr>
      </w:pPr>
      <w:r w:rsidRPr="001A26D6">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944391">
        <w:rPr>
          <w:rFonts w:ascii="Verdana" w:eastAsia="Arial" w:hAnsi="Verdana" w:cs="Arial"/>
          <w:i/>
          <w:iCs/>
          <w:lang w:val="es-ES" w:eastAsia="es-ES" w:bidi="es-ES"/>
        </w:rPr>
        <w:t>En primer lugar</w:t>
      </w:r>
      <w:r w:rsidRPr="0045744A">
        <w:rPr>
          <w:rFonts w:ascii="Verdana" w:eastAsia="Arial" w:hAnsi="Verdana" w:cs="Arial"/>
          <w:lang w:val="es-ES" w:eastAsia="es-ES" w:bidi="es-ES"/>
        </w:rPr>
        <w:t>, la del artículo 33 que opera solo respecto de las elecciones presidenciales, en virtud de la cual queda proscrita la</w:t>
      </w:r>
      <w:r w:rsidRPr="001A26D6">
        <w:rPr>
          <w:rFonts w:ascii="Verdana" w:eastAsia="Arial" w:hAnsi="Verdana" w:cs="Arial"/>
          <w:lang w:val="es-ES" w:eastAsia="es-ES" w:bidi="es-ES"/>
        </w:rPr>
        <w:t xml:space="preserve"> contratación directa dentro </w:t>
      </w:r>
      <w:r w:rsidRPr="001A26D6">
        <w:rPr>
          <w:rFonts w:ascii="Verdana" w:eastAsia="Arial" w:hAnsi="Verdana" w:cs="Arial"/>
          <w:lang w:val="es-ES" w:eastAsia="es-ES" w:bidi="es-ES"/>
        </w:rPr>
        <w:lastRenderedPageBreak/>
        <w:t xml:space="preserve">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A26D6">
        <w:rPr>
          <w:rFonts w:ascii="Verdana" w:eastAsia="Arial" w:hAnsi="Verdana" w:cs="Arial"/>
          <w:i/>
          <w:iCs/>
          <w:lang w:val="es-ES" w:eastAsia="es-ES" w:bidi="es-ES"/>
        </w:rPr>
        <w:t>En segundo lugar</w:t>
      </w:r>
      <w:r w:rsidRPr="001A26D6">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07EAE2F" w14:textId="77777777" w:rsidR="001A26D6" w:rsidRPr="001A26D6" w:rsidRDefault="001A26D6" w:rsidP="00944391">
      <w:pPr>
        <w:spacing w:after="120" w:line="276" w:lineRule="auto"/>
        <w:ind w:firstLine="709"/>
        <w:jc w:val="both"/>
        <w:rPr>
          <w:rFonts w:ascii="Verdana" w:eastAsia="Arial" w:hAnsi="Verdana" w:cs="Arial"/>
          <w:lang w:val="es-ES" w:eastAsia="es-ES" w:bidi="es-ES"/>
        </w:rPr>
      </w:pPr>
      <w:r w:rsidRPr="001A26D6">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274B78A2" w14:textId="4B96D21D" w:rsidR="001A26D6" w:rsidRPr="001A26D6" w:rsidRDefault="001A26D6" w:rsidP="000C2089">
      <w:pPr>
        <w:spacing w:after="120" w:line="276" w:lineRule="auto"/>
        <w:ind w:firstLine="709"/>
        <w:jc w:val="both"/>
        <w:rPr>
          <w:rFonts w:ascii="Verdana" w:eastAsia="Arial" w:hAnsi="Verdana" w:cs="Arial"/>
          <w:lang w:val="es-ES" w:eastAsia="es-ES" w:bidi="es-ES"/>
        </w:rPr>
      </w:pPr>
      <w:r w:rsidRPr="001A26D6">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0B26B87" w14:textId="77777777" w:rsidR="00261B7D" w:rsidRDefault="00261B7D" w:rsidP="00261B7D">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 xml:space="preserve">Realizar </w:t>
      </w:r>
      <w:r w:rsidRPr="00116894">
        <w:rPr>
          <w:rFonts w:ascii="Verdana" w:eastAsia="Times New Roman" w:hAnsi="Verdana" w:cs="Arial"/>
          <w:bCs/>
          <w:lang w:eastAsia="es-CO"/>
        </w:rPr>
        <w:lastRenderedPageBreak/>
        <w:t>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57D3DC21" w14:textId="77777777" w:rsidR="00261B7D" w:rsidRDefault="00261B7D" w:rsidP="00261B7D">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75B0BFC5" w14:textId="77777777" w:rsidR="00261B7D" w:rsidRDefault="00261B7D" w:rsidP="00261B7D">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8B9CF72" w14:textId="5F6912F7" w:rsidR="00261B7D" w:rsidRPr="00AA5D69" w:rsidRDefault="00261B7D" w:rsidP="00261B7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w:t>
      </w:r>
      <w:r w:rsidR="00930325" w:rsidRPr="001A26D6">
        <w:rPr>
          <w:rFonts w:ascii="Verdana" w:eastAsia="Times New Roman" w:hAnsi="Verdana" w:cs="Arial"/>
          <w:bCs/>
          <w:lang w:val="es-MX" w:eastAsia="es-CO"/>
        </w:rPr>
        <w:t xml:space="preserve">convenios </w:t>
      </w:r>
      <w:r w:rsidRPr="00894384">
        <w:rPr>
          <w:rFonts w:ascii="Verdana" w:eastAsia="Times New Roman" w:hAnsi="Verdana" w:cs="Arial"/>
          <w:bCs/>
          <w:lang w:val="es-MX" w:eastAsia="es-CO"/>
        </w:rPr>
        <w:t>suscritos antes de la entrada en vigencia de las prohibiciones anotadas, así como la cesión de los mismos, pueden tener lugar en el período de aplicación de la Ley de Garantías</w:t>
      </w:r>
      <w:r w:rsidR="00E15AB1" w:rsidRPr="001A26D6">
        <w:rPr>
          <w:rFonts w:ascii="Verdana" w:eastAsia="Times New Roman" w:hAnsi="Verdana" w:cs="Arial"/>
          <w:bCs/>
          <w:lang w:val="es-MX" w:eastAsia="es-CO"/>
        </w:rPr>
        <w:t xml:space="preserve"> Electorales</w:t>
      </w:r>
      <w:r w:rsidRPr="00894384">
        <w:rPr>
          <w:rFonts w:ascii="Verdana" w:eastAsia="Times New Roman" w:hAnsi="Verdana" w:cs="Arial"/>
          <w:bCs/>
          <w:lang w:val="es-MX" w:eastAsia="es-CO"/>
        </w:rPr>
        <w:t xml:space="preserve">, sin que ello haga nugatoria </w:t>
      </w:r>
      <w:r w:rsidRPr="001A26D6">
        <w:rPr>
          <w:rFonts w:ascii="Verdana" w:eastAsia="Times New Roman" w:hAnsi="Verdana" w:cs="Arial"/>
          <w:bCs/>
          <w:lang w:val="es-MX" w:eastAsia="es-CO"/>
        </w:rPr>
        <w:t>la</w:t>
      </w:r>
      <w:r w:rsidR="00362436">
        <w:rPr>
          <w:rFonts w:ascii="Verdana" w:eastAsia="Times New Roman" w:hAnsi="Verdana" w:cs="Arial"/>
          <w:bCs/>
          <w:lang w:val="es-MX" w:eastAsia="es-CO"/>
        </w:rPr>
        <w:t>s</w:t>
      </w:r>
      <w:r w:rsidRPr="00362436">
        <w:rPr>
          <w:rFonts w:ascii="Verdana" w:eastAsia="Times New Roman" w:hAnsi="Verdana" w:cs="Arial"/>
          <w:bCs/>
          <w:lang w:val="es-MX" w:eastAsia="es-CO"/>
        </w:rPr>
        <w:t xml:space="preserve"> restricci</w:t>
      </w:r>
      <w:r w:rsidR="00362436">
        <w:rPr>
          <w:rFonts w:ascii="Verdana" w:eastAsia="Times New Roman" w:hAnsi="Verdana" w:cs="Arial"/>
          <w:bCs/>
          <w:lang w:val="es-MX" w:eastAsia="es-CO"/>
        </w:rPr>
        <w:t>ones</w:t>
      </w:r>
      <w:r w:rsidRPr="00894384">
        <w:rPr>
          <w:rFonts w:ascii="Verdana" w:eastAsia="Times New Roman" w:hAnsi="Verdana" w:cs="Arial"/>
          <w:bCs/>
          <w:lang w:val="es-MX" w:eastAsia="es-CO"/>
        </w:rPr>
        <w:t xml:space="preserve"> </w:t>
      </w:r>
      <w:r w:rsidR="00362436">
        <w:rPr>
          <w:rFonts w:ascii="Verdana" w:eastAsia="Times New Roman" w:hAnsi="Verdana" w:cs="Arial"/>
          <w:bCs/>
          <w:lang w:val="es-MX" w:eastAsia="es-CO"/>
        </w:rPr>
        <w:t>a</w:t>
      </w:r>
      <w:r w:rsidR="00362436" w:rsidRPr="00362436">
        <w:rPr>
          <w:rFonts w:ascii="Verdana" w:eastAsia="Times New Roman" w:hAnsi="Verdana" w:cs="Arial"/>
          <w:bCs/>
          <w:lang w:val="es-MX" w:eastAsia="es-CO"/>
        </w:rPr>
        <w:t xml:space="preserve"> </w:t>
      </w:r>
      <w:r w:rsidRPr="00894384">
        <w:rPr>
          <w:rFonts w:ascii="Verdana" w:eastAsia="Times New Roman" w:hAnsi="Verdana" w:cs="Arial"/>
          <w:bCs/>
          <w:lang w:val="es-MX" w:eastAsia="es-CO"/>
        </w:rPr>
        <w:t xml:space="preserve">la contratación directa y </w:t>
      </w:r>
      <w:r w:rsidR="00362436">
        <w:rPr>
          <w:rFonts w:ascii="Verdana" w:eastAsia="Times New Roman" w:hAnsi="Verdana" w:cs="Arial"/>
          <w:bCs/>
          <w:lang w:val="es-MX" w:eastAsia="es-CO"/>
        </w:rPr>
        <w:t>a la celebracion de convenios interadmnistrativos,</w:t>
      </w:r>
      <w:r w:rsidRPr="00362436">
        <w:rPr>
          <w:rFonts w:ascii="Verdana" w:eastAsia="Times New Roman" w:hAnsi="Verdana" w:cs="Arial"/>
          <w:bCs/>
          <w:lang w:val="es-MX" w:eastAsia="es-CO"/>
        </w:rPr>
        <w:t xml:space="preserve"> </w:t>
      </w:r>
      <w:r w:rsidRPr="00894384">
        <w:rPr>
          <w:rFonts w:ascii="Verdana" w:eastAsia="Times New Roman" w:hAnsi="Verdana" w:cs="Arial"/>
          <w:bCs/>
          <w:lang w:val="es-MX" w:eastAsia="es-CO"/>
        </w:rPr>
        <w:t>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1333D0FE" w14:textId="5D0982D8" w:rsidR="00261B7D" w:rsidRDefault="00261B7D" w:rsidP="00261B7D">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lastRenderedPageBreak/>
        <w:t>Teniendo en cuenta lo anterior</w:t>
      </w:r>
      <w:r w:rsidR="00362436">
        <w:rPr>
          <w:rFonts w:ascii="Verdana" w:eastAsia="Times New Roman" w:hAnsi="Verdana" w:cs="Arial"/>
          <w:bCs/>
          <w:lang w:val="es-ES" w:eastAsia="es-CO"/>
        </w:rPr>
        <w:t xml:space="preserve"> y en atención a su consulta</w:t>
      </w:r>
      <w:r>
        <w:rPr>
          <w:rFonts w:ascii="Verdana" w:eastAsia="Times New Roman" w:hAnsi="Verdana" w:cs="Arial"/>
          <w:bCs/>
          <w:lang w:val="es-ES" w:eastAsia="es-CO"/>
        </w:rPr>
        <w:t xml:space="preserve">, a continuación, se hará un análisis sobre la aplicación de la prohibición contenida en el artículo 33 </w:t>
      </w:r>
      <w:r w:rsidR="00362436">
        <w:rPr>
          <w:rFonts w:ascii="Verdana" w:eastAsia="Times New Roman" w:hAnsi="Verdana" w:cs="Arial"/>
          <w:bCs/>
          <w:lang w:val="es-ES" w:eastAsia="es-CO"/>
        </w:rPr>
        <w:t xml:space="preserve">de la Ley 996 de 2005 </w:t>
      </w:r>
      <w:r>
        <w:rPr>
          <w:rFonts w:ascii="Verdana" w:eastAsia="Times New Roman" w:hAnsi="Verdana" w:cs="Arial"/>
          <w:bCs/>
          <w:lang w:val="es-ES" w:eastAsia="es-CO"/>
        </w:rPr>
        <w:t xml:space="preserve">y sus excepciones. </w:t>
      </w:r>
    </w:p>
    <w:p w14:paraId="45E55CD1" w14:textId="68EEC95B" w:rsidR="00261B7D" w:rsidRDefault="00261B7D" w:rsidP="007A382A">
      <w:pPr>
        <w:spacing w:after="0" w:line="276" w:lineRule="auto"/>
        <w:ind w:firstLine="709"/>
        <w:jc w:val="both"/>
        <w:rPr>
          <w:rFonts w:ascii="Verdana" w:hAnsi="Verdana" w:cs="Arial"/>
          <w:lang w:eastAsia="es-CO"/>
        </w:rPr>
      </w:pPr>
      <w:r w:rsidRPr="00195E24">
        <w:rPr>
          <w:rFonts w:ascii="Verdana" w:hAnsi="Verdana" w:cs="Arial"/>
          <w:bCs/>
          <w:lang w:eastAsia="x-none"/>
        </w:rPr>
        <w:t xml:space="preserve">El ámbito material de la prohibición contenida </w:t>
      </w:r>
      <w:bookmarkStart w:id="8" w:name="_Hlk75628761"/>
      <w:r w:rsidRPr="00195E24">
        <w:rPr>
          <w:rFonts w:ascii="Verdana" w:hAnsi="Verdana" w:cs="Arial"/>
          <w:bCs/>
          <w:lang w:eastAsia="x-none"/>
        </w:rPr>
        <w:t xml:space="preserve">en el artículo 33 de la ley 996 de 2005 </w:t>
      </w:r>
      <w:bookmarkEnd w:id="8"/>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2BAF8BA4" w14:textId="77777777" w:rsidR="007A382A" w:rsidRPr="00435A6A" w:rsidRDefault="007A382A" w:rsidP="000C2089">
      <w:pPr>
        <w:spacing w:after="0" w:line="276" w:lineRule="auto"/>
        <w:ind w:firstLine="709"/>
        <w:jc w:val="both"/>
        <w:rPr>
          <w:rFonts w:ascii="Verdana" w:eastAsia="Arial" w:hAnsi="Verdana" w:cs="Arial"/>
          <w:lang w:val="es-ES" w:eastAsia="es-ES" w:bidi="es-ES"/>
        </w:rPr>
      </w:pPr>
    </w:p>
    <w:p w14:paraId="0B268EC7" w14:textId="24F127DC" w:rsidR="00261B7D" w:rsidRDefault="00261B7D" w:rsidP="00261B7D">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1"/>
      </w:r>
      <w:r w:rsidRPr="005800D0">
        <w:rPr>
          <w:rFonts w:ascii="Verdana" w:hAnsi="Verdana" w:cs="Arial"/>
          <w:sz w:val="20"/>
          <w:szCs w:val="20"/>
        </w:rPr>
        <w:t>.</w:t>
      </w:r>
    </w:p>
    <w:p w14:paraId="5292F6D7" w14:textId="77777777" w:rsidR="007A382A" w:rsidRDefault="007A382A" w:rsidP="007A382A">
      <w:pPr>
        <w:spacing w:after="0" w:line="240" w:lineRule="auto"/>
        <w:ind w:left="709" w:right="709"/>
        <w:jc w:val="both"/>
        <w:rPr>
          <w:rFonts w:ascii="Verdana" w:hAnsi="Verdana" w:cs="Arial"/>
          <w:sz w:val="20"/>
          <w:szCs w:val="20"/>
        </w:rPr>
      </w:pPr>
    </w:p>
    <w:p w14:paraId="61401B64" w14:textId="77777777" w:rsidR="00261B7D" w:rsidRDefault="00261B7D" w:rsidP="00261B7D">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9" w:name="_Hlk75741738"/>
      <w:r w:rsidRPr="005800D0">
        <w:rPr>
          <w:rFonts w:ascii="Verdana" w:hAnsi="Verdana" w:cs="Arial"/>
          <w:sz w:val="20"/>
          <w:szCs w:val="20"/>
        </w:rPr>
        <w:t xml:space="preserve">de cualquier sistema que no implique convocatoria pública y posibilidad de pluralidad de oferentes, </w:t>
      </w:r>
      <w:bookmarkEnd w:id="9"/>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2"/>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3"/>
      </w:r>
      <w:r w:rsidRPr="005800D0">
        <w:rPr>
          <w:rFonts w:ascii="Verdana" w:hAnsi="Verdana" w:cs="Arial"/>
          <w:sz w:val="20"/>
          <w:szCs w:val="20"/>
        </w:rPr>
        <w:t>.</w:t>
      </w:r>
    </w:p>
    <w:p w14:paraId="7367C6E2" w14:textId="77777777" w:rsidR="00261B7D" w:rsidRPr="005800D0" w:rsidRDefault="00261B7D" w:rsidP="000C2089">
      <w:pPr>
        <w:spacing w:after="0" w:line="276" w:lineRule="auto"/>
        <w:ind w:left="709" w:right="709"/>
        <w:jc w:val="both"/>
        <w:rPr>
          <w:rFonts w:ascii="Verdana" w:hAnsi="Verdana" w:cs="Arial"/>
        </w:rPr>
      </w:pPr>
    </w:p>
    <w:p w14:paraId="6F45BA18" w14:textId="145A870E" w:rsidR="00261B7D" w:rsidRPr="00195E24" w:rsidRDefault="00261B7D" w:rsidP="00261B7D">
      <w:pPr>
        <w:spacing w:after="120" w:line="276" w:lineRule="auto"/>
        <w:ind w:firstLine="709"/>
        <w:jc w:val="both"/>
        <w:rPr>
          <w:rFonts w:ascii="Verdana" w:hAnsi="Verdana" w:cs="Arial"/>
          <w:bCs/>
          <w:lang w:eastAsia="x-none"/>
        </w:rPr>
      </w:pPr>
      <w:bookmarkStart w:id="11"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 xml:space="preserve">y la </w:t>
      </w:r>
      <w:r w:rsidRPr="00195E24">
        <w:rPr>
          <w:rFonts w:ascii="Verdana" w:hAnsi="Verdana" w:cs="Arial"/>
          <w:lang w:val="es-ES_tradnl" w:eastAsia="x-none"/>
        </w:rPr>
        <w:lastRenderedPageBreak/>
        <w:t>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w:t>
      </w:r>
      <w:r w:rsidR="002B0932">
        <w:rPr>
          <w:rFonts w:ascii="Verdana" w:hAnsi="Verdana" w:cs="Arial"/>
          <w:lang w:eastAsia="x-none"/>
        </w:rPr>
        <w:t xml:space="preserve">procedimientos de selección abiertos y competitivos </w:t>
      </w:r>
      <w:r w:rsidRPr="00195E24">
        <w:rPr>
          <w:rFonts w:ascii="Verdana" w:hAnsi="Verdana" w:cs="Arial"/>
          <w:lang w:eastAsia="x-none"/>
        </w:rPr>
        <w:t>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4"/>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5"/>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1"/>
    <w:p w14:paraId="61011D6F" w14:textId="77777777" w:rsidR="00261B7D" w:rsidRPr="00195E24" w:rsidRDefault="00261B7D" w:rsidP="00261B7D">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6"/>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2D308C4" w14:textId="77777777" w:rsidR="00261B7D" w:rsidRPr="00195E24" w:rsidRDefault="00261B7D" w:rsidP="00261B7D">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2"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2"/>
      <w:r w:rsidRPr="00195E24">
        <w:rPr>
          <w:rFonts w:ascii="Verdana" w:hAnsi="Verdana" w:cs="Arial"/>
          <w:vertAlign w:val="superscript"/>
          <w:lang w:eastAsia="x-none"/>
        </w:rPr>
        <w:footnoteReference w:id="17"/>
      </w:r>
      <w:r w:rsidRPr="00195E24">
        <w:rPr>
          <w:rFonts w:ascii="Verdana" w:hAnsi="Verdana" w:cs="Arial"/>
          <w:lang w:eastAsia="x-none"/>
        </w:rPr>
        <w:t xml:space="preserve">. </w:t>
      </w:r>
    </w:p>
    <w:p w14:paraId="7503E7B8" w14:textId="10DC1467" w:rsidR="00261B7D" w:rsidRPr="00CE0712" w:rsidRDefault="00261B7D" w:rsidP="00261B7D">
      <w:pPr>
        <w:spacing w:after="120" w:line="276" w:lineRule="auto"/>
        <w:ind w:firstLine="709"/>
        <w:jc w:val="both"/>
        <w:rPr>
          <w:rFonts w:ascii="Verdana" w:hAnsi="Verdana" w:cs="Arial"/>
          <w:bCs/>
          <w:lang w:eastAsia="es-CO"/>
        </w:rPr>
      </w:pPr>
      <w:r w:rsidRPr="00195E24">
        <w:rPr>
          <w:rFonts w:ascii="Verdana" w:hAnsi="Verdana" w:cs="Arial"/>
          <w:bCs/>
          <w:lang w:eastAsia="es-CO"/>
        </w:rPr>
        <w:lastRenderedPageBreak/>
        <w:t>Como se advierte de lo anterior, el Consejo de Estado realiza una interpretación amplia de la contratación directa, para efectos de aplicar las restricciones establecidas en la Ley de Garantías</w:t>
      </w:r>
      <w:r w:rsidR="002B0932">
        <w:rPr>
          <w:rFonts w:ascii="Verdana" w:hAnsi="Verdana" w:cs="Arial"/>
          <w:bCs/>
          <w:lang w:eastAsia="es-CO"/>
        </w:rPr>
        <w:t xml:space="preserve"> Electorales</w:t>
      </w:r>
      <w:r w:rsidRPr="00195E24">
        <w:rPr>
          <w:rFonts w:ascii="Verdana"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31DD779B" w14:textId="77777777" w:rsidR="00261B7D" w:rsidRDefault="00261B7D" w:rsidP="00261B7D">
      <w:pPr>
        <w:spacing w:after="120" w:line="276" w:lineRule="auto"/>
        <w:ind w:firstLine="709"/>
        <w:jc w:val="both"/>
        <w:rPr>
          <w:rFonts w:ascii="Verdana" w:hAnsi="Verdana" w:cs="Arial"/>
          <w:vertAlign w:val="superscript"/>
          <w:lang w:eastAsia="x-none"/>
        </w:rPr>
      </w:pPr>
      <w:bookmarkStart w:id="13"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8"/>
      </w:r>
      <w:r w:rsidRPr="007E27D9">
        <w:rPr>
          <w:rFonts w:ascii="Verdana" w:hAnsi="Verdana" w:cs="Arial"/>
          <w:lang w:eastAsia="x-none"/>
        </w:rPr>
        <w:t>.</w:t>
      </w:r>
      <w:r w:rsidRPr="007E27D9">
        <w:rPr>
          <w:rFonts w:ascii="Verdana" w:hAnsi="Verdana" w:cs="Arial"/>
          <w:vertAlign w:val="superscript"/>
          <w:lang w:eastAsia="x-none"/>
        </w:rPr>
        <w:t xml:space="preserve"> </w:t>
      </w:r>
    </w:p>
    <w:p w14:paraId="18424629" w14:textId="77777777" w:rsidR="00261B7D" w:rsidRPr="007E27D9" w:rsidRDefault="00261B7D" w:rsidP="00261B7D">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9"/>
      </w:r>
      <w:r w:rsidRPr="00AD17FF">
        <w:rPr>
          <w:rFonts w:ascii="Verdana" w:hAnsi="Verdana" w:cs="Arial"/>
          <w:lang w:eastAsia="x-none"/>
        </w:rPr>
        <w:t>.</w:t>
      </w:r>
    </w:p>
    <w:bookmarkEnd w:id="13"/>
    <w:p w14:paraId="418A45FF" w14:textId="77777777" w:rsidR="00261B7D" w:rsidRPr="007E27D9" w:rsidRDefault="00261B7D" w:rsidP="00261B7D">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w:t>
      </w:r>
      <w:r w:rsidRPr="00195E24">
        <w:rPr>
          <w:rFonts w:ascii="Verdana" w:hAnsi="Verdana" w:cs="Arial"/>
          <w:lang w:eastAsia="x-none"/>
        </w:rPr>
        <w:lastRenderedPageBreak/>
        <w:t>período preelectoral de que trata la disposición las entidades públicas pueden seguir contratando bajo estos sistemas</w:t>
      </w:r>
      <w:r w:rsidRPr="007E27D9">
        <w:rPr>
          <w:rFonts w:ascii="Verdana" w:hAnsi="Verdana" w:cs="Arial"/>
          <w:lang w:eastAsia="x-none"/>
        </w:rPr>
        <w:t>.</w:t>
      </w:r>
    </w:p>
    <w:p w14:paraId="70AC1CD4" w14:textId="77777777" w:rsidR="00261B7D" w:rsidRPr="00CE0712" w:rsidRDefault="00261B7D" w:rsidP="00261B7D">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5DADF03" w14:textId="661E5B42" w:rsidR="00261B7D" w:rsidRDefault="00261B7D" w:rsidP="00261B7D">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 xml:space="preserve">La Sala de Consulta y Servicio Civil del Consejo de Estado, en Concepto 1727 del 20 de febrero de 2006, consideró que el artículo 33 de la </w:t>
      </w:r>
      <w:r w:rsidR="003F69B0">
        <w:rPr>
          <w:rFonts w:ascii="Verdana" w:hAnsi="Verdana" w:cs="Arial"/>
          <w:color w:val="000000" w:themeColor="text1"/>
          <w:lang w:val="es-MX"/>
        </w:rPr>
        <w:t>L</w:t>
      </w:r>
      <w:r w:rsidRPr="73D21086">
        <w:rPr>
          <w:rFonts w:ascii="Verdana" w:hAnsi="Verdana" w:cs="Arial"/>
          <w:color w:val="000000" w:themeColor="text1"/>
          <w:lang w:val="es-MX"/>
        </w:rPr>
        <w:t xml:space="preserve">ey 996 de 2005, efectivamente se aplica incluso a las </w:t>
      </w:r>
      <w:r w:rsidR="00850478">
        <w:rPr>
          <w:rFonts w:ascii="Verdana" w:hAnsi="Verdana" w:cs="Arial"/>
          <w:color w:val="000000" w:themeColor="text1"/>
          <w:lang w:val="es-MX"/>
        </w:rPr>
        <w:t>e</w:t>
      </w:r>
      <w:r w:rsidRPr="73D21086">
        <w:rPr>
          <w:rFonts w:ascii="Verdana" w:hAnsi="Verdana" w:cs="Arial"/>
          <w:color w:val="000000" w:themeColor="text1"/>
          <w:lang w:val="es-MX"/>
        </w:rPr>
        <w:t xml:space="preserve">ntidades </w:t>
      </w:r>
      <w:r w:rsidR="00850478">
        <w:rPr>
          <w:rFonts w:ascii="Verdana" w:hAnsi="Verdana" w:cs="Arial"/>
          <w:color w:val="000000" w:themeColor="text1"/>
          <w:lang w:val="es-MX"/>
        </w:rPr>
        <w:t>e</w:t>
      </w:r>
      <w:r w:rsidRPr="73D21086">
        <w:rPr>
          <w:rFonts w:ascii="Verdana" w:hAnsi="Verdana" w:cs="Arial"/>
          <w:color w:val="000000" w:themeColor="text1"/>
          <w:lang w:val="es-MX"/>
        </w:rPr>
        <w:t>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06C3C66A" w14:textId="47F59A64" w:rsidR="00261B7D" w:rsidRPr="00CE0712" w:rsidRDefault="00261B7D" w:rsidP="000C2089">
      <w:pPr>
        <w:spacing w:after="120" w:line="276" w:lineRule="auto"/>
        <w:jc w:val="both"/>
        <w:rPr>
          <w:rFonts w:ascii="Verdana" w:hAnsi="Verdana" w:cs="Arial"/>
          <w:bCs/>
          <w:color w:val="000000" w:themeColor="text1"/>
          <w:lang w:val="es-MX" w:eastAsia="x-none"/>
        </w:rPr>
      </w:pPr>
      <w:r>
        <w:rPr>
          <w:rFonts w:ascii="Verdana" w:hAnsi="Verdana" w:cs="Arial"/>
          <w:color w:val="000000" w:themeColor="text1"/>
          <w:lang w:eastAsia="es-CO"/>
        </w:rPr>
        <w:t xml:space="preserve"> </w:t>
      </w:r>
      <w:r w:rsidR="002B0932">
        <w:rPr>
          <w:rFonts w:ascii="Verdana" w:hAnsi="Verdana" w:cs="Arial"/>
          <w:color w:val="000000" w:themeColor="text1"/>
          <w:lang w:eastAsia="es-CO"/>
        </w:rPr>
        <w:tab/>
      </w:r>
      <w:r>
        <w:rPr>
          <w:rFonts w:ascii="Verdana" w:hAnsi="Verdana" w:cs="Arial"/>
          <w:color w:val="000000" w:themeColor="text1"/>
          <w:lang w:eastAsia="es-CO"/>
        </w:rPr>
        <w:t xml:space="preserve">De otra parte, </w:t>
      </w:r>
      <w:r w:rsidRPr="00CE0D82">
        <w:rPr>
          <w:rFonts w:ascii="Verdana" w:hAnsi="Verdana" w:cs="Arial"/>
          <w:color w:val="000000" w:themeColor="text1"/>
          <w:lang w:val="es-MX"/>
        </w:rPr>
        <w:t xml:space="preserve">la restricción prevista en </w:t>
      </w:r>
      <w:r>
        <w:rPr>
          <w:rFonts w:ascii="Verdana" w:hAnsi="Verdana" w:cs="Arial"/>
          <w:color w:val="000000" w:themeColor="text1"/>
          <w:lang w:val="es-MX"/>
        </w:rPr>
        <w:t>en el artículo 33 de la</w:t>
      </w:r>
      <w:r w:rsidRPr="00CE0D82">
        <w:rPr>
          <w:rFonts w:ascii="Verdana" w:hAnsi="Verdana" w:cs="Arial"/>
          <w:color w:val="000000" w:themeColor="text1"/>
          <w:lang w:val="es-MX"/>
        </w:rPr>
        <w:t xml:space="preserve">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sidR="006D45E7">
        <w:rPr>
          <w:rFonts w:ascii="Verdana" w:hAnsi="Verdana" w:cs="Arial"/>
          <w:color w:val="000000" w:themeColor="text1"/>
          <w:lang w:val="es-MX"/>
        </w:rPr>
        <w:t xml:space="preserve">Al respecto, es importante señalar que no </w:t>
      </w:r>
      <w:r w:rsidRPr="73D21086">
        <w:rPr>
          <w:rFonts w:ascii="Verdana" w:hAnsi="Verdana" w:cs="Arial"/>
          <w:color w:val="000000" w:themeColor="text1"/>
          <w:lang w:val="es-MX"/>
        </w:rPr>
        <w:t xml:space="preserve">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w:t>
      </w:r>
      <w:r w:rsidRPr="73D21086">
        <w:rPr>
          <w:rFonts w:ascii="Verdana" w:hAnsi="Verdana" w:cs="Arial"/>
          <w:color w:val="000000" w:themeColor="text1"/>
          <w:lang w:val="es-MX"/>
        </w:rPr>
        <w:lastRenderedPageBreak/>
        <w:t xml:space="preserve">presentarse tanto en la contratación regulada por la Ley 80 de 1993 como en la regida por normas especiales. </w:t>
      </w:r>
    </w:p>
    <w:p w14:paraId="1F9F906D" w14:textId="50815403" w:rsidR="00261B7D" w:rsidRDefault="00261B7D" w:rsidP="00261B7D">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0C2089">
        <w:rPr>
          <w:rFonts w:ascii="Verdana" w:eastAsia="Times New Roman" w:hAnsi="Verdana" w:cs="Arial"/>
          <w:i/>
          <w:lang w:val="es-ES" w:eastAsia="es-CO" w:bidi="es-ES"/>
        </w:rPr>
        <w:t xml:space="preserve">los que deban realizar las entidades sanitarias y hospitalarias. </w:t>
      </w:r>
    </w:p>
    <w:p w14:paraId="477456C0" w14:textId="77777777" w:rsidR="00261B7D" w:rsidRDefault="00261B7D" w:rsidP="00261B7D">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F8199A">
        <w:rPr>
          <w:rFonts w:ascii="Verdana" w:hAnsi="Verdana" w:cs="Arial"/>
          <w:bCs/>
          <w:lang w:val="es-MX" w:eastAsia="x-none"/>
        </w:rPr>
        <w:t xml:space="preserve">que </w:t>
      </w:r>
      <w:r>
        <w:rPr>
          <w:rFonts w:ascii="Verdana" w:hAnsi="Verdana" w:cs="Arial"/>
          <w:bCs/>
          <w:lang w:val="es-MX" w:eastAsia="x-none"/>
        </w:rPr>
        <w:t>“</w:t>
      </w:r>
      <w:bookmarkEnd w:id="14"/>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1"/>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5530E395" w14:textId="3427A040" w:rsidR="00261B7D" w:rsidRPr="0004207F" w:rsidRDefault="00196209" w:rsidP="00261B7D">
      <w:pPr>
        <w:spacing w:after="120" w:line="276" w:lineRule="auto"/>
        <w:ind w:firstLine="709"/>
        <w:jc w:val="both"/>
        <w:rPr>
          <w:rFonts w:ascii="Verdana" w:hAnsi="Verdana" w:cs="Arial"/>
          <w:bCs/>
          <w:lang w:val="es-MX" w:eastAsia="x-none"/>
        </w:rPr>
      </w:pPr>
      <w:r>
        <w:rPr>
          <w:rFonts w:ascii="Verdana" w:hAnsi="Verdana" w:cs="Arial"/>
          <w:bCs/>
          <w:lang w:val="es-MX" w:eastAsia="x-none"/>
        </w:rPr>
        <w:t>Respecto de</w:t>
      </w:r>
      <w:r w:rsidR="00261B7D" w:rsidRPr="0004207F">
        <w:rPr>
          <w:rFonts w:ascii="Verdana" w:hAnsi="Verdana" w:cs="Arial"/>
          <w:bCs/>
          <w:lang w:val="es-MX" w:eastAsia="x-none"/>
        </w:rPr>
        <w:t xml:space="preserve"> las excepciones aplicables a la prohibición de contratación directa establecida</w:t>
      </w:r>
      <w:r>
        <w:rPr>
          <w:rFonts w:ascii="Verdana" w:hAnsi="Verdana" w:cs="Arial"/>
          <w:bCs/>
          <w:lang w:val="es-MX" w:eastAsia="x-none"/>
        </w:rPr>
        <w:t>, l</w:t>
      </w:r>
      <w:r w:rsidR="00261B7D" w:rsidRPr="0004207F">
        <w:rPr>
          <w:rFonts w:ascii="Verdana" w:hAnsi="Verdana" w:cs="Arial"/>
          <w:bCs/>
          <w:lang w:val="es-MX" w:eastAsia="x-none"/>
        </w:rPr>
        <w:t>a Sala de Consulta y Servicio Civil del Consejo de Estado, en Concepto del 4 de febrero de 2010, explica que “</w:t>
      </w:r>
      <w:r w:rsidR="00261B7D">
        <w:rPr>
          <w:rFonts w:ascii="Verdana" w:hAnsi="Verdana" w:cs="Arial"/>
          <w:bCs/>
          <w:lang w:val="es-MX" w:eastAsia="x-none"/>
        </w:rPr>
        <w:t>(…)</w:t>
      </w:r>
      <w:r w:rsidR="00261B7D"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w:t>
      </w:r>
      <w:r w:rsidR="00261B7D" w:rsidRPr="0004207F">
        <w:rPr>
          <w:rFonts w:ascii="Verdana" w:hAnsi="Verdana" w:cs="Arial"/>
          <w:bCs/>
          <w:lang w:val="es-MX" w:eastAsia="x-none"/>
        </w:rPr>
        <w:lastRenderedPageBreak/>
        <w:t xml:space="preserve">postergaciones en la atención de sus necesidades de personal, bienes y servicios </w:t>
      </w:r>
      <w:r w:rsidR="00261B7D">
        <w:rPr>
          <w:rFonts w:ascii="Verdana" w:hAnsi="Verdana" w:cs="Arial"/>
          <w:bCs/>
          <w:lang w:val="es-MX" w:eastAsia="x-none"/>
        </w:rPr>
        <w:t>(…)</w:t>
      </w:r>
      <w:r w:rsidR="00261B7D" w:rsidRPr="0004207F">
        <w:rPr>
          <w:rFonts w:ascii="Verdana" w:hAnsi="Verdana" w:cs="Arial"/>
          <w:bCs/>
          <w:lang w:val="es-MX" w:eastAsia="x-none"/>
        </w:rPr>
        <w:t>”</w:t>
      </w:r>
      <w:r w:rsidR="00261B7D" w:rsidRPr="0004207F">
        <w:rPr>
          <w:rStyle w:val="Refdenotaalpie"/>
          <w:rFonts w:ascii="Verdana" w:hAnsi="Verdana" w:cs="Arial"/>
          <w:lang w:val="es-ES_tradnl" w:eastAsia="es-CO"/>
        </w:rPr>
        <w:footnoteReference w:id="22"/>
      </w:r>
      <w:r w:rsidR="00261B7D" w:rsidRPr="0004207F">
        <w:rPr>
          <w:rFonts w:ascii="Verdana" w:hAnsi="Verdana" w:cs="Arial"/>
          <w:bCs/>
          <w:lang w:val="es-MX" w:eastAsia="x-none"/>
        </w:rPr>
        <w:t>.</w:t>
      </w:r>
    </w:p>
    <w:p w14:paraId="4F97B12E" w14:textId="6F3B7417" w:rsidR="00261B7D" w:rsidRPr="0004207F" w:rsidRDefault="00261B7D" w:rsidP="000C2089">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sidR="00B52231">
        <w:rPr>
          <w:rFonts w:ascii="Verdana" w:hAnsi="Verdana" w:cs="Arial"/>
          <w:lang w:val="es-ES" w:eastAsia="es-CO"/>
        </w:rPr>
        <w:t>L</w:t>
      </w:r>
      <w:r w:rsidRPr="2E79A5E2">
        <w:rPr>
          <w:rFonts w:ascii="Verdana" w:hAnsi="Verdana" w:cs="Arial"/>
          <w:lang w:val="es-ES" w:eastAsia="es-CO"/>
        </w:rPr>
        <w:t>ey mencionada no pueden ir en detrimento de intereses públicos. Por lo anterior, la Alta Corte consideró que las excepciones para la prohibición de contratación se encontraban justificadas, declarando su exequibilidad.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3"/>
      </w:r>
      <w:r w:rsidRPr="2E79A5E2">
        <w:rPr>
          <w:rFonts w:ascii="Verdana" w:hAnsi="Verdana" w:cs="Arial"/>
          <w:lang w:val="es-ES" w:eastAsia="es-CO"/>
        </w:rPr>
        <w:t xml:space="preserve">. </w:t>
      </w:r>
    </w:p>
    <w:p w14:paraId="6C8D97C5" w14:textId="394BAA73" w:rsidR="00261B7D" w:rsidRPr="00457DD8" w:rsidRDefault="00261B7D" w:rsidP="000C2089">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w:t>
      </w:r>
      <w:r w:rsidR="00B52231">
        <w:rPr>
          <w:rFonts w:ascii="Verdana" w:hAnsi="Verdana" w:cs="Arial"/>
          <w:bCs/>
          <w:lang w:val="es-ES_tradnl"/>
        </w:rPr>
        <w:t>L</w:t>
      </w:r>
      <w:r w:rsidRPr="0004207F">
        <w:rPr>
          <w:rFonts w:ascii="Verdana" w:hAnsi="Verdana" w:cs="Arial"/>
          <w:bCs/>
          <w:lang w:val="es-ES_tradnl"/>
        </w:rPr>
        <w:t xml:space="preserve">ey de </w:t>
      </w:r>
      <w:r w:rsidR="00B52231">
        <w:rPr>
          <w:rFonts w:ascii="Verdana" w:hAnsi="Verdana" w:cs="Arial"/>
          <w:bCs/>
          <w:lang w:val="es-ES_tradnl"/>
        </w:rPr>
        <w:t>G</w:t>
      </w:r>
      <w:r w:rsidRPr="0004207F">
        <w:rPr>
          <w:rFonts w:ascii="Verdana" w:hAnsi="Verdana" w:cs="Arial"/>
          <w:bCs/>
          <w:lang w:val="es-ES_tradnl"/>
        </w:rPr>
        <w:t xml:space="preserve">arantías </w:t>
      </w:r>
      <w:r w:rsidR="00B52231">
        <w:rPr>
          <w:rFonts w:ascii="Verdana" w:hAnsi="Verdana" w:cs="Arial"/>
          <w:bCs/>
          <w:lang w:val="es-ES_tradnl"/>
        </w:rPr>
        <w:t>E</w:t>
      </w:r>
      <w:r w:rsidRPr="0004207F">
        <w:rPr>
          <w:rFonts w:ascii="Verdana" w:hAnsi="Verdana" w:cs="Arial"/>
          <w:bCs/>
          <w:lang w:val="es-ES_tradnl"/>
        </w:rPr>
        <w:t>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0F044580" w14:textId="19BC3F17" w:rsidR="00261B7D" w:rsidRDefault="00261B7D" w:rsidP="00261B7D">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color w:val="000000" w:themeColor="text1"/>
          <w:sz w:val="22"/>
          <w:szCs w:val="22"/>
        </w:rPr>
      </w:pPr>
      <w:r>
        <w:rPr>
          <w:rFonts w:ascii="Verdana" w:eastAsia="Calibri" w:hAnsi="Verdana" w:cs="Arial"/>
          <w:bCs/>
          <w:color w:val="000000" w:themeColor="text1"/>
          <w:sz w:val="22"/>
          <w:szCs w:val="22"/>
        </w:rPr>
        <w:t>Finalmente y con el propósito de dar respuesta al objeto de la consulta, e</w:t>
      </w:r>
      <w:r w:rsidRPr="00EC1732">
        <w:rPr>
          <w:rFonts w:ascii="Verdana" w:eastAsia="Calibri" w:hAnsi="Verdana" w:cs="Arial"/>
          <w:bCs/>
          <w:color w:val="000000" w:themeColor="text1"/>
          <w:sz w:val="22"/>
          <w:szCs w:val="22"/>
        </w:rPr>
        <w:t>n torno a la procedencia de la contratación directa por parte de las E</w:t>
      </w:r>
      <w:r w:rsidR="008041F2">
        <w:rPr>
          <w:rFonts w:ascii="Verdana" w:eastAsia="Calibri" w:hAnsi="Verdana" w:cs="Arial"/>
          <w:bCs/>
          <w:color w:val="000000" w:themeColor="text1"/>
          <w:sz w:val="22"/>
          <w:szCs w:val="22"/>
        </w:rPr>
        <w:t xml:space="preserve">mpresas </w:t>
      </w:r>
      <w:r w:rsidRPr="00EC1732">
        <w:rPr>
          <w:rFonts w:ascii="Verdana" w:eastAsia="Calibri" w:hAnsi="Verdana" w:cs="Arial"/>
          <w:bCs/>
          <w:color w:val="000000" w:themeColor="text1"/>
          <w:sz w:val="22"/>
          <w:szCs w:val="22"/>
        </w:rPr>
        <w:t>S</w:t>
      </w:r>
      <w:r w:rsidR="008041F2">
        <w:rPr>
          <w:rFonts w:ascii="Verdana" w:eastAsia="Calibri" w:hAnsi="Verdana" w:cs="Arial"/>
          <w:bCs/>
          <w:color w:val="000000" w:themeColor="text1"/>
          <w:sz w:val="22"/>
          <w:szCs w:val="22"/>
        </w:rPr>
        <w:t xml:space="preserve">ociales del </w:t>
      </w:r>
      <w:r w:rsidRPr="00EC1732">
        <w:rPr>
          <w:rFonts w:ascii="Verdana" w:eastAsia="Calibri" w:hAnsi="Verdana" w:cs="Arial"/>
          <w:bCs/>
          <w:color w:val="000000" w:themeColor="text1"/>
          <w:sz w:val="22"/>
          <w:szCs w:val="22"/>
        </w:rPr>
        <w:t>E</w:t>
      </w:r>
      <w:r w:rsidR="008041F2">
        <w:rPr>
          <w:rFonts w:ascii="Verdana" w:eastAsia="Calibri" w:hAnsi="Verdana" w:cs="Arial"/>
          <w:bCs/>
          <w:color w:val="000000" w:themeColor="text1"/>
          <w:sz w:val="22"/>
          <w:szCs w:val="22"/>
        </w:rPr>
        <w:t>stado</w:t>
      </w:r>
      <w:r w:rsidRPr="00EC1732">
        <w:rPr>
          <w:rFonts w:ascii="Verdana" w:eastAsia="Calibri" w:hAnsi="Verdana" w:cs="Arial"/>
          <w:bCs/>
          <w:color w:val="000000" w:themeColor="text1"/>
          <w:sz w:val="22"/>
          <w:szCs w:val="22"/>
        </w:rPr>
        <w:t xml:space="preserve">, es necesario </w:t>
      </w:r>
      <w:r w:rsidRPr="00EC1732">
        <w:rPr>
          <w:rFonts w:ascii="Verdana" w:hAnsi="Verdana" w:cs="Arial"/>
          <w:bCs/>
          <w:color w:val="000000" w:themeColor="text1"/>
          <w:sz w:val="22"/>
          <w:szCs w:val="22"/>
        </w:rPr>
        <w:t xml:space="preserve">analizar el quinto evento exceptuado de la prohibición contemplada en el inciso segundo del artículo 33 de la Ley 996 de 2005, relacionado con la contratación por parte de entidades sanitarias y hospitalarias. Para ello, </w:t>
      </w:r>
      <w:r w:rsidR="00A23190">
        <w:rPr>
          <w:rFonts w:ascii="Verdana" w:hAnsi="Verdana" w:cs="Arial"/>
          <w:bCs/>
          <w:color w:val="000000" w:themeColor="text1"/>
          <w:sz w:val="22"/>
          <w:szCs w:val="22"/>
        </w:rPr>
        <w:t>debe tenerse en cuenta que</w:t>
      </w:r>
      <w:r w:rsidRPr="00EC1732">
        <w:rPr>
          <w:rFonts w:ascii="Verdana" w:hAnsi="Verdana" w:cs="Arial"/>
          <w:bCs/>
          <w:color w:val="000000" w:themeColor="text1"/>
          <w:sz w:val="22"/>
          <w:szCs w:val="22"/>
        </w:rPr>
        <w:t xml:space="preserve">, el artículo 94 de la Ley 100 de 1993 dispone que “la prestación de servicios de salud en forma directa por la nación o por las entidades territoriales, se hará principalmente a través de las </w:t>
      </w:r>
      <w:r w:rsidRPr="00EC1732">
        <w:rPr>
          <w:rFonts w:ascii="Verdana" w:hAnsi="Verdana" w:cs="Arial"/>
          <w:bCs/>
          <w:color w:val="000000" w:themeColor="text1"/>
          <w:sz w:val="22"/>
          <w:szCs w:val="22"/>
        </w:rPr>
        <w:lastRenderedPageBreak/>
        <w:t>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69006351" w14:textId="68103BEE" w:rsidR="00A23190" w:rsidRPr="000C2089" w:rsidRDefault="00A23190" w:rsidP="000C2089">
      <w:pPr>
        <w:tabs>
          <w:tab w:val="left" w:pos="426"/>
        </w:tabs>
        <w:spacing w:after="120" w:line="276" w:lineRule="auto"/>
        <w:ind w:firstLine="709"/>
        <w:jc w:val="both"/>
        <w:rPr>
          <w:rFonts w:ascii="Verdana" w:hAnsi="Verdana" w:cs="Arial"/>
          <w:color w:val="000000" w:themeColor="text1"/>
        </w:rPr>
      </w:pPr>
      <w:r w:rsidRPr="3A5322BA">
        <w:rPr>
          <w:rFonts w:ascii="Verdana" w:hAnsi="Verdana" w:cs="Arial"/>
          <w:color w:val="000000" w:themeColor="text1"/>
          <w:lang w:val="es-ES"/>
        </w:rPr>
        <w:t>Es decir que, a partir de la entrada en vigencia de la Ley 100 de 1993, las Empresas Sociales del Estado son las entidades públicas que tienen a su cargo la prestación de servicios de salud de manera directa. Igualmente, el artículo 197 de la misma disposición</w:t>
      </w:r>
      <w:r w:rsidRPr="005F5922">
        <w:rPr>
          <w:rFonts w:ascii="Verdana" w:hAnsi="Verdana" w:cs="Arial"/>
          <w:color w:val="000000" w:themeColor="text1"/>
          <w:vertAlign w:val="superscript"/>
          <w:lang w:val="es-ES_tradnl"/>
        </w:rPr>
        <w:footnoteReference w:id="24"/>
      </w:r>
      <w:r w:rsidRPr="3A5322BA">
        <w:rPr>
          <w:rFonts w:ascii="Verdana" w:hAnsi="Verdana" w:cs="Arial"/>
          <w:color w:val="000000" w:themeColor="text1"/>
          <w:lang w:val="es-ES"/>
        </w:rPr>
        <w:t xml:space="preserve"> otorgó un término de seis (6) meses a las entidades territoriales prestadoras del servicio de salud para restructurarlas en Empresas Sociales del Estado. </w:t>
      </w:r>
    </w:p>
    <w:p w14:paraId="78D8E0FF" w14:textId="77777777" w:rsidR="00C71CAD" w:rsidRDefault="00261B7D" w:rsidP="002B0932">
      <w:pPr>
        <w:tabs>
          <w:tab w:val="left" w:pos="426"/>
        </w:tabs>
        <w:spacing w:after="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25"/>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26"/>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w:t>
      </w:r>
    </w:p>
    <w:p w14:paraId="31EAE664" w14:textId="08EDC27D" w:rsidR="00261B7D" w:rsidRPr="00FF007A" w:rsidRDefault="00261B7D" w:rsidP="002B0932">
      <w:pPr>
        <w:tabs>
          <w:tab w:val="left" w:pos="426"/>
        </w:tabs>
        <w:spacing w:after="120" w:line="276" w:lineRule="auto"/>
        <w:ind w:firstLine="709"/>
        <w:jc w:val="both"/>
        <w:rPr>
          <w:rFonts w:ascii="Verdana" w:hAnsi="Verdana" w:cs="Arial"/>
          <w:color w:val="000000" w:themeColor="text1"/>
        </w:rPr>
      </w:pPr>
      <w:r w:rsidRPr="00FF007A">
        <w:rPr>
          <w:rFonts w:ascii="Verdana" w:hAnsi="Verdana" w:cs="Arial"/>
          <w:color w:val="000000" w:themeColor="text1"/>
        </w:rPr>
        <w:t xml:space="preserve">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67DB0963" w14:textId="77777777" w:rsidR="00C71CAD" w:rsidRPr="005F5922" w:rsidRDefault="00C71CAD" w:rsidP="00C71CAD">
      <w:pPr>
        <w:tabs>
          <w:tab w:val="left" w:pos="426"/>
        </w:tabs>
        <w:spacing w:after="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Este proceso de reestructuración, dada las implicaciones administrativas que suponen, no ha sido inmediato, según se observa de lo señalado por el Ministerio de la Protección Social como cabeza del sector salud del orden </w:t>
      </w:r>
      <w:r w:rsidRPr="3A5322BA">
        <w:rPr>
          <w:rFonts w:ascii="Verdana" w:hAnsi="Verdana" w:cs="Arial"/>
          <w:color w:val="000000" w:themeColor="text1"/>
          <w:lang w:val="es-ES"/>
        </w:rPr>
        <w:lastRenderedPageBreak/>
        <w:t xml:space="preserve">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5904019E" w14:textId="77777777" w:rsidR="00C71CAD" w:rsidRPr="005F5922" w:rsidRDefault="00C71CAD" w:rsidP="00C71CAD">
      <w:pPr>
        <w:tabs>
          <w:tab w:val="left" w:pos="426"/>
        </w:tabs>
        <w:spacing w:after="0" w:line="276" w:lineRule="auto"/>
        <w:ind w:firstLine="709"/>
        <w:jc w:val="both"/>
        <w:rPr>
          <w:rFonts w:ascii="Verdana" w:hAnsi="Verdana" w:cs="Arial"/>
          <w:color w:val="000000" w:themeColor="text1"/>
          <w:lang w:val="es-ES"/>
        </w:rPr>
      </w:pPr>
    </w:p>
    <w:p w14:paraId="09BEDE66" w14:textId="77777777" w:rsidR="00C71CAD" w:rsidRPr="005F5922" w:rsidRDefault="00C71CAD" w:rsidP="00C71CAD">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221312">
        <w:rPr>
          <w:rFonts w:ascii="Verdana" w:hAnsi="Verdana" w:cs="Arial"/>
          <w:color w:val="000000" w:themeColor="text1"/>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3A5322BA">
        <w:rPr>
          <w:rFonts w:ascii="Verdana" w:hAnsi="Verdana" w:cs="Arial"/>
          <w:i/>
          <w:iCs/>
          <w:color w:val="000000" w:themeColor="text1"/>
          <w:sz w:val="20"/>
          <w:szCs w:val="20"/>
          <w:shd w:val="clear" w:color="auto" w:fill="FFFFFF"/>
          <w:lang w:val="es-ES"/>
        </w:rPr>
        <w:t>no son otras distintas que las Empresas Sociales del estado y todas aquellas instituciones públicas que a pesar de no haberse transformado en Empresas Sociales del Estado, prestan un servicio de salud directo sobre el usuario en su carácter general de entidad hospitalaria</w:t>
      </w:r>
      <w:r w:rsidRPr="00221312">
        <w:rPr>
          <w:rFonts w:ascii="Verdana" w:hAnsi="Verdana" w:cs="Arial"/>
          <w:color w:val="000000" w:themeColor="text1"/>
          <w:sz w:val="20"/>
          <w:szCs w:val="20"/>
          <w:shd w:val="clear" w:color="auto" w:fill="FFFFFF"/>
          <w:lang w:val="es-ES"/>
        </w:rPr>
        <w:t xml:space="preserve"> […]”. (Énfasis fuera de texto) </w:t>
      </w:r>
    </w:p>
    <w:p w14:paraId="7A6693EB" w14:textId="77777777" w:rsidR="00C71CAD" w:rsidRPr="005F5922" w:rsidRDefault="00C71CAD" w:rsidP="00C71CAD">
      <w:pPr>
        <w:tabs>
          <w:tab w:val="left" w:pos="426"/>
        </w:tabs>
        <w:spacing w:after="0" w:line="276" w:lineRule="auto"/>
        <w:ind w:left="709" w:right="709"/>
        <w:jc w:val="both"/>
        <w:rPr>
          <w:rFonts w:ascii="Verdana" w:hAnsi="Verdana" w:cs="Arial"/>
          <w:color w:val="000000" w:themeColor="text1"/>
          <w:lang w:val="es-ES"/>
        </w:rPr>
      </w:pPr>
    </w:p>
    <w:p w14:paraId="4C45864C" w14:textId="77777777" w:rsidR="00C71CAD" w:rsidRPr="005F5922" w:rsidRDefault="00C71CAD" w:rsidP="00C71CAD">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244AE25F" w14:textId="11CA28CB" w:rsidR="00C71CAD" w:rsidRPr="000C2089" w:rsidRDefault="00C71CAD" w:rsidP="00C71CAD">
      <w:pPr>
        <w:tabs>
          <w:tab w:val="left" w:pos="426"/>
        </w:tabs>
        <w:spacing w:before="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1B954839" w14:textId="732FFAB0" w:rsidR="00261B7D" w:rsidRPr="00FF007A" w:rsidRDefault="00261B7D" w:rsidP="002B0932">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w:t>
      </w:r>
      <w:r w:rsidRPr="00FF007A">
        <w:rPr>
          <w:rFonts w:ascii="Verdana" w:eastAsia="Arial" w:hAnsi="Verdana" w:cs="Arial"/>
          <w:bCs/>
          <w:color w:val="000000" w:themeColor="text1"/>
        </w:rPr>
        <w:lastRenderedPageBreak/>
        <w:t>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27"/>
      </w:r>
      <w:r w:rsidRPr="00FF007A">
        <w:rPr>
          <w:rFonts w:ascii="Verdana" w:eastAsia="Arial" w:hAnsi="Verdana" w:cs="Arial"/>
          <w:bCs/>
          <w:color w:val="000000" w:themeColor="text1"/>
        </w:rPr>
        <w:t xml:space="preserve">. </w:t>
      </w:r>
    </w:p>
    <w:p w14:paraId="55832781" w14:textId="479043CD" w:rsidR="001645F5" w:rsidRPr="000C2089" w:rsidRDefault="001645F5" w:rsidP="001645F5">
      <w:pPr>
        <w:spacing w:before="120" w:after="120" w:line="276" w:lineRule="auto"/>
        <w:ind w:firstLine="709"/>
        <w:jc w:val="both"/>
        <w:rPr>
          <w:rFonts w:ascii="Verdana" w:eastAsia="Arial" w:hAnsi="Verdana" w:cs="Arial"/>
          <w:color w:val="000000" w:themeColor="text1"/>
          <w:lang w:val="es-ES"/>
        </w:rPr>
      </w:pPr>
      <w:r w:rsidRPr="3A5322BA">
        <w:rPr>
          <w:rFonts w:ascii="Verdana" w:eastAsia="Arial" w:hAnsi="Verdana" w:cs="Arial"/>
          <w:color w:val="000000" w:themeColor="text1"/>
        </w:rPr>
        <w:t xml:space="preserve">Sin embargo, es necesario tener en cuenta que la excepción del artículo 33 de la Ley de Garantías Electorales solo aplica a las </w:t>
      </w:r>
      <w:r w:rsidRPr="3A5322BA">
        <w:rPr>
          <w:rFonts w:ascii="Verdana" w:eastAsia="Arial" w:hAnsi="Verdana" w:cs="Arial"/>
          <w:i/>
          <w:iCs/>
          <w:color w:val="000000" w:themeColor="text1"/>
        </w:rPr>
        <w:t>entidades sanitarias</w:t>
      </w:r>
      <w:r w:rsidRPr="3A5322BA">
        <w:rPr>
          <w:rFonts w:ascii="Verdana" w:eastAsia="Arial" w:hAnsi="Verdana" w:cs="Arial"/>
          <w:color w:val="000000" w:themeColor="text1"/>
        </w:rPr>
        <w:t xml:space="preserve">, no a las </w:t>
      </w:r>
      <w:r w:rsidRPr="3A5322BA">
        <w:rPr>
          <w:rFonts w:ascii="Verdana" w:eastAsia="Arial" w:hAnsi="Verdana" w:cs="Arial"/>
          <w:i/>
          <w:iCs/>
          <w:color w:val="000000" w:themeColor="text1"/>
        </w:rPr>
        <w:t>autoridades sanitarias</w:t>
      </w:r>
      <w:r w:rsidRPr="3A5322BA">
        <w:rPr>
          <w:rFonts w:ascii="Verdana" w:eastAsia="Arial" w:hAnsi="Verdana" w:cs="Arial"/>
          <w:color w:val="000000" w:themeColor="text1"/>
        </w:rPr>
        <w:t xml:space="preserve">. </w:t>
      </w:r>
      <w:r w:rsidRPr="3A5322BA">
        <w:rPr>
          <w:rFonts w:ascii="Verdana" w:eastAsia="Arial" w:hAnsi="Verdana" w:cs="Arial"/>
          <w:color w:val="000000" w:themeColor="text1"/>
          <w:lang w:val="es-ES"/>
        </w:rPr>
        <w:t xml:space="preserve">Así las cosas, para efectos de la excepción del artículo 33 es indiferente que la entidad estatal tenga funciones de </w:t>
      </w:r>
      <w:r w:rsidRPr="3A5322BA">
        <w:rPr>
          <w:rFonts w:ascii="Verdana" w:eastAsia="Arial" w:hAnsi="Verdana" w:cs="Arial"/>
          <w:i/>
          <w:iCs/>
          <w:color w:val="000000" w:themeColor="text1"/>
          <w:lang w:val="es-ES"/>
        </w:rPr>
        <w:t>autoridad sanitaria</w:t>
      </w:r>
      <w:r w:rsidRPr="3A5322BA">
        <w:rPr>
          <w:rFonts w:ascii="Verdana" w:eastAsia="Arial" w:hAnsi="Verdana" w:cs="Arial"/>
          <w:color w:val="000000" w:themeColor="text1"/>
          <w:lang w:val="es-ES"/>
        </w:rPr>
        <w:t xml:space="preserve">, pues lo relevante para determinar si la contratación está exceptuada de la prohibición general no es el carácter de autoridad sanitaria, sino que se trate de una </w:t>
      </w:r>
      <w:r w:rsidRPr="3A5322BA">
        <w:rPr>
          <w:rFonts w:ascii="Verdana" w:eastAsia="Arial" w:hAnsi="Verdana" w:cs="Arial"/>
          <w:i/>
          <w:iCs/>
          <w:color w:val="000000" w:themeColor="text1"/>
          <w:lang w:val="es-ES"/>
        </w:rPr>
        <w:t>entidad sanitaria</w:t>
      </w:r>
      <w:r w:rsidRPr="3A5322BA">
        <w:rPr>
          <w:rFonts w:ascii="Verdana" w:eastAsia="Arial" w:hAnsi="Verdana" w:cs="Arial"/>
          <w:color w:val="000000" w:themeColor="text1"/>
          <w:lang w:val="es-ES"/>
        </w:rPr>
        <w:t xml:space="preserve">. </w:t>
      </w:r>
    </w:p>
    <w:p w14:paraId="5B99ECCF" w14:textId="5FF7983A" w:rsidR="00261B7D" w:rsidRDefault="00261B7D" w:rsidP="000C208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w:t>
      </w:r>
      <w:r w:rsidR="001645F5">
        <w:rPr>
          <w:rFonts w:ascii="Verdana" w:eastAsia="Arial" w:hAnsi="Verdana" w:cs="Arial"/>
          <w:bCs/>
          <w:color w:val="000000" w:themeColor="text1"/>
        </w:rPr>
        <w:t>aplicación de la Ley de</w:t>
      </w:r>
      <w:r w:rsidRPr="00FF007A">
        <w:rPr>
          <w:rFonts w:ascii="Verdana" w:eastAsia="Arial" w:hAnsi="Verdana" w:cs="Arial"/>
          <w:bCs/>
          <w:color w:val="000000" w:themeColor="text1"/>
        </w:rPr>
        <w:t xml:space="preserve"> </w:t>
      </w:r>
      <w:r w:rsidR="001645F5">
        <w:rPr>
          <w:rFonts w:ascii="Verdana" w:eastAsia="Arial" w:hAnsi="Verdana" w:cs="Arial"/>
          <w:bCs/>
          <w:color w:val="000000" w:themeColor="text1"/>
        </w:rPr>
        <w:t>G</w:t>
      </w:r>
      <w:r w:rsidR="001645F5" w:rsidRPr="00FF007A">
        <w:rPr>
          <w:rFonts w:ascii="Verdana" w:eastAsia="Arial" w:hAnsi="Verdana" w:cs="Arial"/>
          <w:bCs/>
          <w:color w:val="000000" w:themeColor="text1"/>
        </w:rPr>
        <w:t xml:space="preserve">arantías </w:t>
      </w:r>
      <w:r w:rsidR="001645F5">
        <w:rPr>
          <w:rFonts w:ascii="Verdana" w:eastAsia="Arial" w:hAnsi="Verdana" w:cs="Arial"/>
          <w:bCs/>
          <w:color w:val="000000" w:themeColor="text1"/>
        </w:rPr>
        <w:t>E</w:t>
      </w:r>
      <w:r w:rsidRPr="00FF007A">
        <w:rPr>
          <w:rFonts w:ascii="Verdana" w:eastAsia="Arial" w:hAnsi="Verdana" w:cs="Arial"/>
          <w:bCs/>
          <w:color w:val="000000" w:themeColor="text1"/>
        </w:rPr>
        <w:t xml:space="preserv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6A2126F3" w14:textId="77777777" w:rsidR="001645F5" w:rsidRPr="0057193B" w:rsidRDefault="001645F5" w:rsidP="001645F5">
      <w:pPr>
        <w:spacing w:line="276" w:lineRule="auto"/>
        <w:ind w:firstLine="709"/>
        <w:jc w:val="both"/>
        <w:rPr>
          <w:rFonts w:ascii="Verdana" w:eastAsia="Times New Roman" w:hAnsi="Verdana" w:cs="Arial"/>
          <w:sz w:val="20"/>
          <w:szCs w:val="20"/>
          <w:lang w:val="es-MX" w:eastAsia="x-none"/>
        </w:rPr>
      </w:pPr>
      <w:r w:rsidRPr="3A5322BA">
        <w:rPr>
          <w:rFonts w:ascii="Verdana" w:eastAsia="Arial" w:hAnsi="Verdana" w:cs="Arial"/>
          <w:color w:val="000000" w:themeColor="text1"/>
          <w:lang w:val="es-ES"/>
        </w:rPr>
        <w:t>Atendiendo el marco jurídico analizado</w:t>
      </w:r>
      <w:r w:rsidRPr="3A5322BA">
        <w:rPr>
          <w:rFonts w:ascii="Verdana" w:eastAsia="Times New Roman" w:hAnsi="Verdana" w:cs="Arial"/>
          <w:lang w:val="es-MX"/>
        </w:rPr>
        <w:t xml:space="preserve">,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w:t>
      </w:r>
      <w:r w:rsidRPr="3A5322BA">
        <w:rPr>
          <w:rFonts w:ascii="Verdana" w:eastAsia="Times New Roman" w:hAnsi="Verdana" w:cs="Arial"/>
          <w:lang w:val="es-MX"/>
        </w:rPr>
        <w:lastRenderedPageBreak/>
        <w:t xml:space="preserve">bajo el entendido que estos permitan la participación de una pluralidad de oferentes. </w:t>
      </w:r>
    </w:p>
    <w:p w14:paraId="14E01E2F" w14:textId="77777777" w:rsidR="001645F5" w:rsidRDefault="001645F5" w:rsidP="001645F5">
      <w:pPr>
        <w:spacing w:after="0" w:line="276" w:lineRule="auto"/>
        <w:ind w:firstLine="709"/>
        <w:jc w:val="both"/>
        <w:rPr>
          <w:rFonts w:ascii="Verdana" w:eastAsia="Times New Roman" w:hAnsi="Verdana" w:cs="Arial"/>
          <w:color w:val="000000" w:themeColor="text1"/>
          <w:lang w:val="es-ES" w:eastAsia="es-ES"/>
        </w:rPr>
      </w:pPr>
      <w:r w:rsidRPr="3A5322BA">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737160B" w14:textId="77777777" w:rsidR="00261B7D" w:rsidRPr="00593A5F" w:rsidRDefault="00261B7D" w:rsidP="00261B7D">
      <w:pPr>
        <w:widowControl w:val="0"/>
        <w:autoSpaceDE w:val="0"/>
        <w:autoSpaceDN w:val="0"/>
        <w:spacing w:after="0" w:line="276" w:lineRule="auto"/>
        <w:jc w:val="both"/>
        <w:rPr>
          <w:rFonts w:ascii="Verdana" w:hAnsi="Verdana" w:cs="Arial"/>
        </w:rPr>
      </w:pPr>
    </w:p>
    <w:p w14:paraId="675569D4"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2C9CEF1" w14:textId="77777777" w:rsidR="00261B7D" w:rsidRPr="00593A5F" w:rsidRDefault="00261B7D" w:rsidP="00261B7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1B7D" w:rsidRPr="00593A5F" w14:paraId="1EF7CAE7" w14:textId="77777777" w:rsidTr="0031322D">
        <w:trPr>
          <w:trHeight w:val="757"/>
        </w:trPr>
        <w:tc>
          <w:tcPr>
            <w:tcW w:w="8647" w:type="dxa"/>
          </w:tcPr>
          <w:p w14:paraId="2314E718" w14:textId="3EA55E21" w:rsidR="00261B7D" w:rsidRPr="00D37EBD" w:rsidRDefault="00310C76" w:rsidP="000C2089">
            <w:pPr>
              <w:pStyle w:val="NormalWeb"/>
              <w:numPr>
                <w:ilvl w:val="0"/>
                <w:numId w:val="18"/>
              </w:numPr>
              <w:spacing w:before="0" w:beforeAutospacing="0" w:after="0" w:afterAutospacing="0" w:line="276" w:lineRule="auto"/>
              <w:rPr>
                <w:rFonts w:ascii="Verdana" w:hAnsi="Verdana" w:cs="Arial"/>
                <w:sz w:val="22"/>
                <w:szCs w:val="22"/>
              </w:rPr>
            </w:pPr>
            <w:r w:rsidRPr="004613D5">
              <w:rPr>
                <w:rStyle w:val="citation-478"/>
                <w:rFonts w:ascii="Verdana" w:hAnsi="Verdana" w:cs="Arial"/>
                <w:sz w:val="22"/>
                <w:szCs w:val="22"/>
              </w:rPr>
              <w:t>Constitución Política de Colombia</w:t>
            </w:r>
            <w:r w:rsidR="009F194E">
              <w:rPr>
                <w:rStyle w:val="citation-478"/>
                <w:rFonts w:ascii="Verdana" w:hAnsi="Verdana" w:cs="Arial"/>
                <w:sz w:val="22"/>
                <w:szCs w:val="22"/>
              </w:rPr>
              <w:t xml:space="preserve"> - </w:t>
            </w:r>
            <w:r w:rsidR="00261B7D" w:rsidRPr="00D37EBD">
              <w:rPr>
                <w:rStyle w:val="citation-478"/>
                <w:rFonts w:ascii="Verdana" w:hAnsi="Verdana" w:cs="Arial"/>
                <w:sz w:val="22"/>
                <w:szCs w:val="22"/>
              </w:rPr>
              <w:t>Artículo 127</w:t>
            </w:r>
            <w:r w:rsidR="00261B7D" w:rsidRPr="00D37EBD">
              <w:rPr>
                <w:rFonts w:ascii="Verdana" w:hAnsi="Verdana" w:cs="Arial"/>
                <w:sz w:val="22"/>
                <w:szCs w:val="22"/>
              </w:rPr>
              <w:t>.</w:t>
            </w:r>
          </w:p>
          <w:p w14:paraId="73F23AA3" w14:textId="42389E8B"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7"/>
                <w:rFonts w:ascii="Verdana" w:hAnsi="Verdana" w:cs="Arial"/>
                <w:sz w:val="22"/>
                <w:szCs w:val="22"/>
              </w:rPr>
              <w:t>Decreto 780 de 2016</w:t>
            </w:r>
            <w:r w:rsidR="008501FF">
              <w:t xml:space="preserve">, </w:t>
            </w:r>
            <w:r w:rsidR="008501FF" w:rsidRPr="00D37EBD">
              <w:rPr>
                <w:rStyle w:val="citation-477"/>
                <w:rFonts w:ascii="Verdana" w:hAnsi="Verdana" w:cs="Arial"/>
                <w:sz w:val="22"/>
                <w:szCs w:val="22"/>
              </w:rPr>
              <w:t>Artículo 2.8.8.1.1.3</w:t>
            </w:r>
          </w:p>
          <w:p w14:paraId="2EC084E3" w14:textId="584CC065"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6"/>
                <w:rFonts w:ascii="Verdana" w:hAnsi="Verdana" w:cs="Arial"/>
                <w:sz w:val="22"/>
                <w:szCs w:val="22"/>
              </w:rPr>
              <w:t>Ley 996 de 2005</w:t>
            </w:r>
            <w:r w:rsidR="008501FF">
              <w:rPr>
                <w:rFonts w:ascii="Verdana" w:hAnsi="Verdana" w:cs="Arial"/>
                <w:sz w:val="22"/>
                <w:szCs w:val="22"/>
              </w:rPr>
              <w:t xml:space="preserve"> -</w:t>
            </w:r>
            <w:r w:rsidR="008501FF" w:rsidRPr="00D37EBD">
              <w:rPr>
                <w:rStyle w:val="citation-476"/>
                <w:rFonts w:ascii="Verdana" w:hAnsi="Verdana" w:cs="Arial"/>
                <w:sz w:val="22"/>
                <w:szCs w:val="22"/>
              </w:rPr>
              <w:t xml:space="preserve"> Artículos 33 y 38 (parágrafo)</w:t>
            </w:r>
          </w:p>
          <w:p w14:paraId="2AB6D41B" w14:textId="4F5B7F01"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5"/>
                <w:rFonts w:ascii="Verdana" w:hAnsi="Verdana" w:cs="Arial"/>
                <w:sz w:val="22"/>
                <w:szCs w:val="22"/>
              </w:rPr>
              <w:t>Ley 100 de 1993</w:t>
            </w:r>
            <w:r w:rsidR="008501FF">
              <w:rPr>
                <w:rFonts w:ascii="Verdana" w:hAnsi="Verdana" w:cs="Arial"/>
                <w:sz w:val="22"/>
                <w:szCs w:val="22"/>
              </w:rPr>
              <w:t xml:space="preserve"> - </w:t>
            </w:r>
            <w:r w:rsidR="008501FF" w:rsidRPr="00D37EBD">
              <w:rPr>
                <w:rStyle w:val="citation-475"/>
                <w:rFonts w:ascii="Verdana" w:hAnsi="Verdana" w:cs="Arial"/>
                <w:sz w:val="22"/>
                <w:szCs w:val="22"/>
              </w:rPr>
              <w:t>Artículos 94, 194 y 197</w:t>
            </w:r>
            <w:r w:rsidR="008501FF">
              <w:rPr>
                <w:rStyle w:val="citation-475"/>
                <w:rFonts w:ascii="Verdana" w:hAnsi="Verdana" w:cs="Arial"/>
                <w:sz w:val="22"/>
                <w:szCs w:val="22"/>
              </w:rPr>
              <w:t xml:space="preserve">. </w:t>
            </w:r>
          </w:p>
          <w:p w14:paraId="42F3C8E7" w14:textId="6F2ABAF0"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4"/>
                <w:rFonts w:ascii="Verdana" w:hAnsi="Verdana" w:cs="Arial"/>
                <w:sz w:val="22"/>
                <w:szCs w:val="22"/>
              </w:rPr>
              <w:t>Ley 1150 de 2007</w:t>
            </w:r>
            <w:r w:rsidR="008501FF">
              <w:rPr>
                <w:rFonts w:ascii="Verdana" w:hAnsi="Verdana" w:cs="Arial"/>
                <w:sz w:val="22"/>
                <w:szCs w:val="22"/>
              </w:rPr>
              <w:t xml:space="preserve"> -</w:t>
            </w:r>
            <w:r w:rsidR="008501FF" w:rsidRPr="00D37EBD">
              <w:rPr>
                <w:rStyle w:val="citation-474"/>
                <w:rFonts w:ascii="Verdana" w:hAnsi="Verdana" w:cs="Arial"/>
                <w:sz w:val="22"/>
                <w:szCs w:val="22"/>
              </w:rPr>
              <w:t xml:space="preserve"> Artículo 2 (numeral 4, literal c)</w:t>
            </w:r>
            <w:r w:rsidR="008501FF">
              <w:rPr>
                <w:rStyle w:val="citation-474"/>
                <w:rFonts w:ascii="Verdana" w:hAnsi="Verdana" w:cs="Arial"/>
                <w:sz w:val="22"/>
                <w:szCs w:val="22"/>
              </w:rPr>
              <w:t>.</w:t>
            </w:r>
          </w:p>
          <w:p w14:paraId="1D6F2F7F" w14:textId="32B75A2B" w:rsidR="00261B7D" w:rsidRDefault="00261B7D" w:rsidP="000C2089">
            <w:pPr>
              <w:pStyle w:val="NormalWeb"/>
              <w:numPr>
                <w:ilvl w:val="0"/>
                <w:numId w:val="18"/>
              </w:numPr>
              <w:spacing w:before="0" w:beforeAutospacing="0" w:after="0" w:afterAutospacing="0" w:line="276" w:lineRule="auto"/>
              <w:rPr>
                <w:rStyle w:val="citation-473"/>
                <w:rFonts w:ascii="Verdana" w:hAnsi="Verdana" w:cs="Arial"/>
                <w:sz w:val="22"/>
                <w:szCs w:val="22"/>
              </w:rPr>
            </w:pPr>
            <w:r w:rsidRPr="00D37EBD">
              <w:rPr>
                <w:rStyle w:val="citation-473"/>
                <w:rFonts w:ascii="Verdana" w:hAnsi="Verdana" w:cs="Arial"/>
                <w:sz w:val="22"/>
                <w:szCs w:val="22"/>
              </w:rPr>
              <w:t>Ley 80 de 1993</w:t>
            </w:r>
            <w:r w:rsidR="008501FF">
              <w:rPr>
                <w:rFonts w:ascii="Verdana" w:hAnsi="Verdana" w:cs="Arial"/>
                <w:sz w:val="22"/>
                <w:szCs w:val="22"/>
              </w:rPr>
              <w:t xml:space="preserve"> - </w:t>
            </w:r>
            <w:r w:rsidR="008501FF" w:rsidRPr="00D37EBD">
              <w:rPr>
                <w:rStyle w:val="citation-473"/>
                <w:rFonts w:ascii="Verdana" w:hAnsi="Verdana" w:cs="Arial"/>
                <w:sz w:val="22"/>
                <w:szCs w:val="22"/>
              </w:rPr>
              <w:t>Artículos 39 y 41</w:t>
            </w:r>
            <w:r w:rsidR="008501FF">
              <w:rPr>
                <w:rStyle w:val="citation-473"/>
                <w:rFonts w:ascii="Verdana" w:hAnsi="Verdana" w:cs="Arial"/>
                <w:sz w:val="22"/>
                <w:szCs w:val="22"/>
              </w:rPr>
              <w:t>.</w:t>
            </w:r>
          </w:p>
          <w:p w14:paraId="6E07933B" w14:textId="0BDA632E" w:rsidR="00261B7D" w:rsidRPr="00D37EBD" w:rsidRDefault="00967890"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1"/>
                <w:rFonts w:ascii="Verdana" w:hAnsi="Verdana" w:cs="Arial"/>
                <w:sz w:val="22"/>
                <w:szCs w:val="22"/>
              </w:rPr>
              <w:t>Ley 100 de 1993</w:t>
            </w:r>
            <w:r w:rsidR="00956E3F">
              <w:rPr>
                <w:rStyle w:val="citation-471"/>
                <w:rFonts w:ascii="Verdana" w:hAnsi="Verdana" w:cs="Arial"/>
                <w:sz w:val="22"/>
                <w:szCs w:val="22"/>
              </w:rPr>
              <w:t xml:space="preserve"> – Artículo </w:t>
            </w:r>
            <w:r w:rsidR="00F74F83">
              <w:rPr>
                <w:rStyle w:val="citation-471"/>
                <w:rFonts w:ascii="Verdana" w:hAnsi="Verdana" w:cs="Arial"/>
                <w:sz w:val="22"/>
                <w:szCs w:val="22"/>
              </w:rPr>
              <w:t xml:space="preserve">194. </w:t>
            </w:r>
          </w:p>
          <w:p w14:paraId="744DB5F5"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68"/>
                <w:rFonts w:ascii="Verdana" w:hAnsi="Verdana" w:cs="Arial"/>
                <w:sz w:val="22"/>
                <w:szCs w:val="22"/>
              </w:rPr>
              <w:t>Corte Constitucional, Sentencia C-1153 de 2005</w:t>
            </w:r>
            <w:r w:rsidRPr="00D37EBD">
              <w:rPr>
                <w:rFonts w:ascii="Verdana" w:hAnsi="Verdana" w:cs="Arial"/>
                <w:sz w:val="22"/>
                <w:szCs w:val="22"/>
              </w:rPr>
              <w:t>.</w:t>
            </w:r>
          </w:p>
          <w:p w14:paraId="644A62A0"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Fonts w:ascii="Verdana" w:hAnsi="Verdana" w:cs="Arial"/>
                <w:sz w:val="22"/>
                <w:szCs w:val="22"/>
              </w:rPr>
              <w:t xml:space="preserve">Consejo de Estado, Sala de Consulta y Servicio Civil, concepto del 20 de febrero de 2006, Rad. </w:t>
            </w:r>
            <w:r w:rsidRPr="00D37EBD">
              <w:rPr>
                <w:rStyle w:val="citation-467"/>
                <w:rFonts w:ascii="Verdana" w:hAnsi="Verdana" w:cs="Arial"/>
                <w:sz w:val="22"/>
                <w:szCs w:val="22"/>
              </w:rPr>
              <w:t>1727</w:t>
            </w:r>
            <w:r w:rsidRPr="00D37EBD">
              <w:rPr>
                <w:rFonts w:ascii="Verdana" w:hAnsi="Verdana" w:cs="Arial"/>
                <w:sz w:val="22"/>
                <w:szCs w:val="22"/>
              </w:rPr>
              <w:t>.</w:t>
            </w:r>
          </w:p>
          <w:p w14:paraId="14B68040"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Fonts w:ascii="Verdana" w:hAnsi="Verdana" w:cs="Arial"/>
                <w:sz w:val="22"/>
                <w:szCs w:val="22"/>
              </w:rPr>
              <w:t xml:space="preserve">Consejo de Estado, Sala de Consulta y Servicio Civil, concepto del 4 de febrero de 2010, Rad. </w:t>
            </w:r>
            <w:r w:rsidRPr="00D37EBD">
              <w:rPr>
                <w:rStyle w:val="citation-466"/>
                <w:rFonts w:ascii="Verdana" w:hAnsi="Verdana" w:cs="Arial"/>
                <w:sz w:val="22"/>
                <w:szCs w:val="22"/>
              </w:rPr>
              <w:t>1985</w:t>
            </w:r>
            <w:r w:rsidRPr="00D37EBD">
              <w:rPr>
                <w:rFonts w:ascii="Verdana" w:hAnsi="Verdana" w:cs="Arial"/>
                <w:sz w:val="22"/>
                <w:szCs w:val="22"/>
              </w:rPr>
              <w:t>.</w:t>
            </w:r>
          </w:p>
          <w:p w14:paraId="3862CED9"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Fonts w:ascii="Verdana" w:hAnsi="Verdana" w:cs="Arial"/>
                <w:sz w:val="22"/>
                <w:szCs w:val="22"/>
              </w:rPr>
              <w:t xml:space="preserve">Consejo de Estado, Sala de Consulta y Servicio Civil, concepto del 12 de junio de 2018, Rad. </w:t>
            </w:r>
            <w:r w:rsidRPr="00D37EBD">
              <w:rPr>
                <w:rStyle w:val="citation-465"/>
                <w:rFonts w:ascii="Verdana" w:hAnsi="Verdana" w:cs="Arial"/>
                <w:sz w:val="22"/>
                <w:szCs w:val="22"/>
              </w:rPr>
              <w:t>2371</w:t>
            </w:r>
            <w:r w:rsidRPr="00D37EBD">
              <w:rPr>
                <w:rFonts w:ascii="Verdana" w:hAnsi="Verdana" w:cs="Arial"/>
                <w:sz w:val="22"/>
                <w:szCs w:val="22"/>
              </w:rPr>
              <w:t>.</w:t>
            </w:r>
          </w:p>
          <w:p w14:paraId="7508DA86" w14:textId="77777777" w:rsidR="00261B7D" w:rsidRPr="00944391" w:rsidRDefault="00261B7D" w:rsidP="000C2089">
            <w:pPr>
              <w:pStyle w:val="NormalWeb"/>
              <w:numPr>
                <w:ilvl w:val="0"/>
                <w:numId w:val="18"/>
              </w:numPr>
              <w:spacing w:before="0" w:beforeAutospacing="0" w:after="0" w:afterAutospacing="0" w:line="276" w:lineRule="auto"/>
              <w:jc w:val="both"/>
              <w:rPr>
                <w:rFonts w:ascii="Verdana" w:hAnsi="Verdana" w:cs="Arial"/>
                <w:sz w:val="22"/>
                <w:szCs w:val="22"/>
              </w:rPr>
            </w:pPr>
            <w:r w:rsidRPr="00D37EBD">
              <w:rPr>
                <w:rFonts w:ascii="Verdana" w:hAnsi="Verdana" w:cs="Arial"/>
                <w:sz w:val="22"/>
                <w:szCs w:val="22"/>
              </w:rPr>
              <w:t xml:space="preserve">Consejo de Estado, Sección Tercera, sentencia del 21 de febrero de 2025, Exp. </w:t>
            </w:r>
            <w:r w:rsidRPr="00D37EBD">
              <w:rPr>
                <w:rStyle w:val="citation-464"/>
                <w:rFonts w:ascii="Verdana" w:hAnsi="Verdana" w:cs="Arial"/>
                <w:sz w:val="22"/>
                <w:szCs w:val="22"/>
              </w:rPr>
              <w:t>68.280</w:t>
            </w:r>
            <w:r w:rsidRPr="00D37EBD">
              <w:rPr>
                <w:rFonts w:ascii="Verdana" w:hAnsi="Verdana" w:cs="Arial"/>
                <w:sz w:val="22"/>
                <w:szCs w:val="22"/>
              </w:rPr>
              <w:t>.</w:t>
            </w:r>
          </w:p>
          <w:p w14:paraId="41A62C21" w14:textId="70DB167B" w:rsidR="00261B7D" w:rsidRPr="00D37EBD" w:rsidRDefault="00944391" w:rsidP="000C2089">
            <w:pPr>
              <w:pStyle w:val="NormalWeb"/>
              <w:numPr>
                <w:ilvl w:val="0"/>
                <w:numId w:val="18"/>
              </w:numPr>
              <w:spacing w:before="0" w:beforeAutospacing="0" w:after="0" w:afterAutospacing="0" w:line="276" w:lineRule="auto"/>
              <w:jc w:val="both"/>
              <w:rPr>
                <w:rFonts w:ascii="Verdana" w:hAnsi="Verdana" w:cs="Arial"/>
                <w:sz w:val="22"/>
                <w:szCs w:val="22"/>
              </w:rPr>
            </w:pPr>
            <w:r w:rsidRPr="000C2089">
              <w:rPr>
                <w:rFonts w:ascii="Verdana" w:hAnsi="Verdana" w:cs="Arial"/>
                <w:sz w:val="22"/>
                <w:szCs w:val="22"/>
              </w:rPr>
              <w:t>Agencia Nacional de Contratación Pública - Colombia Compra Eficiente. Circular Externa Única. Numeral 16.5</w:t>
            </w:r>
            <w:r w:rsidR="009F194E">
              <w:rPr>
                <w:rFonts w:ascii="Verdana" w:hAnsi="Verdana" w:cs="Arial"/>
                <w:sz w:val="22"/>
                <w:szCs w:val="22"/>
              </w:rPr>
              <w:t>.</w:t>
            </w:r>
          </w:p>
        </w:tc>
      </w:tr>
    </w:tbl>
    <w:p w14:paraId="232FBC63" w14:textId="77777777" w:rsidR="00261B7D" w:rsidRPr="00593A5F" w:rsidRDefault="00261B7D" w:rsidP="00261B7D">
      <w:pPr>
        <w:widowControl w:val="0"/>
        <w:autoSpaceDE w:val="0"/>
        <w:autoSpaceDN w:val="0"/>
        <w:spacing w:after="0" w:line="276" w:lineRule="auto"/>
        <w:jc w:val="both"/>
        <w:rPr>
          <w:rFonts w:ascii="Verdana" w:hAnsi="Verdana" w:cs="Arial"/>
        </w:rPr>
      </w:pPr>
    </w:p>
    <w:p w14:paraId="795AEBD7" w14:textId="77777777" w:rsidR="00261B7D"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0169B0E" w14:textId="77777777" w:rsidR="00261B7D" w:rsidRDefault="00261B7D" w:rsidP="00261B7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E473CFA" w14:textId="77777777" w:rsidR="00261B7D" w:rsidRPr="00A54323" w:rsidRDefault="00261B7D" w:rsidP="00261B7D">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w:t>
      </w:r>
      <w:r w:rsidRPr="000F79CF">
        <w:rPr>
          <w:rFonts w:ascii="Verdana" w:eastAsia="Calibri" w:hAnsi="Verdana" w:cs="Arial"/>
        </w:rPr>
        <w:lastRenderedPageBreak/>
        <w:t xml:space="preserve">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C-1124 del 18 de septiembre de 2025, 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C-108 del 4 de marzo de 2026 y el C-177 del 16 de marzo de 2026,</w:t>
      </w:r>
      <w:r w:rsidRPr="001450CA">
        <w:rPr>
          <w:rStyle w:val="normaltextrun"/>
          <w:rFonts w:ascii="Verdana" w:hAnsi="Verdana" w:cs="Arial"/>
          <w:shd w:val="clear" w:color="auto" w:fill="FFFFFF"/>
          <w:lang w:val="es-ES"/>
        </w:rPr>
        <w:t xml:space="preserve"> entre otros.</w:t>
      </w:r>
      <w:r>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2" w:history="1">
        <w:r w:rsidRPr="001645F5">
          <w:rPr>
            <w:rFonts w:ascii="Verdana" w:hAnsi="Verdana" w:cs="Arial"/>
            <w:color w:val="0563C1" w:themeColor="hyperlink"/>
            <w:u w:val="single"/>
            <w:shd w:val="clear" w:color="auto" w:fill="FFFFFF"/>
          </w:rPr>
          <w:t>https://relatoria.colombiacompra.gov.co/busqueda/conceptos</w:t>
        </w:r>
      </w:hyperlink>
      <w:r w:rsidRPr="001645F5">
        <w:rPr>
          <w:rFonts w:ascii="Verdana" w:hAnsi="Verdana" w:cs="Arial"/>
          <w:shd w:val="clear" w:color="auto" w:fill="FFFFFF"/>
        </w:rPr>
        <w:t>.</w:t>
      </w:r>
      <w:r w:rsidRPr="001645F5">
        <w:rPr>
          <w:rFonts w:ascii="Verdana" w:hAnsi="Verdana" w:cs="Arial"/>
          <w:color w:val="FF0000"/>
          <w:shd w:val="clear" w:color="auto" w:fill="FFFFFF"/>
        </w:rPr>
        <w:t xml:space="preserve"> </w:t>
      </w:r>
      <w:r w:rsidRPr="001645F5">
        <w:rPr>
          <w:rFonts w:ascii="Verdana" w:hAnsi="Verdana" w:cs="Arial"/>
          <w:color w:val="000000" w:themeColor="text1"/>
          <w:shd w:val="clear" w:color="auto" w:fill="FFFFFF"/>
        </w:rPr>
        <w:t>  </w:t>
      </w:r>
    </w:p>
    <w:p w14:paraId="3DFB3B4E" w14:textId="77777777" w:rsidR="00261B7D" w:rsidRDefault="00261B7D" w:rsidP="000C2089">
      <w:pPr>
        <w:widowControl w:val="0"/>
        <w:autoSpaceDE w:val="0"/>
        <w:autoSpaceDN w:val="0"/>
        <w:spacing w:after="0" w:line="276" w:lineRule="auto"/>
        <w:jc w:val="both"/>
        <w:rPr>
          <w:rFonts w:ascii="Verdana" w:hAnsi="Verdana"/>
          <w:lang w:val="es-ES"/>
        </w:rPr>
      </w:pPr>
    </w:p>
    <w:p w14:paraId="6A1EFC2B" w14:textId="77777777" w:rsidR="00261B7D" w:rsidRPr="009A385A" w:rsidRDefault="00261B7D" w:rsidP="000C2089">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1645F5">
          <w:rPr>
            <w:rStyle w:val="Hipervnculo"/>
            <w:rFonts w:ascii="Verdana" w:hAnsi="Verdana"/>
          </w:rPr>
          <w:t>https://formacionvirtual.colombiacompra.gov.co/mod/page/view.php?id=3718</w:t>
        </w:r>
      </w:hyperlink>
    </w:p>
    <w:p w14:paraId="12F5B055" w14:textId="77777777" w:rsidR="00944391" w:rsidRDefault="00944391" w:rsidP="001645F5">
      <w:pPr>
        <w:spacing w:after="0" w:line="276" w:lineRule="auto"/>
        <w:jc w:val="both"/>
        <w:rPr>
          <w:rFonts w:ascii="Verdana" w:hAnsi="Verdana"/>
        </w:rPr>
      </w:pPr>
    </w:p>
    <w:p w14:paraId="41BCFFD9" w14:textId="6191018F" w:rsidR="00261B7D" w:rsidRDefault="00261B7D" w:rsidP="000C2089">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w:t>
      </w:r>
      <w:r w:rsidRPr="00635F16">
        <w:rPr>
          <w:rFonts w:ascii="Verdana" w:hAnsi="Verdana"/>
        </w:rPr>
        <w:lastRenderedPageBreak/>
        <w:t>como educación, salud, cultura, recreación</w:t>
      </w:r>
      <w:r>
        <w:rPr>
          <w:rFonts w:ascii="Verdana" w:hAnsi="Verdana"/>
        </w:rPr>
        <w:t xml:space="preserve">, </w:t>
      </w:r>
      <w:r w:rsidRPr="00635F16">
        <w:rPr>
          <w:rFonts w:ascii="Verdana" w:hAnsi="Verdana"/>
        </w:rPr>
        <w:t xml:space="preserve">deporte, institucional y vivienda. </w:t>
      </w:r>
      <w:r w:rsidRPr="001645F5">
        <w:rPr>
          <w:rFonts w:ascii="Verdana" w:hAnsi="Verdana"/>
        </w:rPr>
        <w:t xml:space="preserve">Consulta y descarga los documentos aquí: </w:t>
      </w:r>
      <w:hyperlink r:id="rId14" w:tgtFrame="_new" w:history="1">
        <w:r w:rsidRPr="001645F5">
          <w:rPr>
            <w:rStyle w:val="Hipervnculo"/>
            <w:rFonts w:ascii="Verdana" w:hAnsi="Verdana"/>
          </w:rPr>
          <w:t>https://www.colombiacompra.gov.co/normativa-y-relatoria/documentos-tipo</w:t>
        </w:r>
      </w:hyperlink>
    </w:p>
    <w:p w14:paraId="4E6DC4A3" w14:textId="77777777" w:rsidR="00944391" w:rsidRDefault="00944391" w:rsidP="001645F5">
      <w:pPr>
        <w:spacing w:after="0" w:line="276" w:lineRule="auto"/>
        <w:jc w:val="both"/>
        <w:rPr>
          <w:rFonts w:ascii="Verdana" w:hAnsi="Verdana"/>
        </w:rPr>
      </w:pPr>
    </w:p>
    <w:p w14:paraId="0AAFF5D6" w14:textId="767A5723" w:rsidR="00261B7D" w:rsidRDefault="00261B7D" w:rsidP="000C2089">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1645F5">
        <w:rPr>
          <w:rFonts w:ascii="Verdana" w:hAnsi="Verdana"/>
        </w:rPr>
        <w:t>Además se incluyeron lineamientos que orientan la implementación de los criterios ambientales y sociales incluidos en los documentos tipo: Consulta la guía aquí:</w:t>
      </w:r>
      <w:r w:rsidRPr="001645F5">
        <w:rPr>
          <w:rFonts w:ascii="Verdana" w:hAnsi="Verdana"/>
        </w:rPr>
        <w:br/>
      </w:r>
      <w:hyperlink r:id="rId15" w:tgtFrame="_new" w:history="1">
        <w:r w:rsidRPr="001645F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B318C4E" w14:textId="77777777" w:rsidR="00944391" w:rsidRDefault="00944391" w:rsidP="001645F5">
      <w:pPr>
        <w:widowControl w:val="0"/>
        <w:autoSpaceDE w:val="0"/>
        <w:autoSpaceDN w:val="0"/>
        <w:spacing w:after="0" w:line="276" w:lineRule="auto"/>
        <w:jc w:val="both"/>
        <w:rPr>
          <w:rFonts w:ascii="Verdana" w:hAnsi="Verdana"/>
        </w:rPr>
      </w:pPr>
    </w:p>
    <w:p w14:paraId="1B76C998" w14:textId="16E0857F" w:rsidR="00261B7D" w:rsidRDefault="00261B7D" w:rsidP="001645F5">
      <w:pPr>
        <w:widowControl w:val="0"/>
        <w:autoSpaceDE w:val="0"/>
        <w:autoSpaceDN w:val="0"/>
        <w:spacing w:after="0" w:line="276" w:lineRule="auto"/>
        <w:jc w:val="both"/>
        <w:rPr>
          <w:rFonts w:ascii="Verdana" w:hAnsi="Verdana"/>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E6E27F6" w14:textId="77777777" w:rsidR="00944391" w:rsidRPr="00944391" w:rsidRDefault="00944391" w:rsidP="000C2089">
      <w:pPr>
        <w:widowControl w:val="0"/>
        <w:autoSpaceDE w:val="0"/>
        <w:autoSpaceDN w:val="0"/>
        <w:spacing w:after="0" w:line="276" w:lineRule="auto"/>
        <w:jc w:val="both"/>
        <w:rPr>
          <w:rFonts w:ascii="Verdana" w:hAnsi="Verdana" w:cs="Arial"/>
          <w:highlight w:val="yellow"/>
          <w:shd w:val="clear" w:color="auto" w:fill="FFFFFF"/>
          <w:lang w:val="es-MX"/>
        </w:rPr>
      </w:pPr>
    </w:p>
    <w:p w14:paraId="37207E32" w14:textId="77777777" w:rsidR="00261B7D" w:rsidRPr="00116940" w:rsidRDefault="00261B7D" w:rsidP="000C2089">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49623EB" w14:textId="77777777" w:rsidR="00261B7D" w:rsidRPr="00116940" w:rsidRDefault="00261B7D" w:rsidP="000C2089">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EECF3D2" w14:textId="77777777" w:rsidR="00261B7D" w:rsidRPr="00116940" w:rsidRDefault="00261B7D" w:rsidP="000C2089">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23528619" w14:textId="77777777" w:rsidR="00261B7D" w:rsidRPr="00116940" w:rsidRDefault="00261B7D" w:rsidP="000C2089">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FEF3983" w14:textId="77777777" w:rsidR="00261B7D" w:rsidRPr="00116940" w:rsidRDefault="00261B7D" w:rsidP="000C2089">
      <w:pPr>
        <w:spacing w:after="0" w:line="276" w:lineRule="auto"/>
        <w:ind w:left="720"/>
        <w:jc w:val="both"/>
        <w:rPr>
          <w:rFonts w:ascii="Verdana" w:hAnsi="Verdana"/>
        </w:rPr>
      </w:pPr>
    </w:p>
    <w:p w14:paraId="077E148F" w14:textId="77777777" w:rsidR="00261B7D" w:rsidRDefault="00261B7D" w:rsidP="000C2089">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1645F5">
          <w:rPr>
            <w:rStyle w:val="Hipervnculo"/>
            <w:rFonts w:ascii="Verdana" w:eastAsia="Verdana" w:hAnsi="Verdana" w:cs="Verdana"/>
            <w:lang w:val="es-MX"/>
          </w:rPr>
          <w:t>https://forms.office.com/r/pPHyWVs2SZ</w:t>
        </w:r>
      </w:hyperlink>
      <w:r w:rsidRPr="001645F5">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4FC029E6" w14:textId="77777777" w:rsidR="001645F5" w:rsidRDefault="001645F5" w:rsidP="001645F5">
      <w:pPr>
        <w:spacing w:after="0" w:line="276" w:lineRule="auto"/>
        <w:jc w:val="both"/>
        <w:rPr>
          <w:rFonts w:ascii="Verdana" w:hAnsi="Verdana"/>
        </w:rPr>
      </w:pPr>
    </w:p>
    <w:p w14:paraId="0AE76DBF" w14:textId="368963A3" w:rsidR="00261B7D" w:rsidRPr="00116940" w:rsidRDefault="00261B7D" w:rsidP="000C2089">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B69E9E9" w14:textId="77777777" w:rsidR="00261B7D" w:rsidRPr="00116940" w:rsidRDefault="00261B7D" w:rsidP="00261B7D">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93F9251" w14:textId="77777777" w:rsidR="00261B7D" w:rsidRPr="00116940" w:rsidRDefault="00261B7D" w:rsidP="00261B7D">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76DD253C" w14:textId="77777777" w:rsidR="00261B7D" w:rsidRPr="00116940" w:rsidRDefault="00261B7D" w:rsidP="00261B7D">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CEA59A6" w14:textId="77777777" w:rsidR="00261B7D" w:rsidRDefault="00261B7D" w:rsidP="00261B7D">
      <w:pPr>
        <w:spacing w:after="0" w:line="276" w:lineRule="auto"/>
        <w:jc w:val="both"/>
        <w:rPr>
          <w:rFonts w:ascii="Verdana" w:hAnsi="Verdana"/>
          <w:lang w:val="es-MX"/>
        </w:rPr>
      </w:pPr>
    </w:p>
    <w:p w14:paraId="657DE987" w14:textId="77777777" w:rsidR="00261B7D" w:rsidRPr="008A62D2" w:rsidRDefault="00261B7D" w:rsidP="00261B7D">
      <w:pPr>
        <w:spacing w:after="0" w:line="276" w:lineRule="auto"/>
        <w:jc w:val="both"/>
        <w:rPr>
          <w:rFonts w:ascii="Verdana" w:hAnsi="Verdana"/>
          <w:lang w:val="es-MX"/>
        </w:rPr>
      </w:pPr>
      <w:r w:rsidRPr="00E02524">
        <w:rPr>
          <w:rFonts w:ascii="Verdana" w:hAnsi="Verdana"/>
          <w:lang w:val="es-MX"/>
        </w:rPr>
        <w:t>Cordialmente,</w:t>
      </w:r>
    </w:p>
    <w:p w14:paraId="2A74D109" w14:textId="77777777" w:rsidR="00261B7D" w:rsidRPr="00593A5F" w:rsidRDefault="00261B7D" w:rsidP="00261B7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E841CCF" w14:textId="5173CF9C" w:rsidR="00261B7D" w:rsidRPr="00593A5F" w:rsidRDefault="00640D15" w:rsidP="00640D15">
      <w:pPr>
        <w:widowControl w:val="0"/>
        <w:autoSpaceDE w:val="0"/>
        <w:autoSpaceDN w:val="0"/>
        <w:spacing w:after="0" w:line="276" w:lineRule="auto"/>
        <w:jc w:val="center"/>
        <w:rPr>
          <w:rFonts w:ascii="Verdana" w:hAnsi="Verdana" w:cs="Arial"/>
        </w:rPr>
      </w:pPr>
      <w:r>
        <w:rPr>
          <w:noProof/>
        </w:rPr>
        <w:drawing>
          <wp:inline distT="0" distB="0" distL="0" distR="0" wp14:anchorId="62F07198" wp14:editId="3D42B540">
            <wp:extent cx="3771429" cy="1400000"/>
            <wp:effectExtent l="0" t="0" r="635" b="0"/>
            <wp:docPr id="1603149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4956" name="Imagen 1" descr="Texto&#10;&#10;El contenido generado por IA puede ser incorrecto."/>
                    <pic:cNvPicPr/>
                  </pic:nvPicPr>
                  <pic:blipFill>
                    <a:blip r:embed="rId19"/>
                    <a:stretch>
                      <a:fillRect/>
                    </a:stretch>
                  </pic:blipFill>
                  <pic:spPr>
                    <a:xfrm>
                      <a:off x="0" y="0"/>
                      <a:ext cx="3771429" cy="1400000"/>
                    </a:xfrm>
                    <a:prstGeom prst="rect">
                      <a:avLst/>
                    </a:prstGeom>
                  </pic:spPr>
                </pic:pic>
              </a:graphicData>
            </a:graphic>
          </wp:inline>
        </w:drawing>
      </w:r>
    </w:p>
    <w:p w14:paraId="0D52298A" w14:textId="4EC77603" w:rsidR="00261B7D" w:rsidRDefault="00261B7D" w:rsidP="00261B7D">
      <w:pPr>
        <w:spacing w:line="276" w:lineRule="auto"/>
        <w:jc w:val="center"/>
        <w:rPr>
          <w:rFonts w:ascii="Verdana" w:hAnsi="Verdana" w:cs="Arial"/>
          <w:color w:val="000000"/>
          <w:lang w:val="es-ES_tradnl" w:eastAsia="es-CO"/>
        </w:rPr>
      </w:pPr>
    </w:p>
    <w:p w14:paraId="47CB1ACD" w14:textId="2F88563A" w:rsidR="003538F5" w:rsidRPr="00593A5F" w:rsidRDefault="003538F5" w:rsidP="000C2089">
      <w:pPr>
        <w:spacing w:line="240" w:lineRule="auto"/>
        <w:rPr>
          <w:rFonts w:ascii="Verdana" w:hAnsi="Verdana" w:cs="Arial"/>
          <w:color w:val="000000"/>
          <w:lang w:val="es-ES_tradnl" w:eastAsia="es-CO"/>
        </w:rPr>
      </w:pPr>
    </w:p>
    <w:tbl>
      <w:tblPr>
        <w:tblStyle w:val="Tablaconcuadrcula"/>
        <w:tblW w:w="6521" w:type="dxa"/>
        <w:tblLook w:val="04A0" w:firstRow="1" w:lastRow="0" w:firstColumn="1" w:lastColumn="0" w:noHBand="0" w:noVBand="1"/>
      </w:tblPr>
      <w:tblGrid>
        <w:gridCol w:w="893"/>
        <w:gridCol w:w="5628"/>
      </w:tblGrid>
      <w:tr w:rsidR="00261B7D" w:rsidRPr="00D37EBD" w14:paraId="62B6BF0B" w14:textId="77777777" w:rsidTr="0031322D">
        <w:trPr>
          <w:trHeight w:val="315"/>
        </w:trPr>
        <w:tc>
          <w:tcPr>
            <w:tcW w:w="893" w:type="dxa"/>
            <w:tcBorders>
              <w:top w:val="nil"/>
              <w:left w:val="nil"/>
              <w:bottom w:val="nil"/>
              <w:right w:val="nil"/>
            </w:tcBorders>
            <w:vAlign w:val="center"/>
            <w:hideMark/>
          </w:tcPr>
          <w:p w14:paraId="24103BAC" w14:textId="77777777" w:rsidR="00261B7D" w:rsidRPr="00D37EBD" w:rsidRDefault="00261B7D" w:rsidP="000C2089">
            <w:pPr>
              <w:contextualSpacing/>
              <w:rPr>
                <w:rFonts w:ascii="Verdana" w:hAnsi="Verdana" w:cs="Arial"/>
                <w:sz w:val="16"/>
                <w:szCs w:val="16"/>
                <w:lang w:val="es-ES" w:eastAsia="es-ES"/>
              </w:rPr>
            </w:pPr>
            <w:r w:rsidRPr="00D37E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CDF33A" w14:textId="77777777" w:rsidR="00261B7D" w:rsidRPr="00D37EBD" w:rsidRDefault="00261B7D" w:rsidP="000C2089">
            <w:pPr>
              <w:contextualSpacing/>
              <w:rPr>
                <w:rStyle w:val="normaltextrun"/>
                <w:rFonts w:ascii="Verdana" w:eastAsia="Arial" w:hAnsi="Verdana" w:cs="Arial"/>
                <w:sz w:val="16"/>
                <w:szCs w:val="16"/>
              </w:rPr>
            </w:pPr>
            <w:r w:rsidRPr="00D37EBD">
              <w:rPr>
                <w:rStyle w:val="normaltextrun"/>
                <w:rFonts w:ascii="Verdana" w:eastAsia="Arial" w:hAnsi="Verdana" w:cs="Arial"/>
                <w:sz w:val="16"/>
                <w:szCs w:val="16"/>
              </w:rPr>
              <w:t>Andrea del Pilar Garzón Sánchez.</w:t>
            </w:r>
          </w:p>
          <w:p w14:paraId="00F8C553" w14:textId="77777777" w:rsidR="00261B7D" w:rsidRPr="00D37EBD" w:rsidRDefault="00261B7D" w:rsidP="000C2089">
            <w:pPr>
              <w:contextualSpacing/>
              <w:rPr>
                <w:rFonts w:ascii="Verdana" w:eastAsia="Arial" w:hAnsi="Verdana" w:cs="Arial"/>
                <w:color w:val="7030A0"/>
                <w:sz w:val="16"/>
                <w:szCs w:val="16"/>
              </w:rPr>
            </w:pPr>
            <w:r w:rsidRPr="00D37EBD">
              <w:rPr>
                <w:rStyle w:val="normaltextrun"/>
                <w:rFonts w:ascii="Verdana" w:eastAsia="Arial" w:hAnsi="Verdana" w:cs="Arial"/>
                <w:sz w:val="16"/>
                <w:szCs w:val="16"/>
              </w:rPr>
              <w:t>Contratista de la Subdirección de Gestión Contractual</w:t>
            </w:r>
          </w:p>
        </w:tc>
      </w:tr>
      <w:tr w:rsidR="00261B7D" w:rsidRPr="00D37EBD" w14:paraId="3834C6B4" w14:textId="77777777" w:rsidTr="0031322D">
        <w:trPr>
          <w:trHeight w:val="330"/>
        </w:trPr>
        <w:tc>
          <w:tcPr>
            <w:tcW w:w="893" w:type="dxa"/>
            <w:tcBorders>
              <w:top w:val="nil"/>
              <w:left w:val="nil"/>
              <w:bottom w:val="nil"/>
              <w:right w:val="nil"/>
            </w:tcBorders>
            <w:vAlign w:val="center"/>
            <w:hideMark/>
          </w:tcPr>
          <w:p w14:paraId="17CBE430" w14:textId="77777777" w:rsidR="00261B7D" w:rsidRPr="00D37EBD" w:rsidRDefault="00261B7D" w:rsidP="000C2089">
            <w:pPr>
              <w:contextualSpacing/>
              <w:rPr>
                <w:rFonts w:ascii="Verdana" w:hAnsi="Verdana" w:cs="Arial"/>
                <w:sz w:val="16"/>
                <w:szCs w:val="16"/>
                <w:lang w:val="es-ES" w:eastAsia="es-ES"/>
              </w:rPr>
            </w:pPr>
            <w:r w:rsidRPr="00D37E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FDC68E" w14:textId="79DB3D3E" w:rsidR="00261B7D" w:rsidRPr="00D37EBD" w:rsidRDefault="00261B7D" w:rsidP="000C2089">
            <w:pPr>
              <w:pStyle w:val="paragraph"/>
              <w:spacing w:before="0" w:beforeAutospacing="0" w:after="0" w:afterAutospacing="0"/>
              <w:contextualSpacing/>
              <w:textAlignment w:val="baseline"/>
              <w:rPr>
                <w:rStyle w:val="normaltextrun"/>
                <w:rFonts w:ascii="Verdana" w:eastAsiaTheme="minorHAnsi" w:hAnsi="Verdana" w:cs="Arial"/>
                <w:sz w:val="16"/>
                <w:szCs w:val="16"/>
                <w:lang w:val="es-ES" w:eastAsia="en-US"/>
              </w:rPr>
            </w:pPr>
            <w:r w:rsidRPr="00D37EBD">
              <w:rPr>
                <w:rStyle w:val="normaltextrun"/>
                <w:rFonts w:ascii="Verdana" w:hAnsi="Verdana" w:cs="Arial"/>
                <w:sz w:val="16"/>
                <w:szCs w:val="16"/>
                <w:lang w:val="es-ES"/>
              </w:rPr>
              <w:t>Diana Lucia Saavedra</w:t>
            </w:r>
          </w:p>
          <w:p w14:paraId="39B6E325" w14:textId="77777777" w:rsidR="00261B7D" w:rsidRPr="00D37EBD" w:rsidRDefault="00261B7D" w:rsidP="000C2089">
            <w:pPr>
              <w:pStyle w:val="paragraph"/>
              <w:spacing w:before="0" w:beforeAutospacing="0" w:after="0" w:afterAutospacing="0"/>
              <w:contextualSpacing/>
              <w:textAlignment w:val="baseline"/>
              <w:rPr>
                <w:rFonts w:ascii="Verdana" w:hAnsi="Verdana" w:cs="Segoe UI"/>
                <w:sz w:val="16"/>
                <w:szCs w:val="16"/>
              </w:rPr>
            </w:pPr>
            <w:r w:rsidRPr="00D37EBD">
              <w:rPr>
                <w:rStyle w:val="normaltextrun"/>
                <w:rFonts w:ascii="Verdana" w:hAnsi="Verdana" w:cs="Arial"/>
                <w:sz w:val="16"/>
                <w:szCs w:val="16"/>
                <w:lang w:val="es-ES"/>
              </w:rPr>
              <w:t>Contratista de la Subdirección de Gestión Contractual</w:t>
            </w:r>
            <w:r w:rsidRPr="00D37EBD">
              <w:rPr>
                <w:rStyle w:val="eop"/>
                <w:rFonts w:ascii="Verdana" w:hAnsi="Verdana" w:cs="Arial"/>
                <w:sz w:val="16"/>
                <w:szCs w:val="16"/>
              </w:rPr>
              <w:t> </w:t>
            </w:r>
          </w:p>
        </w:tc>
      </w:tr>
      <w:tr w:rsidR="00261B7D" w:rsidRPr="00D37EBD" w14:paraId="402AD335" w14:textId="77777777" w:rsidTr="0031322D">
        <w:trPr>
          <w:trHeight w:val="300"/>
        </w:trPr>
        <w:tc>
          <w:tcPr>
            <w:tcW w:w="893" w:type="dxa"/>
            <w:tcBorders>
              <w:top w:val="nil"/>
              <w:left w:val="nil"/>
              <w:bottom w:val="nil"/>
              <w:right w:val="nil"/>
            </w:tcBorders>
            <w:vAlign w:val="center"/>
          </w:tcPr>
          <w:p w14:paraId="5BB7AD13" w14:textId="77777777" w:rsidR="00261B7D" w:rsidRPr="00D37EBD" w:rsidRDefault="00261B7D" w:rsidP="000C2089">
            <w:pPr>
              <w:contextualSpacing/>
              <w:rPr>
                <w:rFonts w:ascii="Verdana" w:hAnsi="Verdana" w:cs="Arial"/>
                <w:sz w:val="16"/>
                <w:szCs w:val="16"/>
                <w:lang w:val="es-ES" w:eastAsia="es-ES"/>
              </w:rPr>
            </w:pPr>
            <w:r w:rsidRPr="00D37E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7788E5" w14:textId="77777777" w:rsidR="00261B7D" w:rsidRPr="00D37EBD" w:rsidRDefault="00261B7D" w:rsidP="000C2089">
            <w:pPr>
              <w:contextualSpacing/>
              <w:rPr>
                <w:rFonts w:ascii="Verdana" w:eastAsia="Calibri" w:hAnsi="Verdana" w:cs="Arial"/>
                <w:sz w:val="16"/>
                <w:szCs w:val="16"/>
                <w:lang w:val="pt-BR" w:eastAsia="es-ES"/>
              </w:rPr>
            </w:pPr>
            <w:r w:rsidRPr="00D37EBD">
              <w:rPr>
                <w:rFonts w:ascii="Verdana" w:eastAsia="Calibri" w:hAnsi="Verdana" w:cs="Arial"/>
                <w:sz w:val="16"/>
                <w:szCs w:val="16"/>
                <w:lang w:val="pt-BR" w:eastAsia="es-ES"/>
              </w:rPr>
              <w:t>Carolina Quintero Gacharná</w:t>
            </w:r>
          </w:p>
          <w:p w14:paraId="74CB8E9B" w14:textId="77777777" w:rsidR="00261B7D" w:rsidRPr="00D37EBD" w:rsidRDefault="00261B7D" w:rsidP="000C2089">
            <w:pPr>
              <w:contextualSpacing/>
              <w:rPr>
                <w:rFonts w:ascii="Verdana" w:eastAsia="Calibri" w:hAnsi="Verdana" w:cs="Arial"/>
                <w:sz w:val="16"/>
                <w:szCs w:val="16"/>
                <w:lang w:val="pt-BR" w:eastAsia="es-ES"/>
              </w:rPr>
            </w:pPr>
            <w:r w:rsidRPr="00D37EBD">
              <w:rPr>
                <w:rFonts w:ascii="Verdana" w:eastAsia="Calibri" w:hAnsi="Verdana" w:cs="Arial"/>
                <w:sz w:val="16"/>
                <w:szCs w:val="16"/>
                <w:lang w:eastAsia="es-ES"/>
              </w:rPr>
              <w:t>Subdirectora</w:t>
            </w:r>
            <w:r w:rsidRPr="00D37EBD">
              <w:rPr>
                <w:rFonts w:ascii="Verdana" w:eastAsia="Calibri" w:hAnsi="Verdana" w:cs="Arial"/>
                <w:sz w:val="16"/>
                <w:szCs w:val="16"/>
                <w:lang w:val="pt-BR" w:eastAsia="es-ES"/>
              </w:rPr>
              <w:t xml:space="preserve"> de Gestión Contractual ANCP – CCE</w:t>
            </w:r>
          </w:p>
        </w:tc>
      </w:tr>
    </w:tbl>
    <w:p w14:paraId="45F57EAE" w14:textId="77777777" w:rsidR="00261B7D" w:rsidRPr="00593A5F" w:rsidRDefault="00261B7D" w:rsidP="00261B7D">
      <w:pPr>
        <w:spacing w:after="0" w:line="240" w:lineRule="auto"/>
        <w:rPr>
          <w:rFonts w:ascii="Verdana" w:eastAsia="Times New Roman" w:hAnsi="Verdana" w:cs="Arial"/>
          <w:sz w:val="24"/>
          <w:szCs w:val="24"/>
          <w:lang w:eastAsia="es-ES"/>
        </w:rPr>
      </w:pPr>
    </w:p>
    <w:p w14:paraId="7609BEA9" w14:textId="77777777" w:rsidR="00261B7D" w:rsidRPr="00871B59" w:rsidRDefault="00261B7D" w:rsidP="00261B7D"/>
    <w:p w14:paraId="12443EE0" w14:textId="77777777" w:rsidR="00C15139" w:rsidRDefault="00C15139" w:rsidP="30821638">
      <w:pPr>
        <w:spacing w:after="0"/>
        <w:rPr>
          <w:rFonts w:ascii="Verdana" w:eastAsia="Verdana" w:hAnsi="Verdana" w:cs="Verdana"/>
        </w:rPr>
      </w:pPr>
    </w:p>
    <w:p w14:paraId="3016C8AA" w14:textId="77777777" w:rsidR="009675F3" w:rsidRDefault="009675F3" w:rsidP="30821638">
      <w:pPr>
        <w:spacing w:after="0"/>
        <w:rPr>
          <w:rFonts w:ascii="Verdana" w:eastAsia="Verdana" w:hAnsi="Verdana" w:cs="Verdana"/>
        </w:rPr>
      </w:pPr>
    </w:p>
    <w:p w14:paraId="73D8CF28" w14:textId="77777777" w:rsidR="009675F3" w:rsidRDefault="009675F3" w:rsidP="30821638">
      <w:pPr>
        <w:spacing w:after="0"/>
        <w:rPr>
          <w:rFonts w:ascii="Verdana" w:eastAsia="Verdana" w:hAnsi="Verdana" w:cs="Verdana"/>
        </w:rPr>
      </w:pPr>
    </w:p>
    <w:p w14:paraId="38555C1E" w14:textId="77777777" w:rsidR="009675F3" w:rsidRDefault="009675F3" w:rsidP="30821638">
      <w:pPr>
        <w:spacing w:after="0"/>
        <w:rPr>
          <w:rFonts w:ascii="Verdana" w:eastAsia="Verdana" w:hAnsi="Verdana" w:cs="Verdana"/>
        </w:rPr>
      </w:pPr>
    </w:p>
    <w:p w14:paraId="63BA2365" w14:textId="77777777" w:rsidR="009675F3" w:rsidRDefault="009675F3" w:rsidP="30821638">
      <w:pPr>
        <w:spacing w:after="0"/>
        <w:rPr>
          <w:rFonts w:ascii="Verdana" w:eastAsia="Verdana" w:hAnsi="Verdana" w:cs="Verdana"/>
        </w:rPr>
      </w:pPr>
    </w:p>
    <w:p w14:paraId="760E67C4" w14:textId="77777777" w:rsidR="009675F3" w:rsidRDefault="009675F3" w:rsidP="30821638">
      <w:pPr>
        <w:spacing w:after="0"/>
        <w:rPr>
          <w:rFonts w:ascii="Verdana" w:eastAsia="Verdana" w:hAnsi="Verdana" w:cs="Verdana"/>
        </w:rPr>
      </w:pPr>
    </w:p>
    <w:bookmarkEnd w:id="0"/>
    <w:p w14:paraId="69BC4D14" w14:textId="64762E7D"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1073E" w14:textId="77777777" w:rsidR="00453E99" w:rsidRDefault="00453E99" w:rsidP="004A1847">
      <w:pPr>
        <w:spacing w:after="0" w:line="240" w:lineRule="auto"/>
      </w:pPr>
      <w:r>
        <w:separator/>
      </w:r>
    </w:p>
  </w:endnote>
  <w:endnote w:type="continuationSeparator" w:id="0">
    <w:p w14:paraId="7D73FA1B" w14:textId="77777777" w:rsidR="00453E99" w:rsidRDefault="00453E9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05B57" w14:textId="77777777" w:rsidR="00453E99" w:rsidRDefault="00453E99" w:rsidP="004A1847">
      <w:pPr>
        <w:spacing w:after="0" w:line="240" w:lineRule="auto"/>
      </w:pPr>
      <w:r>
        <w:separator/>
      </w:r>
    </w:p>
  </w:footnote>
  <w:footnote w:type="continuationSeparator" w:id="0">
    <w:p w14:paraId="37CECFFF" w14:textId="77777777" w:rsidR="00453E99" w:rsidRDefault="00453E99" w:rsidP="004A1847">
      <w:pPr>
        <w:spacing w:after="0" w:line="240" w:lineRule="auto"/>
      </w:pPr>
      <w:r>
        <w:continuationSeparator/>
      </w:r>
    </w:p>
  </w:footnote>
  <w:footnote w:id="1">
    <w:p w14:paraId="672E523A"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7156744" w14:textId="77777777" w:rsidR="00261B7D" w:rsidRPr="000C2089" w:rsidRDefault="00261B7D" w:rsidP="00261B7D">
      <w:pPr>
        <w:pStyle w:val="Textonotapie"/>
        <w:ind w:firstLine="709"/>
        <w:jc w:val="both"/>
        <w:rPr>
          <w:rFonts w:ascii="Verdana" w:hAnsi="Verdana" w:cs="Arial"/>
          <w:sz w:val="16"/>
          <w:szCs w:val="16"/>
        </w:rPr>
      </w:pPr>
      <w:r w:rsidRPr="000C208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B2780A3" w14:textId="77777777" w:rsidR="00261B7D" w:rsidRPr="000C2089" w:rsidRDefault="00261B7D" w:rsidP="00261B7D">
      <w:pPr>
        <w:pStyle w:val="Textonotapie"/>
        <w:ind w:firstLine="709"/>
        <w:jc w:val="both"/>
        <w:rPr>
          <w:rFonts w:ascii="Verdana" w:hAnsi="Verdana" w:cs="Arial"/>
          <w:sz w:val="16"/>
          <w:szCs w:val="16"/>
        </w:rPr>
      </w:pPr>
    </w:p>
  </w:footnote>
  <w:footnote w:id="2">
    <w:p w14:paraId="057E941B"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Gaceta del Congreso de la República No. 71 del 2005.</w:t>
      </w:r>
    </w:p>
    <w:p w14:paraId="64048DB3" w14:textId="77777777" w:rsidR="00261B7D" w:rsidRPr="000C2089" w:rsidRDefault="00261B7D" w:rsidP="00261B7D">
      <w:pPr>
        <w:pStyle w:val="Textonotapie"/>
        <w:ind w:firstLine="709"/>
        <w:jc w:val="both"/>
        <w:rPr>
          <w:rFonts w:ascii="Verdana" w:hAnsi="Verdana" w:cs="Arial"/>
          <w:sz w:val="16"/>
          <w:szCs w:val="16"/>
        </w:rPr>
      </w:pPr>
    </w:p>
  </w:footnote>
  <w:footnote w:id="3">
    <w:p w14:paraId="1DBCE738" w14:textId="77777777" w:rsidR="00261B7D" w:rsidRPr="000C2089" w:rsidRDefault="00261B7D" w:rsidP="00261B7D">
      <w:pPr>
        <w:pStyle w:val="Textonotapie"/>
        <w:tabs>
          <w:tab w:val="left" w:pos="8145"/>
        </w:tabs>
        <w:ind w:firstLine="709"/>
        <w:jc w:val="both"/>
        <w:rPr>
          <w:rFonts w:ascii="Verdana" w:hAnsi="Verdana" w:cs="Arial"/>
          <w:sz w:val="16"/>
          <w:szCs w:val="16"/>
          <w:lang w:val="pt-PT"/>
        </w:rPr>
      </w:pPr>
      <w:r w:rsidRPr="000C2089">
        <w:rPr>
          <w:rStyle w:val="Refdenotaalpie"/>
          <w:rFonts w:ascii="Verdana" w:hAnsi="Verdana" w:cs="Arial"/>
          <w:sz w:val="16"/>
          <w:szCs w:val="16"/>
        </w:rPr>
        <w:footnoteRef/>
      </w:r>
      <w:r w:rsidRPr="000C2089">
        <w:rPr>
          <w:rFonts w:ascii="Verdana" w:hAnsi="Verdana" w:cs="Arial"/>
          <w:sz w:val="16"/>
          <w:szCs w:val="16"/>
          <w:lang w:val="pt-PT"/>
        </w:rPr>
        <w:t xml:space="preserve"> Corte Constitucional. Sentencia C- 1153 de 2005, M.P: Marco Gerardo Monroy Cabra.</w:t>
      </w:r>
      <w:r w:rsidRPr="000C2089">
        <w:rPr>
          <w:rFonts w:ascii="Verdana" w:hAnsi="Verdana" w:cs="Arial"/>
          <w:sz w:val="16"/>
          <w:szCs w:val="16"/>
          <w:lang w:val="pt-PT"/>
        </w:rPr>
        <w:tab/>
      </w:r>
    </w:p>
    <w:p w14:paraId="72FF04FD" w14:textId="77777777" w:rsidR="00261B7D" w:rsidRPr="000C2089" w:rsidRDefault="00261B7D" w:rsidP="00261B7D">
      <w:pPr>
        <w:pStyle w:val="Textonotapie"/>
        <w:tabs>
          <w:tab w:val="left" w:pos="8145"/>
        </w:tabs>
        <w:ind w:firstLine="709"/>
        <w:jc w:val="both"/>
        <w:rPr>
          <w:rFonts w:ascii="Verdana" w:hAnsi="Verdana" w:cs="Arial"/>
          <w:sz w:val="16"/>
          <w:szCs w:val="16"/>
          <w:lang w:val="pt-PT"/>
        </w:rPr>
      </w:pPr>
    </w:p>
  </w:footnote>
  <w:footnote w:id="4">
    <w:p w14:paraId="3C6F6036" w14:textId="77777777" w:rsidR="00261B7D" w:rsidRPr="000C2089" w:rsidRDefault="00261B7D" w:rsidP="00261B7D">
      <w:pPr>
        <w:pStyle w:val="Textonotapie"/>
        <w:ind w:firstLine="709"/>
        <w:jc w:val="both"/>
        <w:rPr>
          <w:rFonts w:ascii="Verdana" w:hAnsi="Verdana" w:cs="Arial"/>
          <w:sz w:val="16"/>
          <w:szCs w:val="16"/>
          <w:lang w:val="pt-PT"/>
        </w:rPr>
      </w:pPr>
      <w:r w:rsidRPr="000C2089">
        <w:rPr>
          <w:rStyle w:val="Refdenotaalpie"/>
          <w:rFonts w:ascii="Verdana" w:hAnsi="Verdana" w:cs="Arial"/>
          <w:sz w:val="16"/>
          <w:szCs w:val="16"/>
        </w:rPr>
        <w:footnoteRef/>
      </w:r>
      <w:r w:rsidRPr="000C2089">
        <w:rPr>
          <w:rFonts w:ascii="Verdana" w:hAnsi="Verdana" w:cs="Arial"/>
          <w:sz w:val="16"/>
          <w:szCs w:val="16"/>
          <w:lang w:val="pt-PT"/>
        </w:rPr>
        <w:t xml:space="preserve"> </w:t>
      </w:r>
      <w:r w:rsidRPr="000C2089">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17CACCAA" w14:textId="77777777" w:rsidR="00261B7D" w:rsidRPr="000C2089" w:rsidRDefault="00261B7D" w:rsidP="00261B7D">
      <w:pPr>
        <w:pStyle w:val="Textonotapie"/>
        <w:ind w:firstLine="709"/>
        <w:jc w:val="both"/>
        <w:rPr>
          <w:rFonts w:ascii="Verdana" w:hAnsi="Verdana" w:cs="Arial"/>
          <w:sz w:val="16"/>
          <w:szCs w:val="16"/>
          <w:lang w:val="pt-PT"/>
        </w:rPr>
      </w:pPr>
    </w:p>
  </w:footnote>
  <w:footnote w:id="5">
    <w:p w14:paraId="5A1A4F74" w14:textId="77777777" w:rsidR="00261B7D" w:rsidRPr="000C2089" w:rsidRDefault="00261B7D" w:rsidP="00261B7D">
      <w:pPr>
        <w:pStyle w:val="Textonotapie"/>
        <w:ind w:firstLine="709"/>
        <w:jc w:val="both"/>
        <w:rPr>
          <w:rFonts w:ascii="Verdana" w:hAnsi="Verdana" w:cs="Arial"/>
          <w:sz w:val="16"/>
          <w:szCs w:val="16"/>
          <w:lang w:val="es-CO"/>
        </w:rPr>
      </w:pPr>
      <w:r w:rsidRPr="000C2089">
        <w:rPr>
          <w:rStyle w:val="Refdenotaalpie"/>
          <w:rFonts w:ascii="Verdana" w:hAnsi="Verdana" w:cs="Arial"/>
          <w:sz w:val="16"/>
          <w:szCs w:val="16"/>
        </w:rPr>
        <w:footnoteRef/>
      </w:r>
      <w:r w:rsidRPr="000C2089">
        <w:rPr>
          <w:rFonts w:ascii="Verdana" w:hAnsi="Verdana" w:cs="Arial"/>
          <w:sz w:val="16"/>
          <w:szCs w:val="16"/>
          <w:lang w:val="es-CO"/>
        </w:rPr>
        <w:t xml:space="preserve"> Consejo de Estado. Sala de lo Contencioso Administrativo. Sección Primera. Sentencia de 3 de marzo de 2005. Radicado: </w:t>
      </w:r>
      <w:r w:rsidRPr="000C2089">
        <w:rPr>
          <w:rFonts w:ascii="Verdana" w:hAnsi="Verdana" w:cs="Arial"/>
          <w:sz w:val="16"/>
          <w:szCs w:val="16"/>
          <w:lang w:val="es-ES"/>
        </w:rPr>
        <w:t xml:space="preserve">25001-23-15-000-2004-00823-01 (PI). </w:t>
      </w:r>
      <w:r w:rsidRPr="000C2089">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3E66E9BC" w14:textId="77777777" w:rsidR="00261B7D" w:rsidRPr="000C2089" w:rsidRDefault="00261B7D" w:rsidP="00261B7D">
      <w:pPr>
        <w:pStyle w:val="Textonotapie"/>
        <w:ind w:firstLine="709"/>
        <w:jc w:val="both"/>
        <w:rPr>
          <w:rFonts w:ascii="Verdana" w:hAnsi="Verdana" w:cs="Arial"/>
          <w:sz w:val="16"/>
          <w:szCs w:val="16"/>
          <w:lang w:val="es-CO"/>
        </w:rPr>
      </w:pPr>
    </w:p>
  </w:footnote>
  <w:footnote w:id="6">
    <w:p w14:paraId="0D21ADE9"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24 de julio de 2013. Radicado: </w:t>
      </w:r>
      <w:r w:rsidRPr="000C2089">
        <w:rPr>
          <w:rFonts w:ascii="Verdana" w:hAnsi="Verdana" w:cs="Arial"/>
          <w:sz w:val="16"/>
          <w:szCs w:val="16"/>
          <w:lang w:val="es-CO"/>
        </w:rPr>
        <w:t xml:space="preserve">11001-03-06-000-2013-00407-00 </w:t>
      </w:r>
      <w:r w:rsidRPr="000C2089">
        <w:rPr>
          <w:rFonts w:ascii="Verdana" w:hAnsi="Verdana" w:cs="Arial"/>
          <w:sz w:val="16"/>
          <w:szCs w:val="16"/>
        </w:rPr>
        <w:t xml:space="preserve">(2166). C.P. Álvaro Namén Vargas.  </w:t>
      </w:r>
    </w:p>
    <w:p w14:paraId="60198A9A" w14:textId="77777777" w:rsidR="00261B7D" w:rsidRPr="000C2089" w:rsidRDefault="00261B7D" w:rsidP="00261B7D">
      <w:pPr>
        <w:pStyle w:val="Textonotapie"/>
        <w:ind w:firstLine="709"/>
        <w:jc w:val="both"/>
        <w:rPr>
          <w:rFonts w:ascii="Verdana" w:hAnsi="Verdana" w:cs="Arial"/>
          <w:sz w:val="16"/>
          <w:szCs w:val="16"/>
        </w:rPr>
      </w:pPr>
    </w:p>
  </w:footnote>
  <w:footnote w:id="7">
    <w:p w14:paraId="4EE7104F" w14:textId="77777777" w:rsidR="00261B7D" w:rsidRPr="000C2089" w:rsidRDefault="00261B7D" w:rsidP="00261B7D">
      <w:pPr>
        <w:spacing w:after="0" w:line="240" w:lineRule="auto"/>
        <w:ind w:firstLine="709"/>
        <w:jc w:val="both"/>
        <w:rPr>
          <w:rFonts w:ascii="Verdana" w:eastAsia="Times New Roman"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bookmarkStart w:id="6" w:name="33"/>
      <w:r w:rsidRPr="000C2089">
        <w:rPr>
          <w:rFonts w:ascii="Verdana" w:eastAsia="Calibri" w:hAnsi="Verdana" w:cs="Arial"/>
          <w:color w:val="000000"/>
          <w:sz w:val="16"/>
          <w:szCs w:val="16"/>
        </w:rPr>
        <w:t>“</w:t>
      </w:r>
      <w:r w:rsidRPr="000C2089">
        <w:rPr>
          <w:rFonts w:ascii="Verdana" w:eastAsia="Times New Roman" w:hAnsi="Verdana" w:cs="Arial"/>
          <w:sz w:val="16"/>
          <w:szCs w:val="16"/>
        </w:rPr>
        <w:t>Artículo 33. Restricciones a la contratación pública.</w:t>
      </w:r>
      <w:bookmarkEnd w:id="6"/>
      <w:r w:rsidRPr="000C2089">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16982CA" w14:textId="77777777" w:rsidR="00261B7D" w:rsidRPr="000C2089" w:rsidRDefault="00261B7D" w:rsidP="00261B7D">
      <w:pPr>
        <w:spacing w:after="0" w:line="240" w:lineRule="auto"/>
        <w:ind w:firstLine="709"/>
        <w:jc w:val="both"/>
        <w:rPr>
          <w:rFonts w:ascii="Verdana" w:eastAsia="Times New Roman" w:hAnsi="Verdana" w:cs="Arial"/>
          <w:sz w:val="16"/>
          <w:szCs w:val="16"/>
        </w:rPr>
      </w:pPr>
      <w:r w:rsidRPr="000C208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7CB3BED" w14:textId="77777777" w:rsidR="00261B7D" w:rsidRPr="000C2089" w:rsidRDefault="00261B7D" w:rsidP="00261B7D">
      <w:pPr>
        <w:spacing w:after="0" w:line="240" w:lineRule="auto"/>
        <w:ind w:firstLine="709"/>
        <w:jc w:val="both"/>
        <w:rPr>
          <w:rFonts w:ascii="Verdana" w:eastAsia="Times New Roman" w:hAnsi="Verdana" w:cs="Arial"/>
          <w:sz w:val="16"/>
          <w:szCs w:val="16"/>
        </w:rPr>
      </w:pPr>
    </w:p>
  </w:footnote>
  <w:footnote w:id="8">
    <w:p w14:paraId="6AC6C3F1" w14:textId="77777777" w:rsidR="00261B7D" w:rsidRPr="000C2089" w:rsidRDefault="00261B7D" w:rsidP="000C2089">
      <w:pPr>
        <w:pStyle w:val="NormalWeb"/>
        <w:spacing w:before="0" w:beforeAutospacing="0" w:after="0" w:afterAutospacing="0"/>
        <w:ind w:firstLine="709"/>
        <w:jc w:val="both"/>
        <w:rPr>
          <w:rFonts w:ascii="Verdana" w:hAnsi="Verdana" w:cs="Arial"/>
          <w:sz w:val="16"/>
          <w:szCs w:val="16"/>
          <w:lang w:val="es-MX"/>
        </w:rPr>
      </w:pPr>
      <w:r w:rsidRPr="000C2089">
        <w:rPr>
          <w:rStyle w:val="Refdenotaalpie"/>
          <w:rFonts w:ascii="Verdana" w:eastAsiaTheme="majorEastAsia" w:hAnsi="Verdana" w:cs="Arial"/>
          <w:sz w:val="16"/>
          <w:szCs w:val="16"/>
        </w:rPr>
        <w:footnoteRef/>
      </w:r>
      <w:r w:rsidRPr="000C2089">
        <w:rPr>
          <w:rFonts w:ascii="Verdana" w:hAnsi="Verdana" w:cs="Arial"/>
          <w:sz w:val="16"/>
          <w:szCs w:val="16"/>
        </w:rPr>
        <w:t xml:space="preserve"> </w:t>
      </w:r>
      <w:bookmarkStart w:id="7" w:name="38"/>
      <w:r w:rsidRPr="000C2089">
        <w:rPr>
          <w:rFonts w:ascii="Verdana" w:eastAsia="Calibri" w:hAnsi="Verdana" w:cs="Arial"/>
          <w:color w:val="000000"/>
          <w:sz w:val="16"/>
          <w:szCs w:val="16"/>
        </w:rPr>
        <w:t>“</w:t>
      </w:r>
      <w:r w:rsidRPr="000C2089">
        <w:rPr>
          <w:rFonts w:ascii="Verdana" w:hAnsi="Verdana" w:cs="Arial"/>
          <w:sz w:val="16"/>
          <w:szCs w:val="16"/>
          <w:lang w:val="es-MX"/>
        </w:rPr>
        <w:t>Artículo 38. Prohibiciones para los servidores públicos. A los empleados del Estado les está prohibido:</w:t>
      </w:r>
      <w:bookmarkEnd w:id="7"/>
    </w:p>
    <w:p w14:paraId="6657F460" w14:textId="77777777" w:rsidR="00261B7D" w:rsidRPr="000C2089" w:rsidRDefault="00261B7D" w:rsidP="000C2089">
      <w:pPr>
        <w:pStyle w:val="NormalWeb"/>
        <w:spacing w:before="0" w:beforeAutospacing="0" w:after="0" w:afterAutospacing="0"/>
        <w:ind w:firstLine="709"/>
        <w:jc w:val="both"/>
        <w:rPr>
          <w:rFonts w:ascii="Verdana" w:hAnsi="Verdana" w:cs="Arial"/>
          <w:sz w:val="16"/>
          <w:szCs w:val="16"/>
          <w:lang w:val="es-MX"/>
        </w:rPr>
      </w:pPr>
      <w:r w:rsidRPr="000C2089">
        <w:rPr>
          <w:rFonts w:ascii="Verdana" w:hAnsi="Verdana" w:cs="Arial"/>
          <w:sz w:val="16"/>
          <w:szCs w:val="16"/>
          <w:lang w:val="es-MX"/>
        </w:rPr>
        <w:t>(…)</w:t>
      </w:r>
    </w:p>
    <w:p w14:paraId="5747026E" w14:textId="77777777" w:rsidR="00261B7D" w:rsidRPr="000C2089" w:rsidRDefault="00261B7D" w:rsidP="000C2089">
      <w:pPr>
        <w:pStyle w:val="NormalWeb"/>
        <w:spacing w:before="0" w:beforeAutospacing="0" w:after="0" w:afterAutospacing="0"/>
        <w:ind w:firstLine="709"/>
        <w:jc w:val="both"/>
        <w:rPr>
          <w:rFonts w:ascii="Verdana" w:eastAsia="Calibri" w:hAnsi="Verdana" w:cs="Arial"/>
          <w:color w:val="000000"/>
          <w:sz w:val="16"/>
          <w:szCs w:val="16"/>
        </w:rPr>
      </w:pPr>
      <w:r w:rsidRPr="000C2089">
        <w:rPr>
          <w:rStyle w:val="baj"/>
          <w:rFonts w:ascii="Verdana" w:hAnsi="Verdana" w:cs="Arial"/>
          <w:sz w:val="16"/>
          <w:szCs w:val="16"/>
          <w:lang w:val="es-MX"/>
        </w:rPr>
        <w:t>Parágrafo.</w:t>
      </w:r>
      <w:r w:rsidRPr="000C208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C2089">
        <w:rPr>
          <w:rFonts w:ascii="Verdana" w:eastAsia="Calibri" w:hAnsi="Verdana" w:cs="Arial"/>
          <w:color w:val="000000"/>
          <w:sz w:val="16"/>
          <w:szCs w:val="16"/>
        </w:rPr>
        <w:t>”.</w:t>
      </w:r>
    </w:p>
    <w:p w14:paraId="5A3523F4" w14:textId="77777777" w:rsidR="00261B7D" w:rsidRPr="000C2089" w:rsidRDefault="00261B7D" w:rsidP="000C2089">
      <w:pPr>
        <w:pStyle w:val="NormalWeb"/>
        <w:spacing w:before="0" w:beforeAutospacing="0" w:after="0" w:afterAutospacing="0"/>
        <w:ind w:firstLine="709"/>
        <w:jc w:val="both"/>
        <w:rPr>
          <w:rFonts w:ascii="Verdana" w:hAnsi="Verdana" w:cs="Arial"/>
          <w:sz w:val="16"/>
          <w:szCs w:val="16"/>
          <w:lang w:val="es-MX"/>
        </w:rPr>
      </w:pPr>
    </w:p>
  </w:footnote>
  <w:footnote w:id="9">
    <w:p w14:paraId="155BA4A6" w14:textId="77777777" w:rsidR="001A26D6" w:rsidRPr="0045744A" w:rsidRDefault="001A26D6" w:rsidP="00944391">
      <w:pPr>
        <w:tabs>
          <w:tab w:val="left" w:pos="2127"/>
        </w:tabs>
        <w:spacing w:after="0" w:line="240" w:lineRule="auto"/>
        <w:ind w:left="100" w:right="244" w:firstLine="709"/>
        <w:jc w:val="both"/>
        <w:rPr>
          <w:rFonts w:ascii="Verdana" w:hAnsi="Verdana" w:cs="Arial"/>
          <w:sz w:val="16"/>
          <w:szCs w:val="16"/>
        </w:rPr>
      </w:pPr>
      <w:r w:rsidRPr="00944391">
        <w:rPr>
          <w:rStyle w:val="Refdenotaalpie"/>
          <w:rFonts w:ascii="Verdana" w:hAnsi="Verdana" w:cs="Arial"/>
          <w:sz w:val="16"/>
          <w:szCs w:val="16"/>
        </w:rPr>
        <w:footnoteRef/>
      </w:r>
      <w:r w:rsidRPr="00944391">
        <w:rPr>
          <w:rFonts w:ascii="Verdana" w:hAnsi="Verdana" w:cs="Arial"/>
          <w:sz w:val="16"/>
          <w:szCs w:val="16"/>
        </w:rPr>
        <w:t xml:space="preserve"> Consejo de Estado. Sala de Consulta y Servicio Civil. Concepto del 17 de febrero de 2015. Radicado: 11001-03-06-000-2015-00164-00 (2269). C.P. William Zambrano Cetina.</w:t>
      </w:r>
    </w:p>
    <w:p w14:paraId="77C82FCB" w14:textId="77777777" w:rsidR="001A26D6" w:rsidRPr="0045744A" w:rsidRDefault="001A26D6" w:rsidP="0045744A">
      <w:pPr>
        <w:spacing w:after="0" w:line="240" w:lineRule="auto"/>
        <w:ind w:left="100" w:right="244" w:firstLine="709"/>
        <w:jc w:val="both"/>
        <w:rPr>
          <w:rFonts w:ascii="Verdana" w:hAnsi="Verdana" w:cs="Arial"/>
          <w:sz w:val="16"/>
          <w:szCs w:val="16"/>
          <w:lang w:val="es-ES"/>
        </w:rPr>
      </w:pPr>
    </w:p>
  </w:footnote>
  <w:footnote w:id="10">
    <w:p w14:paraId="43B13A5B" w14:textId="0B2AB5D3" w:rsidR="00261B7D" w:rsidRPr="000C2089" w:rsidRDefault="00261B7D" w:rsidP="00261B7D">
      <w:pPr>
        <w:pStyle w:val="Textonotapie"/>
        <w:ind w:firstLine="708"/>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00944391">
        <w:rPr>
          <w:rFonts w:ascii="Verdana" w:hAnsi="Verdana" w:cs="Arial"/>
          <w:sz w:val="16"/>
          <w:szCs w:val="16"/>
        </w:rPr>
        <w:t>Agencia Nacional de Contratación Pública -</w:t>
      </w:r>
      <w:r>
        <w:rPr>
          <w:rFonts w:ascii="Verdana" w:hAnsi="Verdana" w:cs="Arial"/>
          <w:sz w:val="16"/>
          <w:szCs w:val="16"/>
        </w:rPr>
        <w:t xml:space="preserve"> </w:t>
      </w:r>
      <w:r w:rsidRPr="000C2089">
        <w:rPr>
          <w:rFonts w:ascii="Verdana" w:hAnsi="Verdana" w:cs="Arial"/>
          <w:sz w:val="16"/>
          <w:szCs w:val="16"/>
        </w:rPr>
        <w:t xml:space="preserve">Colombia Compra Eficiente. Circular Externa Única. Numeral 16.5. </w:t>
      </w:r>
    </w:p>
  </w:footnote>
  <w:footnote w:id="11">
    <w:p w14:paraId="2E23FE53"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Pr="000C2089">
        <w:rPr>
          <w:rFonts w:ascii="Verdana" w:hAnsi="Verdana" w:cs="Arial"/>
          <w:sz w:val="16"/>
          <w:szCs w:val="16"/>
          <w:lang w:val="es-ES"/>
        </w:rPr>
        <w:t xml:space="preserve">[25] </w:t>
      </w:r>
      <w:r w:rsidRPr="000C2089">
        <w:rPr>
          <w:rFonts w:ascii="Verdana" w:hAnsi="Verdana" w:cs="Arial"/>
          <w:sz w:val="16"/>
          <w:szCs w:val="16"/>
        </w:rPr>
        <w:t>Cfr. Consejo de Estado. Sección Tercera. Sentencia de 3 de diciembre de 2007. Radicados: 24.715, 25.206, 25.409, 24.524, 27.834, 25.410, 26.105, 28.244, 31.447 -acumulados-“.</w:t>
      </w:r>
    </w:p>
    <w:p w14:paraId="35E07B20" w14:textId="77777777" w:rsidR="00261B7D" w:rsidRPr="000C2089" w:rsidRDefault="00261B7D" w:rsidP="00261B7D">
      <w:pPr>
        <w:pStyle w:val="Textonotapie"/>
        <w:ind w:firstLine="709"/>
        <w:jc w:val="both"/>
        <w:rPr>
          <w:rFonts w:ascii="Verdana" w:hAnsi="Verdana" w:cs="Arial"/>
          <w:sz w:val="16"/>
          <w:szCs w:val="16"/>
        </w:rPr>
      </w:pPr>
    </w:p>
  </w:footnote>
  <w:footnote w:id="12">
    <w:p w14:paraId="7FE048F5"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bookmarkStart w:id="10" w:name="_Hlk74294506"/>
      <w:r w:rsidRPr="000C2089">
        <w:rPr>
          <w:rFonts w:ascii="Verdana" w:hAnsi="Verdana" w:cs="Arial"/>
          <w:sz w:val="16"/>
          <w:szCs w:val="16"/>
        </w:rPr>
        <w:t>“</w:t>
      </w:r>
      <w:r w:rsidRPr="000C2089">
        <w:rPr>
          <w:rFonts w:ascii="Verdana" w:hAnsi="Verdana" w:cs="Arial"/>
          <w:sz w:val="16"/>
          <w:szCs w:val="16"/>
          <w:lang w:val="es-ES"/>
        </w:rPr>
        <w:t xml:space="preserve">[26] </w:t>
      </w:r>
      <w:bookmarkEnd w:id="10"/>
      <w:r w:rsidRPr="000C2089">
        <w:rPr>
          <w:rFonts w:ascii="Verdana" w:hAnsi="Verdana" w:cs="Arial"/>
          <w:sz w:val="16"/>
          <w:szCs w:val="16"/>
        </w:rPr>
        <w:t>Al respecto ver el concepto 1712 de 2 de febrero de 2006. Consejo de Estado Sala de Consulta y Servicio Civil”.</w:t>
      </w:r>
    </w:p>
    <w:p w14:paraId="5A5BEECA" w14:textId="77777777" w:rsidR="00261B7D" w:rsidRPr="000C2089" w:rsidRDefault="00261B7D" w:rsidP="00261B7D">
      <w:pPr>
        <w:pStyle w:val="Textonotapie"/>
        <w:ind w:firstLine="709"/>
        <w:jc w:val="both"/>
        <w:rPr>
          <w:rFonts w:ascii="Verdana" w:hAnsi="Verdana" w:cs="Arial"/>
          <w:sz w:val="16"/>
          <w:szCs w:val="16"/>
        </w:rPr>
      </w:pPr>
    </w:p>
  </w:footnote>
  <w:footnote w:id="13">
    <w:p w14:paraId="13E4AB1B"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4684D79E" w14:textId="77777777" w:rsidR="00261B7D" w:rsidRPr="000C2089" w:rsidRDefault="00261B7D" w:rsidP="00261B7D">
      <w:pPr>
        <w:pStyle w:val="Textonotapie"/>
        <w:ind w:firstLine="709"/>
        <w:jc w:val="both"/>
        <w:rPr>
          <w:rFonts w:ascii="Verdana" w:hAnsi="Verdana" w:cs="Arial"/>
          <w:sz w:val="16"/>
          <w:szCs w:val="16"/>
        </w:rPr>
      </w:pPr>
    </w:p>
  </w:footnote>
  <w:footnote w:id="14">
    <w:p w14:paraId="715093B3" w14:textId="77777777" w:rsidR="00261B7D" w:rsidRPr="000C2089" w:rsidRDefault="00261B7D" w:rsidP="00261B7D">
      <w:pPr>
        <w:pStyle w:val="Textonotapie"/>
        <w:ind w:firstLine="709"/>
        <w:rPr>
          <w:rFonts w:ascii="Verdana" w:hAnsi="Verdana" w:cs="Arial"/>
          <w:sz w:val="16"/>
          <w:szCs w:val="16"/>
          <w:lang w:val="es-ES"/>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Pr="000C2089">
        <w:rPr>
          <w:rFonts w:ascii="Verdana" w:hAnsi="Verdana" w:cs="Arial"/>
          <w:sz w:val="16"/>
          <w:szCs w:val="16"/>
          <w:lang w:val="es-ES"/>
        </w:rPr>
        <w:t xml:space="preserve">Artículo 2. </w:t>
      </w:r>
    </w:p>
    <w:p w14:paraId="3B3F28EC" w14:textId="77777777" w:rsidR="00261B7D" w:rsidRPr="000C2089" w:rsidRDefault="00261B7D" w:rsidP="00261B7D">
      <w:pPr>
        <w:pStyle w:val="Textonotapie"/>
        <w:ind w:firstLine="709"/>
        <w:rPr>
          <w:rFonts w:ascii="Verdana" w:hAnsi="Verdana" w:cs="Arial"/>
          <w:sz w:val="16"/>
          <w:szCs w:val="16"/>
          <w:lang w:val="es-ES"/>
        </w:rPr>
      </w:pPr>
    </w:p>
  </w:footnote>
  <w:footnote w:id="15">
    <w:p w14:paraId="0111B8FC" w14:textId="77777777" w:rsidR="00261B7D" w:rsidRPr="000C2089" w:rsidRDefault="00261B7D" w:rsidP="00261B7D">
      <w:pPr>
        <w:pStyle w:val="Textonotapie"/>
        <w:ind w:firstLine="709"/>
        <w:rPr>
          <w:rFonts w:ascii="Verdana" w:hAnsi="Verdana" w:cs="Arial"/>
          <w:sz w:val="16"/>
          <w:szCs w:val="16"/>
          <w:lang w:val="es-ES"/>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Pr="000C2089">
        <w:rPr>
          <w:rFonts w:ascii="Verdana" w:hAnsi="Verdana" w:cs="Arial"/>
          <w:i/>
          <w:sz w:val="16"/>
          <w:szCs w:val="16"/>
          <w:lang w:val="es-ES"/>
        </w:rPr>
        <w:t>Ídem</w:t>
      </w:r>
      <w:r w:rsidRPr="000C2089">
        <w:rPr>
          <w:rFonts w:ascii="Verdana" w:hAnsi="Verdana" w:cs="Arial"/>
          <w:sz w:val="16"/>
          <w:szCs w:val="16"/>
          <w:lang w:val="es-ES"/>
        </w:rPr>
        <w:t>.</w:t>
      </w:r>
    </w:p>
    <w:p w14:paraId="1FF24775" w14:textId="77777777" w:rsidR="00261B7D" w:rsidRPr="000C2089" w:rsidRDefault="00261B7D" w:rsidP="00261B7D">
      <w:pPr>
        <w:pStyle w:val="Textonotapie"/>
        <w:ind w:firstLine="709"/>
        <w:rPr>
          <w:rFonts w:ascii="Verdana" w:hAnsi="Verdana" w:cs="Arial"/>
          <w:sz w:val="16"/>
          <w:szCs w:val="16"/>
          <w:lang w:val="es-ES"/>
        </w:rPr>
      </w:pPr>
    </w:p>
  </w:footnote>
  <w:footnote w:id="16">
    <w:p w14:paraId="2CAC17EB" w14:textId="77777777" w:rsidR="00261B7D" w:rsidRPr="000C2089" w:rsidRDefault="00261B7D" w:rsidP="00261B7D">
      <w:pPr>
        <w:pStyle w:val="Textonotapie"/>
        <w:ind w:firstLine="709"/>
        <w:rPr>
          <w:rFonts w:ascii="Verdana" w:hAnsi="Verdana" w:cs="Arial"/>
          <w:sz w:val="16"/>
          <w:szCs w:val="16"/>
          <w:lang w:val="es-ES"/>
        </w:rPr>
      </w:pPr>
      <w:r w:rsidRPr="000C2089">
        <w:rPr>
          <w:rStyle w:val="Refdenotaalpie"/>
          <w:rFonts w:ascii="Verdana" w:hAnsi="Verdana" w:cs="Arial"/>
          <w:sz w:val="16"/>
          <w:szCs w:val="16"/>
        </w:rPr>
        <w:footnoteRef/>
      </w:r>
      <w:r w:rsidRPr="000C2089">
        <w:rPr>
          <w:rStyle w:val="Refdenotaalpie"/>
          <w:rFonts w:ascii="Verdana" w:hAnsi="Verdana" w:cs="Arial"/>
          <w:sz w:val="16"/>
          <w:szCs w:val="16"/>
        </w:rPr>
        <w:t xml:space="preserve"> </w:t>
      </w:r>
      <w:r w:rsidRPr="000C2089">
        <w:rPr>
          <w:rFonts w:ascii="Verdana" w:hAnsi="Verdana" w:cs="Arial"/>
          <w:sz w:val="16"/>
          <w:szCs w:val="16"/>
          <w:lang w:val="es-ES"/>
        </w:rPr>
        <w:t xml:space="preserve">[…] A este respecto, cabe recordar que el artículo 860 del Código de Comercio regula la licitación en el derecho privado. </w:t>
      </w:r>
    </w:p>
    <w:p w14:paraId="611E4B21" w14:textId="77777777" w:rsidR="00261B7D" w:rsidRPr="000C2089" w:rsidRDefault="00261B7D" w:rsidP="00261B7D">
      <w:pPr>
        <w:pStyle w:val="Textonotapie"/>
        <w:ind w:firstLine="709"/>
        <w:rPr>
          <w:rFonts w:ascii="Verdana" w:hAnsi="Verdana" w:cs="Arial"/>
          <w:sz w:val="16"/>
          <w:szCs w:val="16"/>
          <w:lang w:val="es-ES"/>
        </w:rPr>
      </w:pPr>
    </w:p>
  </w:footnote>
  <w:footnote w:id="17">
    <w:p w14:paraId="62350E62" w14:textId="77777777" w:rsidR="00261B7D" w:rsidRPr="000C2089" w:rsidRDefault="00261B7D" w:rsidP="00261B7D">
      <w:pPr>
        <w:shd w:val="clear" w:color="auto" w:fill="FFFFFF"/>
        <w:spacing w:after="0" w:line="240" w:lineRule="auto"/>
        <w:ind w:firstLine="709"/>
        <w:jc w:val="both"/>
        <w:rPr>
          <w:rFonts w:ascii="Verdana" w:hAnsi="Verdana" w:cs="Arial"/>
          <w:sz w:val="16"/>
          <w:szCs w:val="16"/>
          <w:lang w:val="es-ES"/>
        </w:rPr>
      </w:pPr>
      <w:r w:rsidRPr="000C2089">
        <w:rPr>
          <w:rStyle w:val="Refdenotaalpie"/>
          <w:rFonts w:ascii="Verdana" w:hAnsi="Verdana" w:cs="Arial"/>
          <w:sz w:val="16"/>
          <w:szCs w:val="16"/>
        </w:rPr>
        <w:footnoteRef/>
      </w:r>
      <w:r w:rsidRPr="000C2089">
        <w:rPr>
          <w:rStyle w:val="Refdenotaalpie"/>
          <w:rFonts w:ascii="Verdana" w:hAnsi="Verdana" w:cs="Arial"/>
          <w:sz w:val="16"/>
          <w:szCs w:val="16"/>
        </w:rPr>
        <w:t xml:space="preserve"> </w:t>
      </w:r>
      <w:r w:rsidRPr="000C2089">
        <w:rPr>
          <w:rFonts w:ascii="Verdana" w:hAnsi="Verdana" w:cs="Arial"/>
          <w:sz w:val="16"/>
          <w:szCs w:val="16"/>
          <w:lang w:val="es-ES"/>
        </w:rPr>
        <w:t>Consejo de Estado. Sala de Consulta y Servicio Civil, Concepto de 8 de mayo de 2018. Radicación Número: 11001-03-06-000-2018-00095-00 (2382). C.P: Álvaro Namén Vargas.</w:t>
      </w:r>
    </w:p>
    <w:p w14:paraId="2875C295" w14:textId="77777777" w:rsidR="00261B7D" w:rsidRPr="000C2089" w:rsidRDefault="00261B7D" w:rsidP="00261B7D">
      <w:pPr>
        <w:shd w:val="clear" w:color="auto" w:fill="FFFFFF"/>
        <w:spacing w:after="0" w:line="240" w:lineRule="auto"/>
        <w:ind w:firstLine="709"/>
        <w:jc w:val="both"/>
        <w:rPr>
          <w:rFonts w:ascii="Verdana" w:hAnsi="Verdana" w:cs="Arial"/>
          <w:sz w:val="16"/>
          <w:szCs w:val="16"/>
          <w:lang w:val="es-ES"/>
        </w:rPr>
      </w:pPr>
    </w:p>
  </w:footnote>
  <w:footnote w:id="18">
    <w:p w14:paraId="48B6A712"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Concepto del 08 de mayo de 2018. Exp. 2.382. C.P. Álvaro Namén Vargas.</w:t>
      </w:r>
    </w:p>
    <w:p w14:paraId="22342852" w14:textId="77777777" w:rsidR="00261B7D" w:rsidRPr="000C2089" w:rsidRDefault="00261B7D" w:rsidP="00261B7D">
      <w:pPr>
        <w:pStyle w:val="Textonotapie"/>
        <w:ind w:firstLine="709"/>
        <w:jc w:val="both"/>
        <w:rPr>
          <w:rFonts w:ascii="Verdana" w:hAnsi="Verdana" w:cs="Arial"/>
          <w:sz w:val="16"/>
          <w:szCs w:val="16"/>
        </w:rPr>
      </w:pPr>
    </w:p>
  </w:footnote>
  <w:footnote w:id="19">
    <w:p w14:paraId="45FB8FE8" w14:textId="785EE8F0" w:rsidR="00261B7D" w:rsidRPr="000C2089" w:rsidRDefault="00261B7D" w:rsidP="009A3DB2">
      <w:pPr>
        <w:pStyle w:val="Textonotapie"/>
        <w:ind w:firstLine="709"/>
        <w:rPr>
          <w:rFonts w:ascii="Verdana" w:hAnsi="Verdana"/>
          <w:sz w:val="16"/>
          <w:szCs w:val="16"/>
        </w:rPr>
      </w:pPr>
      <w:r w:rsidRPr="000C2089">
        <w:rPr>
          <w:rStyle w:val="Refdenotaalpie"/>
          <w:rFonts w:ascii="Verdana" w:hAnsi="Verdana"/>
          <w:sz w:val="16"/>
          <w:szCs w:val="16"/>
        </w:rPr>
        <w:footnoteRef/>
      </w:r>
      <w:r w:rsidRPr="000C2089">
        <w:rPr>
          <w:rFonts w:ascii="Verdana" w:hAnsi="Verdana"/>
          <w:sz w:val="16"/>
          <w:szCs w:val="16"/>
        </w:rPr>
        <w:t xml:space="preserve"> </w:t>
      </w:r>
      <w:r w:rsidRPr="000C2089">
        <w:rPr>
          <w:rFonts w:ascii="Verdana" w:hAnsi="Verdana"/>
          <w:sz w:val="16"/>
          <w:szCs w:val="16"/>
          <w:lang w:val="es-ES"/>
        </w:rPr>
        <w:t xml:space="preserve">Agencia Nacional de Contratación Pública. Circular Externa 006 del 25 de septiembre de 2025. Disponible en </w:t>
      </w:r>
      <w:hyperlink r:id="rId1" w:history="1">
        <w:r w:rsidRPr="000C2089">
          <w:rPr>
            <w:rStyle w:val="Hipervnculo"/>
            <w:rFonts w:ascii="Verdana" w:hAnsi="Verdana"/>
            <w:sz w:val="16"/>
            <w:szCs w:val="16"/>
            <w:lang w:val="es-CO"/>
          </w:rPr>
          <w:t>006-de-2025-Circular-Externa-L996-ajustado-comentarios-BM-BID-Rev-ARSC-V3.d-1.pdf</w:t>
        </w:r>
      </w:hyperlink>
    </w:p>
    <w:p w14:paraId="5ECC8102" w14:textId="77777777" w:rsidR="00261B7D" w:rsidRPr="000C2089" w:rsidRDefault="00261B7D" w:rsidP="00261B7D">
      <w:pPr>
        <w:pStyle w:val="Textonotapie"/>
        <w:rPr>
          <w:rFonts w:ascii="Verdana" w:hAnsi="Verdana"/>
          <w:sz w:val="16"/>
          <w:szCs w:val="16"/>
          <w:lang w:val="es-ES"/>
        </w:rPr>
      </w:pPr>
    </w:p>
  </w:footnote>
  <w:footnote w:id="20">
    <w:p w14:paraId="667E1FBD" w14:textId="77777777" w:rsidR="00261B7D" w:rsidRPr="000C2089" w:rsidRDefault="00261B7D" w:rsidP="00261B7D">
      <w:pPr>
        <w:spacing w:after="0" w:line="240" w:lineRule="auto"/>
        <w:ind w:firstLine="709"/>
        <w:jc w:val="both"/>
        <w:rPr>
          <w:rFonts w:ascii="Verdana" w:hAnsi="Verdana" w:cs="Arial"/>
          <w:color w:val="000000" w:themeColor="text1"/>
          <w:sz w:val="16"/>
          <w:szCs w:val="16"/>
        </w:rPr>
      </w:pPr>
      <w:r w:rsidRPr="000C2089">
        <w:rPr>
          <w:rStyle w:val="Refdenotaalpie"/>
          <w:rFonts w:ascii="Verdana" w:hAnsi="Verdana" w:cs="Arial"/>
          <w:color w:val="000000" w:themeColor="text1"/>
          <w:sz w:val="16"/>
          <w:szCs w:val="16"/>
        </w:rPr>
        <w:footnoteRef/>
      </w:r>
      <w:r w:rsidRPr="000C2089">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0F9472B9" w14:textId="77777777" w:rsidR="00261B7D" w:rsidRPr="000C2089" w:rsidRDefault="00261B7D" w:rsidP="00261B7D">
      <w:pPr>
        <w:spacing w:after="0" w:line="240" w:lineRule="auto"/>
        <w:ind w:firstLine="709"/>
        <w:jc w:val="both"/>
        <w:rPr>
          <w:rFonts w:ascii="Verdana" w:hAnsi="Verdana" w:cs="Arial"/>
          <w:color w:val="000000" w:themeColor="text1"/>
          <w:sz w:val="16"/>
          <w:szCs w:val="16"/>
        </w:rPr>
      </w:pPr>
    </w:p>
  </w:footnote>
  <w:footnote w:id="21">
    <w:p w14:paraId="4D01ED9C"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5E0561AC" w14:textId="77777777" w:rsidR="00261B7D" w:rsidRPr="000C2089" w:rsidRDefault="00261B7D" w:rsidP="00261B7D">
      <w:pPr>
        <w:pStyle w:val="Textonotapie"/>
        <w:ind w:firstLine="709"/>
        <w:jc w:val="both"/>
        <w:rPr>
          <w:rFonts w:ascii="Verdana" w:hAnsi="Verdana" w:cs="Arial"/>
          <w:sz w:val="16"/>
          <w:szCs w:val="16"/>
        </w:rPr>
      </w:pPr>
    </w:p>
  </w:footnote>
  <w:footnote w:id="22">
    <w:p w14:paraId="0F80E1D3" w14:textId="77777777" w:rsidR="00261B7D" w:rsidRPr="000C2089" w:rsidRDefault="00261B7D" w:rsidP="00261B7D">
      <w:pPr>
        <w:pStyle w:val="Textonotapie"/>
        <w:ind w:firstLine="708"/>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Concepto del 18 de febrero 2010. Rad. 11001-03-06-000-2010-00006-00 (1985). C.P. Enrique José Arboleda Perdomo.</w:t>
      </w:r>
    </w:p>
    <w:p w14:paraId="5E640310" w14:textId="77777777" w:rsidR="00261B7D" w:rsidRPr="000C2089" w:rsidRDefault="00261B7D" w:rsidP="00261B7D">
      <w:pPr>
        <w:pStyle w:val="Textonotapie"/>
        <w:ind w:firstLine="708"/>
        <w:jc w:val="both"/>
        <w:rPr>
          <w:rFonts w:ascii="Verdana" w:hAnsi="Verdana" w:cs="Arial"/>
          <w:sz w:val="16"/>
          <w:szCs w:val="16"/>
        </w:rPr>
      </w:pPr>
    </w:p>
  </w:footnote>
  <w:footnote w:id="23">
    <w:p w14:paraId="3DD66B7B" w14:textId="77777777" w:rsidR="00261B7D" w:rsidRPr="000C2089" w:rsidRDefault="00261B7D" w:rsidP="00261B7D">
      <w:pPr>
        <w:pStyle w:val="Textonotapie"/>
        <w:ind w:firstLine="708"/>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Corte Constitucional. Sentencia C-1153 de 2005 M.P. Marco Gerardo Monroy Cabra. </w:t>
      </w:r>
    </w:p>
    <w:p w14:paraId="65E63263" w14:textId="77777777" w:rsidR="00261B7D" w:rsidRPr="000C2089" w:rsidRDefault="00261B7D" w:rsidP="00261B7D">
      <w:pPr>
        <w:pStyle w:val="Textonotapie"/>
        <w:ind w:firstLine="708"/>
        <w:jc w:val="both"/>
        <w:rPr>
          <w:rFonts w:ascii="Verdana" w:hAnsi="Verdana" w:cs="Arial"/>
          <w:sz w:val="16"/>
          <w:szCs w:val="16"/>
        </w:rPr>
      </w:pPr>
    </w:p>
  </w:footnote>
  <w:footnote w:id="24">
    <w:p w14:paraId="41A1B4EB" w14:textId="77777777" w:rsidR="00A23190" w:rsidRPr="00944391" w:rsidRDefault="00A23190">
      <w:pPr>
        <w:pStyle w:val="Textonotapie"/>
        <w:ind w:firstLine="708"/>
        <w:jc w:val="both"/>
        <w:rPr>
          <w:rFonts w:ascii="Verdana" w:hAnsi="Verdana" w:cs="Arial"/>
          <w:color w:val="000000" w:themeColor="text1"/>
          <w:sz w:val="16"/>
          <w:szCs w:val="16"/>
          <w:lang w:val="es-ES"/>
        </w:rPr>
      </w:pPr>
      <w:r w:rsidRPr="0045744A">
        <w:rPr>
          <w:rStyle w:val="Refdenotaalpie"/>
          <w:rFonts w:ascii="Verdana" w:hAnsi="Verdana" w:cs="Arial"/>
          <w:color w:val="000000" w:themeColor="text1"/>
          <w:sz w:val="16"/>
          <w:szCs w:val="16"/>
        </w:rPr>
        <w:footnoteRef/>
      </w:r>
      <w:r w:rsidRPr="0045744A">
        <w:rPr>
          <w:rFonts w:ascii="Verdana" w:hAnsi="Verdana" w:cs="Arial"/>
          <w:color w:val="000000" w:themeColor="text1"/>
          <w:sz w:val="16"/>
          <w:szCs w:val="16"/>
        </w:rPr>
        <w:t xml:space="preserve"> </w:t>
      </w:r>
      <w:r w:rsidRPr="0045744A">
        <w:rPr>
          <w:rFonts w:ascii="Verdana" w:hAnsi="Verdana" w:cs="Arial"/>
          <w:color w:val="000000" w:themeColor="text1"/>
          <w:sz w:val="16"/>
          <w:szCs w:val="16"/>
          <w:lang w:val="es-CO"/>
        </w:rPr>
        <w:t>«</w:t>
      </w:r>
      <w:r w:rsidRPr="0045744A">
        <w:rPr>
          <w:rFonts w:ascii="Verdana" w:hAnsi="Verdana" w:cs="Arial"/>
          <w:color w:val="000000" w:themeColor="text1"/>
          <w:sz w:val="16"/>
          <w:szCs w:val="16"/>
        </w:rPr>
        <w:t xml:space="preserve">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w:t>
      </w:r>
      <w:r w:rsidRPr="00944391">
        <w:rPr>
          <w:rFonts w:ascii="Verdana" w:hAnsi="Verdana" w:cs="Arial"/>
          <w:color w:val="000000" w:themeColor="text1"/>
          <w:sz w:val="16"/>
          <w:szCs w:val="16"/>
        </w:rPr>
        <w:t>el fin de adecuarlas a lo dispuesto en este capítulo.</w:t>
      </w:r>
    </w:p>
  </w:footnote>
  <w:footnote w:id="25">
    <w:p w14:paraId="4B27DE99" w14:textId="77777777" w:rsidR="00261B7D" w:rsidRPr="000C2089" w:rsidRDefault="00261B7D" w:rsidP="00261B7D">
      <w:pPr>
        <w:pStyle w:val="Textonotapie"/>
        <w:ind w:firstLine="709"/>
        <w:jc w:val="both"/>
        <w:rPr>
          <w:rFonts w:ascii="Verdana" w:hAnsi="Verdana"/>
          <w:sz w:val="16"/>
          <w:szCs w:val="16"/>
          <w:lang w:val="es-CO"/>
        </w:rPr>
      </w:pPr>
      <w:r w:rsidRPr="000C2089">
        <w:rPr>
          <w:rStyle w:val="Refdenotaalpie"/>
          <w:rFonts w:ascii="Verdana" w:hAnsi="Verdana"/>
          <w:sz w:val="16"/>
          <w:szCs w:val="16"/>
        </w:rPr>
        <w:footnoteRef/>
      </w:r>
      <w:r w:rsidRPr="000C2089">
        <w:rPr>
          <w:rFonts w:ascii="Verdana" w:hAnsi="Verdana"/>
          <w:sz w:val="16"/>
          <w:szCs w:val="16"/>
        </w:rPr>
        <w:t xml:space="preserve"> </w:t>
      </w:r>
      <w:r w:rsidRPr="000C2089">
        <w:rPr>
          <w:rFonts w:ascii="Verdana" w:hAnsi="Verdana"/>
          <w:sz w:val="16"/>
          <w:szCs w:val="16"/>
          <w:lang w:val="es-ES"/>
        </w:rPr>
        <w:t xml:space="preserve">Ley 100 de 1993. </w:t>
      </w:r>
      <w:r w:rsidRPr="000C2089">
        <w:rPr>
          <w:rFonts w:ascii="Verdana" w:hAnsi="Verdana"/>
          <w:sz w:val="16"/>
          <w:szCs w:val="16"/>
          <w:lang w:val="es-CO"/>
        </w:rPr>
        <w:t>Artículo</w:t>
      </w:r>
      <w:bookmarkStart w:id="16" w:name="194"/>
      <w:bookmarkEnd w:id="16"/>
      <w:r w:rsidRPr="000C2089">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17" w:name="LPHit237"/>
      <w:bookmarkEnd w:id="17"/>
      <w:r w:rsidRPr="000C2089">
        <w:rPr>
          <w:rFonts w:ascii="Verdana" w:hAnsi="Verdana"/>
          <w:sz w:val="16"/>
          <w:szCs w:val="16"/>
          <w:lang w:val="es-CO"/>
        </w:rPr>
        <w:t> Ley o por las asambleas o concejos, según el caso, sometidas al régimen jurídico previsto en este capítulo.</w:t>
      </w:r>
    </w:p>
    <w:p w14:paraId="53937D3B" w14:textId="77777777" w:rsidR="00261B7D" w:rsidRPr="000C2089" w:rsidRDefault="00261B7D" w:rsidP="00261B7D">
      <w:pPr>
        <w:pStyle w:val="Textonotapie"/>
        <w:ind w:firstLine="709"/>
        <w:jc w:val="both"/>
        <w:rPr>
          <w:rFonts w:ascii="Verdana" w:hAnsi="Verdana"/>
          <w:sz w:val="16"/>
          <w:szCs w:val="16"/>
          <w:lang w:val="es-CO"/>
        </w:rPr>
      </w:pPr>
    </w:p>
  </w:footnote>
  <w:footnote w:id="26">
    <w:p w14:paraId="5C381E9E" w14:textId="77777777" w:rsidR="00261B7D" w:rsidRPr="000C2089" w:rsidRDefault="00261B7D" w:rsidP="000C2089">
      <w:pPr>
        <w:pStyle w:val="Textonotapie"/>
        <w:ind w:firstLine="708"/>
        <w:jc w:val="both"/>
        <w:rPr>
          <w:rFonts w:ascii="Verdana" w:hAnsi="Verdana" w:cs="Arial"/>
          <w:color w:val="000000" w:themeColor="text1"/>
          <w:sz w:val="16"/>
          <w:szCs w:val="16"/>
          <w:lang w:val="es-CO"/>
        </w:rPr>
      </w:pPr>
      <w:r w:rsidRPr="000C2089">
        <w:rPr>
          <w:rStyle w:val="Refdenotaalpie"/>
          <w:rFonts w:ascii="Verdana" w:hAnsi="Verdana" w:cs="Arial"/>
          <w:color w:val="000000" w:themeColor="text1"/>
          <w:sz w:val="16"/>
          <w:szCs w:val="16"/>
          <w:lang w:val="es-CO"/>
        </w:rPr>
        <w:footnoteRef/>
      </w:r>
      <w:r w:rsidRPr="000C2089">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7">
    <w:p w14:paraId="6FFB7999" w14:textId="77777777" w:rsidR="00261B7D" w:rsidRPr="000C2089" w:rsidRDefault="00261B7D" w:rsidP="000C2089">
      <w:pPr>
        <w:pStyle w:val="Textonotapie"/>
        <w:ind w:firstLine="708"/>
        <w:jc w:val="both"/>
        <w:rPr>
          <w:rFonts w:ascii="Verdana" w:hAnsi="Verdana" w:cs="Arial"/>
          <w:color w:val="000000" w:themeColor="text1"/>
          <w:sz w:val="16"/>
          <w:szCs w:val="16"/>
          <w:lang w:val="es-CO"/>
        </w:rPr>
      </w:pPr>
      <w:r w:rsidRPr="000C2089">
        <w:rPr>
          <w:rStyle w:val="Refdenotaalpie"/>
          <w:rFonts w:ascii="Verdana" w:hAnsi="Verdana" w:cs="Arial"/>
          <w:color w:val="000000" w:themeColor="text1"/>
          <w:sz w:val="16"/>
          <w:szCs w:val="16"/>
          <w:lang w:val="es-CO"/>
        </w:rPr>
        <w:footnoteRef/>
      </w:r>
      <w:r w:rsidRPr="000C2089">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0C2089">
        <w:rPr>
          <w:rFonts w:ascii="Verdana" w:hAnsi="Verdana" w:cs="Arial"/>
          <w:i/>
          <w:color w:val="000000" w:themeColor="text1"/>
          <w:sz w:val="16"/>
          <w:szCs w:val="16"/>
          <w:lang w:val="es-CO"/>
        </w:rPr>
        <w:t>y todas aquellas entidades que de acuerdo con la ley ejerzan funciones de vigilancia y control sanitario</w:t>
      </w:r>
      <w:r w:rsidRPr="000C2089">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1D74D97F" w14:textId="77777777" w:rsidR="00261B7D" w:rsidRPr="000C2089" w:rsidRDefault="00261B7D" w:rsidP="000C2089">
      <w:pPr>
        <w:pStyle w:val="Textonotapie"/>
        <w:ind w:firstLine="708"/>
        <w:jc w:val="both"/>
        <w:rPr>
          <w:rFonts w:ascii="Verdana" w:hAnsi="Verdana" w:cs="Arial"/>
          <w:color w:val="000000" w:themeColor="text1"/>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033242"/>
    <w:multiLevelType w:val="hybridMultilevel"/>
    <w:tmpl w:val="7AAEE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534537855">
    <w:abstractNumId w:val="11"/>
  </w:num>
  <w:num w:numId="18" w16cid:durableId="3957095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089"/>
    <w:rsid w:val="000D0334"/>
    <w:rsid w:val="000D5DA7"/>
    <w:rsid w:val="000F6486"/>
    <w:rsid w:val="00116940"/>
    <w:rsid w:val="00125105"/>
    <w:rsid w:val="00127233"/>
    <w:rsid w:val="0015699B"/>
    <w:rsid w:val="001645F5"/>
    <w:rsid w:val="001727B0"/>
    <w:rsid w:val="00196209"/>
    <w:rsid w:val="001A26D6"/>
    <w:rsid w:val="001A33BF"/>
    <w:rsid w:val="001E4177"/>
    <w:rsid w:val="001F0B24"/>
    <w:rsid w:val="001F7DC6"/>
    <w:rsid w:val="0022400B"/>
    <w:rsid w:val="002421BB"/>
    <w:rsid w:val="0024647D"/>
    <w:rsid w:val="0025796E"/>
    <w:rsid w:val="00261B7D"/>
    <w:rsid w:val="002707A2"/>
    <w:rsid w:val="002951A0"/>
    <w:rsid w:val="002962BC"/>
    <w:rsid w:val="002A0169"/>
    <w:rsid w:val="002A093D"/>
    <w:rsid w:val="002A0DD0"/>
    <w:rsid w:val="002A49AC"/>
    <w:rsid w:val="002A64FD"/>
    <w:rsid w:val="002B0932"/>
    <w:rsid w:val="002C7A84"/>
    <w:rsid w:val="002E2BF8"/>
    <w:rsid w:val="002E4FD9"/>
    <w:rsid w:val="0030657A"/>
    <w:rsid w:val="00310C76"/>
    <w:rsid w:val="00322A85"/>
    <w:rsid w:val="00324168"/>
    <w:rsid w:val="00330834"/>
    <w:rsid w:val="003448F4"/>
    <w:rsid w:val="003538F5"/>
    <w:rsid w:val="00362436"/>
    <w:rsid w:val="00374F5E"/>
    <w:rsid w:val="00377E3E"/>
    <w:rsid w:val="003A779E"/>
    <w:rsid w:val="003B03AD"/>
    <w:rsid w:val="003C0A47"/>
    <w:rsid w:val="003D0F4D"/>
    <w:rsid w:val="003D5B0D"/>
    <w:rsid w:val="003E0499"/>
    <w:rsid w:val="003E4F80"/>
    <w:rsid w:val="003E6439"/>
    <w:rsid w:val="003F3941"/>
    <w:rsid w:val="003F69B0"/>
    <w:rsid w:val="00406575"/>
    <w:rsid w:val="00414C74"/>
    <w:rsid w:val="0042722E"/>
    <w:rsid w:val="00433851"/>
    <w:rsid w:val="0044528D"/>
    <w:rsid w:val="00453E99"/>
    <w:rsid w:val="0045744A"/>
    <w:rsid w:val="00457DD8"/>
    <w:rsid w:val="00466E39"/>
    <w:rsid w:val="00467450"/>
    <w:rsid w:val="00471ED3"/>
    <w:rsid w:val="004A1847"/>
    <w:rsid w:val="004A305D"/>
    <w:rsid w:val="004F21C4"/>
    <w:rsid w:val="004F685F"/>
    <w:rsid w:val="00507DB2"/>
    <w:rsid w:val="00511F74"/>
    <w:rsid w:val="005566E8"/>
    <w:rsid w:val="00574867"/>
    <w:rsid w:val="00591460"/>
    <w:rsid w:val="005A65E0"/>
    <w:rsid w:val="005C3777"/>
    <w:rsid w:val="005C5CDC"/>
    <w:rsid w:val="005D476C"/>
    <w:rsid w:val="006200BF"/>
    <w:rsid w:val="006219F8"/>
    <w:rsid w:val="006302F7"/>
    <w:rsid w:val="00640D15"/>
    <w:rsid w:val="00646B9F"/>
    <w:rsid w:val="00665D70"/>
    <w:rsid w:val="006900D9"/>
    <w:rsid w:val="006C625D"/>
    <w:rsid w:val="006D45E7"/>
    <w:rsid w:val="00706C16"/>
    <w:rsid w:val="007340C3"/>
    <w:rsid w:val="0075235A"/>
    <w:rsid w:val="00756841"/>
    <w:rsid w:val="007649AB"/>
    <w:rsid w:val="00771D0C"/>
    <w:rsid w:val="007833AC"/>
    <w:rsid w:val="00796D0D"/>
    <w:rsid w:val="007A382A"/>
    <w:rsid w:val="007B268C"/>
    <w:rsid w:val="007B7171"/>
    <w:rsid w:val="007C0C0F"/>
    <w:rsid w:val="007C3DC2"/>
    <w:rsid w:val="007E5497"/>
    <w:rsid w:val="008041F2"/>
    <w:rsid w:val="00806F5F"/>
    <w:rsid w:val="00820278"/>
    <w:rsid w:val="008258C9"/>
    <w:rsid w:val="00844AE9"/>
    <w:rsid w:val="008501FF"/>
    <w:rsid w:val="00850478"/>
    <w:rsid w:val="00867F95"/>
    <w:rsid w:val="008843B6"/>
    <w:rsid w:val="00891928"/>
    <w:rsid w:val="008A446D"/>
    <w:rsid w:val="008B25F1"/>
    <w:rsid w:val="008D180B"/>
    <w:rsid w:val="008F0EA7"/>
    <w:rsid w:val="00922BD6"/>
    <w:rsid w:val="00923EEF"/>
    <w:rsid w:val="00930325"/>
    <w:rsid w:val="009419F9"/>
    <w:rsid w:val="00944391"/>
    <w:rsid w:val="0095685E"/>
    <w:rsid w:val="00956E3F"/>
    <w:rsid w:val="00961B09"/>
    <w:rsid w:val="00965334"/>
    <w:rsid w:val="009675F3"/>
    <w:rsid w:val="00967890"/>
    <w:rsid w:val="0097093E"/>
    <w:rsid w:val="009A0DFA"/>
    <w:rsid w:val="009A1C6F"/>
    <w:rsid w:val="009A3DB2"/>
    <w:rsid w:val="009B2D26"/>
    <w:rsid w:val="009C71FA"/>
    <w:rsid w:val="009C72E7"/>
    <w:rsid w:val="009C7F7E"/>
    <w:rsid w:val="009D3058"/>
    <w:rsid w:val="009F194E"/>
    <w:rsid w:val="009F3A13"/>
    <w:rsid w:val="00A122D3"/>
    <w:rsid w:val="00A14468"/>
    <w:rsid w:val="00A17F13"/>
    <w:rsid w:val="00A20739"/>
    <w:rsid w:val="00A23190"/>
    <w:rsid w:val="00A23AF9"/>
    <w:rsid w:val="00A33C78"/>
    <w:rsid w:val="00AB0ADB"/>
    <w:rsid w:val="00B00C0E"/>
    <w:rsid w:val="00B01B1A"/>
    <w:rsid w:val="00B0381D"/>
    <w:rsid w:val="00B44A47"/>
    <w:rsid w:val="00B44C08"/>
    <w:rsid w:val="00B51E8A"/>
    <w:rsid w:val="00B52231"/>
    <w:rsid w:val="00B72CD3"/>
    <w:rsid w:val="00B72FFF"/>
    <w:rsid w:val="00BB6EEF"/>
    <w:rsid w:val="00BC3D36"/>
    <w:rsid w:val="00BD54A6"/>
    <w:rsid w:val="00BD7F72"/>
    <w:rsid w:val="00BF7425"/>
    <w:rsid w:val="00C0104B"/>
    <w:rsid w:val="00C04FB3"/>
    <w:rsid w:val="00C11D8B"/>
    <w:rsid w:val="00C15139"/>
    <w:rsid w:val="00C330EB"/>
    <w:rsid w:val="00C50D69"/>
    <w:rsid w:val="00C5365C"/>
    <w:rsid w:val="00C61B1C"/>
    <w:rsid w:val="00C71CAD"/>
    <w:rsid w:val="00C754BE"/>
    <w:rsid w:val="00C76B1C"/>
    <w:rsid w:val="00C925AC"/>
    <w:rsid w:val="00C94BAF"/>
    <w:rsid w:val="00CB6357"/>
    <w:rsid w:val="00CC1B26"/>
    <w:rsid w:val="00CF25BD"/>
    <w:rsid w:val="00D1663E"/>
    <w:rsid w:val="00D361FD"/>
    <w:rsid w:val="00D423A2"/>
    <w:rsid w:val="00D44E26"/>
    <w:rsid w:val="00D520D8"/>
    <w:rsid w:val="00D54FAD"/>
    <w:rsid w:val="00D63AC2"/>
    <w:rsid w:val="00D7383B"/>
    <w:rsid w:val="00D7788A"/>
    <w:rsid w:val="00DA0FB2"/>
    <w:rsid w:val="00DA231B"/>
    <w:rsid w:val="00DC39FC"/>
    <w:rsid w:val="00DF5254"/>
    <w:rsid w:val="00E02524"/>
    <w:rsid w:val="00E15AB1"/>
    <w:rsid w:val="00E16408"/>
    <w:rsid w:val="00E20894"/>
    <w:rsid w:val="00E245AB"/>
    <w:rsid w:val="00E2764C"/>
    <w:rsid w:val="00E27F2E"/>
    <w:rsid w:val="00E50AFE"/>
    <w:rsid w:val="00E75C92"/>
    <w:rsid w:val="00E771DC"/>
    <w:rsid w:val="00E8772A"/>
    <w:rsid w:val="00E90F6B"/>
    <w:rsid w:val="00E92C27"/>
    <w:rsid w:val="00E95D5E"/>
    <w:rsid w:val="00EA0E3D"/>
    <w:rsid w:val="00EB7D27"/>
    <w:rsid w:val="00EC38A7"/>
    <w:rsid w:val="00EE1AA8"/>
    <w:rsid w:val="00F23FEA"/>
    <w:rsid w:val="00F31EDC"/>
    <w:rsid w:val="00F462B3"/>
    <w:rsid w:val="00F5664F"/>
    <w:rsid w:val="00F666C4"/>
    <w:rsid w:val="00F74F83"/>
    <w:rsid w:val="00F76128"/>
    <w:rsid w:val="00F76AFC"/>
    <w:rsid w:val="00FA47C0"/>
    <w:rsid w:val="00FB5DD1"/>
    <w:rsid w:val="00FC2B5D"/>
    <w:rsid w:val="00FC7001"/>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61B7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61B7D"/>
    <w:rPr>
      <w:rFonts w:ascii="Geomanist Light" w:hAnsi="Geomanist Light"/>
      <w:lang w:val="es-ES"/>
    </w:rPr>
  </w:style>
  <w:style w:type="character" w:customStyle="1" w:styleId="citation-61">
    <w:name w:val="citation-61"/>
    <w:basedOn w:val="Fuentedeprrafopredeter"/>
    <w:rsid w:val="00261B7D"/>
  </w:style>
  <w:style w:type="character" w:customStyle="1" w:styleId="NormalWebCar">
    <w:name w:val="Normal (Web) Car"/>
    <w:link w:val="NormalWeb"/>
    <w:uiPriority w:val="99"/>
    <w:locked/>
    <w:rsid w:val="00261B7D"/>
    <w:rPr>
      <w:rFonts w:ascii="Times New Roman" w:eastAsia="Times New Roman" w:hAnsi="Times New Roman" w:cs="Times New Roman"/>
      <w:sz w:val="24"/>
      <w:szCs w:val="24"/>
      <w:lang w:eastAsia="es-CO"/>
    </w:rPr>
  </w:style>
  <w:style w:type="character" w:customStyle="1" w:styleId="baj">
    <w:name w:val="b_aj"/>
    <w:basedOn w:val="Fuentedeprrafopredeter"/>
    <w:rsid w:val="00261B7D"/>
  </w:style>
  <w:style w:type="character" w:customStyle="1" w:styleId="citation-478">
    <w:name w:val="citation-478"/>
    <w:basedOn w:val="Fuentedeprrafopredeter"/>
    <w:rsid w:val="00261B7D"/>
  </w:style>
  <w:style w:type="character" w:customStyle="1" w:styleId="citation-477">
    <w:name w:val="citation-477"/>
    <w:basedOn w:val="Fuentedeprrafopredeter"/>
    <w:rsid w:val="00261B7D"/>
  </w:style>
  <w:style w:type="character" w:customStyle="1" w:styleId="citation-476">
    <w:name w:val="citation-476"/>
    <w:basedOn w:val="Fuentedeprrafopredeter"/>
    <w:rsid w:val="00261B7D"/>
  </w:style>
  <w:style w:type="character" w:customStyle="1" w:styleId="citation-475">
    <w:name w:val="citation-475"/>
    <w:basedOn w:val="Fuentedeprrafopredeter"/>
    <w:rsid w:val="00261B7D"/>
  </w:style>
  <w:style w:type="character" w:customStyle="1" w:styleId="citation-474">
    <w:name w:val="citation-474"/>
    <w:basedOn w:val="Fuentedeprrafopredeter"/>
    <w:rsid w:val="00261B7D"/>
  </w:style>
  <w:style w:type="character" w:customStyle="1" w:styleId="citation-473">
    <w:name w:val="citation-473"/>
    <w:basedOn w:val="Fuentedeprrafopredeter"/>
    <w:rsid w:val="00261B7D"/>
  </w:style>
  <w:style w:type="character" w:customStyle="1" w:styleId="citation-472">
    <w:name w:val="citation-472"/>
    <w:basedOn w:val="Fuentedeprrafopredeter"/>
    <w:rsid w:val="00261B7D"/>
  </w:style>
  <w:style w:type="character" w:customStyle="1" w:styleId="citation-471">
    <w:name w:val="citation-471"/>
    <w:basedOn w:val="Fuentedeprrafopredeter"/>
    <w:rsid w:val="00261B7D"/>
  </w:style>
  <w:style w:type="character" w:customStyle="1" w:styleId="citation-470">
    <w:name w:val="citation-470"/>
    <w:basedOn w:val="Fuentedeprrafopredeter"/>
    <w:rsid w:val="00261B7D"/>
  </w:style>
  <w:style w:type="character" w:customStyle="1" w:styleId="citation-469">
    <w:name w:val="citation-469"/>
    <w:basedOn w:val="Fuentedeprrafopredeter"/>
    <w:rsid w:val="00261B7D"/>
  </w:style>
  <w:style w:type="character" w:customStyle="1" w:styleId="citation-468">
    <w:name w:val="citation-468"/>
    <w:basedOn w:val="Fuentedeprrafopredeter"/>
    <w:rsid w:val="00261B7D"/>
  </w:style>
  <w:style w:type="character" w:customStyle="1" w:styleId="citation-467">
    <w:name w:val="citation-467"/>
    <w:basedOn w:val="Fuentedeprrafopredeter"/>
    <w:rsid w:val="00261B7D"/>
  </w:style>
  <w:style w:type="character" w:customStyle="1" w:styleId="citation-466">
    <w:name w:val="citation-466"/>
    <w:basedOn w:val="Fuentedeprrafopredeter"/>
    <w:rsid w:val="00261B7D"/>
  </w:style>
  <w:style w:type="character" w:customStyle="1" w:styleId="citation-465">
    <w:name w:val="citation-465"/>
    <w:basedOn w:val="Fuentedeprrafopredeter"/>
    <w:rsid w:val="00261B7D"/>
  </w:style>
  <w:style w:type="character" w:customStyle="1" w:styleId="citation-464">
    <w:name w:val="citation-464"/>
    <w:basedOn w:val="Fuentedeprrafopredeter"/>
    <w:rsid w:val="00261B7D"/>
  </w:style>
  <w:style w:type="character" w:styleId="Refdecomentario">
    <w:name w:val="annotation reference"/>
    <w:basedOn w:val="Fuentedeprrafopredeter"/>
    <w:uiPriority w:val="99"/>
    <w:semiHidden/>
    <w:unhideWhenUsed/>
    <w:rsid w:val="00433851"/>
    <w:rPr>
      <w:sz w:val="16"/>
      <w:szCs w:val="16"/>
    </w:rPr>
  </w:style>
  <w:style w:type="paragraph" w:styleId="Textocomentario">
    <w:name w:val="annotation text"/>
    <w:basedOn w:val="Normal"/>
    <w:link w:val="TextocomentarioCar"/>
    <w:uiPriority w:val="99"/>
    <w:semiHidden/>
    <w:unhideWhenUsed/>
    <w:rsid w:val="0043385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33851"/>
    <w:rPr>
      <w:sz w:val="20"/>
      <w:szCs w:val="20"/>
    </w:rPr>
  </w:style>
  <w:style w:type="paragraph" w:styleId="Asuntodelcomentario">
    <w:name w:val="annotation subject"/>
    <w:basedOn w:val="Textocomentario"/>
    <w:next w:val="Textocomentario"/>
    <w:link w:val="AsuntodelcomentarioCar"/>
    <w:uiPriority w:val="99"/>
    <w:semiHidden/>
    <w:unhideWhenUsed/>
    <w:rsid w:val="00433851"/>
    <w:rPr>
      <w:b/>
      <w:bCs/>
    </w:rPr>
  </w:style>
  <w:style w:type="character" w:customStyle="1" w:styleId="AsuntodelcomentarioCar">
    <w:name w:val="Asunto del comentario Car"/>
    <w:basedOn w:val="TextocomentarioCar"/>
    <w:link w:val="Asuntodelcomentario"/>
    <w:uiPriority w:val="99"/>
    <w:semiHidden/>
    <w:rsid w:val="00433851"/>
    <w:rPr>
      <w:b/>
      <w:bCs/>
      <w:sz w:val="20"/>
      <w:szCs w:val="20"/>
    </w:rPr>
  </w:style>
  <w:style w:type="paragraph" w:styleId="Textoindependiente">
    <w:name w:val="Body Text"/>
    <w:basedOn w:val="Normal"/>
    <w:link w:val="TextoindependienteCar"/>
    <w:uiPriority w:val="1"/>
    <w:qFormat/>
    <w:rsid w:val="00640D15"/>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40D15"/>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mariatovargutierrez46@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D0F96A-1947-49AB-B458-5FB191014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26</Pages>
  <Words>8750</Words>
  <Characters>48038</Characters>
  <Application>Microsoft Office Word</Application>
  <DocSecurity>0</DocSecurity>
  <Lines>889</Lines>
  <Paragraphs>170</Paragraphs>
  <ScaleCrop>false</ScaleCrop>
  <Company/>
  <LinksUpToDate>false</LinksUpToDate>
  <CharactersWithSpaces>56618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2026-04-10T15:36:00Z</dcterms:created>
  <dcterms:modified xsi:type="dcterms:W3CDTF">2026-04-10T16:58:00Z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