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C42AD" w14:textId="77777777" w:rsidR="00A359C2" w:rsidRDefault="00A359C2" w:rsidP="00A359C2">
      <w:pPr>
        <w:spacing w:line="276" w:lineRule="auto"/>
        <w:jc w:val="both"/>
        <w:rPr>
          <w:rFonts w:ascii="Verdana" w:eastAsia="Calibri" w:hAnsi="Verdana" w:cs="Arial"/>
          <w:b/>
          <w:bCs/>
          <w:lang w:val="es-ES" w:eastAsia="es-ES"/>
        </w:rPr>
      </w:pPr>
      <w:bookmarkStart w:id="0" w:name="_Hlk143780582"/>
      <w:r w:rsidRPr="00A359C2">
        <w:rPr>
          <w:rFonts w:ascii="Verdana" w:eastAsia="Calibri" w:hAnsi="Verdana" w:cs="Arial"/>
          <w:b/>
          <w:bCs/>
          <w:lang w:val="es-ES" w:eastAsia="es-ES"/>
        </w:rPr>
        <w:t>LEY DE GARANTÍAS ELECTORALES ‒ Finalidad</w:t>
      </w:r>
    </w:p>
    <w:p w14:paraId="170FEC8A" w14:textId="00CE6E3F" w:rsidR="00991693" w:rsidRPr="00991693" w:rsidRDefault="00991693" w:rsidP="00991693">
      <w:pPr>
        <w:spacing w:line="240" w:lineRule="auto"/>
        <w:jc w:val="both"/>
        <w:rPr>
          <w:rFonts w:ascii="Verdana" w:eastAsia="Calibri" w:hAnsi="Verdana" w:cs="Arial"/>
          <w:b/>
          <w:bCs/>
          <w:sz w:val="20"/>
          <w:szCs w:val="20"/>
          <w:lang w:val="es-ES" w:eastAsia="es-ES"/>
        </w:rPr>
      </w:pPr>
      <w:r w:rsidRPr="00991693">
        <w:rPr>
          <w:rFonts w:ascii="Verdana" w:eastAsia="Arial" w:hAnsi="Verdana" w:cs="Arial"/>
          <w:sz w:val="20"/>
          <w:szCs w:val="20"/>
          <w:lang w:val="es-ES" w:eastAsia="es-ES" w:bidi="es-ES"/>
        </w:rPr>
        <w:t xml:space="preserve">[…] </w:t>
      </w:r>
      <w:r w:rsidRPr="00991693">
        <w:rPr>
          <w:rFonts w:ascii="Verdana" w:eastAsia="Arial" w:hAnsi="Verdana" w:cs="Arial"/>
          <w:sz w:val="20"/>
          <w:szCs w:val="20"/>
          <w:lang w:val="es-ES" w:eastAsia="es-ES" w:bidi="es-ES"/>
        </w:rPr>
        <w:t>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249F5165" w14:textId="38A389A4" w:rsidR="00A359C2" w:rsidRDefault="00A359C2" w:rsidP="00A359C2">
      <w:pPr>
        <w:spacing w:line="276" w:lineRule="auto"/>
        <w:jc w:val="both"/>
        <w:rPr>
          <w:rFonts w:ascii="Verdana" w:eastAsia="Calibri" w:hAnsi="Verdana" w:cs="Arial"/>
          <w:b/>
          <w:bCs/>
          <w:lang w:val="es-ES" w:eastAsia="es-ES"/>
        </w:rPr>
      </w:pPr>
      <w:r w:rsidRPr="00A359C2">
        <w:rPr>
          <w:rFonts w:ascii="Verdana" w:eastAsia="Calibri" w:hAnsi="Verdana" w:cs="Arial"/>
          <w:b/>
          <w:bCs/>
          <w:lang w:val="es-ES" w:eastAsia="es-ES"/>
        </w:rPr>
        <w:t>LEY DE LEY DE GARANTÍAS ELECTORALES – Prohibición artículo 33 – Contratación directa – Alcance</w:t>
      </w:r>
    </w:p>
    <w:p w14:paraId="284001A1" w14:textId="31B04268" w:rsidR="001D0350" w:rsidRPr="001D0350" w:rsidRDefault="001D0350" w:rsidP="001D0350">
      <w:pPr>
        <w:spacing w:after="120" w:line="240" w:lineRule="auto"/>
        <w:jc w:val="both"/>
        <w:rPr>
          <w:rFonts w:ascii="Verdana" w:eastAsia="Arial" w:hAnsi="Verdana" w:cs="Arial"/>
          <w:sz w:val="20"/>
          <w:szCs w:val="20"/>
          <w:lang w:val="es-ES" w:eastAsia="es-ES" w:bidi="es-ES"/>
        </w:rPr>
      </w:pPr>
      <w:r w:rsidRPr="001D0350">
        <w:rPr>
          <w:rFonts w:ascii="Verdana" w:eastAsia="Arial" w:hAnsi="Verdana" w:cs="Arial"/>
          <w:sz w:val="20"/>
          <w:szCs w:val="20"/>
          <w:lang w:val="es-ES" w:eastAsia="es-ES" w:bidi="es-ES"/>
        </w:rPr>
        <w:t xml:space="preserve">[…] </w:t>
      </w:r>
      <w:r w:rsidRPr="001D0350">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Pr="001D0350">
        <w:rPr>
          <w:rFonts w:ascii="Verdana" w:eastAsia="Arial" w:hAnsi="Verdana" w:cs="Arial"/>
          <w:i/>
          <w:sz w:val="20"/>
          <w:szCs w:val="20"/>
          <w:lang w:val="es-ES" w:eastAsia="es-ES" w:bidi="es-ES"/>
        </w:rPr>
        <w:t>En primer lugar</w:t>
      </w:r>
      <w:r w:rsidRPr="001D0350">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D0350">
        <w:rPr>
          <w:rFonts w:ascii="Verdana" w:eastAsia="Arial" w:hAnsi="Verdana" w:cs="Arial"/>
          <w:i/>
          <w:sz w:val="20"/>
          <w:szCs w:val="20"/>
          <w:lang w:val="es-ES" w:eastAsia="es-ES" w:bidi="es-ES"/>
        </w:rPr>
        <w:t>En segundo lugar</w:t>
      </w:r>
      <w:r w:rsidRPr="001D0350">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A8B4C9D" w14:textId="77777777" w:rsidR="001D0350" w:rsidRPr="001D0350" w:rsidRDefault="001D0350" w:rsidP="001D0350">
      <w:pPr>
        <w:spacing w:line="240" w:lineRule="auto"/>
        <w:jc w:val="both"/>
        <w:rPr>
          <w:rFonts w:ascii="Verdana" w:eastAsia="Arial" w:hAnsi="Verdana" w:cs="Arial"/>
          <w:sz w:val="20"/>
          <w:szCs w:val="20"/>
          <w:lang w:val="es-ES" w:eastAsia="es-ES" w:bidi="es-ES"/>
        </w:rPr>
      </w:pPr>
      <w:r w:rsidRPr="001D0350">
        <w:rPr>
          <w:rFonts w:ascii="Verdana" w:eastAsia="Arial" w:hAnsi="Verdana" w:cs="Arial"/>
          <w:sz w:val="20"/>
          <w:szCs w:val="20"/>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64C37B32" w14:textId="32EC3A7A" w:rsidR="00A359C2" w:rsidRPr="001D0350" w:rsidRDefault="00A359C2" w:rsidP="001D0350">
      <w:pPr>
        <w:spacing w:line="240" w:lineRule="auto"/>
        <w:jc w:val="both"/>
        <w:rPr>
          <w:rFonts w:ascii="Verdana" w:eastAsia="Arial" w:hAnsi="Verdana" w:cs="Arial"/>
          <w:b/>
          <w:bCs/>
          <w:lang w:val="es-ES" w:eastAsia="es-ES" w:bidi="es-ES"/>
        </w:rPr>
      </w:pPr>
      <w:r w:rsidRPr="001D0350">
        <w:rPr>
          <w:rFonts w:ascii="Verdana" w:eastAsia="Arial" w:hAnsi="Verdana" w:cs="Arial"/>
          <w:b/>
          <w:bCs/>
          <w:lang w:val="es-ES" w:eastAsia="es-ES" w:bidi="es-ES"/>
        </w:rPr>
        <w:t xml:space="preserve">LEY DE GARANTÍAS ELECTORALES – Excepciones </w:t>
      </w:r>
    </w:p>
    <w:p w14:paraId="364A62F1" w14:textId="6CA73C37" w:rsidR="0025711A" w:rsidRPr="001D0350" w:rsidRDefault="002104A3" w:rsidP="002104A3">
      <w:pPr>
        <w:spacing w:line="240" w:lineRule="auto"/>
        <w:jc w:val="both"/>
        <w:rPr>
          <w:rFonts w:ascii="Verdana" w:eastAsia="Arial" w:hAnsi="Verdana" w:cs="Arial"/>
          <w:sz w:val="20"/>
          <w:szCs w:val="20"/>
          <w:lang w:val="es-ES" w:eastAsia="es-ES" w:bidi="es-ES"/>
        </w:rPr>
      </w:pPr>
      <w:r w:rsidRPr="001D0350">
        <w:rPr>
          <w:rFonts w:ascii="Verdana" w:eastAsia="Arial" w:hAnsi="Verdana" w:cs="Arial"/>
          <w:sz w:val="20"/>
          <w:szCs w:val="20"/>
          <w:lang w:val="es-ES" w:eastAsia="es-ES" w:bidi="es-ES"/>
        </w:rPr>
        <w:t xml:space="preserve">[…] </w:t>
      </w:r>
      <w:r w:rsidR="0025711A" w:rsidRPr="001D0350">
        <w:rPr>
          <w:rFonts w:ascii="Verdana" w:eastAsia="Arial" w:hAnsi="Verdana" w:cs="Arial"/>
          <w:sz w:val="20"/>
          <w:szCs w:val="20"/>
          <w:lang w:val="es-ES" w:eastAsia="es-ES" w:bidi="es-ES"/>
        </w:rPr>
        <w:t xml:space="preserve">las excepciones a la restricción prevista en la Ley de Garantías, con fundamento </w:t>
      </w:r>
      <w:r w:rsidR="0025711A" w:rsidRPr="002104A3">
        <w:rPr>
          <w:rFonts w:ascii="Verdana" w:eastAsia="Times New Roman" w:hAnsi="Verdana" w:cs="Arial"/>
          <w:bCs/>
          <w:sz w:val="20"/>
          <w:szCs w:val="20"/>
          <w:lang w:val="es-MX" w:eastAsia="x-none"/>
        </w:rPr>
        <w:t xml:space="preserve">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0025711A" w:rsidRPr="002104A3">
        <w:rPr>
          <w:rFonts w:ascii="Verdana" w:eastAsia="Times New Roman" w:hAnsi="Verdana" w:cs="Arial"/>
          <w:bCs/>
          <w:sz w:val="20"/>
          <w:szCs w:val="20"/>
          <w:lang w:val="es-MX" w:eastAsia="x-none"/>
        </w:rPr>
        <w:t>ii</w:t>
      </w:r>
      <w:proofErr w:type="spellEnd"/>
      <w:r w:rsidR="0025711A" w:rsidRPr="002104A3">
        <w:rPr>
          <w:rFonts w:ascii="Verdana" w:eastAsia="Times New Roman" w:hAnsi="Verdana" w:cs="Arial"/>
          <w:bCs/>
          <w:sz w:val="20"/>
          <w:szCs w:val="20"/>
          <w:lang w:val="es-MX" w:eastAsia="x-none"/>
        </w:rPr>
        <w:t xml:space="preserve">) los contratos de crédito público; </w:t>
      </w:r>
      <w:proofErr w:type="spellStart"/>
      <w:r w:rsidR="0025711A" w:rsidRPr="002104A3">
        <w:rPr>
          <w:rFonts w:ascii="Verdana" w:eastAsia="Times New Roman" w:hAnsi="Verdana" w:cs="Arial"/>
          <w:bCs/>
          <w:sz w:val="20"/>
          <w:szCs w:val="20"/>
          <w:lang w:val="es-MX" w:eastAsia="x-none"/>
        </w:rPr>
        <w:t>iii</w:t>
      </w:r>
      <w:proofErr w:type="spellEnd"/>
      <w:r w:rsidR="0025711A" w:rsidRPr="002104A3">
        <w:rPr>
          <w:rFonts w:ascii="Verdana" w:eastAsia="Times New Roman" w:hAnsi="Verdana" w:cs="Arial"/>
          <w:bCs/>
          <w:sz w:val="20"/>
          <w:szCs w:val="20"/>
          <w:lang w:val="es-MX" w:eastAsia="x-none"/>
        </w:rPr>
        <w:t xml:space="preserve">) los requeridos para cubrir las emergencias educativas, sanitarias y desastres; </w:t>
      </w:r>
      <w:proofErr w:type="spellStart"/>
      <w:r w:rsidR="0025711A" w:rsidRPr="002104A3">
        <w:rPr>
          <w:rFonts w:ascii="Verdana" w:eastAsia="Times New Roman" w:hAnsi="Verdana" w:cs="Arial"/>
          <w:bCs/>
          <w:sz w:val="20"/>
          <w:szCs w:val="20"/>
          <w:lang w:val="es-MX" w:eastAsia="x-none"/>
        </w:rPr>
        <w:t>iv</w:t>
      </w:r>
      <w:proofErr w:type="spellEnd"/>
      <w:r w:rsidR="0025711A" w:rsidRPr="002104A3">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0025711A" w:rsidRPr="002104A3">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w:t>
      </w:r>
      <w:r w:rsidR="0025711A" w:rsidRPr="002104A3">
        <w:rPr>
          <w:rFonts w:ascii="Verdana" w:eastAsia="Times New Roman" w:hAnsi="Verdana" w:cs="Arial"/>
          <w:bCs/>
          <w:sz w:val="20"/>
          <w:szCs w:val="20"/>
          <w:lang w:val="es-MX" w:eastAsia="es-CO"/>
        </w:rPr>
        <w:lastRenderedPageBreak/>
        <w:t xml:space="preserve">excepciones, de manera que se le permita realizar la contratación que necesite en </w:t>
      </w:r>
      <w:r w:rsidR="0025711A" w:rsidRPr="001D0350">
        <w:rPr>
          <w:rFonts w:ascii="Verdana" w:eastAsia="Arial" w:hAnsi="Verdana" w:cs="Arial"/>
          <w:sz w:val="20"/>
          <w:szCs w:val="20"/>
          <w:lang w:val="es-ES" w:eastAsia="es-ES" w:bidi="es-ES"/>
        </w:rPr>
        <w:t>forma directa.</w:t>
      </w:r>
    </w:p>
    <w:p w14:paraId="2F0CF206" w14:textId="0335E379" w:rsidR="00A359C2" w:rsidRPr="001D0350" w:rsidRDefault="00A359C2" w:rsidP="001D0350">
      <w:pPr>
        <w:spacing w:line="240" w:lineRule="auto"/>
        <w:jc w:val="both"/>
        <w:rPr>
          <w:rFonts w:ascii="Verdana" w:eastAsia="Arial" w:hAnsi="Verdana" w:cs="Arial"/>
          <w:b/>
          <w:bCs/>
          <w:lang w:val="es-ES" w:eastAsia="es-ES" w:bidi="es-ES"/>
        </w:rPr>
      </w:pPr>
      <w:r w:rsidRPr="001D0350">
        <w:rPr>
          <w:rFonts w:ascii="Verdana" w:eastAsia="Arial" w:hAnsi="Verdana" w:cs="Arial"/>
          <w:b/>
          <w:bCs/>
          <w:lang w:val="es-ES" w:eastAsia="es-ES" w:bidi="es-ES"/>
        </w:rPr>
        <w:t xml:space="preserve">LEY DE GARANTÍAS ELECTORALES – Condiciones de igualdad – Contratación directa </w:t>
      </w:r>
    </w:p>
    <w:p w14:paraId="5F7F4B18" w14:textId="77777777" w:rsidR="005F7EDB" w:rsidRPr="005F7EDB" w:rsidRDefault="005F7EDB" w:rsidP="001D0350">
      <w:pPr>
        <w:spacing w:line="240" w:lineRule="auto"/>
        <w:jc w:val="both"/>
        <w:rPr>
          <w:rFonts w:ascii="Verdana" w:eastAsia="Arial" w:hAnsi="Verdana" w:cs="Arial"/>
          <w:sz w:val="20"/>
          <w:szCs w:val="20"/>
          <w:lang w:val="es-ES" w:eastAsia="es-ES" w:bidi="es-ES"/>
        </w:rPr>
      </w:pPr>
      <w:r w:rsidRPr="005F7EDB">
        <w:rPr>
          <w:rFonts w:ascii="Verdana" w:eastAsia="Arial" w:hAnsi="Verdana" w:cs="Arial"/>
          <w:sz w:val="20"/>
          <w:szCs w:val="20"/>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9147E0A" w14:textId="3A5A2367" w:rsidR="00A359C2" w:rsidRPr="001D0350" w:rsidRDefault="00A359C2" w:rsidP="001D0350">
      <w:pPr>
        <w:spacing w:line="240" w:lineRule="auto"/>
        <w:jc w:val="both"/>
        <w:rPr>
          <w:rFonts w:ascii="Verdana" w:eastAsia="Arial" w:hAnsi="Verdana" w:cs="Arial"/>
          <w:b/>
          <w:bCs/>
          <w:lang w:val="es-ES" w:eastAsia="es-ES" w:bidi="es-ES"/>
        </w:rPr>
      </w:pPr>
      <w:r w:rsidRPr="001D0350">
        <w:rPr>
          <w:rFonts w:ascii="Verdana" w:eastAsia="Arial" w:hAnsi="Verdana" w:cs="Arial"/>
          <w:b/>
          <w:bCs/>
          <w:lang w:val="es-ES" w:eastAsia="es-ES" w:bidi="es-ES"/>
        </w:rPr>
        <w:t>CONTRATACIÓN DIRECTA – Arrendamiento – Bienes inmuebles – Alcance</w:t>
      </w:r>
    </w:p>
    <w:p w14:paraId="15CFC79C" w14:textId="77777777" w:rsidR="00FB7025" w:rsidRPr="00FB7025" w:rsidRDefault="00FB7025" w:rsidP="001D0350">
      <w:pPr>
        <w:spacing w:line="240" w:lineRule="auto"/>
        <w:jc w:val="both"/>
        <w:rPr>
          <w:rFonts w:ascii="Verdana" w:hAnsi="Verdana" w:cs="Arial"/>
          <w:bCs/>
          <w:color w:val="000000" w:themeColor="text1"/>
          <w:sz w:val="20"/>
          <w:szCs w:val="20"/>
          <w:lang w:val="es-ES"/>
        </w:rPr>
      </w:pPr>
      <w:r w:rsidRPr="001D0350">
        <w:rPr>
          <w:rFonts w:ascii="Verdana" w:eastAsia="Arial" w:hAnsi="Verdana" w:cs="Arial"/>
          <w:sz w:val="20"/>
          <w:szCs w:val="20"/>
          <w:lang w:val="es-ES" w:eastAsia="es-ES" w:bidi="es-ES"/>
        </w:rPr>
        <w:t>Respecto</w:t>
      </w:r>
      <w:r w:rsidRPr="00FB7025">
        <w:rPr>
          <w:rFonts w:ascii="Verdana" w:hAnsi="Verdana" w:cs="Arial"/>
          <w:bCs/>
          <w:color w:val="000000" w:themeColor="text1"/>
          <w:sz w:val="20"/>
          <w:szCs w:val="20"/>
          <w:lang w:val="es-ES"/>
        </w:rPr>
        <w:t xml:space="preserve"> al literal i) del artículo 2.4 de la Ley 1150 de 2011, al igual que el literal e) del derogado artículo 24.1 de la Ley 80 de 1993, el EGCAP permite la contratación directa tratándose</w:t>
      </w:r>
      <w:r w:rsidRPr="00FB7025">
        <w:rPr>
          <w:rFonts w:ascii="Verdana" w:hAnsi="Verdana" w:cs="Arial"/>
          <w:sz w:val="20"/>
          <w:szCs w:val="20"/>
          <w:lang w:eastAsia="es-MX"/>
        </w:rPr>
        <w:t xml:space="preserve"> de “El arrendamiento […] de inmuebles”. </w:t>
      </w:r>
      <w:r w:rsidRPr="00FB7025">
        <w:rPr>
          <w:rFonts w:ascii="Verdana" w:hAnsi="Verdana" w:cs="Arial"/>
          <w:bCs/>
          <w:color w:val="000000" w:themeColor="text1"/>
          <w:sz w:val="20"/>
          <w:szCs w:val="20"/>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FB7025">
        <w:rPr>
          <w:rFonts w:ascii="Verdana" w:hAnsi="Verdana" w:cs="Arial"/>
          <w:sz w:val="20"/>
          <w:szCs w:val="20"/>
          <w:lang w:eastAsia="es-MX"/>
        </w:rPr>
        <w:t xml:space="preserve"> </w:t>
      </w:r>
    </w:p>
    <w:p w14:paraId="4191EA21" w14:textId="5F297A6C" w:rsidR="00FB7025" w:rsidRPr="00FB7025" w:rsidRDefault="00FB7025" w:rsidP="00FB7025">
      <w:pPr>
        <w:spacing w:line="240" w:lineRule="auto"/>
        <w:jc w:val="both"/>
        <w:rPr>
          <w:rFonts w:ascii="Verdana" w:eastAsia="Calibri" w:hAnsi="Verdana" w:cs="Arial"/>
          <w:b/>
          <w:bCs/>
          <w:sz w:val="20"/>
          <w:szCs w:val="20"/>
          <w:lang w:val="es-ES" w:eastAsia="es-ES"/>
        </w:rPr>
      </w:pPr>
      <w:r w:rsidRPr="00FB7025">
        <w:rPr>
          <w:rFonts w:ascii="Verdana" w:eastAsia="Times New Roman" w:hAnsi="Verdana" w:cs="Arial"/>
          <w:sz w:val="20"/>
          <w:szCs w:val="20"/>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00FB7025">
        <w:rPr>
          <w:rFonts w:ascii="Verdana" w:eastAsia="Times New Roman" w:hAnsi="Verdana" w:cs="Arial"/>
          <w:i/>
          <w:iCs/>
          <w:sz w:val="20"/>
          <w:szCs w:val="20"/>
          <w:lang w:eastAsia="es-MX"/>
        </w:rPr>
        <w:t>Por tanto, también para el caso en el que actúa como arrendadora puede acudir a un evento especial de contratación directa</w:t>
      </w:r>
      <w:r w:rsidRPr="00FB7025">
        <w:rPr>
          <w:rFonts w:ascii="Verdana" w:eastAsia="Times New Roman" w:hAnsi="Verdana" w:cs="Arial"/>
          <w:sz w:val="20"/>
          <w:szCs w:val="20"/>
          <w:lang w:eastAsia="es-MX"/>
        </w:rPr>
        <w:t xml:space="preserve"> […]”</w:t>
      </w:r>
      <w:r w:rsidRPr="00FB7025">
        <w:rPr>
          <w:rStyle w:val="Refdenotaalpie"/>
          <w:rFonts w:ascii="Verdana" w:eastAsia="Times New Roman" w:hAnsi="Verdana" w:cs="Arial"/>
          <w:sz w:val="20"/>
          <w:szCs w:val="20"/>
          <w:lang w:eastAsia="es-MX"/>
        </w:rPr>
        <w:footnoteReference w:id="1"/>
      </w:r>
      <w:r w:rsidRPr="00FB7025">
        <w:rPr>
          <w:rFonts w:ascii="Verdana" w:eastAsia="Times New Roman" w:hAnsi="Verdana" w:cs="Arial"/>
          <w:sz w:val="20"/>
          <w:szCs w:val="20"/>
          <w:lang w:eastAsia="es-MX"/>
        </w:rPr>
        <w:t xml:space="preserve"> (Énfasis fuera de texto). Dicho entendimiento tampoco cambió después de la reforma de la Ley 1150 de 2007, pues DÁVILA VINUEZA considera que “</w:t>
      </w:r>
      <w:r w:rsidRPr="00FB7025">
        <w:rPr>
          <w:rFonts w:ascii="Verdana" w:eastAsia="Times New Roman" w:hAnsi="Verdana" w:cs="Arial"/>
          <w:i/>
          <w:iCs/>
          <w:sz w:val="20"/>
          <w:szCs w:val="20"/>
          <w:lang w:eastAsia="es-MX"/>
        </w:rPr>
        <w:t>La contratación directa está admitida tanto cuando la entidad es arrendataria como cuando es arrendadora y no se requiere obtener varias ofertas</w:t>
      </w:r>
      <w:r w:rsidRPr="00FB7025">
        <w:rPr>
          <w:rFonts w:ascii="Verdana" w:eastAsia="Times New Roman" w:hAnsi="Verdana" w:cs="Arial"/>
          <w:sz w:val="20"/>
          <w:szCs w:val="20"/>
          <w:lang w:eastAsia="es-MX"/>
        </w:rPr>
        <w:t xml:space="preserve"> […]”</w:t>
      </w:r>
      <w:r w:rsidRPr="00FB7025">
        <w:rPr>
          <w:rStyle w:val="Refdenotaalpie"/>
          <w:rFonts w:ascii="Verdana" w:eastAsia="Times New Roman" w:hAnsi="Verdana" w:cs="Arial"/>
          <w:sz w:val="20"/>
          <w:szCs w:val="20"/>
          <w:lang w:eastAsia="es-MX"/>
        </w:rPr>
        <w:footnoteReference w:id="2"/>
      </w:r>
      <w:r w:rsidRPr="00FB7025">
        <w:rPr>
          <w:rFonts w:ascii="Verdana" w:eastAsia="Times New Roman" w:hAnsi="Verdana" w:cs="Arial"/>
          <w:sz w:val="20"/>
          <w:szCs w:val="20"/>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p>
    <w:p w14:paraId="5BA5BE63" w14:textId="0085D3A1" w:rsidR="00A359C2" w:rsidRDefault="00A359C2">
      <w:pPr>
        <w:rPr>
          <w:rFonts w:ascii="Verdana" w:eastAsia="Verdana" w:hAnsi="Verdana" w:cs="Verdana"/>
        </w:rPr>
      </w:pPr>
    </w:p>
    <w:p w14:paraId="18E10FD0" w14:textId="77777777" w:rsidR="00A359C2" w:rsidRDefault="00A359C2">
      <w:pPr>
        <w:rPr>
          <w:rFonts w:ascii="Verdana" w:eastAsia="Verdana" w:hAnsi="Verdana" w:cs="Verdana"/>
        </w:rPr>
      </w:pPr>
      <w:r>
        <w:rPr>
          <w:rFonts w:ascii="Verdana" w:eastAsia="Verdana" w:hAnsi="Verdana" w:cs="Verdana"/>
        </w:rPr>
        <w:br w:type="page"/>
      </w:r>
    </w:p>
    <w:p w14:paraId="1468C46D" w14:textId="1A2BAEE4" w:rsidR="00C15139" w:rsidRPr="0024624F" w:rsidRDefault="00E863B5" w:rsidP="30821638">
      <w:pPr>
        <w:spacing w:after="0"/>
        <w:rPr>
          <w:rFonts w:ascii="Verdana" w:eastAsia="Verdana" w:hAnsi="Verdana" w:cs="Verdana"/>
        </w:rPr>
      </w:pPr>
      <w:r w:rsidRPr="00E863B5">
        <w:rPr>
          <w:rFonts w:ascii="Verdana" w:eastAsia="Calibri" w:hAnsi="Verdana" w:cs="Times New Roman"/>
          <w:b/>
          <w:bCs/>
          <w:noProof/>
        </w:rPr>
        <w:lastRenderedPageBreak/>
        <w:drawing>
          <wp:anchor distT="0" distB="0" distL="114300" distR="114300" simplePos="0" relativeHeight="251658240" behindDoc="1" locked="0" layoutInCell="1" allowOverlap="1" wp14:anchorId="3A30E65E" wp14:editId="297BACF5">
            <wp:simplePos x="0" y="0"/>
            <wp:positionH relativeFrom="margin">
              <wp:posOffset>2739150</wp:posOffset>
            </wp:positionH>
            <wp:positionV relativeFrom="paragraph">
              <wp:posOffset>17037</wp:posOffset>
            </wp:positionV>
            <wp:extent cx="2872500" cy="794126"/>
            <wp:effectExtent l="0" t="0" r="4445" b="6350"/>
            <wp:wrapNone/>
            <wp:docPr id="4017444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2500" cy="7941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Bogotá D.C.,</w:t>
      </w:r>
      <w:r>
        <w:rPr>
          <w:rFonts w:ascii="Verdana" w:eastAsia="Verdana" w:hAnsi="Verdana" w:cs="Verdana"/>
        </w:rPr>
        <w:t xml:space="preserve"> 01 Abril 2026</w:t>
      </w:r>
    </w:p>
    <w:p w14:paraId="313F7C31" w14:textId="77777777" w:rsidR="00E863B5" w:rsidRDefault="00E863B5" w:rsidP="00B65BE1">
      <w:pPr>
        <w:spacing w:after="0" w:line="276" w:lineRule="auto"/>
        <w:jc w:val="both"/>
        <w:rPr>
          <w:rFonts w:ascii="Verdana" w:eastAsia="Calibri" w:hAnsi="Verdana" w:cs="Arial"/>
          <w:lang w:eastAsia="es-ES"/>
        </w:rPr>
      </w:pPr>
    </w:p>
    <w:p w14:paraId="14F4DA99" w14:textId="44133E07" w:rsidR="00B65BE1" w:rsidRPr="00C15DD4" w:rsidRDefault="00B65BE1" w:rsidP="00B65BE1">
      <w:pPr>
        <w:spacing w:after="0" w:line="276" w:lineRule="auto"/>
        <w:jc w:val="both"/>
        <w:rPr>
          <w:rFonts w:ascii="Verdana" w:eastAsia="Calibri" w:hAnsi="Verdana" w:cs="Arial"/>
          <w:lang w:eastAsia="es-ES"/>
        </w:rPr>
      </w:pPr>
      <w:r w:rsidRPr="00C15DD4">
        <w:rPr>
          <w:rFonts w:ascii="Verdana" w:eastAsia="Calibri" w:hAnsi="Verdana" w:cs="Arial"/>
          <w:lang w:eastAsia="es-ES"/>
        </w:rPr>
        <w:t>Señor</w:t>
      </w:r>
    </w:p>
    <w:p w14:paraId="1072CD71" w14:textId="587EC5C2" w:rsidR="00B65BE1" w:rsidRPr="00C15DD4" w:rsidRDefault="00FE7A95" w:rsidP="00B65BE1">
      <w:pPr>
        <w:spacing w:after="0" w:line="276" w:lineRule="auto"/>
        <w:rPr>
          <w:rFonts w:ascii="Verdana" w:eastAsia="Calibri" w:hAnsi="Verdana" w:cs="Arial"/>
          <w:b/>
          <w:bCs/>
          <w:lang w:eastAsia="es-ES"/>
        </w:rPr>
      </w:pPr>
      <w:r w:rsidRPr="00FE7A95">
        <w:rPr>
          <w:rFonts w:ascii="Verdana" w:eastAsia="Calibri" w:hAnsi="Verdana" w:cs="Times New Roman"/>
          <w:b/>
          <w:bCs/>
        </w:rPr>
        <w:t>Luis Eduardo Cortes Pirazan</w:t>
      </w:r>
      <w:r w:rsidRPr="00C15DD4">
        <w:rPr>
          <w:rFonts w:ascii="Verdana" w:eastAsia="Calibri" w:hAnsi="Verdana" w:cs="Times New Roman"/>
          <w:b/>
          <w:bCs/>
        </w:rPr>
        <w:tab/>
      </w:r>
      <w:r w:rsidRPr="00C15DD4">
        <w:rPr>
          <w:rFonts w:ascii="Verdana" w:eastAsia="Calibri" w:hAnsi="Verdana" w:cs="Times New Roman"/>
          <w:b/>
          <w:bCs/>
        </w:rPr>
        <w:tab/>
      </w:r>
      <w:r w:rsidR="00B65BE1" w:rsidRPr="00C15DD4">
        <w:rPr>
          <w:rFonts w:ascii="Verdana" w:eastAsia="Calibri" w:hAnsi="Verdana" w:cs="Times New Roman"/>
          <w:b/>
          <w:bCs/>
        </w:rPr>
        <w:tab/>
      </w:r>
    </w:p>
    <w:p w14:paraId="24CF470B" w14:textId="260E9687" w:rsidR="00FE7A95" w:rsidRPr="00FE7A95" w:rsidRDefault="00FE7A95" w:rsidP="00B65BE1">
      <w:pPr>
        <w:spacing w:after="0" w:line="276" w:lineRule="auto"/>
        <w:rPr>
          <w:rFonts w:ascii="Verdana" w:hAnsi="Verdana"/>
        </w:rPr>
      </w:pPr>
      <w:hyperlink r:id="rId11" w:history="1">
        <w:r w:rsidRPr="00FE7A95">
          <w:rPr>
            <w:rStyle w:val="Hipervnculo"/>
            <w:rFonts w:ascii="Verdana" w:hAnsi="Verdana"/>
          </w:rPr>
          <w:t>cordech@gmail.com</w:t>
        </w:r>
      </w:hyperlink>
    </w:p>
    <w:p w14:paraId="0A072EF3" w14:textId="60FF65F3" w:rsidR="00892D76" w:rsidRDefault="00FE7A95" w:rsidP="00892D76">
      <w:pPr>
        <w:spacing w:line="276" w:lineRule="auto"/>
        <w:rPr>
          <w:rFonts w:ascii="Verdana" w:hAnsi="Verdana"/>
        </w:rPr>
      </w:pPr>
      <w:r>
        <w:rPr>
          <w:rFonts w:ascii="Verdana" w:hAnsi="Verdana"/>
        </w:rPr>
        <w:t>Chiquinquirá - Boyacá</w:t>
      </w:r>
      <w:r w:rsidR="00B65BE1">
        <w:rPr>
          <w:rFonts w:ascii="Verdana" w:hAnsi="Verdana"/>
        </w:rPr>
        <w:t>, Colombia</w:t>
      </w:r>
    </w:p>
    <w:p w14:paraId="3DFA7389" w14:textId="77777777" w:rsidR="00892D76" w:rsidRPr="00892D76" w:rsidRDefault="00892D76" w:rsidP="00892D76">
      <w:pPr>
        <w:spacing w:after="0" w:line="276" w:lineRule="auto"/>
        <w:rPr>
          <w:rFonts w:ascii="Verdana" w:hAnsi="Verdana"/>
        </w:rPr>
      </w:pPr>
    </w:p>
    <w:p w14:paraId="0C82F305" w14:textId="2D3819C9" w:rsidR="00B65BE1" w:rsidRPr="00C15DD4" w:rsidRDefault="00B65BE1" w:rsidP="00892D76">
      <w:pPr>
        <w:spacing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C – </w:t>
      </w:r>
      <w:r w:rsidR="00377D0E">
        <w:rPr>
          <w:rFonts w:ascii="Verdana" w:eastAsia="Calibri" w:hAnsi="Verdana" w:cs="Arial"/>
          <w:b/>
          <w:bCs/>
          <w:lang w:eastAsia="es-ES"/>
        </w:rPr>
        <w:t>270</w:t>
      </w:r>
      <w:r w:rsidRPr="00C15DD4">
        <w:rPr>
          <w:rFonts w:ascii="Verdana" w:eastAsia="Calibri" w:hAnsi="Verdana" w:cs="Arial"/>
          <w:b/>
          <w:bCs/>
          <w:lang w:eastAsia="es-ES"/>
        </w:rPr>
        <w:t xml:space="preserve"> de 20</w:t>
      </w:r>
      <w:r w:rsidR="00377D0E">
        <w:rPr>
          <w:rFonts w:ascii="Verdana" w:eastAsia="Calibri" w:hAnsi="Verdana" w:cs="Arial"/>
          <w:b/>
          <w:bCs/>
          <w:lang w:eastAsia="es-ES"/>
        </w:rPr>
        <w:t>2</w:t>
      </w:r>
      <w:r w:rsidRPr="00C15DD4">
        <w:rPr>
          <w:rFonts w:ascii="Verdana" w:eastAsia="Calibri" w:hAnsi="Verdana" w:cs="Arial"/>
          <w:b/>
          <w:bCs/>
          <w:lang w:eastAsia="es-ES"/>
        </w:rPr>
        <w:t>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65BE1" w:rsidRPr="00C15DD4" w14:paraId="0FC17305" w14:textId="77777777" w:rsidTr="00D36099">
        <w:trPr>
          <w:trHeight w:val="884"/>
        </w:trPr>
        <w:tc>
          <w:tcPr>
            <w:tcW w:w="2689" w:type="dxa"/>
          </w:tcPr>
          <w:p w14:paraId="3CF98D43" w14:textId="77777777" w:rsidR="00B65BE1" w:rsidRPr="00C15DD4" w:rsidRDefault="00B65BE1" w:rsidP="00D36099">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6BBAAD52" w14:textId="08EE979C" w:rsidR="00D006B8" w:rsidRPr="00A11406" w:rsidRDefault="00D006B8" w:rsidP="00D006B8">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LEY DE GARANTÍAS ELECTORALES – Prohibición artículo 33 – Contratación directa – Alcance / LEY DE GARANTÍAS ELECTORALES – Excepciones / LEY DE GARANTÍAS ELECTORALES – Condiciones de igualdad – Contratación directa</w:t>
            </w:r>
            <w:r>
              <w:rPr>
                <w:rFonts w:ascii="Verdana" w:eastAsia="Calibri" w:hAnsi="Verdana" w:cs="Arial"/>
                <w:lang w:val="es-ES" w:eastAsia="es-ES"/>
              </w:rPr>
              <w:t xml:space="preserve"> / </w:t>
            </w:r>
            <w:r w:rsidRPr="00EF1386">
              <w:rPr>
                <w:rFonts w:ascii="Verdana" w:eastAsia="Calibri" w:hAnsi="Verdana" w:cs="Arial"/>
                <w:lang w:val="es-ES" w:eastAsia="es-ES"/>
              </w:rPr>
              <w:t>CONTRATACIÓN DIRECTA – Arrendamiento – Bienes inmuebles – Alcance</w:t>
            </w:r>
          </w:p>
          <w:p w14:paraId="265115E3" w14:textId="77777777" w:rsidR="00B65BE1" w:rsidRPr="00C15DD4" w:rsidRDefault="00B65BE1" w:rsidP="00D36099">
            <w:pPr>
              <w:jc w:val="both"/>
              <w:rPr>
                <w:rFonts w:ascii="Verdana" w:eastAsia="Calibri" w:hAnsi="Verdana" w:cs="Arial"/>
                <w:lang w:eastAsia="es-ES"/>
              </w:rPr>
            </w:pPr>
          </w:p>
        </w:tc>
      </w:tr>
      <w:tr w:rsidR="00B65BE1" w:rsidRPr="00C15DD4" w14:paraId="48D046DF" w14:textId="77777777" w:rsidTr="00D36099">
        <w:tc>
          <w:tcPr>
            <w:tcW w:w="2689" w:type="dxa"/>
          </w:tcPr>
          <w:p w14:paraId="0B663A39" w14:textId="77777777" w:rsidR="00B65BE1" w:rsidRPr="00C15DD4" w:rsidRDefault="00B65BE1" w:rsidP="00D36099">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6BD4410B" w14:textId="13BF2A50" w:rsidR="00B65BE1" w:rsidRPr="00C15DD4" w:rsidRDefault="00B65BE1" w:rsidP="00D36099">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005B3027" w:rsidRPr="005B3027">
              <w:rPr>
                <w:rFonts w:ascii="Verdana" w:eastAsia="Calibri" w:hAnsi="Verdana" w:cs="Arial"/>
                <w:lang w:eastAsia="es-ES_tradnl"/>
              </w:rPr>
              <w:t>1_2026_02_20_002368</w:t>
            </w:r>
          </w:p>
        </w:tc>
      </w:tr>
    </w:tbl>
    <w:p w14:paraId="5F62BDAE" w14:textId="0D027CAC" w:rsidR="00B65BE1" w:rsidRPr="00C15DD4" w:rsidRDefault="00B65BE1" w:rsidP="00892D76">
      <w:pPr>
        <w:spacing w:before="240"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Pr>
          <w:rFonts w:ascii="Verdana" w:eastAsia="Calibri" w:hAnsi="Verdana" w:cs="Arial"/>
          <w:lang w:eastAsia="es-ES"/>
        </w:rPr>
        <w:t xml:space="preserve">señor </w:t>
      </w:r>
      <w:r w:rsidR="00046A8A" w:rsidRPr="00046A8A">
        <w:rPr>
          <w:rFonts w:ascii="Verdana" w:eastAsia="Calibri" w:hAnsi="Verdana" w:cs="Arial"/>
          <w:lang w:eastAsia="es-ES"/>
        </w:rPr>
        <w:t>Cortes</w:t>
      </w:r>
      <w:r>
        <w:rPr>
          <w:rFonts w:ascii="Verdana" w:eastAsia="Calibri" w:hAnsi="Verdana" w:cs="Arial"/>
          <w:lang w:eastAsia="es-ES"/>
        </w:rPr>
        <w:t>,</w:t>
      </w:r>
    </w:p>
    <w:p w14:paraId="6A13A928" w14:textId="77777777" w:rsidR="00B65BE1" w:rsidRPr="00C15DD4" w:rsidRDefault="00B65BE1" w:rsidP="00B65BE1">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0F4D4CE2" w14:textId="682C818F" w:rsidR="00B65BE1" w:rsidRPr="00C15DD4" w:rsidRDefault="00B65BE1" w:rsidP="00B65BE1">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sidR="00892D76">
        <w:rPr>
          <w:rFonts w:ascii="Verdana" w:eastAsia="Calibri" w:hAnsi="Verdana" w:cs="Arial"/>
          <w:color w:val="000000"/>
          <w:lang w:eastAsia="es-ES"/>
        </w:rPr>
        <w:t>20</w:t>
      </w:r>
      <w:r w:rsidRPr="00C15DD4">
        <w:rPr>
          <w:rFonts w:ascii="Verdana" w:eastAsia="Calibri" w:hAnsi="Verdana" w:cs="Arial"/>
          <w:color w:val="000000"/>
          <w:lang w:eastAsia="es-ES"/>
        </w:rPr>
        <w:t xml:space="preserve"> de </w:t>
      </w:r>
      <w:r w:rsidR="00892D76">
        <w:rPr>
          <w:rFonts w:ascii="Verdana" w:eastAsia="Calibri" w:hAnsi="Verdana" w:cs="Arial"/>
          <w:color w:val="000000"/>
          <w:lang w:eastAsia="es-ES"/>
        </w:rPr>
        <w:t>febrero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238B3C6A" w14:textId="77777777" w:rsidR="00B65BE1" w:rsidRPr="00C15DD4" w:rsidRDefault="00B65BE1" w:rsidP="00B65BE1">
      <w:pPr>
        <w:spacing w:after="0" w:line="276" w:lineRule="auto"/>
        <w:jc w:val="both"/>
        <w:rPr>
          <w:rFonts w:ascii="Verdana" w:eastAsia="Calibri" w:hAnsi="Verdana" w:cs="Arial"/>
          <w:i/>
          <w:iCs/>
          <w:lang w:eastAsia="es-ES"/>
        </w:rPr>
      </w:pPr>
    </w:p>
    <w:p w14:paraId="551F94E2" w14:textId="77777777" w:rsidR="00E32F02" w:rsidRPr="00E32F02" w:rsidRDefault="00B65BE1" w:rsidP="00E32F02">
      <w:pPr>
        <w:spacing w:after="0" w:line="276" w:lineRule="auto"/>
        <w:ind w:left="709" w:right="709"/>
        <w:jc w:val="both"/>
        <w:rPr>
          <w:rFonts w:ascii="Verdana" w:eastAsia="Arial" w:hAnsi="Verdana" w:cs="Arial"/>
          <w:i/>
          <w:iCs/>
          <w:color w:val="000000" w:themeColor="text1"/>
          <w:sz w:val="20"/>
          <w:szCs w:val="20"/>
        </w:rPr>
      </w:pPr>
      <w:r w:rsidRPr="00E32F02">
        <w:rPr>
          <w:rFonts w:ascii="Verdana" w:eastAsia="Arial" w:hAnsi="Verdana" w:cs="Arial"/>
          <w:i/>
          <w:iCs/>
          <w:color w:val="000000" w:themeColor="text1"/>
          <w:sz w:val="20"/>
          <w:szCs w:val="20"/>
        </w:rPr>
        <w:t>“</w:t>
      </w:r>
      <w:bookmarkEnd w:id="1"/>
      <w:r w:rsidRPr="00E32F02">
        <w:rPr>
          <w:rFonts w:ascii="Verdana" w:eastAsia="Arial" w:hAnsi="Verdana" w:cs="Arial"/>
          <w:i/>
          <w:iCs/>
          <w:color w:val="000000" w:themeColor="text1"/>
          <w:sz w:val="20"/>
          <w:szCs w:val="20"/>
        </w:rPr>
        <w:t xml:space="preserve">(…) </w:t>
      </w:r>
    </w:p>
    <w:p w14:paraId="7CE9B824" w14:textId="77777777" w:rsidR="00E32F02" w:rsidRPr="00E32F02" w:rsidRDefault="00E32F02" w:rsidP="00E32F02">
      <w:pPr>
        <w:spacing w:after="0" w:line="276" w:lineRule="auto"/>
        <w:ind w:left="709" w:right="709"/>
        <w:jc w:val="both"/>
        <w:rPr>
          <w:rFonts w:ascii="Verdana" w:eastAsia="Arial" w:hAnsi="Verdana" w:cs="Arial"/>
          <w:i/>
          <w:iCs/>
          <w:color w:val="000000" w:themeColor="text1"/>
          <w:sz w:val="20"/>
          <w:szCs w:val="20"/>
        </w:rPr>
      </w:pPr>
    </w:p>
    <w:p w14:paraId="349AF7B9" w14:textId="33C1125F" w:rsidR="00E32F02" w:rsidRDefault="00E32F02" w:rsidP="00E32F02">
      <w:pPr>
        <w:spacing w:line="276" w:lineRule="auto"/>
        <w:ind w:left="709" w:right="709"/>
        <w:jc w:val="both"/>
        <w:rPr>
          <w:rFonts w:ascii="Verdana" w:eastAsia="Aptos" w:hAnsi="Verdana" w:cs="Times New Roman"/>
          <w:i/>
          <w:iCs/>
          <w:kern w:val="2"/>
          <w:sz w:val="20"/>
          <w:szCs w:val="20"/>
          <w14:ligatures w14:val="standardContextual"/>
        </w:rPr>
      </w:pPr>
      <w:r w:rsidRPr="00E32F02">
        <w:rPr>
          <w:rFonts w:ascii="Verdana" w:eastAsia="Aptos" w:hAnsi="Verdana" w:cs="Times New Roman"/>
          <w:i/>
          <w:iCs/>
          <w:kern w:val="2"/>
          <w:sz w:val="20"/>
          <w:szCs w:val="20"/>
          <w14:ligatures w14:val="standardContextual"/>
        </w:rPr>
        <w:t>Conforme a lo estipulado en el artículo 23 de la constitución, me</w:t>
      </w:r>
      <w:r w:rsidRPr="00E32F02">
        <w:rPr>
          <w:rFonts w:ascii="Verdana" w:eastAsia="Aptos" w:hAnsi="Verdana" w:cs="Times New Roman"/>
          <w:i/>
          <w:iCs/>
          <w:kern w:val="2"/>
          <w:sz w:val="20"/>
          <w:szCs w:val="20"/>
          <w14:ligatures w14:val="standardContextual"/>
        </w:rPr>
        <w:br/>
        <w:t>permito solicitar de manera clara y precisa lo siguiente:</w:t>
      </w:r>
      <w:r w:rsidRPr="00E32F02">
        <w:rPr>
          <w:rFonts w:ascii="Verdana" w:eastAsia="Aptos" w:hAnsi="Verdana" w:cs="Times New Roman"/>
          <w:i/>
          <w:iCs/>
          <w:kern w:val="2"/>
          <w:sz w:val="20"/>
          <w:szCs w:val="20"/>
          <w14:ligatures w14:val="standardContextual"/>
        </w:rPr>
        <w:br/>
      </w:r>
      <w:r w:rsidRPr="00E32F02">
        <w:rPr>
          <w:rFonts w:ascii="Verdana" w:eastAsia="Aptos" w:hAnsi="Verdana" w:cs="Times New Roman"/>
          <w:i/>
          <w:iCs/>
          <w:kern w:val="2"/>
          <w:sz w:val="20"/>
          <w:szCs w:val="20"/>
          <w14:ligatures w14:val="standardContextual"/>
        </w:rPr>
        <w:br/>
        <w:t>La corporación de desarrollo del Municipio de Chiquinquirá, es un</w:t>
      </w:r>
      <w:r w:rsidRPr="00E32F02">
        <w:rPr>
          <w:rFonts w:ascii="Verdana" w:eastAsia="Aptos" w:hAnsi="Verdana" w:cs="Times New Roman"/>
          <w:i/>
          <w:iCs/>
          <w:kern w:val="2"/>
          <w:sz w:val="20"/>
          <w:szCs w:val="20"/>
          <w14:ligatures w14:val="standardContextual"/>
        </w:rPr>
        <w:br/>
        <w:t>instituto descentralizado de la alcaldía municipal, con patrimonio</w:t>
      </w:r>
      <w:r w:rsidRPr="00E32F02">
        <w:rPr>
          <w:rFonts w:ascii="Verdana" w:eastAsia="Aptos" w:hAnsi="Verdana" w:cs="Times New Roman"/>
          <w:i/>
          <w:iCs/>
          <w:kern w:val="2"/>
          <w:sz w:val="20"/>
          <w:szCs w:val="20"/>
          <w14:ligatures w14:val="standardContextual"/>
        </w:rPr>
        <w:br/>
        <w:t>autónomo, presupuesto e independencia administrativa, sus ingresos</w:t>
      </w:r>
      <w:r w:rsidRPr="00E32F02">
        <w:rPr>
          <w:rFonts w:ascii="Verdana" w:eastAsia="Aptos" w:hAnsi="Verdana" w:cs="Times New Roman"/>
          <w:i/>
          <w:iCs/>
          <w:kern w:val="2"/>
          <w:sz w:val="20"/>
          <w:szCs w:val="20"/>
          <w14:ligatures w14:val="standardContextual"/>
        </w:rPr>
        <w:br/>
        <w:t>provienen sólo de los recursos percibidos por los arriendos de algunos</w:t>
      </w:r>
      <w:r w:rsidRPr="00E32F02">
        <w:rPr>
          <w:rFonts w:ascii="Verdana" w:eastAsia="Aptos" w:hAnsi="Verdana" w:cs="Times New Roman"/>
          <w:i/>
          <w:iCs/>
          <w:kern w:val="2"/>
          <w:sz w:val="20"/>
          <w:szCs w:val="20"/>
          <w14:ligatures w14:val="standardContextual"/>
        </w:rPr>
        <w:br/>
        <w:t>de sus bienes, patrimoniales.</w:t>
      </w:r>
      <w:r w:rsidRPr="00E32F02">
        <w:rPr>
          <w:rFonts w:ascii="Verdana" w:eastAsia="Aptos" w:hAnsi="Verdana" w:cs="Times New Roman"/>
          <w:i/>
          <w:iCs/>
          <w:kern w:val="2"/>
          <w:sz w:val="20"/>
          <w:szCs w:val="20"/>
          <w14:ligatures w14:val="standardContextual"/>
        </w:rPr>
        <w:br/>
      </w:r>
      <w:r w:rsidRPr="00E32F02">
        <w:rPr>
          <w:rFonts w:ascii="Verdana" w:eastAsia="Aptos" w:hAnsi="Verdana" w:cs="Times New Roman"/>
          <w:i/>
          <w:iCs/>
          <w:kern w:val="2"/>
          <w:sz w:val="20"/>
          <w:szCs w:val="20"/>
          <w14:ligatures w14:val="standardContextual"/>
        </w:rPr>
        <w:br/>
        <w:t>De acuerdo con ello, solicito:</w:t>
      </w:r>
      <w:r w:rsidRPr="00E32F02">
        <w:rPr>
          <w:rFonts w:ascii="Verdana" w:eastAsia="Aptos" w:hAnsi="Verdana" w:cs="Times New Roman"/>
          <w:i/>
          <w:iCs/>
          <w:kern w:val="2"/>
          <w:sz w:val="20"/>
          <w:szCs w:val="20"/>
          <w14:ligatures w14:val="standardContextual"/>
        </w:rPr>
        <w:br/>
      </w:r>
      <w:r w:rsidRPr="00E32F02">
        <w:rPr>
          <w:rFonts w:ascii="Verdana" w:eastAsia="Aptos" w:hAnsi="Verdana" w:cs="Times New Roman"/>
          <w:i/>
          <w:iCs/>
          <w:kern w:val="2"/>
          <w:sz w:val="20"/>
          <w:szCs w:val="20"/>
          <w14:ligatures w14:val="standardContextual"/>
        </w:rPr>
        <w:lastRenderedPageBreak/>
        <w:br/>
        <w:t>Me indiquen la manera de poder realizar dos contratos de arriendo, que</w:t>
      </w:r>
      <w:r w:rsidRPr="00E32F02">
        <w:rPr>
          <w:rFonts w:ascii="Verdana" w:eastAsia="Aptos" w:hAnsi="Verdana" w:cs="Times New Roman"/>
          <w:i/>
          <w:iCs/>
          <w:kern w:val="2"/>
          <w:sz w:val="20"/>
          <w:szCs w:val="20"/>
          <w14:ligatures w14:val="standardContextual"/>
        </w:rPr>
        <w:br/>
        <w:t>en este caso solo se pueden hacer mediante contratación directa,</w:t>
      </w:r>
      <w:r w:rsidRPr="00E32F02">
        <w:rPr>
          <w:rFonts w:ascii="Verdana" w:eastAsia="Aptos" w:hAnsi="Verdana" w:cs="Times New Roman"/>
          <w:i/>
          <w:iCs/>
          <w:kern w:val="2"/>
          <w:sz w:val="20"/>
          <w:szCs w:val="20"/>
          <w14:ligatures w14:val="standardContextual"/>
        </w:rPr>
        <w:br/>
        <w:t>teniendo en cuenta que como les indico, los recursos que se perciben</w:t>
      </w:r>
      <w:r w:rsidRPr="00E32F02">
        <w:rPr>
          <w:rFonts w:ascii="Verdana" w:eastAsia="Aptos" w:hAnsi="Verdana" w:cs="Times New Roman"/>
          <w:i/>
          <w:iCs/>
          <w:kern w:val="2"/>
          <w:sz w:val="20"/>
          <w:szCs w:val="20"/>
          <w14:ligatures w14:val="standardContextual"/>
        </w:rPr>
        <w:br/>
        <w:t>es solamente por arriendos, y de ello dependen los pagos de nómina y</w:t>
      </w:r>
      <w:r w:rsidRPr="00E32F02">
        <w:rPr>
          <w:rFonts w:ascii="Verdana" w:eastAsia="Aptos" w:hAnsi="Verdana" w:cs="Times New Roman"/>
          <w:i/>
          <w:iCs/>
          <w:kern w:val="2"/>
          <w:sz w:val="20"/>
          <w:szCs w:val="20"/>
          <w14:ligatures w14:val="standardContextual"/>
        </w:rPr>
        <w:br/>
        <w:t>demás gastos inherentes a esta , así como los pagos por concepto de</w:t>
      </w:r>
      <w:r w:rsidRPr="00E32F02">
        <w:rPr>
          <w:rFonts w:ascii="Verdana" w:eastAsia="Aptos" w:hAnsi="Verdana" w:cs="Times New Roman"/>
          <w:i/>
          <w:iCs/>
          <w:kern w:val="2"/>
          <w:sz w:val="20"/>
          <w:szCs w:val="20"/>
          <w14:ligatures w14:val="standardContextual"/>
        </w:rPr>
        <w:br/>
      </w:r>
      <w:proofErr w:type="spellStart"/>
      <w:r w:rsidRPr="00E32F02">
        <w:rPr>
          <w:rFonts w:ascii="Verdana" w:eastAsia="Aptos" w:hAnsi="Verdana" w:cs="Times New Roman"/>
          <w:i/>
          <w:iCs/>
          <w:kern w:val="2"/>
          <w:sz w:val="20"/>
          <w:szCs w:val="20"/>
          <w14:ligatures w14:val="standardContextual"/>
        </w:rPr>
        <w:t>iva</w:t>
      </w:r>
      <w:proofErr w:type="spellEnd"/>
      <w:r w:rsidRPr="00E32F02">
        <w:rPr>
          <w:rFonts w:ascii="Verdana" w:eastAsia="Aptos" w:hAnsi="Verdana" w:cs="Times New Roman"/>
          <w:i/>
          <w:iCs/>
          <w:kern w:val="2"/>
          <w:sz w:val="20"/>
          <w:szCs w:val="20"/>
          <w14:ligatures w14:val="standardContextual"/>
        </w:rPr>
        <w:t xml:space="preserve">, a la </w:t>
      </w:r>
      <w:proofErr w:type="spellStart"/>
      <w:r w:rsidRPr="00E32F02">
        <w:rPr>
          <w:rFonts w:ascii="Verdana" w:eastAsia="Aptos" w:hAnsi="Verdana" w:cs="Times New Roman"/>
          <w:i/>
          <w:iCs/>
          <w:kern w:val="2"/>
          <w:sz w:val="20"/>
          <w:szCs w:val="20"/>
          <w14:ligatures w14:val="standardContextual"/>
        </w:rPr>
        <w:t>dian</w:t>
      </w:r>
      <w:proofErr w:type="spellEnd"/>
      <w:r w:rsidRPr="00E32F02">
        <w:rPr>
          <w:rFonts w:ascii="Verdana" w:eastAsia="Aptos" w:hAnsi="Verdana" w:cs="Times New Roman"/>
          <w:i/>
          <w:iCs/>
          <w:kern w:val="2"/>
          <w:sz w:val="20"/>
          <w:szCs w:val="20"/>
          <w14:ligatures w14:val="standardContextual"/>
        </w:rPr>
        <w:t>.</w:t>
      </w:r>
      <w:r w:rsidRPr="00E32F02">
        <w:rPr>
          <w:rFonts w:ascii="Verdana" w:eastAsia="Aptos" w:hAnsi="Verdana" w:cs="Times New Roman"/>
          <w:i/>
          <w:iCs/>
          <w:kern w:val="2"/>
          <w:sz w:val="20"/>
          <w:szCs w:val="20"/>
          <w14:ligatures w14:val="standardContextual"/>
        </w:rPr>
        <w:br/>
        <w:t>Dado lo anterior y de acuerdo con lo expuesto, la entidad se vería</w:t>
      </w:r>
      <w:r w:rsidRPr="00E32F02">
        <w:rPr>
          <w:rFonts w:ascii="Verdana" w:eastAsia="Aptos" w:hAnsi="Verdana" w:cs="Times New Roman"/>
          <w:i/>
          <w:iCs/>
          <w:kern w:val="2"/>
          <w:sz w:val="20"/>
          <w:szCs w:val="20"/>
          <w14:ligatures w14:val="standardContextual"/>
        </w:rPr>
        <w:br/>
        <w:t>inmersa en la disminución de sus ingresos, lo que afectaría  en gran</w:t>
      </w:r>
      <w:r w:rsidRPr="00E32F02">
        <w:rPr>
          <w:rFonts w:ascii="Verdana" w:eastAsia="Aptos" w:hAnsi="Verdana" w:cs="Times New Roman"/>
          <w:i/>
          <w:iCs/>
          <w:kern w:val="2"/>
          <w:sz w:val="20"/>
          <w:szCs w:val="20"/>
          <w14:ligatures w14:val="standardContextual"/>
        </w:rPr>
        <w:br/>
        <w:t>manera, el poder cumplir con cada uno de sus compromisos.</w:t>
      </w:r>
      <w:r w:rsidRPr="00E32F02">
        <w:rPr>
          <w:rFonts w:ascii="Verdana" w:eastAsia="Aptos" w:hAnsi="Verdana" w:cs="Times New Roman"/>
          <w:i/>
          <w:iCs/>
          <w:kern w:val="2"/>
          <w:sz w:val="20"/>
          <w:szCs w:val="20"/>
          <w14:ligatures w14:val="standardContextual"/>
        </w:rPr>
        <w:br/>
      </w:r>
      <w:r w:rsidRPr="00E32F02">
        <w:rPr>
          <w:rFonts w:ascii="Verdana" w:eastAsia="Aptos" w:hAnsi="Verdana" w:cs="Times New Roman"/>
          <w:i/>
          <w:iCs/>
          <w:kern w:val="2"/>
          <w:sz w:val="20"/>
          <w:szCs w:val="20"/>
          <w14:ligatures w14:val="standardContextual"/>
        </w:rPr>
        <w:br/>
        <w:t>Conceptuar de manera especial, si se puede dar en arriendo un local,</w:t>
      </w:r>
      <w:r w:rsidRPr="00E32F02">
        <w:rPr>
          <w:rFonts w:ascii="Verdana" w:eastAsia="Aptos" w:hAnsi="Verdana" w:cs="Times New Roman"/>
          <w:i/>
          <w:iCs/>
          <w:kern w:val="2"/>
          <w:sz w:val="20"/>
          <w:szCs w:val="20"/>
          <w14:ligatures w14:val="standardContextual"/>
        </w:rPr>
        <w:br/>
        <w:t>por un término de 8 o más años, lo que nos ayudará en el futuro a</w:t>
      </w:r>
      <w:r w:rsidRPr="00E32F02">
        <w:rPr>
          <w:rFonts w:ascii="Verdana" w:eastAsia="Aptos" w:hAnsi="Verdana" w:cs="Times New Roman"/>
          <w:i/>
          <w:iCs/>
          <w:kern w:val="2"/>
          <w:sz w:val="20"/>
          <w:szCs w:val="20"/>
          <w14:ligatures w14:val="standardContextual"/>
        </w:rPr>
        <w:br/>
        <w:t xml:space="preserve">tener un ingreso, </w:t>
      </w:r>
      <w:proofErr w:type="spellStart"/>
      <w:r w:rsidRPr="00E32F02">
        <w:rPr>
          <w:rFonts w:ascii="Verdana" w:eastAsia="Aptos" w:hAnsi="Verdana" w:cs="Times New Roman"/>
          <w:i/>
          <w:iCs/>
          <w:kern w:val="2"/>
          <w:sz w:val="20"/>
          <w:szCs w:val="20"/>
          <w14:ligatures w14:val="standardContextual"/>
        </w:rPr>
        <w:t>mensual,para</w:t>
      </w:r>
      <w:proofErr w:type="spellEnd"/>
      <w:r w:rsidRPr="00E32F02">
        <w:rPr>
          <w:rFonts w:ascii="Verdana" w:eastAsia="Aptos" w:hAnsi="Verdana" w:cs="Times New Roman"/>
          <w:i/>
          <w:iCs/>
          <w:kern w:val="2"/>
          <w:sz w:val="20"/>
          <w:szCs w:val="20"/>
          <w14:ligatures w14:val="standardContextual"/>
        </w:rPr>
        <w:t xml:space="preserve"> fortalecer nuestra entidad,</w:t>
      </w:r>
      <w:r w:rsidR="00B65BE1" w:rsidRPr="00E32F02">
        <w:rPr>
          <w:rFonts w:ascii="Verdana" w:eastAsia="Aptos" w:hAnsi="Verdana" w:cs="Times New Roman"/>
          <w:i/>
          <w:iCs/>
          <w:kern w:val="2"/>
          <w:sz w:val="20"/>
          <w:szCs w:val="20"/>
          <w14:ligatures w14:val="standardContextual"/>
        </w:rPr>
        <w:t xml:space="preserve"> </w:t>
      </w:r>
    </w:p>
    <w:p w14:paraId="2131A397" w14:textId="0E58DF99" w:rsidR="00B65BE1" w:rsidRPr="00C15DD4" w:rsidRDefault="00B65BE1" w:rsidP="00E32F02">
      <w:pPr>
        <w:spacing w:line="276" w:lineRule="auto"/>
        <w:ind w:left="709" w:right="709"/>
        <w:jc w:val="both"/>
        <w:rPr>
          <w:rFonts w:ascii="Verdana" w:eastAsia="Aptos" w:hAnsi="Verdana" w:cs="Times New Roman"/>
          <w:kern w:val="2"/>
          <w14:ligatures w14:val="standardContextual"/>
        </w:rPr>
      </w:pPr>
      <w:r w:rsidRPr="00E32F02">
        <w:rPr>
          <w:rFonts w:ascii="Verdana" w:eastAsia="Aptos" w:hAnsi="Verdana" w:cs="Times New Roman"/>
          <w:i/>
          <w:iCs/>
          <w:kern w:val="2"/>
          <w:sz w:val="20"/>
          <w:szCs w:val="20"/>
          <w14:ligatures w14:val="standardContextual"/>
        </w:rPr>
        <w:t>(…)</w:t>
      </w:r>
      <w:r w:rsidRPr="00E32F02">
        <w:rPr>
          <w:rFonts w:ascii="Verdana" w:eastAsia="Calibri" w:hAnsi="Verdana" w:cs="Times New Roman"/>
          <w:i/>
          <w:iCs/>
          <w:sz w:val="20"/>
          <w:szCs w:val="20"/>
        </w:rPr>
        <w:t>”.</w:t>
      </w:r>
    </w:p>
    <w:p w14:paraId="085D9680" w14:textId="77777777" w:rsidR="00B65BE1" w:rsidRPr="00C15DD4" w:rsidRDefault="00B65BE1" w:rsidP="00B65BE1">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09635A49" w14:textId="77777777" w:rsidR="00B65BE1" w:rsidRPr="00C15DD4" w:rsidRDefault="00B65BE1" w:rsidP="00B65BE1">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438B5552" w14:textId="77777777" w:rsidR="00B65BE1" w:rsidRPr="00C15DD4" w:rsidRDefault="00B65BE1" w:rsidP="00B65BE1">
      <w:pPr>
        <w:spacing w:after="0" w:line="276" w:lineRule="auto"/>
        <w:ind w:firstLine="709"/>
        <w:jc w:val="both"/>
        <w:rPr>
          <w:rFonts w:ascii="Verdana" w:eastAsia="Calibri" w:hAnsi="Verdana" w:cs="Arial"/>
          <w:color w:val="000000"/>
          <w:lang w:eastAsia="es-ES"/>
        </w:rPr>
      </w:pPr>
    </w:p>
    <w:p w14:paraId="53550A79" w14:textId="3BCADD91" w:rsidR="00B65BE1" w:rsidRPr="00B52ACA" w:rsidRDefault="00B65BE1" w:rsidP="00B52ACA">
      <w:pPr>
        <w:pStyle w:val="Prrafodelista"/>
        <w:numPr>
          <w:ilvl w:val="0"/>
          <w:numId w:val="19"/>
        </w:numPr>
        <w:rPr>
          <w:rFonts w:ascii="Verdana" w:hAnsi="Verdana"/>
          <w:b/>
          <w:bCs/>
        </w:rPr>
      </w:pPr>
      <w:r w:rsidRPr="00B52ACA">
        <w:rPr>
          <w:rFonts w:ascii="Verdana" w:hAnsi="Verdana"/>
          <w:b/>
          <w:bCs/>
        </w:rPr>
        <w:t>Problema planteado:</w:t>
      </w:r>
    </w:p>
    <w:p w14:paraId="0DB728E3" w14:textId="3A95E738" w:rsidR="001B4D82" w:rsidRPr="004B140F" w:rsidRDefault="001B4D82" w:rsidP="00B52ACA">
      <w:pPr>
        <w:spacing w:line="276" w:lineRule="auto"/>
        <w:jc w:val="both"/>
        <w:rPr>
          <w:rFonts w:ascii="Verdana" w:eastAsia="Calibri" w:hAnsi="Verdana" w:cs="Arial"/>
          <w:color w:val="7030A0"/>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proofErr w:type="gramStart"/>
      <w:r w:rsidR="00D85666" w:rsidRPr="00D85666">
        <w:rPr>
          <w:rFonts w:ascii="Verdana" w:eastAsia="Century Gothic" w:hAnsi="Verdana" w:cs="Century Gothic"/>
        </w:rPr>
        <w:t xml:space="preserve">¿Qué alcance tiene la prohibición del artículo 33 </w:t>
      </w:r>
      <w:r w:rsidR="00D85666" w:rsidRPr="00D85666">
        <w:rPr>
          <w:rFonts w:ascii="Verdana" w:eastAsia="Century Gothic" w:hAnsi="Verdana" w:cs="Century Gothic"/>
        </w:rPr>
        <w:lastRenderedPageBreak/>
        <w:t>de la Ley de Garantías</w:t>
      </w:r>
      <w:r w:rsidR="00D85666">
        <w:rPr>
          <w:rFonts w:ascii="Verdana" w:eastAsia="Century Gothic" w:hAnsi="Verdana" w:cs="Century Gothic"/>
        </w:rPr>
        <w:t xml:space="preserve"> Electorales</w:t>
      </w:r>
      <w:r w:rsidR="00D85666" w:rsidRPr="00D85666">
        <w:rPr>
          <w:rFonts w:ascii="Verdana" w:eastAsia="Century Gothic" w:hAnsi="Verdana" w:cs="Century Gothic"/>
        </w:rPr>
        <w:t xml:space="preserve"> y cuáles son sus excepciones respecto de la causal de contratación del literal i) del artículo </w:t>
      </w:r>
      <w:r w:rsidR="00F70E7F">
        <w:rPr>
          <w:rFonts w:ascii="Verdana" w:eastAsia="Century Gothic" w:hAnsi="Verdana" w:cs="Century Gothic"/>
        </w:rPr>
        <w:t>2.</w:t>
      </w:r>
      <w:proofErr w:type="gramEnd"/>
      <w:r w:rsidR="00D85666" w:rsidRPr="00D85666">
        <w:rPr>
          <w:rFonts w:ascii="Verdana" w:eastAsia="Century Gothic" w:hAnsi="Verdana" w:cs="Century Gothic"/>
        </w:rPr>
        <w:t>4 de la Ley 1150 de 2007?</w:t>
      </w:r>
    </w:p>
    <w:p w14:paraId="422515A4" w14:textId="5898F7C4" w:rsidR="001B4D82" w:rsidRPr="00B52ACA" w:rsidRDefault="001B4D82" w:rsidP="00B52ACA">
      <w:pPr>
        <w:pStyle w:val="Prrafodelista"/>
        <w:numPr>
          <w:ilvl w:val="0"/>
          <w:numId w:val="19"/>
        </w:numPr>
        <w:tabs>
          <w:tab w:val="left" w:pos="142"/>
          <w:tab w:val="left" w:pos="284"/>
        </w:tabs>
        <w:spacing w:line="276" w:lineRule="auto"/>
        <w:jc w:val="both"/>
        <w:rPr>
          <w:rFonts w:ascii="Verdana" w:eastAsia="Century Gothic" w:hAnsi="Verdana" w:cs="Century Gothic"/>
          <w:b/>
          <w:bCs/>
        </w:rPr>
      </w:pPr>
      <w:r w:rsidRPr="00B52ACA">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494"/>
      </w:tblGrid>
      <w:tr w:rsidR="001B4D82" w:rsidRPr="00593A5F" w14:paraId="72F38B8D" w14:textId="77777777" w:rsidTr="00D36099">
        <w:trPr>
          <w:jc w:val="center"/>
        </w:trPr>
        <w:tc>
          <w:tcPr>
            <w:tcW w:w="8828" w:type="dxa"/>
          </w:tcPr>
          <w:p w14:paraId="052899E9" w14:textId="3314841B" w:rsidR="001F1924" w:rsidRPr="001F1924" w:rsidRDefault="001F1924" w:rsidP="001F1924">
            <w:pPr>
              <w:spacing w:line="276" w:lineRule="auto"/>
              <w:jc w:val="both"/>
              <w:rPr>
                <w:rFonts w:ascii="Verdana" w:eastAsia="Calibri" w:hAnsi="Verdana" w:cs="Arial"/>
                <w:lang w:val="es-ES"/>
              </w:rPr>
            </w:pPr>
            <w:bookmarkStart w:id="2" w:name="_Hlk171694685"/>
            <w:r w:rsidRPr="001F1924">
              <w:rPr>
                <w:rFonts w:ascii="Verdana" w:eastAsia="Calibri" w:hAnsi="Verdana" w:cs="Arial"/>
                <w:lang w:val="es-ES"/>
              </w:rPr>
              <w:t>De acuerdo con una interpretación general del marco normativo del sistema de compras públicas, la limitación establecida en el artículo 33 de la Ley 996 de 2005 se extiende a todas las entidades estatales, sin importar su régimen jurídico, cuando mediante la contratación directa se pueda afectar la igualdad entre candidatos en el contexto de elecciones presidenciales. Esta disposición se aplica a la contratación directa entendida como cualquier mecanismo de selección o procedimiento contractual que no contemple convocatoria pública en alguna de sus fases ni permita la concurrencia de múltiples oferentes, tanto bajo el Estatuto General de Contratación de la Administración Pública como en regímenes especiales.</w:t>
            </w:r>
          </w:p>
          <w:p w14:paraId="3001AB1B" w14:textId="4A101F58" w:rsidR="001F1924" w:rsidRPr="001F1924" w:rsidRDefault="001F1924" w:rsidP="001969C8">
            <w:pPr>
              <w:spacing w:before="240" w:after="160" w:line="276" w:lineRule="auto"/>
              <w:jc w:val="both"/>
              <w:rPr>
                <w:rFonts w:ascii="Verdana" w:eastAsia="Calibri" w:hAnsi="Verdana" w:cs="Arial"/>
                <w:lang w:val="es-ES"/>
              </w:rPr>
            </w:pPr>
            <w:r w:rsidRPr="001F1924">
              <w:rPr>
                <w:rFonts w:ascii="Verdana" w:eastAsia="Calibri" w:hAnsi="Verdana" w:cs="Arial"/>
                <w:lang w:val="es-ES"/>
              </w:rPr>
              <w:t xml:space="preserve">Lo anterior se entiende sin perjuicio de las excepciones previstas en el inciso segundo del mismo artículo 33 de la Ley 996 de 2005, entre las cuales se encuentran: i) asuntos relacionados con la defensa y seguridad del Estado; </w:t>
            </w:r>
            <w:r w:rsidR="00525D24" w:rsidRPr="00333EDB">
              <w:rPr>
                <w:rFonts w:ascii="Verdana" w:eastAsia="Times New Roman" w:hAnsi="Verdana" w:cs="Arial"/>
                <w:bCs/>
                <w:lang w:val="es-MX" w:eastAsia="x-none"/>
              </w:rPr>
              <w:t xml:space="preserve">) la defensa y seguridad del Estado; </w:t>
            </w:r>
            <w:proofErr w:type="spellStart"/>
            <w:r w:rsidR="00525D24" w:rsidRPr="00333EDB">
              <w:rPr>
                <w:rFonts w:ascii="Verdana" w:eastAsia="Times New Roman" w:hAnsi="Verdana" w:cs="Arial"/>
                <w:bCs/>
                <w:lang w:val="es-MX" w:eastAsia="x-none"/>
              </w:rPr>
              <w:t>ii</w:t>
            </w:r>
            <w:proofErr w:type="spellEnd"/>
            <w:r w:rsidR="00525D24" w:rsidRPr="00333EDB">
              <w:rPr>
                <w:rFonts w:ascii="Verdana" w:eastAsia="Times New Roman" w:hAnsi="Verdana" w:cs="Arial"/>
                <w:bCs/>
                <w:lang w:val="es-MX" w:eastAsia="x-none"/>
              </w:rPr>
              <w:t xml:space="preserve">) los contratos de crédito público; </w:t>
            </w:r>
            <w:proofErr w:type="spellStart"/>
            <w:r w:rsidR="00525D24" w:rsidRPr="00333EDB">
              <w:rPr>
                <w:rFonts w:ascii="Verdana" w:eastAsia="Times New Roman" w:hAnsi="Verdana" w:cs="Arial"/>
                <w:bCs/>
                <w:lang w:val="es-MX" w:eastAsia="x-none"/>
              </w:rPr>
              <w:t>iii</w:t>
            </w:r>
            <w:proofErr w:type="spellEnd"/>
            <w:r w:rsidR="00525D24" w:rsidRPr="00333EDB">
              <w:rPr>
                <w:rFonts w:ascii="Verdana" w:eastAsia="Times New Roman" w:hAnsi="Verdana" w:cs="Arial"/>
                <w:bCs/>
                <w:lang w:val="es-MX" w:eastAsia="x-none"/>
              </w:rPr>
              <w:t xml:space="preserve">) los requeridos para cubrir las emergencias educativas, sanitarias y desastres; </w:t>
            </w:r>
            <w:proofErr w:type="spellStart"/>
            <w:r w:rsidR="00525D24" w:rsidRPr="00333EDB">
              <w:rPr>
                <w:rFonts w:ascii="Verdana" w:eastAsia="Times New Roman" w:hAnsi="Verdana" w:cs="Arial"/>
                <w:bCs/>
                <w:lang w:val="es-MX" w:eastAsia="x-none"/>
              </w:rPr>
              <w:t>iv</w:t>
            </w:r>
            <w:proofErr w:type="spellEnd"/>
            <w:r w:rsidR="00525D24"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1F1924">
              <w:rPr>
                <w:rFonts w:ascii="Verdana" w:eastAsia="Calibri" w:hAnsi="Verdana" w:cs="Arial"/>
                <w:lang w:val="es-ES"/>
              </w:rPr>
              <w:t xml:space="preserve"> Corresponde a cada entidad pública analizar en cada caso la naturaleza de las actividades que desarrolla y establecer si encajan dentro de alguna de estas excepciones, con el fin de determinar si procede la contratación directa.</w:t>
            </w:r>
          </w:p>
          <w:p w14:paraId="463ED0F1" w14:textId="77777777" w:rsidR="00CB0E29" w:rsidRDefault="00CB0E29" w:rsidP="001969C8">
            <w:pPr>
              <w:spacing w:after="120" w:line="276" w:lineRule="auto"/>
              <w:jc w:val="both"/>
              <w:rPr>
                <w:rFonts w:ascii="Verdana" w:eastAsia="Times New Roman" w:hAnsi="Verdana" w:cs="Arial"/>
                <w:lang w:eastAsia="es-MX"/>
              </w:rPr>
            </w:pPr>
            <w:r>
              <w:rPr>
                <w:rFonts w:ascii="Verdana" w:eastAsia="Times New Roman" w:hAnsi="Verdana" w:cs="Arial"/>
                <w:lang w:eastAsia="es-MX"/>
              </w:rPr>
              <w:t>Por lo demás, el literal i) del artículo 2.4 de la Ley 1150 de 2011 permite la contratación directa tratándose de “</w:t>
            </w:r>
            <w:r w:rsidRPr="002835CA">
              <w:rPr>
                <w:rFonts w:ascii="Verdana" w:eastAsia="Times New Roman" w:hAnsi="Verdana" w:cs="Arial"/>
                <w:lang w:eastAsia="es-MX"/>
              </w:rPr>
              <w:t xml:space="preserve">El arrendamiento </w:t>
            </w:r>
            <w:r>
              <w:rPr>
                <w:rFonts w:ascii="Verdana" w:eastAsia="Times New Roman" w:hAnsi="Verdana" w:cs="Arial"/>
                <w:lang w:eastAsia="es-MX"/>
              </w:rPr>
              <w:t>[…]</w:t>
            </w:r>
            <w:r w:rsidRPr="002835CA">
              <w:rPr>
                <w:rFonts w:ascii="Verdana" w:eastAsia="Times New Roman" w:hAnsi="Verdana" w:cs="Arial"/>
                <w:lang w:eastAsia="es-MX"/>
              </w:rPr>
              <w:t xml:space="preserve"> de inmuebles</w:t>
            </w:r>
            <w:r>
              <w:rPr>
                <w:rFonts w:ascii="Verdana" w:eastAsia="Times New Roman" w:hAnsi="Verdana" w:cs="Arial"/>
                <w:lang w:eastAsia="es-MX"/>
              </w:rPr>
              <w:t xml:space="preserve">”. </w:t>
            </w:r>
            <w:r w:rsidRPr="00460F02">
              <w:rPr>
                <w:rFonts w:ascii="Verdana" w:eastAsia="Times New Roman" w:hAnsi="Verdana" w:cs="Arial"/>
                <w:lang w:eastAsia="es-MX"/>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Pr>
                <w:rFonts w:ascii="Verdana" w:eastAsia="Times New Roman" w:hAnsi="Verdana" w:cs="Arial"/>
                <w:lang w:eastAsia="es-MX"/>
              </w:rPr>
              <w:t xml:space="preserve"> </w:t>
            </w:r>
          </w:p>
          <w:p w14:paraId="24FD30D1" w14:textId="04652C8F" w:rsidR="001175E3" w:rsidRPr="009D515D" w:rsidRDefault="001175E3" w:rsidP="001175E3">
            <w:pPr>
              <w:spacing w:after="120" w:line="276" w:lineRule="auto"/>
              <w:jc w:val="both"/>
              <w:rPr>
                <w:rFonts w:ascii="Verdana" w:eastAsia="Times New Roman" w:hAnsi="Verdana" w:cs="Arial"/>
                <w:lang w:val="es-MX" w:eastAsia="x-none"/>
              </w:rPr>
            </w:pPr>
            <w:r>
              <w:rPr>
                <w:rFonts w:ascii="Verdana" w:eastAsia="Calibri" w:hAnsi="Verdana" w:cs="Arial"/>
                <w:lang w:val="es-ES"/>
              </w:rPr>
              <w:lastRenderedPageBreak/>
              <w:t xml:space="preserve">Cuando </w:t>
            </w:r>
            <w:r w:rsidRPr="00F04E54">
              <w:rPr>
                <w:rFonts w:ascii="Verdana" w:eastAsia="Calibri" w:hAnsi="Verdana" w:cs="Arial"/>
                <w:lang w:val="es-ES"/>
              </w:rPr>
              <w:t>la entidad estatal actú</w:t>
            </w:r>
            <w:r>
              <w:rPr>
                <w:rFonts w:ascii="Verdana" w:eastAsia="Calibri" w:hAnsi="Verdana" w:cs="Arial"/>
                <w:lang w:val="es-ES"/>
              </w:rPr>
              <w:t>e</w:t>
            </w:r>
            <w:r w:rsidRPr="00F04E54">
              <w:rPr>
                <w:rFonts w:ascii="Verdana" w:eastAsia="Calibri" w:hAnsi="Verdana" w:cs="Arial"/>
                <w:lang w:val="es-ES"/>
              </w:rPr>
              <w:t xml:space="preserve"> como arrendadora </w:t>
            </w:r>
            <w:r>
              <w:rPr>
                <w:rFonts w:ascii="Verdana" w:eastAsia="Calibri" w:hAnsi="Verdana" w:cs="Arial"/>
                <w:lang w:val="es-ES"/>
              </w:rPr>
              <w:t xml:space="preserve">puede evaluar si, debido a lo explicado en los párrafos anteriores, es conveniente </w:t>
            </w:r>
            <w:r w:rsidRPr="00F04E54">
              <w:rPr>
                <w:rFonts w:ascii="Verdana" w:eastAsia="Calibri" w:hAnsi="Verdana" w:cs="Arial"/>
                <w:lang w:val="es-ES"/>
              </w:rPr>
              <w:t>adelantar una convocatoria pública</w:t>
            </w:r>
            <w:r>
              <w:rPr>
                <w:rFonts w:ascii="Verdana" w:eastAsia="Calibri" w:hAnsi="Verdana" w:cs="Arial"/>
                <w:lang w:val="es-ES"/>
              </w:rPr>
              <w:t xml:space="preserve"> en garantía del principio de libre concurrencia. No obstante, lo cierto </w:t>
            </w:r>
            <w:r w:rsidRPr="00396C85">
              <w:rPr>
                <w:rFonts w:ascii="Verdana" w:eastAsia="Calibri" w:hAnsi="Verdana" w:cs="Arial"/>
                <w:lang w:val="es-ES"/>
              </w:rPr>
              <w:t>es que</w:t>
            </w:r>
            <w:r>
              <w:rPr>
                <w:rFonts w:ascii="Verdana" w:eastAsia="Calibri" w:hAnsi="Verdana" w:cs="Arial"/>
                <w:lang w:val="es-ES"/>
              </w:rPr>
              <w:t xml:space="preserve"> –dentro del marco normativo vigente–</w:t>
            </w:r>
            <w:r w:rsidRPr="00396C85">
              <w:rPr>
                <w:rFonts w:ascii="Verdana" w:eastAsia="Calibri" w:hAnsi="Verdana" w:cs="Arial"/>
                <w:lang w:val="es-ES"/>
              </w:rPr>
              <w:t xml:space="preserve"> </w:t>
            </w:r>
            <w:r>
              <w:rPr>
                <w:rFonts w:ascii="Verdana" w:eastAsia="Calibri" w:hAnsi="Verdana" w:cs="Arial"/>
                <w:lang w:val="es-ES"/>
              </w:rPr>
              <w:t>las entidades públicas son</w:t>
            </w:r>
            <w:r w:rsidRPr="00396C85">
              <w:rPr>
                <w:rFonts w:ascii="Verdana" w:eastAsia="Calibri" w:hAnsi="Verdana" w:cs="Arial"/>
                <w:lang w:val="es-ES"/>
              </w:rPr>
              <w:t xml:space="preserve"> autónoma</w:t>
            </w:r>
            <w:r>
              <w:rPr>
                <w:rFonts w:ascii="Verdana" w:eastAsia="Calibri" w:hAnsi="Verdana" w:cs="Arial"/>
                <w:lang w:val="es-ES"/>
              </w:rPr>
              <w:t>s</w:t>
            </w:r>
            <w:r w:rsidRPr="00396C85">
              <w:rPr>
                <w:rFonts w:ascii="Verdana" w:eastAsia="Calibri" w:hAnsi="Verdana" w:cs="Arial"/>
                <w:lang w:val="es-ES"/>
              </w:rPr>
              <w:t xml:space="preserve"> y responsable</w:t>
            </w:r>
            <w:r>
              <w:rPr>
                <w:rFonts w:ascii="Verdana" w:eastAsia="Calibri" w:hAnsi="Verdana" w:cs="Arial"/>
                <w:lang w:val="es-ES"/>
              </w:rPr>
              <w:t>s</w:t>
            </w:r>
            <w:r w:rsidRPr="00396C85">
              <w:rPr>
                <w:rFonts w:ascii="Verdana" w:eastAsia="Calibri" w:hAnsi="Verdana" w:cs="Arial"/>
                <w:lang w:val="es-ES"/>
              </w:rPr>
              <w:t xml:space="preserve"> </w:t>
            </w:r>
            <w:r>
              <w:rPr>
                <w:rFonts w:ascii="Verdana" w:eastAsia="Calibri" w:hAnsi="Verdana" w:cs="Arial"/>
                <w:lang w:val="es-ES"/>
              </w:rPr>
              <w:t xml:space="preserve">tanto </w:t>
            </w:r>
            <w:r w:rsidRPr="00396C85">
              <w:rPr>
                <w:rFonts w:ascii="Verdana" w:eastAsia="Calibri" w:hAnsi="Verdana" w:cs="Arial"/>
                <w:lang w:val="es-ES"/>
              </w:rPr>
              <w:t>de la estructuración de sus procesos de contratación</w:t>
            </w:r>
            <w:r>
              <w:rPr>
                <w:rFonts w:ascii="Verdana" w:eastAsia="Calibri" w:hAnsi="Verdana" w:cs="Arial"/>
                <w:lang w:val="es-ES"/>
              </w:rPr>
              <w:t xml:space="preserve"> </w:t>
            </w:r>
            <w:r w:rsidRPr="00396C85">
              <w:rPr>
                <w:rFonts w:ascii="Verdana" w:eastAsia="Calibri" w:hAnsi="Verdana" w:cs="Arial"/>
                <w:lang w:val="es-ES"/>
              </w:rPr>
              <w:t xml:space="preserve">como </w:t>
            </w:r>
            <w:r>
              <w:rPr>
                <w:rFonts w:ascii="Verdana" w:eastAsia="Calibri" w:hAnsi="Verdana" w:cs="Arial"/>
                <w:lang w:val="es-ES"/>
              </w:rPr>
              <w:t xml:space="preserve">de </w:t>
            </w:r>
            <w:r w:rsidRPr="00396C85">
              <w:rPr>
                <w:rFonts w:ascii="Verdana" w:eastAsia="Calibri" w:hAnsi="Verdana" w:cs="Arial"/>
                <w:lang w:val="es-ES"/>
              </w:rPr>
              <w:t xml:space="preserve">determinar la modalidad de selección </w:t>
            </w:r>
            <w:r>
              <w:rPr>
                <w:rFonts w:ascii="Verdana" w:eastAsia="Calibri" w:hAnsi="Verdana" w:cs="Arial"/>
                <w:lang w:val="es-ES"/>
              </w:rPr>
              <w:t>aplicable para suplir sus necesidades.</w:t>
            </w:r>
          </w:p>
          <w:p w14:paraId="4B540FEB" w14:textId="6B424DB2" w:rsidR="001B4D82" w:rsidRPr="001F1924" w:rsidRDefault="00DF0EB6" w:rsidP="001F1924">
            <w:pPr>
              <w:spacing w:before="240" w:line="276" w:lineRule="auto"/>
              <w:jc w:val="both"/>
              <w:rPr>
                <w:rFonts w:ascii="Times New Roman" w:eastAsia="Times New Roman" w:hAnsi="Times New Roman" w:cs="Times New Roman"/>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43D909E" w14:textId="77777777" w:rsidR="001B4D82" w:rsidRPr="00593A5F" w:rsidRDefault="001B4D82" w:rsidP="001B4D82">
      <w:pPr>
        <w:tabs>
          <w:tab w:val="left" w:pos="142"/>
          <w:tab w:val="left" w:pos="284"/>
        </w:tabs>
        <w:spacing w:after="0" w:line="276" w:lineRule="auto"/>
        <w:jc w:val="both"/>
        <w:rPr>
          <w:rFonts w:ascii="Verdana" w:eastAsia="Century Gothic" w:hAnsi="Verdana" w:cs="Century Gothic"/>
          <w:b/>
          <w:bCs/>
          <w:lang w:val="es-ES"/>
        </w:rPr>
      </w:pPr>
    </w:p>
    <w:bookmarkEnd w:id="2"/>
    <w:p w14:paraId="48E1C28F" w14:textId="77777777" w:rsidR="001B4D82" w:rsidRPr="00593A5F" w:rsidRDefault="001B4D82" w:rsidP="00B52ACA">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7F1B487" w14:textId="77777777" w:rsidR="001B4D82" w:rsidRPr="00593A5F" w:rsidRDefault="001B4D82" w:rsidP="001B4D82">
      <w:pPr>
        <w:spacing w:after="0" w:line="276" w:lineRule="auto"/>
        <w:jc w:val="both"/>
        <w:rPr>
          <w:rFonts w:ascii="Verdana" w:eastAsia="Calibri" w:hAnsi="Verdana" w:cs="Arial"/>
          <w:color w:val="7030A0"/>
          <w:lang w:val="es-ES"/>
        </w:rPr>
      </w:pPr>
    </w:p>
    <w:p w14:paraId="2EA76AF2" w14:textId="77777777" w:rsidR="001B4D82" w:rsidRPr="0010142F" w:rsidRDefault="001B4D82" w:rsidP="0010142F">
      <w:pPr>
        <w:tabs>
          <w:tab w:val="left" w:pos="426"/>
        </w:tabs>
        <w:spacing w:before="240" w:after="120" w:line="276" w:lineRule="auto"/>
        <w:ind w:firstLine="425"/>
        <w:jc w:val="both"/>
        <w:rPr>
          <w:rFonts w:ascii="Verdana" w:eastAsia="Calibri" w:hAnsi="Verdana" w:cs="Arial"/>
        </w:rPr>
      </w:pPr>
      <w:r w:rsidRPr="0010142F">
        <w:rPr>
          <w:rFonts w:ascii="Verdana" w:eastAsia="Calibri" w:hAnsi="Verdana" w:cs="Arial"/>
        </w:rPr>
        <w:t>Lo anterior se sustenta en las siguientes consideraciones:</w:t>
      </w:r>
    </w:p>
    <w:p w14:paraId="170660A9" w14:textId="1D502CBD" w:rsidR="001B4D82" w:rsidRPr="002D6B43" w:rsidRDefault="000C14F9" w:rsidP="000C14F9">
      <w:pPr>
        <w:tabs>
          <w:tab w:val="left" w:pos="426"/>
        </w:tabs>
        <w:spacing w:before="240" w:after="120" w:line="276" w:lineRule="auto"/>
        <w:jc w:val="both"/>
        <w:rPr>
          <w:rFonts w:ascii="Verdana" w:eastAsia="Times New Roman" w:hAnsi="Verdana" w:cs="Arial"/>
          <w:lang w:eastAsia="es-CO"/>
        </w:rPr>
      </w:pPr>
      <w:r>
        <w:rPr>
          <w:rFonts w:ascii="Verdana" w:eastAsia="Calibri" w:hAnsi="Verdana" w:cs="Arial"/>
        </w:rPr>
        <w:tab/>
      </w:r>
      <w:r w:rsidR="001B4D82" w:rsidRPr="0010142F">
        <w:rPr>
          <w:rFonts w:ascii="Verdana" w:eastAsia="Calibri" w:hAnsi="Verdana" w:cs="Arial"/>
        </w:rPr>
        <w:t>El ordenamiento jurídico colombiano contempla previsiones claras para evitar la</w:t>
      </w:r>
      <w:r w:rsidR="001B4D82" w:rsidRPr="0010142F">
        <w:rPr>
          <w:rFonts w:ascii="Verdana" w:eastAsia="Times New Roman" w:hAnsi="Verdana" w:cs="Arial"/>
          <w:lang w:eastAsia="es-CO"/>
        </w:rPr>
        <w:t xml:space="preserve"> obtención de beneficios personales en asuntos propios de la administración pública. Por ejemplo, el artículo 127 de la Constitución Política establece</w:t>
      </w:r>
      <w:r w:rsidR="001B4D82" w:rsidRPr="002D6B43">
        <w:rPr>
          <w:rFonts w:ascii="Verdana" w:eastAsia="Calibri" w:hAnsi="Verdana" w:cs="Arial"/>
        </w:rPr>
        <w:t xml:space="preserve"> una prohibición contractual a los servidores públicos y, en cuanto a aspectos políticos, establece restricciones a ciertos empleados del Estado, incluso en época no electoral</w:t>
      </w:r>
      <w:r w:rsidR="001B4D82" w:rsidRPr="001924B7">
        <w:rPr>
          <w:rFonts w:ascii="Verdana" w:hAnsi="Verdana"/>
          <w:vertAlign w:val="superscript"/>
        </w:rPr>
        <w:footnoteReference w:id="3"/>
      </w:r>
      <w:r w:rsidR="001B4D82" w:rsidRPr="002D6B43">
        <w:rPr>
          <w:rFonts w:ascii="Verdana" w:eastAsia="Calibri" w:hAnsi="Verdana" w:cs="Arial"/>
        </w:rPr>
        <w:t xml:space="preserve">. </w:t>
      </w:r>
    </w:p>
    <w:p w14:paraId="6AB6E24C" w14:textId="77777777" w:rsidR="001B4D82" w:rsidRPr="006B14B5" w:rsidRDefault="001B4D82" w:rsidP="007D25E4">
      <w:pPr>
        <w:tabs>
          <w:tab w:val="left" w:pos="426"/>
        </w:tabs>
        <w:spacing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w:t>
      </w:r>
      <w:r w:rsidRPr="00E2397D">
        <w:rPr>
          <w:rFonts w:ascii="Verdana" w:eastAsia="Times New Roman" w:hAnsi="Verdana" w:cs="Arial"/>
          <w:lang w:val="es-MX" w:eastAsia="es-CO"/>
        </w:rPr>
        <w:lastRenderedPageBreak/>
        <w:t>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4"/>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C7C39A1" w14:textId="77777777" w:rsidR="001B4D82" w:rsidRPr="00E2397D" w:rsidRDefault="001B4D82" w:rsidP="001B4D8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4BBD996" w14:textId="77777777" w:rsidR="001B4D82" w:rsidRDefault="001B4D82" w:rsidP="001B4D82">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5973252" w14:textId="77777777" w:rsidR="001B4D82" w:rsidRPr="000B35C5" w:rsidRDefault="001B4D82" w:rsidP="001B4D82">
      <w:pPr>
        <w:spacing w:after="0" w:line="240" w:lineRule="auto"/>
        <w:ind w:left="709" w:right="709"/>
        <w:contextualSpacing/>
        <w:jc w:val="both"/>
        <w:rPr>
          <w:rFonts w:ascii="Verdana" w:eastAsia="Times New Roman" w:hAnsi="Verdana" w:cs="Arial"/>
          <w:sz w:val="12"/>
          <w:szCs w:val="12"/>
          <w:lang w:val="es-MX" w:eastAsia="es-CO"/>
        </w:rPr>
      </w:pPr>
    </w:p>
    <w:p w14:paraId="737464A4" w14:textId="2AD307BE" w:rsidR="001B4D82" w:rsidRPr="00E2397D" w:rsidRDefault="001B4D82" w:rsidP="007D25E4">
      <w:pPr>
        <w:spacing w:after="0" w:line="240" w:lineRule="auto"/>
        <w:ind w:left="709" w:right="709"/>
        <w:contextualSpacing/>
        <w:jc w:val="both"/>
        <w:rPr>
          <w:rFonts w:ascii="Verdana" w:eastAsia="Times New Roman" w:hAnsi="Verdana" w:cs="Arial"/>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5"/>
      </w:r>
      <w:bookmarkStart w:id="4" w:name="_Hlk78818186"/>
    </w:p>
    <w:p w14:paraId="5345CA55" w14:textId="77777777" w:rsidR="001B4D82" w:rsidRPr="00E2397D" w:rsidRDefault="001B4D82" w:rsidP="00044D3C">
      <w:pPr>
        <w:spacing w:before="24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FFB619D" w14:textId="77777777" w:rsidR="001B4D82" w:rsidRPr="00E2397D" w:rsidRDefault="001B4D82" w:rsidP="00044D3C">
      <w:pPr>
        <w:spacing w:before="240"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w:t>
      </w:r>
      <w:r w:rsidRPr="00E2397D">
        <w:rPr>
          <w:rFonts w:ascii="Verdana" w:eastAsia="Times New Roman" w:hAnsi="Verdana" w:cs="Arial"/>
          <w:sz w:val="20"/>
          <w:szCs w:val="20"/>
          <w:lang w:val="es-MX" w:eastAsia="es-CO"/>
        </w:rPr>
        <w:lastRenderedPageBreak/>
        <w:t>modificadas, ampliadas o adicionadas por acuerdo o convenio o acto unilateral.</w:t>
      </w:r>
    </w:p>
    <w:p w14:paraId="49DCB69A" w14:textId="77777777" w:rsidR="001B4D82" w:rsidRPr="000B35C5" w:rsidRDefault="001B4D82" w:rsidP="001B4D82">
      <w:pPr>
        <w:spacing w:after="0" w:line="240" w:lineRule="auto"/>
        <w:ind w:right="709"/>
        <w:contextualSpacing/>
        <w:jc w:val="both"/>
        <w:rPr>
          <w:rFonts w:ascii="Verdana" w:eastAsia="Times New Roman" w:hAnsi="Verdana" w:cs="Arial"/>
          <w:sz w:val="12"/>
          <w:szCs w:val="12"/>
          <w:lang w:val="es-MX" w:eastAsia="es-CO"/>
        </w:rPr>
      </w:pPr>
    </w:p>
    <w:p w14:paraId="3356015F" w14:textId="77777777" w:rsidR="001B4D82" w:rsidRPr="00E2397D" w:rsidRDefault="001B4D82" w:rsidP="00044D3C">
      <w:pPr>
        <w:spacing w:before="240"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w:t>
      </w:r>
    </w:p>
    <w:p w14:paraId="684BF257" w14:textId="09A068B9" w:rsidR="001B4D82" w:rsidRPr="00E2397D" w:rsidRDefault="001B4D82" w:rsidP="00044D3C">
      <w:pPr>
        <w:spacing w:before="24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49CDC82" w14:textId="349D56B6" w:rsidR="001B4D82" w:rsidRPr="00E2397D" w:rsidRDefault="00B96625" w:rsidP="00626FC5">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Ahora bien, p</w:t>
      </w:r>
      <w:r w:rsidR="001B4D82" w:rsidRPr="00E2397D">
        <w:rPr>
          <w:rFonts w:ascii="Verdana" w:eastAsia="Arial" w:hAnsi="Verdana" w:cs="Arial"/>
          <w:lang w:val="es-ES" w:eastAsia="es-ES" w:bidi="es-ES"/>
        </w:rPr>
        <w:t>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50C43D18" w14:textId="77777777" w:rsidR="001B4D82" w:rsidRPr="00E2397D" w:rsidRDefault="001B4D82" w:rsidP="001B4D82">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w:t>
      </w:r>
      <w:r w:rsidRPr="00E2397D">
        <w:rPr>
          <w:rFonts w:ascii="Verdana" w:eastAsia="Calibri" w:hAnsi="Verdana" w:cs="Arial"/>
        </w:rPr>
        <w:lastRenderedPageBreak/>
        <w:t>casos de fuerza mayor, y los que deban realizar las entidades sanitarias y hospitalarias”</w:t>
      </w:r>
      <w:r w:rsidRPr="00E2397D">
        <w:rPr>
          <w:rFonts w:ascii="Verdana" w:eastAsia="Calibri" w:hAnsi="Verdana" w:cs="Arial"/>
          <w:vertAlign w:val="superscript"/>
        </w:rPr>
        <w:footnoteReference w:id="9"/>
      </w:r>
      <w:r w:rsidRPr="00E2397D">
        <w:rPr>
          <w:rFonts w:ascii="Verdana" w:eastAsia="Calibri" w:hAnsi="Verdana" w:cs="Arial"/>
        </w:rPr>
        <w:t>.</w:t>
      </w:r>
    </w:p>
    <w:p w14:paraId="1368A1B4" w14:textId="77777777" w:rsidR="001B4D82" w:rsidRDefault="001B4D82" w:rsidP="001B4D82">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10"/>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0104405" w14:textId="77777777" w:rsidR="001B4D82" w:rsidRDefault="001B4D82" w:rsidP="001B4D82">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7B0E2E2F" w14:textId="77777777" w:rsidR="001B4D82" w:rsidRDefault="001B4D82" w:rsidP="001B4D8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w:t>
      </w:r>
      <w:r w:rsidRPr="00447D82">
        <w:rPr>
          <w:rFonts w:ascii="Verdana" w:eastAsia="Times New Roman" w:hAnsi="Verdana" w:cs="Arial"/>
          <w:bCs/>
          <w:lang w:val="es-ES" w:eastAsia="es-CO"/>
        </w:rPr>
        <w:lastRenderedPageBreak/>
        <w:t>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A0EAE05" w14:textId="77777777" w:rsidR="001B4D82" w:rsidRDefault="001B4D82" w:rsidP="001B4D8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036D3DA" w14:textId="77777777" w:rsidR="001B4D82" w:rsidRPr="00894384" w:rsidRDefault="001B4D82" w:rsidP="001B4D8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1"/>
      </w:r>
      <w:r w:rsidRPr="00894384">
        <w:rPr>
          <w:rFonts w:ascii="Verdana" w:eastAsia="Times New Roman" w:hAnsi="Verdana" w:cs="Arial"/>
          <w:bCs/>
          <w:lang w:val="es-MX" w:eastAsia="es-CO"/>
        </w:rPr>
        <w:t xml:space="preserve">. </w:t>
      </w:r>
    </w:p>
    <w:p w14:paraId="626A2A76" w14:textId="77777777" w:rsidR="001B4D82" w:rsidRPr="00E2397D" w:rsidRDefault="001B4D82" w:rsidP="001B4D8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DEBC9A9" w14:textId="77777777" w:rsidR="001B4D82" w:rsidRPr="00E2397D" w:rsidRDefault="001B4D82" w:rsidP="001B4D82">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9A4153C" w14:textId="77777777" w:rsidR="001B4D82" w:rsidRPr="00E2397D" w:rsidRDefault="001B4D82" w:rsidP="001B4D8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2"/>
      </w:r>
    </w:p>
    <w:p w14:paraId="26CF8B85" w14:textId="77777777" w:rsidR="001B4D82" w:rsidRPr="00E2397D" w:rsidRDefault="001B4D82" w:rsidP="001B4D82">
      <w:pPr>
        <w:widowControl w:val="0"/>
        <w:autoSpaceDE w:val="0"/>
        <w:autoSpaceDN w:val="0"/>
        <w:spacing w:after="0" w:line="276" w:lineRule="auto"/>
        <w:contextualSpacing/>
        <w:rPr>
          <w:rFonts w:ascii="Verdana" w:eastAsia="Arial" w:hAnsi="Verdana" w:cs="Arial"/>
          <w:lang w:val="es-ES" w:eastAsia="es-ES" w:bidi="es-ES"/>
        </w:rPr>
      </w:pPr>
    </w:p>
    <w:p w14:paraId="03283660" w14:textId="77777777" w:rsidR="001B4D82" w:rsidRPr="00E2397D" w:rsidRDefault="001B4D82" w:rsidP="001B4D8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lastRenderedPageBreak/>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38BAB82C" w14:textId="77777777" w:rsidR="001B4D82" w:rsidRPr="00E2397D" w:rsidRDefault="001B4D82" w:rsidP="001B4D8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00BFC8F8" w14:textId="1A169C55" w:rsidR="001B4D82" w:rsidRPr="00E2397D" w:rsidRDefault="001B4D82" w:rsidP="006660C9">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bookmarkStart w:id="13" w:name="_Hlk78820161"/>
    </w:p>
    <w:p w14:paraId="4810864C" w14:textId="5EDB3B93" w:rsidR="001B4D82" w:rsidRPr="00D631B0" w:rsidRDefault="001B4D82" w:rsidP="002D651C">
      <w:pPr>
        <w:spacing w:line="276" w:lineRule="auto"/>
        <w:ind w:firstLine="709"/>
        <w:jc w:val="both"/>
        <w:rPr>
          <w:rFonts w:ascii="Verdana" w:eastAsia="Calibri" w:hAnsi="Verdana" w:cs="Arial"/>
          <w:lang w:val="es-MX"/>
        </w:rPr>
      </w:pPr>
      <w:r w:rsidRPr="0057193B">
        <w:rPr>
          <w:rFonts w:ascii="Verdana" w:eastAsia="Times New Roman" w:hAnsi="Verdana" w:cs="Arial"/>
          <w:bCs/>
          <w:lang w:val="es-MX" w:eastAsia="x-none"/>
        </w:rPr>
        <w:lastRenderedPageBreak/>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3CFCFC28" w14:textId="77777777" w:rsidR="001B4D82" w:rsidRPr="00BB5022" w:rsidRDefault="001B4D82" w:rsidP="001B4D82">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3"/>
      </w:r>
      <w:r w:rsidRPr="00BB5022">
        <w:rPr>
          <w:rFonts w:ascii="Verdana" w:eastAsia="Calibri" w:hAnsi="Verdana" w:cs="Arial"/>
          <w:sz w:val="20"/>
          <w:szCs w:val="20"/>
          <w:lang w:val="es-MX"/>
        </w:rPr>
        <w:t>.</w:t>
      </w:r>
    </w:p>
    <w:p w14:paraId="6B608EC8" w14:textId="4C43E7D0" w:rsidR="001B4D82" w:rsidRPr="0057193B" w:rsidRDefault="001B4D82" w:rsidP="002D651C">
      <w:pPr>
        <w:spacing w:line="240" w:lineRule="auto"/>
        <w:ind w:left="708" w:right="709"/>
        <w:jc w:val="both"/>
        <w:rPr>
          <w:rFonts w:ascii="Verdana" w:eastAsia="Times New Roman" w:hAnsi="Verdana" w:cs="Arial"/>
          <w:lang w:eastAsia="x-none"/>
        </w:rPr>
      </w:pPr>
      <w:r w:rsidRPr="00BB5022">
        <w:rPr>
          <w:rFonts w:ascii="Verdana" w:eastAsia="Calibri" w:hAnsi="Verdana" w:cs="Arial"/>
          <w:sz w:val="20"/>
          <w:szCs w:val="20"/>
          <w:lang w:val="es-MX"/>
        </w:rPr>
        <w:t xml:space="preserve">Esta Sala ha entendido </w:t>
      </w:r>
      <w:proofErr w:type="gramStart"/>
      <w:r w:rsidRPr="00BB5022">
        <w:rPr>
          <w:rFonts w:ascii="Verdana" w:eastAsia="Calibri" w:hAnsi="Verdana" w:cs="Arial"/>
          <w:sz w:val="20"/>
          <w:szCs w:val="20"/>
          <w:lang w:val="es-MX"/>
        </w:rPr>
        <w:t>que</w:t>
      </w:r>
      <w:proofErr w:type="gramEnd"/>
      <w:r w:rsidRPr="00BB5022">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4"/>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5"/>
      </w:r>
      <w:r w:rsidRPr="00BB5022">
        <w:rPr>
          <w:rFonts w:ascii="Verdana" w:eastAsia="Calibri" w:hAnsi="Verdana" w:cs="Arial"/>
          <w:sz w:val="20"/>
          <w:szCs w:val="20"/>
          <w:lang w:val="es-MX"/>
        </w:rPr>
        <w:t>.</w:t>
      </w:r>
    </w:p>
    <w:p w14:paraId="72528A0F" w14:textId="77777777" w:rsidR="001B4D82" w:rsidRPr="0057193B" w:rsidRDefault="001B4D82" w:rsidP="001B4D82">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38767F2" w14:textId="77777777" w:rsidR="001B4D82" w:rsidRPr="0057193B" w:rsidRDefault="001B4D82" w:rsidP="001B4D82">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lastRenderedPageBreak/>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8"/>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CAB8A8D" w14:textId="77777777" w:rsidR="001B4D82" w:rsidRPr="0057193B" w:rsidRDefault="001B4D82" w:rsidP="001B4D82">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lang w:eastAsia="x-none"/>
        </w:rPr>
        <w:t xml:space="preserve">. </w:t>
      </w:r>
    </w:p>
    <w:p w14:paraId="3BEF22AF" w14:textId="77777777" w:rsidR="001B4D82" w:rsidRPr="0057193B" w:rsidRDefault="001B4D82" w:rsidP="001B4D82">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601256C9" w14:textId="77777777" w:rsidR="001B4D82" w:rsidRPr="0057193B" w:rsidRDefault="001B4D82" w:rsidP="001B4D82">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0"/>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A98343D" w14:textId="77777777" w:rsidR="001B4D82" w:rsidRPr="0057193B" w:rsidRDefault="001B4D82" w:rsidP="001B4D82">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lastRenderedPageBreak/>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C18CC1E" w14:textId="77777777" w:rsidR="001B4D82" w:rsidRPr="00447D82" w:rsidRDefault="001B4D82" w:rsidP="001B4D82">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1"/>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5E5B916F" w14:textId="77777777" w:rsidR="001B4D82" w:rsidRPr="0057193B" w:rsidRDefault="001B4D82" w:rsidP="001B4D82">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9E736F2" w14:textId="77777777" w:rsidR="001B4D82" w:rsidRPr="0057193B" w:rsidRDefault="001B4D82" w:rsidP="001B4D82">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 xml:space="preserve">si bien la limitación garantiza la igualdad de condiciones, también es necesario que </w:t>
      </w:r>
      <w:r w:rsidRPr="0057193B">
        <w:rPr>
          <w:rFonts w:ascii="Verdana" w:eastAsia="Times New Roman" w:hAnsi="Verdana" w:cs="Arial"/>
          <w:bCs/>
          <w:lang w:val="es-MX" w:eastAsia="x-none"/>
        </w:rPr>
        <w:lastRenderedPageBreak/>
        <w:t>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2"/>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0A9FCE3" w14:textId="7C556031" w:rsidR="001B4D82" w:rsidRPr="0057193B" w:rsidRDefault="001B4D82" w:rsidP="001D73DC">
      <w:pPr>
        <w:spacing w:before="24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2046FA9" w14:textId="77777777" w:rsidR="001B4D82" w:rsidRPr="00883B81" w:rsidRDefault="001B4D82" w:rsidP="001B4D82">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3"/>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458F34B1" w14:textId="77777777" w:rsidR="001B4D82" w:rsidRPr="0057193B" w:rsidRDefault="001B4D82" w:rsidP="00D815A9">
      <w:pPr>
        <w:spacing w:before="240"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w:t>
      </w:r>
      <w:r w:rsidRPr="0057193B">
        <w:rPr>
          <w:rFonts w:ascii="Verdana" w:eastAsia="Times New Roman" w:hAnsi="Verdana" w:cs="Arial"/>
          <w:bCs/>
          <w:lang w:val="es-MX" w:eastAsia="x-none"/>
        </w:rPr>
        <w:lastRenderedPageBreak/>
        <w:t xml:space="preserve">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4"/>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73150F04" w14:textId="77777777" w:rsidR="001B4D82" w:rsidRPr="001924B7" w:rsidRDefault="001B4D82" w:rsidP="006C1FF1">
      <w:pPr>
        <w:spacing w:before="240"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9EDFAC0" w14:textId="77777777" w:rsidR="001B4D82" w:rsidRPr="00883B81" w:rsidRDefault="001B4D82" w:rsidP="001B4D82">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09B9599E" w14:textId="77777777" w:rsidR="001B4D82" w:rsidRPr="001924B7" w:rsidRDefault="001B4D82" w:rsidP="001B4D82">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5"/>
      </w:r>
      <w:r w:rsidRPr="001924B7">
        <w:rPr>
          <w:rFonts w:ascii="Verdana" w:eastAsia="Times New Roman" w:hAnsi="Verdana" w:cs="Arial"/>
          <w:bCs/>
          <w:sz w:val="20"/>
          <w:szCs w:val="20"/>
          <w:lang w:val="es-MX" w:eastAsia="x-none"/>
        </w:rPr>
        <w:t>.</w:t>
      </w:r>
    </w:p>
    <w:p w14:paraId="3BEFDA6C" w14:textId="77777777" w:rsidR="001B4D82" w:rsidRPr="0057193B" w:rsidRDefault="001B4D82" w:rsidP="006C1FF1">
      <w:pPr>
        <w:spacing w:before="240"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w:t>
      </w:r>
      <w:r w:rsidRPr="0057193B">
        <w:rPr>
          <w:rFonts w:ascii="Verdana" w:eastAsia="Calibri" w:hAnsi="Verdana" w:cs="Arial"/>
          <w:lang w:val="es-MX"/>
        </w:rPr>
        <w:lastRenderedPageBreak/>
        <w:t xml:space="preserve">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6"/>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7B9B2AA9" w14:textId="7BE80649" w:rsidR="001B4D82" w:rsidRPr="00B852F0" w:rsidRDefault="001B4D82" w:rsidP="00B852F0">
      <w:pPr>
        <w:pStyle w:val="paragraph"/>
        <w:shd w:val="clear" w:color="auto" w:fill="FFFFFF"/>
        <w:spacing w:before="0" w:beforeAutospacing="0" w:after="120" w:afterAutospacing="0" w:line="276" w:lineRule="auto"/>
        <w:ind w:firstLine="709"/>
        <w:jc w:val="both"/>
        <w:textAlignment w:val="baseline"/>
        <w:rPr>
          <w:rFonts w:ascii="Verdana" w:hAnsi="Verdana" w:cs="Arial"/>
          <w:bCs/>
          <w:color w:val="000000" w:themeColor="text1"/>
          <w:sz w:val="22"/>
          <w:szCs w:val="22"/>
          <w:lang w:val="es-ES"/>
        </w:rPr>
      </w:pPr>
      <w:r w:rsidRPr="00B852F0">
        <w:rPr>
          <w:rFonts w:ascii="Verdana" w:hAnsi="Verdana" w:cs="Arial"/>
          <w:sz w:val="22"/>
          <w:szCs w:val="22"/>
        </w:rPr>
        <w:t>Sin perjuicio de estos pronunciamientos de la Sala de Consulta y Servicio Civil</w:t>
      </w:r>
      <w:r w:rsidRPr="00B852F0">
        <w:rPr>
          <w:rFonts w:ascii="Verdana" w:eastAsia="Calibri" w:hAnsi="Verdana" w:cs="Arial"/>
          <w:sz w:val="22"/>
          <w:szCs w:val="22"/>
          <w:lang w:val="es-MX"/>
        </w:rPr>
        <w:t>, como l</w:t>
      </w:r>
      <w:r w:rsidR="00750ABA" w:rsidRPr="00B852F0">
        <w:rPr>
          <w:rFonts w:ascii="Verdana" w:eastAsia="Calibri" w:hAnsi="Verdana" w:cs="Arial"/>
          <w:sz w:val="22"/>
          <w:szCs w:val="22"/>
          <w:lang w:val="es-MX"/>
        </w:rPr>
        <w:t>o</w:t>
      </w:r>
      <w:r w:rsidRPr="00B852F0">
        <w:rPr>
          <w:rFonts w:ascii="Verdana" w:eastAsia="Calibri" w:hAnsi="Verdana" w:cs="Arial"/>
          <w:sz w:val="22"/>
          <w:szCs w:val="22"/>
          <w:lang w:val="es-MX"/>
        </w:rPr>
        <w:t xml:space="preserve"> ha señalado esa misma Corporación, la restricción prevista en la Ley 996 de 2005 </w:t>
      </w:r>
      <w:r w:rsidRPr="00B852F0">
        <w:rPr>
          <w:rFonts w:ascii="Verdana" w:hAnsi="Verdana" w:cs="Arial"/>
          <w:bCs/>
          <w:sz w:val="22"/>
          <w:szCs w:val="22"/>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w:t>
      </w:r>
      <w:r w:rsidRPr="00B852F0">
        <w:rPr>
          <w:rFonts w:ascii="Verdana" w:hAnsi="Verdana" w:cs="Arial"/>
          <w:bCs/>
          <w:color w:val="000000" w:themeColor="text1"/>
          <w:sz w:val="22"/>
          <w:szCs w:val="22"/>
          <w:lang w:val="es-ES"/>
        </w:rPr>
        <w:t>presentarse tanto en la contratación regulada por la Ley 80 de 1993 como en la regida por normas especiales.</w:t>
      </w:r>
    </w:p>
    <w:bookmarkEnd w:id="13"/>
    <w:p w14:paraId="19435FD0" w14:textId="2D8709FF" w:rsidR="001B4D82" w:rsidRPr="00B852F0" w:rsidRDefault="001B4D82" w:rsidP="00B852F0">
      <w:pPr>
        <w:pStyle w:val="paragraph"/>
        <w:shd w:val="clear" w:color="auto" w:fill="FFFFFF"/>
        <w:spacing w:before="0" w:beforeAutospacing="0" w:after="120" w:afterAutospacing="0" w:line="276" w:lineRule="auto"/>
        <w:ind w:firstLine="709"/>
        <w:jc w:val="both"/>
        <w:textAlignment w:val="baseline"/>
        <w:rPr>
          <w:rFonts w:ascii="Verdana" w:hAnsi="Verdana" w:cs="Arial"/>
          <w:bCs/>
          <w:color w:val="000000" w:themeColor="text1"/>
          <w:sz w:val="22"/>
          <w:szCs w:val="22"/>
          <w:lang w:val="es-ES"/>
        </w:rPr>
      </w:pPr>
      <w:r w:rsidRPr="00B852F0">
        <w:rPr>
          <w:rFonts w:ascii="Verdana" w:hAnsi="Verdana" w:cs="Arial"/>
          <w:bCs/>
          <w:color w:val="000000" w:themeColor="text1"/>
          <w:sz w:val="22"/>
          <w:szCs w:val="22"/>
          <w:lang w:val="es-ES"/>
        </w:rPr>
        <w:t>Respecto al literal i) del artículo 2.4 de la Ley 1150 de 2011, al igual que el literal e) del derogado artículo 24.1 de la Ley 80 de 1993, el EGCAP permite la contratación directa tratándose</w:t>
      </w:r>
      <w:r w:rsidRPr="00B852F0">
        <w:rPr>
          <w:rFonts w:ascii="Verdana" w:hAnsi="Verdana" w:cs="Arial"/>
          <w:sz w:val="22"/>
          <w:szCs w:val="22"/>
          <w:lang w:eastAsia="es-MX"/>
        </w:rPr>
        <w:t xml:space="preserve"> de “El arrendamiento […] de inmuebles”. </w:t>
      </w:r>
      <w:r w:rsidRPr="00B852F0">
        <w:rPr>
          <w:rFonts w:ascii="Verdana" w:hAnsi="Verdana" w:cs="Arial"/>
          <w:bCs/>
          <w:color w:val="000000" w:themeColor="text1"/>
          <w:sz w:val="22"/>
          <w:szCs w:val="22"/>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B852F0">
        <w:rPr>
          <w:rFonts w:ascii="Verdana" w:hAnsi="Verdana" w:cs="Arial"/>
          <w:sz w:val="22"/>
          <w:szCs w:val="22"/>
          <w:lang w:eastAsia="es-MX"/>
        </w:rPr>
        <w:t xml:space="preserve"> </w:t>
      </w:r>
    </w:p>
    <w:p w14:paraId="48BF7E70" w14:textId="77777777" w:rsidR="001B4D82" w:rsidRPr="00C35463" w:rsidRDefault="001B4D82" w:rsidP="001B4D82">
      <w:pPr>
        <w:spacing w:after="120" w:line="276" w:lineRule="auto"/>
        <w:ind w:firstLine="709"/>
        <w:jc w:val="both"/>
        <w:rPr>
          <w:rFonts w:ascii="Verdana" w:eastAsia="Times New Roman" w:hAnsi="Verdana" w:cs="Arial"/>
          <w:lang w:eastAsia="es-MX"/>
        </w:rPr>
      </w:pPr>
      <w:r w:rsidRPr="00C3546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00C35463">
        <w:rPr>
          <w:rFonts w:ascii="Verdana" w:eastAsia="Times New Roman" w:hAnsi="Verdana" w:cs="Arial"/>
          <w:i/>
          <w:iCs/>
          <w:lang w:eastAsia="es-MX"/>
        </w:rPr>
        <w:t xml:space="preserve">Por tanto, también para el caso en el que actúa como arrendadora puede acudir a un evento </w:t>
      </w:r>
      <w:r w:rsidRPr="00C35463">
        <w:rPr>
          <w:rFonts w:ascii="Verdana" w:eastAsia="Times New Roman" w:hAnsi="Verdana" w:cs="Arial"/>
          <w:i/>
          <w:iCs/>
          <w:lang w:eastAsia="es-MX"/>
        </w:rPr>
        <w:lastRenderedPageBreak/>
        <w:t>especial de contratación directa</w:t>
      </w:r>
      <w:r w:rsidRPr="00C35463">
        <w:rPr>
          <w:rFonts w:ascii="Verdana" w:eastAsia="Times New Roman" w:hAnsi="Verdana" w:cs="Arial"/>
          <w:lang w:eastAsia="es-MX"/>
        </w:rPr>
        <w:t xml:space="preserve"> […]”</w:t>
      </w:r>
      <w:r w:rsidRPr="00C35463">
        <w:rPr>
          <w:rStyle w:val="Refdenotaalpie"/>
          <w:rFonts w:ascii="Verdana" w:eastAsia="Times New Roman" w:hAnsi="Verdana" w:cs="Arial"/>
          <w:lang w:eastAsia="es-MX"/>
        </w:rPr>
        <w:footnoteReference w:id="27"/>
      </w:r>
      <w:r w:rsidRPr="00C35463">
        <w:rPr>
          <w:rFonts w:ascii="Verdana" w:eastAsia="Times New Roman" w:hAnsi="Verdana" w:cs="Arial"/>
          <w:lang w:eastAsia="es-MX"/>
        </w:rPr>
        <w:t xml:space="preserve"> (Énfasis fuera de texto). Dicho entendimiento tampoco cambió después de la reforma de la Ley 1150 de 2007, pues DÁVILA VINUEZA considera que “</w:t>
      </w:r>
      <w:r w:rsidRPr="00C35463">
        <w:rPr>
          <w:rFonts w:ascii="Verdana" w:eastAsia="Times New Roman" w:hAnsi="Verdana" w:cs="Arial"/>
          <w:i/>
          <w:iCs/>
          <w:lang w:eastAsia="es-MX"/>
        </w:rPr>
        <w:t>La contratación directa está admitida tanto cuando la entidad es arrendataria como cuando es arrendadora y no se requiere obtener varias ofertas</w:t>
      </w:r>
      <w:r w:rsidRPr="00C35463">
        <w:rPr>
          <w:rFonts w:ascii="Verdana" w:eastAsia="Times New Roman" w:hAnsi="Verdana" w:cs="Arial"/>
          <w:lang w:eastAsia="es-MX"/>
        </w:rPr>
        <w:t xml:space="preserve"> […]”</w:t>
      </w:r>
      <w:r w:rsidRPr="00C35463">
        <w:rPr>
          <w:rStyle w:val="Refdenotaalpie"/>
          <w:rFonts w:ascii="Verdana" w:eastAsia="Times New Roman" w:hAnsi="Verdana" w:cs="Arial"/>
          <w:lang w:eastAsia="es-MX"/>
        </w:rPr>
        <w:footnoteReference w:id="28"/>
      </w:r>
      <w:r w:rsidRPr="00C3546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00C35463">
        <w:rPr>
          <w:rStyle w:val="Refdenotaalpie"/>
          <w:rFonts w:ascii="Verdana" w:eastAsia="Times New Roman" w:hAnsi="Verdana" w:cs="Arial"/>
          <w:lang w:eastAsia="es-MX"/>
        </w:rPr>
        <w:footnoteReference w:id="29"/>
      </w:r>
      <w:r w:rsidRPr="00C35463">
        <w:rPr>
          <w:rFonts w:ascii="Verdana" w:eastAsia="Times New Roman" w:hAnsi="Verdana" w:cs="Arial"/>
          <w:lang w:eastAsia="es-MX"/>
        </w:rPr>
        <w:t xml:space="preserve">. </w:t>
      </w:r>
    </w:p>
    <w:p w14:paraId="75625A4A" w14:textId="77777777" w:rsidR="001B4D82" w:rsidRPr="00C35463" w:rsidRDefault="001B4D82" w:rsidP="001B4D82">
      <w:pPr>
        <w:spacing w:after="0" w:line="276" w:lineRule="auto"/>
        <w:ind w:firstLine="709"/>
        <w:jc w:val="both"/>
        <w:rPr>
          <w:rFonts w:ascii="Verdana" w:hAnsi="Verdana" w:cs="Arial"/>
          <w:bCs/>
          <w:color w:val="000000" w:themeColor="text1"/>
          <w:lang w:val="es-ES"/>
        </w:rPr>
      </w:pPr>
      <w:r w:rsidRPr="00C35463">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14:paraId="6EBAB2A4" w14:textId="77777777" w:rsidR="001B4D82" w:rsidRPr="00C35463" w:rsidRDefault="001B4D82" w:rsidP="00FE424B">
      <w:pPr>
        <w:spacing w:before="240" w:after="120" w:line="240" w:lineRule="auto"/>
        <w:ind w:left="709" w:right="709"/>
        <w:jc w:val="both"/>
        <w:rPr>
          <w:rFonts w:ascii="Verdana" w:eastAsia="Calibri" w:hAnsi="Verdana" w:cs="Arial"/>
          <w:sz w:val="20"/>
          <w:szCs w:val="20"/>
        </w:rPr>
      </w:pPr>
      <w:r w:rsidRPr="00C35463">
        <w:rPr>
          <w:rFonts w:ascii="Verdana" w:eastAsia="Calibri" w:hAnsi="Verdana" w:cs="Arial"/>
          <w:sz w:val="20"/>
          <w:szCs w:val="20"/>
        </w:rPr>
        <w:t>“1. Verificar las condiciones del mercado inmobiliario en la ciudad en la que la Entidad Estatal requiere el inmueble.</w:t>
      </w:r>
    </w:p>
    <w:p w14:paraId="1EBA1DF5" w14:textId="315EB883" w:rsidR="001B4D82" w:rsidRPr="00C35463" w:rsidRDefault="001B4D82" w:rsidP="00FE424B">
      <w:pPr>
        <w:spacing w:line="240" w:lineRule="auto"/>
        <w:ind w:left="709" w:right="709"/>
        <w:jc w:val="both"/>
        <w:rPr>
          <w:rFonts w:ascii="Verdana" w:eastAsia="Calibri" w:hAnsi="Verdana" w:cs="Arial"/>
          <w:color w:val="000000" w:themeColor="text1"/>
        </w:rPr>
      </w:pPr>
      <w:r w:rsidRPr="00C35463">
        <w:rPr>
          <w:rFonts w:ascii="Verdana" w:eastAsia="Calibri" w:hAnsi="Verdana" w:cs="Arial"/>
          <w:sz w:val="20"/>
          <w:szCs w:val="20"/>
        </w:rPr>
        <w:t>2. Analizar y comparar las condiciones de los bienes inmuebles que satisfacen las necesidades identificadas y las opciones de arrendamiento, análisis que deberá tener en cuenta los principios y objetivos del sistema de compra y contratación pública”.</w:t>
      </w:r>
    </w:p>
    <w:p w14:paraId="651BF580" w14:textId="501A1ABE" w:rsidR="001B4D82" w:rsidRPr="00C35463" w:rsidRDefault="001B4D82" w:rsidP="001B4D82">
      <w:pPr>
        <w:spacing w:after="120" w:line="276" w:lineRule="auto"/>
        <w:ind w:firstLine="708"/>
        <w:jc w:val="both"/>
        <w:rPr>
          <w:rFonts w:ascii="Verdana" w:eastAsia="Calibri" w:hAnsi="Verdana" w:cs="Arial"/>
          <w:lang w:val="es-ES"/>
        </w:rPr>
      </w:pPr>
      <w:r w:rsidRPr="00C35463">
        <w:rPr>
          <w:rFonts w:ascii="Verdana" w:eastAsia="Calibri" w:hAnsi="Verdana" w:cs="Arial"/>
          <w:lang w:val="es-ES"/>
        </w:rPr>
        <w:t xml:space="preserve">Para autores como GONZÁLEZ LÓPEZ, </w:t>
      </w:r>
      <w:r w:rsidRPr="00C35463">
        <w:rPr>
          <w:rFonts w:ascii="Verdana" w:eastAsia="Calibri" w:hAnsi="Verdana" w:cs="Arial"/>
          <w:sz w:val="20"/>
          <w:szCs w:val="20"/>
          <w:lang w:val="es-ES"/>
        </w:rPr>
        <w:t>“</w:t>
      </w:r>
      <w:r w:rsidRPr="00C35463">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C35463">
        <w:rPr>
          <w:rFonts w:ascii="Verdana" w:eastAsia="Calibri" w:hAnsi="Verdana" w:cs="Arial"/>
          <w:i/>
          <w:iCs/>
          <w:lang w:val="es-ES"/>
        </w:rPr>
        <w:t>es viable la modalidad de contratación directa siempre que se tra</w:t>
      </w:r>
      <w:r w:rsidR="00180EE0">
        <w:rPr>
          <w:rFonts w:ascii="Verdana" w:eastAsia="Calibri" w:hAnsi="Verdana" w:cs="Arial"/>
          <w:i/>
          <w:iCs/>
          <w:lang w:val="es-ES"/>
        </w:rPr>
        <w:t>t</w:t>
      </w:r>
      <w:r w:rsidRPr="00C35463">
        <w:rPr>
          <w:rFonts w:ascii="Verdana" w:eastAsia="Calibri" w:hAnsi="Verdana" w:cs="Arial"/>
          <w:i/>
          <w:iCs/>
          <w:lang w:val="es-ES"/>
        </w:rPr>
        <w:t>e de un contrato de arrendamiento que suscriba una entidad estatal regulada por la Ley 80 de 1993</w:t>
      </w:r>
      <w:r w:rsidRPr="00C35463">
        <w:rPr>
          <w:rFonts w:ascii="Verdana" w:eastAsia="Calibri" w:hAnsi="Verdana" w:cs="Arial"/>
          <w:lang w:val="es-ES"/>
        </w:rPr>
        <w:t>”</w:t>
      </w:r>
      <w:r w:rsidRPr="00C35463">
        <w:rPr>
          <w:rStyle w:val="Refdenotaalpie"/>
          <w:rFonts w:ascii="Verdana" w:eastAsia="Calibri" w:hAnsi="Verdana" w:cs="Arial"/>
          <w:lang w:val="es-ES"/>
        </w:rPr>
        <w:footnoteReference w:id="30"/>
      </w:r>
      <w:r w:rsidRPr="00C35463">
        <w:rPr>
          <w:rFonts w:ascii="Verdana" w:eastAsia="Calibri" w:hAnsi="Verdana" w:cs="Arial"/>
          <w:lang w:val="es-ES"/>
        </w:rPr>
        <w:t xml:space="preserve"> (Énfasis fuera de texto).</w:t>
      </w:r>
    </w:p>
    <w:p w14:paraId="0CBAB280" w14:textId="62912B0A" w:rsidR="001B4D82" w:rsidRPr="001564FB" w:rsidRDefault="001B4D82" w:rsidP="001564F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sidRPr="00396C85">
        <w:rPr>
          <w:rFonts w:ascii="Verdana" w:eastAsia="Calibri" w:hAnsi="Verdana" w:cs="Arial"/>
          <w:sz w:val="22"/>
          <w:szCs w:val="22"/>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396C85">
        <w:rPr>
          <w:rStyle w:val="Refdenotaalpie"/>
          <w:rFonts w:ascii="Verdana" w:eastAsia="Calibri" w:hAnsi="Verdana" w:cs="Arial"/>
          <w:sz w:val="22"/>
          <w:szCs w:val="22"/>
          <w:lang w:val="es-ES"/>
        </w:rPr>
        <w:footnoteReference w:id="31"/>
      </w:r>
      <w:r w:rsidRPr="00396C85">
        <w:rPr>
          <w:rFonts w:ascii="Verdana" w:eastAsia="Calibri" w:hAnsi="Verdana" w:cs="Arial"/>
          <w:sz w:val="22"/>
          <w:szCs w:val="22"/>
          <w:lang w:val="es-ES"/>
        </w:rPr>
        <w:t>. Aunque existe la discusión sobre la conveniencia de esta postura, lo cierto es que</w:t>
      </w:r>
      <w:r>
        <w:rPr>
          <w:rFonts w:ascii="Verdana" w:eastAsia="Calibri" w:hAnsi="Verdana" w:cs="Arial"/>
          <w:sz w:val="22"/>
          <w:szCs w:val="22"/>
          <w:lang w:val="es-ES"/>
        </w:rPr>
        <w:t xml:space="preserve"> –dentro del marco normativo vigente–</w:t>
      </w:r>
      <w:r w:rsidRPr="00396C85">
        <w:rPr>
          <w:rFonts w:ascii="Verdana" w:eastAsia="Calibri" w:hAnsi="Verdana" w:cs="Arial"/>
          <w:sz w:val="22"/>
          <w:szCs w:val="22"/>
          <w:lang w:val="es-ES"/>
        </w:rPr>
        <w:t xml:space="preserve"> </w:t>
      </w:r>
      <w:r>
        <w:rPr>
          <w:rFonts w:ascii="Verdana" w:eastAsia="Calibri" w:hAnsi="Verdana" w:cs="Arial"/>
          <w:sz w:val="22"/>
          <w:szCs w:val="22"/>
          <w:lang w:val="es-ES"/>
        </w:rPr>
        <w:t xml:space="preserve">las </w:t>
      </w:r>
      <w:r>
        <w:rPr>
          <w:rFonts w:ascii="Verdana" w:eastAsia="Calibri" w:hAnsi="Verdana" w:cs="Arial"/>
          <w:sz w:val="22"/>
          <w:szCs w:val="22"/>
          <w:lang w:val="es-ES"/>
        </w:rPr>
        <w:lastRenderedPageBreak/>
        <w:t>entidades públicas son</w:t>
      </w:r>
      <w:r w:rsidRPr="00396C85">
        <w:rPr>
          <w:rFonts w:ascii="Verdana" w:eastAsia="Calibri" w:hAnsi="Verdana" w:cs="Arial"/>
          <w:sz w:val="22"/>
          <w:szCs w:val="22"/>
          <w:lang w:val="es-ES"/>
        </w:rPr>
        <w:t xml:space="preserve"> autónoma</w:t>
      </w:r>
      <w:r>
        <w:rPr>
          <w:rFonts w:ascii="Verdana" w:eastAsia="Calibri" w:hAnsi="Verdana" w:cs="Arial"/>
          <w:sz w:val="22"/>
          <w:szCs w:val="22"/>
          <w:lang w:val="es-ES"/>
        </w:rPr>
        <w:t>s</w:t>
      </w:r>
      <w:r w:rsidRPr="00396C85">
        <w:rPr>
          <w:rFonts w:ascii="Verdana" w:eastAsia="Calibri" w:hAnsi="Verdana" w:cs="Arial"/>
          <w:sz w:val="22"/>
          <w:szCs w:val="22"/>
          <w:lang w:val="es-ES"/>
        </w:rPr>
        <w:t xml:space="preserve"> </w:t>
      </w:r>
      <w:r w:rsidRPr="001564FB">
        <w:rPr>
          <w:rFonts w:ascii="Verdana" w:eastAsia="Calibri" w:hAnsi="Verdana" w:cs="Arial"/>
          <w:bCs/>
          <w:color w:val="000000" w:themeColor="text1"/>
          <w:sz w:val="22"/>
          <w:szCs w:val="22"/>
        </w:rPr>
        <w:t>y responsables tanto de la estructuración de sus procesos de contratación como de determinar la modalidad de selección aplicable para suplir sus necesidades</w:t>
      </w:r>
      <w:r w:rsidRPr="001564FB">
        <w:rPr>
          <w:rFonts w:ascii="Verdana" w:eastAsia="Calibri" w:hAnsi="Verdana"/>
          <w:bCs/>
          <w:color w:val="000000" w:themeColor="text1"/>
          <w:vertAlign w:val="superscript"/>
        </w:rPr>
        <w:footnoteReference w:id="32"/>
      </w:r>
      <w:r w:rsidRPr="001564FB">
        <w:rPr>
          <w:rFonts w:ascii="Verdana" w:eastAsia="Calibri" w:hAnsi="Verdana" w:cs="Arial"/>
          <w:bCs/>
          <w:color w:val="000000" w:themeColor="text1"/>
          <w:sz w:val="22"/>
          <w:szCs w:val="22"/>
          <w:vertAlign w:val="superscript"/>
        </w:rPr>
        <w:t>.</w:t>
      </w:r>
    </w:p>
    <w:p w14:paraId="715E8A79" w14:textId="12279FE4" w:rsidR="001B4D82" w:rsidRPr="00F4158D" w:rsidRDefault="001B4D82" w:rsidP="00016882">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6DC080" w14:textId="607A9277" w:rsidR="001B4D82" w:rsidRPr="00F4158D" w:rsidRDefault="001B4D82" w:rsidP="00EF658E">
      <w:pPr>
        <w:spacing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D122C33" w14:textId="79ECF77F" w:rsidR="001B4D82" w:rsidRPr="00EF658E" w:rsidRDefault="001B4D82" w:rsidP="00EF658E">
      <w:pPr>
        <w:pStyle w:val="Prrafodelista"/>
        <w:numPr>
          <w:ilvl w:val="0"/>
          <w:numId w:val="19"/>
        </w:numPr>
        <w:tabs>
          <w:tab w:val="left" w:pos="142"/>
          <w:tab w:val="left" w:pos="284"/>
        </w:tabs>
        <w:spacing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B4D82" w:rsidRPr="002407CE" w14:paraId="7AA39B3C" w14:textId="77777777" w:rsidTr="00D36099">
        <w:trPr>
          <w:trHeight w:val="870"/>
          <w:jc w:val="center"/>
        </w:trPr>
        <w:tc>
          <w:tcPr>
            <w:tcW w:w="8647" w:type="dxa"/>
          </w:tcPr>
          <w:p w14:paraId="3D3689BA" w14:textId="77777777" w:rsidR="001B4D82" w:rsidRPr="00326282" w:rsidRDefault="001B4D82" w:rsidP="00EF658E">
            <w:pPr>
              <w:pStyle w:val="Prrafodelista"/>
              <w:numPr>
                <w:ilvl w:val="0"/>
                <w:numId w:val="20"/>
              </w:numPr>
              <w:spacing w:line="276" w:lineRule="auto"/>
              <w:rPr>
                <w:rFonts w:ascii="Verdana" w:hAnsi="Verdana"/>
              </w:rPr>
            </w:pPr>
            <w:r w:rsidRPr="00326282">
              <w:rPr>
                <w:rFonts w:ascii="Verdana" w:hAnsi="Verdana"/>
              </w:rPr>
              <w:lastRenderedPageBreak/>
              <w:t>Constitución Política de 1991, artículos 127 y 197.</w:t>
            </w:r>
          </w:p>
          <w:p w14:paraId="704E7F4E" w14:textId="77777777" w:rsidR="001B4D82" w:rsidRPr="00326282" w:rsidRDefault="001B4D82" w:rsidP="00EF658E">
            <w:pPr>
              <w:pStyle w:val="Prrafodelista"/>
              <w:numPr>
                <w:ilvl w:val="0"/>
                <w:numId w:val="20"/>
              </w:numPr>
              <w:spacing w:line="276" w:lineRule="auto"/>
              <w:rPr>
                <w:rFonts w:ascii="Verdana" w:hAnsi="Verdana"/>
              </w:rPr>
            </w:pPr>
            <w:r w:rsidRPr="00326282">
              <w:rPr>
                <w:rFonts w:ascii="Verdana" w:hAnsi="Verdana"/>
              </w:rPr>
              <w:t>Ley 80 de 1993, artículos 39 y 41.</w:t>
            </w:r>
          </w:p>
          <w:p w14:paraId="0E76D245" w14:textId="77777777" w:rsidR="001B4D82" w:rsidRPr="00326282" w:rsidRDefault="001B4D82" w:rsidP="00EF658E">
            <w:pPr>
              <w:pStyle w:val="Prrafodelista"/>
              <w:numPr>
                <w:ilvl w:val="0"/>
                <w:numId w:val="20"/>
              </w:numPr>
              <w:spacing w:line="276" w:lineRule="auto"/>
              <w:jc w:val="both"/>
              <w:rPr>
                <w:rFonts w:ascii="Verdana" w:hAnsi="Verdana"/>
              </w:rPr>
            </w:pPr>
            <w:r w:rsidRPr="00326282">
              <w:rPr>
                <w:rFonts w:ascii="Verdana" w:hAnsi="Verdana"/>
              </w:rPr>
              <w:t>Ley 996 de 2005, artículos 33 y 38.</w:t>
            </w:r>
          </w:p>
          <w:p w14:paraId="7F6D4926" w14:textId="77777777" w:rsidR="001B4D82" w:rsidRPr="00326282" w:rsidRDefault="001B4D82" w:rsidP="00EF658E">
            <w:pPr>
              <w:pStyle w:val="Prrafodelista"/>
              <w:numPr>
                <w:ilvl w:val="0"/>
                <w:numId w:val="20"/>
              </w:numPr>
              <w:spacing w:line="276" w:lineRule="auto"/>
              <w:jc w:val="both"/>
              <w:rPr>
                <w:rFonts w:ascii="Verdana" w:hAnsi="Verdana"/>
              </w:rPr>
            </w:pPr>
            <w:r w:rsidRPr="00326282">
              <w:rPr>
                <w:rFonts w:ascii="Verdana" w:hAnsi="Verdana"/>
              </w:rPr>
              <w:t>Ley 1150 de 2007, artículo 2.</w:t>
            </w:r>
          </w:p>
          <w:p w14:paraId="1E9C3DD4" w14:textId="77777777" w:rsidR="001B4D82" w:rsidRPr="00326282" w:rsidRDefault="001B4D82" w:rsidP="00EF658E">
            <w:pPr>
              <w:pStyle w:val="Prrafodelista"/>
              <w:numPr>
                <w:ilvl w:val="0"/>
                <w:numId w:val="20"/>
              </w:numPr>
              <w:spacing w:line="276" w:lineRule="auto"/>
              <w:jc w:val="both"/>
              <w:rPr>
                <w:rFonts w:ascii="Verdana" w:hAnsi="Verdana"/>
              </w:rPr>
            </w:pPr>
            <w:r w:rsidRPr="00326282">
              <w:rPr>
                <w:rFonts w:ascii="Verdana" w:hAnsi="Verdana"/>
              </w:rPr>
              <w:t xml:space="preserve">Decreto 1082 de 2015, artículo </w:t>
            </w:r>
            <w:r w:rsidRPr="00326282">
              <w:rPr>
                <w:rFonts w:ascii="Verdana" w:hAnsi="Verdana"/>
                <w:bCs/>
                <w:color w:val="000000" w:themeColor="text1"/>
              </w:rPr>
              <w:t>2.2.1.2.1.4.11.</w:t>
            </w:r>
            <w:r w:rsidRPr="00326282">
              <w:rPr>
                <w:rFonts w:ascii="Verdana" w:hAnsi="Verdana"/>
              </w:rPr>
              <w:t xml:space="preserve"> </w:t>
            </w:r>
          </w:p>
          <w:p w14:paraId="1DFE914A" w14:textId="77777777" w:rsidR="001B4D82" w:rsidRPr="006560F5" w:rsidRDefault="001B4D82" w:rsidP="00EF658E">
            <w:pPr>
              <w:pStyle w:val="Prrafodelista"/>
              <w:numPr>
                <w:ilvl w:val="0"/>
                <w:numId w:val="20"/>
              </w:numPr>
              <w:spacing w:line="276" w:lineRule="auto"/>
              <w:jc w:val="both"/>
            </w:pPr>
            <w:r w:rsidRPr="00326282">
              <w:rPr>
                <w:rFonts w:ascii="Verdana" w:hAnsi="Verdana"/>
              </w:rPr>
              <w:t>Código Civil, artículo 1501.</w:t>
            </w:r>
          </w:p>
          <w:p w14:paraId="78FBFCE4" w14:textId="5C0AAE93" w:rsidR="006560F5" w:rsidRPr="006560F5" w:rsidRDefault="006560F5" w:rsidP="00EF658E">
            <w:pPr>
              <w:pStyle w:val="Prrafodelista"/>
              <w:numPr>
                <w:ilvl w:val="0"/>
                <w:numId w:val="20"/>
              </w:numPr>
              <w:spacing w:line="276" w:lineRule="auto"/>
              <w:jc w:val="both"/>
              <w:rPr>
                <w:rFonts w:ascii="Verdana" w:hAnsi="Verdana"/>
              </w:rPr>
            </w:pPr>
            <w:r w:rsidRPr="006560F5">
              <w:rPr>
                <w:rFonts w:ascii="Verdana" w:hAnsi="Verdana"/>
              </w:rPr>
              <w:t>Corte Constitucional, Sentencia C- 1153 de 2005, M.P. Marco Gerardo Monroy Cabra</w:t>
            </w:r>
          </w:p>
          <w:p w14:paraId="5C609FF4" w14:textId="77777777" w:rsidR="004A5C1E" w:rsidRPr="004A5C1E" w:rsidRDefault="004A5C1E" w:rsidP="00EF658E">
            <w:pPr>
              <w:pStyle w:val="Prrafodelista"/>
              <w:numPr>
                <w:ilvl w:val="0"/>
                <w:numId w:val="20"/>
              </w:numPr>
              <w:spacing w:line="276" w:lineRule="auto"/>
              <w:jc w:val="both"/>
              <w:rPr>
                <w:rFonts w:ascii="Verdana" w:hAnsi="Verdana"/>
              </w:rPr>
            </w:pPr>
            <w:r w:rsidRPr="004A5C1E">
              <w:rPr>
                <w:rFonts w:ascii="Verdana" w:hAnsi="Verdana"/>
              </w:rPr>
              <w:t>Consejo de Estado. Sala de Consulta y Servicio Civil. Concepto de 6 de abril de 2006. Radicación Número: 11001-03-06-000-2006-00038-00(1738). Consejero Ponente: Enrique José Arboleda Perdomo.</w:t>
            </w:r>
          </w:p>
          <w:p w14:paraId="6AFCADC7" w14:textId="65639AAA" w:rsidR="006560F5" w:rsidRPr="006560F5" w:rsidRDefault="004A5C1E" w:rsidP="006560F5">
            <w:pPr>
              <w:pStyle w:val="Prrafodelista"/>
              <w:numPr>
                <w:ilvl w:val="0"/>
                <w:numId w:val="20"/>
              </w:numPr>
              <w:spacing w:line="276" w:lineRule="auto"/>
              <w:jc w:val="both"/>
              <w:rPr>
                <w:rFonts w:ascii="Verdana" w:hAnsi="Verdana"/>
              </w:rPr>
            </w:pPr>
            <w:r w:rsidRPr="004A5C1E">
              <w:rPr>
                <w:rFonts w:ascii="Verdana" w:hAnsi="Verdana"/>
              </w:rPr>
              <w:t>Consejo de Estado. Sala de Consulta y Servicio Civil. Concepto de 20 de febrero de 2006. Radicación Número: 11001-03-06-000-2006-00026-00 (1727). C.P. Enrique José Arboleda Perdomo.</w:t>
            </w:r>
          </w:p>
        </w:tc>
      </w:tr>
    </w:tbl>
    <w:p w14:paraId="6B09F421" w14:textId="77777777" w:rsidR="001B4D82" w:rsidRPr="00593A5F" w:rsidRDefault="001B4D82" w:rsidP="00EF658E">
      <w:pPr>
        <w:pStyle w:val="Prrafodelista"/>
        <w:numPr>
          <w:ilvl w:val="0"/>
          <w:numId w:val="19"/>
        </w:numPr>
        <w:tabs>
          <w:tab w:val="left" w:pos="142"/>
          <w:tab w:val="left" w:pos="284"/>
        </w:tabs>
        <w:spacing w:before="240"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7DEC58E" w14:textId="0725D62C" w:rsidR="001B4D82" w:rsidRDefault="001B4D82" w:rsidP="00EF658E">
      <w:pPr>
        <w:widowControl w:val="0"/>
        <w:autoSpaceDE w:val="0"/>
        <w:autoSpaceDN w:val="0"/>
        <w:spacing w:before="240" w:line="276" w:lineRule="auto"/>
        <w:jc w:val="both"/>
        <w:rPr>
          <w:rStyle w:val="normaltextrun"/>
          <w:rFonts w:ascii="Verdana" w:hAnsi="Verdana" w:cs="Arial"/>
          <w:color w:val="FF0000"/>
          <w:shd w:val="clear" w:color="auto" w:fill="FFFFFF"/>
          <w:lang w:val="es-ES"/>
        </w:rPr>
      </w:pPr>
      <w:r w:rsidRPr="00177E85">
        <w:rPr>
          <w:rFonts w:ascii="Verdana" w:hAnsi="Verdana" w:cs="Arial"/>
          <w:shd w:val="clear" w:color="auto" w:fill="FFFFFF"/>
        </w:rPr>
        <w:t xml:space="preserve">Sobre la finalidad y propósito de la Ley de Garantías Electorales, la ANCP- CCE se ha pronunciado en los Conceptos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w:t>
      </w:r>
      <w:r w:rsidR="00A46415">
        <w:rPr>
          <w:rStyle w:val="normaltextrun"/>
          <w:rFonts w:ascii="Verdana" w:hAnsi="Verdana" w:cs="Arial"/>
          <w:shd w:val="clear" w:color="auto" w:fill="FFFFFF"/>
          <w:lang w:val="es-ES_tradnl"/>
        </w:rPr>
        <w:t>,</w:t>
      </w:r>
      <w:r>
        <w:rPr>
          <w:rStyle w:val="normaltextrun"/>
          <w:rFonts w:ascii="Verdana" w:hAnsi="Verdana" w:cs="Arial"/>
          <w:shd w:val="clear" w:color="auto" w:fill="FFFFFF"/>
          <w:lang w:val="es-ES_tradnl"/>
        </w:rPr>
        <w:t xml:space="preserve"> C-1648 del 14 de noviembre de 2025</w:t>
      </w:r>
      <w:r w:rsidR="008954C0">
        <w:rPr>
          <w:rStyle w:val="normaltextrun"/>
          <w:rFonts w:ascii="Verdana" w:hAnsi="Verdana" w:cs="Arial"/>
          <w:shd w:val="clear" w:color="auto" w:fill="FFFFFF"/>
          <w:lang w:val="es-ES_tradnl"/>
        </w:rPr>
        <w:t xml:space="preserve"> y</w:t>
      </w:r>
      <w:r w:rsidR="00A46415">
        <w:rPr>
          <w:rStyle w:val="normaltextrun"/>
          <w:rFonts w:ascii="Verdana" w:hAnsi="Verdana" w:cs="Arial"/>
          <w:shd w:val="clear" w:color="auto" w:fill="FFFFFF"/>
          <w:lang w:val="es-ES_tradnl"/>
        </w:rPr>
        <w:t xml:space="preserve"> </w:t>
      </w:r>
      <w:r w:rsidR="008954C0">
        <w:rPr>
          <w:rStyle w:val="normaltextrun"/>
          <w:rFonts w:ascii="Verdana" w:hAnsi="Verdana" w:cs="Arial"/>
          <w:shd w:val="clear" w:color="auto" w:fill="FFFFFF"/>
          <w:lang w:val="es-ES_tradnl"/>
        </w:rPr>
        <w:t>C-022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21451B6" w14:textId="77777777" w:rsidR="00A655B7" w:rsidRDefault="006016D9" w:rsidP="00A655B7">
      <w:pPr>
        <w:spacing w:after="120" w:line="276" w:lineRule="auto"/>
        <w:jc w:val="both"/>
        <w:rPr>
          <w:rFonts w:ascii="Verdana" w:eastAsia="Calibri" w:hAnsi="Verdana" w:cs="Arial"/>
          <w:lang w:val="es-ES"/>
        </w:rPr>
      </w:pPr>
      <w:r w:rsidRPr="004A2375">
        <w:rPr>
          <w:rFonts w:ascii="Verdana" w:hAnsi="Verdana"/>
        </w:rPr>
        <w:lastRenderedPageBreak/>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w:t>
      </w:r>
      <w:r w:rsidRPr="00A655B7">
        <w:rPr>
          <w:rFonts w:ascii="Verdana" w:hAnsi="Verdana"/>
        </w:rPr>
        <w:t xml:space="preserve">todos los compradores públicos, proveedores, servidores públicos v para </w:t>
      </w:r>
      <w:r w:rsidRPr="00A655B7">
        <w:rPr>
          <w:rFonts w:ascii="Verdana" w:eastAsia="Calibri" w:hAnsi="Verdana" w:cs="Arial"/>
          <w:lang w:val="es-ES"/>
        </w:rPr>
        <w:t>generar mayor valor público. Accede al curso y aprende como implementar criterios sociales y ambientales en las diferentes etapas del proceso de contratación:</w:t>
      </w:r>
      <w:r w:rsidRPr="00A655B7">
        <w:rPr>
          <w:rFonts w:ascii="Verdana" w:eastAsia="Calibri" w:hAnsi="Verdana" w:cs="Arial"/>
          <w:lang w:val="es-ES"/>
        </w:rPr>
        <w:br/>
      </w:r>
      <w:hyperlink r:id="rId13" w:tgtFrame="_new" w:history="1">
        <w:r w:rsidRPr="00A655B7">
          <w:rPr>
            <w:rStyle w:val="Hipervnculo"/>
            <w:rFonts w:ascii="Verdana" w:hAnsi="Verdana"/>
          </w:rPr>
          <w:t>https://formacionvirtual.colombiacompra.gov.co/mod/page/view.php?id=3718</w:t>
        </w:r>
      </w:hyperlink>
    </w:p>
    <w:p w14:paraId="2192BC2A" w14:textId="77777777" w:rsidR="001D7009" w:rsidRDefault="006016D9" w:rsidP="001D7009">
      <w:pPr>
        <w:spacing w:after="120" w:line="276" w:lineRule="auto"/>
        <w:jc w:val="both"/>
      </w:pPr>
      <w:r w:rsidRPr="00A655B7">
        <w:rPr>
          <w:rFonts w:ascii="Verdana" w:eastAsia="Calibri" w:hAnsi="Verdana" w:cs="Arial"/>
          <w:lang w:val="es-ES"/>
        </w:rPr>
        <w:t>De otro lado, te contamos que esta Agencia ha da un paso decisivo en la estandarización</w:t>
      </w:r>
      <w:r w:rsidRPr="00A655B7">
        <w:rPr>
          <w:rFonts w:ascii="Verdana" w:hAnsi="Verdana"/>
        </w:rPr>
        <w:t xml:space="preserve"> y modernización</w:t>
      </w:r>
      <w:r w:rsidRPr="004A2375">
        <w:rPr>
          <w:rFonts w:ascii="Verdana" w:hAnsi="Verdana"/>
        </w:rPr>
        <w:t xml:space="preserve">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A2375">
          <w:rPr>
            <w:rStyle w:val="Hipervnculo"/>
            <w:rFonts w:ascii="Verdana" w:hAnsi="Verdana"/>
          </w:rPr>
          <w:t>https://www.colombiacompra.gov.co/normativa-y-relatoria/documentos-tipo</w:t>
        </w:r>
      </w:hyperlink>
    </w:p>
    <w:p w14:paraId="55EFEF31" w14:textId="77777777" w:rsidR="001D7009" w:rsidRDefault="006016D9" w:rsidP="001D7009">
      <w:pPr>
        <w:spacing w:after="120" w:line="276" w:lineRule="auto"/>
        <w:jc w:val="both"/>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5"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C35A24C" w14:textId="28656C13" w:rsidR="006016D9" w:rsidRPr="004A2375" w:rsidRDefault="006016D9" w:rsidP="001D7009">
      <w:pPr>
        <w:spacing w:after="12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4A2375">
        <w:rPr>
          <w:rFonts w:ascii="Verdana" w:hAnsi="Verdana"/>
        </w:rPr>
        <w:lastRenderedPageBreak/>
        <w:t xml:space="preserve">requiera en el marco de nuestras funciones a través de nuestros diferentes canales de atención: </w:t>
      </w:r>
    </w:p>
    <w:p w14:paraId="40A00D09" w14:textId="77777777" w:rsidR="006016D9" w:rsidRPr="00AE2042" w:rsidRDefault="006016D9" w:rsidP="006016D9">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nacional gratuita o servicio a la ciudadanía: 01800 0520808</w:t>
      </w:r>
    </w:p>
    <w:p w14:paraId="5720DA6D" w14:textId="77777777" w:rsidR="006016D9" w:rsidRPr="00AE2042" w:rsidRDefault="006016D9" w:rsidP="006016D9">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en Bogotá (Mesa de servicio): +57 601 7456788</w:t>
      </w:r>
    </w:p>
    <w:p w14:paraId="22685E5E" w14:textId="77777777" w:rsidR="006016D9" w:rsidRPr="00AE2042" w:rsidRDefault="006016D9" w:rsidP="006016D9">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de servicio y atención al ciudadano: +57 601 7956600</w:t>
      </w:r>
    </w:p>
    <w:p w14:paraId="2301C84C" w14:textId="55A50DDF" w:rsidR="006016D9" w:rsidRPr="00AE2042" w:rsidRDefault="006016D9" w:rsidP="006016D9">
      <w:pPr>
        <w:pStyle w:val="Prrafodelista"/>
        <w:numPr>
          <w:ilvl w:val="0"/>
          <w:numId w:val="15"/>
        </w:numPr>
        <w:spacing w:line="276" w:lineRule="auto"/>
        <w:contextualSpacing w:val="0"/>
        <w:jc w:val="both"/>
        <w:rPr>
          <w:rFonts w:ascii="Verdana" w:hAnsi="Verdana"/>
          <w:sz w:val="20"/>
          <w:szCs w:val="20"/>
          <w:lang w:val="es-CO"/>
        </w:rPr>
      </w:pPr>
      <w:r w:rsidRPr="00AE2042">
        <w:rPr>
          <w:rFonts w:ascii="Verdana" w:hAnsi="Verdana"/>
          <w:sz w:val="20"/>
          <w:szCs w:val="20"/>
          <w:lang w:val="es-CO"/>
        </w:rPr>
        <w:t xml:space="preserve">Página web: </w:t>
      </w:r>
      <w:hyperlink r:id="rId16" w:history="1">
        <w:r w:rsidRPr="00AE2042">
          <w:rPr>
            <w:rStyle w:val="Hipervnculo"/>
            <w:rFonts w:ascii="Verdana" w:hAnsi="Verdana"/>
            <w:sz w:val="20"/>
            <w:szCs w:val="20"/>
            <w:lang w:val="es-CO"/>
          </w:rPr>
          <w:t>www.colombiacompra.gov.co</w:t>
        </w:r>
      </w:hyperlink>
    </w:p>
    <w:p w14:paraId="166DCA7A" w14:textId="77777777" w:rsidR="006016D9" w:rsidRDefault="006016D9" w:rsidP="006016D9">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0CFD6D03" w14:textId="77777777" w:rsidR="006016D9" w:rsidRPr="00AE2042" w:rsidRDefault="006016D9" w:rsidP="009E621A">
      <w:pPr>
        <w:spacing w:before="240" w:after="0" w:line="276" w:lineRule="auto"/>
        <w:jc w:val="both"/>
        <w:rPr>
          <w:rFonts w:ascii="Verdana" w:hAnsi="Verdana"/>
          <w:sz w:val="20"/>
          <w:szCs w:val="20"/>
        </w:rPr>
      </w:pPr>
      <w:r w:rsidRPr="00AE2042">
        <w:rPr>
          <w:rFonts w:ascii="Verdana" w:hAnsi="Verdana"/>
          <w:sz w:val="20"/>
          <w:szCs w:val="20"/>
        </w:rPr>
        <w:t xml:space="preserve">Twitter: </w:t>
      </w:r>
      <w:r w:rsidRPr="00AE2042">
        <w:rPr>
          <w:rStyle w:val="Hipervnculo"/>
          <w:rFonts w:ascii="Verdana" w:hAnsi="Verdana"/>
          <w:sz w:val="20"/>
          <w:szCs w:val="20"/>
        </w:rPr>
        <w:t>@colombiacompra</w:t>
      </w:r>
      <w:r w:rsidRPr="00AE2042">
        <w:rPr>
          <w:rFonts w:ascii="Verdana" w:hAnsi="Verdana"/>
          <w:sz w:val="20"/>
          <w:szCs w:val="20"/>
        </w:rPr>
        <w:t xml:space="preserve"> </w:t>
      </w:r>
    </w:p>
    <w:p w14:paraId="714BB286" w14:textId="77777777" w:rsidR="006016D9" w:rsidRPr="00AE2042" w:rsidRDefault="006016D9" w:rsidP="006016D9">
      <w:pPr>
        <w:spacing w:after="0" w:line="276" w:lineRule="auto"/>
        <w:jc w:val="both"/>
        <w:rPr>
          <w:rFonts w:ascii="Verdana" w:hAnsi="Verdana"/>
          <w:sz w:val="20"/>
          <w:szCs w:val="20"/>
        </w:rPr>
      </w:pPr>
      <w:r w:rsidRPr="00AE2042">
        <w:rPr>
          <w:rFonts w:ascii="Verdana" w:hAnsi="Verdana"/>
          <w:sz w:val="20"/>
          <w:szCs w:val="20"/>
        </w:rPr>
        <w:t xml:space="preserve">Facebook: </w:t>
      </w:r>
      <w:proofErr w:type="spellStart"/>
      <w:r w:rsidRPr="00AE2042">
        <w:rPr>
          <w:rStyle w:val="Hipervnculo"/>
          <w:rFonts w:ascii="Verdana" w:hAnsi="Verdana"/>
          <w:sz w:val="20"/>
          <w:szCs w:val="20"/>
        </w:rPr>
        <w:t>ColombiaCompraEficiente</w:t>
      </w:r>
      <w:proofErr w:type="spellEnd"/>
    </w:p>
    <w:p w14:paraId="24C5CF22" w14:textId="77777777" w:rsidR="00AE2042" w:rsidRPr="00AE2042" w:rsidRDefault="006016D9" w:rsidP="00AE2042">
      <w:pPr>
        <w:spacing w:after="0" w:line="276" w:lineRule="auto"/>
        <w:jc w:val="both"/>
        <w:rPr>
          <w:rStyle w:val="Hipervnculo"/>
          <w:rFonts w:ascii="Verdana" w:hAnsi="Verdana"/>
          <w:sz w:val="20"/>
          <w:szCs w:val="20"/>
        </w:rPr>
      </w:pPr>
      <w:r w:rsidRPr="00AE2042">
        <w:rPr>
          <w:rFonts w:ascii="Verdana" w:hAnsi="Verdana"/>
          <w:sz w:val="20"/>
          <w:szCs w:val="20"/>
        </w:rPr>
        <w:t xml:space="preserve">LinkedIn: </w:t>
      </w:r>
      <w:r w:rsidRPr="00AE2042">
        <w:rPr>
          <w:rStyle w:val="Hipervnculo"/>
          <w:rFonts w:ascii="Verdana" w:hAnsi="Verdana"/>
          <w:sz w:val="20"/>
          <w:szCs w:val="20"/>
        </w:rPr>
        <w:t>Agencia Nacional de Contratación Pública - Colombia Compra Eficiente</w:t>
      </w:r>
    </w:p>
    <w:p w14:paraId="050F09C0" w14:textId="64DA463F" w:rsidR="006016D9" w:rsidRPr="00AE2042" w:rsidRDefault="006016D9" w:rsidP="006016D9">
      <w:pPr>
        <w:spacing w:line="276" w:lineRule="auto"/>
        <w:jc w:val="both"/>
        <w:rPr>
          <w:rFonts w:ascii="Verdana" w:hAnsi="Verdana"/>
          <w:color w:val="0000FF"/>
          <w:sz w:val="20"/>
          <w:szCs w:val="20"/>
          <w:u w:val="single"/>
        </w:rPr>
      </w:pPr>
      <w:r w:rsidRPr="00AE2042">
        <w:rPr>
          <w:rFonts w:ascii="Verdana" w:hAnsi="Verdana"/>
          <w:sz w:val="20"/>
          <w:szCs w:val="20"/>
        </w:rPr>
        <w:t xml:space="preserve">Instagram: </w:t>
      </w:r>
      <w:r w:rsidRPr="00AE2042">
        <w:rPr>
          <w:rStyle w:val="Hipervnculo"/>
          <w:rFonts w:ascii="Verdana" w:hAnsi="Verdana"/>
          <w:sz w:val="20"/>
          <w:szCs w:val="20"/>
        </w:rPr>
        <w:t>@colombiacompraeficiente_cce</w:t>
      </w:r>
    </w:p>
    <w:p w14:paraId="2CF5BE27" w14:textId="77777777" w:rsidR="006016D9" w:rsidRPr="004A2375" w:rsidRDefault="006016D9" w:rsidP="006016D9">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A8CB686" w14:textId="77777777" w:rsidR="006016D9" w:rsidRPr="004A2375" w:rsidRDefault="006016D9" w:rsidP="006016D9">
      <w:pPr>
        <w:spacing w:after="0" w:line="276" w:lineRule="auto"/>
        <w:jc w:val="both"/>
        <w:rPr>
          <w:rFonts w:ascii="Verdana" w:eastAsia="Calibri" w:hAnsi="Verdana" w:cs="Times New Roman"/>
        </w:rPr>
      </w:pPr>
    </w:p>
    <w:p w14:paraId="3BCDADED" w14:textId="334330EF" w:rsidR="006016D9" w:rsidRDefault="006016D9" w:rsidP="006016D9">
      <w:pPr>
        <w:widowControl w:val="0"/>
        <w:autoSpaceDE w:val="0"/>
        <w:autoSpaceDN w:val="0"/>
        <w:spacing w:line="276" w:lineRule="auto"/>
        <w:jc w:val="both"/>
        <w:rPr>
          <w:rStyle w:val="normaltextrun"/>
          <w:rFonts w:ascii="Verdana" w:hAnsi="Verdana" w:cs="Arial"/>
          <w:color w:val="FF0000"/>
          <w:shd w:val="clear" w:color="auto" w:fill="FFFFFF"/>
          <w:lang w:val="es-ES"/>
        </w:rPr>
      </w:pPr>
      <w:r w:rsidRPr="004A2375">
        <w:rPr>
          <w:rFonts w:ascii="Verdana" w:eastAsia="Calibri" w:hAnsi="Verdana" w:cs="Times New Roman"/>
        </w:rPr>
        <w:t>Atentamente,</w:t>
      </w:r>
    </w:p>
    <w:p w14:paraId="37793BA8" w14:textId="24D4FBD7" w:rsidR="0019190D" w:rsidRPr="0019190D" w:rsidRDefault="0019190D" w:rsidP="0019190D">
      <w:pPr>
        <w:spacing w:after="0" w:line="276" w:lineRule="auto"/>
        <w:jc w:val="center"/>
        <w:rPr>
          <w:rFonts w:ascii="Verdana" w:eastAsia="Times New Roman" w:hAnsi="Verdana" w:cs="Arial"/>
          <w:lang w:eastAsia="es-CO"/>
        </w:rPr>
      </w:pPr>
      <w:r w:rsidRPr="0019190D">
        <w:rPr>
          <w:rFonts w:ascii="Verdana" w:eastAsia="Times New Roman" w:hAnsi="Verdana" w:cs="Arial"/>
          <w:lang w:eastAsia="es-CO"/>
        </w:rPr>
        <w:drawing>
          <wp:inline distT="0" distB="0" distL="0" distR="0" wp14:anchorId="081562BA" wp14:editId="59AB89DE">
            <wp:extent cx="3771900" cy="1400175"/>
            <wp:effectExtent l="0" t="0" r="0" b="9525"/>
            <wp:docPr id="122636119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7E3A9359" w14:textId="048675D7" w:rsidR="00A46415" w:rsidRPr="00A46415" w:rsidRDefault="00A46415" w:rsidP="00A46415">
      <w:pPr>
        <w:spacing w:after="0" w:line="276" w:lineRule="auto"/>
        <w:jc w:val="center"/>
        <w:rPr>
          <w:rFonts w:ascii="Verdana" w:eastAsia="Times New Roman" w:hAnsi="Verdana" w:cs="Arial"/>
          <w:lang w:eastAsia="es-CO"/>
        </w:rPr>
      </w:pPr>
    </w:p>
    <w:p w14:paraId="07EC9D05" w14:textId="77777777" w:rsidR="00920DA8" w:rsidRPr="00C15DD4" w:rsidRDefault="00920DA8" w:rsidP="00920DA8">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20DA8" w:rsidRPr="00C15DD4" w14:paraId="60B68C5D" w14:textId="77777777" w:rsidTr="00D36099">
        <w:trPr>
          <w:trHeight w:val="315"/>
        </w:trPr>
        <w:tc>
          <w:tcPr>
            <w:tcW w:w="893" w:type="dxa"/>
            <w:vAlign w:val="center"/>
            <w:hideMark/>
          </w:tcPr>
          <w:p w14:paraId="1B506EBC" w14:textId="77777777" w:rsidR="00920DA8" w:rsidRPr="00C15DD4" w:rsidRDefault="00920DA8" w:rsidP="00D36099">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77B4D253" w14:textId="77777777" w:rsidR="00920DA8" w:rsidRPr="00C15DD4" w:rsidRDefault="00920DA8" w:rsidP="00D36099">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6EF5A48C" w14:textId="77777777" w:rsidR="00920DA8" w:rsidRPr="00C15DD4" w:rsidRDefault="00920DA8" w:rsidP="00D36099">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920DA8" w:rsidRPr="00C15DD4" w14:paraId="079C91AF" w14:textId="77777777" w:rsidTr="00D36099">
        <w:trPr>
          <w:trHeight w:val="330"/>
        </w:trPr>
        <w:tc>
          <w:tcPr>
            <w:tcW w:w="893" w:type="dxa"/>
            <w:vAlign w:val="center"/>
            <w:hideMark/>
          </w:tcPr>
          <w:p w14:paraId="5633AF37" w14:textId="77777777" w:rsidR="00920DA8" w:rsidRPr="00C15DD4" w:rsidRDefault="00920DA8" w:rsidP="00D36099">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7D5AC3F" w14:textId="5E4751CE" w:rsidR="00920DA8" w:rsidRPr="00C15DD4" w:rsidRDefault="00920DA8" w:rsidP="00D36099">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Juan David Cardenas </w:t>
            </w:r>
          </w:p>
          <w:p w14:paraId="7B3DA980" w14:textId="31D1B61A" w:rsidR="00920DA8" w:rsidRPr="00C15DD4" w:rsidRDefault="00920DA8" w:rsidP="00D36099">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7F092D">
              <w:rPr>
                <w:rFonts w:ascii="Verdana" w:eastAsia="Times New Roman" w:hAnsi="Verdana" w:cs="Arial"/>
                <w:color w:val="000000"/>
                <w:sz w:val="16"/>
                <w:szCs w:val="16"/>
              </w:rPr>
              <w:t xml:space="preserve"> de la Subdirección de Gestión Contractual</w:t>
            </w:r>
          </w:p>
        </w:tc>
      </w:tr>
      <w:tr w:rsidR="00920DA8" w:rsidRPr="00C15DD4" w14:paraId="541F99C3" w14:textId="77777777" w:rsidTr="00D36099">
        <w:trPr>
          <w:trHeight w:val="300"/>
        </w:trPr>
        <w:tc>
          <w:tcPr>
            <w:tcW w:w="893" w:type="dxa"/>
            <w:vAlign w:val="center"/>
            <w:hideMark/>
          </w:tcPr>
          <w:p w14:paraId="1C8D958F" w14:textId="77777777" w:rsidR="00920DA8" w:rsidRPr="00C15DD4" w:rsidRDefault="00920DA8" w:rsidP="00D36099">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7EAF3E27" w14:textId="77777777" w:rsidR="00920DA8" w:rsidRPr="00C15DD4" w:rsidRDefault="00920DA8" w:rsidP="00D36099">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23F048A5" w14:textId="77777777" w:rsidR="00920DA8" w:rsidRPr="00C15DD4" w:rsidRDefault="00920DA8" w:rsidP="00D36099">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r w:rsidR="004441ED" w:rsidRPr="00C15DD4" w14:paraId="588B668B" w14:textId="77777777" w:rsidTr="00D36099">
        <w:trPr>
          <w:trHeight w:val="300"/>
        </w:trPr>
        <w:tc>
          <w:tcPr>
            <w:tcW w:w="893" w:type="dxa"/>
            <w:vAlign w:val="center"/>
          </w:tcPr>
          <w:p w14:paraId="4656D1A7" w14:textId="77777777" w:rsidR="004441ED" w:rsidRPr="00C15DD4" w:rsidRDefault="004441ED" w:rsidP="00D36099">
            <w:pPr>
              <w:spacing w:line="276" w:lineRule="auto"/>
              <w:rPr>
                <w:rFonts w:ascii="Verdana" w:eastAsia="Times New Roman" w:hAnsi="Verdana" w:cs="Arial"/>
                <w:color w:val="000000"/>
                <w:sz w:val="16"/>
                <w:szCs w:val="16"/>
                <w:lang w:eastAsia="es-ES"/>
              </w:rPr>
            </w:pPr>
          </w:p>
        </w:tc>
        <w:tc>
          <w:tcPr>
            <w:tcW w:w="5628" w:type="dxa"/>
            <w:tcBorders>
              <w:top w:val="dotted" w:sz="4" w:space="0" w:color="7F7F7F"/>
              <w:left w:val="nil"/>
              <w:bottom w:val="dotted" w:sz="4" w:space="0" w:color="7F7F7F"/>
              <w:right w:val="nil"/>
            </w:tcBorders>
            <w:vAlign w:val="center"/>
          </w:tcPr>
          <w:p w14:paraId="0BB5CD23" w14:textId="77777777" w:rsidR="004441ED" w:rsidRPr="00C15DD4" w:rsidRDefault="004441ED" w:rsidP="00D36099">
            <w:pPr>
              <w:spacing w:line="276" w:lineRule="auto"/>
              <w:rPr>
                <w:rFonts w:ascii="Verdana" w:eastAsia="Times New Roman" w:hAnsi="Verdana" w:cs="Arial"/>
                <w:color w:val="000000"/>
                <w:sz w:val="16"/>
                <w:szCs w:val="16"/>
              </w:rPr>
            </w:pPr>
          </w:p>
        </w:tc>
      </w:tr>
    </w:tbl>
    <w:p w14:paraId="69BC4D14" w14:textId="356371D4" w:rsidR="00C15139" w:rsidRPr="000E2B93" w:rsidRDefault="00C15139" w:rsidP="00AE2042">
      <w:pPr>
        <w:spacing w:after="0" w:line="276" w:lineRule="auto"/>
        <w:jc w:val="both"/>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9E621A">
      <w:headerReference w:type="default" r:id="rId18"/>
      <w:footerReference w:type="default" r:id="rId19"/>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532C9" w14:textId="77777777" w:rsidR="00417B29" w:rsidRDefault="00417B29" w:rsidP="004A1847">
      <w:pPr>
        <w:spacing w:after="0" w:line="240" w:lineRule="auto"/>
      </w:pPr>
      <w:r>
        <w:separator/>
      </w:r>
    </w:p>
  </w:endnote>
  <w:endnote w:type="continuationSeparator" w:id="0">
    <w:p w14:paraId="4107861C" w14:textId="77777777" w:rsidR="00417B29" w:rsidRDefault="00417B2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9CB34" w14:textId="77777777" w:rsidR="00417B29" w:rsidRDefault="00417B29" w:rsidP="004A1847">
      <w:pPr>
        <w:spacing w:after="0" w:line="240" w:lineRule="auto"/>
      </w:pPr>
      <w:r>
        <w:separator/>
      </w:r>
    </w:p>
  </w:footnote>
  <w:footnote w:type="continuationSeparator" w:id="0">
    <w:p w14:paraId="156BDB06" w14:textId="77777777" w:rsidR="00417B29" w:rsidRDefault="00417B29" w:rsidP="004A1847">
      <w:pPr>
        <w:spacing w:after="0" w:line="240" w:lineRule="auto"/>
      </w:pPr>
      <w:r>
        <w:continuationSeparator/>
      </w:r>
    </w:p>
  </w:footnote>
  <w:footnote w:id="1">
    <w:p w14:paraId="554A5767" w14:textId="77777777" w:rsidR="00FB7025" w:rsidRPr="00326282" w:rsidRDefault="00FB7025" w:rsidP="00FB7025">
      <w:pPr>
        <w:pStyle w:val="Textonotapie"/>
        <w:ind w:firstLine="708"/>
        <w:jc w:val="both"/>
        <w:rPr>
          <w:rFonts w:ascii="Verdana" w:hAnsi="Verdana"/>
          <w:sz w:val="14"/>
          <w:szCs w:val="14"/>
          <w:lang w:val="es-CO"/>
        </w:rPr>
      </w:pPr>
      <w:r w:rsidRPr="00326282">
        <w:rPr>
          <w:rStyle w:val="Refdenotaalpie"/>
          <w:rFonts w:ascii="Verdana" w:hAnsi="Verdana"/>
          <w:sz w:val="14"/>
          <w:szCs w:val="14"/>
        </w:rPr>
        <w:footnoteRef/>
      </w:r>
      <w:r w:rsidRPr="00326282">
        <w:rPr>
          <w:rFonts w:ascii="Verdana" w:hAnsi="Verdana"/>
          <w:sz w:val="14"/>
          <w:szCs w:val="14"/>
        </w:rPr>
        <w:t xml:space="preserve"> PINO RICCI, Jorge. Régimen jurídico de los contratos estatales. Bogotá: Universidad Externado de Colombia, 2005. p. 264.</w:t>
      </w:r>
    </w:p>
  </w:footnote>
  <w:footnote w:id="2">
    <w:p w14:paraId="2007DFEA" w14:textId="77777777" w:rsidR="00FB7025" w:rsidRPr="00326282" w:rsidRDefault="00FB7025" w:rsidP="00FB7025">
      <w:pPr>
        <w:pStyle w:val="Textonotapie"/>
        <w:ind w:firstLine="708"/>
        <w:rPr>
          <w:rFonts w:ascii="Verdana" w:hAnsi="Verdana"/>
          <w:sz w:val="14"/>
          <w:szCs w:val="14"/>
          <w:lang w:val="es-CO"/>
        </w:rPr>
      </w:pPr>
      <w:r w:rsidRPr="00326282">
        <w:rPr>
          <w:rStyle w:val="Refdenotaalpie"/>
          <w:rFonts w:ascii="Verdana" w:hAnsi="Verdana"/>
          <w:sz w:val="14"/>
          <w:szCs w:val="14"/>
        </w:rPr>
        <w:footnoteRef/>
      </w:r>
      <w:r w:rsidRPr="00326282">
        <w:rPr>
          <w:rFonts w:ascii="Verdana" w:hAnsi="Verdana"/>
          <w:sz w:val="14"/>
          <w:szCs w:val="14"/>
        </w:rPr>
        <w:t xml:space="preserve"> DÁVILA VINUEZA, Régimen jurídico… Ob. cit., p. 505.</w:t>
      </w:r>
    </w:p>
  </w:footnote>
  <w:footnote w:id="3">
    <w:p w14:paraId="084D8FA9" w14:textId="77777777" w:rsidR="001B4D82" w:rsidRPr="004B35AC" w:rsidRDefault="001B4D82" w:rsidP="001B4D82">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w:t>
      </w:r>
      <w:r w:rsidRPr="004B35AC">
        <w:rPr>
          <w:rFonts w:ascii="Verdana" w:hAnsi="Verdana" w:cs="Arial"/>
          <w:sz w:val="16"/>
          <w:szCs w:val="16"/>
        </w:rPr>
        <w:t xml:space="preserve"> </w:t>
      </w:r>
    </w:p>
    <w:p w14:paraId="228D0D47" w14:textId="77777777" w:rsidR="001B4D82" w:rsidRPr="006447F6" w:rsidRDefault="001B4D82" w:rsidP="001B4D82">
      <w:pPr>
        <w:pStyle w:val="Textonotapie"/>
        <w:ind w:firstLine="709"/>
        <w:jc w:val="both"/>
        <w:rPr>
          <w:rFonts w:ascii="Verdana" w:hAnsi="Verdana" w:cs="Arial"/>
          <w:sz w:val="14"/>
          <w:szCs w:val="14"/>
        </w:rPr>
      </w:pPr>
      <w:r w:rsidRPr="006447F6">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18433031" w14:textId="77777777" w:rsidR="001B4D82" w:rsidRPr="006447F6" w:rsidRDefault="001B4D82" w:rsidP="001B4D82">
      <w:pPr>
        <w:pStyle w:val="Textonotapie"/>
        <w:ind w:firstLine="709"/>
        <w:jc w:val="both"/>
        <w:rPr>
          <w:rFonts w:ascii="Verdana"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Gaceta del Congreso de la República No. 71 del 2005.</w:t>
      </w:r>
    </w:p>
  </w:footnote>
  <w:footnote w:id="5">
    <w:p w14:paraId="649C81A5" w14:textId="77777777" w:rsidR="001B4D82" w:rsidRPr="006447F6" w:rsidRDefault="001B4D82" w:rsidP="001B4D82">
      <w:pPr>
        <w:pStyle w:val="Textonotapie"/>
        <w:ind w:firstLine="709"/>
        <w:jc w:val="both"/>
        <w:rPr>
          <w:rFonts w:ascii="Verdana" w:hAnsi="Verdana" w:cs="Arial"/>
          <w:sz w:val="14"/>
          <w:szCs w:val="14"/>
          <w:lang w:val="pt-BR"/>
        </w:rPr>
      </w:pPr>
      <w:r w:rsidRPr="006447F6">
        <w:rPr>
          <w:rStyle w:val="Refdenotaalpie"/>
          <w:rFonts w:ascii="Verdana" w:hAnsi="Verdana" w:cs="Arial"/>
          <w:sz w:val="14"/>
          <w:szCs w:val="14"/>
        </w:rPr>
        <w:footnoteRef/>
      </w:r>
      <w:r w:rsidRPr="006447F6">
        <w:rPr>
          <w:rFonts w:ascii="Verdana" w:hAnsi="Verdana" w:cs="Arial"/>
          <w:sz w:val="14"/>
          <w:szCs w:val="14"/>
          <w:lang w:val="pt-BR"/>
        </w:rPr>
        <w:t xml:space="preserve"> Corte Constitucional, Sentencia C- 1153 de 2005, M.P. Marco Gerardo </w:t>
      </w:r>
      <w:proofErr w:type="spellStart"/>
      <w:r w:rsidRPr="006447F6">
        <w:rPr>
          <w:rFonts w:ascii="Verdana" w:hAnsi="Verdana" w:cs="Arial"/>
          <w:sz w:val="14"/>
          <w:szCs w:val="14"/>
          <w:lang w:val="pt-BR"/>
        </w:rPr>
        <w:t>Monroy</w:t>
      </w:r>
      <w:proofErr w:type="spellEnd"/>
      <w:r w:rsidRPr="006447F6">
        <w:rPr>
          <w:rFonts w:ascii="Verdana" w:hAnsi="Verdana" w:cs="Arial"/>
          <w:sz w:val="14"/>
          <w:szCs w:val="14"/>
          <w:lang w:val="pt-BR"/>
        </w:rPr>
        <w:t xml:space="preserve"> Cabra.</w:t>
      </w:r>
    </w:p>
  </w:footnote>
  <w:footnote w:id="6">
    <w:p w14:paraId="63267978" w14:textId="77777777" w:rsidR="001B4D82" w:rsidRPr="006447F6" w:rsidRDefault="001B4D82" w:rsidP="001B4D82">
      <w:pPr>
        <w:pStyle w:val="Textonotapie"/>
        <w:ind w:firstLine="709"/>
        <w:jc w:val="both"/>
        <w:rPr>
          <w:rFonts w:ascii="Verdana" w:hAnsi="Verdana" w:cs="Arial"/>
          <w:sz w:val="14"/>
          <w:szCs w:val="14"/>
          <w:lang w:val="pt-BR"/>
        </w:rPr>
      </w:pPr>
      <w:r w:rsidRPr="006447F6">
        <w:rPr>
          <w:rStyle w:val="Refdenotaalpie"/>
          <w:rFonts w:ascii="Verdana" w:hAnsi="Verdana" w:cs="Arial"/>
          <w:sz w:val="14"/>
          <w:szCs w:val="14"/>
        </w:rPr>
        <w:footnoteRef/>
      </w:r>
      <w:r w:rsidRPr="006447F6">
        <w:rPr>
          <w:rFonts w:ascii="Verdana" w:hAnsi="Verdana" w:cs="Arial"/>
          <w:sz w:val="14"/>
          <w:szCs w:val="14"/>
          <w:lang w:val="pt-BR"/>
        </w:rPr>
        <w:t xml:space="preserve"> Corte Constitucional. Sentencias: C-233 de 4 de abril de 2002, expediente: D-3704; C-551 de 9 de </w:t>
      </w:r>
      <w:proofErr w:type="spellStart"/>
      <w:r w:rsidRPr="006447F6">
        <w:rPr>
          <w:rFonts w:ascii="Verdana" w:hAnsi="Verdana" w:cs="Arial"/>
          <w:sz w:val="14"/>
          <w:szCs w:val="14"/>
          <w:lang w:val="pt-BR"/>
        </w:rPr>
        <w:t>julio</w:t>
      </w:r>
      <w:proofErr w:type="spellEnd"/>
      <w:r w:rsidRPr="006447F6">
        <w:rPr>
          <w:rFonts w:ascii="Verdana" w:hAnsi="Verdana" w:cs="Arial"/>
          <w:sz w:val="14"/>
          <w:szCs w:val="14"/>
          <w:lang w:val="pt-BR"/>
        </w:rPr>
        <w:t xml:space="preserve"> de 2003, expediente: CRF-001 de 9 de </w:t>
      </w:r>
      <w:proofErr w:type="spellStart"/>
      <w:r w:rsidRPr="006447F6">
        <w:rPr>
          <w:rFonts w:ascii="Verdana" w:hAnsi="Verdana" w:cs="Arial"/>
          <w:sz w:val="14"/>
          <w:szCs w:val="14"/>
          <w:lang w:val="pt-BR"/>
        </w:rPr>
        <w:t>julio</w:t>
      </w:r>
      <w:proofErr w:type="spellEnd"/>
      <w:r w:rsidRPr="006447F6">
        <w:rPr>
          <w:rFonts w:ascii="Verdana" w:hAnsi="Verdana" w:cs="Arial"/>
          <w:sz w:val="14"/>
          <w:szCs w:val="14"/>
          <w:lang w:val="pt-BR"/>
        </w:rPr>
        <w:t xml:space="preserve"> de 2003; C-652 de 5 de agosto de 2003, expediente: D-4330; C-353 de 20 de </w:t>
      </w:r>
      <w:proofErr w:type="spellStart"/>
      <w:r w:rsidRPr="006447F6">
        <w:rPr>
          <w:rFonts w:ascii="Verdana" w:hAnsi="Verdana" w:cs="Arial"/>
          <w:sz w:val="14"/>
          <w:szCs w:val="14"/>
          <w:lang w:val="pt-BR"/>
        </w:rPr>
        <w:t>mayo</w:t>
      </w:r>
      <w:proofErr w:type="spellEnd"/>
      <w:r w:rsidRPr="006447F6">
        <w:rPr>
          <w:rFonts w:ascii="Verdana" w:hAnsi="Verdana" w:cs="Arial"/>
          <w:sz w:val="14"/>
          <w:szCs w:val="14"/>
          <w:lang w:val="pt-BR"/>
        </w:rPr>
        <w:t xml:space="preserve"> de 2009, expediente: D-7518, C-541 de 30 de </w:t>
      </w:r>
      <w:proofErr w:type="spellStart"/>
      <w:r w:rsidRPr="006447F6">
        <w:rPr>
          <w:rFonts w:ascii="Verdana" w:hAnsi="Verdana" w:cs="Arial"/>
          <w:sz w:val="14"/>
          <w:szCs w:val="14"/>
          <w:lang w:val="pt-BR"/>
        </w:rPr>
        <w:t>junio</w:t>
      </w:r>
      <w:proofErr w:type="spellEnd"/>
      <w:r w:rsidRPr="006447F6">
        <w:rPr>
          <w:rFonts w:ascii="Verdana" w:hAnsi="Verdana" w:cs="Arial"/>
          <w:sz w:val="14"/>
          <w:szCs w:val="14"/>
          <w:lang w:val="pt-BR"/>
        </w:rPr>
        <w:t xml:space="preserve"> de 2010, expediente: DD7966; entre </w:t>
      </w:r>
      <w:proofErr w:type="spellStart"/>
      <w:r w:rsidRPr="006447F6">
        <w:rPr>
          <w:rFonts w:ascii="Verdana" w:hAnsi="Verdana" w:cs="Arial"/>
          <w:sz w:val="14"/>
          <w:szCs w:val="14"/>
          <w:lang w:val="pt-BR"/>
        </w:rPr>
        <w:t>otras</w:t>
      </w:r>
      <w:proofErr w:type="spellEnd"/>
      <w:r w:rsidRPr="006447F6">
        <w:rPr>
          <w:rFonts w:ascii="Verdana" w:hAnsi="Verdana" w:cs="Arial"/>
          <w:sz w:val="14"/>
          <w:szCs w:val="14"/>
          <w:lang w:val="pt-BR"/>
        </w:rPr>
        <w:t>.</w:t>
      </w:r>
    </w:p>
  </w:footnote>
  <w:footnote w:id="7">
    <w:p w14:paraId="560EEB53" w14:textId="77777777" w:rsidR="001B4D82" w:rsidRPr="006447F6" w:rsidRDefault="001B4D82" w:rsidP="001B4D82">
      <w:pPr>
        <w:pStyle w:val="Textonotapie"/>
        <w:ind w:firstLine="709"/>
        <w:jc w:val="both"/>
        <w:rPr>
          <w:rFonts w:ascii="Verdana" w:hAnsi="Verdana" w:cs="Arial"/>
          <w:sz w:val="14"/>
          <w:szCs w:val="14"/>
          <w:lang w:val="es-CO"/>
        </w:rPr>
      </w:pPr>
      <w:r w:rsidRPr="006447F6">
        <w:rPr>
          <w:rStyle w:val="Refdenotaalpie"/>
          <w:rFonts w:ascii="Verdana" w:hAnsi="Verdana" w:cs="Arial"/>
          <w:sz w:val="14"/>
          <w:szCs w:val="14"/>
        </w:rPr>
        <w:footnoteRef/>
      </w:r>
      <w:r w:rsidRPr="006447F6">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1566BD3A" w14:textId="77777777" w:rsidR="001B4D82" w:rsidRPr="006447F6" w:rsidRDefault="001B4D82" w:rsidP="001B4D82">
      <w:pPr>
        <w:pStyle w:val="Textonotapie"/>
        <w:ind w:firstLine="709"/>
        <w:jc w:val="both"/>
        <w:rPr>
          <w:rFonts w:ascii="Verdana"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Consejo de Estado, Sala de Consulta y Servicio Civil de fecha 24 de julio de 2013, radicado 2166, C. P. Álvaro Namén Vargas.  </w:t>
      </w:r>
    </w:p>
  </w:footnote>
  <w:footnote w:id="9">
    <w:p w14:paraId="21760708" w14:textId="77777777" w:rsidR="001B4D82" w:rsidRPr="006447F6" w:rsidRDefault="001B4D82" w:rsidP="001B4D82">
      <w:pPr>
        <w:spacing w:after="0" w:line="240" w:lineRule="auto"/>
        <w:ind w:firstLine="709"/>
        <w:jc w:val="both"/>
        <w:rPr>
          <w:rFonts w:ascii="Verdana" w:eastAsia="Times New Roman"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w:t>
      </w:r>
      <w:bookmarkStart w:id="7" w:name="33"/>
      <w:r w:rsidRPr="006447F6">
        <w:rPr>
          <w:rFonts w:ascii="Verdana" w:eastAsia="Calibri" w:hAnsi="Verdana" w:cs="Arial"/>
          <w:color w:val="000000"/>
          <w:sz w:val="14"/>
          <w:szCs w:val="14"/>
        </w:rPr>
        <w:t>“</w:t>
      </w:r>
      <w:r w:rsidRPr="006447F6">
        <w:rPr>
          <w:rFonts w:ascii="Verdana" w:eastAsia="Times New Roman" w:hAnsi="Verdana" w:cs="Arial"/>
          <w:sz w:val="14"/>
          <w:szCs w:val="14"/>
        </w:rPr>
        <w:t>Artículo 33. Restricciones a la contratación pública.</w:t>
      </w:r>
      <w:bookmarkEnd w:id="7"/>
      <w:r w:rsidRPr="006447F6">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47F870C8" w14:textId="77777777" w:rsidR="001B4D82" w:rsidRPr="006447F6" w:rsidRDefault="001B4D82" w:rsidP="001B4D82">
      <w:pPr>
        <w:spacing w:after="0" w:line="240" w:lineRule="auto"/>
        <w:ind w:firstLine="709"/>
        <w:jc w:val="both"/>
        <w:rPr>
          <w:rFonts w:ascii="Verdana" w:eastAsia="Times New Roman" w:hAnsi="Verdana" w:cs="Arial"/>
          <w:sz w:val="14"/>
          <w:szCs w:val="14"/>
        </w:rPr>
      </w:pPr>
      <w:r w:rsidRPr="006447F6">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447F6">
        <w:rPr>
          <w:rFonts w:ascii="Verdana" w:eastAsia="Calibri" w:hAnsi="Verdana" w:cs="Arial"/>
          <w:color w:val="000000"/>
          <w:sz w:val="14"/>
          <w:szCs w:val="14"/>
        </w:rPr>
        <w:t>”</w:t>
      </w:r>
      <w:r w:rsidRPr="006447F6">
        <w:rPr>
          <w:rFonts w:ascii="Verdana" w:eastAsia="Times New Roman" w:hAnsi="Verdana" w:cs="Arial"/>
          <w:sz w:val="14"/>
          <w:szCs w:val="14"/>
        </w:rPr>
        <w:t>.</w:t>
      </w:r>
    </w:p>
  </w:footnote>
  <w:footnote w:id="10">
    <w:p w14:paraId="210B8F4F" w14:textId="77777777" w:rsidR="001B4D82" w:rsidRPr="006447F6" w:rsidRDefault="001B4D82" w:rsidP="001B4D82">
      <w:pPr>
        <w:pStyle w:val="NormalWeb"/>
        <w:spacing w:before="0" w:beforeAutospacing="0" w:after="0" w:afterAutospacing="0"/>
        <w:ind w:firstLine="709"/>
        <w:jc w:val="both"/>
        <w:rPr>
          <w:rFonts w:ascii="Verdana" w:hAnsi="Verdana" w:cs="Arial"/>
          <w:sz w:val="14"/>
          <w:szCs w:val="14"/>
          <w:lang w:val="es-MX"/>
        </w:rPr>
      </w:pPr>
      <w:r w:rsidRPr="006447F6">
        <w:rPr>
          <w:rStyle w:val="Refdenotaalpie"/>
          <w:rFonts w:ascii="Verdana" w:hAnsi="Verdana" w:cs="Arial"/>
          <w:sz w:val="14"/>
          <w:szCs w:val="14"/>
        </w:rPr>
        <w:footnoteRef/>
      </w:r>
      <w:r w:rsidRPr="006447F6">
        <w:rPr>
          <w:rFonts w:ascii="Verdana" w:hAnsi="Verdana" w:cs="Arial"/>
          <w:sz w:val="14"/>
          <w:szCs w:val="14"/>
        </w:rPr>
        <w:t xml:space="preserve"> </w:t>
      </w:r>
      <w:bookmarkStart w:id="8" w:name="38"/>
      <w:r w:rsidRPr="006447F6">
        <w:rPr>
          <w:rFonts w:ascii="Verdana" w:eastAsia="Calibri" w:hAnsi="Verdana" w:cs="Arial"/>
          <w:color w:val="000000"/>
          <w:sz w:val="14"/>
          <w:szCs w:val="14"/>
        </w:rPr>
        <w:t>“</w:t>
      </w:r>
      <w:r w:rsidRPr="006447F6">
        <w:rPr>
          <w:rFonts w:ascii="Verdana" w:hAnsi="Verdana" w:cs="Arial"/>
          <w:sz w:val="14"/>
          <w:szCs w:val="14"/>
          <w:lang w:val="es-MX"/>
        </w:rPr>
        <w:t>Artículo 38. Prohibiciones para los servidores públicos. A los empleados del Estado les está prohibido:</w:t>
      </w:r>
      <w:bookmarkEnd w:id="8"/>
      <w:r w:rsidRPr="006447F6">
        <w:rPr>
          <w:rFonts w:ascii="Verdana" w:hAnsi="Verdana" w:cs="Arial"/>
          <w:sz w:val="14"/>
          <w:szCs w:val="14"/>
          <w:lang w:val="es-MX"/>
        </w:rPr>
        <w:t xml:space="preserve"> […]</w:t>
      </w:r>
    </w:p>
    <w:p w14:paraId="53859DB1" w14:textId="77777777" w:rsidR="001B4D82" w:rsidRPr="006447F6" w:rsidRDefault="001B4D82" w:rsidP="001B4D82">
      <w:pPr>
        <w:pStyle w:val="NormalWeb"/>
        <w:spacing w:before="0" w:beforeAutospacing="0" w:after="0" w:afterAutospacing="0"/>
        <w:ind w:firstLine="709"/>
        <w:jc w:val="both"/>
        <w:rPr>
          <w:rFonts w:ascii="Verdana" w:hAnsi="Verdana" w:cs="Arial"/>
          <w:sz w:val="14"/>
          <w:szCs w:val="14"/>
          <w:lang w:val="es-MX"/>
        </w:rPr>
      </w:pPr>
      <w:r w:rsidRPr="006447F6">
        <w:rPr>
          <w:rStyle w:val="baj"/>
          <w:rFonts w:ascii="Verdana" w:hAnsi="Verdana" w:cs="Arial"/>
          <w:sz w:val="14"/>
          <w:szCs w:val="14"/>
          <w:lang w:val="es-MX"/>
        </w:rPr>
        <w:t>Parágrafo.</w:t>
      </w:r>
      <w:r w:rsidRPr="006447F6">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47F6">
        <w:rPr>
          <w:rFonts w:ascii="Verdana" w:eastAsia="Calibri" w:hAnsi="Verdana" w:cs="Arial"/>
          <w:color w:val="000000"/>
          <w:sz w:val="14"/>
          <w:szCs w:val="14"/>
        </w:rPr>
        <w:t>”</w:t>
      </w:r>
      <w:r w:rsidRPr="006447F6">
        <w:rPr>
          <w:rFonts w:ascii="Verdana" w:hAnsi="Verdana" w:cs="Arial"/>
          <w:sz w:val="14"/>
          <w:szCs w:val="14"/>
          <w:lang w:val="es-MX"/>
        </w:rPr>
        <w:t>.</w:t>
      </w:r>
    </w:p>
  </w:footnote>
  <w:footnote w:id="11">
    <w:p w14:paraId="47FF80E4" w14:textId="77777777" w:rsidR="001B4D82" w:rsidRPr="006447F6" w:rsidRDefault="001B4D82" w:rsidP="001B4D82">
      <w:pPr>
        <w:pStyle w:val="Textonotapie"/>
        <w:ind w:firstLine="708"/>
        <w:jc w:val="both"/>
        <w:rPr>
          <w:rFonts w:ascii="Verdana" w:hAnsi="Verdana" w:cs="Arial"/>
          <w:sz w:val="14"/>
          <w:szCs w:val="14"/>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 xml:space="preserve">Colombia Compra Eficiente. Circular Externa Única. Numeral 16.5. </w:t>
      </w:r>
    </w:p>
  </w:footnote>
  <w:footnote w:id="12">
    <w:p w14:paraId="300092C1" w14:textId="77777777" w:rsidR="001B4D82" w:rsidRPr="004B35AC" w:rsidRDefault="001B4D82" w:rsidP="001B4D82">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Consejo de Estado. Sala de Consulta y Servicio Civil. Concepto del 17 de febrero de 2015. C.P. William Zambrano Cetina. Radicación No. 11001-03-06-000-2015-00164-00(2269).</w:t>
      </w:r>
    </w:p>
  </w:footnote>
  <w:footnote w:id="13">
    <w:p w14:paraId="210ACD7B" w14:textId="77777777" w:rsidR="001B4D82" w:rsidRPr="00326282" w:rsidRDefault="001B4D82" w:rsidP="001B4D82">
      <w:pPr>
        <w:pStyle w:val="Textonotapie"/>
        <w:ind w:right="51"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[25] </w:t>
      </w:r>
      <w:r w:rsidRPr="00326282">
        <w:rPr>
          <w:rFonts w:ascii="Verdana" w:hAnsi="Verdana" w:cs="Arial"/>
          <w:sz w:val="14"/>
          <w:szCs w:val="14"/>
        </w:rPr>
        <w:t>Cfr. Consejo de Estado. Sección Tercera. Sentencia de 3 de diciembre de 2007. Radicados: 24.715, 25.206, 25.409, 24.524, 27.834, 25.410, 26.105, 28.244, 31.447 -acumulados</w:t>
      </w:r>
      <w:proofErr w:type="gramStart"/>
      <w:r w:rsidRPr="00326282">
        <w:rPr>
          <w:rFonts w:ascii="Verdana" w:hAnsi="Verdana" w:cs="Arial"/>
          <w:sz w:val="14"/>
          <w:szCs w:val="14"/>
        </w:rPr>
        <w:t>-“</w:t>
      </w:r>
      <w:proofErr w:type="gramEnd"/>
      <w:r w:rsidRPr="00326282">
        <w:rPr>
          <w:rFonts w:ascii="Verdana" w:hAnsi="Verdana" w:cs="Arial"/>
          <w:sz w:val="14"/>
          <w:szCs w:val="14"/>
        </w:rPr>
        <w:t>.</w:t>
      </w:r>
    </w:p>
  </w:footnote>
  <w:footnote w:id="14">
    <w:p w14:paraId="3679B995" w14:textId="77777777" w:rsidR="001B4D82" w:rsidRPr="00326282" w:rsidRDefault="001B4D82" w:rsidP="001B4D82">
      <w:pPr>
        <w:pStyle w:val="Textonotapie"/>
        <w:ind w:right="51"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[26] </w:t>
      </w:r>
      <w:r w:rsidRPr="00326282">
        <w:rPr>
          <w:rFonts w:ascii="Verdana" w:hAnsi="Verdana" w:cs="Arial"/>
          <w:sz w:val="14"/>
          <w:szCs w:val="14"/>
        </w:rPr>
        <w:t>Al respecto ver el concepto 1712 de 2 de febrero de 2006. Consejo de Estado Sala de Consulta y Servicio Civil”.</w:t>
      </w:r>
    </w:p>
  </w:footnote>
  <w:footnote w:id="15">
    <w:p w14:paraId="76D1510F" w14:textId="77777777" w:rsidR="001B4D82" w:rsidRPr="00326282" w:rsidRDefault="001B4D82" w:rsidP="001B4D82">
      <w:pPr>
        <w:pStyle w:val="Textonotapie"/>
        <w:ind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6">
    <w:p w14:paraId="571F94AC" w14:textId="77777777" w:rsidR="001B4D82" w:rsidRPr="00326282" w:rsidRDefault="001B4D82" w:rsidP="001B4D82">
      <w:pPr>
        <w:pStyle w:val="Textonotapie"/>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Artículo 2. </w:t>
      </w:r>
    </w:p>
  </w:footnote>
  <w:footnote w:id="17">
    <w:p w14:paraId="71977DCC" w14:textId="77777777" w:rsidR="001B4D82" w:rsidRPr="00326282" w:rsidRDefault="001B4D82" w:rsidP="001B4D82">
      <w:pPr>
        <w:pStyle w:val="Textonotapie"/>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i/>
          <w:sz w:val="14"/>
          <w:szCs w:val="14"/>
          <w:lang w:val="es-ES"/>
        </w:rPr>
        <w:t>Ídem</w:t>
      </w:r>
      <w:r w:rsidRPr="00326282">
        <w:rPr>
          <w:rFonts w:ascii="Verdana" w:hAnsi="Verdana" w:cs="Arial"/>
          <w:sz w:val="14"/>
          <w:szCs w:val="14"/>
          <w:lang w:val="es-ES"/>
        </w:rPr>
        <w:t>.</w:t>
      </w:r>
    </w:p>
  </w:footnote>
  <w:footnote w:id="18">
    <w:p w14:paraId="5BC1E9DA" w14:textId="77777777" w:rsidR="001B4D82" w:rsidRPr="004B35AC" w:rsidRDefault="001B4D82" w:rsidP="001B4D82">
      <w:pPr>
        <w:pStyle w:val="Textonotapie"/>
        <w:ind w:firstLine="709"/>
        <w:jc w:val="both"/>
        <w:rPr>
          <w:rFonts w:ascii="Verdana" w:hAnsi="Verdana" w:cs="Arial"/>
          <w:sz w:val="16"/>
          <w:szCs w:val="16"/>
          <w:lang w:val="es-ES"/>
        </w:rPr>
      </w:pPr>
      <w:r w:rsidRPr="00326282">
        <w:rPr>
          <w:rStyle w:val="Refdenotaalpie"/>
          <w:rFonts w:ascii="Verdana" w:hAnsi="Verdana" w:cs="Arial"/>
          <w:sz w:val="14"/>
          <w:szCs w:val="14"/>
        </w:rPr>
        <w:footnoteRef/>
      </w:r>
      <w:r w:rsidRPr="00326282">
        <w:rPr>
          <w:rStyle w:val="Refdenotaalpie"/>
          <w:rFonts w:ascii="Verdana" w:hAnsi="Verdana" w:cs="Arial"/>
          <w:sz w:val="14"/>
          <w:szCs w:val="14"/>
        </w:rPr>
        <w:t xml:space="preserve"> </w:t>
      </w:r>
      <w:r w:rsidRPr="00326282">
        <w:rPr>
          <w:rFonts w:ascii="Verdana" w:hAnsi="Verdana" w:cs="Arial"/>
          <w:sz w:val="14"/>
          <w:szCs w:val="14"/>
          <w:lang w:val="es-ES"/>
        </w:rPr>
        <w:t>“[…] A este respecto, cabe recordar que el artículo 860 del Código de Comercio regula la licitación en el derecho privado”.</w:t>
      </w:r>
      <w:r w:rsidRPr="004B35AC">
        <w:rPr>
          <w:rFonts w:ascii="Verdana" w:hAnsi="Verdana" w:cs="Arial"/>
          <w:sz w:val="16"/>
          <w:szCs w:val="16"/>
          <w:lang w:val="es-ES"/>
        </w:rPr>
        <w:t xml:space="preserve"> </w:t>
      </w:r>
    </w:p>
  </w:footnote>
  <w:footnote w:id="19">
    <w:p w14:paraId="39353C05" w14:textId="77777777" w:rsidR="001B4D82" w:rsidRPr="00326282" w:rsidRDefault="001B4D82" w:rsidP="001B4D82">
      <w:pPr>
        <w:shd w:val="clear" w:color="auto" w:fill="FFFFFF"/>
        <w:spacing w:after="0" w:line="240" w:lineRule="auto"/>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Style w:val="Refdenotaalpie"/>
          <w:rFonts w:ascii="Verdana" w:hAnsi="Verdana" w:cs="Arial"/>
          <w:sz w:val="14"/>
          <w:szCs w:val="14"/>
        </w:rPr>
        <w:t xml:space="preserve"> </w:t>
      </w:r>
      <w:r w:rsidRPr="00326282">
        <w:rPr>
          <w:rFonts w:ascii="Verdana" w:hAnsi="Verdana" w:cs="Arial"/>
          <w:sz w:val="14"/>
          <w:szCs w:val="14"/>
          <w:lang w:val="es-ES"/>
        </w:rPr>
        <w:t>Consejo de Estado. Sala de Consulta y Servicio Civil, Concepto de 8 de mayo de 2018. Radicación Número: 11001-03-06-000-2018-00095-00(2382). C.P. Álvaro Namén Vargas.</w:t>
      </w:r>
    </w:p>
  </w:footnote>
  <w:footnote w:id="20">
    <w:p w14:paraId="4A4C4DE7" w14:textId="77777777" w:rsidR="001B4D82" w:rsidRPr="004B35AC" w:rsidRDefault="001B4D82" w:rsidP="001B4D82">
      <w:pPr>
        <w:pStyle w:val="Textonotapie"/>
        <w:ind w:firstLine="709"/>
        <w:jc w:val="both"/>
        <w:rPr>
          <w:rFonts w:ascii="Verdana" w:hAnsi="Verdana" w:cs="Arial"/>
          <w:sz w:val="16"/>
          <w:szCs w:val="16"/>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del 08 de mayo de 2018. </w:t>
      </w:r>
      <w:proofErr w:type="spellStart"/>
      <w:r w:rsidRPr="00326282">
        <w:rPr>
          <w:rFonts w:ascii="Verdana" w:hAnsi="Verdana" w:cs="Arial"/>
          <w:sz w:val="14"/>
          <w:szCs w:val="14"/>
        </w:rPr>
        <w:t>Exp</w:t>
      </w:r>
      <w:proofErr w:type="spellEnd"/>
      <w:r w:rsidRPr="00326282">
        <w:rPr>
          <w:rFonts w:ascii="Verdana" w:hAnsi="Verdana" w:cs="Arial"/>
          <w:sz w:val="14"/>
          <w:szCs w:val="14"/>
        </w:rPr>
        <w:t>. 2.382. C.P. Álvaro Namén Vargas.</w:t>
      </w:r>
    </w:p>
  </w:footnote>
  <w:footnote w:id="21">
    <w:p w14:paraId="6C5578B2" w14:textId="77777777" w:rsidR="001B4D82" w:rsidRPr="00326282" w:rsidRDefault="001B4D82" w:rsidP="001B4D82">
      <w:pPr>
        <w:pStyle w:val="Textonotapie"/>
        <w:ind w:firstLine="708"/>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2">
    <w:p w14:paraId="26044671" w14:textId="77777777" w:rsidR="001B4D82" w:rsidRPr="004B35AC" w:rsidRDefault="001B4D82" w:rsidP="001B4D82">
      <w:pPr>
        <w:pStyle w:val="Textonotapie"/>
        <w:ind w:firstLine="709"/>
        <w:jc w:val="both"/>
        <w:rPr>
          <w:rFonts w:ascii="Verdana" w:hAnsi="Verdana" w:cs="Arial"/>
          <w:sz w:val="16"/>
          <w:szCs w:val="16"/>
        </w:rPr>
      </w:pPr>
      <w:r w:rsidRPr="00326282">
        <w:rPr>
          <w:rStyle w:val="Refdenotaalpie"/>
          <w:rFonts w:ascii="Verdana" w:hAnsi="Verdana" w:cs="Arial"/>
          <w:sz w:val="14"/>
          <w:szCs w:val="14"/>
        </w:rPr>
        <w:footnoteRef/>
      </w:r>
      <w:r w:rsidRPr="00326282">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proofErr w:type="spellStart"/>
      <w:r w:rsidRPr="00326282">
        <w:rPr>
          <w:rFonts w:ascii="Verdana" w:hAnsi="Verdana" w:cs="Arial"/>
          <w:sz w:val="14"/>
          <w:szCs w:val="14"/>
        </w:rPr>
        <w:t>N°</w:t>
      </w:r>
      <w:proofErr w:type="spellEnd"/>
      <w:r w:rsidRPr="00326282">
        <w:rPr>
          <w:rFonts w:ascii="Verdana" w:hAnsi="Verdana" w:cs="Arial"/>
          <w:sz w:val="14"/>
          <w:szCs w:val="14"/>
        </w:rPr>
        <w:t xml:space="preserve"> 216/05 Senado, </w:t>
      </w:r>
      <w:proofErr w:type="spellStart"/>
      <w:r w:rsidRPr="00326282">
        <w:rPr>
          <w:rFonts w:ascii="Verdana" w:hAnsi="Verdana" w:cs="Arial"/>
          <w:sz w:val="14"/>
          <w:szCs w:val="14"/>
        </w:rPr>
        <w:t>N°</w:t>
      </w:r>
      <w:proofErr w:type="spellEnd"/>
      <w:r w:rsidRPr="00326282">
        <w:rPr>
          <w:rFonts w:ascii="Verdana" w:hAnsi="Verdana" w:cs="Arial"/>
          <w:sz w:val="14"/>
          <w:szCs w:val="14"/>
        </w:rPr>
        <w:t xml:space="preserve"> 235-Cámara que dio lugar a la Ley de Garantías Electorales.</w:t>
      </w:r>
    </w:p>
  </w:footnote>
  <w:footnote w:id="23">
    <w:p w14:paraId="0D0F279C" w14:textId="77777777" w:rsidR="001B4D82" w:rsidRPr="00326282" w:rsidRDefault="001B4D82" w:rsidP="001B4D82">
      <w:pPr>
        <w:spacing w:after="0" w:line="240" w:lineRule="auto"/>
        <w:ind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4">
    <w:p w14:paraId="196F34E3" w14:textId="77777777" w:rsidR="001B4D82" w:rsidRPr="00326282" w:rsidRDefault="001B4D82" w:rsidP="001B4D82">
      <w:pPr>
        <w:pStyle w:val="Textonotapie"/>
        <w:ind w:right="51" w:firstLine="709"/>
        <w:jc w:val="both"/>
        <w:rPr>
          <w:rFonts w:ascii="Verdana" w:eastAsia="Times New Roman" w:hAnsi="Verdana" w:cs="Arial"/>
          <w:bCs/>
          <w:sz w:val="14"/>
          <w:szCs w:val="14"/>
          <w:lang w:eastAsia="x-none"/>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6 de abril de 2006. Radicación Número: 11001-03-06-000-2006-00038-00 (1738). C.P. Enrique José Arboleda Perdomo:</w:t>
      </w:r>
      <w:r w:rsidRPr="00326282">
        <w:rPr>
          <w:rFonts w:ascii="Verdana" w:eastAsia="Times New Roman" w:hAnsi="Verdana" w:cs="Arial"/>
          <w:bCs/>
          <w:sz w:val="14"/>
          <w:szCs w:val="14"/>
          <w:lang w:eastAsia="x-none"/>
        </w:rPr>
        <w:t xml:space="preserve"> “</w:t>
      </w:r>
      <w:r w:rsidRPr="00326282">
        <w:rPr>
          <w:rFonts w:ascii="Verdana" w:hAnsi="Verdana" w:cs="Arial"/>
          <w:sz w:val="14"/>
          <w:szCs w:val="14"/>
        </w:rPr>
        <w:t>Si bien en el tema del concepto del que se extractaron los párrafos transcritos, se hacía referencia a las empresas de servicios</w:t>
      </w:r>
      <w:r w:rsidRPr="004B35AC">
        <w:rPr>
          <w:rFonts w:ascii="Verdana" w:hAnsi="Verdana" w:cs="Arial"/>
          <w:sz w:val="16"/>
          <w:szCs w:val="16"/>
        </w:rPr>
        <w:t xml:space="preserve"> </w:t>
      </w:r>
      <w:r w:rsidRPr="00326282">
        <w:rPr>
          <w:rFonts w:ascii="Verdana" w:hAnsi="Verdana" w:cs="Arial"/>
          <w:sz w:val="14"/>
          <w:szCs w:val="14"/>
        </w:rPr>
        <w:t>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326282">
        <w:rPr>
          <w:rFonts w:ascii="Verdana" w:eastAsia="Times New Roman" w:hAnsi="Verdana" w:cs="Arial"/>
          <w:bCs/>
          <w:sz w:val="14"/>
          <w:szCs w:val="14"/>
          <w:lang w:eastAsia="x-none"/>
        </w:rPr>
        <w:t>”.</w:t>
      </w:r>
    </w:p>
  </w:footnote>
  <w:footnote w:id="25">
    <w:p w14:paraId="5A4C9831" w14:textId="77777777" w:rsidR="001B4D82" w:rsidRPr="00326282" w:rsidRDefault="001B4D82" w:rsidP="001B4D82">
      <w:pPr>
        <w:spacing w:after="0" w:line="240" w:lineRule="auto"/>
        <w:ind w:firstLine="708"/>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6 de abril de 2006. Radicación Número: 11001-03-06-000-2006-00038-00(1738). Consejero Ponente: Enrique José Arboleda Perdomo. </w:t>
      </w:r>
    </w:p>
  </w:footnote>
  <w:footnote w:id="26">
    <w:p w14:paraId="477784B0" w14:textId="77777777" w:rsidR="001B4D82" w:rsidRPr="004B35AC" w:rsidRDefault="001B4D82" w:rsidP="001B4D82">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326282">
        <w:rPr>
          <w:rFonts w:ascii="Verdana" w:hAnsi="Verdana" w:cs="Arial"/>
          <w:sz w:val="14"/>
          <w:szCs w:val="14"/>
        </w:rPr>
        <w:t>Consejo de Estado. Sala de Consulta y Servicio Civil, ídem.</w:t>
      </w:r>
    </w:p>
  </w:footnote>
  <w:footnote w:id="27">
    <w:p w14:paraId="4F2A3B90" w14:textId="77777777" w:rsidR="001B4D82" w:rsidRPr="00326282" w:rsidRDefault="001B4D82" w:rsidP="001B4D82">
      <w:pPr>
        <w:pStyle w:val="Textonotapie"/>
        <w:ind w:firstLine="708"/>
        <w:jc w:val="both"/>
        <w:rPr>
          <w:rFonts w:ascii="Verdana" w:hAnsi="Verdana"/>
          <w:sz w:val="14"/>
          <w:szCs w:val="14"/>
          <w:lang w:val="es-CO"/>
        </w:rPr>
      </w:pPr>
      <w:r w:rsidRPr="00326282">
        <w:rPr>
          <w:rStyle w:val="Refdenotaalpie"/>
          <w:rFonts w:ascii="Verdana" w:hAnsi="Verdana"/>
          <w:sz w:val="14"/>
          <w:szCs w:val="14"/>
        </w:rPr>
        <w:footnoteRef/>
      </w:r>
      <w:r w:rsidRPr="00326282">
        <w:rPr>
          <w:rFonts w:ascii="Verdana" w:hAnsi="Verdana"/>
          <w:sz w:val="14"/>
          <w:szCs w:val="14"/>
        </w:rPr>
        <w:t xml:space="preserve"> PINO RICCI, Jorge. Régimen jurídico de los contratos estatales. Bogotá: Universidad Externado de Colombia, 2005. p. 264.</w:t>
      </w:r>
    </w:p>
  </w:footnote>
  <w:footnote w:id="28">
    <w:p w14:paraId="223BE52C" w14:textId="77777777" w:rsidR="001B4D82" w:rsidRPr="00326282" w:rsidRDefault="001B4D82" w:rsidP="001B4D82">
      <w:pPr>
        <w:pStyle w:val="Textonotapie"/>
        <w:ind w:firstLine="708"/>
        <w:rPr>
          <w:rFonts w:ascii="Verdana" w:hAnsi="Verdana"/>
          <w:sz w:val="14"/>
          <w:szCs w:val="14"/>
          <w:lang w:val="es-CO"/>
        </w:rPr>
      </w:pPr>
      <w:r w:rsidRPr="00326282">
        <w:rPr>
          <w:rStyle w:val="Refdenotaalpie"/>
          <w:rFonts w:ascii="Verdana" w:hAnsi="Verdana"/>
          <w:sz w:val="14"/>
          <w:szCs w:val="14"/>
        </w:rPr>
        <w:footnoteRef/>
      </w:r>
      <w:r w:rsidRPr="00326282">
        <w:rPr>
          <w:rFonts w:ascii="Verdana" w:hAnsi="Verdana"/>
          <w:sz w:val="14"/>
          <w:szCs w:val="14"/>
        </w:rPr>
        <w:t xml:space="preserve"> DÁVILA VINUEZA, Régimen jurídico… Ob. cit., p. 505.</w:t>
      </w:r>
    </w:p>
  </w:footnote>
  <w:footnote w:id="29">
    <w:p w14:paraId="6ED38500" w14:textId="77777777" w:rsidR="001B4D82" w:rsidRPr="00326282" w:rsidRDefault="001B4D82" w:rsidP="001B4D82">
      <w:pPr>
        <w:pStyle w:val="Textonotapie"/>
        <w:ind w:firstLine="708"/>
        <w:jc w:val="both"/>
        <w:rPr>
          <w:rFonts w:ascii="Verdana" w:hAnsi="Verdana"/>
          <w:sz w:val="14"/>
          <w:szCs w:val="14"/>
          <w:lang w:val="es-CO"/>
        </w:rPr>
      </w:pPr>
      <w:r w:rsidRPr="00326282">
        <w:rPr>
          <w:rStyle w:val="Refdenotaalpie"/>
          <w:rFonts w:ascii="Verdana" w:hAnsi="Verdana"/>
          <w:sz w:val="14"/>
          <w:szCs w:val="14"/>
        </w:rPr>
        <w:footnoteRef/>
      </w:r>
      <w:r w:rsidRPr="00326282">
        <w:rPr>
          <w:rFonts w:ascii="Verdana" w:hAnsi="Verdana"/>
          <w:sz w:val="14"/>
          <w:szCs w:val="14"/>
        </w:rPr>
        <w:t xml:space="preserve"> </w:t>
      </w:r>
      <w:r w:rsidRPr="00326282">
        <w:rPr>
          <w:rFonts w:ascii="Verdana" w:hAnsi="Verdana"/>
          <w:i/>
          <w:iCs/>
          <w:sz w:val="14"/>
          <w:szCs w:val="14"/>
        </w:rPr>
        <w:t>Ibidem</w:t>
      </w:r>
      <w:r w:rsidRPr="00326282">
        <w:rPr>
          <w:rFonts w:ascii="Verdana" w:hAnsi="Verdana"/>
          <w:sz w:val="14"/>
          <w:szCs w:val="14"/>
        </w:rPr>
        <w:t xml:space="preserve">. </w:t>
      </w:r>
    </w:p>
  </w:footnote>
  <w:footnote w:id="30">
    <w:p w14:paraId="43A23DCC" w14:textId="77777777" w:rsidR="001B4D82" w:rsidRPr="00F04E54" w:rsidRDefault="001B4D82" w:rsidP="001B4D82">
      <w:pPr>
        <w:pStyle w:val="Textonotapie"/>
        <w:ind w:firstLine="708"/>
        <w:jc w:val="both"/>
        <w:rPr>
          <w:rFonts w:ascii="Verdana" w:hAnsi="Verdana"/>
          <w:sz w:val="16"/>
          <w:szCs w:val="16"/>
        </w:rPr>
      </w:pPr>
      <w:r w:rsidRPr="00326282">
        <w:rPr>
          <w:rStyle w:val="Refdenotaalpie"/>
          <w:rFonts w:ascii="Verdana" w:hAnsi="Verdana"/>
          <w:sz w:val="14"/>
          <w:szCs w:val="14"/>
        </w:rPr>
        <w:footnoteRef/>
      </w:r>
      <w:r w:rsidRPr="00326282">
        <w:rPr>
          <w:rFonts w:ascii="Verdana" w:hAnsi="Verdana"/>
          <w:sz w:val="14"/>
          <w:szCs w:val="14"/>
        </w:rPr>
        <w:t xml:space="preserve"> GONZÁLEZ LÓPEZ, Edgar. Los contratos estatales. El proceso de selección y la modificación de los contratos. </w:t>
      </w:r>
      <w:proofErr w:type="spellStart"/>
      <w:r w:rsidRPr="00326282">
        <w:rPr>
          <w:rFonts w:ascii="Verdana" w:hAnsi="Verdana"/>
          <w:sz w:val="14"/>
          <w:szCs w:val="14"/>
        </w:rPr>
        <w:t>Bógotá</w:t>
      </w:r>
      <w:proofErr w:type="spellEnd"/>
      <w:r w:rsidRPr="00326282">
        <w:rPr>
          <w:rFonts w:ascii="Verdana" w:hAnsi="Verdana"/>
          <w:sz w:val="14"/>
          <w:szCs w:val="14"/>
        </w:rPr>
        <w:t>: Universidad Externado de Colombia – Tirant lo Blanch, 2023. p. 564.</w:t>
      </w:r>
    </w:p>
  </w:footnote>
  <w:footnote w:id="31">
    <w:p w14:paraId="42298B0F" w14:textId="77777777" w:rsidR="001B4D82" w:rsidRPr="00326282" w:rsidRDefault="001B4D82" w:rsidP="001B4D82">
      <w:pPr>
        <w:pStyle w:val="Textonotapie"/>
        <w:ind w:firstLine="708"/>
        <w:jc w:val="both"/>
        <w:rPr>
          <w:rFonts w:ascii="Verdana" w:hAnsi="Verdana"/>
          <w:sz w:val="14"/>
          <w:szCs w:val="14"/>
        </w:rPr>
      </w:pPr>
      <w:r w:rsidRPr="00326282">
        <w:rPr>
          <w:rStyle w:val="Refdenotaalpie"/>
          <w:rFonts w:ascii="Verdana" w:hAnsi="Verdana"/>
          <w:sz w:val="14"/>
          <w:szCs w:val="14"/>
        </w:rPr>
        <w:footnoteRef/>
      </w:r>
      <w:r w:rsidRPr="00326282">
        <w:rPr>
          <w:rFonts w:ascii="Verdana" w:hAnsi="Verdana"/>
          <w:sz w:val="14"/>
          <w:szCs w:val="14"/>
        </w:rPr>
        <w:t xml:space="preserve"> RICO PUERTA, Luis Alonso. Teoría general y práctica de la contratación estatal. Volumen II. Decimotercera edición. Bogotá: Grupo Editorial Ibañez, 2025. p. 1142.</w:t>
      </w:r>
    </w:p>
  </w:footnote>
  <w:footnote w:id="32">
    <w:p w14:paraId="4EC89105" w14:textId="77777777" w:rsidR="001B4D82" w:rsidRPr="00326282" w:rsidRDefault="001B4D82" w:rsidP="001B4D82">
      <w:pPr>
        <w:pStyle w:val="Textonotapie"/>
        <w:ind w:firstLine="708"/>
        <w:jc w:val="both"/>
        <w:rPr>
          <w:rFonts w:ascii="Verdana" w:hAnsi="Verdana"/>
          <w:sz w:val="14"/>
          <w:szCs w:val="14"/>
        </w:rPr>
      </w:pPr>
      <w:r w:rsidRPr="00326282">
        <w:rPr>
          <w:rStyle w:val="Refdenotaalpie"/>
          <w:rFonts w:ascii="Verdana" w:hAnsi="Verdana"/>
          <w:sz w:val="14"/>
          <w:szCs w:val="14"/>
        </w:rPr>
        <w:footnoteRef/>
      </w:r>
      <w:r w:rsidRPr="00326282">
        <w:rPr>
          <w:rFonts w:ascii="Verdana" w:hAnsi="Verdana"/>
          <w:sz w:val="14"/>
          <w:szCs w:val="14"/>
        </w:rPr>
        <w:t xml:space="preserve"> Por ejemplo, para RODRÍGUEZ TAMAYO “[…] resulta inútil la tramitación de convocatorias públicas que hacen algunas entidades estatales, cuando van a entregar en arrendamiento bienes inmuebles de su propiedad, pues en esos casos, el ordenamiento jurídico no exige tal procedimiento y, por el contrario, ello se presta para conflictos con los interesados que concurren a dichos llamados. Tanto la ley como el </w:t>
      </w:r>
      <w:proofErr w:type="gramStart"/>
      <w:r w:rsidRPr="00326282">
        <w:rPr>
          <w:rFonts w:ascii="Verdana" w:hAnsi="Verdana"/>
          <w:sz w:val="14"/>
          <w:szCs w:val="14"/>
        </w:rPr>
        <w:t>reglamento,</w:t>
      </w:r>
      <w:proofErr w:type="gramEnd"/>
      <w:r w:rsidRPr="00326282">
        <w:rPr>
          <w:rFonts w:ascii="Verdana" w:hAnsi="Verdana"/>
          <w:sz w:val="14"/>
          <w:szCs w:val="14"/>
        </w:rPr>
        <w:t xml:space="preserve"> dieron flexibilidad a la administración, ya sea para obrar como arrendador o como arrendatario, obviamente, teniendo como límite los precios del mercado y obrar en sentido contrario, en la práctica, implica regular aspectos no autorizados por la ley” (RODRÍGUEZ TAMAYO, Mauricio Fernando. Los contratos estatales en Colombia. Bogotá: Tirant lo Blanch, 2022. p. 199).</w:t>
      </w:r>
    </w:p>
    <w:p w14:paraId="7F704D19" w14:textId="77777777" w:rsidR="001B4D82" w:rsidRPr="00326282" w:rsidRDefault="001B4D82" w:rsidP="001B4D82">
      <w:pPr>
        <w:pStyle w:val="Textonotapie"/>
        <w:ind w:firstLine="708"/>
        <w:jc w:val="both"/>
        <w:rPr>
          <w:rFonts w:ascii="Verdana" w:hAnsi="Verdana"/>
          <w:sz w:val="14"/>
          <w:szCs w:val="14"/>
        </w:rPr>
      </w:pPr>
      <w:r w:rsidRPr="00326282">
        <w:rPr>
          <w:rFonts w:ascii="Verdana" w:hAnsi="Verdana"/>
          <w:sz w:val="14"/>
          <w:szCs w:val="14"/>
        </w:rPr>
        <w:t xml:space="preserve">En contraste, para SÁNCHEZ ESTRADA “[…] el legislador desaprovechó la oportunidad de corregir el yerro que viene desde los decretos 150 de 1976 y 222 de 1983, de habilitar la contratación directa tanto cuando la entidad estatal es arrendataria como cuando funge de arrendadora. En efecto, en la primera de las hipótesis está justificada la causal, pues cuando un ente estatal busca un inmueble el factor menos importante termina siendo el precio. La ubicación, funcionalidad, capacidad, </w:t>
      </w:r>
      <w:proofErr w:type="gramStart"/>
      <w:r w:rsidRPr="00326282">
        <w:rPr>
          <w:rFonts w:ascii="Verdana" w:hAnsi="Verdana"/>
          <w:sz w:val="14"/>
          <w:szCs w:val="14"/>
        </w:rPr>
        <w:t>etc.,</w:t>
      </w:r>
      <w:proofErr w:type="gramEnd"/>
      <w:r w:rsidRPr="00326282">
        <w:rPr>
          <w:rFonts w:ascii="Verdana" w:hAnsi="Verdana"/>
          <w:sz w:val="14"/>
          <w:szCs w:val="14"/>
        </w:rPr>
        <w:t xml:space="preserve"> son criterios determinantes y muy difíciles de evaluar en un trámite licitatorio. No ocurre lo mismo cuando se trata de arrendar bienes de propiedad el Estado. En ese caso nada le impide a la administración adelantar un proceso de selección en el que escoja a quien, cumpliendo unas exigencias mínimas, le ofrezca pagar el mejor canon. De hecho, la aplicación amplia de la causal ha propiciado el favoritismo a la hora de arrendar bienes del Estado con privilegiada ubicación, no sólo en los entes territoriales.</w:t>
      </w:r>
    </w:p>
    <w:p w14:paraId="124AA196" w14:textId="77777777" w:rsidR="001B4D82" w:rsidRPr="00B73A6D" w:rsidRDefault="001B4D82" w:rsidP="001B4D82">
      <w:pPr>
        <w:pStyle w:val="Textonotapie"/>
        <w:ind w:firstLine="708"/>
        <w:jc w:val="both"/>
        <w:rPr>
          <w:rFonts w:ascii="Verdana" w:hAnsi="Verdana"/>
          <w:sz w:val="16"/>
          <w:szCs w:val="16"/>
        </w:rPr>
      </w:pPr>
      <w:r w:rsidRPr="00326282">
        <w:rPr>
          <w:rFonts w:ascii="Verdana" w:hAnsi="Verdana"/>
          <w:sz w:val="14"/>
          <w:szCs w:val="14"/>
        </w:rPr>
        <w:t xml:space="preserve">A manera de ejemplo, recordemos los recientes contratos de arrendamiento suscritos por el </w:t>
      </w:r>
      <w:proofErr w:type="spellStart"/>
      <w:r w:rsidRPr="00326282">
        <w:rPr>
          <w:rFonts w:ascii="Verdana" w:hAnsi="Verdana"/>
          <w:sz w:val="14"/>
          <w:szCs w:val="14"/>
        </w:rPr>
        <w:t>Incoder</w:t>
      </w:r>
      <w:proofErr w:type="spellEnd"/>
      <w:r w:rsidRPr="00326282">
        <w:rPr>
          <w:rFonts w:ascii="Verdana" w:hAnsi="Verdana"/>
          <w:sz w:val="14"/>
          <w:szCs w:val="14"/>
        </w:rPr>
        <w:t>-Ministerio de Agricultura con los ocupantes ilegales de las Islas del Rosario, a quienes se les ‘sancionó’ su infracción celebrando con ellos, de forma directa y a precios risibles, contratos de arrendamiento. Sin duda, de haberse efectuado convocatoria pública, el Estado hubiera conseguido mejores contratistas. No entendemos cómo para los casos de compra y venta se tienen previstos procedimientos distintos y no ocurre lo mismo cuando se toman o dan en arriendo inmuebles de propiedad de las entidades del Estado” (ESTRADA SÁNCHEZ, Juan Pablo. Contratación directa, convenios interadministrativos y contratos de cooperación internacional. En: Contratación estatal. Estudios sobre la reforma del Estatuto Contractual Ley 1150 de 2007. Bogotá: Universidad Externado de Colombia, 2009. p.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7D3235"/>
    <w:multiLevelType w:val="hybridMultilevel"/>
    <w:tmpl w:val="171A94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330140246">
    <w:abstractNumId w:val="0"/>
  </w:num>
  <w:num w:numId="17" w16cid:durableId="679089576">
    <w:abstractNumId w:val="11"/>
  </w:num>
  <w:num w:numId="18" w16cid:durableId="201751096">
    <w:abstractNumId w:val="3"/>
  </w:num>
  <w:num w:numId="19" w16cid:durableId="1067070113">
    <w:abstractNumId w:val="12"/>
  </w:num>
  <w:num w:numId="20" w16cid:durableId="15772830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882"/>
    <w:rsid w:val="00016F78"/>
    <w:rsid w:val="00044D3C"/>
    <w:rsid w:val="00046945"/>
    <w:rsid w:val="00046A8A"/>
    <w:rsid w:val="00061B2A"/>
    <w:rsid w:val="00082362"/>
    <w:rsid w:val="000A683E"/>
    <w:rsid w:val="000B19B9"/>
    <w:rsid w:val="000C14F9"/>
    <w:rsid w:val="000D0334"/>
    <w:rsid w:val="000D5DA7"/>
    <w:rsid w:val="000F6486"/>
    <w:rsid w:val="0010142F"/>
    <w:rsid w:val="00116940"/>
    <w:rsid w:val="001175E3"/>
    <w:rsid w:val="00125105"/>
    <w:rsid w:val="00127233"/>
    <w:rsid w:val="001564FB"/>
    <w:rsid w:val="0015699B"/>
    <w:rsid w:val="00180EE0"/>
    <w:rsid w:val="0019190D"/>
    <w:rsid w:val="001969C8"/>
    <w:rsid w:val="001A33BF"/>
    <w:rsid w:val="001B35E7"/>
    <w:rsid w:val="001B4D82"/>
    <w:rsid w:val="001D0350"/>
    <w:rsid w:val="001D7009"/>
    <w:rsid w:val="001D73DC"/>
    <w:rsid w:val="001E4177"/>
    <w:rsid w:val="001F0B24"/>
    <w:rsid w:val="001F1924"/>
    <w:rsid w:val="001F7DC6"/>
    <w:rsid w:val="002104A3"/>
    <w:rsid w:val="0022400B"/>
    <w:rsid w:val="00224098"/>
    <w:rsid w:val="002421BB"/>
    <w:rsid w:val="0025617B"/>
    <w:rsid w:val="0025711A"/>
    <w:rsid w:val="0025796E"/>
    <w:rsid w:val="002707A2"/>
    <w:rsid w:val="0028229A"/>
    <w:rsid w:val="002951A0"/>
    <w:rsid w:val="002962BC"/>
    <w:rsid w:val="002A093D"/>
    <w:rsid w:val="002A0DD0"/>
    <w:rsid w:val="002A49AC"/>
    <w:rsid w:val="002A64FD"/>
    <w:rsid w:val="002C7A84"/>
    <w:rsid w:val="002D651C"/>
    <w:rsid w:val="002E2BF8"/>
    <w:rsid w:val="002E4FD9"/>
    <w:rsid w:val="002E6139"/>
    <w:rsid w:val="0030657A"/>
    <w:rsid w:val="00322A85"/>
    <w:rsid w:val="00324168"/>
    <w:rsid w:val="00326282"/>
    <w:rsid w:val="00330834"/>
    <w:rsid w:val="003448F4"/>
    <w:rsid w:val="00374F5E"/>
    <w:rsid w:val="00375F12"/>
    <w:rsid w:val="00377D0E"/>
    <w:rsid w:val="00377E3E"/>
    <w:rsid w:val="003A779E"/>
    <w:rsid w:val="003D0F4D"/>
    <w:rsid w:val="003D5B0D"/>
    <w:rsid w:val="003E0499"/>
    <w:rsid w:val="003E4F80"/>
    <w:rsid w:val="003E6439"/>
    <w:rsid w:val="003F3941"/>
    <w:rsid w:val="00406575"/>
    <w:rsid w:val="00414C74"/>
    <w:rsid w:val="00417B29"/>
    <w:rsid w:val="0042722E"/>
    <w:rsid w:val="004441ED"/>
    <w:rsid w:val="0044528D"/>
    <w:rsid w:val="00466E39"/>
    <w:rsid w:val="004A1847"/>
    <w:rsid w:val="004A305D"/>
    <w:rsid w:val="004A5C1E"/>
    <w:rsid w:val="004F21C4"/>
    <w:rsid w:val="004F685F"/>
    <w:rsid w:val="00525D24"/>
    <w:rsid w:val="00544B7F"/>
    <w:rsid w:val="005566E8"/>
    <w:rsid w:val="00574867"/>
    <w:rsid w:val="00591460"/>
    <w:rsid w:val="00595B16"/>
    <w:rsid w:val="005A65E0"/>
    <w:rsid w:val="005B3027"/>
    <w:rsid w:val="005C3777"/>
    <w:rsid w:val="005C5CDC"/>
    <w:rsid w:val="005D476C"/>
    <w:rsid w:val="005F7EDB"/>
    <w:rsid w:val="006016D9"/>
    <w:rsid w:val="006200BF"/>
    <w:rsid w:val="006219F8"/>
    <w:rsid w:val="00626FC5"/>
    <w:rsid w:val="006302F7"/>
    <w:rsid w:val="006447F6"/>
    <w:rsid w:val="00646B9F"/>
    <w:rsid w:val="006560F5"/>
    <w:rsid w:val="00665D70"/>
    <w:rsid w:val="006660C9"/>
    <w:rsid w:val="006900D9"/>
    <w:rsid w:val="006C1FF1"/>
    <w:rsid w:val="00704618"/>
    <w:rsid w:val="00706C16"/>
    <w:rsid w:val="007340C3"/>
    <w:rsid w:val="00750ABA"/>
    <w:rsid w:val="0075235A"/>
    <w:rsid w:val="00756841"/>
    <w:rsid w:val="007649AB"/>
    <w:rsid w:val="00771D0C"/>
    <w:rsid w:val="007833AC"/>
    <w:rsid w:val="007842B0"/>
    <w:rsid w:val="007B268C"/>
    <w:rsid w:val="007B7171"/>
    <w:rsid w:val="007C0C0F"/>
    <w:rsid w:val="007C3DC2"/>
    <w:rsid w:val="007D25E4"/>
    <w:rsid w:val="007E5497"/>
    <w:rsid w:val="00806F5F"/>
    <w:rsid w:val="00820278"/>
    <w:rsid w:val="00821EB5"/>
    <w:rsid w:val="008258C9"/>
    <w:rsid w:val="00844AE9"/>
    <w:rsid w:val="00867F95"/>
    <w:rsid w:val="008843B6"/>
    <w:rsid w:val="00891928"/>
    <w:rsid w:val="00892D76"/>
    <w:rsid w:val="008954C0"/>
    <w:rsid w:val="008A446D"/>
    <w:rsid w:val="008B25F1"/>
    <w:rsid w:val="008D180B"/>
    <w:rsid w:val="008F0EA7"/>
    <w:rsid w:val="008F2887"/>
    <w:rsid w:val="00920DA8"/>
    <w:rsid w:val="00923EEF"/>
    <w:rsid w:val="009419F9"/>
    <w:rsid w:val="0095685E"/>
    <w:rsid w:val="00961B09"/>
    <w:rsid w:val="00965334"/>
    <w:rsid w:val="0097093E"/>
    <w:rsid w:val="00991693"/>
    <w:rsid w:val="009A0DFA"/>
    <w:rsid w:val="009A1C6F"/>
    <w:rsid w:val="009A3A8F"/>
    <w:rsid w:val="009B2D26"/>
    <w:rsid w:val="009C71FA"/>
    <w:rsid w:val="009C72E7"/>
    <w:rsid w:val="009C7F7E"/>
    <w:rsid w:val="009D3058"/>
    <w:rsid w:val="009E621A"/>
    <w:rsid w:val="009F3A13"/>
    <w:rsid w:val="00A122D3"/>
    <w:rsid w:val="00A14468"/>
    <w:rsid w:val="00A17F13"/>
    <w:rsid w:val="00A20739"/>
    <w:rsid w:val="00A23AF9"/>
    <w:rsid w:val="00A33C78"/>
    <w:rsid w:val="00A359C2"/>
    <w:rsid w:val="00A46415"/>
    <w:rsid w:val="00A655B7"/>
    <w:rsid w:val="00AB0ADB"/>
    <w:rsid w:val="00AE2042"/>
    <w:rsid w:val="00B00C0E"/>
    <w:rsid w:val="00B01B1A"/>
    <w:rsid w:val="00B0381D"/>
    <w:rsid w:val="00B44A47"/>
    <w:rsid w:val="00B52ACA"/>
    <w:rsid w:val="00B65BE1"/>
    <w:rsid w:val="00B72CD3"/>
    <w:rsid w:val="00B72FFF"/>
    <w:rsid w:val="00B852F0"/>
    <w:rsid w:val="00B96625"/>
    <w:rsid w:val="00BC3D36"/>
    <w:rsid w:val="00BD54A6"/>
    <w:rsid w:val="00BD7F72"/>
    <w:rsid w:val="00BF7425"/>
    <w:rsid w:val="00BF74F4"/>
    <w:rsid w:val="00C04FB3"/>
    <w:rsid w:val="00C11D8B"/>
    <w:rsid w:val="00C15139"/>
    <w:rsid w:val="00C330EB"/>
    <w:rsid w:val="00C50D69"/>
    <w:rsid w:val="00C5365C"/>
    <w:rsid w:val="00C754BE"/>
    <w:rsid w:val="00C76B1C"/>
    <w:rsid w:val="00C925AC"/>
    <w:rsid w:val="00CB0E29"/>
    <w:rsid w:val="00CB6357"/>
    <w:rsid w:val="00CC1B26"/>
    <w:rsid w:val="00D006B8"/>
    <w:rsid w:val="00D05B5C"/>
    <w:rsid w:val="00D257E0"/>
    <w:rsid w:val="00D361FD"/>
    <w:rsid w:val="00D416F9"/>
    <w:rsid w:val="00D423A2"/>
    <w:rsid w:val="00D44E26"/>
    <w:rsid w:val="00D520D8"/>
    <w:rsid w:val="00D63AC2"/>
    <w:rsid w:val="00D7383B"/>
    <w:rsid w:val="00D7788A"/>
    <w:rsid w:val="00D815A9"/>
    <w:rsid w:val="00D85666"/>
    <w:rsid w:val="00DA231B"/>
    <w:rsid w:val="00DB41A8"/>
    <w:rsid w:val="00DC39FC"/>
    <w:rsid w:val="00DC6F4C"/>
    <w:rsid w:val="00DF0EB6"/>
    <w:rsid w:val="00DF5254"/>
    <w:rsid w:val="00E02524"/>
    <w:rsid w:val="00E16408"/>
    <w:rsid w:val="00E20894"/>
    <w:rsid w:val="00E245AB"/>
    <w:rsid w:val="00E2764C"/>
    <w:rsid w:val="00E27F2E"/>
    <w:rsid w:val="00E32F02"/>
    <w:rsid w:val="00E50AFE"/>
    <w:rsid w:val="00E75C92"/>
    <w:rsid w:val="00E771DC"/>
    <w:rsid w:val="00E863B5"/>
    <w:rsid w:val="00E8772A"/>
    <w:rsid w:val="00E90F6B"/>
    <w:rsid w:val="00E92C27"/>
    <w:rsid w:val="00EA0E3D"/>
    <w:rsid w:val="00EC38A7"/>
    <w:rsid w:val="00EE1AA8"/>
    <w:rsid w:val="00EF658E"/>
    <w:rsid w:val="00F23FEA"/>
    <w:rsid w:val="00F31EDC"/>
    <w:rsid w:val="00F462B3"/>
    <w:rsid w:val="00F5664F"/>
    <w:rsid w:val="00F666C4"/>
    <w:rsid w:val="00F70E7F"/>
    <w:rsid w:val="00F76AFC"/>
    <w:rsid w:val="00FA47C0"/>
    <w:rsid w:val="00FB5DD1"/>
    <w:rsid w:val="00FB7025"/>
    <w:rsid w:val="00FC2B5D"/>
    <w:rsid w:val="00FD1319"/>
    <w:rsid w:val="00FE424B"/>
    <w:rsid w:val="00FE72AA"/>
    <w:rsid w:val="00FE7A95"/>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B4D8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B4D82"/>
    <w:rPr>
      <w:rFonts w:ascii="Geomanist Light" w:hAnsi="Geomanist Light"/>
      <w:lang w:val="es-ES"/>
    </w:rPr>
  </w:style>
  <w:style w:type="character" w:customStyle="1" w:styleId="s15">
    <w:name w:val="s15"/>
    <w:basedOn w:val="Fuentedeprrafopredeter"/>
    <w:rsid w:val="001B4D82"/>
  </w:style>
  <w:style w:type="character" w:customStyle="1" w:styleId="NormalWebCar">
    <w:name w:val="Normal (Web) Car"/>
    <w:link w:val="NormalWeb"/>
    <w:uiPriority w:val="99"/>
    <w:locked/>
    <w:rsid w:val="001B4D82"/>
    <w:rPr>
      <w:rFonts w:ascii="Times New Roman" w:eastAsia="Times New Roman" w:hAnsi="Times New Roman" w:cs="Times New Roman"/>
      <w:sz w:val="24"/>
      <w:szCs w:val="24"/>
      <w:lang w:eastAsia="es-CO"/>
    </w:rPr>
  </w:style>
  <w:style w:type="character" w:customStyle="1" w:styleId="baj">
    <w:name w:val="b_aj"/>
    <w:basedOn w:val="Fuentedeprrafopredeter"/>
    <w:rsid w:val="001B4D82"/>
  </w:style>
  <w:style w:type="character" w:customStyle="1" w:styleId="whitespace-normal">
    <w:name w:val="whitespace-normal"/>
    <w:basedOn w:val="Fuentedeprrafopredeter"/>
    <w:rsid w:val="001F19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rdech@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05BB9DE-B694-459E-BAA5-ED83604F34E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22</TotalTime>
  <Pages>22</Pages>
  <Words>8000</Words>
  <Characters>43602</Characters>
  <Application>Microsoft Office Word</Application>
  <DocSecurity>0</DocSecurity>
  <Lines>822</Lines>
  <Paragraphs>151</Paragraphs>
  <ScaleCrop>false</ScaleCrop>
  <Company/>
  <LinksUpToDate>false</LinksUpToDate>
  <CharactersWithSpaces>51451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13</cp:revision>
  <cp:lastPrinted>2023-01-10T21:18:00Z</cp:lastPrinted>
  <dcterms:created xsi:type="dcterms:W3CDTF">2026-04-01T14:54:00Z</dcterms:created>
  <dcterms:modified xsi:type="dcterms:W3CDTF">2026-04-01T20:54:00Z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