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72BE9" w14:textId="77777777" w:rsidR="0094748F" w:rsidRPr="00D86C49" w:rsidRDefault="00904F77" w:rsidP="00AB1ECB">
      <w:pPr>
        <w:pStyle w:val="Textoindependiente"/>
        <w:spacing w:after="120"/>
        <w:ind w:firstLine="0"/>
        <w:jc w:val="both"/>
        <w:rPr>
          <w:rFonts w:cs="Arial"/>
          <w:b/>
          <w:bCs/>
        </w:rPr>
      </w:pPr>
      <w:bookmarkStart w:id="0" w:name="_Hlk143780582"/>
      <w:r w:rsidRPr="00D86C49">
        <w:rPr>
          <w:rFonts w:cs="Arial"/>
          <w:b/>
          <w:bCs/>
        </w:rPr>
        <w:t>CONTRATO DE ARRENDAMIENTO – Concepto – Elementos – Regulación</w:t>
      </w:r>
    </w:p>
    <w:p w14:paraId="57F3FFCC" w14:textId="77777777" w:rsidR="00AB1ECB" w:rsidRPr="00AB1ECB" w:rsidRDefault="007965A5" w:rsidP="00AB1ECB">
      <w:pPr>
        <w:pStyle w:val="Textoindependiente"/>
        <w:spacing w:after="120"/>
        <w:ind w:firstLine="0"/>
        <w:jc w:val="both"/>
        <w:rPr>
          <w:rFonts w:cs="Arial"/>
          <w:sz w:val="20"/>
          <w:szCs w:val="20"/>
        </w:rPr>
      </w:pPr>
      <w:r w:rsidRPr="00992E1A">
        <w:rPr>
          <w:rFonts w:cs="Arial"/>
          <w:sz w:val="20"/>
          <w:szCs w:val="20"/>
        </w:rPr>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w:t>
      </w:r>
      <w:r w:rsidRPr="00AB1ECB">
        <w:rPr>
          <w:rFonts w:cs="Arial"/>
          <w:sz w:val="20"/>
          <w:szCs w:val="20"/>
        </w:rPr>
        <w:t>una transferencia del dominio del bien cuyo uso y goce se entrega.</w:t>
      </w:r>
    </w:p>
    <w:p w14:paraId="6A855B78" w14:textId="731DC3F8" w:rsidR="007965A5" w:rsidRPr="0094748F" w:rsidRDefault="007965A5" w:rsidP="00AB1ECB">
      <w:pPr>
        <w:pStyle w:val="Textoindependiente"/>
        <w:spacing w:after="120"/>
        <w:ind w:firstLine="0"/>
        <w:jc w:val="both"/>
        <w:rPr>
          <w:rFonts w:cs="Arial"/>
          <w:b/>
          <w:bCs/>
          <w:color w:val="000000"/>
          <w:lang w:eastAsia="es-ES"/>
        </w:rPr>
      </w:pPr>
      <w:r w:rsidRPr="00AB1ECB">
        <w:rPr>
          <w:rFonts w:cs="Arial"/>
          <w:sz w:val="20"/>
          <w:szCs w:val="20"/>
        </w:rPr>
        <w:t>En cuanto a sus características, la doctrina ha indicado que el arrendamiento es un contrato:</w:t>
      </w:r>
      <w:r w:rsidRPr="00992E1A">
        <w:rPr>
          <w:rFonts w:cs="Arial"/>
          <w:sz w:val="20"/>
          <w:szCs w:val="20"/>
        </w:rPr>
        <w:t xml:space="preserve"> i) bilateral, pues ambas partes se obligan recíprocamente; </w:t>
      </w:r>
      <w:proofErr w:type="spellStart"/>
      <w:r w:rsidRPr="00992E1A">
        <w:rPr>
          <w:rFonts w:cs="Arial"/>
          <w:sz w:val="20"/>
          <w:szCs w:val="20"/>
        </w:rPr>
        <w:t>ii</w:t>
      </w:r>
      <w:proofErr w:type="spellEnd"/>
      <w:r w:rsidRPr="00992E1A">
        <w:rPr>
          <w:rFonts w:cs="Arial"/>
          <w:sz w:val="20"/>
          <w:szCs w:val="20"/>
        </w:rPr>
        <w:t xml:space="preserve">) consensual, dado que se perfecciona con el consentimiento ; </w:t>
      </w:r>
      <w:proofErr w:type="spellStart"/>
      <w:r w:rsidRPr="00992E1A">
        <w:rPr>
          <w:rFonts w:cs="Arial"/>
          <w:sz w:val="20"/>
          <w:szCs w:val="20"/>
        </w:rPr>
        <w:t>iii</w:t>
      </w:r>
      <w:proofErr w:type="spellEnd"/>
      <w:r w:rsidRPr="00992E1A">
        <w:rPr>
          <w:rFonts w:cs="Arial"/>
          <w:sz w:val="20"/>
          <w:szCs w:val="20"/>
        </w:rPr>
        <w:t xml:space="preserve">) oneroso, ya que ambas partes obtienen utilidades –el arrendatario, el uso y goce del bien, y el arrendador la renta o canon–; </w:t>
      </w:r>
      <w:proofErr w:type="spellStart"/>
      <w:r w:rsidRPr="00992E1A">
        <w:rPr>
          <w:rFonts w:cs="Arial"/>
          <w:sz w:val="20"/>
          <w:szCs w:val="20"/>
        </w:rPr>
        <w:t>iv</w:t>
      </w:r>
      <w:proofErr w:type="spellEnd"/>
      <w:r w:rsidRPr="00992E1A">
        <w:rPr>
          <w:rFonts w:cs="Arial"/>
          <w:sz w:val="20"/>
          <w:szCs w:val="20"/>
        </w:rPr>
        <w:t>) de ejecución sucesiva, en la medida en que se ejecuta en forma periódica; v) principal, porque existe en forma autónoma; y v) nominado, porque está tipificado y desarrollado en la ley.</w:t>
      </w:r>
    </w:p>
    <w:p w14:paraId="2D7DDEDD" w14:textId="7C1F6429" w:rsidR="0094748F" w:rsidRPr="00D86C49" w:rsidRDefault="00904F77" w:rsidP="00AB1ECB">
      <w:pPr>
        <w:pStyle w:val="Textoindependiente"/>
        <w:spacing w:after="120"/>
        <w:ind w:firstLine="0"/>
        <w:jc w:val="both"/>
        <w:rPr>
          <w:rFonts w:cs="Arial"/>
          <w:b/>
          <w:bCs/>
        </w:rPr>
      </w:pPr>
      <w:r w:rsidRPr="00D86C49">
        <w:rPr>
          <w:rFonts w:cs="Arial"/>
          <w:b/>
          <w:bCs/>
        </w:rPr>
        <w:t>CONTRATO DE ARRENDAMIENTO – Seguridad social</w:t>
      </w:r>
    </w:p>
    <w:p w14:paraId="0EEDC838" w14:textId="77777777" w:rsidR="00CB659D" w:rsidRPr="00992E1A" w:rsidRDefault="00CB659D" w:rsidP="00850593">
      <w:pPr>
        <w:pStyle w:val="Textoindependiente"/>
        <w:spacing w:after="120"/>
        <w:ind w:firstLine="0"/>
        <w:jc w:val="both"/>
        <w:rPr>
          <w:spacing w:val="-2"/>
          <w:lang w:val="es-CO"/>
        </w:rPr>
      </w:pPr>
      <w:r w:rsidRPr="00AB1ECB">
        <w:rPr>
          <w:rFonts w:cs="Arial"/>
          <w:sz w:val="20"/>
          <w:szCs w:val="20"/>
        </w:rPr>
        <w:t>[…] en Colombia, es obligatorio que los contratistas que participen en contratos de arrendamiento</w:t>
      </w:r>
      <w:r w:rsidRPr="00992E1A">
        <w:rPr>
          <w:rFonts w:cs="Arial"/>
          <w:sz w:val="20"/>
          <w:szCs w:val="20"/>
        </w:rPr>
        <w:t xml:space="preserve">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r w:rsidRPr="00992E1A">
        <w:rPr>
          <w:rFonts w:cs="Arial"/>
        </w:rPr>
        <w:t>.</w:t>
      </w:r>
    </w:p>
    <w:p w14:paraId="7D32C04B" w14:textId="77777777" w:rsidR="0094748F" w:rsidRPr="00D86C49" w:rsidRDefault="00904F77" w:rsidP="00AB1ECB">
      <w:pPr>
        <w:pStyle w:val="Textoindependiente"/>
        <w:spacing w:after="120"/>
        <w:ind w:firstLine="0"/>
        <w:jc w:val="both"/>
        <w:rPr>
          <w:rFonts w:cs="Arial"/>
          <w:b/>
          <w:bCs/>
        </w:rPr>
      </w:pPr>
      <w:r w:rsidRPr="00D86C49">
        <w:rPr>
          <w:rFonts w:cs="Arial"/>
          <w:b/>
          <w:bCs/>
        </w:rPr>
        <w:t>SEGURIDAD SOCIAL – Verificación – Pago – Persona natural – Persona Jurídica</w:t>
      </w:r>
    </w:p>
    <w:p w14:paraId="1B646A4F" w14:textId="77777777" w:rsidR="00850593" w:rsidRPr="00AB1ECB" w:rsidRDefault="00850593" w:rsidP="00AB1ECB">
      <w:pPr>
        <w:pStyle w:val="Textoindependiente"/>
        <w:spacing w:after="120"/>
        <w:ind w:firstLine="0"/>
        <w:jc w:val="both"/>
        <w:rPr>
          <w:rFonts w:cs="Arial"/>
          <w:b/>
          <w:bCs/>
          <w:sz w:val="20"/>
          <w:szCs w:val="20"/>
        </w:rPr>
      </w:pPr>
      <w:r w:rsidRPr="00AB1ECB">
        <w:rPr>
          <w:rFonts w:cs="Arial"/>
          <w:sz w:val="20"/>
          <w:szCs w:val="20"/>
        </w:rPr>
        <w:t>[…]</w:t>
      </w:r>
      <w:r w:rsidRPr="00992E1A">
        <w:rPr>
          <w:rFonts w:eastAsia="Geomanist Light" w:cs="Arial"/>
          <w:sz w:val="20"/>
          <w:szCs w:val="20"/>
          <w:lang w:val="es-MX"/>
        </w:rPr>
        <w:t xml:space="preserve"> la verificación de los aportes al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992E1A">
        <w:rPr>
          <w:rFonts w:eastAsia="Geomanist Light" w:cs="Arial"/>
          <w:sz w:val="20"/>
          <w:szCs w:val="20"/>
          <w:lang w:val="es-MX"/>
        </w:rPr>
        <w:t>ii</w:t>
      </w:r>
      <w:proofErr w:type="spellEnd"/>
      <w:r w:rsidRPr="00992E1A">
        <w:rPr>
          <w:rFonts w:eastAsia="Geomanist Light" w:cs="Arial"/>
          <w:sz w:val="20"/>
          <w:szCs w:val="20"/>
          <w:lang w:val="es-MX"/>
        </w:rPr>
        <w:t xml:space="preserve">)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w:t>
      </w:r>
      <w:r w:rsidRPr="00AB1ECB">
        <w:rPr>
          <w:rFonts w:cs="Arial"/>
          <w:sz w:val="20"/>
          <w:szCs w:val="20"/>
        </w:rPr>
        <w:t>Integral para pagar las cuentas o facturas.</w:t>
      </w:r>
    </w:p>
    <w:p w14:paraId="68525A6F" w14:textId="28EBE812" w:rsidR="00904F77" w:rsidRPr="00D86C49" w:rsidRDefault="00904F77" w:rsidP="00AB1ECB">
      <w:pPr>
        <w:pStyle w:val="Textoindependiente"/>
        <w:spacing w:after="120"/>
        <w:ind w:firstLine="0"/>
        <w:jc w:val="both"/>
        <w:rPr>
          <w:rFonts w:cs="Arial"/>
          <w:b/>
          <w:bCs/>
          <w:color w:val="000000"/>
          <w:lang w:eastAsia="es-ES"/>
        </w:rPr>
      </w:pPr>
      <w:r w:rsidRPr="00D86C49">
        <w:rPr>
          <w:rFonts w:cs="Arial"/>
          <w:b/>
          <w:bCs/>
        </w:rPr>
        <w:t xml:space="preserve">CONTRATO DE ARRENDAMIENTO – Seguridad social – Rentistas de </w:t>
      </w:r>
      <w:r w:rsidRPr="00D86C49">
        <w:rPr>
          <w:rFonts w:cs="Arial"/>
          <w:b/>
          <w:bCs/>
          <w:color w:val="000000"/>
          <w:lang w:eastAsia="es-ES"/>
        </w:rPr>
        <w:t>capital – Ingresos inferiores a un SMMLV</w:t>
      </w:r>
    </w:p>
    <w:p w14:paraId="7BC757BC" w14:textId="77777777" w:rsidR="00B3760B" w:rsidRPr="00B3760B" w:rsidRDefault="00B3760B" w:rsidP="00B3760B">
      <w:pPr>
        <w:tabs>
          <w:tab w:val="left" w:pos="142"/>
          <w:tab w:val="left" w:pos="284"/>
        </w:tabs>
        <w:spacing w:after="120" w:line="240" w:lineRule="auto"/>
        <w:jc w:val="both"/>
        <w:rPr>
          <w:rFonts w:ascii="Verdana" w:eastAsia="Geomanist Light" w:hAnsi="Verdana" w:cs="Arial"/>
          <w:sz w:val="20"/>
          <w:szCs w:val="20"/>
          <w:lang w:val="es-MX"/>
        </w:rPr>
      </w:pPr>
      <w:r w:rsidRPr="00B3760B">
        <w:rPr>
          <w:rFonts w:ascii="Verdana" w:eastAsia="Geomanist Light" w:hAnsi="Verdana" w:cs="Arial"/>
          <w:sz w:val="20"/>
          <w:szCs w:val="20"/>
          <w:lang w:val="es-MX"/>
        </w:rPr>
        <w:t xml:space="preserve">De conformidad con el artículo 89 de la Ley 2277 de 2022, los rentistas de capital deben cotizar sobre una base mínima equivalente al cuarenta por ciento (40%) de los ingresos mensuales causados o efectivamente percibidos, según exista o no </w:t>
      </w:r>
      <w:r w:rsidRPr="00B3760B">
        <w:rPr>
          <w:rFonts w:ascii="Verdana" w:eastAsia="Geomanist Light" w:hAnsi="Verdana" w:cs="Arial"/>
          <w:sz w:val="20"/>
          <w:szCs w:val="20"/>
          <w:lang w:val="es-MX"/>
        </w:rPr>
        <w:lastRenderedPageBreak/>
        <w:t>obligación de llevar contabilidad, excluyendo el valor del IVA, en aplicación del principio de solidaridad que rige el sistema. No obstante, dicha obligación resulta exigible únicamente cuando los ingresos netos mensuales del rentista de capital sean iguales o superiores a un (1) salario mínimo legal mensual vigente (SMMLV). En consecuencia, cuando los ingresos netos mensuales del arrendador sean inferiores a dicho umbral, este no se encuentra obligado, en principio, a efectuar aportes al Sistema General de Seguridad Social Integral.</w:t>
      </w:r>
    </w:p>
    <w:p w14:paraId="44CCB1A1" w14:textId="77777777" w:rsidR="00B3760B" w:rsidRDefault="00B3760B" w:rsidP="00850593">
      <w:pPr>
        <w:spacing w:before="240"/>
        <w:jc w:val="both"/>
        <w:rPr>
          <w:rFonts w:ascii="Verdana" w:hAnsi="Verdana" w:cs="Arial"/>
          <w:b/>
          <w:bCs/>
          <w:color w:val="000000"/>
          <w:lang w:val="es-ES" w:eastAsia="es-ES"/>
        </w:rPr>
      </w:pPr>
    </w:p>
    <w:p w14:paraId="77E5D8AC" w14:textId="77777777" w:rsidR="00850593" w:rsidRPr="0094748F" w:rsidRDefault="00850593" w:rsidP="00850593">
      <w:pPr>
        <w:spacing w:before="240"/>
        <w:jc w:val="both"/>
        <w:rPr>
          <w:rFonts w:ascii="Verdana" w:hAnsi="Verdana" w:cs="Arial"/>
          <w:b/>
          <w:bCs/>
          <w:color w:val="000000"/>
          <w:lang w:val="es-ES" w:eastAsia="es-ES"/>
        </w:rPr>
      </w:pPr>
    </w:p>
    <w:p w14:paraId="71EE918A" w14:textId="77777777" w:rsidR="00904F77" w:rsidRDefault="00904F77">
      <w:pPr>
        <w:rPr>
          <w:rFonts w:ascii="Verdana" w:eastAsia="Verdana" w:hAnsi="Verdana" w:cs="Verdana"/>
        </w:rPr>
      </w:pPr>
      <w:r>
        <w:rPr>
          <w:rFonts w:ascii="Verdana" w:eastAsia="Verdana" w:hAnsi="Verdana" w:cs="Verdana"/>
        </w:rPr>
        <w:br w:type="page"/>
      </w:r>
    </w:p>
    <w:p w14:paraId="1468C46D" w14:textId="25B37DD1" w:rsidR="00C15139" w:rsidRPr="007E10FE" w:rsidRDefault="00852C30" w:rsidP="003B436E">
      <w:pPr>
        <w:spacing w:after="0" w:line="240" w:lineRule="auto"/>
        <w:rPr>
          <w:rFonts w:ascii="Verdana" w:eastAsia="Verdana" w:hAnsi="Verdana" w:cs="Verdana"/>
        </w:rPr>
      </w:pPr>
      <w:r w:rsidRPr="00852C30">
        <w:rPr>
          <w:rFonts w:ascii="Verdana" w:eastAsia="Calibri" w:hAnsi="Verdana" w:cs="Times New Roman"/>
          <w:b/>
          <w:bCs/>
          <w:noProof/>
        </w:rPr>
        <w:lastRenderedPageBreak/>
        <w:drawing>
          <wp:anchor distT="0" distB="0" distL="114300" distR="114300" simplePos="0" relativeHeight="251658240" behindDoc="1" locked="0" layoutInCell="1" allowOverlap="1" wp14:anchorId="484321CF" wp14:editId="74845FAC">
            <wp:simplePos x="0" y="0"/>
            <wp:positionH relativeFrom="column">
              <wp:posOffset>3119755</wp:posOffset>
            </wp:positionH>
            <wp:positionV relativeFrom="paragraph">
              <wp:posOffset>8423</wp:posOffset>
            </wp:positionV>
            <wp:extent cx="2673350" cy="738505"/>
            <wp:effectExtent l="0" t="0" r="0" b="4445"/>
            <wp:wrapNone/>
            <wp:docPr id="22633650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73350" cy="738505"/>
                    </a:xfrm>
                    <a:prstGeom prst="rect">
                      <a:avLst/>
                    </a:prstGeom>
                    <a:noFill/>
                    <a:ln>
                      <a:noFill/>
                    </a:ln>
                  </pic:spPr>
                </pic:pic>
              </a:graphicData>
            </a:graphic>
          </wp:anchor>
        </w:drawing>
      </w:r>
      <w:r w:rsidR="00C15139" w:rsidRPr="007E10FE">
        <w:rPr>
          <w:rFonts w:ascii="Verdana" w:eastAsia="Verdana" w:hAnsi="Verdana" w:cs="Verdana"/>
        </w:rPr>
        <w:t xml:space="preserve">Bogotá D.C., </w:t>
      </w:r>
      <w:r>
        <w:rPr>
          <w:rFonts w:ascii="Verdana" w:eastAsia="Verdana" w:hAnsi="Verdana" w:cs="Verdana"/>
        </w:rPr>
        <w:t>1 Abr</w:t>
      </w:r>
      <w:r w:rsidR="002349FC">
        <w:rPr>
          <w:rFonts w:ascii="Verdana" w:eastAsia="Verdana" w:hAnsi="Verdana" w:cs="Verdana"/>
        </w:rPr>
        <w:t>il 2026</w:t>
      </w:r>
      <w:r w:rsidR="00C15139" w:rsidRPr="003B436E">
        <w:rPr>
          <w:rFonts w:ascii="Verdana" w:hAnsi="Verdana"/>
        </w:rPr>
        <w:br/>
      </w:r>
      <w:r w:rsidR="00C15139" w:rsidRPr="003B436E">
        <w:rPr>
          <w:rFonts w:ascii="Verdana" w:hAnsi="Verdana"/>
        </w:rPr>
        <w:tab/>
      </w:r>
    </w:p>
    <w:p w14:paraId="12443EE0" w14:textId="5C1B2692" w:rsidR="00C15139" w:rsidRPr="007E10FE" w:rsidRDefault="00C15139" w:rsidP="003B436E">
      <w:pPr>
        <w:spacing w:after="0" w:line="240" w:lineRule="auto"/>
        <w:rPr>
          <w:rFonts w:ascii="Verdana" w:eastAsia="Verdana" w:hAnsi="Verdana" w:cs="Verdana"/>
        </w:rPr>
      </w:pPr>
    </w:p>
    <w:p w14:paraId="61393BDA" w14:textId="1594AACC" w:rsidR="005A08E4" w:rsidRPr="007E10FE" w:rsidRDefault="005A08E4" w:rsidP="003B436E">
      <w:pPr>
        <w:spacing w:after="0" w:line="240" w:lineRule="auto"/>
        <w:jc w:val="both"/>
        <w:rPr>
          <w:rFonts w:ascii="Verdana" w:eastAsia="Calibri" w:hAnsi="Verdana" w:cs="Arial"/>
          <w:lang w:eastAsia="es-ES"/>
        </w:rPr>
      </w:pPr>
      <w:r w:rsidRPr="007E10FE">
        <w:rPr>
          <w:rFonts w:ascii="Verdana" w:eastAsia="Calibri" w:hAnsi="Verdana" w:cs="Arial"/>
          <w:lang w:eastAsia="es-ES"/>
        </w:rPr>
        <w:t>Señor</w:t>
      </w:r>
    </w:p>
    <w:p w14:paraId="6BB9F3A8" w14:textId="4C977BE9" w:rsidR="005A08E4" w:rsidRPr="007E10FE" w:rsidRDefault="00D55DC6" w:rsidP="003B436E">
      <w:pPr>
        <w:spacing w:after="0" w:line="240" w:lineRule="auto"/>
        <w:rPr>
          <w:rFonts w:ascii="Verdana" w:eastAsia="Calibri" w:hAnsi="Verdana" w:cs="Arial"/>
          <w:b/>
          <w:bCs/>
          <w:lang w:eastAsia="es-ES"/>
        </w:rPr>
      </w:pPr>
      <w:r w:rsidRPr="007E10FE">
        <w:rPr>
          <w:rFonts w:ascii="Verdana" w:eastAsia="Calibri" w:hAnsi="Verdana" w:cs="Times New Roman"/>
          <w:b/>
          <w:bCs/>
        </w:rPr>
        <w:t>Gustavo Adolfo Patarroyo Cubides</w:t>
      </w:r>
      <w:r w:rsidR="005A08E4" w:rsidRPr="007E10FE">
        <w:rPr>
          <w:rFonts w:ascii="Verdana" w:eastAsia="Calibri" w:hAnsi="Verdana" w:cs="Times New Roman"/>
          <w:b/>
          <w:bCs/>
        </w:rPr>
        <w:t xml:space="preserve"> </w:t>
      </w:r>
      <w:r w:rsidR="005A08E4" w:rsidRPr="007E10FE">
        <w:rPr>
          <w:rFonts w:ascii="Verdana" w:eastAsia="Calibri" w:hAnsi="Verdana" w:cs="Times New Roman"/>
          <w:b/>
          <w:bCs/>
        </w:rPr>
        <w:tab/>
      </w:r>
      <w:r w:rsidR="005A08E4" w:rsidRPr="007E10FE">
        <w:rPr>
          <w:rFonts w:ascii="Verdana" w:eastAsia="Calibri" w:hAnsi="Verdana" w:cs="Times New Roman"/>
          <w:b/>
          <w:bCs/>
        </w:rPr>
        <w:tab/>
      </w:r>
      <w:r w:rsidR="005A08E4" w:rsidRPr="007E10FE">
        <w:rPr>
          <w:rFonts w:ascii="Verdana" w:eastAsia="Calibri" w:hAnsi="Verdana" w:cs="Times New Roman"/>
          <w:b/>
          <w:bCs/>
        </w:rPr>
        <w:tab/>
      </w:r>
    </w:p>
    <w:p w14:paraId="57C56F96" w14:textId="1E4D60F0" w:rsidR="005A08E4" w:rsidRPr="003B436E" w:rsidRDefault="00D55DC6" w:rsidP="003B436E">
      <w:pPr>
        <w:spacing w:after="0" w:line="240" w:lineRule="auto"/>
        <w:rPr>
          <w:rFonts w:ascii="Verdana" w:hAnsi="Verdana"/>
          <w:lang w:val="it-IT"/>
        </w:rPr>
      </w:pPr>
      <w:hyperlink r:id="rId11" w:history="1">
        <w:r w:rsidRPr="003B436E">
          <w:rPr>
            <w:rStyle w:val="Hipervnculo"/>
            <w:rFonts w:ascii="Verdana" w:hAnsi="Verdana"/>
            <w:lang w:val="it-IT"/>
          </w:rPr>
          <w:t>gustavopatarroyo@hotmail.com</w:t>
        </w:r>
      </w:hyperlink>
    </w:p>
    <w:p w14:paraId="366656A2" w14:textId="2085175F" w:rsidR="005A08E4" w:rsidRDefault="00EE7391" w:rsidP="007E10FE">
      <w:pPr>
        <w:spacing w:after="0" w:line="240" w:lineRule="auto"/>
        <w:rPr>
          <w:rFonts w:ascii="Verdana" w:hAnsi="Verdana"/>
          <w:lang w:val="it-IT"/>
        </w:rPr>
      </w:pPr>
      <w:r w:rsidRPr="003B436E">
        <w:rPr>
          <w:rFonts w:ascii="Verdana" w:hAnsi="Verdana"/>
          <w:lang w:val="it-IT"/>
        </w:rPr>
        <w:t>Ibagué -Tolima, Colombia</w:t>
      </w:r>
    </w:p>
    <w:p w14:paraId="315D4E9A" w14:textId="77777777" w:rsidR="007E10FE" w:rsidRDefault="007E10FE" w:rsidP="007E10FE">
      <w:pPr>
        <w:spacing w:after="0" w:line="240" w:lineRule="auto"/>
        <w:rPr>
          <w:rFonts w:ascii="Verdana" w:hAnsi="Verdana"/>
          <w:lang w:val="it-IT"/>
        </w:rPr>
      </w:pPr>
    </w:p>
    <w:p w14:paraId="2A1E8A5F" w14:textId="77777777" w:rsidR="007E10FE" w:rsidRPr="003B436E" w:rsidRDefault="007E10FE" w:rsidP="003B436E">
      <w:pPr>
        <w:spacing w:after="0" w:line="240" w:lineRule="auto"/>
        <w:rPr>
          <w:rFonts w:ascii="Verdana" w:hAnsi="Verdana"/>
          <w:lang w:val="it-IT"/>
        </w:rPr>
      </w:pPr>
    </w:p>
    <w:p w14:paraId="5917DB6F" w14:textId="0636111C" w:rsidR="005A08E4" w:rsidRDefault="005A08E4" w:rsidP="003B436E">
      <w:pPr>
        <w:spacing w:after="0" w:line="240" w:lineRule="auto"/>
        <w:ind w:left="2124"/>
        <w:rPr>
          <w:rFonts w:ascii="Verdana" w:eastAsia="Calibri" w:hAnsi="Verdana" w:cs="Arial"/>
          <w:b/>
          <w:bCs/>
          <w:lang w:eastAsia="es-ES"/>
        </w:rPr>
      </w:pPr>
      <w:r w:rsidRPr="003B436E">
        <w:rPr>
          <w:rFonts w:ascii="Verdana" w:eastAsia="Calibri" w:hAnsi="Verdana" w:cs="Arial"/>
          <w:b/>
          <w:bCs/>
          <w:lang w:val="it-IT" w:eastAsia="es-ES"/>
        </w:rPr>
        <w:t xml:space="preserve">        </w:t>
      </w:r>
      <w:r w:rsidRPr="007E10FE">
        <w:rPr>
          <w:rFonts w:ascii="Verdana" w:eastAsia="Calibri" w:hAnsi="Verdana" w:cs="Arial"/>
          <w:b/>
          <w:bCs/>
          <w:lang w:eastAsia="es-ES"/>
        </w:rPr>
        <w:t xml:space="preserve">Concepto </w:t>
      </w:r>
      <w:r w:rsidR="00084DEC" w:rsidRPr="007E10FE">
        <w:rPr>
          <w:rFonts w:ascii="Verdana" w:eastAsia="Calibri" w:hAnsi="Verdana" w:cs="Arial"/>
          <w:b/>
          <w:bCs/>
          <w:lang w:eastAsia="es-ES"/>
        </w:rPr>
        <w:t xml:space="preserve">C-272 </w:t>
      </w:r>
      <w:r w:rsidRPr="007E10FE">
        <w:rPr>
          <w:rFonts w:ascii="Verdana" w:eastAsia="Calibri" w:hAnsi="Verdana" w:cs="Arial"/>
          <w:b/>
          <w:bCs/>
          <w:lang w:eastAsia="es-ES"/>
        </w:rPr>
        <w:t>de 2026</w:t>
      </w:r>
    </w:p>
    <w:p w14:paraId="219F1EDD" w14:textId="77777777" w:rsidR="00927A46" w:rsidRPr="007E10FE" w:rsidRDefault="00927A46" w:rsidP="003B436E">
      <w:pPr>
        <w:spacing w:after="0" w:line="240" w:lineRule="auto"/>
        <w:ind w:left="2124"/>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A08E4" w:rsidRPr="007E10FE" w14:paraId="5701408B" w14:textId="77777777">
        <w:trPr>
          <w:trHeight w:val="884"/>
        </w:trPr>
        <w:tc>
          <w:tcPr>
            <w:tcW w:w="2689" w:type="dxa"/>
          </w:tcPr>
          <w:p w14:paraId="034A1941" w14:textId="77777777" w:rsidR="005A08E4" w:rsidRPr="007E10FE" w:rsidRDefault="005A08E4" w:rsidP="003B436E">
            <w:pPr>
              <w:jc w:val="both"/>
              <w:rPr>
                <w:rFonts w:ascii="Verdana" w:eastAsia="Calibri" w:hAnsi="Verdana" w:cs="Arial"/>
                <w:color w:val="000000"/>
                <w:lang w:eastAsia="es-ES_tradnl"/>
              </w:rPr>
            </w:pPr>
            <w:r w:rsidRPr="007E10FE">
              <w:rPr>
                <w:rFonts w:ascii="Verdana" w:eastAsia="Calibri" w:hAnsi="Verdana" w:cs="Arial"/>
                <w:b/>
                <w:color w:val="000000"/>
                <w:lang w:eastAsia="es-ES_tradnl"/>
              </w:rPr>
              <w:t>Temas:</w:t>
            </w:r>
            <w:r w:rsidRPr="007E10FE">
              <w:rPr>
                <w:rFonts w:ascii="Verdana" w:eastAsia="Calibri" w:hAnsi="Verdana" w:cs="Arial"/>
                <w:color w:val="000000"/>
                <w:lang w:eastAsia="es-ES_tradnl"/>
              </w:rPr>
              <w:t xml:space="preserve">                   </w:t>
            </w:r>
          </w:p>
        </w:tc>
        <w:tc>
          <w:tcPr>
            <w:tcW w:w="6100" w:type="dxa"/>
          </w:tcPr>
          <w:p w14:paraId="796B7D77" w14:textId="77777777" w:rsidR="005A08E4" w:rsidRDefault="005A08E4" w:rsidP="007E10FE">
            <w:pPr>
              <w:jc w:val="both"/>
              <w:rPr>
                <w:rFonts w:ascii="Verdana" w:hAnsi="Verdana" w:cs="Arial"/>
                <w:color w:val="000000"/>
                <w:lang w:val="es-ES" w:eastAsia="es-ES"/>
              </w:rPr>
            </w:pPr>
            <w:r w:rsidRPr="007E10FE">
              <w:rPr>
                <w:rFonts w:ascii="Verdana" w:hAnsi="Verdana" w:cs="Arial"/>
                <w:color w:val="000000"/>
                <w:lang w:val="es-ES" w:eastAsia="es-ES"/>
              </w:rPr>
              <w:t>CONTRATO DE ARRENDAMIENTO – Concepto – Elementos – Regulación / CONTRATO DE ARRENDAMIENTO – Seguridad social – SEGURIDAD SOCIAL – Verificación – Pago – Persona natural – Persona Jurídica / CONTRATO DE ARRENDAMIENTO – Seguridad social – Rentistas de capital – Ingresos inferiores a un SMMLV</w:t>
            </w:r>
          </w:p>
          <w:p w14:paraId="3741164C" w14:textId="7A3159D3" w:rsidR="007E10FE" w:rsidRPr="007E10FE" w:rsidRDefault="007E10FE" w:rsidP="003B436E">
            <w:pPr>
              <w:jc w:val="both"/>
              <w:rPr>
                <w:rFonts w:ascii="Verdana" w:eastAsia="Calibri" w:hAnsi="Verdana" w:cs="Arial"/>
                <w:lang w:eastAsia="es-ES"/>
              </w:rPr>
            </w:pPr>
          </w:p>
        </w:tc>
      </w:tr>
      <w:tr w:rsidR="005A08E4" w:rsidRPr="007E10FE" w14:paraId="43B38AA2" w14:textId="77777777">
        <w:tc>
          <w:tcPr>
            <w:tcW w:w="2689" w:type="dxa"/>
          </w:tcPr>
          <w:p w14:paraId="6615F3A7" w14:textId="77777777" w:rsidR="005A08E4" w:rsidRPr="007E10FE" w:rsidRDefault="005A08E4" w:rsidP="003B436E">
            <w:pPr>
              <w:jc w:val="both"/>
              <w:rPr>
                <w:rFonts w:ascii="Verdana" w:eastAsia="Calibri" w:hAnsi="Verdana" w:cs="Arial"/>
                <w:b/>
                <w:lang w:eastAsia="es-ES_tradnl"/>
              </w:rPr>
            </w:pPr>
            <w:r w:rsidRPr="007E10FE">
              <w:rPr>
                <w:rFonts w:ascii="Verdana" w:eastAsia="Calibri" w:hAnsi="Verdana" w:cs="Arial"/>
                <w:b/>
                <w:lang w:eastAsia="es-ES_tradnl"/>
              </w:rPr>
              <w:t>Radicación:</w:t>
            </w:r>
            <w:r w:rsidRPr="007E10FE">
              <w:rPr>
                <w:rFonts w:ascii="Verdana" w:eastAsia="Calibri" w:hAnsi="Verdana" w:cs="Arial"/>
                <w:lang w:eastAsia="es-ES_tradnl"/>
              </w:rPr>
              <w:t xml:space="preserve">               </w:t>
            </w:r>
          </w:p>
        </w:tc>
        <w:tc>
          <w:tcPr>
            <w:tcW w:w="6100" w:type="dxa"/>
          </w:tcPr>
          <w:p w14:paraId="733141BB" w14:textId="5DA2F13F" w:rsidR="005A08E4" w:rsidRPr="007E10FE" w:rsidRDefault="005A08E4" w:rsidP="003B436E">
            <w:pPr>
              <w:jc w:val="both"/>
              <w:rPr>
                <w:rFonts w:ascii="Verdana" w:eastAsia="Calibri" w:hAnsi="Verdana" w:cs="Arial"/>
                <w:lang w:eastAsia="es-ES_tradnl"/>
              </w:rPr>
            </w:pPr>
            <w:r w:rsidRPr="007E10FE">
              <w:rPr>
                <w:rFonts w:ascii="Verdana" w:eastAsia="Calibri" w:hAnsi="Verdana" w:cs="Arial"/>
                <w:lang w:eastAsia="es-ES_tradnl"/>
              </w:rPr>
              <w:t xml:space="preserve">Respuesta a consultas con radicado No. </w:t>
            </w:r>
            <w:r w:rsidR="00EE7391" w:rsidRPr="007E10FE">
              <w:rPr>
                <w:rFonts w:ascii="Verdana" w:eastAsia="Calibri" w:hAnsi="Verdana" w:cs="Arial"/>
                <w:lang w:eastAsia="es-ES_tradnl"/>
              </w:rPr>
              <w:t>1_2026_02_22_002384</w:t>
            </w:r>
          </w:p>
        </w:tc>
      </w:tr>
    </w:tbl>
    <w:p w14:paraId="277C381C" w14:textId="77777777" w:rsidR="005A08E4" w:rsidRPr="007E10FE" w:rsidRDefault="005A08E4" w:rsidP="003B436E">
      <w:pPr>
        <w:spacing w:after="0" w:line="240" w:lineRule="auto"/>
        <w:jc w:val="both"/>
        <w:rPr>
          <w:rFonts w:ascii="Verdana" w:eastAsia="Calibri" w:hAnsi="Verdana" w:cs="Arial"/>
          <w:color w:val="000000"/>
          <w:lang w:eastAsia="es-ES_tradnl"/>
        </w:rPr>
      </w:pPr>
    </w:p>
    <w:p w14:paraId="730C799C" w14:textId="45782F9F" w:rsidR="005A08E4" w:rsidRPr="007E10FE" w:rsidRDefault="005A08E4" w:rsidP="003B436E">
      <w:pPr>
        <w:spacing w:after="0" w:line="276" w:lineRule="auto"/>
        <w:jc w:val="both"/>
        <w:rPr>
          <w:rFonts w:ascii="Verdana" w:eastAsia="Calibri" w:hAnsi="Verdana" w:cs="Arial"/>
          <w:color w:val="000000"/>
          <w:lang w:eastAsia="es-ES"/>
        </w:rPr>
      </w:pPr>
      <w:r w:rsidRPr="007E10FE">
        <w:rPr>
          <w:rFonts w:ascii="Verdana" w:eastAsia="Calibri" w:hAnsi="Verdana" w:cs="Arial"/>
          <w:lang w:eastAsia="es-ES"/>
        </w:rPr>
        <w:t xml:space="preserve">Estimado señor </w:t>
      </w:r>
      <w:r w:rsidR="00084DEC" w:rsidRPr="007E10FE">
        <w:rPr>
          <w:rFonts w:ascii="Verdana" w:eastAsia="Calibri" w:hAnsi="Verdana" w:cs="Arial"/>
          <w:lang w:eastAsia="es-ES"/>
        </w:rPr>
        <w:t>Patarroyo</w:t>
      </w:r>
      <w:r w:rsidRPr="007E10FE">
        <w:rPr>
          <w:rFonts w:ascii="Verdana" w:eastAsia="Calibri" w:hAnsi="Verdana" w:cs="Arial"/>
          <w:lang w:eastAsia="es-ES"/>
        </w:rPr>
        <w:t>,</w:t>
      </w:r>
      <w:r w:rsidRPr="007E10FE">
        <w:rPr>
          <w:rFonts w:ascii="Verdana" w:eastAsia="Calibri" w:hAnsi="Verdana" w:cs="Arial"/>
          <w:color w:val="000000"/>
          <w:lang w:eastAsia="es-ES"/>
        </w:rPr>
        <w:tab/>
      </w:r>
    </w:p>
    <w:p w14:paraId="505ABC9A" w14:textId="77777777" w:rsidR="007E10FE" w:rsidRDefault="007E10FE" w:rsidP="003B436E">
      <w:pPr>
        <w:spacing w:after="0" w:line="276" w:lineRule="auto"/>
        <w:jc w:val="both"/>
        <w:rPr>
          <w:rFonts w:ascii="Verdana" w:eastAsia="Calibri" w:hAnsi="Verdana" w:cs="Arial"/>
          <w:color w:val="000000"/>
          <w:lang w:eastAsia="es-ES"/>
        </w:rPr>
      </w:pPr>
    </w:p>
    <w:p w14:paraId="2A97F43C" w14:textId="43FA6DA8" w:rsidR="005A08E4" w:rsidRDefault="005A08E4" w:rsidP="007E10FE">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sidR="00F827A1">
        <w:rPr>
          <w:rFonts w:ascii="Verdana" w:eastAsia="Calibri" w:hAnsi="Verdana" w:cs="Arial"/>
          <w:color w:val="000000"/>
          <w:lang w:eastAsia="es-ES"/>
        </w:rPr>
        <w:t>22</w:t>
      </w:r>
      <w:r w:rsidRPr="00C15DD4">
        <w:rPr>
          <w:rFonts w:ascii="Verdana" w:eastAsia="Calibri" w:hAnsi="Verdana" w:cs="Arial"/>
          <w:color w:val="000000"/>
          <w:lang w:eastAsia="es-ES"/>
        </w:rPr>
        <w:t xml:space="preserve"> de </w:t>
      </w:r>
      <w:r w:rsidR="00F827A1">
        <w:rPr>
          <w:rFonts w:ascii="Verdana" w:eastAsia="Calibri" w:hAnsi="Verdana" w:cs="Arial"/>
          <w:color w:val="000000"/>
          <w:lang w:eastAsia="es-ES"/>
        </w:rPr>
        <w:t>febrero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1E568B5A" w14:textId="77777777" w:rsidR="007E10FE" w:rsidRPr="00E22DA7" w:rsidRDefault="007E10FE" w:rsidP="003B436E">
      <w:pPr>
        <w:spacing w:after="0" w:line="276" w:lineRule="auto"/>
        <w:jc w:val="both"/>
        <w:rPr>
          <w:rFonts w:ascii="Verdana" w:eastAsia="Calibri" w:hAnsi="Verdana" w:cs="Arial"/>
          <w:i/>
          <w:iCs/>
          <w:lang w:eastAsia="es-ES"/>
        </w:rPr>
      </w:pPr>
    </w:p>
    <w:p w14:paraId="06492D82" w14:textId="77777777" w:rsidR="005F55FD" w:rsidRPr="00E22DA7" w:rsidRDefault="005A08E4" w:rsidP="00B17250">
      <w:pPr>
        <w:spacing w:after="0" w:line="240" w:lineRule="auto"/>
        <w:ind w:left="709" w:right="709"/>
        <w:jc w:val="both"/>
        <w:rPr>
          <w:rFonts w:ascii="Verdana" w:eastAsia="Arial" w:hAnsi="Verdana" w:cs="Arial"/>
          <w:color w:val="000000"/>
          <w:sz w:val="20"/>
          <w:szCs w:val="20"/>
        </w:rPr>
      </w:pPr>
      <w:r w:rsidRPr="00E22DA7">
        <w:rPr>
          <w:rFonts w:ascii="Verdana" w:eastAsia="Arial" w:hAnsi="Verdana" w:cs="Arial"/>
          <w:color w:val="000000"/>
          <w:sz w:val="20"/>
          <w:szCs w:val="20"/>
        </w:rPr>
        <w:t>“</w:t>
      </w:r>
      <w:bookmarkEnd w:id="1"/>
      <w:r w:rsidR="00D26677" w:rsidRPr="00E22DA7">
        <w:rPr>
          <w:rFonts w:ascii="Verdana" w:eastAsia="Arial" w:hAnsi="Verdana" w:cs="Arial"/>
          <w:color w:val="000000"/>
          <w:sz w:val="20"/>
          <w:szCs w:val="20"/>
        </w:rPr>
        <w:t>El arrendador es el propietario o dueño que cede el uso de un inmueble</w:t>
      </w:r>
      <w:r w:rsidR="005F55FD" w:rsidRPr="00E22DA7">
        <w:rPr>
          <w:rFonts w:ascii="Verdana" w:eastAsia="Arial" w:hAnsi="Verdana" w:cs="Arial"/>
          <w:color w:val="000000"/>
          <w:sz w:val="20"/>
          <w:szCs w:val="20"/>
        </w:rPr>
        <w:t xml:space="preserve"> </w:t>
      </w:r>
      <w:r w:rsidR="00D26677" w:rsidRPr="00D26677">
        <w:rPr>
          <w:rFonts w:ascii="Verdana" w:eastAsia="Arial" w:hAnsi="Verdana" w:cs="Arial"/>
          <w:color w:val="000000"/>
          <w:sz w:val="20"/>
          <w:szCs w:val="20"/>
        </w:rPr>
        <w:t>(casa, local, etc.) en alquiler, recibiendo a cambio un pago mensual o</w:t>
      </w:r>
      <w:r w:rsidR="009838E8" w:rsidRPr="00E22DA7">
        <w:rPr>
          <w:rFonts w:ascii="Verdana" w:eastAsia="Arial" w:hAnsi="Verdana" w:cs="Arial"/>
          <w:color w:val="000000"/>
          <w:sz w:val="20"/>
          <w:szCs w:val="20"/>
        </w:rPr>
        <w:t xml:space="preserve"> </w:t>
      </w:r>
      <w:r w:rsidR="00D26677" w:rsidRPr="00D26677">
        <w:rPr>
          <w:rFonts w:ascii="Verdana" w:eastAsia="Arial" w:hAnsi="Verdana" w:cs="Arial"/>
          <w:color w:val="000000"/>
          <w:sz w:val="20"/>
          <w:szCs w:val="20"/>
        </w:rPr>
        <w:t>canon de arrendamiento. El arrendatario es el inquilino o persona que</w:t>
      </w:r>
      <w:r w:rsidR="009838E8" w:rsidRPr="00E22DA7">
        <w:rPr>
          <w:rFonts w:ascii="Verdana" w:eastAsia="Arial" w:hAnsi="Verdana" w:cs="Arial"/>
          <w:color w:val="000000"/>
          <w:sz w:val="20"/>
          <w:szCs w:val="20"/>
        </w:rPr>
        <w:t xml:space="preserve"> </w:t>
      </w:r>
      <w:r w:rsidR="00D26677" w:rsidRPr="00D26677">
        <w:rPr>
          <w:rFonts w:ascii="Verdana" w:eastAsia="Arial" w:hAnsi="Verdana" w:cs="Arial"/>
          <w:color w:val="000000"/>
          <w:sz w:val="20"/>
          <w:szCs w:val="20"/>
        </w:rPr>
        <w:t>paga por ese derecho a habitar o utilizar el bien durante un tiempo</w:t>
      </w:r>
      <w:r w:rsidR="009838E8" w:rsidRPr="00E22DA7">
        <w:rPr>
          <w:rFonts w:ascii="Verdana" w:eastAsia="Arial" w:hAnsi="Verdana" w:cs="Arial"/>
          <w:color w:val="000000"/>
          <w:sz w:val="20"/>
          <w:szCs w:val="20"/>
        </w:rPr>
        <w:t xml:space="preserve"> </w:t>
      </w:r>
      <w:r w:rsidR="00D26677" w:rsidRPr="00D26677">
        <w:rPr>
          <w:rFonts w:ascii="Verdana" w:eastAsia="Arial" w:hAnsi="Verdana" w:cs="Arial"/>
          <w:color w:val="000000"/>
          <w:sz w:val="20"/>
          <w:szCs w:val="20"/>
        </w:rPr>
        <w:t xml:space="preserve">determinado, </w:t>
      </w:r>
      <w:proofErr w:type="spellStart"/>
      <w:r w:rsidR="00D26677" w:rsidRPr="00D26677">
        <w:rPr>
          <w:rFonts w:ascii="Verdana" w:eastAsia="Arial" w:hAnsi="Verdana" w:cs="Arial"/>
          <w:color w:val="000000"/>
          <w:sz w:val="20"/>
          <w:szCs w:val="20"/>
        </w:rPr>
        <w:t>asi</w:t>
      </w:r>
      <w:proofErr w:type="spellEnd"/>
      <w:r w:rsidR="00D26677" w:rsidRPr="00D26677">
        <w:rPr>
          <w:rFonts w:ascii="Verdana" w:eastAsia="Arial" w:hAnsi="Verdana" w:cs="Arial"/>
          <w:color w:val="000000"/>
          <w:sz w:val="20"/>
          <w:szCs w:val="20"/>
        </w:rPr>
        <w:t xml:space="preserve"> las cosas EL ARREDANDOR es el ESTADO y el</w:t>
      </w:r>
      <w:r w:rsidR="009838E8" w:rsidRPr="00E22DA7">
        <w:rPr>
          <w:rFonts w:ascii="Verdana" w:eastAsia="Arial" w:hAnsi="Verdana" w:cs="Arial"/>
          <w:color w:val="000000"/>
          <w:sz w:val="20"/>
          <w:szCs w:val="20"/>
        </w:rPr>
        <w:t xml:space="preserve"> </w:t>
      </w:r>
      <w:r w:rsidR="00D26677" w:rsidRPr="00D26677">
        <w:rPr>
          <w:rFonts w:ascii="Verdana" w:eastAsia="Arial" w:hAnsi="Verdana" w:cs="Arial"/>
          <w:color w:val="000000"/>
          <w:sz w:val="20"/>
          <w:szCs w:val="20"/>
        </w:rPr>
        <w:t>ARRENDATARIO un particular</w:t>
      </w:r>
      <w:r w:rsidR="009838E8" w:rsidRPr="00E22DA7">
        <w:rPr>
          <w:rFonts w:ascii="Verdana" w:eastAsia="Arial" w:hAnsi="Verdana" w:cs="Arial"/>
          <w:color w:val="000000"/>
          <w:sz w:val="20"/>
          <w:szCs w:val="20"/>
        </w:rPr>
        <w:t xml:space="preserve"> </w:t>
      </w:r>
    </w:p>
    <w:p w14:paraId="15A86D93" w14:textId="29123445" w:rsidR="00D26677" w:rsidRPr="00D26677" w:rsidRDefault="00D26677" w:rsidP="00B17250">
      <w:pPr>
        <w:spacing w:after="0" w:line="240" w:lineRule="auto"/>
        <w:ind w:left="709" w:right="709"/>
        <w:jc w:val="both"/>
        <w:rPr>
          <w:rFonts w:ascii="Verdana" w:eastAsia="Arial" w:hAnsi="Verdana" w:cs="Arial"/>
          <w:color w:val="000000"/>
          <w:sz w:val="20"/>
          <w:szCs w:val="20"/>
        </w:rPr>
      </w:pPr>
      <w:r w:rsidRPr="00D26677">
        <w:rPr>
          <w:rFonts w:ascii="Verdana" w:eastAsia="Arial" w:hAnsi="Verdana" w:cs="Arial"/>
          <w:color w:val="000000"/>
          <w:sz w:val="20"/>
          <w:szCs w:val="20"/>
        </w:rPr>
        <w:t xml:space="preserve">1. </w:t>
      </w:r>
      <w:proofErr w:type="gramStart"/>
      <w:r w:rsidRPr="00D26677">
        <w:rPr>
          <w:rFonts w:ascii="Verdana" w:eastAsia="Arial" w:hAnsi="Verdana" w:cs="Arial"/>
          <w:color w:val="000000"/>
          <w:sz w:val="20"/>
          <w:szCs w:val="20"/>
        </w:rPr>
        <w:t xml:space="preserve">En vigencia de la ley de </w:t>
      </w:r>
      <w:proofErr w:type="spellStart"/>
      <w:r w:rsidRPr="00D26677">
        <w:rPr>
          <w:rFonts w:ascii="Verdana" w:eastAsia="Arial" w:hAnsi="Verdana" w:cs="Arial"/>
          <w:color w:val="000000"/>
          <w:sz w:val="20"/>
          <w:szCs w:val="20"/>
        </w:rPr>
        <w:t>Garantias</w:t>
      </w:r>
      <w:proofErr w:type="spellEnd"/>
      <w:r w:rsidRPr="00D26677">
        <w:rPr>
          <w:rFonts w:ascii="Verdana" w:eastAsia="Arial" w:hAnsi="Verdana" w:cs="Arial"/>
          <w:color w:val="000000"/>
          <w:sz w:val="20"/>
          <w:szCs w:val="20"/>
        </w:rPr>
        <w:t>, La entidad debe realizar una</w:t>
      </w:r>
      <w:r w:rsidR="005F55FD" w:rsidRPr="00E22DA7">
        <w:rPr>
          <w:rFonts w:ascii="Verdana" w:eastAsia="Arial" w:hAnsi="Verdana" w:cs="Arial"/>
          <w:color w:val="000000"/>
          <w:sz w:val="20"/>
          <w:szCs w:val="20"/>
        </w:rPr>
        <w:t xml:space="preserve"> </w:t>
      </w:r>
      <w:r w:rsidRPr="00D26677">
        <w:rPr>
          <w:rFonts w:ascii="Verdana" w:eastAsia="Arial" w:hAnsi="Verdana" w:cs="Arial"/>
          <w:color w:val="000000"/>
          <w:sz w:val="20"/>
          <w:szCs w:val="20"/>
        </w:rPr>
        <w:t xml:space="preserve">convocatoria y el procedimiento a tomar es conforme a la </w:t>
      </w:r>
      <w:proofErr w:type="spellStart"/>
      <w:r w:rsidRPr="00D26677">
        <w:rPr>
          <w:rFonts w:ascii="Verdana" w:eastAsia="Arial" w:hAnsi="Verdana" w:cs="Arial"/>
          <w:color w:val="000000"/>
          <w:sz w:val="20"/>
          <w:szCs w:val="20"/>
        </w:rPr>
        <w:t>cuantia</w:t>
      </w:r>
      <w:proofErr w:type="spellEnd"/>
      <w:r w:rsidRPr="00D26677">
        <w:rPr>
          <w:rFonts w:ascii="Verdana" w:eastAsia="Arial" w:hAnsi="Verdana" w:cs="Arial"/>
          <w:color w:val="000000"/>
          <w:sz w:val="20"/>
          <w:szCs w:val="20"/>
        </w:rPr>
        <w:t xml:space="preserve"> del</w:t>
      </w:r>
      <w:r w:rsidR="005F55FD" w:rsidRPr="00E22DA7">
        <w:rPr>
          <w:rFonts w:ascii="Verdana" w:eastAsia="Arial" w:hAnsi="Verdana" w:cs="Arial"/>
          <w:color w:val="000000"/>
          <w:sz w:val="20"/>
          <w:szCs w:val="20"/>
        </w:rPr>
        <w:t xml:space="preserve"> </w:t>
      </w:r>
      <w:r w:rsidRPr="00D26677">
        <w:rPr>
          <w:rFonts w:ascii="Verdana" w:eastAsia="Arial" w:hAnsi="Verdana" w:cs="Arial"/>
          <w:color w:val="000000"/>
          <w:sz w:val="20"/>
          <w:szCs w:val="20"/>
        </w:rPr>
        <w:t xml:space="preserve">canon de </w:t>
      </w:r>
      <w:proofErr w:type="spellStart"/>
      <w:r w:rsidRPr="00D26677">
        <w:rPr>
          <w:rFonts w:ascii="Verdana" w:eastAsia="Arial" w:hAnsi="Verdana" w:cs="Arial"/>
          <w:color w:val="000000"/>
          <w:sz w:val="20"/>
          <w:szCs w:val="20"/>
        </w:rPr>
        <w:t>arredamiento</w:t>
      </w:r>
      <w:proofErr w:type="spellEnd"/>
      <w:r w:rsidRPr="00D26677">
        <w:rPr>
          <w:rFonts w:ascii="Verdana" w:eastAsia="Arial" w:hAnsi="Verdana" w:cs="Arial"/>
          <w:color w:val="000000"/>
          <w:sz w:val="20"/>
          <w:szCs w:val="20"/>
        </w:rPr>
        <w:t>?</w:t>
      </w:r>
      <w:proofErr w:type="gramEnd"/>
    </w:p>
    <w:p w14:paraId="79804C88" w14:textId="77777777" w:rsidR="00D26677" w:rsidRPr="00D26677" w:rsidRDefault="00D26677" w:rsidP="00B17250">
      <w:pPr>
        <w:spacing w:after="0" w:line="240" w:lineRule="auto"/>
        <w:ind w:left="709" w:right="709"/>
        <w:jc w:val="both"/>
        <w:rPr>
          <w:rFonts w:ascii="Verdana" w:eastAsia="Arial" w:hAnsi="Verdana" w:cs="Arial"/>
          <w:color w:val="000000"/>
          <w:sz w:val="20"/>
          <w:szCs w:val="20"/>
        </w:rPr>
      </w:pPr>
      <w:r w:rsidRPr="00D26677">
        <w:rPr>
          <w:rFonts w:ascii="Verdana" w:eastAsia="Arial" w:hAnsi="Verdana" w:cs="Arial"/>
          <w:color w:val="000000"/>
          <w:sz w:val="20"/>
          <w:szCs w:val="20"/>
        </w:rPr>
        <w:t xml:space="preserve">2.Se le debe exigir el pago de seguridad social al </w:t>
      </w:r>
      <w:proofErr w:type="spellStart"/>
      <w:r w:rsidRPr="00D26677">
        <w:rPr>
          <w:rFonts w:ascii="Verdana" w:eastAsia="Arial" w:hAnsi="Verdana" w:cs="Arial"/>
          <w:color w:val="000000"/>
          <w:sz w:val="20"/>
          <w:szCs w:val="20"/>
        </w:rPr>
        <w:t>arredatario</w:t>
      </w:r>
      <w:proofErr w:type="spellEnd"/>
      <w:r w:rsidRPr="00D26677">
        <w:rPr>
          <w:rFonts w:ascii="Verdana" w:eastAsia="Arial" w:hAnsi="Verdana" w:cs="Arial"/>
          <w:color w:val="000000"/>
          <w:sz w:val="20"/>
          <w:szCs w:val="20"/>
        </w:rPr>
        <w:t xml:space="preserve"> (el que toma</w:t>
      </w:r>
    </w:p>
    <w:p w14:paraId="4A04FD15" w14:textId="77777777" w:rsidR="00D26677" w:rsidRPr="00D26677" w:rsidRDefault="00D26677" w:rsidP="00B17250">
      <w:pPr>
        <w:spacing w:after="0" w:line="240" w:lineRule="auto"/>
        <w:ind w:left="709" w:right="709"/>
        <w:jc w:val="both"/>
        <w:rPr>
          <w:rFonts w:ascii="Verdana" w:eastAsia="Arial" w:hAnsi="Verdana" w:cs="Arial"/>
          <w:color w:val="000000"/>
          <w:sz w:val="20"/>
          <w:szCs w:val="20"/>
        </w:rPr>
      </w:pPr>
      <w:r w:rsidRPr="00D26677">
        <w:rPr>
          <w:rFonts w:ascii="Verdana" w:eastAsia="Arial" w:hAnsi="Verdana" w:cs="Arial"/>
          <w:color w:val="000000"/>
          <w:sz w:val="20"/>
          <w:szCs w:val="20"/>
        </w:rPr>
        <w:t xml:space="preserve">el bien del Estado) a la firma del contrato de </w:t>
      </w:r>
      <w:proofErr w:type="spellStart"/>
      <w:r w:rsidRPr="00D26677">
        <w:rPr>
          <w:rFonts w:ascii="Verdana" w:eastAsia="Arial" w:hAnsi="Verdana" w:cs="Arial"/>
          <w:color w:val="000000"/>
          <w:sz w:val="20"/>
          <w:szCs w:val="20"/>
        </w:rPr>
        <w:t>arredamiento</w:t>
      </w:r>
      <w:proofErr w:type="spellEnd"/>
      <w:r w:rsidRPr="00D26677">
        <w:rPr>
          <w:rFonts w:ascii="Verdana" w:eastAsia="Arial" w:hAnsi="Verdana" w:cs="Arial"/>
          <w:color w:val="000000"/>
          <w:sz w:val="20"/>
          <w:szCs w:val="20"/>
        </w:rPr>
        <w:t>.</w:t>
      </w:r>
    </w:p>
    <w:p w14:paraId="3C6DFC40" w14:textId="77777777" w:rsidR="00D26677" w:rsidRPr="00D26677" w:rsidRDefault="00D26677" w:rsidP="00B17250">
      <w:pPr>
        <w:spacing w:after="0" w:line="240" w:lineRule="auto"/>
        <w:ind w:left="709" w:right="709"/>
        <w:jc w:val="both"/>
        <w:rPr>
          <w:rFonts w:ascii="Verdana" w:eastAsia="Arial" w:hAnsi="Verdana" w:cs="Arial"/>
          <w:color w:val="000000"/>
          <w:sz w:val="20"/>
          <w:szCs w:val="20"/>
        </w:rPr>
      </w:pPr>
      <w:r w:rsidRPr="00D26677">
        <w:rPr>
          <w:rFonts w:ascii="Verdana" w:eastAsia="Arial" w:hAnsi="Verdana" w:cs="Arial"/>
          <w:color w:val="000000"/>
          <w:sz w:val="20"/>
          <w:szCs w:val="20"/>
        </w:rPr>
        <w:t xml:space="preserve">3. Como se calcula si los ingresos del </w:t>
      </w:r>
      <w:proofErr w:type="spellStart"/>
      <w:r w:rsidRPr="00D26677">
        <w:rPr>
          <w:rFonts w:ascii="Verdana" w:eastAsia="Arial" w:hAnsi="Verdana" w:cs="Arial"/>
          <w:color w:val="000000"/>
          <w:sz w:val="20"/>
          <w:szCs w:val="20"/>
        </w:rPr>
        <w:t>arredatario</w:t>
      </w:r>
      <w:proofErr w:type="spellEnd"/>
      <w:r w:rsidRPr="00D26677">
        <w:rPr>
          <w:rFonts w:ascii="Verdana" w:eastAsia="Arial" w:hAnsi="Verdana" w:cs="Arial"/>
          <w:color w:val="000000"/>
          <w:sz w:val="20"/>
          <w:szCs w:val="20"/>
        </w:rPr>
        <w:t xml:space="preserve"> son inferiores al salario</w:t>
      </w:r>
    </w:p>
    <w:p w14:paraId="7AFD938D" w14:textId="24C4B42F" w:rsidR="005A08E4" w:rsidRDefault="00D26677" w:rsidP="00B17250">
      <w:pPr>
        <w:spacing w:after="0" w:line="240" w:lineRule="auto"/>
        <w:ind w:left="709" w:right="709"/>
        <w:jc w:val="both"/>
        <w:rPr>
          <w:rFonts w:ascii="Verdana" w:eastAsia="Calibri" w:hAnsi="Verdana" w:cs="Times New Roman"/>
          <w:iCs/>
          <w:sz w:val="20"/>
          <w:szCs w:val="20"/>
        </w:rPr>
      </w:pPr>
      <w:proofErr w:type="spellStart"/>
      <w:r w:rsidRPr="00E22DA7">
        <w:rPr>
          <w:rFonts w:ascii="Verdana" w:eastAsia="Arial" w:hAnsi="Verdana" w:cs="Arial"/>
          <w:color w:val="000000"/>
          <w:sz w:val="20"/>
          <w:szCs w:val="20"/>
        </w:rPr>
        <w:lastRenderedPageBreak/>
        <w:t>minimo</w:t>
      </w:r>
      <w:proofErr w:type="spellEnd"/>
      <w:r w:rsidR="005A08E4" w:rsidRPr="00E22DA7">
        <w:rPr>
          <w:rFonts w:ascii="Verdana" w:eastAsia="Calibri" w:hAnsi="Verdana" w:cs="Times New Roman"/>
          <w:iCs/>
          <w:sz w:val="20"/>
          <w:szCs w:val="20"/>
        </w:rPr>
        <w:t>”.</w:t>
      </w:r>
      <w:r w:rsidR="005F55FD" w:rsidRPr="00E22DA7">
        <w:rPr>
          <w:rFonts w:ascii="Verdana" w:eastAsia="Calibri" w:hAnsi="Verdana" w:cs="Times New Roman"/>
          <w:iCs/>
          <w:sz w:val="20"/>
          <w:szCs w:val="20"/>
        </w:rPr>
        <w:t xml:space="preserve"> SIC</w:t>
      </w:r>
    </w:p>
    <w:p w14:paraId="1DBBDF7A" w14:textId="77777777" w:rsidR="00B17250" w:rsidRPr="00C15DD4" w:rsidRDefault="00B17250" w:rsidP="003B436E">
      <w:pPr>
        <w:spacing w:after="0" w:line="240" w:lineRule="auto"/>
        <w:ind w:left="709" w:right="709"/>
        <w:jc w:val="both"/>
        <w:rPr>
          <w:rFonts w:ascii="Verdana" w:eastAsia="Aptos" w:hAnsi="Verdana" w:cs="Times New Roman"/>
          <w:kern w:val="2"/>
          <w14:ligatures w14:val="standardContextual"/>
        </w:rPr>
      </w:pPr>
    </w:p>
    <w:p w14:paraId="6D127491" w14:textId="77777777" w:rsidR="005A08E4" w:rsidRPr="00C15DD4" w:rsidRDefault="005A08E4" w:rsidP="005A08E4">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6B8F463E" w14:textId="42FD1D3C" w:rsidR="005A08E4" w:rsidRDefault="005A08E4" w:rsidP="00B17250">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3EAEC8CB" w14:textId="77777777" w:rsidR="00B17250" w:rsidRPr="007A223A" w:rsidRDefault="00B17250" w:rsidP="003B436E">
      <w:pPr>
        <w:spacing w:after="0" w:line="276" w:lineRule="auto"/>
        <w:ind w:firstLine="709"/>
        <w:jc w:val="both"/>
        <w:rPr>
          <w:rFonts w:ascii="Verdana" w:eastAsia="Calibri" w:hAnsi="Verdana" w:cs="Arial"/>
          <w:b/>
          <w:bCs/>
          <w:color w:val="000000"/>
          <w:lang w:eastAsia="es-ES"/>
        </w:rPr>
      </w:pPr>
    </w:p>
    <w:p w14:paraId="35DC8425" w14:textId="77E26265" w:rsidR="005A08E4" w:rsidRPr="003B436E" w:rsidRDefault="005A08E4">
      <w:pPr>
        <w:pStyle w:val="Prrafodelista"/>
        <w:numPr>
          <w:ilvl w:val="0"/>
          <w:numId w:val="24"/>
        </w:numPr>
        <w:tabs>
          <w:tab w:val="left" w:pos="426"/>
        </w:tabs>
        <w:spacing w:after="0" w:line="276" w:lineRule="auto"/>
        <w:jc w:val="both"/>
        <w:rPr>
          <w:rFonts w:ascii="Verdana" w:eastAsia="Century Gothic" w:hAnsi="Verdana" w:cs="Century Gothic"/>
        </w:rPr>
      </w:pPr>
      <w:r w:rsidRPr="00291D9A">
        <w:rPr>
          <w:rFonts w:ascii="Verdana" w:eastAsia="Calibri" w:hAnsi="Verdana" w:cs="Arial"/>
          <w:b/>
          <w:bCs/>
          <w:color w:val="000000"/>
          <w:lang w:eastAsia="es-ES"/>
        </w:rPr>
        <w:t>Problema planteado:</w:t>
      </w:r>
    </w:p>
    <w:p w14:paraId="42E5BBEB" w14:textId="77777777" w:rsidR="00013E91" w:rsidRPr="00291D9A" w:rsidRDefault="00013E91" w:rsidP="003B436E">
      <w:pPr>
        <w:pStyle w:val="Prrafodelista"/>
        <w:tabs>
          <w:tab w:val="left" w:pos="426"/>
        </w:tabs>
        <w:spacing w:after="0" w:line="276" w:lineRule="auto"/>
        <w:jc w:val="both"/>
        <w:rPr>
          <w:rFonts w:ascii="Verdana" w:eastAsia="Century Gothic" w:hAnsi="Verdana" w:cs="Century Gothic"/>
        </w:rPr>
      </w:pPr>
    </w:p>
    <w:p w14:paraId="3EA3F91B" w14:textId="3A50CF37" w:rsidR="005A08E4" w:rsidRDefault="005A08E4" w:rsidP="00B17250">
      <w:pPr>
        <w:snapToGrid w:val="0"/>
        <w:spacing w:after="0" w:line="276" w:lineRule="auto"/>
        <w:jc w:val="both"/>
        <w:rPr>
          <w:rFonts w:ascii="Verdana" w:eastAsia="Century Gothic" w:hAnsi="Verdana" w:cs="Century Gothic"/>
        </w:rPr>
      </w:pPr>
      <w:r w:rsidRPr="00C15DD4">
        <w:rPr>
          <w:rFonts w:ascii="Verdana" w:eastAsia="Century Gothic" w:hAnsi="Verdana" w:cs="Century Gothic"/>
        </w:rPr>
        <w:t>De acuerdo con el contenido de su solicitud, esta Agencia resolverá los siguientes problemas jurídicos:</w:t>
      </w:r>
      <w:r w:rsidR="00E22DA7">
        <w:rPr>
          <w:rFonts w:ascii="Verdana" w:eastAsia="Century Gothic" w:hAnsi="Verdana" w:cs="Century Gothic"/>
        </w:rPr>
        <w:t xml:space="preserve"> i.</w:t>
      </w:r>
      <w:r w:rsidRPr="00C15DD4">
        <w:rPr>
          <w:rFonts w:ascii="Verdana" w:eastAsia="Century Gothic" w:hAnsi="Verdana" w:cs="Century Gothic"/>
        </w:rPr>
        <w:t xml:space="preserve"> </w:t>
      </w:r>
      <w:r w:rsidR="004C7C3F" w:rsidRPr="004C7C3F">
        <w:rPr>
          <w:rFonts w:ascii="Verdana" w:eastAsia="Century Gothic" w:hAnsi="Verdana" w:cs="Century Gothic"/>
        </w:rPr>
        <w:t>¿Cuál es la modalidad de selección aplicable cuando una Entidad Estatal requiere celebrar un contrato de arrendamiento de un bien inmueble</w:t>
      </w:r>
      <w:r w:rsidR="00013E91">
        <w:rPr>
          <w:rFonts w:ascii="Verdana" w:eastAsia="Century Gothic" w:hAnsi="Verdana" w:cs="Century Gothic"/>
        </w:rPr>
        <w:t xml:space="preserve"> en el marco de la Ley de Garantías Electorales</w:t>
      </w:r>
      <w:r w:rsidR="004C7C3F">
        <w:rPr>
          <w:rFonts w:ascii="Verdana" w:eastAsia="Century Gothic" w:hAnsi="Verdana" w:cs="Century Gothic"/>
        </w:rPr>
        <w:t xml:space="preserve">? </w:t>
      </w:r>
      <w:r w:rsidR="00E22DA7">
        <w:rPr>
          <w:rFonts w:ascii="Verdana" w:eastAsia="Aptos" w:hAnsi="Verdana" w:cs="Times New Roman"/>
        </w:rPr>
        <w:t xml:space="preserve">ii. </w:t>
      </w:r>
      <w:r w:rsidR="00B111E1" w:rsidRPr="006102F9">
        <w:rPr>
          <w:rFonts w:ascii="Verdana" w:eastAsia="Century Gothic" w:hAnsi="Verdana" w:cs="Century Gothic"/>
        </w:rPr>
        <w:t>¿Una persona natural que arrienda un bien inmueble a una entidad del Estado tiene la obligación de realizar aportes al Sistema de Seguridad Social Integral salud, pensiones y parafiscales</w:t>
      </w:r>
      <w:r w:rsidR="00B111E1">
        <w:rPr>
          <w:rFonts w:ascii="Verdana" w:eastAsia="Century Gothic" w:hAnsi="Verdana" w:cs="Century Gothic"/>
        </w:rPr>
        <w:t>?</w:t>
      </w:r>
    </w:p>
    <w:p w14:paraId="69D3E568" w14:textId="77777777" w:rsidR="00B17250" w:rsidRPr="00C15DD4" w:rsidRDefault="00B17250" w:rsidP="003B436E">
      <w:pPr>
        <w:snapToGrid w:val="0"/>
        <w:spacing w:after="0" w:line="276" w:lineRule="auto"/>
        <w:jc w:val="both"/>
        <w:rPr>
          <w:rFonts w:ascii="Verdana" w:eastAsia="Calibri" w:hAnsi="Verdana" w:cs="Arial"/>
          <w:color w:val="7030A0"/>
        </w:rPr>
      </w:pPr>
    </w:p>
    <w:p w14:paraId="76112D07" w14:textId="0C79481F" w:rsidR="005A08E4" w:rsidRPr="003B436E" w:rsidRDefault="005A08E4" w:rsidP="00B17250">
      <w:pPr>
        <w:pStyle w:val="Prrafodelista"/>
        <w:numPr>
          <w:ilvl w:val="0"/>
          <w:numId w:val="24"/>
        </w:numPr>
        <w:tabs>
          <w:tab w:val="left" w:pos="142"/>
          <w:tab w:val="left" w:pos="284"/>
        </w:tabs>
        <w:spacing w:after="0" w:line="276" w:lineRule="auto"/>
        <w:jc w:val="both"/>
        <w:rPr>
          <w:rFonts w:ascii="Verdana" w:eastAsia="Century Gothic" w:hAnsi="Verdana" w:cs="Century Gothic"/>
          <w:b/>
          <w:bCs/>
        </w:rPr>
      </w:pPr>
      <w:r w:rsidRPr="00291D9A">
        <w:rPr>
          <w:rFonts w:ascii="Verdana" w:eastAsia="Calibri" w:hAnsi="Verdana" w:cs="Arial"/>
          <w:b/>
          <w:bCs/>
          <w:color w:val="000000"/>
          <w:lang w:eastAsia="es-ES"/>
        </w:rPr>
        <w:t>Respuestas:</w:t>
      </w:r>
    </w:p>
    <w:p w14:paraId="17440A83" w14:textId="77777777" w:rsidR="00B17250" w:rsidRPr="00291D9A" w:rsidRDefault="00B17250" w:rsidP="003B436E">
      <w:pPr>
        <w:pStyle w:val="Prrafodelista"/>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494"/>
      </w:tblGrid>
      <w:tr w:rsidR="005A08E4" w:rsidRPr="00C15DD4" w14:paraId="3B3E47AA" w14:textId="77777777">
        <w:trPr>
          <w:jc w:val="center"/>
        </w:trPr>
        <w:tc>
          <w:tcPr>
            <w:tcW w:w="8828" w:type="dxa"/>
          </w:tcPr>
          <w:p w14:paraId="159125F3" w14:textId="2CC09BB7" w:rsidR="00013E91" w:rsidRPr="00D77DEE" w:rsidRDefault="00013E91" w:rsidP="003B436E">
            <w:pPr>
              <w:pStyle w:val="Textoindependiente"/>
              <w:tabs>
                <w:tab w:val="left" w:pos="6225"/>
              </w:tabs>
              <w:spacing w:after="120" w:line="276" w:lineRule="auto"/>
              <w:ind w:firstLine="0"/>
              <w:jc w:val="both"/>
              <w:rPr>
                <w:rFonts w:eastAsia="Calibri" w:cs="Arial"/>
                <w:bCs/>
                <w:szCs w:val="24"/>
                <w:lang w:eastAsia="es-ES_tradnl"/>
              </w:rPr>
            </w:pPr>
            <w:bookmarkStart w:id="2" w:name="_Hlk171694685"/>
            <w:r>
              <w:t xml:space="preserve">i. </w:t>
            </w:r>
            <w:r w:rsidRPr="00D77DEE">
              <w:rPr>
                <w:rFonts w:eastAsia="Calibri" w:cs="Arial"/>
                <w:bCs/>
                <w:szCs w:val="24"/>
                <w:lang w:eastAsia="es-ES_tradnl"/>
              </w:rPr>
              <w:t>Resulta pertinente señalar que</w:t>
            </w:r>
            <w:r>
              <w:rPr>
                <w:rFonts w:eastAsia="Calibri" w:cs="Arial"/>
                <w:bCs/>
                <w:szCs w:val="24"/>
                <w:lang w:eastAsia="es-ES_tradnl"/>
              </w:rPr>
              <w:t>,</w:t>
            </w:r>
            <w:r w:rsidRPr="00D77DEE">
              <w:rPr>
                <w:rFonts w:eastAsia="Calibri" w:cs="Arial"/>
                <w:bCs/>
                <w:szCs w:val="24"/>
                <w:lang w:eastAsia="es-ES_tradnl"/>
              </w:rPr>
              <w:t xml:space="preserve"> </w:t>
            </w:r>
            <w:r w:rsidRPr="00CE01E2">
              <w:rPr>
                <w:rFonts w:eastAsia="Calibri" w:cs="Arial"/>
                <w:bCs/>
                <w:szCs w:val="24"/>
                <w:lang w:eastAsia="es-ES_tradnl"/>
              </w:rPr>
              <w:t xml:space="preserve">la Ley de Garantías Electorales </w:t>
            </w:r>
            <w:r w:rsidRPr="000D3AA1">
              <w:rPr>
                <w:rFonts w:eastAsia="Calibri" w:cs="Arial"/>
                <w:bCs/>
                <w:szCs w:val="24"/>
                <w:lang w:eastAsia="es-ES_tradnl"/>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7C69A6A7" w14:textId="77777777" w:rsidR="00013E91" w:rsidRDefault="00013E91" w:rsidP="00013E91">
            <w:pPr>
              <w:pStyle w:val="Textoindependiente"/>
              <w:tabs>
                <w:tab w:val="left" w:pos="6225"/>
              </w:tabs>
              <w:spacing w:line="276" w:lineRule="auto"/>
              <w:jc w:val="both"/>
              <w:rPr>
                <w:rFonts w:eastAsia="Calibri" w:cs="Arial"/>
                <w:bCs/>
                <w:szCs w:val="24"/>
                <w:lang w:eastAsia="es-ES_tradnl"/>
              </w:rPr>
            </w:pPr>
            <w:r>
              <w:rPr>
                <w:rFonts w:eastAsia="Calibri" w:cs="Arial"/>
                <w:bCs/>
                <w:szCs w:val="24"/>
                <w:lang w:eastAsia="es-ES_tradnl"/>
              </w:rPr>
              <w:lastRenderedPageBreak/>
              <w:t>Particularmente</w:t>
            </w:r>
            <w:r w:rsidRPr="00240BCA">
              <w:rPr>
                <w:rFonts w:eastAsia="Calibri" w:cs="Arial"/>
                <w:bCs/>
                <w:szCs w:val="24"/>
                <w:lang w:eastAsia="es-ES_tradnl"/>
              </w:rPr>
              <w:t xml:space="preserve">, el artículo 33 de la Ley 996 de 2005 establece que, durante los cuatro (4) meses anteriores a la elección presidencial y hasta la realización de la segunda vuelta, si fuere el caso, queda prohibida la </w:t>
            </w:r>
            <w:r w:rsidRPr="000E6C92">
              <w:rPr>
                <w:rFonts w:eastAsia="Calibri" w:cs="Arial"/>
                <w:bCs/>
                <w:i/>
                <w:iCs/>
                <w:szCs w:val="24"/>
                <w:lang w:eastAsia="es-ES_tradnl"/>
              </w:rPr>
              <w:t>contratación directa por parte de todos los entes del Estado</w:t>
            </w:r>
            <w:r w:rsidRPr="00240BCA">
              <w:rPr>
                <w:rFonts w:eastAsia="Calibri" w:cs="Arial"/>
                <w:bCs/>
                <w:szCs w:val="24"/>
                <w:lang w:eastAsia="es-ES_tradnl"/>
              </w:rPr>
              <w:t xml:space="preserve">. </w:t>
            </w:r>
          </w:p>
          <w:p w14:paraId="7C2B4A87" w14:textId="77777777" w:rsidR="00013E91" w:rsidRPr="00F43CC7" w:rsidRDefault="00013E91" w:rsidP="00013E91">
            <w:pPr>
              <w:spacing w:after="120" w:line="276" w:lineRule="auto"/>
              <w:ind w:firstLine="737"/>
              <w:jc w:val="both"/>
              <w:rPr>
                <w:rFonts w:ascii="Verdana" w:eastAsia="Times New Roman" w:hAnsi="Verdana" w:cs="Arial"/>
                <w:lang w:val="es-ES" w:eastAsia="es-MX"/>
              </w:rPr>
            </w:pPr>
            <w:r w:rsidRPr="00F43CC7">
              <w:rPr>
                <w:rFonts w:ascii="Verdana" w:eastAsia="Times New Roman" w:hAnsi="Verdana" w:cs="Arial"/>
                <w:lang w:val="es-ES" w:eastAsia="es-MX"/>
              </w:rPr>
              <w:t>Por lo demás, el literal i) del artículo 2.4 de la Ley 1150 de 2011 permite la contratación directa tratándose de “El arrendamiento […] de inmuebles”</w:t>
            </w:r>
            <w:r>
              <w:rPr>
                <w:rFonts w:ascii="Verdana" w:eastAsia="Times New Roman" w:hAnsi="Verdana" w:cs="Arial"/>
                <w:lang w:val="es-ES" w:eastAsia="es-MX"/>
              </w:rPr>
              <w:t>, causal que estaría incluida en la prohibición referida</w:t>
            </w:r>
            <w:r w:rsidRPr="00F43CC7">
              <w:rPr>
                <w:rFonts w:ascii="Verdana" w:eastAsia="Times New Roman" w:hAnsi="Verdana" w:cs="Arial"/>
                <w:lang w:val="es-ES" w:eastAsia="es-MX"/>
              </w:rPr>
              <w:t xml:space="preserve">.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23D7129C" w14:textId="77777777" w:rsidR="00013E91" w:rsidRPr="0002657A" w:rsidRDefault="00013E91" w:rsidP="00013E91">
            <w:pPr>
              <w:spacing w:after="120" w:line="276" w:lineRule="auto"/>
              <w:ind w:firstLine="709"/>
              <w:jc w:val="both"/>
              <w:rPr>
                <w:rFonts w:ascii="Verdana" w:hAnsi="Verdana" w:cs="Segoe UI"/>
                <w:color w:val="000000" w:themeColor="text1"/>
              </w:rPr>
            </w:pPr>
            <w:r w:rsidRPr="0002657A">
              <w:rPr>
                <w:rFonts w:ascii="Verdana" w:hAnsi="Verdana" w:cs="Segoe UI"/>
                <w:color w:val="000000" w:themeColor="text1"/>
              </w:rPr>
              <w:t xml:space="preserve">En este contexto es preciso señalar que, la causal de contratación directa prevista en la Ley 1150 permite su utilización </w:t>
            </w:r>
            <w:r w:rsidRPr="0002657A">
              <w:rPr>
                <w:rStyle w:val="Fuerte"/>
                <w:rFonts w:ascii="Verdana" w:hAnsi="Verdana" w:cs="Segoe UI"/>
                <w:color w:val="000000" w:themeColor="text1"/>
              </w:rPr>
              <w:t>tanto cuando la entidad actúa como arrendadora como cuando actúa como arrendataria</w:t>
            </w:r>
            <w:r w:rsidRPr="0002657A">
              <w:rPr>
                <w:rFonts w:ascii="Verdana" w:hAnsi="Verdana" w:cs="Segoe UI"/>
                <w:color w:val="000000" w:themeColor="text1"/>
              </w:rPr>
              <w:t xml:space="preserve">, incluido el supuesto planteado para consideración. No obstante, tal modalidad de selección se encuentra </w:t>
            </w:r>
            <w:r w:rsidRPr="0002657A">
              <w:rPr>
                <w:rStyle w:val="Fuerte"/>
                <w:rFonts w:ascii="Verdana" w:hAnsi="Verdana" w:cs="Segoe UI"/>
                <w:color w:val="000000" w:themeColor="text1"/>
              </w:rPr>
              <w:t>proscrita durante los cuatro (4) meses anteriores a las elecciones presidenciales</w:t>
            </w:r>
            <w:r w:rsidRPr="0002657A">
              <w:rPr>
                <w:rFonts w:ascii="Verdana" w:hAnsi="Verdana" w:cs="Segoe UI"/>
                <w:color w:val="000000" w:themeColor="text1"/>
              </w:rPr>
              <w:t xml:space="preserve">, en los términos del artículo 33 de la Ley 996 de 2005, razón por la cual </w:t>
            </w:r>
            <w:r w:rsidRPr="0002657A">
              <w:rPr>
                <w:rStyle w:val="Fuerte"/>
                <w:rFonts w:ascii="Verdana" w:hAnsi="Verdana" w:cs="Segoe UI"/>
                <w:color w:val="000000" w:themeColor="text1"/>
              </w:rPr>
              <w:t>no es posible celebrar contratos de arrendamiento mediante contratación directa en dicho periodo</w:t>
            </w:r>
            <w:r w:rsidRPr="0002657A">
              <w:rPr>
                <w:rFonts w:ascii="Verdana" w:hAnsi="Verdana" w:cs="Segoe UI"/>
                <w:color w:val="000000" w:themeColor="text1"/>
              </w:rPr>
              <w:t>, salvo que el caso concreto se enmarque en alguna de las excepciones taxativamente señaladas en la norma.</w:t>
            </w:r>
          </w:p>
          <w:p w14:paraId="1C6F4400" w14:textId="71F706BD" w:rsidR="00812619" w:rsidRDefault="00013E91" w:rsidP="003B436E">
            <w:pPr>
              <w:spacing w:after="120" w:line="276" w:lineRule="auto"/>
              <w:jc w:val="both"/>
              <w:rPr>
                <w:rFonts w:eastAsia="Calibri" w:cs="Times New Roman"/>
                <w:lang w:val="es-ES"/>
              </w:rPr>
            </w:pPr>
            <w:r w:rsidRPr="00F43CC7">
              <w:rPr>
                <w:rFonts w:ascii="Verdana" w:eastAsia="Calibri" w:hAnsi="Verdana" w:cs="Arial"/>
                <w:lang w:val="es-ES"/>
              </w:rPr>
              <w:t>Cuando la entidad estatal actúe como arrendadora puede evaluar si, debido a lo explicado en los párrafos anteriores, es conveniente adelantar una convocatoria pública en garantía del principio de libre concurrencia. No obstante, lo cierto es que –dentro del marco normativo vigente– las entidades públicas son autónomas y responsables tanto de la estructuración de sus procesos de contratación como de determinar la modalidad de selección aplicable para suplir sus necesidades.</w:t>
            </w:r>
          </w:p>
          <w:p w14:paraId="4447CAFC" w14:textId="77777777" w:rsidR="00697959" w:rsidRPr="00697959" w:rsidRDefault="00812619" w:rsidP="00697959">
            <w:pPr>
              <w:tabs>
                <w:tab w:val="left" w:pos="142"/>
                <w:tab w:val="left" w:pos="284"/>
              </w:tabs>
              <w:spacing w:after="120" w:line="276" w:lineRule="auto"/>
              <w:jc w:val="both"/>
              <w:rPr>
                <w:rFonts w:ascii="Verdana" w:hAnsi="Verdana"/>
              </w:rPr>
            </w:pPr>
            <w:r>
              <w:rPr>
                <w:rFonts w:ascii="Verdana" w:hAnsi="Verdana"/>
              </w:rPr>
              <w:t xml:space="preserve">ii. </w:t>
            </w:r>
            <w:r w:rsidR="00697959" w:rsidRPr="00697959">
              <w:rPr>
                <w:rFonts w:ascii="Verdana" w:hAnsi="Verdana"/>
              </w:rPr>
              <w:t xml:space="preserve">En principio, por parte del contratista, en calidad de arrendador o arrendatario, el pago de aportes al Sistema de Seguridad Social Integral es un requisito regulado por la Ley 80 de 1993, la Ley 1150 de 2007, la Ley 789 de 2002 y demás normas complementarias. Por lo tanto, las entidades contratantes tienen el deber de verificar su cumplimiento antes de la celebración del contrato, como es el caso de la afiliación, y durante su </w:t>
            </w:r>
            <w:r w:rsidR="00697959" w:rsidRPr="00697959">
              <w:rPr>
                <w:rFonts w:ascii="Verdana" w:hAnsi="Verdana"/>
              </w:rPr>
              <w:lastRenderedPageBreak/>
              <w:t>ejecución y liquidación, el pago de los respectivos aportes conforme al valor de la prestación.</w:t>
            </w:r>
          </w:p>
          <w:p w14:paraId="11430037"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El artículo 23 de la Ley 1150 de 2007 prescribe: “(…) el proponente y el contratista deberán acreditar que se encuentran al día en el pago de aportes parafiscales relativos al Sistema de Seguridad Social Integral, así como los propios del SENA, ICBF y cajas de compensación familiar, cuando corresponda (…)”. Si bien los proponentes y los contratistas deben estar al día en el pago al Sistema de Seguridad Social Integral, la verificación de este requisito, por parte de las entidades estatales, se efectuará cuando realicen los pagos del contrato, es decir, durante la ejecución.</w:t>
            </w:r>
          </w:p>
          <w:p w14:paraId="526BE937"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No obstante, el artículo 50 de la Ley 789 de 2002 prevé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cual se hubiera constituido la sociedad, el cual, en todo caso, no será inferior a los seis meses anteriores a la celebración del contrato. Si bien este certificado no es un requisito para perfeccionar el contrato, sí lo es para presentar la oferta.</w:t>
            </w:r>
          </w:p>
          <w:p w14:paraId="10DEB568"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Adicionalmente, al liquidar el contrato, la entidad estatal debe dejar constancia del cumplimiento de las obligaciones de aportes por parte del contratista, relacionando los pagos efectuados con los montos que debieron haberse cotizado.</w:t>
            </w:r>
          </w:p>
          <w:p w14:paraId="4AE202C4"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En el caso de contratos de arrendamiento de bienes cuya titularidad no es del Estado, la entidad contratante está obligada a solicitar al arrendador contratista, cuando este sea una persona natural o jurídica, la acreditación de los aportes al sistema de seguridad social antes de proceder con el pago del canon, previa presentación de la cuenta de cobro o factura, con el fin de verificar su contribución y el monto adecuado.</w:t>
            </w:r>
          </w:p>
          <w:p w14:paraId="5B90E494"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Ahora bien, cuando el contratista se vincule en calidad de arrendatario, porque la titularidad del bien es de la entidad contratante, de igual manera deberá realizar las afiliaciones y pagos respectivos, debido a que la norma está creada para quien figure como contratista del Estado, independientemente de si es arrendador o arrendatario.</w:t>
            </w:r>
          </w:p>
          <w:p w14:paraId="609DF7A0" w14:textId="77777777" w:rsidR="00697959" w:rsidRPr="00697959" w:rsidRDefault="00697959" w:rsidP="00697959">
            <w:pPr>
              <w:tabs>
                <w:tab w:val="left" w:pos="142"/>
                <w:tab w:val="left" w:pos="284"/>
              </w:tabs>
              <w:spacing w:after="120" w:line="276" w:lineRule="auto"/>
              <w:jc w:val="both"/>
              <w:rPr>
                <w:rFonts w:ascii="Verdana" w:hAnsi="Verdana"/>
              </w:rPr>
            </w:pPr>
            <w:r w:rsidRPr="00697959">
              <w:rPr>
                <w:rFonts w:ascii="Verdana" w:hAnsi="Verdana"/>
              </w:rPr>
              <w:t xml:space="preserve">En conclusión, el arrendador de un bien inmueble tiene la calidad de rentista de capital y, como tal, es aportante al Sistema Integral de Seguridad Social </w:t>
            </w:r>
            <w:r w:rsidRPr="00697959">
              <w:rPr>
                <w:rFonts w:ascii="Verdana" w:hAnsi="Verdana"/>
              </w:rPr>
              <w:lastRenderedPageBreak/>
              <w:t>y deberá pagar lo que le corresponda de acuerdo con la prestación del contrato.</w:t>
            </w:r>
          </w:p>
          <w:p w14:paraId="74F52F6A" w14:textId="631666C6" w:rsidR="000641EA" w:rsidRPr="00EA15EE" w:rsidRDefault="00687016" w:rsidP="00812619">
            <w:pPr>
              <w:tabs>
                <w:tab w:val="left" w:pos="142"/>
                <w:tab w:val="left" w:pos="284"/>
              </w:tabs>
              <w:spacing w:after="120" w:line="276" w:lineRule="auto"/>
              <w:jc w:val="both"/>
              <w:rPr>
                <w:rFonts w:ascii="Verdana" w:hAnsi="Verdana"/>
              </w:rPr>
            </w:pPr>
            <w:r>
              <w:rPr>
                <w:rFonts w:ascii="Verdana" w:hAnsi="Verdana"/>
              </w:rPr>
              <w:t>Ahora bien, d</w:t>
            </w:r>
            <w:r w:rsidR="000641EA" w:rsidRPr="00EA15EE">
              <w:rPr>
                <w:rFonts w:ascii="Verdana" w:hAnsi="Verdana"/>
              </w:rPr>
              <w:t>e conformidad con el artículo 89 de la Ley 2277 de 2022, los rentistas de capital deben cotizar sobre una base mínima equivalente al cuarenta por ciento (40%) de los ingresos mensuales causados o efectivamente percibidos, según exista o no obligación de llevar contabilidad, excluyendo el valor del IVA, en aplicación del principio de solidaridad que rige el sistema. No obstante, dicha obligación resulta exigible únicamente cuando los ingresos netos mensuales del rentista de capital sean iguales o superiores a un (1) salario mínimo legal mensual vigente (SMMLV). En consecuencia, cuando los ingresos netos mensuales del arrendador sean inferiores a dicho umbral, este no se encuentra obligado, en principio, a efectuar aportes al Sistema General de Seguridad Social Integral.</w:t>
            </w:r>
          </w:p>
          <w:p w14:paraId="691DE746" w14:textId="7D28E42C" w:rsidR="000641EA" w:rsidRPr="00C15DD4" w:rsidRDefault="000641EA" w:rsidP="000641EA">
            <w:pPr>
              <w:spacing w:after="120" w:line="276" w:lineRule="auto"/>
              <w:jc w:val="both"/>
              <w:rPr>
                <w:rFonts w:ascii="Verdana" w:eastAsia="Aptos" w:hAnsi="Verdana" w:cs="Times New Roman"/>
              </w:rPr>
            </w:pPr>
            <w:r w:rsidRPr="00EA15EE">
              <w:rPr>
                <w:rFonts w:ascii="Verdana" w:hAnsi="Verdana"/>
              </w:rPr>
              <w:t xml:space="preserve">Por lo anterior, para efectos de dar cumplimiento a lo previsto en el artículo 41 de la Ley 80 de 1993 y el artículo 50 de la Ley 789 de 2002, los arrendadores que celebren contratos con entidades estatales deberán acreditar ante la entidad contratante, mediante los documentos, certificaciones o planillas correspondientes, que, </w:t>
            </w:r>
            <w:proofErr w:type="gramStart"/>
            <w:r w:rsidRPr="00EA15EE">
              <w:rPr>
                <w:rFonts w:ascii="Verdana" w:hAnsi="Verdana"/>
              </w:rPr>
              <w:t>en razón del</w:t>
            </w:r>
            <w:proofErr w:type="gramEnd"/>
            <w:r w:rsidRPr="00EA15EE">
              <w:rPr>
                <w:rFonts w:ascii="Verdana" w:hAnsi="Verdana"/>
              </w:rPr>
              <w:t xml:space="preserve"> monto de sus ingresos, no están obligados a realizar aportes al Sistema General de Seguridad Social Integral, conforme a la normativa vigente.</w:t>
            </w:r>
          </w:p>
        </w:tc>
      </w:tr>
      <w:bookmarkEnd w:id="2"/>
    </w:tbl>
    <w:p w14:paraId="43ACFF89" w14:textId="77777777" w:rsidR="009D1C7C" w:rsidRDefault="009D1C7C" w:rsidP="003B436E">
      <w:pPr>
        <w:pStyle w:val="Prrafodelista"/>
        <w:spacing w:after="0" w:line="276" w:lineRule="auto"/>
        <w:contextualSpacing w:val="0"/>
        <w:rPr>
          <w:rFonts w:ascii="Verdana" w:eastAsia="Verdana" w:hAnsi="Verdana" w:cs="Verdana"/>
          <w:b/>
          <w:bCs/>
          <w:lang w:val="es-CO"/>
        </w:rPr>
      </w:pPr>
    </w:p>
    <w:p w14:paraId="6A7FFD8B" w14:textId="5A27CB3E" w:rsidR="005A08E4" w:rsidRPr="007C6F10" w:rsidRDefault="005A08E4" w:rsidP="003B436E">
      <w:pPr>
        <w:pStyle w:val="Prrafodelista"/>
        <w:numPr>
          <w:ilvl w:val="0"/>
          <w:numId w:val="24"/>
        </w:numPr>
        <w:spacing w:after="0" w:line="276" w:lineRule="auto"/>
        <w:contextualSpacing w:val="0"/>
        <w:rPr>
          <w:rFonts w:ascii="Verdana" w:eastAsia="Verdana" w:hAnsi="Verdana" w:cs="Verdana"/>
          <w:b/>
          <w:bCs/>
          <w:lang w:val="es-CO"/>
        </w:rPr>
      </w:pPr>
      <w:r w:rsidRPr="007C6F10">
        <w:rPr>
          <w:rFonts w:ascii="Verdana" w:eastAsia="Verdana" w:hAnsi="Verdana" w:cs="Verdana"/>
          <w:b/>
          <w:bCs/>
          <w:lang w:val="es-CO"/>
        </w:rPr>
        <w:t>Razones de las respuestas:</w:t>
      </w:r>
    </w:p>
    <w:p w14:paraId="073D40C9" w14:textId="77777777" w:rsidR="009D1C7C" w:rsidRDefault="009D1C7C" w:rsidP="009D1C7C">
      <w:pPr>
        <w:pStyle w:val="Textoindependiente"/>
        <w:spacing w:line="276" w:lineRule="auto"/>
        <w:ind w:firstLine="0"/>
        <w:jc w:val="both"/>
        <w:rPr>
          <w:lang w:val="es-CO"/>
        </w:rPr>
      </w:pPr>
    </w:p>
    <w:p w14:paraId="62039E90" w14:textId="5ED407D4" w:rsidR="00607450" w:rsidRDefault="005A08E4" w:rsidP="003B436E">
      <w:pPr>
        <w:pStyle w:val="Textoindependiente"/>
        <w:spacing w:line="276" w:lineRule="auto"/>
        <w:ind w:firstLine="0"/>
        <w:jc w:val="both"/>
        <w:rPr>
          <w:spacing w:val="-2"/>
          <w:lang w:val="es-CO"/>
        </w:rPr>
      </w:pPr>
      <w:r w:rsidRPr="00C15DD4">
        <w:rPr>
          <w:lang w:val="es-CO"/>
        </w:rPr>
        <w:t>Lo</w:t>
      </w:r>
      <w:r w:rsidRPr="00C15DD4">
        <w:rPr>
          <w:spacing w:val="-4"/>
          <w:lang w:val="es-CO"/>
        </w:rPr>
        <w:t xml:space="preserve"> </w:t>
      </w:r>
      <w:r w:rsidRPr="00C15DD4">
        <w:rPr>
          <w:lang w:val="es-CO"/>
        </w:rPr>
        <w:t>anterior</w:t>
      </w:r>
      <w:r w:rsidRPr="00C15DD4">
        <w:rPr>
          <w:spacing w:val="-8"/>
          <w:lang w:val="es-CO"/>
        </w:rPr>
        <w:t xml:space="preserve"> </w:t>
      </w:r>
      <w:r w:rsidRPr="00C15DD4">
        <w:rPr>
          <w:lang w:val="es-CO"/>
        </w:rPr>
        <w:t>se</w:t>
      </w:r>
      <w:r w:rsidRPr="00C15DD4">
        <w:rPr>
          <w:spacing w:val="-5"/>
          <w:lang w:val="es-CO"/>
        </w:rPr>
        <w:t xml:space="preserve"> </w:t>
      </w:r>
      <w:r w:rsidRPr="00C15DD4">
        <w:rPr>
          <w:lang w:val="es-CO"/>
        </w:rPr>
        <w:t>sustenta</w:t>
      </w:r>
      <w:r w:rsidRPr="00C15DD4">
        <w:rPr>
          <w:spacing w:val="-8"/>
          <w:lang w:val="es-CO"/>
        </w:rPr>
        <w:t xml:space="preserve"> </w:t>
      </w:r>
      <w:r w:rsidRPr="00C15DD4">
        <w:rPr>
          <w:lang w:val="es-CO"/>
        </w:rPr>
        <w:t>en</w:t>
      </w:r>
      <w:r w:rsidRPr="00C15DD4">
        <w:rPr>
          <w:spacing w:val="-4"/>
          <w:lang w:val="es-CO"/>
        </w:rPr>
        <w:t xml:space="preserve"> </w:t>
      </w:r>
      <w:r w:rsidRPr="00C15DD4">
        <w:rPr>
          <w:lang w:val="es-CO"/>
        </w:rPr>
        <w:t>las</w:t>
      </w:r>
      <w:r w:rsidRPr="00C15DD4">
        <w:rPr>
          <w:spacing w:val="-5"/>
          <w:lang w:val="es-CO"/>
        </w:rPr>
        <w:t xml:space="preserve"> </w:t>
      </w:r>
      <w:r w:rsidRPr="00C15DD4">
        <w:rPr>
          <w:lang w:val="es-CO"/>
        </w:rPr>
        <w:t>siguientes</w:t>
      </w:r>
      <w:r w:rsidRPr="00C15DD4">
        <w:rPr>
          <w:spacing w:val="-4"/>
          <w:lang w:val="es-CO"/>
        </w:rPr>
        <w:t xml:space="preserve"> </w:t>
      </w:r>
      <w:r w:rsidRPr="00C15DD4">
        <w:rPr>
          <w:spacing w:val="-2"/>
          <w:lang w:val="es-CO"/>
        </w:rPr>
        <w:t>consideraciones:</w:t>
      </w:r>
    </w:p>
    <w:p w14:paraId="17612B71" w14:textId="77777777" w:rsidR="009D1C7C" w:rsidRDefault="009D1C7C" w:rsidP="003B436E">
      <w:pPr>
        <w:spacing w:after="0" w:line="276" w:lineRule="auto"/>
        <w:jc w:val="both"/>
        <w:rPr>
          <w:rFonts w:ascii="Verdana" w:hAnsi="Verdana" w:cs="Arial"/>
          <w:bCs/>
          <w:lang w:val="es-ES_tradnl" w:eastAsia="es-ES" w:bidi="es-ES"/>
        </w:rPr>
      </w:pPr>
    </w:p>
    <w:p w14:paraId="23B7BEA1" w14:textId="6C97D206" w:rsidR="00FC7AB4" w:rsidRPr="00C13395" w:rsidRDefault="00FC7AB4" w:rsidP="00FC7AB4">
      <w:pPr>
        <w:spacing w:after="120" w:line="276" w:lineRule="auto"/>
        <w:jc w:val="both"/>
        <w:rPr>
          <w:rFonts w:ascii="Verdana" w:eastAsia="Century Gothic" w:hAnsi="Verdana" w:cs="Century Gothic"/>
          <w:bCs/>
          <w:lang w:val="es-ES_tradnl"/>
        </w:rPr>
      </w:pPr>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5B18E667"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w:t>
      </w:r>
      <w:r w:rsidRPr="00C13395">
        <w:rPr>
          <w:rFonts w:ascii="Verdana" w:eastAsia="Century Gothic" w:hAnsi="Verdana" w:cs="Century Gothic"/>
          <w:bCs/>
          <w:lang w:val="es-ES_tradnl"/>
        </w:rPr>
        <w:lastRenderedPageBreak/>
        <w:t xml:space="preserve">esta medida, introduce limitaciones para realizar nombramientos, postulaciones, contrataciones o cualquier otro tipo de actividad que implique destinación de recursos públicos bajo el devenir propio de las Entidades Estatales. </w:t>
      </w:r>
    </w:p>
    <w:p w14:paraId="654BD4EF" w14:textId="77777777" w:rsidR="00FC7AB4" w:rsidRDefault="00FC7AB4" w:rsidP="00FC7AB4">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2934B4A9" w14:textId="77777777" w:rsidR="00FC7AB4" w:rsidRPr="00C13395" w:rsidRDefault="00FC7AB4" w:rsidP="00FC7AB4">
      <w:pPr>
        <w:spacing w:after="0" w:line="276" w:lineRule="auto"/>
        <w:ind w:firstLine="708"/>
        <w:jc w:val="both"/>
        <w:rPr>
          <w:rFonts w:ascii="Verdana" w:eastAsia="Century Gothic" w:hAnsi="Verdana" w:cs="Century Gothic"/>
          <w:bCs/>
          <w:lang w:val="es-ES_tradnl"/>
        </w:rPr>
      </w:pPr>
    </w:p>
    <w:p w14:paraId="66037715" w14:textId="77777777" w:rsidR="00FC7AB4"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DFC499B" w14:textId="77777777" w:rsidR="00FC7AB4" w:rsidRPr="00C13395" w:rsidRDefault="00FC7AB4" w:rsidP="00FC7AB4">
      <w:pPr>
        <w:spacing w:after="0" w:line="240" w:lineRule="auto"/>
        <w:ind w:left="709" w:right="709"/>
        <w:jc w:val="both"/>
        <w:rPr>
          <w:rFonts w:ascii="Verdana" w:eastAsia="Century Gothic" w:hAnsi="Verdana" w:cs="Century Gothic"/>
          <w:bCs/>
          <w:sz w:val="20"/>
          <w:szCs w:val="20"/>
          <w:lang w:val="es-ES_tradnl"/>
        </w:rPr>
      </w:pPr>
    </w:p>
    <w:p w14:paraId="42A08524" w14:textId="77777777" w:rsidR="00FC7AB4" w:rsidRPr="00C13395"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23209B02" w14:textId="77777777" w:rsidR="00FC7AB4" w:rsidRDefault="00FC7AB4" w:rsidP="00FC7AB4">
      <w:pPr>
        <w:spacing w:after="0" w:line="240" w:lineRule="auto"/>
        <w:ind w:left="709" w:right="709"/>
        <w:jc w:val="both"/>
        <w:rPr>
          <w:rFonts w:ascii="Verdana" w:eastAsia="Century Gothic" w:hAnsi="Verdana" w:cs="Century Gothic"/>
          <w:bCs/>
          <w:sz w:val="20"/>
          <w:szCs w:val="20"/>
          <w:lang w:val="es-ES_tradnl"/>
        </w:rPr>
      </w:pPr>
    </w:p>
    <w:p w14:paraId="34E768E7" w14:textId="77777777" w:rsidR="00FC7AB4"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2CB04335" w14:textId="77777777" w:rsidR="00FC7AB4" w:rsidRPr="000E6C92" w:rsidRDefault="00FC7AB4" w:rsidP="00FC7AB4">
      <w:pPr>
        <w:spacing w:after="0" w:line="276" w:lineRule="auto"/>
        <w:ind w:left="709" w:right="709"/>
        <w:jc w:val="both"/>
        <w:rPr>
          <w:rFonts w:ascii="Verdana" w:eastAsia="Century Gothic" w:hAnsi="Verdana" w:cs="Century Gothic"/>
          <w:bCs/>
          <w:lang w:val="es-ES_tradnl"/>
        </w:rPr>
      </w:pPr>
    </w:p>
    <w:p w14:paraId="010F0134" w14:textId="77777777" w:rsidR="00FC7AB4" w:rsidRDefault="00FC7AB4" w:rsidP="00FC7AB4">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7ADDD2A" w14:textId="77777777" w:rsidR="00FC7AB4" w:rsidRPr="00C13395" w:rsidRDefault="00FC7AB4" w:rsidP="00FC7AB4">
      <w:pPr>
        <w:spacing w:after="0" w:line="276" w:lineRule="auto"/>
        <w:ind w:firstLine="708"/>
        <w:jc w:val="both"/>
        <w:rPr>
          <w:rFonts w:ascii="Verdana" w:eastAsia="Century Gothic" w:hAnsi="Verdana" w:cs="Century Gothic"/>
          <w:bCs/>
          <w:lang w:val="es-ES_tradnl"/>
        </w:rPr>
      </w:pPr>
    </w:p>
    <w:p w14:paraId="240A73B8" w14:textId="77777777" w:rsidR="00FC7AB4" w:rsidRDefault="00FC7AB4" w:rsidP="00FC7AB4">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w:t>
      </w:r>
      <w:r w:rsidRPr="122F1934">
        <w:rPr>
          <w:rFonts w:ascii="Verdana" w:eastAsia="Century Gothic" w:hAnsi="Verdana" w:cs="Century Gothic"/>
          <w:sz w:val="20"/>
          <w:szCs w:val="20"/>
          <w:lang w:val="es-ES"/>
        </w:rPr>
        <w:lastRenderedPageBreak/>
        <w:t>modificadas, ampliadas o adicionadas por acuerdo o convenio o acto unilateral.</w:t>
      </w:r>
    </w:p>
    <w:p w14:paraId="40062885" w14:textId="77777777" w:rsidR="00FC7AB4" w:rsidRPr="00C13395" w:rsidRDefault="00FC7AB4" w:rsidP="00FC7AB4">
      <w:pPr>
        <w:spacing w:after="0" w:line="240" w:lineRule="auto"/>
        <w:ind w:left="709" w:right="709"/>
        <w:jc w:val="both"/>
        <w:rPr>
          <w:rFonts w:ascii="Verdana" w:eastAsia="Century Gothic" w:hAnsi="Verdana" w:cs="Century Gothic"/>
          <w:sz w:val="20"/>
          <w:szCs w:val="20"/>
          <w:lang w:val="es-ES"/>
        </w:rPr>
      </w:pPr>
    </w:p>
    <w:p w14:paraId="474D4584" w14:textId="77777777" w:rsidR="00FC7AB4"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7A70B290" w14:textId="77777777" w:rsidR="00FC7AB4" w:rsidRPr="00C13395" w:rsidRDefault="00FC7AB4" w:rsidP="00FC7AB4">
      <w:pPr>
        <w:spacing w:after="0" w:line="276" w:lineRule="auto"/>
        <w:ind w:left="709" w:right="709"/>
        <w:jc w:val="both"/>
        <w:rPr>
          <w:rFonts w:ascii="Verdana" w:eastAsia="Century Gothic" w:hAnsi="Verdana" w:cs="Century Gothic"/>
          <w:bCs/>
          <w:sz w:val="20"/>
          <w:szCs w:val="20"/>
          <w:lang w:val="es-ES_tradnl"/>
        </w:rPr>
      </w:pPr>
    </w:p>
    <w:p w14:paraId="507F47CE" w14:textId="77777777" w:rsidR="00FC7AB4" w:rsidRPr="000E6C92" w:rsidRDefault="00FC7AB4" w:rsidP="00FC7AB4">
      <w:pPr>
        <w:spacing w:after="0" w:line="276" w:lineRule="auto"/>
        <w:ind w:firstLine="709"/>
        <w:jc w:val="both"/>
        <w:rPr>
          <w:rFonts w:ascii="Verdana" w:eastAsia="Arial" w:hAnsi="Verdana" w:cs="Arial"/>
          <w:lang w:val="es-ES" w:eastAsia="es-ES" w:bidi="es-ES"/>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w:t>
      </w:r>
      <w:r>
        <w:rPr>
          <w:rFonts w:ascii="Verdana" w:eastAsia="Century Gothic" w:hAnsi="Verdana" w:cs="Century Gothic"/>
          <w:bCs/>
          <w:lang w:val="es-ES_tradnl"/>
        </w:rPr>
        <w:t>Así las cosas, c</w:t>
      </w:r>
      <w:r w:rsidRPr="00C13395">
        <w:rPr>
          <w:rFonts w:ascii="Verdana" w:eastAsia="Century Gothic" w:hAnsi="Verdana" w:cs="Century Gothic"/>
          <w:bCs/>
          <w:lang w:val="es-ES_tradnl"/>
        </w:rPr>
        <w:t xml:space="preserve">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F43CC7">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3DF28FAA" w14:textId="77777777" w:rsidR="00FC7AB4" w:rsidRDefault="00FC7AB4" w:rsidP="00FC7AB4">
      <w:pPr>
        <w:spacing w:after="0" w:line="276" w:lineRule="auto"/>
        <w:jc w:val="both"/>
        <w:rPr>
          <w:rFonts w:ascii="Verdana" w:eastAsia="Century Gothic" w:hAnsi="Verdana" w:cs="Century Gothic"/>
          <w:bCs/>
          <w:lang w:val="es-ES_tradnl"/>
        </w:rPr>
      </w:pPr>
    </w:p>
    <w:p w14:paraId="1D7E40D4" w14:textId="77777777" w:rsidR="00FC7AB4" w:rsidRPr="00C13395" w:rsidRDefault="00FC7AB4" w:rsidP="00FC7AB4">
      <w:pPr>
        <w:spacing w:after="120" w:line="276" w:lineRule="auto"/>
        <w:jc w:val="both"/>
        <w:rPr>
          <w:rFonts w:ascii="Verdana" w:eastAsia="Century Gothic" w:hAnsi="Verdana" w:cs="Century Gothic"/>
          <w:lang w:val="es-ES"/>
        </w:rPr>
      </w:pPr>
      <w:r w:rsidRPr="5F29C245">
        <w:rPr>
          <w:rFonts w:ascii="Verdana" w:eastAsia="Century Gothic" w:hAnsi="Verdana" w:cs="Century Gothic"/>
          <w:lang w:val="es-ES"/>
        </w:rPr>
        <w:t>ii)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0F89D737"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Por un lado, 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551BFA">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3612166C"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lastRenderedPageBreak/>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entury Gothic" w:hAnsi="Verdana" w:cs="Century Gothic"/>
          <w:bCs/>
          <w:lang w:val="es-ES_tradnl"/>
        </w:rPr>
        <w:t xml:space="preserve">. </w:t>
      </w:r>
      <w:r w:rsidRPr="00C13395">
        <w:rPr>
          <w:rFonts w:ascii="Verdana" w:eastAsia="Century Gothic" w:hAnsi="Verdana" w:cs="Century Gothic"/>
          <w:bCs/>
          <w:lang w:val="es-ES_tradnl"/>
        </w:rPr>
        <w:t xml:space="preserve"> </w:t>
      </w:r>
    </w:p>
    <w:p w14:paraId="6EF304F9" w14:textId="77777777" w:rsidR="00FC7AB4" w:rsidRDefault="00FC7AB4" w:rsidP="00FC7AB4">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7C12B931" w14:textId="77777777" w:rsidR="00FC7AB4" w:rsidRPr="00C13395" w:rsidRDefault="00FC7AB4" w:rsidP="00FC7AB4">
      <w:pPr>
        <w:spacing w:after="0" w:line="276" w:lineRule="auto"/>
        <w:ind w:firstLine="708"/>
        <w:jc w:val="both"/>
        <w:rPr>
          <w:rFonts w:ascii="Verdana" w:eastAsia="Century Gothic" w:hAnsi="Verdana" w:cs="Century Gothic"/>
          <w:bCs/>
          <w:lang w:val="es-ES_tradnl"/>
        </w:rPr>
      </w:pPr>
    </w:p>
    <w:p w14:paraId="75578D00" w14:textId="77777777" w:rsidR="00FC7AB4"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3AC9311C" w14:textId="77777777" w:rsidR="00FC7AB4" w:rsidRPr="00551BFA" w:rsidRDefault="00FC7AB4" w:rsidP="00FC7AB4">
      <w:pPr>
        <w:spacing w:after="0" w:line="276" w:lineRule="auto"/>
        <w:ind w:left="709" w:right="709"/>
        <w:jc w:val="both"/>
        <w:rPr>
          <w:rFonts w:ascii="Verdana" w:eastAsia="Century Gothic" w:hAnsi="Verdana" w:cs="Century Gothic"/>
          <w:bCs/>
          <w:lang w:val="es-ES_tradnl"/>
        </w:rPr>
      </w:pPr>
    </w:p>
    <w:p w14:paraId="536DDF9B" w14:textId="77777777" w:rsidR="00FC7AB4" w:rsidRPr="00C13395" w:rsidRDefault="00FC7AB4" w:rsidP="00FC7AB4">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w:t>
      </w:r>
      <w:r w:rsidRPr="122F1934">
        <w:rPr>
          <w:rFonts w:ascii="Verdana" w:eastAsia="Century Gothic" w:hAnsi="Verdana" w:cs="Century Gothic"/>
          <w:lang w:val="es-ES"/>
        </w:rPr>
        <w:lastRenderedPageBreak/>
        <w:t>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9280E62" w14:textId="77777777" w:rsidR="00FC7AB4" w:rsidRPr="00C13395" w:rsidRDefault="00FC7AB4" w:rsidP="00FC7AB4">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0BC8D9B" w14:textId="77777777" w:rsidR="00FC7AB4" w:rsidRDefault="00FC7AB4" w:rsidP="00FC7AB4">
      <w:pPr>
        <w:spacing w:after="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C916280" w14:textId="77777777" w:rsidR="00FC7AB4" w:rsidRPr="00C13395" w:rsidRDefault="00FC7AB4" w:rsidP="00FC7AB4">
      <w:pPr>
        <w:spacing w:after="0" w:line="276" w:lineRule="auto"/>
        <w:ind w:firstLine="709"/>
        <w:jc w:val="both"/>
        <w:rPr>
          <w:rFonts w:ascii="Verdana" w:eastAsia="Century Gothic" w:hAnsi="Verdana" w:cs="Century Gothic"/>
          <w:lang w:val="es-ES"/>
        </w:rPr>
      </w:pPr>
    </w:p>
    <w:p w14:paraId="207CB79F" w14:textId="77777777" w:rsidR="00FC7AB4" w:rsidRPr="00C13395" w:rsidRDefault="00FC7AB4" w:rsidP="00FC7AB4">
      <w:pPr>
        <w:spacing w:after="120" w:line="276" w:lineRule="auto"/>
        <w:jc w:val="both"/>
        <w:rPr>
          <w:rFonts w:ascii="Verdana" w:eastAsia="Century Gothic" w:hAnsi="Verdana" w:cs="Century Gothic"/>
          <w:lang w:val="es-ES"/>
        </w:rPr>
      </w:pPr>
      <w:r>
        <w:rPr>
          <w:rFonts w:ascii="Verdana" w:eastAsia="Century Gothic" w:hAnsi="Verdana" w:cs="Century Gothic"/>
          <w:lang w:val="es-ES"/>
        </w:rPr>
        <w:t>i</w:t>
      </w:r>
      <w:r w:rsidRPr="122F1934">
        <w:rPr>
          <w:rFonts w:ascii="Verdana" w:eastAsia="Century Gothic" w:hAnsi="Verdana" w:cs="Century Gothic"/>
          <w:lang w:val="es-ES"/>
        </w:rPr>
        <w:t xml:space="preserve">ii)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6B9D109F"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w:t>
      </w:r>
      <w:r w:rsidRPr="00C13395">
        <w:rPr>
          <w:rFonts w:ascii="Verdana" w:eastAsia="Century Gothic" w:hAnsi="Verdana" w:cs="Century Gothic"/>
          <w:bCs/>
          <w:lang w:val="es-ES_tradnl"/>
        </w:rPr>
        <w:lastRenderedPageBreak/>
        <w:t xml:space="preserve">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3939701"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014C2ED" w14:textId="77777777" w:rsidR="00FC7AB4" w:rsidRDefault="00FC7AB4" w:rsidP="00FC7AB4">
      <w:pPr>
        <w:spacing w:after="0" w:line="276" w:lineRule="auto"/>
        <w:ind w:firstLine="709"/>
        <w:jc w:val="both"/>
        <w:rPr>
          <w:rFonts w:ascii="Verdana" w:eastAsia="Century Gothic" w:hAnsi="Verdana" w:cs="Century Gothic"/>
          <w:bCs/>
          <w:lang w:val="es-ES_tradnl"/>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w:t>
      </w:r>
      <w:r w:rsidRPr="001F38BF">
        <w:rPr>
          <w:rFonts w:ascii="Verdana" w:eastAsia="Century Gothic" w:hAnsi="Verdana" w:cs="Century Gothic"/>
          <w:bCs/>
          <w:lang w:val="es-ES_tradnl"/>
        </w:rPr>
        <w:t xml:space="preserve">responsabilidad. </w:t>
      </w:r>
    </w:p>
    <w:p w14:paraId="4786D577" w14:textId="77777777" w:rsidR="00FC7AB4" w:rsidRDefault="00FC7AB4" w:rsidP="00FC7AB4">
      <w:pPr>
        <w:spacing w:after="0" w:line="276" w:lineRule="auto"/>
        <w:ind w:firstLine="709"/>
        <w:jc w:val="both"/>
        <w:rPr>
          <w:rFonts w:ascii="Verdana" w:eastAsia="Century Gothic" w:hAnsi="Verdana" w:cs="Century Gothic"/>
          <w:bCs/>
          <w:lang w:val="es-ES_tradnl"/>
        </w:rPr>
      </w:pPr>
    </w:p>
    <w:p w14:paraId="1AB80821" w14:textId="77777777" w:rsidR="00FC7AB4" w:rsidRPr="00C13395" w:rsidRDefault="00FC7AB4" w:rsidP="00FC7AB4">
      <w:pPr>
        <w:spacing w:after="0" w:line="276" w:lineRule="auto"/>
        <w:jc w:val="both"/>
        <w:rPr>
          <w:rFonts w:ascii="Verdana" w:eastAsia="Century Gothic" w:hAnsi="Verdana" w:cs="Century Gothic"/>
          <w:lang w:val="es-ES"/>
        </w:rPr>
      </w:pPr>
      <w:r w:rsidRPr="001F38BF">
        <w:rPr>
          <w:rFonts w:ascii="Verdana" w:eastAsia="Century Gothic" w:hAnsi="Verdana" w:cs="Century Gothic"/>
          <w:bCs/>
          <w:lang w:val="es-ES_tradnl"/>
        </w:rPr>
        <w:t>i</w:t>
      </w:r>
      <w:r>
        <w:rPr>
          <w:rFonts w:ascii="Verdana" w:eastAsia="Century Gothic" w:hAnsi="Verdana" w:cs="Century Gothic"/>
          <w:bCs/>
          <w:lang w:val="es-ES_tradnl"/>
        </w:rPr>
        <w:t>v</w:t>
      </w:r>
      <w:r w:rsidRPr="001F38BF">
        <w:rPr>
          <w:rFonts w:ascii="Verdana" w:eastAsia="Century Gothic" w:hAnsi="Verdana" w:cs="Century Gothic"/>
          <w:bCs/>
          <w:lang w:val="es-ES_tradnl"/>
        </w:rPr>
        <w:t xml:space="preserve">) </w:t>
      </w:r>
      <w:r w:rsidRPr="00F43CC7">
        <w:rPr>
          <w:rFonts w:ascii="Verdana" w:eastAsia="Calibri" w:hAnsi="Verdana" w:cs="Arial"/>
          <w:lang w:val="es-ES" w:eastAsia="es-ES" w:bidi="es-ES"/>
        </w:rPr>
        <w:t xml:space="preserve">Para responder al problema jurídico planteado es necesario precisar el alcance de la prohibición </w:t>
      </w:r>
      <w:r w:rsidRPr="00F43CC7">
        <w:rPr>
          <w:rFonts w:ascii="Verdana" w:eastAsia="Arial" w:hAnsi="Verdana" w:cs="Arial"/>
          <w:lang w:val="es-ES" w:eastAsia="es-ES" w:bidi="es-ES"/>
        </w:rPr>
        <w:t>establecida en e</w:t>
      </w:r>
      <w:r w:rsidRPr="00F43CC7">
        <w:rPr>
          <w:rFonts w:ascii="Verdana" w:eastAsia="Calibri" w:hAnsi="Verdana" w:cs="Arial"/>
          <w:lang w:val="es-ES"/>
        </w:rPr>
        <w:t xml:space="preserve">l </w:t>
      </w:r>
      <w:r w:rsidRPr="00F43CC7">
        <w:rPr>
          <w:rFonts w:ascii="Verdana" w:eastAsia="Times New Roman" w:hAnsi="Verdana" w:cs="Arial"/>
          <w:lang w:val="es-ES"/>
        </w:rPr>
        <w:t xml:space="preserve">artículo 33 de la Ley 996 de 2005. </w:t>
      </w:r>
      <w:r>
        <w:rPr>
          <w:rFonts w:ascii="Verdana" w:eastAsia="Century Gothic" w:hAnsi="Verdana" w:cs="Century Gothic"/>
          <w:bCs/>
          <w:lang w:val="es-ES_tradnl"/>
        </w:rPr>
        <w:t>E</w:t>
      </w:r>
      <w:r w:rsidRPr="61CFEC75">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11CA1EC" w14:textId="77777777" w:rsidR="00FC7AB4" w:rsidRPr="00C13395" w:rsidRDefault="00FC7AB4" w:rsidP="00FC7AB4">
      <w:pPr>
        <w:spacing w:after="0" w:line="276" w:lineRule="auto"/>
        <w:jc w:val="both"/>
        <w:rPr>
          <w:rFonts w:ascii="Verdana" w:eastAsia="Century Gothic" w:hAnsi="Verdana" w:cs="Century Gothic"/>
          <w:bCs/>
          <w:lang w:val="es-ES_tradnl"/>
        </w:rPr>
      </w:pPr>
    </w:p>
    <w:p w14:paraId="627C9C98" w14:textId="77777777" w:rsidR="00FC7AB4" w:rsidRPr="00C13395"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61906675" w14:textId="77777777" w:rsidR="00FC7AB4" w:rsidRPr="00C13395" w:rsidRDefault="00FC7AB4" w:rsidP="00FC7AB4">
      <w:pPr>
        <w:spacing w:after="0" w:line="240" w:lineRule="auto"/>
        <w:ind w:left="709" w:right="709"/>
        <w:jc w:val="both"/>
        <w:rPr>
          <w:rFonts w:ascii="Verdana" w:eastAsia="Century Gothic" w:hAnsi="Verdana" w:cs="Century Gothic"/>
          <w:bCs/>
          <w:sz w:val="20"/>
          <w:szCs w:val="20"/>
          <w:lang w:val="es-ES_tradnl"/>
        </w:rPr>
      </w:pPr>
    </w:p>
    <w:p w14:paraId="7BB77E47" w14:textId="77777777" w:rsidR="00FC7AB4" w:rsidRPr="00C13395" w:rsidRDefault="00FC7AB4" w:rsidP="00FC7AB4">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49745996" w14:textId="77777777" w:rsidR="00FC7AB4" w:rsidRDefault="00FC7AB4" w:rsidP="00FC7AB4">
      <w:pPr>
        <w:spacing w:after="0" w:line="276" w:lineRule="auto"/>
        <w:ind w:firstLine="708"/>
        <w:jc w:val="both"/>
        <w:rPr>
          <w:rFonts w:ascii="Verdana" w:eastAsia="Century Gothic" w:hAnsi="Verdana" w:cs="Century Gothic"/>
          <w:bCs/>
          <w:lang w:val="es-ES_tradnl"/>
        </w:rPr>
      </w:pPr>
    </w:p>
    <w:p w14:paraId="0F9DA9A2" w14:textId="77777777" w:rsidR="00FC7AB4" w:rsidRPr="00C13395" w:rsidRDefault="00FC7AB4" w:rsidP="0DEBA8FA">
      <w:pPr>
        <w:spacing w:after="120" w:line="276" w:lineRule="auto"/>
        <w:ind w:firstLine="708"/>
        <w:jc w:val="both"/>
        <w:rPr>
          <w:rFonts w:ascii="Verdana" w:eastAsia="Century Gothic" w:hAnsi="Verdana" w:cs="Century Gothic"/>
          <w:lang w:val="es-ES"/>
        </w:rPr>
      </w:pPr>
      <w:r w:rsidRPr="0DEBA8FA">
        <w:rPr>
          <w:rFonts w:ascii="Verdana" w:eastAsia="Century Gothic" w:hAnsi="Verdana" w:cs="Century Gothic"/>
          <w:lang w:val="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w:t>
      </w:r>
      <w:proofErr w:type="gramStart"/>
      <w:r w:rsidRPr="0DEBA8FA">
        <w:rPr>
          <w:rFonts w:ascii="Verdana" w:eastAsia="Century Gothic" w:hAnsi="Verdana" w:cs="Century Gothic"/>
          <w:lang w:val="es-ES"/>
        </w:rPr>
        <w:t>Además</w:t>
      </w:r>
      <w:proofErr w:type="gramEnd"/>
      <w:r w:rsidRPr="0DEBA8FA">
        <w:rPr>
          <w:rFonts w:ascii="Verdana" w:eastAsia="Century Gothic" w:hAnsi="Verdana" w:cs="Century Gothic"/>
          <w:lang w:val="es-ES"/>
        </w:rPr>
        <w:t xml:space="preserve"> lo es con la posterior creación de la modalidad de mínima cuantía establecida actualmente en el numeral 5 del artículo 2 de la Ley 1150 de 2007, de acuerdo con las modificaciones realizadas por leyes posteriores.</w:t>
      </w:r>
    </w:p>
    <w:p w14:paraId="2E817309"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3726E92D"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w:t>
      </w:r>
      <w:r w:rsidRPr="00C13395">
        <w:rPr>
          <w:rFonts w:ascii="Verdana" w:eastAsia="Century Gothic" w:hAnsi="Verdana" w:cs="Century Gothic"/>
          <w:bCs/>
          <w:lang w:val="es-ES_tradnl"/>
        </w:rPr>
        <w:lastRenderedPageBreak/>
        <w:t xml:space="preserve">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6ACC3312" w14:textId="77777777" w:rsidR="00FC7AB4" w:rsidRPr="00C13395" w:rsidRDefault="00FC7AB4" w:rsidP="00FC7AB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6D01D92" w14:textId="77777777" w:rsidR="00FC7AB4" w:rsidRPr="00C13395" w:rsidRDefault="00FC7AB4" w:rsidP="00FC7AB4">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58C54A14" w14:textId="25302617" w:rsidR="00FC7AB4" w:rsidRPr="003B436E" w:rsidRDefault="00FC7AB4" w:rsidP="003B436E">
      <w:pPr>
        <w:spacing w:after="0" w:line="276" w:lineRule="auto"/>
        <w:ind w:firstLine="709"/>
        <w:jc w:val="both"/>
        <w:rPr>
          <w:rFonts w:eastAsia="Century Gothic" w:cs="Century Gothic"/>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1EBF039B" w14:textId="6A320F5D" w:rsidR="00B17250" w:rsidRPr="00603690" w:rsidRDefault="00FC7AB4" w:rsidP="003B436E">
      <w:pPr>
        <w:pStyle w:val="Textoindependiente"/>
        <w:spacing w:before="240" w:after="240" w:line="276" w:lineRule="auto"/>
        <w:ind w:firstLine="0"/>
        <w:jc w:val="both"/>
        <w:rPr>
          <w:rFonts w:eastAsia="Arial" w:cs="Arial"/>
          <w:color w:val="000000" w:themeColor="text1"/>
        </w:rPr>
      </w:pPr>
      <w:r>
        <w:rPr>
          <w:rFonts w:eastAsia="Calibri" w:cs="Arial"/>
          <w:color w:val="000000" w:themeColor="text1"/>
        </w:rPr>
        <w:t>ii</w:t>
      </w:r>
      <w:r w:rsidR="0075610E" w:rsidRPr="00603690">
        <w:rPr>
          <w:rFonts w:eastAsia="Calibri" w:cs="Arial"/>
          <w:color w:val="000000" w:themeColor="text1"/>
        </w:rPr>
        <w:t>i)</w:t>
      </w:r>
      <w:r w:rsidR="0075610E" w:rsidRPr="00603690">
        <w:t xml:space="preserve"> </w:t>
      </w:r>
      <w:r>
        <w:t xml:space="preserve">Acotado lo concerniente a la Ley de Garantías Electorales, corresponde adentrarse en el estudio sobre el contrato de arrendamiento. </w:t>
      </w:r>
      <w:r w:rsidR="0075610E" w:rsidRPr="00603690">
        <w:rPr>
          <w:rFonts w:eastAsia="Arial" w:cs="Arial"/>
          <w:color w:val="000000" w:themeColor="text1"/>
        </w:rPr>
        <w:t xml:space="preserve">El artículo 1º de la Ley 80 de 1993 –EGCAP– determina que su objetivo es disponer de reglas y principios que rigen los contratos de las Entidades Estatales. En ese sentido, el artículo 32 </w:t>
      </w:r>
      <w:r w:rsidR="0075610E" w:rsidRPr="00603690">
        <w:rPr>
          <w:rFonts w:eastAsia="Arial" w:cs="Arial"/>
          <w:i/>
          <w:iCs/>
          <w:color w:val="000000" w:themeColor="text1"/>
        </w:rPr>
        <w:t>ibidem</w:t>
      </w:r>
      <w:r w:rsidR="0075610E" w:rsidRPr="00603690">
        <w:rPr>
          <w:rFonts w:eastAsia="Arial" w:cs="Arial"/>
          <w:color w:val="000000" w:themeColor="text1"/>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00B17250">
        <w:rPr>
          <w:rFonts w:eastAsia="Arial" w:cs="Arial"/>
          <w:color w:val="000000" w:themeColor="text1"/>
        </w:rPr>
        <w:tab/>
      </w:r>
    </w:p>
    <w:p w14:paraId="27F2BBDA" w14:textId="77777777" w:rsidR="0075610E" w:rsidRPr="00603690" w:rsidRDefault="0075610E" w:rsidP="003B436E">
      <w:pPr>
        <w:pStyle w:val="Textoindependiente"/>
        <w:spacing w:before="240" w:after="240" w:line="276" w:lineRule="auto"/>
        <w:ind w:firstLine="708"/>
        <w:jc w:val="both"/>
      </w:pPr>
      <w:r w:rsidRPr="00603690">
        <w:lastRenderedPageBreak/>
        <w:t xml:space="preserve">De acuerdo con lo anterior, </w:t>
      </w:r>
      <w:bookmarkStart w:id="3" w:name="_Hlk150759794"/>
      <w:r w:rsidRPr="00603690">
        <w:t>para la definición de contrato estatal basta con que una de las Entidades que enumera el artículo 2º de la Ley 80 de 1993</w:t>
      </w:r>
      <w:r w:rsidRPr="00603690">
        <w:rPr>
          <w:vertAlign w:val="superscript"/>
        </w:rPr>
        <w:footnoteReference w:id="1"/>
      </w:r>
      <w:r w:rsidRPr="00603690">
        <w:t xml:space="preserve"> sea una de las partes, sin importar el extremo de la relación jurídico negocial que</w:t>
      </w:r>
      <w:r w:rsidRPr="00603690">
        <w:rPr>
          <w:spacing w:val="-14"/>
        </w:rPr>
        <w:t xml:space="preserve"> </w:t>
      </w:r>
      <w:r w:rsidRPr="00603690">
        <w:t>asuma. Al respecto, el Consejo de Estado ha sostenido que el criterio definitorio de un contrato estatal es que haya sido celebrado por una Entidad Estatal</w:t>
      </w:r>
      <w:bookmarkEnd w:id="3"/>
      <w:r w:rsidRPr="00603690">
        <w:t>:</w:t>
      </w:r>
    </w:p>
    <w:p w14:paraId="43F7DFA5" w14:textId="3EC60009" w:rsidR="0075610E" w:rsidRDefault="0075610E" w:rsidP="00513AC5">
      <w:pPr>
        <w:widowControl w:val="0"/>
        <w:tabs>
          <w:tab w:val="left" w:pos="7797"/>
        </w:tabs>
        <w:autoSpaceDE w:val="0"/>
        <w:autoSpaceDN w:val="0"/>
        <w:spacing w:after="0"/>
        <w:ind w:left="709" w:right="709"/>
        <w:contextualSpacing/>
        <w:jc w:val="both"/>
        <w:rPr>
          <w:rFonts w:ascii="Verdana" w:eastAsia="Arial" w:hAnsi="Verdana" w:cs="Arial"/>
          <w:color w:val="000000" w:themeColor="text1"/>
          <w:sz w:val="20"/>
          <w:szCs w:val="20"/>
          <w:lang w:val="es-ES"/>
        </w:rPr>
      </w:pPr>
      <w:r w:rsidRPr="00603690">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603690">
        <w:rPr>
          <w:rFonts w:ascii="Verdana" w:eastAsia="Arial" w:hAnsi="Verdana" w:cs="Arial"/>
          <w:color w:val="000000" w:themeColor="text1"/>
          <w:spacing w:val="-4"/>
          <w:sz w:val="20"/>
          <w:szCs w:val="20"/>
          <w:lang w:val="es-ES"/>
        </w:rPr>
        <w:t xml:space="preserve"> </w:t>
      </w:r>
      <w:r w:rsidRPr="00603690">
        <w:rPr>
          <w:rFonts w:ascii="Verdana" w:eastAsia="Arial" w:hAnsi="Verdana" w:cs="Arial"/>
          <w:color w:val="000000" w:themeColor="text1"/>
          <w:sz w:val="20"/>
          <w:szCs w:val="20"/>
          <w:lang w:val="es-ES"/>
        </w:rPr>
        <w:t>públicas”</w:t>
      </w:r>
      <w:r w:rsidRPr="00603690">
        <w:rPr>
          <w:rFonts w:ascii="Verdana" w:eastAsia="Arial" w:hAnsi="Verdana" w:cs="Arial"/>
          <w:color w:val="000000" w:themeColor="text1"/>
          <w:sz w:val="20"/>
          <w:szCs w:val="20"/>
          <w:vertAlign w:val="superscript"/>
          <w:lang w:val="es-ES"/>
        </w:rPr>
        <w:footnoteReference w:id="2"/>
      </w:r>
      <w:r w:rsidRPr="00603690">
        <w:rPr>
          <w:rFonts w:ascii="Verdana" w:eastAsia="Arial" w:hAnsi="Verdana" w:cs="Arial"/>
          <w:color w:val="000000" w:themeColor="text1"/>
          <w:sz w:val="20"/>
          <w:szCs w:val="20"/>
          <w:lang w:val="es-ES"/>
        </w:rPr>
        <w:t>.</w:t>
      </w:r>
    </w:p>
    <w:p w14:paraId="174BA000" w14:textId="77777777" w:rsidR="0075610E" w:rsidRPr="00603690" w:rsidRDefault="0075610E" w:rsidP="00513AC5">
      <w:pPr>
        <w:widowControl w:val="0"/>
        <w:autoSpaceDE w:val="0"/>
        <w:autoSpaceDN w:val="0"/>
        <w:spacing w:before="240" w:after="120" w:line="276" w:lineRule="auto"/>
        <w:ind w:firstLine="607"/>
        <w:jc w:val="both"/>
        <w:rPr>
          <w:rFonts w:ascii="Verdana" w:eastAsia="Arial" w:hAnsi="Verdana" w:cs="Arial"/>
          <w:color w:val="000000" w:themeColor="text1"/>
          <w:lang w:val="es-ES"/>
        </w:rPr>
      </w:pPr>
      <w:r w:rsidRPr="00603690">
        <w:rPr>
          <w:rFonts w:ascii="Verdana" w:eastAsia="Arial" w:hAnsi="Verdana" w:cs="Arial"/>
          <w:color w:val="000000" w:themeColor="text1"/>
          <w:lang w:val="es-ES"/>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4B45D86C" w14:textId="77777777" w:rsidR="0075610E" w:rsidRPr="00603690" w:rsidRDefault="0075610E" w:rsidP="0075610E">
      <w:pPr>
        <w:widowControl w:val="0"/>
        <w:autoSpaceDE w:val="0"/>
        <w:autoSpaceDN w:val="0"/>
        <w:spacing w:after="120" w:line="276" w:lineRule="auto"/>
        <w:ind w:firstLine="607"/>
        <w:jc w:val="both"/>
        <w:rPr>
          <w:rFonts w:ascii="Verdana" w:eastAsia="Arial" w:hAnsi="Verdana" w:cs="Arial"/>
          <w:color w:val="000000" w:themeColor="text1"/>
          <w:lang w:val="es-ES"/>
        </w:rPr>
      </w:pPr>
      <w:r w:rsidRPr="00603690">
        <w:rPr>
          <w:rFonts w:ascii="Verdana" w:eastAsia="Arial" w:hAnsi="Verdana" w:cs="Arial"/>
          <w:color w:val="000000" w:themeColor="text1"/>
          <w:lang w:val="es-ES"/>
        </w:rPr>
        <w:t>Los artículos 13 y 40 de la Ley 80 de 1993 integran al derecho contractual estatal “las disposiciones comerciales y civiles pertinentes”, cuando indican que estos se regirán de forma supletiva por ese régimen jurídico, salvo en las materias expresa y particularmente reguladas por el EGCAP. Lo anterior, permite concluir que “mediante la Ley 80, se pretendió que la actividad contractual del Estado quedará</w:t>
      </w:r>
      <w:r w:rsidRPr="00603690">
        <w:rPr>
          <w:rFonts w:ascii="Verdana" w:eastAsia="Arial" w:hAnsi="Verdana" w:cs="Arial"/>
          <w:lang w:val="es-ES"/>
        </w:rPr>
        <w:t xml:space="preserve"> </w:t>
      </w:r>
      <w:r w:rsidRPr="00603690">
        <w:rPr>
          <w:rFonts w:ascii="Verdana" w:eastAsia="Arial" w:hAnsi="Verdana" w:cs="Arial"/>
          <w:color w:val="000000" w:themeColor="text1"/>
          <w:lang w:val="es-ES"/>
        </w:rPr>
        <w:t>bajo la égida del contrato estatal, caracterizado por tener un régimen jurídico mixto, integrado por normas de derecho público y derecho privado”</w:t>
      </w:r>
      <w:r w:rsidRPr="00603690">
        <w:rPr>
          <w:rFonts w:ascii="Verdana" w:eastAsia="Arial" w:hAnsi="Verdana" w:cs="Arial"/>
          <w:color w:val="000000" w:themeColor="text1"/>
          <w:vertAlign w:val="superscript"/>
          <w:lang w:val="es-ES"/>
        </w:rPr>
        <w:footnoteReference w:id="3"/>
      </w:r>
      <w:r w:rsidRPr="00603690">
        <w:rPr>
          <w:rFonts w:ascii="Verdana" w:eastAsia="Arial" w:hAnsi="Verdana" w:cs="Arial"/>
          <w:color w:val="000000" w:themeColor="text1"/>
          <w:lang w:val="es-ES"/>
        </w:rPr>
        <w:t xml:space="preserve">. </w:t>
      </w:r>
    </w:p>
    <w:p w14:paraId="518C7875" w14:textId="77777777" w:rsidR="0075610E" w:rsidRDefault="0075610E" w:rsidP="0075610E">
      <w:pPr>
        <w:spacing w:after="0" w:line="276" w:lineRule="auto"/>
        <w:ind w:firstLine="709"/>
        <w:jc w:val="both"/>
        <w:rPr>
          <w:rFonts w:ascii="Verdana" w:eastAsia="Calibri" w:hAnsi="Verdana" w:cs="Arial"/>
          <w:lang w:val="es-ES"/>
        </w:rPr>
      </w:pPr>
      <w:bookmarkStart w:id="4" w:name="_Hlk121750642"/>
      <w:r w:rsidRPr="00603690">
        <w:rPr>
          <w:rFonts w:ascii="Verdana" w:hAnsi="Verdana" w:cs="Arial"/>
          <w:color w:val="000000" w:themeColor="text1"/>
          <w:lang w:val="es-ES"/>
        </w:rPr>
        <w:lastRenderedPageBreak/>
        <w:t xml:space="preserve">Ahora bien, es preciso mencionar que las </w:t>
      </w:r>
      <w:r w:rsidRPr="00603690">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 al que se refiere en su consulta –, comodato o administración, en los que además de las disposiciones del EGCAP deberán aplicarse en su mayoría normas de derecho privado, lo que de ninguna manera desvirtúa la calidad de estatal de dichos contratos. </w:t>
      </w:r>
      <w:bookmarkEnd w:id="4"/>
    </w:p>
    <w:p w14:paraId="14F5F673" w14:textId="77777777" w:rsidR="0075610E" w:rsidRPr="00603690" w:rsidRDefault="0075610E" w:rsidP="0075610E">
      <w:pPr>
        <w:spacing w:before="120" w:after="120" w:line="276" w:lineRule="auto"/>
        <w:ind w:firstLine="709"/>
        <w:jc w:val="both"/>
        <w:rPr>
          <w:rFonts w:ascii="Verdana" w:eastAsia="Calibri" w:hAnsi="Verdana" w:cs="Arial"/>
          <w:lang w:val="es-ES"/>
        </w:rPr>
      </w:pPr>
      <w:r w:rsidRPr="00603690">
        <w:rPr>
          <w:rFonts w:ascii="Verdana" w:eastAsia="Calibri" w:hAnsi="Verdana" w:cs="Arial"/>
          <w:color w:val="000000" w:themeColor="text1"/>
          <w:lang w:val="es-ES"/>
        </w:rPr>
        <w:t xml:space="preserve">Teniendo en cuenta el objeto de su consulta, es pertinente indicar que </w:t>
      </w:r>
      <w:r w:rsidRPr="00603690">
        <w:rPr>
          <w:rFonts w:ascii="Verdana" w:hAnsi="Verdana" w:cs="Arial"/>
          <w:bCs/>
          <w:color w:val="000000" w:themeColor="text1"/>
          <w:lang w:val="es-ES"/>
        </w:rPr>
        <w:t>la Ley 80 de 1993</w:t>
      </w:r>
      <w:r w:rsidRPr="00603690">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603690">
        <w:rPr>
          <w:rStyle w:val="Refdenotaalpie"/>
          <w:rFonts w:ascii="Verdana" w:hAnsi="Verdana" w:cs="Arial"/>
          <w:bCs/>
          <w:color w:val="000000" w:themeColor="text1"/>
          <w:lang w:val="es-ES"/>
        </w:rPr>
        <w:footnoteReference w:id="4"/>
      </w:r>
      <w:r w:rsidRPr="00603690">
        <w:rPr>
          <w:rFonts w:ascii="Verdana" w:hAnsi="Verdana" w:cs="Arial"/>
          <w:lang w:val="es-ES"/>
        </w:rPr>
        <w:t xml:space="preserve">. Entre los contratos que enuncia el artículo 32 </w:t>
      </w:r>
      <w:r w:rsidRPr="00603690">
        <w:rPr>
          <w:rFonts w:ascii="Verdana" w:hAnsi="Verdana" w:cs="Arial"/>
          <w:i/>
          <w:iCs/>
          <w:lang w:val="es-ES"/>
        </w:rPr>
        <w:t>ibidem</w:t>
      </w:r>
      <w:r w:rsidRPr="00603690">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3AFC5A5E" w14:textId="77777777" w:rsidR="0075610E" w:rsidRPr="00603690" w:rsidRDefault="0075610E" w:rsidP="0075610E">
      <w:pPr>
        <w:spacing w:after="120" w:line="276" w:lineRule="auto"/>
        <w:ind w:firstLine="708"/>
        <w:jc w:val="both"/>
        <w:rPr>
          <w:rFonts w:ascii="Verdana" w:hAnsi="Verdana" w:cs="Arial"/>
          <w:bCs/>
          <w:color w:val="000000" w:themeColor="text1"/>
          <w:lang w:val="es-ES"/>
        </w:rPr>
      </w:pPr>
      <w:r w:rsidRPr="00603690">
        <w:rPr>
          <w:rFonts w:ascii="Verdana" w:hAnsi="Verdana" w:cs="Arial"/>
          <w:lang w:val="es-ES" w:eastAsia="es-MX"/>
        </w:rPr>
        <w:t xml:space="preserve">Aunque el contrato de arrendamiento no </w:t>
      </w:r>
      <w:r>
        <w:rPr>
          <w:rFonts w:ascii="Verdana" w:hAnsi="Verdana" w:cs="Arial"/>
          <w:lang w:val="es-ES" w:eastAsia="es-MX"/>
        </w:rPr>
        <w:t xml:space="preserve">hace parte </w:t>
      </w:r>
      <w:r w:rsidRPr="00603690">
        <w:rPr>
          <w:rFonts w:ascii="Verdana" w:hAnsi="Verdana" w:cs="Arial"/>
          <w:lang w:val="es-ES" w:eastAsia="es-MX"/>
        </w:rPr>
        <w:t>del listado enunciativo del</w:t>
      </w:r>
      <w:r w:rsidRPr="00603690">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w:t>
      </w:r>
      <w:r>
        <w:rPr>
          <w:rFonts w:ascii="Verdana" w:hAnsi="Verdana" w:cs="Arial"/>
          <w:bCs/>
          <w:color w:val="000000" w:themeColor="text1"/>
          <w:lang w:val="es-ES"/>
        </w:rPr>
        <w:t>T</w:t>
      </w:r>
      <w:r w:rsidRPr="00603690">
        <w:rPr>
          <w:rFonts w:ascii="Verdana" w:hAnsi="Verdana" w:cs="Arial"/>
          <w:bCs/>
          <w:color w:val="000000" w:themeColor="text1"/>
          <w:lang w:val="es-ES"/>
        </w:rPr>
        <w: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7E2391A6" w14:textId="77777777" w:rsidR="0075610E" w:rsidRDefault="0075610E" w:rsidP="0075610E">
      <w:pPr>
        <w:spacing w:after="120" w:line="276" w:lineRule="auto"/>
        <w:ind w:firstLine="708"/>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w:t>
      </w:r>
      <w:r w:rsidRPr="00603690">
        <w:rPr>
          <w:rFonts w:ascii="Verdana" w:eastAsia="Calibri" w:hAnsi="Verdana" w:cs="Arial"/>
          <w:color w:val="000000" w:themeColor="text1"/>
          <w:lang w:val="es-ES"/>
        </w:rPr>
        <w:lastRenderedPageBreak/>
        <w:t>de una renta o canon, diferenciándose del contrato de compraventa en que no opera una transferencia del dominio del bien cuyo uso y goce se entrega.</w:t>
      </w:r>
    </w:p>
    <w:p w14:paraId="359794C7" w14:textId="77777777" w:rsidR="0075610E" w:rsidRPr="00603690" w:rsidRDefault="0075610E" w:rsidP="0075610E">
      <w:pPr>
        <w:spacing w:after="120" w:line="276" w:lineRule="auto"/>
        <w:ind w:firstLine="708"/>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En cuanto a sus características, la doctrina ha indicado que el arrendamiento es un contrato: i) bilateral, pues ambas partes se obligan recíprocamente; ii) consensual, dado que se perfecciona con el consentimiento; iii) oneroso, ya que ambas partes obtienen utilidades –el arrendatario, el uso y goce del bien, y el arrendador la renta o canon–; iv) de ejecución sucesiva, en la medida en que se ejecuta en forma periódica; v) principal, porque existe en forma autónoma; y v</w:t>
      </w:r>
      <w:r>
        <w:rPr>
          <w:rFonts w:ascii="Verdana" w:eastAsia="Calibri" w:hAnsi="Verdana" w:cs="Arial"/>
          <w:color w:val="000000" w:themeColor="text1"/>
          <w:lang w:val="es-ES"/>
        </w:rPr>
        <w:t>i</w:t>
      </w:r>
      <w:r w:rsidRPr="00603690">
        <w:rPr>
          <w:rFonts w:ascii="Verdana" w:eastAsia="Calibri" w:hAnsi="Verdana" w:cs="Arial"/>
          <w:color w:val="000000" w:themeColor="text1"/>
          <w:lang w:val="es-ES"/>
        </w:rPr>
        <w:t>) nominado, porque está tipificado y desarrollado en la ley.</w:t>
      </w:r>
    </w:p>
    <w:p w14:paraId="1333595B" w14:textId="77777777" w:rsidR="0075610E" w:rsidRPr="00603690" w:rsidRDefault="0075610E" w:rsidP="0075610E">
      <w:pPr>
        <w:spacing w:after="120" w:line="276" w:lineRule="auto"/>
        <w:ind w:firstLine="709"/>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33F7C157" w14:textId="77777777" w:rsidR="0075610E" w:rsidRPr="00603690" w:rsidRDefault="0075610E" w:rsidP="0075610E">
      <w:pPr>
        <w:spacing w:after="120" w:line="276" w:lineRule="auto"/>
        <w:ind w:firstLine="709"/>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En contraste, si la entidad estatal se rige por el Estatuto General de Contratación de la Administración Pública, bien sea que obre en calidad de arrendadora o arrendataria, debe acudir a la modalidad de selección de contratación directa si arr</w:t>
      </w:r>
      <w:r>
        <w:rPr>
          <w:rFonts w:ascii="Verdana" w:eastAsia="Calibri" w:hAnsi="Verdana" w:cs="Arial"/>
          <w:color w:val="000000" w:themeColor="text1"/>
          <w:lang w:val="es-ES"/>
        </w:rPr>
        <w:t>ienda</w:t>
      </w:r>
      <w:r w:rsidRPr="00603690">
        <w:rPr>
          <w:rFonts w:ascii="Verdana" w:eastAsia="Calibri" w:hAnsi="Verdana" w:cs="Arial"/>
          <w:color w:val="000000" w:themeColor="text1"/>
          <w:lang w:val="es-ES"/>
        </w:rPr>
        <w:t xml:space="preserve"> un inmueble, pues el artículo 2º, numeral 4° literal i) de la Ley 1150 de 2007 establece que una de las causales de este procedimiento es “i) El arrendamiento o adquisición de inmuebles”. </w:t>
      </w:r>
    </w:p>
    <w:p w14:paraId="42C0F2CF" w14:textId="77777777" w:rsidR="0075610E" w:rsidRPr="00603690" w:rsidRDefault="0075610E" w:rsidP="0075610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 xml:space="preserve">l arrendamiento de inmuebles por parte de </w:t>
      </w: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 xml:space="preserve">ntidades </w:t>
      </w:r>
      <w:r>
        <w:rPr>
          <w:rFonts w:ascii="Verdana" w:eastAsia="Calibri" w:hAnsi="Verdana" w:cs="Arial"/>
          <w:color w:val="000000" w:themeColor="text1"/>
          <w:lang w:val="es-ES"/>
        </w:rPr>
        <w:t xml:space="preserve">Estatales </w:t>
      </w:r>
      <w:r w:rsidRPr="00603690">
        <w:rPr>
          <w:rFonts w:ascii="Verdana" w:eastAsia="Calibri" w:hAnsi="Verdana" w:cs="Arial"/>
          <w:color w:val="000000" w:themeColor="text1"/>
          <w:lang w:val="es-ES"/>
        </w:rPr>
        <w:t>fue reglamentado por el artículo 83 del Decreto 2474 de 2008</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el cual estableció que la entidad podía “contratar tomando como única consideración las condiciones del mercado”. De esta manera, </w:t>
      </w:r>
      <w:r>
        <w:rPr>
          <w:rFonts w:ascii="Verdana" w:eastAsia="Calibri" w:hAnsi="Verdana" w:cs="Arial"/>
          <w:color w:val="000000" w:themeColor="text1"/>
          <w:lang w:val="es-ES"/>
        </w:rPr>
        <w:t xml:space="preserve">la norma </w:t>
      </w:r>
      <w:r w:rsidRPr="00603690">
        <w:rPr>
          <w:rFonts w:ascii="Verdana" w:eastAsia="Calibri" w:hAnsi="Verdana" w:cs="Arial"/>
          <w:color w:val="000000" w:themeColor="text1"/>
          <w:lang w:val="es-ES"/>
        </w:rPr>
        <w:t>sujetó la fijación de las condiciones del contrato de arrendamiento, incluyendo el canon, a las dinámicas del mercado</w:t>
      </w:r>
      <w:r>
        <w:rPr>
          <w:rFonts w:ascii="Verdana" w:eastAsia="Calibri" w:hAnsi="Verdana" w:cs="Arial"/>
          <w:color w:val="000000" w:themeColor="text1"/>
          <w:lang w:val="es-ES"/>
        </w:rPr>
        <w:t xml:space="preserve">. Con esto, estableció una nueva regla con respecto a </w:t>
      </w:r>
      <w:r w:rsidRPr="00603690">
        <w:rPr>
          <w:rFonts w:ascii="Verdana" w:eastAsia="Calibri" w:hAnsi="Verdana" w:cs="Arial"/>
          <w:color w:val="000000" w:themeColor="text1"/>
          <w:lang w:val="es-ES"/>
        </w:rPr>
        <w:t xml:space="preserve">lo </w:t>
      </w:r>
      <w:r>
        <w:rPr>
          <w:rFonts w:ascii="Verdana" w:eastAsia="Calibri" w:hAnsi="Verdana" w:cs="Arial"/>
          <w:color w:val="000000" w:themeColor="text1"/>
          <w:lang w:val="es-ES"/>
        </w:rPr>
        <w:t xml:space="preserve">previamente regulado por </w:t>
      </w:r>
      <w:r w:rsidRPr="00603690">
        <w:rPr>
          <w:rFonts w:ascii="Verdana" w:eastAsia="Calibri" w:hAnsi="Verdana" w:cs="Arial"/>
          <w:color w:val="000000" w:themeColor="text1"/>
          <w:lang w:val="es-ES"/>
        </w:rPr>
        <w:t>el Decreto 1376 de 1986 que establecía topes porcentuales para fijar el precio del arrendamiento</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según el avalúo catastral del bien inmueble.</w:t>
      </w:r>
      <w:r>
        <w:rPr>
          <w:rFonts w:ascii="Verdana" w:eastAsia="Calibri" w:hAnsi="Verdana" w:cs="Arial"/>
          <w:color w:val="000000" w:themeColor="text1"/>
          <w:lang w:val="es-ES"/>
        </w:rPr>
        <w:t xml:space="preserve"> De esta forma</w:t>
      </w:r>
      <w:r w:rsidRPr="00603690">
        <w:rPr>
          <w:rFonts w:ascii="Verdana" w:eastAsia="Calibri" w:hAnsi="Verdana" w:cs="Arial"/>
          <w:color w:val="000000" w:themeColor="text1"/>
          <w:lang w:val="es-ES"/>
        </w:rPr>
        <w:t xml:space="preserve">, el Decreto 2474 de 2008 </w:t>
      </w:r>
      <w:r>
        <w:rPr>
          <w:rFonts w:ascii="Verdana" w:eastAsia="Calibri" w:hAnsi="Verdana" w:cs="Arial"/>
          <w:color w:val="000000" w:themeColor="text1"/>
          <w:lang w:val="es-ES"/>
        </w:rPr>
        <w:t xml:space="preserve">derogó tácitamente lo señalado en el </w:t>
      </w:r>
      <w:r w:rsidRPr="00603690">
        <w:rPr>
          <w:rFonts w:ascii="Verdana" w:eastAsia="Calibri" w:hAnsi="Verdana" w:cs="Arial"/>
          <w:color w:val="000000" w:themeColor="text1"/>
          <w:lang w:val="es-ES"/>
        </w:rPr>
        <w:t>Decreto 1376 de 1986</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al </w:t>
      </w:r>
      <w:r>
        <w:rPr>
          <w:rFonts w:ascii="Verdana" w:eastAsia="Calibri" w:hAnsi="Verdana" w:cs="Arial"/>
          <w:color w:val="000000" w:themeColor="text1"/>
          <w:lang w:val="es-ES"/>
        </w:rPr>
        <w:t>tratarse de</w:t>
      </w:r>
      <w:r w:rsidRPr="00603690">
        <w:rPr>
          <w:rFonts w:ascii="Verdana" w:eastAsia="Calibri" w:hAnsi="Verdana" w:cs="Arial"/>
          <w:color w:val="000000" w:themeColor="text1"/>
          <w:lang w:val="es-ES"/>
        </w:rPr>
        <w:t xml:space="preserve"> una norma posterior que regula de manera específica</w:t>
      </w:r>
      <w:r>
        <w:rPr>
          <w:rFonts w:ascii="Verdana" w:eastAsia="Calibri" w:hAnsi="Verdana" w:cs="Arial"/>
          <w:color w:val="000000" w:themeColor="text1"/>
          <w:lang w:val="es-ES"/>
        </w:rPr>
        <w:t xml:space="preserve"> las condiciones para el arrendamiento de inmuebles por parte del Estado</w:t>
      </w:r>
      <w:r w:rsidRPr="00603690">
        <w:rPr>
          <w:rFonts w:ascii="Verdana" w:eastAsia="Calibri" w:hAnsi="Verdana" w:cs="Arial"/>
          <w:color w:val="000000" w:themeColor="text1"/>
          <w:lang w:val="es-ES"/>
        </w:rPr>
        <w:t>.</w:t>
      </w:r>
    </w:p>
    <w:p w14:paraId="7F2FBE9F" w14:textId="77777777" w:rsidR="0075610E" w:rsidRPr="00E4716B" w:rsidRDefault="0075610E" w:rsidP="0075610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Es importante tener en cuenta que e</w:t>
      </w:r>
      <w:r w:rsidRPr="00603690">
        <w:rPr>
          <w:rFonts w:ascii="Verdana" w:eastAsia="Calibri" w:hAnsi="Verdana" w:cs="Arial"/>
          <w:color w:val="000000" w:themeColor="text1"/>
          <w:lang w:val="es-ES"/>
        </w:rPr>
        <w:t>l Decreto 2474 de 2008 fue</w:t>
      </w:r>
      <w:r>
        <w:rPr>
          <w:rFonts w:ascii="Verdana" w:eastAsia="Calibri" w:hAnsi="Verdana" w:cs="Arial"/>
          <w:color w:val="000000" w:themeColor="text1"/>
          <w:lang w:val="es-ES"/>
        </w:rPr>
        <w:t xml:space="preserve"> </w:t>
      </w:r>
      <w:r w:rsidRPr="00603690">
        <w:rPr>
          <w:rFonts w:ascii="Verdana" w:eastAsia="Calibri" w:hAnsi="Verdana" w:cs="Arial"/>
          <w:color w:val="000000" w:themeColor="text1"/>
          <w:lang w:val="es-ES"/>
        </w:rPr>
        <w:t xml:space="preserve">posteriormente derogado por el artículo 9.2 del Decreto 734 de 2012, </w:t>
      </w:r>
      <w:r>
        <w:rPr>
          <w:rFonts w:ascii="Verdana" w:eastAsia="Calibri" w:hAnsi="Verdana" w:cs="Arial"/>
          <w:color w:val="000000" w:themeColor="text1"/>
          <w:lang w:val="es-ES"/>
        </w:rPr>
        <w:t xml:space="preserve">a su vez </w:t>
      </w:r>
      <w:r w:rsidRPr="00603690">
        <w:rPr>
          <w:rFonts w:ascii="Verdana" w:eastAsia="Calibri" w:hAnsi="Verdana" w:cs="Arial"/>
          <w:color w:val="000000" w:themeColor="text1"/>
          <w:lang w:val="es-ES"/>
        </w:rPr>
        <w:t xml:space="preserve">derogado por el Decreto 1510 de 2013, norma </w:t>
      </w:r>
      <w:r>
        <w:rPr>
          <w:rFonts w:ascii="Verdana" w:eastAsia="Calibri" w:hAnsi="Verdana" w:cs="Arial"/>
          <w:color w:val="000000" w:themeColor="text1"/>
          <w:lang w:val="es-ES"/>
        </w:rPr>
        <w:t xml:space="preserve">que fue finalmente </w:t>
      </w:r>
      <w:r w:rsidRPr="00603690">
        <w:rPr>
          <w:rFonts w:ascii="Verdana" w:eastAsia="Calibri" w:hAnsi="Verdana" w:cs="Arial"/>
          <w:color w:val="000000" w:themeColor="text1"/>
          <w:lang w:val="es-ES"/>
        </w:rPr>
        <w:t>compilada en el Decreto 1082 de 2015</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actualmente vigente. En este sentido, las condiciones de los contratos de arrendamiento de bienes inmuebles que adelanten las entidades sometidas al Estatuto General de Contratación de la Administración Pública se regirán por lo dispuesto en la Ley 80 de 1993, la Ley 1150 de 2007 y su </w:t>
      </w:r>
      <w:r>
        <w:rPr>
          <w:rFonts w:ascii="Verdana" w:eastAsia="Calibri" w:hAnsi="Verdana" w:cs="Arial"/>
          <w:color w:val="000000" w:themeColor="text1"/>
          <w:lang w:val="es-ES"/>
        </w:rPr>
        <w:t xml:space="preserve">el </w:t>
      </w:r>
      <w:r w:rsidRPr="00603690">
        <w:rPr>
          <w:rFonts w:ascii="Verdana" w:eastAsia="Calibri" w:hAnsi="Verdana" w:cs="Arial"/>
          <w:color w:val="000000" w:themeColor="text1"/>
          <w:lang w:val="es-ES"/>
        </w:rPr>
        <w:t>Decreto</w:t>
      </w:r>
      <w:r>
        <w:rPr>
          <w:rFonts w:ascii="Verdana" w:eastAsia="Calibri" w:hAnsi="Verdana" w:cs="Arial"/>
          <w:color w:val="000000" w:themeColor="text1"/>
          <w:lang w:val="es-ES"/>
        </w:rPr>
        <w:t xml:space="preserve"> 1082 de 2015</w:t>
      </w:r>
      <w:r w:rsidRPr="00603690">
        <w:rPr>
          <w:rFonts w:ascii="Verdana" w:eastAsia="Calibri" w:hAnsi="Verdana" w:cs="Arial"/>
          <w:color w:val="000000" w:themeColor="text1"/>
          <w:lang w:val="es-ES"/>
        </w:rPr>
        <w:t xml:space="preserve">, así como por la normativa civil y comercial </w:t>
      </w:r>
      <w:r>
        <w:rPr>
          <w:rFonts w:ascii="Verdana" w:eastAsia="Calibri" w:hAnsi="Verdana" w:cs="Arial"/>
          <w:color w:val="000000" w:themeColor="text1"/>
          <w:lang w:val="es-ES"/>
        </w:rPr>
        <w:t>que resulte pertinente de manera supletiva</w:t>
      </w:r>
      <w:r w:rsidRPr="00603690">
        <w:rPr>
          <w:rFonts w:ascii="Verdana" w:eastAsia="Calibri" w:hAnsi="Verdana" w:cs="Arial"/>
          <w:color w:val="000000" w:themeColor="text1"/>
          <w:lang w:val="es-ES"/>
        </w:rPr>
        <w:t>. En particular,</w:t>
      </w:r>
      <w:r>
        <w:rPr>
          <w:rFonts w:ascii="Verdana" w:eastAsia="Calibri" w:hAnsi="Verdana" w:cs="Arial"/>
          <w:color w:val="000000" w:themeColor="text1"/>
          <w:lang w:val="es-ES"/>
        </w:rPr>
        <w:t xml:space="preserve"> </w:t>
      </w:r>
      <w:r w:rsidRPr="00603690">
        <w:rPr>
          <w:rFonts w:ascii="Verdana" w:hAnsi="Verdana"/>
          <w:bCs/>
          <w:color w:val="000000" w:themeColor="text1"/>
          <w:lang w:val="es-ES" w:eastAsia="es-ES_tradnl"/>
        </w:rPr>
        <w:t xml:space="preserve">el artículo 2.2.1.2.1.4.11 </w:t>
      </w:r>
      <w:r>
        <w:rPr>
          <w:rFonts w:ascii="Verdana" w:hAnsi="Verdana"/>
          <w:bCs/>
          <w:color w:val="000000" w:themeColor="text1"/>
          <w:lang w:val="es-ES" w:eastAsia="es-ES_tradnl"/>
        </w:rPr>
        <w:t xml:space="preserve">dispone que las Entidades Estatales arrendarán bienes </w:t>
      </w:r>
      <w:r w:rsidRPr="00603690">
        <w:rPr>
          <w:rFonts w:ascii="Verdana" w:hAnsi="Verdana"/>
          <w:bCs/>
          <w:color w:val="000000" w:themeColor="text1"/>
          <w:lang w:val="es-ES" w:eastAsia="es-ES_tradnl"/>
        </w:rPr>
        <w:t xml:space="preserve">inmuebles mediante </w:t>
      </w:r>
      <w:r>
        <w:rPr>
          <w:rFonts w:ascii="Verdana" w:hAnsi="Verdana"/>
          <w:bCs/>
          <w:color w:val="000000" w:themeColor="text1"/>
          <w:lang w:val="es-ES" w:eastAsia="es-ES_tradnl"/>
        </w:rPr>
        <w:t xml:space="preserve">la modalidad de selección de </w:t>
      </w:r>
      <w:r w:rsidRPr="00603690">
        <w:rPr>
          <w:rFonts w:ascii="Verdana" w:hAnsi="Verdana"/>
          <w:bCs/>
          <w:color w:val="000000" w:themeColor="text1"/>
          <w:lang w:val="es-ES" w:eastAsia="es-ES_tradnl"/>
        </w:rPr>
        <w:t>contratación</w:t>
      </w:r>
      <w:r>
        <w:rPr>
          <w:rFonts w:ascii="Verdana" w:hAnsi="Verdana"/>
          <w:bCs/>
          <w:color w:val="000000" w:themeColor="text1"/>
          <w:lang w:val="es-ES" w:eastAsia="es-ES_tradnl"/>
        </w:rPr>
        <w:t xml:space="preserve"> directa, para lo cual tienen la obligación de</w:t>
      </w:r>
      <w:r w:rsidRPr="00603690">
        <w:rPr>
          <w:rFonts w:ascii="Verdana" w:hAnsi="Verdana"/>
          <w:bCs/>
          <w:color w:val="000000" w:themeColor="text1"/>
          <w:lang w:val="es-ES" w:eastAsia="es-ES_tradnl"/>
        </w:rPr>
        <w:t xml:space="preserve">: </w:t>
      </w:r>
    </w:p>
    <w:p w14:paraId="65B0C847" w14:textId="77777777" w:rsidR="0075610E" w:rsidRPr="00603690" w:rsidRDefault="0075610E" w:rsidP="0075610E">
      <w:pPr>
        <w:spacing w:after="0" w:line="240" w:lineRule="auto"/>
        <w:ind w:left="709" w:right="709"/>
        <w:jc w:val="both"/>
        <w:rPr>
          <w:rFonts w:ascii="Verdana" w:eastAsia="Calibri" w:hAnsi="Verdana" w:cs="Arial"/>
          <w:sz w:val="20"/>
          <w:szCs w:val="20"/>
          <w:lang w:val="es-ES"/>
        </w:rPr>
      </w:pPr>
      <w:r w:rsidRPr="00603690">
        <w:rPr>
          <w:rFonts w:ascii="Verdana" w:eastAsia="Calibri" w:hAnsi="Verdana" w:cs="Arial"/>
          <w:sz w:val="20"/>
          <w:szCs w:val="20"/>
          <w:lang w:val="es-ES"/>
        </w:rPr>
        <w:t xml:space="preserve">“1.    Verificar las </w:t>
      </w:r>
      <w:r w:rsidRPr="00603690">
        <w:rPr>
          <w:rFonts w:ascii="Verdana" w:eastAsia="Calibri" w:hAnsi="Verdana" w:cs="Arial"/>
          <w:i/>
          <w:iCs/>
          <w:sz w:val="20"/>
          <w:szCs w:val="20"/>
          <w:lang w:val="es-ES"/>
        </w:rPr>
        <w:t>condiciones del mercado inmobiliario</w:t>
      </w:r>
      <w:r w:rsidRPr="00603690">
        <w:rPr>
          <w:rFonts w:ascii="Verdana" w:eastAsia="Calibri" w:hAnsi="Verdana" w:cs="Arial"/>
          <w:sz w:val="20"/>
          <w:szCs w:val="20"/>
          <w:lang w:val="es-ES"/>
        </w:rPr>
        <w:t xml:space="preserve"> en la ciudad en la que la Entidad Estatal requiere el inmueble.</w:t>
      </w:r>
    </w:p>
    <w:p w14:paraId="4A0048FF" w14:textId="77777777" w:rsidR="0075610E" w:rsidRPr="00603690" w:rsidRDefault="0075610E" w:rsidP="0075610E">
      <w:pPr>
        <w:spacing w:after="0" w:line="240" w:lineRule="auto"/>
        <w:ind w:left="709" w:right="709"/>
        <w:jc w:val="both"/>
        <w:rPr>
          <w:rFonts w:ascii="Verdana" w:eastAsia="Calibri" w:hAnsi="Verdana" w:cs="Arial"/>
          <w:sz w:val="20"/>
          <w:szCs w:val="20"/>
          <w:lang w:val="es-ES"/>
        </w:rPr>
      </w:pPr>
    </w:p>
    <w:p w14:paraId="07FD4C7C" w14:textId="77777777" w:rsidR="0075610E" w:rsidRPr="00603690" w:rsidRDefault="0075610E" w:rsidP="0075610E">
      <w:pPr>
        <w:spacing w:after="0" w:line="240" w:lineRule="auto"/>
        <w:ind w:left="709" w:right="709"/>
        <w:jc w:val="both"/>
        <w:rPr>
          <w:rFonts w:ascii="Verdana" w:eastAsia="Calibri" w:hAnsi="Verdana" w:cs="Arial"/>
          <w:sz w:val="20"/>
          <w:szCs w:val="20"/>
          <w:lang w:val="es-ES"/>
        </w:rPr>
      </w:pPr>
      <w:r w:rsidRPr="00603690">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1B6BEF77" w14:textId="77777777" w:rsidR="0075610E" w:rsidRPr="00603690" w:rsidRDefault="0075610E" w:rsidP="0075610E">
      <w:pPr>
        <w:spacing w:after="0" w:line="276" w:lineRule="auto"/>
        <w:ind w:firstLine="357"/>
        <w:jc w:val="both"/>
        <w:rPr>
          <w:rFonts w:ascii="Verdana" w:hAnsi="Verdana"/>
          <w:color w:val="000000" w:themeColor="text1"/>
          <w:lang w:val="es-ES" w:eastAsia="es-ES"/>
        </w:rPr>
      </w:pPr>
    </w:p>
    <w:p w14:paraId="16CE6779" w14:textId="709E6BE3" w:rsidR="0075610E" w:rsidRDefault="0075610E" w:rsidP="0075610E">
      <w:pPr>
        <w:spacing w:after="120" w:line="276" w:lineRule="auto"/>
        <w:ind w:firstLine="708"/>
        <w:jc w:val="both"/>
        <w:rPr>
          <w:rFonts w:ascii="Verdana" w:hAnsi="Verdana"/>
          <w:color w:val="000000" w:themeColor="text1"/>
          <w:lang w:val="es-ES" w:eastAsia="es-ES"/>
        </w:rPr>
      </w:pPr>
      <w:r w:rsidRPr="00603690">
        <w:rPr>
          <w:rFonts w:ascii="Verdana" w:hAnsi="Verdana"/>
          <w:color w:val="000000" w:themeColor="text1"/>
          <w:lang w:val="es-ES" w:eastAsia="es-ES"/>
        </w:rPr>
        <w:t xml:space="preserve">Conforme lo anterior, la entidad debe elaborar los </w:t>
      </w:r>
      <w:proofErr w:type="gramStart"/>
      <w:r w:rsidRPr="00603690">
        <w:rPr>
          <w:rFonts w:ascii="Verdana" w:hAnsi="Verdana"/>
          <w:color w:val="000000" w:themeColor="text1"/>
          <w:lang w:val="es-ES" w:eastAsia="es-ES"/>
        </w:rPr>
        <w:t>estudios previos y documentos previos</w:t>
      </w:r>
      <w:proofErr w:type="gramEnd"/>
      <w:r w:rsidRPr="00603690">
        <w:rPr>
          <w:rFonts w:ascii="Verdana" w:hAnsi="Verdana"/>
          <w:color w:val="000000" w:themeColor="text1"/>
          <w:lang w:val="es-ES" w:eastAsia="es-ES"/>
        </w:rPr>
        <w:t xml:space="preserve"> y verificar las condiciones del mercado inmobiliario en la ciudad donde la Entidad Estatal requiere el documento </w:t>
      </w:r>
      <w:r>
        <w:rPr>
          <w:rFonts w:ascii="Verdana" w:hAnsi="Verdana"/>
          <w:color w:val="000000" w:themeColor="text1"/>
          <w:lang w:val="es-ES" w:eastAsia="es-ES"/>
        </w:rPr>
        <w:t xml:space="preserve">con el fin de </w:t>
      </w:r>
      <w:r w:rsidRPr="00603690">
        <w:rPr>
          <w:rFonts w:ascii="Verdana" w:hAnsi="Verdana"/>
          <w:color w:val="000000" w:themeColor="text1"/>
          <w:lang w:val="es-ES" w:eastAsia="es-ES"/>
        </w:rPr>
        <w:t xml:space="preserve">establecer </w:t>
      </w:r>
      <w:r w:rsidR="007A7FD4" w:rsidRPr="00603690">
        <w:rPr>
          <w:rFonts w:ascii="Verdana" w:hAnsi="Verdana"/>
          <w:color w:val="000000" w:themeColor="text1"/>
          <w:lang w:val="es-ES" w:eastAsia="es-ES"/>
        </w:rPr>
        <w:t>las condiciones</w:t>
      </w:r>
      <w:r w:rsidRPr="00603690">
        <w:rPr>
          <w:rFonts w:ascii="Verdana" w:hAnsi="Verdana"/>
          <w:color w:val="000000" w:themeColor="text1"/>
          <w:lang w:val="es-ES" w:eastAsia="es-ES"/>
        </w:rPr>
        <w:t xml:space="preserve"> del proceso, incluyendo el canon de arrendamiento. Además, tiene el deber analizar y comparar las condiciones de los bienes inmuebles que satisfacen sus necesidades; y de tener en cuenta los principios y objetivos del Sistema de Compra y Contratación Pública.</w:t>
      </w:r>
    </w:p>
    <w:p w14:paraId="1C260EB9" w14:textId="77777777" w:rsidR="004D3C46" w:rsidRPr="00D77DEE" w:rsidRDefault="004D3C46" w:rsidP="003B436E">
      <w:pPr>
        <w:pStyle w:val="Textoindependiente"/>
        <w:tabs>
          <w:tab w:val="left" w:pos="6225"/>
        </w:tabs>
        <w:spacing w:after="120" w:line="276" w:lineRule="auto"/>
        <w:jc w:val="both"/>
        <w:rPr>
          <w:rFonts w:eastAsia="Calibri" w:cs="Arial"/>
          <w:bCs/>
          <w:szCs w:val="24"/>
          <w:lang w:eastAsia="es-ES_tradnl"/>
        </w:rPr>
      </w:pPr>
      <w:r w:rsidRPr="00D77DEE">
        <w:rPr>
          <w:rFonts w:eastAsia="Calibri" w:cs="Arial"/>
          <w:bCs/>
          <w:szCs w:val="24"/>
          <w:lang w:eastAsia="es-ES_tradnl"/>
        </w:rPr>
        <w:t>Resulta pertinente señalar que</w:t>
      </w:r>
      <w:r>
        <w:rPr>
          <w:rFonts w:eastAsia="Calibri" w:cs="Arial"/>
          <w:bCs/>
          <w:szCs w:val="24"/>
          <w:lang w:eastAsia="es-ES_tradnl"/>
        </w:rPr>
        <w:t>,</w:t>
      </w:r>
      <w:r w:rsidRPr="00D77DEE">
        <w:rPr>
          <w:rFonts w:eastAsia="Calibri" w:cs="Arial"/>
          <w:bCs/>
          <w:szCs w:val="24"/>
          <w:lang w:eastAsia="es-ES_tradnl"/>
        </w:rPr>
        <w:t xml:space="preserve"> </w:t>
      </w:r>
      <w:r w:rsidRPr="00CE01E2">
        <w:rPr>
          <w:rFonts w:eastAsia="Calibri" w:cs="Arial"/>
          <w:bCs/>
          <w:szCs w:val="24"/>
          <w:lang w:eastAsia="es-ES_tradnl"/>
        </w:rPr>
        <w:t xml:space="preserve">la Ley de Garantías Electorales </w:t>
      </w:r>
      <w:r w:rsidRPr="000D3AA1">
        <w:rPr>
          <w:rFonts w:eastAsia="Calibri" w:cs="Arial"/>
          <w:bCs/>
          <w:szCs w:val="24"/>
          <w:lang w:eastAsia="es-ES_tradnl"/>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7B0FA1B3" w14:textId="77777777" w:rsidR="004D3C46" w:rsidRDefault="004D3C46" w:rsidP="004D3C46">
      <w:pPr>
        <w:pStyle w:val="Textoindependiente"/>
        <w:tabs>
          <w:tab w:val="left" w:pos="6225"/>
        </w:tabs>
        <w:spacing w:line="276" w:lineRule="auto"/>
        <w:jc w:val="both"/>
        <w:rPr>
          <w:rFonts w:eastAsia="Calibri" w:cs="Arial"/>
          <w:bCs/>
          <w:szCs w:val="24"/>
          <w:lang w:eastAsia="es-ES_tradnl"/>
        </w:rPr>
      </w:pPr>
      <w:r>
        <w:rPr>
          <w:rFonts w:eastAsia="Calibri" w:cs="Arial"/>
          <w:bCs/>
          <w:szCs w:val="24"/>
          <w:lang w:eastAsia="es-ES_tradnl"/>
        </w:rPr>
        <w:t>Particularmente</w:t>
      </w:r>
      <w:r w:rsidRPr="00240BCA">
        <w:rPr>
          <w:rFonts w:eastAsia="Calibri" w:cs="Arial"/>
          <w:bCs/>
          <w:szCs w:val="24"/>
          <w:lang w:eastAsia="es-ES_tradnl"/>
        </w:rPr>
        <w:t xml:space="preserve">, el artículo 33 de la Ley 996 de 2005 establece que, durante los cuatro (4) meses anteriores a la elección presidencial y hasta la realización de la segunda vuelta, si fuere el caso, queda prohibida la </w:t>
      </w:r>
      <w:r w:rsidRPr="000E6C92">
        <w:rPr>
          <w:rFonts w:eastAsia="Calibri" w:cs="Arial"/>
          <w:bCs/>
          <w:i/>
          <w:iCs/>
          <w:szCs w:val="24"/>
          <w:lang w:eastAsia="es-ES_tradnl"/>
        </w:rPr>
        <w:t>contratación directa por parte de todos los entes del Estado</w:t>
      </w:r>
      <w:r w:rsidRPr="00240BCA">
        <w:rPr>
          <w:rFonts w:eastAsia="Calibri" w:cs="Arial"/>
          <w:bCs/>
          <w:szCs w:val="24"/>
          <w:lang w:eastAsia="es-ES_tradnl"/>
        </w:rPr>
        <w:t xml:space="preserve">. </w:t>
      </w:r>
    </w:p>
    <w:p w14:paraId="21BB4FB5" w14:textId="77777777" w:rsidR="004D3C46" w:rsidRPr="00F43CC7" w:rsidRDefault="004D3C46" w:rsidP="004D3C46">
      <w:pPr>
        <w:spacing w:after="120" w:line="276" w:lineRule="auto"/>
        <w:ind w:firstLine="737"/>
        <w:jc w:val="both"/>
        <w:rPr>
          <w:rFonts w:ascii="Verdana" w:eastAsia="Times New Roman" w:hAnsi="Verdana" w:cs="Arial"/>
          <w:lang w:val="es-ES" w:eastAsia="es-MX"/>
        </w:rPr>
      </w:pPr>
      <w:r w:rsidRPr="00F43CC7">
        <w:rPr>
          <w:rFonts w:ascii="Verdana" w:eastAsia="Times New Roman" w:hAnsi="Verdana" w:cs="Arial"/>
          <w:lang w:val="es-ES" w:eastAsia="es-MX"/>
        </w:rPr>
        <w:t>Por lo demás, el literal i) del artículo 2.4 de la Ley 1150 de 2011 permite la contratación directa tratándose de “El arrendamiento […] de inmuebles”</w:t>
      </w:r>
      <w:r>
        <w:rPr>
          <w:rFonts w:ascii="Verdana" w:eastAsia="Times New Roman" w:hAnsi="Verdana" w:cs="Arial"/>
          <w:lang w:val="es-ES" w:eastAsia="es-MX"/>
        </w:rPr>
        <w:t>, causal que estaría incluida en la prohibición referida</w:t>
      </w:r>
      <w:r w:rsidRPr="00F43CC7">
        <w:rPr>
          <w:rFonts w:ascii="Verdana" w:eastAsia="Times New Roman" w:hAnsi="Verdana" w:cs="Arial"/>
          <w:lang w:val="es-ES" w:eastAsia="es-MX"/>
        </w:rPr>
        <w:t xml:space="preserve">. Esta causal hereda la tradición histórica de los artículos 31.7 y 43.6 de los derogados </w:t>
      </w:r>
      <w:r w:rsidRPr="00F43CC7">
        <w:rPr>
          <w:rFonts w:ascii="Verdana" w:eastAsia="Times New Roman" w:hAnsi="Verdana" w:cs="Arial"/>
          <w:lang w:val="es-ES" w:eastAsia="es-MX"/>
        </w:rPr>
        <w:lastRenderedPageBreak/>
        <w:t xml:space="preserve">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29ED9A03" w14:textId="77777777" w:rsidR="004D3C46" w:rsidRPr="0002657A" w:rsidRDefault="004D3C46" w:rsidP="004D3C46">
      <w:pPr>
        <w:spacing w:after="120" w:line="276" w:lineRule="auto"/>
        <w:ind w:firstLine="709"/>
        <w:jc w:val="both"/>
        <w:rPr>
          <w:rFonts w:ascii="Verdana" w:hAnsi="Verdana" w:cs="Segoe UI"/>
          <w:color w:val="000000" w:themeColor="text1"/>
        </w:rPr>
      </w:pPr>
      <w:r w:rsidRPr="0002657A">
        <w:rPr>
          <w:rFonts w:ascii="Verdana" w:hAnsi="Verdana" w:cs="Segoe UI"/>
          <w:color w:val="000000" w:themeColor="text1"/>
        </w:rPr>
        <w:t xml:space="preserve">En este contexto es preciso señalar que, la causal de contratación directa prevista en la Ley 1150 permite su utilización </w:t>
      </w:r>
      <w:r w:rsidRPr="0002657A">
        <w:rPr>
          <w:rStyle w:val="Fuerte"/>
          <w:rFonts w:ascii="Verdana" w:hAnsi="Verdana" w:cs="Segoe UI"/>
          <w:color w:val="000000" w:themeColor="text1"/>
        </w:rPr>
        <w:t>tanto cuando la entidad actúa como arrendadora como cuando actúa como arrendataria</w:t>
      </w:r>
      <w:r w:rsidRPr="0002657A">
        <w:rPr>
          <w:rFonts w:ascii="Verdana" w:hAnsi="Verdana" w:cs="Segoe UI"/>
          <w:color w:val="000000" w:themeColor="text1"/>
        </w:rPr>
        <w:t xml:space="preserve">, incluido el supuesto planteado para consideración. No obstante, tal modalidad de selección se encuentra </w:t>
      </w:r>
      <w:r w:rsidRPr="0002657A">
        <w:rPr>
          <w:rStyle w:val="Fuerte"/>
          <w:rFonts w:ascii="Verdana" w:hAnsi="Verdana" w:cs="Segoe UI"/>
          <w:color w:val="000000" w:themeColor="text1"/>
        </w:rPr>
        <w:t>proscrita durante los cuatro (4) meses anteriores a las elecciones presidenciales</w:t>
      </w:r>
      <w:r w:rsidRPr="0002657A">
        <w:rPr>
          <w:rFonts w:ascii="Verdana" w:hAnsi="Verdana" w:cs="Segoe UI"/>
          <w:color w:val="000000" w:themeColor="text1"/>
        </w:rPr>
        <w:t xml:space="preserve">, en los términos del artículo 33 de la Ley 996 de 2005, razón por la cual </w:t>
      </w:r>
      <w:r w:rsidRPr="0002657A">
        <w:rPr>
          <w:rStyle w:val="Fuerte"/>
          <w:rFonts w:ascii="Verdana" w:hAnsi="Verdana" w:cs="Segoe UI"/>
          <w:color w:val="000000" w:themeColor="text1"/>
        </w:rPr>
        <w:t>no es posible celebrar contratos de arrendamiento mediante contratación directa en dicho periodo</w:t>
      </w:r>
      <w:r w:rsidRPr="0002657A">
        <w:rPr>
          <w:rFonts w:ascii="Verdana" w:hAnsi="Verdana" w:cs="Segoe UI"/>
          <w:color w:val="000000" w:themeColor="text1"/>
        </w:rPr>
        <w:t>, salvo que el caso concreto se enmarque en alguna de las excepciones taxativamente señaladas en la norma.</w:t>
      </w:r>
    </w:p>
    <w:p w14:paraId="1B3A34F7" w14:textId="77777777" w:rsidR="004D3C46" w:rsidRDefault="004D3C46" w:rsidP="003B436E">
      <w:pPr>
        <w:spacing w:after="0" w:line="276" w:lineRule="auto"/>
        <w:ind w:firstLine="737"/>
        <w:jc w:val="both"/>
        <w:rPr>
          <w:rFonts w:ascii="Verdana" w:eastAsia="Calibri" w:hAnsi="Verdana" w:cs="Arial"/>
          <w:lang w:val="es-ES"/>
        </w:rPr>
      </w:pPr>
      <w:r w:rsidRPr="00F43CC7">
        <w:rPr>
          <w:rFonts w:ascii="Verdana" w:eastAsia="Calibri" w:hAnsi="Verdana" w:cs="Arial"/>
          <w:lang w:val="es-ES"/>
        </w:rPr>
        <w:t>Cuando la entidad estatal actúe como arrendadora puede evaluar si, debido a lo explicado en los párrafos anteriores, es conveniente adelantar una convocatoria pública en garantía del principio de libre concurrencia. No obstante, lo cierto es que –dentro del marco normativo vigente– las entidades públicas son autónomas y responsables tanto de la estructuración de sus procesos de contratación como de determinar la modalidad de selección aplicable para suplir sus necesidades.</w:t>
      </w:r>
    </w:p>
    <w:p w14:paraId="4DF8B017" w14:textId="77777777" w:rsidR="004D3C46" w:rsidRDefault="004D3C46" w:rsidP="003B436E">
      <w:pPr>
        <w:spacing w:after="0" w:line="276" w:lineRule="auto"/>
        <w:jc w:val="both"/>
        <w:rPr>
          <w:rFonts w:ascii="Verdana" w:hAnsi="Verdana"/>
          <w:color w:val="000000" w:themeColor="text1"/>
          <w:lang w:val="es-ES" w:eastAsia="es-ES"/>
        </w:rPr>
      </w:pPr>
    </w:p>
    <w:p w14:paraId="429CFFE2" w14:textId="321F6FF2" w:rsidR="00DD4378" w:rsidRPr="00B8056D" w:rsidRDefault="008F196A" w:rsidP="003B436E">
      <w:pPr>
        <w:spacing w:after="120" w:line="276" w:lineRule="auto"/>
        <w:jc w:val="both"/>
        <w:rPr>
          <w:rFonts w:ascii="Verdana" w:eastAsia="Calibri" w:hAnsi="Verdana" w:cs="Arial"/>
          <w:color w:val="000000" w:themeColor="text1"/>
        </w:rPr>
      </w:pPr>
      <w:r>
        <w:rPr>
          <w:rFonts w:ascii="Verdana" w:hAnsi="Verdana"/>
          <w:color w:val="000000" w:themeColor="text1"/>
          <w:lang w:val="es-ES" w:eastAsia="es-ES"/>
        </w:rPr>
        <w:t xml:space="preserve">ii. </w:t>
      </w:r>
      <w:r w:rsidR="00DD4378">
        <w:rPr>
          <w:rFonts w:ascii="Verdana" w:eastAsia="Calibri" w:hAnsi="Verdana" w:cs="Arial"/>
          <w:color w:val="000000" w:themeColor="text1"/>
        </w:rPr>
        <w:t>En cuanto al segundo problema jurídico planteado, tenemos que</w:t>
      </w:r>
      <w:r w:rsidR="00DD4378" w:rsidRPr="00B8056D">
        <w:rPr>
          <w:rFonts w:ascii="Verdana" w:eastAsia="Calibri" w:hAnsi="Verdana" w:cs="Arial"/>
          <w:color w:val="000000" w:themeColor="text1"/>
        </w:rPr>
        <w:t xml:space="preserve"> 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 Además,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1C1151CD" w14:textId="77777777" w:rsidR="00DD4378" w:rsidRPr="00B8056D" w:rsidRDefault="00DD4378" w:rsidP="00DD4378">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Además, aclara que las personas</w:t>
      </w:r>
      <w:r w:rsidRPr="00B8056D">
        <w:rPr>
          <w:rFonts w:ascii="Verdana" w:eastAsia="Times New Roman" w:hAnsi="Verdana" w:cs="Arial"/>
          <w:color w:val="000000" w:themeColor="text1"/>
          <w:lang w:eastAsia="es-ES"/>
        </w:rPr>
        <w:t xml:space="preserve"> jurídicas que quieran celebrar contratos con las entidades estatales deben acreditar el pago al Sistema de </w:t>
      </w:r>
      <w:r w:rsidRPr="00B8056D">
        <w:rPr>
          <w:rFonts w:ascii="Verdana" w:eastAsia="Times New Roman" w:hAnsi="Verdana" w:cs="Arial"/>
          <w:color w:val="000000" w:themeColor="text1"/>
          <w:lang w:eastAsia="es-ES"/>
        </w:rPr>
        <w:lastRenderedPageBreak/>
        <w:t xml:space="preserve">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6 meses anteriores a la celebración del contrato. En este sentido, la ley establece que para presentar la oferta las personas jurídicas deben acreditar el requisito señalado anteriormente, es decir, el pago al sistema de seguridad social </w:t>
      </w:r>
      <w:r w:rsidRPr="00B8056D">
        <w:rPr>
          <w:rFonts w:ascii="Verdana" w:eastAsia="Calibri" w:hAnsi="Verdana" w:cs="Arial"/>
          <w:color w:val="000000" w:themeColor="text1"/>
        </w:rPr>
        <w:t>de sus empleados.</w:t>
      </w:r>
    </w:p>
    <w:p w14:paraId="5F7BF100" w14:textId="77777777" w:rsidR="00DD4378" w:rsidRPr="00427C5D" w:rsidRDefault="00DD4378" w:rsidP="00DD4378">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t xml:space="preserve">Esta norma fue analizada por el Consejo de Estado, quien consideró que el artículo 50 de la Ley 789 de 2002 tiene por objeto evitar la evasión por parte de los empleadores de las cotizaciones al Sistema de Seguridad Social Integral y de los aportes parafiscales.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durante la ejecución del contrato, verifiquen el cumplimiento de las obligaciones del Sistema de Seguridad Social Integral por </w:t>
      </w:r>
      <w:r w:rsidRPr="00B8056D">
        <w:rPr>
          <w:rFonts w:ascii="Verdana" w:eastAsia="Times New Roman" w:hAnsi="Verdana" w:cs="Arial"/>
          <w:color w:val="000000" w:themeColor="text1"/>
          <w:lang w:eastAsia="es-ES"/>
        </w:rPr>
        <w:t xml:space="preserve">parte de los contratistas. </w:t>
      </w:r>
    </w:p>
    <w:p w14:paraId="1FD51192" w14:textId="277E9283" w:rsidR="00DD4378" w:rsidRPr="00B8056D" w:rsidRDefault="00DD4378" w:rsidP="009A3099">
      <w:pPr>
        <w:spacing w:after="12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t>En igual sentido, el artículo 23</w:t>
      </w:r>
      <w:r w:rsidRPr="00B8056D">
        <w:rPr>
          <w:rFonts w:ascii="Verdana" w:eastAsia="Calibri" w:hAnsi="Verdana" w:cs="Arial"/>
          <w:color w:val="000000" w:themeColor="text1"/>
        </w:rPr>
        <w:t xml:space="preserve"> de la Ley 1150 de 2007 modificó el inciso segundo del artículo 41 de la Ley 80 de 1993, incluyendo la obligación, para los proponentes y contratistas, de estar a paz y salvo con los aportes parafiscales al Sistema de Seguridad Social integral, al señalar:</w:t>
      </w:r>
    </w:p>
    <w:p w14:paraId="4C0FE16F" w14:textId="77777777" w:rsidR="00DD4378" w:rsidRPr="00B8056D"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Pr>
          <w:rFonts w:ascii="Verdana" w:eastAsia="Times New Roman" w:hAnsi="Verdana" w:cs="Arial"/>
          <w:sz w:val="20"/>
          <w:szCs w:val="20"/>
          <w:lang w:eastAsia="es-CO"/>
        </w:rPr>
        <w:t>“</w:t>
      </w:r>
      <w:r w:rsidRPr="00B8056D">
        <w:rPr>
          <w:rFonts w:ascii="Verdana" w:eastAsia="Times New Roman" w:hAnsi="Verdana" w:cs="Arial"/>
          <w:sz w:val="20"/>
          <w:szCs w:val="20"/>
          <w:lang w:val="es-ES"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18483F89" w14:textId="77777777" w:rsidR="00DD4378" w:rsidRPr="00B8056D" w:rsidRDefault="00DD4378" w:rsidP="00DD4378">
      <w:pPr>
        <w:spacing w:before="120" w:after="120" w:line="240" w:lineRule="auto"/>
        <w:ind w:left="1134" w:right="709"/>
        <w:jc w:val="both"/>
        <w:rPr>
          <w:rFonts w:ascii="Verdana" w:eastAsia="Times New Roman" w:hAnsi="Verdana" w:cs="Arial"/>
          <w:sz w:val="20"/>
          <w:szCs w:val="20"/>
          <w:lang w:val="es-ES" w:eastAsia="es-CO"/>
        </w:rPr>
      </w:pPr>
      <w:r w:rsidRPr="00B8056D">
        <w:rPr>
          <w:rFonts w:ascii="Verdana" w:eastAsia="Times New Roman" w:hAnsi="Verdana" w:cs="Arial"/>
          <w:bCs/>
          <w:sz w:val="20"/>
          <w:szCs w:val="20"/>
          <w:lang w:val="es-ES" w:eastAsia="es-CO"/>
        </w:rPr>
        <w:t>Parágrafo 1.</w:t>
      </w:r>
      <w:r w:rsidRPr="00B8056D">
        <w:rPr>
          <w:rFonts w:ascii="Verdana" w:eastAsia="Times New Roman" w:hAnsi="Verdana" w:cs="Arial"/>
          <w:sz w:val="20"/>
          <w:szCs w:val="20"/>
          <w:lang w:val="es-ES" w:eastAsia="es-CO"/>
        </w:rPr>
        <w:t> El requisito establecido en la parte final del inciso segundo de este artículo deberá acreditarse para la realización de cada pago derivado del contrato estatal.</w:t>
      </w:r>
    </w:p>
    <w:p w14:paraId="26BA26F0" w14:textId="77777777" w:rsidR="00DD4378" w:rsidRPr="00B8056D" w:rsidRDefault="00DD4378" w:rsidP="00DD4378">
      <w:pPr>
        <w:spacing w:before="120" w:after="120" w:line="240" w:lineRule="auto"/>
        <w:ind w:left="1134" w:right="709"/>
        <w:jc w:val="both"/>
        <w:rPr>
          <w:rFonts w:ascii="Verdana" w:eastAsia="Times New Roman" w:hAnsi="Verdana" w:cs="Arial"/>
          <w:sz w:val="20"/>
          <w:szCs w:val="20"/>
          <w:lang w:val="es-ES" w:eastAsia="es-CO"/>
        </w:rPr>
      </w:pPr>
      <w:r w:rsidRPr="00B8056D">
        <w:rPr>
          <w:rFonts w:ascii="Verdana" w:eastAsia="Times New Roman" w:hAnsi="Verdana" w:cs="Arial"/>
          <w:sz w:val="20"/>
          <w:szCs w:val="20"/>
          <w:lang w:val="es-ES" w:eastAsia="es-CO"/>
        </w:rPr>
        <w:t>El servidor público que sin justa causa no verifique el pago de los aportes a que se refiere el presente artículo, incurrirá en causal de mala conducta, que será sancionada con arreglo al régimen disciplinario vigente.</w:t>
      </w:r>
      <w:r>
        <w:rPr>
          <w:rFonts w:ascii="Verdana" w:eastAsia="Times New Roman" w:hAnsi="Verdana" w:cs="Arial"/>
          <w:sz w:val="20"/>
          <w:szCs w:val="20"/>
          <w:lang w:val="es-ES" w:eastAsia="es-CO"/>
        </w:rPr>
        <w:t>”</w:t>
      </w:r>
    </w:p>
    <w:p w14:paraId="4E74998E" w14:textId="77777777" w:rsidR="00DD4378" w:rsidRDefault="00DD4378" w:rsidP="00DD4378">
      <w:pPr>
        <w:spacing w:after="0" w:line="276" w:lineRule="auto"/>
        <w:contextualSpacing/>
        <w:jc w:val="both"/>
        <w:rPr>
          <w:rFonts w:ascii="Verdana" w:eastAsia="Calibri" w:hAnsi="Verdana" w:cs="Arial"/>
          <w:color w:val="000000" w:themeColor="text1"/>
        </w:rPr>
      </w:pPr>
    </w:p>
    <w:p w14:paraId="6A33CAA7" w14:textId="77777777" w:rsidR="00DD4378" w:rsidRPr="00B8056D" w:rsidRDefault="00DD4378" w:rsidP="00DD4378">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lastRenderedPageBreak/>
        <w:t xml:space="preserve">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w:t>
      </w:r>
      <w:r w:rsidRPr="00B8056D">
        <w:rPr>
          <w:rFonts w:ascii="Verdana" w:eastAsia="Times New Roman" w:hAnsi="Verdana" w:cs="Arial"/>
          <w:color w:val="000000" w:themeColor="text1"/>
          <w:lang w:eastAsia="es-ES"/>
        </w:rPr>
        <w:t>decir, durante la ejecución.</w:t>
      </w:r>
    </w:p>
    <w:p w14:paraId="5FF2625A" w14:textId="77777777" w:rsidR="00DD4378" w:rsidRPr="00B8056D" w:rsidRDefault="00DD4378" w:rsidP="00DD4378">
      <w:pPr>
        <w:spacing w:after="12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t>La verificación del</w:t>
      </w:r>
      <w:r w:rsidRPr="00B8056D">
        <w:rPr>
          <w:rFonts w:ascii="Verdana" w:eastAsia="Calibri" w:hAnsi="Verdana" w:cs="Arial"/>
          <w:color w:val="000000" w:themeColor="text1"/>
        </w:rPr>
        <w:t xml:space="preserve"> aporte</w:t>
      </w:r>
      <w:r>
        <w:rPr>
          <w:rFonts w:ascii="Verdana" w:eastAsia="Calibri" w:hAnsi="Verdana" w:cs="Arial"/>
          <w:color w:val="000000" w:themeColor="text1"/>
        </w:rPr>
        <w:t xml:space="preserve"> al</w:t>
      </w:r>
      <w:r w:rsidRPr="00B8056D">
        <w:rPr>
          <w:rFonts w:ascii="Verdana" w:eastAsia="Calibri" w:hAnsi="Verdana" w:cs="Arial"/>
          <w:color w:val="000000" w:themeColor="text1"/>
        </w:rPr>
        <w:t xml:space="preserv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ii)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w:t>
      </w:r>
    </w:p>
    <w:p w14:paraId="70B3EFEF" w14:textId="77777777" w:rsidR="00DD4378" w:rsidRPr="00B8056D" w:rsidRDefault="00DD4378" w:rsidP="00DD4378">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Igualmente, en virtud del artículo</w:t>
      </w:r>
      <w:r w:rsidRPr="00B8056D">
        <w:rPr>
          <w:rFonts w:ascii="Verdana" w:hAnsi="Verdana" w:cs="Arial"/>
          <w:color w:val="000000" w:themeColor="text1"/>
        </w:rPr>
        <w:t xml:space="preserve">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w:t>
      </w:r>
      <w:r w:rsidRPr="00B8056D">
        <w:rPr>
          <w:rFonts w:ascii="Verdana" w:eastAsia="Calibri" w:hAnsi="Verdana" w:cs="Arial"/>
          <w:color w:val="000000" w:themeColor="text1"/>
        </w:rPr>
        <w:t>estableciendo una correcta relación entre el monto cancelado y las sumas que debieron cotizar.</w:t>
      </w:r>
    </w:p>
    <w:p w14:paraId="42088A7A" w14:textId="77777777" w:rsidR="00DD4378" w:rsidRPr="003779DA" w:rsidRDefault="00DD4378" w:rsidP="00DD4378">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consecuencia, no cabe</w:t>
      </w:r>
      <w:r w:rsidRPr="00B8056D">
        <w:rPr>
          <w:rFonts w:ascii="Verdana" w:hAnsi="Verdana" w:cs="Arial"/>
        </w:rPr>
        <w:t xml:space="preserv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w:t>
      </w:r>
      <w:r w:rsidRPr="00B8056D">
        <w:rPr>
          <w:rFonts w:ascii="Verdana" w:eastAsia="Calibri" w:hAnsi="Verdana" w:cs="Arial"/>
          <w:color w:val="000000" w:themeColor="text1"/>
        </w:rPr>
        <w:t xml:space="preserve">realizar el contrato de arrendamiento. </w:t>
      </w:r>
    </w:p>
    <w:p w14:paraId="5CB53E77" w14:textId="22BBC332" w:rsidR="00DD4378" w:rsidRDefault="00DD4378" w:rsidP="00DD4378">
      <w:pPr>
        <w:widowControl w:val="0"/>
        <w:autoSpaceDE w:val="0"/>
        <w:autoSpaceDN w:val="0"/>
        <w:spacing w:after="120" w:line="276" w:lineRule="auto"/>
        <w:ind w:firstLine="709"/>
        <w:jc w:val="both"/>
        <w:rPr>
          <w:rFonts w:ascii="Verdana" w:eastAsia="Calibri" w:hAnsi="Verdana" w:cs="Arial"/>
          <w:color w:val="000000" w:themeColor="text1"/>
        </w:rPr>
      </w:pPr>
      <w:r w:rsidRPr="00C563A7">
        <w:rPr>
          <w:rFonts w:ascii="Verdana" w:eastAsia="Calibri" w:hAnsi="Verdana" w:cs="Arial"/>
          <w:color w:val="000000" w:themeColor="text1"/>
        </w:rPr>
        <w:t>En el caso de los</w:t>
      </w:r>
      <w:r w:rsidRPr="00427C5D">
        <w:rPr>
          <w:rFonts w:ascii="Verdana" w:hAnsi="Verdana" w:cs="Arial"/>
          <w:color w:val="000000" w:themeColor="text1"/>
        </w:rPr>
        <w:t xml:space="preserve"> arrendadores, que son personas naturales o jurídicas y que actúan como rentistas de capital </w:t>
      </w:r>
      <w:r>
        <w:rPr>
          <w:rFonts w:ascii="Verdana" w:hAnsi="Verdana" w:cs="Arial"/>
          <w:color w:val="000000" w:themeColor="text1"/>
        </w:rPr>
        <w:t>–</w:t>
      </w:r>
      <w:r w:rsidRPr="00427C5D">
        <w:rPr>
          <w:rFonts w:ascii="Verdana" w:hAnsi="Verdana" w:cs="Arial"/>
          <w:color w:val="000000" w:themeColor="text1"/>
        </w:rPr>
        <w:t>quienes obtienen ingresos por el uso de sus bienes</w:t>
      </w:r>
      <w:r>
        <w:rPr>
          <w:rFonts w:ascii="Verdana" w:hAnsi="Verdana" w:cs="Arial"/>
          <w:color w:val="000000" w:themeColor="text1"/>
        </w:rPr>
        <w:t>–</w:t>
      </w:r>
      <w:r w:rsidRPr="00427C5D">
        <w:rPr>
          <w:rFonts w:ascii="Verdana" w:hAnsi="Verdana" w:cs="Arial"/>
          <w:color w:val="000000" w:themeColor="text1"/>
        </w:rPr>
        <w:t xml:space="preserve">, la normativa los obliga a cotizar como trabajadores independientes. Este grupo debe realizar aportes sobre </w:t>
      </w:r>
      <w:r w:rsidRPr="00FE2190">
        <w:rPr>
          <w:rFonts w:ascii="Verdana" w:hAnsi="Verdana" w:cs="Arial"/>
          <w:color w:val="000000" w:themeColor="text1"/>
        </w:rPr>
        <w:t>una base mínima de cotización</w:t>
      </w:r>
      <w:r w:rsidRPr="00FE2190" w:rsidDel="00FE2190">
        <w:rPr>
          <w:rFonts w:ascii="Verdana" w:hAnsi="Verdana" w:cs="Arial"/>
          <w:color w:val="000000" w:themeColor="text1"/>
        </w:rPr>
        <w:t xml:space="preserve"> </w:t>
      </w:r>
      <w:r w:rsidRPr="00427C5D">
        <w:rPr>
          <w:rFonts w:ascii="Verdana" w:hAnsi="Verdana" w:cs="Arial"/>
          <w:color w:val="000000" w:themeColor="text1"/>
        </w:rPr>
        <w:t xml:space="preserve">del 40% </w:t>
      </w:r>
      <w:r w:rsidRPr="00C47863">
        <w:rPr>
          <w:rFonts w:ascii="Verdana" w:hAnsi="Verdana" w:cs="Arial"/>
          <w:color w:val="000000" w:themeColor="text1"/>
        </w:rPr>
        <w:t xml:space="preserve">del valor mensual de los ingresos causados para quienes están obligados a llevar contabilidad, o los efectivamente percibidos para los que no tienen dicha obligación, sin incluir el valor del </w:t>
      </w:r>
      <w:r w:rsidRPr="00427C5D">
        <w:rPr>
          <w:rFonts w:ascii="Verdana" w:hAnsi="Verdana" w:cs="Arial"/>
          <w:color w:val="000000" w:themeColor="text1"/>
        </w:rPr>
        <w:t xml:space="preserve">IVA, tal como lo </w:t>
      </w:r>
      <w:r w:rsidRPr="00427C5D">
        <w:rPr>
          <w:rFonts w:ascii="Verdana" w:hAnsi="Verdana" w:cs="Arial"/>
          <w:color w:val="000000" w:themeColor="text1"/>
        </w:rPr>
        <w:lastRenderedPageBreak/>
        <w:t xml:space="preserve">establece el </w:t>
      </w:r>
      <w:r>
        <w:rPr>
          <w:rFonts w:ascii="Verdana" w:hAnsi="Verdana" w:cs="Arial"/>
          <w:color w:val="000000" w:themeColor="text1"/>
        </w:rPr>
        <w:t>artículo 89 de la Ley 2277 de 2022</w:t>
      </w:r>
      <w:r>
        <w:rPr>
          <w:rStyle w:val="Refdenotaalpie"/>
          <w:rFonts w:ascii="Verdana" w:hAnsi="Verdana" w:cs="Arial"/>
          <w:color w:val="000000" w:themeColor="text1"/>
        </w:rPr>
        <w:footnoteReference w:id="5"/>
      </w:r>
      <w:r w:rsidRPr="00427C5D">
        <w:rPr>
          <w:rFonts w:ascii="Verdana" w:hAnsi="Verdana" w:cs="Arial"/>
          <w:color w:val="000000" w:themeColor="text1"/>
        </w:rPr>
        <w:t xml:space="preserve">. Este requisito responde al principio de solidaridad, que implica que toda persona con capacidad económica debe contribuir al </w:t>
      </w:r>
      <w:r w:rsidRPr="00C563A7">
        <w:rPr>
          <w:rFonts w:ascii="Verdana" w:eastAsia="Calibri" w:hAnsi="Verdana" w:cs="Arial"/>
          <w:color w:val="000000" w:themeColor="text1"/>
        </w:rPr>
        <w:t>financiamiento del Sistema de Seguridad Social.</w:t>
      </w:r>
    </w:p>
    <w:p w14:paraId="302A3465" w14:textId="77777777" w:rsidR="00DD4378" w:rsidRDefault="00DD4378" w:rsidP="00DD4378">
      <w:pPr>
        <w:widowControl w:val="0"/>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Ahora bien, es menester tener en cuenta que la Corte Constitucional en sentencia C-578 de 2009 concluyó que de la interpretación de los artículos 157 y 204 de la Ley 100 de 1993 debía considerarse a los rentistas de capital como trabajadores independientes, ya que dicha expresión incluye a todas las personas económicamente activas.</w:t>
      </w:r>
      <w:r>
        <w:rPr>
          <w:rFonts w:ascii="Verdana" w:eastAsia="Calibri" w:hAnsi="Verdana" w:cs="Arial"/>
          <w:color w:val="000000" w:themeColor="text1"/>
        </w:rPr>
        <w:t xml:space="preserve"> </w:t>
      </w:r>
      <w:r w:rsidRPr="00427C5D">
        <w:rPr>
          <w:rFonts w:ascii="Verdana" w:eastAsia="Calibri" w:hAnsi="Verdana" w:cs="Arial"/>
          <w:color w:val="000000" w:themeColor="text1"/>
        </w:rPr>
        <w:t>En ese orden de ideas, son conocidos como rentistas de capital aquellas personas que obtienen ingresos de arrendamientos, dividendos de inversiones, entre otras actividades, adquiriendo de esta manera capacidad de pago para cotizar al Sistema Integral de Seguridad Social.</w:t>
      </w:r>
    </w:p>
    <w:p w14:paraId="5E28E660" w14:textId="77777777" w:rsidR="00DD4378" w:rsidRDefault="00DD4378" w:rsidP="00DD4378">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 xml:space="preserve">El </w:t>
      </w:r>
      <w:r>
        <w:rPr>
          <w:rFonts w:ascii="Verdana" w:eastAsia="Calibri" w:hAnsi="Verdana" w:cs="Arial"/>
          <w:color w:val="000000" w:themeColor="text1"/>
        </w:rPr>
        <w:t>artículo</w:t>
      </w:r>
      <w:r w:rsidRPr="00646F94">
        <w:t xml:space="preserve"> </w:t>
      </w:r>
      <w:r w:rsidRPr="00646F94">
        <w:rPr>
          <w:rFonts w:ascii="Verdana" w:eastAsia="Calibri" w:hAnsi="Verdana" w:cs="Arial"/>
          <w:color w:val="000000" w:themeColor="text1"/>
        </w:rPr>
        <w:t>3.2.1.1</w:t>
      </w:r>
      <w:r>
        <w:rPr>
          <w:rFonts w:ascii="Verdana" w:eastAsia="Calibri" w:hAnsi="Verdana" w:cs="Arial"/>
          <w:color w:val="000000" w:themeColor="text1"/>
        </w:rPr>
        <w:t xml:space="preserve"> del </w:t>
      </w:r>
      <w:r w:rsidRPr="00427C5D">
        <w:rPr>
          <w:rFonts w:ascii="Verdana" w:eastAsia="Calibri" w:hAnsi="Verdana" w:cs="Arial"/>
          <w:color w:val="000000" w:themeColor="text1"/>
        </w:rPr>
        <w:t>Decreto Único 780 de 2016 identifica como</w:t>
      </w:r>
      <w:r w:rsidRPr="0649344F">
        <w:rPr>
          <w:rFonts w:ascii="Verdana" w:eastAsia="Calibri" w:hAnsi="Verdana" w:cs="Arial"/>
          <w:i/>
          <w:color w:val="000000" w:themeColor="text1"/>
        </w:rPr>
        <w:t xml:space="preserve"> aportantes</w:t>
      </w:r>
      <w:r w:rsidRPr="00427C5D">
        <w:rPr>
          <w:rFonts w:ascii="Verdana" w:eastAsia="Calibri" w:hAnsi="Verdana" w:cs="Arial"/>
          <w:color w:val="000000" w:themeColor="text1"/>
        </w:rPr>
        <w:t xml:space="preserve"> a las personas naturales o jurídicas con trabajadores </w:t>
      </w:r>
      <w:r w:rsidRPr="00427C5D">
        <w:rPr>
          <w:rFonts w:ascii="Verdana" w:eastAsia="Calibri" w:hAnsi="Verdana" w:cs="Arial"/>
          <w:color w:val="000000" w:themeColor="text1"/>
        </w:rPr>
        <w:lastRenderedPageBreak/>
        <w:t>dependientes, a las entidades promotoras de salud, administradoras de pensiones o riesgos profesionales obligadas a realizar aportes correspondientes al Sistema, a los rentistas de capital y demás personas que tengan capacidad de contribuir al financiamiento del SGSSS y a los trabajadores independientes que se encuentren afiliados al Sistema de Seguridad Social Integral.</w:t>
      </w:r>
    </w:p>
    <w:p w14:paraId="621AC8FD" w14:textId="77777777" w:rsidR="00DD4378" w:rsidRDefault="00DD4378" w:rsidP="00DD4378">
      <w:pPr>
        <w:spacing w:after="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Toda persona económicamente activa con capacidad de pago, en virtud del principio de solidaridad que rige el Sistema Integral de Seguridad Social, está en la obligación de aportar a los Sistemas de Salud y Pensiones, y en forma voluntaria pueden afiliarse al Sistema de Riesgos Laborales y caja de compensación familiar. Lo anterior para el caso de los independientes por cuenta propia y con contrato diferente al de prestación de servicios, dentro de los cuales se encuentran los rentistas de capital.</w:t>
      </w:r>
      <w:r>
        <w:rPr>
          <w:rFonts w:ascii="Verdana" w:eastAsia="Calibri" w:hAnsi="Verdana" w:cs="Arial"/>
          <w:color w:val="000000" w:themeColor="text1"/>
        </w:rPr>
        <w:t xml:space="preserve"> </w:t>
      </w:r>
      <w:r w:rsidRPr="00427C5D">
        <w:rPr>
          <w:rFonts w:ascii="Verdana" w:eastAsia="Calibri" w:hAnsi="Verdana" w:cs="Arial"/>
          <w:color w:val="000000" w:themeColor="text1"/>
        </w:rPr>
        <w:t>Al respecto, la Unidad de Gestión Pensional y Parafiscales indicó que:</w:t>
      </w:r>
    </w:p>
    <w:p w14:paraId="389D8321" w14:textId="77777777" w:rsidR="00DD4378" w:rsidRPr="00B8056D"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t>“Un independiente que percibe ingresos mensuales iguales o superiores a 1 salario mínimo mensual legal vigente provenientes de la explotación de sus bienes muebles o inmuebles, o recibe intereses, dividendos o utilidades producto de unas acciones de su propiedad se considera como rentista de capital dentro del grupo de independientes por cuenta propia o por contratos diferentes al de prestación de servicios, y por tanto está en la obligación de cotizar a los sistemas de salud y pensión, en la forma señalada en el inciso primero del artículo 135 de la Ley 1753 de 2015, es decir, sobre mínimo el 40% del valor de sus ingresos y para calcular el ingreso base de cotización IBC podrán deducir las expensas que se generen en la ejecución de cada actividad conforme a lo dispuesto en el art. 107 del Estatuto Tributario”</w:t>
      </w:r>
      <w:r w:rsidRPr="00C563A7">
        <w:rPr>
          <w:rFonts w:ascii="Aptos" w:eastAsia="Times New Roman" w:hAnsi="Aptos" w:cs="Times New Roman"/>
          <w:vertAlign w:val="superscript"/>
          <w:lang w:eastAsia="es-CO"/>
        </w:rPr>
        <w:footnoteReference w:id="6"/>
      </w:r>
      <w:r w:rsidRPr="00B05F99">
        <w:rPr>
          <w:rFonts w:ascii="Verdana" w:eastAsia="Times New Roman" w:hAnsi="Verdana" w:cs="Arial"/>
          <w:sz w:val="20"/>
          <w:szCs w:val="20"/>
          <w:lang w:val="es-ES" w:eastAsia="es-CO"/>
        </w:rPr>
        <w:t>.</w:t>
      </w:r>
    </w:p>
    <w:p w14:paraId="0C0BF484" w14:textId="1263A4C4" w:rsidR="00DD4378" w:rsidRPr="00427C5D" w:rsidRDefault="00DD4378" w:rsidP="00F65F05">
      <w:pPr>
        <w:widowControl w:val="0"/>
        <w:autoSpaceDE w:val="0"/>
        <w:autoSpaceDN w:val="0"/>
        <w:spacing w:line="276" w:lineRule="auto"/>
        <w:ind w:firstLine="709"/>
        <w:jc w:val="both"/>
        <w:rPr>
          <w:rFonts w:ascii="Verdana" w:hAnsi="Verdana" w:cs="Arial"/>
          <w:color w:val="000000" w:themeColor="text1"/>
        </w:rPr>
      </w:pPr>
      <w:r w:rsidRPr="00427C5D">
        <w:rPr>
          <w:rFonts w:ascii="Verdana" w:hAnsi="Verdana" w:cs="Arial"/>
          <w:color w:val="000000" w:themeColor="text1"/>
        </w:rPr>
        <w:t>Por otra parte, en concepto con radicado No. 4201912000005462, expedido como respuesta a la consulta del 13 de agosto de 2019, esta Subdirección indicó:</w:t>
      </w:r>
    </w:p>
    <w:p w14:paraId="41B0159D" w14:textId="77777777" w:rsidR="00DD4378" w:rsidRPr="00C563A7"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“Asimismo, como se mencionó previamente, el artículo 50 de la Ley 789 de 2002 establece que las entidades estatales, al momento de celebrar, renovar o liquidar un contrato verificará que el contratista cumpla sus obligaciones con los sistemas de salud, riesgos profesionales, pensiones y aportes a las Cajas de Compensación Familiar, cuando a ello haya lugar.</w:t>
      </w:r>
      <w:r>
        <w:rPr>
          <w:rFonts w:ascii="Verdana" w:eastAsia="Times New Roman" w:hAnsi="Verdana" w:cs="Arial"/>
          <w:sz w:val="20"/>
          <w:szCs w:val="20"/>
          <w:lang w:val="es-ES" w:eastAsia="es-CO"/>
        </w:rPr>
        <w:t>”</w:t>
      </w:r>
    </w:p>
    <w:p w14:paraId="1B3A0194" w14:textId="77777777" w:rsidR="00DD4378" w:rsidRPr="00C563A7"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Si bien la Ley 1393 de 2010 sólo prevé como obligación verificar la afiliación al sistema de seguridad social en los contratos de prestación de servicios, la Ley 789 de 2002 sí establece que en cualquier contrato estatal la entidad contratante deberá verificar </w:t>
      </w:r>
      <w:r w:rsidRPr="00C563A7">
        <w:rPr>
          <w:rFonts w:ascii="Verdana" w:eastAsia="Times New Roman" w:hAnsi="Verdana" w:cs="Arial"/>
          <w:sz w:val="20"/>
          <w:szCs w:val="20"/>
          <w:lang w:val="es-ES" w:eastAsia="es-CO"/>
        </w:rPr>
        <w:lastRenderedPageBreak/>
        <w:t>que el contratista cumplió con sus obligaciones al sistema de salud, riesgos profesionales, pensiones y aportes a las Cajas de Compensación Familiar.</w:t>
      </w:r>
    </w:p>
    <w:p w14:paraId="1B5B4091" w14:textId="77777777" w:rsidR="00DD4378" w:rsidRPr="00C563A7"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Entre las obligaciones que tienen las personas naturales que presten directamente servicios al Estado, bajo la modalidad de contratos de prestación o bajo cualquier otra modalidad de contrato, como el de suministro, se encuentra la de estar afiliados al sistema de seguridad social en salud y pensiones. </w:t>
      </w:r>
    </w:p>
    <w:p w14:paraId="16C8BE30" w14:textId="77777777" w:rsidR="00DD4378" w:rsidRPr="00C563A7" w:rsidRDefault="00DD4378" w:rsidP="00DD4378">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Por otro lado, el artículo 3 de la Ley 797 de 2003 establece que deberán estar afiliados al Sistema General de Pensiones todas aquellas personas naturales que presten directamente servicios al Estado o a las entidades o empresas del sector privado, bajo la modalidad de contratos de prestación de servicios, o cualquier otra modalidad de servicios que adopten. El Ministerio de Salud y Protección Social, en el concepto No. 112520 del 31 de mayo de 2012 indicó que el alcance de cualquier otra modalidad de servicios incluye los contratos de obra, suministro, de arrendamiento de servicios, entre otros. Por lo tanto, en los contratos de suministro la entidad estatal deberá verificar que la persona natural que presta el servicio de contrato de suministro en favor de una entidad estatal está afiliada al Sistema General de Pensiones.”</w:t>
      </w:r>
    </w:p>
    <w:p w14:paraId="2E35042A" w14:textId="27897775" w:rsidR="00DD4378" w:rsidRPr="00C563A7" w:rsidRDefault="00DD4378" w:rsidP="00F65F05">
      <w:pPr>
        <w:widowControl w:val="0"/>
        <w:autoSpaceDE w:val="0"/>
        <w:autoSpaceDN w:val="0"/>
        <w:spacing w:line="276" w:lineRule="auto"/>
        <w:jc w:val="both"/>
        <w:rPr>
          <w:rFonts w:ascii="Verdana" w:eastAsia="Calibri" w:hAnsi="Verdana" w:cs="Arial"/>
          <w:color w:val="000000" w:themeColor="text1"/>
        </w:rPr>
      </w:pPr>
      <w:r w:rsidRPr="00427C5D">
        <w:rPr>
          <w:rFonts w:ascii="Verdana" w:hAnsi="Verdana" w:cs="Arial"/>
          <w:color w:val="000000" w:themeColor="text1"/>
        </w:rPr>
        <w:t xml:space="preserve"> Como se observa, en dicho concepto se señaló que la obligación frente al Sistema de Seguridad Social Integral aplica frente a todos los contratos con las entidades estatales, pues es lo que se deduce del artículo 50 de la Ley 789 de </w:t>
      </w:r>
      <w:r w:rsidRPr="00C563A7">
        <w:rPr>
          <w:rFonts w:ascii="Verdana" w:eastAsia="Calibri" w:hAnsi="Verdana" w:cs="Arial"/>
          <w:color w:val="000000" w:themeColor="text1"/>
        </w:rPr>
        <w:t>2002.</w:t>
      </w:r>
      <w:r>
        <w:rPr>
          <w:rFonts w:ascii="Verdana" w:eastAsia="Calibri" w:hAnsi="Verdana" w:cs="Arial"/>
          <w:color w:val="000000" w:themeColor="text1"/>
        </w:rPr>
        <w:t xml:space="preserve"> En e</w:t>
      </w:r>
      <w:r w:rsidR="00D72302">
        <w:rPr>
          <w:rFonts w:ascii="Verdana" w:eastAsia="Calibri" w:hAnsi="Verdana" w:cs="Arial"/>
          <w:color w:val="000000" w:themeColor="text1"/>
        </w:rPr>
        <w:t>se</w:t>
      </w:r>
      <w:r>
        <w:rPr>
          <w:rFonts w:ascii="Verdana" w:eastAsia="Calibri" w:hAnsi="Verdana" w:cs="Arial"/>
          <w:color w:val="000000" w:themeColor="text1"/>
        </w:rPr>
        <w:t xml:space="preserve"> sentido, de acuerdo con el régimen aplicable para realizar las cotizaciones, quienes celebran contratos con el Entidades Estatales, están obligados a acreditar que se encuentran al día con los aportes al sistema de seguridad social. </w:t>
      </w:r>
    </w:p>
    <w:p w14:paraId="42ED9919" w14:textId="77777777" w:rsidR="00DD4378" w:rsidRDefault="00DD4378" w:rsidP="00DD437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perjuicio de lo anterior, en aras de responder al objeto especifico de la consulta, es importante precisar que, la obligación de cotizar al sistema de seguridad social de los trabajadores independientes o rentitas de capital con contratos diferentes al de prestación de servicios, establecida por el artículo 89 de la Ley 2277 de 2022, aplica para aquellos que tengan i</w:t>
      </w:r>
      <w:r w:rsidRPr="00AE371C">
        <w:rPr>
          <w:rFonts w:ascii="Verdana" w:eastAsia="Calibri" w:hAnsi="Verdana" w:cs="Arial"/>
          <w:color w:val="000000" w:themeColor="text1"/>
        </w:rPr>
        <w:t xml:space="preserve">ngresos netos mensuales iguales o superiores a un salario mínimo legal mensual vigente </w:t>
      </w:r>
      <w:r>
        <w:rPr>
          <w:rFonts w:ascii="Verdana" w:eastAsia="Calibri" w:hAnsi="Verdana" w:cs="Arial"/>
          <w:color w:val="000000" w:themeColor="text1"/>
        </w:rPr>
        <w:t>–</w:t>
      </w:r>
      <w:r w:rsidRPr="00AE371C">
        <w:rPr>
          <w:rFonts w:ascii="Verdana" w:eastAsia="Calibri" w:hAnsi="Verdana" w:cs="Arial"/>
          <w:color w:val="000000" w:themeColor="text1"/>
        </w:rPr>
        <w:t>SMLMV</w:t>
      </w:r>
      <w:r>
        <w:rPr>
          <w:rFonts w:ascii="Verdana" w:eastAsia="Calibri" w:hAnsi="Verdana" w:cs="Arial"/>
          <w:color w:val="000000" w:themeColor="text1"/>
        </w:rPr>
        <w:t xml:space="preserve">–. De esta manera, si los ingresos netos mensuales del arrendador son inferiores al SMMLV, este, en principio, no se encuentra obligado a realizar aportes al </w:t>
      </w:r>
      <w:r w:rsidRPr="00B82D94">
        <w:rPr>
          <w:rFonts w:ascii="Verdana" w:eastAsia="Calibri" w:hAnsi="Verdana" w:cs="Arial"/>
          <w:color w:val="000000" w:themeColor="text1"/>
        </w:rPr>
        <w:t>Sistema de Seguridad Social Integral</w:t>
      </w:r>
      <w:r>
        <w:rPr>
          <w:rFonts w:ascii="Verdana" w:eastAsia="Calibri" w:hAnsi="Verdana" w:cs="Arial"/>
          <w:color w:val="000000" w:themeColor="text1"/>
        </w:rPr>
        <w:t xml:space="preserve">. </w:t>
      </w:r>
    </w:p>
    <w:p w14:paraId="301725C1" w14:textId="77777777" w:rsidR="00DD4378" w:rsidRDefault="00DD4378" w:rsidP="00DD437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Conforme a lo anterior, a efectos de cumplir lo exigido en el segundo inciso del artículo 41 de la Ley 80 de 1993 y el artículo 50 de la Ley 789 de 2002, los arrendadores de entidades estatales deberán acreditar ante la respectiva entidad estatal que, </w:t>
      </w:r>
      <w:proofErr w:type="gramStart"/>
      <w:r>
        <w:rPr>
          <w:rFonts w:ascii="Verdana" w:eastAsia="Calibri" w:hAnsi="Verdana" w:cs="Arial"/>
          <w:color w:val="000000" w:themeColor="text1"/>
        </w:rPr>
        <w:t>en razón del</w:t>
      </w:r>
      <w:proofErr w:type="gramEnd"/>
      <w:r>
        <w:rPr>
          <w:rFonts w:ascii="Verdana" w:eastAsia="Calibri" w:hAnsi="Verdana" w:cs="Arial"/>
          <w:color w:val="000000" w:themeColor="text1"/>
        </w:rPr>
        <w:t xml:space="preserve"> monto de sus ingresos, no se encuentran obligados a realizar aportes al </w:t>
      </w:r>
      <w:r w:rsidRPr="00B82D94">
        <w:rPr>
          <w:rFonts w:ascii="Verdana" w:eastAsia="Calibri" w:hAnsi="Verdana" w:cs="Arial"/>
          <w:color w:val="000000" w:themeColor="text1"/>
        </w:rPr>
        <w:t xml:space="preserve">Sistema de Seguridad Social </w:t>
      </w:r>
      <w:r w:rsidRPr="00B82D94">
        <w:rPr>
          <w:rFonts w:ascii="Verdana" w:eastAsia="Calibri" w:hAnsi="Verdana" w:cs="Arial"/>
          <w:color w:val="000000" w:themeColor="text1"/>
        </w:rPr>
        <w:lastRenderedPageBreak/>
        <w:t>Integral</w:t>
      </w:r>
      <w:r>
        <w:rPr>
          <w:rFonts w:ascii="Verdana" w:eastAsia="Calibri" w:hAnsi="Verdana" w:cs="Arial"/>
          <w:color w:val="000000" w:themeColor="text1"/>
        </w:rPr>
        <w:t xml:space="preserve">. Para ello deberá emplear las planillas, certificaciones y/o documentos que resulten conducente para acreditar dichas condiciones, de acuerdo con las normas aplicables para el efecto. </w:t>
      </w:r>
    </w:p>
    <w:p w14:paraId="03103682" w14:textId="77777777" w:rsidR="00DD4378" w:rsidRDefault="00DD4378" w:rsidP="00DD4378">
      <w:pPr>
        <w:pStyle w:val="Textoindependiente"/>
        <w:spacing w:after="120" w:line="276" w:lineRule="auto"/>
        <w:jc w:val="both"/>
        <w:rPr>
          <w:spacing w:val="-2"/>
          <w:lang w:val="es-CO"/>
        </w:rPr>
      </w:pPr>
      <w:r w:rsidRPr="00C563A7">
        <w:rPr>
          <w:rFonts w:eastAsia="Calibri" w:cs="Arial"/>
          <w:color w:val="000000" w:themeColor="text1"/>
        </w:rPr>
        <w:t>Finalmente, en Colombia</w:t>
      </w:r>
      <w:r w:rsidRPr="00427C5D">
        <w:rPr>
          <w:rFonts w:cs="Arial"/>
          <w:color w:val="000000" w:themeColor="text1"/>
        </w:rPr>
        <w:t>,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p>
    <w:p w14:paraId="2007C117" w14:textId="77777777" w:rsidR="00DD4378" w:rsidRPr="009A3099" w:rsidRDefault="00DD4378" w:rsidP="009A3099">
      <w:pPr>
        <w:pStyle w:val="Textoindependiente"/>
        <w:spacing w:after="120" w:line="276" w:lineRule="auto"/>
        <w:jc w:val="both"/>
        <w:rPr>
          <w:rFonts w:cs="Arial"/>
          <w:color w:val="000000" w:themeColor="text1"/>
        </w:rPr>
      </w:pPr>
      <w:r w:rsidRPr="00B05F99">
        <w:rPr>
          <w:rFonts w:eastAsia="Times New Roman" w:cs="Arial"/>
        </w:rPr>
        <w:t xml:space="preserve">En consecuencia, no cabe duda de que el pago de los aportes al Sistema de Seguridad Social Integral, por parte de los contratistas del Estado, es una obligación contenida en </w:t>
      </w:r>
      <w:r w:rsidRPr="009A3099">
        <w:rPr>
          <w:rFonts w:cs="Arial"/>
          <w:color w:val="000000" w:themeColor="text1"/>
        </w:rPr>
        <w:t>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realizar el contrato de arrendamiento.</w:t>
      </w:r>
    </w:p>
    <w:p w14:paraId="22353E04" w14:textId="6CF10193" w:rsidR="005A08E4" w:rsidRPr="00D72302" w:rsidRDefault="00E07CF8" w:rsidP="00D72302">
      <w:pPr>
        <w:pStyle w:val="Textoindependiente"/>
        <w:spacing w:after="240" w:line="276" w:lineRule="auto"/>
        <w:jc w:val="both"/>
        <w:rPr>
          <w:rFonts w:cs="Arial"/>
          <w:lang w:eastAsia="es-ES"/>
        </w:rPr>
      </w:pPr>
      <w:r w:rsidRPr="009A3099">
        <w:rPr>
          <w:rFonts w:cs="Arial"/>
          <w:color w:val="000000" w:themeColor="text1"/>
        </w:rPr>
        <w:t>Finalmente</w:t>
      </w:r>
      <w:r w:rsidR="0075610E" w:rsidRPr="009A3099">
        <w:rPr>
          <w:rFonts w:cs="Arial"/>
          <w:color w:val="000000" w:themeColor="text1"/>
        </w:rPr>
        <w:t xml:space="preserve">, </w:t>
      </w:r>
      <w:r w:rsidRPr="009A3099">
        <w:rPr>
          <w:rFonts w:cs="Arial"/>
          <w:color w:val="000000" w:themeColor="text1"/>
        </w:rPr>
        <w:t xml:space="preserve">debe advertirse que </w:t>
      </w:r>
      <w:r w:rsidR="0075610E" w:rsidRPr="009A3099">
        <w:rPr>
          <w:rFonts w:cs="Arial"/>
          <w:color w:val="000000" w:themeColor="text1"/>
        </w:rPr>
        <w:t>al tratarse de un análisis que debe realizarse en un procedimiento contractual específico, esta Agencia no puede definir un criterio universal y absoluto por vía consultiva, sino que brinda elementos de carácter general para que</w:t>
      </w:r>
      <w:r w:rsidR="0075610E" w:rsidRPr="00603690">
        <w:rPr>
          <w:rFonts w:eastAsia="Calibri" w:cs="Times New Roman"/>
        </w:rPr>
        <w:t xml:space="preserve"> los partícipes del Sistema de Compras y Contratación Pública adopten la decisión que corresponda, lo cual es acorde con el principio de juridicidad. Así</w:t>
      </w:r>
      <w:r w:rsidR="0075610E">
        <w:rPr>
          <w:rFonts w:eastAsia="Calibri" w:cs="Times New Roman"/>
        </w:rPr>
        <w:t>,</w:t>
      </w:r>
      <w:r w:rsidR="0075610E" w:rsidRPr="00603690">
        <w:rPr>
          <w:rFonts w:eastAsia="Calibri" w:cs="Times New Roman"/>
        </w:rPr>
        <w:t xml:space="preserve"> cada entidad definirá la forma de adelantar su gestión contractual, sin que sea atribución de la Agencia Nacional de Contratación Pública – Colombia Compra Eficiente validar sus actuaciones</w:t>
      </w:r>
      <w:r w:rsidR="00D72302">
        <w:rPr>
          <w:rFonts w:eastAsia="Calibri" w:cs="Times New Roman"/>
        </w:rPr>
        <w:t>.</w:t>
      </w:r>
    </w:p>
    <w:p w14:paraId="6F98D9AB" w14:textId="77777777" w:rsidR="005A08E4" w:rsidRPr="00C15DD4" w:rsidRDefault="005A08E4" w:rsidP="004757C1">
      <w:pPr>
        <w:numPr>
          <w:ilvl w:val="0"/>
          <w:numId w:val="24"/>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Referencias normativas y jurisprudenciales:</w:t>
      </w:r>
    </w:p>
    <w:p w14:paraId="55E37A7E" w14:textId="77777777" w:rsidR="005A08E4" w:rsidRPr="00C15DD4" w:rsidRDefault="005A08E4" w:rsidP="005A08E4">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A08E4" w:rsidRPr="00C15DD4" w14:paraId="59E70301" w14:textId="77777777">
        <w:trPr>
          <w:trHeight w:val="410"/>
          <w:jc w:val="center"/>
        </w:trPr>
        <w:tc>
          <w:tcPr>
            <w:tcW w:w="8647" w:type="dxa"/>
          </w:tcPr>
          <w:p w14:paraId="5406B99C" w14:textId="77777777" w:rsidR="00264660" w:rsidRPr="00885622" w:rsidRDefault="00264660" w:rsidP="00264660">
            <w:pPr>
              <w:pStyle w:val="Sinespaciado"/>
              <w:numPr>
                <w:ilvl w:val="0"/>
                <w:numId w:val="17"/>
              </w:numPr>
              <w:spacing w:line="276" w:lineRule="auto"/>
              <w:rPr>
                <w:rFonts w:ascii="Verdana" w:hAnsi="Verdana"/>
              </w:rPr>
            </w:pPr>
            <w:r w:rsidRPr="00C62427">
              <w:rPr>
                <w:rFonts w:ascii="Verdana" w:hAnsi="Verdana"/>
              </w:rPr>
              <w:t>Código Civil</w:t>
            </w:r>
            <w:r>
              <w:rPr>
                <w:rFonts w:ascii="Verdana" w:hAnsi="Verdana"/>
              </w:rPr>
              <w:t>,</w:t>
            </w:r>
            <w:r w:rsidRPr="00C62427">
              <w:rPr>
                <w:rFonts w:ascii="Verdana" w:hAnsi="Verdana"/>
              </w:rPr>
              <w:t xml:space="preserve"> Artículos 1973, 2000</w:t>
            </w:r>
          </w:p>
          <w:p w14:paraId="210B6DB7" w14:textId="77777777" w:rsidR="00264660" w:rsidRDefault="00264660" w:rsidP="00264660">
            <w:pPr>
              <w:pStyle w:val="Sinespaciado"/>
              <w:numPr>
                <w:ilvl w:val="0"/>
                <w:numId w:val="17"/>
              </w:numPr>
              <w:spacing w:line="276" w:lineRule="auto"/>
              <w:rPr>
                <w:rFonts w:ascii="Verdana" w:hAnsi="Verdana"/>
              </w:rPr>
            </w:pPr>
            <w:r w:rsidRPr="0028495E">
              <w:rPr>
                <w:rFonts w:ascii="Verdana" w:hAnsi="Verdana"/>
              </w:rPr>
              <w:t>Ley 80 de 1993, artículos 13 y 32, numeral 3º</w:t>
            </w:r>
            <w:r>
              <w:rPr>
                <w:rFonts w:ascii="Verdana" w:hAnsi="Verdana"/>
              </w:rPr>
              <w:t>, 40, 41</w:t>
            </w:r>
          </w:p>
          <w:p w14:paraId="4E7CC95D" w14:textId="77777777" w:rsidR="00264660" w:rsidRPr="00C408BB" w:rsidRDefault="00264660" w:rsidP="00264660">
            <w:pPr>
              <w:pStyle w:val="Sinespaciado"/>
              <w:numPr>
                <w:ilvl w:val="0"/>
                <w:numId w:val="17"/>
              </w:numPr>
              <w:spacing w:line="276" w:lineRule="auto"/>
              <w:rPr>
                <w:rFonts w:ascii="Verdana" w:hAnsi="Verdana"/>
              </w:rPr>
            </w:pPr>
            <w:r w:rsidRPr="00C62427">
              <w:rPr>
                <w:rFonts w:ascii="Verdana" w:hAnsi="Verdana"/>
              </w:rPr>
              <w:t>Ley 789 de 2002</w:t>
            </w:r>
            <w:r>
              <w:rPr>
                <w:rFonts w:ascii="Verdana" w:hAnsi="Verdana"/>
              </w:rPr>
              <w:t>,</w:t>
            </w:r>
            <w:r w:rsidRPr="00C62427">
              <w:rPr>
                <w:rFonts w:ascii="Verdana" w:hAnsi="Verdana"/>
              </w:rPr>
              <w:t xml:space="preserve"> Artículo 50 </w:t>
            </w:r>
          </w:p>
          <w:p w14:paraId="2445E45B" w14:textId="77777777" w:rsidR="00264660" w:rsidRDefault="00264660" w:rsidP="00264660">
            <w:pPr>
              <w:pStyle w:val="Sinespaciado"/>
              <w:numPr>
                <w:ilvl w:val="0"/>
                <w:numId w:val="17"/>
              </w:numPr>
              <w:spacing w:line="276" w:lineRule="auto"/>
              <w:rPr>
                <w:rFonts w:ascii="Verdana" w:hAnsi="Verdana"/>
              </w:rPr>
            </w:pPr>
            <w:r w:rsidRPr="0028495E">
              <w:rPr>
                <w:rFonts w:ascii="Verdana" w:hAnsi="Verdana"/>
              </w:rPr>
              <w:t>Ley 1150 de 2007, artículo 2, numeral 4º, literal h)</w:t>
            </w:r>
            <w:r>
              <w:rPr>
                <w:rFonts w:ascii="Verdana" w:hAnsi="Verdana"/>
              </w:rPr>
              <w:t>, 23</w:t>
            </w:r>
          </w:p>
          <w:p w14:paraId="28563C4B" w14:textId="77777777" w:rsidR="00264660" w:rsidRDefault="00264660" w:rsidP="00264660">
            <w:pPr>
              <w:pStyle w:val="Sinespaciado"/>
              <w:numPr>
                <w:ilvl w:val="0"/>
                <w:numId w:val="17"/>
              </w:numPr>
              <w:spacing w:line="276" w:lineRule="auto"/>
              <w:rPr>
                <w:rFonts w:ascii="Verdana" w:hAnsi="Verdana"/>
              </w:rPr>
            </w:pPr>
            <w:r w:rsidRPr="0649344F">
              <w:rPr>
                <w:rFonts w:ascii="Verdana" w:hAnsi="Verdana"/>
              </w:rPr>
              <w:lastRenderedPageBreak/>
              <w:t xml:space="preserve">Ley 2277 de 2022. </w:t>
            </w:r>
            <w:r>
              <w:rPr>
                <w:rFonts w:ascii="Verdana" w:hAnsi="Verdana"/>
              </w:rPr>
              <w:t xml:space="preserve">Artículo 89. </w:t>
            </w:r>
          </w:p>
          <w:p w14:paraId="0F53DCCB" w14:textId="77777777" w:rsidR="00264660" w:rsidRPr="00C62427" w:rsidRDefault="00264660" w:rsidP="00264660">
            <w:pPr>
              <w:pStyle w:val="Sinespaciado"/>
              <w:numPr>
                <w:ilvl w:val="0"/>
                <w:numId w:val="17"/>
              </w:numPr>
              <w:spacing w:line="276" w:lineRule="auto"/>
              <w:rPr>
                <w:rFonts w:ascii="Verdana" w:hAnsi="Verdana"/>
              </w:rPr>
            </w:pPr>
            <w:r w:rsidRPr="006404FE">
              <w:rPr>
                <w:rFonts w:ascii="Verdana" w:hAnsi="Verdana"/>
              </w:rPr>
              <w:t>Decreto Único Reglamentario 780 de 2016</w:t>
            </w:r>
            <w:r>
              <w:rPr>
                <w:rFonts w:ascii="Verdana" w:hAnsi="Verdana"/>
              </w:rPr>
              <w:t>, Artículo 2.1.4.1</w:t>
            </w:r>
          </w:p>
          <w:p w14:paraId="1F4A1F88" w14:textId="77777777" w:rsidR="00264660" w:rsidRPr="00437B9F" w:rsidRDefault="00264660" w:rsidP="00264660">
            <w:pPr>
              <w:pStyle w:val="Sinespaciado"/>
              <w:numPr>
                <w:ilvl w:val="0"/>
                <w:numId w:val="17"/>
              </w:numPr>
              <w:spacing w:line="276" w:lineRule="auto"/>
              <w:rPr>
                <w:rFonts w:eastAsia="Calibri"/>
              </w:rPr>
            </w:pPr>
            <w:r w:rsidRPr="00B05F99">
              <w:rPr>
                <w:rFonts w:ascii="Verdana" w:hAnsi="Verdana"/>
              </w:rPr>
              <w:t xml:space="preserve">Consejo De Estado. Sala </w:t>
            </w:r>
            <w:r>
              <w:rPr>
                <w:rFonts w:ascii="Verdana" w:hAnsi="Verdana"/>
              </w:rPr>
              <w:t>d</w:t>
            </w:r>
            <w:r w:rsidRPr="00B05F99">
              <w:rPr>
                <w:rFonts w:ascii="Verdana" w:hAnsi="Verdana"/>
              </w:rPr>
              <w:t xml:space="preserve">e Consulta </w:t>
            </w:r>
            <w:r>
              <w:rPr>
                <w:rFonts w:ascii="Verdana" w:hAnsi="Verdana"/>
              </w:rPr>
              <w:t>y</w:t>
            </w:r>
            <w:r w:rsidRPr="00B05F99">
              <w:rPr>
                <w:rFonts w:ascii="Verdana" w:hAnsi="Verdana"/>
              </w:rPr>
              <w:t xml:space="preserve"> Servicio Civil. Sentencia del 26 de julio de 2007. </w:t>
            </w:r>
            <w:proofErr w:type="spellStart"/>
            <w:r w:rsidRPr="00B05F99">
              <w:rPr>
                <w:rFonts w:ascii="Verdana" w:hAnsi="Verdana"/>
              </w:rPr>
              <w:t>Exp</w:t>
            </w:r>
            <w:proofErr w:type="spellEnd"/>
            <w:r w:rsidRPr="00B05F99">
              <w:rPr>
                <w:rFonts w:ascii="Verdana" w:hAnsi="Verdana"/>
              </w:rPr>
              <w:t>. 1832. C.P. Luis Fernando Álvarez Jaramillo</w:t>
            </w:r>
          </w:p>
          <w:p w14:paraId="44FA85AC" w14:textId="79A85854" w:rsidR="005A08E4" w:rsidRPr="00C15DD4" w:rsidRDefault="00264660" w:rsidP="00264660">
            <w:pPr>
              <w:pStyle w:val="Sinespaciado"/>
              <w:numPr>
                <w:ilvl w:val="0"/>
                <w:numId w:val="17"/>
              </w:numPr>
              <w:spacing w:line="276" w:lineRule="auto"/>
              <w:rPr>
                <w:rFonts w:eastAsia="Calibri"/>
              </w:rPr>
            </w:pPr>
            <w:r>
              <w:rPr>
                <w:rFonts w:ascii="Verdana" w:hAnsi="Verdana"/>
              </w:rPr>
              <w:t>Corte Constitucional. Sentencia del 26 de agosto de 2009. M.P. Juan Carlos Henao Pérez</w:t>
            </w:r>
            <w:r w:rsidR="005A08E4">
              <w:rPr>
                <w:rFonts w:ascii="Verdana" w:hAnsi="Verdana"/>
              </w:rPr>
              <w:t xml:space="preserve"> </w:t>
            </w:r>
          </w:p>
        </w:tc>
      </w:tr>
    </w:tbl>
    <w:p w14:paraId="0E6B304E" w14:textId="77777777" w:rsidR="005A08E4" w:rsidRPr="00C15DD4" w:rsidRDefault="005A08E4" w:rsidP="005A08E4">
      <w:pPr>
        <w:widowControl w:val="0"/>
        <w:autoSpaceDE w:val="0"/>
        <w:autoSpaceDN w:val="0"/>
        <w:spacing w:after="0" w:line="276" w:lineRule="auto"/>
        <w:jc w:val="both"/>
        <w:rPr>
          <w:rFonts w:ascii="Verdana" w:eastAsia="Calibri" w:hAnsi="Verdana" w:cs="Arial"/>
        </w:rPr>
      </w:pPr>
    </w:p>
    <w:p w14:paraId="59FBBA13" w14:textId="059F5B97" w:rsidR="005A08E4" w:rsidRPr="00D72302" w:rsidRDefault="005A08E4" w:rsidP="00D72302">
      <w:pPr>
        <w:widowControl w:val="0"/>
        <w:numPr>
          <w:ilvl w:val="0"/>
          <w:numId w:val="24"/>
        </w:numPr>
        <w:tabs>
          <w:tab w:val="left" w:pos="142"/>
          <w:tab w:val="left" w:pos="284"/>
        </w:tabs>
        <w:autoSpaceDE w:val="0"/>
        <w:autoSpaceDN w:val="0"/>
        <w:spacing w:line="276" w:lineRule="auto"/>
        <w:jc w:val="both"/>
        <w:rPr>
          <w:rFonts w:ascii="Verdana" w:eastAsia="Calibri" w:hAnsi="Verdana" w:cs="Arial"/>
          <w:color w:val="000000"/>
          <w:kern w:val="2"/>
          <w:shd w:val="clear" w:color="auto" w:fill="FFFFFF"/>
          <w14:ligatures w14:val="standardContextual"/>
        </w:rPr>
      </w:pPr>
      <w:r w:rsidRPr="00D72302">
        <w:rPr>
          <w:rFonts w:ascii="Verdana" w:eastAsia="Century Gothic" w:hAnsi="Verdana" w:cs="Century Gothic"/>
          <w:b/>
          <w:bCs/>
        </w:rPr>
        <w:t>Doctrina de la Agencia Nacional de Contratación Pública:</w:t>
      </w:r>
    </w:p>
    <w:p w14:paraId="16D4C1BD" w14:textId="71BE4CD6" w:rsidR="00820B1E" w:rsidRDefault="00820B1E" w:rsidP="00977133">
      <w:pPr>
        <w:widowControl w:val="0"/>
        <w:autoSpaceDE w:val="0"/>
        <w:autoSpaceDN w:val="0"/>
        <w:spacing w:line="276" w:lineRule="auto"/>
        <w:jc w:val="both"/>
        <w:rPr>
          <w:rFonts w:ascii="Verdana" w:eastAsia="Times New Roman" w:hAnsi="Verdana" w:cs="Arial"/>
          <w:color w:val="000000" w:themeColor="text1"/>
          <w:lang w:val="es-ES"/>
        </w:rPr>
      </w:pPr>
      <w:r w:rsidRPr="0649344F">
        <w:rPr>
          <w:rFonts w:ascii="Verdana" w:eastAsia="Times New Roman" w:hAnsi="Verdana" w:cs="Arial"/>
          <w:color w:val="000000" w:themeColor="text1"/>
          <w:lang w:val="es-ES"/>
        </w:rPr>
        <w:t xml:space="preserve">La Agencia Nacional de Contratación Pública – Colombia Compra Eficiente ha tenido la oportunidad de pronunciarse en relación con estos aspectos en los Conceptos No. 4201814000000493 en respuesta a la consulta del 18 de enero de 2018, así como en los conceptos C-006 del 04 de febrero de 2020, C-141 del 03 de marzo de 2020, C-161 y C-183 del 17 de marzo de 2020, C-319 del 12 de junio de 202 </w:t>
      </w:r>
      <w:r w:rsidRPr="0649344F">
        <w:rPr>
          <w:rFonts w:ascii="Verdana" w:eastAsia="Times New Roman" w:hAnsi="Verdana" w:cs="Arial"/>
          <w:color w:val="000000" w:themeColor="text1"/>
        </w:rPr>
        <w:t>Concepto C-391 de 2023,</w:t>
      </w:r>
      <w:r w:rsidRPr="0649344F">
        <w:rPr>
          <w:rFonts w:ascii="Verdana" w:eastAsia="Times New Roman" w:hAnsi="Verdana" w:cs="Arial"/>
          <w:color w:val="000000" w:themeColor="text1"/>
          <w:lang w:val="es-ES"/>
        </w:rPr>
        <w:t xml:space="preserve"> C-293 del 20 de agosto de 2024, C-681 del 29 de octubre de 2024, C-270 de 08 de abril de 2025</w:t>
      </w:r>
      <w:r w:rsidR="0078397E">
        <w:rPr>
          <w:rFonts w:ascii="Verdana" w:eastAsia="Times New Roman" w:hAnsi="Verdana" w:cs="Arial"/>
          <w:color w:val="000000" w:themeColor="text1"/>
          <w:lang w:val="es-ES"/>
        </w:rPr>
        <w:t>,</w:t>
      </w:r>
      <w:r w:rsidRPr="0649344F">
        <w:rPr>
          <w:rFonts w:ascii="Verdana" w:eastAsia="Times New Roman" w:hAnsi="Verdana" w:cs="Arial"/>
          <w:color w:val="000000" w:themeColor="text1"/>
          <w:lang w:val="es-ES"/>
        </w:rPr>
        <w:t xml:space="preserve"> C-1128 del 22 de septiembre de 2025</w:t>
      </w:r>
      <w:r w:rsidR="0078397E">
        <w:rPr>
          <w:rFonts w:ascii="Verdana" w:eastAsia="Times New Roman" w:hAnsi="Verdana" w:cs="Arial"/>
          <w:color w:val="000000" w:themeColor="text1"/>
          <w:lang w:val="es-ES"/>
        </w:rPr>
        <w:t xml:space="preserve"> y 022 de 2026.</w:t>
      </w:r>
      <w:r w:rsidRPr="0649344F">
        <w:rPr>
          <w:rFonts w:ascii="Verdana" w:eastAsia="Times New Roman" w:hAnsi="Verdana" w:cs="Arial"/>
          <w:color w:val="000000" w:themeColor="text1"/>
          <w:lang w:val="es-ES"/>
        </w:rPr>
        <w:t xml:space="preserve"> Es</w:t>
      </w:r>
      <w:r w:rsidRPr="0649344F">
        <w:rPr>
          <w:rFonts w:ascii="Verdana" w:eastAsia="Times New Roman" w:hAnsi="Verdana" w:cs="Arial"/>
          <w:color w:val="000000" w:themeColor="text1"/>
        </w:rPr>
        <w:t>tos y otros conceptos se encuentran disponibles para consulta en el Sistema de relatoría de la Agencia, al cual se puede acceder a través del siguiente enlace:</w:t>
      </w:r>
      <w:r w:rsidRPr="0649344F">
        <w:rPr>
          <w:rFonts w:ascii="Verdana" w:eastAsia="Times New Roman" w:hAnsi="Verdana" w:cs="Arial"/>
          <w:color w:val="000000" w:themeColor="text1"/>
          <w:lang w:val="es-ES"/>
        </w:rPr>
        <w:t xml:space="preserve"> </w:t>
      </w:r>
      <w:hyperlink r:id="rId12">
        <w:r w:rsidRPr="0649344F">
          <w:rPr>
            <w:rFonts w:ascii="Verdana" w:eastAsia="Times New Roman" w:hAnsi="Verdana" w:cs="Arial"/>
            <w:color w:val="467886"/>
            <w:u w:val="single"/>
            <w:lang w:val="es-ES"/>
          </w:rPr>
          <w:t>https://relatoria.colombiacompra.gov.co/busqueda/conceptos</w:t>
        </w:r>
      </w:hyperlink>
      <w:r w:rsidRPr="0649344F">
        <w:rPr>
          <w:rFonts w:ascii="Verdana" w:eastAsia="Times New Roman" w:hAnsi="Verdana" w:cs="Arial"/>
          <w:color w:val="000000" w:themeColor="text1"/>
          <w:lang w:val="es-ES"/>
        </w:rPr>
        <w:t xml:space="preserve">. </w:t>
      </w:r>
    </w:p>
    <w:p w14:paraId="4A8148F2" w14:textId="5D426E44" w:rsidR="00977133" w:rsidRDefault="00977133" w:rsidP="00977133">
      <w:pPr>
        <w:spacing w:line="276" w:lineRule="auto"/>
        <w:jc w:val="both"/>
        <w:rPr>
          <w:rFonts w:ascii="Verdana" w:hAnsi="Verdana"/>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A2375">
        <w:rPr>
          <w:rFonts w:ascii="Verdana" w:hAnsi="Verdana"/>
        </w:rPr>
        <w:br/>
      </w:r>
      <w:hyperlink r:id="rId13" w:tgtFrame="_new" w:history="1">
        <w:r w:rsidRPr="004A2375">
          <w:rPr>
            <w:rStyle w:val="Hipervnculo"/>
            <w:rFonts w:ascii="Verdana" w:hAnsi="Verdana"/>
          </w:rPr>
          <w:t>https://formacionvirtual.colombiacompra.gov.co/mod/page/view.php?id=3718</w:t>
        </w:r>
      </w:hyperlink>
    </w:p>
    <w:p w14:paraId="6F1898DF" w14:textId="465770F2" w:rsidR="00977133" w:rsidRDefault="00977133" w:rsidP="00977133">
      <w:pPr>
        <w:spacing w:line="276" w:lineRule="auto"/>
        <w:jc w:val="both"/>
        <w:rPr>
          <w:rFonts w:ascii="Verdana" w:hAnsi="Verdana"/>
        </w:rPr>
      </w:pPr>
      <w:r w:rsidRPr="004A2375">
        <w:rPr>
          <w:rFonts w:ascii="Verdana" w:hAnsi="Verdana"/>
        </w:rPr>
        <w:t xml:space="preserve">De otro lado, te contamos que esta Agencia ha da un paso decisivo en la estandarización y modernización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4A2375">
          <w:rPr>
            <w:rStyle w:val="Hipervnculo"/>
            <w:rFonts w:ascii="Verdana" w:hAnsi="Verdana"/>
          </w:rPr>
          <w:t>https://www.colombiacompra.gov.co/normativa-y-relatoria/documentos-tipo</w:t>
        </w:r>
      </w:hyperlink>
    </w:p>
    <w:p w14:paraId="091200C5" w14:textId="76D4145D" w:rsidR="005A08E4" w:rsidRPr="00C15DD4" w:rsidRDefault="00977133" w:rsidP="00977133">
      <w:pPr>
        <w:spacing w:line="276" w:lineRule="auto"/>
        <w:jc w:val="both"/>
        <w:rPr>
          <w:rFonts w:ascii="Verdana" w:eastAsia="Times New Roman" w:hAnsi="Verdana" w:cs="Arial"/>
          <w:shd w:val="clear" w:color="auto" w:fill="FFFFFF"/>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5"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54E0012" w14:textId="0FBD83F1" w:rsidR="005A08E4" w:rsidRPr="00C15DD4" w:rsidRDefault="005A08E4" w:rsidP="00977133">
      <w:pPr>
        <w:spacing w:line="276" w:lineRule="auto"/>
        <w:jc w:val="both"/>
        <w:rPr>
          <w:rFonts w:ascii="Verdana" w:hAnsi="Verdana"/>
        </w:rPr>
      </w:pPr>
      <w:r w:rsidRPr="00C15DD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C6569E9" w14:textId="77777777" w:rsidR="005A08E4" w:rsidRPr="0044616D" w:rsidRDefault="005A08E4" w:rsidP="005A08E4">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44616D">
        <w:rPr>
          <w:rFonts w:ascii="Verdana" w:eastAsia="Verdana" w:hAnsi="Verdana" w:cs="Verdana"/>
          <w:lang w:val="es-CO"/>
        </w:rPr>
        <w:t xml:space="preserve">Línea nacional gratuita o servicio a la ciudadanía (Mesa de servicio): </w:t>
      </w:r>
      <w:r w:rsidRPr="0044616D">
        <w:rPr>
          <w:rStyle w:val="Hipervnculo"/>
          <w:rFonts w:ascii="Verdana" w:hAnsi="Verdana"/>
          <w:lang w:val="es-CO"/>
        </w:rPr>
        <w:t>01800 0520808</w:t>
      </w:r>
    </w:p>
    <w:p w14:paraId="199CF267" w14:textId="77777777" w:rsidR="005A08E4" w:rsidRPr="0044616D" w:rsidRDefault="005A08E4" w:rsidP="005A08E4">
      <w:pPr>
        <w:pStyle w:val="Prrafodelista"/>
        <w:numPr>
          <w:ilvl w:val="0"/>
          <w:numId w:val="15"/>
        </w:numPr>
        <w:spacing w:after="0" w:line="276" w:lineRule="auto"/>
        <w:rPr>
          <w:rFonts w:ascii="Verdana" w:eastAsia="Verdana" w:hAnsi="Verdana" w:cs="Verdana"/>
          <w:color w:val="4472C4" w:themeColor="accent1"/>
          <w:u w:val="single"/>
          <w:lang w:val="es-CO"/>
        </w:rPr>
      </w:pPr>
      <w:r w:rsidRPr="0044616D">
        <w:rPr>
          <w:rFonts w:ascii="Verdana" w:eastAsia="Verdana" w:hAnsi="Verdana" w:cs="Verdana"/>
          <w:lang w:val="es-CO"/>
        </w:rPr>
        <w:t>Línea en Bogotá (Mesa de servicio</w:t>
      </w:r>
      <w:proofErr w:type="gramStart"/>
      <w:r w:rsidRPr="0044616D">
        <w:rPr>
          <w:rFonts w:ascii="Verdana" w:eastAsia="Verdana" w:hAnsi="Verdana" w:cs="Verdana"/>
          <w:lang w:val="es-CO"/>
        </w:rPr>
        <w:t>):</w:t>
      </w:r>
      <w:r w:rsidRPr="0044616D">
        <w:rPr>
          <w:rStyle w:val="Hipervnculo"/>
          <w:rFonts w:ascii="Verdana" w:hAnsi="Verdana"/>
          <w:lang w:val="es-CO"/>
        </w:rPr>
        <w:t>+</w:t>
      </w:r>
      <w:proofErr w:type="gramEnd"/>
      <w:r w:rsidRPr="0044616D">
        <w:rPr>
          <w:rStyle w:val="Hipervnculo"/>
          <w:rFonts w:ascii="Verdana" w:hAnsi="Verdana"/>
          <w:lang w:val="es-CO"/>
        </w:rPr>
        <w:t>57 601 7456788</w:t>
      </w:r>
    </w:p>
    <w:p w14:paraId="350C1C54" w14:textId="77777777" w:rsidR="005A08E4" w:rsidRPr="0044616D" w:rsidRDefault="005A08E4" w:rsidP="005A08E4">
      <w:pPr>
        <w:pStyle w:val="Prrafodelista"/>
        <w:numPr>
          <w:ilvl w:val="0"/>
          <w:numId w:val="15"/>
        </w:numPr>
        <w:spacing w:after="0" w:line="276" w:lineRule="auto"/>
        <w:rPr>
          <w:rFonts w:ascii="Verdana" w:eastAsia="Verdana" w:hAnsi="Verdana" w:cs="Verdana"/>
          <w:color w:val="0000FF"/>
          <w:u w:val="single"/>
          <w:lang w:val="es-CO"/>
        </w:rPr>
      </w:pPr>
      <w:r w:rsidRPr="0044616D">
        <w:rPr>
          <w:rFonts w:ascii="Verdana" w:eastAsia="Verdana" w:hAnsi="Verdana" w:cs="Verdana"/>
          <w:lang w:val="es-CO"/>
        </w:rPr>
        <w:t xml:space="preserve">Correo de radicación de correspondencia: </w:t>
      </w:r>
      <w:hyperlink r:id="rId16" w:history="1">
        <w:r w:rsidRPr="0044616D">
          <w:rPr>
            <w:rStyle w:val="Hipervnculo"/>
            <w:rFonts w:ascii="Verdana" w:eastAsia="Verdana" w:hAnsi="Verdana" w:cs="Verdana"/>
            <w:lang w:val="es-CO"/>
          </w:rPr>
          <w:t>ventanilladeradicacion@colombiacompra.gov.co</w:t>
        </w:r>
      </w:hyperlink>
    </w:p>
    <w:p w14:paraId="3653F327" w14:textId="3DF1C69F" w:rsidR="005A08E4" w:rsidRPr="0044616D" w:rsidRDefault="005A08E4" w:rsidP="00977133">
      <w:pPr>
        <w:pStyle w:val="Prrafodelista"/>
        <w:numPr>
          <w:ilvl w:val="0"/>
          <w:numId w:val="15"/>
        </w:numPr>
        <w:spacing w:line="276" w:lineRule="auto"/>
        <w:ind w:left="720"/>
        <w:jc w:val="both"/>
        <w:rPr>
          <w:rFonts w:ascii="Verdana" w:hAnsi="Verdana"/>
        </w:rPr>
      </w:pPr>
      <w:r w:rsidRPr="0044616D">
        <w:rPr>
          <w:rFonts w:ascii="Verdana" w:eastAsia="Verdana" w:hAnsi="Verdana" w:cs="Verdana"/>
          <w:lang w:val="es-CO"/>
        </w:rPr>
        <w:t xml:space="preserve">Formulario web para PQRSD: </w:t>
      </w:r>
      <w:hyperlink r:id="rId17" w:history="1">
        <w:r w:rsidRPr="0044616D">
          <w:rPr>
            <w:rStyle w:val="Hipervnculo"/>
            <w:rFonts w:ascii="Verdana" w:eastAsia="Verdana" w:hAnsi="Verdana" w:cs="Verdana"/>
            <w:lang w:val="es-CO"/>
          </w:rPr>
          <w:t>https://www.colombiacompra.gov.co/pqrsd/informacion-importante-antes-de-formular-una-pqrsd</w:t>
        </w:r>
      </w:hyperlink>
    </w:p>
    <w:p w14:paraId="24E846AC" w14:textId="726D7E19" w:rsidR="005A08E4" w:rsidRPr="00C15DD4" w:rsidRDefault="005A08E4" w:rsidP="00977133">
      <w:pPr>
        <w:spacing w:line="276" w:lineRule="auto"/>
        <w:rPr>
          <w:rFonts w:ascii="Verdana" w:hAnsi="Verdana"/>
        </w:rPr>
      </w:pPr>
      <w:r w:rsidRPr="00C15DD4">
        <w:rPr>
          <w:rFonts w:ascii="Verdana" w:hAnsi="Verdana"/>
        </w:rPr>
        <w:t>Evalúa el servicio que ofrece la Agencia por el canal de atención de PQRSD en el siguiente enlace:</w:t>
      </w:r>
      <w:r>
        <w:rPr>
          <w:rFonts w:ascii="Verdana" w:hAnsi="Verdana"/>
        </w:rPr>
        <w:t xml:space="preserve"> </w:t>
      </w:r>
      <w:hyperlink r:id="rId18" w:history="1">
        <w:r w:rsidRPr="0069290E">
          <w:rPr>
            <w:rStyle w:val="Hipervnculo"/>
            <w:rFonts w:ascii="Verdana" w:hAnsi="Verdana"/>
          </w:rPr>
          <w:t>https://forms.office.com/r/pPHyWVs2SZ</w:t>
        </w:r>
      </w:hyperlink>
      <w:r w:rsidR="00A03B14">
        <w:rPr>
          <w:rFonts w:ascii="Verdana" w:hAnsi="Verdana"/>
        </w:rPr>
        <w:t xml:space="preserve"> </w:t>
      </w:r>
      <w:r w:rsidRPr="00C15DD4">
        <w:rPr>
          <w:rFonts w:ascii="Verdana" w:hAnsi="Verdana"/>
        </w:rPr>
        <w:t>¡Ayúdanos a mejorar porque el compromiso es de todos!</w:t>
      </w:r>
    </w:p>
    <w:p w14:paraId="5E25FA6D" w14:textId="52F5D950" w:rsidR="005A08E4" w:rsidRPr="00C15DD4" w:rsidRDefault="005A08E4" w:rsidP="00977133">
      <w:pPr>
        <w:spacing w:line="276" w:lineRule="auto"/>
        <w:jc w:val="both"/>
        <w:rPr>
          <w:rFonts w:ascii="Verdana" w:hAnsi="Verdana"/>
        </w:rPr>
      </w:pPr>
      <w:r w:rsidRPr="00C15DD4">
        <w:rPr>
          <w:rFonts w:ascii="Verdana" w:hAnsi="Verdana"/>
        </w:rPr>
        <w:t xml:space="preserve">Por último, lo invitamos a seguirnos en las redes sociales en las cuales se difunde información institucional: </w:t>
      </w:r>
    </w:p>
    <w:p w14:paraId="72050D6C" w14:textId="77777777" w:rsidR="005A08E4" w:rsidRPr="0044616D" w:rsidRDefault="005A08E4" w:rsidP="005A08E4">
      <w:pPr>
        <w:spacing w:after="0" w:line="276" w:lineRule="auto"/>
        <w:jc w:val="both"/>
        <w:rPr>
          <w:rFonts w:ascii="Verdana" w:hAnsi="Verdana"/>
        </w:rPr>
      </w:pPr>
      <w:r w:rsidRPr="0044616D">
        <w:rPr>
          <w:rFonts w:ascii="Verdana" w:hAnsi="Verdana"/>
        </w:rPr>
        <w:t xml:space="preserve">Twitter: </w:t>
      </w:r>
      <w:r w:rsidRPr="0044616D">
        <w:rPr>
          <w:rStyle w:val="Hipervnculo"/>
          <w:rFonts w:ascii="Verdana" w:hAnsi="Verdana"/>
        </w:rPr>
        <w:t>@colombiacompra</w:t>
      </w:r>
      <w:r w:rsidRPr="0044616D">
        <w:rPr>
          <w:rFonts w:ascii="Verdana" w:hAnsi="Verdana"/>
        </w:rPr>
        <w:t xml:space="preserve"> </w:t>
      </w:r>
    </w:p>
    <w:p w14:paraId="46E0E2AB" w14:textId="77777777" w:rsidR="005A08E4" w:rsidRPr="0044616D" w:rsidRDefault="005A08E4" w:rsidP="005A08E4">
      <w:pPr>
        <w:spacing w:after="0" w:line="276" w:lineRule="auto"/>
        <w:jc w:val="both"/>
        <w:rPr>
          <w:rFonts w:ascii="Verdana" w:hAnsi="Verdana"/>
        </w:rPr>
      </w:pPr>
      <w:r w:rsidRPr="0044616D">
        <w:rPr>
          <w:rFonts w:ascii="Verdana" w:hAnsi="Verdana"/>
        </w:rPr>
        <w:t xml:space="preserve">Facebook: </w:t>
      </w:r>
      <w:proofErr w:type="spellStart"/>
      <w:r w:rsidRPr="0044616D">
        <w:rPr>
          <w:rStyle w:val="Hipervnculo"/>
          <w:rFonts w:ascii="Verdana" w:hAnsi="Verdana"/>
        </w:rPr>
        <w:t>ColombiaCompraEficiente</w:t>
      </w:r>
      <w:proofErr w:type="spellEnd"/>
    </w:p>
    <w:p w14:paraId="57A637CF" w14:textId="77777777" w:rsidR="00A03B14" w:rsidRPr="0044616D" w:rsidRDefault="005A08E4" w:rsidP="00A03B14">
      <w:pPr>
        <w:spacing w:after="0" w:line="276" w:lineRule="auto"/>
        <w:jc w:val="both"/>
        <w:rPr>
          <w:rFonts w:ascii="Verdana" w:hAnsi="Verdana"/>
        </w:rPr>
      </w:pPr>
      <w:r w:rsidRPr="0044616D">
        <w:rPr>
          <w:rFonts w:ascii="Verdana" w:hAnsi="Verdana"/>
        </w:rPr>
        <w:lastRenderedPageBreak/>
        <w:t xml:space="preserve">LinkedIn: </w:t>
      </w:r>
      <w:r w:rsidRPr="0044616D">
        <w:rPr>
          <w:rStyle w:val="Hipervnculo"/>
          <w:rFonts w:ascii="Verdana" w:hAnsi="Verdana"/>
        </w:rPr>
        <w:t>Agencia Nacional de Contratación Pública - Colombia Compra Eficiente</w:t>
      </w:r>
      <w:r w:rsidRPr="0044616D">
        <w:rPr>
          <w:rFonts w:ascii="Verdana" w:hAnsi="Verdana"/>
        </w:rPr>
        <w:t xml:space="preserve"> </w:t>
      </w:r>
    </w:p>
    <w:p w14:paraId="786DA2F8" w14:textId="0DCEF553" w:rsidR="005A08E4" w:rsidRPr="0044616D" w:rsidRDefault="005A08E4" w:rsidP="00977133">
      <w:pPr>
        <w:spacing w:line="276" w:lineRule="auto"/>
        <w:jc w:val="both"/>
        <w:rPr>
          <w:rFonts w:ascii="Verdana" w:hAnsi="Verdana"/>
        </w:rPr>
      </w:pPr>
      <w:r w:rsidRPr="0044616D">
        <w:rPr>
          <w:rFonts w:ascii="Verdana" w:hAnsi="Verdana"/>
        </w:rPr>
        <w:t xml:space="preserve">Instagram: </w:t>
      </w:r>
      <w:r w:rsidRPr="0044616D">
        <w:rPr>
          <w:rStyle w:val="Hipervnculo"/>
          <w:rFonts w:ascii="Verdana" w:hAnsi="Verdana"/>
        </w:rPr>
        <w:t>@colombiacompraeficiente_cce</w:t>
      </w:r>
    </w:p>
    <w:p w14:paraId="2111F9F5" w14:textId="77777777" w:rsidR="005A08E4" w:rsidRPr="00C15DD4" w:rsidRDefault="005A08E4" w:rsidP="005A08E4">
      <w:pPr>
        <w:spacing w:after="0" w:line="276" w:lineRule="auto"/>
        <w:jc w:val="both"/>
        <w:rPr>
          <w:rFonts w:ascii="Verdana" w:eastAsia="Calibri" w:hAnsi="Verdana" w:cs="Times New Roman"/>
          <w:bCs/>
        </w:rPr>
      </w:pPr>
      <w:r w:rsidRPr="00C15DD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9AEFB34" w14:textId="77777777" w:rsidR="005A08E4" w:rsidRPr="00C15DD4" w:rsidRDefault="005A08E4" w:rsidP="005A08E4">
      <w:pPr>
        <w:spacing w:after="0" w:line="276" w:lineRule="auto"/>
        <w:jc w:val="both"/>
        <w:rPr>
          <w:rFonts w:ascii="Verdana" w:hAnsi="Verdana"/>
        </w:rPr>
      </w:pPr>
    </w:p>
    <w:p w14:paraId="58E7D381" w14:textId="77777777" w:rsidR="005A08E4" w:rsidRPr="00C15DD4" w:rsidRDefault="005A08E4" w:rsidP="005A08E4">
      <w:pPr>
        <w:spacing w:after="0" w:line="276" w:lineRule="auto"/>
        <w:rPr>
          <w:rFonts w:ascii="Verdana" w:eastAsia="Times New Roman" w:hAnsi="Verdana" w:cs="Arial"/>
          <w:lang w:eastAsia="es-CO"/>
        </w:rPr>
      </w:pPr>
      <w:bookmarkStart w:id="5" w:name="_Hlk117695077"/>
    </w:p>
    <w:p w14:paraId="50A9DEFE" w14:textId="0675FD6C" w:rsidR="005A08E4" w:rsidRDefault="005A08E4" w:rsidP="005A08E4">
      <w:pPr>
        <w:spacing w:after="0" w:line="276" w:lineRule="auto"/>
        <w:rPr>
          <w:rFonts w:ascii="Verdana" w:eastAsia="Times New Roman" w:hAnsi="Verdana" w:cs="Arial"/>
          <w:lang w:eastAsia="es-CO"/>
        </w:rPr>
      </w:pPr>
      <w:r w:rsidRPr="00C15DD4">
        <w:rPr>
          <w:rFonts w:ascii="Verdana" w:eastAsia="Times New Roman" w:hAnsi="Verdana" w:cs="Arial"/>
          <w:lang w:eastAsia="es-CO"/>
        </w:rPr>
        <w:t>Atentamente,</w:t>
      </w:r>
      <w:r>
        <w:rPr>
          <w:rFonts w:ascii="Verdana" w:eastAsia="Times New Roman" w:hAnsi="Verdana" w:cs="Arial"/>
          <w:lang w:eastAsia="es-CO"/>
        </w:rPr>
        <w:t xml:space="preserve"> </w:t>
      </w:r>
    </w:p>
    <w:p w14:paraId="1FDC9C07" w14:textId="77777777" w:rsidR="005A08E4" w:rsidRDefault="005A08E4" w:rsidP="005A08E4">
      <w:pPr>
        <w:spacing w:after="0" w:line="276" w:lineRule="auto"/>
        <w:rPr>
          <w:rFonts w:ascii="Verdana" w:eastAsia="Times New Roman" w:hAnsi="Verdana" w:cs="Arial"/>
          <w:lang w:eastAsia="es-CO"/>
        </w:rPr>
      </w:pPr>
    </w:p>
    <w:p w14:paraId="6D5A85A4" w14:textId="77777777" w:rsidR="005A08E4" w:rsidRPr="00C15DD4" w:rsidRDefault="005A08E4" w:rsidP="005A08E4">
      <w:pPr>
        <w:spacing w:after="0" w:line="276" w:lineRule="auto"/>
        <w:rPr>
          <w:rFonts w:ascii="Verdana" w:eastAsia="Times New Roman" w:hAnsi="Verdana" w:cs="Arial"/>
          <w:lang w:eastAsia="es-CO"/>
        </w:rPr>
      </w:pPr>
    </w:p>
    <w:p w14:paraId="52B72561" w14:textId="4F576577" w:rsidR="00A7582D" w:rsidRPr="00A7582D" w:rsidRDefault="00A7582D" w:rsidP="00A7582D">
      <w:pPr>
        <w:spacing w:after="0" w:line="276" w:lineRule="auto"/>
        <w:jc w:val="center"/>
        <w:rPr>
          <w:rFonts w:ascii="Verdana" w:eastAsia="Times New Roman" w:hAnsi="Verdana" w:cs="Arial"/>
          <w:lang w:eastAsia="es-CO"/>
        </w:rPr>
      </w:pPr>
      <w:r w:rsidRPr="00A7582D">
        <w:rPr>
          <w:rFonts w:ascii="Verdana" w:eastAsia="Times New Roman" w:hAnsi="Verdana" w:cs="Arial"/>
          <w:lang w:eastAsia="es-CO"/>
        </w:rPr>
        <w:drawing>
          <wp:inline distT="0" distB="0" distL="0" distR="0" wp14:anchorId="01CDE42C" wp14:editId="314C1892">
            <wp:extent cx="3771900" cy="1400175"/>
            <wp:effectExtent l="0" t="0" r="0" b="9525"/>
            <wp:docPr id="19451730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3B5712D0" w14:textId="3ED50528" w:rsidR="00237FB5" w:rsidRPr="00237FB5" w:rsidRDefault="00237FB5" w:rsidP="00237FB5">
      <w:pPr>
        <w:spacing w:after="0" w:line="276" w:lineRule="auto"/>
        <w:jc w:val="center"/>
        <w:rPr>
          <w:rFonts w:ascii="Verdana" w:eastAsia="Times New Roman" w:hAnsi="Verdana" w:cs="Arial"/>
          <w:lang w:eastAsia="es-CO"/>
        </w:rPr>
      </w:pPr>
    </w:p>
    <w:p w14:paraId="6A6EC360" w14:textId="764A3A95" w:rsidR="005A08E4" w:rsidRPr="00C15DD4" w:rsidRDefault="005A08E4" w:rsidP="00237FB5">
      <w:pPr>
        <w:spacing w:after="0" w:line="276" w:lineRule="auto"/>
        <w:jc w:val="center"/>
        <w:rPr>
          <w:rFonts w:ascii="Verdana" w:eastAsia="Times New Roman" w:hAnsi="Verdana" w:cs="Arial"/>
          <w:lang w:eastAsia="es-CO"/>
        </w:rPr>
      </w:pPr>
      <w:r w:rsidRPr="00C15DD4">
        <w:rPr>
          <w:rFonts w:ascii="Verdana" w:eastAsia="Times New Roman" w:hAnsi="Verdana" w:cs="Arial"/>
          <w:lang w:eastAsia="es-CO"/>
        </w:rPr>
        <w:t xml:space="preserve"> </w:t>
      </w:r>
      <w:bookmarkEnd w:id="5"/>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A08E4" w:rsidRPr="00C15DD4" w14:paraId="00CEBB86" w14:textId="77777777">
        <w:trPr>
          <w:trHeight w:val="315"/>
        </w:trPr>
        <w:tc>
          <w:tcPr>
            <w:tcW w:w="893" w:type="dxa"/>
            <w:vAlign w:val="center"/>
            <w:hideMark/>
          </w:tcPr>
          <w:p w14:paraId="364A2D57" w14:textId="77777777" w:rsidR="005A08E4" w:rsidRPr="00C15DD4" w:rsidRDefault="005A08E4">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56BA38EC" w14:textId="77777777" w:rsidR="005A08E4" w:rsidRPr="00C15DD4" w:rsidRDefault="005A08E4">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4126992A" w14:textId="77777777" w:rsidR="005A08E4" w:rsidRPr="00C15DD4" w:rsidRDefault="005A08E4">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5A08E4" w:rsidRPr="00C15DD4" w14:paraId="1D438445" w14:textId="77777777">
        <w:trPr>
          <w:trHeight w:val="330"/>
        </w:trPr>
        <w:tc>
          <w:tcPr>
            <w:tcW w:w="893" w:type="dxa"/>
            <w:vAlign w:val="center"/>
            <w:hideMark/>
          </w:tcPr>
          <w:p w14:paraId="15FCC04D" w14:textId="77777777" w:rsidR="005A08E4" w:rsidRPr="00C15DD4" w:rsidRDefault="005A08E4">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C69FB6E" w14:textId="037F8168" w:rsidR="005A08E4" w:rsidRPr="00C15DD4" w:rsidRDefault="00977133">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w:t>
            </w:r>
            <w:r w:rsidR="00A926B0">
              <w:rPr>
                <w:rFonts w:ascii="Verdana" w:eastAsia="Times New Roman" w:hAnsi="Verdana" w:cs="Arial"/>
                <w:color w:val="000000"/>
                <w:sz w:val="16"/>
                <w:szCs w:val="16"/>
              </w:rPr>
              <w:t>dra Castañeda</w:t>
            </w:r>
          </w:p>
          <w:p w14:paraId="28DF6572" w14:textId="77777777" w:rsidR="005A08E4" w:rsidRPr="00C15DD4" w:rsidRDefault="005A08E4">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Gestor T1 - 15</w:t>
            </w:r>
            <w:r w:rsidRPr="007F092D">
              <w:rPr>
                <w:rFonts w:ascii="Verdana" w:eastAsia="Times New Roman" w:hAnsi="Verdana" w:cs="Arial"/>
                <w:color w:val="000000"/>
                <w:sz w:val="16"/>
                <w:szCs w:val="16"/>
              </w:rPr>
              <w:t xml:space="preserve"> de la Subdirección de Gestión Contractual</w:t>
            </w:r>
          </w:p>
        </w:tc>
      </w:tr>
      <w:tr w:rsidR="005A08E4" w:rsidRPr="00C15DD4" w14:paraId="4EF8A282" w14:textId="77777777">
        <w:trPr>
          <w:trHeight w:val="300"/>
        </w:trPr>
        <w:tc>
          <w:tcPr>
            <w:tcW w:w="893" w:type="dxa"/>
            <w:vAlign w:val="center"/>
            <w:hideMark/>
          </w:tcPr>
          <w:p w14:paraId="42360F97" w14:textId="77777777" w:rsidR="005A08E4" w:rsidRPr="00C15DD4" w:rsidRDefault="005A08E4">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2F00DEBF" w14:textId="77777777" w:rsidR="005A08E4" w:rsidRPr="00C15DD4" w:rsidRDefault="005A08E4">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4F6E2119" w14:textId="77777777" w:rsidR="005A08E4" w:rsidRPr="00C15DD4" w:rsidRDefault="005A08E4">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bl>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BFFC92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96CAA92" w:rsidR="00127233" w:rsidRPr="0015699B" w:rsidRDefault="00127233" w:rsidP="005A08E4">
      <w:pPr>
        <w:spacing w:after="0" w:line="240" w:lineRule="auto"/>
        <w:ind w:left="1080"/>
        <w:jc w:val="both"/>
        <w:textAlignment w:val="baseline"/>
        <w:rPr>
          <w:rFonts w:ascii="Verdana" w:eastAsia="Verdana" w:hAnsi="Verdana" w:cs="Verdana"/>
          <w:lang w:eastAsia="es-CO"/>
        </w:rPr>
      </w:pPr>
    </w:p>
    <w:sectPr w:rsidR="00127233" w:rsidRPr="0015699B" w:rsidSect="00A03B14">
      <w:headerReference w:type="default" r:id="rId20"/>
      <w:footerReference w:type="default" r:id="rId21"/>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25962" w14:textId="77777777" w:rsidR="00F2439E" w:rsidRDefault="00F2439E" w:rsidP="004A1847">
      <w:pPr>
        <w:spacing w:after="0" w:line="240" w:lineRule="auto"/>
      </w:pPr>
      <w:r>
        <w:separator/>
      </w:r>
    </w:p>
  </w:endnote>
  <w:endnote w:type="continuationSeparator" w:id="0">
    <w:p w14:paraId="4A660232" w14:textId="77777777" w:rsidR="00F2439E" w:rsidRDefault="00F2439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1959D" w14:textId="77777777" w:rsidR="00F2439E" w:rsidRDefault="00F2439E" w:rsidP="004A1847">
      <w:pPr>
        <w:spacing w:after="0" w:line="240" w:lineRule="auto"/>
      </w:pPr>
      <w:r>
        <w:separator/>
      </w:r>
    </w:p>
  </w:footnote>
  <w:footnote w:type="continuationSeparator" w:id="0">
    <w:p w14:paraId="79F09D54" w14:textId="77777777" w:rsidR="00F2439E" w:rsidRDefault="00F2439E" w:rsidP="004A1847">
      <w:pPr>
        <w:spacing w:after="0" w:line="240" w:lineRule="auto"/>
      </w:pPr>
      <w:r>
        <w:continuationSeparator/>
      </w:r>
    </w:p>
  </w:footnote>
  <w:footnote w:id="1">
    <w:p w14:paraId="1F771567" w14:textId="77777777" w:rsidR="0075610E" w:rsidRPr="00B85096" w:rsidRDefault="0075610E" w:rsidP="0075610E">
      <w:pPr>
        <w:pStyle w:val="Textoindependiente"/>
        <w:snapToGrid w:val="0"/>
        <w:ind w:firstLine="708"/>
        <w:contextualSpacing/>
        <w:jc w:val="both"/>
        <w:rPr>
          <w:rFonts w:cs="Arial"/>
          <w:sz w:val="16"/>
          <w:szCs w:val="16"/>
        </w:rPr>
      </w:pPr>
      <w:r w:rsidRPr="00B85096">
        <w:rPr>
          <w:rStyle w:val="Refdenotaalpie"/>
          <w:rFonts w:cs="Arial"/>
          <w:sz w:val="16"/>
          <w:szCs w:val="16"/>
        </w:rPr>
        <w:footnoteRef/>
      </w:r>
      <w:r w:rsidRPr="00B85096">
        <w:rPr>
          <w:rFonts w:cs="Arial"/>
          <w:sz w:val="16"/>
          <w:szCs w:val="16"/>
        </w:rPr>
        <w:t xml:space="preserve"> </w:t>
      </w:r>
      <w:r w:rsidRPr="00B85096">
        <w:rPr>
          <w:rFonts w:cs="Arial"/>
          <w:sz w:val="16"/>
          <w:szCs w:val="16"/>
          <w:lang w:val="es-ES_tradnl"/>
        </w:rPr>
        <w:t xml:space="preserve">El artículo 2º define, para los efectos del ámbito de sujeción del estatuto, que se denominan entidades estatales: a) </w:t>
      </w:r>
      <w:r w:rsidRPr="00B85096">
        <w:rPr>
          <w:rFonts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2">
    <w:p w14:paraId="367CCFE2" w14:textId="77777777" w:rsidR="0075610E" w:rsidRPr="00B85096" w:rsidRDefault="0075610E" w:rsidP="0075610E">
      <w:pPr>
        <w:pStyle w:val="Textonotapie"/>
        <w:snapToGrid w:val="0"/>
        <w:ind w:firstLine="720"/>
        <w:contextualSpacing/>
        <w:jc w:val="both"/>
        <w:rPr>
          <w:rFonts w:ascii="Verdana" w:hAnsi="Verdana" w:cs="Arial"/>
          <w:sz w:val="16"/>
          <w:szCs w:val="16"/>
        </w:rPr>
      </w:pPr>
      <w:r w:rsidRPr="00B85096">
        <w:rPr>
          <w:rStyle w:val="Refdenotaalpie"/>
          <w:rFonts w:ascii="Verdana" w:hAnsi="Verdana" w:cs="Arial"/>
          <w:sz w:val="16"/>
          <w:szCs w:val="16"/>
        </w:rPr>
        <w:footnoteRef/>
      </w:r>
      <w:r w:rsidRPr="00B85096">
        <w:rPr>
          <w:rFonts w:ascii="Verdana" w:hAnsi="Verdana" w:cs="Arial"/>
          <w:sz w:val="16"/>
          <w:szCs w:val="16"/>
        </w:rPr>
        <w:t xml:space="preserve"> Consejo de Estado. Sección Tercera. Sentencia del 4 de abril de 2002, M.P. Alier E. Hernández Enríquez. Rad. 1999-0290-01 (17.244).</w:t>
      </w:r>
    </w:p>
  </w:footnote>
  <w:footnote w:id="3">
    <w:p w14:paraId="6D3FE52B" w14:textId="13E99E86" w:rsidR="0075610E" w:rsidRPr="00024474" w:rsidRDefault="0075610E" w:rsidP="0075610E">
      <w:pPr>
        <w:snapToGrid w:val="0"/>
        <w:spacing w:after="0" w:line="240" w:lineRule="auto"/>
        <w:ind w:firstLine="707"/>
        <w:contextualSpacing/>
        <w:jc w:val="both"/>
        <w:rPr>
          <w:rFonts w:ascii="Verdana" w:hAnsi="Verdana" w:cs="Arial"/>
          <w:sz w:val="14"/>
          <w:szCs w:val="14"/>
        </w:rPr>
      </w:pPr>
      <w:r w:rsidRPr="00B85096">
        <w:rPr>
          <w:rStyle w:val="Refdenotaalpie"/>
          <w:rFonts w:ascii="Verdana" w:hAnsi="Verdana" w:cs="Arial"/>
          <w:sz w:val="16"/>
          <w:szCs w:val="16"/>
        </w:rPr>
        <w:footnoteRef/>
      </w:r>
      <w:r w:rsidRPr="00B85096">
        <w:rPr>
          <w:rFonts w:ascii="Verdana" w:hAnsi="Verdana" w:cs="Arial"/>
          <w:sz w:val="16"/>
          <w:szCs w:val="16"/>
        </w:rPr>
        <w:t xml:space="preserve"> Consejo de </w:t>
      </w:r>
      <w:r w:rsidR="00E05E0B" w:rsidRPr="00B85096">
        <w:rPr>
          <w:rFonts w:ascii="Verdana" w:hAnsi="Verdana" w:cs="Arial"/>
          <w:sz w:val="16"/>
          <w:szCs w:val="16"/>
        </w:rPr>
        <w:t>Estado, Sección</w:t>
      </w:r>
      <w:r w:rsidRPr="00B85096">
        <w:rPr>
          <w:rFonts w:ascii="Verdana" w:hAnsi="Verdana" w:cs="Arial"/>
          <w:sz w:val="16"/>
          <w:szCs w:val="16"/>
        </w:rPr>
        <w:t xml:space="preserve"> Tercera. Sentencia de 23 de septiembre de 1997, Rad. S-701.</w:t>
      </w:r>
    </w:p>
  </w:footnote>
  <w:footnote w:id="4">
    <w:p w14:paraId="47479B2E" w14:textId="77777777" w:rsidR="0075610E" w:rsidRPr="00B85096" w:rsidRDefault="0075610E" w:rsidP="0075610E">
      <w:pPr>
        <w:snapToGrid w:val="0"/>
        <w:spacing w:after="0" w:line="240" w:lineRule="auto"/>
        <w:ind w:firstLine="708"/>
        <w:contextualSpacing/>
        <w:jc w:val="both"/>
        <w:rPr>
          <w:rFonts w:ascii="Verdana" w:hAnsi="Verdana" w:cs="Arial"/>
          <w:color w:val="000000" w:themeColor="text1"/>
          <w:sz w:val="16"/>
          <w:szCs w:val="16"/>
          <w:lang w:val="es-ES"/>
        </w:rPr>
      </w:pPr>
      <w:r w:rsidRPr="00B85096">
        <w:rPr>
          <w:rStyle w:val="Refdenotaalpie"/>
          <w:rFonts w:ascii="Verdana" w:hAnsi="Verdana" w:cs="Arial"/>
          <w:sz w:val="16"/>
          <w:szCs w:val="16"/>
        </w:rPr>
        <w:footnoteRef/>
      </w:r>
      <w:r w:rsidRPr="00B85096">
        <w:rPr>
          <w:rFonts w:ascii="Verdana" w:hAnsi="Verdana" w:cs="Arial"/>
          <w:sz w:val="16"/>
          <w:szCs w:val="16"/>
        </w:rPr>
        <w:t xml:space="preserve"> Ley 80 de 1993. “</w:t>
      </w:r>
      <w:r w:rsidRPr="00B85096">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21191798" w14:textId="77777777" w:rsidR="0075610E" w:rsidRPr="00B45BE6" w:rsidRDefault="0075610E" w:rsidP="0075610E">
      <w:pPr>
        <w:pStyle w:val="Textonotapie"/>
        <w:snapToGrid w:val="0"/>
        <w:contextualSpacing/>
        <w:jc w:val="both"/>
        <w:rPr>
          <w:rFonts w:ascii="Verdana" w:hAnsi="Verdana" w:cs="Arial"/>
          <w:sz w:val="16"/>
          <w:szCs w:val="16"/>
          <w:lang w:val="es-ES"/>
        </w:rPr>
      </w:pPr>
    </w:p>
  </w:footnote>
  <w:footnote w:id="5">
    <w:p w14:paraId="37BF2427" w14:textId="77777777" w:rsidR="00DD4378" w:rsidRPr="00B85096" w:rsidRDefault="00DD4378" w:rsidP="00DD4378">
      <w:pPr>
        <w:pStyle w:val="Textonotapie"/>
        <w:ind w:firstLine="709"/>
        <w:jc w:val="both"/>
        <w:rPr>
          <w:rFonts w:ascii="Verdana" w:hAnsi="Verdana"/>
          <w:sz w:val="16"/>
          <w:szCs w:val="16"/>
          <w:lang w:val="es-CO"/>
        </w:rPr>
      </w:pPr>
      <w:r w:rsidRPr="009A3099">
        <w:rPr>
          <w:rStyle w:val="Refdenotaalpie"/>
          <w:rFonts w:ascii="Verdana" w:hAnsi="Verdana"/>
          <w:sz w:val="14"/>
          <w:szCs w:val="14"/>
        </w:rPr>
        <w:footnoteRef/>
      </w:r>
      <w:r w:rsidRPr="009A3099">
        <w:rPr>
          <w:rFonts w:ascii="Verdana" w:hAnsi="Verdana"/>
          <w:sz w:val="14"/>
          <w:szCs w:val="14"/>
        </w:rPr>
        <w:t xml:space="preserve"> </w:t>
      </w:r>
      <w:r w:rsidRPr="00B85096">
        <w:rPr>
          <w:rFonts w:ascii="Verdana" w:hAnsi="Verdana"/>
          <w:sz w:val="16"/>
          <w:szCs w:val="16"/>
        </w:rPr>
        <w:t>Ley 2277 de 2022: “</w:t>
      </w:r>
      <w:r w:rsidRPr="00B85096">
        <w:rPr>
          <w:rFonts w:ascii="Verdana" w:hAnsi="Verdana"/>
          <w:sz w:val="16"/>
          <w:szCs w:val="16"/>
          <w:lang w:val="es-CO"/>
        </w:rPr>
        <w:t>Artículo 89.</w:t>
      </w:r>
      <w:r w:rsidRPr="00B85096">
        <w:rPr>
          <w:rFonts w:ascii="Verdana" w:hAnsi="Verdana"/>
          <w:b/>
          <w:sz w:val="16"/>
          <w:szCs w:val="16"/>
          <w:lang w:val="es-CO"/>
        </w:rPr>
        <w:t xml:space="preserve"> </w:t>
      </w:r>
      <w:r w:rsidRPr="00B85096">
        <w:rPr>
          <w:rFonts w:ascii="Verdana" w:hAnsi="Verdana"/>
          <w:sz w:val="16"/>
          <w:szCs w:val="16"/>
          <w:lang w:val="es-CO"/>
        </w:rPr>
        <w:t>Ingreso Base de Cotización (IBC) de los independientes. Los independientes por cuenta propia y los trabajadores independientes con contratos diferentes a prestación de servicios personales con ingresos netos mensuales iguales o superiores a un (1) salario mínimo legal mensual vigente (SMLMV) efectuarán su cotización mes vencido, sobre una base mínima de cotización del cuarenta por ciento (40%) del valor mensual de los ingresos causados para quienes están obligados a llevar contabilidad, o los efectivamente percibidos para los que no tienen dicha obligación, sin incluir el valor del impuesto sobre las ventas - IVA.</w:t>
      </w:r>
    </w:p>
    <w:p w14:paraId="3ADAC3FC" w14:textId="77777777" w:rsidR="00DD4378" w:rsidRPr="00B85096" w:rsidRDefault="00DD4378" w:rsidP="00DD4378">
      <w:pPr>
        <w:pStyle w:val="Textonotapie"/>
        <w:ind w:firstLine="709"/>
        <w:jc w:val="both"/>
        <w:rPr>
          <w:rFonts w:ascii="Verdana" w:hAnsi="Verdana"/>
          <w:sz w:val="16"/>
          <w:szCs w:val="16"/>
          <w:lang w:val="es-CO"/>
        </w:rPr>
      </w:pPr>
      <w:r w:rsidRPr="00B85096">
        <w:rPr>
          <w:rFonts w:ascii="Verdana" w:hAnsi="Verdana"/>
          <w:sz w:val="16"/>
          <w:szCs w:val="16"/>
          <w:lang w:val="es-CO"/>
        </w:rPr>
        <w:t>Sin perjuicio de lo anterior, quienes no están obligados a llevar contabilidad y decidan llevarla en debida forma, podrán tomar como ingresos para determinar la base de cotización el valor causado o el efectivamente percibido. En estos casos será procedente la imputación de costos y deducciones siempre que se cumplan los criterios determinados en el artículo 107 del Estatuto Tributario y sin exceder los valores incluidos en la declaración de renta de la respectiva vigencia.</w:t>
      </w:r>
    </w:p>
    <w:p w14:paraId="759D6FE3" w14:textId="77777777" w:rsidR="00DD4378" w:rsidRPr="00B85096" w:rsidRDefault="00DD4378" w:rsidP="00DD4378">
      <w:pPr>
        <w:pStyle w:val="Textonotapie"/>
        <w:ind w:firstLine="709"/>
        <w:jc w:val="both"/>
        <w:rPr>
          <w:rFonts w:ascii="Verdana" w:hAnsi="Verdana"/>
          <w:sz w:val="16"/>
          <w:szCs w:val="16"/>
          <w:lang w:val="es-CO"/>
        </w:rPr>
      </w:pPr>
      <w:r w:rsidRPr="00B85096">
        <w:rPr>
          <w:rFonts w:ascii="Verdana" w:hAnsi="Verdana"/>
          <w:sz w:val="16"/>
          <w:szCs w:val="16"/>
          <w:lang w:val="es-CO"/>
        </w:rPr>
        <w:t>Los trabajadores independientes con ingresos netos mensuales iguales o superiores a un (1) salario mínimo legal mensual vigente (SMLMV) que celebren contratos de prestación de servicios personales, cotizarán mes vencido al Sistema de Seguridad Social Integral, sobre una base mínima del cuarenta por ciento (40%) del valor mensualizado del contrato, sin incluir el valor del impuesto sobre las ventas -IVA.</w:t>
      </w:r>
    </w:p>
    <w:p w14:paraId="33DA5366" w14:textId="77777777" w:rsidR="00DD4378" w:rsidRPr="00B85096" w:rsidRDefault="00DD4378" w:rsidP="00DD4378">
      <w:pPr>
        <w:pStyle w:val="Textonotapie"/>
        <w:ind w:firstLine="709"/>
        <w:jc w:val="both"/>
        <w:rPr>
          <w:rFonts w:ascii="Verdana" w:hAnsi="Verdana"/>
          <w:sz w:val="16"/>
          <w:szCs w:val="16"/>
          <w:lang w:val="es-CO"/>
        </w:rPr>
      </w:pPr>
      <w:r w:rsidRPr="00B85096">
        <w:rPr>
          <w:rFonts w:ascii="Verdana" w:hAnsi="Verdana"/>
          <w:sz w:val="16"/>
          <w:szCs w:val="16"/>
          <w:lang w:val="es-CO"/>
        </w:rPr>
        <w:t>Cuando las personas objeto de la aplicación de la presente ley perciban ingresos -de forma simultánea provenientes de la ejecución de varias actividades o contratos, las cotizaciones correspondientes serán efectuadas por cada uno de los ingresos percibidos de conformidad con la normatividad aplicable.</w:t>
      </w:r>
    </w:p>
    <w:p w14:paraId="59BE3450" w14:textId="77777777" w:rsidR="00DD4378" w:rsidRPr="00B85096" w:rsidRDefault="00DD4378" w:rsidP="00DD4378">
      <w:pPr>
        <w:pStyle w:val="Textonotapie"/>
        <w:ind w:firstLine="709"/>
        <w:jc w:val="both"/>
        <w:rPr>
          <w:rFonts w:ascii="Verdana" w:hAnsi="Verdana"/>
          <w:sz w:val="16"/>
          <w:szCs w:val="16"/>
          <w:lang w:val="es-CO"/>
        </w:rPr>
      </w:pPr>
      <w:r w:rsidRPr="00B85096">
        <w:rPr>
          <w:rFonts w:ascii="Verdana" w:hAnsi="Verdana"/>
          <w:sz w:val="16"/>
          <w:szCs w:val="16"/>
          <w:lang w:val="es-CO"/>
        </w:rPr>
        <w:t>Parágrafo 1. Para efectos de la determinación del ingreso base de cotización de los trabajadores independientes por cuenta propia y para quienes celebren contratos diferentes de prestación de servicios personales que impliquen subcontratación y/o compra de insumos o expensas, la U.A.E. Unidad de Gestión Pensional y Parafiscales -UGPP deberá, atendiendo a los datos estadísticos producidos por la U.A.E. Dirección de Impuestos y Aduanas Nacionales -DIAN, por el Departamento Administrativo Nacional de Estadística -DANE, por el Banco de la República, por la Superintendencia de Sociedades u otras entidades cuyas estadísticas fueren aplicables, determinar un esquema de presunción de costos.</w:t>
      </w:r>
    </w:p>
    <w:p w14:paraId="70E9CD1B" w14:textId="77777777" w:rsidR="00DD4378" w:rsidRPr="00B85096" w:rsidRDefault="00DD4378" w:rsidP="00DD4378">
      <w:pPr>
        <w:pStyle w:val="Textonotapie"/>
        <w:ind w:firstLine="709"/>
        <w:jc w:val="both"/>
        <w:rPr>
          <w:rFonts w:ascii="Verdana" w:hAnsi="Verdana"/>
          <w:sz w:val="16"/>
          <w:szCs w:val="16"/>
          <w:lang w:val="es-CO"/>
        </w:rPr>
      </w:pPr>
      <w:r w:rsidRPr="00B85096">
        <w:rPr>
          <w:rFonts w:ascii="Verdana" w:hAnsi="Verdana"/>
          <w:sz w:val="16"/>
          <w:szCs w:val="16"/>
          <w:lang w:val="es-CO"/>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p w14:paraId="546E822A" w14:textId="77777777" w:rsidR="00DD4378" w:rsidRPr="00B85096" w:rsidRDefault="00DD4378" w:rsidP="00F65F05">
      <w:pPr>
        <w:pStyle w:val="Textonotapie"/>
        <w:jc w:val="both"/>
        <w:rPr>
          <w:rFonts w:ascii="Verdana" w:hAnsi="Verdana"/>
          <w:sz w:val="16"/>
          <w:szCs w:val="16"/>
          <w:lang w:val="es-CO"/>
        </w:rPr>
      </w:pPr>
      <w:r w:rsidRPr="00B85096">
        <w:rPr>
          <w:rFonts w:ascii="Verdana" w:hAnsi="Verdana"/>
          <w:sz w:val="16"/>
          <w:szCs w:val="16"/>
          <w:lang w:val="es-CO"/>
        </w:rPr>
        <w:t>Parágrafo 2. La UGPP podrá aplicar el esquema de presunción previsto en el parágrafo anterior a los procesos de fiscalización en curso y a los que se inicien respecto de cualquier vigencia fiscal y a los que, siendo procedente y sin requerir el consentimiento previo, estén o llegaren a estar en trámite de resolver a través de revocación directa y no dispongan de una situación jurídica consolidada por pago”.</w:t>
      </w:r>
    </w:p>
    <w:p w14:paraId="2E845AC1" w14:textId="77777777" w:rsidR="00DD4378" w:rsidRPr="009A3099" w:rsidRDefault="00DD4378" w:rsidP="00DD4378">
      <w:pPr>
        <w:pStyle w:val="Textonotapie"/>
        <w:ind w:firstLine="709"/>
        <w:rPr>
          <w:rFonts w:ascii="Verdana" w:hAnsi="Verdana"/>
          <w:sz w:val="14"/>
          <w:szCs w:val="14"/>
        </w:rPr>
      </w:pPr>
    </w:p>
  </w:footnote>
  <w:footnote w:id="6">
    <w:p w14:paraId="269A5B42" w14:textId="77777777" w:rsidR="00DD4378" w:rsidRPr="00B85096" w:rsidRDefault="00DD4378" w:rsidP="00DD4378">
      <w:pPr>
        <w:spacing w:after="0"/>
        <w:ind w:firstLine="709"/>
        <w:jc w:val="both"/>
        <w:rPr>
          <w:rFonts w:ascii="Verdana" w:hAnsi="Verdana" w:cs="Arial"/>
          <w:color w:val="000000" w:themeColor="text1"/>
          <w:sz w:val="16"/>
          <w:szCs w:val="16"/>
        </w:rPr>
      </w:pPr>
      <w:r w:rsidRPr="00B85096">
        <w:rPr>
          <w:rFonts w:ascii="Verdana" w:hAnsi="Verdana" w:cs="Arial"/>
          <w:color w:val="000000"/>
          <w:sz w:val="16"/>
          <w:szCs w:val="16"/>
          <w:vertAlign w:val="superscript"/>
        </w:rPr>
        <w:footnoteRef/>
      </w:r>
      <w:r w:rsidRPr="00B85096">
        <w:rPr>
          <w:rFonts w:ascii="Verdana" w:hAnsi="Verdana" w:cs="Arial"/>
          <w:color w:val="000000"/>
          <w:sz w:val="16"/>
          <w:szCs w:val="16"/>
        </w:rPr>
        <w:t xml:space="preserve"> Concepto Unidad de Gestión Pensional y Parafiscales, radicado 201811200427881 del 12 de febrero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5pt;height:10.8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97D3235"/>
    <w:multiLevelType w:val="hybridMultilevel"/>
    <w:tmpl w:val="E490F000"/>
    <w:lvl w:ilvl="0" w:tplc="8404F76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B796153"/>
    <w:multiLevelType w:val="hybridMultilevel"/>
    <w:tmpl w:val="6B02A72C"/>
    <w:lvl w:ilvl="0" w:tplc="B6DA7EF2">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67115D"/>
    <w:multiLevelType w:val="hybridMultilevel"/>
    <w:tmpl w:val="E668C6E6"/>
    <w:lvl w:ilvl="0" w:tplc="7090C0A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6066D8"/>
    <w:multiLevelType w:val="hybridMultilevel"/>
    <w:tmpl w:val="94F4E278"/>
    <w:lvl w:ilvl="0" w:tplc="044AD2D4">
      <w:start w:val="1"/>
      <w:numFmt w:val="lowerRoman"/>
      <w:lvlText w:val="%1."/>
      <w:lvlJc w:val="left"/>
      <w:pPr>
        <w:ind w:left="1080" w:hanging="720"/>
      </w:pPr>
      <w:rPr>
        <w:rFonts w:asciiTheme="minorHAnsi" w:eastAsiaTheme="minorHAnsi" w:hAnsiTheme="minorHAnsi" w:cstheme="minorBidi"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0DC7AD0"/>
    <w:multiLevelType w:val="hybridMultilevel"/>
    <w:tmpl w:val="1BBA0344"/>
    <w:lvl w:ilvl="0" w:tplc="E9A4C8C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C277B57"/>
    <w:multiLevelType w:val="hybridMultilevel"/>
    <w:tmpl w:val="1C506850"/>
    <w:lvl w:ilvl="0" w:tplc="87BE1E5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8E07A18"/>
    <w:multiLevelType w:val="hybridMultilevel"/>
    <w:tmpl w:val="EC30A55E"/>
    <w:lvl w:ilvl="0" w:tplc="4FF614F8">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828253966">
    <w:abstractNumId w:val="9"/>
  </w:num>
  <w:num w:numId="2" w16cid:durableId="2137984101">
    <w:abstractNumId w:val="1"/>
  </w:num>
  <w:num w:numId="3" w16cid:durableId="1651131864">
    <w:abstractNumId w:val="7"/>
  </w:num>
  <w:num w:numId="4" w16cid:durableId="18031850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58297713">
    <w:abstractNumId w:val="1"/>
  </w:num>
  <w:num w:numId="6" w16cid:durableId="94715536">
    <w:abstractNumId w:val="19"/>
  </w:num>
  <w:num w:numId="7" w16cid:durableId="936981698">
    <w:abstractNumId w:val="8"/>
  </w:num>
  <w:num w:numId="8" w16cid:durableId="1151556572">
    <w:abstractNumId w:val="18"/>
  </w:num>
  <w:num w:numId="9" w16cid:durableId="1733694382">
    <w:abstractNumId w:val="10"/>
  </w:num>
  <w:num w:numId="10" w16cid:durableId="1824732883">
    <w:abstractNumId w:val="17"/>
  </w:num>
  <w:num w:numId="11" w16cid:durableId="2009625392">
    <w:abstractNumId w:val="11"/>
  </w:num>
  <w:num w:numId="12" w16cid:durableId="940646930">
    <w:abstractNumId w:val="0"/>
  </w:num>
  <w:num w:numId="13" w16cid:durableId="1944071695">
    <w:abstractNumId w:val="4"/>
  </w:num>
  <w:num w:numId="14" w16cid:durableId="2057966318">
    <w:abstractNumId w:val="20"/>
  </w:num>
  <w:num w:numId="15" w16cid:durableId="935212860">
    <w:abstractNumId w:val="16"/>
  </w:num>
  <w:num w:numId="16" w16cid:durableId="48502156">
    <w:abstractNumId w:val="15"/>
  </w:num>
  <w:num w:numId="17" w16cid:durableId="2080517680">
    <w:abstractNumId w:val="6"/>
  </w:num>
  <w:num w:numId="18" w16cid:durableId="1009286461">
    <w:abstractNumId w:val="2"/>
  </w:num>
  <w:num w:numId="19" w16cid:durableId="501823461">
    <w:abstractNumId w:val="14"/>
  </w:num>
  <w:num w:numId="20" w16cid:durableId="1775202316">
    <w:abstractNumId w:val="21"/>
  </w:num>
  <w:num w:numId="21" w16cid:durableId="1283342185">
    <w:abstractNumId w:val="5"/>
  </w:num>
  <w:num w:numId="22" w16cid:durableId="1262223757">
    <w:abstractNumId w:val="12"/>
  </w:num>
  <w:num w:numId="23" w16cid:durableId="1880320837">
    <w:abstractNumId w:val="13"/>
  </w:num>
  <w:num w:numId="24" w16cid:durableId="21247608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E91"/>
    <w:rsid w:val="00016F78"/>
    <w:rsid w:val="00024474"/>
    <w:rsid w:val="000337D3"/>
    <w:rsid w:val="00046945"/>
    <w:rsid w:val="00061B2A"/>
    <w:rsid w:val="000641EA"/>
    <w:rsid w:val="00077AB8"/>
    <w:rsid w:val="00082362"/>
    <w:rsid w:val="00084DEC"/>
    <w:rsid w:val="000A683E"/>
    <w:rsid w:val="000B19B9"/>
    <w:rsid w:val="000C3994"/>
    <w:rsid w:val="000D0334"/>
    <w:rsid w:val="000D5DA7"/>
    <w:rsid w:val="000D7AAB"/>
    <w:rsid w:val="000F6173"/>
    <w:rsid w:val="000F6486"/>
    <w:rsid w:val="00116940"/>
    <w:rsid w:val="00125105"/>
    <w:rsid w:val="00127233"/>
    <w:rsid w:val="00151920"/>
    <w:rsid w:val="0015699B"/>
    <w:rsid w:val="00172022"/>
    <w:rsid w:val="00190104"/>
    <w:rsid w:val="00195FA8"/>
    <w:rsid w:val="001A33BF"/>
    <w:rsid w:val="001E4177"/>
    <w:rsid w:val="001F0B24"/>
    <w:rsid w:val="001F7DC6"/>
    <w:rsid w:val="0022400B"/>
    <w:rsid w:val="002349FC"/>
    <w:rsid w:val="00237FB5"/>
    <w:rsid w:val="002421BB"/>
    <w:rsid w:val="0025796E"/>
    <w:rsid w:val="00264660"/>
    <w:rsid w:val="002707A2"/>
    <w:rsid w:val="002737E5"/>
    <w:rsid w:val="00286CE9"/>
    <w:rsid w:val="00291D9A"/>
    <w:rsid w:val="002951A0"/>
    <w:rsid w:val="002962BC"/>
    <w:rsid w:val="002A093D"/>
    <w:rsid w:val="002A0DD0"/>
    <w:rsid w:val="002A49AC"/>
    <w:rsid w:val="002A64FD"/>
    <w:rsid w:val="002C188A"/>
    <w:rsid w:val="002C7A84"/>
    <w:rsid w:val="002E2BF8"/>
    <w:rsid w:val="002E4FD9"/>
    <w:rsid w:val="0030657A"/>
    <w:rsid w:val="00322A85"/>
    <w:rsid w:val="00324168"/>
    <w:rsid w:val="00330834"/>
    <w:rsid w:val="003448F4"/>
    <w:rsid w:val="00374F5E"/>
    <w:rsid w:val="00375F12"/>
    <w:rsid w:val="00377E3E"/>
    <w:rsid w:val="003A779E"/>
    <w:rsid w:val="003B436E"/>
    <w:rsid w:val="003B503C"/>
    <w:rsid w:val="003D0F4D"/>
    <w:rsid w:val="003D5B0D"/>
    <w:rsid w:val="003E0499"/>
    <w:rsid w:val="003E4F80"/>
    <w:rsid w:val="003E6439"/>
    <w:rsid w:val="003F3941"/>
    <w:rsid w:val="00406575"/>
    <w:rsid w:val="00414C74"/>
    <w:rsid w:val="0042722E"/>
    <w:rsid w:val="0044528D"/>
    <w:rsid w:val="00446090"/>
    <w:rsid w:val="0044616D"/>
    <w:rsid w:val="00455FA2"/>
    <w:rsid w:val="00466E39"/>
    <w:rsid w:val="004757C1"/>
    <w:rsid w:val="004A1847"/>
    <w:rsid w:val="004A305D"/>
    <w:rsid w:val="004C7C3F"/>
    <w:rsid w:val="004D0292"/>
    <w:rsid w:val="004D3C46"/>
    <w:rsid w:val="004F21C4"/>
    <w:rsid w:val="004F685F"/>
    <w:rsid w:val="005120AC"/>
    <w:rsid w:val="00513AC5"/>
    <w:rsid w:val="005566E8"/>
    <w:rsid w:val="005674C5"/>
    <w:rsid w:val="00571E45"/>
    <w:rsid w:val="00574867"/>
    <w:rsid w:val="00575566"/>
    <w:rsid w:val="00581797"/>
    <w:rsid w:val="00591460"/>
    <w:rsid w:val="005A08E4"/>
    <w:rsid w:val="005A65E0"/>
    <w:rsid w:val="005B0F4D"/>
    <w:rsid w:val="005C3777"/>
    <w:rsid w:val="005C5CDC"/>
    <w:rsid w:val="005D476C"/>
    <w:rsid w:val="005F55FD"/>
    <w:rsid w:val="00607450"/>
    <w:rsid w:val="006200BF"/>
    <w:rsid w:val="006219F8"/>
    <w:rsid w:val="00626DE7"/>
    <w:rsid w:val="006302F7"/>
    <w:rsid w:val="00631C13"/>
    <w:rsid w:val="00646B9F"/>
    <w:rsid w:val="00665D70"/>
    <w:rsid w:val="00687016"/>
    <w:rsid w:val="006900D9"/>
    <w:rsid w:val="00693733"/>
    <w:rsid w:val="00697959"/>
    <w:rsid w:val="006C3821"/>
    <w:rsid w:val="006D7C63"/>
    <w:rsid w:val="006E348B"/>
    <w:rsid w:val="00702064"/>
    <w:rsid w:val="00706C16"/>
    <w:rsid w:val="007340C3"/>
    <w:rsid w:val="0075235A"/>
    <w:rsid w:val="0075610E"/>
    <w:rsid w:val="00756841"/>
    <w:rsid w:val="007649AB"/>
    <w:rsid w:val="00771D0C"/>
    <w:rsid w:val="007833AC"/>
    <w:rsid w:val="0078397E"/>
    <w:rsid w:val="007965A5"/>
    <w:rsid w:val="007A223A"/>
    <w:rsid w:val="007A7FD4"/>
    <w:rsid w:val="007B268C"/>
    <w:rsid w:val="007B7171"/>
    <w:rsid w:val="007C0C0F"/>
    <w:rsid w:val="007C3DC2"/>
    <w:rsid w:val="007C474D"/>
    <w:rsid w:val="007C6F10"/>
    <w:rsid w:val="007E10FE"/>
    <w:rsid w:val="007E5497"/>
    <w:rsid w:val="007F5319"/>
    <w:rsid w:val="00806F5F"/>
    <w:rsid w:val="00812619"/>
    <w:rsid w:val="00820278"/>
    <w:rsid w:val="00820B1E"/>
    <w:rsid w:val="008258C9"/>
    <w:rsid w:val="00844AE9"/>
    <w:rsid w:val="00845AEE"/>
    <w:rsid w:val="00850593"/>
    <w:rsid w:val="00852C30"/>
    <w:rsid w:val="00862D9D"/>
    <w:rsid w:val="00867F95"/>
    <w:rsid w:val="0087068D"/>
    <w:rsid w:val="008843B6"/>
    <w:rsid w:val="00891928"/>
    <w:rsid w:val="008A446D"/>
    <w:rsid w:val="008B25F1"/>
    <w:rsid w:val="008D180B"/>
    <w:rsid w:val="008E2E58"/>
    <w:rsid w:val="008F09C6"/>
    <w:rsid w:val="008F0EA7"/>
    <w:rsid w:val="008F196A"/>
    <w:rsid w:val="00904F77"/>
    <w:rsid w:val="009215BD"/>
    <w:rsid w:val="00923EEF"/>
    <w:rsid w:val="00927A46"/>
    <w:rsid w:val="00934C35"/>
    <w:rsid w:val="00937A4B"/>
    <w:rsid w:val="009419F9"/>
    <w:rsid w:val="0094748F"/>
    <w:rsid w:val="0095685E"/>
    <w:rsid w:val="00961B09"/>
    <w:rsid w:val="00965334"/>
    <w:rsid w:val="0097093E"/>
    <w:rsid w:val="00976191"/>
    <w:rsid w:val="00977133"/>
    <w:rsid w:val="009838E8"/>
    <w:rsid w:val="009A0DFA"/>
    <w:rsid w:val="009A1C6F"/>
    <w:rsid w:val="009A3099"/>
    <w:rsid w:val="009B2D26"/>
    <w:rsid w:val="009B345F"/>
    <w:rsid w:val="009C6DED"/>
    <w:rsid w:val="009C71FA"/>
    <w:rsid w:val="009C72E7"/>
    <w:rsid w:val="009C7F7E"/>
    <w:rsid w:val="009D1C7C"/>
    <w:rsid w:val="009D3058"/>
    <w:rsid w:val="009E38F1"/>
    <w:rsid w:val="009F3A13"/>
    <w:rsid w:val="00A033EA"/>
    <w:rsid w:val="00A03B14"/>
    <w:rsid w:val="00A122D3"/>
    <w:rsid w:val="00A14468"/>
    <w:rsid w:val="00A17F13"/>
    <w:rsid w:val="00A20739"/>
    <w:rsid w:val="00A23AF9"/>
    <w:rsid w:val="00A24123"/>
    <w:rsid w:val="00A33C78"/>
    <w:rsid w:val="00A44E3F"/>
    <w:rsid w:val="00A566DE"/>
    <w:rsid w:val="00A6199D"/>
    <w:rsid w:val="00A7582D"/>
    <w:rsid w:val="00A806A8"/>
    <w:rsid w:val="00A9113D"/>
    <w:rsid w:val="00A926B0"/>
    <w:rsid w:val="00AA3BF0"/>
    <w:rsid w:val="00AB0ADB"/>
    <w:rsid w:val="00AB1ECB"/>
    <w:rsid w:val="00AB6086"/>
    <w:rsid w:val="00AE3578"/>
    <w:rsid w:val="00B00AEC"/>
    <w:rsid w:val="00B00C0E"/>
    <w:rsid w:val="00B01B1A"/>
    <w:rsid w:val="00B0381D"/>
    <w:rsid w:val="00B111E1"/>
    <w:rsid w:val="00B17250"/>
    <w:rsid w:val="00B3760B"/>
    <w:rsid w:val="00B44A47"/>
    <w:rsid w:val="00B72CD3"/>
    <w:rsid w:val="00B72FFF"/>
    <w:rsid w:val="00B762BC"/>
    <w:rsid w:val="00B85096"/>
    <w:rsid w:val="00BB4DE9"/>
    <w:rsid w:val="00BC3D36"/>
    <w:rsid w:val="00BD1D55"/>
    <w:rsid w:val="00BD54A6"/>
    <w:rsid w:val="00BD7F72"/>
    <w:rsid w:val="00BF7425"/>
    <w:rsid w:val="00C04FB3"/>
    <w:rsid w:val="00C11D8B"/>
    <w:rsid w:val="00C15139"/>
    <w:rsid w:val="00C330EB"/>
    <w:rsid w:val="00C50D69"/>
    <w:rsid w:val="00C5365C"/>
    <w:rsid w:val="00C73AD2"/>
    <w:rsid w:val="00C754BE"/>
    <w:rsid w:val="00C76B1C"/>
    <w:rsid w:val="00C925AC"/>
    <w:rsid w:val="00CB31BC"/>
    <w:rsid w:val="00CB6357"/>
    <w:rsid w:val="00CB659D"/>
    <w:rsid w:val="00CC1B26"/>
    <w:rsid w:val="00CD7401"/>
    <w:rsid w:val="00D13079"/>
    <w:rsid w:val="00D26677"/>
    <w:rsid w:val="00D361FD"/>
    <w:rsid w:val="00D42011"/>
    <w:rsid w:val="00D423A2"/>
    <w:rsid w:val="00D44E26"/>
    <w:rsid w:val="00D520D8"/>
    <w:rsid w:val="00D55DC6"/>
    <w:rsid w:val="00D63AC2"/>
    <w:rsid w:val="00D72302"/>
    <w:rsid w:val="00D7383B"/>
    <w:rsid w:val="00D7788A"/>
    <w:rsid w:val="00D86C49"/>
    <w:rsid w:val="00DA231B"/>
    <w:rsid w:val="00DA5A5A"/>
    <w:rsid w:val="00DB3CAF"/>
    <w:rsid w:val="00DC39FC"/>
    <w:rsid w:val="00DD4378"/>
    <w:rsid w:val="00DF5254"/>
    <w:rsid w:val="00E02524"/>
    <w:rsid w:val="00E05E0B"/>
    <w:rsid w:val="00E07CF8"/>
    <w:rsid w:val="00E16408"/>
    <w:rsid w:val="00E20894"/>
    <w:rsid w:val="00E22DA7"/>
    <w:rsid w:val="00E245AB"/>
    <w:rsid w:val="00E2764C"/>
    <w:rsid w:val="00E27F2E"/>
    <w:rsid w:val="00E32FBD"/>
    <w:rsid w:val="00E50AFE"/>
    <w:rsid w:val="00E73E36"/>
    <w:rsid w:val="00E75C92"/>
    <w:rsid w:val="00E76091"/>
    <w:rsid w:val="00E771DC"/>
    <w:rsid w:val="00E8772A"/>
    <w:rsid w:val="00E90F6B"/>
    <w:rsid w:val="00E92C27"/>
    <w:rsid w:val="00EA0E3D"/>
    <w:rsid w:val="00EC14AB"/>
    <w:rsid w:val="00EC38A7"/>
    <w:rsid w:val="00EC6225"/>
    <w:rsid w:val="00EE1AA8"/>
    <w:rsid w:val="00EE7391"/>
    <w:rsid w:val="00EF5564"/>
    <w:rsid w:val="00F23FEA"/>
    <w:rsid w:val="00F2439E"/>
    <w:rsid w:val="00F27622"/>
    <w:rsid w:val="00F31EDC"/>
    <w:rsid w:val="00F462B3"/>
    <w:rsid w:val="00F5664F"/>
    <w:rsid w:val="00F65F05"/>
    <w:rsid w:val="00F666C4"/>
    <w:rsid w:val="00F76AFC"/>
    <w:rsid w:val="00F827A1"/>
    <w:rsid w:val="00FA47C0"/>
    <w:rsid w:val="00FB5DD1"/>
    <w:rsid w:val="00FC2B5D"/>
    <w:rsid w:val="00FC7AB4"/>
    <w:rsid w:val="00FE1D2D"/>
    <w:rsid w:val="00FE72AA"/>
    <w:rsid w:val="00FF1449"/>
    <w:rsid w:val="00FF207D"/>
    <w:rsid w:val="00FF7963"/>
    <w:rsid w:val="071B8F93"/>
    <w:rsid w:val="07C73DD1"/>
    <w:rsid w:val="09908A09"/>
    <w:rsid w:val="0DEBA8FA"/>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14F46E0-B2C7-4E75-BEAE-7B9074F60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A08E4"/>
    <w:rPr>
      <w:rFonts w:ascii="Geomanist Light" w:hAnsi="Geomanist Light"/>
      <w:lang w:val="es-ES"/>
    </w:rPr>
  </w:style>
  <w:style w:type="paragraph" w:styleId="Textoindependiente">
    <w:name w:val="Body Text"/>
    <w:basedOn w:val="Normal"/>
    <w:link w:val="TextoindependienteCar"/>
    <w:uiPriority w:val="1"/>
    <w:qFormat/>
    <w:rsid w:val="005A08E4"/>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A08E4"/>
    <w:rPr>
      <w:rFonts w:ascii="Verdana" w:eastAsia="Verdana" w:hAnsi="Verdana" w:cs="Verdana"/>
      <w:lang w:val="es-ES"/>
    </w:rPr>
  </w:style>
  <w:style w:type="paragraph" w:styleId="Sinespaciado">
    <w:name w:val="No Spacing"/>
    <w:uiPriority w:val="1"/>
    <w:qFormat/>
    <w:rsid w:val="005A08E4"/>
    <w:pPr>
      <w:spacing w:after="0" w:line="240" w:lineRule="auto"/>
    </w:pPr>
  </w:style>
  <w:style w:type="paragraph" w:customStyle="1" w:styleId="Appelnotedebasde">
    <w:name w:val="Appel note de bas de..."/>
    <w:basedOn w:val="Normal"/>
    <w:link w:val="Refdenotaalpie"/>
    <w:uiPriority w:val="99"/>
    <w:rsid w:val="0075610E"/>
    <w:pPr>
      <w:spacing w:line="240" w:lineRule="exact"/>
    </w:pPr>
    <w:rPr>
      <w:vertAlign w:val="superscript"/>
    </w:rPr>
  </w:style>
  <w:style w:type="character" w:styleId="Fuerte">
    <w:name w:val="Strong"/>
    <w:basedOn w:val="Fuentedeprrafopredeter"/>
    <w:uiPriority w:val="22"/>
    <w:qFormat/>
    <w:rsid w:val="004D3C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ustavopatarroyo@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76EE27-138C-4ED1-929C-86947342FB8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11653</TotalTime>
  <Pages>28</Pages>
  <Words>10383</Words>
  <Characters>55140</Characters>
  <Application>Microsoft Office Word</Application>
  <DocSecurity>0</DocSecurity>
  <Lines>1148</Lines>
  <Paragraphs>252</Paragraphs>
  <ScaleCrop>false</ScaleCrop>
  <Company/>
  <LinksUpToDate>false</LinksUpToDate>
  <CharactersWithSpaces>65271</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1638457</vt:i4>
      </vt:variant>
      <vt:variant>
        <vt:i4>0</vt:i4>
      </vt:variant>
      <vt:variant>
        <vt:i4>0</vt:i4>
      </vt:variant>
      <vt:variant>
        <vt:i4>5</vt:i4>
      </vt:variant>
      <vt:variant>
        <vt:lpwstr>mailto:gustavopatarroyo@hotmail.com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18</cp:revision>
  <cp:lastPrinted>2023-01-11T03:18:00Z</cp:lastPrinted>
  <dcterms:created xsi:type="dcterms:W3CDTF">2026-04-01T19:40:00Z</dcterms:created>
  <dcterms:modified xsi:type="dcterms:W3CDTF">2026-04-09T22:15:00Z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