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19C89" w14:textId="77777777" w:rsidR="009A58D8" w:rsidRDefault="009A58D8" w:rsidP="009A58D8">
      <w:pPr>
        <w:jc w:val="both"/>
        <w:rPr>
          <w:rFonts w:ascii="Verdana" w:hAnsi="Verdana" w:cs="Arial"/>
          <w:b/>
          <w:bCs/>
          <w:color w:val="000000" w:themeColor="text1"/>
        </w:rPr>
      </w:pPr>
      <w:bookmarkStart w:id="0" w:name="_Hlk214366482"/>
      <w:bookmarkStart w:id="1" w:name="_Hlk143780582"/>
      <w:r w:rsidRPr="009A58D8">
        <w:rPr>
          <w:rFonts w:ascii="Verdana" w:hAnsi="Verdana" w:cs="Arial"/>
          <w:b/>
          <w:bCs/>
          <w:color w:val="000000" w:themeColor="text1"/>
        </w:rPr>
        <w:t xml:space="preserve">LEY DE GARANTÍAS ELECTORALES – Propósito </w:t>
      </w:r>
    </w:p>
    <w:p w14:paraId="551673C3" w14:textId="77777777" w:rsidR="001A5F15" w:rsidRDefault="001A5F15" w:rsidP="001A5F15">
      <w:pPr>
        <w:tabs>
          <w:tab w:val="left" w:pos="426"/>
        </w:tabs>
        <w:spacing w:after="0" w:line="240" w:lineRule="auto"/>
        <w:jc w:val="both"/>
        <w:rPr>
          <w:rFonts w:ascii="Verdana" w:eastAsia="Calibri" w:hAnsi="Verdana" w:cs="Arial"/>
          <w:noProof/>
          <w:sz w:val="20"/>
          <w:szCs w:val="20"/>
          <w:lang w:val="es-ES_tradnl"/>
        </w:rPr>
      </w:pPr>
      <w:r w:rsidRPr="001A5F15">
        <w:rPr>
          <w:rFonts w:ascii="Verdana" w:eastAsia="Times New Roman" w:hAnsi="Verdana" w:cs="Arial"/>
          <w:bCs/>
          <w:sz w:val="20"/>
          <w:szCs w:val="20"/>
          <w:lang w:eastAsia="es-CO"/>
        </w:rPr>
        <w:t>Ley 996 de 2005</w:t>
      </w:r>
      <w:r w:rsidRPr="001A5F15">
        <w:rPr>
          <w:rFonts w:ascii="Verdana" w:eastAsia="Times New Roman" w:hAnsi="Verdana" w:cs="Arial"/>
          <w:bCs/>
          <w:sz w:val="20"/>
          <w:szCs w:val="20"/>
          <w:lang w:eastAsia="es-CO"/>
        </w:rPr>
        <w:t xml:space="preserve"> […] </w:t>
      </w:r>
      <w:r w:rsidRPr="001A5F15">
        <w:rPr>
          <w:rFonts w:ascii="Verdana" w:eastAsia="Times New Roman" w:hAnsi="Verdana" w:cs="Arial"/>
          <w:bCs/>
          <w:sz w:val="20"/>
          <w:szCs w:val="20"/>
          <w:lang w:eastAsia="es-CO"/>
        </w:rPr>
        <w:t>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A5F15">
        <w:rPr>
          <w:rFonts w:ascii="Verdana" w:eastAsia="Calibri" w:hAnsi="Verdana" w:cs="Arial"/>
          <w:noProof/>
          <w:sz w:val="20"/>
          <w:szCs w:val="20"/>
          <w:lang w:val="es-ES_tradnl"/>
        </w:rPr>
        <w:t xml:space="preserve"> </w:t>
      </w:r>
    </w:p>
    <w:p w14:paraId="6AAAAB74" w14:textId="77777777" w:rsidR="001A5F15" w:rsidRDefault="001A5F15" w:rsidP="001A5F15">
      <w:pPr>
        <w:tabs>
          <w:tab w:val="left" w:pos="426"/>
        </w:tabs>
        <w:spacing w:after="0" w:line="240" w:lineRule="auto"/>
        <w:jc w:val="both"/>
        <w:rPr>
          <w:rFonts w:ascii="Verdana" w:eastAsia="Calibri" w:hAnsi="Verdana" w:cs="Arial"/>
          <w:noProof/>
          <w:sz w:val="20"/>
          <w:szCs w:val="20"/>
          <w:lang w:val="es-ES_tradnl"/>
        </w:rPr>
      </w:pPr>
    </w:p>
    <w:p w14:paraId="19029740" w14:textId="5963F494" w:rsidR="009A58D8" w:rsidRDefault="009A58D8" w:rsidP="001A5F15">
      <w:pPr>
        <w:tabs>
          <w:tab w:val="left" w:pos="426"/>
        </w:tabs>
        <w:spacing w:after="0" w:line="240" w:lineRule="auto"/>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Prohibiciones – Restricciones </w:t>
      </w:r>
    </w:p>
    <w:p w14:paraId="499EE4CB" w14:textId="77777777" w:rsidR="001A5F15" w:rsidRDefault="001A5F15" w:rsidP="001A5F15">
      <w:pPr>
        <w:tabs>
          <w:tab w:val="left" w:pos="426"/>
        </w:tabs>
        <w:spacing w:after="0" w:line="240" w:lineRule="auto"/>
        <w:jc w:val="both"/>
        <w:rPr>
          <w:rFonts w:ascii="Verdana" w:hAnsi="Verdana" w:cs="Arial"/>
          <w:b/>
          <w:bCs/>
          <w:color w:val="000000" w:themeColor="text1"/>
        </w:rPr>
      </w:pPr>
    </w:p>
    <w:p w14:paraId="2F052139" w14:textId="77777777" w:rsidR="00BD7D83" w:rsidRDefault="00BD7D83" w:rsidP="00BD7D83">
      <w:pPr>
        <w:tabs>
          <w:tab w:val="left" w:pos="426"/>
        </w:tabs>
        <w:spacing w:after="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BD7D83">
        <w:rPr>
          <w:rFonts w:ascii="Verdana" w:eastAsia="Times New Roman" w:hAnsi="Verdana" w:cs="Arial"/>
          <w:bCs/>
          <w:sz w:val="20"/>
          <w:szCs w:val="20"/>
          <w:lang w:eastAsia="es-CO"/>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6D5D607E" w14:textId="77777777" w:rsidR="00BD7D83" w:rsidRDefault="00BD7D83" w:rsidP="00BD7D83">
      <w:pPr>
        <w:tabs>
          <w:tab w:val="left" w:pos="426"/>
        </w:tabs>
        <w:spacing w:after="0" w:line="240" w:lineRule="auto"/>
        <w:jc w:val="both"/>
        <w:rPr>
          <w:rFonts w:ascii="Verdana" w:eastAsia="Times New Roman" w:hAnsi="Verdana" w:cs="Arial"/>
          <w:bCs/>
          <w:sz w:val="20"/>
          <w:szCs w:val="20"/>
          <w:lang w:eastAsia="es-CO"/>
        </w:rPr>
      </w:pPr>
    </w:p>
    <w:p w14:paraId="392104FD" w14:textId="77777777" w:rsidR="00BD7D83" w:rsidRDefault="00BD7D83" w:rsidP="00BD7D83">
      <w:pPr>
        <w:tabs>
          <w:tab w:val="left" w:pos="426"/>
        </w:tabs>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3CD12DE5" w14:textId="77777777" w:rsidR="00BD7D83" w:rsidRDefault="00BD7D83" w:rsidP="00BD7D83">
      <w:pPr>
        <w:tabs>
          <w:tab w:val="left" w:pos="426"/>
        </w:tabs>
        <w:spacing w:after="0" w:line="240" w:lineRule="auto"/>
        <w:jc w:val="both"/>
        <w:rPr>
          <w:rFonts w:ascii="Verdana" w:eastAsia="Arial" w:hAnsi="Verdana" w:cs="Arial"/>
          <w:sz w:val="20"/>
          <w:szCs w:val="20"/>
          <w:lang w:val="es-ES" w:eastAsia="es-ES" w:bidi="es-ES"/>
        </w:rPr>
      </w:pPr>
    </w:p>
    <w:p w14:paraId="3046BA79" w14:textId="42C93A5F" w:rsidR="00BD7D83" w:rsidRDefault="00BD7D83" w:rsidP="00BD7D83">
      <w:pPr>
        <w:tabs>
          <w:tab w:val="left" w:pos="426"/>
        </w:tabs>
        <w:spacing w:after="0" w:line="240" w:lineRule="auto"/>
        <w:jc w:val="both"/>
        <w:rPr>
          <w:rFonts w:ascii="Verdana" w:eastAsia="Arial" w:hAnsi="Verdana" w:cs="Arial"/>
          <w:sz w:val="20"/>
          <w:szCs w:val="20"/>
          <w:lang w:val="es-ES" w:eastAsia="es-ES" w:bidi="es-ES"/>
        </w:rPr>
      </w:pPr>
      <w:r w:rsidRPr="00BD7D83">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r>
        <w:rPr>
          <w:rFonts w:ascii="Verdana" w:eastAsia="Arial" w:hAnsi="Verdana" w:cs="Arial"/>
          <w:sz w:val="20"/>
          <w:szCs w:val="20"/>
          <w:lang w:val="es-ES" w:eastAsia="es-ES" w:bidi="es-ES"/>
        </w:rPr>
        <w:t>.</w:t>
      </w:r>
    </w:p>
    <w:p w14:paraId="6FCE47B7" w14:textId="77777777" w:rsidR="00BD7D83" w:rsidRDefault="00BD7D83" w:rsidP="00BD7D83">
      <w:pPr>
        <w:tabs>
          <w:tab w:val="left" w:pos="426"/>
        </w:tabs>
        <w:spacing w:after="0" w:line="240" w:lineRule="auto"/>
        <w:jc w:val="both"/>
        <w:rPr>
          <w:rFonts w:ascii="Verdana" w:eastAsia="Arial" w:hAnsi="Verdana" w:cs="Arial"/>
          <w:sz w:val="20"/>
          <w:szCs w:val="20"/>
          <w:lang w:val="es-ES" w:eastAsia="es-ES" w:bidi="es-ES"/>
        </w:rPr>
      </w:pPr>
    </w:p>
    <w:p w14:paraId="732E8726" w14:textId="033F5D58" w:rsidR="00BD7D83" w:rsidRPr="00BD7D83" w:rsidRDefault="00BD7D83" w:rsidP="00BD7D83">
      <w:pPr>
        <w:tabs>
          <w:tab w:val="left" w:pos="426"/>
        </w:tabs>
        <w:spacing w:after="0" w:line="240" w:lineRule="auto"/>
        <w:jc w:val="both"/>
        <w:rPr>
          <w:rFonts w:ascii="Verdana" w:eastAsia="Times New Roman" w:hAnsi="Verdana" w:cs="Arial"/>
          <w:bCs/>
          <w:sz w:val="20"/>
          <w:szCs w:val="20"/>
          <w:lang w:eastAsia="es-CO"/>
        </w:rPr>
      </w:pPr>
      <w:r w:rsidRPr="00BD7D83">
        <w:rPr>
          <w:rFonts w:ascii="Verdana" w:eastAsia="Calibri" w:hAnsi="Verdana" w:cs="Arial"/>
          <w:sz w:val="20"/>
          <w:szCs w:val="20"/>
        </w:rPr>
        <w:t xml:space="preserve">Por un lado, </w:t>
      </w:r>
      <w:r w:rsidRPr="00BD7D83">
        <w:rPr>
          <w:rFonts w:ascii="Verdana" w:eastAsia="Calibri" w:hAnsi="Verdana" w:cs="Arial"/>
          <w:i/>
          <w:sz w:val="20"/>
          <w:szCs w:val="20"/>
        </w:rPr>
        <w:t>el artículo 33</w:t>
      </w:r>
      <w:r w:rsidRPr="00BD7D83">
        <w:rPr>
          <w:rFonts w:ascii="Verdana" w:eastAsia="Calibri" w:hAnsi="Verdana" w:cs="Arial"/>
          <w:sz w:val="20"/>
          <w:szCs w:val="20"/>
        </w:rPr>
        <w:t xml:space="preserve"> de la Ley 996 de 2005 prohíbe “</w:t>
      </w:r>
      <w:r w:rsidRPr="00BD7D83">
        <w:rPr>
          <w:rFonts w:ascii="Verdana" w:eastAsia="Calibri" w:hAnsi="Verdana" w:cs="Arial"/>
          <w:bCs/>
          <w:sz w:val="20"/>
          <w:szCs w:val="20"/>
        </w:rPr>
        <w:t xml:space="preserve">(…) </w:t>
      </w:r>
      <w:r w:rsidRPr="00BD7D83">
        <w:rPr>
          <w:rFonts w:ascii="Verdana" w:eastAsia="Calibri" w:hAnsi="Verdana" w:cs="Arial"/>
          <w:sz w:val="20"/>
          <w:szCs w:val="20"/>
        </w:rPr>
        <w:t>la contratación directa por parte de todos los entes del Estado</w:t>
      </w:r>
      <w:r w:rsidRPr="00BD7D83">
        <w:rPr>
          <w:rFonts w:ascii="Verdana" w:eastAsia="Calibri" w:hAnsi="Verdana" w:cs="Arial"/>
          <w:bCs/>
          <w:sz w:val="20"/>
          <w:szCs w:val="20"/>
        </w:rPr>
        <w:t>”</w:t>
      </w:r>
      <w:r w:rsidRPr="00BD7D83">
        <w:rPr>
          <w:rFonts w:ascii="Verdana" w:eastAsia="Calibri" w:hAnsi="Verdana" w:cs="Arial"/>
          <w:sz w:val="20"/>
          <w:szCs w:val="20"/>
        </w:rPr>
        <w:t xml:space="preserve"> durante los cuatro (4) meses anteriores a las elecciones presidenciales, salvo </w:t>
      </w:r>
      <w:r w:rsidRPr="00BD7D83">
        <w:rPr>
          <w:rFonts w:ascii="Verdana" w:eastAsia="Calibri" w:hAnsi="Verdana" w:cs="Arial"/>
          <w:bCs/>
          <w:sz w:val="20"/>
          <w:szCs w:val="20"/>
        </w:rPr>
        <w:t xml:space="preserve">“(…) </w:t>
      </w:r>
      <w:r w:rsidRPr="00BD7D83">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D7D83">
        <w:rPr>
          <w:rFonts w:ascii="Verdana" w:eastAsia="Calibri" w:hAnsi="Verdana" w:cs="Arial"/>
          <w:bCs/>
          <w:sz w:val="20"/>
          <w:szCs w:val="20"/>
        </w:rPr>
        <w:t>”</w:t>
      </w:r>
      <w:r w:rsidRPr="00BD7D83">
        <w:rPr>
          <w:rFonts w:ascii="Verdana" w:eastAsia="Calibri" w:hAnsi="Verdana" w:cs="Arial"/>
          <w:sz w:val="20"/>
          <w:szCs w:val="20"/>
        </w:rPr>
        <w:t>.</w:t>
      </w:r>
    </w:p>
    <w:p w14:paraId="044CAFD3" w14:textId="77777777" w:rsidR="00BD7D83" w:rsidRDefault="00BD7D83" w:rsidP="00BD7D83">
      <w:pPr>
        <w:tabs>
          <w:tab w:val="left" w:pos="426"/>
        </w:tabs>
        <w:spacing w:after="0" w:line="240" w:lineRule="auto"/>
        <w:jc w:val="both"/>
        <w:rPr>
          <w:rFonts w:ascii="Verdana" w:eastAsia="Calibri" w:hAnsi="Verdana" w:cs="Arial"/>
          <w:sz w:val="20"/>
          <w:szCs w:val="20"/>
        </w:rPr>
      </w:pPr>
    </w:p>
    <w:p w14:paraId="64598690" w14:textId="0D01D519" w:rsidR="00BD7D83" w:rsidRPr="00BD7D83" w:rsidRDefault="00BD7D83" w:rsidP="00BD7D83">
      <w:pPr>
        <w:tabs>
          <w:tab w:val="left" w:pos="426"/>
        </w:tabs>
        <w:spacing w:after="0" w:line="240" w:lineRule="auto"/>
        <w:jc w:val="both"/>
        <w:rPr>
          <w:rFonts w:ascii="Verdana" w:eastAsia="Calibri" w:hAnsi="Verdana" w:cs="Arial"/>
          <w:noProof/>
          <w:sz w:val="20"/>
          <w:szCs w:val="20"/>
        </w:rPr>
      </w:pPr>
      <w:r w:rsidRPr="00BD7D83">
        <w:rPr>
          <w:rFonts w:ascii="Verdana" w:eastAsia="Calibri" w:hAnsi="Verdana" w:cs="Arial"/>
          <w:sz w:val="20"/>
          <w:szCs w:val="20"/>
        </w:rPr>
        <w:t xml:space="preserve">Por otro lado, </w:t>
      </w:r>
      <w:r w:rsidRPr="00BD7D83">
        <w:rPr>
          <w:rFonts w:ascii="Verdana" w:eastAsia="Calibri" w:hAnsi="Verdana" w:cs="Arial"/>
          <w:i/>
          <w:sz w:val="20"/>
          <w:szCs w:val="20"/>
        </w:rPr>
        <w:t xml:space="preserve">el parágrafo del artículo 38 </w:t>
      </w:r>
      <w:r w:rsidRPr="00BD7D83">
        <w:rPr>
          <w:rFonts w:ascii="Verdana" w:eastAsia="Calibri" w:hAnsi="Verdana" w:cs="Arial"/>
          <w:sz w:val="20"/>
          <w:szCs w:val="20"/>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BD7D83">
        <w:rPr>
          <w:rFonts w:ascii="Verdana" w:eastAsia="Calibri" w:hAnsi="Verdana" w:cs="Arial"/>
          <w:bCs/>
          <w:sz w:val="20"/>
          <w:szCs w:val="20"/>
        </w:rPr>
        <w:t xml:space="preserve">“(…) </w:t>
      </w:r>
      <w:r w:rsidRPr="00BD7D83">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D7D83">
        <w:rPr>
          <w:rFonts w:ascii="Verdana" w:eastAsia="Calibri" w:hAnsi="Verdana" w:cs="Arial"/>
          <w:bCs/>
          <w:sz w:val="20"/>
          <w:szCs w:val="20"/>
        </w:rPr>
        <w:t>”</w:t>
      </w:r>
      <w:r w:rsidRPr="00BD7D83">
        <w:rPr>
          <w:rFonts w:ascii="Verdana" w:eastAsia="Calibri" w:hAnsi="Verdana" w:cs="Arial"/>
          <w:sz w:val="20"/>
          <w:szCs w:val="20"/>
        </w:rPr>
        <w:t>.</w:t>
      </w:r>
    </w:p>
    <w:p w14:paraId="6EEB5EC9" w14:textId="77777777" w:rsidR="009A58D8" w:rsidRPr="009A58D8" w:rsidRDefault="009A58D8" w:rsidP="009A58D8">
      <w:pPr>
        <w:spacing w:after="0" w:line="240" w:lineRule="auto"/>
        <w:jc w:val="both"/>
        <w:rPr>
          <w:rFonts w:ascii="Verdana" w:hAnsi="Verdana" w:cs="Arial"/>
          <w:b/>
          <w:bCs/>
          <w:color w:val="000000" w:themeColor="text1"/>
        </w:rPr>
      </w:pPr>
    </w:p>
    <w:p w14:paraId="29580BE2" w14:textId="77777777" w:rsidR="009A58D8" w:rsidRDefault="009A58D8" w:rsidP="009A58D8">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Artículo 33 – Ámbito material </w:t>
      </w:r>
    </w:p>
    <w:p w14:paraId="02BA0BF5" w14:textId="77777777" w:rsidR="00C8766A" w:rsidRDefault="00C8766A" w:rsidP="00C8766A">
      <w:pPr>
        <w:jc w:val="both"/>
        <w:rPr>
          <w:rFonts w:ascii="Verdana" w:hAnsi="Verdana" w:cs="Arial"/>
          <w:bCs/>
          <w:sz w:val="20"/>
          <w:szCs w:val="20"/>
          <w:lang w:eastAsia="x-none"/>
        </w:rPr>
      </w:pPr>
      <w:r w:rsidRPr="00C8766A">
        <w:rPr>
          <w:rFonts w:ascii="Verdana" w:hAnsi="Verdana" w:cs="Arial"/>
          <w:bCs/>
          <w:sz w:val="20"/>
          <w:szCs w:val="20"/>
          <w:lang w:eastAsia="x-none"/>
        </w:rPr>
        <w:t xml:space="preserve">En primer lugar, el ámbito material de la prohibición contenida en el artículo 33 de la Ley 996 de 2005 está delimitado por la expresión </w:t>
      </w:r>
      <w:r w:rsidRPr="00C8766A">
        <w:rPr>
          <w:rFonts w:ascii="Verdana" w:eastAsia="Calibri" w:hAnsi="Verdana" w:cs="Arial"/>
          <w:bCs/>
          <w:i/>
          <w:iCs/>
          <w:sz w:val="20"/>
          <w:szCs w:val="20"/>
        </w:rPr>
        <w:t>“</w:t>
      </w:r>
      <w:r w:rsidRPr="00C8766A">
        <w:rPr>
          <w:rFonts w:ascii="Verdana" w:hAnsi="Verdana" w:cs="Arial"/>
          <w:bCs/>
          <w:i/>
          <w:iCs/>
          <w:sz w:val="20"/>
          <w:szCs w:val="20"/>
          <w:lang w:eastAsia="x-none"/>
        </w:rPr>
        <w:t xml:space="preserve">queda prohibida la contratación </w:t>
      </w:r>
      <w:r w:rsidRPr="00C8766A">
        <w:rPr>
          <w:rFonts w:ascii="Verdana" w:hAnsi="Verdana" w:cs="Arial"/>
          <w:bCs/>
          <w:i/>
          <w:iCs/>
          <w:sz w:val="20"/>
          <w:szCs w:val="20"/>
          <w:lang w:eastAsia="x-none"/>
        </w:rPr>
        <w:lastRenderedPageBreak/>
        <w:t>directa</w:t>
      </w:r>
      <w:r w:rsidRPr="00C8766A">
        <w:rPr>
          <w:rFonts w:ascii="Verdana" w:hAnsi="Verdana" w:cs="Arial"/>
          <w:sz w:val="20"/>
          <w:szCs w:val="20"/>
        </w:rPr>
        <w:t>”</w:t>
      </w:r>
      <w:r w:rsidRPr="00C8766A">
        <w:rPr>
          <w:rFonts w:ascii="Verdana" w:hAnsi="Verdana" w:cs="Arial"/>
          <w:bCs/>
          <w:sz w:val="20"/>
          <w:szCs w:val="20"/>
          <w:lang w:eastAsia="x-none"/>
        </w:rPr>
        <w:t>.</w:t>
      </w:r>
      <w:r>
        <w:rPr>
          <w:rFonts w:ascii="Verdana" w:hAnsi="Verdana" w:cs="Arial"/>
          <w:bCs/>
          <w:sz w:val="20"/>
          <w:szCs w:val="20"/>
          <w:lang w:eastAsia="x-none"/>
        </w:rPr>
        <w:t xml:space="preserve"> […] </w:t>
      </w:r>
      <w:r w:rsidRPr="00C8766A">
        <w:rPr>
          <w:rFonts w:ascii="Verdana" w:hAnsi="Verdana" w:cs="Arial"/>
          <w:bCs/>
          <w:sz w:val="20"/>
          <w:szCs w:val="20"/>
          <w:lang w:eastAsia="x-none"/>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w:t>
      </w:r>
    </w:p>
    <w:p w14:paraId="5B16E9B3" w14:textId="25BDF057" w:rsidR="009A58D8" w:rsidRPr="00C8766A" w:rsidRDefault="00C8766A" w:rsidP="00C8766A">
      <w:pPr>
        <w:spacing w:after="0" w:line="240" w:lineRule="auto"/>
        <w:jc w:val="both"/>
        <w:rPr>
          <w:rFonts w:ascii="Verdana" w:hAnsi="Verdana" w:cs="Arial"/>
          <w:sz w:val="20"/>
          <w:szCs w:val="20"/>
          <w:lang w:eastAsia="x-none"/>
        </w:rPr>
      </w:pPr>
      <w:r w:rsidRPr="00C8766A">
        <w:rPr>
          <w:rFonts w:ascii="Verdana" w:hAnsi="Verdana" w:cs="Arial"/>
          <w:color w:val="000000" w:themeColor="text1"/>
          <w:sz w:val="20"/>
          <w:szCs w:val="20"/>
        </w:rPr>
        <w:t xml:space="preserve">[…] </w:t>
      </w:r>
    </w:p>
    <w:p w14:paraId="02D59E52" w14:textId="77777777" w:rsidR="00C8766A" w:rsidRPr="00C8766A" w:rsidRDefault="00C8766A" w:rsidP="00C8766A">
      <w:pPr>
        <w:spacing w:after="0" w:line="240" w:lineRule="auto"/>
        <w:jc w:val="both"/>
        <w:rPr>
          <w:rFonts w:ascii="Verdana" w:hAnsi="Verdana" w:cs="Arial"/>
          <w:sz w:val="20"/>
          <w:szCs w:val="20"/>
          <w:lang w:eastAsia="x-none"/>
        </w:rPr>
      </w:pPr>
    </w:p>
    <w:p w14:paraId="1030BD0A" w14:textId="318248DC" w:rsidR="00C8766A" w:rsidRDefault="00C8766A" w:rsidP="00C8766A">
      <w:pPr>
        <w:jc w:val="both"/>
        <w:rPr>
          <w:rFonts w:ascii="Verdana" w:hAnsi="Verdana" w:cs="Arial"/>
          <w:sz w:val="20"/>
          <w:szCs w:val="20"/>
          <w:lang w:eastAsia="x-none"/>
        </w:rPr>
      </w:pPr>
      <w:r w:rsidRPr="00C8766A">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Fonts w:ascii="Verdana" w:hAnsi="Verdana" w:cs="Arial"/>
          <w:sz w:val="20"/>
          <w:szCs w:val="20"/>
          <w:lang w:eastAsia="x-none"/>
        </w:rPr>
        <w:t>.</w:t>
      </w:r>
    </w:p>
    <w:p w14:paraId="2A522FC7" w14:textId="77777777" w:rsidR="009A58D8" w:rsidRDefault="009A58D8" w:rsidP="009A58D8">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Destinatarios </w:t>
      </w:r>
    </w:p>
    <w:p w14:paraId="12004D28" w14:textId="4AD72FD7" w:rsidR="00C8766A" w:rsidRDefault="00C8766A" w:rsidP="00C8766A">
      <w:pPr>
        <w:spacing w:after="0" w:line="240" w:lineRule="auto"/>
        <w:jc w:val="both"/>
        <w:rPr>
          <w:rFonts w:ascii="Verdana" w:hAnsi="Verdana" w:cs="Arial"/>
          <w:color w:val="000000" w:themeColor="text1"/>
          <w:sz w:val="20"/>
          <w:szCs w:val="20"/>
          <w:lang w:val="es-MX"/>
        </w:rPr>
      </w:pPr>
      <w:r w:rsidRPr="00C8766A">
        <w:rPr>
          <w:rFonts w:ascii="Verdana" w:hAnsi="Verdana" w:cs="Arial"/>
          <w:color w:val="000000" w:themeColor="text1"/>
          <w:sz w:val="20"/>
          <w:szCs w:val="20"/>
          <w:lang w:val="es-MX"/>
        </w:rPr>
        <w:t xml:space="preserve">[…] </w:t>
      </w:r>
      <w:r w:rsidRPr="00C8766A">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C8766A">
        <w:rPr>
          <w:rFonts w:ascii="Verdana" w:hAnsi="Verdana" w:cs="Arial"/>
          <w:i/>
          <w:color w:val="000000" w:themeColor="text1"/>
          <w:sz w:val="20"/>
          <w:szCs w:val="20"/>
          <w:lang w:val="es-MX"/>
        </w:rPr>
        <w:t>todos los entes del Estado</w:t>
      </w:r>
      <w:r w:rsidRPr="00C8766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549BDF7" w14:textId="77777777" w:rsidR="00C8766A" w:rsidRDefault="00C8766A" w:rsidP="00C8766A">
      <w:pPr>
        <w:spacing w:after="0" w:line="240" w:lineRule="auto"/>
        <w:jc w:val="both"/>
        <w:rPr>
          <w:rFonts w:ascii="Verdana" w:hAnsi="Verdana" w:cs="Arial"/>
          <w:color w:val="000000" w:themeColor="text1"/>
          <w:sz w:val="20"/>
          <w:szCs w:val="20"/>
          <w:lang w:val="es-MX"/>
        </w:rPr>
      </w:pPr>
    </w:p>
    <w:p w14:paraId="22BEBCF1" w14:textId="77777777" w:rsidR="009A58D8" w:rsidRDefault="009A58D8" w:rsidP="009A58D8">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Excepciones </w:t>
      </w:r>
    </w:p>
    <w:p w14:paraId="63AB56B0" w14:textId="77777777" w:rsidR="00C8766A" w:rsidRDefault="00C8766A" w:rsidP="00C8766A">
      <w:pPr>
        <w:spacing w:after="0" w:line="240" w:lineRule="auto"/>
        <w:jc w:val="both"/>
        <w:rPr>
          <w:rFonts w:ascii="Verdana" w:eastAsia="Times New Roman" w:hAnsi="Verdana" w:cs="Arial"/>
          <w:bCs/>
          <w:sz w:val="20"/>
          <w:szCs w:val="20"/>
          <w:lang w:val="es-ES" w:eastAsia="es-CO" w:bidi="es-ES"/>
        </w:rPr>
      </w:pPr>
      <w:r w:rsidRPr="00C8766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C8766A">
        <w:rPr>
          <w:rFonts w:ascii="Verdana" w:eastAsia="Times New Roman" w:hAnsi="Verdana" w:cs="Arial"/>
          <w:bCs/>
          <w:sz w:val="20"/>
          <w:szCs w:val="20"/>
          <w:lang w:val="es-ES" w:eastAsia="es-CO" w:bidi="es-ES"/>
        </w:rPr>
        <w:t>ii</w:t>
      </w:r>
      <w:proofErr w:type="spellEnd"/>
      <w:r w:rsidRPr="00C8766A">
        <w:rPr>
          <w:rFonts w:ascii="Verdana" w:eastAsia="Times New Roman" w:hAnsi="Verdana" w:cs="Arial"/>
          <w:bCs/>
          <w:sz w:val="20"/>
          <w:szCs w:val="20"/>
          <w:lang w:val="es-ES" w:eastAsia="es-CO" w:bidi="es-ES"/>
        </w:rPr>
        <w:t xml:space="preserve">) los contratos de crédito público; </w:t>
      </w:r>
      <w:proofErr w:type="spellStart"/>
      <w:r w:rsidRPr="00C8766A">
        <w:rPr>
          <w:rFonts w:ascii="Verdana" w:eastAsia="Times New Roman" w:hAnsi="Verdana" w:cs="Arial"/>
          <w:bCs/>
          <w:sz w:val="20"/>
          <w:szCs w:val="20"/>
          <w:lang w:val="es-ES" w:eastAsia="es-CO" w:bidi="es-ES"/>
        </w:rPr>
        <w:t>iii</w:t>
      </w:r>
      <w:proofErr w:type="spellEnd"/>
      <w:r w:rsidRPr="00C8766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C8766A">
        <w:rPr>
          <w:rFonts w:ascii="Verdana" w:eastAsia="Times New Roman" w:hAnsi="Verdana" w:cs="Arial"/>
          <w:bCs/>
          <w:sz w:val="20"/>
          <w:szCs w:val="20"/>
          <w:lang w:val="es-ES" w:eastAsia="es-CO" w:bidi="es-ES"/>
        </w:rPr>
        <w:t>iv</w:t>
      </w:r>
      <w:proofErr w:type="spellEnd"/>
      <w:r w:rsidRPr="00C8766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0D7BF3B" w14:textId="77777777" w:rsidR="00C8766A" w:rsidRDefault="00C8766A" w:rsidP="00C8766A">
      <w:pPr>
        <w:spacing w:after="0" w:line="240" w:lineRule="auto"/>
        <w:jc w:val="both"/>
        <w:rPr>
          <w:rFonts w:ascii="Verdana" w:eastAsia="Times New Roman" w:hAnsi="Verdana" w:cs="Arial"/>
          <w:bCs/>
          <w:sz w:val="20"/>
          <w:szCs w:val="20"/>
          <w:lang w:val="es-ES" w:eastAsia="es-CO" w:bidi="es-ES"/>
        </w:rPr>
      </w:pPr>
    </w:p>
    <w:p w14:paraId="05238E9D" w14:textId="77777777" w:rsidR="00C8766A" w:rsidRPr="00C8766A" w:rsidRDefault="00C8766A" w:rsidP="00C8766A">
      <w:pPr>
        <w:spacing w:after="0" w:line="240" w:lineRule="auto"/>
        <w:jc w:val="both"/>
        <w:rPr>
          <w:rFonts w:ascii="Verdana" w:hAnsi="Verdana" w:cs="Arial"/>
          <w:bCs/>
          <w:sz w:val="20"/>
          <w:szCs w:val="20"/>
          <w:lang w:eastAsia="x-none"/>
        </w:rPr>
      </w:pPr>
      <w:r w:rsidRPr="00C8766A">
        <w:rPr>
          <w:rFonts w:ascii="Verdana" w:eastAsia="Times New Roman" w:hAnsi="Verdana" w:cs="Arial"/>
          <w:bCs/>
          <w:sz w:val="20"/>
          <w:szCs w:val="20"/>
          <w:lang w:val="es-ES" w:eastAsia="es-CO" w:bidi="es-ES"/>
        </w:rPr>
        <w:t xml:space="preserve">En todo caso, </w:t>
      </w:r>
      <w:r w:rsidRPr="00C8766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A846BAD" w14:textId="77777777" w:rsidR="00C8766A" w:rsidRPr="00C8766A" w:rsidRDefault="00C8766A" w:rsidP="00C8766A">
      <w:pPr>
        <w:spacing w:after="0" w:line="240" w:lineRule="auto"/>
        <w:jc w:val="both"/>
        <w:rPr>
          <w:rFonts w:ascii="Verdana" w:eastAsia="Times New Roman" w:hAnsi="Verdana" w:cs="Arial"/>
          <w:bCs/>
          <w:sz w:val="20"/>
          <w:szCs w:val="20"/>
          <w:lang w:eastAsia="es-CO" w:bidi="es-ES"/>
        </w:rPr>
      </w:pPr>
    </w:p>
    <w:p w14:paraId="4E9995C5" w14:textId="77777777" w:rsidR="009A58D8" w:rsidRDefault="009A58D8" w:rsidP="009A58D8">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Parágrafo del artículo 38 - Alcance </w:t>
      </w:r>
    </w:p>
    <w:p w14:paraId="03AD4B50" w14:textId="5805C600" w:rsidR="00C8766A" w:rsidRDefault="00C8766A" w:rsidP="007D50EF">
      <w:pPr>
        <w:spacing w:after="0" w:line="240" w:lineRule="auto"/>
        <w:jc w:val="both"/>
        <w:rPr>
          <w:rFonts w:ascii="Verdana" w:hAnsi="Verdana" w:cs="Arial"/>
          <w:color w:val="000000" w:themeColor="text1"/>
          <w:sz w:val="20"/>
          <w:szCs w:val="20"/>
        </w:rPr>
      </w:pPr>
      <w:r w:rsidRPr="00C8766A">
        <w:rPr>
          <w:rFonts w:ascii="Verdana" w:hAnsi="Verdana" w:cs="Arial"/>
          <w:color w:val="000000" w:themeColor="text1"/>
          <w:sz w:val="20"/>
          <w:szCs w:val="20"/>
        </w:rPr>
        <w:t xml:space="preserve">En segundo lugar, respecto del alcance del parágrafo del artículo 38 de la Ley 996 de 2005, esta prohibición dispone en primera medida que: “[l]os Gobernadores, </w:t>
      </w:r>
      <w:proofErr w:type="gramStart"/>
      <w:r w:rsidRPr="00C8766A">
        <w:rPr>
          <w:rFonts w:ascii="Verdana" w:hAnsi="Verdana" w:cs="Arial"/>
          <w:color w:val="000000" w:themeColor="text1"/>
          <w:sz w:val="20"/>
          <w:szCs w:val="20"/>
        </w:rPr>
        <w:t>Alcaldes</w:t>
      </w:r>
      <w:proofErr w:type="gramEnd"/>
      <w:r w:rsidRPr="00C8766A">
        <w:rPr>
          <w:rFonts w:ascii="Verdana" w:hAnsi="Verdana" w:cs="Arial"/>
          <w:color w:val="000000" w:themeColor="text1"/>
          <w:sz w:val="20"/>
          <w:szCs w:val="20"/>
        </w:rPr>
        <w:t xml:space="preserve"> Municipales y/o Distritales, </w:t>
      </w:r>
      <w:proofErr w:type="gramStart"/>
      <w:r w:rsidRPr="00C8766A">
        <w:rPr>
          <w:rFonts w:ascii="Verdana" w:hAnsi="Verdana" w:cs="Arial"/>
          <w:color w:val="000000" w:themeColor="text1"/>
          <w:sz w:val="20"/>
          <w:szCs w:val="20"/>
        </w:rPr>
        <w:t>Secretarios</w:t>
      </w:r>
      <w:proofErr w:type="gramEnd"/>
      <w:r w:rsidRPr="00C8766A">
        <w:rPr>
          <w:rFonts w:ascii="Verdana" w:hAnsi="Verdana" w:cs="Arial"/>
          <w:color w:val="000000" w:themeColor="text1"/>
          <w:sz w:val="20"/>
          <w:szCs w:val="20"/>
        </w:rPr>
        <w:t>, Gerentes y directores de Entidades Descentralizadas del orden Municipal, Departamental o Distrital, dentro de los cuatro (4) meses anteriores a las elecciones, no podrán celebrar convenios interadministrativos para la ejecución de recursos públicos”.</w:t>
      </w:r>
    </w:p>
    <w:p w14:paraId="309B58F2" w14:textId="77777777" w:rsidR="007D50EF" w:rsidRDefault="007D50EF" w:rsidP="007D50EF">
      <w:pPr>
        <w:spacing w:after="0" w:line="240" w:lineRule="auto"/>
        <w:jc w:val="both"/>
        <w:rPr>
          <w:rFonts w:ascii="Verdana" w:hAnsi="Verdana" w:cs="Arial"/>
          <w:b/>
          <w:bCs/>
          <w:color w:val="000000" w:themeColor="text1"/>
        </w:rPr>
      </w:pPr>
    </w:p>
    <w:p w14:paraId="46A39382" w14:textId="77777777" w:rsidR="00DC0BD9" w:rsidRDefault="009A58D8" w:rsidP="007D50EF">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Convenios interadministrativos – Contratos interadministrativos </w:t>
      </w:r>
    </w:p>
    <w:p w14:paraId="3109D112" w14:textId="05025C82" w:rsidR="007D50EF" w:rsidRPr="00DC0BD9" w:rsidRDefault="007D50EF" w:rsidP="007D50EF">
      <w:pPr>
        <w:spacing w:after="0" w:line="240" w:lineRule="auto"/>
        <w:jc w:val="both"/>
        <w:rPr>
          <w:rFonts w:ascii="Verdana" w:hAnsi="Verdana" w:cs="Arial"/>
          <w:b/>
          <w:bCs/>
          <w:color w:val="000000" w:themeColor="text1"/>
        </w:rPr>
      </w:pPr>
      <w:r>
        <w:rPr>
          <w:rFonts w:ascii="Verdana" w:eastAsia="Times New Roman" w:hAnsi="Verdana" w:cs="Arial"/>
          <w:color w:val="000000" w:themeColor="text1"/>
          <w:sz w:val="20"/>
          <w:szCs w:val="20"/>
          <w:lang w:val="es-ES" w:eastAsia="es-CO"/>
        </w:rPr>
        <w:t xml:space="preserve">[…] </w:t>
      </w:r>
      <w:r w:rsidRPr="007D50EF">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7D50EF">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Fonts w:ascii="Verdana" w:hAnsi="Verdana" w:cs="Arial"/>
          <w:sz w:val="20"/>
          <w:szCs w:val="20"/>
          <w:vertAlign w:val="superscript"/>
          <w:lang w:eastAsia="es-ES"/>
        </w:rPr>
        <w:t>.</w:t>
      </w:r>
    </w:p>
    <w:p w14:paraId="698BFDF3" w14:textId="77777777" w:rsidR="007D50EF" w:rsidRDefault="007D50EF" w:rsidP="007D50EF">
      <w:pPr>
        <w:spacing w:after="0" w:line="240" w:lineRule="auto"/>
        <w:jc w:val="both"/>
        <w:rPr>
          <w:rFonts w:ascii="Verdana" w:hAnsi="Verdana" w:cs="Arial"/>
          <w:sz w:val="20"/>
          <w:szCs w:val="20"/>
          <w:vertAlign w:val="superscript"/>
          <w:lang w:eastAsia="es-ES"/>
        </w:rPr>
      </w:pPr>
    </w:p>
    <w:p w14:paraId="4007EE87" w14:textId="77777777" w:rsidR="007D50EF" w:rsidRDefault="007D50EF" w:rsidP="007D50EF">
      <w:pPr>
        <w:spacing w:after="0" w:line="240" w:lineRule="auto"/>
        <w:jc w:val="both"/>
        <w:rPr>
          <w:rFonts w:ascii="Verdana" w:eastAsia="Calibri" w:hAnsi="Verdana" w:cs="Arial"/>
          <w:sz w:val="20"/>
          <w:szCs w:val="20"/>
          <w:lang w:val="es-ES"/>
        </w:rPr>
      </w:pPr>
      <w:r w:rsidRPr="007D50EF">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13D7BBC" w14:textId="77777777" w:rsidR="007D50EF" w:rsidRDefault="007D50EF" w:rsidP="007D50EF">
      <w:pPr>
        <w:spacing w:after="0" w:line="240" w:lineRule="auto"/>
        <w:jc w:val="both"/>
        <w:rPr>
          <w:rFonts w:ascii="Verdana" w:eastAsia="Calibri" w:hAnsi="Verdana" w:cs="Arial"/>
          <w:sz w:val="20"/>
          <w:szCs w:val="20"/>
          <w:lang w:val="es-ES"/>
        </w:rPr>
      </w:pPr>
    </w:p>
    <w:p w14:paraId="07F21489" w14:textId="22A3079E" w:rsidR="007D50EF" w:rsidRPr="007D50EF" w:rsidRDefault="007D50EF" w:rsidP="007D50EF">
      <w:pPr>
        <w:spacing w:after="0" w:line="240" w:lineRule="auto"/>
        <w:jc w:val="both"/>
        <w:rPr>
          <w:rFonts w:ascii="Verdana" w:eastAsia="Calibri" w:hAnsi="Verdana" w:cs="Arial"/>
          <w:sz w:val="20"/>
          <w:szCs w:val="20"/>
          <w:lang w:val="es-ES"/>
        </w:rPr>
      </w:pPr>
      <w:r w:rsidRPr="007D50EF">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32A7F8EA" w14:textId="77777777" w:rsidR="007D50EF" w:rsidRPr="007D50EF" w:rsidRDefault="007D50EF" w:rsidP="007D50EF">
      <w:pPr>
        <w:spacing w:after="0" w:line="240" w:lineRule="auto"/>
        <w:jc w:val="both"/>
        <w:rPr>
          <w:rFonts w:ascii="Verdana" w:hAnsi="Verdana" w:cs="Arial"/>
          <w:b/>
          <w:bCs/>
          <w:color w:val="000000" w:themeColor="text1"/>
          <w:lang w:val="es-ES_tradnl"/>
        </w:rPr>
      </w:pPr>
    </w:p>
    <w:p w14:paraId="5DCBDDAB" w14:textId="6E887718" w:rsidR="007D50EF" w:rsidRPr="006D6CAB" w:rsidRDefault="006D6CAB" w:rsidP="006D6CAB">
      <w:pPr>
        <w:spacing w:after="0" w:line="240" w:lineRule="auto"/>
        <w:jc w:val="both"/>
        <w:rPr>
          <w:rFonts w:ascii="Verdana" w:hAnsi="Verdana" w:cs="Arial"/>
          <w:color w:val="000000" w:themeColor="text1"/>
          <w:sz w:val="20"/>
          <w:szCs w:val="20"/>
        </w:rPr>
      </w:pPr>
      <w:r w:rsidRPr="006D6CAB">
        <w:rPr>
          <w:rFonts w:ascii="Verdana" w:hAnsi="Verdana" w:cs="Arial"/>
          <w:color w:val="000000" w:themeColor="text1"/>
          <w:sz w:val="20"/>
          <w:szCs w:val="20"/>
        </w:rPr>
        <w:t xml:space="preserve">[…] </w:t>
      </w:r>
    </w:p>
    <w:p w14:paraId="248DB615" w14:textId="77777777" w:rsidR="006D6CAB" w:rsidRDefault="006D6CAB" w:rsidP="006D6CAB">
      <w:pPr>
        <w:spacing w:after="0" w:line="240" w:lineRule="auto"/>
        <w:jc w:val="both"/>
        <w:rPr>
          <w:rFonts w:ascii="Verdana" w:eastAsia="Arial" w:hAnsi="Verdana" w:cs="Arial"/>
          <w:sz w:val="20"/>
          <w:szCs w:val="20"/>
          <w:lang w:val="es-MX" w:eastAsia="es-ES" w:bidi="es-ES"/>
        </w:rPr>
      </w:pPr>
    </w:p>
    <w:p w14:paraId="17FD1AE4" w14:textId="77777777" w:rsidR="006D6CAB" w:rsidRDefault="006D6CAB" w:rsidP="006D6CAB">
      <w:pPr>
        <w:spacing w:after="0" w:line="240" w:lineRule="auto"/>
        <w:jc w:val="both"/>
        <w:rPr>
          <w:rFonts w:ascii="Verdana" w:eastAsia="Times New Roman" w:hAnsi="Verdana" w:cs="Arial"/>
          <w:sz w:val="20"/>
          <w:szCs w:val="20"/>
          <w:lang w:val="es-MX" w:eastAsia="es-CO"/>
        </w:rPr>
      </w:pPr>
      <w:r w:rsidRPr="006D6CAB">
        <w:rPr>
          <w:rFonts w:ascii="Verdana" w:eastAsia="Arial" w:hAnsi="Verdana" w:cs="Arial"/>
          <w:sz w:val="20"/>
          <w:szCs w:val="20"/>
          <w:lang w:val="es-MX" w:eastAsia="es-ES" w:bidi="es-ES"/>
        </w:rPr>
        <w:t>De esta manera, se</w:t>
      </w:r>
      <w:r w:rsidRPr="006D6CAB">
        <w:rPr>
          <w:rFonts w:ascii="Verdana" w:eastAsia="Times New Roman" w:hAnsi="Verdana" w:cs="Arial"/>
          <w:sz w:val="20"/>
          <w:szCs w:val="20"/>
          <w:lang w:eastAsia="es-CO"/>
        </w:rPr>
        <w:t xml:space="preserve"> observa entonces que </w:t>
      </w:r>
      <w:r w:rsidRPr="006D6CAB">
        <w:rPr>
          <w:rFonts w:ascii="Verdana" w:eastAsia="Times New Roman" w:hAnsi="Verdana" w:cs="Arial"/>
          <w:sz w:val="20"/>
          <w:szCs w:val="20"/>
          <w:lang w:val="es-MX" w:eastAsia="es-CO"/>
        </w:rPr>
        <w:t xml:space="preserve">el parágrafo del artículo 38 de la Ley 996 de 2005 prohíbe a los </w:t>
      </w:r>
      <w:proofErr w:type="gramStart"/>
      <w:r w:rsidRPr="006D6CAB">
        <w:rPr>
          <w:rFonts w:ascii="Verdana" w:eastAsia="Times New Roman" w:hAnsi="Verdana" w:cs="Arial"/>
          <w:sz w:val="20"/>
          <w:szCs w:val="20"/>
          <w:lang w:val="es-MX" w:eastAsia="es-CO"/>
        </w:rPr>
        <w:t>Alcaldes</w:t>
      </w:r>
      <w:proofErr w:type="gramEnd"/>
      <w:r w:rsidRPr="006D6CAB">
        <w:rPr>
          <w:rFonts w:ascii="Verdana" w:eastAsia="Times New Roman" w:hAnsi="Verdana" w:cs="Arial"/>
          <w:sz w:val="20"/>
          <w:szCs w:val="20"/>
          <w:lang w:val="es-MX" w:eastAsia="es-CO"/>
        </w:rPr>
        <w:t xml:space="preserve">, Gobernadores, </w:t>
      </w:r>
      <w:proofErr w:type="gramStart"/>
      <w:r w:rsidRPr="006D6CAB">
        <w:rPr>
          <w:rFonts w:ascii="Verdana" w:eastAsia="Times New Roman" w:hAnsi="Verdana" w:cs="Arial"/>
          <w:sz w:val="20"/>
          <w:szCs w:val="20"/>
          <w:lang w:val="es-MX" w:eastAsia="es-CO"/>
        </w:rPr>
        <w:t>Secretarios</w:t>
      </w:r>
      <w:proofErr w:type="gramEnd"/>
      <w:r w:rsidRPr="006D6CAB">
        <w:rPr>
          <w:rFonts w:ascii="Verdana" w:eastAsia="Times New Roman" w:hAnsi="Verdana" w:cs="Arial"/>
          <w:sz w:val="20"/>
          <w:szCs w:val="20"/>
          <w:lang w:val="es-MX" w:eastAsia="es-CO"/>
        </w:rPr>
        <w:t xml:space="preserve">, Gerentes y </w:t>
      </w:r>
      <w:proofErr w:type="gramStart"/>
      <w:r w:rsidRPr="006D6CAB">
        <w:rPr>
          <w:rFonts w:ascii="Verdana" w:eastAsia="Times New Roman" w:hAnsi="Verdana" w:cs="Arial"/>
          <w:sz w:val="20"/>
          <w:szCs w:val="20"/>
          <w:lang w:val="es-MX" w:eastAsia="es-CO"/>
        </w:rPr>
        <w:t>Directores</w:t>
      </w:r>
      <w:proofErr w:type="gramEnd"/>
      <w:r w:rsidRPr="006D6CAB">
        <w:rPr>
          <w:rFonts w:ascii="Verdana" w:eastAsia="Times New Roman" w:hAnsi="Verdana" w:cs="Arial"/>
          <w:sz w:val="20"/>
          <w:szCs w:val="20"/>
          <w:lang w:val="es-MX" w:eastAsia="es-CO"/>
        </w:rPr>
        <w:t xml:space="preserve"> de las entidades del orden municipal, departamental o distrital celebrar </w:t>
      </w:r>
      <w:r w:rsidRPr="006D6CAB">
        <w:rPr>
          <w:rFonts w:ascii="Verdana" w:eastAsia="Times New Roman" w:hAnsi="Verdana" w:cs="Arial"/>
          <w:i/>
          <w:iCs/>
          <w:sz w:val="20"/>
          <w:szCs w:val="20"/>
          <w:lang w:val="es-MX" w:eastAsia="es-CO"/>
        </w:rPr>
        <w:t>convenios interadministrativos</w:t>
      </w:r>
      <w:r w:rsidRPr="006D6CAB">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6D6CAB">
        <w:rPr>
          <w:rFonts w:ascii="Verdana" w:eastAsia="Times New Roman" w:hAnsi="Verdana" w:cs="Arial"/>
          <w:i/>
          <w:sz w:val="20"/>
          <w:szCs w:val="20"/>
          <w:lang w:val="es-MX" w:eastAsia="es-CO"/>
        </w:rPr>
        <w:t>ibidem</w:t>
      </w:r>
      <w:r w:rsidRPr="006D6CAB">
        <w:rPr>
          <w:rFonts w:ascii="Verdana" w:eastAsia="Times New Roman" w:hAnsi="Verdana" w:cs="Arial"/>
          <w:sz w:val="20"/>
          <w:szCs w:val="20"/>
          <w:lang w:val="es-MX" w:eastAsia="es-CO"/>
        </w:rPr>
        <w:t xml:space="preserve">, es decir, </w:t>
      </w:r>
      <w:r w:rsidRPr="006D6CAB">
        <w:rPr>
          <w:rFonts w:ascii="Verdana" w:eastAsia="Times New Roman" w:hAnsi="Verdana" w:cs="Arial"/>
          <w:sz w:val="20"/>
          <w:szCs w:val="20"/>
          <w:lang w:eastAsia="es-CO"/>
        </w:rPr>
        <w:t xml:space="preserve">alcaldías, gobernaciones, secretarías de despacho, así como entidades descentralizadas por servicios del orden municipal, departamental o distrital </w:t>
      </w:r>
      <w:r w:rsidRPr="006D6CAB">
        <w:rPr>
          <w:rFonts w:ascii="Verdana" w:eastAsia="Times New Roman" w:hAnsi="Verdana" w:cs="Arial"/>
          <w:sz w:val="20"/>
          <w:szCs w:val="20"/>
          <w:lang w:val="es-MX" w:eastAsia="es-CO"/>
        </w:rPr>
        <w:t xml:space="preserve">no podrá celebrar tales </w:t>
      </w:r>
      <w:r w:rsidRPr="006D6CAB">
        <w:rPr>
          <w:rFonts w:ascii="Verdana" w:eastAsia="Times New Roman" w:hAnsi="Verdana" w:cs="Arial"/>
          <w:i/>
          <w:iCs/>
          <w:sz w:val="20"/>
          <w:szCs w:val="20"/>
          <w:lang w:val="es-MX" w:eastAsia="es-CO"/>
        </w:rPr>
        <w:t>convenios</w:t>
      </w:r>
      <w:r w:rsidRPr="006D6CAB">
        <w:rPr>
          <w:rFonts w:ascii="Verdana" w:eastAsia="Times New Roman" w:hAnsi="Verdana" w:cs="Arial"/>
          <w:sz w:val="20"/>
          <w:szCs w:val="20"/>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0754F9A4" w14:textId="77777777" w:rsidR="006D6CAB" w:rsidRDefault="006D6CAB" w:rsidP="006D6CAB">
      <w:pPr>
        <w:spacing w:after="0" w:line="240" w:lineRule="auto"/>
        <w:jc w:val="both"/>
        <w:rPr>
          <w:rFonts w:ascii="Verdana" w:eastAsia="Times New Roman" w:hAnsi="Verdana" w:cs="Arial"/>
          <w:sz w:val="20"/>
          <w:szCs w:val="20"/>
          <w:lang w:val="es-MX" w:eastAsia="es-CO"/>
        </w:rPr>
      </w:pPr>
    </w:p>
    <w:p w14:paraId="02946C06" w14:textId="0148FE87" w:rsidR="009A58D8" w:rsidRDefault="009A58D8" w:rsidP="006D6CAB">
      <w:pPr>
        <w:spacing w:after="0" w:line="240" w:lineRule="auto"/>
        <w:jc w:val="both"/>
        <w:rPr>
          <w:rFonts w:ascii="Verdana" w:hAnsi="Verdana" w:cs="Arial"/>
          <w:b/>
          <w:bCs/>
          <w:color w:val="000000" w:themeColor="text1"/>
        </w:rPr>
      </w:pPr>
      <w:r w:rsidRPr="009A58D8">
        <w:rPr>
          <w:rFonts w:ascii="Verdana" w:hAnsi="Verdana" w:cs="Arial"/>
          <w:b/>
          <w:bCs/>
          <w:color w:val="000000" w:themeColor="text1"/>
        </w:rPr>
        <w:t>CONSEJO DE ESTADO -</w:t>
      </w:r>
      <w:r w:rsidR="006D6CAB">
        <w:rPr>
          <w:rFonts w:ascii="Verdana" w:hAnsi="Verdana" w:cs="Arial"/>
          <w:b/>
          <w:bCs/>
          <w:color w:val="000000" w:themeColor="text1"/>
        </w:rPr>
        <w:t xml:space="preserve"> </w:t>
      </w:r>
      <w:r w:rsidRPr="009A58D8">
        <w:rPr>
          <w:rFonts w:ascii="Verdana" w:hAnsi="Verdana" w:cs="Arial"/>
          <w:b/>
          <w:bCs/>
          <w:color w:val="000000" w:themeColor="text1"/>
        </w:rPr>
        <w:t xml:space="preserve">Posición </w:t>
      </w:r>
    </w:p>
    <w:p w14:paraId="46904129" w14:textId="77777777" w:rsidR="006D6CAB" w:rsidRDefault="006D6CAB" w:rsidP="006D6CAB">
      <w:pPr>
        <w:spacing w:after="0" w:line="240" w:lineRule="auto"/>
        <w:jc w:val="both"/>
        <w:rPr>
          <w:rFonts w:ascii="Verdana" w:hAnsi="Verdana" w:cs="Arial"/>
          <w:b/>
          <w:bCs/>
          <w:color w:val="000000" w:themeColor="text1"/>
        </w:rPr>
      </w:pPr>
    </w:p>
    <w:p w14:paraId="51024E13" w14:textId="77777777" w:rsidR="006D6CAB" w:rsidRDefault="006D6CAB" w:rsidP="006D6CAB">
      <w:pPr>
        <w:spacing w:after="0" w:line="240" w:lineRule="auto"/>
        <w:jc w:val="both"/>
        <w:rPr>
          <w:rFonts w:ascii="Verdana" w:eastAsia="Times New Roman" w:hAnsi="Verdana" w:cs="Times New Roman"/>
          <w:sz w:val="20"/>
          <w:szCs w:val="20"/>
          <w:lang w:eastAsia="es-ES"/>
        </w:rPr>
      </w:pPr>
      <w:r w:rsidRPr="006D6CAB">
        <w:rPr>
          <w:rFonts w:ascii="Verdana" w:eastAsia="Arial" w:hAnsi="Verdana" w:cs="Arial"/>
          <w:sz w:val="20"/>
          <w:szCs w:val="20"/>
          <w:lang w:eastAsia="es-ES" w:bidi="es-ES"/>
        </w:rPr>
        <w:t xml:space="preserve">[…] </w:t>
      </w:r>
      <w:r w:rsidRPr="006D6CAB">
        <w:rPr>
          <w:rFonts w:ascii="Verdana" w:eastAsia="Arial" w:hAnsi="Verdana" w:cs="Arial"/>
          <w:sz w:val="20"/>
          <w:szCs w:val="20"/>
          <w:lang w:eastAsia="es-ES" w:bidi="es-ES"/>
        </w:rPr>
        <w:t xml:space="preserve">mediante sentencia del 17 de octubre de 2025, emitida por la Sección Tercera del Consejo de Estado, dentro del expediente </w:t>
      </w:r>
      <w:r w:rsidRPr="006D6CAB">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3EFA0DBF" w14:textId="77777777" w:rsidR="006D6CAB" w:rsidRDefault="006D6CAB" w:rsidP="006D6CAB">
      <w:pPr>
        <w:spacing w:after="0" w:line="240" w:lineRule="auto"/>
        <w:jc w:val="both"/>
        <w:rPr>
          <w:rFonts w:ascii="Verdana" w:eastAsia="Times New Roman" w:hAnsi="Verdana" w:cs="Times New Roman"/>
          <w:sz w:val="20"/>
          <w:szCs w:val="20"/>
          <w:lang w:eastAsia="es-ES"/>
        </w:rPr>
      </w:pPr>
    </w:p>
    <w:p w14:paraId="483A89D4" w14:textId="58C2A9D4" w:rsidR="006D6CAB" w:rsidRPr="006D6CAB" w:rsidRDefault="006D6CAB" w:rsidP="006D6CAB">
      <w:pPr>
        <w:spacing w:after="0" w:line="240" w:lineRule="auto"/>
        <w:jc w:val="both"/>
        <w:rPr>
          <w:rFonts w:ascii="Verdana" w:eastAsia="Times New Roman" w:hAnsi="Verdana" w:cs="Times New Roman"/>
          <w:sz w:val="20"/>
          <w:szCs w:val="20"/>
          <w:lang w:eastAsia="es-ES"/>
        </w:rPr>
      </w:pPr>
      <w:r w:rsidRPr="006D6CAB">
        <w:rPr>
          <w:rFonts w:ascii="Verdana" w:eastAsia="Times New Roman" w:hAnsi="Verdana" w:cs="Times New Roman"/>
          <w:sz w:val="20"/>
          <w:szCs w:val="20"/>
          <w:lang w:eastAsia="es-ES"/>
        </w:rPr>
        <w:t>[…]</w:t>
      </w:r>
    </w:p>
    <w:p w14:paraId="60ADDC64" w14:textId="77777777" w:rsidR="006D6CAB" w:rsidRPr="006D6CAB" w:rsidRDefault="006D6CAB" w:rsidP="006D6CAB">
      <w:pPr>
        <w:spacing w:after="0" w:line="240" w:lineRule="auto"/>
        <w:jc w:val="both"/>
        <w:rPr>
          <w:rFonts w:ascii="Verdana" w:eastAsia="Times New Roman" w:hAnsi="Verdana" w:cs="Times New Roman"/>
          <w:sz w:val="20"/>
          <w:szCs w:val="20"/>
          <w:lang w:eastAsia="es-ES"/>
        </w:rPr>
      </w:pPr>
    </w:p>
    <w:p w14:paraId="38463FE7" w14:textId="77777777" w:rsidR="006D6CAB" w:rsidRDefault="006D6CAB" w:rsidP="006D6CAB">
      <w:pPr>
        <w:spacing w:after="0" w:line="240" w:lineRule="auto"/>
        <w:jc w:val="both"/>
        <w:rPr>
          <w:rFonts w:ascii="Verdana" w:eastAsia="Times New Roman" w:hAnsi="Verdana" w:cs="Times New Roman"/>
          <w:sz w:val="20"/>
          <w:szCs w:val="20"/>
          <w:lang w:eastAsia="es-ES"/>
        </w:rPr>
      </w:pPr>
      <w:r w:rsidRPr="006D6CAB">
        <w:rPr>
          <w:rFonts w:ascii="Verdana" w:eastAsia="Times New Roman" w:hAnsi="Verdana" w:cs="Times New Roman"/>
          <w:sz w:val="20"/>
          <w:szCs w:val="20"/>
          <w:lang w:eastAsia="es-ES"/>
        </w:rPr>
        <w:t xml:space="preserve">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5324557" w14:textId="77777777" w:rsidR="006D6CAB" w:rsidRDefault="006D6CAB" w:rsidP="006D6CAB">
      <w:pPr>
        <w:spacing w:after="0" w:line="240" w:lineRule="auto"/>
        <w:jc w:val="both"/>
        <w:rPr>
          <w:rFonts w:ascii="Verdana" w:eastAsia="Times New Roman" w:hAnsi="Verdana" w:cs="Times New Roman"/>
          <w:sz w:val="20"/>
          <w:szCs w:val="20"/>
          <w:lang w:eastAsia="es-ES"/>
        </w:rPr>
      </w:pPr>
    </w:p>
    <w:p w14:paraId="549181EC" w14:textId="77777777" w:rsidR="006D6CAB" w:rsidRDefault="006D6CAB" w:rsidP="006D6CAB">
      <w:pPr>
        <w:spacing w:after="0" w:line="240" w:lineRule="auto"/>
        <w:jc w:val="both"/>
        <w:rPr>
          <w:rFonts w:ascii="Verdana" w:eastAsia="Times New Roman" w:hAnsi="Verdana" w:cs="Times New Roman"/>
          <w:sz w:val="20"/>
          <w:szCs w:val="20"/>
          <w:lang w:eastAsia="es-ES"/>
        </w:rPr>
      </w:pPr>
      <w:r>
        <w:rPr>
          <w:rFonts w:ascii="Verdana" w:eastAsia="Times New Roman" w:hAnsi="Verdana" w:cs="Times New Roman"/>
          <w:sz w:val="20"/>
          <w:szCs w:val="20"/>
          <w:lang w:eastAsia="es-ES"/>
        </w:rPr>
        <w:t>[…]</w:t>
      </w:r>
    </w:p>
    <w:p w14:paraId="38CFD499" w14:textId="77777777" w:rsidR="006D6CAB" w:rsidRDefault="006D6CAB" w:rsidP="006D6CAB">
      <w:pPr>
        <w:spacing w:after="0" w:line="240" w:lineRule="auto"/>
        <w:jc w:val="both"/>
        <w:rPr>
          <w:rFonts w:ascii="Verdana" w:eastAsia="Times New Roman" w:hAnsi="Verdana" w:cs="Times New Roman"/>
          <w:sz w:val="20"/>
          <w:szCs w:val="20"/>
          <w:lang w:eastAsia="es-ES"/>
        </w:rPr>
      </w:pPr>
    </w:p>
    <w:p w14:paraId="2A0D10C0" w14:textId="1CFCF3FA" w:rsidR="00800018" w:rsidRDefault="006D6CAB" w:rsidP="006D6CAB">
      <w:pPr>
        <w:spacing w:after="0" w:line="240" w:lineRule="auto"/>
        <w:jc w:val="both"/>
        <w:rPr>
          <w:rFonts w:ascii="Verdana" w:eastAsia="Times New Roman" w:hAnsi="Verdana" w:cs="Times New Roman"/>
          <w:sz w:val="20"/>
          <w:szCs w:val="20"/>
          <w:lang w:eastAsia="es-ES"/>
        </w:rPr>
      </w:pPr>
      <w:r>
        <w:rPr>
          <w:rFonts w:ascii="Verdana" w:eastAsia="Times New Roman" w:hAnsi="Verdana" w:cs="Arial"/>
          <w:sz w:val="20"/>
          <w:szCs w:val="20"/>
          <w:lang w:eastAsia="es-CO"/>
        </w:rPr>
        <w:t xml:space="preserve">[…] </w:t>
      </w:r>
      <w:r w:rsidRPr="006D6CAB">
        <w:rPr>
          <w:rFonts w:ascii="Verdana" w:eastAsia="Times New Roman" w:hAnsi="Verdana" w:cs="Arial"/>
          <w:sz w:val="20"/>
          <w:szCs w:val="20"/>
          <w:lang w:eastAsia="es-CO"/>
        </w:rPr>
        <w:t xml:space="preserve">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6D6CAB">
        <w:rPr>
          <w:rFonts w:ascii="Verdana" w:eastAsia="Times New Roman" w:hAnsi="Verdana" w:cs="Arial"/>
          <w:i/>
          <w:iCs/>
          <w:sz w:val="20"/>
          <w:szCs w:val="20"/>
          <w:lang w:eastAsia="es-CO"/>
        </w:rPr>
        <w:t>contratos interadministrativos</w:t>
      </w:r>
      <w:r w:rsidRPr="006D6CAB">
        <w:rPr>
          <w:rFonts w:ascii="Verdana" w:eastAsia="Times New Roman" w:hAnsi="Verdana" w:cs="Arial"/>
          <w:sz w:val="20"/>
          <w:szCs w:val="20"/>
          <w:lang w:eastAsia="es-CO"/>
        </w:rPr>
        <w:t xml:space="preserve">, esta prohibición solo aplicaría a los convenios interadministrativos que impliquen la ejecución de recursos públicos. Conforme a lo señalado por el Consejo de Estado, cuando dos entidades públicas celebren un </w:t>
      </w:r>
      <w:r w:rsidRPr="006D6CAB">
        <w:rPr>
          <w:rFonts w:ascii="Verdana" w:eastAsia="Times New Roman" w:hAnsi="Verdana" w:cs="Arial"/>
          <w:i/>
          <w:iCs/>
          <w:sz w:val="20"/>
          <w:szCs w:val="20"/>
          <w:lang w:eastAsia="es-CO"/>
        </w:rPr>
        <w:t>contrato interadministrativo,</w:t>
      </w:r>
      <w:r w:rsidRPr="006D6CAB">
        <w:rPr>
          <w:rFonts w:ascii="Verdana" w:eastAsia="Times New Roman" w:hAnsi="Verdana" w:cs="Arial"/>
          <w:sz w:val="20"/>
          <w:szCs w:val="20"/>
          <w:lang w:eastAsia="es-CO"/>
        </w:rPr>
        <w:t xml:space="preserve"> independientemente del objeto, dicho contrato puede suscribirse durante el periodo preelectoral.</w:t>
      </w:r>
    </w:p>
    <w:p w14:paraId="6B6A94AC" w14:textId="77777777" w:rsidR="00800018" w:rsidRDefault="00800018" w:rsidP="006D6CAB">
      <w:pPr>
        <w:spacing w:after="0" w:line="240" w:lineRule="auto"/>
        <w:jc w:val="both"/>
        <w:rPr>
          <w:rFonts w:ascii="Verdana" w:eastAsia="Times New Roman" w:hAnsi="Verdana" w:cs="Times New Roman"/>
          <w:sz w:val="20"/>
          <w:szCs w:val="20"/>
          <w:lang w:eastAsia="es-ES"/>
        </w:rPr>
      </w:pPr>
    </w:p>
    <w:p w14:paraId="4E2F9EBA" w14:textId="77777777" w:rsidR="002D6DF5" w:rsidRDefault="009A58D8" w:rsidP="002D6DF5">
      <w:pPr>
        <w:jc w:val="both"/>
        <w:rPr>
          <w:rFonts w:ascii="Verdana" w:hAnsi="Verdana" w:cs="Arial"/>
          <w:b/>
          <w:bCs/>
          <w:color w:val="000000" w:themeColor="text1"/>
        </w:rPr>
      </w:pPr>
      <w:r w:rsidRPr="009A58D8">
        <w:rPr>
          <w:rFonts w:ascii="Verdana" w:hAnsi="Verdana" w:cs="Arial"/>
          <w:b/>
          <w:bCs/>
          <w:color w:val="000000" w:themeColor="text1"/>
        </w:rPr>
        <w:t xml:space="preserve">CONTRATOS CON ESAL- Artículo 355 Constitución Política </w:t>
      </w:r>
    </w:p>
    <w:p w14:paraId="6391A749" w14:textId="2807CC26" w:rsidR="002D6DF5" w:rsidRPr="002D6DF5" w:rsidRDefault="002D6DF5" w:rsidP="002D6DF5">
      <w:pPr>
        <w:spacing w:after="0" w:line="240" w:lineRule="auto"/>
        <w:jc w:val="both"/>
        <w:rPr>
          <w:rFonts w:ascii="Verdana" w:hAnsi="Verdana" w:cs="Arial"/>
          <w:b/>
          <w:bCs/>
          <w:color w:val="000000" w:themeColor="text1"/>
        </w:rPr>
      </w:pPr>
      <w:r w:rsidRPr="002D6DF5">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2D6DF5">
        <w:rPr>
          <w:rFonts w:ascii="Verdana" w:eastAsia="Calibri" w:hAnsi="Verdana" w:cs="Arial"/>
          <w:sz w:val="20"/>
          <w:szCs w:val="20"/>
          <w:lang w:val="es-ES"/>
        </w:rPr>
        <w:t>ii</w:t>
      </w:r>
      <w:proofErr w:type="spellEnd"/>
      <w:r w:rsidRPr="002D6DF5">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6CF4E9BB" w14:textId="77777777" w:rsidR="002D6DF5" w:rsidRDefault="002D6DF5" w:rsidP="002D6DF5">
      <w:pPr>
        <w:spacing w:after="0" w:line="240" w:lineRule="auto"/>
        <w:jc w:val="both"/>
        <w:rPr>
          <w:rFonts w:ascii="Verdana" w:eastAsia="Calibri" w:hAnsi="Verdana" w:cs="Arial"/>
          <w:sz w:val="20"/>
          <w:szCs w:val="20"/>
          <w:lang w:val="es-ES"/>
        </w:rPr>
      </w:pPr>
    </w:p>
    <w:p w14:paraId="7CCBFF4D" w14:textId="0D157A4C" w:rsidR="009A58D8" w:rsidRDefault="009A58D8" w:rsidP="002D6DF5">
      <w:pPr>
        <w:spacing w:after="0" w:line="240" w:lineRule="auto"/>
        <w:jc w:val="both"/>
        <w:rPr>
          <w:rFonts w:ascii="Verdana" w:hAnsi="Verdana" w:cs="Arial"/>
          <w:b/>
          <w:bCs/>
          <w:color w:val="000000" w:themeColor="text1"/>
        </w:rPr>
      </w:pPr>
      <w:r w:rsidRPr="009A58D8">
        <w:rPr>
          <w:rFonts w:ascii="Verdana" w:hAnsi="Verdana" w:cs="Arial"/>
          <w:b/>
          <w:bCs/>
          <w:color w:val="000000" w:themeColor="text1"/>
        </w:rPr>
        <w:t xml:space="preserve">DECRETO 092 DE 2017 – Contratos de Colaboración – Convenios de Asociación </w:t>
      </w:r>
    </w:p>
    <w:p w14:paraId="3D09EAC6" w14:textId="77777777" w:rsidR="002D6DF5" w:rsidRDefault="002D6DF5" w:rsidP="002D6DF5">
      <w:pPr>
        <w:spacing w:after="0" w:line="240" w:lineRule="auto"/>
        <w:jc w:val="both"/>
        <w:rPr>
          <w:rFonts w:ascii="Verdana" w:hAnsi="Verdana" w:cs="Arial"/>
          <w:b/>
          <w:bCs/>
          <w:color w:val="000000" w:themeColor="text1"/>
        </w:rPr>
      </w:pPr>
    </w:p>
    <w:p w14:paraId="061434C8" w14:textId="77777777" w:rsidR="008E37D0" w:rsidRPr="008E37D0" w:rsidRDefault="008E37D0" w:rsidP="008E37D0">
      <w:pPr>
        <w:spacing w:after="0" w:line="240" w:lineRule="auto"/>
        <w:jc w:val="both"/>
        <w:rPr>
          <w:rFonts w:ascii="Verdana" w:eastAsia="Calibri" w:hAnsi="Verdana" w:cs="Arial"/>
          <w:sz w:val="20"/>
          <w:szCs w:val="20"/>
          <w:lang w:val="es-ES"/>
        </w:rPr>
      </w:pPr>
      <w:r w:rsidRPr="008E37D0">
        <w:rPr>
          <w:rFonts w:ascii="Verdana" w:eastAsia="Calibri" w:hAnsi="Verdana" w:cs="Arial"/>
          <w:sz w:val="20"/>
          <w:szCs w:val="20"/>
          <w:lang w:val="es-ES"/>
        </w:rPr>
        <w:t xml:space="preserve">Los </w:t>
      </w:r>
      <w:r w:rsidRPr="008E37D0">
        <w:rPr>
          <w:rFonts w:ascii="Verdana" w:eastAsia="Calibri" w:hAnsi="Verdana" w:cs="Arial"/>
          <w:i/>
          <w:iCs/>
          <w:sz w:val="20"/>
          <w:szCs w:val="20"/>
          <w:lang w:val="es-ES"/>
        </w:rPr>
        <w:t>contratos del artículo 355 de la Constitución Política</w:t>
      </w:r>
      <w:r w:rsidRPr="008E37D0">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2AB002A2" w14:textId="77777777" w:rsidR="008E37D0" w:rsidRDefault="008E37D0" w:rsidP="008E37D0">
      <w:pPr>
        <w:spacing w:after="0" w:line="240" w:lineRule="auto"/>
        <w:jc w:val="both"/>
        <w:rPr>
          <w:rFonts w:ascii="Verdana" w:hAnsi="Verdana" w:cs="Arial"/>
          <w:color w:val="000000" w:themeColor="text1"/>
          <w:sz w:val="20"/>
          <w:szCs w:val="20"/>
          <w:lang w:val="es-ES"/>
        </w:rPr>
      </w:pPr>
    </w:p>
    <w:p w14:paraId="66BD4530" w14:textId="382CD339" w:rsidR="008E37D0" w:rsidRPr="008E37D0" w:rsidRDefault="008E37D0" w:rsidP="008E37D0">
      <w:pPr>
        <w:spacing w:after="0" w:line="240" w:lineRule="auto"/>
        <w:jc w:val="both"/>
        <w:rPr>
          <w:rFonts w:ascii="Verdana" w:hAnsi="Verdana" w:cs="Arial"/>
          <w:color w:val="000000" w:themeColor="text1"/>
          <w:sz w:val="20"/>
          <w:szCs w:val="20"/>
          <w:lang w:val="es-ES"/>
        </w:rPr>
      </w:pPr>
      <w:r w:rsidRPr="008E37D0">
        <w:rPr>
          <w:rFonts w:ascii="Verdana" w:hAnsi="Verdana" w:cs="Arial"/>
          <w:color w:val="000000" w:themeColor="text1"/>
          <w:sz w:val="20"/>
          <w:szCs w:val="20"/>
          <w:lang w:val="es-ES"/>
        </w:rPr>
        <w:t xml:space="preserve">[…] </w:t>
      </w:r>
    </w:p>
    <w:p w14:paraId="6B1BF522" w14:textId="77777777" w:rsidR="008E37D0" w:rsidRPr="008E37D0" w:rsidRDefault="008E37D0" w:rsidP="008E37D0">
      <w:pPr>
        <w:spacing w:after="0" w:line="240" w:lineRule="auto"/>
        <w:jc w:val="both"/>
        <w:rPr>
          <w:rFonts w:ascii="Verdana" w:hAnsi="Verdana" w:cs="Arial"/>
          <w:b/>
          <w:bCs/>
          <w:color w:val="000000" w:themeColor="text1"/>
          <w:sz w:val="20"/>
          <w:szCs w:val="20"/>
          <w:lang w:val="es-ES"/>
        </w:rPr>
      </w:pPr>
    </w:p>
    <w:p w14:paraId="24A6B5F6" w14:textId="2A9F76EF" w:rsidR="008E37D0" w:rsidRPr="008E37D0" w:rsidRDefault="008E37D0" w:rsidP="008E37D0">
      <w:pPr>
        <w:spacing w:after="0" w:line="240" w:lineRule="auto"/>
        <w:jc w:val="both"/>
        <w:rPr>
          <w:rFonts w:ascii="Verdana" w:eastAsia="Calibri" w:hAnsi="Verdana" w:cs="Arial"/>
          <w:bCs/>
          <w:sz w:val="20"/>
          <w:szCs w:val="20"/>
          <w:lang w:val="es-ES_tradnl"/>
        </w:rPr>
      </w:pPr>
      <w:r w:rsidRPr="008E37D0">
        <w:rPr>
          <w:rFonts w:ascii="Verdana" w:eastAsia="Calibri" w:hAnsi="Verdana" w:cs="Arial"/>
          <w:bCs/>
          <w:sz w:val="20"/>
          <w:szCs w:val="20"/>
          <w:lang w:val="es-ES_tradnl"/>
        </w:rPr>
        <w:t xml:space="preserve">De otro lado, la celebración de los </w:t>
      </w:r>
      <w:r w:rsidRPr="008E37D0">
        <w:rPr>
          <w:rFonts w:ascii="Verdana" w:eastAsia="Calibri" w:hAnsi="Verdana" w:cs="Arial"/>
          <w:bCs/>
          <w:i/>
          <w:sz w:val="20"/>
          <w:szCs w:val="20"/>
          <w:lang w:val="es-ES_tradnl"/>
        </w:rPr>
        <w:t>convenios de asociación</w:t>
      </w:r>
      <w:r w:rsidRPr="008E37D0">
        <w:rPr>
          <w:rFonts w:ascii="Verdana" w:eastAsia="Calibri" w:hAnsi="Verdana" w:cs="Arial"/>
          <w:bCs/>
          <w:sz w:val="20"/>
          <w:szCs w:val="20"/>
          <w:lang w:val="es-ES_tradnl"/>
        </w:rPr>
        <w:t xml:space="preserve"> “[t]</w:t>
      </w:r>
      <w:proofErr w:type="spellStart"/>
      <w:r w:rsidRPr="008E37D0">
        <w:rPr>
          <w:rFonts w:ascii="Verdana" w:eastAsia="Calibri" w:hAnsi="Verdana" w:cs="Arial"/>
          <w:bCs/>
          <w:sz w:val="20"/>
          <w:szCs w:val="20"/>
          <w:lang w:val="es-ES_tradnl"/>
        </w:rPr>
        <w:t>ienen</w:t>
      </w:r>
      <w:proofErr w:type="spellEnd"/>
      <w:r w:rsidRPr="008E37D0">
        <w:rPr>
          <w:rFonts w:ascii="Verdana" w:eastAsia="Calibri" w:hAnsi="Verdana" w:cs="Arial"/>
          <w:bCs/>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p>
    <w:p w14:paraId="466DCB91" w14:textId="77777777" w:rsidR="008E37D0" w:rsidRPr="008E37D0" w:rsidRDefault="008E37D0" w:rsidP="002D6DF5">
      <w:pPr>
        <w:spacing w:after="0" w:line="240" w:lineRule="auto"/>
        <w:jc w:val="both"/>
        <w:rPr>
          <w:rFonts w:ascii="Verdana" w:hAnsi="Verdana" w:cs="Arial"/>
          <w:b/>
          <w:bCs/>
          <w:color w:val="000000" w:themeColor="text1"/>
          <w:lang w:val="es-ES"/>
        </w:rPr>
      </w:pPr>
    </w:p>
    <w:p w14:paraId="26C95CC1" w14:textId="77777777" w:rsidR="009A58D8" w:rsidRDefault="009A58D8" w:rsidP="009A58D8">
      <w:pPr>
        <w:jc w:val="both"/>
        <w:rPr>
          <w:rFonts w:ascii="Verdana" w:hAnsi="Verdana" w:cs="Arial"/>
          <w:b/>
          <w:bCs/>
          <w:color w:val="000000" w:themeColor="text1"/>
        </w:rPr>
      </w:pPr>
      <w:r w:rsidRPr="009A58D8">
        <w:rPr>
          <w:rFonts w:ascii="Verdana" w:hAnsi="Verdana" w:cs="Arial"/>
          <w:b/>
          <w:bCs/>
          <w:color w:val="000000" w:themeColor="text1"/>
        </w:rPr>
        <w:t xml:space="preserve">CONTRATOS CON ESAL – Alcance – Requisitos </w:t>
      </w:r>
    </w:p>
    <w:p w14:paraId="408D8D35" w14:textId="4514547F" w:rsidR="008E37D0" w:rsidRDefault="008E37D0" w:rsidP="008E37D0">
      <w:pPr>
        <w:spacing w:after="0" w:line="240" w:lineRule="auto"/>
        <w:jc w:val="both"/>
        <w:rPr>
          <w:rFonts w:ascii="Verdana" w:hAnsi="Verdana" w:cs="Arial"/>
          <w:color w:val="000000" w:themeColor="text1"/>
          <w:sz w:val="20"/>
          <w:szCs w:val="20"/>
        </w:rPr>
      </w:pPr>
      <w:r w:rsidRPr="008E37D0">
        <w:rPr>
          <w:rFonts w:ascii="Verdana" w:hAnsi="Verdana" w:cs="Arial"/>
          <w:color w:val="000000" w:themeColor="text1"/>
          <w:sz w:val="20"/>
          <w:szCs w:val="20"/>
        </w:rPr>
        <w:t xml:space="preserve">[…] </w:t>
      </w:r>
      <w:r w:rsidRPr="008E37D0">
        <w:rPr>
          <w:rFonts w:ascii="Verdana" w:hAnsi="Verdana" w:cs="Arial"/>
          <w:color w:val="000000" w:themeColor="text1"/>
          <w:sz w:val="20"/>
          <w:szCs w:val="20"/>
        </w:rPr>
        <w:t xml:space="preserve">las entidades públicas que desean celebrar </w:t>
      </w:r>
      <w:r w:rsidRPr="008E37D0">
        <w:rPr>
          <w:rFonts w:ascii="Verdana" w:hAnsi="Verdana" w:cs="Arial"/>
          <w:i/>
          <w:iCs/>
          <w:color w:val="000000" w:themeColor="text1"/>
          <w:sz w:val="20"/>
          <w:szCs w:val="20"/>
        </w:rPr>
        <w:t>contratos del artículo 355 de la Constitución Política</w:t>
      </w:r>
      <w:r w:rsidRPr="008E37D0">
        <w:rPr>
          <w:rFonts w:ascii="Verdana" w:hAnsi="Verdana" w:cs="Arial"/>
          <w:color w:val="000000" w:themeColor="text1"/>
          <w:sz w:val="20"/>
          <w:szCs w:val="20"/>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E37D0">
        <w:rPr>
          <w:rFonts w:ascii="Verdana" w:hAnsi="Verdana" w:cs="Arial"/>
          <w:color w:val="000000" w:themeColor="text1"/>
          <w:sz w:val="20"/>
          <w:szCs w:val="20"/>
        </w:rPr>
        <w:t>ii</w:t>
      </w:r>
      <w:proofErr w:type="spellEnd"/>
      <w:r w:rsidRPr="008E37D0">
        <w:rPr>
          <w:rFonts w:ascii="Verdana" w:hAnsi="Verdana" w:cs="Arial"/>
          <w:color w:val="000000" w:themeColor="text1"/>
          <w:sz w:val="20"/>
          <w:szCs w:val="20"/>
        </w:rPr>
        <w:t xml:space="preserve">) tampoco debe condicionarse a que la contratación con las ESAL garantice la optimización de los recursos públicos en términos de eficiencia, eficacia, economía y manejo del riesgo; </w:t>
      </w:r>
      <w:proofErr w:type="spellStart"/>
      <w:r w:rsidRPr="008E37D0">
        <w:rPr>
          <w:rFonts w:ascii="Verdana" w:hAnsi="Verdana" w:cs="Arial"/>
          <w:color w:val="000000" w:themeColor="text1"/>
          <w:sz w:val="20"/>
          <w:szCs w:val="20"/>
        </w:rPr>
        <w:t>iii</w:t>
      </w:r>
      <w:proofErr w:type="spellEnd"/>
      <w:r w:rsidRPr="008E37D0">
        <w:rPr>
          <w:rFonts w:ascii="Verdana" w:hAnsi="Verdana" w:cs="Arial"/>
          <w:color w:val="000000" w:themeColor="text1"/>
          <w:sz w:val="20"/>
          <w:szCs w:val="20"/>
        </w:rPr>
        <w:t xml:space="preserve">) el objeto del contrato debe estar acorde con el plan nacional o seccional de desarrollo; </w:t>
      </w:r>
      <w:proofErr w:type="spellStart"/>
      <w:r w:rsidRPr="008E37D0">
        <w:rPr>
          <w:rFonts w:ascii="Verdana" w:hAnsi="Verdana" w:cs="Arial"/>
          <w:color w:val="000000" w:themeColor="text1"/>
          <w:sz w:val="20"/>
          <w:szCs w:val="20"/>
        </w:rPr>
        <w:t>iv</w:t>
      </w:r>
      <w:proofErr w:type="spellEnd"/>
      <w:r w:rsidRPr="008E37D0">
        <w:rPr>
          <w:rFonts w:ascii="Verdana" w:hAnsi="Verdana" w:cs="Arial"/>
          <w:color w:val="000000" w:themeColor="text1"/>
          <w:sz w:val="20"/>
          <w:szCs w:val="20"/>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E37D0">
        <w:rPr>
          <w:rFonts w:ascii="Verdana" w:hAnsi="Verdana" w:cs="Arial"/>
          <w:color w:val="000000" w:themeColor="text1"/>
          <w:sz w:val="20"/>
          <w:szCs w:val="20"/>
        </w:rPr>
        <w:t>iii</w:t>
      </w:r>
      <w:proofErr w:type="spellEnd"/>
      <w:r w:rsidRPr="008E37D0">
        <w:rPr>
          <w:rFonts w:ascii="Verdana" w:hAnsi="Verdana" w:cs="Arial"/>
          <w:color w:val="000000" w:themeColor="text1"/>
          <w:sz w:val="20"/>
          <w:szCs w:val="20"/>
        </w:rPr>
        <w:t>); y v) el contrato no debe establecer una relación conmutativa en el cual haya una contraprestación directa a favor de la entidad, ni instrucciones precisas dadas por esta al contratista para cumplir con el objeto del contrato.</w:t>
      </w:r>
    </w:p>
    <w:p w14:paraId="35827C52" w14:textId="77777777" w:rsidR="008E37D0" w:rsidRPr="008E37D0" w:rsidRDefault="008E37D0" w:rsidP="008E37D0">
      <w:pPr>
        <w:spacing w:after="0" w:line="240" w:lineRule="auto"/>
        <w:jc w:val="both"/>
        <w:rPr>
          <w:rFonts w:ascii="Verdana" w:eastAsia="Calibri" w:hAnsi="Verdana" w:cs="Arial"/>
          <w:color w:val="000000" w:themeColor="text1"/>
          <w:sz w:val="20"/>
          <w:szCs w:val="20"/>
        </w:rPr>
      </w:pPr>
    </w:p>
    <w:p w14:paraId="08AA1A2E" w14:textId="77777777" w:rsidR="009A58D8" w:rsidRDefault="009A58D8" w:rsidP="009A58D8">
      <w:pPr>
        <w:jc w:val="both"/>
        <w:rPr>
          <w:rFonts w:ascii="Verdana" w:hAnsi="Verdana" w:cs="Arial"/>
          <w:b/>
          <w:bCs/>
          <w:color w:val="000000" w:themeColor="text1"/>
        </w:rPr>
      </w:pPr>
      <w:r w:rsidRPr="009A58D8">
        <w:rPr>
          <w:rFonts w:ascii="Verdana" w:hAnsi="Verdana" w:cs="Arial"/>
          <w:b/>
          <w:bCs/>
          <w:color w:val="000000" w:themeColor="text1"/>
        </w:rPr>
        <w:t xml:space="preserve">CONVENIOS DE ASOCIACIÓN – Alcance – Requisitos </w:t>
      </w:r>
    </w:p>
    <w:p w14:paraId="783C92EA" w14:textId="5EDD80A1" w:rsidR="009A58D8" w:rsidRPr="008E37D0" w:rsidRDefault="008E37D0" w:rsidP="009A58D8">
      <w:pPr>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 </w:t>
      </w:r>
      <w:r w:rsidRPr="008E37D0">
        <w:rPr>
          <w:rFonts w:ascii="Verdana" w:eastAsia="Calibri" w:hAnsi="Verdana" w:cs="Arial"/>
          <w:color w:val="000000" w:themeColor="text1"/>
          <w:sz w:val="20"/>
          <w:szCs w:val="20"/>
        </w:rPr>
        <w:t xml:space="preserve">si se pretende realizar un </w:t>
      </w:r>
      <w:r w:rsidRPr="008E37D0">
        <w:rPr>
          <w:rFonts w:ascii="Verdana" w:eastAsia="Calibri" w:hAnsi="Verdana" w:cs="Arial"/>
          <w:i/>
          <w:iCs/>
          <w:color w:val="000000" w:themeColor="text1"/>
          <w:sz w:val="20"/>
          <w:szCs w:val="20"/>
        </w:rPr>
        <w:t>convenio de asociación</w:t>
      </w:r>
      <w:r w:rsidRPr="008E37D0">
        <w:rPr>
          <w:rFonts w:ascii="Verdana" w:eastAsia="Calibri" w:hAnsi="Verdana" w:cs="Arial"/>
          <w:color w:val="000000" w:themeColor="text1"/>
          <w:sz w:val="20"/>
          <w:szCs w:val="20"/>
        </w:rPr>
        <w:t xml:space="preserve"> con ESAL de reconocida idoneidad para el cumplimiento de las funciones que la ley les asigna a las entidades públicas, deberá aplicarse lo dispuesto en el artículo 5 del Decreto 092 de 2017. Por lo tanto, deben estar sujetos a competencia, salvo en aquellos casos en que una entidad sin ánimo de lucro comprometa recursos en dinero por un valor igual o superior al 30% del valor total del convenio, y siempre que la entidad estatal verifique previamente que no existe ninguna otra entidad sin ánimo de lucro que ofrezca aportes iguales o superiores al 30%.</w:t>
      </w:r>
    </w:p>
    <w:p w14:paraId="346751CB" w14:textId="77777777" w:rsidR="008E37D0" w:rsidRPr="009A58D8" w:rsidRDefault="008E37D0" w:rsidP="009A58D8">
      <w:pPr>
        <w:spacing w:after="0" w:line="240" w:lineRule="auto"/>
        <w:jc w:val="both"/>
        <w:rPr>
          <w:rFonts w:ascii="Verdana" w:hAnsi="Verdana" w:cs="Arial"/>
          <w:b/>
          <w:bCs/>
          <w:color w:val="000000" w:themeColor="text1"/>
        </w:rPr>
      </w:pPr>
    </w:p>
    <w:p w14:paraId="46A3DA31" w14:textId="77777777" w:rsidR="008E37D0" w:rsidRDefault="008E37D0" w:rsidP="009A58D8">
      <w:pPr>
        <w:jc w:val="both"/>
        <w:rPr>
          <w:rFonts w:ascii="Verdana" w:hAnsi="Verdana" w:cs="Arial"/>
          <w:b/>
          <w:bCs/>
          <w:color w:val="000000" w:themeColor="text1"/>
        </w:rPr>
      </w:pPr>
    </w:p>
    <w:p w14:paraId="3CEC0A3C" w14:textId="77777777" w:rsidR="00DC0BD9" w:rsidRDefault="009A58D8" w:rsidP="008E37D0">
      <w:pPr>
        <w:jc w:val="both"/>
        <w:rPr>
          <w:rFonts w:ascii="Verdana" w:hAnsi="Verdana" w:cs="Arial"/>
          <w:b/>
          <w:bCs/>
          <w:color w:val="000000" w:themeColor="text1"/>
        </w:rPr>
      </w:pPr>
      <w:r w:rsidRPr="009A58D8">
        <w:rPr>
          <w:rFonts w:ascii="Verdana" w:hAnsi="Verdana" w:cs="Arial"/>
          <w:b/>
          <w:bCs/>
          <w:color w:val="000000" w:themeColor="text1"/>
        </w:rPr>
        <w:t xml:space="preserve">LEY DE GARANTÍAS ELECTORALES - Aplicación en contratos de colaboración y convenios de asociación </w:t>
      </w:r>
    </w:p>
    <w:p w14:paraId="3098773C" w14:textId="5533BD25" w:rsidR="008E37D0" w:rsidRPr="00DC0BD9" w:rsidRDefault="008E37D0" w:rsidP="008E37D0">
      <w:pPr>
        <w:spacing w:after="0" w:line="240" w:lineRule="auto"/>
        <w:jc w:val="both"/>
        <w:rPr>
          <w:rFonts w:ascii="Verdana" w:hAnsi="Verdana" w:cs="Arial"/>
          <w:b/>
          <w:bCs/>
          <w:color w:val="000000" w:themeColor="text1"/>
        </w:rPr>
      </w:pPr>
      <w:r w:rsidRPr="008E37D0">
        <w:rPr>
          <w:rFonts w:ascii="Verdana" w:eastAsia="Calibri" w:hAnsi="Verdana" w:cs="Arial"/>
          <w:color w:val="000000" w:themeColor="text1"/>
          <w:sz w:val="20"/>
          <w:szCs w:val="20"/>
        </w:rPr>
        <w:t xml:space="preserve">En ese orden, en vigencia de la </w:t>
      </w:r>
      <w:r w:rsidRPr="008E37D0">
        <w:rPr>
          <w:rFonts w:ascii="Verdana" w:eastAsia="Calibri" w:hAnsi="Verdana" w:cs="Arial"/>
          <w:color w:val="000000"/>
          <w:sz w:val="20"/>
          <w:szCs w:val="20"/>
        </w:rPr>
        <w:t>restricción prevista en el artículo 33 de la Ley de Garantías Electorales, según el artículo 5 del Decreto 092 de 2017, solo podrán celebrarse convenios previo desarrollo de proceso competitivo.</w:t>
      </w:r>
    </w:p>
    <w:p w14:paraId="3F7BD77B" w14:textId="77777777" w:rsidR="008E37D0" w:rsidRPr="008E37D0" w:rsidRDefault="008E37D0" w:rsidP="008E37D0">
      <w:pPr>
        <w:spacing w:after="0" w:line="240" w:lineRule="auto"/>
        <w:jc w:val="both"/>
        <w:rPr>
          <w:rFonts w:ascii="Verdana" w:eastAsia="Calibri" w:hAnsi="Verdana" w:cs="Arial"/>
          <w:color w:val="000000"/>
          <w:sz w:val="20"/>
          <w:szCs w:val="20"/>
        </w:rPr>
      </w:pPr>
    </w:p>
    <w:p w14:paraId="523ADDCF" w14:textId="77777777" w:rsidR="008E37D0" w:rsidRDefault="008E37D0" w:rsidP="009A58D8">
      <w:pPr>
        <w:spacing w:after="0" w:line="240" w:lineRule="auto"/>
        <w:jc w:val="both"/>
        <w:rPr>
          <w:rFonts w:ascii="Verdana" w:eastAsia="Calibri" w:hAnsi="Verdana" w:cs="Arial"/>
          <w:sz w:val="20"/>
          <w:szCs w:val="20"/>
          <w:lang w:val="es-ES"/>
        </w:rPr>
      </w:pPr>
      <w:r w:rsidRPr="008E37D0">
        <w:rPr>
          <w:rFonts w:ascii="Verdana" w:eastAsia="Calibri" w:hAnsi="Verdana" w:cs="Arial"/>
          <w:color w:val="000000"/>
          <w:sz w:val="20"/>
          <w:szCs w:val="20"/>
        </w:rPr>
        <w:t xml:space="preserve">En otras palabras, los convenios de asociación </w:t>
      </w:r>
      <w:r w:rsidRPr="008E37D0">
        <w:rPr>
          <w:rFonts w:ascii="Verdana" w:eastAsia="Calibri" w:hAnsi="Verdana" w:cs="Arial"/>
          <w:sz w:val="20"/>
          <w:szCs w:val="20"/>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sí entra dentro del ámbito de aplicación de la mencionada prohibición, de manera que no es posible su aplicación en vigencia de la restricción a la contratación directa.</w:t>
      </w:r>
    </w:p>
    <w:p w14:paraId="67DA3DE3" w14:textId="77777777" w:rsidR="008E37D0" w:rsidRDefault="008E37D0" w:rsidP="009A58D8">
      <w:pPr>
        <w:spacing w:after="0" w:line="240" w:lineRule="auto"/>
        <w:jc w:val="both"/>
        <w:rPr>
          <w:rFonts w:ascii="Verdana" w:eastAsia="Calibri" w:hAnsi="Verdana" w:cs="Arial"/>
          <w:sz w:val="20"/>
          <w:szCs w:val="20"/>
          <w:lang w:val="es-ES"/>
        </w:rPr>
      </w:pPr>
    </w:p>
    <w:p w14:paraId="24F14DDA" w14:textId="375C37ED" w:rsidR="009A58D8" w:rsidRDefault="009A58D8" w:rsidP="009A58D8">
      <w:pPr>
        <w:spacing w:after="0" w:line="240" w:lineRule="auto"/>
        <w:jc w:val="both"/>
        <w:rPr>
          <w:rFonts w:ascii="Verdana" w:hAnsi="Verdana" w:cs="Arial"/>
          <w:b/>
          <w:bCs/>
          <w:color w:val="000000" w:themeColor="text1"/>
        </w:rPr>
      </w:pPr>
      <w:r w:rsidRPr="009A58D8">
        <w:rPr>
          <w:rFonts w:ascii="Verdana" w:hAnsi="Verdana" w:cs="Arial"/>
          <w:b/>
          <w:bCs/>
          <w:color w:val="000000" w:themeColor="text1"/>
        </w:rPr>
        <w:t xml:space="preserve">RESPONSABILIDAD – Penal, disciplinaria y de responsabilidad patrimonial o fiscal </w:t>
      </w:r>
    </w:p>
    <w:p w14:paraId="1DB23EC9" w14:textId="77777777" w:rsidR="008E37D0" w:rsidRDefault="008E37D0" w:rsidP="009A58D8">
      <w:pPr>
        <w:spacing w:after="0" w:line="240" w:lineRule="auto"/>
        <w:jc w:val="both"/>
        <w:rPr>
          <w:rFonts w:ascii="Verdana" w:hAnsi="Verdana" w:cs="Arial"/>
          <w:b/>
          <w:bCs/>
          <w:color w:val="000000" w:themeColor="text1"/>
        </w:rPr>
      </w:pPr>
    </w:p>
    <w:p w14:paraId="008FC66F" w14:textId="64F1DFFB" w:rsidR="008E37D0" w:rsidRPr="008E37D0" w:rsidRDefault="008E37D0" w:rsidP="009A58D8">
      <w:pPr>
        <w:spacing w:after="0" w:line="240" w:lineRule="auto"/>
        <w:jc w:val="both"/>
        <w:rPr>
          <w:rFonts w:ascii="Verdana" w:hAnsi="Verdana"/>
          <w:sz w:val="20"/>
          <w:szCs w:val="20"/>
          <w:lang w:val="es-ES"/>
        </w:rPr>
      </w:pPr>
      <w:r>
        <w:rPr>
          <w:rFonts w:ascii="Verdana" w:hAnsi="Verdana"/>
          <w:sz w:val="20"/>
          <w:szCs w:val="20"/>
          <w:lang w:val="es-ES"/>
        </w:rPr>
        <w:t xml:space="preserve">[…] </w:t>
      </w:r>
      <w:r w:rsidRPr="008E37D0">
        <w:rPr>
          <w:rFonts w:ascii="Verdana" w:hAnsi="Verdana"/>
          <w:sz w:val="20"/>
          <w:szCs w:val="20"/>
          <w:lang w:val="es-ES"/>
        </w:rPr>
        <w:t xml:space="preserve">los servidores públicos que intervienen en la contratación estatal regido por el EGCAP y por los regímenes de excepción, ya sea que lo hagan en calidad de jefes o representantes legales, o en calidad de delegatarios o en calidad de funcionarios a cargo de alguna actuación derivada de la etapa precontractual, contractual o </w:t>
      </w:r>
      <w:proofErr w:type="spellStart"/>
      <w:r w:rsidRPr="008E37D0">
        <w:rPr>
          <w:rFonts w:ascii="Verdana" w:hAnsi="Verdana"/>
          <w:sz w:val="20"/>
          <w:szCs w:val="20"/>
          <w:lang w:val="es-ES"/>
        </w:rPr>
        <w:t>postcontractual</w:t>
      </w:r>
      <w:proofErr w:type="spellEnd"/>
      <w:r w:rsidRPr="008E37D0">
        <w:rPr>
          <w:rFonts w:ascii="Verdana" w:hAnsi="Verdana"/>
          <w:sz w:val="20"/>
          <w:szCs w:val="20"/>
          <w:lang w:val="es-ES"/>
        </w:rPr>
        <w:t xml:space="preserve"> del proceso de contratación en razón de sus funciones asignadas en la ley, el reglamento, el manual de funciones o por el superior jerárquico, están sometidos al cumplimiento del principio de responsabilidad previsto en el artículo 26 de la Ley 80 de 1993</w:t>
      </w:r>
      <w:r w:rsidRPr="008E37D0">
        <w:rPr>
          <w:rFonts w:ascii="Verdana" w:hAnsi="Verdana"/>
          <w:sz w:val="20"/>
          <w:szCs w:val="20"/>
          <w:lang w:val="es-ES"/>
        </w:rPr>
        <w:t>.</w:t>
      </w:r>
    </w:p>
    <w:p w14:paraId="478FE8C0" w14:textId="77777777" w:rsidR="008E37D0" w:rsidRPr="008E37D0" w:rsidRDefault="008E37D0" w:rsidP="009A58D8">
      <w:pPr>
        <w:spacing w:after="0" w:line="240" w:lineRule="auto"/>
        <w:jc w:val="both"/>
        <w:rPr>
          <w:rFonts w:ascii="Verdana" w:hAnsi="Verdana"/>
          <w:sz w:val="20"/>
          <w:szCs w:val="20"/>
          <w:lang w:val="es-ES"/>
        </w:rPr>
      </w:pPr>
    </w:p>
    <w:p w14:paraId="2F9C44F0" w14:textId="3578764B" w:rsidR="008E37D0" w:rsidRPr="008E37D0" w:rsidRDefault="008E37D0" w:rsidP="009A58D8">
      <w:pPr>
        <w:spacing w:after="0" w:line="240" w:lineRule="auto"/>
        <w:jc w:val="both"/>
        <w:rPr>
          <w:rFonts w:ascii="Verdana" w:hAnsi="Verdana"/>
          <w:sz w:val="20"/>
          <w:szCs w:val="20"/>
          <w:lang w:val="es-ES"/>
        </w:rPr>
      </w:pPr>
      <w:r w:rsidRPr="008E37D0">
        <w:rPr>
          <w:rFonts w:ascii="Verdana" w:hAnsi="Verdana"/>
          <w:sz w:val="20"/>
          <w:szCs w:val="20"/>
          <w:lang w:val="es-ES"/>
        </w:rPr>
        <w:t>[…]</w:t>
      </w:r>
    </w:p>
    <w:p w14:paraId="7AB6811E" w14:textId="77777777" w:rsidR="008E37D0" w:rsidRPr="008E37D0" w:rsidRDefault="008E37D0" w:rsidP="009A58D8">
      <w:pPr>
        <w:spacing w:after="0" w:line="240" w:lineRule="auto"/>
        <w:jc w:val="both"/>
        <w:rPr>
          <w:rFonts w:ascii="Verdana" w:hAnsi="Verdana"/>
          <w:sz w:val="20"/>
          <w:szCs w:val="20"/>
          <w:lang w:val="es-ES"/>
        </w:rPr>
      </w:pPr>
    </w:p>
    <w:p w14:paraId="50CF824C" w14:textId="77777777" w:rsidR="008E37D0" w:rsidRPr="008E37D0" w:rsidRDefault="008E37D0" w:rsidP="008E37D0">
      <w:pPr>
        <w:pStyle w:val="Textoindependiente"/>
        <w:spacing w:before="0" w:after="0"/>
        <w:jc w:val="both"/>
        <w:rPr>
          <w:rFonts w:ascii="Verdana" w:hAnsi="Verdana"/>
          <w:sz w:val="20"/>
          <w:szCs w:val="20"/>
          <w:lang w:val="es-ES"/>
        </w:rPr>
      </w:pPr>
      <w:r w:rsidRPr="008E37D0">
        <w:rPr>
          <w:rFonts w:ascii="Verdana" w:hAnsi="Verdana"/>
          <w:sz w:val="20"/>
          <w:szCs w:val="20"/>
          <w:lang w:val="es-ES"/>
        </w:rPr>
        <w:t xml:space="preserve">Aun cuando las circunstancias particulares de los juicios de responsabilidad de las conductas atribuibles a un servidor público dependen de las circunstancias y los hechos concretos objeto de análisis por la autoridad competente, se aclara que la </w:t>
      </w:r>
      <w:r w:rsidRPr="008E37D0">
        <w:rPr>
          <w:rFonts w:ascii="Verdana" w:hAnsi="Verdana"/>
          <w:i/>
          <w:sz w:val="20"/>
          <w:szCs w:val="20"/>
          <w:lang w:val="es-ES"/>
        </w:rPr>
        <w:t>responsabilidad penal</w:t>
      </w:r>
      <w:r w:rsidRPr="008E37D0">
        <w:rPr>
          <w:rFonts w:ascii="Verdana" w:hAnsi="Verdana"/>
          <w:sz w:val="20"/>
          <w:szCs w:val="20"/>
          <w:lang w:val="es-ES"/>
        </w:rPr>
        <w:t xml:space="preserve"> es personal y se deriva de conductas imputables al servidor público, que en ejercicio o con ocasión de sus funciones, haya vulnerado bienes jurídicos protegidos por la ley penal, con conductas culposas o dolosas catalogadas como delitos. </w:t>
      </w:r>
    </w:p>
    <w:p w14:paraId="237A061F" w14:textId="77777777" w:rsidR="008E37D0" w:rsidRPr="008E37D0" w:rsidRDefault="008E37D0" w:rsidP="008E37D0">
      <w:pPr>
        <w:pStyle w:val="Textoindependiente"/>
        <w:spacing w:before="0" w:after="0"/>
        <w:jc w:val="both"/>
        <w:rPr>
          <w:rFonts w:ascii="Verdana" w:hAnsi="Verdana"/>
          <w:sz w:val="20"/>
          <w:szCs w:val="20"/>
        </w:rPr>
      </w:pPr>
    </w:p>
    <w:p w14:paraId="43C68A68" w14:textId="1B498F82" w:rsidR="008E37D0" w:rsidRPr="008E37D0" w:rsidRDefault="008E37D0" w:rsidP="008E37D0">
      <w:pPr>
        <w:pStyle w:val="Textoindependiente"/>
        <w:spacing w:before="0" w:after="0"/>
        <w:jc w:val="both"/>
        <w:rPr>
          <w:rFonts w:ascii="Verdana" w:hAnsi="Verdana"/>
          <w:sz w:val="20"/>
          <w:szCs w:val="20"/>
        </w:rPr>
      </w:pPr>
      <w:r w:rsidRPr="008E37D0">
        <w:rPr>
          <w:rFonts w:ascii="Verdana" w:hAnsi="Verdana"/>
          <w:sz w:val="20"/>
          <w:szCs w:val="20"/>
        </w:rPr>
        <w:t xml:space="preserve">En este escenario podría configurarse el delito de contrato sin cumplimiento de requisitos legales esenciales (artículo 410 del Código Penal), en la medida en que el servidor público, en ejercicio de sus funciones, estaría adelantando la tramitación o celebración de un contrato estatal desconociendo un requisito legal esencial, cual es la prohibición de acudir a la modalidad de contratación directa en el periodo de ley de garantías. </w:t>
      </w:r>
    </w:p>
    <w:p w14:paraId="293A457A" w14:textId="77777777" w:rsidR="008E37D0" w:rsidRPr="008E37D0" w:rsidRDefault="008E37D0" w:rsidP="008E37D0">
      <w:pPr>
        <w:pStyle w:val="Textoindependiente"/>
        <w:spacing w:before="0" w:after="0"/>
        <w:jc w:val="both"/>
        <w:rPr>
          <w:rFonts w:ascii="Verdana" w:hAnsi="Verdana"/>
          <w:sz w:val="20"/>
          <w:szCs w:val="20"/>
        </w:rPr>
      </w:pPr>
    </w:p>
    <w:p w14:paraId="723987E9" w14:textId="3F4DF841" w:rsidR="008E37D0" w:rsidRPr="008E37D0" w:rsidRDefault="008E37D0" w:rsidP="008E37D0">
      <w:pPr>
        <w:pStyle w:val="Textoindependiente"/>
        <w:spacing w:before="0" w:after="0"/>
        <w:jc w:val="both"/>
        <w:rPr>
          <w:rFonts w:ascii="Verdana" w:hAnsi="Verdana"/>
          <w:sz w:val="20"/>
          <w:szCs w:val="20"/>
        </w:rPr>
      </w:pPr>
      <w:r w:rsidRPr="008E37D0">
        <w:rPr>
          <w:rFonts w:ascii="Verdana" w:hAnsi="Verdana"/>
          <w:sz w:val="20"/>
          <w:szCs w:val="20"/>
        </w:rPr>
        <w:t xml:space="preserve">[…] </w:t>
      </w:r>
    </w:p>
    <w:p w14:paraId="15A2EE21" w14:textId="77777777" w:rsidR="008E37D0" w:rsidRPr="008E37D0" w:rsidRDefault="008E37D0" w:rsidP="008E37D0">
      <w:pPr>
        <w:pStyle w:val="Textoindependiente"/>
        <w:spacing w:before="0" w:after="0"/>
        <w:jc w:val="both"/>
        <w:rPr>
          <w:rFonts w:ascii="Verdana" w:hAnsi="Verdana"/>
          <w:sz w:val="20"/>
          <w:szCs w:val="20"/>
        </w:rPr>
      </w:pPr>
    </w:p>
    <w:p w14:paraId="6B5D0B39" w14:textId="7743DF63" w:rsidR="008E37D0" w:rsidRDefault="008E37D0" w:rsidP="008E37D0">
      <w:pPr>
        <w:pStyle w:val="Textoindependiente"/>
        <w:spacing w:before="0" w:after="0"/>
        <w:jc w:val="both"/>
        <w:rPr>
          <w:rFonts w:ascii="Verdana" w:hAnsi="Verdana"/>
          <w:sz w:val="20"/>
          <w:szCs w:val="20"/>
        </w:rPr>
      </w:pPr>
      <w:r w:rsidRPr="008E37D0">
        <w:rPr>
          <w:rFonts w:ascii="Verdana" w:hAnsi="Verdana"/>
          <w:sz w:val="20"/>
          <w:szCs w:val="20"/>
        </w:rPr>
        <w:t>De otra parte, la misma conducta podría concursar con en el delito de prevaricato por acción (artículo 413 del Código Penal), particularmente cuando la decisión de suscribir el contrato, o el acto administrativo que la soporte, constituya una resolución o concepto manifiestamente contrario a la ley. En efecto, conforme a la jurisprudencia reiterada de la Corte Suprema de Justicia, este delito exige que la contradicción con el ordenamiento jurídico sea ostensible, grosera y carente de cualquier justificación razonable.</w:t>
      </w:r>
    </w:p>
    <w:p w14:paraId="30F96E70" w14:textId="77777777" w:rsidR="008E37D0" w:rsidRDefault="008E37D0" w:rsidP="008E37D0">
      <w:pPr>
        <w:pStyle w:val="Textoindependiente"/>
        <w:spacing w:before="0" w:after="0"/>
        <w:jc w:val="both"/>
        <w:rPr>
          <w:rFonts w:ascii="Verdana" w:hAnsi="Verdana"/>
          <w:sz w:val="20"/>
          <w:szCs w:val="20"/>
        </w:rPr>
      </w:pPr>
    </w:p>
    <w:p w14:paraId="027AB8B5" w14:textId="511CA1B6" w:rsidR="008E37D0" w:rsidRDefault="008E37D0" w:rsidP="008E37D0">
      <w:pPr>
        <w:pStyle w:val="Textoindependiente"/>
        <w:spacing w:before="0" w:after="0"/>
        <w:jc w:val="both"/>
        <w:rPr>
          <w:rFonts w:ascii="Verdana" w:hAnsi="Verdana"/>
          <w:sz w:val="20"/>
          <w:szCs w:val="20"/>
        </w:rPr>
      </w:pPr>
      <w:r>
        <w:rPr>
          <w:rFonts w:ascii="Verdana" w:hAnsi="Verdana"/>
          <w:sz w:val="20"/>
          <w:szCs w:val="20"/>
        </w:rPr>
        <w:t xml:space="preserve">[…] </w:t>
      </w:r>
    </w:p>
    <w:p w14:paraId="45E096C3" w14:textId="77777777" w:rsidR="008E37D0" w:rsidRDefault="008E37D0" w:rsidP="008E37D0">
      <w:pPr>
        <w:pStyle w:val="Textoindependiente"/>
        <w:spacing w:after="0"/>
        <w:jc w:val="both"/>
        <w:rPr>
          <w:rFonts w:ascii="Verdana" w:hAnsi="Verdana"/>
          <w:sz w:val="20"/>
          <w:szCs w:val="20"/>
          <w:lang w:val="es-ES"/>
        </w:rPr>
      </w:pPr>
      <w:r w:rsidRPr="008E37D0">
        <w:rPr>
          <w:rFonts w:ascii="Verdana" w:hAnsi="Verdana"/>
          <w:sz w:val="20"/>
          <w:szCs w:val="20"/>
          <w:lang w:val="es-ES"/>
        </w:rPr>
        <w:t xml:space="preserve">En cuanto a la responsabilidad disciplinaria esta es personal y se deriva de conductas culposas o dolosas imputables al servidor público que impliquen un incumplimiento de sus deberes funcionales o una extralimitación de </w:t>
      </w:r>
      <w:proofErr w:type="gramStart"/>
      <w:r w:rsidRPr="008E37D0">
        <w:rPr>
          <w:rFonts w:ascii="Verdana" w:hAnsi="Verdana"/>
          <w:sz w:val="20"/>
          <w:szCs w:val="20"/>
          <w:lang w:val="es-ES"/>
        </w:rPr>
        <w:t>los mismos</w:t>
      </w:r>
      <w:proofErr w:type="gramEnd"/>
      <w:r w:rsidRPr="008E37D0">
        <w:rPr>
          <w:rFonts w:ascii="Verdana" w:hAnsi="Verdana"/>
          <w:sz w:val="20"/>
          <w:szCs w:val="20"/>
          <w:lang w:val="es-ES"/>
        </w:rPr>
        <w:t>. En este escenario, el artículo 54 de la Ley 1952 de 2019 describe las faltas relacionadas con la contratación pública y el numeral tercero indica que habrá falta al “[P]</w:t>
      </w:r>
      <w:proofErr w:type="spellStart"/>
      <w:r w:rsidRPr="008E37D0">
        <w:rPr>
          <w:rFonts w:ascii="Verdana" w:hAnsi="Verdana"/>
          <w:sz w:val="20"/>
          <w:szCs w:val="20"/>
          <w:lang w:val="es-ES"/>
        </w:rPr>
        <w:t>articipar</w:t>
      </w:r>
      <w:proofErr w:type="spellEnd"/>
      <w:r w:rsidRPr="008E37D0">
        <w:rPr>
          <w:rFonts w:ascii="Verdana" w:hAnsi="Verdana"/>
          <w:sz w:val="20"/>
          <w:szCs w:val="20"/>
          <w:lang w:val="es-ES"/>
        </w:rPr>
        <w:t xml:space="preserve"> en la etapa precontractual o en la actividad contractual, en detrimento del patrimonio público, o con desconocimiento de los </w:t>
      </w:r>
      <w:proofErr w:type="spellStart"/>
      <w:r w:rsidRPr="008E37D0">
        <w:rPr>
          <w:rFonts w:ascii="Verdana" w:hAnsi="Verdana"/>
          <w:sz w:val="20"/>
          <w:szCs w:val="20"/>
          <w:lang w:val="es-ES"/>
        </w:rPr>
        <w:t>prin¬cipios</w:t>
      </w:r>
      <w:proofErr w:type="spellEnd"/>
      <w:r w:rsidRPr="008E37D0">
        <w:rPr>
          <w:rFonts w:ascii="Verdana" w:hAnsi="Verdana"/>
          <w:sz w:val="20"/>
          <w:szCs w:val="20"/>
          <w:lang w:val="es-ES"/>
        </w:rPr>
        <w:t xml:space="preserve"> que regulan la contratación estatal y la función administrativa contemplados en la Constitución y en la ley”.</w:t>
      </w:r>
    </w:p>
    <w:p w14:paraId="47BD016B" w14:textId="7D33C384" w:rsidR="008E37D0" w:rsidRPr="008E37D0" w:rsidRDefault="008E37D0" w:rsidP="008E37D0">
      <w:pPr>
        <w:pStyle w:val="Textoindependiente"/>
        <w:spacing w:after="0"/>
        <w:jc w:val="both"/>
        <w:rPr>
          <w:rFonts w:ascii="Verdana" w:hAnsi="Verdana"/>
          <w:sz w:val="20"/>
          <w:szCs w:val="20"/>
          <w:lang w:val="es-ES"/>
        </w:rPr>
      </w:pPr>
      <w:r w:rsidRPr="008E37D0">
        <w:rPr>
          <w:rFonts w:ascii="Verdana" w:hAnsi="Verdana"/>
          <w:sz w:val="20"/>
          <w:szCs w:val="20"/>
          <w:lang w:val="es-ES"/>
        </w:rPr>
        <w:t xml:space="preserve">Por su parte, la responsabilidad fiscal es una responsabilidad patrimonial y resarcitoria en que incurre un servidor público frente al Estado, por haber causado un menoscabo al patrimonio público con un actuar doloso o gravemente culposo y desconociendo las responsabilidades a las que está sujeto en el marco de la Ley, especialmente lo dispuesto en el artículo 26 de la Ley 80 de 1993.   </w:t>
      </w:r>
    </w:p>
    <w:p w14:paraId="5EF94153" w14:textId="77777777" w:rsidR="008E37D0" w:rsidRPr="008E37D0" w:rsidRDefault="008E37D0" w:rsidP="009A58D8">
      <w:pPr>
        <w:spacing w:after="0" w:line="240" w:lineRule="auto"/>
        <w:jc w:val="both"/>
        <w:rPr>
          <w:rFonts w:ascii="Verdana" w:eastAsia="Calibri" w:hAnsi="Verdana" w:cs="Arial"/>
          <w:sz w:val="20"/>
          <w:szCs w:val="20"/>
        </w:rPr>
      </w:pPr>
    </w:p>
    <w:p w14:paraId="7A30B9B7" w14:textId="77777777" w:rsidR="009A58D8" w:rsidRDefault="009A58D8" w:rsidP="009A58D8">
      <w:pPr>
        <w:spacing w:after="0" w:line="240" w:lineRule="auto"/>
        <w:jc w:val="both"/>
        <w:rPr>
          <w:rFonts w:ascii="Verdana" w:eastAsia="Calibri" w:hAnsi="Verdana" w:cs="Arial"/>
          <w:lang w:eastAsia="es-ES"/>
        </w:rPr>
      </w:pPr>
    </w:p>
    <w:p w14:paraId="6572EDD3" w14:textId="77777777" w:rsidR="009A58D8" w:rsidRDefault="009A58D8" w:rsidP="009A58D8">
      <w:pPr>
        <w:spacing w:after="0" w:line="240" w:lineRule="auto"/>
        <w:jc w:val="both"/>
        <w:rPr>
          <w:rFonts w:ascii="Verdana" w:eastAsia="Calibri" w:hAnsi="Verdana" w:cs="Arial"/>
          <w:lang w:eastAsia="es-ES"/>
        </w:rPr>
      </w:pPr>
    </w:p>
    <w:p w14:paraId="6926AB1B" w14:textId="77777777" w:rsidR="009A58D8" w:rsidRDefault="009A58D8" w:rsidP="009A58D8">
      <w:pPr>
        <w:spacing w:after="0" w:line="240" w:lineRule="auto"/>
        <w:jc w:val="both"/>
        <w:rPr>
          <w:rFonts w:ascii="Verdana" w:eastAsia="Calibri" w:hAnsi="Verdana" w:cs="Arial"/>
          <w:lang w:eastAsia="es-ES"/>
        </w:rPr>
      </w:pPr>
    </w:p>
    <w:p w14:paraId="24663485" w14:textId="77777777" w:rsidR="009A58D8" w:rsidRDefault="009A58D8" w:rsidP="009A58D8">
      <w:pPr>
        <w:spacing w:after="0" w:line="240" w:lineRule="auto"/>
        <w:jc w:val="both"/>
        <w:rPr>
          <w:rFonts w:ascii="Verdana" w:eastAsia="Calibri" w:hAnsi="Verdana" w:cs="Arial"/>
          <w:lang w:eastAsia="es-ES"/>
        </w:rPr>
      </w:pPr>
    </w:p>
    <w:p w14:paraId="255A4E38" w14:textId="77777777" w:rsidR="009A58D8" w:rsidRDefault="009A58D8" w:rsidP="009A58D8">
      <w:pPr>
        <w:spacing w:after="0" w:line="240" w:lineRule="auto"/>
        <w:jc w:val="both"/>
        <w:rPr>
          <w:rFonts w:ascii="Verdana" w:eastAsia="Calibri" w:hAnsi="Verdana" w:cs="Arial"/>
          <w:lang w:eastAsia="es-ES"/>
        </w:rPr>
      </w:pPr>
    </w:p>
    <w:p w14:paraId="462152ED" w14:textId="77777777" w:rsidR="009A58D8" w:rsidRDefault="009A58D8" w:rsidP="009A58D8">
      <w:pPr>
        <w:spacing w:after="0" w:line="240" w:lineRule="auto"/>
        <w:jc w:val="both"/>
        <w:rPr>
          <w:rFonts w:ascii="Verdana" w:eastAsia="Calibri" w:hAnsi="Verdana" w:cs="Arial"/>
          <w:lang w:eastAsia="es-ES"/>
        </w:rPr>
      </w:pPr>
    </w:p>
    <w:p w14:paraId="7F5B49D7" w14:textId="77777777" w:rsidR="009A58D8" w:rsidRDefault="009A58D8" w:rsidP="009A58D8">
      <w:pPr>
        <w:spacing w:after="0" w:line="240" w:lineRule="auto"/>
        <w:jc w:val="both"/>
        <w:rPr>
          <w:rFonts w:ascii="Verdana" w:eastAsia="Calibri" w:hAnsi="Verdana" w:cs="Arial"/>
          <w:lang w:eastAsia="es-ES"/>
        </w:rPr>
      </w:pPr>
    </w:p>
    <w:p w14:paraId="0CD740E5" w14:textId="77777777" w:rsidR="009A58D8" w:rsidRDefault="009A58D8" w:rsidP="009A58D8">
      <w:pPr>
        <w:spacing w:after="0" w:line="240" w:lineRule="auto"/>
        <w:jc w:val="both"/>
        <w:rPr>
          <w:rFonts w:ascii="Verdana" w:eastAsia="Calibri" w:hAnsi="Verdana" w:cs="Arial"/>
          <w:lang w:eastAsia="es-ES"/>
        </w:rPr>
      </w:pPr>
    </w:p>
    <w:p w14:paraId="378109DC" w14:textId="77777777" w:rsidR="009A58D8" w:rsidRDefault="009A58D8" w:rsidP="009A58D8">
      <w:pPr>
        <w:spacing w:after="0" w:line="240" w:lineRule="auto"/>
        <w:jc w:val="both"/>
        <w:rPr>
          <w:rFonts w:ascii="Verdana" w:eastAsia="Calibri" w:hAnsi="Verdana" w:cs="Arial"/>
          <w:lang w:eastAsia="es-ES"/>
        </w:rPr>
      </w:pPr>
    </w:p>
    <w:p w14:paraId="558DD6BD" w14:textId="77777777" w:rsidR="009A58D8" w:rsidRDefault="009A58D8" w:rsidP="009A58D8">
      <w:pPr>
        <w:spacing w:after="0" w:line="240" w:lineRule="auto"/>
        <w:jc w:val="both"/>
        <w:rPr>
          <w:rFonts w:ascii="Verdana" w:eastAsia="Calibri" w:hAnsi="Verdana" w:cs="Arial"/>
          <w:lang w:eastAsia="es-ES"/>
        </w:rPr>
      </w:pPr>
    </w:p>
    <w:p w14:paraId="21D88F1B" w14:textId="77777777" w:rsidR="009A58D8" w:rsidRDefault="009A58D8" w:rsidP="009A58D8">
      <w:pPr>
        <w:spacing w:after="0" w:line="240" w:lineRule="auto"/>
        <w:jc w:val="both"/>
        <w:rPr>
          <w:rFonts w:ascii="Verdana" w:eastAsia="Calibri" w:hAnsi="Verdana" w:cs="Arial"/>
          <w:lang w:eastAsia="es-ES"/>
        </w:rPr>
      </w:pPr>
    </w:p>
    <w:p w14:paraId="16557BD4" w14:textId="77777777" w:rsidR="009A58D8" w:rsidRDefault="009A58D8" w:rsidP="009A58D8">
      <w:pPr>
        <w:spacing w:after="0" w:line="240" w:lineRule="auto"/>
        <w:jc w:val="both"/>
        <w:rPr>
          <w:rFonts w:ascii="Verdana" w:eastAsia="Calibri" w:hAnsi="Verdana" w:cs="Arial"/>
          <w:lang w:eastAsia="es-ES"/>
        </w:rPr>
      </w:pPr>
    </w:p>
    <w:p w14:paraId="7CEFEADB" w14:textId="77777777" w:rsidR="009A58D8" w:rsidRDefault="009A58D8" w:rsidP="009A58D8">
      <w:pPr>
        <w:spacing w:after="0" w:line="240" w:lineRule="auto"/>
        <w:jc w:val="both"/>
        <w:rPr>
          <w:rFonts w:ascii="Verdana" w:eastAsia="Calibri" w:hAnsi="Verdana" w:cs="Arial"/>
          <w:lang w:eastAsia="es-ES"/>
        </w:rPr>
      </w:pPr>
    </w:p>
    <w:p w14:paraId="17B05DAC" w14:textId="77777777" w:rsidR="009A58D8" w:rsidRDefault="009A58D8" w:rsidP="009A58D8">
      <w:pPr>
        <w:spacing w:after="0" w:line="240" w:lineRule="auto"/>
        <w:jc w:val="both"/>
        <w:rPr>
          <w:rFonts w:ascii="Verdana" w:eastAsia="Calibri" w:hAnsi="Verdana" w:cs="Arial"/>
          <w:lang w:eastAsia="es-ES"/>
        </w:rPr>
      </w:pPr>
    </w:p>
    <w:p w14:paraId="62DE5F86" w14:textId="77777777" w:rsidR="009A58D8" w:rsidRDefault="009A58D8" w:rsidP="009A58D8">
      <w:pPr>
        <w:spacing w:after="0" w:line="240" w:lineRule="auto"/>
        <w:jc w:val="both"/>
        <w:rPr>
          <w:rFonts w:ascii="Verdana" w:eastAsia="Calibri" w:hAnsi="Verdana" w:cs="Arial"/>
          <w:lang w:eastAsia="es-ES"/>
        </w:rPr>
      </w:pPr>
    </w:p>
    <w:p w14:paraId="0A0F4B7F" w14:textId="77777777" w:rsidR="009A58D8" w:rsidRDefault="009A58D8" w:rsidP="009A58D8">
      <w:pPr>
        <w:spacing w:after="0" w:line="240" w:lineRule="auto"/>
        <w:jc w:val="both"/>
        <w:rPr>
          <w:rFonts w:ascii="Verdana" w:eastAsia="Calibri" w:hAnsi="Verdana" w:cs="Arial"/>
          <w:lang w:eastAsia="es-ES"/>
        </w:rPr>
      </w:pPr>
    </w:p>
    <w:p w14:paraId="51C27FB7" w14:textId="77777777" w:rsidR="009A58D8" w:rsidRDefault="009A58D8" w:rsidP="009A58D8">
      <w:pPr>
        <w:spacing w:after="0" w:line="240" w:lineRule="auto"/>
        <w:jc w:val="both"/>
        <w:rPr>
          <w:rFonts w:ascii="Verdana" w:eastAsia="Calibri" w:hAnsi="Verdana" w:cs="Arial"/>
          <w:lang w:eastAsia="es-ES"/>
        </w:rPr>
      </w:pPr>
    </w:p>
    <w:p w14:paraId="7CC569E6" w14:textId="77777777" w:rsidR="009A58D8" w:rsidRDefault="009A58D8" w:rsidP="009A58D8">
      <w:pPr>
        <w:spacing w:after="0" w:line="240" w:lineRule="auto"/>
        <w:jc w:val="both"/>
        <w:rPr>
          <w:rFonts w:ascii="Verdana" w:eastAsia="Calibri" w:hAnsi="Verdana" w:cs="Arial"/>
          <w:lang w:eastAsia="es-ES"/>
        </w:rPr>
      </w:pPr>
    </w:p>
    <w:p w14:paraId="129C7B67" w14:textId="77777777" w:rsidR="009A58D8" w:rsidRDefault="009A58D8" w:rsidP="009A58D8">
      <w:pPr>
        <w:spacing w:after="0" w:line="240" w:lineRule="auto"/>
        <w:jc w:val="both"/>
        <w:rPr>
          <w:rFonts w:ascii="Verdana" w:eastAsia="Calibri" w:hAnsi="Verdana" w:cs="Arial"/>
          <w:lang w:eastAsia="es-ES"/>
        </w:rPr>
      </w:pPr>
    </w:p>
    <w:p w14:paraId="3E94954F" w14:textId="77777777" w:rsidR="00DC0BD9" w:rsidRDefault="00DC0BD9" w:rsidP="009A58D8">
      <w:pPr>
        <w:spacing w:after="0" w:line="240" w:lineRule="auto"/>
        <w:jc w:val="both"/>
        <w:rPr>
          <w:rFonts w:ascii="Verdana" w:eastAsia="Calibri" w:hAnsi="Verdana" w:cs="Arial"/>
          <w:lang w:eastAsia="es-ES"/>
        </w:rPr>
      </w:pPr>
    </w:p>
    <w:p w14:paraId="65EF35D6" w14:textId="5404A1C3" w:rsidR="009A58D8" w:rsidRDefault="009A58D8" w:rsidP="001F2EC7">
      <w:pPr>
        <w:spacing w:after="0" w:line="240" w:lineRule="auto"/>
        <w:jc w:val="both"/>
        <w:rPr>
          <w:rFonts w:ascii="Verdana" w:eastAsia="Calibri" w:hAnsi="Verdana" w:cs="Arial"/>
          <w:lang w:eastAsia="es-ES"/>
        </w:rPr>
      </w:pPr>
      <w:r w:rsidRPr="007E27D9">
        <w:rPr>
          <w:rFonts w:ascii="Verdana" w:eastAsia="Calibri" w:hAnsi="Verdana" w:cs="Arial"/>
          <w:lang w:eastAsia="es-ES"/>
        </w:rPr>
        <w:t xml:space="preserve">Bogotá D.C., </w:t>
      </w:r>
      <w:r>
        <w:rPr>
          <w:rFonts w:ascii="Verdana" w:eastAsia="Calibri" w:hAnsi="Verdana" w:cs="Arial"/>
          <w:lang w:eastAsia="es-ES"/>
        </w:rPr>
        <w:t>5 de abril de 2026</w:t>
      </w:r>
    </w:p>
    <w:p w14:paraId="5EABC44E" w14:textId="6DE4C233" w:rsidR="00153454" w:rsidRPr="007E27D9" w:rsidRDefault="00153454" w:rsidP="00153454">
      <w:pPr>
        <w:spacing w:after="0" w:line="240" w:lineRule="auto"/>
        <w:jc w:val="right"/>
        <w:rPr>
          <w:rFonts w:ascii="Verdana" w:eastAsia="Calibri" w:hAnsi="Verdana" w:cs="Arial"/>
          <w:lang w:eastAsia="es-ES"/>
        </w:rPr>
      </w:pPr>
      <w:r w:rsidRPr="00153454">
        <w:rPr>
          <w:rFonts w:ascii="Verdana" w:eastAsia="Calibri" w:hAnsi="Verdana" w:cs="Arial"/>
          <w:lang w:eastAsia="es-ES"/>
        </w:rPr>
        <w:drawing>
          <wp:inline distT="0" distB="0" distL="0" distR="0" wp14:anchorId="7BFB17AF" wp14:editId="3A35AF03">
            <wp:extent cx="1876508" cy="459105"/>
            <wp:effectExtent l="0" t="0" r="9525" b="0"/>
            <wp:docPr id="100013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99" name=""/>
                    <pic:cNvPicPr/>
                  </pic:nvPicPr>
                  <pic:blipFill>
                    <a:blip r:embed="rId10"/>
                    <a:stretch>
                      <a:fillRect/>
                    </a:stretch>
                  </pic:blipFill>
                  <pic:spPr>
                    <a:xfrm>
                      <a:off x="0" y="0"/>
                      <a:ext cx="1918188" cy="469302"/>
                    </a:xfrm>
                    <a:prstGeom prst="rect">
                      <a:avLst/>
                    </a:prstGeom>
                  </pic:spPr>
                </pic:pic>
              </a:graphicData>
            </a:graphic>
          </wp:inline>
        </w:drawing>
      </w:r>
    </w:p>
    <w:p w14:paraId="550D0A16" w14:textId="77777777" w:rsidR="001F2EC7" w:rsidRDefault="001F2EC7" w:rsidP="001F2EC7">
      <w:pPr>
        <w:spacing w:after="0" w:line="240" w:lineRule="auto"/>
        <w:jc w:val="both"/>
        <w:rPr>
          <w:rFonts w:ascii="Verdana" w:eastAsia="Calibri" w:hAnsi="Verdana" w:cs="Arial"/>
          <w:b/>
          <w:bCs/>
          <w:lang w:eastAsia="es-ES"/>
        </w:rPr>
      </w:pPr>
      <w:r>
        <w:rPr>
          <w:rFonts w:ascii="Verdana" w:eastAsia="Calibri" w:hAnsi="Verdana" w:cs="Arial"/>
          <w:b/>
          <w:bCs/>
          <w:lang w:eastAsia="es-ES"/>
        </w:rPr>
        <w:t>Entidad</w:t>
      </w:r>
    </w:p>
    <w:p w14:paraId="7048C462" w14:textId="77777777" w:rsidR="001F2EC7" w:rsidRDefault="001F2EC7" w:rsidP="001F2EC7">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Alcaldía Municipal de Guachetá </w:t>
      </w:r>
    </w:p>
    <w:p w14:paraId="32A2CE00" w14:textId="77777777" w:rsidR="001F2EC7" w:rsidRPr="00D062B3" w:rsidRDefault="001F2EC7" w:rsidP="001F2EC7">
      <w:pPr>
        <w:spacing w:after="0" w:line="240" w:lineRule="auto"/>
        <w:jc w:val="both"/>
        <w:rPr>
          <w:rFonts w:ascii="Verdana" w:hAnsi="Verdana"/>
          <w:b/>
          <w:bCs/>
        </w:rPr>
      </w:pPr>
      <w:hyperlink r:id="rId11" w:history="1">
        <w:r w:rsidRPr="0089343B">
          <w:rPr>
            <w:rStyle w:val="Hipervnculo"/>
            <w:rFonts w:ascii="Verdana" w:hAnsi="Verdana"/>
            <w:b/>
            <w:bCs/>
          </w:rPr>
          <w:t>contratacion@guacheta-cundinamarca.gov.co</w:t>
        </w:r>
      </w:hyperlink>
    </w:p>
    <w:p w14:paraId="2AC5AD25" w14:textId="77777777" w:rsidR="001F2EC7" w:rsidRPr="00D062B3" w:rsidRDefault="001F2EC7" w:rsidP="001F2EC7">
      <w:pPr>
        <w:spacing w:after="0" w:line="240" w:lineRule="auto"/>
        <w:jc w:val="both"/>
        <w:rPr>
          <w:rFonts w:ascii="Verdana" w:hAnsi="Verdana"/>
        </w:rPr>
      </w:pPr>
      <w:r w:rsidRPr="00D062B3">
        <w:rPr>
          <w:rFonts w:ascii="Verdana" w:hAnsi="Verdana"/>
        </w:rPr>
        <w:t>Gu</w:t>
      </w:r>
      <w:r>
        <w:rPr>
          <w:rFonts w:ascii="Verdana" w:hAnsi="Verdana"/>
        </w:rPr>
        <w:t xml:space="preserve">achetá – Cundinamarca </w:t>
      </w:r>
    </w:p>
    <w:p w14:paraId="7C90216E" w14:textId="77777777" w:rsidR="001F2EC7" w:rsidRPr="00D062B3" w:rsidRDefault="001F2EC7" w:rsidP="001F2EC7">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F2EC7" w:rsidRPr="005644FE" w14:paraId="7E88A44E" w14:textId="77777777" w:rsidTr="00BA63D9">
        <w:trPr>
          <w:trHeight w:val="162"/>
        </w:trPr>
        <w:tc>
          <w:tcPr>
            <w:tcW w:w="3119" w:type="dxa"/>
          </w:tcPr>
          <w:p w14:paraId="405F739E" w14:textId="77777777" w:rsidR="001F2EC7" w:rsidRPr="00D062B3" w:rsidRDefault="001F2EC7" w:rsidP="00BA63D9">
            <w:pPr>
              <w:jc w:val="both"/>
              <w:rPr>
                <w:rFonts w:ascii="Verdana" w:eastAsia="Calibri" w:hAnsi="Verdana" w:cs="Arial"/>
                <w:b/>
                <w:bCs/>
                <w:color w:val="7030A0"/>
                <w:lang w:eastAsia="es-ES_tradnl"/>
              </w:rPr>
            </w:pPr>
          </w:p>
        </w:tc>
        <w:tc>
          <w:tcPr>
            <w:tcW w:w="5670" w:type="dxa"/>
          </w:tcPr>
          <w:p w14:paraId="28E35B94" w14:textId="3D9E9675" w:rsidR="001F2EC7" w:rsidRPr="005644FE" w:rsidRDefault="001F2EC7" w:rsidP="00BA63D9">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sidR="00CC2135">
              <w:rPr>
                <w:rFonts w:ascii="Verdana" w:eastAsia="Calibri" w:hAnsi="Verdana" w:cs="Arial"/>
                <w:b/>
                <w:bCs/>
                <w:lang w:eastAsia="es-ES"/>
              </w:rPr>
              <w:t>276</w:t>
            </w:r>
            <w:r>
              <w:rPr>
                <w:rFonts w:ascii="Verdana" w:eastAsia="Calibri" w:hAnsi="Verdana" w:cs="Arial"/>
                <w:b/>
                <w:bCs/>
                <w:lang w:eastAsia="es-ES"/>
              </w:rPr>
              <w:t xml:space="preserve"> de 2026</w:t>
            </w:r>
          </w:p>
          <w:p w14:paraId="353CF4D0" w14:textId="77777777" w:rsidR="001F2EC7" w:rsidRPr="005644FE" w:rsidRDefault="001F2EC7" w:rsidP="00BA63D9">
            <w:pPr>
              <w:jc w:val="both"/>
              <w:rPr>
                <w:rFonts w:ascii="Verdana" w:eastAsia="Calibri" w:hAnsi="Verdana" w:cs="Arial"/>
                <w:b/>
                <w:bCs/>
                <w:color w:val="7030A0"/>
                <w:lang w:eastAsia="es-ES"/>
              </w:rPr>
            </w:pPr>
          </w:p>
        </w:tc>
      </w:tr>
      <w:tr w:rsidR="001F2EC7" w:rsidRPr="005644FE" w14:paraId="26D67491" w14:textId="77777777" w:rsidTr="00BA63D9">
        <w:trPr>
          <w:trHeight w:val="884"/>
        </w:trPr>
        <w:tc>
          <w:tcPr>
            <w:tcW w:w="3119" w:type="dxa"/>
          </w:tcPr>
          <w:p w14:paraId="5B142EE2" w14:textId="77777777" w:rsidR="001F2EC7" w:rsidRPr="005644FE" w:rsidRDefault="001F2EC7" w:rsidP="00BA63D9">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0577955" w14:textId="54262368" w:rsidR="001F2EC7" w:rsidRPr="00E65C5F" w:rsidRDefault="001F2EC7" w:rsidP="00CC2135">
            <w:pPr>
              <w:jc w:val="both"/>
              <w:rPr>
                <w:rFonts w:ascii="Verdana" w:hAnsi="Verdana" w:cs="Arial"/>
                <w:color w:val="000000" w:themeColor="text1"/>
              </w:rPr>
            </w:pPr>
            <w:r>
              <w:rPr>
                <w:rFonts w:ascii="Verdana" w:hAnsi="Verdana" w:cs="Arial"/>
                <w:color w:val="000000" w:themeColor="text1"/>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w:t>
            </w:r>
            <w:r w:rsidRPr="00F337DA">
              <w:rPr>
                <w:rFonts w:ascii="Verdana" w:hAnsi="Verdana" w:cs="Arial"/>
                <w:color w:val="000000" w:themeColor="text1"/>
              </w:rPr>
              <w:t>LEY DE GARANTÍAS ELECTORALES</w:t>
            </w:r>
            <w:r>
              <w:rPr>
                <w:rFonts w:ascii="Verdana" w:hAnsi="Verdana" w:cs="Arial"/>
                <w:color w:val="000000" w:themeColor="text1"/>
              </w:rPr>
              <w:t xml:space="preserve"> – Parágrafo del artículo 38 - Alcance / LEY DE GARANTÍAS ELECTORALES – Convenios interadministrativos – Contratos interadministrativos / CONSEJO DE ESTADO -P</w:t>
            </w:r>
            <w:r w:rsidRPr="00CB37FD">
              <w:rPr>
                <w:rFonts w:ascii="Verdana" w:hAnsi="Verdana" w:cs="Arial"/>
                <w:color w:val="000000" w:themeColor="text1"/>
              </w:rPr>
              <w:t>osición</w:t>
            </w:r>
            <w:r>
              <w:rPr>
                <w:rFonts w:ascii="Verdana" w:hAnsi="Verdana" w:cs="Arial"/>
                <w:color w:val="000000" w:themeColor="text1"/>
              </w:rPr>
              <w:t xml:space="preserve"> </w:t>
            </w:r>
            <w:r w:rsidR="00D13D25">
              <w:rPr>
                <w:rFonts w:ascii="Verdana" w:hAnsi="Verdana" w:cs="Arial"/>
                <w:color w:val="000000" w:themeColor="text1"/>
              </w:rPr>
              <w:t>/</w:t>
            </w:r>
            <w:r>
              <w:rPr>
                <w:rFonts w:ascii="Verdana" w:hAnsi="Verdana" w:cs="Arial"/>
                <w:color w:val="000000" w:themeColor="text1"/>
              </w:rPr>
              <w:t xml:space="preserve"> </w:t>
            </w:r>
            <w:r w:rsidR="005E6302" w:rsidRPr="005E6302">
              <w:rPr>
                <w:rFonts w:ascii="Verdana" w:hAnsi="Verdana" w:cs="Arial"/>
                <w:color w:val="000000" w:themeColor="text1"/>
              </w:rPr>
              <w:t xml:space="preserve">CONTRATOS CON ESAL- Artículo 355 Constitución Política / DECRETO 092 DE 2017 – Contratos de Colaboración – Convenios de Asociación / CONTRATOS CON ESAL – Alcance – Requisitos / CONVENIOS DE ASOCIACIÓN – Alcance – Requisitos / CONTRATOS CON ESAL – Decreto 092 de 2017 – No es conmutativo – Características </w:t>
            </w:r>
            <w:r w:rsidR="003772DB" w:rsidRPr="003772DB">
              <w:rPr>
                <w:rFonts w:ascii="Verdana" w:hAnsi="Verdana" w:cs="Arial"/>
                <w:color w:val="000000" w:themeColor="text1"/>
              </w:rPr>
              <w:t>/ LEY DE GARANTÍAS ELECTORALES - Aplicación en contratos de colaboración y convenios de asociación</w:t>
            </w:r>
            <w:r w:rsidR="005E6302">
              <w:rPr>
                <w:rFonts w:ascii="Verdana" w:hAnsi="Verdana" w:cs="Arial"/>
                <w:color w:val="000000" w:themeColor="text1"/>
              </w:rPr>
              <w:t xml:space="preserve"> </w:t>
            </w:r>
            <w:r w:rsidR="00F92DE1">
              <w:rPr>
                <w:rFonts w:ascii="Verdana" w:hAnsi="Verdana" w:cs="Arial"/>
                <w:color w:val="000000" w:themeColor="text1"/>
              </w:rPr>
              <w:t xml:space="preserve">/ </w:t>
            </w:r>
            <w:r>
              <w:rPr>
                <w:rFonts w:ascii="Verdana" w:hAnsi="Verdana" w:cs="Arial"/>
                <w:color w:val="000000" w:themeColor="text1"/>
              </w:rPr>
              <w:t xml:space="preserve">RESPONSABILIDAD – Penal, disciplinaria y de responsabilidad patrimonial o fiscal </w:t>
            </w:r>
          </w:p>
        </w:tc>
      </w:tr>
      <w:tr w:rsidR="001F2EC7" w:rsidRPr="005644FE" w14:paraId="0310E78B" w14:textId="77777777" w:rsidTr="00BA63D9">
        <w:tc>
          <w:tcPr>
            <w:tcW w:w="3119" w:type="dxa"/>
          </w:tcPr>
          <w:p w14:paraId="0C42AB7B" w14:textId="77777777" w:rsidR="001F2EC7" w:rsidRPr="005644FE" w:rsidRDefault="001F2EC7" w:rsidP="00BA63D9">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4B94820" w14:textId="77777777" w:rsidR="001F2EC7" w:rsidRPr="00F04657" w:rsidRDefault="001F2EC7" w:rsidP="00BA63D9">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F507D9">
              <w:rPr>
                <w:rFonts w:ascii="Verdana" w:eastAsia="Calibri" w:hAnsi="Verdana" w:cs="Arial"/>
                <w:lang w:eastAsia="es-ES_tradnl"/>
              </w:rPr>
              <w:t>1_2026_02_23_002407</w:t>
            </w:r>
          </w:p>
        </w:tc>
      </w:tr>
    </w:tbl>
    <w:p w14:paraId="3A8F72F9" w14:textId="77777777" w:rsidR="001F2EC7" w:rsidRPr="005644FE" w:rsidRDefault="001F2EC7" w:rsidP="00CC2135">
      <w:pPr>
        <w:spacing w:after="0" w:line="240" w:lineRule="auto"/>
        <w:jc w:val="both"/>
        <w:rPr>
          <w:rFonts w:ascii="Verdana" w:eastAsia="Calibri" w:hAnsi="Verdana" w:cs="Arial"/>
          <w:lang w:eastAsia="es-ES_tradnl"/>
        </w:rPr>
      </w:pPr>
    </w:p>
    <w:p w14:paraId="2C3A8C22" w14:textId="77777777" w:rsidR="001F2EC7" w:rsidRPr="005644FE" w:rsidRDefault="001F2EC7" w:rsidP="001F2EC7">
      <w:pPr>
        <w:spacing w:after="0" w:line="276" w:lineRule="auto"/>
        <w:jc w:val="both"/>
        <w:rPr>
          <w:rFonts w:ascii="Verdana" w:eastAsia="Calibri" w:hAnsi="Verdana" w:cs="Arial"/>
          <w:lang w:eastAsia="es-ES"/>
        </w:rPr>
      </w:pPr>
      <w:r>
        <w:rPr>
          <w:rFonts w:ascii="Verdana" w:eastAsia="Calibri" w:hAnsi="Verdana" w:cs="Arial"/>
          <w:lang w:eastAsia="es-ES"/>
        </w:rPr>
        <w:t xml:space="preserve">Estimada entidad: </w:t>
      </w:r>
    </w:p>
    <w:p w14:paraId="5D1EBE61" w14:textId="77777777" w:rsidR="001F2EC7" w:rsidRPr="00E02524" w:rsidRDefault="001F2EC7" w:rsidP="008B60E4">
      <w:pPr>
        <w:spacing w:after="0" w:line="240" w:lineRule="auto"/>
        <w:jc w:val="both"/>
        <w:rPr>
          <w:rFonts w:ascii="Verdana" w:hAnsi="Verdana"/>
          <w:lang w:val="es-MX"/>
        </w:rPr>
      </w:pPr>
    </w:p>
    <w:p w14:paraId="7F7A7AC2" w14:textId="6598F80B" w:rsidR="001F2EC7" w:rsidRDefault="001F2EC7" w:rsidP="0089343B">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23 de febrero de 2026, </w:t>
      </w:r>
      <w:r w:rsidRPr="005644FE">
        <w:rPr>
          <w:rFonts w:ascii="Verdana" w:eastAsia="Calibri" w:hAnsi="Verdana" w:cs="Arial"/>
          <w:lang w:eastAsia="es-ES"/>
        </w:rPr>
        <w:t>en la cual manifiesta lo siguiente:</w:t>
      </w:r>
    </w:p>
    <w:p w14:paraId="3870A9BF" w14:textId="77777777" w:rsidR="0089343B" w:rsidRDefault="0089343B" w:rsidP="00D13D25">
      <w:pPr>
        <w:spacing w:after="0" w:line="276" w:lineRule="auto"/>
        <w:jc w:val="both"/>
        <w:rPr>
          <w:rFonts w:ascii="Verdana" w:hAnsi="Verdana"/>
        </w:rPr>
      </w:pPr>
    </w:p>
    <w:p w14:paraId="18C4576B" w14:textId="77777777" w:rsidR="001F2EC7" w:rsidRDefault="001F2EC7" w:rsidP="00D13D25">
      <w:pPr>
        <w:spacing w:after="0" w:line="276" w:lineRule="auto"/>
        <w:jc w:val="both"/>
        <w:rPr>
          <w:rFonts w:ascii="Verdana" w:hAnsi="Verdana"/>
        </w:rPr>
      </w:pPr>
      <w:r w:rsidRPr="00E02524">
        <w:rPr>
          <w:rFonts w:ascii="Verdana" w:hAnsi="Verdana"/>
        </w:rPr>
        <w:t xml:space="preserve">PETICIÓN REALIZADA </w:t>
      </w:r>
    </w:p>
    <w:p w14:paraId="3F5A6FEC" w14:textId="77777777" w:rsidR="001F2EC7" w:rsidRPr="008E5B36" w:rsidRDefault="001F2EC7" w:rsidP="008B60E4">
      <w:pPr>
        <w:spacing w:after="0" w:line="240" w:lineRule="auto"/>
        <w:jc w:val="both"/>
        <w:rPr>
          <w:rFonts w:ascii="Verdana" w:hAnsi="Verdana"/>
        </w:rPr>
      </w:pPr>
    </w:p>
    <w:p w14:paraId="0B849897" w14:textId="77777777" w:rsidR="001F2EC7" w:rsidRDefault="001F2EC7" w:rsidP="001F2EC7">
      <w:pPr>
        <w:spacing w:after="0" w:line="240" w:lineRule="auto"/>
        <w:ind w:left="567" w:right="616"/>
        <w:jc w:val="both"/>
        <w:rPr>
          <w:rFonts w:ascii="Verdana" w:hAnsi="Verdana"/>
          <w:sz w:val="20"/>
          <w:szCs w:val="20"/>
        </w:rPr>
      </w:pPr>
      <w:r>
        <w:rPr>
          <w:rFonts w:ascii="Verdana" w:hAnsi="Verdana"/>
          <w:sz w:val="20"/>
          <w:szCs w:val="20"/>
        </w:rPr>
        <w:t xml:space="preserve">“(…) </w:t>
      </w:r>
      <w:r w:rsidRPr="00F507D9">
        <w:rPr>
          <w:rFonts w:ascii="Verdana" w:hAnsi="Verdana"/>
          <w:sz w:val="20"/>
          <w:szCs w:val="20"/>
        </w:rPr>
        <w:t>Respetados señores:</w:t>
      </w:r>
    </w:p>
    <w:p w14:paraId="78DE82E3" w14:textId="77777777" w:rsidR="001F2EC7" w:rsidRPr="00F507D9" w:rsidRDefault="001F2EC7" w:rsidP="001F2EC7">
      <w:pPr>
        <w:spacing w:after="0" w:line="240" w:lineRule="auto"/>
        <w:ind w:left="567" w:right="616"/>
        <w:jc w:val="both"/>
        <w:rPr>
          <w:rFonts w:ascii="Verdana" w:hAnsi="Verdana"/>
          <w:sz w:val="20"/>
          <w:szCs w:val="20"/>
        </w:rPr>
      </w:pPr>
    </w:p>
    <w:p w14:paraId="0B503AD9" w14:textId="77777777" w:rsidR="001F2EC7" w:rsidRDefault="001F2EC7" w:rsidP="001F2EC7">
      <w:pPr>
        <w:spacing w:after="0" w:line="240" w:lineRule="auto"/>
        <w:ind w:left="567" w:right="616"/>
        <w:jc w:val="both"/>
        <w:rPr>
          <w:rFonts w:ascii="Verdana" w:hAnsi="Verdana"/>
          <w:sz w:val="20"/>
          <w:szCs w:val="20"/>
        </w:rPr>
      </w:pPr>
      <w:r w:rsidRPr="00F507D9">
        <w:rPr>
          <w:rFonts w:ascii="Verdana" w:hAnsi="Verdana"/>
          <w:sz w:val="20"/>
          <w:szCs w:val="20"/>
        </w:rPr>
        <w:t>De manera atenta, la </w:t>
      </w:r>
      <w:r w:rsidRPr="00F507D9">
        <w:rPr>
          <w:rFonts w:ascii="Verdana" w:hAnsi="Verdana"/>
          <w:b/>
          <w:bCs/>
          <w:sz w:val="20"/>
          <w:szCs w:val="20"/>
        </w:rPr>
        <w:t>Alcaldía Municipal de Guachetá – Cundinamarca</w:t>
      </w:r>
      <w:r w:rsidRPr="00F507D9">
        <w:rPr>
          <w:rFonts w:ascii="Verdana" w:hAnsi="Verdana"/>
          <w:sz w:val="20"/>
          <w:szCs w:val="20"/>
        </w:rPr>
        <w:t>, a través de la Oficina de Contratación, se permite solicitar concepto jurídico y técnico relacionado con la viabilidad de celebrar un </w:t>
      </w:r>
      <w:r w:rsidRPr="00F507D9">
        <w:rPr>
          <w:rFonts w:ascii="Verdana" w:hAnsi="Verdana"/>
          <w:b/>
          <w:bCs/>
          <w:sz w:val="20"/>
          <w:szCs w:val="20"/>
        </w:rPr>
        <w:t>convenio de cooperación con una universidad sin ánimo de lucro</w:t>
      </w:r>
      <w:r w:rsidRPr="00F507D9">
        <w:rPr>
          <w:rFonts w:ascii="Verdana" w:hAnsi="Verdana"/>
          <w:sz w:val="20"/>
          <w:szCs w:val="20"/>
        </w:rPr>
        <w:t>, en el marco de las disposiciones establecidas en la </w:t>
      </w:r>
      <w:r w:rsidRPr="00F507D9">
        <w:rPr>
          <w:rFonts w:ascii="Verdana" w:hAnsi="Verdana"/>
          <w:b/>
          <w:bCs/>
          <w:sz w:val="20"/>
          <w:szCs w:val="20"/>
        </w:rPr>
        <w:t>Ley 996 de 2005 (Ley de Garantías Electorales)</w:t>
      </w:r>
      <w:r w:rsidRPr="00F507D9">
        <w:rPr>
          <w:rFonts w:ascii="Verdana" w:hAnsi="Verdana"/>
          <w:sz w:val="20"/>
          <w:szCs w:val="20"/>
        </w:rPr>
        <w:t> y demás normas concordantes en materia de contratación estatal.</w:t>
      </w:r>
    </w:p>
    <w:p w14:paraId="1FEE5E64" w14:textId="77777777" w:rsidR="001F2EC7" w:rsidRPr="00F507D9" w:rsidRDefault="001F2EC7" w:rsidP="001F2EC7">
      <w:pPr>
        <w:spacing w:after="0" w:line="240" w:lineRule="auto"/>
        <w:ind w:left="567" w:right="616"/>
        <w:jc w:val="both"/>
        <w:rPr>
          <w:rFonts w:ascii="Verdana" w:hAnsi="Verdana"/>
          <w:sz w:val="20"/>
          <w:szCs w:val="20"/>
        </w:rPr>
      </w:pPr>
    </w:p>
    <w:p w14:paraId="16A7E7B7" w14:textId="77777777" w:rsidR="001F2EC7" w:rsidRDefault="001F2EC7" w:rsidP="001F2EC7">
      <w:pPr>
        <w:spacing w:after="0" w:line="240" w:lineRule="auto"/>
        <w:ind w:left="567" w:right="616"/>
        <w:jc w:val="both"/>
        <w:rPr>
          <w:rFonts w:ascii="Verdana" w:hAnsi="Verdana"/>
          <w:sz w:val="20"/>
          <w:szCs w:val="20"/>
        </w:rPr>
      </w:pPr>
      <w:r w:rsidRPr="00F507D9">
        <w:rPr>
          <w:rFonts w:ascii="Verdana" w:hAnsi="Verdana"/>
          <w:sz w:val="20"/>
          <w:szCs w:val="20"/>
        </w:rPr>
        <w:t>Lo anterior, teniendo en cuenta que la Entidad tiene prevista la suscripción de un convenio de cooperación con una institución de educación superior de carácter privado sin ánimo de lucro, cuyo propósito es aunar esfuerzos técnicos, administrativos y financieros para el desarrollo de actividades misionales de interés público, en concordancia con el artículo 355 de la Constitución Política y el Decreto 092 de 2017.</w:t>
      </w:r>
    </w:p>
    <w:p w14:paraId="42711299" w14:textId="77777777" w:rsidR="001F2EC7" w:rsidRPr="00F507D9" w:rsidRDefault="001F2EC7" w:rsidP="001F2EC7">
      <w:pPr>
        <w:spacing w:after="0" w:line="240" w:lineRule="auto"/>
        <w:ind w:left="567" w:right="616"/>
        <w:jc w:val="both"/>
        <w:rPr>
          <w:rFonts w:ascii="Verdana" w:hAnsi="Verdana"/>
          <w:sz w:val="20"/>
          <w:szCs w:val="20"/>
        </w:rPr>
      </w:pPr>
    </w:p>
    <w:p w14:paraId="06E35D7D" w14:textId="77777777" w:rsidR="001F2EC7" w:rsidRDefault="001F2EC7" w:rsidP="001F2EC7">
      <w:pPr>
        <w:spacing w:after="0" w:line="240" w:lineRule="auto"/>
        <w:ind w:left="567" w:right="616"/>
        <w:jc w:val="both"/>
        <w:rPr>
          <w:rFonts w:ascii="Verdana" w:hAnsi="Verdana"/>
          <w:sz w:val="20"/>
          <w:szCs w:val="20"/>
        </w:rPr>
      </w:pPr>
      <w:r w:rsidRPr="00F507D9">
        <w:rPr>
          <w:rFonts w:ascii="Verdana" w:hAnsi="Verdana"/>
          <w:sz w:val="20"/>
          <w:szCs w:val="20"/>
        </w:rPr>
        <w:t>En este sentido, respetuosamente solicitamos se emita concepto frente a los siguientes aspectos:</w:t>
      </w:r>
    </w:p>
    <w:p w14:paraId="5B863915" w14:textId="77777777" w:rsidR="001F2EC7" w:rsidRPr="00F507D9" w:rsidRDefault="001F2EC7" w:rsidP="001F2EC7">
      <w:pPr>
        <w:spacing w:after="0" w:line="240" w:lineRule="auto"/>
        <w:ind w:left="567" w:right="616"/>
        <w:jc w:val="both"/>
        <w:rPr>
          <w:rFonts w:ascii="Verdana" w:hAnsi="Verdana"/>
          <w:sz w:val="20"/>
          <w:szCs w:val="20"/>
        </w:rPr>
      </w:pPr>
    </w:p>
    <w:p w14:paraId="4748CF11" w14:textId="77777777" w:rsidR="001F2EC7" w:rsidRPr="00D062B3" w:rsidRDefault="001F2EC7" w:rsidP="001F2EC7">
      <w:pPr>
        <w:numPr>
          <w:ilvl w:val="0"/>
          <w:numId w:val="18"/>
        </w:numPr>
        <w:spacing w:after="0" w:line="240" w:lineRule="auto"/>
        <w:ind w:right="616"/>
        <w:jc w:val="both"/>
        <w:rPr>
          <w:rFonts w:ascii="Verdana" w:hAnsi="Verdana"/>
          <w:sz w:val="20"/>
          <w:szCs w:val="20"/>
        </w:rPr>
      </w:pPr>
      <w:r w:rsidRPr="00F507D9">
        <w:rPr>
          <w:rFonts w:ascii="Verdana" w:hAnsi="Verdana"/>
          <w:b/>
          <w:bCs/>
          <w:sz w:val="20"/>
          <w:szCs w:val="20"/>
        </w:rPr>
        <w:t>Si es jurídicamente viable que una entidad territorial celebre un convenio de cooperación con una universidad sin ánimo de lucro durante la vigencia de las restricciones establecidas en la Ley 996 de 2005.</w:t>
      </w:r>
    </w:p>
    <w:p w14:paraId="4F3CA35B" w14:textId="77777777" w:rsidR="001F2EC7" w:rsidRPr="00F507D9" w:rsidRDefault="001F2EC7" w:rsidP="001F2EC7">
      <w:pPr>
        <w:spacing w:after="0" w:line="240" w:lineRule="auto"/>
        <w:ind w:left="720" w:right="616"/>
        <w:jc w:val="both"/>
        <w:rPr>
          <w:rFonts w:ascii="Verdana" w:hAnsi="Verdana"/>
          <w:sz w:val="20"/>
          <w:szCs w:val="20"/>
        </w:rPr>
      </w:pPr>
    </w:p>
    <w:p w14:paraId="6453AE47" w14:textId="77777777" w:rsidR="001F2EC7" w:rsidRDefault="001F2EC7" w:rsidP="001F2EC7">
      <w:pPr>
        <w:numPr>
          <w:ilvl w:val="0"/>
          <w:numId w:val="18"/>
        </w:numPr>
        <w:spacing w:after="0" w:line="240" w:lineRule="auto"/>
        <w:ind w:right="616"/>
        <w:jc w:val="both"/>
        <w:rPr>
          <w:rFonts w:ascii="Verdana" w:hAnsi="Verdana"/>
          <w:sz w:val="20"/>
          <w:szCs w:val="20"/>
        </w:rPr>
      </w:pPr>
      <w:r w:rsidRPr="00F507D9">
        <w:rPr>
          <w:rFonts w:ascii="Verdana" w:hAnsi="Verdana"/>
          <w:b/>
          <w:bCs/>
          <w:sz w:val="20"/>
          <w:szCs w:val="20"/>
        </w:rPr>
        <w:t>Si este tipo de convenios se encuentra dentro de las prohibiciones previstas en el artículo 38 de la Ley de Garantías Electorales</w:t>
      </w:r>
      <w:r w:rsidRPr="00F507D9">
        <w:rPr>
          <w:rFonts w:ascii="Verdana" w:hAnsi="Verdana"/>
          <w:sz w:val="20"/>
          <w:szCs w:val="20"/>
        </w:rPr>
        <w:t>, particularmente en lo relacionado con la restricción para la celebración de convenios interadministrativos y contratación directa dentro del periodo preelectoral.</w:t>
      </w:r>
    </w:p>
    <w:p w14:paraId="7951B9EC" w14:textId="77777777" w:rsidR="001F2EC7" w:rsidRPr="00F507D9" w:rsidRDefault="001F2EC7" w:rsidP="001F2EC7">
      <w:pPr>
        <w:spacing w:after="0" w:line="240" w:lineRule="auto"/>
        <w:ind w:right="616"/>
        <w:jc w:val="both"/>
        <w:rPr>
          <w:rFonts w:ascii="Verdana" w:hAnsi="Verdana"/>
          <w:sz w:val="20"/>
          <w:szCs w:val="20"/>
        </w:rPr>
      </w:pPr>
    </w:p>
    <w:p w14:paraId="4F5694A9" w14:textId="77777777" w:rsidR="001F2EC7" w:rsidRDefault="001F2EC7" w:rsidP="001F2EC7">
      <w:pPr>
        <w:numPr>
          <w:ilvl w:val="0"/>
          <w:numId w:val="18"/>
        </w:numPr>
        <w:spacing w:after="0" w:line="240" w:lineRule="auto"/>
        <w:ind w:right="616"/>
        <w:jc w:val="both"/>
        <w:rPr>
          <w:rFonts w:ascii="Verdana" w:hAnsi="Verdana"/>
          <w:sz w:val="20"/>
          <w:szCs w:val="20"/>
        </w:rPr>
      </w:pPr>
      <w:r w:rsidRPr="00F507D9">
        <w:rPr>
          <w:rFonts w:ascii="Verdana" w:hAnsi="Verdana"/>
          <w:b/>
          <w:bCs/>
          <w:sz w:val="20"/>
          <w:szCs w:val="20"/>
        </w:rPr>
        <w:t>Cuáles serían las eventuales consecuencias jurídicas, disciplinarias, fiscales o administrativas para la entidad pública y sus funcionarios</w:t>
      </w:r>
      <w:r w:rsidRPr="00F507D9">
        <w:rPr>
          <w:rFonts w:ascii="Verdana" w:hAnsi="Verdana"/>
          <w:sz w:val="20"/>
          <w:szCs w:val="20"/>
        </w:rPr>
        <w:t>, en caso de suscribir este tipo de convenio durante el periodo de restricción, en el evento de que no sea procedente.</w:t>
      </w:r>
    </w:p>
    <w:p w14:paraId="4791F009" w14:textId="77777777" w:rsidR="001F2EC7" w:rsidRPr="00F507D9" w:rsidRDefault="001F2EC7" w:rsidP="001F2EC7">
      <w:pPr>
        <w:spacing w:after="0" w:line="240" w:lineRule="auto"/>
        <w:ind w:right="616"/>
        <w:jc w:val="both"/>
        <w:rPr>
          <w:rFonts w:ascii="Verdana" w:hAnsi="Verdana"/>
          <w:sz w:val="20"/>
          <w:szCs w:val="20"/>
        </w:rPr>
      </w:pPr>
    </w:p>
    <w:p w14:paraId="09E1A2BC" w14:textId="3B66E92C" w:rsidR="001F2EC7" w:rsidRPr="005E6302" w:rsidRDefault="001F2EC7" w:rsidP="005E6302">
      <w:pPr>
        <w:numPr>
          <w:ilvl w:val="0"/>
          <w:numId w:val="18"/>
        </w:numPr>
        <w:spacing w:after="0" w:line="240" w:lineRule="auto"/>
        <w:ind w:right="616"/>
        <w:jc w:val="both"/>
        <w:rPr>
          <w:rFonts w:ascii="Verdana" w:hAnsi="Verdana"/>
          <w:sz w:val="20"/>
          <w:szCs w:val="20"/>
        </w:rPr>
      </w:pPr>
      <w:r w:rsidRPr="00F507D9">
        <w:rPr>
          <w:rFonts w:ascii="Verdana" w:hAnsi="Verdana"/>
          <w:b/>
          <w:bCs/>
          <w:sz w:val="20"/>
          <w:szCs w:val="20"/>
        </w:rPr>
        <w:t xml:space="preserve">Qué </w:t>
      </w:r>
      <w:proofErr w:type="spellStart"/>
      <w:r w:rsidRPr="00F507D9">
        <w:rPr>
          <w:rFonts w:ascii="Verdana" w:hAnsi="Verdana"/>
          <w:b/>
          <w:bCs/>
          <w:sz w:val="20"/>
          <w:szCs w:val="20"/>
        </w:rPr>
        <w:t>recomendaeciones</w:t>
      </w:r>
      <w:proofErr w:type="spellEnd"/>
      <w:r w:rsidRPr="00F507D9">
        <w:rPr>
          <w:rFonts w:ascii="Verdana" w:hAnsi="Verdana"/>
          <w:b/>
          <w:bCs/>
          <w:sz w:val="20"/>
          <w:szCs w:val="20"/>
        </w:rPr>
        <w:t xml:space="preserve"> </w:t>
      </w:r>
      <w:r w:rsidRPr="00D062B3">
        <w:rPr>
          <w:rFonts w:ascii="Verdana" w:hAnsi="Verdana"/>
          <w:sz w:val="20"/>
          <w:szCs w:val="20"/>
        </w:rPr>
        <w:t>(sic)</w:t>
      </w:r>
      <w:r>
        <w:rPr>
          <w:rFonts w:ascii="Verdana" w:hAnsi="Verdana"/>
          <w:b/>
          <w:bCs/>
          <w:sz w:val="20"/>
          <w:szCs w:val="20"/>
        </w:rPr>
        <w:t xml:space="preserve"> </w:t>
      </w:r>
      <w:r w:rsidRPr="00F507D9">
        <w:rPr>
          <w:rFonts w:ascii="Verdana" w:hAnsi="Verdana"/>
          <w:b/>
          <w:bCs/>
          <w:sz w:val="20"/>
          <w:szCs w:val="20"/>
        </w:rPr>
        <w:t>o lineamientos debe tener en cuenta la Entidad Estatal</w:t>
      </w:r>
      <w:r w:rsidRPr="00F507D9">
        <w:rPr>
          <w:rFonts w:ascii="Verdana" w:hAnsi="Verdana"/>
          <w:sz w:val="20"/>
          <w:szCs w:val="20"/>
        </w:rPr>
        <w:t>, en caso de que exista alguna excepción o condición especial que permita la celebración de este tipo de convenios</w:t>
      </w:r>
      <w:r>
        <w:rPr>
          <w:rFonts w:ascii="Verdana" w:hAnsi="Verdana"/>
          <w:sz w:val="20"/>
          <w:szCs w:val="20"/>
        </w:rPr>
        <w:t xml:space="preserve"> </w:t>
      </w:r>
      <w:r w:rsidRPr="00D062B3">
        <w:rPr>
          <w:rFonts w:ascii="Verdana" w:hAnsi="Verdana"/>
          <w:sz w:val="20"/>
          <w:szCs w:val="20"/>
        </w:rPr>
        <w:t>(…)”.</w:t>
      </w:r>
    </w:p>
    <w:p w14:paraId="3AC2EA90" w14:textId="77777777" w:rsidR="008E37D0" w:rsidRDefault="008E37D0" w:rsidP="008E37D0">
      <w:pPr>
        <w:spacing w:after="0" w:line="240" w:lineRule="auto"/>
        <w:ind w:firstLine="709"/>
        <w:jc w:val="both"/>
        <w:rPr>
          <w:rFonts w:ascii="Verdana" w:eastAsia="Calibri" w:hAnsi="Verdana" w:cs="Arial"/>
          <w:color w:val="000000"/>
          <w:lang w:eastAsia="es-ES"/>
        </w:rPr>
      </w:pPr>
    </w:p>
    <w:p w14:paraId="302CCE87" w14:textId="50BE9765" w:rsidR="001F2EC7" w:rsidRPr="00F64722" w:rsidRDefault="001F2EC7" w:rsidP="001F2EC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9343B">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1FBEEC7" w14:textId="77777777" w:rsidR="001F2EC7" w:rsidRPr="009D221F" w:rsidRDefault="001F2EC7" w:rsidP="001F2EC7">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9D221F">
        <w:rPr>
          <w:rFonts w:ascii="Verdana" w:eastAsia="Calibri" w:hAnsi="Verdana" w:cs="Arial"/>
          <w:color w:val="000000"/>
          <w:lang w:eastAsia="es-ES"/>
        </w:rPr>
        <w:t>l</w:t>
      </w:r>
      <w:r>
        <w:rPr>
          <w:rFonts w:ascii="Verdana" w:eastAsia="Calibri" w:hAnsi="Verdana" w:cs="Arial"/>
          <w:color w:val="000000"/>
          <w:lang w:eastAsia="es-ES"/>
        </w:rPr>
        <w:t>os</w:t>
      </w:r>
      <w:r w:rsidRPr="009D221F">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9D221F">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9D221F">
        <w:rPr>
          <w:rFonts w:ascii="Verdana" w:eastAsia="Calibri" w:hAnsi="Verdana" w:cs="Arial"/>
          <w:color w:val="000000"/>
          <w:lang w:eastAsia="es-ES"/>
        </w:rPr>
        <w:t xml:space="preserve"> de su consulta.</w:t>
      </w:r>
      <w:r w:rsidRPr="009D221F">
        <w:rPr>
          <w:rFonts w:ascii="Verdana" w:eastAsia="Calibri" w:hAnsi="Verdana" w:cs="Arial"/>
          <w:lang w:eastAsia="es-ES"/>
        </w:rPr>
        <w:t xml:space="preserve">  </w:t>
      </w:r>
    </w:p>
    <w:p w14:paraId="79042B0C" w14:textId="77777777" w:rsidR="001F2EC7" w:rsidRPr="009D221F" w:rsidRDefault="001F2EC7" w:rsidP="008B60E4">
      <w:pPr>
        <w:spacing w:after="0" w:line="240" w:lineRule="auto"/>
        <w:ind w:firstLine="709"/>
        <w:jc w:val="both"/>
        <w:rPr>
          <w:rFonts w:ascii="Verdana" w:eastAsia="Calibri" w:hAnsi="Verdana" w:cs="Arial"/>
          <w:lang w:eastAsia="es-ES"/>
        </w:rPr>
      </w:pPr>
    </w:p>
    <w:p w14:paraId="2FF454A3" w14:textId="77777777" w:rsidR="001F2EC7" w:rsidRPr="009D221F" w:rsidRDefault="001F2EC7" w:rsidP="001F2E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4B5FACA2" w14:textId="77777777" w:rsidR="001F2EC7" w:rsidRPr="009D221F" w:rsidRDefault="001F2EC7" w:rsidP="001F2EC7">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306E9E44" w14:textId="0C5C2F0B" w:rsidR="001F2EC7" w:rsidRPr="00763B14" w:rsidRDefault="001F2EC7" w:rsidP="001F2EC7">
      <w:pPr>
        <w:spacing w:after="0" w:line="276" w:lineRule="auto"/>
        <w:jc w:val="both"/>
        <w:rPr>
          <w:rFonts w:ascii="Verdana" w:hAnsi="Verdana"/>
          <w:sz w:val="20"/>
          <w:szCs w:val="20"/>
        </w:rPr>
      </w:pPr>
      <w:r w:rsidRPr="009D221F">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i) ¿</w:t>
      </w:r>
      <w:r w:rsidRPr="00D4658D">
        <w:rPr>
          <w:rFonts w:ascii="Verdana" w:eastAsia="Century Gothic" w:hAnsi="Verdana" w:cs="Century Gothic"/>
        </w:rPr>
        <w:t>es jurídicamente viable que una entidad territorial celebre convenios</w:t>
      </w:r>
      <w:r w:rsidR="0089343B" w:rsidRPr="00D4658D">
        <w:rPr>
          <w:rFonts w:ascii="Verdana" w:eastAsia="Century Gothic" w:hAnsi="Verdana" w:cs="Century Gothic"/>
        </w:rPr>
        <w:t xml:space="preserve">, de aquellos que trata </w:t>
      </w:r>
      <w:r w:rsidR="0089343B" w:rsidRPr="00D4658D">
        <w:rPr>
          <w:rFonts w:ascii="Verdana" w:hAnsi="Verdana"/>
        </w:rPr>
        <w:t>el artículo 355 de la Constitución Política y el Decreto 092 de 2017,</w:t>
      </w:r>
      <w:r w:rsidRPr="00D4658D">
        <w:rPr>
          <w:rFonts w:ascii="Verdana" w:hAnsi="Verdana"/>
        </w:rPr>
        <w:t xml:space="preserve"> </w:t>
      </w:r>
      <w:r w:rsidRPr="00D4658D">
        <w:rPr>
          <w:rFonts w:ascii="Verdana" w:eastAsia="Century Gothic" w:hAnsi="Verdana" w:cs="Century Gothic"/>
        </w:rPr>
        <w:t xml:space="preserve">con entidades </w:t>
      </w:r>
      <w:r w:rsidR="0089343B" w:rsidRPr="00D4658D">
        <w:rPr>
          <w:rFonts w:ascii="Verdana" w:eastAsia="Century Gothic" w:hAnsi="Verdana" w:cs="Century Gothic"/>
        </w:rPr>
        <w:t>sin ánimo de lucro</w:t>
      </w:r>
      <w:r w:rsidRPr="00D4658D">
        <w:rPr>
          <w:rFonts w:ascii="Verdana" w:eastAsia="Century Gothic" w:hAnsi="Verdana" w:cs="Century Gothic"/>
        </w:rPr>
        <w:t xml:space="preserve"> privadas bajo </w:t>
      </w:r>
      <w:r w:rsidR="0089343B" w:rsidRPr="00D4658D">
        <w:rPr>
          <w:rFonts w:ascii="Verdana" w:eastAsia="Century Gothic" w:hAnsi="Verdana" w:cs="Century Gothic"/>
        </w:rPr>
        <w:t xml:space="preserve">el periodo de aplicación de </w:t>
      </w:r>
      <w:r w:rsidRPr="00D4658D">
        <w:rPr>
          <w:rFonts w:ascii="Verdana" w:eastAsia="Century Gothic" w:hAnsi="Verdana" w:cs="Century Gothic"/>
        </w:rPr>
        <w:t xml:space="preserve">las restricciones contempladas en el artículo 33 y parágrafo del artículo 38 de la Ley 996 de 2005? </w:t>
      </w:r>
      <w:proofErr w:type="spellStart"/>
      <w:r w:rsidRPr="00D4658D">
        <w:rPr>
          <w:rFonts w:ascii="Verdana" w:eastAsia="Century Gothic" w:hAnsi="Verdana" w:cs="Century Gothic"/>
        </w:rPr>
        <w:t>ii</w:t>
      </w:r>
      <w:proofErr w:type="spellEnd"/>
      <w:r>
        <w:rPr>
          <w:rFonts w:ascii="Verdana" w:eastAsia="Century Gothic" w:hAnsi="Verdana" w:cs="Century Gothic"/>
        </w:rPr>
        <w:t xml:space="preserve">) ¿Cuáles serían las eventuales consecuencias jurídicas en caso de suscribir este tipo de convenios en el periodo de restricciones de la Ley de Garantías Electorales? </w:t>
      </w:r>
    </w:p>
    <w:p w14:paraId="1EBA6142" w14:textId="77777777" w:rsidR="001F2EC7" w:rsidRPr="009E1ACC" w:rsidRDefault="001F2EC7" w:rsidP="008B60E4">
      <w:pPr>
        <w:spacing w:after="0" w:line="240" w:lineRule="auto"/>
        <w:jc w:val="both"/>
        <w:rPr>
          <w:rFonts w:ascii="Verdana" w:eastAsia="Century Gothic" w:hAnsi="Verdana" w:cs="Century Gothic"/>
        </w:rPr>
      </w:pPr>
    </w:p>
    <w:p w14:paraId="69E62750" w14:textId="2C3783B5" w:rsidR="001F2EC7" w:rsidRPr="005644FE" w:rsidRDefault="001F2EC7" w:rsidP="008B60E4">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tbl>
      <w:tblPr>
        <w:tblStyle w:val="Tablaconcuadrcula"/>
        <w:tblW w:w="0" w:type="auto"/>
        <w:tblLook w:val="04A0" w:firstRow="1" w:lastRow="0" w:firstColumn="1" w:lastColumn="0" w:noHBand="0" w:noVBand="1"/>
      </w:tblPr>
      <w:tblGrid>
        <w:gridCol w:w="8828"/>
      </w:tblGrid>
      <w:tr w:rsidR="001F2EC7" w:rsidRPr="005644FE" w14:paraId="5A31D1AA" w14:textId="77777777" w:rsidTr="00BA63D9">
        <w:tc>
          <w:tcPr>
            <w:tcW w:w="8828" w:type="dxa"/>
          </w:tcPr>
          <w:p w14:paraId="3D7F1D07" w14:textId="77777777" w:rsidR="001F2EC7" w:rsidRDefault="001F2EC7" w:rsidP="00BA63D9">
            <w:pPr>
              <w:spacing w:after="120" w:line="276" w:lineRule="auto"/>
              <w:jc w:val="both"/>
              <w:rPr>
                <w:rFonts w:ascii="Verdana" w:hAnsi="Verdana" w:cs="Arial"/>
                <w:lang w:eastAsia="x-none"/>
              </w:rPr>
            </w:pPr>
            <w:r>
              <w:rPr>
                <w:rFonts w:ascii="Verdana" w:eastAsia="Calibri" w:hAnsi="Verdana" w:cs="Arial"/>
                <w:lang w:eastAsia="es-ES"/>
              </w:rPr>
              <w:t>i) En relación con su consulta, debe señalarse que la Ley de Garantías Electorales establece dos restricciones en materia de contratación estatal. Por un lado, l</w:t>
            </w:r>
            <w:r w:rsidRPr="00E80F85">
              <w:rPr>
                <w:rFonts w:ascii="Verdana" w:eastAsia="Calibri" w:hAnsi="Verdana" w:cs="Arial"/>
                <w:lang w:eastAsia="es-ES"/>
              </w:rPr>
              <w:t xml:space="preserve">a </w:t>
            </w:r>
            <w:r>
              <w:rPr>
                <w:rFonts w:ascii="Verdana" w:eastAsia="Calibri" w:hAnsi="Verdana" w:cs="Arial"/>
                <w:lang w:eastAsia="es-ES"/>
              </w:rPr>
              <w:t>restricción</w:t>
            </w:r>
            <w:r w:rsidRPr="00E80F85">
              <w:rPr>
                <w:rFonts w:ascii="Verdana" w:eastAsia="Calibri" w:hAnsi="Verdana" w:cs="Arial"/>
                <w:lang w:eastAsia="es-ES"/>
              </w:rPr>
              <w:t xml:space="preserve"> contenida en el artículo 33 de la Ley 996 de 2005 aplica para “la contratación directa” de todos los entes del Estado, </w:t>
            </w:r>
            <w:r w:rsidRPr="00E80F8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E80F85">
              <w:rPr>
                <w:rFonts w:ascii="Verdana" w:eastAsia="Calibri" w:hAnsi="Verdana" w:cs="Arial"/>
                <w:lang w:eastAsia="es-ES"/>
              </w:rPr>
              <w:t xml:space="preserve">Se trata de la prohibición de </w:t>
            </w:r>
            <w:r w:rsidRPr="00E80F85">
              <w:rPr>
                <w:rFonts w:ascii="Verdana" w:hAnsi="Verdana" w:cs="Arial"/>
                <w:bCs/>
                <w:lang w:eastAsia="x-none"/>
              </w:rPr>
              <w:t>aquellos contratos en los que no exista un proceso abierto y competitivo.</w:t>
            </w:r>
            <w:r w:rsidRPr="00E80F8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w:t>
            </w:r>
          </w:p>
          <w:p w14:paraId="50895DC6" w14:textId="77777777" w:rsidR="001F2EC7" w:rsidRDefault="001F2EC7" w:rsidP="00BA63D9">
            <w:pPr>
              <w:spacing w:after="120" w:line="276" w:lineRule="auto"/>
              <w:ind w:firstLine="709"/>
              <w:jc w:val="both"/>
              <w:rPr>
                <w:rFonts w:ascii="Verdana" w:eastAsia="Calibri" w:hAnsi="Verdana" w:cs="Arial"/>
                <w:lang w:eastAsia="es-ES"/>
              </w:rPr>
            </w:pPr>
            <w:r w:rsidRPr="00E80F85">
              <w:rPr>
                <w:rFonts w:ascii="Verdana" w:hAnsi="Verdana" w:cs="Arial"/>
                <w:lang w:eastAsia="x-none"/>
              </w:rPr>
              <w:t xml:space="preserve">Adicionalmente, </w:t>
            </w:r>
            <w:r>
              <w:rPr>
                <w:rFonts w:ascii="Verdana" w:hAnsi="Verdana" w:cs="Arial"/>
                <w:lang w:eastAsia="x-none"/>
              </w:rPr>
              <w:t>debe tenerse en cuenta que</w:t>
            </w:r>
            <w:r w:rsidRPr="00E80F85">
              <w:rPr>
                <w:rFonts w:ascii="Verdana" w:hAnsi="Verdana" w:cs="Arial"/>
                <w:lang w:eastAsia="x-none"/>
              </w:rPr>
              <w:t xml:space="preserve"> la celebración de la contratación directa </w:t>
            </w:r>
            <w:r w:rsidRPr="00E80F85">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r>
              <w:rPr>
                <w:rFonts w:ascii="Verdana" w:eastAsia="Calibri" w:hAnsi="Verdana" w:cs="Arial"/>
                <w:lang w:eastAsia="es-ES"/>
              </w:rPr>
              <w:t xml:space="preserve">En ese sentido, aun cuando el convenio no implique la ejecución de recursos públicos, estará proscrito si su modalidad de selección es la contratación directa. </w:t>
            </w:r>
          </w:p>
          <w:p w14:paraId="40DF52AA" w14:textId="77777777" w:rsidR="001F2EC7" w:rsidRDefault="001F2EC7" w:rsidP="00BA63D9">
            <w:pPr>
              <w:spacing w:after="120" w:line="276" w:lineRule="auto"/>
              <w:ind w:firstLine="709"/>
              <w:jc w:val="both"/>
              <w:rPr>
                <w:rFonts w:ascii="Verdana" w:eastAsia="Calibri" w:hAnsi="Verdana" w:cs="Arial"/>
                <w:lang w:eastAsia="es-ES"/>
              </w:rPr>
            </w:pPr>
            <w:r>
              <w:rPr>
                <w:rFonts w:ascii="Verdana" w:eastAsia="Calibri" w:hAnsi="Verdana" w:cs="Arial"/>
                <w:lang w:eastAsia="es-ES"/>
              </w:rPr>
              <w:t>En todo caso, l</w:t>
            </w:r>
            <w:r w:rsidRPr="00E80F85">
              <w:rPr>
                <w:rFonts w:ascii="Verdana" w:eastAsia="Calibri" w:hAnsi="Verdana" w:cs="Arial"/>
                <w:lang w:eastAsia="es-ES"/>
              </w:rPr>
              <w:t xml:space="preserve">a entidad definirá si la contratación que pretende celebrar se enmarca en alguna de las excepciones definidas en el artículo 33 de la Ley 996 de 2005, </w:t>
            </w:r>
            <w:r>
              <w:rPr>
                <w:rFonts w:ascii="Verdana" w:eastAsia="Calibri" w:hAnsi="Verdana" w:cs="Arial"/>
                <w:lang w:eastAsia="es-ES"/>
              </w:rPr>
              <w:t>por ejemplo</w:t>
            </w:r>
            <w:r w:rsidRPr="00E80F85">
              <w:rPr>
                <w:rFonts w:ascii="Verdana" w:eastAsia="Calibri" w:hAnsi="Verdana" w:cs="Arial"/>
                <w:lang w:eastAsia="es-ES"/>
              </w:rPr>
              <w:t>, que se pretenda cubrir emergencias educativas</w:t>
            </w:r>
            <w:r>
              <w:rPr>
                <w:rFonts w:ascii="Verdana" w:eastAsia="Calibri" w:hAnsi="Verdana" w:cs="Arial"/>
                <w:lang w:eastAsia="es-ES"/>
              </w:rPr>
              <w:t xml:space="preserve">. Sobre las excepciones a la restricción, vale la pena señalar que estas </w:t>
            </w:r>
            <w:r w:rsidRPr="00E80F85">
              <w:rPr>
                <w:rFonts w:ascii="Verdana" w:eastAsia="Calibri" w:hAnsi="Verdana" w:cs="Arial"/>
                <w:lang w:eastAsia="es-ES"/>
              </w:rPr>
              <w:t xml:space="preserve">no permiten efectuar una interpretación extensiva para incluir otros supuestos. </w:t>
            </w:r>
          </w:p>
          <w:p w14:paraId="52732683" w14:textId="77777777" w:rsidR="001F2EC7" w:rsidRDefault="001F2EC7" w:rsidP="00BA63D9">
            <w:pPr>
              <w:spacing w:after="120" w:line="276" w:lineRule="auto"/>
              <w:ind w:firstLine="709"/>
              <w:jc w:val="both"/>
              <w:rPr>
                <w:rFonts w:ascii="Verdana" w:eastAsia="Calibri" w:hAnsi="Verdana" w:cs="Arial"/>
                <w:lang w:eastAsia="es-ES"/>
              </w:rPr>
            </w:pPr>
            <w:r>
              <w:rPr>
                <w:rFonts w:ascii="Verdana" w:eastAsia="Calibri" w:hAnsi="Verdana" w:cs="Arial"/>
                <w:lang w:eastAsia="es-ES"/>
              </w:rPr>
              <w:t>De otro lado, l</w:t>
            </w:r>
            <w:r w:rsidRPr="00E80F85">
              <w:rPr>
                <w:rFonts w:ascii="Verdana" w:eastAsia="Calibri" w:hAnsi="Verdana" w:cs="Arial"/>
                <w:lang w:eastAsia="es-ES"/>
              </w:rPr>
              <w:t xml:space="preserve">a restricción definida en </w:t>
            </w:r>
            <w:r>
              <w:rPr>
                <w:rFonts w:ascii="Verdana" w:eastAsia="Calibri" w:hAnsi="Verdana" w:cs="Arial"/>
                <w:lang w:eastAsia="es-ES"/>
              </w:rPr>
              <w:t>parágrafo d</w:t>
            </w:r>
            <w:r w:rsidRPr="00E80F85">
              <w:rPr>
                <w:rFonts w:ascii="Verdana" w:eastAsia="Calibri" w:hAnsi="Verdana" w:cs="Arial"/>
                <w:lang w:eastAsia="es-ES"/>
              </w:rPr>
              <w:t xml:space="preserve">el artículo 38 de la Ley 996 de 2005 se refiere a la celebración de convenios interadministrativos para la ejecución de recursos públicos, independientemente de que se configuren los supuestos de excepción que señala en artículo 33 de la misma ley. </w:t>
            </w:r>
            <w:r>
              <w:rPr>
                <w:rFonts w:ascii="Verdana" w:eastAsia="Calibri" w:hAnsi="Verdana" w:cs="Arial"/>
                <w:lang w:eastAsia="es-ES"/>
              </w:rPr>
              <w:t>Sobre esta prohibición, l</w:t>
            </w:r>
            <w:r w:rsidRPr="00E80F85">
              <w:rPr>
                <w:rFonts w:ascii="Verdana" w:eastAsia="Calibri" w:hAnsi="Verdana" w:cs="Arial"/>
                <w:lang w:eastAsia="es-ES"/>
              </w:rPr>
              <w:t>a posición definida</w:t>
            </w:r>
            <w:r>
              <w:rPr>
                <w:rFonts w:ascii="Verdana" w:eastAsia="Calibri" w:hAnsi="Verdana" w:cs="Arial"/>
                <w:lang w:eastAsia="es-ES"/>
              </w:rPr>
              <w:t>,</w:t>
            </w:r>
            <w:r w:rsidRPr="00E80F85">
              <w:rPr>
                <w:rFonts w:ascii="Verdana" w:eastAsia="Calibri" w:hAnsi="Verdana" w:cs="Arial"/>
                <w:lang w:eastAsia="es-ES"/>
              </w:rPr>
              <w:t xml:space="preserve"> en las decisiones adoptadas por la Sección Tercera del Consejo de Estado</w:t>
            </w:r>
            <w:r>
              <w:rPr>
                <w:rFonts w:ascii="Verdana" w:eastAsia="Calibri" w:hAnsi="Verdana" w:cs="Arial"/>
                <w:lang w:eastAsia="es-ES"/>
              </w:rPr>
              <w:t>,</w:t>
            </w:r>
            <w:r w:rsidRPr="00E80F85">
              <w:rPr>
                <w:rFonts w:ascii="Verdana" w:eastAsia="Calibri" w:hAnsi="Verdana" w:cs="Arial"/>
                <w:lang w:eastAsia="es-ES"/>
              </w:rPr>
              <w:t xml:space="preserve"> se enmarc</w:t>
            </w:r>
            <w:r>
              <w:rPr>
                <w:rFonts w:ascii="Verdana" w:eastAsia="Calibri" w:hAnsi="Verdana" w:cs="Arial"/>
                <w:lang w:eastAsia="es-ES"/>
              </w:rPr>
              <w:t>a</w:t>
            </w:r>
            <w:r w:rsidRPr="00E80F85">
              <w:rPr>
                <w:rFonts w:ascii="Verdana" w:eastAsia="Calibri" w:hAnsi="Verdana" w:cs="Arial"/>
                <w:lang w:eastAsia="es-ES"/>
              </w:rPr>
              <w:t xml:space="preserve">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w:t>
            </w:r>
          </w:p>
          <w:p w14:paraId="269958DE" w14:textId="77777777" w:rsidR="001F2EC7" w:rsidRDefault="001F2EC7" w:rsidP="00BA63D9">
            <w:pPr>
              <w:spacing w:after="120" w:line="276" w:lineRule="auto"/>
              <w:ind w:firstLine="709"/>
              <w:jc w:val="both"/>
              <w:rPr>
                <w:rFonts w:ascii="Verdana" w:eastAsia="Calibri" w:hAnsi="Verdana" w:cs="Arial"/>
                <w:lang w:eastAsia="es-ES"/>
              </w:rPr>
            </w:pPr>
            <w:r w:rsidRPr="00E80F85">
              <w:rPr>
                <w:rFonts w:ascii="Verdana" w:eastAsia="Calibri" w:hAnsi="Verdana" w:cs="Arial"/>
                <w:lang w:eastAsia="es-ES"/>
              </w:rPr>
              <w:t>De acuerdo con lo anterior, la restricción del parágrafo del artículo 38 de la Ley 996 de 2005 aplica desde el 8 de noviembre de 2025 y para las elecciones presidenciales desde el 31 de enero de 2026, con ocasión de lo dispuesto en la Resolución 02580 del 5 de marzo de 2025</w:t>
            </w:r>
            <w:r>
              <w:rPr>
                <w:rFonts w:ascii="Verdana" w:eastAsia="Calibri" w:hAnsi="Verdana" w:cs="Arial"/>
                <w:lang w:eastAsia="es-ES"/>
              </w:rPr>
              <w:t>,</w:t>
            </w:r>
            <w:r w:rsidRPr="00E80F85">
              <w:rPr>
                <w:rFonts w:ascii="Verdana" w:eastAsia="Calibri" w:hAnsi="Verdana" w:cs="Arial"/>
                <w:lang w:eastAsia="es-ES"/>
              </w:rPr>
              <w:t xml:space="preserve"> expedida por la Registraduría Nacional del Estado Civil</w:t>
            </w:r>
            <w:r>
              <w:rPr>
                <w:rFonts w:ascii="Verdana" w:eastAsia="Calibri" w:hAnsi="Verdana" w:cs="Arial"/>
                <w:lang w:eastAsia="es-ES"/>
              </w:rPr>
              <w:t>,</w:t>
            </w:r>
            <w:r w:rsidRPr="00E80F85">
              <w:rPr>
                <w:rFonts w:ascii="Verdana" w:eastAsia="Calibri" w:hAnsi="Verdana" w:cs="Arial"/>
                <w:lang w:eastAsia="es-ES"/>
              </w:rPr>
              <w:t xml:space="preserve"> que dispuso que las elecciones de senado y cámara se celebrarán el 8 de marzo de 2026 y las presidenciales el 31 de mayo de 2026</w:t>
            </w:r>
            <w:r>
              <w:rPr>
                <w:rFonts w:ascii="Verdana" w:eastAsia="Calibri" w:hAnsi="Verdana" w:cs="Arial"/>
                <w:lang w:eastAsia="es-ES"/>
              </w:rPr>
              <w:t>.</w:t>
            </w:r>
          </w:p>
          <w:p w14:paraId="63F2F7FD" w14:textId="0AC54A79" w:rsidR="001F2EC7" w:rsidRDefault="001F2EC7" w:rsidP="00BA63D9">
            <w:pPr>
              <w:spacing w:after="120" w:line="276" w:lineRule="auto"/>
              <w:ind w:firstLine="709"/>
              <w:jc w:val="both"/>
              <w:rPr>
                <w:rFonts w:ascii="Verdana" w:eastAsia="Calibri" w:hAnsi="Verdana" w:cs="Arial"/>
                <w:lang w:eastAsia="es-ES"/>
              </w:rPr>
            </w:pPr>
            <w:r>
              <w:rPr>
                <w:rFonts w:ascii="Verdana" w:eastAsia="Calibri" w:hAnsi="Verdana" w:cs="Arial"/>
                <w:lang w:eastAsia="es-ES"/>
              </w:rPr>
              <w:t>Conforme a lo expuesto, a</w:t>
            </w:r>
            <w:r w:rsidRPr="00E80F85">
              <w:rPr>
                <w:rFonts w:ascii="Verdana" w:eastAsia="Calibri" w:hAnsi="Verdana" w:cs="Arial"/>
                <w:lang w:eastAsia="es-ES"/>
              </w:rPr>
              <w:t xml:space="preserve">ctualmente las restricciones del artículo 33 y del </w:t>
            </w:r>
            <w:r>
              <w:rPr>
                <w:rFonts w:ascii="Verdana" w:eastAsia="Calibri" w:hAnsi="Verdana" w:cs="Arial"/>
                <w:lang w:eastAsia="es-ES"/>
              </w:rPr>
              <w:t xml:space="preserve">parágrafo del </w:t>
            </w:r>
            <w:r w:rsidRPr="00E80F85">
              <w:rPr>
                <w:rFonts w:ascii="Verdana" w:eastAsia="Calibri" w:hAnsi="Verdana" w:cs="Arial"/>
                <w:lang w:eastAsia="es-ES"/>
              </w:rPr>
              <w:t>artículo 38 de la Ley están en curso, de tal manera que los gobernadores, secretarios, gerentes y directores de las entidades del orden municipal, departamental o distrital no podrán no solo celebrar convenios interadministrativos para la ejecución de recursos sino también</w:t>
            </w:r>
            <w:r>
              <w:rPr>
                <w:rFonts w:ascii="Verdana" w:eastAsia="Calibri" w:hAnsi="Verdana" w:cs="Arial"/>
                <w:lang w:eastAsia="es-ES"/>
              </w:rPr>
              <w:t xml:space="preserve"> tiene prohibido celebrar</w:t>
            </w:r>
            <w:r w:rsidRPr="00E80F85">
              <w:rPr>
                <w:rFonts w:ascii="Verdana" w:eastAsia="Calibri" w:hAnsi="Verdana" w:cs="Arial"/>
                <w:lang w:eastAsia="es-ES"/>
              </w:rPr>
              <w:t xml:space="preserve"> cualquier contratación directa.</w:t>
            </w:r>
          </w:p>
          <w:p w14:paraId="5CED9E2F" w14:textId="77777777" w:rsidR="007E70A5" w:rsidRDefault="007E70A5" w:rsidP="007E70A5">
            <w:pPr>
              <w:spacing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p>
          <w:p w14:paraId="22DA4BD1" w14:textId="77777777" w:rsidR="007E70A5" w:rsidRDefault="007E70A5" w:rsidP="007E70A5">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4DC6C12C" w14:textId="76C381CC" w:rsidR="007E70A5" w:rsidRDefault="007E70A5" w:rsidP="00642D0F">
            <w:pPr>
              <w:spacing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2D9C2485" w14:textId="24E59885" w:rsidR="001F2EC7" w:rsidRPr="00E66595" w:rsidRDefault="001F2EC7" w:rsidP="00BA63D9">
            <w:pPr>
              <w:shd w:val="clear" w:color="auto" w:fill="FFFFFF"/>
              <w:spacing w:line="276" w:lineRule="auto"/>
              <w:jc w:val="both"/>
              <w:rPr>
                <w:rFonts w:ascii="Verdana" w:hAnsi="Verdana" w:cs="Arial"/>
                <w:bCs/>
                <w:color w:val="000000" w:themeColor="text1"/>
                <w:lang w:val="es-MX" w:eastAsia="x-none"/>
              </w:rPr>
            </w:pPr>
            <w:proofErr w:type="spellStart"/>
            <w:r>
              <w:rPr>
                <w:rFonts w:ascii="Verdana" w:hAnsi="Verdana" w:cs="Arial"/>
                <w:bCs/>
                <w:color w:val="000000" w:themeColor="text1"/>
                <w:lang w:val="es-MX" w:eastAsia="x-none"/>
              </w:rPr>
              <w:t>ii</w:t>
            </w:r>
            <w:proofErr w:type="spellEnd"/>
            <w:r>
              <w:rPr>
                <w:rFonts w:ascii="Verdana" w:hAnsi="Verdana" w:cs="Arial"/>
                <w:bCs/>
                <w:color w:val="000000" w:themeColor="text1"/>
                <w:lang w:val="es-MX" w:eastAsia="x-none"/>
              </w:rPr>
              <w:t>) Al suscribir cualquier tipo de contrato o convenio bajo la modalidad de contratación directa en el periodo de la restricción definida en el artículo 33 de la Ley 996 de 2005, los servidores públicos pueden estar incursos en investigaciones de tipo penal, responsabilidad disciplinaria y responsabilidad fiscal.</w:t>
            </w:r>
          </w:p>
        </w:tc>
      </w:tr>
    </w:tbl>
    <w:p w14:paraId="6B565100" w14:textId="77777777" w:rsidR="0089343B" w:rsidRDefault="0089343B" w:rsidP="0089343B">
      <w:pPr>
        <w:tabs>
          <w:tab w:val="left" w:pos="142"/>
          <w:tab w:val="left" w:pos="284"/>
        </w:tabs>
        <w:spacing w:after="0" w:line="276" w:lineRule="auto"/>
        <w:jc w:val="both"/>
        <w:rPr>
          <w:rFonts w:ascii="Verdana" w:eastAsia="Century Gothic" w:hAnsi="Verdana" w:cs="Century Gothic"/>
          <w:b/>
          <w:bCs/>
        </w:rPr>
      </w:pPr>
    </w:p>
    <w:p w14:paraId="44454E4F" w14:textId="543AB59E" w:rsidR="001F2EC7" w:rsidRPr="005644FE" w:rsidRDefault="001F2EC7" w:rsidP="001F2EC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1DA0797" w14:textId="77777777" w:rsidR="001F2EC7" w:rsidRPr="005644FE" w:rsidRDefault="001F2EC7" w:rsidP="008B60E4">
      <w:pPr>
        <w:pStyle w:val="Prrafodelista"/>
        <w:tabs>
          <w:tab w:val="left" w:pos="142"/>
          <w:tab w:val="left" w:pos="284"/>
        </w:tabs>
        <w:spacing w:after="0" w:line="240" w:lineRule="auto"/>
        <w:ind w:left="0"/>
        <w:contextualSpacing w:val="0"/>
        <w:jc w:val="both"/>
        <w:rPr>
          <w:rFonts w:ascii="Verdana" w:eastAsia="Calibri" w:hAnsi="Verdana" w:cs="Arial"/>
        </w:rPr>
      </w:pPr>
    </w:p>
    <w:p w14:paraId="1461EBFF" w14:textId="77777777" w:rsidR="001F2EC7" w:rsidRDefault="001F2EC7" w:rsidP="001F2EC7">
      <w:pPr>
        <w:tabs>
          <w:tab w:val="left" w:pos="142"/>
          <w:tab w:val="left" w:pos="284"/>
          <w:tab w:val="left" w:pos="6975"/>
        </w:tabs>
        <w:spacing w:after="0" w:line="276" w:lineRule="auto"/>
        <w:jc w:val="both"/>
        <w:rPr>
          <w:rFonts w:ascii="Verdana" w:eastAsia="Calibri" w:hAnsi="Verdana" w:cs="Arial"/>
        </w:rPr>
      </w:pPr>
      <w:bookmarkStart w:id="2" w:name="_Hlk204854194"/>
      <w:r w:rsidRPr="005644FE">
        <w:rPr>
          <w:rFonts w:ascii="Verdana" w:eastAsia="Calibri" w:hAnsi="Verdana" w:cs="Arial"/>
        </w:rPr>
        <w:t>Lo anterior se sustenta en las siguientes consideraciones:</w:t>
      </w:r>
      <w:r>
        <w:rPr>
          <w:rFonts w:ascii="Verdana" w:eastAsia="Calibri" w:hAnsi="Verdana" w:cs="Arial"/>
        </w:rPr>
        <w:tab/>
      </w:r>
    </w:p>
    <w:p w14:paraId="0BA75BB3" w14:textId="77777777" w:rsidR="001F2EC7" w:rsidRDefault="001F2EC7" w:rsidP="008B60E4">
      <w:pPr>
        <w:tabs>
          <w:tab w:val="left" w:pos="142"/>
          <w:tab w:val="left" w:pos="284"/>
          <w:tab w:val="left" w:pos="6912"/>
        </w:tabs>
        <w:spacing w:after="0" w:line="240" w:lineRule="auto"/>
        <w:jc w:val="both"/>
        <w:rPr>
          <w:rFonts w:ascii="Verdana" w:eastAsia="Times New Roman" w:hAnsi="Verdana" w:cs="Arial"/>
          <w:bCs/>
          <w:lang w:eastAsia="es-CO"/>
        </w:rPr>
      </w:pPr>
    </w:p>
    <w:p w14:paraId="2E758F23" w14:textId="77777777" w:rsidR="001F2EC7" w:rsidRPr="009D221F" w:rsidRDefault="001F2EC7" w:rsidP="001F2EC7">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i)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6F00F286" w14:textId="64CDCB94" w:rsidR="001F2EC7" w:rsidRDefault="001F2EC7" w:rsidP="001F2EC7">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sidR="00C64E4C">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12650375" w14:textId="77777777" w:rsidR="001F2EC7" w:rsidRPr="00F10E52" w:rsidRDefault="001F2EC7" w:rsidP="001F2EC7">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48424DE2" w14:textId="77777777" w:rsidR="001F2EC7" w:rsidRPr="00F10E52" w:rsidRDefault="001F2EC7" w:rsidP="001F2EC7">
      <w:pPr>
        <w:tabs>
          <w:tab w:val="left" w:pos="426"/>
        </w:tabs>
        <w:spacing w:after="0" w:line="276" w:lineRule="auto"/>
        <w:ind w:firstLine="709"/>
        <w:jc w:val="both"/>
        <w:rPr>
          <w:rFonts w:ascii="Verdana" w:eastAsia="Times New Roman" w:hAnsi="Verdana" w:cs="Arial"/>
          <w:bCs/>
          <w:lang w:eastAsia="es-CO"/>
        </w:rPr>
      </w:pPr>
    </w:p>
    <w:p w14:paraId="32B2C1A7" w14:textId="77777777" w:rsidR="001F2EC7" w:rsidRPr="007777F3" w:rsidRDefault="001F2EC7" w:rsidP="001F2EC7">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0EBBE263" w14:textId="77777777" w:rsidR="001F2EC7" w:rsidRPr="009E6EDF" w:rsidRDefault="001F2EC7" w:rsidP="001F2EC7">
      <w:pPr>
        <w:spacing w:after="0" w:line="240" w:lineRule="auto"/>
        <w:ind w:left="709" w:right="709"/>
        <w:jc w:val="both"/>
        <w:rPr>
          <w:rFonts w:ascii="Verdana" w:eastAsia="Times New Roman" w:hAnsi="Verdana" w:cs="Arial"/>
          <w:bCs/>
          <w:sz w:val="20"/>
          <w:szCs w:val="20"/>
          <w:lang w:eastAsia="es-CO"/>
        </w:rPr>
      </w:pPr>
    </w:p>
    <w:p w14:paraId="58E8A4B7" w14:textId="77777777" w:rsidR="001F2EC7" w:rsidRDefault="001F2EC7" w:rsidP="001F2EC7">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3" w:name="_Hlk78818186"/>
    </w:p>
    <w:p w14:paraId="7003D585" w14:textId="77777777" w:rsidR="001F2EC7" w:rsidRPr="00642D0F" w:rsidRDefault="001F2EC7" w:rsidP="00642D0F">
      <w:pPr>
        <w:spacing w:after="0" w:line="276" w:lineRule="auto"/>
        <w:ind w:left="709" w:right="709"/>
        <w:jc w:val="both"/>
        <w:rPr>
          <w:rFonts w:ascii="Verdana" w:eastAsia="Times New Roman" w:hAnsi="Verdana" w:cs="Arial"/>
          <w:lang w:eastAsia="es-CO"/>
        </w:rPr>
      </w:pPr>
    </w:p>
    <w:p w14:paraId="5E2355BC" w14:textId="554970FE" w:rsidR="001F2EC7" w:rsidRDefault="001F2EC7" w:rsidP="001F2EC7">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este contexto, la Ley de Garantías Electorales establece el marco jurídico para el desarrollo de las elecciones, procurando condiciones de igualdad y transparencia para los aspirantes</w:t>
      </w:r>
      <w:r w:rsidR="00DD2A07">
        <w:rPr>
          <w:rFonts w:ascii="Verdana" w:eastAsia="Times New Roman" w:hAnsi="Verdana" w:cs="Arial"/>
          <w:bCs/>
          <w:lang w:eastAsia="es-CO"/>
        </w:rPr>
        <w:t>. P</w:t>
      </w:r>
      <w:r w:rsidRPr="00F10E52">
        <w:rPr>
          <w:rFonts w:ascii="Verdana" w:eastAsia="Times New Roman" w:hAnsi="Verdana" w:cs="Arial"/>
          <w:bCs/>
          <w:lang w:eastAsia="es-CO"/>
        </w:rPr>
        <w:t>aralelamente</w:t>
      </w:r>
      <w:r w:rsidR="00DD2A07">
        <w:rPr>
          <w:rFonts w:ascii="Verdana" w:eastAsia="Times New Roman" w:hAnsi="Verdana" w:cs="Arial"/>
          <w:bCs/>
          <w:lang w:eastAsia="es-CO"/>
        </w:rPr>
        <w:t>,</w:t>
      </w:r>
      <w:r w:rsidRPr="00F10E52">
        <w:rPr>
          <w:rFonts w:ascii="Verdana" w:eastAsia="Times New Roman" w:hAnsi="Verdana" w:cs="Arial"/>
          <w:bCs/>
          <w:lang w:eastAsia="es-CO"/>
        </w:rPr>
        <w:t xml:space="preserve"> incluye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0C9D0868" w14:textId="17A40BE0" w:rsidR="001F2EC7" w:rsidRPr="002D6B92" w:rsidRDefault="001F2EC7" w:rsidP="001F2EC7">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efecto, la Sala de Consulta y Servicio Civil del Consejo de Estado al analizar la referida </w:t>
      </w:r>
      <w:r w:rsidR="00FF7D28">
        <w:rPr>
          <w:rFonts w:ascii="Verdana" w:eastAsia="Times New Roman" w:hAnsi="Verdana" w:cs="Arial"/>
          <w:bCs/>
          <w:lang w:eastAsia="es-CO"/>
        </w:rPr>
        <w:t>L</w:t>
      </w:r>
      <w:r w:rsidRPr="00F10E52">
        <w:rPr>
          <w:rFonts w:ascii="Verdana" w:eastAsia="Times New Roman" w:hAnsi="Verdana" w:cs="Arial"/>
          <w:bCs/>
          <w:lang w:eastAsia="es-CO"/>
        </w:rPr>
        <w:t>ey, precisó lo siguiente:</w:t>
      </w:r>
    </w:p>
    <w:p w14:paraId="7F5841F6" w14:textId="77777777" w:rsidR="001F2EC7" w:rsidRPr="002D6B92" w:rsidRDefault="001F2EC7" w:rsidP="001F2EC7">
      <w:pPr>
        <w:spacing w:after="0" w:line="276" w:lineRule="auto"/>
        <w:ind w:firstLine="709"/>
        <w:jc w:val="both"/>
        <w:rPr>
          <w:rFonts w:ascii="Verdana" w:eastAsia="Times New Roman" w:hAnsi="Verdana" w:cs="Arial"/>
          <w:bCs/>
          <w:lang w:eastAsia="es-CO"/>
        </w:rPr>
      </w:pPr>
    </w:p>
    <w:p w14:paraId="77E785CE" w14:textId="77777777" w:rsidR="001F2EC7" w:rsidRPr="009B20C5" w:rsidRDefault="001F2EC7" w:rsidP="001F2EC7">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8053164" w14:textId="77777777" w:rsidR="001F2EC7" w:rsidRDefault="001F2EC7" w:rsidP="001F2EC7">
      <w:pPr>
        <w:spacing w:after="0" w:line="240" w:lineRule="auto"/>
        <w:ind w:left="709" w:right="709"/>
        <w:jc w:val="both"/>
        <w:rPr>
          <w:rFonts w:ascii="Verdana" w:eastAsia="Times New Roman" w:hAnsi="Verdana" w:cs="Arial"/>
          <w:bCs/>
          <w:sz w:val="20"/>
          <w:szCs w:val="20"/>
          <w:lang w:eastAsia="es-CO"/>
        </w:rPr>
      </w:pPr>
    </w:p>
    <w:p w14:paraId="4A447F0D" w14:textId="77777777" w:rsidR="001F2EC7" w:rsidRPr="00583462" w:rsidRDefault="001F2EC7" w:rsidP="001F2EC7">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40CAF8A1" w14:textId="77777777" w:rsidR="001F2EC7" w:rsidRDefault="001F2EC7" w:rsidP="001F2EC7">
      <w:pPr>
        <w:spacing w:after="0" w:line="240" w:lineRule="auto"/>
        <w:ind w:firstLine="709"/>
        <w:jc w:val="both"/>
        <w:rPr>
          <w:rFonts w:ascii="Verdana" w:eastAsia="Times New Roman" w:hAnsi="Verdana" w:cs="Arial"/>
          <w:bCs/>
          <w:lang w:eastAsia="es-CO"/>
        </w:rPr>
      </w:pPr>
    </w:p>
    <w:p w14:paraId="45B10956" w14:textId="77777777" w:rsidR="001F2EC7" w:rsidRDefault="001F2EC7" w:rsidP="001F2EC7">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3C001B5" w14:textId="7A6344F8" w:rsidR="001F2EC7" w:rsidRPr="00F10E52" w:rsidRDefault="001F2EC7" w:rsidP="001F2EC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Específicamente, las restricciones consagradas en la citada </w:t>
      </w:r>
      <w:r w:rsidR="00FF7D28">
        <w:rPr>
          <w:rFonts w:ascii="Verdana" w:eastAsia="Arial" w:hAnsi="Verdana" w:cs="Arial"/>
          <w:lang w:val="es-ES" w:eastAsia="es-ES" w:bidi="es-ES"/>
        </w:rPr>
        <w:t>L</w:t>
      </w:r>
      <w:r w:rsidRPr="00F10E52">
        <w:rPr>
          <w:rFonts w:ascii="Verdana" w:eastAsia="Arial" w:hAnsi="Verdana" w:cs="Arial"/>
          <w:lang w:val="es-ES" w:eastAsia="es-ES" w:bidi="es-ES"/>
        </w:rPr>
        <w:t>ey se dirigen a dos (2) tipos de campañas electorales claramente diferenciadas: las presidenciales y las demás que se adelanten para la elección de los demás cargos de elección popular, tanto a nivel nacional como a nivel territorial.</w:t>
      </w:r>
      <w:bookmarkEnd w:id="4"/>
    </w:p>
    <w:p w14:paraId="680E51F2" w14:textId="77777777" w:rsidR="001F2EC7" w:rsidRPr="00F10E52" w:rsidRDefault="001F2EC7" w:rsidP="001F2EC7">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w:t>
      </w:r>
      <w:r w:rsidRPr="00642D0F">
        <w:rPr>
          <w:rFonts w:ascii="Verdana" w:eastAsia="Calibri" w:hAnsi="Verdana" w:cs="Arial"/>
          <w:i/>
        </w:rPr>
        <w:t>el artículo 33</w:t>
      </w:r>
      <w:r w:rsidRPr="00F10E52">
        <w:rPr>
          <w:rFonts w:ascii="Verdana" w:eastAsia="Calibri" w:hAnsi="Verdana" w:cs="Arial"/>
        </w:rPr>
        <w:t xml:space="preserve">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086A9EEA" w14:textId="77777777" w:rsidR="001F2EC7" w:rsidRDefault="001F2EC7" w:rsidP="001F2EC7">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w:t>
      </w:r>
      <w:r w:rsidRPr="00B625A1">
        <w:rPr>
          <w:rFonts w:ascii="Verdana" w:eastAsia="Calibri" w:hAnsi="Verdana" w:cs="Arial"/>
          <w:i/>
        </w:rPr>
        <w:t xml:space="preserve">el parágrafo del artículo 38 </w:t>
      </w:r>
      <w:r w:rsidRPr="00F10E52">
        <w:rPr>
          <w:rFonts w:ascii="Verdana" w:eastAsia="Calibri" w:hAnsi="Verdana" w:cs="Arial"/>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7D5F1CFE" w14:textId="77777777" w:rsidR="001F2EC7" w:rsidRPr="006A51F6" w:rsidRDefault="001F2EC7" w:rsidP="001F2EC7">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4E83FFF" w14:textId="77777777" w:rsidR="001F2EC7" w:rsidRPr="006A51F6" w:rsidRDefault="001F2EC7" w:rsidP="008B60E4">
      <w:pPr>
        <w:widowControl w:val="0"/>
        <w:autoSpaceDE w:val="0"/>
        <w:autoSpaceDN w:val="0"/>
        <w:spacing w:after="0" w:line="240" w:lineRule="auto"/>
        <w:ind w:firstLine="709"/>
        <w:jc w:val="both"/>
        <w:rPr>
          <w:rFonts w:ascii="Verdana" w:eastAsia="Arial" w:hAnsi="Verdana" w:cs="Arial"/>
          <w:lang w:val="es-ES" w:eastAsia="es-ES" w:bidi="es-ES"/>
        </w:rPr>
      </w:pPr>
    </w:p>
    <w:p w14:paraId="1CEC0011" w14:textId="77777777" w:rsidR="001F2EC7" w:rsidRPr="009B20C5" w:rsidRDefault="001F2EC7" w:rsidP="001F2EC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24CB4B44" w14:textId="77777777" w:rsidR="001F2EC7" w:rsidRDefault="001F2EC7" w:rsidP="00B625A1">
      <w:pPr>
        <w:spacing w:after="0" w:line="276" w:lineRule="auto"/>
        <w:ind w:firstLine="709"/>
        <w:jc w:val="both"/>
        <w:rPr>
          <w:rFonts w:ascii="Verdana" w:eastAsia="Arial" w:hAnsi="Verdana" w:cs="Arial"/>
          <w:lang w:val="es-ES" w:eastAsia="es-ES" w:bidi="es-ES"/>
        </w:rPr>
      </w:pPr>
    </w:p>
    <w:p w14:paraId="2613474C" w14:textId="77777777" w:rsidR="001F2EC7" w:rsidRPr="00F10E52" w:rsidRDefault="001F2EC7" w:rsidP="001F2EC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4CA2EF0C" w14:textId="77777777" w:rsidR="001F2EC7" w:rsidRPr="00F10E52" w:rsidRDefault="001F2EC7" w:rsidP="001F2EC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21B9814B" w14:textId="77777777" w:rsidR="001F2EC7" w:rsidRDefault="001F2EC7" w:rsidP="001F2EC7">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4A1DD3B" w14:textId="40BEB758" w:rsidR="001F2EC7" w:rsidRDefault="001F2EC7" w:rsidP="001F2EC7">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w:t>
      </w:r>
      <w:r w:rsidR="00FF7D28">
        <w:rPr>
          <w:rFonts w:ascii="Verdana" w:eastAsia="Times New Roman" w:hAnsi="Verdana" w:cs="Arial"/>
          <w:bCs/>
          <w:lang w:val="es-ES" w:eastAsia="es-CO"/>
        </w:rPr>
        <w:t xml:space="preserve">los dos tipos de restricciones, con el fin de determinar si los convenios con entidades sin ánimo de lucro se enmarcan en alguno de los supuestos que señalan las normas. </w:t>
      </w:r>
    </w:p>
    <w:p w14:paraId="30B1091C" w14:textId="2BBC4BEB" w:rsidR="001F2EC7" w:rsidRDefault="00FF7D28" w:rsidP="001F2EC7">
      <w:pPr>
        <w:spacing w:after="0" w:line="276" w:lineRule="auto"/>
        <w:ind w:firstLine="709"/>
        <w:jc w:val="both"/>
        <w:rPr>
          <w:rFonts w:ascii="Verdana" w:hAnsi="Verdana" w:cs="Arial"/>
          <w:lang w:eastAsia="es-CO"/>
        </w:rPr>
      </w:pPr>
      <w:r>
        <w:rPr>
          <w:rFonts w:ascii="Verdana" w:hAnsi="Verdana" w:cs="Arial"/>
          <w:bCs/>
          <w:lang w:eastAsia="x-none"/>
        </w:rPr>
        <w:t>En primer lugar, e</w:t>
      </w:r>
      <w:r w:rsidRPr="00195E24">
        <w:rPr>
          <w:rFonts w:ascii="Verdana" w:hAnsi="Verdana" w:cs="Arial"/>
          <w:bCs/>
          <w:lang w:eastAsia="x-none"/>
        </w:rPr>
        <w:t>l</w:t>
      </w:r>
      <w:r w:rsidR="001F2EC7" w:rsidRPr="00195E24">
        <w:rPr>
          <w:rFonts w:ascii="Verdana" w:hAnsi="Verdana" w:cs="Arial"/>
          <w:bCs/>
          <w:lang w:eastAsia="x-none"/>
        </w:rPr>
        <w:t xml:space="preserve"> ámbito material de la prohibición contenida </w:t>
      </w:r>
      <w:bookmarkStart w:id="12" w:name="_Hlk75628761"/>
      <w:r w:rsidR="001F2EC7" w:rsidRPr="00195E24">
        <w:rPr>
          <w:rFonts w:ascii="Verdana" w:hAnsi="Verdana" w:cs="Arial"/>
          <w:bCs/>
          <w:lang w:eastAsia="x-none"/>
        </w:rPr>
        <w:t xml:space="preserve">en el artículo 33 de la </w:t>
      </w:r>
      <w:r>
        <w:rPr>
          <w:rFonts w:ascii="Verdana" w:hAnsi="Verdana" w:cs="Arial"/>
          <w:bCs/>
          <w:lang w:eastAsia="x-none"/>
        </w:rPr>
        <w:t>L</w:t>
      </w:r>
      <w:r w:rsidR="001F2EC7" w:rsidRPr="00195E24">
        <w:rPr>
          <w:rFonts w:ascii="Verdana" w:hAnsi="Verdana" w:cs="Arial"/>
          <w:bCs/>
          <w:lang w:eastAsia="x-none"/>
        </w:rPr>
        <w:t xml:space="preserve">ey 996 de 2005 </w:t>
      </w:r>
      <w:bookmarkEnd w:id="12"/>
      <w:r w:rsidR="001F2EC7" w:rsidRPr="00195E24">
        <w:rPr>
          <w:rFonts w:ascii="Verdana" w:hAnsi="Verdana" w:cs="Arial"/>
          <w:bCs/>
          <w:lang w:eastAsia="x-none"/>
        </w:rPr>
        <w:t xml:space="preserve">está delimitado por la expresión </w:t>
      </w:r>
      <w:r w:rsidR="001F2EC7" w:rsidRPr="00195E24">
        <w:rPr>
          <w:rFonts w:ascii="Verdana" w:eastAsia="Calibri" w:hAnsi="Verdana" w:cs="Arial"/>
          <w:bCs/>
          <w:i/>
          <w:iCs/>
          <w:sz w:val="20"/>
          <w:szCs w:val="20"/>
        </w:rPr>
        <w:t>“</w:t>
      </w:r>
      <w:r w:rsidR="001F2EC7" w:rsidRPr="00195E24">
        <w:rPr>
          <w:rFonts w:ascii="Verdana" w:hAnsi="Verdana" w:cs="Arial"/>
          <w:bCs/>
          <w:i/>
          <w:iCs/>
          <w:lang w:eastAsia="x-none"/>
        </w:rPr>
        <w:t>queda prohibida la contratación directa</w:t>
      </w:r>
      <w:r w:rsidR="001F2EC7" w:rsidRPr="00195E24">
        <w:rPr>
          <w:rFonts w:ascii="Verdana" w:hAnsi="Verdana" w:cs="Arial"/>
          <w:sz w:val="20"/>
          <w:szCs w:val="20"/>
        </w:rPr>
        <w:t>”</w:t>
      </w:r>
      <w:r w:rsidR="001F2EC7" w:rsidRPr="00195E24">
        <w:rPr>
          <w:rFonts w:ascii="Verdana" w:hAnsi="Verdana" w:cs="Arial"/>
          <w:bCs/>
          <w:lang w:eastAsia="x-none"/>
        </w:rPr>
        <w:t>.</w:t>
      </w:r>
      <w:r w:rsidR="001F2EC7"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12B74780" w14:textId="77777777" w:rsidR="001F2EC7" w:rsidRPr="00435A6A" w:rsidRDefault="001F2EC7" w:rsidP="001F2EC7">
      <w:pPr>
        <w:spacing w:after="0" w:line="276" w:lineRule="auto"/>
        <w:ind w:firstLine="709"/>
        <w:jc w:val="both"/>
        <w:rPr>
          <w:rFonts w:ascii="Verdana" w:eastAsia="Arial" w:hAnsi="Verdana" w:cs="Arial"/>
          <w:lang w:val="es-ES" w:eastAsia="es-ES" w:bidi="es-ES"/>
        </w:rPr>
      </w:pPr>
    </w:p>
    <w:p w14:paraId="1C3EA230" w14:textId="77777777" w:rsidR="001F2EC7" w:rsidRPr="005800D0" w:rsidRDefault="001F2EC7" w:rsidP="001F2EC7">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29E0D71E" w14:textId="77777777" w:rsidR="001F2EC7" w:rsidRPr="005800D0" w:rsidRDefault="001F2EC7" w:rsidP="001F2EC7">
      <w:pPr>
        <w:spacing w:after="0" w:line="240" w:lineRule="auto"/>
        <w:ind w:left="709" w:right="709"/>
        <w:jc w:val="both"/>
        <w:rPr>
          <w:rFonts w:ascii="Verdana" w:hAnsi="Verdana" w:cs="Arial"/>
          <w:sz w:val="20"/>
          <w:szCs w:val="20"/>
        </w:rPr>
      </w:pPr>
    </w:p>
    <w:p w14:paraId="31A95EE9" w14:textId="77777777" w:rsidR="001F2EC7" w:rsidRDefault="001F2EC7" w:rsidP="001F2EC7">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49AACF49" w14:textId="77777777" w:rsidR="001F2EC7" w:rsidRPr="005800D0" w:rsidRDefault="001F2EC7" w:rsidP="001F2EC7">
      <w:pPr>
        <w:spacing w:after="0" w:line="240" w:lineRule="auto"/>
        <w:ind w:left="709" w:right="709"/>
        <w:jc w:val="both"/>
        <w:rPr>
          <w:rFonts w:ascii="Verdana" w:hAnsi="Verdana" w:cs="Arial"/>
        </w:rPr>
      </w:pPr>
    </w:p>
    <w:p w14:paraId="38DEF7AA" w14:textId="469BB1C0" w:rsidR="001F2EC7" w:rsidRPr="00195E24" w:rsidRDefault="001F2EC7" w:rsidP="001F2EC7">
      <w:pPr>
        <w:spacing w:after="120" w:line="276" w:lineRule="auto"/>
        <w:ind w:firstLine="709"/>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w:t>
      </w:r>
      <w:r w:rsidR="00FF7D28">
        <w:rPr>
          <w:rFonts w:ascii="Verdana" w:hAnsi="Verdana" w:cs="Arial"/>
          <w:lang w:eastAsia="x-none"/>
        </w:rPr>
        <w:t xml:space="preserve">procedimientos abiertos y competitivos </w:t>
      </w:r>
      <w:r w:rsidRPr="00195E24">
        <w:rPr>
          <w:rFonts w:ascii="Verdana" w:hAnsi="Verdana" w:cs="Arial"/>
          <w:lang w:eastAsia="x-none"/>
        </w:rPr>
        <w:t>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5CD00DEC" w14:textId="77777777" w:rsidR="001F2EC7" w:rsidRPr="00195E24" w:rsidRDefault="001F2EC7" w:rsidP="001F2EC7">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34B2F66B" w14:textId="77777777" w:rsidR="001F2EC7" w:rsidRPr="00195E24" w:rsidRDefault="001F2EC7" w:rsidP="001F2EC7">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50A43EFC" w14:textId="24319414" w:rsidR="001F2EC7" w:rsidRPr="00CE0712" w:rsidRDefault="001F2EC7" w:rsidP="001F2EC7">
      <w:pPr>
        <w:spacing w:after="120" w:line="276" w:lineRule="auto"/>
        <w:ind w:firstLine="709"/>
        <w:jc w:val="both"/>
        <w:rPr>
          <w:rFonts w:ascii="Verdana" w:hAnsi="Verdana" w:cs="Arial"/>
          <w:bCs/>
          <w:lang w:eastAsia="es-CO"/>
        </w:rPr>
      </w:pPr>
      <w:r w:rsidRPr="00195E24">
        <w:rPr>
          <w:rFonts w:ascii="Verdana" w:hAnsi="Verdana" w:cs="Arial"/>
          <w:bCs/>
          <w:lang w:eastAsia="es-CO"/>
        </w:rPr>
        <w:t>Como se advierte de lo anterior, el Consejo de Estado realiza una interpretación amplia de la contratación directa, para efectos de aplicar las restricciones establecidas en la Ley de Garantías</w:t>
      </w:r>
      <w:r w:rsidR="00FF7D28">
        <w:rPr>
          <w:rFonts w:ascii="Verdana" w:hAnsi="Verdana" w:cs="Arial"/>
          <w:bCs/>
          <w:lang w:eastAsia="es-CO"/>
        </w:rPr>
        <w:t xml:space="preserve"> Electorales</w:t>
      </w:r>
      <w:r w:rsidRPr="00195E24">
        <w:rPr>
          <w:rFonts w:ascii="Verdana"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48113AC3" w14:textId="77777777" w:rsidR="001F2EC7" w:rsidRDefault="001F2EC7" w:rsidP="001F2EC7">
      <w:pPr>
        <w:spacing w:after="120" w:line="276" w:lineRule="auto"/>
        <w:ind w:firstLine="709"/>
        <w:jc w:val="both"/>
        <w:rPr>
          <w:rFonts w:ascii="Verdana" w:hAnsi="Verdana" w:cs="Arial"/>
          <w:vertAlign w:val="superscript"/>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58083649" w14:textId="7FA7748F" w:rsidR="001F2EC7" w:rsidRPr="007E27D9" w:rsidRDefault="001F2EC7" w:rsidP="001F2EC7">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bookmarkEnd w:id="17"/>
    <w:p w14:paraId="4E177A7E" w14:textId="77777777" w:rsidR="001F2EC7" w:rsidRPr="007E27D9" w:rsidRDefault="001F2EC7" w:rsidP="001F2EC7">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75C303CB" w14:textId="77777777" w:rsidR="001F2EC7" w:rsidRPr="00CE0712" w:rsidRDefault="001F2EC7" w:rsidP="001F2EC7">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57582A6" w14:textId="68637105" w:rsidR="001F2EC7" w:rsidRDefault="001F2EC7" w:rsidP="001F2EC7">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 xml:space="preserve">La Sala de Consulta y Servicio Civil del Consejo de Estado, en Concepto 1727 del 20 de febrero de 2006, consideró que el artículo 33 de la </w:t>
      </w:r>
      <w:r w:rsidR="000A35AF">
        <w:rPr>
          <w:rFonts w:ascii="Verdana" w:hAnsi="Verdana" w:cs="Arial"/>
          <w:color w:val="000000" w:themeColor="text1"/>
          <w:lang w:val="es-MX"/>
        </w:rPr>
        <w:t>L</w:t>
      </w:r>
      <w:r w:rsidRPr="73D21086">
        <w:rPr>
          <w:rFonts w:ascii="Verdana" w:hAnsi="Verdana" w:cs="Arial"/>
          <w:color w:val="000000" w:themeColor="text1"/>
          <w:lang w:val="es-MX"/>
        </w:rPr>
        <w:t xml:space="preserve">ey 996 de 2005, efectivamente se aplica incluso a las </w:t>
      </w:r>
      <w:r w:rsidR="000A35AF">
        <w:rPr>
          <w:rFonts w:ascii="Verdana" w:hAnsi="Verdana" w:cs="Arial"/>
          <w:color w:val="000000" w:themeColor="text1"/>
          <w:lang w:val="es-MX"/>
        </w:rPr>
        <w:t>e</w:t>
      </w:r>
      <w:r w:rsidRPr="73D21086">
        <w:rPr>
          <w:rFonts w:ascii="Verdana" w:hAnsi="Verdana" w:cs="Arial"/>
          <w:color w:val="000000" w:themeColor="text1"/>
          <w:lang w:val="es-MX"/>
        </w:rPr>
        <w:t xml:space="preserve">ntidades </w:t>
      </w:r>
      <w:r w:rsidR="000A35AF">
        <w:rPr>
          <w:rFonts w:ascii="Verdana" w:hAnsi="Verdana" w:cs="Arial"/>
          <w:color w:val="000000" w:themeColor="text1"/>
          <w:lang w:val="es-MX"/>
        </w:rPr>
        <w:t>e</w:t>
      </w:r>
      <w:r w:rsidRPr="73D21086">
        <w:rPr>
          <w:rFonts w:ascii="Verdana" w:hAnsi="Verdana" w:cs="Arial"/>
          <w:color w:val="000000" w:themeColor="text1"/>
          <w:lang w:val="es-MX"/>
        </w:rPr>
        <w:t>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19"/>
      </w:r>
      <w:r w:rsidRPr="73D21086">
        <w:rPr>
          <w:rFonts w:ascii="Verdana" w:hAnsi="Verdana" w:cs="Arial"/>
          <w:color w:val="000000" w:themeColor="text1"/>
          <w:lang w:val="es-MX"/>
        </w:rPr>
        <w:t xml:space="preserve">. </w:t>
      </w:r>
    </w:p>
    <w:p w14:paraId="1821F68B" w14:textId="77777777" w:rsidR="001F2EC7" w:rsidRPr="002D6B92" w:rsidRDefault="001F2EC7" w:rsidP="001F2EC7">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69FBFCF9" w14:textId="77777777" w:rsidR="001F2EC7" w:rsidRPr="002D6B92" w:rsidRDefault="001F2EC7" w:rsidP="008B60E4">
      <w:pPr>
        <w:spacing w:after="0" w:line="240" w:lineRule="auto"/>
        <w:ind w:firstLine="709"/>
        <w:jc w:val="both"/>
        <w:rPr>
          <w:rFonts w:ascii="Verdana" w:hAnsi="Verdana" w:cs="Arial"/>
          <w:color w:val="000000" w:themeColor="text1"/>
          <w:lang w:val="es-MX"/>
        </w:rPr>
      </w:pPr>
    </w:p>
    <w:p w14:paraId="0324CB6E" w14:textId="77777777" w:rsidR="001F2EC7" w:rsidRPr="005800D0" w:rsidRDefault="001F2EC7" w:rsidP="001F2EC7">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59CEED0" w14:textId="77777777" w:rsidR="001F2EC7" w:rsidRDefault="001F2EC7" w:rsidP="001F2EC7">
      <w:pPr>
        <w:spacing w:after="0" w:line="240" w:lineRule="auto"/>
        <w:ind w:left="709" w:right="709"/>
        <w:jc w:val="both"/>
        <w:rPr>
          <w:rFonts w:ascii="Verdana" w:hAnsi="Verdana" w:cs="Arial"/>
          <w:color w:val="000000" w:themeColor="text1"/>
          <w:sz w:val="20"/>
          <w:szCs w:val="20"/>
          <w:lang w:val="es-MX"/>
        </w:rPr>
      </w:pPr>
    </w:p>
    <w:p w14:paraId="60826FB7" w14:textId="77777777" w:rsidR="001F2EC7" w:rsidRPr="00435A6A" w:rsidRDefault="001F2EC7" w:rsidP="001F2EC7">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1"/>
      </w:r>
      <w:r w:rsidRPr="005800D0">
        <w:rPr>
          <w:rFonts w:ascii="Verdana" w:hAnsi="Verdana" w:cs="Arial"/>
          <w:color w:val="000000" w:themeColor="text1"/>
          <w:sz w:val="20"/>
          <w:szCs w:val="20"/>
          <w:lang w:val="es-MX" w:eastAsia="x-none"/>
        </w:rPr>
        <w:t>.</w:t>
      </w:r>
    </w:p>
    <w:p w14:paraId="07049B45" w14:textId="77777777" w:rsidR="001F2EC7" w:rsidRDefault="001F2EC7" w:rsidP="001F2EC7">
      <w:pPr>
        <w:spacing w:after="0" w:line="240" w:lineRule="auto"/>
        <w:ind w:firstLine="709"/>
        <w:jc w:val="both"/>
        <w:rPr>
          <w:rFonts w:ascii="Verdana" w:hAnsi="Verdana" w:cs="Arial"/>
          <w:color w:val="000000" w:themeColor="text1"/>
          <w:lang w:val="es-MX"/>
        </w:rPr>
      </w:pPr>
    </w:p>
    <w:p w14:paraId="56C56D19" w14:textId="77777777" w:rsidR="001F2EC7" w:rsidRDefault="001F2EC7" w:rsidP="001F2EC7">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2"/>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6EF73969" w14:textId="0A5AE45C" w:rsidR="001F2EC7" w:rsidRPr="00195E24" w:rsidRDefault="0055768D" w:rsidP="001F2EC7">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eastAsia="es-CO"/>
        </w:rPr>
        <w:t>Conforme l</w:t>
      </w:r>
      <w:r w:rsidR="001F2EC7" w:rsidRPr="00CE0D82">
        <w:rPr>
          <w:rFonts w:ascii="Verdana" w:hAnsi="Verdana" w:cs="Arial"/>
          <w:color w:val="000000" w:themeColor="text1"/>
          <w:lang w:eastAsia="es-CO"/>
        </w:rPr>
        <w:t>os pronunciamientos de la Sala de Consulta y Servicio Civil</w:t>
      </w:r>
      <w:r w:rsidR="001F2EC7" w:rsidRPr="00CE0D82">
        <w:rPr>
          <w:rFonts w:ascii="Verdana" w:hAnsi="Verdana" w:cs="Arial"/>
          <w:color w:val="000000" w:themeColor="text1"/>
          <w:lang w:val="es-MX"/>
        </w:rPr>
        <w:t xml:space="preserve">, la restricción prevista en la Ley 996 de 2005 </w:t>
      </w:r>
      <w:r w:rsidR="001F2EC7"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D626F7A" w14:textId="1D1A2BBE" w:rsidR="001F2EC7" w:rsidRPr="00CE0712" w:rsidRDefault="0055768D" w:rsidP="001F2EC7">
      <w:pPr>
        <w:spacing w:after="120" w:line="276" w:lineRule="auto"/>
        <w:ind w:firstLine="709"/>
        <w:jc w:val="both"/>
        <w:rPr>
          <w:rFonts w:ascii="Verdana" w:hAnsi="Verdana" w:cs="Arial"/>
          <w:bCs/>
          <w:color w:val="000000" w:themeColor="text1"/>
          <w:lang w:val="es-MX" w:eastAsia="x-none"/>
        </w:rPr>
      </w:pPr>
      <w:r>
        <w:rPr>
          <w:rFonts w:ascii="Verdana" w:hAnsi="Verdana" w:cs="Arial"/>
          <w:color w:val="000000" w:themeColor="text1"/>
          <w:lang w:val="es-MX"/>
        </w:rPr>
        <w:t>No</w:t>
      </w:r>
      <w:r w:rsidR="001F2EC7" w:rsidRPr="73D21086">
        <w:rPr>
          <w:rFonts w:ascii="Verdana" w:hAnsi="Verdana" w:cs="Arial"/>
          <w:color w:val="000000" w:themeColor="text1"/>
          <w:lang w:val="es-MX"/>
        </w:rPr>
        <w:t xml:space="preserve">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200AF56A" w14:textId="77777777" w:rsidR="0055768D" w:rsidRDefault="001F2EC7" w:rsidP="001F2EC7">
      <w:pPr>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45B5863" w14:textId="4DB7D248" w:rsidR="001F2EC7" w:rsidRDefault="001F2EC7" w:rsidP="001F2EC7">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F5AA93B" w14:textId="77777777" w:rsidR="001F2EC7" w:rsidRDefault="001F2EC7" w:rsidP="001F2EC7">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9" w:name="_Hlk74309042"/>
      <w:r w:rsidRPr="00F8199A">
        <w:rPr>
          <w:rFonts w:ascii="Verdana" w:hAnsi="Verdana" w:cs="Arial"/>
          <w:bCs/>
          <w:lang w:val="es-MX" w:eastAsia="x-none"/>
        </w:rPr>
        <w:t xml:space="preserve">que </w:t>
      </w:r>
      <w:r>
        <w:rPr>
          <w:rFonts w:ascii="Verdana" w:hAnsi="Verdana" w:cs="Arial"/>
          <w:bCs/>
          <w:lang w:val="es-MX" w:eastAsia="x-none"/>
        </w:rPr>
        <w:t>“</w:t>
      </w:r>
      <w:bookmarkEnd w:id="19"/>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20"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3"/>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20"/>
    </w:p>
    <w:p w14:paraId="741AF90C" w14:textId="77777777" w:rsidR="001F2EC7" w:rsidRPr="0004207F" w:rsidRDefault="001F2EC7" w:rsidP="001F2EC7">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4"/>
      </w:r>
      <w:r w:rsidRPr="0004207F">
        <w:rPr>
          <w:rFonts w:ascii="Verdana" w:hAnsi="Verdana" w:cs="Arial"/>
          <w:bCs/>
          <w:lang w:val="es-MX" w:eastAsia="x-none"/>
        </w:rPr>
        <w:t>.</w:t>
      </w:r>
    </w:p>
    <w:p w14:paraId="49D13F8A" w14:textId="596BD80F" w:rsidR="001F2EC7" w:rsidRPr="0004207F" w:rsidRDefault="001F2EC7" w:rsidP="001F2EC7">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sidR="0055768D">
        <w:rPr>
          <w:rFonts w:ascii="Verdana" w:hAnsi="Verdana" w:cs="Arial"/>
          <w:lang w:val="es-ES" w:eastAsia="es-CO"/>
        </w:rPr>
        <w:t>L</w:t>
      </w:r>
      <w:r w:rsidRPr="2E79A5E2">
        <w:rPr>
          <w:rFonts w:ascii="Verdana" w:hAnsi="Verdana" w:cs="Arial"/>
          <w:lang w:val="es-ES" w:eastAsia="es-CO"/>
        </w:rPr>
        <w:t xml:space="preserve">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7B7F6679" w14:textId="77777777" w:rsidR="001F2EC7" w:rsidRPr="0004207F" w:rsidRDefault="001F2EC7" w:rsidP="001F2EC7">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618B2BE3" w14:textId="77777777" w:rsidR="001F2EC7" w:rsidRPr="00687B5B" w:rsidRDefault="001F2EC7" w:rsidP="001F2EC7">
      <w:pPr>
        <w:spacing w:after="120"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w:t>
      </w:r>
      <w:r>
        <w:rPr>
          <w:rFonts w:ascii="Verdana" w:hAnsi="Verdana" w:cs="Arial"/>
          <w:bCs/>
          <w:lang w:val="es-MX" w:eastAsia="x-none"/>
        </w:rPr>
        <w:t>(…)</w:t>
      </w:r>
      <w:r w:rsidRPr="0004207F">
        <w:rPr>
          <w:rFonts w:ascii="Verdana" w:hAnsi="Verdana" w:cs="Arial"/>
          <w:bCs/>
          <w:lang w:val="es-MX" w:eastAsia="x-none"/>
        </w:rPr>
        <w:t xml:space="preserve"> l</w:t>
      </w:r>
      <w:r w:rsidRPr="0004207F">
        <w:rPr>
          <w:rFonts w:ascii="Verdana" w:hAnsi="Verdana" w:cs="Arial"/>
          <w:bCs/>
          <w:lang w:eastAsia="x-none"/>
        </w:rPr>
        <w:t xml:space="preserve">os requeridos para cubrir las emergencias educativas, sanitarias y desastres </w:t>
      </w:r>
      <w:r>
        <w:rPr>
          <w:rFonts w:ascii="Verdana" w:hAnsi="Verdana" w:cs="Arial"/>
          <w:bCs/>
          <w:lang w:eastAsia="x-none"/>
        </w:rPr>
        <w:t>(…)</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6"/>
      </w:r>
      <w:r w:rsidRPr="0004207F">
        <w:rPr>
          <w:rFonts w:ascii="Verdana" w:eastAsia="Calibri" w:hAnsi="Verdana" w:cs="Arial"/>
          <w:bCs/>
          <w:color w:val="000000" w:themeColor="text1"/>
        </w:rPr>
        <w:t>.</w:t>
      </w:r>
      <w:r w:rsidRPr="3683B926">
        <w:rPr>
          <w:rFonts w:ascii="Verdana" w:eastAsia="Calibri" w:hAnsi="Verdana" w:cs="Arial"/>
          <w:lang w:val="es-ES"/>
        </w:rPr>
        <w:t xml:space="preserve"> </w:t>
      </w:r>
    </w:p>
    <w:p w14:paraId="331F8E17" w14:textId="0F0FAF04" w:rsidR="001F2EC7" w:rsidRDefault="0055768D" w:rsidP="001F2EC7">
      <w:pPr>
        <w:spacing w:before="120" w:after="0" w:line="276" w:lineRule="auto"/>
        <w:ind w:firstLine="709"/>
        <w:jc w:val="both"/>
        <w:rPr>
          <w:rFonts w:ascii="Verdana" w:eastAsia="Calibri" w:hAnsi="Verdana" w:cs="Arial"/>
          <w:lang w:val="es-ES"/>
        </w:rPr>
      </w:pPr>
      <w:r>
        <w:rPr>
          <w:rFonts w:ascii="Verdana" w:hAnsi="Verdana" w:cs="Arial"/>
          <w:lang w:val="es-ES"/>
        </w:rPr>
        <w:t>En segundo lugar</w:t>
      </w:r>
      <w:r w:rsidR="001F2EC7" w:rsidRPr="00B91291">
        <w:rPr>
          <w:rFonts w:ascii="Verdana" w:hAnsi="Verdana" w:cs="Arial"/>
          <w:lang w:val="es-ES"/>
        </w:rPr>
        <w:t xml:space="preserve">, respecto del alcance del parágrafo </w:t>
      </w:r>
      <w:r w:rsidR="001F2EC7" w:rsidRPr="00B91291">
        <w:rPr>
          <w:rFonts w:ascii="Verdana" w:hAnsi="Verdana" w:cs="Arial"/>
        </w:rPr>
        <w:t xml:space="preserve">del artículo 38 de la Ley 996 de 2005, esta prohibición dispone en primera medida que: “[l]os Gobernadores, </w:t>
      </w:r>
      <w:proofErr w:type="gramStart"/>
      <w:r w:rsidR="001F2EC7" w:rsidRPr="00B91291">
        <w:rPr>
          <w:rFonts w:ascii="Verdana" w:hAnsi="Verdana" w:cs="Arial"/>
        </w:rPr>
        <w:t>Alcaldes</w:t>
      </w:r>
      <w:proofErr w:type="gramEnd"/>
      <w:r w:rsidR="001F2EC7" w:rsidRPr="00B91291">
        <w:rPr>
          <w:rFonts w:ascii="Verdana" w:hAnsi="Verdana" w:cs="Arial"/>
        </w:rPr>
        <w:t xml:space="preserve"> Municipales y/o Distritales, </w:t>
      </w:r>
      <w:proofErr w:type="gramStart"/>
      <w:r w:rsidR="001F2EC7" w:rsidRPr="00B91291">
        <w:rPr>
          <w:rFonts w:ascii="Verdana" w:hAnsi="Verdana" w:cs="Arial"/>
        </w:rPr>
        <w:t>Secretarios</w:t>
      </w:r>
      <w:proofErr w:type="gramEnd"/>
      <w:r w:rsidR="001F2EC7"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001F2EC7" w:rsidRPr="00B91291">
        <w:rPr>
          <w:rFonts w:ascii="Verdana" w:hAnsi="Verdana" w:cs="Arial"/>
          <w:i/>
          <w:iCs/>
        </w:rPr>
        <w:t>convenios interadministrativos</w:t>
      </w:r>
      <w:r w:rsidR="001F2EC7" w:rsidRPr="00B91291">
        <w:rPr>
          <w:rFonts w:ascii="Verdana" w:hAnsi="Verdana" w:cs="Arial"/>
        </w:rPr>
        <w:t xml:space="preserve"> </w:t>
      </w:r>
      <w:r w:rsidR="001F2EC7" w:rsidRPr="00B91291">
        <w:rPr>
          <w:rFonts w:ascii="Verdana" w:hAnsi="Verdana" w:cs="Arial"/>
          <w:i/>
          <w:iCs/>
        </w:rPr>
        <w:t>para la ejecución de recursos públicos</w:t>
      </w:r>
      <w:r w:rsidR="001F2EC7" w:rsidRPr="00B91291">
        <w:rPr>
          <w:rFonts w:ascii="Verdana" w:hAnsi="Verdana" w:cs="Arial"/>
        </w:rPr>
        <w:t>”.</w:t>
      </w:r>
      <w:r w:rsidR="001F2EC7" w:rsidRPr="00B91291">
        <w:rPr>
          <w:rFonts w:ascii="Verdana" w:eastAsia="Times New Roman" w:hAnsi="Verdana" w:cs="Arial"/>
          <w:lang w:val="es-MX" w:eastAsia="x-none"/>
        </w:rPr>
        <w:t xml:space="preserve"> </w:t>
      </w:r>
      <w:r w:rsidR="001F2EC7">
        <w:rPr>
          <w:rFonts w:ascii="Verdana" w:eastAsia="Times New Roman" w:hAnsi="Verdana" w:cs="Arial"/>
          <w:lang w:val="es-MX" w:eastAsia="x-none"/>
        </w:rPr>
        <w:t>(</w:t>
      </w:r>
      <w:r w:rsidR="001F2EC7" w:rsidRPr="00B91291">
        <w:rPr>
          <w:rFonts w:ascii="Verdana" w:eastAsia="Times New Roman" w:hAnsi="Verdana" w:cs="Arial"/>
          <w:lang w:val="es-MX" w:eastAsia="x-none"/>
        </w:rPr>
        <w:t>Énfasis fuera del texto original</w:t>
      </w:r>
      <w:r w:rsidR="001F2EC7">
        <w:rPr>
          <w:rFonts w:ascii="Verdana" w:eastAsia="Times New Roman" w:hAnsi="Verdana" w:cs="Arial"/>
          <w:lang w:val="es-MX" w:eastAsia="x-none"/>
        </w:rPr>
        <w:t>)</w:t>
      </w:r>
    </w:p>
    <w:p w14:paraId="5C9ACE0A" w14:textId="77777777" w:rsidR="001F2EC7" w:rsidRDefault="001F2EC7" w:rsidP="001F2EC7">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39DF2CA0" w14:textId="77777777" w:rsidR="001F2EC7" w:rsidRPr="00AD17FF" w:rsidRDefault="001F2EC7" w:rsidP="001F2EC7">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1BFCB8B" w14:textId="77777777" w:rsidR="001F2EC7" w:rsidRPr="00667CD6" w:rsidRDefault="001F2EC7" w:rsidP="001F2EC7">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75F07008" w14:textId="77777777" w:rsidR="001F2EC7" w:rsidRPr="00667CD6" w:rsidRDefault="001F2EC7" w:rsidP="001F2EC7">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2406C943" w14:textId="77777777" w:rsidR="001F2EC7" w:rsidRPr="00B8078E" w:rsidRDefault="001F2EC7" w:rsidP="001F2EC7">
      <w:pPr>
        <w:spacing w:before="120" w:after="0" w:line="276" w:lineRule="auto"/>
        <w:ind w:firstLine="708"/>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3363C79D" w14:textId="77777777" w:rsidR="001F2EC7" w:rsidRDefault="001F2EC7" w:rsidP="001F2EC7">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15ED9553" w14:textId="77777777" w:rsidR="001F2EC7" w:rsidRDefault="001F2EC7" w:rsidP="001F2EC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568648F9" w14:textId="77777777" w:rsidR="001F2EC7" w:rsidRPr="00667CD6" w:rsidRDefault="001F2EC7" w:rsidP="001F2EC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78AA5EA8" w14:textId="7D1E5AE7" w:rsidR="001F2EC7" w:rsidRPr="00667CD6" w:rsidRDefault="001F2EC7" w:rsidP="001F2EC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00BD6C56">
        <w:rPr>
          <w:rFonts w:ascii="Verdana" w:eastAsia="Times New Roman" w:hAnsi="Verdana" w:cs="Arial"/>
          <w:lang w:eastAsia="es-CO"/>
        </w:rPr>
        <w:t xml:space="preserve">Es decir, las excepciones contempladas en el artículo 33 no son aplicables a la restricción del artículo 38. </w:t>
      </w:r>
    </w:p>
    <w:p w14:paraId="3AFE49F1" w14:textId="77777777" w:rsidR="001F2EC7" w:rsidRPr="00667CD6" w:rsidRDefault="001F2EC7" w:rsidP="001F2EC7">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48678694" w14:textId="77777777" w:rsidR="001F2EC7" w:rsidRPr="00667CD6" w:rsidRDefault="001F2EC7" w:rsidP="008B60E4">
      <w:pPr>
        <w:spacing w:after="0" w:line="240" w:lineRule="auto"/>
        <w:ind w:firstLine="709"/>
        <w:jc w:val="both"/>
        <w:rPr>
          <w:rFonts w:ascii="Verdana" w:hAnsi="Verdana" w:cs="Arial"/>
        </w:rPr>
      </w:pPr>
    </w:p>
    <w:p w14:paraId="46A2C869" w14:textId="77777777" w:rsidR="001F2EC7" w:rsidRDefault="001F2EC7" w:rsidP="001F2EC7">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6DEF4C84" w14:textId="77777777" w:rsidR="001F2EC7" w:rsidRPr="00667CD6" w:rsidRDefault="001F2EC7" w:rsidP="001F2EC7">
      <w:pPr>
        <w:spacing w:after="0" w:line="240" w:lineRule="auto"/>
        <w:ind w:left="709" w:right="709"/>
        <w:jc w:val="both"/>
        <w:rPr>
          <w:rFonts w:ascii="Verdana" w:hAnsi="Verdana" w:cs="Arial"/>
          <w:sz w:val="20"/>
          <w:szCs w:val="20"/>
        </w:rPr>
      </w:pPr>
    </w:p>
    <w:p w14:paraId="10576522" w14:textId="77777777" w:rsidR="001F2EC7" w:rsidRPr="00667CD6" w:rsidRDefault="001F2EC7" w:rsidP="001F2EC7">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03CF8287" w14:textId="77777777" w:rsidR="001F2EC7" w:rsidRPr="00667CD6" w:rsidRDefault="001F2EC7" w:rsidP="001F2EC7">
      <w:pPr>
        <w:spacing w:after="0" w:line="276" w:lineRule="auto"/>
        <w:ind w:left="709" w:right="709"/>
        <w:jc w:val="both"/>
        <w:rPr>
          <w:rFonts w:ascii="Verdana" w:hAnsi="Verdana" w:cs="Arial"/>
        </w:rPr>
      </w:pPr>
    </w:p>
    <w:p w14:paraId="4ACF18DC" w14:textId="77777777" w:rsidR="001F2EC7" w:rsidRPr="00667CD6" w:rsidRDefault="001F2EC7" w:rsidP="001F2EC7">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05F98305" w14:textId="77777777" w:rsidR="001F2EC7" w:rsidRPr="00667CD6" w:rsidRDefault="001F2EC7" w:rsidP="001F2EC7">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0241B26" w14:textId="77777777" w:rsidR="001F2EC7" w:rsidRDefault="001F2EC7" w:rsidP="001F2EC7">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143273D3" w14:textId="77777777" w:rsidR="001F2EC7" w:rsidRDefault="001F2EC7" w:rsidP="001F2EC7">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E921228" w14:textId="77777777" w:rsidR="001F2EC7" w:rsidRDefault="001F2EC7" w:rsidP="001F2EC7">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74CF84AF" w14:textId="51C4BF24" w:rsidR="001F2EC7" w:rsidRDefault="001F2EC7" w:rsidP="001F2EC7">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w:t>
      </w:r>
      <w:r w:rsidR="00460743">
        <w:rPr>
          <w:rFonts w:ascii="Verdana" w:eastAsia="Times New Roman" w:hAnsi="Verdana" w:cs="Arial"/>
          <w:bCs/>
          <w:lang w:val="es-MX" w:eastAsia="x-none"/>
        </w:rPr>
        <w:t>on</w:t>
      </w:r>
      <w:r>
        <w:rPr>
          <w:rFonts w:ascii="Verdana" w:eastAsia="Times New Roman" w:hAnsi="Verdana" w:cs="Arial"/>
          <w:bCs/>
          <w:lang w:val="es-MX" w:eastAsia="x-none"/>
        </w:rPr>
        <w:t xml:space="preserve"> el 8 de marzo de 2026. Esta restricción se extiende a las elecciones presidenciales que se celebrarán el 31 de mayo de 2026, así como una posible segunda vuelta tres semanas después, es decir, el 21 de junio de 2026. </w:t>
      </w:r>
    </w:p>
    <w:p w14:paraId="58222D07" w14:textId="77777777" w:rsidR="001F2EC7" w:rsidRDefault="001F2EC7" w:rsidP="001F2EC7">
      <w:pPr>
        <w:spacing w:after="12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32263E56" w14:textId="77777777" w:rsidR="001F2EC7" w:rsidRDefault="001F2EC7" w:rsidP="001F2EC7">
      <w:pPr>
        <w:spacing w:after="0" w:line="276" w:lineRule="auto"/>
        <w:ind w:firstLine="708"/>
        <w:jc w:val="both"/>
        <w:rPr>
          <w:rFonts w:ascii="Verdana" w:eastAsia="Calibri" w:hAnsi="Verdana" w:cs="Arial"/>
          <w:lang w:val="es-ES" w:eastAsia="es-ES"/>
        </w:rPr>
      </w:pPr>
      <w:r>
        <w:rPr>
          <w:rFonts w:ascii="Verdana" w:eastAsia="Calibri" w:hAnsi="Verdana" w:cs="Arial"/>
          <w:lang w:val="es-ES" w:eastAsia="es-ES"/>
        </w:rPr>
        <w:t xml:space="preserve">De acuerdo con lo anterior se presentan las siguientes conclusiones: </w:t>
      </w:r>
    </w:p>
    <w:p w14:paraId="00322617" w14:textId="77777777" w:rsidR="001F2EC7" w:rsidRDefault="001F2EC7" w:rsidP="001F2EC7">
      <w:pPr>
        <w:spacing w:after="0" w:line="240" w:lineRule="auto"/>
        <w:jc w:val="both"/>
        <w:rPr>
          <w:rFonts w:ascii="Verdana" w:eastAsia="Calibri" w:hAnsi="Verdana" w:cs="Arial"/>
          <w:lang w:val="es-ES" w:eastAsia="es-ES"/>
        </w:rPr>
      </w:pPr>
    </w:p>
    <w:p w14:paraId="1EEBE05A" w14:textId="77777777" w:rsidR="001F2EC7" w:rsidRPr="00E64C1B" w:rsidRDefault="001F2EC7" w:rsidP="001F2EC7">
      <w:pPr>
        <w:pStyle w:val="Prrafodelista"/>
        <w:numPr>
          <w:ilvl w:val="0"/>
          <w:numId w:val="19"/>
        </w:numPr>
        <w:spacing w:after="120" w:line="276" w:lineRule="auto"/>
        <w:ind w:left="357" w:hanging="357"/>
        <w:jc w:val="both"/>
        <w:rPr>
          <w:rFonts w:ascii="Verdana" w:hAnsi="Verdana" w:cs="Arial"/>
          <w:bCs/>
          <w:color w:val="000000" w:themeColor="text1"/>
          <w:lang w:val="es-MX" w:eastAsia="x-none"/>
        </w:rPr>
      </w:pPr>
      <w:r w:rsidRPr="00954F55">
        <w:rPr>
          <w:rFonts w:ascii="Verdana" w:eastAsia="Calibri" w:hAnsi="Verdana" w:cs="Arial"/>
          <w:lang w:eastAsia="es-ES"/>
        </w:rPr>
        <w:t xml:space="preserve">Las restricciones contenidas en el artículo 33 de la Ley 996 de 2005 aplica para “la contratación directa” de todos los entes del Estado, </w:t>
      </w:r>
      <w:r w:rsidRPr="00954F5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954F55">
        <w:rPr>
          <w:rFonts w:ascii="Verdana" w:eastAsia="Calibri" w:hAnsi="Verdana" w:cs="Arial"/>
          <w:lang w:eastAsia="es-ES"/>
        </w:rPr>
        <w:t xml:space="preserve">Se trata de la prohibición de </w:t>
      </w:r>
      <w:r w:rsidRPr="00954F55">
        <w:rPr>
          <w:rFonts w:ascii="Verdana" w:hAnsi="Verdana" w:cs="Arial"/>
          <w:bCs/>
          <w:lang w:eastAsia="x-none"/>
        </w:rPr>
        <w:t>aquellos contratos en los que no exista un proceso abierto y competitivo.</w:t>
      </w:r>
      <w:r w:rsidRPr="00954F5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w:t>
      </w:r>
      <w:r>
        <w:rPr>
          <w:rFonts w:ascii="Verdana" w:hAnsi="Verdana" w:cs="Arial"/>
          <w:lang w:eastAsia="x-none"/>
        </w:rPr>
        <w:t xml:space="preserve"> o los procesos competitivos establecidos en los manuales de contratación de las entidades con regímenes exceptuados</w:t>
      </w:r>
      <w:r w:rsidRPr="00954F55">
        <w:rPr>
          <w:rFonts w:ascii="Verdana" w:hAnsi="Verdana" w:cs="Arial"/>
          <w:lang w:eastAsia="x-none"/>
        </w:rPr>
        <w:t xml:space="preserve">. Adicionalmente, la celebración de la contratación directa </w:t>
      </w:r>
      <w:r w:rsidRPr="00954F55">
        <w:rPr>
          <w:rFonts w:ascii="Verdana" w:eastAsia="Calibri" w:hAnsi="Verdana" w:cs="Arial"/>
          <w:lang w:val="es-CO"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954F55">
        <w:rPr>
          <w:rStyle w:val="Refdenotaalpie"/>
          <w:rFonts w:ascii="Verdana" w:eastAsia="Calibri" w:hAnsi="Verdana" w:cs="Arial"/>
          <w:lang w:val="es-CO" w:eastAsia="es-ES"/>
        </w:rPr>
        <w:footnoteReference w:id="36"/>
      </w:r>
      <w:r w:rsidRPr="00954F55">
        <w:rPr>
          <w:rFonts w:ascii="Verdana" w:eastAsia="Calibri" w:hAnsi="Verdana" w:cs="Arial"/>
          <w:lang w:val="es-CO" w:eastAsia="es-ES"/>
        </w:rPr>
        <w:t xml:space="preserve">. </w:t>
      </w:r>
    </w:p>
    <w:p w14:paraId="5A0AA5AD" w14:textId="77777777" w:rsidR="001F2EC7" w:rsidRPr="00E64C1B" w:rsidRDefault="001F2EC7" w:rsidP="001F2EC7">
      <w:pPr>
        <w:pStyle w:val="Prrafodelista"/>
        <w:spacing w:after="0" w:line="240" w:lineRule="auto"/>
        <w:ind w:left="0"/>
        <w:jc w:val="both"/>
        <w:rPr>
          <w:rFonts w:ascii="Verdana" w:hAnsi="Verdana" w:cs="Arial"/>
          <w:bCs/>
          <w:color w:val="000000" w:themeColor="text1"/>
          <w:lang w:val="es-MX" w:eastAsia="x-none"/>
        </w:rPr>
      </w:pPr>
    </w:p>
    <w:p w14:paraId="6582C2ED" w14:textId="77777777" w:rsidR="001F2EC7" w:rsidRDefault="001F2EC7" w:rsidP="001F2EC7">
      <w:pPr>
        <w:pStyle w:val="Prrafodelista"/>
        <w:numPr>
          <w:ilvl w:val="0"/>
          <w:numId w:val="19"/>
        </w:numPr>
        <w:spacing w:after="120" w:line="276" w:lineRule="auto"/>
        <w:ind w:left="357" w:hanging="357"/>
        <w:jc w:val="both"/>
        <w:rPr>
          <w:rFonts w:ascii="Verdana" w:eastAsia="Calibri" w:hAnsi="Verdana" w:cs="Arial"/>
          <w:lang w:eastAsia="es-ES"/>
        </w:rPr>
      </w:pPr>
      <w:r w:rsidRPr="00E64C1B">
        <w:rPr>
          <w:rFonts w:ascii="Verdana" w:eastAsia="Calibri" w:hAnsi="Verdana" w:cs="Arial"/>
          <w:lang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647CD935" w14:textId="77777777" w:rsidR="001F2EC7" w:rsidRPr="00E80F85" w:rsidRDefault="001F2EC7" w:rsidP="001F2EC7">
      <w:pPr>
        <w:pStyle w:val="Prrafodelista"/>
        <w:spacing w:after="0" w:line="240" w:lineRule="auto"/>
        <w:ind w:left="0"/>
        <w:rPr>
          <w:rFonts w:ascii="Verdana" w:eastAsia="Calibri" w:hAnsi="Verdana" w:cs="Arial"/>
          <w:lang w:eastAsia="es-ES"/>
        </w:rPr>
      </w:pPr>
    </w:p>
    <w:p w14:paraId="24A5C1AA" w14:textId="77777777" w:rsidR="001F2EC7" w:rsidRDefault="001F2EC7" w:rsidP="001F2EC7">
      <w:pPr>
        <w:pStyle w:val="Prrafodelista"/>
        <w:numPr>
          <w:ilvl w:val="0"/>
          <w:numId w:val="19"/>
        </w:numPr>
        <w:spacing w:after="120" w:line="276" w:lineRule="auto"/>
        <w:ind w:left="360"/>
        <w:jc w:val="both"/>
        <w:rPr>
          <w:rFonts w:ascii="Verdana" w:eastAsia="Calibri" w:hAnsi="Verdana" w:cs="Arial"/>
          <w:lang w:eastAsia="es-ES"/>
        </w:rPr>
      </w:pPr>
      <w:r w:rsidRPr="00E80F85">
        <w:rPr>
          <w:rFonts w:ascii="Verdana" w:eastAsia="Calibri" w:hAnsi="Verdana" w:cs="Arial"/>
          <w:lang w:eastAsia="es-ES"/>
        </w:rPr>
        <w:t xml:space="preserve">La restricción definida en el </w:t>
      </w:r>
      <w:r>
        <w:rPr>
          <w:rFonts w:ascii="Verdana" w:eastAsia="Calibri" w:hAnsi="Verdana" w:cs="Arial"/>
          <w:lang w:eastAsia="es-ES"/>
        </w:rPr>
        <w:t xml:space="preserve">parágrafo del </w:t>
      </w:r>
      <w:r w:rsidRPr="00E80F85">
        <w:rPr>
          <w:rFonts w:ascii="Verdana" w:eastAsia="Calibri" w:hAnsi="Verdana" w:cs="Arial"/>
          <w:lang w:eastAsia="es-ES"/>
        </w:rPr>
        <w:t>artículo 38 de la Ley 996 de 2005 se refiere a la celebración de convenios interadministrativos para la ejecución de recursos públicos, independientemente de que se configuren los supuestos de excepción que señala en artículo 33 de la misma ley.</w:t>
      </w:r>
      <w:r>
        <w:rPr>
          <w:rFonts w:ascii="Verdana" w:eastAsia="Calibri" w:hAnsi="Verdana" w:cs="Arial"/>
          <w:lang w:eastAsia="es-ES"/>
        </w:rPr>
        <w:t xml:space="preserve"> </w:t>
      </w:r>
      <w:r w:rsidRPr="00E80F85">
        <w:rPr>
          <w:rFonts w:ascii="Verdana" w:eastAsia="Calibri" w:hAnsi="Verdana" w:cs="Arial"/>
          <w:lang w:eastAsia="es-ES"/>
        </w:rPr>
        <w:t xml:space="preserve"> </w:t>
      </w:r>
    </w:p>
    <w:p w14:paraId="06035075" w14:textId="77777777" w:rsidR="001F2EC7" w:rsidRPr="00DD5A6D" w:rsidRDefault="001F2EC7" w:rsidP="001F2EC7">
      <w:pPr>
        <w:pStyle w:val="Prrafodelista"/>
        <w:spacing w:after="0" w:line="240" w:lineRule="auto"/>
        <w:rPr>
          <w:rFonts w:ascii="Verdana" w:eastAsia="Calibri" w:hAnsi="Verdana" w:cs="Arial"/>
          <w:lang w:eastAsia="es-ES"/>
        </w:rPr>
      </w:pPr>
    </w:p>
    <w:p w14:paraId="483246BC" w14:textId="77777777" w:rsidR="001F2EC7" w:rsidRDefault="001F2EC7" w:rsidP="001F2EC7">
      <w:pPr>
        <w:pStyle w:val="Prrafodelista"/>
        <w:numPr>
          <w:ilvl w:val="0"/>
          <w:numId w:val="19"/>
        </w:numPr>
        <w:spacing w:after="120" w:line="276" w:lineRule="auto"/>
        <w:ind w:left="357" w:hanging="357"/>
        <w:jc w:val="both"/>
        <w:rPr>
          <w:rFonts w:ascii="Verdana" w:eastAsia="Calibri" w:hAnsi="Verdana" w:cs="Arial"/>
          <w:lang w:eastAsia="es-ES"/>
        </w:rPr>
      </w:pPr>
      <w:r>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w:t>
      </w:r>
      <w:r w:rsidRPr="00F35E92">
        <w:rPr>
          <w:rFonts w:ascii="Verdana" w:eastAsia="Calibri" w:hAnsi="Verdana" w:cs="Arial"/>
          <w:lang w:eastAsia="es-ES"/>
        </w:rPr>
        <w:t xml:space="preserve">parcial del numeral 16.2 de la Circular Externa Única de 2022, por lo tanto, cuando dos entidades públicas celebran un contrato interadministrativo, independientemente del objeto, dicho contrato puede suscribirse durante el periodo preelectoral. </w:t>
      </w:r>
    </w:p>
    <w:p w14:paraId="4BD076E8" w14:textId="77777777" w:rsidR="001F2EC7" w:rsidRPr="00A97278" w:rsidRDefault="001F2EC7" w:rsidP="001F2EC7">
      <w:pPr>
        <w:pStyle w:val="Prrafodelista"/>
        <w:spacing w:after="0" w:line="240" w:lineRule="auto"/>
        <w:rPr>
          <w:rFonts w:ascii="Verdana" w:eastAsia="Calibri" w:hAnsi="Verdana" w:cs="Arial"/>
          <w:lang w:eastAsia="es-ES"/>
        </w:rPr>
      </w:pPr>
    </w:p>
    <w:p w14:paraId="176E8F9B" w14:textId="77777777" w:rsidR="001F2EC7" w:rsidRPr="00C57B8D" w:rsidRDefault="001F2EC7" w:rsidP="001F2EC7">
      <w:pPr>
        <w:pStyle w:val="Prrafodelista"/>
        <w:numPr>
          <w:ilvl w:val="0"/>
          <w:numId w:val="19"/>
        </w:numPr>
        <w:spacing w:after="120" w:line="276" w:lineRule="auto"/>
        <w:ind w:left="357" w:hanging="357"/>
        <w:jc w:val="both"/>
        <w:rPr>
          <w:rFonts w:ascii="Verdana" w:eastAsia="Calibri" w:hAnsi="Verdana" w:cs="Arial"/>
          <w:lang w:eastAsia="es-ES"/>
        </w:rPr>
      </w:pPr>
      <w:r w:rsidRPr="00A97278">
        <w:rPr>
          <w:rFonts w:ascii="Verdana" w:eastAsia="Calibri" w:hAnsi="Verdana" w:cs="Arial"/>
          <w:lang w:eastAsia="es-ES"/>
        </w:rPr>
        <w:t>Actualmente, las restricciones del artículo 33 y del parágrafo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0787E150" w14:textId="77777777" w:rsidR="001F2EC7" w:rsidRPr="001450CA" w:rsidRDefault="001F2EC7" w:rsidP="001F2EC7">
      <w:pPr>
        <w:pStyle w:val="Prrafodelista"/>
        <w:spacing w:after="120" w:line="276" w:lineRule="auto"/>
        <w:ind w:left="0"/>
        <w:rPr>
          <w:rFonts w:ascii="Verdana" w:eastAsia="Calibri" w:hAnsi="Verdana" w:cs="Arial"/>
          <w:lang w:eastAsia="es-ES"/>
        </w:rPr>
      </w:pPr>
    </w:p>
    <w:p w14:paraId="7DDEA477" w14:textId="1C79EDBB" w:rsidR="007E70A5" w:rsidRPr="008B60E4" w:rsidRDefault="001F2EC7" w:rsidP="007E70A5">
      <w:pPr>
        <w:pStyle w:val="Prrafodelista"/>
        <w:numPr>
          <w:ilvl w:val="0"/>
          <w:numId w:val="19"/>
        </w:numPr>
        <w:spacing w:after="120" w:line="276" w:lineRule="auto"/>
        <w:ind w:left="357" w:hanging="357"/>
        <w:jc w:val="both"/>
        <w:rPr>
          <w:rFonts w:ascii="Verdana" w:eastAsia="Calibri" w:hAnsi="Verdana" w:cs="Arial"/>
          <w:lang w:eastAsia="es-ES"/>
        </w:rPr>
      </w:pPr>
      <w:r w:rsidRPr="001450CA">
        <w:rPr>
          <w:rFonts w:ascii="Verdana" w:eastAsia="Calibri" w:hAnsi="Verdana" w:cs="Arial"/>
          <w:lang w:eastAsia="es-ES"/>
        </w:rPr>
        <w:t>De acuerdo con lo anterior, la restricción del parágrafo del artículo 38 de la Ley 996 de 2005 aplica desde el 8 de noviembre de 2025 y para las elecciones presidenciales desde el 31 de enero de 2026, con ocasión de lo dispuesto en la Resolución 02580 del 5 de marzo de 2025 expedida por la Registraduría Nacional del Estado Civil que dispuso que las elecciones de senado y cámara se celebrarán el 8 de marzo de 2026 y las presidenciales el 31 de mayo de 2026.</w:t>
      </w:r>
    </w:p>
    <w:p w14:paraId="73D8BEDB" w14:textId="59B81028" w:rsidR="007E70A5" w:rsidRPr="0012093A" w:rsidRDefault="007E70A5" w:rsidP="007E70A5">
      <w:pPr>
        <w:spacing w:after="120" w:line="276" w:lineRule="auto"/>
        <w:ind w:firstLine="709"/>
        <w:jc w:val="both"/>
        <w:rPr>
          <w:rFonts w:ascii="Verdana" w:eastAsia="Times New Roman" w:hAnsi="Verdana" w:cs="Arial"/>
          <w:lang w:val="es-MX" w:eastAsia="x-none"/>
        </w:rPr>
      </w:pPr>
      <w:r>
        <w:rPr>
          <w:rFonts w:ascii="Verdana" w:eastAsia="Times New Roman" w:hAnsi="Verdana" w:cs="Arial"/>
          <w:bCs/>
          <w:lang w:eastAsia="es-CO"/>
        </w:rPr>
        <w:t xml:space="preserve">Ahora bien, para dar respuesta al primer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5D1EC301" w14:textId="77777777" w:rsidR="007E70A5" w:rsidRPr="00377ED6" w:rsidRDefault="007E70A5" w:rsidP="007E70A5">
      <w:pPr>
        <w:spacing w:before="120" w:after="120" w:line="276" w:lineRule="auto"/>
        <w:ind w:firstLine="709"/>
        <w:jc w:val="both"/>
        <w:rPr>
          <w:rFonts w:ascii="Verdana" w:eastAsia="Calibri" w:hAnsi="Verdana" w:cs="Arial"/>
          <w:lang w:val="es-ES"/>
        </w:rPr>
      </w:pPr>
      <w:bookmarkStart w:id="21"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bookmarkEnd w:id="21"/>
    </w:p>
    <w:p w14:paraId="002BE97D" w14:textId="77777777" w:rsidR="007E70A5" w:rsidRDefault="007E70A5" w:rsidP="007E70A5">
      <w:pPr>
        <w:spacing w:before="120" w:after="120" w:line="276" w:lineRule="auto"/>
        <w:ind w:firstLine="709"/>
        <w:jc w:val="both"/>
        <w:rPr>
          <w:rFonts w:ascii="Verdana" w:eastAsia="Calibri" w:hAnsi="Verdana" w:cs="Arial"/>
          <w:lang w:val="es-ES"/>
        </w:rPr>
      </w:pPr>
      <w:bookmarkStart w:id="22"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2FA91802" w14:textId="77777777" w:rsidR="007E70A5" w:rsidRDefault="007E70A5" w:rsidP="007E70A5">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050AD607" w14:textId="77777777" w:rsidR="007E70A5" w:rsidRDefault="007E70A5" w:rsidP="007E70A5">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 xml:space="preserve">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(ii) definición de un plazo razonable para que las entidades privadas sin ánimo de lucro de reconocida idoneidad presenten a la Entidad Estatal sus ofertas y los documentos que acrediten su idoneidad, y (iii) evaluación de las ofertas por parte de la Entidad Estatal teniendo en cuenta los criterios definidos para el efecto. </w:t>
      </w:r>
    </w:p>
    <w:p w14:paraId="0BC18F7B" w14:textId="77777777" w:rsidR="007E70A5" w:rsidRDefault="007E70A5" w:rsidP="007E70A5">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la celebración de los contratos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22"/>
    <w:p w14:paraId="1BAA195C" w14:textId="77777777" w:rsidR="007E70A5" w:rsidRPr="00377ED6" w:rsidRDefault="007E70A5" w:rsidP="007E70A5">
      <w:pPr>
        <w:spacing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37"/>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w:t>
      </w:r>
      <w:proofErr w:type="gramStart"/>
      <w:r w:rsidRPr="00377ED6">
        <w:rPr>
          <w:rFonts w:ascii="Verdana" w:eastAsia="Calibri" w:hAnsi="Verdana" w:cs="Arial"/>
          <w:bCs/>
          <w:lang w:val="es-ES_tradnl"/>
        </w:rPr>
        <w:t>y</w:t>
      </w:r>
      <w:proofErr w:type="gramEnd"/>
      <w:r w:rsidRPr="00377ED6">
        <w:rPr>
          <w:rFonts w:ascii="Verdana" w:eastAsia="Calibri" w:hAnsi="Verdana" w:cs="Arial"/>
          <w:bCs/>
          <w:lang w:val="es-ES_tradnl"/>
        </w:rPr>
        <w:t xml:space="preserve"> por </w:t>
      </w:r>
      <w:r>
        <w:rPr>
          <w:rFonts w:ascii="Verdana" w:eastAsia="Calibri" w:hAnsi="Verdana" w:cs="Arial"/>
          <w:bCs/>
          <w:lang w:val="es-ES_tradnl"/>
        </w:rPr>
        <w:t xml:space="preserve">lo </w:t>
      </w:r>
      <w:r w:rsidRPr="00377ED6">
        <w:rPr>
          <w:rFonts w:ascii="Verdana" w:eastAsia="Calibri" w:hAnsi="Verdana" w:cs="Arial"/>
          <w:bCs/>
          <w:lang w:val="es-ES_tradnl"/>
        </w:rPr>
        <w:t>tanto, la entidad no instruye al contratista para desarrollar los programas o actividades previstas, sino que se asocia con él para el cumplimiento de objetivos comunes</w:t>
      </w:r>
      <w:r w:rsidRPr="00377ED6">
        <w:rPr>
          <w:rFonts w:ascii="Verdana" w:hAnsi="Verdana" w:cs="Arial"/>
          <w:vertAlign w:val="superscript"/>
        </w:rPr>
        <w:footnoteReference w:id="38"/>
      </w:r>
      <w:r w:rsidRPr="00377ED6">
        <w:rPr>
          <w:rFonts w:ascii="Verdana" w:eastAsia="Calibri" w:hAnsi="Verdana" w:cs="Arial"/>
          <w:bCs/>
          <w:lang w:val="es-ES_tradnl"/>
        </w:rPr>
        <w:t>.</w:t>
      </w:r>
    </w:p>
    <w:p w14:paraId="679B9052" w14:textId="77777777" w:rsidR="007E70A5" w:rsidRPr="00377ED6" w:rsidRDefault="007E70A5" w:rsidP="007E70A5">
      <w:pPr>
        <w:spacing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55FC98F1" w14:textId="77777777" w:rsidR="007E70A5" w:rsidRPr="00377ED6" w:rsidRDefault="007E70A5" w:rsidP="007E70A5">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568438C1" w14:textId="77777777" w:rsidR="007E70A5" w:rsidRPr="00377ED6" w:rsidRDefault="007E70A5" w:rsidP="007E70A5">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39"/>
      </w:r>
      <w:r w:rsidRPr="00377ED6">
        <w:rPr>
          <w:rFonts w:ascii="Verdana" w:hAnsi="Verdana" w:cs="Arial"/>
          <w:color w:val="000000" w:themeColor="text1"/>
          <w:lang w:val="es-MX"/>
        </w:rPr>
        <w:t>. Así lo consideró la Sala de Consulta y Servicio Civil del Consejo de Estado:</w:t>
      </w:r>
    </w:p>
    <w:p w14:paraId="298230D6" w14:textId="77777777" w:rsidR="007E70A5" w:rsidRPr="00377ED6" w:rsidRDefault="007E70A5" w:rsidP="007E70A5">
      <w:pPr>
        <w:spacing w:after="0" w:line="276" w:lineRule="auto"/>
        <w:jc w:val="both"/>
        <w:rPr>
          <w:rFonts w:ascii="Verdana" w:hAnsi="Verdana" w:cs="Arial"/>
          <w:color w:val="000000" w:themeColor="text1"/>
          <w:lang w:val="es-MX"/>
        </w:rPr>
      </w:pPr>
    </w:p>
    <w:p w14:paraId="02984ABA" w14:textId="77777777" w:rsidR="007E70A5" w:rsidRPr="003E7CD1" w:rsidRDefault="007E70A5" w:rsidP="007E70A5">
      <w:pPr>
        <w:tabs>
          <w:tab w:val="left" w:pos="8080"/>
        </w:tabs>
        <w:spacing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3E7CD1">
        <w:rPr>
          <w:rFonts w:ascii="Verdana" w:eastAsia="Calibri" w:hAnsi="Verdana" w:cs="Arial"/>
          <w:color w:val="000000" w:themeColor="text1"/>
          <w:sz w:val="20"/>
          <w:szCs w:val="20"/>
        </w:rPr>
        <w:t>y</w:t>
      </w:r>
      <w:proofErr w:type="gramEnd"/>
      <w:r w:rsidRPr="003E7CD1">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277771E7" w14:textId="77777777" w:rsidR="007E70A5" w:rsidRPr="003E7CD1" w:rsidRDefault="007E70A5" w:rsidP="007E70A5">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40"/>
      </w:r>
      <w:r w:rsidRPr="003E7CD1">
        <w:rPr>
          <w:rFonts w:ascii="Verdana" w:eastAsia="Calibri" w:hAnsi="Verdana" w:cs="Arial"/>
          <w:color w:val="000000" w:themeColor="text1"/>
          <w:sz w:val="20"/>
          <w:szCs w:val="20"/>
        </w:rPr>
        <w:t>.</w:t>
      </w:r>
    </w:p>
    <w:p w14:paraId="2C596477" w14:textId="77777777" w:rsidR="007E70A5" w:rsidRPr="00377ED6" w:rsidRDefault="007E70A5" w:rsidP="007E70A5">
      <w:pPr>
        <w:spacing w:after="0" w:line="276" w:lineRule="auto"/>
        <w:ind w:firstLine="708"/>
        <w:jc w:val="both"/>
        <w:rPr>
          <w:rFonts w:ascii="Verdana" w:eastAsia="Calibri" w:hAnsi="Verdana" w:cs="Arial"/>
          <w:color w:val="000000" w:themeColor="text1"/>
        </w:rPr>
      </w:pPr>
      <w:bookmarkStart w:id="23" w:name="_Hlk95756200"/>
    </w:p>
    <w:p w14:paraId="7C7006E3" w14:textId="77777777" w:rsidR="007E70A5" w:rsidRPr="00377ED6" w:rsidRDefault="007E70A5" w:rsidP="007E70A5">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23"/>
      <w:r w:rsidRPr="00377ED6">
        <w:rPr>
          <w:rFonts w:ascii="Verdana" w:eastAsia="Calibri" w:hAnsi="Verdana" w:cs="Arial"/>
          <w:color w:val="000000" w:themeColor="text1"/>
        </w:rPr>
        <w:t>Así lo reconoció la Corte Constitucional en la sentencia C-287 del 18 de abril de 2012, en la que sostuvo lo siguiente:</w:t>
      </w:r>
    </w:p>
    <w:p w14:paraId="70C5349D" w14:textId="77777777" w:rsidR="007E70A5" w:rsidRPr="00377ED6" w:rsidRDefault="007E70A5" w:rsidP="007E70A5">
      <w:pPr>
        <w:spacing w:after="0" w:line="240" w:lineRule="auto"/>
        <w:ind w:firstLine="709"/>
        <w:jc w:val="both"/>
        <w:rPr>
          <w:rFonts w:ascii="Verdana" w:eastAsia="Calibri" w:hAnsi="Verdana" w:cs="Arial"/>
          <w:color w:val="000000" w:themeColor="text1"/>
        </w:rPr>
      </w:pPr>
    </w:p>
    <w:p w14:paraId="58805881" w14:textId="77777777" w:rsidR="007E70A5" w:rsidRPr="003E7CD1" w:rsidRDefault="007E70A5" w:rsidP="007E70A5">
      <w:pPr>
        <w:spacing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4ED0353D" w14:textId="77777777" w:rsidR="007E70A5" w:rsidRPr="003E7CD1" w:rsidRDefault="007E70A5" w:rsidP="007E70A5">
      <w:pPr>
        <w:spacing w:after="0" w:line="240" w:lineRule="auto"/>
        <w:ind w:left="709" w:right="616"/>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 xml:space="preserve">Sin embargo, el hecho que no persigan una finalidad </w:t>
      </w:r>
      <w:proofErr w:type="gramStart"/>
      <w:r w:rsidRPr="003E7CD1">
        <w:rPr>
          <w:rFonts w:ascii="Verdana" w:eastAsia="Calibri" w:hAnsi="Verdana" w:cs="Arial"/>
          <w:i/>
          <w:iCs/>
          <w:color w:val="000000" w:themeColor="text1"/>
          <w:sz w:val="20"/>
          <w:szCs w:val="20"/>
        </w:rPr>
        <w:t>lucrativa,</w:t>
      </w:r>
      <w:proofErr w:type="gramEnd"/>
      <w:r w:rsidRPr="003E7CD1">
        <w:rPr>
          <w:rFonts w:ascii="Verdana" w:eastAsia="Calibri" w:hAnsi="Verdana" w:cs="Arial"/>
          <w:i/>
          <w:iCs/>
          <w:color w:val="000000" w:themeColor="text1"/>
          <w:sz w:val="20"/>
          <w:szCs w:val="20"/>
        </w:rPr>
        <w:t xml:space="preserve"> no significa que no desarrollen actividades que generen utilidades, lo que pasa es </w:t>
      </w:r>
      <w:proofErr w:type="gramStart"/>
      <w:r w:rsidRPr="003E7CD1">
        <w:rPr>
          <w:rFonts w:ascii="Verdana" w:eastAsia="Calibri" w:hAnsi="Verdana" w:cs="Arial"/>
          <w:i/>
          <w:iCs/>
          <w:color w:val="000000" w:themeColor="text1"/>
          <w:sz w:val="20"/>
          <w:szCs w:val="20"/>
        </w:rPr>
        <w:t>que</w:t>
      </w:r>
      <w:proofErr w:type="gramEnd"/>
      <w:r w:rsidRPr="003E7CD1">
        <w:rPr>
          <w:rFonts w:ascii="Verdana" w:eastAsia="Calibri" w:hAnsi="Verdana" w:cs="Arial"/>
          <w:i/>
          <w:iCs/>
          <w:color w:val="000000" w:themeColor="text1"/>
          <w:sz w:val="20"/>
          <w:szCs w:val="20"/>
        </w:rPr>
        <w:t xml:space="preserve"> a diferencia de las sociedades, el lucro o ganancia obtenida no se reparte entre sus </w:t>
      </w:r>
      <w:proofErr w:type="gramStart"/>
      <w:r w:rsidRPr="003E7CD1">
        <w:rPr>
          <w:rFonts w:ascii="Verdana" w:eastAsia="Calibri" w:hAnsi="Verdana" w:cs="Arial"/>
          <w:i/>
          <w:iCs/>
          <w:color w:val="000000" w:themeColor="text1"/>
          <w:sz w:val="20"/>
          <w:szCs w:val="20"/>
        </w:rPr>
        <w:t>miembros</w:t>
      </w:r>
      <w:proofErr w:type="gramEnd"/>
      <w:r w:rsidRPr="003E7CD1">
        <w:rPr>
          <w:rFonts w:ascii="Verdana" w:eastAsia="Calibri" w:hAnsi="Verdana" w:cs="Arial"/>
          <w:i/>
          <w:iCs/>
          <w:color w:val="000000" w:themeColor="text1"/>
          <w:sz w:val="20"/>
          <w:szCs w:val="20"/>
        </w:rPr>
        <w:t xml:space="preserve"> sino que se integra al patrimonio de la asociación para la obtención del fin deseado</w:t>
      </w:r>
      <w:r w:rsidRPr="003E7CD1">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3E7CD1">
        <w:rPr>
          <w:rFonts w:ascii="Verdana" w:eastAsia="Calibri" w:hAnsi="Verdana" w:cs="Arial"/>
          <w:color w:val="000000" w:themeColor="text1"/>
          <w:sz w:val="20"/>
          <w:szCs w:val="20"/>
        </w:rPr>
        <w:t>del mismo</w:t>
      </w:r>
      <w:proofErr w:type="gramEnd"/>
      <w:r w:rsidRPr="003E7CD1">
        <w:rPr>
          <w:rFonts w:ascii="Verdana" w:eastAsia="Calibri" w:hAnsi="Verdana" w:cs="Arial"/>
          <w:color w:val="000000" w:themeColor="text1"/>
          <w:sz w:val="20"/>
          <w:szCs w:val="20"/>
        </w:rPr>
        <w:t xml:space="preserve"> en el momento de su disolución o liquidación”. (Cursivas propias)</w:t>
      </w:r>
    </w:p>
    <w:p w14:paraId="24973FFA" w14:textId="77777777" w:rsidR="007E70A5" w:rsidRPr="00377ED6" w:rsidRDefault="007E70A5" w:rsidP="007E70A5">
      <w:pPr>
        <w:spacing w:after="0" w:line="276" w:lineRule="auto"/>
        <w:ind w:firstLine="709"/>
        <w:jc w:val="both"/>
        <w:rPr>
          <w:rFonts w:ascii="Verdana" w:eastAsia="Calibri" w:hAnsi="Verdana" w:cs="Arial"/>
          <w:color w:val="000000" w:themeColor="text1"/>
        </w:rPr>
      </w:pPr>
    </w:p>
    <w:p w14:paraId="597E12FD" w14:textId="77777777" w:rsidR="007E70A5" w:rsidRPr="00377ED6" w:rsidRDefault="007E70A5" w:rsidP="007E70A5">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54AB6474" w14:textId="77777777" w:rsidR="007E70A5" w:rsidRPr="00377ED6" w:rsidRDefault="007E70A5" w:rsidP="007E70A5">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4E39893C" w14:textId="77777777" w:rsidR="007E70A5" w:rsidRDefault="007E70A5" w:rsidP="007E70A5">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41"/>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1052AD7F" w14:textId="77777777" w:rsidR="007E70A5" w:rsidRDefault="007E70A5" w:rsidP="007E70A5">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w:t>
      </w:r>
      <w:r>
        <w:rPr>
          <w:rFonts w:ascii="Verdana" w:eastAsia="Calibri" w:hAnsi="Verdana" w:cs="Arial"/>
          <w:lang w:val="es-ES"/>
        </w:rPr>
        <w:t>í</w:t>
      </w:r>
      <w:r w:rsidRPr="697BF333">
        <w:rPr>
          <w:rFonts w:ascii="Verdana" w:eastAsia="Calibri" w:hAnsi="Verdana" w:cs="Arial"/>
          <w:lang w:val="es-ES"/>
        </w:rPr>
        <w:t xml:space="preserve"> entra dentro del ámbito de aplicación de la mencionada prohibición, de manera que no es posible su aplicación en vigencia de la restricción a la contratación directa.</w:t>
      </w:r>
    </w:p>
    <w:p w14:paraId="54B661F4" w14:textId="13ED5AA0" w:rsidR="007E70A5" w:rsidRDefault="007E70A5" w:rsidP="007E70A5">
      <w:pPr>
        <w:spacing w:before="120" w:after="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13BA7961" w14:textId="77777777" w:rsidR="007E70A5" w:rsidRPr="00FE6E7F" w:rsidRDefault="007E70A5" w:rsidP="008B60E4">
      <w:pPr>
        <w:spacing w:after="0" w:line="240" w:lineRule="auto"/>
        <w:ind w:firstLine="709"/>
        <w:jc w:val="both"/>
        <w:rPr>
          <w:rFonts w:ascii="Verdana" w:eastAsia="Calibri" w:hAnsi="Verdana" w:cs="Arial"/>
        </w:rPr>
      </w:pPr>
    </w:p>
    <w:p w14:paraId="375C54ED" w14:textId="77777777" w:rsidR="001F2EC7" w:rsidRPr="00137687" w:rsidRDefault="001F2EC7" w:rsidP="001F2EC7">
      <w:pPr>
        <w:pStyle w:val="Textoindependiente"/>
        <w:spacing w:before="0" w:after="0" w:line="276" w:lineRule="auto"/>
        <w:jc w:val="both"/>
        <w:rPr>
          <w:rFonts w:ascii="Verdana" w:hAnsi="Verdana"/>
          <w:sz w:val="22"/>
          <w:szCs w:val="22"/>
          <w:lang w:val="es-ES"/>
        </w:rPr>
      </w:pPr>
      <w:proofErr w:type="spellStart"/>
      <w:r w:rsidRPr="00A97278">
        <w:rPr>
          <w:rFonts w:ascii="Verdana" w:eastAsia="Calibri" w:hAnsi="Verdana" w:cs="Arial"/>
          <w:sz w:val="22"/>
          <w:szCs w:val="22"/>
          <w:lang w:eastAsia="es-ES"/>
        </w:rPr>
        <w:t>ii</w:t>
      </w:r>
      <w:proofErr w:type="spellEnd"/>
      <w:r w:rsidRPr="00A97278">
        <w:rPr>
          <w:rFonts w:ascii="Verdana" w:eastAsia="Calibri" w:hAnsi="Verdana" w:cs="Arial"/>
          <w:sz w:val="22"/>
          <w:szCs w:val="22"/>
          <w:lang w:eastAsia="es-ES"/>
        </w:rPr>
        <w:t xml:space="preserve">) En cuanto al segundo problema jurídico, </w:t>
      </w:r>
      <w:r>
        <w:rPr>
          <w:rFonts w:ascii="Verdana" w:hAnsi="Verdana"/>
          <w:sz w:val="22"/>
          <w:szCs w:val="22"/>
        </w:rPr>
        <w:t xml:space="preserve">es importante destacar </w:t>
      </w:r>
      <w:r w:rsidRPr="00137687">
        <w:rPr>
          <w:rFonts w:ascii="Verdana" w:hAnsi="Verdana"/>
          <w:sz w:val="22"/>
          <w:szCs w:val="22"/>
          <w:lang w:val="es-ES"/>
        </w:rPr>
        <w:t>que todos los servidores públicos que intervienen en la contratación</w:t>
      </w:r>
      <w:r>
        <w:rPr>
          <w:rFonts w:ascii="Verdana" w:hAnsi="Verdana"/>
          <w:sz w:val="22"/>
          <w:szCs w:val="22"/>
          <w:lang w:val="es-ES"/>
        </w:rPr>
        <w:t xml:space="preserve"> estatal regido por el EGCAP y por los regímenes de excepción</w:t>
      </w:r>
      <w:r w:rsidRPr="00137687">
        <w:rPr>
          <w:rFonts w:ascii="Verdana" w:hAnsi="Verdana"/>
          <w:sz w:val="22"/>
          <w:szCs w:val="22"/>
          <w:lang w:val="es-ES"/>
        </w:rPr>
        <w:t xml:space="preserve">, ya sea que lo hagan en calidad de jefes o representantes legales, o en calidad de delegatarios o en calidad de funcionarios a cargo de alguna actuación derivada de la etapa precontractual, contractual o </w:t>
      </w:r>
      <w:proofErr w:type="spellStart"/>
      <w:r w:rsidRPr="00137687">
        <w:rPr>
          <w:rFonts w:ascii="Verdana" w:hAnsi="Verdana"/>
          <w:sz w:val="22"/>
          <w:szCs w:val="22"/>
          <w:lang w:val="es-ES"/>
        </w:rPr>
        <w:t>postcontractual</w:t>
      </w:r>
      <w:proofErr w:type="spellEnd"/>
      <w:r w:rsidRPr="00137687">
        <w:rPr>
          <w:rFonts w:ascii="Verdana" w:hAnsi="Verdana"/>
          <w:sz w:val="22"/>
          <w:szCs w:val="22"/>
          <w:lang w:val="es-ES"/>
        </w:rPr>
        <w:t xml:space="preserve"> del proceso de contratación en razón de sus funciones asignadas en la ley, el reglamento, el manual de funciones o por el superior jerárquico, están sometidos al cumplimiento del principio de responsabilidad previsto en el artículo 26 de la Ley 80 de 1993 que establece lo siguiente: </w:t>
      </w:r>
    </w:p>
    <w:p w14:paraId="6C32D8F2" w14:textId="77777777" w:rsidR="001F2EC7" w:rsidRDefault="001F2EC7" w:rsidP="001F2EC7">
      <w:pPr>
        <w:pStyle w:val="Textoindependiente"/>
        <w:spacing w:before="0" w:after="0"/>
        <w:ind w:left="720" w:right="760"/>
        <w:jc w:val="both"/>
        <w:rPr>
          <w:rFonts w:ascii="Verdana" w:hAnsi="Verdana"/>
          <w:sz w:val="20"/>
          <w:szCs w:val="20"/>
        </w:rPr>
      </w:pPr>
    </w:p>
    <w:p w14:paraId="75B9AC61" w14:textId="77777777" w:rsidR="001F2EC7" w:rsidRPr="00A97278" w:rsidRDefault="001F2EC7" w:rsidP="001F2EC7">
      <w:pPr>
        <w:pStyle w:val="Textoindependiente"/>
        <w:spacing w:before="0" w:after="0"/>
        <w:ind w:left="720" w:right="760"/>
        <w:jc w:val="both"/>
        <w:rPr>
          <w:rFonts w:ascii="Verdana" w:hAnsi="Verdana"/>
          <w:sz w:val="20"/>
          <w:szCs w:val="20"/>
        </w:rPr>
      </w:pPr>
      <w:r w:rsidRPr="00A97278">
        <w:rPr>
          <w:rFonts w:ascii="Verdana" w:hAnsi="Verdana"/>
          <w:sz w:val="20"/>
          <w:szCs w:val="20"/>
        </w:rPr>
        <w:t>“Artículo 26. Del Principio de Responsabilidad. En virtud de este principio:</w:t>
      </w:r>
    </w:p>
    <w:p w14:paraId="6F16F7CD" w14:textId="77777777" w:rsidR="001F2EC7" w:rsidRDefault="001F2EC7" w:rsidP="001F2EC7">
      <w:pPr>
        <w:pStyle w:val="Textoindependiente"/>
        <w:spacing w:before="0" w:after="0"/>
        <w:ind w:left="720" w:right="760"/>
        <w:jc w:val="both"/>
        <w:rPr>
          <w:rFonts w:ascii="Verdana" w:hAnsi="Verdana"/>
          <w:sz w:val="20"/>
          <w:szCs w:val="20"/>
        </w:rPr>
      </w:pPr>
    </w:p>
    <w:p w14:paraId="5F2D6955" w14:textId="77777777" w:rsidR="001F2EC7" w:rsidRPr="00A97278" w:rsidRDefault="001F2EC7" w:rsidP="001F2EC7">
      <w:pPr>
        <w:pStyle w:val="Textoindependiente"/>
        <w:spacing w:before="0" w:after="0"/>
        <w:ind w:left="720" w:right="760"/>
        <w:jc w:val="both"/>
        <w:rPr>
          <w:rFonts w:ascii="Verdana" w:hAnsi="Verdana"/>
          <w:sz w:val="20"/>
          <w:szCs w:val="20"/>
        </w:rPr>
      </w:pPr>
      <w:r w:rsidRPr="00A97278">
        <w:rPr>
          <w:rFonts w:ascii="Verdana" w:hAnsi="Verdana"/>
          <w:sz w:val="20"/>
          <w:szCs w:val="20"/>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p w14:paraId="6C2ED770" w14:textId="77777777" w:rsidR="001F2EC7" w:rsidRDefault="001F2EC7" w:rsidP="001F2EC7">
      <w:pPr>
        <w:pStyle w:val="Textoindependiente"/>
        <w:spacing w:before="0" w:after="0"/>
        <w:ind w:left="720" w:right="760"/>
        <w:jc w:val="both"/>
        <w:rPr>
          <w:rFonts w:ascii="Verdana" w:hAnsi="Verdana"/>
          <w:sz w:val="20"/>
          <w:szCs w:val="20"/>
        </w:rPr>
      </w:pPr>
    </w:p>
    <w:p w14:paraId="5C0BE3AA" w14:textId="77777777" w:rsidR="001F2EC7" w:rsidRPr="00A97278" w:rsidRDefault="001F2EC7" w:rsidP="001F2EC7">
      <w:pPr>
        <w:pStyle w:val="Textoindependiente"/>
        <w:spacing w:before="0" w:after="0"/>
        <w:ind w:left="720" w:right="760"/>
        <w:jc w:val="both"/>
        <w:rPr>
          <w:rFonts w:ascii="Verdana" w:hAnsi="Verdana"/>
          <w:sz w:val="20"/>
          <w:szCs w:val="20"/>
        </w:rPr>
      </w:pPr>
      <w:r w:rsidRPr="00A97278">
        <w:rPr>
          <w:rFonts w:ascii="Verdana" w:hAnsi="Verdana"/>
          <w:sz w:val="20"/>
          <w:szCs w:val="20"/>
        </w:rPr>
        <w:t>2°. Los servidores públicos responderán por sus actuaciones y omisiones antijurídicas y deberán indemnizar los daños que se causen por razón de ellas.</w:t>
      </w:r>
    </w:p>
    <w:p w14:paraId="4F29D3E3" w14:textId="77777777" w:rsidR="001F2EC7" w:rsidRDefault="001F2EC7" w:rsidP="001F2EC7">
      <w:pPr>
        <w:pStyle w:val="Textoindependiente"/>
        <w:spacing w:before="0" w:after="0"/>
        <w:ind w:left="720" w:right="760"/>
        <w:jc w:val="both"/>
        <w:rPr>
          <w:rFonts w:ascii="Verdana" w:hAnsi="Verdana"/>
          <w:sz w:val="20"/>
          <w:szCs w:val="20"/>
        </w:rPr>
      </w:pPr>
    </w:p>
    <w:p w14:paraId="12B29138" w14:textId="77777777" w:rsidR="001F2EC7" w:rsidRPr="00137687" w:rsidRDefault="001F2EC7" w:rsidP="001F2EC7">
      <w:pPr>
        <w:pStyle w:val="Textoindependiente"/>
        <w:spacing w:before="0" w:after="0"/>
        <w:ind w:left="720" w:right="760"/>
        <w:jc w:val="both"/>
        <w:rPr>
          <w:rFonts w:ascii="Verdana" w:hAnsi="Verdana"/>
          <w:i/>
          <w:iCs/>
          <w:sz w:val="22"/>
          <w:szCs w:val="22"/>
        </w:rPr>
      </w:pPr>
      <w:r w:rsidRPr="00A97278">
        <w:rPr>
          <w:rFonts w:ascii="Verdana" w:hAnsi="Verdana"/>
          <w:sz w:val="20"/>
          <w:szCs w:val="20"/>
        </w:rPr>
        <w:t xml:space="preserve">3°. Las entidades y los servidores </w:t>
      </w:r>
      <w:proofErr w:type="gramStart"/>
      <w:r w:rsidRPr="00A97278">
        <w:rPr>
          <w:rFonts w:ascii="Verdana" w:hAnsi="Verdana"/>
          <w:sz w:val="20"/>
          <w:szCs w:val="20"/>
        </w:rPr>
        <w:t>públicos,</w:t>
      </w:r>
      <w:proofErr w:type="gramEnd"/>
      <w:r w:rsidRPr="00A97278">
        <w:rPr>
          <w:rFonts w:ascii="Verdana" w:hAnsi="Verdana"/>
          <w:sz w:val="20"/>
          <w:szCs w:val="20"/>
        </w:rPr>
        <w:t xml:space="preserve"> responderán cuando hubieren abierto licitaciones o concursos sin haber elaborado previamente los correspondientes pliegos de condiciones, diseños, estudios, planos y evaluaciones que fueren necesarios, o cuando los pliegos de condiciones o términos de referencia hayan sido elaborados en forma incompleta, ambigua o confusa que conduzcan a interpretaciones o decisiones de carácter subjetivo por parte de aquellos</w:t>
      </w:r>
      <w:r w:rsidRPr="00137687">
        <w:rPr>
          <w:rFonts w:ascii="Verdana" w:hAnsi="Verdana"/>
          <w:i/>
          <w:iCs/>
          <w:sz w:val="22"/>
          <w:szCs w:val="22"/>
        </w:rPr>
        <w:t>.</w:t>
      </w:r>
    </w:p>
    <w:p w14:paraId="6779DE71" w14:textId="77777777" w:rsidR="001F2EC7" w:rsidRPr="00A97278" w:rsidRDefault="001F2EC7" w:rsidP="001F2EC7">
      <w:pPr>
        <w:pStyle w:val="Textoindependiente"/>
        <w:spacing w:before="0" w:after="0"/>
        <w:ind w:left="720" w:right="760"/>
        <w:jc w:val="both"/>
        <w:rPr>
          <w:rFonts w:ascii="Verdana" w:hAnsi="Verdana"/>
          <w:sz w:val="20"/>
          <w:szCs w:val="20"/>
        </w:rPr>
      </w:pPr>
      <w:r w:rsidRPr="00A97278">
        <w:rPr>
          <w:rFonts w:ascii="Verdana" w:hAnsi="Verdana"/>
          <w:sz w:val="20"/>
          <w:szCs w:val="20"/>
        </w:rPr>
        <w:t>4°. Las actuaciones de los servidores públicos estarán presididas por las reglas sobre administración de bienes ajenos y por los mandatos y postulados que gobiernan una conducta ajustada a la ética y a la justicia.</w:t>
      </w:r>
    </w:p>
    <w:p w14:paraId="495791BB" w14:textId="77777777" w:rsidR="001F2EC7" w:rsidRDefault="001F2EC7" w:rsidP="001F2EC7">
      <w:pPr>
        <w:pStyle w:val="Textoindependiente"/>
        <w:spacing w:before="0" w:after="0"/>
        <w:ind w:left="720" w:right="760"/>
        <w:jc w:val="both"/>
        <w:rPr>
          <w:rFonts w:ascii="Verdana" w:hAnsi="Verdana"/>
          <w:sz w:val="20"/>
          <w:szCs w:val="20"/>
          <w:lang w:val="es-ES_tradnl"/>
        </w:rPr>
      </w:pPr>
      <w:r w:rsidRPr="00A97278">
        <w:rPr>
          <w:rFonts w:ascii="Verdana" w:hAnsi="Verdana"/>
          <w:sz w:val="20"/>
          <w:szCs w:val="20"/>
        </w:rPr>
        <w:t xml:space="preserve">5°. La responsabilidad de la dirección y manejo de la actividad contractual y la de los procesos de selección será del jefe o representante de la entidad estatal quien no podrá trasladarla a las juntas o consejos directivos de la entidad, ni a las corporaciones de elección popular, a los comités asesores, ni a los organismos de control y vigilancia de </w:t>
      </w:r>
      <w:proofErr w:type="gramStart"/>
      <w:r w:rsidRPr="00A97278">
        <w:rPr>
          <w:rFonts w:ascii="Verdana" w:hAnsi="Verdana"/>
          <w:sz w:val="20"/>
          <w:szCs w:val="20"/>
        </w:rPr>
        <w:t>la misma</w:t>
      </w:r>
      <w:proofErr w:type="gramEnd"/>
      <w:r w:rsidRPr="00A97278">
        <w:rPr>
          <w:rFonts w:ascii="Verdana" w:hAnsi="Verdana"/>
          <w:sz w:val="20"/>
          <w:szCs w:val="20"/>
          <w:lang w:val="es-ES_tradnl"/>
        </w:rPr>
        <w:t xml:space="preserve">”.  </w:t>
      </w:r>
    </w:p>
    <w:p w14:paraId="3F7E965D" w14:textId="77777777" w:rsidR="001F2EC7" w:rsidRPr="00A97278" w:rsidRDefault="001F2EC7" w:rsidP="001F2EC7">
      <w:pPr>
        <w:pStyle w:val="Textoindependiente"/>
        <w:spacing w:before="0" w:after="0"/>
        <w:ind w:left="720" w:right="760"/>
        <w:jc w:val="both"/>
        <w:rPr>
          <w:rFonts w:ascii="Verdana" w:hAnsi="Verdana"/>
          <w:sz w:val="20"/>
          <w:szCs w:val="20"/>
          <w:lang w:val="es-ES_tradnl"/>
        </w:rPr>
      </w:pPr>
    </w:p>
    <w:p w14:paraId="765B490B" w14:textId="77777777" w:rsidR="001F2EC7" w:rsidRDefault="001F2EC7" w:rsidP="001F2EC7">
      <w:pPr>
        <w:pStyle w:val="Textoindependiente"/>
        <w:spacing w:before="0" w:after="120" w:line="276" w:lineRule="auto"/>
        <w:ind w:firstLine="709"/>
        <w:jc w:val="both"/>
        <w:rPr>
          <w:rFonts w:ascii="Verdana" w:hAnsi="Verdana"/>
          <w:sz w:val="22"/>
          <w:szCs w:val="22"/>
          <w:lang w:val="es-ES_tradnl"/>
        </w:rPr>
      </w:pPr>
      <w:r w:rsidRPr="00137687">
        <w:rPr>
          <w:rFonts w:ascii="Verdana" w:hAnsi="Verdana"/>
          <w:sz w:val="22"/>
          <w:szCs w:val="22"/>
          <w:lang w:val="es-ES_tradnl"/>
        </w:rPr>
        <w:t>En consecuencia, las actuaciones de los servidores públicos que participan en la contratación estatal están sometidos a los controles jurídicos, de diversa índole, que existen en el ordenamiento jurídico para el efecto, cuyo ejercicio está atribuido a distintas autoridades y procedimientos especiales. Estas autoridades, luego de actuar dentro del marco del principio de legalidad, el derecho al debido proceso y de desvirtuar la garantía de la presunción de inocencia, pueden encontrar la responsabilidad penal, disciplinaria, fiscal y/o patrimonial de los servidores públicos que hayan actuado indebidamente en la actividad contractual del Estado, tal y como lo reafirma el artículo 51 de la ley 80 de 1993: “El servidor público responderá disciplinaria, civil y penalmente por sus acciones y omisiones en la actuación contractual en los términos de la Constitución y de la ley”.</w:t>
      </w:r>
    </w:p>
    <w:p w14:paraId="270E3457" w14:textId="77777777" w:rsidR="001F2EC7" w:rsidRDefault="001F2EC7" w:rsidP="001F2EC7">
      <w:pPr>
        <w:pStyle w:val="Textoindependiente"/>
        <w:spacing w:before="0" w:after="120" w:line="276" w:lineRule="auto"/>
        <w:ind w:firstLine="709"/>
        <w:jc w:val="both"/>
        <w:rPr>
          <w:rFonts w:ascii="Verdana" w:hAnsi="Verdana"/>
          <w:sz w:val="22"/>
          <w:szCs w:val="22"/>
          <w:lang w:val="es-ES"/>
        </w:rPr>
      </w:pPr>
      <w:r w:rsidRPr="00137687">
        <w:rPr>
          <w:rFonts w:ascii="Verdana" w:hAnsi="Verdana"/>
          <w:sz w:val="22"/>
          <w:szCs w:val="22"/>
          <w:lang w:val="es-ES"/>
        </w:rPr>
        <w:t xml:space="preserve">Aun cuando las circunstancias particulares de los juicios de responsabilidad de las conductas atribuibles a un servidor público dependen de las circunstancias y los hechos concretos objeto de análisis por la autoridad competente, se aclara que la </w:t>
      </w:r>
      <w:r w:rsidRPr="00137687">
        <w:rPr>
          <w:rFonts w:ascii="Verdana" w:hAnsi="Verdana"/>
          <w:i/>
          <w:sz w:val="22"/>
          <w:szCs w:val="22"/>
          <w:lang w:val="es-ES"/>
        </w:rPr>
        <w:t>responsabilidad penal</w:t>
      </w:r>
      <w:r w:rsidRPr="00137687">
        <w:rPr>
          <w:rFonts w:ascii="Verdana" w:hAnsi="Verdana"/>
          <w:sz w:val="22"/>
          <w:szCs w:val="22"/>
          <w:lang w:val="es-ES"/>
        </w:rPr>
        <w:t xml:space="preserve"> es personal y se deriva de conductas imputables al servidor público, que en ejercicio o con ocasión de sus funciones, haya vulnerado bienes jurídicos protegidos por la ley penal, con conductas culposas o dolosas catalogadas como delitos. </w:t>
      </w:r>
    </w:p>
    <w:p w14:paraId="66FAC57F" w14:textId="77777777" w:rsidR="001F2EC7" w:rsidRDefault="001F2EC7" w:rsidP="001F2EC7">
      <w:pPr>
        <w:pStyle w:val="Textoindependiente"/>
        <w:spacing w:before="0" w:after="120" w:line="276" w:lineRule="auto"/>
        <w:ind w:firstLine="709"/>
        <w:jc w:val="both"/>
        <w:rPr>
          <w:rFonts w:ascii="Verdana" w:hAnsi="Verdana"/>
          <w:sz w:val="22"/>
          <w:szCs w:val="22"/>
        </w:rPr>
      </w:pPr>
      <w:r>
        <w:rPr>
          <w:rFonts w:ascii="Verdana" w:hAnsi="Verdana"/>
          <w:sz w:val="22"/>
          <w:szCs w:val="22"/>
        </w:rPr>
        <w:t>En este escenario p</w:t>
      </w:r>
      <w:r w:rsidRPr="00FA60A4">
        <w:rPr>
          <w:rFonts w:ascii="Verdana" w:hAnsi="Verdana"/>
          <w:sz w:val="22"/>
          <w:szCs w:val="22"/>
        </w:rPr>
        <w:t>odría configurarse el delito de contrato sin cumplimiento de requisitos legales esenciales (artículo 410 del Código Penal), en la medida en que el servidor público, en ejercicio de sus funciones, estaría adelantando la tramitación o celebración de un contrato estatal desconociendo un requisito legal esencial</w:t>
      </w:r>
      <w:r w:rsidRPr="00FA60A4">
        <w:rPr>
          <w:rStyle w:val="Refdenotaalpie"/>
          <w:rFonts w:ascii="Verdana" w:hAnsi="Verdana"/>
          <w:sz w:val="22"/>
          <w:szCs w:val="22"/>
        </w:rPr>
        <w:footnoteReference w:id="42"/>
      </w:r>
      <w:r w:rsidRPr="00FA60A4">
        <w:rPr>
          <w:rFonts w:ascii="Verdana" w:hAnsi="Verdana"/>
          <w:sz w:val="22"/>
          <w:szCs w:val="22"/>
        </w:rPr>
        <w:t xml:space="preserve">, cual es la prohibición de acudir a la modalidad de contratación directa en el periodo de ley de garantías. </w:t>
      </w:r>
    </w:p>
    <w:p w14:paraId="3D777573" w14:textId="77777777" w:rsidR="001F2EC7" w:rsidRDefault="001F2EC7" w:rsidP="001F2EC7">
      <w:pPr>
        <w:pStyle w:val="Textoindependiente"/>
        <w:spacing w:before="0" w:after="120" w:line="276" w:lineRule="auto"/>
        <w:ind w:firstLine="709"/>
        <w:jc w:val="both"/>
        <w:rPr>
          <w:rFonts w:ascii="Verdana" w:hAnsi="Verdana"/>
          <w:sz w:val="22"/>
          <w:szCs w:val="22"/>
        </w:rPr>
      </w:pPr>
      <w:r w:rsidRPr="00FA60A4">
        <w:rPr>
          <w:rFonts w:ascii="Verdana" w:hAnsi="Verdana"/>
          <w:sz w:val="22"/>
          <w:szCs w:val="22"/>
        </w:rPr>
        <w:t xml:space="preserve">Este requisito ostenta carácter esencial en tanto, el desconocimiento de dicha restricción tendría la potencialidad de generar la nulidad absoluta del contrato estatal, conforme al artículo 44 de la Ley 80 de 1993, al vulnerar una prohibición legal expresa. </w:t>
      </w:r>
      <w:r>
        <w:rPr>
          <w:rFonts w:ascii="Verdana" w:hAnsi="Verdana"/>
          <w:sz w:val="22"/>
          <w:szCs w:val="22"/>
        </w:rPr>
        <w:t xml:space="preserve">Incluso, desde el ámbito de la nulidad mediante la aplicación del derecho privado, el artículo 1741 del Código Civil define la nulidad absoluta del contrato por la presencia de un objeto o causa ilícita, </w:t>
      </w:r>
      <w:r w:rsidRPr="00750AEA">
        <w:rPr>
          <w:rFonts w:ascii="Verdana" w:hAnsi="Verdana"/>
          <w:sz w:val="22"/>
          <w:szCs w:val="22"/>
        </w:rPr>
        <w:t>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2AE18E3A" w14:textId="77777777" w:rsidR="001F2EC7" w:rsidRDefault="001F2EC7" w:rsidP="001F2EC7">
      <w:pPr>
        <w:pStyle w:val="Textoindependiente"/>
        <w:spacing w:before="0" w:after="120" w:line="276" w:lineRule="auto"/>
        <w:ind w:firstLine="709"/>
        <w:jc w:val="both"/>
        <w:rPr>
          <w:rFonts w:ascii="Verdana" w:hAnsi="Verdana"/>
          <w:sz w:val="22"/>
          <w:szCs w:val="22"/>
        </w:rPr>
      </w:pPr>
      <w:r w:rsidRPr="00FA60A4">
        <w:rPr>
          <w:rFonts w:ascii="Verdana" w:hAnsi="Verdana"/>
          <w:sz w:val="22"/>
          <w:szCs w:val="22"/>
        </w:rPr>
        <w:t xml:space="preserve">En esa medida, la decisión de tramitar o celebrar </w:t>
      </w:r>
      <w:r>
        <w:rPr>
          <w:rFonts w:ascii="Verdana" w:hAnsi="Verdana"/>
          <w:sz w:val="22"/>
          <w:szCs w:val="22"/>
        </w:rPr>
        <w:t xml:space="preserve">un convenio </w:t>
      </w:r>
      <w:r w:rsidRPr="00FA60A4">
        <w:rPr>
          <w:rFonts w:ascii="Verdana" w:hAnsi="Verdana"/>
          <w:sz w:val="22"/>
          <w:szCs w:val="22"/>
        </w:rPr>
        <w:t>en tales condiciones podría configurar típicamente el delito de contrato sin cumplimiento de requisitos legales, en tanto se prescinde de un presupuesto normativo esencial que estructura la legalidad de la actuación contractual.</w:t>
      </w:r>
    </w:p>
    <w:p w14:paraId="2A1A0B8E" w14:textId="77777777" w:rsidR="001F2EC7" w:rsidRDefault="001F2EC7" w:rsidP="001F2EC7">
      <w:pPr>
        <w:pStyle w:val="Textoindependiente"/>
        <w:spacing w:before="0" w:after="120" w:line="276" w:lineRule="auto"/>
        <w:ind w:firstLine="709"/>
        <w:jc w:val="both"/>
        <w:rPr>
          <w:rFonts w:ascii="Verdana" w:hAnsi="Verdana"/>
          <w:sz w:val="22"/>
          <w:szCs w:val="22"/>
        </w:rPr>
      </w:pPr>
      <w:r w:rsidRPr="00FA60A4">
        <w:rPr>
          <w:rFonts w:ascii="Verdana" w:hAnsi="Verdana"/>
          <w:sz w:val="22"/>
          <w:szCs w:val="22"/>
        </w:rPr>
        <w:t xml:space="preserve">De otra parte, la misma conducta podría concursar con en el delito de prevaricato por acción (artículo 413 del Código Penal), particularmente cuando la decisión de suscribir el contrato, o el acto administrativo que la soporte, constituya una resolución o concepto manifiestamente contrario a la ley. En efecto, conforme a la jurisprudencia reiterada de la Corte Suprema de Justicia, este delito exige que la contradicción con el ordenamiento jurídico sea ostensible, grosera y carente de cualquier justificación razonable. </w:t>
      </w:r>
    </w:p>
    <w:p w14:paraId="443A212D" w14:textId="77777777" w:rsidR="001F2EC7" w:rsidRDefault="001F2EC7" w:rsidP="001F2EC7">
      <w:pPr>
        <w:pStyle w:val="Textoindependiente"/>
        <w:spacing w:before="0" w:after="120" w:line="276" w:lineRule="auto"/>
        <w:ind w:firstLine="709"/>
        <w:jc w:val="both"/>
        <w:rPr>
          <w:rFonts w:ascii="Verdana" w:hAnsi="Verdana"/>
          <w:sz w:val="22"/>
          <w:szCs w:val="22"/>
        </w:rPr>
      </w:pPr>
      <w:r w:rsidRPr="00530F87">
        <w:rPr>
          <w:rFonts w:ascii="Verdana" w:hAnsi="Verdana"/>
          <w:sz w:val="22"/>
          <w:szCs w:val="22"/>
        </w:rPr>
        <w:t>En el presente caso, la existencia de una prohibición expresa, clara y temporalmente delimitada en la Ley 996 de 2005 reduce significativamente el margen de interpretación del operador jurídico, de modo que la decisión de contratar directamente durante dicho periodo, sin que concurra una excepción legal debidamente acreditada, podría ser calificada como abiertamente ilegal y, por tanto, manifiestamente contraria a la ley.</w:t>
      </w:r>
    </w:p>
    <w:p w14:paraId="051785FB" w14:textId="77777777" w:rsidR="001F2EC7" w:rsidRDefault="001F2EC7" w:rsidP="001F2EC7">
      <w:pPr>
        <w:pStyle w:val="Textoindependiente"/>
        <w:spacing w:before="0" w:after="120" w:line="276" w:lineRule="auto"/>
        <w:ind w:firstLine="709"/>
        <w:jc w:val="both"/>
        <w:rPr>
          <w:rFonts w:ascii="Verdana" w:hAnsi="Verdana"/>
          <w:sz w:val="22"/>
          <w:szCs w:val="22"/>
        </w:rPr>
      </w:pPr>
      <w:r w:rsidRPr="00530F87">
        <w:rPr>
          <w:rFonts w:ascii="Verdana" w:hAnsi="Verdana"/>
          <w:sz w:val="22"/>
          <w:szCs w:val="22"/>
        </w:rPr>
        <w:t xml:space="preserve">Finalmente, en relación con el elemento subjetivo de ambas conductas, es preciso advertir que tanto el contrato sin cumplimiento de requisitos legales como el prevaricato por acción son delitos dolosos. En ese sentido, el riesgo de configuración típica se robustece en la medida en que el servidor público tenga conocimiento de la vigencia de la ley de garantías y de la prohibición que de ella se deriva, y aun así decida voluntariamente adelantar o suscribir el contrato. </w:t>
      </w:r>
    </w:p>
    <w:p w14:paraId="727B9E5C" w14:textId="77777777" w:rsidR="001F2EC7" w:rsidRDefault="001F2EC7" w:rsidP="001F2EC7">
      <w:pPr>
        <w:pStyle w:val="Textoindependiente"/>
        <w:spacing w:before="0" w:after="120" w:line="276" w:lineRule="auto"/>
        <w:ind w:firstLine="709"/>
        <w:jc w:val="both"/>
        <w:rPr>
          <w:rFonts w:ascii="Verdana" w:hAnsi="Verdana"/>
          <w:sz w:val="22"/>
          <w:szCs w:val="22"/>
        </w:rPr>
      </w:pPr>
      <w:r w:rsidRPr="00530F87">
        <w:rPr>
          <w:rFonts w:ascii="Verdana" w:hAnsi="Verdana"/>
          <w:sz w:val="22"/>
          <w:szCs w:val="22"/>
        </w:rPr>
        <w:t>Así las cosas, la advertencia previa sobre la restricción legal, como la que se deja consignada en el presente documento, adquiere especial relevancia, en tanto permite evidenciar que el eventual actuar contrario al ordenamiento no obedecería a un error razonable de interpretación, sino a una decisión consciente de apartarse de un mandato legal claro.</w:t>
      </w:r>
    </w:p>
    <w:p w14:paraId="0B7727C3" w14:textId="77777777" w:rsidR="001F2EC7" w:rsidRDefault="001F2EC7" w:rsidP="001F2EC7">
      <w:pPr>
        <w:pStyle w:val="Textoindependiente"/>
        <w:spacing w:before="0" w:after="120" w:line="276" w:lineRule="auto"/>
        <w:ind w:firstLine="709"/>
        <w:jc w:val="both"/>
        <w:rPr>
          <w:rFonts w:ascii="Verdana" w:hAnsi="Verdana"/>
          <w:sz w:val="22"/>
          <w:szCs w:val="22"/>
        </w:rPr>
      </w:pPr>
      <w:r w:rsidRPr="00137687">
        <w:rPr>
          <w:rFonts w:ascii="Verdana" w:hAnsi="Verdana"/>
          <w:sz w:val="22"/>
          <w:szCs w:val="22"/>
          <w:lang w:val="es-ES"/>
        </w:rPr>
        <w:t xml:space="preserve">En cuanto a la </w:t>
      </w:r>
      <w:r w:rsidRPr="00137687">
        <w:rPr>
          <w:rFonts w:ascii="Verdana" w:hAnsi="Verdana"/>
          <w:i/>
          <w:sz w:val="22"/>
          <w:szCs w:val="22"/>
          <w:lang w:val="es-ES"/>
        </w:rPr>
        <w:t>responsabilidad disciplinaria</w:t>
      </w:r>
      <w:r w:rsidRPr="00137687">
        <w:rPr>
          <w:rFonts w:ascii="Verdana" w:hAnsi="Verdana"/>
          <w:sz w:val="22"/>
          <w:szCs w:val="22"/>
          <w:lang w:val="es-ES"/>
        </w:rPr>
        <w:t xml:space="preserve"> </w:t>
      </w:r>
      <w:r>
        <w:rPr>
          <w:rFonts w:ascii="Verdana" w:hAnsi="Verdana"/>
          <w:sz w:val="22"/>
          <w:szCs w:val="22"/>
          <w:lang w:val="es-ES"/>
        </w:rPr>
        <w:t xml:space="preserve">esta es </w:t>
      </w:r>
      <w:r w:rsidRPr="00137687">
        <w:rPr>
          <w:rFonts w:ascii="Verdana" w:hAnsi="Verdana"/>
          <w:sz w:val="22"/>
          <w:szCs w:val="22"/>
          <w:lang w:val="es-ES"/>
        </w:rPr>
        <w:t xml:space="preserve">personal y se deriva de conductas culposas o dolosas imputables al servidor público que impliquen un incumplimiento de sus deberes funcionales o una extralimitación de </w:t>
      </w:r>
      <w:proofErr w:type="gramStart"/>
      <w:r w:rsidRPr="00137687">
        <w:rPr>
          <w:rFonts w:ascii="Verdana" w:hAnsi="Verdana"/>
          <w:sz w:val="22"/>
          <w:szCs w:val="22"/>
          <w:lang w:val="es-ES"/>
        </w:rPr>
        <w:t>los mismos</w:t>
      </w:r>
      <w:proofErr w:type="gramEnd"/>
      <w:r w:rsidRPr="00137687">
        <w:rPr>
          <w:rFonts w:ascii="Verdana" w:hAnsi="Verdana"/>
          <w:sz w:val="22"/>
          <w:szCs w:val="22"/>
          <w:lang w:val="es-ES"/>
        </w:rPr>
        <w:t>.</w:t>
      </w:r>
      <w:r>
        <w:rPr>
          <w:rFonts w:ascii="Verdana" w:hAnsi="Verdana"/>
          <w:sz w:val="22"/>
          <w:szCs w:val="22"/>
          <w:lang w:val="es-ES"/>
        </w:rPr>
        <w:t xml:space="preserve"> En este escenario, el artículo 54 de la Ley 1952 de 2019 describe las faltas relacionadas con la contratación pública y el numeral tercero indica que habrá falta al “[P]</w:t>
      </w:r>
      <w:proofErr w:type="spellStart"/>
      <w:r w:rsidRPr="00D5400A">
        <w:rPr>
          <w:rFonts w:ascii="Verdana" w:hAnsi="Verdana"/>
          <w:sz w:val="22"/>
          <w:szCs w:val="22"/>
        </w:rPr>
        <w:t>articipar</w:t>
      </w:r>
      <w:proofErr w:type="spellEnd"/>
      <w:r w:rsidRPr="00D5400A">
        <w:rPr>
          <w:rFonts w:ascii="Verdana" w:hAnsi="Verdana"/>
          <w:sz w:val="22"/>
          <w:szCs w:val="22"/>
        </w:rPr>
        <w:t xml:space="preserve"> en la etapa precontractual o en la actividad contractual, en detrimento del patrimonio público, o con desconocimiento de los prin</w:t>
      </w:r>
      <w:r w:rsidRPr="00D5400A">
        <w:rPr>
          <w:rFonts w:ascii="Verdana" w:hAnsi="Verdana"/>
          <w:sz w:val="22"/>
          <w:szCs w:val="22"/>
        </w:rPr>
        <w:softHyphen/>
        <w:t>cipios que regulan la contratación estatal y la función administrativa contemplados en la Constitución y en la ley</w:t>
      </w:r>
      <w:r>
        <w:rPr>
          <w:rFonts w:ascii="Verdana" w:hAnsi="Verdana"/>
          <w:sz w:val="22"/>
          <w:szCs w:val="22"/>
        </w:rPr>
        <w:t>”</w:t>
      </w:r>
      <w:r w:rsidRPr="00D5400A">
        <w:rPr>
          <w:rFonts w:ascii="Verdana" w:hAnsi="Verdana"/>
          <w:sz w:val="22"/>
          <w:szCs w:val="22"/>
        </w:rPr>
        <w:t>.</w:t>
      </w:r>
    </w:p>
    <w:p w14:paraId="753D0C86" w14:textId="77777777" w:rsidR="001F2EC7" w:rsidRDefault="001F2EC7" w:rsidP="001F2EC7">
      <w:pPr>
        <w:pStyle w:val="Textoindependiente"/>
        <w:spacing w:before="0" w:after="120" w:line="276" w:lineRule="auto"/>
        <w:ind w:firstLine="709"/>
        <w:jc w:val="both"/>
        <w:rPr>
          <w:rFonts w:ascii="Verdana" w:hAnsi="Verdana"/>
          <w:sz w:val="22"/>
          <w:szCs w:val="22"/>
          <w:lang w:val="es-ES"/>
        </w:rPr>
      </w:pPr>
      <w:r w:rsidRPr="00137687">
        <w:rPr>
          <w:rFonts w:ascii="Verdana" w:hAnsi="Verdana"/>
          <w:sz w:val="22"/>
          <w:szCs w:val="22"/>
          <w:lang w:val="es-ES"/>
        </w:rPr>
        <w:t xml:space="preserve">Por su parte, la </w:t>
      </w:r>
      <w:r w:rsidRPr="00137687">
        <w:rPr>
          <w:rFonts w:ascii="Verdana" w:hAnsi="Verdana"/>
          <w:i/>
          <w:sz w:val="22"/>
          <w:szCs w:val="22"/>
          <w:lang w:val="es-ES"/>
        </w:rPr>
        <w:t>responsabilidad fiscal</w:t>
      </w:r>
      <w:r w:rsidRPr="00137687">
        <w:rPr>
          <w:rFonts w:ascii="Verdana" w:hAnsi="Verdana"/>
          <w:sz w:val="22"/>
          <w:szCs w:val="22"/>
          <w:lang w:val="es-ES"/>
        </w:rPr>
        <w:t xml:space="preserve"> es una responsabilidad patrimonial y resarcitoria en que incurre un servidor público frente al Estado, por haber causado un menoscabo al patrimonio público con un actuar doloso o gravemente culposo</w:t>
      </w:r>
      <w:r>
        <w:rPr>
          <w:rFonts w:ascii="Verdana" w:hAnsi="Verdana"/>
          <w:sz w:val="22"/>
          <w:szCs w:val="22"/>
          <w:lang w:val="es-ES"/>
        </w:rPr>
        <w:t xml:space="preserve"> y desconociendo las responsabilidades a las que está sujeto en el marco de la Ley, especialmente lo dispuesto en el artículo 26 de la Ley 80 de 1993. </w:t>
      </w:r>
      <w:r w:rsidRPr="00137687">
        <w:rPr>
          <w:rFonts w:ascii="Verdana" w:hAnsi="Verdana"/>
          <w:sz w:val="22"/>
          <w:szCs w:val="22"/>
          <w:lang w:val="es-ES"/>
        </w:rPr>
        <w:t xml:space="preserve">  </w:t>
      </w:r>
    </w:p>
    <w:p w14:paraId="421662B9" w14:textId="77777777" w:rsidR="001F2EC7" w:rsidRPr="00A97278" w:rsidRDefault="001F2EC7" w:rsidP="001F2EC7">
      <w:pPr>
        <w:pStyle w:val="Textoindependiente"/>
        <w:spacing w:before="0" w:after="120" w:line="276" w:lineRule="auto"/>
        <w:ind w:firstLine="709"/>
        <w:jc w:val="both"/>
        <w:rPr>
          <w:rFonts w:ascii="Verdana" w:hAnsi="Verdana"/>
          <w:sz w:val="22"/>
          <w:szCs w:val="22"/>
          <w:lang w:val="es-ES_tradnl"/>
        </w:rPr>
      </w:pPr>
      <w:r w:rsidRPr="00A97278">
        <w:rPr>
          <w:rFonts w:ascii="Verdana"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FD6185D" w14:textId="77777777" w:rsidR="001F2EC7" w:rsidRDefault="001F2EC7" w:rsidP="001F2EC7">
      <w:pPr>
        <w:spacing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3719ABB" w14:textId="77777777" w:rsidR="001F2EC7" w:rsidRDefault="001F2EC7" w:rsidP="001F2EC7">
      <w:pPr>
        <w:spacing w:after="0" w:line="276" w:lineRule="auto"/>
        <w:ind w:firstLine="709"/>
        <w:jc w:val="both"/>
        <w:rPr>
          <w:rFonts w:ascii="Verdana" w:hAnsi="Verdana" w:cs="Arial"/>
          <w:color w:val="000000" w:themeColor="text1"/>
        </w:rPr>
      </w:pPr>
    </w:p>
    <w:p w14:paraId="38499DA0" w14:textId="77777777" w:rsidR="001F2EC7" w:rsidRDefault="001F2EC7" w:rsidP="001F2EC7">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p w14:paraId="7B30C49C" w14:textId="77777777" w:rsidR="001F2EC7" w:rsidRPr="000B6E79" w:rsidRDefault="001F2EC7" w:rsidP="001F2EC7">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F2EC7" w:rsidRPr="002D2C18" w14:paraId="316B92ED" w14:textId="77777777" w:rsidTr="00BA63D9">
        <w:trPr>
          <w:trHeight w:val="56"/>
          <w:jc w:val="center"/>
        </w:trPr>
        <w:tc>
          <w:tcPr>
            <w:tcW w:w="8647" w:type="dxa"/>
          </w:tcPr>
          <w:p w14:paraId="18F38B70" w14:textId="56E77AFA"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Constitución Política. Artículo 127</w:t>
            </w:r>
            <w:r w:rsidR="00CE5F6C">
              <w:rPr>
                <w:rFonts w:ascii="Verdana" w:hAnsi="Verdana" w:cs="Arial"/>
                <w:lang w:eastAsia="es-ES"/>
              </w:rPr>
              <w:t>, 355</w:t>
            </w:r>
            <w:r>
              <w:rPr>
                <w:rFonts w:ascii="Verdana" w:hAnsi="Verdana" w:cs="Arial"/>
                <w:lang w:eastAsia="es-ES"/>
              </w:rPr>
              <w:t xml:space="preserve">. </w:t>
            </w:r>
          </w:p>
          <w:p w14:paraId="5238F76B"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Código Civil. Artículos 27, 1741. </w:t>
            </w:r>
          </w:p>
          <w:p w14:paraId="6E789265"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Código Penal. Artículos 410, 413.</w:t>
            </w:r>
          </w:p>
          <w:p w14:paraId="3892F07B" w14:textId="422CFB37" w:rsidR="004D1BC5" w:rsidRDefault="004D1BC5"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Ley 489 de 1998. Artículo 96. </w:t>
            </w:r>
          </w:p>
          <w:p w14:paraId="22951452" w14:textId="5F76EF46"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Ley 80 de 1993. Artículos </w:t>
            </w:r>
            <w:r w:rsidR="00CE5F6C">
              <w:rPr>
                <w:rFonts w:ascii="Verdana" w:hAnsi="Verdana" w:cs="Arial"/>
                <w:lang w:eastAsia="es-ES"/>
              </w:rPr>
              <w:t xml:space="preserve">13, 23, 24 25, </w:t>
            </w:r>
            <w:r>
              <w:rPr>
                <w:rFonts w:ascii="Verdana" w:hAnsi="Verdana" w:cs="Arial"/>
                <w:lang w:eastAsia="es-ES"/>
              </w:rPr>
              <w:t>26, 41, 42, 44</w:t>
            </w:r>
            <w:r w:rsidR="00CE5F6C">
              <w:rPr>
                <w:rFonts w:ascii="Verdana" w:hAnsi="Verdana" w:cs="Arial"/>
                <w:lang w:eastAsia="es-ES"/>
              </w:rPr>
              <w:t>,</w:t>
            </w:r>
            <w:r>
              <w:rPr>
                <w:rFonts w:ascii="Verdana" w:hAnsi="Verdana" w:cs="Arial"/>
                <w:lang w:eastAsia="es-ES"/>
              </w:rPr>
              <w:t xml:space="preserve"> 51.</w:t>
            </w:r>
          </w:p>
          <w:p w14:paraId="4C39495B"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Ley 996 de 2005. Artículos 33 y parágrafo del artículo 38.</w:t>
            </w:r>
          </w:p>
          <w:p w14:paraId="4CC01168"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Ley 1150 de 2007. Artículo 2, numeral 4, literal c. </w:t>
            </w:r>
          </w:p>
          <w:p w14:paraId="7F68AB74"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Ley 1952 de 2019. Artículo 54.</w:t>
            </w:r>
          </w:p>
          <w:p w14:paraId="2BEE31FA" w14:textId="703FF888" w:rsidR="00B23C77" w:rsidRDefault="00B23C7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Decreto 092 de 2017. </w:t>
            </w:r>
          </w:p>
          <w:p w14:paraId="6D8677D3"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5AAFCF10"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22 de enero de 2002, expediente número 2001-0148-0</w:t>
            </w:r>
            <w:r>
              <w:rPr>
                <w:rFonts w:ascii="Verdana" w:hAnsi="Verdana" w:cs="Arial"/>
                <w:lang w:eastAsia="es-ES"/>
              </w:rPr>
              <w:t>.</w:t>
            </w:r>
          </w:p>
          <w:p w14:paraId="25A78AEE"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27899871"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64A9E191"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643F728E"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711AAD97"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27826B4C" w14:textId="77777777" w:rsidR="001F2EC7" w:rsidRPr="00C076BE"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515B1CBF"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2F6AB8EF"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2C4571BB" w14:textId="77777777" w:rsidR="001F2EC7" w:rsidRPr="00FB5770" w:rsidRDefault="001F2EC7" w:rsidP="00C661B9">
            <w:pPr>
              <w:pStyle w:val="Prrafodelista"/>
              <w:numPr>
                <w:ilvl w:val="0"/>
                <w:numId w:val="17"/>
              </w:numPr>
              <w:spacing w:line="276" w:lineRule="auto"/>
              <w:contextualSpacing w:val="0"/>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w:t>
            </w:r>
            <w:proofErr w:type="spellStart"/>
            <w:r w:rsidRPr="00FB5770">
              <w:rPr>
                <w:rFonts w:ascii="Verdana" w:hAnsi="Verdana"/>
                <w:lang w:val="es-CO"/>
              </w:rPr>
              <w:t>Exp</w:t>
            </w:r>
            <w:proofErr w:type="spellEnd"/>
            <w:r w:rsidRPr="00FB5770">
              <w:rPr>
                <w:rFonts w:ascii="Verdana" w:hAnsi="Verdana"/>
                <w:lang w:val="es-CO"/>
              </w:rPr>
              <w:t>.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7F28E2A7"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5E8C2B0F"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2E513374" w14:textId="4746DE80" w:rsidR="00F24F9D" w:rsidRPr="00F24F9D" w:rsidRDefault="00F24F9D" w:rsidP="00C661B9">
            <w:pPr>
              <w:pStyle w:val="Prrafodelista"/>
              <w:numPr>
                <w:ilvl w:val="0"/>
                <w:numId w:val="17"/>
              </w:numPr>
              <w:spacing w:line="276" w:lineRule="auto"/>
              <w:jc w:val="both"/>
              <w:rPr>
                <w:rFonts w:ascii="Verdana" w:eastAsia="Arial MT" w:hAnsi="Verdana" w:cs="Arial"/>
                <w:lang w:eastAsia="es-ES" w:bidi="es-ES"/>
              </w:rPr>
            </w:pPr>
            <w:r w:rsidRPr="00F24A62">
              <w:rPr>
                <w:rFonts w:ascii="Verdana" w:eastAsia="Arial MT" w:hAnsi="Verdana" w:cs="Arial"/>
                <w:lang w:eastAsia="es-ES" w:bidi="es-ES"/>
              </w:rPr>
              <w:t>Consejo de Estado. Sala de Consulta y Servicio Civil. Concepto del 24 de febrero de 2005. Radicado: No. 1626, C.P: Gloria Duque Hernández</w:t>
            </w:r>
            <w:r>
              <w:rPr>
                <w:rFonts w:ascii="Verdana" w:eastAsia="Arial MT" w:hAnsi="Verdana" w:cs="Arial"/>
                <w:lang w:eastAsia="es-ES" w:bidi="es-ES"/>
              </w:rPr>
              <w:t>.</w:t>
            </w:r>
          </w:p>
          <w:p w14:paraId="425CCB2C"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7CEB1FF6"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63361D6C"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Corte Constitucional. Sentencia C- 1153 de 2005, M.P: Marco Gerardo Monroy Cabra.</w:t>
            </w:r>
          </w:p>
          <w:p w14:paraId="2E139838"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40C369F8" w14:textId="77777777" w:rsidR="001F2EC7" w:rsidRDefault="001F2EC7" w:rsidP="00C661B9">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14DA27DC" w14:textId="77777777" w:rsidR="00C661B9" w:rsidRDefault="00C661B9" w:rsidP="00C661B9">
            <w:pPr>
              <w:pStyle w:val="Prrafodelista"/>
              <w:numPr>
                <w:ilvl w:val="0"/>
                <w:numId w:val="17"/>
              </w:numPr>
              <w:spacing w:line="276" w:lineRule="auto"/>
              <w:jc w:val="both"/>
              <w:rPr>
                <w:rFonts w:ascii="Verdana" w:eastAsia="Arial MT" w:hAnsi="Verdana" w:cs="Arial"/>
                <w:lang w:eastAsia="es-ES" w:bidi="es-ES"/>
              </w:rPr>
            </w:pPr>
            <w:r w:rsidRPr="00F24A62">
              <w:rPr>
                <w:rFonts w:ascii="Verdana" w:eastAsia="Arial MT" w:hAnsi="Verdana" w:cs="Arial"/>
                <w:lang w:eastAsia="es-ES" w:bidi="es-ES"/>
              </w:rPr>
              <w:t>Corte Constitucional. Sentencia C-768 de 23 de septiembre de 2010. M.P: Juan Carlos Henao Pérez</w:t>
            </w:r>
            <w:r>
              <w:rPr>
                <w:rFonts w:ascii="Verdana" w:eastAsia="Arial MT" w:hAnsi="Verdana" w:cs="Arial"/>
                <w:lang w:eastAsia="es-ES" w:bidi="es-ES"/>
              </w:rPr>
              <w:t>.</w:t>
            </w:r>
          </w:p>
          <w:p w14:paraId="1BCCA4C7" w14:textId="4B5903D2" w:rsidR="00C661B9" w:rsidRPr="00C661B9" w:rsidRDefault="00C661B9" w:rsidP="00C661B9">
            <w:pPr>
              <w:pStyle w:val="Prrafodelista"/>
              <w:numPr>
                <w:ilvl w:val="0"/>
                <w:numId w:val="17"/>
              </w:numPr>
              <w:spacing w:line="276" w:lineRule="auto"/>
              <w:jc w:val="both"/>
              <w:rPr>
                <w:rFonts w:ascii="Verdana" w:eastAsia="Arial MT" w:hAnsi="Verdana" w:cs="Arial"/>
                <w:lang w:eastAsia="es-ES" w:bidi="es-ES"/>
              </w:rPr>
            </w:pPr>
            <w:r w:rsidRPr="00F24A62">
              <w:rPr>
                <w:rFonts w:ascii="Verdana" w:eastAsia="Arial MT" w:hAnsi="Verdana" w:cs="Arial"/>
                <w:lang w:eastAsia="es-ES" w:bidi="es-ES"/>
              </w:rPr>
              <w:t>Corte Constitucional. Sentencia C-221 de 22 de mayo de 2019. M.P: Carlos Bernal Pulido</w:t>
            </w:r>
            <w:r>
              <w:rPr>
                <w:rFonts w:ascii="Verdana" w:eastAsia="Arial MT" w:hAnsi="Verdana" w:cs="Arial"/>
                <w:lang w:eastAsia="es-ES" w:bidi="es-ES"/>
              </w:rPr>
              <w:t>.</w:t>
            </w:r>
          </w:p>
          <w:p w14:paraId="23C52FD4" w14:textId="77777777" w:rsidR="001F2EC7" w:rsidRPr="00F2446F" w:rsidRDefault="001F2EC7" w:rsidP="00C661B9">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cs="Arial"/>
              </w:rPr>
              <w:t xml:space="preserve">Corte Suprema </w:t>
            </w:r>
            <w:r>
              <w:rPr>
                <w:rFonts w:ascii="Verdana" w:hAnsi="Verdana" w:cs="Arial"/>
              </w:rPr>
              <w:t>d</w:t>
            </w:r>
            <w:r w:rsidRPr="00F2446F">
              <w:rPr>
                <w:rFonts w:ascii="Verdana" w:hAnsi="Verdana" w:cs="Arial"/>
              </w:rPr>
              <w:t>e Justicia. Sala de Casación Civil. Sentencia 20 de noviembre de 1989. MP. Alberto Ospina Botero</w:t>
            </w:r>
            <w:r>
              <w:rPr>
                <w:rFonts w:ascii="Verdana" w:hAnsi="Verdana" w:cs="Arial"/>
              </w:rPr>
              <w:t>.</w:t>
            </w:r>
            <w:r w:rsidRPr="00F2446F">
              <w:rPr>
                <w:rFonts w:ascii="Verdana" w:hAnsi="Verdana"/>
              </w:rPr>
              <w:t xml:space="preserve"> </w:t>
            </w:r>
          </w:p>
          <w:p w14:paraId="5EC89E99" w14:textId="77777777" w:rsidR="001F2EC7" w:rsidRPr="00F2446F" w:rsidRDefault="001F2EC7" w:rsidP="00C661B9">
            <w:pPr>
              <w:pStyle w:val="Prrafodelista"/>
              <w:numPr>
                <w:ilvl w:val="0"/>
                <w:numId w:val="17"/>
              </w:numPr>
              <w:spacing w:line="276" w:lineRule="auto"/>
              <w:contextualSpacing w:val="0"/>
              <w:jc w:val="both"/>
              <w:rPr>
                <w:rFonts w:ascii="Verdana" w:hAnsi="Verdana" w:cs="Arial"/>
                <w:lang w:eastAsia="es-ES"/>
              </w:rPr>
            </w:pPr>
            <w:r w:rsidRPr="00F2446F">
              <w:rPr>
                <w:rFonts w:ascii="Verdana" w:hAnsi="Verdana"/>
              </w:rPr>
              <w:t xml:space="preserve">Agencia Nacional de Contratación Pública. Circular Externa 006 del 25 de septiembre de 2025. </w:t>
            </w:r>
            <w:r w:rsidRPr="00460743">
              <w:rPr>
                <w:rFonts w:ascii="Verdana" w:hAnsi="Verdana"/>
              </w:rPr>
              <w:t xml:space="preserve">Disponible en </w:t>
            </w:r>
            <w:hyperlink r:id="rId12" w:history="1">
              <w:r w:rsidRPr="00460743">
                <w:rPr>
                  <w:rStyle w:val="Hipervnculo"/>
                  <w:rFonts w:ascii="Verdana" w:hAnsi="Verdana"/>
                  <w:lang w:val="es-CO"/>
                </w:rPr>
                <w:t>006-de-2025-Circular-Externa-L996-ajustado-comentarios-BM-BID-Rev-ARSC-V3.d-1.pdf</w:t>
              </w:r>
            </w:hyperlink>
          </w:p>
          <w:p w14:paraId="51793177" w14:textId="77777777" w:rsidR="001F2EC7" w:rsidRPr="00A651C7" w:rsidRDefault="001F2EC7" w:rsidP="00C661B9">
            <w:pPr>
              <w:pStyle w:val="Prrafodelista"/>
              <w:numPr>
                <w:ilvl w:val="0"/>
                <w:numId w:val="17"/>
              </w:numPr>
              <w:spacing w:line="276" w:lineRule="auto"/>
              <w:contextualSpacing w:val="0"/>
              <w:jc w:val="both"/>
              <w:rPr>
                <w:rFonts w:ascii="Verdana" w:hAnsi="Verdana" w:cs="Arial"/>
                <w:lang w:eastAsia="es-ES"/>
              </w:rPr>
            </w:pPr>
            <w:r w:rsidRPr="00FB5770">
              <w:rPr>
                <w:rFonts w:ascii="Verdana" w:hAnsi="Verdana" w:cs="Arial"/>
                <w:lang w:eastAsia="es-ES"/>
              </w:rPr>
              <w:t>CLARO SOLAR, Luis. Explicaciones de derecho civil chileno y comparado. Volumen I. Tomo I. Santiago: Editorial Jurídica de Chile, 2013</w:t>
            </w:r>
          </w:p>
        </w:tc>
      </w:tr>
    </w:tbl>
    <w:p w14:paraId="06F048C5" w14:textId="77777777" w:rsidR="001F2EC7" w:rsidRDefault="001F2EC7" w:rsidP="001F2EC7">
      <w:pPr>
        <w:tabs>
          <w:tab w:val="left" w:pos="142"/>
          <w:tab w:val="left" w:pos="284"/>
          <w:tab w:val="left" w:pos="3828"/>
        </w:tabs>
        <w:spacing w:after="0" w:line="276" w:lineRule="auto"/>
        <w:jc w:val="both"/>
        <w:rPr>
          <w:rFonts w:ascii="Verdana" w:eastAsia="Century Gothic" w:hAnsi="Verdana" w:cs="Century Gothic"/>
          <w:b/>
          <w:bCs/>
        </w:rPr>
      </w:pPr>
    </w:p>
    <w:p w14:paraId="4B2469A9" w14:textId="77777777" w:rsidR="001F2EC7" w:rsidRPr="0091091D" w:rsidRDefault="001F2EC7" w:rsidP="001F2EC7">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4EF645CB" w14:textId="77777777" w:rsidR="001F2EC7" w:rsidRPr="00415A79" w:rsidRDefault="001F2EC7" w:rsidP="008B60E4">
      <w:pPr>
        <w:widowControl w:val="0"/>
        <w:autoSpaceDE w:val="0"/>
        <w:autoSpaceDN w:val="0"/>
        <w:spacing w:after="0" w:line="240" w:lineRule="auto"/>
        <w:jc w:val="both"/>
        <w:rPr>
          <w:rStyle w:val="normaltextrun"/>
          <w:rFonts w:ascii="Verdana" w:hAnsi="Verdana" w:cs="Arial"/>
          <w:shd w:val="clear" w:color="auto" w:fill="FFFFFF"/>
          <w:lang w:val="es-ES"/>
        </w:rPr>
      </w:pPr>
    </w:p>
    <w:p w14:paraId="58E06EF0" w14:textId="2477E13C" w:rsidR="001F2EC7" w:rsidRDefault="001F2EC7" w:rsidP="005E6302">
      <w:pPr>
        <w:widowControl w:val="0"/>
        <w:autoSpaceDE w:val="0"/>
        <w:autoSpaceDN w:val="0"/>
        <w:spacing w:after="120" w:line="276" w:lineRule="auto"/>
        <w:jc w:val="both"/>
        <w:rPr>
          <w:rFonts w:ascii="Verdana" w:hAnsi="Verdana" w:cs="Arial"/>
          <w:color w:val="000000" w:themeColor="text1"/>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w:t>
      </w: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 la Ley de Garantías Electorales en los conceptos C-227 del 24 de mayo de 2021</w:t>
      </w:r>
      <w:r>
        <w:rPr>
          <w:rFonts w:ascii="Verdana" w:hAnsi="Verdana" w:cs="Arial"/>
          <w:shd w:val="clear" w:color="auto" w:fill="FFFFFF"/>
        </w:rPr>
        <w:t>, C-</w:t>
      </w:r>
      <w:r w:rsidRPr="000F79CF">
        <w:rPr>
          <w:rFonts w:ascii="Verdana" w:hAnsi="Verdana" w:cs="Arial"/>
          <w:shd w:val="clear" w:color="auto" w:fill="FFFFFF"/>
        </w:rPr>
        <w:t xml:space="preserve">396 del 13 de agosto de 2021, C-439 del 27 de agosto de 2021, C-481 del 9 de septiembre de 2021, C-528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w:t>
      </w:r>
      <w:r w:rsidRPr="001450CA">
        <w:rPr>
          <w:rStyle w:val="normaltextrun"/>
          <w:rFonts w:ascii="Verdana" w:hAnsi="Verdana" w:cs="Arial"/>
          <w:shd w:val="clear" w:color="auto" w:fill="FFFFFF"/>
          <w:lang w:val="es-ES"/>
        </w:rPr>
        <w:t xml:space="preserve"> </w:t>
      </w:r>
      <w:r>
        <w:rPr>
          <w:rFonts w:ascii="Verdana" w:eastAsia="Calibri" w:hAnsi="Verdana" w:cs="Arial"/>
          <w:lang w:val="es-MX" w:eastAsia="es-ES_tradnl"/>
        </w:rPr>
        <w:t>entre otros</w:t>
      </w:r>
      <w:r w:rsidRPr="00480A95">
        <w:rPr>
          <w:rFonts w:ascii="Verdana" w:hAnsi="Verdana" w:cs="Arial"/>
          <w:shd w:val="clear" w:color="auto" w:fill="FFFFFF"/>
          <w:lang w:val="es-ES"/>
        </w:rPr>
        <w:t>.</w:t>
      </w:r>
      <w:r>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3" w:history="1">
        <w:r w:rsidRPr="00460743">
          <w:rPr>
            <w:rFonts w:ascii="Verdana" w:hAnsi="Verdana" w:cs="Arial"/>
            <w:color w:val="0563C1" w:themeColor="hyperlink"/>
            <w:u w:val="single"/>
            <w:shd w:val="clear" w:color="auto" w:fill="FFFFFF"/>
          </w:rPr>
          <w:t>https://relatoria.colombiacompra.gov.co/busqueda/conceptos</w:t>
        </w:r>
      </w:hyperlink>
      <w:r w:rsidRPr="00460743">
        <w:rPr>
          <w:rFonts w:ascii="Verdana" w:hAnsi="Verdana" w:cs="Arial"/>
          <w:shd w:val="clear" w:color="auto" w:fill="FFFFFF"/>
        </w:rPr>
        <w:t>.</w:t>
      </w:r>
      <w:r w:rsidRPr="00460743">
        <w:rPr>
          <w:rFonts w:ascii="Verdana" w:hAnsi="Verdana" w:cs="Arial"/>
          <w:color w:val="FF0000"/>
          <w:shd w:val="clear" w:color="auto" w:fill="FFFFFF"/>
        </w:rPr>
        <w:t xml:space="preserve"> </w:t>
      </w:r>
      <w:r w:rsidRPr="00460743">
        <w:rPr>
          <w:rFonts w:ascii="Verdana" w:hAnsi="Verdana" w:cs="Arial"/>
          <w:color w:val="000000" w:themeColor="text1"/>
          <w:shd w:val="clear" w:color="auto" w:fill="FFFFFF"/>
        </w:rPr>
        <w:t>  </w:t>
      </w:r>
    </w:p>
    <w:p w14:paraId="7B699E07" w14:textId="77777777" w:rsidR="005E6302" w:rsidRDefault="001F2EC7" w:rsidP="005E6302">
      <w:pPr>
        <w:spacing w:after="0" w:line="276" w:lineRule="auto"/>
        <w:jc w:val="both"/>
        <w:rPr>
          <w:rStyle w:val="Hipervnculo"/>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460743">
          <w:rPr>
            <w:rStyle w:val="Hipervnculo"/>
            <w:rFonts w:ascii="Verdana" w:hAnsi="Verdana"/>
          </w:rPr>
          <w:t>https://formacionvirtual.colombiacompra.gov.co/mod/page/view.php?id=3718</w:t>
        </w:r>
      </w:hyperlink>
    </w:p>
    <w:p w14:paraId="4881C568" w14:textId="77777777" w:rsidR="005E6302" w:rsidRDefault="005E6302" w:rsidP="008B60E4">
      <w:pPr>
        <w:spacing w:after="0" w:line="240" w:lineRule="auto"/>
        <w:jc w:val="both"/>
        <w:rPr>
          <w:rStyle w:val="Hipervnculo"/>
          <w:rFonts w:ascii="Verdana" w:hAnsi="Verdana"/>
        </w:rPr>
      </w:pPr>
    </w:p>
    <w:p w14:paraId="49E545D3" w14:textId="77777777" w:rsidR="008B60E4" w:rsidRDefault="001F2EC7" w:rsidP="008B60E4">
      <w:pPr>
        <w:spacing w:after="0" w:line="276" w:lineRule="auto"/>
        <w:jc w:val="both"/>
        <w:rPr>
          <w:rStyle w:val="Hipervnculo"/>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460743">
        <w:rPr>
          <w:rFonts w:ascii="Verdana" w:hAnsi="Verdana"/>
        </w:rPr>
        <w:t xml:space="preserve">Consulta y descarga los documentos aquí: </w:t>
      </w:r>
      <w:hyperlink r:id="rId15" w:tgtFrame="_new" w:history="1">
        <w:r w:rsidRPr="00460743">
          <w:rPr>
            <w:rStyle w:val="Hipervnculo"/>
            <w:rFonts w:ascii="Verdana" w:hAnsi="Verdana"/>
          </w:rPr>
          <w:t>https://www.colombiacompra.gov.co/normativa-y-relatoria/documentos-tipo</w:t>
        </w:r>
      </w:hyperlink>
    </w:p>
    <w:p w14:paraId="572582CA" w14:textId="77777777" w:rsidR="008B60E4" w:rsidRDefault="008B60E4" w:rsidP="00DC0BD9">
      <w:pPr>
        <w:spacing w:after="0" w:line="240" w:lineRule="auto"/>
        <w:jc w:val="both"/>
        <w:rPr>
          <w:rStyle w:val="Hipervnculo"/>
          <w:rFonts w:ascii="Verdana" w:hAnsi="Verdana"/>
        </w:rPr>
      </w:pPr>
    </w:p>
    <w:p w14:paraId="4B13C6D4" w14:textId="77777777" w:rsidR="008B60E4" w:rsidRDefault="001F2EC7" w:rsidP="008B60E4">
      <w:pPr>
        <w:spacing w:after="0" w:line="276" w:lineRule="auto"/>
        <w:jc w:val="both"/>
        <w:rPr>
          <w:rFonts w:ascii="Verdana" w:hAnsi="Verdana"/>
          <w:color w:val="0000FF"/>
          <w:u w:val="singl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460743">
        <w:rPr>
          <w:rFonts w:ascii="Verdana" w:hAnsi="Verdana"/>
        </w:rPr>
        <w:t>Además se incluyeron lineamientos que orientan la implementación de los criterios ambientales y sociales incluidos en los documentos tipo: Consulta la guía aquí:</w:t>
      </w:r>
      <w:r w:rsidRPr="00460743">
        <w:rPr>
          <w:rFonts w:ascii="Verdana" w:hAnsi="Verdana"/>
        </w:rPr>
        <w:br/>
      </w:r>
      <w:hyperlink r:id="rId16" w:tgtFrame="_new" w:history="1">
        <w:r w:rsidRPr="00460743">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D6957CD" w14:textId="77777777" w:rsidR="008B60E4" w:rsidRDefault="008B60E4" w:rsidP="008B60E4">
      <w:pPr>
        <w:spacing w:after="0" w:line="240" w:lineRule="auto"/>
        <w:jc w:val="both"/>
        <w:rPr>
          <w:rFonts w:ascii="Verdana" w:hAnsi="Verdana"/>
          <w:color w:val="0000FF"/>
          <w:u w:val="single"/>
        </w:rPr>
      </w:pPr>
    </w:p>
    <w:p w14:paraId="0A42C416" w14:textId="50BF7E9E" w:rsidR="001F2EC7" w:rsidRPr="008B60E4" w:rsidRDefault="001F2EC7" w:rsidP="008B60E4">
      <w:pPr>
        <w:spacing w:after="0" w:line="276" w:lineRule="auto"/>
        <w:jc w:val="both"/>
        <w:rPr>
          <w:rFonts w:ascii="Verdana" w:hAnsi="Verdana"/>
          <w:color w:val="0000FF"/>
          <w:u w:val="single"/>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8F5EBAB" w14:textId="77777777" w:rsidR="00415A79" w:rsidRPr="00415A79" w:rsidRDefault="00415A79" w:rsidP="008B60E4">
      <w:pPr>
        <w:widowControl w:val="0"/>
        <w:autoSpaceDE w:val="0"/>
        <w:autoSpaceDN w:val="0"/>
        <w:spacing w:after="0" w:line="240" w:lineRule="auto"/>
        <w:jc w:val="both"/>
        <w:rPr>
          <w:rFonts w:ascii="Verdana" w:hAnsi="Verdana" w:cs="Arial"/>
          <w:highlight w:val="yellow"/>
          <w:shd w:val="clear" w:color="auto" w:fill="FFFFFF"/>
          <w:lang w:val="es-MX"/>
        </w:rPr>
      </w:pPr>
    </w:p>
    <w:p w14:paraId="3E693677" w14:textId="77777777" w:rsidR="001F2EC7" w:rsidRPr="00116940" w:rsidRDefault="001F2EC7" w:rsidP="0053048C">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55B4F17" w14:textId="77777777" w:rsidR="001F2EC7" w:rsidRPr="00116940" w:rsidRDefault="001F2EC7" w:rsidP="0053048C">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AF619B7" w14:textId="77777777" w:rsidR="001F2EC7" w:rsidRPr="00116940" w:rsidRDefault="001F2EC7" w:rsidP="0053048C">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4E45850E" w14:textId="77777777" w:rsidR="001F2EC7" w:rsidRPr="00116940" w:rsidRDefault="001F2EC7" w:rsidP="0053048C">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5C0E426D" w14:textId="77777777" w:rsidR="001F2EC7" w:rsidRPr="00116940" w:rsidRDefault="001F2EC7" w:rsidP="0053048C">
      <w:pPr>
        <w:spacing w:after="0" w:line="276" w:lineRule="auto"/>
        <w:ind w:left="720"/>
        <w:jc w:val="both"/>
        <w:rPr>
          <w:rFonts w:ascii="Verdana" w:hAnsi="Verdana"/>
        </w:rPr>
      </w:pPr>
    </w:p>
    <w:p w14:paraId="2A172F5C" w14:textId="77777777" w:rsidR="001F2EC7" w:rsidRDefault="001F2EC7" w:rsidP="005E6302">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460743">
          <w:rPr>
            <w:rStyle w:val="Hipervnculo"/>
            <w:rFonts w:ascii="Verdana" w:eastAsia="Verdana" w:hAnsi="Verdana" w:cs="Verdana"/>
            <w:lang w:val="es-MX"/>
          </w:rPr>
          <w:t>https://forms.office.com/r/pPHyWVs2SZ</w:t>
        </w:r>
      </w:hyperlink>
      <w:r w:rsidRPr="00460743">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56809524" w14:textId="4D5EE014" w:rsidR="001F2EC7" w:rsidRPr="00116940" w:rsidRDefault="001F2EC7" w:rsidP="0053048C">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DE6732D" w14:textId="77777777" w:rsidR="001F2EC7" w:rsidRPr="00116940" w:rsidRDefault="001F2EC7" w:rsidP="0053048C">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CDD4ACF" w14:textId="77777777" w:rsidR="001F2EC7" w:rsidRPr="00116940" w:rsidRDefault="001F2EC7" w:rsidP="0053048C">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08BA949" w14:textId="77777777" w:rsidR="001F2EC7" w:rsidRPr="00116940" w:rsidRDefault="001F2EC7" w:rsidP="0053048C">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8EA374D" w14:textId="77777777" w:rsidR="001F2EC7" w:rsidRDefault="001F2EC7" w:rsidP="001F2EC7">
      <w:pPr>
        <w:spacing w:after="0" w:line="276" w:lineRule="auto"/>
        <w:jc w:val="both"/>
        <w:rPr>
          <w:rFonts w:ascii="Verdana" w:hAnsi="Verdana"/>
          <w:lang w:val="es-MX"/>
        </w:rPr>
      </w:pPr>
    </w:p>
    <w:p w14:paraId="5C586062" w14:textId="77777777" w:rsidR="001F2EC7" w:rsidRPr="00330029" w:rsidRDefault="001F2EC7" w:rsidP="001F2EC7">
      <w:pPr>
        <w:spacing w:after="0" w:line="276" w:lineRule="auto"/>
        <w:jc w:val="both"/>
        <w:rPr>
          <w:rFonts w:ascii="Verdana" w:hAnsi="Verdana"/>
          <w:lang w:val="es-MX"/>
        </w:rPr>
      </w:pPr>
      <w:r w:rsidRPr="00E02524">
        <w:rPr>
          <w:rFonts w:ascii="Verdana" w:hAnsi="Verdana"/>
          <w:lang w:val="es-MX"/>
        </w:rPr>
        <w:t>Cordialmente,</w:t>
      </w:r>
    </w:p>
    <w:p w14:paraId="45768085" w14:textId="54086197" w:rsidR="001F2EC7" w:rsidRDefault="00153454" w:rsidP="001F2EC7">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6094AE1A" wp14:editId="746A8A27">
            <wp:extent cx="3315694" cy="1562204"/>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343783" cy="1575438"/>
                    </a:xfrm>
                    <a:prstGeom prst="rect">
                      <a:avLst/>
                    </a:prstGeom>
                  </pic:spPr>
                </pic:pic>
              </a:graphicData>
            </a:graphic>
          </wp:inline>
        </w:drawing>
      </w:r>
    </w:p>
    <w:p w14:paraId="6E2D3DE3" w14:textId="2DA14EC8" w:rsidR="001F2EC7" w:rsidRDefault="001F2EC7" w:rsidP="001F2EC7">
      <w:pPr>
        <w:spacing w:after="0" w:line="256" w:lineRule="auto"/>
        <w:jc w:val="center"/>
        <w:rPr>
          <w:rFonts w:ascii="Verdana" w:eastAsia="Calibri" w:hAnsi="Verdana" w:cs="Times New Roman"/>
        </w:rPr>
      </w:pPr>
    </w:p>
    <w:p w14:paraId="58AC29EB" w14:textId="77777777" w:rsidR="001F2EC7" w:rsidRDefault="001F2EC7" w:rsidP="001F2EC7">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1F2EC7" w:rsidRPr="005644FE" w14:paraId="1607A422" w14:textId="77777777" w:rsidTr="00BA63D9">
        <w:trPr>
          <w:trHeight w:val="288"/>
        </w:trPr>
        <w:tc>
          <w:tcPr>
            <w:tcW w:w="893" w:type="dxa"/>
            <w:vAlign w:val="center"/>
            <w:hideMark/>
          </w:tcPr>
          <w:p w14:paraId="5FD11155" w14:textId="77777777" w:rsidR="001F2EC7" w:rsidRPr="005644FE" w:rsidRDefault="001F2EC7" w:rsidP="00BA63D9">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292D878" w14:textId="77777777" w:rsidR="001F2EC7" w:rsidRPr="005644FE" w:rsidRDefault="001F2EC7" w:rsidP="00BA63D9">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068777B2" w14:textId="77777777" w:rsidR="001F2EC7" w:rsidRPr="005644FE" w:rsidRDefault="001F2EC7" w:rsidP="00BA63D9">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F2EC7" w:rsidRPr="005644FE" w14:paraId="1DDA675F" w14:textId="77777777" w:rsidTr="00BA63D9">
        <w:trPr>
          <w:trHeight w:val="330"/>
        </w:trPr>
        <w:tc>
          <w:tcPr>
            <w:tcW w:w="893" w:type="dxa"/>
            <w:vAlign w:val="center"/>
            <w:hideMark/>
          </w:tcPr>
          <w:p w14:paraId="3E30763B" w14:textId="77777777" w:rsidR="001F2EC7" w:rsidRPr="005644FE" w:rsidRDefault="001F2EC7" w:rsidP="00BA63D9">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4349304" w14:textId="77777777" w:rsidR="001F2EC7" w:rsidRPr="0043234D" w:rsidRDefault="001F2EC7" w:rsidP="00BA63D9">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 xml:space="preserve">Diana Lucía Saavedra </w:t>
            </w:r>
            <w:r>
              <w:rPr>
                <w:rStyle w:val="normaltextrun"/>
                <w:rFonts w:ascii="Verdana" w:hAnsi="Verdana"/>
                <w:sz w:val="16"/>
                <w:szCs w:val="16"/>
              </w:rPr>
              <w:t>Castañeda</w:t>
            </w:r>
          </w:p>
          <w:p w14:paraId="4FF8FBA2" w14:textId="77777777" w:rsidR="001F2EC7" w:rsidRPr="005644FE" w:rsidRDefault="001F2EC7" w:rsidP="00BA63D9">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F2EC7" w:rsidRPr="005644FE" w14:paraId="6AC96DCD" w14:textId="77777777" w:rsidTr="00BA63D9">
        <w:trPr>
          <w:trHeight w:val="300"/>
        </w:trPr>
        <w:tc>
          <w:tcPr>
            <w:tcW w:w="893" w:type="dxa"/>
            <w:vAlign w:val="center"/>
          </w:tcPr>
          <w:p w14:paraId="5EBC621B" w14:textId="77777777" w:rsidR="001F2EC7" w:rsidRPr="005644FE" w:rsidRDefault="001F2EC7" w:rsidP="00BA63D9">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C0C814B" w14:textId="77777777" w:rsidR="001F2EC7" w:rsidRPr="005644FE" w:rsidRDefault="001F2EC7" w:rsidP="00BA63D9">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6C91223" w14:textId="77777777" w:rsidR="001F2EC7" w:rsidRPr="005644FE" w:rsidRDefault="001F2EC7" w:rsidP="00BA63D9">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4C864E4E" w14:textId="77777777" w:rsidR="001F2EC7" w:rsidRDefault="001F2EC7" w:rsidP="001F2EC7"/>
    <w:bookmarkEnd w:id="0"/>
    <w:p w14:paraId="5776D17D" w14:textId="77777777" w:rsidR="001F2EC7" w:rsidRPr="00DA7239" w:rsidRDefault="001F2EC7" w:rsidP="001F2EC7"/>
    <w:p w14:paraId="044F895F" w14:textId="77777777" w:rsidR="001F2EC7" w:rsidRPr="005B0D10" w:rsidRDefault="001F2EC7" w:rsidP="001F2EC7"/>
    <w:p w14:paraId="7A55B6A2" w14:textId="77777777" w:rsidR="001F2EC7" w:rsidRPr="00F459C4" w:rsidRDefault="001F2EC7" w:rsidP="001F2EC7"/>
    <w:p w14:paraId="454C5CBD" w14:textId="77777777" w:rsidR="001F2EC7" w:rsidRPr="009C576B" w:rsidRDefault="001F2EC7" w:rsidP="001F2EC7">
      <w:pPr>
        <w:spacing w:after="0" w:line="240" w:lineRule="auto"/>
        <w:jc w:val="both"/>
        <w:rPr>
          <w:rFonts w:ascii="Verdana" w:eastAsia="Verdana" w:hAnsi="Verdana" w:cs="Verdana"/>
          <w:b/>
          <w:bCs/>
        </w:rPr>
      </w:pPr>
    </w:p>
    <w:bookmarkEnd w:id="1"/>
    <w:p w14:paraId="1D8E8A1E" w14:textId="77777777" w:rsidR="001F2EC7" w:rsidRPr="00BB1C8C" w:rsidRDefault="001F2EC7" w:rsidP="001F2EC7">
      <w:pPr>
        <w:spacing w:after="0" w:line="240" w:lineRule="auto"/>
        <w:textAlignment w:val="baseline"/>
        <w:rPr>
          <w:rFonts w:ascii="Verdana" w:eastAsia="Verdana" w:hAnsi="Verdana" w:cs="Verdana"/>
          <w:lang w:eastAsia="es-CO"/>
        </w:rPr>
      </w:pPr>
    </w:p>
    <w:p w14:paraId="00555102" w14:textId="77777777" w:rsidR="001F2EC7" w:rsidRPr="005B24D8" w:rsidRDefault="001F2EC7" w:rsidP="001F2EC7"/>
    <w:p w14:paraId="0F293BF4" w14:textId="6ECB7C2F" w:rsidR="00127233" w:rsidRPr="00525A12" w:rsidRDefault="00127233" w:rsidP="00525A12"/>
    <w:sectPr w:rsidR="00127233" w:rsidRPr="00525A1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38073" w14:textId="77777777" w:rsidR="00710A33" w:rsidRDefault="00710A33" w:rsidP="004A1847">
      <w:pPr>
        <w:spacing w:after="0" w:line="240" w:lineRule="auto"/>
      </w:pPr>
      <w:r>
        <w:separator/>
      </w:r>
    </w:p>
  </w:endnote>
  <w:endnote w:type="continuationSeparator" w:id="0">
    <w:p w14:paraId="701FBF47" w14:textId="77777777" w:rsidR="00710A33" w:rsidRDefault="00710A3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1B788" w14:textId="77777777" w:rsidR="00710A33" w:rsidRDefault="00710A33" w:rsidP="004A1847">
      <w:pPr>
        <w:spacing w:after="0" w:line="240" w:lineRule="auto"/>
      </w:pPr>
      <w:r>
        <w:separator/>
      </w:r>
    </w:p>
  </w:footnote>
  <w:footnote w:type="continuationSeparator" w:id="0">
    <w:p w14:paraId="52D52376" w14:textId="77777777" w:rsidR="00710A33" w:rsidRDefault="00710A33" w:rsidP="004A1847">
      <w:pPr>
        <w:spacing w:after="0" w:line="240" w:lineRule="auto"/>
      </w:pPr>
      <w:r>
        <w:continuationSeparator/>
      </w:r>
    </w:p>
  </w:footnote>
  <w:footnote w:id="1">
    <w:p w14:paraId="0A673A40"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5326558" w14:textId="77777777" w:rsidR="001F2EC7" w:rsidRPr="00D71B7F" w:rsidRDefault="001F2EC7" w:rsidP="001F2EC7">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966AE5E" w14:textId="77777777" w:rsidR="001F2EC7" w:rsidRPr="00D71B7F" w:rsidRDefault="001F2EC7" w:rsidP="001F2EC7">
      <w:pPr>
        <w:pStyle w:val="Textonotapie"/>
        <w:ind w:firstLine="709"/>
        <w:jc w:val="both"/>
        <w:rPr>
          <w:rFonts w:ascii="Verdana" w:hAnsi="Verdana" w:cs="Arial"/>
          <w:sz w:val="16"/>
          <w:szCs w:val="16"/>
        </w:rPr>
      </w:pPr>
    </w:p>
  </w:footnote>
  <w:footnote w:id="2">
    <w:p w14:paraId="233C3E57"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5930628D" w14:textId="77777777" w:rsidR="001F2EC7" w:rsidRPr="00D71B7F" w:rsidRDefault="001F2EC7" w:rsidP="001F2EC7">
      <w:pPr>
        <w:pStyle w:val="Textonotapie"/>
        <w:ind w:firstLine="709"/>
        <w:jc w:val="both"/>
        <w:rPr>
          <w:rFonts w:ascii="Verdana" w:hAnsi="Verdana" w:cs="Arial"/>
          <w:sz w:val="16"/>
          <w:szCs w:val="16"/>
        </w:rPr>
      </w:pPr>
    </w:p>
  </w:footnote>
  <w:footnote w:id="3">
    <w:p w14:paraId="304197FC" w14:textId="77777777" w:rsidR="001F2EC7" w:rsidRPr="00D71B7F" w:rsidRDefault="001F2EC7" w:rsidP="001F2EC7">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5F707370" w14:textId="77777777" w:rsidR="001F2EC7" w:rsidRPr="00D71B7F" w:rsidRDefault="001F2EC7" w:rsidP="001F2EC7">
      <w:pPr>
        <w:pStyle w:val="Textonotapie"/>
        <w:tabs>
          <w:tab w:val="left" w:pos="8145"/>
        </w:tabs>
        <w:ind w:firstLine="709"/>
        <w:jc w:val="both"/>
        <w:rPr>
          <w:rFonts w:ascii="Verdana" w:hAnsi="Verdana" w:cs="Arial"/>
          <w:sz w:val="16"/>
          <w:szCs w:val="16"/>
          <w:lang w:val="pt-PT"/>
        </w:rPr>
      </w:pPr>
    </w:p>
  </w:footnote>
  <w:footnote w:id="4">
    <w:p w14:paraId="7809882B" w14:textId="77777777" w:rsidR="001F2EC7" w:rsidRPr="00D71B7F" w:rsidRDefault="001F2EC7" w:rsidP="001F2EC7">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0B9DCD3" w14:textId="77777777" w:rsidR="001F2EC7" w:rsidRPr="00D71B7F" w:rsidRDefault="001F2EC7" w:rsidP="001F2EC7">
      <w:pPr>
        <w:pStyle w:val="Textonotapie"/>
        <w:ind w:firstLine="709"/>
        <w:jc w:val="both"/>
        <w:rPr>
          <w:rFonts w:ascii="Verdana" w:hAnsi="Verdana" w:cs="Arial"/>
          <w:sz w:val="16"/>
          <w:szCs w:val="16"/>
          <w:lang w:val="pt-PT"/>
        </w:rPr>
      </w:pPr>
    </w:p>
  </w:footnote>
  <w:footnote w:id="5">
    <w:p w14:paraId="1559403B" w14:textId="77777777" w:rsidR="001F2EC7" w:rsidRPr="00D71B7F" w:rsidRDefault="001F2EC7" w:rsidP="001F2EC7">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1C01C60B" w14:textId="77777777" w:rsidR="001F2EC7" w:rsidRPr="00D71B7F" w:rsidRDefault="001F2EC7" w:rsidP="001F2EC7">
      <w:pPr>
        <w:pStyle w:val="Textonotapie"/>
        <w:ind w:firstLine="709"/>
        <w:jc w:val="both"/>
        <w:rPr>
          <w:rFonts w:ascii="Verdana" w:hAnsi="Verdana" w:cs="Arial"/>
          <w:sz w:val="16"/>
          <w:szCs w:val="16"/>
          <w:lang w:val="es-CO"/>
        </w:rPr>
      </w:pPr>
    </w:p>
  </w:footnote>
  <w:footnote w:id="6">
    <w:p w14:paraId="0B1746BA"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1700FFED" w14:textId="77777777" w:rsidR="001F2EC7" w:rsidRPr="00D71B7F" w:rsidRDefault="001F2EC7" w:rsidP="001F2EC7">
      <w:pPr>
        <w:pStyle w:val="Textonotapie"/>
        <w:ind w:firstLine="709"/>
        <w:jc w:val="both"/>
        <w:rPr>
          <w:rFonts w:ascii="Verdana" w:hAnsi="Verdana" w:cs="Arial"/>
          <w:sz w:val="16"/>
          <w:szCs w:val="16"/>
        </w:rPr>
      </w:pPr>
    </w:p>
  </w:footnote>
  <w:footnote w:id="7">
    <w:p w14:paraId="1C66DCF9" w14:textId="77777777" w:rsidR="001F2EC7" w:rsidRPr="00D71B7F" w:rsidRDefault="001F2EC7" w:rsidP="001F2EC7">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5"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5"/>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13806F0" w14:textId="77777777" w:rsidR="001F2EC7" w:rsidRPr="00D71B7F" w:rsidRDefault="001F2EC7" w:rsidP="001F2EC7">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D6EEDCB" w14:textId="77777777" w:rsidR="001F2EC7" w:rsidRPr="00D71B7F" w:rsidRDefault="001F2EC7" w:rsidP="001F2EC7">
      <w:pPr>
        <w:spacing w:after="0" w:line="240" w:lineRule="auto"/>
        <w:ind w:firstLine="709"/>
        <w:jc w:val="both"/>
        <w:rPr>
          <w:rFonts w:ascii="Verdana" w:eastAsia="Times New Roman" w:hAnsi="Verdana" w:cs="Arial"/>
          <w:sz w:val="16"/>
          <w:szCs w:val="16"/>
        </w:rPr>
      </w:pPr>
    </w:p>
  </w:footnote>
  <w:footnote w:id="8">
    <w:p w14:paraId="33A55EF6" w14:textId="77777777" w:rsidR="001F2EC7" w:rsidRPr="00D71B7F" w:rsidRDefault="001F2EC7" w:rsidP="001F2EC7">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6"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6"/>
    </w:p>
    <w:p w14:paraId="6A38D184" w14:textId="77777777" w:rsidR="001F2EC7" w:rsidRPr="00D71B7F" w:rsidRDefault="001F2EC7" w:rsidP="001F2EC7">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20CAA01A" w14:textId="77777777" w:rsidR="001F2EC7" w:rsidRPr="00D71B7F" w:rsidRDefault="001F2EC7" w:rsidP="001F2EC7">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186CD58C" w14:textId="77777777" w:rsidR="001F2EC7" w:rsidRPr="00D71B7F" w:rsidRDefault="001F2EC7" w:rsidP="001F2EC7">
      <w:pPr>
        <w:pStyle w:val="NormalWeb"/>
        <w:spacing w:before="0" w:beforeAutospacing="0" w:after="0" w:afterAutospacing="0"/>
        <w:ind w:firstLine="709"/>
        <w:jc w:val="both"/>
        <w:rPr>
          <w:rFonts w:ascii="Verdana" w:hAnsi="Verdana" w:cs="Arial"/>
          <w:sz w:val="16"/>
          <w:szCs w:val="16"/>
          <w:lang w:val="es-MX"/>
        </w:rPr>
      </w:pPr>
    </w:p>
  </w:footnote>
  <w:footnote w:id="9">
    <w:p w14:paraId="22491602" w14:textId="77777777" w:rsidR="001F2EC7" w:rsidRPr="00D71B7F" w:rsidRDefault="001F2EC7" w:rsidP="001F2EC7">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68DDFC67" w14:textId="77777777" w:rsidR="001F2EC7" w:rsidRPr="00D71B7F" w:rsidRDefault="001F2EC7" w:rsidP="001F2EC7">
      <w:pPr>
        <w:spacing w:after="0" w:line="240" w:lineRule="auto"/>
        <w:ind w:left="100" w:right="244" w:firstLine="709"/>
        <w:jc w:val="both"/>
        <w:rPr>
          <w:rFonts w:ascii="Verdana" w:hAnsi="Verdana" w:cs="Arial"/>
          <w:sz w:val="16"/>
          <w:szCs w:val="16"/>
          <w:lang w:val="es-ES"/>
        </w:rPr>
      </w:pPr>
    </w:p>
  </w:footnote>
  <w:footnote w:id="10">
    <w:p w14:paraId="2728E5AB"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
    <w:p w14:paraId="66FF9A53" w14:textId="77777777" w:rsidR="001F2EC7" w:rsidRPr="00D71B7F" w:rsidRDefault="001F2EC7" w:rsidP="001F2EC7">
      <w:pPr>
        <w:pStyle w:val="Textonotapie"/>
        <w:ind w:firstLine="709"/>
        <w:jc w:val="both"/>
        <w:rPr>
          <w:rFonts w:ascii="Verdana" w:hAnsi="Verdana" w:cs="Arial"/>
          <w:sz w:val="16"/>
          <w:szCs w:val="16"/>
        </w:rPr>
      </w:pPr>
    </w:p>
  </w:footnote>
  <w:footnote w:id="11">
    <w:p w14:paraId="76D04DBF"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4"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4"/>
      <w:r w:rsidRPr="00D71B7F">
        <w:rPr>
          <w:rFonts w:ascii="Verdana" w:hAnsi="Verdana" w:cs="Arial"/>
          <w:sz w:val="16"/>
          <w:szCs w:val="16"/>
        </w:rPr>
        <w:t>Al respecto ver el concepto 1712 de 2 de febrero de 2006. Consejo de Estado Sala de Consulta y Servicio Civil”.</w:t>
      </w:r>
    </w:p>
    <w:p w14:paraId="3043924C" w14:textId="77777777" w:rsidR="001F2EC7" w:rsidRPr="00D71B7F" w:rsidRDefault="001F2EC7" w:rsidP="001F2EC7">
      <w:pPr>
        <w:pStyle w:val="Textonotapie"/>
        <w:ind w:firstLine="709"/>
        <w:jc w:val="both"/>
        <w:rPr>
          <w:rFonts w:ascii="Verdana" w:hAnsi="Verdana" w:cs="Arial"/>
          <w:sz w:val="16"/>
          <w:szCs w:val="16"/>
        </w:rPr>
      </w:pPr>
    </w:p>
  </w:footnote>
  <w:footnote w:id="12">
    <w:p w14:paraId="2B503578"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3F1FF77D" w14:textId="77777777" w:rsidR="001F2EC7" w:rsidRPr="00D71B7F" w:rsidRDefault="001F2EC7" w:rsidP="001F2EC7">
      <w:pPr>
        <w:pStyle w:val="Textonotapie"/>
        <w:ind w:firstLine="709"/>
        <w:jc w:val="both"/>
        <w:rPr>
          <w:rFonts w:ascii="Verdana" w:hAnsi="Verdana" w:cs="Arial"/>
          <w:sz w:val="16"/>
          <w:szCs w:val="16"/>
        </w:rPr>
      </w:pPr>
    </w:p>
  </w:footnote>
  <w:footnote w:id="13">
    <w:p w14:paraId="48664768" w14:textId="77777777" w:rsidR="001F2EC7" w:rsidRPr="00D71B7F" w:rsidRDefault="001F2EC7" w:rsidP="001F2EC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16CE482F" w14:textId="77777777" w:rsidR="001F2EC7" w:rsidRPr="00D71B7F" w:rsidRDefault="001F2EC7" w:rsidP="001F2EC7">
      <w:pPr>
        <w:pStyle w:val="Textonotapie"/>
        <w:ind w:firstLine="709"/>
        <w:rPr>
          <w:rFonts w:ascii="Verdana" w:hAnsi="Verdana" w:cs="Arial"/>
          <w:sz w:val="16"/>
          <w:szCs w:val="16"/>
          <w:lang w:val="es-ES"/>
        </w:rPr>
      </w:pPr>
    </w:p>
  </w:footnote>
  <w:footnote w:id="14">
    <w:p w14:paraId="02B40008" w14:textId="77777777" w:rsidR="001F2EC7" w:rsidRPr="00D71B7F" w:rsidRDefault="001F2EC7" w:rsidP="001F2EC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4E71D4EC" w14:textId="77777777" w:rsidR="001F2EC7" w:rsidRPr="00D71B7F" w:rsidRDefault="001F2EC7" w:rsidP="001F2EC7">
      <w:pPr>
        <w:pStyle w:val="Textonotapie"/>
        <w:ind w:firstLine="709"/>
        <w:rPr>
          <w:rFonts w:ascii="Verdana" w:hAnsi="Verdana" w:cs="Arial"/>
          <w:sz w:val="16"/>
          <w:szCs w:val="16"/>
          <w:lang w:val="es-ES"/>
        </w:rPr>
      </w:pPr>
    </w:p>
  </w:footnote>
  <w:footnote w:id="15">
    <w:p w14:paraId="00024D6A" w14:textId="77777777" w:rsidR="001F2EC7" w:rsidRPr="00D71B7F" w:rsidRDefault="001F2EC7" w:rsidP="001F2EC7">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7360804B" w14:textId="77777777" w:rsidR="001F2EC7" w:rsidRPr="00D71B7F" w:rsidRDefault="001F2EC7" w:rsidP="001F2EC7">
      <w:pPr>
        <w:pStyle w:val="Textonotapie"/>
        <w:ind w:firstLine="709"/>
        <w:rPr>
          <w:rFonts w:ascii="Verdana" w:hAnsi="Verdana" w:cs="Arial"/>
          <w:sz w:val="16"/>
          <w:szCs w:val="16"/>
          <w:lang w:val="es-ES"/>
        </w:rPr>
      </w:pPr>
    </w:p>
  </w:footnote>
  <w:footnote w:id="16">
    <w:p w14:paraId="5826C491" w14:textId="77777777" w:rsidR="001F2EC7" w:rsidRPr="00D71B7F" w:rsidRDefault="001F2EC7" w:rsidP="001F2EC7">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624FD819" w14:textId="77777777" w:rsidR="001F2EC7" w:rsidRPr="00D71B7F" w:rsidRDefault="001F2EC7" w:rsidP="001F2EC7">
      <w:pPr>
        <w:shd w:val="clear" w:color="auto" w:fill="FFFFFF"/>
        <w:spacing w:after="0" w:line="240" w:lineRule="auto"/>
        <w:ind w:firstLine="709"/>
        <w:jc w:val="both"/>
        <w:rPr>
          <w:rFonts w:ascii="Verdana" w:hAnsi="Verdana" w:cs="Arial"/>
          <w:sz w:val="16"/>
          <w:szCs w:val="16"/>
          <w:lang w:val="es-ES"/>
        </w:rPr>
      </w:pPr>
    </w:p>
  </w:footnote>
  <w:footnote w:id="17">
    <w:p w14:paraId="2C2226BA"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Exp. 2.382. C.P. Álvaro Namén Vargas.</w:t>
      </w:r>
    </w:p>
    <w:p w14:paraId="353479C6" w14:textId="77777777" w:rsidR="001F2EC7" w:rsidRPr="00D71B7F" w:rsidRDefault="001F2EC7" w:rsidP="001F2EC7">
      <w:pPr>
        <w:pStyle w:val="Textonotapie"/>
        <w:ind w:firstLine="709"/>
        <w:jc w:val="both"/>
        <w:rPr>
          <w:rFonts w:ascii="Verdana" w:hAnsi="Verdana" w:cs="Arial"/>
          <w:sz w:val="16"/>
          <w:szCs w:val="16"/>
        </w:rPr>
      </w:pPr>
    </w:p>
  </w:footnote>
  <w:footnote w:id="18">
    <w:p w14:paraId="3930705B" w14:textId="77777777" w:rsidR="001F2EC7" w:rsidRPr="00D71B7F" w:rsidRDefault="001F2EC7" w:rsidP="001F2EC7">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1" w:history="1">
        <w:r w:rsidRPr="00D71B7F">
          <w:rPr>
            <w:rStyle w:val="Hipervnculo"/>
            <w:rFonts w:ascii="Verdana" w:hAnsi="Verdana"/>
            <w:sz w:val="16"/>
            <w:szCs w:val="16"/>
            <w:lang w:val="es-CO"/>
          </w:rPr>
          <w:t>006-de-2025-Circular-Externa-L996-ajustado-comentarios-BM-BID-Rev-ARSC-V3.d-1.pdf</w:t>
        </w:r>
      </w:hyperlink>
    </w:p>
    <w:p w14:paraId="12531B38" w14:textId="77777777" w:rsidR="001F2EC7" w:rsidRPr="00D71B7F" w:rsidRDefault="001F2EC7" w:rsidP="001F2EC7">
      <w:pPr>
        <w:pStyle w:val="Textonotapie"/>
        <w:rPr>
          <w:rFonts w:ascii="Verdana" w:hAnsi="Verdana"/>
          <w:sz w:val="16"/>
          <w:szCs w:val="16"/>
          <w:lang w:val="es-ES"/>
        </w:rPr>
      </w:pPr>
    </w:p>
  </w:footnote>
  <w:footnote w:id="19">
    <w:p w14:paraId="1947E3C0" w14:textId="77777777" w:rsidR="001F2EC7" w:rsidRPr="00D71B7F" w:rsidRDefault="001F2EC7" w:rsidP="001F2EC7">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5F8FD43" w14:textId="77777777" w:rsidR="001F2EC7" w:rsidRPr="00D71B7F" w:rsidRDefault="001F2EC7" w:rsidP="001F2EC7">
      <w:pPr>
        <w:spacing w:after="0" w:line="240" w:lineRule="auto"/>
        <w:ind w:firstLine="709"/>
        <w:jc w:val="both"/>
        <w:rPr>
          <w:rFonts w:ascii="Verdana" w:hAnsi="Verdana" w:cs="Arial"/>
          <w:color w:val="000000" w:themeColor="text1"/>
          <w:sz w:val="16"/>
          <w:szCs w:val="16"/>
        </w:rPr>
      </w:pPr>
    </w:p>
  </w:footnote>
  <w:footnote w:id="20">
    <w:p w14:paraId="6C18DC3D" w14:textId="77777777" w:rsidR="001F2EC7" w:rsidRPr="00D71B7F" w:rsidRDefault="001F2EC7" w:rsidP="001F2EC7">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8"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8"/>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10C5F564" w14:textId="77777777" w:rsidR="001F2EC7" w:rsidRPr="00D71B7F" w:rsidRDefault="001F2EC7" w:rsidP="001F2EC7">
      <w:pPr>
        <w:pStyle w:val="Textonotapie"/>
        <w:ind w:firstLine="709"/>
        <w:jc w:val="both"/>
        <w:rPr>
          <w:rFonts w:ascii="Verdana" w:hAnsi="Verdana" w:cs="Arial"/>
          <w:color w:val="000000" w:themeColor="text1"/>
          <w:sz w:val="16"/>
          <w:szCs w:val="16"/>
        </w:rPr>
      </w:pPr>
    </w:p>
  </w:footnote>
  <w:footnote w:id="21">
    <w:p w14:paraId="1563C018" w14:textId="77777777" w:rsidR="001F2EC7" w:rsidRPr="00D71B7F" w:rsidRDefault="001F2EC7" w:rsidP="001F2EC7">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2ECD0620" w14:textId="77777777" w:rsidR="001F2EC7" w:rsidRPr="00D71B7F" w:rsidRDefault="001F2EC7" w:rsidP="001F2EC7">
      <w:pPr>
        <w:spacing w:after="0" w:line="240" w:lineRule="auto"/>
        <w:ind w:firstLine="709"/>
        <w:jc w:val="both"/>
        <w:rPr>
          <w:rFonts w:ascii="Verdana" w:hAnsi="Verdana" w:cs="Arial"/>
          <w:color w:val="000000" w:themeColor="text1"/>
          <w:sz w:val="16"/>
          <w:szCs w:val="16"/>
        </w:rPr>
      </w:pPr>
    </w:p>
  </w:footnote>
  <w:footnote w:id="22">
    <w:p w14:paraId="0A70D651" w14:textId="77777777" w:rsidR="001F2EC7" w:rsidRPr="00D71B7F" w:rsidRDefault="001F2EC7" w:rsidP="001F2EC7">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25DA88FD" w14:textId="77777777" w:rsidR="001F2EC7" w:rsidRPr="00D71B7F" w:rsidRDefault="001F2EC7" w:rsidP="001F2EC7">
      <w:pPr>
        <w:pStyle w:val="Textonotapie"/>
        <w:ind w:firstLine="709"/>
        <w:rPr>
          <w:rFonts w:ascii="Verdana" w:hAnsi="Verdana" w:cs="Arial"/>
          <w:color w:val="000000" w:themeColor="text1"/>
          <w:sz w:val="16"/>
          <w:szCs w:val="16"/>
        </w:rPr>
      </w:pPr>
    </w:p>
  </w:footnote>
  <w:footnote w:id="23">
    <w:p w14:paraId="4BC62827" w14:textId="77777777" w:rsidR="001F2EC7" w:rsidRPr="00D71B7F" w:rsidRDefault="001F2EC7" w:rsidP="001F2EC7">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0BFF3CA2" w14:textId="77777777" w:rsidR="001F2EC7" w:rsidRPr="00D71B7F" w:rsidRDefault="001F2EC7" w:rsidP="001F2EC7">
      <w:pPr>
        <w:pStyle w:val="Textonotapie"/>
        <w:ind w:firstLine="709"/>
        <w:jc w:val="both"/>
        <w:rPr>
          <w:rFonts w:ascii="Verdana" w:hAnsi="Verdana" w:cs="Arial"/>
          <w:sz w:val="16"/>
          <w:szCs w:val="16"/>
        </w:rPr>
      </w:pPr>
    </w:p>
  </w:footnote>
  <w:footnote w:id="24">
    <w:p w14:paraId="59C5CBDF" w14:textId="77777777" w:rsidR="001F2EC7" w:rsidRPr="00D71B7F" w:rsidRDefault="001F2EC7" w:rsidP="001F2EC7">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142B0C9F" w14:textId="77777777" w:rsidR="001F2EC7" w:rsidRPr="00D71B7F" w:rsidRDefault="001F2EC7" w:rsidP="001F2EC7">
      <w:pPr>
        <w:pStyle w:val="Textonotapie"/>
        <w:ind w:firstLine="708"/>
        <w:jc w:val="both"/>
        <w:rPr>
          <w:rFonts w:ascii="Verdana" w:hAnsi="Verdana" w:cs="Arial"/>
          <w:sz w:val="16"/>
          <w:szCs w:val="16"/>
        </w:rPr>
      </w:pPr>
    </w:p>
  </w:footnote>
  <w:footnote w:id="25">
    <w:p w14:paraId="528FE4BC" w14:textId="77777777" w:rsidR="001F2EC7" w:rsidRPr="00D71B7F" w:rsidRDefault="001F2EC7" w:rsidP="001F2EC7">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7546EA3E" w14:textId="77777777" w:rsidR="001F2EC7" w:rsidRPr="00D71B7F" w:rsidRDefault="001F2EC7" w:rsidP="001F2EC7">
      <w:pPr>
        <w:pStyle w:val="Textonotapie"/>
        <w:ind w:firstLine="708"/>
        <w:jc w:val="both"/>
        <w:rPr>
          <w:rFonts w:ascii="Verdana" w:hAnsi="Verdana" w:cs="Arial"/>
          <w:sz w:val="16"/>
          <w:szCs w:val="16"/>
        </w:rPr>
      </w:pPr>
    </w:p>
  </w:footnote>
  <w:footnote w:id="26">
    <w:p w14:paraId="3C954695" w14:textId="77777777" w:rsidR="001F2EC7" w:rsidRPr="00D71B7F" w:rsidRDefault="001F2EC7" w:rsidP="001F2EC7">
      <w:pPr>
        <w:pStyle w:val="Textonotapie"/>
        <w:ind w:firstLine="708"/>
        <w:jc w:val="both"/>
        <w:rPr>
          <w:rFonts w:ascii="Verdana" w:hAnsi="Verdana"/>
          <w:sz w:val="16"/>
          <w:szCs w:val="16"/>
          <w:lang w:val="es-CO"/>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footnote>
  <w:footnote w:id="27">
    <w:p w14:paraId="45C197EC" w14:textId="77777777" w:rsidR="001F2EC7" w:rsidRPr="009D0D83" w:rsidRDefault="001F2EC7" w:rsidP="001F2EC7">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footnote>
  <w:footnote w:id="28">
    <w:p w14:paraId="2EEE11C0" w14:textId="77777777" w:rsidR="001F2EC7" w:rsidRDefault="001F2EC7" w:rsidP="001F2EC7">
      <w:pPr>
        <w:pStyle w:val="Textonotapie"/>
        <w:ind w:firstLine="709"/>
        <w:contextualSpacing/>
        <w:jc w:val="both"/>
        <w:rPr>
          <w:rFonts w:ascii="Verdana" w:hAnsi="Verdana"/>
          <w:sz w:val="16"/>
          <w:szCs w:val="16"/>
          <w:vertAlign w:val="superscript"/>
        </w:rPr>
      </w:pPr>
    </w:p>
    <w:p w14:paraId="7E2BC47E" w14:textId="77777777" w:rsidR="001F2EC7" w:rsidRPr="00B8078E" w:rsidRDefault="001F2EC7" w:rsidP="001F2EC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01E1C7E" w14:textId="77777777" w:rsidR="001F2EC7" w:rsidRPr="00B8078E" w:rsidRDefault="001F2EC7" w:rsidP="001F2EC7">
      <w:pPr>
        <w:pStyle w:val="Textonotapie"/>
        <w:ind w:firstLine="709"/>
        <w:contextualSpacing/>
        <w:jc w:val="both"/>
        <w:rPr>
          <w:rFonts w:ascii="Verdana" w:hAnsi="Verdana" w:cs="Arial"/>
          <w:sz w:val="16"/>
          <w:szCs w:val="16"/>
        </w:rPr>
      </w:pPr>
    </w:p>
  </w:footnote>
  <w:footnote w:id="29">
    <w:p w14:paraId="4E37FE64" w14:textId="77777777" w:rsidR="001F2EC7" w:rsidRPr="00B8078E" w:rsidRDefault="001F2EC7" w:rsidP="001F2EC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55271C77" w14:textId="77777777" w:rsidR="001F2EC7" w:rsidRPr="00B8078E" w:rsidRDefault="001F2EC7" w:rsidP="001F2EC7">
      <w:pPr>
        <w:pStyle w:val="Textonotapie"/>
        <w:ind w:firstLine="709"/>
        <w:contextualSpacing/>
        <w:jc w:val="both"/>
        <w:rPr>
          <w:rFonts w:ascii="Verdana" w:hAnsi="Verdana" w:cs="Arial"/>
          <w:sz w:val="16"/>
          <w:szCs w:val="16"/>
        </w:rPr>
      </w:pPr>
    </w:p>
  </w:footnote>
  <w:footnote w:id="30">
    <w:p w14:paraId="587BEEC6" w14:textId="77777777" w:rsidR="001F2EC7" w:rsidRDefault="001F2EC7" w:rsidP="001F2EC7">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25841133" w14:textId="77777777" w:rsidR="001F2EC7" w:rsidRPr="00852048" w:rsidRDefault="001F2EC7" w:rsidP="001F2EC7">
      <w:pPr>
        <w:pStyle w:val="Textonotapie"/>
        <w:ind w:firstLine="709"/>
        <w:contextualSpacing/>
        <w:jc w:val="both"/>
        <w:rPr>
          <w:rFonts w:ascii="Verdana" w:hAnsi="Verdana" w:cs="Arial"/>
          <w:sz w:val="16"/>
          <w:szCs w:val="16"/>
        </w:rPr>
      </w:pPr>
    </w:p>
  </w:footnote>
  <w:footnote w:id="31">
    <w:p w14:paraId="5694A140" w14:textId="77777777" w:rsidR="001F2EC7" w:rsidRPr="00B8078E" w:rsidRDefault="001F2EC7" w:rsidP="001F2EC7">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1EFAF848" w14:textId="77777777" w:rsidR="001F2EC7" w:rsidRPr="00B8078E" w:rsidRDefault="001F2EC7" w:rsidP="001F2EC7">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1D13A871" w14:textId="77777777" w:rsidR="001F2EC7" w:rsidRPr="00B8078E" w:rsidRDefault="001F2EC7" w:rsidP="001F2EC7">
      <w:pPr>
        <w:pStyle w:val="Textonotapie"/>
        <w:ind w:firstLine="708"/>
        <w:jc w:val="both"/>
        <w:rPr>
          <w:rFonts w:ascii="Verdana" w:hAnsi="Verdana"/>
          <w:sz w:val="16"/>
          <w:szCs w:val="16"/>
          <w:lang w:val="es-CO"/>
        </w:rPr>
      </w:pPr>
    </w:p>
  </w:footnote>
  <w:footnote w:id="32">
    <w:p w14:paraId="1631B911" w14:textId="77777777" w:rsidR="001F2EC7" w:rsidRPr="00B8078E" w:rsidRDefault="001F2EC7" w:rsidP="001F2EC7">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Exp. 70.313. C.P: Fredy Ibarra Martínez.</w:t>
      </w:r>
    </w:p>
    <w:p w14:paraId="0C9575A1" w14:textId="77777777" w:rsidR="001F2EC7" w:rsidRPr="00B8078E" w:rsidRDefault="001F2EC7" w:rsidP="001F2EC7">
      <w:pPr>
        <w:pStyle w:val="Textonotapie"/>
        <w:ind w:firstLine="709"/>
        <w:contextualSpacing/>
        <w:jc w:val="both"/>
        <w:rPr>
          <w:rFonts w:ascii="Verdana" w:hAnsi="Verdana"/>
          <w:sz w:val="16"/>
          <w:szCs w:val="16"/>
          <w:lang w:val="es-CO"/>
        </w:rPr>
      </w:pPr>
    </w:p>
  </w:footnote>
  <w:footnote w:id="33">
    <w:p w14:paraId="5CCE5AA8" w14:textId="77777777" w:rsidR="001F2EC7" w:rsidRPr="00B8078E" w:rsidRDefault="001F2EC7" w:rsidP="001F2EC7">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7378CF92" w14:textId="77777777" w:rsidR="001F2EC7" w:rsidRDefault="001F2EC7" w:rsidP="001F2EC7">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7CC00D7F" w14:textId="77777777" w:rsidR="001F2EC7" w:rsidRPr="009D0D83" w:rsidRDefault="001F2EC7" w:rsidP="001F2EC7">
      <w:pPr>
        <w:pStyle w:val="Textonotapie"/>
        <w:ind w:firstLine="709"/>
        <w:contextualSpacing/>
        <w:jc w:val="both"/>
        <w:rPr>
          <w:rFonts w:ascii="Verdana" w:hAnsi="Verdana"/>
          <w:sz w:val="16"/>
          <w:szCs w:val="16"/>
          <w:lang w:val="es-CO"/>
        </w:rPr>
      </w:pPr>
    </w:p>
  </w:footnote>
  <w:footnote w:id="34">
    <w:p w14:paraId="6ED2ABE8" w14:textId="77777777" w:rsidR="001F2EC7" w:rsidRDefault="001F2EC7" w:rsidP="001F2EC7">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319DD57" w14:textId="77777777" w:rsidR="001F2EC7" w:rsidRPr="00852048" w:rsidRDefault="001F2EC7" w:rsidP="001F2EC7">
      <w:pPr>
        <w:spacing w:after="0" w:line="240" w:lineRule="auto"/>
        <w:ind w:firstLine="709"/>
        <w:contextualSpacing/>
        <w:jc w:val="both"/>
        <w:rPr>
          <w:rFonts w:ascii="Verdana" w:eastAsia="Times New Roman" w:hAnsi="Verdana" w:cs="Times New Roman"/>
          <w:sz w:val="16"/>
          <w:szCs w:val="16"/>
          <w:lang w:eastAsia="es-ES"/>
        </w:rPr>
      </w:pPr>
    </w:p>
  </w:footnote>
  <w:footnote w:id="35">
    <w:p w14:paraId="324D2866" w14:textId="77777777" w:rsidR="001F2EC7" w:rsidRDefault="001F2EC7" w:rsidP="001F2EC7">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5513AA12" w14:textId="77777777" w:rsidR="001F2EC7" w:rsidRPr="00B8078E" w:rsidRDefault="001F2EC7" w:rsidP="001F2EC7">
      <w:pPr>
        <w:pStyle w:val="Textonotapie"/>
        <w:ind w:firstLine="709"/>
        <w:jc w:val="both"/>
        <w:rPr>
          <w:rFonts w:ascii="Verdana" w:hAnsi="Verdana"/>
          <w:sz w:val="16"/>
          <w:szCs w:val="16"/>
          <w:lang w:val="es-CO"/>
        </w:rPr>
      </w:pPr>
    </w:p>
  </w:footnote>
  <w:footnote w:id="36">
    <w:p w14:paraId="6E704649" w14:textId="77777777" w:rsidR="001F2EC7" w:rsidRPr="00DD5A6D" w:rsidRDefault="001F2EC7" w:rsidP="001F2EC7">
      <w:pPr>
        <w:pStyle w:val="Textonotapie"/>
        <w:ind w:firstLine="709"/>
        <w:rPr>
          <w:rFonts w:ascii="Verdana" w:hAnsi="Verdana"/>
          <w:sz w:val="16"/>
          <w:szCs w:val="16"/>
          <w:lang w:val="es-ES"/>
        </w:rPr>
      </w:pPr>
      <w:r w:rsidRPr="00DD5A6D">
        <w:rPr>
          <w:rStyle w:val="Refdenotaalpie"/>
          <w:rFonts w:ascii="Verdana" w:hAnsi="Verdana"/>
          <w:sz w:val="16"/>
          <w:szCs w:val="16"/>
        </w:rPr>
        <w:footnoteRef/>
      </w:r>
      <w:r w:rsidRPr="00DD5A6D">
        <w:rPr>
          <w:rFonts w:ascii="Verdana" w:hAnsi="Verdana"/>
          <w:sz w:val="16"/>
          <w:szCs w:val="16"/>
        </w:rPr>
        <w:t xml:space="preserve"> </w:t>
      </w:r>
      <w:r w:rsidRPr="00DD5A6D">
        <w:rPr>
          <w:rFonts w:ascii="Verdana" w:hAnsi="Verdana"/>
          <w:sz w:val="16"/>
          <w:szCs w:val="16"/>
          <w:lang w:val="es-ES"/>
        </w:rPr>
        <w:t xml:space="preserve">Agencia Nacional de Contratación Pública – Colombia Compra Eficiente. Circular Externa No. 006 del 25 de septiembre de 2025. Disponible en </w:t>
      </w:r>
      <w:hyperlink r:id="rId2" w:history="1">
        <w:r w:rsidRPr="00DD5A6D">
          <w:rPr>
            <w:rStyle w:val="Hipervnculo"/>
            <w:rFonts w:ascii="Verdana" w:hAnsi="Verdana"/>
            <w:sz w:val="16"/>
            <w:szCs w:val="16"/>
            <w:lang w:val="es-CO"/>
          </w:rPr>
          <w:t>006-de-2025-Circular-Externa-L996-ajustado-comentarios-BM-BID-Rev-ARSC-V3.d-1.pdf</w:t>
        </w:r>
      </w:hyperlink>
    </w:p>
  </w:footnote>
  <w:footnote w:id="37">
    <w:p w14:paraId="1CD5F142" w14:textId="77777777" w:rsidR="007E70A5" w:rsidRPr="004626E3" w:rsidRDefault="007E70A5" w:rsidP="007E70A5">
      <w:pPr>
        <w:pStyle w:val="Textonotapie"/>
        <w:ind w:firstLine="708"/>
        <w:jc w:val="both"/>
        <w:rPr>
          <w:rFonts w:ascii="Verdana" w:hAnsi="Verdana" w:cs="Arial"/>
          <w:sz w:val="14"/>
          <w:szCs w:val="14"/>
        </w:rPr>
      </w:pPr>
      <w:r w:rsidRPr="004626E3">
        <w:rPr>
          <w:rStyle w:val="Refdenotaalpie"/>
          <w:rFonts w:ascii="Verdana" w:hAnsi="Verdana" w:cs="Arial"/>
          <w:sz w:val="14"/>
          <w:szCs w:val="14"/>
        </w:rPr>
        <w:footnoteRef/>
      </w:r>
      <w:r w:rsidRPr="004626E3">
        <w:rPr>
          <w:rFonts w:ascii="Verdana" w:hAnsi="Verdana" w:cs="Arial"/>
          <w:sz w:val="14"/>
          <w:szCs w:val="14"/>
        </w:rPr>
        <w:t xml:space="preserve"> Concepto del 3 de septiembre de 2019, con radicado No. 2201913000006512.</w:t>
      </w:r>
    </w:p>
    <w:p w14:paraId="56952068" w14:textId="77777777" w:rsidR="007E70A5" w:rsidRPr="004626E3" w:rsidRDefault="007E70A5" w:rsidP="007E70A5">
      <w:pPr>
        <w:pStyle w:val="Textonotapie"/>
        <w:ind w:firstLine="708"/>
        <w:jc w:val="both"/>
        <w:rPr>
          <w:rFonts w:ascii="Verdana" w:hAnsi="Verdana" w:cs="Arial"/>
          <w:sz w:val="14"/>
          <w:szCs w:val="14"/>
        </w:rPr>
      </w:pPr>
    </w:p>
  </w:footnote>
  <w:footnote w:id="38">
    <w:p w14:paraId="32090ECC" w14:textId="77777777" w:rsidR="007E70A5" w:rsidRPr="004626E3" w:rsidRDefault="007E70A5" w:rsidP="007E70A5">
      <w:pPr>
        <w:pStyle w:val="Textonotapie"/>
        <w:ind w:firstLine="708"/>
        <w:jc w:val="both"/>
        <w:rPr>
          <w:rFonts w:ascii="Verdana" w:hAnsi="Verdana" w:cs="Arial"/>
          <w:sz w:val="14"/>
          <w:szCs w:val="14"/>
        </w:rPr>
      </w:pPr>
      <w:r w:rsidRPr="004626E3">
        <w:rPr>
          <w:rStyle w:val="Refdenotaalpie"/>
          <w:rFonts w:ascii="Verdana" w:hAnsi="Verdana" w:cs="Arial"/>
          <w:sz w:val="14"/>
          <w:szCs w:val="14"/>
        </w:rPr>
        <w:footnoteRef/>
      </w:r>
      <w:r w:rsidRPr="004626E3">
        <w:rPr>
          <w:rFonts w:ascii="Verdana" w:hAnsi="Verdana" w:cs="Arial"/>
          <w:sz w:val="14"/>
          <w:szCs w:val="14"/>
        </w:rPr>
        <w:t xml:space="preserve"> Sobre la naturaleza de los convenios de asociación, se reitera lo expuesto en el concepto del 19 de noviembre de 2019, con radicado No. 2201913000008611.</w:t>
      </w:r>
    </w:p>
  </w:footnote>
  <w:footnote w:id="39">
    <w:p w14:paraId="208979DC" w14:textId="77777777" w:rsidR="007E70A5" w:rsidRPr="004626E3" w:rsidRDefault="007E70A5" w:rsidP="007E70A5">
      <w:pPr>
        <w:pStyle w:val="Textonotapie"/>
        <w:ind w:firstLine="708"/>
        <w:jc w:val="both"/>
        <w:rPr>
          <w:rFonts w:ascii="Verdana" w:hAnsi="Verdana" w:cs="Arial"/>
          <w:color w:val="000000" w:themeColor="text1"/>
          <w:sz w:val="14"/>
          <w:szCs w:val="14"/>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Cfr. Concepto del 21 de agosto de 2019, dictado dentro del radicado No. 2201913000006047.</w:t>
      </w:r>
    </w:p>
    <w:p w14:paraId="5514A6EA" w14:textId="77777777" w:rsidR="007E70A5" w:rsidRPr="00B47839" w:rsidRDefault="007E70A5" w:rsidP="007E70A5">
      <w:pPr>
        <w:pStyle w:val="Textonotapie"/>
        <w:ind w:firstLine="708"/>
        <w:jc w:val="both"/>
        <w:rPr>
          <w:rFonts w:ascii="Verdana" w:hAnsi="Verdana" w:cs="Arial"/>
          <w:color w:val="000000" w:themeColor="text1"/>
          <w:sz w:val="16"/>
          <w:szCs w:val="16"/>
        </w:rPr>
      </w:pPr>
    </w:p>
  </w:footnote>
  <w:footnote w:id="40">
    <w:p w14:paraId="14544F7A" w14:textId="77777777" w:rsidR="007E70A5" w:rsidRPr="004626E3" w:rsidRDefault="007E70A5" w:rsidP="007E70A5">
      <w:pPr>
        <w:pStyle w:val="Textonotapie"/>
        <w:ind w:firstLine="708"/>
        <w:jc w:val="both"/>
        <w:rPr>
          <w:rFonts w:ascii="Verdana" w:hAnsi="Verdana" w:cs="Arial"/>
          <w:color w:val="000000" w:themeColor="text1"/>
          <w:sz w:val="14"/>
          <w:szCs w:val="14"/>
          <w:lang w:val="es-ES"/>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Concepto del 24 de febrero de 2005. Radicado:1626, C.P. Gloria Duque Hernández.</w:t>
      </w:r>
    </w:p>
  </w:footnote>
  <w:footnote w:id="41">
    <w:p w14:paraId="0179C774" w14:textId="77777777" w:rsidR="007E70A5" w:rsidRPr="004626E3" w:rsidRDefault="007E70A5" w:rsidP="007E70A5">
      <w:pPr>
        <w:pStyle w:val="Textonotapie"/>
        <w:ind w:firstLine="708"/>
        <w:jc w:val="both"/>
        <w:rPr>
          <w:rFonts w:ascii="Verdana" w:hAnsi="Verdana" w:cs="Arial"/>
          <w:color w:val="000000" w:themeColor="text1"/>
          <w:sz w:val="14"/>
          <w:szCs w:val="14"/>
        </w:rPr>
      </w:pPr>
      <w:r w:rsidRPr="004626E3">
        <w:rPr>
          <w:rStyle w:val="Refdenotaalpie"/>
          <w:rFonts w:ascii="Verdana" w:hAnsi="Verdana" w:cs="Arial"/>
          <w:color w:val="000000" w:themeColor="text1"/>
          <w:sz w:val="14"/>
          <w:szCs w:val="14"/>
        </w:rPr>
        <w:footnoteRef/>
      </w:r>
      <w:r w:rsidRPr="004626E3">
        <w:rPr>
          <w:rFonts w:ascii="Verdana" w:hAnsi="Verdana" w:cs="Arial"/>
          <w:color w:val="000000" w:themeColor="text1"/>
          <w:sz w:val="14"/>
          <w:szCs w:val="14"/>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42">
    <w:p w14:paraId="64453EE0" w14:textId="77777777" w:rsidR="001F2EC7" w:rsidRPr="00FA60A4" w:rsidRDefault="001F2EC7" w:rsidP="001F2EC7">
      <w:pPr>
        <w:pStyle w:val="Textonotapie"/>
        <w:jc w:val="both"/>
        <w:rPr>
          <w:rFonts w:ascii="Verdana" w:hAnsi="Verdana"/>
          <w:sz w:val="16"/>
          <w:szCs w:val="16"/>
        </w:rPr>
      </w:pPr>
      <w:r w:rsidRPr="00FA60A4">
        <w:rPr>
          <w:rStyle w:val="Refdenotaalpie"/>
          <w:rFonts w:ascii="Verdana" w:hAnsi="Verdana"/>
          <w:sz w:val="16"/>
          <w:szCs w:val="16"/>
        </w:rPr>
        <w:footnoteRef/>
      </w:r>
      <w:r w:rsidRPr="00FA60A4">
        <w:rPr>
          <w:rFonts w:ascii="Verdana" w:hAnsi="Verdana"/>
          <w:sz w:val="16"/>
          <w:szCs w:val="16"/>
        </w:rPr>
        <w:t xml:space="preserve"> “</w:t>
      </w:r>
      <w:r w:rsidRPr="00FA60A4">
        <w:rPr>
          <w:rFonts w:ascii="Verdana" w:hAnsi="Verdana"/>
          <w:bCs/>
          <w:i/>
          <w:sz w:val="16"/>
          <w:szCs w:val="16"/>
          <w:lang w:val="es-ES"/>
        </w:rPr>
        <w:t xml:space="preserve">A efectos de facilitar la identificación de los requisitos sustanciales de un contrato, deben atenderse los criterios derivados de la teoría general del negocio jurídico (SP17159-2016, nov. 23, rad. 46037), según los cuales se tienen por tales: (i) </w:t>
      </w:r>
      <w:r w:rsidRPr="00FA60A4">
        <w:rPr>
          <w:rFonts w:ascii="Verdana" w:hAnsi="Verdana"/>
          <w:bCs/>
          <w:i/>
          <w:iCs/>
          <w:sz w:val="16"/>
          <w:szCs w:val="16"/>
          <w:lang w:val="es-ES"/>
        </w:rPr>
        <w:t>«</w:t>
      </w:r>
      <w:r w:rsidRPr="00FA60A4">
        <w:rPr>
          <w:rFonts w:ascii="Verdana" w:hAnsi="Verdana"/>
          <w:i/>
          <w:iCs/>
          <w:sz w:val="16"/>
          <w:szCs w:val="16"/>
          <w:lang w:val="es-ES"/>
        </w:rPr>
        <w:t>aquellas cosas sin las cuales, o no produce efecto alguno o degenera en otro contrato diferente</w:t>
      </w:r>
      <w:r w:rsidRPr="00FA60A4">
        <w:rPr>
          <w:rFonts w:ascii="Verdana" w:hAnsi="Verdana"/>
          <w:bCs/>
          <w:i/>
          <w:iCs/>
          <w:sz w:val="16"/>
          <w:szCs w:val="16"/>
          <w:lang w:val="es-ES"/>
        </w:rPr>
        <w:t xml:space="preserve">» </w:t>
      </w:r>
      <w:r w:rsidRPr="00FA60A4">
        <w:rPr>
          <w:rFonts w:ascii="Verdana" w:hAnsi="Verdana"/>
          <w:bCs/>
          <w:i/>
          <w:sz w:val="16"/>
          <w:szCs w:val="16"/>
          <w:lang w:val="es-ES"/>
        </w:rPr>
        <w:t xml:space="preserve">(art. 1501 C.C.); (ii) los que de ser incumplidos </w:t>
      </w:r>
      <w:r w:rsidRPr="00FA60A4">
        <w:rPr>
          <w:rFonts w:ascii="Verdana" w:hAnsi="Verdana"/>
          <w:i/>
          <w:sz w:val="16"/>
          <w:szCs w:val="16"/>
          <w:lang w:val="es-ES"/>
        </w:rPr>
        <w:t xml:space="preserve">conllevan la nulidad absoluta del contrato estatal (art. 44 L. 80/1993); y, (iii) en especial, las formas legales que materializan uno o varios principios de la contratación pública </w:t>
      </w:r>
      <w:r w:rsidRPr="00FA60A4">
        <w:rPr>
          <w:rFonts w:ascii="Verdana" w:hAnsi="Verdana"/>
          <w:i/>
          <w:sz w:val="16"/>
          <w:szCs w:val="16"/>
        </w:rPr>
        <w:t xml:space="preserve">(arts. 23-26 y 29, ibidem)”. </w:t>
      </w:r>
      <w:r w:rsidRPr="00FA60A4">
        <w:rPr>
          <w:rFonts w:ascii="Verdana" w:hAnsi="Verdana"/>
          <w:sz w:val="16"/>
          <w:szCs w:val="16"/>
        </w:rPr>
        <w:t>CSJ SP3478-2021, rad. 53219.</w:t>
      </w:r>
    </w:p>
    <w:p w14:paraId="4F8A07FE" w14:textId="77777777" w:rsidR="001F2EC7" w:rsidRPr="00ED4CC0" w:rsidRDefault="001F2EC7" w:rsidP="001F2EC7">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9A11AB"/>
    <w:multiLevelType w:val="multilevel"/>
    <w:tmpl w:val="E8B4D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341274352">
    <w:abstractNumId w:val="0"/>
  </w:num>
  <w:num w:numId="17" w16cid:durableId="1358431546">
    <w:abstractNumId w:val="4"/>
  </w:num>
  <w:num w:numId="18" w16cid:durableId="132335507">
    <w:abstractNumId w:val="11"/>
  </w:num>
  <w:num w:numId="19" w16cid:durableId="129062122">
    <w:abstractNumId w:val="12"/>
  </w:num>
  <w:num w:numId="20" w16cid:durableId="2105880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5AF"/>
    <w:rsid w:val="000A683E"/>
    <w:rsid w:val="000B19B9"/>
    <w:rsid w:val="000D0334"/>
    <w:rsid w:val="000D5DA7"/>
    <w:rsid w:val="000F6486"/>
    <w:rsid w:val="00116940"/>
    <w:rsid w:val="00125105"/>
    <w:rsid w:val="00127233"/>
    <w:rsid w:val="00153454"/>
    <w:rsid w:val="0015699B"/>
    <w:rsid w:val="001A33BF"/>
    <w:rsid w:val="001A5F15"/>
    <w:rsid w:val="001E4177"/>
    <w:rsid w:val="001F0B24"/>
    <w:rsid w:val="001F2EC7"/>
    <w:rsid w:val="001F7DC6"/>
    <w:rsid w:val="0022400B"/>
    <w:rsid w:val="002421BB"/>
    <w:rsid w:val="0025796E"/>
    <w:rsid w:val="002707A2"/>
    <w:rsid w:val="002951A0"/>
    <w:rsid w:val="002962BC"/>
    <w:rsid w:val="002A093D"/>
    <w:rsid w:val="002A0DD0"/>
    <w:rsid w:val="002A49AC"/>
    <w:rsid w:val="002A64FD"/>
    <w:rsid w:val="002C7A84"/>
    <w:rsid w:val="002D6DF5"/>
    <w:rsid w:val="002E2BF8"/>
    <w:rsid w:val="002E4FD9"/>
    <w:rsid w:val="0030657A"/>
    <w:rsid w:val="003149F1"/>
    <w:rsid w:val="00322A85"/>
    <w:rsid w:val="00324168"/>
    <w:rsid w:val="00330834"/>
    <w:rsid w:val="00330D64"/>
    <w:rsid w:val="003448F4"/>
    <w:rsid w:val="00374F5E"/>
    <w:rsid w:val="003772DB"/>
    <w:rsid w:val="00377E3E"/>
    <w:rsid w:val="003A779E"/>
    <w:rsid w:val="003D0F4D"/>
    <w:rsid w:val="003D5B0D"/>
    <w:rsid w:val="003E0499"/>
    <w:rsid w:val="003E4F80"/>
    <w:rsid w:val="003E6439"/>
    <w:rsid w:val="003F3941"/>
    <w:rsid w:val="00406575"/>
    <w:rsid w:val="00414C74"/>
    <w:rsid w:val="00415A79"/>
    <w:rsid w:val="00422AAD"/>
    <w:rsid w:val="0042722E"/>
    <w:rsid w:val="0044528D"/>
    <w:rsid w:val="00460743"/>
    <w:rsid w:val="00466E39"/>
    <w:rsid w:val="004A1847"/>
    <w:rsid w:val="004A305D"/>
    <w:rsid w:val="004D1BC5"/>
    <w:rsid w:val="004F21C4"/>
    <w:rsid w:val="004F685F"/>
    <w:rsid w:val="00525A12"/>
    <w:rsid w:val="0053048C"/>
    <w:rsid w:val="005566E8"/>
    <w:rsid w:val="0055768D"/>
    <w:rsid w:val="00574867"/>
    <w:rsid w:val="00591460"/>
    <w:rsid w:val="005A65E0"/>
    <w:rsid w:val="005C3777"/>
    <w:rsid w:val="005C5CDC"/>
    <w:rsid w:val="005D476C"/>
    <w:rsid w:val="005E6302"/>
    <w:rsid w:val="006200BF"/>
    <w:rsid w:val="006219F8"/>
    <w:rsid w:val="006302F7"/>
    <w:rsid w:val="00642D0F"/>
    <w:rsid w:val="006463E3"/>
    <w:rsid w:val="00646B9F"/>
    <w:rsid w:val="00665D70"/>
    <w:rsid w:val="006900D9"/>
    <w:rsid w:val="006A2C46"/>
    <w:rsid w:val="006D6CAB"/>
    <w:rsid w:val="00706C16"/>
    <w:rsid w:val="00710A33"/>
    <w:rsid w:val="00713B52"/>
    <w:rsid w:val="007340C3"/>
    <w:rsid w:val="0075235A"/>
    <w:rsid w:val="00756841"/>
    <w:rsid w:val="007649AB"/>
    <w:rsid w:val="00771D0C"/>
    <w:rsid w:val="00775E6E"/>
    <w:rsid w:val="007833AC"/>
    <w:rsid w:val="007B268C"/>
    <w:rsid w:val="007B7171"/>
    <w:rsid w:val="007C0C0F"/>
    <w:rsid w:val="007C3DC2"/>
    <w:rsid w:val="007D50EF"/>
    <w:rsid w:val="007E5497"/>
    <w:rsid w:val="007E70A5"/>
    <w:rsid w:val="00800018"/>
    <w:rsid w:val="00806F5F"/>
    <w:rsid w:val="00820278"/>
    <w:rsid w:val="008258C9"/>
    <w:rsid w:val="00825E75"/>
    <w:rsid w:val="00844AE9"/>
    <w:rsid w:val="00867F95"/>
    <w:rsid w:val="008843B6"/>
    <w:rsid w:val="00891928"/>
    <w:rsid w:val="0089343B"/>
    <w:rsid w:val="008A446D"/>
    <w:rsid w:val="008B25F1"/>
    <w:rsid w:val="008B60E4"/>
    <w:rsid w:val="008C1164"/>
    <w:rsid w:val="008D180B"/>
    <w:rsid w:val="008E37D0"/>
    <w:rsid w:val="008F0EA7"/>
    <w:rsid w:val="00902A02"/>
    <w:rsid w:val="00923EEF"/>
    <w:rsid w:val="009419F9"/>
    <w:rsid w:val="0095685E"/>
    <w:rsid w:val="00961B09"/>
    <w:rsid w:val="00965334"/>
    <w:rsid w:val="0097093E"/>
    <w:rsid w:val="009A0DFA"/>
    <w:rsid w:val="009A1C6F"/>
    <w:rsid w:val="009A58D8"/>
    <w:rsid w:val="009B2D26"/>
    <w:rsid w:val="009C71FA"/>
    <w:rsid w:val="009C72E7"/>
    <w:rsid w:val="009C7F7E"/>
    <w:rsid w:val="009D3058"/>
    <w:rsid w:val="009F3A13"/>
    <w:rsid w:val="009F5151"/>
    <w:rsid w:val="00A122D3"/>
    <w:rsid w:val="00A14468"/>
    <w:rsid w:val="00A17F13"/>
    <w:rsid w:val="00A20739"/>
    <w:rsid w:val="00A23AF9"/>
    <w:rsid w:val="00A33C78"/>
    <w:rsid w:val="00AB0ADB"/>
    <w:rsid w:val="00AF045B"/>
    <w:rsid w:val="00B00C0E"/>
    <w:rsid w:val="00B01B1A"/>
    <w:rsid w:val="00B0381D"/>
    <w:rsid w:val="00B23C77"/>
    <w:rsid w:val="00B44A47"/>
    <w:rsid w:val="00B625A1"/>
    <w:rsid w:val="00B72CD3"/>
    <w:rsid w:val="00B72FFF"/>
    <w:rsid w:val="00BC3D36"/>
    <w:rsid w:val="00BD54A6"/>
    <w:rsid w:val="00BD6C56"/>
    <w:rsid w:val="00BD7D83"/>
    <w:rsid w:val="00BD7F72"/>
    <w:rsid w:val="00BF7425"/>
    <w:rsid w:val="00C04FB3"/>
    <w:rsid w:val="00C11D8B"/>
    <w:rsid w:val="00C15139"/>
    <w:rsid w:val="00C330EB"/>
    <w:rsid w:val="00C50D69"/>
    <w:rsid w:val="00C5365C"/>
    <w:rsid w:val="00C64E4C"/>
    <w:rsid w:val="00C661B9"/>
    <w:rsid w:val="00C754BE"/>
    <w:rsid w:val="00C76B1C"/>
    <w:rsid w:val="00C8766A"/>
    <w:rsid w:val="00C925AC"/>
    <w:rsid w:val="00CB6357"/>
    <w:rsid w:val="00CC1B26"/>
    <w:rsid w:val="00CC2135"/>
    <w:rsid w:val="00CC403A"/>
    <w:rsid w:val="00CE5F6C"/>
    <w:rsid w:val="00D13D25"/>
    <w:rsid w:val="00D361FD"/>
    <w:rsid w:val="00D423A2"/>
    <w:rsid w:val="00D44E26"/>
    <w:rsid w:val="00D4658D"/>
    <w:rsid w:val="00D520D8"/>
    <w:rsid w:val="00D63AC2"/>
    <w:rsid w:val="00D7383B"/>
    <w:rsid w:val="00D7788A"/>
    <w:rsid w:val="00DA231B"/>
    <w:rsid w:val="00DC0BD9"/>
    <w:rsid w:val="00DC39FC"/>
    <w:rsid w:val="00DD2A07"/>
    <w:rsid w:val="00DF5254"/>
    <w:rsid w:val="00E02524"/>
    <w:rsid w:val="00E16408"/>
    <w:rsid w:val="00E20894"/>
    <w:rsid w:val="00E245AB"/>
    <w:rsid w:val="00E2764C"/>
    <w:rsid w:val="00E27F2E"/>
    <w:rsid w:val="00E47FC2"/>
    <w:rsid w:val="00E50AFE"/>
    <w:rsid w:val="00E75C92"/>
    <w:rsid w:val="00E771DC"/>
    <w:rsid w:val="00E8772A"/>
    <w:rsid w:val="00E90F6B"/>
    <w:rsid w:val="00E92C27"/>
    <w:rsid w:val="00EA0E3D"/>
    <w:rsid w:val="00EC38A7"/>
    <w:rsid w:val="00EC4637"/>
    <w:rsid w:val="00EE1AA8"/>
    <w:rsid w:val="00F23FEA"/>
    <w:rsid w:val="00F24F9D"/>
    <w:rsid w:val="00F31EDC"/>
    <w:rsid w:val="00F462B3"/>
    <w:rsid w:val="00F5664F"/>
    <w:rsid w:val="00F666C4"/>
    <w:rsid w:val="00F76AFC"/>
    <w:rsid w:val="00F92DE1"/>
    <w:rsid w:val="00FA47C0"/>
    <w:rsid w:val="00FB5DD1"/>
    <w:rsid w:val="00FC2B5D"/>
    <w:rsid w:val="00FE6E7F"/>
    <w:rsid w:val="00FF1449"/>
    <w:rsid w:val="00FF7963"/>
    <w:rsid w:val="00FF7D28"/>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F2EC7"/>
    <w:rPr>
      <w:rFonts w:ascii="Geomanist Light" w:hAnsi="Geomanist Light"/>
      <w:lang w:val="es-ES"/>
    </w:rPr>
  </w:style>
  <w:style w:type="paragraph" w:customStyle="1" w:styleId="Appelnotedebasde">
    <w:name w:val="Appel note de bas de..."/>
    <w:basedOn w:val="Normal"/>
    <w:link w:val="Refdenotaalpie"/>
    <w:uiPriority w:val="99"/>
    <w:rsid w:val="001F2EC7"/>
    <w:pPr>
      <w:spacing w:line="240" w:lineRule="exact"/>
    </w:pPr>
    <w:rPr>
      <w:vertAlign w:val="superscript"/>
    </w:rPr>
  </w:style>
  <w:style w:type="character" w:customStyle="1" w:styleId="NormalWebCar">
    <w:name w:val="Normal (Web) Car"/>
    <w:link w:val="NormalWeb"/>
    <w:uiPriority w:val="99"/>
    <w:locked/>
    <w:rsid w:val="001F2EC7"/>
    <w:rPr>
      <w:rFonts w:ascii="Times New Roman" w:eastAsia="Times New Roman" w:hAnsi="Times New Roman" w:cs="Times New Roman"/>
      <w:sz w:val="24"/>
      <w:szCs w:val="24"/>
      <w:lang w:eastAsia="es-CO"/>
    </w:rPr>
  </w:style>
  <w:style w:type="character" w:customStyle="1" w:styleId="baj">
    <w:name w:val="b_aj"/>
    <w:basedOn w:val="Fuentedeprrafopredeter"/>
    <w:rsid w:val="001F2EC7"/>
  </w:style>
  <w:style w:type="paragraph" w:styleId="Textoindependiente">
    <w:name w:val="Body Text"/>
    <w:basedOn w:val="Normal"/>
    <w:link w:val="TextoindependienteCar"/>
    <w:qFormat/>
    <w:rsid w:val="001F2EC7"/>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1F2E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guacheta-cundinamarca.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5/09/006-de-2025-Circular-Externa-L996-ajustado-comentarios-BM-BID-Rev-ARSC-V3.d-1.pdf"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921A5C5-4809-4820-99C4-05AAFF1617E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49</Pages>
  <Words>16761</Words>
  <Characters>92188</Characters>
  <Application>Microsoft Office Word</Application>
  <DocSecurity>0</DocSecurity>
  <Lines>768</Lines>
  <Paragraphs>217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2</cp:revision>
  <cp:lastPrinted>2023-01-10T21:18:00Z</cp:lastPrinted>
  <dcterms:created xsi:type="dcterms:W3CDTF">2026-04-09T00:53:00Z</dcterms:created>
  <dcterms:modified xsi:type="dcterms:W3CDTF">2026-04-09T00:53:00Z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