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2A750" w14:textId="77777777" w:rsidR="00E271FC" w:rsidRPr="007C738F" w:rsidRDefault="00E271FC" w:rsidP="00E271FC">
      <w:pPr>
        <w:spacing w:after="0" w:line="240" w:lineRule="auto"/>
        <w:jc w:val="both"/>
        <w:rPr>
          <w:rFonts w:ascii="Verdana" w:hAnsi="Verdana"/>
          <w:b/>
          <w:bCs/>
        </w:rPr>
      </w:pPr>
      <w:r w:rsidRPr="007C738F">
        <w:rPr>
          <w:rFonts w:ascii="Verdana" w:hAnsi="Verdana"/>
          <w:b/>
          <w:bCs/>
        </w:rPr>
        <w:t>ADENDAS – Fundamento</w:t>
      </w:r>
    </w:p>
    <w:p w14:paraId="75497131" w14:textId="77777777" w:rsidR="00E271FC" w:rsidRPr="001F4272" w:rsidRDefault="00E271FC" w:rsidP="00E271FC">
      <w:pPr>
        <w:spacing w:after="0" w:line="240" w:lineRule="auto"/>
        <w:jc w:val="both"/>
        <w:rPr>
          <w:rFonts w:ascii="Verdana" w:hAnsi="Verdana"/>
          <w:b/>
          <w:bCs/>
          <w:sz w:val="20"/>
          <w:szCs w:val="20"/>
        </w:rPr>
      </w:pPr>
    </w:p>
    <w:p w14:paraId="1D88496F" w14:textId="77777777" w:rsidR="00E271FC" w:rsidRPr="001F4272" w:rsidRDefault="00E271FC" w:rsidP="00E271FC">
      <w:pPr>
        <w:spacing w:after="0" w:line="240" w:lineRule="auto"/>
        <w:jc w:val="both"/>
        <w:rPr>
          <w:rFonts w:ascii="Verdana" w:hAnsi="Verdana"/>
          <w:sz w:val="20"/>
          <w:szCs w:val="20"/>
        </w:rPr>
      </w:pPr>
      <w:r w:rsidRPr="001F4272">
        <w:rPr>
          <w:rFonts w:ascii="Verdana" w:hAnsi="Verdana"/>
          <w:sz w:val="20"/>
          <w:szCs w:val="20"/>
        </w:rPr>
        <w:t xml:space="preserve">[…]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a través de adendas. </w:t>
      </w:r>
    </w:p>
    <w:p w14:paraId="1075D8B5" w14:textId="77777777" w:rsidR="00E271FC" w:rsidRPr="001F4272" w:rsidRDefault="00E271FC" w:rsidP="00E271FC">
      <w:pPr>
        <w:spacing w:after="0" w:line="240" w:lineRule="auto"/>
        <w:jc w:val="both"/>
        <w:rPr>
          <w:rFonts w:ascii="Verdana" w:hAnsi="Verdana"/>
          <w:sz w:val="20"/>
          <w:szCs w:val="20"/>
        </w:rPr>
      </w:pPr>
    </w:p>
    <w:p w14:paraId="14073FC5" w14:textId="77777777" w:rsidR="00E271FC" w:rsidRPr="001F4272" w:rsidRDefault="00E271FC" w:rsidP="00E271FC">
      <w:pPr>
        <w:spacing w:after="0" w:line="240" w:lineRule="auto"/>
        <w:jc w:val="both"/>
        <w:rPr>
          <w:rFonts w:ascii="Verdana" w:hAnsi="Verdana"/>
          <w:sz w:val="20"/>
          <w:szCs w:val="20"/>
        </w:rPr>
      </w:pPr>
      <w:r w:rsidRPr="001F4272">
        <w:rPr>
          <w:rFonts w:ascii="Verdana" w:hAnsi="Verdana"/>
          <w:sz w:val="20"/>
          <w:szCs w:val="20"/>
        </w:rPr>
        <w:t>Sin perjuicio de lo anterior, como lo ha reconocido la jurisprudencia del Consejo de Estado, dichas modificaciones pueden realizarse por medio de cualquier otro documento que contenga la manifestación de voluntad de la entidad de aclarar, añadir, adicionar, reemplazar o cambiar un aspecto o condición, incluida en los documentos del procedimiento de contratación, independientemente que a dicho documento se le titule como adenda</w:t>
      </w:r>
      <w:r>
        <w:rPr>
          <w:rFonts w:ascii="Verdana" w:hAnsi="Verdana"/>
          <w:sz w:val="20"/>
          <w:szCs w:val="20"/>
        </w:rPr>
        <w:t xml:space="preserve"> […]</w:t>
      </w:r>
    </w:p>
    <w:p w14:paraId="75261BE4" w14:textId="77777777" w:rsidR="00E271FC" w:rsidRPr="007C738F" w:rsidRDefault="00E271FC" w:rsidP="00E271FC">
      <w:pPr>
        <w:spacing w:after="0" w:line="240" w:lineRule="auto"/>
        <w:jc w:val="both"/>
        <w:rPr>
          <w:rFonts w:ascii="Verdana" w:eastAsia="Arial" w:hAnsi="Verdana" w:cs="Arial"/>
          <w:color w:val="7030A0"/>
        </w:rPr>
      </w:pPr>
    </w:p>
    <w:p w14:paraId="5208E3ED" w14:textId="77777777" w:rsidR="00E271FC" w:rsidRPr="007C738F" w:rsidRDefault="00E271FC" w:rsidP="00E271FC">
      <w:pPr>
        <w:spacing w:after="0" w:line="240" w:lineRule="auto"/>
        <w:jc w:val="both"/>
        <w:rPr>
          <w:rFonts w:ascii="Verdana" w:hAnsi="Verdana"/>
          <w:b/>
          <w:bCs/>
        </w:rPr>
      </w:pPr>
      <w:r w:rsidRPr="007C738F">
        <w:rPr>
          <w:rFonts w:ascii="Verdana" w:hAnsi="Verdana"/>
          <w:b/>
          <w:bCs/>
        </w:rPr>
        <w:t xml:space="preserve">ADENDAS – Alcance – Límites  </w:t>
      </w:r>
    </w:p>
    <w:p w14:paraId="3A1CDCBB" w14:textId="77777777" w:rsidR="00E271FC" w:rsidRDefault="00E271FC" w:rsidP="00E271FC">
      <w:pPr>
        <w:spacing w:after="0" w:line="240" w:lineRule="auto"/>
        <w:jc w:val="both"/>
        <w:rPr>
          <w:rFonts w:ascii="Verdana" w:hAnsi="Verdana"/>
          <w:b/>
          <w:bCs/>
          <w:sz w:val="20"/>
          <w:szCs w:val="20"/>
        </w:rPr>
      </w:pPr>
    </w:p>
    <w:p w14:paraId="004CBF6A" w14:textId="77777777" w:rsidR="00E271FC" w:rsidRPr="00FF00B5" w:rsidRDefault="00E271FC" w:rsidP="00E271FC">
      <w:pPr>
        <w:spacing w:after="0" w:line="240" w:lineRule="auto"/>
        <w:jc w:val="both"/>
        <w:rPr>
          <w:rFonts w:ascii="Verdana" w:hAnsi="Verdana"/>
          <w:sz w:val="20"/>
          <w:szCs w:val="20"/>
        </w:rPr>
      </w:pPr>
      <w:r w:rsidRPr="00FF00B5">
        <w:rPr>
          <w:rFonts w:ascii="Verdana" w:hAnsi="Verdana"/>
          <w:sz w:val="20"/>
          <w:szCs w:val="20"/>
        </w:rPr>
        <w:t xml:space="preserve">[…] </w:t>
      </w:r>
      <w:r w:rsidRPr="00FF00B5">
        <w:rPr>
          <w:rFonts w:ascii="Verdana" w:eastAsia="Calibri" w:hAnsi="Verdana" w:cs="Arial"/>
          <w:sz w:val="20"/>
          <w:szCs w:val="20"/>
        </w:rPr>
        <w:t>La interpretación de esta norma supone diferenciar entre dos (2) tipos de ajustes que pueden dar lugar a la expedición de adendas: i) los referidos a las condiciones técnicas, jurídicas y económicas del pliego definitivo y, en general, a cualquier contenido distinto del cronograma del procedimiento de selección y ii)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2.2.1.1.2.2.1. […]</w:t>
      </w:r>
    </w:p>
    <w:p w14:paraId="1B57F1F1" w14:textId="77777777" w:rsidR="00E271FC" w:rsidRDefault="00E271FC" w:rsidP="00E271FC">
      <w:pPr>
        <w:spacing w:after="0" w:line="240" w:lineRule="auto"/>
        <w:jc w:val="both"/>
        <w:rPr>
          <w:rFonts w:ascii="Verdana" w:hAnsi="Verdana"/>
          <w:b/>
          <w:bCs/>
          <w:sz w:val="20"/>
          <w:szCs w:val="20"/>
        </w:rPr>
      </w:pPr>
    </w:p>
    <w:p w14:paraId="17E97961" w14:textId="77777777" w:rsidR="00E271FC" w:rsidRPr="00572E66" w:rsidRDefault="00E271FC" w:rsidP="00E271FC">
      <w:pPr>
        <w:spacing w:line="276"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 xml:space="preserve">SUBSANABILIDAD – Aplicación – Regla general – Excepciones </w:t>
      </w:r>
    </w:p>
    <w:p w14:paraId="72E24365" w14:textId="77777777" w:rsidR="00E271FC" w:rsidRDefault="00E271FC" w:rsidP="00E271FC">
      <w:pPr>
        <w:spacing w:after="0" w:line="240" w:lineRule="auto"/>
        <w:jc w:val="both"/>
        <w:rPr>
          <w:rFonts w:ascii="Verdana" w:eastAsia="Times New Roman" w:hAnsi="Verdana" w:cs="Arial"/>
          <w:sz w:val="20"/>
          <w:szCs w:val="20"/>
          <w:lang w:val="es-ES" w:eastAsia="es-ES"/>
        </w:rPr>
      </w:pPr>
      <w:r w:rsidRPr="00EC0EEB">
        <w:rPr>
          <w:rFonts w:ascii="Verdana" w:hAnsi="Verdana" w:cs="Arial"/>
          <w:noProof/>
          <w:sz w:val="20"/>
          <w:szCs w:val="20"/>
          <w:lang w:val="es-ES"/>
        </w:rPr>
        <w:t>L</w:t>
      </w:r>
      <w:r w:rsidRPr="00EC0EEB">
        <w:rPr>
          <w:rFonts w:ascii="Verdana" w:eastAsia="Times New Roman" w:hAnsi="Verdana" w:cs="Arial"/>
          <w:sz w:val="20"/>
          <w:szCs w:val="20"/>
        </w:rPr>
        <w:t>a regla de la subsanabilidad de las ofertas en los procedimientos de selección</w:t>
      </w:r>
      <w:r w:rsidRPr="00EC0EEB">
        <w:rPr>
          <w:rFonts w:ascii="Verdana" w:eastAsia="Times New Roman" w:hAnsi="Verdana" w:cs="Arial"/>
          <w:b/>
          <w:bCs/>
          <w:sz w:val="20"/>
          <w:szCs w:val="20"/>
        </w:rPr>
        <w:t xml:space="preserve"> </w:t>
      </w:r>
      <w:r w:rsidRPr="00EC0EEB">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6D406CA1" w14:textId="77777777" w:rsidR="00E271FC" w:rsidRDefault="00E271FC" w:rsidP="00E271FC">
      <w:pPr>
        <w:spacing w:after="0" w:line="240" w:lineRule="auto"/>
        <w:jc w:val="both"/>
        <w:rPr>
          <w:rFonts w:ascii="Verdana" w:eastAsia="Times New Roman" w:hAnsi="Verdana" w:cs="Arial"/>
          <w:sz w:val="20"/>
          <w:szCs w:val="20"/>
          <w:lang w:val="es-ES" w:eastAsia="es-ES"/>
        </w:rPr>
      </w:pPr>
    </w:p>
    <w:p w14:paraId="5B944EE7" w14:textId="77777777" w:rsidR="00E271FC" w:rsidRDefault="00E271FC" w:rsidP="00E271FC">
      <w:pPr>
        <w:spacing w:after="0" w:line="240"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SUBSANABILIDAD – Ley 1882 de 2018</w:t>
      </w:r>
    </w:p>
    <w:p w14:paraId="63A3DBD7" w14:textId="77777777" w:rsidR="00E271FC" w:rsidRPr="00F33B44" w:rsidRDefault="00E271FC" w:rsidP="00E271FC">
      <w:pPr>
        <w:spacing w:after="0" w:line="240" w:lineRule="auto"/>
        <w:jc w:val="both"/>
        <w:rPr>
          <w:rFonts w:ascii="Verdana" w:hAnsi="Verdana" w:cs="Arial"/>
          <w:b/>
          <w:bCs/>
          <w:color w:val="EE0000"/>
          <w:lang w:val="es-ES"/>
        </w:rPr>
      </w:pPr>
    </w:p>
    <w:p w14:paraId="2035C4D6" w14:textId="77777777" w:rsidR="00E271FC" w:rsidRPr="00A10E40" w:rsidRDefault="00E271FC" w:rsidP="00E271FC">
      <w:pPr>
        <w:spacing w:after="0" w:line="240" w:lineRule="auto"/>
        <w:jc w:val="both"/>
        <w:rPr>
          <w:rFonts w:ascii="Verdana" w:eastAsia="Times New Roman" w:hAnsi="Verdana" w:cs="Arial"/>
          <w:sz w:val="20"/>
          <w:szCs w:val="20"/>
          <w:lang w:val="es-ES" w:eastAsia="es-ES"/>
        </w:rPr>
      </w:pPr>
      <w:r w:rsidRPr="00A10E40">
        <w:rPr>
          <w:rFonts w:ascii="Verdana" w:eastAsia="Times New Roman" w:hAnsi="Verdana" w:cs="Arial"/>
          <w:sz w:val="20"/>
          <w:szCs w:val="20"/>
          <w:lang w:val="es-ES" w:eastAsia="es-ES"/>
        </w:rPr>
        <w:t xml:space="preserve">[…] el legislador expidió la Ley 1882 de 2018, con la finalidad de introducir cambios y ajustes para fortalecer la contratación pública. […] esta norma: i) mantiene el criterio de la Ley 80 de 1993, relativo a que todo lo que no sea necesario para la comparación </w:t>
      </w:r>
      <w:r w:rsidRPr="00A10E40">
        <w:rPr>
          <w:rFonts w:ascii="Verdana" w:eastAsia="Times New Roman" w:hAnsi="Verdana" w:cs="Arial"/>
          <w:sz w:val="20"/>
          <w:szCs w:val="20"/>
          <w:lang w:val="es-ES" w:eastAsia="es-ES"/>
        </w:rPr>
        <w:lastRenderedPageBreak/>
        <w:t>de propuestas no es título suficiente para su rechazo; ii) mantiene el criterio aclaratorio de la Ley 1150 de 2007, según el cual todo lo que no afecte la asignación de puntaje puede subsanarse.</w:t>
      </w:r>
    </w:p>
    <w:p w14:paraId="49CD17A3" w14:textId="77777777" w:rsidR="00E271FC" w:rsidRPr="00A10E40" w:rsidRDefault="00E271FC" w:rsidP="00E271FC">
      <w:pPr>
        <w:spacing w:after="0" w:line="240" w:lineRule="auto"/>
        <w:jc w:val="both"/>
        <w:rPr>
          <w:rFonts w:ascii="Verdana" w:eastAsia="Times New Roman" w:hAnsi="Verdana" w:cs="Arial"/>
          <w:sz w:val="20"/>
          <w:szCs w:val="20"/>
          <w:lang w:val="es-ES" w:eastAsia="es-ES"/>
        </w:rPr>
      </w:pPr>
    </w:p>
    <w:p w14:paraId="5C10B682" w14:textId="77777777" w:rsidR="00E271FC" w:rsidRPr="00A10E40" w:rsidRDefault="00E271FC" w:rsidP="00E271FC">
      <w:pPr>
        <w:spacing w:after="0" w:line="240" w:lineRule="auto"/>
        <w:jc w:val="both"/>
        <w:rPr>
          <w:rFonts w:ascii="Verdana" w:eastAsia="Times New Roman" w:hAnsi="Verdana" w:cs="Arial"/>
          <w:sz w:val="20"/>
          <w:szCs w:val="20"/>
          <w:lang w:val="es-ES" w:eastAsia="es-ES"/>
        </w:rPr>
      </w:pPr>
      <w:r w:rsidRPr="00A10E40">
        <w:rPr>
          <w:rFonts w:ascii="Verdana" w:eastAsia="Times New Roman" w:hAnsi="Verdana" w:cs="Arial"/>
          <w:sz w:val="20"/>
          <w:szCs w:val="20"/>
          <w:lang w:val="es-ES" w:eastAsia="es-ES"/>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08368175" w14:textId="77777777" w:rsidR="00E271FC" w:rsidRPr="00A10E40" w:rsidRDefault="00E271FC" w:rsidP="00E271FC">
      <w:pPr>
        <w:spacing w:before="120" w:after="0" w:line="240" w:lineRule="auto"/>
        <w:jc w:val="both"/>
        <w:rPr>
          <w:rFonts w:ascii="Verdana" w:eastAsia="Times New Roman" w:hAnsi="Verdana" w:cs="Arial"/>
          <w:sz w:val="20"/>
          <w:szCs w:val="20"/>
          <w:lang w:val="es-ES" w:eastAsia="es-ES"/>
        </w:rPr>
      </w:pPr>
      <w:r w:rsidRPr="00A10E40">
        <w:rPr>
          <w:rFonts w:ascii="Verdana" w:eastAsia="Times New Roman" w:hAnsi="Verdana" w:cs="Arial"/>
          <w:sz w:val="20"/>
          <w:szCs w:val="20"/>
          <w:lang w:val="es-ES" w:eastAsia="es-ES"/>
        </w:rPr>
        <w:t>Un mejor entendimiento del significado de la expresión “circunstancias ocurridas con posterioridad al cierre del proceso” lleva necesariamente a distinguir entre la prueba de un hecho y el hecho mismo. En el caso de la subsanabilidad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5F06DD3A" w14:textId="77777777" w:rsidR="00E271FC" w:rsidRDefault="00E271FC" w:rsidP="00E271FC">
      <w:pPr>
        <w:spacing w:after="0" w:line="240" w:lineRule="auto"/>
        <w:jc w:val="both"/>
        <w:rPr>
          <w:rFonts w:ascii="Verdana" w:hAnsi="Verdana"/>
          <w:b/>
          <w:bCs/>
          <w:sz w:val="20"/>
          <w:szCs w:val="20"/>
        </w:rPr>
      </w:pPr>
    </w:p>
    <w:p w14:paraId="2561E9DE" w14:textId="77777777" w:rsidR="00E271FC" w:rsidRPr="007C738F" w:rsidRDefault="00E271FC" w:rsidP="00E271FC">
      <w:pPr>
        <w:spacing w:after="120" w:line="240" w:lineRule="auto"/>
        <w:jc w:val="both"/>
        <w:rPr>
          <w:rFonts w:ascii="Verdana" w:hAnsi="Verdana"/>
          <w:b/>
          <w:bCs/>
        </w:rPr>
      </w:pPr>
      <w:r w:rsidRPr="007C738F">
        <w:rPr>
          <w:rFonts w:ascii="Verdana" w:hAnsi="Verdana"/>
          <w:b/>
          <w:bCs/>
        </w:rPr>
        <w:t>ADENDAS Y SUBSANACIONES – Modificaciones - Límites temporales y materiales</w:t>
      </w:r>
    </w:p>
    <w:p w14:paraId="38559D6D" w14:textId="77777777" w:rsidR="00E271FC" w:rsidRPr="00B6161F" w:rsidRDefault="00E271FC" w:rsidP="00E271FC">
      <w:pPr>
        <w:spacing w:after="120" w:line="240" w:lineRule="auto"/>
        <w:jc w:val="both"/>
        <w:rPr>
          <w:rFonts w:ascii="Verdana" w:hAnsi="Verdana"/>
          <w:sz w:val="20"/>
          <w:szCs w:val="20"/>
        </w:rPr>
      </w:pPr>
      <w:r w:rsidRPr="00732AC2">
        <w:rPr>
          <w:rFonts w:ascii="Verdana" w:hAnsi="Verdana"/>
          <w:sz w:val="20"/>
          <w:szCs w:val="20"/>
        </w:rPr>
        <w:t xml:space="preserve">[…] </w:t>
      </w:r>
      <w:r w:rsidRPr="00B6161F">
        <w:rPr>
          <w:rFonts w:ascii="Verdana" w:hAnsi="Verdana"/>
          <w:sz w:val="20"/>
          <w:szCs w:val="20"/>
        </w:rPr>
        <w:t>En primer lugar, se encuentra la facultad de la entidad estatal de modificar los pliegos de condiciones o sus documentos equivalentes, lo cual, como se explicó anteriormente, se realiza a través de adendas. Estas constituyen el mecanismo mediante el cual la entidad puede ajustar o precisar las reglas del proceso de selección. No obstante, dicha facultad se encuentra sujeta a límites temporales y materiales establecidos en la normativa aplicable, los cuales determinan hasta qué momento del proceso pueden expedirse y sobre qué aspectos pueden recaer.</w:t>
      </w:r>
    </w:p>
    <w:p w14:paraId="478525C8" w14:textId="77777777" w:rsidR="00E271FC" w:rsidRPr="00732AC2" w:rsidRDefault="00E271FC" w:rsidP="00E271FC">
      <w:pPr>
        <w:spacing w:after="120" w:line="240" w:lineRule="auto"/>
        <w:jc w:val="both"/>
        <w:rPr>
          <w:rFonts w:ascii="Verdana" w:hAnsi="Verdana"/>
          <w:sz w:val="20"/>
          <w:szCs w:val="20"/>
        </w:rPr>
      </w:pPr>
      <w:r w:rsidRPr="00B6161F">
        <w:rPr>
          <w:rFonts w:ascii="Verdana" w:hAnsi="Verdana"/>
          <w:sz w:val="20"/>
          <w:szCs w:val="20"/>
        </w:rPr>
        <w:t>En segundo lugar, es preciso señalar que la Entidad Estatal no tiene la potestad de modificar o reformar las ofertas presentadas por los proponentes, toda vez que estas corresponden exclusivamente a la voluntad de quienes participan en el proceso de selección. No obstante, en ejercicio de sus funciones de verificación, la entidad sí puede solicitar aclaraciones o subsanaciones cuando existan dudas sobre la información presentada o cuando no se encuentren acreditados determinados requisitos. En relación con las subsanaciones, estas se encuentran sujetas igualmente a límites materiales y temporales, en la medida en que únicamente pueden solicitarse respecto de requisitos que no sean objeto de ponderación ni otorguen puntaje, y siempre que se trate de circunstancias que existían con anterioridad al cierre del proceso. En ese sentido, las subsanaciones no pueden implicar la mejora, modificación o complementación sustancial de la oferta presentada.</w:t>
      </w:r>
      <w:r>
        <w:rPr>
          <w:rFonts w:ascii="Verdana" w:hAnsi="Verdana"/>
          <w:sz w:val="20"/>
          <w:szCs w:val="20"/>
        </w:rPr>
        <w:t xml:space="preserve"> […]</w:t>
      </w:r>
    </w:p>
    <w:p w14:paraId="5A07328F" w14:textId="77777777" w:rsidR="00E271FC" w:rsidRDefault="00E271FC" w:rsidP="00E271FC">
      <w:pPr>
        <w:spacing w:after="120" w:line="240" w:lineRule="auto"/>
        <w:jc w:val="both"/>
        <w:rPr>
          <w:rFonts w:ascii="Verdana" w:hAnsi="Verdana"/>
          <w:b/>
          <w:bCs/>
          <w:sz w:val="20"/>
          <w:szCs w:val="20"/>
        </w:rPr>
      </w:pPr>
    </w:p>
    <w:p w14:paraId="612B8E09" w14:textId="77777777" w:rsidR="00E271FC" w:rsidRDefault="00E271FC" w:rsidP="00E271FC">
      <w:pPr>
        <w:spacing w:after="120" w:line="240" w:lineRule="auto"/>
        <w:jc w:val="both"/>
        <w:rPr>
          <w:rFonts w:ascii="Verdana" w:hAnsi="Verdana"/>
          <w:b/>
          <w:bCs/>
          <w:sz w:val="20"/>
          <w:szCs w:val="20"/>
        </w:rPr>
      </w:pPr>
    </w:p>
    <w:p w14:paraId="715AF741" w14:textId="77777777" w:rsidR="00E271FC" w:rsidRPr="00560477" w:rsidRDefault="00E271FC" w:rsidP="00E271FC">
      <w:pPr>
        <w:spacing w:after="120" w:line="240" w:lineRule="auto"/>
        <w:jc w:val="both"/>
        <w:rPr>
          <w:rFonts w:ascii="Verdana" w:hAnsi="Verdana" w:cs="Arial"/>
          <w:color w:val="7030A0"/>
          <w:sz w:val="20"/>
          <w:szCs w:val="20"/>
        </w:rPr>
      </w:pPr>
    </w:p>
    <w:p w14:paraId="49CC60FD" w14:textId="335B85C1" w:rsidR="00E271FC" w:rsidRPr="003973C5" w:rsidRDefault="00E271FC" w:rsidP="00E271FC">
      <w:pPr>
        <w:spacing w:after="0"/>
        <w:rPr>
          <w:rFonts w:ascii="Verdana" w:hAnsi="Verdana"/>
        </w:rPr>
      </w:pPr>
      <w:r w:rsidRPr="003973C5">
        <w:rPr>
          <w:rFonts w:ascii="Verdana" w:hAnsi="Verdana"/>
        </w:rPr>
        <w:lastRenderedPageBreak/>
        <w:t xml:space="preserve">Bogotá D.C., </w:t>
      </w:r>
      <w:r w:rsidR="004539EA">
        <w:rPr>
          <w:rFonts w:ascii="Verdana" w:hAnsi="Verdana"/>
        </w:rPr>
        <w:t>07 Abril 2026</w:t>
      </w:r>
    </w:p>
    <w:p w14:paraId="40B1A4CC" w14:textId="40E2AA5D" w:rsidR="00E271FC" w:rsidRPr="00560477" w:rsidRDefault="00D12C4D" w:rsidP="00E271FC">
      <w:pPr>
        <w:spacing w:after="0"/>
        <w:rPr>
          <w:rFonts w:ascii="Verdana" w:hAnsi="Verdana"/>
          <w:color w:val="7030A0"/>
          <w:lang w:val="es-ES"/>
        </w:rPr>
      </w:pPr>
      <w:r w:rsidRPr="001F14E4">
        <w:rPr>
          <w:rFonts w:ascii="Verdana" w:hAnsi="Verdana"/>
          <w:noProof/>
        </w:rPr>
        <w:drawing>
          <wp:anchor distT="0" distB="0" distL="114300" distR="114300" simplePos="0" relativeHeight="251660288" behindDoc="1" locked="0" layoutInCell="1" allowOverlap="1" wp14:anchorId="58A41942" wp14:editId="5E0FB18A">
            <wp:simplePos x="0" y="0"/>
            <wp:positionH relativeFrom="margin">
              <wp:posOffset>3263265</wp:posOffset>
            </wp:positionH>
            <wp:positionV relativeFrom="paragraph">
              <wp:posOffset>177975</wp:posOffset>
            </wp:positionV>
            <wp:extent cx="2345055" cy="644246"/>
            <wp:effectExtent l="0" t="0" r="0" b="3810"/>
            <wp:wrapNone/>
            <wp:docPr id="680771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7199" name=""/>
                    <pic:cNvPicPr/>
                  </pic:nvPicPr>
                  <pic:blipFill>
                    <a:blip r:embed="rId10">
                      <a:extLst>
                        <a:ext uri="{28A0092B-C50C-407E-A947-70E740481C1C}">
                          <a14:useLocalDpi xmlns:a14="http://schemas.microsoft.com/office/drawing/2010/main" val="0"/>
                        </a:ext>
                      </a:extLst>
                    </a:blip>
                    <a:stretch>
                      <a:fillRect/>
                    </a:stretch>
                  </pic:blipFill>
                  <pic:spPr>
                    <a:xfrm>
                      <a:off x="0" y="0"/>
                      <a:ext cx="2347095" cy="644806"/>
                    </a:xfrm>
                    <a:prstGeom prst="rect">
                      <a:avLst/>
                    </a:prstGeom>
                  </pic:spPr>
                </pic:pic>
              </a:graphicData>
            </a:graphic>
            <wp14:sizeRelH relativeFrom="margin">
              <wp14:pctWidth>0</wp14:pctWidth>
            </wp14:sizeRelH>
            <wp14:sizeRelV relativeFrom="margin">
              <wp14:pctHeight>0</wp14:pctHeight>
            </wp14:sizeRelV>
          </wp:anchor>
        </w:drawing>
      </w:r>
    </w:p>
    <w:p w14:paraId="7A0C0C9C" w14:textId="584A9929" w:rsidR="00E271FC" w:rsidRPr="00CD55F5" w:rsidRDefault="00E271FC" w:rsidP="00E271FC">
      <w:pPr>
        <w:spacing w:after="0" w:line="240" w:lineRule="auto"/>
        <w:rPr>
          <w:rFonts w:ascii="Verdana" w:hAnsi="Verdana"/>
          <w:lang w:val="es-ES"/>
        </w:rPr>
      </w:pPr>
      <w:bookmarkStart w:id="0" w:name="_Hlk143780582"/>
      <w:r w:rsidRPr="00CD55F5">
        <w:rPr>
          <w:rFonts w:ascii="Verdana" w:eastAsia="Calibri" w:hAnsi="Verdana" w:cs="Arial"/>
          <w:lang w:val="es-ES" w:eastAsia="es-ES"/>
        </w:rPr>
        <w:t>Señora</w:t>
      </w:r>
    </w:p>
    <w:p w14:paraId="3B4CA918" w14:textId="77777777" w:rsidR="00E271FC" w:rsidRPr="00CD55F5" w:rsidRDefault="00E271FC" w:rsidP="00E271FC">
      <w:pPr>
        <w:spacing w:after="0"/>
        <w:rPr>
          <w:rFonts w:ascii="Verdana" w:eastAsia="Calibri" w:hAnsi="Verdana" w:cs="Arial"/>
          <w:b/>
          <w:bCs/>
          <w:lang w:eastAsia="es-ES"/>
        </w:rPr>
      </w:pPr>
      <w:r w:rsidRPr="00CD55F5">
        <w:rPr>
          <w:rFonts w:ascii="Verdana" w:eastAsia="Calibri" w:hAnsi="Verdana" w:cs="Arial"/>
          <w:b/>
          <w:bCs/>
          <w:lang w:eastAsia="es-ES"/>
        </w:rPr>
        <w:t>Ciudadano Anónimo</w:t>
      </w:r>
    </w:p>
    <w:p w14:paraId="06FFD145" w14:textId="77777777" w:rsidR="00E271FC" w:rsidRPr="00560477" w:rsidRDefault="00E271FC" w:rsidP="00E271FC">
      <w:pPr>
        <w:tabs>
          <w:tab w:val="center" w:pos="4419"/>
        </w:tabs>
        <w:spacing w:after="0"/>
        <w:rPr>
          <w:rFonts w:ascii="Verdana" w:eastAsia="Calibri" w:hAnsi="Verdana" w:cs="Arial"/>
          <w:color w:val="7030A0"/>
          <w:lang w:eastAsia="es-ES"/>
        </w:rPr>
      </w:pPr>
      <w:hyperlink r:id="rId11" w:history="1">
        <w:r w:rsidRPr="003F50D5">
          <w:rPr>
            <w:rStyle w:val="Hipervnculo"/>
            <w:rFonts w:ascii="Verdana" w:eastAsia="Calibri" w:hAnsi="Verdana" w:cs="Arial"/>
            <w:lang w:eastAsia="es-ES"/>
          </w:rPr>
          <w:t>valentiina2345678@gmail.com</w:t>
        </w:r>
      </w:hyperlink>
      <w:r>
        <w:rPr>
          <w:rFonts w:ascii="Verdana" w:eastAsia="Calibri" w:hAnsi="Verdana" w:cs="Arial"/>
          <w:color w:val="7030A0"/>
          <w:lang w:eastAsia="es-ES"/>
        </w:rPr>
        <w:t xml:space="preserve"> </w:t>
      </w:r>
    </w:p>
    <w:p w14:paraId="1F0BE57D" w14:textId="77777777" w:rsidR="00E271FC" w:rsidRPr="00560477" w:rsidRDefault="00E271FC" w:rsidP="00E271FC">
      <w:pPr>
        <w:spacing w:after="0"/>
        <w:rPr>
          <w:rFonts w:ascii="Verdana" w:eastAsia="Calibri" w:hAnsi="Verdana" w:cs="Arial"/>
          <w:color w:val="7030A0"/>
          <w:lang w:val="es-ES" w:eastAsia="es-ES"/>
        </w:rPr>
      </w:pPr>
      <w:r w:rsidRPr="00A20187">
        <w:rPr>
          <w:rFonts w:ascii="Verdana" w:eastAsia="Calibri" w:hAnsi="Verdana" w:cs="Arial"/>
          <w:lang w:eastAsia="es-ES"/>
        </w:rPr>
        <w:t>Ciudad</w:t>
      </w:r>
    </w:p>
    <w:p w14:paraId="266FA056" w14:textId="77777777" w:rsidR="00E271FC" w:rsidRDefault="00E271FC" w:rsidP="00E271FC">
      <w:pPr>
        <w:spacing w:after="0" w:line="240" w:lineRule="auto"/>
        <w:rPr>
          <w:rFonts w:ascii="Verdana" w:eastAsia="Calibri" w:hAnsi="Verdana" w:cs="Arial"/>
          <w:b/>
          <w:bCs/>
          <w:color w:val="7030A0"/>
          <w:lang w:val="es-ES" w:eastAsia="es-ES"/>
        </w:rPr>
      </w:pPr>
    </w:p>
    <w:p w14:paraId="2366D85D" w14:textId="77777777" w:rsidR="00E271FC" w:rsidRPr="00560477" w:rsidRDefault="00E271FC" w:rsidP="00E271FC">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271FC" w:rsidRPr="00560477" w14:paraId="6DCD3F98" w14:textId="77777777" w:rsidTr="001B1664">
        <w:trPr>
          <w:trHeight w:val="300"/>
        </w:trPr>
        <w:tc>
          <w:tcPr>
            <w:tcW w:w="2410" w:type="dxa"/>
          </w:tcPr>
          <w:p w14:paraId="3B872873" w14:textId="77777777" w:rsidR="00E271FC" w:rsidRPr="00560477" w:rsidRDefault="00E271FC" w:rsidP="001B1664">
            <w:pPr>
              <w:ind w:left="-142"/>
              <w:jc w:val="both"/>
              <w:rPr>
                <w:rFonts w:ascii="Verdana" w:eastAsia="Calibri" w:hAnsi="Verdana" w:cs="Arial"/>
                <w:b/>
                <w:bCs/>
                <w:color w:val="7030A0"/>
                <w:lang w:val="es-ES" w:eastAsia="es-ES_tradnl"/>
              </w:rPr>
            </w:pPr>
          </w:p>
        </w:tc>
        <w:tc>
          <w:tcPr>
            <w:tcW w:w="6100" w:type="dxa"/>
          </w:tcPr>
          <w:p w14:paraId="4B279440" w14:textId="77777777" w:rsidR="00E271FC" w:rsidRDefault="00E271FC" w:rsidP="001B1664">
            <w:pPr>
              <w:ind w:left="3"/>
              <w:jc w:val="both"/>
              <w:rPr>
                <w:rFonts w:ascii="Verdana" w:eastAsia="Calibri" w:hAnsi="Verdana" w:cs="Arial"/>
                <w:b/>
                <w:bCs/>
                <w:lang w:val="es-ES" w:eastAsia="es-ES"/>
              </w:rPr>
            </w:pPr>
            <w:r w:rsidRPr="00144090">
              <w:rPr>
                <w:rFonts w:ascii="Verdana" w:eastAsia="Calibri" w:hAnsi="Verdana" w:cs="Arial"/>
                <w:b/>
                <w:bCs/>
                <w:lang w:val="es-ES" w:eastAsia="es-ES"/>
              </w:rPr>
              <w:t>Concepto C-278 de 2026</w:t>
            </w:r>
          </w:p>
          <w:p w14:paraId="486F383C" w14:textId="77777777" w:rsidR="00E271FC" w:rsidRPr="00144090" w:rsidRDefault="00E271FC" w:rsidP="001B1664">
            <w:pPr>
              <w:ind w:left="3"/>
              <w:jc w:val="both"/>
              <w:rPr>
                <w:rFonts w:ascii="Verdana" w:eastAsia="Calibri" w:hAnsi="Verdana" w:cs="Arial"/>
                <w:b/>
                <w:bCs/>
                <w:lang w:val="es-ES" w:eastAsia="es-ES"/>
              </w:rPr>
            </w:pPr>
          </w:p>
        </w:tc>
      </w:tr>
      <w:tr w:rsidR="00E271FC" w:rsidRPr="00560477" w14:paraId="52FF4322" w14:textId="77777777" w:rsidTr="001B1664">
        <w:trPr>
          <w:trHeight w:val="300"/>
        </w:trPr>
        <w:tc>
          <w:tcPr>
            <w:tcW w:w="2410" w:type="dxa"/>
          </w:tcPr>
          <w:p w14:paraId="760D9656" w14:textId="77777777" w:rsidR="00E271FC" w:rsidRPr="00560477" w:rsidRDefault="00E271FC" w:rsidP="001B1664">
            <w:pPr>
              <w:ind w:left="424" w:firstLine="137"/>
              <w:jc w:val="both"/>
              <w:rPr>
                <w:rFonts w:ascii="Verdana" w:eastAsia="Calibri" w:hAnsi="Verdana" w:cs="Arial"/>
                <w:color w:val="7030A0"/>
                <w:lang w:val="es-ES" w:eastAsia="es-ES_tradnl"/>
              </w:rPr>
            </w:pPr>
            <w:r w:rsidRPr="00837F97">
              <w:rPr>
                <w:rFonts w:ascii="Verdana" w:eastAsia="Calibri" w:hAnsi="Verdana" w:cs="Arial"/>
                <w:b/>
                <w:lang w:val="es-ES" w:eastAsia="es-ES_tradnl"/>
              </w:rPr>
              <w:t>Temas:</w:t>
            </w:r>
            <w:r w:rsidRPr="00560477">
              <w:rPr>
                <w:rFonts w:ascii="Verdana" w:eastAsia="Calibri" w:hAnsi="Verdana" w:cs="Arial"/>
                <w:color w:val="7030A0"/>
                <w:lang w:val="es-ES" w:eastAsia="es-ES_tradnl"/>
              </w:rPr>
              <w:t xml:space="preserve">              </w:t>
            </w:r>
          </w:p>
        </w:tc>
        <w:tc>
          <w:tcPr>
            <w:tcW w:w="6100" w:type="dxa"/>
          </w:tcPr>
          <w:p w14:paraId="024D65A5" w14:textId="77777777" w:rsidR="00E271FC" w:rsidRPr="00B6161F" w:rsidRDefault="00E271FC" w:rsidP="001B1664">
            <w:pPr>
              <w:spacing w:after="120"/>
              <w:jc w:val="both"/>
              <w:rPr>
                <w:rFonts w:ascii="Verdana" w:hAnsi="Verdana"/>
                <w:b/>
                <w:bCs/>
                <w:sz w:val="20"/>
                <w:szCs w:val="20"/>
              </w:rPr>
            </w:pPr>
            <w:r w:rsidRPr="000C7DD3">
              <w:rPr>
                <w:rFonts w:ascii="Verdana" w:hAnsi="Verdana"/>
              </w:rPr>
              <w:t>ADENDAS – Fundamento / ADENDAS – Alcance – Límites / SUBSANABILIDAD – Aplicación – Regla general – Excepciones / SUBSANABILIDAD – Ley 1882 de 2018</w:t>
            </w:r>
            <w:r>
              <w:rPr>
                <w:rFonts w:ascii="Verdana" w:hAnsi="Verdana"/>
              </w:rPr>
              <w:t xml:space="preserve"> / </w:t>
            </w:r>
            <w:r w:rsidRPr="00732AC2">
              <w:rPr>
                <w:rFonts w:ascii="Verdana" w:hAnsi="Verdana"/>
                <w:sz w:val="20"/>
                <w:szCs w:val="20"/>
              </w:rPr>
              <w:t>ADENDAS Y SUBSANACIONES – Modificaciones - Límites temporales y materiales</w:t>
            </w:r>
          </w:p>
          <w:p w14:paraId="6E411CEB" w14:textId="77777777" w:rsidR="00E271FC" w:rsidRPr="00560477" w:rsidRDefault="00E271FC" w:rsidP="001B1664">
            <w:pPr>
              <w:jc w:val="both"/>
              <w:rPr>
                <w:rFonts w:ascii="Verdana" w:hAnsi="Verdana"/>
                <w:color w:val="7030A0"/>
              </w:rPr>
            </w:pPr>
          </w:p>
        </w:tc>
      </w:tr>
      <w:tr w:rsidR="00E271FC" w:rsidRPr="00824C93" w14:paraId="09C1C400" w14:textId="77777777" w:rsidTr="001B1664">
        <w:trPr>
          <w:trHeight w:val="87"/>
        </w:trPr>
        <w:tc>
          <w:tcPr>
            <w:tcW w:w="2410" w:type="dxa"/>
          </w:tcPr>
          <w:p w14:paraId="25BF3F27" w14:textId="77777777" w:rsidR="00E271FC" w:rsidRPr="00824C93" w:rsidRDefault="00E271FC" w:rsidP="001B1664">
            <w:pPr>
              <w:ind w:left="561"/>
              <w:jc w:val="both"/>
              <w:rPr>
                <w:rFonts w:ascii="Verdana" w:eastAsia="Calibri" w:hAnsi="Verdana" w:cs="Arial"/>
                <w:b/>
                <w:lang w:val="es-ES" w:eastAsia="es-ES_tradnl"/>
              </w:rPr>
            </w:pPr>
            <w:r w:rsidRPr="00824C93">
              <w:rPr>
                <w:rFonts w:ascii="Verdana" w:eastAsia="Calibri" w:hAnsi="Verdana" w:cs="Arial"/>
                <w:b/>
                <w:lang w:val="es-ES" w:eastAsia="es-ES_tradnl"/>
              </w:rPr>
              <w:t>Radicación:</w:t>
            </w:r>
            <w:r w:rsidRPr="00824C93">
              <w:rPr>
                <w:rFonts w:ascii="Verdana" w:eastAsia="Calibri" w:hAnsi="Verdana" w:cs="Arial"/>
                <w:lang w:val="es-ES" w:eastAsia="es-ES_tradnl"/>
              </w:rPr>
              <w:t xml:space="preserve">              </w:t>
            </w:r>
          </w:p>
        </w:tc>
        <w:tc>
          <w:tcPr>
            <w:tcW w:w="6100" w:type="dxa"/>
          </w:tcPr>
          <w:p w14:paraId="34E67FCE" w14:textId="77777777" w:rsidR="00E271FC" w:rsidRPr="00824C93" w:rsidRDefault="00E271FC" w:rsidP="001B1664">
            <w:pPr>
              <w:ind w:left="3"/>
              <w:jc w:val="both"/>
              <w:rPr>
                <w:rFonts w:ascii="Verdana" w:hAnsi="Verdana"/>
                <w:lang w:val="es-ES"/>
              </w:rPr>
            </w:pPr>
            <w:r w:rsidRPr="00824C93">
              <w:rPr>
                <w:rFonts w:ascii="Verdana" w:eastAsia="Calibri" w:hAnsi="Verdana" w:cs="Arial"/>
                <w:lang w:val="es-ES" w:eastAsia="es-ES"/>
              </w:rPr>
              <w:t>Respuesta a consulta con radicado No. 1_2026_02_23_002405</w:t>
            </w:r>
          </w:p>
        </w:tc>
      </w:tr>
    </w:tbl>
    <w:p w14:paraId="6988F662" w14:textId="77777777" w:rsidR="00E271FC" w:rsidRDefault="00E271FC" w:rsidP="00E271FC">
      <w:pPr>
        <w:spacing w:after="0" w:line="276" w:lineRule="auto"/>
        <w:jc w:val="both"/>
        <w:rPr>
          <w:rFonts w:ascii="Verdana" w:eastAsia="Calibri" w:hAnsi="Verdana" w:cs="Arial"/>
          <w:lang w:eastAsia="es-ES"/>
        </w:rPr>
      </w:pPr>
    </w:p>
    <w:p w14:paraId="46610B42" w14:textId="77777777" w:rsidR="00E271FC" w:rsidRPr="00824C93" w:rsidRDefault="00E271FC" w:rsidP="00E271FC">
      <w:pPr>
        <w:spacing w:after="0" w:line="276" w:lineRule="auto"/>
        <w:jc w:val="both"/>
        <w:rPr>
          <w:rFonts w:ascii="Verdana" w:eastAsia="Calibri" w:hAnsi="Verdana" w:cs="Arial"/>
          <w:lang w:eastAsia="es-ES"/>
        </w:rPr>
      </w:pPr>
    </w:p>
    <w:p w14:paraId="13F9ADE8" w14:textId="77777777" w:rsidR="00E271FC" w:rsidRPr="00824C93" w:rsidRDefault="00E271FC" w:rsidP="00E271FC">
      <w:pPr>
        <w:spacing w:after="0" w:line="276" w:lineRule="auto"/>
        <w:jc w:val="both"/>
        <w:rPr>
          <w:rFonts w:ascii="Verdana" w:eastAsia="Calibri" w:hAnsi="Verdana" w:cs="Arial"/>
          <w:lang w:eastAsia="es-ES"/>
        </w:rPr>
      </w:pPr>
      <w:r w:rsidRPr="00824C93">
        <w:rPr>
          <w:rFonts w:ascii="Verdana" w:eastAsia="Calibri" w:hAnsi="Verdana" w:cs="Arial"/>
          <w:lang w:eastAsia="es-ES"/>
        </w:rPr>
        <w:t>Estimada señora:</w:t>
      </w:r>
    </w:p>
    <w:p w14:paraId="6C916955" w14:textId="77777777" w:rsidR="00E271FC" w:rsidRPr="00824C93" w:rsidRDefault="00E271FC" w:rsidP="00E271FC">
      <w:pPr>
        <w:spacing w:after="0" w:line="276" w:lineRule="auto"/>
        <w:jc w:val="both"/>
        <w:rPr>
          <w:rFonts w:ascii="Verdana" w:eastAsia="Calibri" w:hAnsi="Verdana" w:cs="Arial"/>
          <w:lang w:eastAsia="es-ES"/>
        </w:rPr>
      </w:pPr>
      <w:r w:rsidRPr="00824C93">
        <w:rPr>
          <w:rFonts w:ascii="Verdana" w:eastAsia="Calibri" w:hAnsi="Verdana" w:cs="Arial"/>
          <w:lang w:eastAsia="es-ES"/>
        </w:rPr>
        <w:t xml:space="preserve"> </w:t>
      </w:r>
    </w:p>
    <w:p w14:paraId="2182C9BB" w14:textId="77777777" w:rsidR="00E271FC" w:rsidRPr="00824C93" w:rsidRDefault="00E271FC" w:rsidP="00E271FC">
      <w:pPr>
        <w:tabs>
          <w:tab w:val="left" w:pos="3768"/>
        </w:tabs>
        <w:spacing w:after="0" w:line="276" w:lineRule="auto"/>
        <w:jc w:val="both"/>
        <w:rPr>
          <w:rFonts w:ascii="Verdana" w:eastAsia="Calibri" w:hAnsi="Verdana" w:cs="Arial"/>
          <w:lang w:eastAsia="es-ES"/>
        </w:rPr>
      </w:pPr>
      <w:r w:rsidRPr="00824C93">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23 de febrero de 2026, en la cual manifiesta lo siguiente: </w:t>
      </w:r>
    </w:p>
    <w:p w14:paraId="3181DB7C" w14:textId="77777777" w:rsidR="00E271FC" w:rsidRPr="00CA603E" w:rsidRDefault="00E271FC" w:rsidP="00E271FC">
      <w:pPr>
        <w:tabs>
          <w:tab w:val="left" w:pos="3768"/>
        </w:tabs>
        <w:spacing w:after="0" w:line="276" w:lineRule="auto"/>
        <w:jc w:val="both"/>
        <w:rPr>
          <w:rFonts w:ascii="Verdana" w:eastAsia="Calibri" w:hAnsi="Verdana" w:cs="Arial"/>
          <w:lang w:eastAsia="es-ES"/>
        </w:rPr>
      </w:pPr>
    </w:p>
    <w:p w14:paraId="5DCDE1A3" w14:textId="77777777" w:rsidR="00E271FC" w:rsidRPr="00CA603E" w:rsidRDefault="00E271FC" w:rsidP="00E271FC">
      <w:pPr>
        <w:spacing w:before="120" w:after="120"/>
        <w:ind w:left="709" w:right="709"/>
        <w:contextualSpacing/>
        <w:jc w:val="both"/>
        <w:rPr>
          <w:rFonts w:ascii="Verdana" w:eastAsia="Century Gothic" w:hAnsi="Verdana" w:cs="Century Gothic"/>
          <w:i/>
          <w:iCs/>
          <w:sz w:val="20"/>
          <w:szCs w:val="20"/>
          <w:lang w:val="es-ES"/>
        </w:rPr>
      </w:pPr>
      <w:r w:rsidRPr="00CA603E">
        <w:rPr>
          <w:rFonts w:ascii="Verdana" w:eastAsia="Century Gothic" w:hAnsi="Verdana" w:cs="Century Gothic"/>
          <w:i/>
          <w:iCs/>
          <w:sz w:val="20"/>
          <w:szCs w:val="20"/>
          <w:lang w:val="es-ES"/>
        </w:rPr>
        <w:t>“(…) A la luz de los principios que rigen la contratación estatal, ¿está permitido que la entidad contratante modifique la oferta de un proponente durante el proceso de selección? (…)”</w:t>
      </w:r>
    </w:p>
    <w:p w14:paraId="3E560FE5" w14:textId="77777777" w:rsidR="00E271FC" w:rsidRPr="00560477" w:rsidRDefault="00E271FC" w:rsidP="00E271FC">
      <w:pPr>
        <w:spacing w:before="120" w:after="120"/>
        <w:ind w:right="709"/>
        <w:contextualSpacing/>
        <w:jc w:val="both"/>
        <w:rPr>
          <w:rFonts w:ascii="Verdana" w:eastAsia="Century Gothic" w:hAnsi="Verdana" w:cs="Century Gothic"/>
          <w:i/>
          <w:iCs/>
          <w:color w:val="7030A0"/>
          <w:sz w:val="20"/>
          <w:szCs w:val="20"/>
          <w:lang w:val="es-ES"/>
        </w:rPr>
      </w:pPr>
    </w:p>
    <w:p w14:paraId="06AC8A54" w14:textId="77777777" w:rsidR="00E271FC" w:rsidRPr="00CA603E" w:rsidRDefault="00E271FC" w:rsidP="00E271FC">
      <w:pPr>
        <w:spacing w:after="120" w:line="276" w:lineRule="auto"/>
        <w:ind w:firstLine="708"/>
        <w:jc w:val="both"/>
        <w:rPr>
          <w:rFonts w:ascii="Verdana" w:eastAsia="Calibri" w:hAnsi="Verdana" w:cs="Arial"/>
          <w:lang w:val="es-ES" w:eastAsia="es-ES"/>
        </w:rPr>
      </w:pPr>
      <w:r w:rsidRPr="00CA603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CA603E">
        <w:rPr>
          <w:rFonts w:ascii="Verdana" w:eastAsia="Calibri" w:hAnsi="Verdana" w:cs="Arial"/>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603E">
        <w:rPr>
          <w:rFonts w:ascii="Verdana" w:hAnsi="Verdana"/>
          <w:lang w:val="es-ES"/>
        </w:rPr>
        <w:tab/>
      </w:r>
    </w:p>
    <w:p w14:paraId="24436C98" w14:textId="77777777" w:rsidR="00E271FC" w:rsidRPr="00CA603E" w:rsidRDefault="00E271FC" w:rsidP="00E271FC">
      <w:pPr>
        <w:spacing w:after="0" w:line="276" w:lineRule="auto"/>
        <w:ind w:firstLine="709"/>
        <w:jc w:val="both"/>
        <w:rPr>
          <w:rFonts w:ascii="Verdana" w:eastAsia="Calibri" w:hAnsi="Verdana" w:cs="Arial"/>
          <w:lang w:val="es-ES" w:eastAsia="es-ES"/>
        </w:rPr>
      </w:pPr>
      <w:r w:rsidRPr="00CA603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A9BFE9" w14:textId="77777777" w:rsidR="00E271FC" w:rsidRPr="00CA603E" w:rsidRDefault="00E271FC" w:rsidP="00E271FC">
      <w:pPr>
        <w:spacing w:after="0" w:line="276" w:lineRule="auto"/>
        <w:ind w:firstLine="709"/>
        <w:jc w:val="both"/>
        <w:rPr>
          <w:rFonts w:ascii="Verdana" w:eastAsia="Calibri" w:hAnsi="Verdana" w:cs="Arial"/>
          <w:lang w:val="es-ES" w:eastAsia="es-ES"/>
        </w:rPr>
      </w:pPr>
    </w:p>
    <w:p w14:paraId="10342C6F" w14:textId="77777777" w:rsidR="00E271FC" w:rsidRPr="00CA603E" w:rsidRDefault="00E271FC" w:rsidP="00E271FC">
      <w:pPr>
        <w:tabs>
          <w:tab w:val="left" w:pos="142"/>
          <w:tab w:val="left" w:pos="284"/>
        </w:tabs>
        <w:spacing w:after="0" w:line="276" w:lineRule="auto"/>
        <w:contextualSpacing/>
        <w:jc w:val="both"/>
        <w:rPr>
          <w:rFonts w:ascii="Verdana" w:eastAsia="Century Gothic" w:hAnsi="Verdana" w:cs="Century Gothic"/>
          <w:b/>
          <w:lang w:val="es-ES"/>
        </w:rPr>
      </w:pPr>
      <w:r w:rsidRPr="00CA603E">
        <w:rPr>
          <w:rFonts w:ascii="Verdana" w:eastAsia="Century Gothic" w:hAnsi="Verdana" w:cs="Century Gothic"/>
          <w:b/>
          <w:lang w:val="es-ES"/>
        </w:rPr>
        <w:t>1. Problema planteado:</w:t>
      </w:r>
    </w:p>
    <w:p w14:paraId="3C99492F" w14:textId="77777777" w:rsidR="00E271FC" w:rsidRPr="00CA603E" w:rsidRDefault="00E271FC" w:rsidP="00E271FC">
      <w:pPr>
        <w:tabs>
          <w:tab w:val="left" w:pos="426"/>
        </w:tabs>
        <w:spacing w:after="0" w:line="276" w:lineRule="auto"/>
        <w:jc w:val="both"/>
        <w:rPr>
          <w:rFonts w:ascii="Verdana" w:eastAsia="Century Gothic" w:hAnsi="Verdana" w:cs="Century Gothic"/>
          <w:lang w:val="es-ES"/>
        </w:rPr>
      </w:pPr>
    </w:p>
    <w:p w14:paraId="5F996604" w14:textId="77777777" w:rsidR="00E271FC" w:rsidRPr="00560477" w:rsidRDefault="00E271FC" w:rsidP="00E271FC">
      <w:pPr>
        <w:spacing w:after="0" w:line="276" w:lineRule="auto"/>
        <w:jc w:val="both"/>
        <w:rPr>
          <w:rFonts w:ascii="Verdana" w:eastAsia="Century Gothic" w:hAnsi="Verdana" w:cs="Century Gothic"/>
          <w:color w:val="7030A0"/>
        </w:rPr>
      </w:pPr>
      <w:r w:rsidRPr="00CA603E">
        <w:rPr>
          <w:rFonts w:ascii="Verdana" w:eastAsia="Century Gothic" w:hAnsi="Verdana" w:cs="Century Gothic"/>
          <w:lang w:val="es-ES"/>
        </w:rPr>
        <w:t xml:space="preserve">De acuerdo con el contenido de su solicitud, esta Agencia resolverá el siguiente problema jurídico: </w:t>
      </w:r>
      <w:r w:rsidRPr="00347A70">
        <w:rPr>
          <w:rFonts w:ascii="Verdana" w:eastAsia="Century Gothic" w:hAnsi="Verdana" w:cs="Century Gothic"/>
        </w:rPr>
        <w:t>¿Puede la entidad contratante modificar la oferta de un proponente durante el proceso de selección?</w:t>
      </w:r>
    </w:p>
    <w:p w14:paraId="1AEB8E68" w14:textId="77777777" w:rsidR="00E271FC" w:rsidRPr="00BE3219" w:rsidRDefault="00E271FC" w:rsidP="00E271FC">
      <w:pPr>
        <w:spacing w:after="0" w:line="276" w:lineRule="auto"/>
        <w:jc w:val="both"/>
        <w:rPr>
          <w:rFonts w:ascii="Verdana" w:eastAsia="Century Gothic" w:hAnsi="Verdana" w:cs="Century Gothic"/>
        </w:rPr>
      </w:pPr>
    </w:p>
    <w:p w14:paraId="59C2F549" w14:textId="77777777" w:rsidR="00E271FC" w:rsidRPr="00BE3219" w:rsidRDefault="00E271FC" w:rsidP="00E271FC">
      <w:pPr>
        <w:tabs>
          <w:tab w:val="left" w:pos="142"/>
          <w:tab w:val="left" w:pos="284"/>
        </w:tabs>
        <w:spacing w:after="0" w:line="276" w:lineRule="auto"/>
        <w:jc w:val="both"/>
        <w:rPr>
          <w:rFonts w:ascii="Verdana" w:eastAsia="Century Gothic" w:hAnsi="Verdana" w:cs="Century Gothic"/>
          <w:b/>
          <w:lang w:val="es-ES"/>
        </w:rPr>
      </w:pPr>
      <w:r w:rsidRPr="00BE3219">
        <w:rPr>
          <w:rFonts w:ascii="Verdana" w:eastAsia="Century Gothic" w:hAnsi="Verdana" w:cs="Century Gothic"/>
          <w:b/>
          <w:lang w:val="es-ES"/>
        </w:rPr>
        <w:t>2. Respuesta:</w:t>
      </w:r>
    </w:p>
    <w:p w14:paraId="2748D2A1" w14:textId="77777777" w:rsidR="00E271FC" w:rsidRPr="00560477" w:rsidRDefault="00E271FC" w:rsidP="00E271FC">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71FC" w:rsidRPr="00560477" w14:paraId="3905F39A" w14:textId="77777777" w:rsidTr="001B1664">
        <w:tc>
          <w:tcPr>
            <w:tcW w:w="8828" w:type="dxa"/>
          </w:tcPr>
          <w:p w14:paraId="2FC52D8D" w14:textId="77777777" w:rsidR="00E271FC" w:rsidRDefault="00E271FC" w:rsidP="001B1664">
            <w:pPr>
              <w:spacing w:before="120" w:after="120" w:line="276" w:lineRule="auto"/>
              <w:jc w:val="both"/>
              <w:textAlignment w:val="baseline"/>
              <w:rPr>
                <w:rFonts w:ascii="Verdana" w:eastAsia="Arial" w:hAnsi="Verdana" w:cs="Arial"/>
              </w:rPr>
            </w:pPr>
            <w:r w:rsidRPr="002721E0">
              <w:rPr>
                <w:rFonts w:ascii="Verdana" w:eastAsia="Calibri" w:hAnsi="Verdana" w:cs="Arial"/>
              </w:rPr>
              <w:t>En relación con la consulta planteada</w:t>
            </w:r>
            <w:r w:rsidRPr="002721E0">
              <w:rPr>
                <w:rFonts w:ascii="Verdana" w:eastAsia="Arial" w:hAnsi="Verdana" w:cs="Arial"/>
              </w:rPr>
              <w:t xml:space="preserve">, resulta necesario diferenciar dos situaciones. En primer lugar, se encuentra la facultad de la entidad estatal de modificar los pliegos de condiciones o sus documentos equivalentes, lo cual, </w:t>
            </w:r>
            <w:r>
              <w:rPr>
                <w:rFonts w:ascii="Verdana" w:eastAsia="Arial" w:hAnsi="Verdana" w:cs="Arial"/>
              </w:rPr>
              <w:t>se explica en las consideraciones de este concepto</w:t>
            </w:r>
            <w:r w:rsidRPr="002721E0">
              <w:rPr>
                <w:rFonts w:ascii="Verdana" w:eastAsia="Arial" w:hAnsi="Verdana" w:cs="Arial"/>
              </w:rPr>
              <w:t xml:space="preserve">, </w:t>
            </w:r>
            <w:r>
              <w:rPr>
                <w:rFonts w:ascii="Verdana" w:eastAsia="Arial" w:hAnsi="Verdana" w:cs="Arial"/>
              </w:rPr>
              <w:t>las cuales se</w:t>
            </w:r>
            <w:r w:rsidRPr="002721E0">
              <w:rPr>
                <w:rFonts w:ascii="Verdana" w:eastAsia="Arial" w:hAnsi="Verdana" w:cs="Arial"/>
              </w:rPr>
              <w:t xml:space="preserve"> realiza</w:t>
            </w:r>
            <w:r>
              <w:rPr>
                <w:rFonts w:ascii="Verdana" w:eastAsia="Arial" w:hAnsi="Verdana" w:cs="Arial"/>
              </w:rPr>
              <w:t>n</w:t>
            </w:r>
            <w:r w:rsidRPr="002721E0">
              <w:rPr>
                <w:rFonts w:ascii="Verdana" w:eastAsia="Arial" w:hAnsi="Verdana" w:cs="Arial"/>
              </w:rPr>
              <w:t xml:space="preserve"> a través de adendas. Estas constituyen el mecanismo mediante el cual la entidad puede ajustar o precisar las reglas del proceso de selección. No obstante, dicha facultad se encuentra sujeta a límites temporales y materiales establecidos en la normativa aplicable, los cuales determinan hasta qué momento del proceso pueden expedirse y sobre qué aspectos pueden recaer.</w:t>
            </w:r>
          </w:p>
          <w:p w14:paraId="3A714381" w14:textId="77777777" w:rsidR="00E271FC" w:rsidRPr="008709D5" w:rsidRDefault="00E271FC" w:rsidP="001B1664">
            <w:pPr>
              <w:spacing w:before="120" w:after="120" w:line="276" w:lineRule="auto"/>
              <w:ind w:firstLine="709"/>
              <w:jc w:val="both"/>
              <w:textAlignment w:val="baseline"/>
              <w:rPr>
                <w:rFonts w:ascii="Verdana" w:eastAsia="Arial" w:hAnsi="Verdana" w:cs="Arial"/>
              </w:rPr>
            </w:pPr>
            <w:r w:rsidRPr="00E73F2E">
              <w:rPr>
                <w:rFonts w:ascii="Verdana" w:hAnsi="Verdana" w:cs="Arial"/>
                <w:lang w:eastAsia="es-CO"/>
              </w:rPr>
              <w:t xml:space="preserve">En segundo lugar, es preciso señalar que la </w:t>
            </w:r>
            <w:r>
              <w:rPr>
                <w:rFonts w:ascii="Verdana" w:hAnsi="Verdana" w:cs="Arial"/>
                <w:lang w:eastAsia="es-CO"/>
              </w:rPr>
              <w:t>E</w:t>
            </w:r>
            <w:r w:rsidRPr="00E73F2E">
              <w:rPr>
                <w:rFonts w:ascii="Verdana" w:hAnsi="Verdana" w:cs="Arial"/>
                <w:lang w:eastAsia="es-CO"/>
              </w:rPr>
              <w:t xml:space="preserve">ntidad </w:t>
            </w:r>
            <w:r>
              <w:rPr>
                <w:rFonts w:ascii="Verdana" w:hAnsi="Verdana" w:cs="Arial"/>
                <w:lang w:eastAsia="es-CO"/>
              </w:rPr>
              <w:t>E</w:t>
            </w:r>
            <w:r w:rsidRPr="00E73F2E">
              <w:rPr>
                <w:rFonts w:ascii="Verdana" w:hAnsi="Verdana" w:cs="Arial"/>
                <w:lang w:eastAsia="es-CO"/>
              </w:rPr>
              <w:t xml:space="preserve">statal no tiene la potestad de modificar o reformar las ofertas presentadas por los proponentes, toda vez que estas corresponden exclusivamente a la voluntad de quienes participan en el proceso de selección. No obstante, en ejercicio de sus funciones de verificación, la entidad sí puede solicitar aclaraciones o subsanaciones cuando existan dudas sobre la información presentada o cuando no se encuentren acreditados determinados requisitos. En relación con </w:t>
            </w:r>
            <w:r w:rsidRPr="00E73F2E">
              <w:rPr>
                <w:rFonts w:ascii="Verdana" w:hAnsi="Verdana" w:cs="Arial"/>
                <w:lang w:eastAsia="es-CO"/>
              </w:rPr>
              <w:lastRenderedPageBreak/>
              <w:t xml:space="preserve">las subsanaciones, estas se encuentran sujetas igualmente a límites materiales y temporales, en la medida en que únicamente pueden solicitarse respecto de requisitos que no sean objeto de ponderación ni otorguen puntaje, y siempre que se trate de </w:t>
            </w:r>
            <w:r w:rsidRPr="00ED764E">
              <w:rPr>
                <w:rFonts w:ascii="Verdana" w:hAnsi="Verdana" w:cs="Arial"/>
                <w:lang w:eastAsia="es-CO"/>
              </w:rPr>
              <w:t>circunstancias que existían con anterioridad al cierre del proceso. En ese sentido, las subsanaciones no pueden implicar la mejora, modificación o complementación sustancial de la oferta presentada.</w:t>
            </w:r>
          </w:p>
          <w:p w14:paraId="26377811" w14:textId="77777777" w:rsidR="00E271FC" w:rsidRPr="00560477" w:rsidRDefault="00E271FC" w:rsidP="001B1664">
            <w:pPr>
              <w:shd w:val="clear" w:color="auto" w:fill="FFFFFF"/>
              <w:spacing w:before="120" w:after="120" w:line="276" w:lineRule="auto"/>
              <w:ind w:right="51" w:firstLine="709"/>
              <w:jc w:val="both"/>
              <w:rPr>
                <w:rFonts w:ascii="Verdana" w:eastAsia="Times New Roman" w:hAnsi="Verdana" w:cs="Times New Roman"/>
                <w:color w:val="7030A0"/>
                <w:lang w:eastAsia="es-ES"/>
              </w:rPr>
            </w:pPr>
            <w:r w:rsidRPr="001805E6">
              <w:rPr>
                <w:rFonts w:ascii="Verdana" w:eastAsia="Calibri" w:hAnsi="Verdana" w:cs="Arial"/>
                <w:color w:val="000000" w:themeColor="text1"/>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1805E6">
              <w:rPr>
                <w:rFonts w:ascii="Verdana" w:eastAsia="Times New Roman" w:hAnsi="Verdana" w:cs="Times New Roman"/>
                <w:color w:val="000000" w:themeColor="text1"/>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45F231A" w14:textId="77777777" w:rsidR="00E271FC" w:rsidRPr="0048448C" w:rsidRDefault="00E271FC" w:rsidP="00E271FC">
      <w:pPr>
        <w:tabs>
          <w:tab w:val="left" w:pos="142"/>
          <w:tab w:val="left" w:pos="284"/>
        </w:tabs>
        <w:spacing w:before="240" w:after="240" w:line="276" w:lineRule="auto"/>
        <w:jc w:val="both"/>
        <w:rPr>
          <w:rFonts w:ascii="Verdana" w:eastAsia="Century Gothic" w:hAnsi="Verdana" w:cs="Century Gothic"/>
          <w:b/>
          <w:lang w:val="es-ES"/>
        </w:rPr>
      </w:pPr>
      <w:r w:rsidRPr="0048448C">
        <w:rPr>
          <w:rFonts w:ascii="Verdana" w:eastAsia="Century Gothic" w:hAnsi="Verdana" w:cs="Century Gothic"/>
          <w:b/>
          <w:lang w:val="es-ES"/>
        </w:rPr>
        <w:lastRenderedPageBreak/>
        <w:t>3. Razones de la respuesta:</w:t>
      </w:r>
    </w:p>
    <w:p w14:paraId="40D27336" w14:textId="77777777" w:rsidR="00E271FC" w:rsidRPr="00CB19D0" w:rsidRDefault="00E271FC" w:rsidP="00E271FC">
      <w:pPr>
        <w:tabs>
          <w:tab w:val="left" w:pos="7451"/>
        </w:tabs>
        <w:spacing w:before="240" w:after="240" w:line="276" w:lineRule="auto"/>
        <w:jc w:val="both"/>
        <w:rPr>
          <w:rFonts w:ascii="Verdana" w:eastAsia="Calibri" w:hAnsi="Verdana" w:cs="Arial"/>
          <w:color w:val="000000" w:themeColor="text1"/>
          <w:lang w:val="es-ES"/>
        </w:rPr>
      </w:pPr>
      <w:r w:rsidRPr="00CB19D0">
        <w:rPr>
          <w:rFonts w:ascii="Verdana" w:eastAsia="Calibri" w:hAnsi="Verdana" w:cs="Arial"/>
          <w:color w:val="000000" w:themeColor="text1"/>
          <w:lang w:val="es-ES"/>
        </w:rPr>
        <w:t>Lo anterior se sustenta en las siguientes consideraciones:</w:t>
      </w:r>
    </w:p>
    <w:p w14:paraId="649AC57E" w14:textId="77777777" w:rsidR="00E271FC" w:rsidRPr="0075229A" w:rsidRDefault="00E271FC" w:rsidP="00E271FC">
      <w:pPr>
        <w:widowControl w:val="0"/>
        <w:autoSpaceDE w:val="0"/>
        <w:autoSpaceDN w:val="0"/>
        <w:spacing w:after="120" w:line="276" w:lineRule="auto"/>
        <w:ind w:right="108"/>
        <w:jc w:val="both"/>
        <w:rPr>
          <w:rFonts w:ascii="Verdana" w:eastAsia="Arial" w:hAnsi="Verdana" w:cs="Arial"/>
          <w:lang w:eastAsia="es-ES" w:bidi="es-ES"/>
        </w:rPr>
      </w:pPr>
      <w:r w:rsidRPr="00911A2F">
        <w:rPr>
          <w:rFonts w:ascii="Verdana" w:eastAsia="Arial" w:hAnsi="Verdana" w:cs="Arial"/>
          <w:lang w:eastAsia="es-ES" w:bidi="es-ES"/>
        </w:rPr>
        <w:t>i. El pliego de condiciones es la hoja de ruta o plan</w:t>
      </w:r>
      <w:r w:rsidRPr="00911A2F">
        <w:rPr>
          <w:rFonts w:ascii="Verdana" w:eastAsia="Arial" w:hAnsi="Verdana" w:cs="Arial"/>
          <w:vertAlign w:val="superscript"/>
          <w:lang w:eastAsia="es-ES" w:bidi="es-ES"/>
        </w:rPr>
        <w:footnoteReference w:id="1"/>
      </w:r>
      <w:r w:rsidRPr="00911A2F">
        <w:rPr>
          <w:rFonts w:ascii="Verdana" w:eastAsia="Arial" w:hAnsi="Verdana" w:cs="Arial"/>
          <w:lang w:eastAsia="es-ES" w:bidi="es-ES"/>
        </w:rPr>
        <w:t xml:space="preserve"> sobre el cual se diseña,</w:t>
      </w:r>
      <w:r w:rsidRPr="0075229A">
        <w:rPr>
          <w:rFonts w:ascii="Verdana" w:eastAsia="Arial" w:hAnsi="Verdana" w:cs="Arial"/>
          <w:lang w:eastAsia="es-ES" w:bidi="es-ES"/>
        </w:rPr>
        <w:t xml:space="preserve"> estructura y concreta el procedimiento de selección de contratistas, y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75229A">
        <w:rPr>
          <w:rFonts w:ascii="Verdana" w:eastAsia="Arial" w:hAnsi="Verdana" w:cs="Arial"/>
          <w:vertAlign w:val="superscript"/>
          <w:lang w:eastAsia="es-ES" w:bidi="es-ES"/>
        </w:rPr>
        <w:footnoteReference w:id="2"/>
      </w:r>
      <w:r w:rsidRPr="0075229A">
        <w:rPr>
          <w:rFonts w:ascii="Verdana" w:eastAsia="Arial" w:hAnsi="Verdana" w:cs="Arial"/>
          <w:lang w:eastAsia="es-ES" w:bidi="es-ES"/>
        </w:rPr>
        <w:t>.</w:t>
      </w:r>
    </w:p>
    <w:p w14:paraId="20975BAD" w14:textId="77777777" w:rsidR="00E271FC" w:rsidRPr="00357D17" w:rsidRDefault="00E271FC" w:rsidP="00E271FC">
      <w:pPr>
        <w:widowControl w:val="0"/>
        <w:autoSpaceDE w:val="0"/>
        <w:autoSpaceDN w:val="0"/>
        <w:spacing w:after="0" w:line="276" w:lineRule="auto"/>
        <w:ind w:right="108" w:firstLine="708"/>
        <w:jc w:val="both"/>
        <w:rPr>
          <w:rFonts w:ascii="Verdana" w:eastAsia="Arial" w:hAnsi="Verdana" w:cs="Arial"/>
          <w:lang w:eastAsia="es-ES" w:bidi="es-ES"/>
        </w:rPr>
      </w:pPr>
      <w:r w:rsidRPr="00357D17">
        <w:rPr>
          <w:rFonts w:ascii="Verdana" w:eastAsia="Arial" w:hAnsi="Verdana" w:cs="Arial"/>
          <w:lang w:eastAsia="es-ES" w:bidi="es-ES"/>
        </w:rPr>
        <w:t xml:space="preserve">El pliego es un instrumento en el cual se materializa el principio de </w:t>
      </w:r>
      <w:r w:rsidRPr="00357D17">
        <w:rPr>
          <w:rFonts w:ascii="Verdana" w:eastAsia="Arial" w:hAnsi="Verdana" w:cs="Arial"/>
          <w:lang w:eastAsia="es-ES" w:bidi="es-ES"/>
        </w:rPr>
        <w:lastRenderedPageBreak/>
        <w:t xml:space="preserve">transparencia, pues en él se prefijan las reglas de escogencia del contratista del Estado, para la selección objetiva de la mejor oferta, la adjudicación y la posterior celebración y ejecución del contrato, lo cual lo convierte en una reglamentación de todo el </w:t>
      </w:r>
      <w:r w:rsidRPr="00357D17">
        <w:rPr>
          <w:rFonts w:ascii="Verdana" w:eastAsia="Arial" w:hAnsi="Verdana" w:cs="Arial"/>
          <w:i/>
          <w:iCs/>
          <w:lang w:eastAsia="es-ES" w:bidi="es-ES"/>
        </w:rPr>
        <w:t xml:space="preserve">iter </w:t>
      </w:r>
      <w:r w:rsidRPr="00357D17">
        <w:rPr>
          <w:rFonts w:ascii="Verdana" w:eastAsia="Arial" w:hAnsi="Verdana" w:cs="Arial"/>
          <w:lang w:eastAsia="es-ES" w:bidi="es-ES"/>
        </w:rPr>
        <w:t>contractual. Su contenido</w:t>
      </w:r>
      <w:r w:rsidRPr="00357D17">
        <w:rPr>
          <w:rFonts w:ascii="Verdana" w:eastAsia="Arial" w:hAnsi="Verdana" w:cs="Arial"/>
          <w:vertAlign w:val="superscript"/>
          <w:lang w:eastAsia="es-ES" w:bidi="es-ES"/>
        </w:rPr>
        <w:footnoteReference w:id="3"/>
      </w:r>
      <w:r w:rsidRPr="00357D17">
        <w:rPr>
          <w:rFonts w:ascii="Verdana" w:eastAsia="Arial" w:hAnsi="Verdana" w:cs="Arial"/>
          <w:lang w:eastAsia="es-ES" w:bidi="es-ES"/>
        </w:rPr>
        <w:t xml:space="preserve"> está previsto en el numeral 5 del artículo 24 de la Ley 80 de 1993, que establece algunas directrices que deben tenerse en cuenta en su elaboración:</w:t>
      </w:r>
    </w:p>
    <w:p w14:paraId="69A4BAB6" w14:textId="77777777" w:rsidR="00E271FC" w:rsidRPr="00357D17" w:rsidRDefault="00E271FC" w:rsidP="00E271FC">
      <w:pPr>
        <w:widowControl w:val="0"/>
        <w:autoSpaceDE w:val="0"/>
        <w:autoSpaceDN w:val="0"/>
        <w:spacing w:after="0" w:line="240" w:lineRule="auto"/>
        <w:ind w:right="108" w:firstLine="708"/>
        <w:jc w:val="both"/>
        <w:rPr>
          <w:rFonts w:ascii="Verdana" w:eastAsia="Arial" w:hAnsi="Verdana" w:cs="Arial"/>
          <w:lang w:eastAsia="es-ES" w:bidi="es-ES"/>
        </w:rPr>
      </w:pPr>
    </w:p>
    <w:p w14:paraId="6F9BC12A" w14:textId="77777777" w:rsidR="00E271FC" w:rsidRPr="00357D17" w:rsidRDefault="00E271FC" w:rsidP="00E271FC">
      <w:pPr>
        <w:widowControl w:val="0"/>
        <w:autoSpaceDE w:val="0"/>
        <w:autoSpaceDN w:val="0"/>
        <w:spacing w:after="120" w:line="240" w:lineRule="auto"/>
        <w:ind w:left="800"/>
        <w:rPr>
          <w:rFonts w:ascii="Verdana" w:eastAsia="Arial" w:hAnsi="Verdana" w:cs="Arial"/>
          <w:sz w:val="20"/>
          <w:szCs w:val="20"/>
          <w:lang w:eastAsia="es-ES" w:bidi="es-ES"/>
        </w:rPr>
      </w:pPr>
      <w:r w:rsidRPr="00357D17">
        <w:rPr>
          <w:rFonts w:ascii="Verdana" w:eastAsia="Arial" w:hAnsi="Verdana" w:cs="Arial"/>
          <w:sz w:val="20"/>
          <w:szCs w:val="20"/>
          <w:lang w:eastAsia="es-ES" w:bidi="es-ES"/>
        </w:rPr>
        <w:t>5o. En los pliegos de condiciones:</w:t>
      </w:r>
    </w:p>
    <w:p w14:paraId="454E5B6C" w14:textId="77777777" w:rsidR="00E271FC" w:rsidRPr="00357D17" w:rsidRDefault="00E271FC" w:rsidP="00E271FC">
      <w:pPr>
        <w:widowControl w:val="0"/>
        <w:numPr>
          <w:ilvl w:val="2"/>
          <w:numId w:val="17"/>
        </w:numPr>
        <w:tabs>
          <w:tab w:val="left" w:pos="1126"/>
        </w:tabs>
        <w:autoSpaceDE w:val="0"/>
        <w:autoSpaceDN w:val="0"/>
        <w:spacing w:after="120" w:line="240" w:lineRule="auto"/>
        <w:ind w:right="791" w:firstLine="0"/>
        <w:jc w:val="both"/>
        <w:rPr>
          <w:rFonts w:ascii="Verdana" w:eastAsia="Calibri" w:hAnsi="Verdana" w:cs="Arial"/>
          <w:sz w:val="20"/>
          <w:szCs w:val="20"/>
        </w:rPr>
      </w:pPr>
      <w:r w:rsidRPr="00357D17">
        <w:rPr>
          <w:rFonts w:ascii="Verdana" w:eastAsia="Calibri" w:hAnsi="Verdana" w:cs="Arial"/>
          <w:sz w:val="20"/>
          <w:szCs w:val="20"/>
        </w:rPr>
        <w:t>Se indicarán los requisitos objetivos necesarios para participar en el correspondiente proceso de</w:t>
      </w:r>
      <w:r w:rsidRPr="00357D17">
        <w:rPr>
          <w:rFonts w:ascii="Verdana" w:eastAsia="Calibri" w:hAnsi="Verdana" w:cs="Arial"/>
          <w:spacing w:val="-2"/>
          <w:sz w:val="20"/>
          <w:szCs w:val="20"/>
        </w:rPr>
        <w:t xml:space="preserve"> </w:t>
      </w:r>
      <w:r w:rsidRPr="00357D17">
        <w:rPr>
          <w:rFonts w:ascii="Verdana" w:eastAsia="Calibri" w:hAnsi="Verdana" w:cs="Arial"/>
          <w:sz w:val="20"/>
          <w:szCs w:val="20"/>
        </w:rPr>
        <w:t>selección.</w:t>
      </w:r>
    </w:p>
    <w:p w14:paraId="6A161F1D" w14:textId="77777777" w:rsidR="00E271FC" w:rsidRPr="00357D17" w:rsidRDefault="00E271FC" w:rsidP="00E271FC">
      <w:pPr>
        <w:widowControl w:val="0"/>
        <w:numPr>
          <w:ilvl w:val="2"/>
          <w:numId w:val="17"/>
        </w:numPr>
        <w:tabs>
          <w:tab w:val="left" w:pos="1088"/>
        </w:tabs>
        <w:autoSpaceDE w:val="0"/>
        <w:autoSpaceDN w:val="0"/>
        <w:spacing w:after="120" w:line="240" w:lineRule="auto"/>
        <w:ind w:right="789" w:firstLine="0"/>
        <w:jc w:val="both"/>
        <w:rPr>
          <w:rFonts w:ascii="Verdana" w:eastAsia="Calibri" w:hAnsi="Verdana" w:cs="Arial"/>
          <w:sz w:val="20"/>
          <w:szCs w:val="20"/>
        </w:rPr>
      </w:pPr>
      <w:r w:rsidRPr="00357D17">
        <w:rPr>
          <w:rFonts w:ascii="Verdana" w:eastAsia="Calibri" w:hAnsi="Verdana" w:cs="Arial"/>
          <w:sz w:val="20"/>
          <w:szCs w:val="20"/>
        </w:rPr>
        <w:t>Se definirán reglas objetivas, justas, claras y completas que permitan la confección de ofrecimientos de la misma índole, aseguren una escogencia objetiva y eviten las declaratorias de desierta de la</w:t>
      </w:r>
      <w:r w:rsidRPr="00357D17">
        <w:rPr>
          <w:rFonts w:ascii="Verdana" w:eastAsia="Calibri" w:hAnsi="Verdana" w:cs="Arial"/>
          <w:spacing w:val="-16"/>
          <w:sz w:val="20"/>
          <w:szCs w:val="20"/>
        </w:rPr>
        <w:t xml:space="preserve"> </w:t>
      </w:r>
      <w:r w:rsidRPr="00357D17">
        <w:rPr>
          <w:rFonts w:ascii="Verdana" w:eastAsia="Calibri" w:hAnsi="Verdana" w:cs="Arial"/>
          <w:sz w:val="20"/>
          <w:szCs w:val="20"/>
        </w:rPr>
        <w:t>licitación.</w:t>
      </w:r>
    </w:p>
    <w:p w14:paraId="6DB4966A" w14:textId="77777777" w:rsidR="00E271FC" w:rsidRPr="00357D17" w:rsidRDefault="00E271FC" w:rsidP="00E271FC">
      <w:pPr>
        <w:widowControl w:val="0"/>
        <w:numPr>
          <w:ilvl w:val="2"/>
          <w:numId w:val="17"/>
        </w:numPr>
        <w:tabs>
          <w:tab w:val="left" w:pos="1108"/>
        </w:tabs>
        <w:autoSpaceDE w:val="0"/>
        <w:autoSpaceDN w:val="0"/>
        <w:spacing w:after="120" w:line="240" w:lineRule="auto"/>
        <w:ind w:right="794" w:firstLine="0"/>
        <w:jc w:val="both"/>
        <w:rPr>
          <w:rFonts w:ascii="Verdana" w:eastAsia="Calibri" w:hAnsi="Verdana"/>
          <w:sz w:val="20"/>
          <w:szCs w:val="20"/>
        </w:rPr>
      </w:pPr>
      <w:r w:rsidRPr="00357D17">
        <w:rPr>
          <w:rFonts w:ascii="Verdana" w:eastAsia="Calibri" w:hAnsi="Verdana" w:cs="Arial"/>
          <w:sz w:val="20"/>
          <w:szCs w:val="20"/>
        </w:rPr>
        <w:t>Se definirán con precisión las condiciones de costo y calidad de los bienes, obras o servicios necesarios para la ejecución del objeto del</w:t>
      </w:r>
      <w:r w:rsidRPr="00357D17">
        <w:rPr>
          <w:rFonts w:ascii="Verdana" w:eastAsia="Calibri" w:hAnsi="Verdana" w:cs="Arial"/>
          <w:spacing w:val="-43"/>
          <w:sz w:val="20"/>
          <w:szCs w:val="20"/>
        </w:rPr>
        <w:t xml:space="preserve"> </w:t>
      </w:r>
      <w:r w:rsidRPr="00357D17">
        <w:rPr>
          <w:rFonts w:ascii="Verdana" w:eastAsia="Calibri" w:hAnsi="Verdana" w:cs="Arial"/>
          <w:sz w:val="20"/>
          <w:szCs w:val="20"/>
        </w:rPr>
        <w:t>contrato.</w:t>
      </w:r>
    </w:p>
    <w:p w14:paraId="43FB5C84" w14:textId="77777777" w:rsidR="00E271FC" w:rsidRPr="00B6447B" w:rsidRDefault="00E271FC" w:rsidP="00E271FC">
      <w:pPr>
        <w:widowControl w:val="0"/>
        <w:autoSpaceDE w:val="0"/>
        <w:autoSpaceDN w:val="0"/>
        <w:spacing w:after="120" w:line="240" w:lineRule="auto"/>
        <w:ind w:left="800" w:right="758"/>
        <w:jc w:val="both"/>
        <w:rPr>
          <w:rFonts w:ascii="Verdana" w:eastAsia="Arial" w:hAnsi="Verdana" w:cs="Arial"/>
          <w:sz w:val="20"/>
          <w:szCs w:val="20"/>
          <w:lang w:eastAsia="es-ES" w:bidi="es-ES"/>
        </w:rPr>
      </w:pPr>
      <w:r w:rsidRPr="00B6447B">
        <w:rPr>
          <w:rFonts w:ascii="Verdana" w:eastAsia="Arial" w:hAnsi="Verdana" w:cs="Arial"/>
          <w:sz w:val="20"/>
          <w:szCs w:val="20"/>
          <w:lang w:eastAsia="es-ES" w:bidi="es-ES"/>
        </w:rPr>
        <w:t>No se incluirán condiciones y exigencias de imposible cumplimiento, ni exenciones de la responsabilidad derivada de los datos, informes</w:t>
      </w:r>
      <w:r w:rsidRPr="00B6447B">
        <w:rPr>
          <w:rFonts w:ascii="Verdana" w:eastAsia="Arial" w:hAnsi="Verdana" w:cs="Arial"/>
          <w:spacing w:val="1"/>
          <w:sz w:val="20"/>
          <w:szCs w:val="20"/>
          <w:lang w:eastAsia="es-ES" w:bidi="es-ES"/>
        </w:rPr>
        <w:t xml:space="preserve"> </w:t>
      </w:r>
      <w:r w:rsidRPr="00B6447B">
        <w:rPr>
          <w:rFonts w:ascii="Verdana" w:eastAsia="Arial" w:hAnsi="Verdana" w:cs="Arial"/>
          <w:sz w:val="20"/>
          <w:szCs w:val="20"/>
          <w:lang w:eastAsia="es-ES" w:bidi="es-ES"/>
        </w:rPr>
        <w:t>y documentos que se suministren.</w:t>
      </w:r>
    </w:p>
    <w:p w14:paraId="1D18FF1C" w14:textId="77777777" w:rsidR="00E271FC" w:rsidRPr="00B6447B" w:rsidRDefault="00E271FC" w:rsidP="00E271FC">
      <w:pPr>
        <w:widowControl w:val="0"/>
        <w:numPr>
          <w:ilvl w:val="2"/>
          <w:numId w:val="17"/>
        </w:numPr>
        <w:tabs>
          <w:tab w:val="left" w:pos="1151"/>
        </w:tabs>
        <w:autoSpaceDE w:val="0"/>
        <w:autoSpaceDN w:val="0"/>
        <w:spacing w:after="120" w:line="240" w:lineRule="auto"/>
        <w:ind w:right="788" w:firstLine="0"/>
        <w:jc w:val="both"/>
        <w:rPr>
          <w:rFonts w:ascii="Verdana" w:eastAsia="Calibri" w:hAnsi="Verdana" w:cs="Arial"/>
          <w:sz w:val="20"/>
          <w:szCs w:val="20"/>
        </w:rPr>
      </w:pPr>
      <w:r w:rsidRPr="00B6447B">
        <w:rPr>
          <w:rFonts w:ascii="Verdana" w:eastAsia="Calibri" w:hAnsi="Verdana" w:cs="Arial"/>
          <w:sz w:val="20"/>
          <w:szCs w:val="20"/>
        </w:rPr>
        <w:t>Se definirán reglas que no induzcan a error a los proponentes y contratistas y que impidan la Formulación de ofrecimientos de extensión ilimitada o que dependan de la voluntad exclusiva de la</w:t>
      </w:r>
      <w:r w:rsidRPr="00B6447B">
        <w:rPr>
          <w:rFonts w:ascii="Verdana" w:eastAsia="Calibri" w:hAnsi="Verdana" w:cs="Arial"/>
          <w:spacing w:val="-20"/>
          <w:sz w:val="20"/>
          <w:szCs w:val="20"/>
        </w:rPr>
        <w:t xml:space="preserve"> </w:t>
      </w:r>
      <w:r w:rsidRPr="00B6447B">
        <w:rPr>
          <w:rFonts w:ascii="Verdana" w:eastAsia="Calibri" w:hAnsi="Verdana" w:cs="Arial"/>
          <w:sz w:val="20"/>
          <w:szCs w:val="20"/>
        </w:rPr>
        <w:t>entidad.</w:t>
      </w:r>
    </w:p>
    <w:p w14:paraId="62FF8FC4" w14:textId="77777777" w:rsidR="00E271FC" w:rsidRPr="00B6447B" w:rsidRDefault="00E271FC" w:rsidP="00E271FC">
      <w:pPr>
        <w:widowControl w:val="0"/>
        <w:numPr>
          <w:ilvl w:val="2"/>
          <w:numId w:val="17"/>
        </w:numPr>
        <w:tabs>
          <w:tab w:val="left" w:pos="1016"/>
        </w:tabs>
        <w:autoSpaceDE w:val="0"/>
        <w:autoSpaceDN w:val="0"/>
        <w:spacing w:after="120" w:line="240" w:lineRule="auto"/>
        <w:ind w:right="784" w:firstLine="0"/>
        <w:jc w:val="both"/>
        <w:rPr>
          <w:rFonts w:ascii="Verdana" w:eastAsia="Calibri" w:hAnsi="Verdana" w:cs="Arial"/>
          <w:sz w:val="20"/>
          <w:szCs w:val="20"/>
        </w:rPr>
      </w:pPr>
      <w:r>
        <w:rPr>
          <w:rFonts w:ascii="Verdana" w:eastAsia="Calibri" w:hAnsi="Verdana" w:cs="Arial"/>
          <w:sz w:val="20"/>
          <w:szCs w:val="20"/>
        </w:rPr>
        <w:t xml:space="preserve"> </w:t>
      </w:r>
      <w:r w:rsidRPr="00B6447B">
        <w:rPr>
          <w:rFonts w:ascii="Verdana" w:eastAsia="Calibri" w:hAnsi="Verdana" w:cs="Arial"/>
          <w:sz w:val="20"/>
          <w:szCs w:val="20"/>
        </w:rPr>
        <w:t>Se definirá el plazo para la liquidación del contrato, cuando a ello hubiere lugar, teniendo en cuenta su objeto, naturaleza y</w:t>
      </w:r>
      <w:r w:rsidRPr="00B6447B">
        <w:rPr>
          <w:rFonts w:ascii="Verdana" w:eastAsia="Calibri" w:hAnsi="Verdana" w:cs="Arial"/>
          <w:spacing w:val="-13"/>
          <w:sz w:val="20"/>
          <w:szCs w:val="20"/>
        </w:rPr>
        <w:t xml:space="preserve"> </w:t>
      </w:r>
      <w:r w:rsidRPr="00B6447B">
        <w:rPr>
          <w:rFonts w:ascii="Verdana" w:eastAsia="Calibri" w:hAnsi="Verdana" w:cs="Arial"/>
          <w:sz w:val="20"/>
          <w:szCs w:val="20"/>
        </w:rPr>
        <w:t>cuantía.</w:t>
      </w:r>
    </w:p>
    <w:p w14:paraId="013B2DB2" w14:textId="77777777" w:rsidR="00E271FC" w:rsidRPr="00B6447B" w:rsidRDefault="00E271FC" w:rsidP="00E271FC">
      <w:pPr>
        <w:widowControl w:val="0"/>
        <w:autoSpaceDE w:val="0"/>
        <w:autoSpaceDN w:val="0"/>
        <w:spacing w:after="0" w:line="240" w:lineRule="auto"/>
        <w:ind w:left="800" w:right="789"/>
        <w:jc w:val="both"/>
        <w:rPr>
          <w:rFonts w:ascii="Verdana" w:eastAsia="Arial" w:hAnsi="Verdana" w:cs="Arial"/>
          <w:sz w:val="20"/>
          <w:szCs w:val="20"/>
          <w:lang w:eastAsia="es-ES" w:bidi="es-ES"/>
        </w:rPr>
      </w:pPr>
      <w:r w:rsidRPr="00B6447B">
        <w:rPr>
          <w:rFonts w:ascii="Verdana" w:eastAsia="Arial" w:hAnsi="Verdana" w:cs="Arial"/>
          <w:sz w:val="20"/>
          <w:szCs w:val="20"/>
          <w:lang w:eastAsia="es-ES" w:bidi="es-ES"/>
        </w:rPr>
        <w:t>Serán ineficaces de pleno derecho las estipulaciones de los pliegos y de los contratos que contravengan lo dispuesto en este numeral, o dispongan renuncias a reclamaciones por la ocurrencia de los hechos aquí enunciados.</w:t>
      </w:r>
    </w:p>
    <w:p w14:paraId="5654B0D2" w14:textId="77777777" w:rsidR="00E271FC" w:rsidRPr="001D10B9" w:rsidRDefault="00E271FC" w:rsidP="00E271FC">
      <w:pPr>
        <w:widowControl w:val="0"/>
        <w:autoSpaceDE w:val="0"/>
        <w:autoSpaceDN w:val="0"/>
        <w:spacing w:after="0"/>
        <w:ind w:left="800" w:right="789"/>
        <w:jc w:val="both"/>
        <w:rPr>
          <w:rFonts w:ascii="Verdana" w:eastAsia="Arial" w:hAnsi="Verdana" w:cs="Arial"/>
          <w:color w:val="7030A0"/>
          <w:sz w:val="21"/>
          <w:szCs w:val="21"/>
          <w:lang w:eastAsia="es-ES" w:bidi="es-ES"/>
        </w:rPr>
      </w:pPr>
    </w:p>
    <w:p w14:paraId="0A105A1C" w14:textId="77777777" w:rsidR="00E271FC" w:rsidRPr="00DA48C0" w:rsidRDefault="00E271FC" w:rsidP="00E271FC">
      <w:pPr>
        <w:widowControl w:val="0"/>
        <w:autoSpaceDE w:val="0"/>
        <w:autoSpaceDN w:val="0"/>
        <w:spacing w:after="120" w:line="276" w:lineRule="auto"/>
        <w:ind w:left="120" w:right="103" w:firstLine="600"/>
        <w:jc w:val="both"/>
        <w:rPr>
          <w:rFonts w:ascii="Verdana" w:eastAsia="Arial" w:hAnsi="Verdana" w:cs="Arial"/>
          <w:lang w:eastAsia="es-ES" w:bidi="es-ES"/>
        </w:rPr>
      </w:pPr>
      <w:r w:rsidRPr="00DA48C0">
        <w:rPr>
          <w:rFonts w:ascii="Verdana" w:eastAsia="Arial" w:hAnsi="Verdana" w:cs="Arial"/>
          <w:lang w:eastAsia="es-ES" w:bidi="es-ES"/>
        </w:rPr>
        <w:t>De conformidad con lo anterior, la Administración tiene la facultad de configurar las reglas y exigencias de los pliegos de condiciones de manera libre, dentro de los parámetros y límites establecidos por el ordenamiento jurídico</w:t>
      </w:r>
      <w:r w:rsidRPr="00DA48C0">
        <w:rPr>
          <w:rStyle w:val="Refdenotaalpie"/>
          <w:rFonts w:ascii="Verdana" w:eastAsia="Arial" w:hAnsi="Verdana" w:cs="Arial"/>
          <w:lang w:eastAsia="es-ES" w:bidi="es-ES"/>
        </w:rPr>
        <w:footnoteReference w:id="4"/>
      </w:r>
      <w:r w:rsidRPr="00DA48C0">
        <w:rPr>
          <w:rFonts w:ascii="Verdana" w:eastAsia="Arial" w:hAnsi="Verdana" w:cs="Arial"/>
          <w:lang w:eastAsia="es-ES" w:bidi="es-ES"/>
        </w:rPr>
        <w:t xml:space="preserve">, con fundamento en los estudios realizados en la fase de planeación. </w:t>
      </w:r>
      <w:r w:rsidRPr="00DA48C0">
        <w:rPr>
          <w:rFonts w:ascii="Verdana" w:eastAsia="Arial" w:hAnsi="Verdana" w:cs="Arial"/>
          <w:lang w:eastAsia="es-ES" w:bidi="es-ES"/>
        </w:rPr>
        <w:lastRenderedPageBreak/>
        <w:t>Además, tiene la carga de elaborarlos de manera idónea, objetiva, clara, precisa y completa, tal como se deduce de la disposición recién citada.</w:t>
      </w:r>
    </w:p>
    <w:p w14:paraId="305D9FBE" w14:textId="77777777" w:rsidR="00E271FC" w:rsidRPr="00DA48C0" w:rsidRDefault="00E271FC" w:rsidP="00E271FC">
      <w:pPr>
        <w:widowControl w:val="0"/>
        <w:autoSpaceDE w:val="0"/>
        <w:autoSpaceDN w:val="0"/>
        <w:spacing w:after="120" w:line="276" w:lineRule="auto"/>
        <w:ind w:left="120" w:right="103" w:firstLine="600"/>
        <w:jc w:val="both"/>
        <w:rPr>
          <w:rFonts w:ascii="Verdana" w:eastAsia="Arial" w:hAnsi="Verdana" w:cs="Arial"/>
          <w:lang w:eastAsia="es-ES" w:bidi="es-ES"/>
        </w:rPr>
      </w:pPr>
      <w:r w:rsidRPr="00DA48C0">
        <w:rPr>
          <w:rFonts w:ascii="Verdana" w:eastAsia="Arial" w:hAnsi="Verdana" w:cs="Arial"/>
          <w:lang w:eastAsia="es-ES" w:bidi="es-ES"/>
        </w:rPr>
        <w:t>Sin perjuicio de lo anterior, puede ocurrir que surja la necesidad de efectuar correcciones, aclaraciones o modificaciones, bien sea porque las mismas tienen origen en necesidades identificadas por la entidad contratante o como consecuencia de observaciones realizadas por los interesados en el</w:t>
      </w:r>
      <w:r w:rsidRPr="00DA48C0">
        <w:rPr>
          <w:rFonts w:ascii="Verdana" w:eastAsia="Arial" w:hAnsi="Verdana" w:cs="Arial"/>
          <w:spacing w:val="-6"/>
          <w:lang w:eastAsia="es-ES" w:bidi="es-ES"/>
        </w:rPr>
        <w:t xml:space="preserve"> </w:t>
      </w:r>
      <w:r w:rsidRPr="00DA48C0">
        <w:rPr>
          <w:rFonts w:ascii="Verdana" w:eastAsia="Arial" w:hAnsi="Verdana" w:cs="Arial"/>
          <w:lang w:eastAsia="es-ES" w:bidi="es-ES"/>
        </w:rPr>
        <w:t>proceso, de manera que, pese a la planeación previa y el cumplimiento de las disposiciones aplicables, es posible que sea necesario modificar el pliego de condiciones, como se explicará.</w:t>
      </w:r>
    </w:p>
    <w:p w14:paraId="12C5FF03" w14:textId="77777777" w:rsidR="00E271FC" w:rsidRPr="008562FE" w:rsidRDefault="00E271FC" w:rsidP="00E271FC">
      <w:pPr>
        <w:widowControl w:val="0"/>
        <w:autoSpaceDE w:val="0"/>
        <w:autoSpaceDN w:val="0"/>
        <w:spacing w:after="120" w:line="276" w:lineRule="auto"/>
        <w:ind w:right="108" w:firstLine="709"/>
        <w:jc w:val="both"/>
        <w:rPr>
          <w:rFonts w:ascii="Verdana" w:eastAsia="Arial" w:hAnsi="Verdana" w:cs="Arial"/>
          <w:i/>
          <w:lang w:eastAsia="es-ES" w:bidi="es-ES"/>
        </w:rPr>
      </w:pPr>
      <w:r w:rsidRPr="009C3968">
        <w:rPr>
          <w:rFonts w:ascii="Verdana" w:eastAsia="Arial" w:hAnsi="Verdana" w:cs="Arial"/>
          <w:lang w:eastAsia="es-ES" w:bidi="es-ES"/>
        </w:rPr>
        <w:t xml:space="preserve">De esta forma,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8562FE">
        <w:rPr>
          <w:rFonts w:ascii="Verdana" w:eastAsia="Arial" w:hAnsi="Verdana" w:cs="Arial"/>
          <w:i/>
          <w:iCs/>
          <w:lang w:eastAsia="es-ES" w:bidi="es-ES"/>
        </w:rPr>
        <w:t>adendas</w:t>
      </w:r>
      <w:r w:rsidRPr="008562FE">
        <w:rPr>
          <w:rFonts w:ascii="Verdana" w:eastAsia="Arial" w:hAnsi="Verdana" w:cs="Arial"/>
          <w:i/>
          <w:lang w:eastAsia="es-ES" w:bidi="es-ES"/>
        </w:rPr>
        <w:t xml:space="preserve">. </w:t>
      </w:r>
    </w:p>
    <w:p w14:paraId="50D4D867" w14:textId="77777777" w:rsidR="00E271FC" w:rsidRPr="008562FE" w:rsidRDefault="00E271FC" w:rsidP="00E271FC">
      <w:pPr>
        <w:widowControl w:val="0"/>
        <w:autoSpaceDE w:val="0"/>
        <w:autoSpaceDN w:val="0"/>
        <w:spacing w:after="120" w:line="276" w:lineRule="auto"/>
        <w:ind w:right="107" w:firstLine="708"/>
        <w:jc w:val="both"/>
        <w:rPr>
          <w:rFonts w:ascii="Verdana" w:eastAsia="Arial" w:hAnsi="Verdana" w:cs="Arial"/>
          <w:lang w:eastAsia="es-ES" w:bidi="es-ES"/>
        </w:rPr>
      </w:pPr>
      <w:r w:rsidRPr="008562FE">
        <w:rPr>
          <w:rFonts w:ascii="Verdana" w:eastAsia="Arial" w:hAnsi="Verdana" w:cs="Arial"/>
          <w:iCs/>
          <w:lang w:eastAsia="es-ES" w:bidi="es-ES"/>
        </w:rPr>
        <w:t>No obstante,</w:t>
      </w:r>
      <w:r w:rsidRPr="008562FE">
        <w:rPr>
          <w:rFonts w:ascii="Verdana" w:eastAsia="Arial" w:hAnsi="Verdana" w:cs="Arial"/>
          <w:i/>
          <w:lang w:eastAsia="es-ES" w:bidi="es-ES"/>
        </w:rPr>
        <w:t xml:space="preserve"> </w:t>
      </w:r>
      <w:r w:rsidRPr="008562FE">
        <w:rPr>
          <w:rFonts w:ascii="Verdana" w:eastAsia="Arial" w:hAnsi="Verdana" w:cs="Arial"/>
          <w:lang w:eastAsia="es-ES" w:bidi="es-ES"/>
        </w:rPr>
        <w:t>como lo ha reconocido la jurisprudencia del Consejo de Estado, dichas modificaciones pueden realizarse por medio de cualquier otro documento que contenga</w:t>
      </w:r>
      <w:r w:rsidRPr="008562FE">
        <w:rPr>
          <w:rFonts w:ascii="Verdana" w:eastAsia="Arial" w:hAnsi="Verdana" w:cs="Arial"/>
          <w:spacing w:val="26"/>
          <w:lang w:eastAsia="es-ES" w:bidi="es-ES"/>
        </w:rPr>
        <w:t xml:space="preserve"> </w:t>
      </w:r>
      <w:r w:rsidRPr="008562FE">
        <w:rPr>
          <w:rFonts w:ascii="Verdana" w:eastAsia="Arial" w:hAnsi="Verdana" w:cs="Arial"/>
          <w:lang w:eastAsia="es-ES" w:bidi="es-ES"/>
        </w:rPr>
        <w:t>la</w:t>
      </w:r>
      <w:r w:rsidRPr="008562FE">
        <w:rPr>
          <w:rFonts w:ascii="Verdana" w:eastAsia="Arial" w:hAnsi="Verdana" w:cs="Arial"/>
          <w:spacing w:val="27"/>
          <w:lang w:eastAsia="es-ES" w:bidi="es-ES"/>
        </w:rPr>
        <w:t xml:space="preserve"> </w:t>
      </w:r>
      <w:r w:rsidRPr="008562FE">
        <w:rPr>
          <w:rFonts w:ascii="Verdana" w:eastAsia="Arial" w:hAnsi="Verdana" w:cs="Arial"/>
          <w:lang w:eastAsia="es-ES" w:bidi="es-ES"/>
        </w:rPr>
        <w:t>manifestación</w:t>
      </w:r>
      <w:r w:rsidRPr="008562FE">
        <w:rPr>
          <w:rFonts w:ascii="Verdana" w:eastAsia="Arial" w:hAnsi="Verdana" w:cs="Arial"/>
          <w:spacing w:val="26"/>
          <w:lang w:eastAsia="es-ES" w:bidi="es-ES"/>
        </w:rPr>
        <w:t xml:space="preserve"> </w:t>
      </w:r>
      <w:r w:rsidRPr="008562FE">
        <w:rPr>
          <w:rFonts w:ascii="Verdana" w:eastAsia="Arial" w:hAnsi="Verdana" w:cs="Arial"/>
          <w:lang w:eastAsia="es-ES" w:bidi="es-ES"/>
        </w:rPr>
        <w:t>de</w:t>
      </w:r>
      <w:r w:rsidRPr="008562FE">
        <w:rPr>
          <w:rFonts w:ascii="Verdana" w:eastAsia="Arial" w:hAnsi="Verdana" w:cs="Arial"/>
          <w:spacing w:val="27"/>
          <w:lang w:eastAsia="es-ES" w:bidi="es-ES"/>
        </w:rPr>
        <w:t xml:space="preserve"> </w:t>
      </w:r>
      <w:r w:rsidRPr="008562FE">
        <w:rPr>
          <w:rFonts w:ascii="Verdana" w:eastAsia="Arial" w:hAnsi="Verdana" w:cs="Arial"/>
          <w:lang w:eastAsia="es-ES" w:bidi="es-ES"/>
        </w:rPr>
        <w:t>voluntad</w:t>
      </w:r>
      <w:r w:rsidRPr="008562FE">
        <w:rPr>
          <w:rFonts w:ascii="Verdana" w:eastAsia="Arial" w:hAnsi="Verdana" w:cs="Arial"/>
          <w:spacing w:val="27"/>
          <w:lang w:eastAsia="es-ES" w:bidi="es-ES"/>
        </w:rPr>
        <w:t xml:space="preserve"> </w:t>
      </w:r>
      <w:r w:rsidRPr="008562FE">
        <w:rPr>
          <w:rFonts w:ascii="Verdana" w:eastAsia="Arial" w:hAnsi="Verdana" w:cs="Arial"/>
          <w:lang w:eastAsia="es-ES" w:bidi="es-ES"/>
        </w:rPr>
        <w:t>de</w:t>
      </w:r>
      <w:r w:rsidRPr="008562FE">
        <w:rPr>
          <w:rFonts w:ascii="Verdana" w:eastAsia="Arial" w:hAnsi="Verdana" w:cs="Arial"/>
          <w:spacing w:val="26"/>
          <w:lang w:eastAsia="es-ES" w:bidi="es-ES"/>
        </w:rPr>
        <w:t xml:space="preserve"> </w:t>
      </w:r>
      <w:r w:rsidRPr="008562FE">
        <w:rPr>
          <w:rFonts w:ascii="Verdana" w:eastAsia="Arial" w:hAnsi="Verdana" w:cs="Arial"/>
          <w:lang w:eastAsia="es-ES" w:bidi="es-ES"/>
        </w:rPr>
        <w:t>la</w:t>
      </w:r>
      <w:r w:rsidRPr="008562FE">
        <w:rPr>
          <w:rFonts w:ascii="Verdana" w:eastAsia="Arial" w:hAnsi="Verdana" w:cs="Arial"/>
          <w:spacing w:val="27"/>
          <w:lang w:eastAsia="es-ES" w:bidi="es-ES"/>
        </w:rPr>
        <w:t xml:space="preserve"> </w:t>
      </w:r>
      <w:r w:rsidRPr="008562FE">
        <w:rPr>
          <w:rFonts w:ascii="Verdana" w:eastAsia="Arial" w:hAnsi="Verdana" w:cs="Arial"/>
          <w:lang w:eastAsia="es-ES" w:bidi="es-ES"/>
        </w:rPr>
        <w:t>entidad</w:t>
      </w:r>
      <w:r w:rsidRPr="008562FE">
        <w:rPr>
          <w:rFonts w:ascii="Verdana" w:eastAsia="Arial" w:hAnsi="Verdana" w:cs="Arial"/>
          <w:spacing w:val="27"/>
          <w:lang w:eastAsia="es-ES" w:bidi="es-ES"/>
        </w:rPr>
        <w:t xml:space="preserve"> </w:t>
      </w:r>
      <w:r w:rsidRPr="008562FE">
        <w:rPr>
          <w:rFonts w:ascii="Verdana" w:eastAsia="Arial" w:hAnsi="Verdana" w:cs="Arial"/>
          <w:lang w:eastAsia="es-ES" w:bidi="es-ES"/>
        </w:rPr>
        <w:t>de</w:t>
      </w:r>
      <w:r w:rsidRPr="008562FE">
        <w:rPr>
          <w:rFonts w:ascii="Verdana" w:eastAsia="Arial" w:hAnsi="Verdana" w:cs="Arial"/>
          <w:spacing w:val="26"/>
          <w:lang w:eastAsia="es-ES" w:bidi="es-ES"/>
        </w:rPr>
        <w:t xml:space="preserve"> </w:t>
      </w:r>
      <w:r w:rsidRPr="008562FE">
        <w:rPr>
          <w:rFonts w:ascii="Verdana" w:eastAsia="Arial" w:hAnsi="Verdana" w:cs="Arial"/>
          <w:lang w:eastAsia="es-ES" w:bidi="es-ES"/>
        </w:rPr>
        <w:t>aclarar,</w:t>
      </w:r>
      <w:r w:rsidRPr="008562FE">
        <w:rPr>
          <w:rFonts w:ascii="Verdana" w:eastAsia="Arial" w:hAnsi="Verdana" w:cs="Arial"/>
          <w:spacing w:val="25"/>
          <w:lang w:eastAsia="es-ES" w:bidi="es-ES"/>
        </w:rPr>
        <w:t xml:space="preserve"> </w:t>
      </w:r>
      <w:r w:rsidRPr="008562FE">
        <w:rPr>
          <w:rFonts w:ascii="Verdana" w:eastAsia="Arial" w:hAnsi="Verdana" w:cs="Arial"/>
          <w:lang w:eastAsia="es-ES" w:bidi="es-ES"/>
        </w:rPr>
        <w:t>añadir,</w:t>
      </w:r>
      <w:r w:rsidRPr="008562FE">
        <w:rPr>
          <w:rFonts w:ascii="Verdana" w:eastAsia="Arial" w:hAnsi="Verdana" w:cs="Arial"/>
          <w:spacing w:val="25"/>
          <w:lang w:eastAsia="es-ES" w:bidi="es-ES"/>
        </w:rPr>
        <w:t xml:space="preserve"> </w:t>
      </w:r>
      <w:r w:rsidRPr="008562FE">
        <w:rPr>
          <w:rFonts w:ascii="Verdana" w:eastAsia="Arial" w:hAnsi="Verdana" w:cs="Arial"/>
          <w:lang w:eastAsia="es-ES" w:bidi="es-ES"/>
        </w:rPr>
        <w:t xml:space="preserve">adicionar, reemplazar o cambiar un aspecto o condición, incluida en los documentos del procedimiento de contratación, independientemente que a dicho documento se le titule como </w:t>
      </w:r>
      <w:r w:rsidRPr="008562FE">
        <w:rPr>
          <w:rFonts w:ascii="Verdana" w:eastAsia="Arial" w:hAnsi="Verdana" w:cs="Arial"/>
          <w:i/>
          <w:iCs/>
          <w:lang w:eastAsia="es-ES" w:bidi="es-ES"/>
        </w:rPr>
        <w:t xml:space="preserve">adenda, </w:t>
      </w:r>
      <w:r w:rsidRPr="008562FE">
        <w:rPr>
          <w:rFonts w:ascii="Verdana" w:eastAsia="Arial" w:hAnsi="Verdana" w:cs="Arial"/>
          <w:lang w:eastAsia="es-ES" w:bidi="es-ES"/>
        </w:rPr>
        <w:t>siempre que mediante dicho documento se modifiquen los pliegos de condiciones</w:t>
      </w:r>
      <w:r w:rsidRPr="008562FE">
        <w:rPr>
          <w:rFonts w:ascii="Verdana" w:eastAsia="Arial" w:hAnsi="Verdana" w:cs="Arial"/>
          <w:vertAlign w:val="superscript"/>
          <w:lang w:eastAsia="es-ES" w:bidi="es-ES"/>
        </w:rPr>
        <w:footnoteReference w:id="5"/>
      </w:r>
      <w:r w:rsidRPr="008562FE">
        <w:rPr>
          <w:rFonts w:ascii="Verdana" w:eastAsia="Arial" w:hAnsi="Verdana" w:cs="Arial"/>
          <w:lang w:eastAsia="es-ES" w:bidi="es-ES"/>
        </w:rPr>
        <w:t>.</w:t>
      </w:r>
    </w:p>
    <w:p w14:paraId="107EB7BF" w14:textId="77777777" w:rsidR="00E271FC" w:rsidRPr="001924AE" w:rsidRDefault="00E271FC" w:rsidP="00E271FC">
      <w:pPr>
        <w:widowControl w:val="0"/>
        <w:autoSpaceDE w:val="0"/>
        <w:autoSpaceDN w:val="0"/>
        <w:spacing w:before="1" w:after="0" w:line="276" w:lineRule="auto"/>
        <w:ind w:right="107" w:firstLine="708"/>
        <w:jc w:val="both"/>
        <w:rPr>
          <w:rFonts w:ascii="Verdana" w:eastAsia="Arial" w:hAnsi="Verdana" w:cs="Arial"/>
          <w:lang w:eastAsia="es-ES" w:bidi="es-ES"/>
        </w:rPr>
      </w:pPr>
      <w:r w:rsidRPr="001924AE">
        <w:rPr>
          <w:rFonts w:ascii="Verdana" w:eastAsia="Arial" w:hAnsi="Verdana" w:cs="Arial"/>
          <w:lang w:eastAsia="es-ES" w:bidi="es-ES"/>
        </w:rPr>
        <w:lastRenderedPageBreak/>
        <w:t>De acuerdo con lo anterior, en relación con las adendas resulta necesario acudir al artículo 30, numeral 5, de la Ley 80 de 1993 –modificado por el artículo 89 de la Ley 1474 de 2011–, que dispone:</w:t>
      </w:r>
    </w:p>
    <w:p w14:paraId="685BC312" w14:textId="77777777" w:rsidR="00E271FC" w:rsidRPr="001A2537" w:rsidRDefault="00E271FC" w:rsidP="00E271FC">
      <w:pPr>
        <w:widowControl w:val="0"/>
        <w:autoSpaceDE w:val="0"/>
        <w:autoSpaceDN w:val="0"/>
        <w:spacing w:before="1" w:after="0" w:line="276" w:lineRule="auto"/>
        <w:ind w:right="107" w:firstLine="708"/>
        <w:jc w:val="both"/>
        <w:rPr>
          <w:rFonts w:ascii="Verdana" w:eastAsia="Arial" w:hAnsi="Verdana" w:cs="Arial"/>
          <w:color w:val="7030A0"/>
          <w:lang w:eastAsia="es-ES" w:bidi="es-ES"/>
        </w:rPr>
      </w:pPr>
    </w:p>
    <w:p w14:paraId="23577B95" w14:textId="77777777" w:rsidR="00E271FC" w:rsidRPr="00296890" w:rsidRDefault="00E271FC" w:rsidP="00E271FC">
      <w:pPr>
        <w:widowControl w:val="0"/>
        <w:autoSpaceDE w:val="0"/>
        <w:autoSpaceDN w:val="0"/>
        <w:spacing w:before="1" w:after="240"/>
        <w:ind w:left="708" w:right="644"/>
        <w:jc w:val="both"/>
        <w:rPr>
          <w:rFonts w:ascii="Verdana" w:eastAsia="Arial" w:hAnsi="Verdana" w:cs="Arial"/>
          <w:sz w:val="20"/>
          <w:szCs w:val="20"/>
          <w:lang w:eastAsia="es-ES" w:bidi="es-ES"/>
        </w:rPr>
      </w:pPr>
      <w:r w:rsidRPr="00296890">
        <w:rPr>
          <w:rFonts w:ascii="Verdana" w:eastAsia="Arial" w:hAnsi="Verdana" w:cs="Arial"/>
          <w:sz w:val="20"/>
          <w:szCs w:val="20"/>
          <w:lang w:eastAsia="es-ES" w:bidi="es-ES"/>
        </w:rPr>
        <w:t>El plazo de la licitación entendido como el término que debe transcurrir entre la fecha a partir de la cual se pueden presentar propuestas y la de su cierre, se señalará en los pliegos de condiciones de acuerdo con la naturaleza, objeto y cuantía del contrato.</w:t>
      </w:r>
    </w:p>
    <w:p w14:paraId="6E2CC823" w14:textId="77777777" w:rsidR="00E271FC" w:rsidRPr="0001154C" w:rsidRDefault="00E271FC" w:rsidP="00E271FC">
      <w:pPr>
        <w:widowControl w:val="0"/>
        <w:autoSpaceDE w:val="0"/>
        <w:autoSpaceDN w:val="0"/>
        <w:spacing w:after="0"/>
        <w:ind w:left="709" w:right="646"/>
        <w:jc w:val="both"/>
        <w:rPr>
          <w:rFonts w:ascii="Verdana" w:eastAsia="Arial" w:hAnsi="Verdana" w:cs="Arial"/>
          <w:sz w:val="21"/>
          <w:szCs w:val="21"/>
          <w:lang w:eastAsia="es-ES" w:bidi="es-ES"/>
        </w:rPr>
      </w:pPr>
      <w:r w:rsidRPr="00296890">
        <w:rPr>
          <w:rFonts w:ascii="Verdana" w:eastAsia="Arial" w:hAnsi="Verdana" w:cs="Arial"/>
          <w:sz w:val="20"/>
          <w:szCs w:val="20"/>
          <w:lang w:eastAsia="es-ES" w:bidi="es-ES"/>
        </w:rPr>
        <w:t xml:space="preserve">Cuando lo estime conveniente la entidad interesada, de oficio o a solicitud </w:t>
      </w:r>
      <w:r w:rsidRPr="0001154C">
        <w:rPr>
          <w:rFonts w:ascii="Verdana" w:eastAsia="Arial" w:hAnsi="Verdana" w:cs="Arial"/>
          <w:sz w:val="20"/>
          <w:szCs w:val="20"/>
          <w:lang w:eastAsia="es-ES" w:bidi="es-ES"/>
        </w:rPr>
        <w:t>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del mismo. La publicación de estas adendas sólo se podrá realizar en días hábiles y horarios laborales</w:t>
      </w:r>
      <w:r w:rsidRPr="0001154C">
        <w:rPr>
          <w:rFonts w:ascii="Verdana" w:eastAsia="Arial" w:hAnsi="Verdana" w:cs="Arial"/>
          <w:sz w:val="21"/>
          <w:szCs w:val="21"/>
          <w:lang w:eastAsia="es-ES" w:bidi="es-ES"/>
        </w:rPr>
        <w:t>.</w:t>
      </w:r>
    </w:p>
    <w:p w14:paraId="4706CBB8" w14:textId="77777777" w:rsidR="00E271FC" w:rsidRPr="0001154C" w:rsidRDefault="00E271FC" w:rsidP="00E271FC">
      <w:pPr>
        <w:widowControl w:val="0"/>
        <w:autoSpaceDE w:val="0"/>
        <w:autoSpaceDN w:val="0"/>
        <w:spacing w:after="0"/>
        <w:ind w:left="709" w:right="646"/>
        <w:jc w:val="both"/>
        <w:rPr>
          <w:rFonts w:ascii="Verdana" w:eastAsia="Arial" w:hAnsi="Verdana" w:cs="Arial"/>
          <w:lang w:eastAsia="es-ES" w:bidi="es-ES"/>
        </w:rPr>
      </w:pPr>
    </w:p>
    <w:p w14:paraId="6AC225FC" w14:textId="77777777" w:rsidR="00E271FC" w:rsidRDefault="00E271FC" w:rsidP="00E271FC">
      <w:pPr>
        <w:widowControl w:val="0"/>
        <w:autoSpaceDE w:val="0"/>
        <w:autoSpaceDN w:val="0"/>
        <w:spacing w:after="0" w:line="276" w:lineRule="auto"/>
        <w:ind w:firstLine="709"/>
        <w:jc w:val="both"/>
        <w:rPr>
          <w:rFonts w:ascii="Verdana" w:eastAsia="Arial" w:hAnsi="Verdana" w:cs="Arial"/>
          <w:lang w:eastAsia="es-ES" w:bidi="es-ES"/>
        </w:rPr>
      </w:pPr>
      <w:r w:rsidRPr="0001154C">
        <w:rPr>
          <w:rFonts w:ascii="Verdana" w:eastAsia="Arial" w:hAnsi="Verdana" w:cs="Arial"/>
          <w:lang w:eastAsia="es-ES" w:bidi="es-ES"/>
        </w:rPr>
        <w:t>En armonía con la disposición anterior, el artículo 2.2.1.1.2.2.1. del Decreto 1082 de 2015, establece lo siguiente</w:t>
      </w:r>
      <w:r>
        <w:rPr>
          <w:rFonts w:ascii="Verdana" w:eastAsia="Arial" w:hAnsi="Verdana" w:cs="Arial"/>
          <w:lang w:eastAsia="es-ES" w:bidi="es-ES"/>
        </w:rPr>
        <w:t>:</w:t>
      </w:r>
    </w:p>
    <w:p w14:paraId="35383413" w14:textId="77777777" w:rsidR="00E271FC" w:rsidRPr="0001154C" w:rsidRDefault="00E271FC" w:rsidP="00E271FC">
      <w:pPr>
        <w:widowControl w:val="0"/>
        <w:autoSpaceDE w:val="0"/>
        <w:autoSpaceDN w:val="0"/>
        <w:spacing w:after="0" w:line="276" w:lineRule="auto"/>
        <w:ind w:firstLine="709"/>
        <w:jc w:val="both"/>
        <w:rPr>
          <w:rFonts w:ascii="Verdana" w:eastAsia="Arial" w:hAnsi="Verdana" w:cs="Arial"/>
          <w:lang w:eastAsia="es-ES" w:bidi="es-ES"/>
        </w:rPr>
      </w:pPr>
    </w:p>
    <w:p w14:paraId="48329C96" w14:textId="77777777" w:rsidR="00E271FC" w:rsidRPr="00D574F2" w:rsidRDefault="00E271FC" w:rsidP="00E271FC">
      <w:pPr>
        <w:spacing w:line="240" w:lineRule="auto"/>
        <w:ind w:left="709" w:right="709"/>
        <w:jc w:val="both"/>
        <w:textAlignment w:val="baseline"/>
        <w:rPr>
          <w:rFonts w:ascii="Verdana" w:eastAsia="Calibri" w:hAnsi="Verdana" w:cs="Arial"/>
          <w:sz w:val="20"/>
          <w:szCs w:val="20"/>
        </w:rPr>
      </w:pPr>
      <w:r w:rsidRPr="00D574F2">
        <w:rPr>
          <w:rFonts w:ascii="Verdana" w:eastAsia="Calibri" w:hAnsi="Verdana" w:cs="Arial"/>
          <w:sz w:val="20"/>
          <w:szCs w:val="20"/>
        </w:rPr>
        <w:t>Artículo 2.2.1.1.2.2.1. Modificación de los pliegos de condiciones. La Entidad Estatal puede modificar los pliegos de condiciones a través de Adendas expedidas antes del vencimiento del plazo para presentar ofertas.  </w:t>
      </w:r>
    </w:p>
    <w:p w14:paraId="58ADFE9B" w14:textId="77777777" w:rsidR="00E271FC" w:rsidRPr="00D574F2" w:rsidRDefault="00E271FC" w:rsidP="00E271FC">
      <w:pPr>
        <w:spacing w:line="240" w:lineRule="auto"/>
        <w:ind w:left="709" w:right="709"/>
        <w:jc w:val="both"/>
        <w:textAlignment w:val="baseline"/>
        <w:rPr>
          <w:rFonts w:ascii="Verdana" w:eastAsia="Calibri" w:hAnsi="Verdana" w:cs="Arial"/>
          <w:sz w:val="20"/>
          <w:szCs w:val="20"/>
        </w:rPr>
      </w:pPr>
      <w:r w:rsidRPr="00D574F2">
        <w:rPr>
          <w:rFonts w:ascii="Verdana" w:eastAsia="Calibri" w:hAnsi="Verdana" w:cs="Arial"/>
          <w:sz w:val="20"/>
          <w:szCs w:val="20"/>
        </w:rPr>
        <w:t>La Entidad Estatal puede expedir Adendas para modificar el Cronograma una vez vencido el término para la presentación de las ofertas y antes de la adjudicación del contrato. </w:t>
      </w:r>
    </w:p>
    <w:p w14:paraId="260D7187" w14:textId="77777777" w:rsidR="00E271FC" w:rsidRPr="00D574F2" w:rsidRDefault="00E271FC" w:rsidP="00E271FC">
      <w:pPr>
        <w:spacing w:after="0" w:line="240" w:lineRule="auto"/>
        <w:ind w:left="709" w:right="709"/>
        <w:jc w:val="both"/>
        <w:textAlignment w:val="baseline"/>
        <w:rPr>
          <w:rFonts w:ascii="Verdana" w:eastAsia="Calibri" w:hAnsi="Verdana" w:cs="Arial"/>
          <w:sz w:val="20"/>
          <w:szCs w:val="20"/>
        </w:rPr>
      </w:pPr>
      <w:r w:rsidRPr="00D574F2">
        <w:rPr>
          <w:rFonts w:ascii="Verdana" w:eastAsia="Calibri" w:hAnsi="Verdana" w:cs="Arial"/>
          <w:i/>
          <w:iCs/>
          <w:sz w:val="20"/>
          <w:szCs w:val="20"/>
        </w:rPr>
        <w:t>La Entidad Estatal debe publicar las Adendas en los días hábiles, entre las 7:00 a. m. y las 7:00 p. m., a más tardar el día hábil anterior al vencimiento del plazo para presentar ofertas a la hora fijada para tal presentación, salvo en la licitación pública pues de conformidad con la ley la publicación debe hacerse con tres (3) días de anticipación</w:t>
      </w:r>
      <w:r w:rsidRPr="00D574F2">
        <w:rPr>
          <w:rFonts w:ascii="Verdana" w:eastAsia="Calibri" w:hAnsi="Verdana" w:cs="Arial"/>
          <w:sz w:val="20"/>
          <w:szCs w:val="20"/>
        </w:rPr>
        <w:t xml:space="preserve"> (Cursiva fuera del original).</w:t>
      </w:r>
    </w:p>
    <w:p w14:paraId="6CC90D20" w14:textId="77777777" w:rsidR="00E271FC" w:rsidRPr="00D574F2" w:rsidRDefault="00E271FC" w:rsidP="00E271FC">
      <w:pPr>
        <w:spacing w:after="0" w:line="240" w:lineRule="auto"/>
        <w:ind w:left="709" w:right="709"/>
        <w:jc w:val="both"/>
        <w:textAlignment w:val="baseline"/>
        <w:rPr>
          <w:rFonts w:ascii="Verdana" w:eastAsia="Calibri" w:hAnsi="Verdana" w:cs="Arial"/>
          <w:color w:val="7030A0"/>
          <w:sz w:val="20"/>
          <w:szCs w:val="20"/>
        </w:rPr>
      </w:pPr>
      <w:r w:rsidRPr="00D574F2">
        <w:rPr>
          <w:rFonts w:ascii="Verdana" w:eastAsia="Calibri" w:hAnsi="Verdana"/>
          <w:color w:val="7030A0"/>
          <w:sz w:val="20"/>
          <w:szCs w:val="20"/>
        </w:rPr>
        <w:t> </w:t>
      </w:r>
    </w:p>
    <w:p w14:paraId="78097098" w14:textId="77777777" w:rsidR="00E271FC" w:rsidRPr="008853DD" w:rsidRDefault="00E271FC" w:rsidP="00E271FC">
      <w:pPr>
        <w:spacing w:after="120" w:line="276" w:lineRule="auto"/>
        <w:ind w:firstLine="708"/>
        <w:jc w:val="both"/>
        <w:rPr>
          <w:rFonts w:ascii="Verdana" w:eastAsia="Calibri" w:hAnsi="Verdana" w:cs="Arial"/>
          <w:sz w:val="21"/>
          <w:szCs w:val="21"/>
        </w:rPr>
      </w:pPr>
      <w:r w:rsidRPr="00FD30D0">
        <w:rPr>
          <w:rFonts w:ascii="Verdana" w:eastAsia="Calibri" w:hAnsi="Verdana" w:cs="Arial"/>
        </w:rPr>
        <w:t xml:space="preserve">La interpretación de esta norma supone diferenciar entre dos (2) tipos de ajustes que pueden dar lugar a la expedición de </w:t>
      </w:r>
      <w:bookmarkStart w:id="1" w:name="_Hlk113271930"/>
      <w:r w:rsidRPr="00FD30D0">
        <w:rPr>
          <w:rFonts w:ascii="Verdana" w:eastAsia="Calibri" w:hAnsi="Verdana" w:cs="Arial"/>
        </w:rPr>
        <w:t xml:space="preserve">adendas: i) los referidos a las </w:t>
      </w:r>
      <w:r w:rsidRPr="00FD30D0">
        <w:rPr>
          <w:rFonts w:ascii="Verdana" w:eastAsia="Calibri" w:hAnsi="Verdana" w:cs="Arial"/>
        </w:rPr>
        <w:lastRenderedPageBreak/>
        <w:t>condiciones técnicas, jurídicas y económicas del pliego definitivo</w:t>
      </w:r>
      <w:bookmarkEnd w:id="1"/>
      <w:r w:rsidRPr="00FD30D0">
        <w:rPr>
          <w:rFonts w:ascii="Verdana" w:eastAsia="Calibri" w:hAnsi="Verdana" w:cs="Arial"/>
        </w:rPr>
        <w:t xml:space="preserve"> y, en general, a cualquier contenido distinto del cronograma del procedimiento de selección y ii)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w:t>
      </w:r>
      <w:r w:rsidRPr="00FD30D0">
        <w:rPr>
          <w:rStyle w:val="Refdenotaalpie"/>
          <w:rFonts w:ascii="Verdana" w:eastAsia="Calibri" w:hAnsi="Verdana" w:cs="Arial"/>
        </w:rPr>
        <w:footnoteReference w:id="6"/>
      </w:r>
      <w:r w:rsidRPr="00FD30D0">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w:t>
      </w:r>
      <w:r w:rsidRPr="008853DD">
        <w:rPr>
          <w:rFonts w:ascii="Verdana" w:eastAsia="Calibri" w:hAnsi="Verdana" w:cs="Arial"/>
        </w:rPr>
        <w:t xml:space="preserve">artículo </w:t>
      </w:r>
      <w:r w:rsidRPr="008853DD">
        <w:rPr>
          <w:rFonts w:ascii="Verdana" w:eastAsia="Calibri" w:hAnsi="Verdana" w:cs="Arial"/>
          <w:sz w:val="21"/>
          <w:szCs w:val="21"/>
        </w:rPr>
        <w:t xml:space="preserve">2.2.1.1.2.2.1. </w:t>
      </w:r>
      <w:r w:rsidRPr="008853DD">
        <w:rPr>
          <w:rFonts w:ascii="Verdana" w:eastAsia="Calibri" w:hAnsi="Verdana" w:cs="Arial"/>
          <w:i/>
          <w:iCs/>
          <w:sz w:val="21"/>
          <w:szCs w:val="21"/>
        </w:rPr>
        <w:t>ejusdem</w:t>
      </w:r>
      <w:r w:rsidRPr="008853DD">
        <w:rPr>
          <w:rFonts w:ascii="Verdana" w:eastAsia="Calibri" w:hAnsi="Verdana" w:cs="Arial"/>
          <w:sz w:val="21"/>
          <w:szCs w:val="21"/>
        </w:rPr>
        <w:t>.</w:t>
      </w:r>
    </w:p>
    <w:p w14:paraId="1D316DAF" w14:textId="77777777" w:rsidR="00E271FC" w:rsidRPr="00D6151D" w:rsidRDefault="00E271FC" w:rsidP="00E271FC">
      <w:pPr>
        <w:spacing w:after="120" w:line="276" w:lineRule="auto"/>
        <w:ind w:firstLine="708"/>
        <w:jc w:val="both"/>
        <w:textAlignment w:val="baseline"/>
        <w:rPr>
          <w:rFonts w:ascii="Verdana" w:hAnsi="Verdana" w:cs="Arial"/>
          <w:lang w:eastAsia="es-CO"/>
        </w:rPr>
      </w:pPr>
      <w:r w:rsidRPr="008853DD">
        <w:rPr>
          <w:rFonts w:ascii="Verdana" w:hAnsi="Verdana" w:cs="Arial"/>
          <w:lang w:eastAsia="es-CO"/>
        </w:rPr>
        <w:t xml:space="preserve">Como se observa, tanto para la licitación pública, como para los demás procedimientos de selección de contratistas, las normas legales y reglamentarias prevén la posibilidad de modificar los pliegos de condiciones mediante </w:t>
      </w:r>
      <w:r w:rsidRPr="008853DD">
        <w:rPr>
          <w:rFonts w:ascii="Verdana" w:hAnsi="Verdana" w:cs="Arial"/>
          <w:i/>
          <w:iCs/>
          <w:lang w:eastAsia="es-CO"/>
        </w:rPr>
        <w:t>adendas</w:t>
      </w:r>
      <w:r w:rsidRPr="008853DD">
        <w:rPr>
          <w:rFonts w:ascii="Verdana" w:hAnsi="Verdana" w:cs="Arial"/>
          <w:lang w:eastAsia="es-CO"/>
        </w:rPr>
        <w:t>.</w:t>
      </w:r>
      <w:bookmarkStart w:id="2" w:name="_Hlk113273292"/>
      <w:r w:rsidRPr="008853DD">
        <w:rPr>
          <w:rFonts w:ascii="Verdana" w:hAnsi="Verdana" w:cs="Arial"/>
          <w:lang w:eastAsia="es-CO"/>
        </w:rPr>
        <w:t xml:space="preserve"> Sin embargo, respecto de las adendas proferidas antes del cierre del proceso, es claro que existen ciertos límites temporales para la expedición </w:t>
      </w:r>
      <w:r w:rsidRPr="00026779">
        <w:rPr>
          <w:rFonts w:ascii="Verdana" w:hAnsi="Verdana" w:cs="Arial"/>
          <w:lang w:eastAsia="es-CO"/>
        </w:rPr>
        <w:t xml:space="preserve">y publicación de las adendas. En primer lugar, es necesario que las mismas se publiquen entre las 7:00 am y las 7:00 pm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que deriva directamente del artículo 30-5 de la Ley 80 de 1993, y se </w:t>
      </w:r>
      <w:r w:rsidRPr="00D6151D">
        <w:rPr>
          <w:rFonts w:ascii="Verdana" w:hAnsi="Verdana" w:cs="Arial"/>
          <w:lang w:eastAsia="es-CO"/>
        </w:rPr>
        <w:t xml:space="preserve">reitera en la norma citada del Decreto 1082 de 2015, para la licitación pública, donde las adendas </w:t>
      </w:r>
      <w:r w:rsidRPr="00D6151D">
        <w:rPr>
          <w:rFonts w:ascii="Verdana" w:eastAsia="Arial" w:hAnsi="Verdana" w:cs="Arial"/>
          <w:lang w:eastAsia="es-ES" w:bidi="es-ES"/>
        </w:rPr>
        <w:t>no podrán expedirse dentro de los tres (3) días hábiles anteriores en que se tiene previsto el cierre del proceso de selección, sino que deberán expedirse antes de dicho momento.</w:t>
      </w:r>
      <w:r w:rsidRPr="00D6151D">
        <w:rPr>
          <w:rFonts w:ascii="Verdana" w:hAnsi="Verdana" w:cs="Arial"/>
          <w:lang w:eastAsia="es-CO"/>
        </w:rPr>
        <w:t xml:space="preserve"> </w:t>
      </w:r>
    </w:p>
    <w:bookmarkEnd w:id="2"/>
    <w:p w14:paraId="0C498CCC" w14:textId="77777777" w:rsidR="00E271FC" w:rsidRPr="00186E89" w:rsidRDefault="00E271FC" w:rsidP="00E271FC">
      <w:pPr>
        <w:spacing w:after="120" w:line="276" w:lineRule="auto"/>
        <w:ind w:firstLine="708"/>
        <w:jc w:val="both"/>
        <w:textAlignment w:val="baseline"/>
        <w:rPr>
          <w:rFonts w:ascii="Verdana" w:hAnsi="Verdana" w:cs="Arial"/>
          <w:lang w:eastAsia="es-CO"/>
        </w:rPr>
      </w:pPr>
      <w:r w:rsidRPr="00D6151D">
        <w:rPr>
          <w:rFonts w:ascii="Verdana" w:hAnsi="Verdana" w:cs="Arial"/>
          <w:lang w:eastAsia="es-CO"/>
        </w:rPr>
        <w:lastRenderedPageBreak/>
        <w:t xml:space="preserve">En ese orden de ideas, las normas prevén dos límites temporales para la publicación de las adendas, antes del cierre del proceso de selección: i) 3 días hábiles antes del vencimiento del plazo para presentar ofertas para la licitación pública y ii) un día hábil antes del vencimiento del plazo para presentar ofertas para las demás modalidades de selección.  </w:t>
      </w:r>
    </w:p>
    <w:p w14:paraId="7CAB26C0" w14:textId="77777777" w:rsidR="00E271FC" w:rsidRPr="00021114" w:rsidRDefault="00E271FC" w:rsidP="00E271FC">
      <w:pPr>
        <w:spacing w:line="276" w:lineRule="auto"/>
        <w:ind w:firstLine="708"/>
        <w:jc w:val="both"/>
        <w:textAlignment w:val="baseline"/>
        <w:rPr>
          <w:rFonts w:ascii="Verdana" w:hAnsi="Verdana" w:cs="Arial"/>
          <w:lang w:eastAsia="es-CO"/>
        </w:rPr>
      </w:pPr>
      <w:r w:rsidRPr="00186E89">
        <w:rPr>
          <w:rFonts w:ascii="Verdana" w:hAnsi="Verdana" w:cs="Arial"/>
          <w:lang w:eastAsia="es-CO"/>
        </w:rPr>
        <w:t xml:space="preserve">En efecto, el marco normativo vigente establece plazos perentorios para la modificación del pliego de condiciones mediante adendas, como expresión concreta de los principios de planeación, publicidad y libre concurrencia. De manera que el desconocimiento de dichos plazos, incluso cuando obedezca a razones operativas o de buena fe, puede comprometer la igualdad de oportunidades entre los oferentes y afectar la adecuada preparación de las </w:t>
      </w:r>
      <w:r w:rsidRPr="00021114">
        <w:rPr>
          <w:rFonts w:ascii="Verdana" w:hAnsi="Verdana" w:cs="Arial"/>
          <w:lang w:eastAsia="es-CO"/>
        </w:rPr>
        <w:t>ofertas, lo que se traduce en una afectación a la eficiencia del proceso (principio de economía) y a su integridad procedimental (principio de transparencia).</w:t>
      </w:r>
    </w:p>
    <w:p w14:paraId="4CFAA03D" w14:textId="77777777" w:rsidR="00E271FC" w:rsidRPr="00104A4A" w:rsidRDefault="00E271FC" w:rsidP="00E271FC">
      <w:pPr>
        <w:spacing w:after="120" w:line="276" w:lineRule="auto"/>
        <w:jc w:val="both"/>
        <w:rPr>
          <w:rFonts w:ascii="Verdana" w:eastAsia="Times New Roman" w:hAnsi="Verdana" w:cs="Arial"/>
          <w:lang w:val="es-ES" w:eastAsia="es-ES"/>
        </w:rPr>
      </w:pPr>
      <w:r w:rsidRPr="00021114">
        <w:rPr>
          <w:rFonts w:ascii="Verdana" w:hAnsi="Verdana" w:cs="Arial"/>
          <w:lang w:eastAsia="es-CO"/>
        </w:rPr>
        <w:t xml:space="preserve">ii. Por otra parte, </w:t>
      </w:r>
      <w:r w:rsidRPr="00021114">
        <w:rPr>
          <w:rFonts w:ascii="Verdana" w:hAnsi="Verdana" w:cs="Arial"/>
          <w:noProof/>
          <w:lang w:val="es-ES"/>
        </w:rPr>
        <w:t>l</w:t>
      </w:r>
      <w:r w:rsidRPr="00021114">
        <w:rPr>
          <w:rFonts w:ascii="Verdana" w:eastAsia="Times New Roman" w:hAnsi="Verdana" w:cs="Arial"/>
        </w:rPr>
        <w:t>a regla de la subsanabilidad de las ofertas en los</w:t>
      </w:r>
      <w:r w:rsidRPr="3F2B4452">
        <w:rPr>
          <w:rFonts w:ascii="Verdana" w:eastAsia="Times New Roman" w:hAnsi="Verdana" w:cs="Arial"/>
        </w:rPr>
        <w:t xml:space="preserve">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w:t>
      </w:r>
      <w:r w:rsidRPr="00104A4A">
        <w:rPr>
          <w:rFonts w:ascii="Verdana" w:eastAsia="Times New Roman" w:hAnsi="Verdana" w:cs="Arial"/>
          <w:lang w:val="es-ES" w:eastAsia="es-ES"/>
        </w:rPr>
        <w:t>seriedad de la oferta que no fue aportada con la propuesta.</w:t>
      </w:r>
    </w:p>
    <w:p w14:paraId="45E2342E" w14:textId="77777777" w:rsidR="00E271FC" w:rsidRPr="00104A4A" w:rsidRDefault="00E271FC" w:rsidP="00E271FC">
      <w:pPr>
        <w:tabs>
          <w:tab w:val="left" w:pos="3828"/>
        </w:tabs>
        <w:spacing w:after="120" w:line="276" w:lineRule="auto"/>
        <w:ind w:firstLine="709"/>
        <w:jc w:val="both"/>
        <w:rPr>
          <w:rFonts w:ascii="Verdana" w:eastAsia="Times New Roman" w:hAnsi="Verdana" w:cs="Arial"/>
          <w:lang w:val="es-ES" w:eastAsia="es-ES"/>
        </w:rPr>
      </w:pPr>
      <w:r w:rsidRPr="00104A4A">
        <w:rPr>
          <w:rFonts w:ascii="Verdana" w:eastAsia="Times New Roman" w:hAnsi="Verdana" w:cs="Arial"/>
          <w:lang w:val="es-ES" w:eastAsia="es-ES"/>
        </w:rPr>
        <w:t xml:space="preserve">La posibilidad de enmendar, corregir o subsanar los errores en los que se incurre en los documentos contentivos de la oferta, es un asunto que ha tenido diferentes momentos o etapas en el ordenamiento jurídico colombiano. </w:t>
      </w:r>
    </w:p>
    <w:p w14:paraId="11F89165" w14:textId="77777777" w:rsidR="00E271FC" w:rsidRPr="00104A4A" w:rsidRDefault="00E271FC" w:rsidP="00E271FC">
      <w:pPr>
        <w:spacing w:after="12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primer momento</w:t>
      </w:r>
      <w:r w:rsidRPr="00104A4A">
        <w:rPr>
          <w:rFonts w:ascii="Verdana" w:eastAsia="Arial" w:hAnsi="Verdana" w:cs="Arial"/>
        </w:rPr>
        <w:t xml:space="preserve">, antes de expedirse la Constitución Política 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07EE8A84" w14:textId="77777777" w:rsidR="00E271FC" w:rsidRPr="00104A4A" w:rsidRDefault="00E271FC" w:rsidP="00E271FC">
      <w:pPr>
        <w:spacing w:before="120" w:after="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segundo momento</w:t>
      </w:r>
      <w:r w:rsidRPr="00104A4A">
        <w:rPr>
          <w:rFonts w:ascii="Verdana" w:eastAsia="Arial" w:hAnsi="Verdana" w:cs="Arial"/>
        </w:rPr>
        <w:t xml:space="preserve"> se expidió la Ley 80 de 1993, bajo el paradigma que supuso la Constitución de 1991, particularmente en la forma como se relaciona lo formal y lo sustancial en las actuaciones judiciales y administrativas. </w:t>
      </w:r>
      <w:r w:rsidRPr="00104A4A">
        <w:rPr>
          <w:rFonts w:ascii="Verdana" w:eastAsia="Arial" w:hAnsi="Verdana" w:cs="Arial"/>
        </w:rPr>
        <w:lastRenderedPageBreak/>
        <w:t xml:space="preserve">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65448D9E" w14:textId="77777777" w:rsidR="00E271FC" w:rsidRPr="00104A4A" w:rsidRDefault="00E271FC" w:rsidP="00E271FC">
      <w:pPr>
        <w:spacing w:after="0" w:line="276" w:lineRule="auto"/>
        <w:jc w:val="both"/>
        <w:rPr>
          <w:rFonts w:ascii="Verdana" w:eastAsia="Arial" w:hAnsi="Verdana" w:cs="Arial"/>
        </w:rPr>
      </w:pPr>
    </w:p>
    <w:p w14:paraId="11F9D1EC" w14:textId="77777777" w:rsidR="00E271FC" w:rsidRPr="00104A4A" w:rsidRDefault="00E271FC" w:rsidP="00E271FC">
      <w:pPr>
        <w:spacing w:after="0" w:line="240" w:lineRule="auto"/>
        <w:ind w:left="709" w:right="709"/>
        <w:jc w:val="both"/>
        <w:rPr>
          <w:rFonts w:ascii="Verdana" w:eastAsia="Arial" w:hAnsi="Verdana" w:cs="Arial"/>
          <w:sz w:val="20"/>
          <w:szCs w:val="20"/>
        </w:rPr>
      </w:pPr>
      <w:r w:rsidRPr="00104A4A">
        <w:rPr>
          <w:rFonts w:ascii="Verdana" w:eastAsia="Arial" w:hAnsi="Verdana" w:cs="Arial"/>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37F71750" w14:textId="77777777" w:rsidR="00E271FC" w:rsidRPr="00104A4A" w:rsidRDefault="00E271FC" w:rsidP="00E271FC">
      <w:pPr>
        <w:spacing w:after="0" w:line="240" w:lineRule="auto"/>
        <w:ind w:left="709" w:right="709"/>
        <w:jc w:val="both"/>
        <w:rPr>
          <w:rFonts w:ascii="Verdana" w:eastAsia="Arial" w:hAnsi="Verdana" w:cs="Arial"/>
          <w:sz w:val="20"/>
          <w:szCs w:val="20"/>
        </w:rPr>
      </w:pPr>
    </w:p>
    <w:p w14:paraId="1D4623F8" w14:textId="77777777" w:rsidR="00E271FC" w:rsidRPr="00104A4A" w:rsidRDefault="00E271FC" w:rsidP="00E271FC">
      <w:pPr>
        <w:spacing w:after="0" w:line="240" w:lineRule="auto"/>
        <w:ind w:left="709" w:right="709"/>
        <w:jc w:val="both"/>
        <w:rPr>
          <w:rFonts w:ascii="Verdana" w:eastAsia="Arial" w:hAnsi="Verdana" w:cs="Arial"/>
          <w:sz w:val="20"/>
          <w:szCs w:val="20"/>
        </w:rPr>
      </w:pPr>
      <w:r w:rsidRPr="00104A4A">
        <w:rPr>
          <w:rFonts w:ascii="Verdana" w:eastAsia="Arial" w:hAnsi="Verdana" w:cs="Arial"/>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14:paraId="26DE94A5" w14:textId="77777777" w:rsidR="00E271FC" w:rsidRPr="00104A4A" w:rsidRDefault="00E271FC" w:rsidP="00E271FC">
      <w:pPr>
        <w:spacing w:after="0" w:line="240" w:lineRule="auto"/>
        <w:ind w:left="709" w:right="709"/>
        <w:jc w:val="both"/>
        <w:rPr>
          <w:rFonts w:ascii="Verdana" w:eastAsia="Arial" w:hAnsi="Verdana" w:cs="Arial"/>
        </w:rPr>
      </w:pPr>
    </w:p>
    <w:p w14:paraId="43F95695" w14:textId="77777777" w:rsidR="00E271FC" w:rsidRPr="00104A4A" w:rsidRDefault="00E271FC" w:rsidP="00E271FC">
      <w:pPr>
        <w:spacing w:after="0" w:line="276" w:lineRule="auto"/>
        <w:ind w:firstLine="709"/>
        <w:jc w:val="both"/>
        <w:rPr>
          <w:rFonts w:ascii="Verdana" w:eastAsia="Arial" w:hAnsi="Verdana" w:cs="Arial"/>
        </w:rPr>
      </w:pPr>
      <w:r w:rsidRPr="00104A4A">
        <w:rPr>
          <w:rFonts w:ascii="Verdana" w:eastAsia="Arial" w:hAnsi="Verdana" w:cs="Arial"/>
        </w:rPr>
        <w:t>Bajo el amparo de esta norma, el régimen jurídico de subsanabilidad de las ofertas sufre un cambio fundamental, pues ya no era posible rechazar las ofertas por falta de requisitos o documentos que no fueran “</w:t>
      </w:r>
      <w:r w:rsidRPr="00104A4A">
        <w:rPr>
          <w:rFonts w:ascii="Verdana" w:eastAsia="Arial" w:hAnsi="Verdana" w:cs="Arial"/>
          <w:i/>
        </w:rPr>
        <w:t>necesarios para la comparación de propuestas</w:t>
      </w:r>
      <w:r w:rsidRPr="00104A4A">
        <w:rPr>
          <w:rFonts w:ascii="Verdana" w:eastAsia="Arial" w:hAnsi="Verdana" w:cs="Arial"/>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4F7B6766" w14:textId="77777777" w:rsidR="00E271FC" w:rsidRPr="00104A4A" w:rsidRDefault="00E271FC" w:rsidP="00E271FC">
      <w:pPr>
        <w:spacing w:before="120" w:after="0" w:line="276" w:lineRule="auto"/>
        <w:ind w:firstLine="709"/>
        <w:jc w:val="both"/>
        <w:rPr>
          <w:rFonts w:ascii="Verdana" w:eastAsia="Arial" w:hAnsi="Verdana" w:cs="Arial"/>
        </w:rPr>
      </w:pPr>
      <w:r w:rsidRPr="00104A4A">
        <w:rPr>
          <w:rFonts w:ascii="Verdana" w:eastAsia="Arial" w:hAnsi="Verdana" w:cs="Arial"/>
        </w:rPr>
        <w:t>El artículo 25 numeral 15 de la Ley 80 de 1993 debía leerse en conjunto con otras del EGCAP, particularmente con el artículo 30 numeral 7</w:t>
      </w:r>
      <w:r w:rsidRPr="00104A4A">
        <w:rPr>
          <w:rFonts w:ascii="Verdana" w:eastAsia="Arial" w:hAnsi="Verdana" w:cs="Arial"/>
          <w:vertAlign w:val="superscript"/>
        </w:rPr>
        <w:footnoteReference w:id="7"/>
      </w:r>
      <w:r w:rsidRPr="00104A4A">
        <w:rPr>
          <w:rFonts w:ascii="Verdana" w:eastAsia="Arial" w:hAnsi="Verdana" w:cs="Arial"/>
        </w:rPr>
        <w:t>, que ordena a la entidad señalar un plazo razonable para evaluar las propuestas y pedir a los proponentes, de ser necesario, que aclaren o expliquen aspectos que ofrezcan dudas y resulten indispensables para hacer la evaluación. Con el artículo 30 numeral 8</w:t>
      </w:r>
      <w:r w:rsidRPr="00104A4A">
        <w:rPr>
          <w:rFonts w:ascii="Verdana" w:eastAsia="Arial" w:hAnsi="Verdana" w:cs="Arial"/>
          <w:vertAlign w:val="superscript"/>
        </w:rPr>
        <w:footnoteReference w:id="8"/>
      </w:r>
      <w:r w:rsidRPr="00104A4A">
        <w:rPr>
          <w:rFonts w:ascii="Verdana" w:eastAsia="Arial" w:hAnsi="Verdana" w:cs="Arial"/>
        </w:rPr>
        <w:t xml:space="preserve">, que consagró el término de 5 días hábiles para que los oferentes presenten observaciones al informe de evaluación de las propuestas, sin que sea </w:t>
      </w:r>
      <w:r w:rsidRPr="00104A4A">
        <w:rPr>
          <w:rFonts w:ascii="Verdana" w:eastAsia="Arial" w:hAnsi="Verdana" w:cs="Arial"/>
        </w:rPr>
        <w:lastRenderedPageBreak/>
        <w:t xml:space="preserve">posible completar, adicionar, modificar o mejorar la oferta. A partir de la lectura integrada de estas tres normas, debía concluirse que con la Ley 80 de 1993 era posible subsanar las propuestas, y la omisión o el error en algún aspecto de la misma no podía llevar a su rechazo, sin antes verificar que lo omitido fuera un aspecto necesario para la comparación. </w:t>
      </w:r>
    </w:p>
    <w:p w14:paraId="4C3A82A7" w14:textId="77777777" w:rsidR="00E271FC" w:rsidRPr="00104A4A" w:rsidRDefault="00E271FC" w:rsidP="00E271FC">
      <w:pPr>
        <w:spacing w:before="120" w:after="0" w:line="276" w:lineRule="auto"/>
        <w:ind w:firstLine="709"/>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tercer momento</w:t>
      </w:r>
      <w:r w:rsidRPr="00104A4A">
        <w:rPr>
          <w:rFonts w:ascii="Verdana" w:eastAsia="Arial" w:hAnsi="Verdana" w:cs="Arial"/>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104A4A">
        <w:rPr>
          <w:rFonts w:ascii="Verdana" w:eastAsia="Arial" w:hAnsi="Verdana" w:cs="Arial"/>
          <w:b/>
        </w:rPr>
        <w:t xml:space="preserve">, </w:t>
      </w:r>
      <w:r w:rsidRPr="00104A4A">
        <w:rPr>
          <w:rFonts w:ascii="Verdana" w:eastAsia="Arial" w:hAnsi="Verdana" w:cs="Arial"/>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7BB32F42" w14:textId="77777777" w:rsidR="00E271FC" w:rsidRPr="00104A4A" w:rsidRDefault="00E271FC" w:rsidP="00E271FC">
      <w:pPr>
        <w:spacing w:before="120" w:after="0" w:line="276" w:lineRule="auto"/>
        <w:ind w:firstLine="709"/>
        <w:jc w:val="both"/>
        <w:rPr>
          <w:rFonts w:ascii="Verdana" w:eastAsia="Arial" w:hAnsi="Verdana" w:cs="Arial"/>
        </w:rPr>
      </w:pPr>
      <w:r w:rsidRPr="00104A4A">
        <w:rPr>
          <w:rFonts w:ascii="Verdana" w:eastAsia="Arial" w:hAnsi="Verdana" w:cs="Arial"/>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2428FB14" w14:textId="77777777" w:rsidR="00E271FC" w:rsidRPr="00104A4A" w:rsidRDefault="00E271FC" w:rsidP="00E271FC">
      <w:pPr>
        <w:spacing w:before="120" w:after="0" w:line="276" w:lineRule="auto"/>
        <w:ind w:firstLine="709"/>
        <w:jc w:val="both"/>
        <w:rPr>
          <w:rFonts w:ascii="Verdana" w:eastAsia="Arial" w:hAnsi="Verdana" w:cs="Arial"/>
        </w:rPr>
      </w:pPr>
      <w:r w:rsidRPr="00104A4A">
        <w:rPr>
          <w:rFonts w:ascii="Verdana" w:eastAsia="Arial" w:hAnsi="Verdana" w:cs="Arial"/>
        </w:rPr>
        <w:t>El artículo 5 de la Ley 1150 de 2007, además de consagrar un criterio más claro, y, de paso, reducir la discrecionalidad de la Administración, fijó un ámbito temporal para la subsanación de las ofertas: “</w:t>
      </w:r>
      <w:r w:rsidRPr="00104A4A">
        <w:rPr>
          <w:rFonts w:ascii="Verdana" w:eastAsia="Arial" w:hAnsi="Verdana" w:cs="Arial"/>
          <w:i/>
        </w:rPr>
        <w:t>en cualquier momento, hasta la adjudicación</w:t>
      </w:r>
      <w:r w:rsidRPr="00104A4A">
        <w:rPr>
          <w:rFonts w:ascii="Verdana" w:eastAsia="Arial" w:hAnsi="Verdana" w:cs="Arial"/>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5334EABB" w14:textId="77777777" w:rsidR="00E271FC" w:rsidRPr="00104A4A" w:rsidRDefault="00E271FC" w:rsidP="00E271FC">
      <w:pPr>
        <w:spacing w:after="0" w:line="240" w:lineRule="auto"/>
        <w:jc w:val="both"/>
        <w:rPr>
          <w:rFonts w:ascii="Verdana" w:eastAsia="Arial" w:hAnsi="Verdana" w:cs="Arial"/>
        </w:rPr>
      </w:pPr>
    </w:p>
    <w:p w14:paraId="301DF82D" w14:textId="77777777" w:rsidR="00E271FC" w:rsidRPr="00104A4A" w:rsidRDefault="00E271FC" w:rsidP="00E271FC">
      <w:pPr>
        <w:spacing w:after="0" w:line="240" w:lineRule="auto"/>
        <w:ind w:left="709" w:right="709"/>
        <w:jc w:val="both"/>
        <w:rPr>
          <w:rFonts w:ascii="Verdana" w:eastAsia="Arial" w:hAnsi="Verdana" w:cs="Arial"/>
          <w:sz w:val="20"/>
          <w:szCs w:val="20"/>
        </w:rPr>
      </w:pPr>
      <w:r w:rsidRPr="00104A4A">
        <w:rPr>
          <w:rFonts w:ascii="Verdana" w:eastAsia="Arial" w:hAnsi="Verdana" w:cs="Arial"/>
          <w:sz w:val="20"/>
          <w:szCs w:val="20"/>
        </w:rPr>
        <w:lastRenderedPageBreak/>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104A4A">
        <w:rPr>
          <w:rFonts w:ascii="Verdana" w:eastAsia="Arial" w:hAnsi="Verdana" w:cs="Arial"/>
          <w:sz w:val="20"/>
          <w:szCs w:val="20"/>
          <w:vertAlign w:val="superscript"/>
        </w:rPr>
        <w:footnoteReference w:id="9"/>
      </w:r>
      <w:r w:rsidRPr="00104A4A">
        <w:rPr>
          <w:rFonts w:ascii="Verdana" w:eastAsia="Arial" w:hAnsi="Verdana" w:cs="Arial"/>
          <w:sz w:val="20"/>
          <w:szCs w:val="20"/>
        </w:rPr>
        <w:t>.</w:t>
      </w:r>
    </w:p>
    <w:p w14:paraId="08C6B3F0" w14:textId="77777777" w:rsidR="00E271FC" w:rsidRPr="00104A4A" w:rsidRDefault="00E271FC" w:rsidP="00E271FC">
      <w:pPr>
        <w:spacing w:after="0" w:line="240" w:lineRule="auto"/>
        <w:ind w:left="709" w:right="709"/>
        <w:jc w:val="both"/>
        <w:rPr>
          <w:rFonts w:ascii="Verdana" w:eastAsia="Arial" w:hAnsi="Verdana" w:cs="Arial"/>
          <w:sz w:val="20"/>
          <w:szCs w:val="20"/>
        </w:rPr>
      </w:pPr>
    </w:p>
    <w:p w14:paraId="49F1ACA5" w14:textId="77777777" w:rsidR="00E271FC" w:rsidRDefault="00E271FC" w:rsidP="00E271FC">
      <w:pPr>
        <w:pBdr>
          <w:top w:val="nil"/>
          <w:left w:val="nil"/>
          <w:bottom w:val="nil"/>
          <w:right w:val="nil"/>
          <w:between w:val="nil"/>
        </w:pBdr>
        <w:tabs>
          <w:tab w:val="left" w:pos="284"/>
        </w:tabs>
        <w:spacing w:after="0" w:line="276" w:lineRule="auto"/>
        <w:ind w:firstLine="709"/>
        <w:contextualSpacing/>
        <w:jc w:val="both"/>
        <w:rPr>
          <w:rFonts w:ascii="Verdana" w:eastAsia="Arial" w:hAnsi="Verdana" w:cs="Arial"/>
        </w:rPr>
      </w:pPr>
      <w:r w:rsidRPr="00104A4A">
        <w:rPr>
          <w:rFonts w:ascii="Verdana" w:eastAsia="Arial" w:hAnsi="Verdana" w:cs="Arial"/>
        </w:rPr>
        <w:t>Esa interpretación fue compartida por la Agencia Nacional de Contratación Pública – Colombia Compra Eficiente, pues en la Circular Externa Única</w:t>
      </w:r>
      <w:r w:rsidRPr="00104A4A">
        <w:rPr>
          <w:rStyle w:val="Refdenotaalpie"/>
          <w:rFonts w:ascii="Verdana" w:eastAsia="Arial" w:hAnsi="Verdana" w:cs="Arial"/>
        </w:rPr>
        <w:footnoteReference w:id="10"/>
      </w:r>
      <w:r w:rsidRPr="00104A4A">
        <w:rPr>
          <w:rFonts w:ascii="Verdana" w:eastAsia="Arial" w:hAnsi="Verdana" w:cs="Arial"/>
        </w:rPr>
        <w:t xml:space="preserve"> se había precisado que, si durante un proceso de contratación hay proponentes que no acreditaron en sus ofertas requisitos que no afectan la asignación de puntaje o la comparación de estas, la entidad estatal deberá indicarlo en el informe de evaluación y advertir que la correspondiente oferta no será evaluada hasta que se subsane.</w:t>
      </w:r>
    </w:p>
    <w:p w14:paraId="57790118" w14:textId="77777777" w:rsidR="00E271FC" w:rsidRPr="00104A4A" w:rsidRDefault="00E271FC" w:rsidP="00E271FC">
      <w:pPr>
        <w:pBdr>
          <w:top w:val="nil"/>
          <w:left w:val="nil"/>
          <w:bottom w:val="nil"/>
          <w:right w:val="nil"/>
          <w:between w:val="nil"/>
        </w:pBdr>
        <w:tabs>
          <w:tab w:val="left" w:pos="284"/>
        </w:tabs>
        <w:spacing w:after="0" w:line="276" w:lineRule="auto"/>
        <w:ind w:firstLine="709"/>
        <w:contextualSpacing/>
        <w:jc w:val="both"/>
        <w:rPr>
          <w:rFonts w:ascii="Verdana" w:eastAsia="Arial" w:hAnsi="Verdana" w:cs="Arial"/>
        </w:rPr>
      </w:pPr>
    </w:p>
    <w:p w14:paraId="582BD6AD" w14:textId="77777777" w:rsidR="00E271FC" w:rsidRDefault="00E271FC" w:rsidP="00E271FC">
      <w:pPr>
        <w:pBdr>
          <w:top w:val="nil"/>
          <w:left w:val="nil"/>
          <w:bottom w:val="nil"/>
          <w:right w:val="nil"/>
          <w:between w:val="nil"/>
        </w:pBdr>
        <w:tabs>
          <w:tab w:val="left" w:pos="284"/>
        </w:tabs>
        <w:spacing w:before="120" w:after="0" w:line="276" w:lineRule="auto"/>
        <w:ind w:firstLine="709"/>
        <w:contextualSpacing/>
        <w:jc w:val="both"/>
        <w:rPr>
          <w:rFonts w:ascii="Verdana" w:eastAsia="Arial" w:hAnsi="Verdana" w:cs="Arial"/>
        </w:rPr>
      </w:pPr>
      <w:r w:rsidRPr="00104A4A">
        <w:rPr>
          <w:rFonts w:ascii="Verdana" w:eastAsia="Arial" w:hAnsi="Verdana" w:cs="Arial"/>
        </w:rPr>
        <w:t xml:space="preserve">En un </w:t>
      </w:r>
      <w:r w:rsidRPr="00104A4A">
        <w:rPr>
          <w:rFonts w:ascii="Verdana" w:eastAsia="Arial" w:hAnsi="Verdana" w:cs="Arial"/>
          <w:i/>
        </w:rPr>
        <w:t>cuarto momento</w:t>
      </w:r>
      <w:r w:rsidRPr="00104A4A">
        <w:rPr>
          <w:rFonts w:ascii="Verdana" w:eastAsia="Arial" w:hAnsi="Verdana" w:cs="Arial"/>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w:t>
      </w:r>
      <w:r w:rsidRPr="004C47DE">
        <w:rPr>
          <w:rFonts w:ascii="Verdana" w:eastAsia="Arial" w:hAnsi="Verdana" w:cs="Arial"/>
        </w:rPr>
        <w:t xml:space="preserve">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w:t>
      </w:r>
      <w:r w:rsidRPr="004C47DE">
        <w:rPr>
          <w:rFonts w:ascii="Verdana" w:eastAsia="Arial" w:hAnsi="Verdana" w:cs="Arial"/>
        </w:rPr>
        <w:lastRenderedPageBreak/>
        <w:t xml:space="preserve">proponentes no podrán acreditar circunstancias ocurridas con posterioridad al cierre del proceso”. </w:t>
      </w:r>
    </w:p>
    <w:p w14:paraId="24D78656" w14:textId="77777777" w:rsidR="00E271FC" w:rsidRDefault="00E271FC" w:rsidP="00E271FC">
      <w:pPr>
        <w:pBdr>
          <w:top w:val="nil"/>
          <w:left w:val="nil"/>
          <w:bottom w:val="nil"/>
          <w:right w:val="nil"/>
          <w:between w:val="nil"/>
        </w:pBdr>
        <w:tabs>
          <w:tab w:val="left" w:pos="284"/>
        </w:tabs>
        <w:spacing w:before="120" w:after="0" w:line="276" w:lineRule="auto"/>
        <w:ind w:firstLine="709"/>
        <w:contextualSpacing/>
        <w:jc w:val="both"/>
        <w:rPr>
          <w:rFonts w:ascii="Verdana" w:eastAsia="Arial" w:hAnsi="Verdana" w:cs="Arial"/>
        </w:rPr>
      </w:pPr>
    </w:p>
    <w:p w14:paraId="7B4962C3" w14:textId="77777777" w:rsidR="00E271FC" w:rsidRDefault="00E271FC" w:rsidP="00E271FC">
      <w:pPr>
        <w:pBdr>
          <w:top w:val="nil"/>
          <w:left w:val="nil"/>
          <w:bottom w:val="nil"/>
          <w:right w:val="nil"/>
          <w:between w:val="nil"/>
        </w:pBdr>
        <w:tabs>
          <w:tab w:val="left" w:pos="284"/>
        </w:tabs>
        <w:spacing w:before="120" w:after="0" w:line="276" w:lineRule="auto"/>
        <w:ind w:firstLine="709"/>
        <w:contextualSpacing/>
        <w:jc w:val="both"/>
        <w:rPr>
          <w:rFonts w:ascii="Verdana" w:eastAsia="Arial" w:hAnsi="Verdana" w:cs="Arial"/>
        </w:rPr>
      </w:pPr>
      <w:r>
        <w:rPr>
          <w:rFonts w:ascii="Verdana" w:eastAsia="Arial" w:hAnsi="Verdana" w:cs="Arial"/>
        </w:rPr>
        <w:t xml:space="preserve"> </w:t>
      </w:r>
      <w:r w:rsidRPr="004C47DE">
        <w:rPr>
          <w:rFonts w:ascii="Verdana" w:eastAsia="Arial" w:hAnsi="Verdana" w:cs="Arial"/>
        </w:rPr>
        <w:t>Como puede observarse, esta norma: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w:t>
      </w:r>
      <w:r>
        <w:rPr>
          <w:rFonts w:ascii="Verdana" w:eastAsia="Arial" w:hAnsi="Verdana" w:cs="Arial"/>
        </w:rPr>
        <w:t xml:space="preserve"> </w:t>
      </w:r>
      <w:r w:rsidRPr="004C47DE">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495EC4A8" w14:textId="77777777" w:rsidR="00E271FC" w:rsidRPr="00456836" w:rsidRDefault="00E271FC" w:rsidP="00E271FC">
      <w:pPr>
        <w:pBdr>
          <w:top w:val="nil"/>
          <w:left w:val="nil"/>
          <w:bottom w:val="nil"/>
          <w:right w:val="nil"/>
          <w:between w:val="nil"/>
        </w:pBdr>
        <w:tabs>
          <w:tab w:val="left" w:pos="284"/>
        </w:tabs>
        <w:spacing w:before="120" w:after="0" w:line="276" w:lineRule="auto"/>
        <w:ind w:firstLine="709"/>
        <w:contextualSpacing/>
        <w:jc w:val="both"/>
        <w:rPr>
          <w:rFonts w:ascii="Verdana" w:eastAsia="Arial" w:hAnsi="Verdana" w:cs="Arial"/>
        </w:rPr>
      </w:pPr>
    </w:p>
    <w:p w14:paraId="53AB3793" w14:textId="77777777" w:rsidR="00E271FC" w:rsidRDefault="00E271FC" w:rsidP="00E271FC">
      <w:pPr>
        <w:spacing w:line="276" w:lineRule="auto"/>
        <w:jc w:val="both"/>
        <w:textAlignment w:val="baseline"/>
        <w:rPr>
          <w:rFonts w:ascii="Verdana" w:eastAsia="Arial" w:hAnsi="Verdana" w:cs="Arial"/>
        </w:rPr>
      </w:pPr>
      <w:r>
        <w:rPr>
          <w:rFonts w:ascii="Verdana" w:hAnsi="Verdana" w:cs="Arial"/>
          <w:lang w:eastAsia="es-CO"/>
        </w:rPr>
        <w:t xml:space="preserve">iii. </w:t>
      </w:r>
      <w:r w:rsidRPr="004B1759">
        <w:rPr>
          <w:rFonts w:ascii="Verdana" w:eastAsia="Arial" w:hAnsi="Verdana" w:cs="Arial"/>
        </w:rPr>
        <w:t>En ese contexto, y con el fin de dar respuesta al problema jurídico planteado, resulta necesario diferenciar dos situaciones. En primer lugar, se encuentra la facultad de la entidad estatal de modificar los pliegos de condiciones o sus documentos equivalentes, lo cual, como se explicó anteriormente, se realiza a través de adendas. Estas constituyen el mecanismo mediante el cual la entidad puede ajustar o precisar las reglas del proceso de selección. No obstante, dicha facultad se encuentra sujeta a límites temporales y materiales establecidos en la normativa aplicable, los cuales determinan hasta qué momento del proceso pueden expedirse y sobre qué aspectos pueden recaer.</w:t>
      </w:r>
    </w:p>
    <w:p w14:paraId="6A7FD45F" w14:textId="77777777" w:rsidR="00E271FC" w:rsidRPr="00ED764E" w:rsidRDefault="00E271FC" w:rsidP="00E271FC">
      <w:pPr>
        <w:spacing w:line="276" w:lineRule="auto"/>
        <w:jc w:val="both"/>
        <w:textAlignment w:val="baseline"/>
        <w:rPr>
          <w:rFonts w:ascii="Verdana" w:hAnsi="Verdana" w:cs="Arial"/>
          <w:lang w:eastAsia="es-CO"/>
        </w:rPr>
      </w:pPr>
      <w:r>
        <w:rPr>
          <w:rFonts w:ascii="Verdana" w:hAnsi="Verdana" w:cs="Arial"/>
          <w:lang w:eastAsia="es-CO"/>
        </w:rPr>
        <w:tab/>
      </w:r>
      <w:r w:rsidRPr="00E73F2E">
        <w:rPr>
          <w:rFonts w:ascii="Verdana" w:hAnsi="Verdana" w:cs="Arial"/>
          <w:lang w:eastAsia="es-CO"/>
        </w:rPr>
        <w:t xml:space="preserve">En segundo lugar, es preciso señalar que la </w:t>
      </w:r>
      <w:r>
        <w:rPr>
          <w:rFonts w:ascii="Verdana" w:hAnsi="Verdana" w:cs="Arial"/>
          <w:lang w:eastAsia="es-CO"/>
        </w:rPr>
        <w:t>E</w:t>
      </w:r>
      <w:r w:rsidRPr="00E73F2E">
        <w:rPr>
          <w:rFonts w:ascii="Verdana" w:hAnsi="Verdana" w:cs="Arial"/>
          <w:lang w:eastAsia="es-CO"/>
        </w:rPr>
        <w:t xml:space="preserve">ntidad </w:t>
      </w:r>
      <w:r>
        <w:rPr>
          <w:rFonts w:ascii="Verdana" w:hAnsi="Verdana" w:cs="Arial"/>
          <w:lang w:eastAsia="es-CO"/>
        </w:rPr>
        <w:t>E</w:t>
      </w:r>
      <w:r w:rsidRPr="00E73F2E">
        <w:rPr>
          <w:rFonts w:ascii="Verdana" w:hAnsi="Verdana" w:cs="Arial"/>
          <w:lang w:eastAsia="es-CO"/>
        </w:rPr>
        <w:t xml:space="preserve">statal no tiene la potestad de modificar o reformar las ofertas presentadas por los proponentes, toda vez que estas corresponden exclusivamente a la voluntad de quienes participan en el proceso de selección. No obstante, en ejercicio de sus funciones de verificación, la entidad sí puede solicitar aclaraciones o subsanaciones cuando existan dudas sobre la información presentada o cuando no se encuentren acreditados determinados requisitos. En relación con las subsanaciones, estas se encuentran sujetas igualmente a límites materiales y temporales, en la medida en que únicamente pueden solicitarse respecto de requisitos que no sean objeto de ponderación ni otorguen puntaje, y siempre que se trate de </w:t>
      </w:r>
      <w:r w:rsidRPr="00ED764E">
        <w:rPr>
          <w:rFonts w:ascii="Verdana" w:hAnsi="Verdana" w:cs="Arial"/>
          <w:lang w:eastAsia="es-CO"/>
        </w:rPr>
        <w:lastRenderedPageBreak/>
        <w:t>circunstancias que existían con anterioridad al cierre del proceso. En ese sentido, las subsanaciones no pueden implicar la mejora, modificación o complementación sustancial de la oferta presentada.</w:t>
      </w:r>
    </w:p>
    <w:p w14:paraId="450335C6" w14:textId="77777777" w:rsidR="00E271FC" w:rsidRPr="00ED764E" w:rsidRDefault="00E271FC" w:rsidP="00E271FC">
      <w:pPr>
        <w:shd w:val="clear" w:color="auto" w:fill="FFFFFF"/>
        <w:spacing w:before="120" w:after="120" w:line="276" w:lineRule="auto"/>
        <w:ind w:right="51" w:firstLine="709"/>
        <w:jc w:val="both"/>
        <w:rPr>
          <w:rFonts w:ascii="Verdana" w:eastAsia="Times New Roman" w:hAnsi="Verdana" w:cs="Times New Roman"/>
          <w:lang w:eastAsia="es-ES"/>
        </w:rPr>
      </w:pPr>
      <w:bookmarkStart w:id="3" w:name="_Hlk102983874"/>
      <w:bookmarkStart w:id="4" w:name="_Hlk102388095"/>
      <w:r w:rsidRPr="00ED764E">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ED764E">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3"/>
      <w:bookmarkEnd w:id="4"/>
    </w:p>
    <w:p w14:paraId="2732D109" w14:textId="77777777" w:rsidR="00E271FC" w:rsidRPr="003973C5" w:rsidRDefault="00E271FC" w:rsidP="00E271FC">
      <w:pPr>
        <w:spacing w:after="0" w:line="276" w:lineRule="auto"/>
        <w:ind w:firstLine="709"/>
        <w:jc w:val="both"/>
        <w:rPr>
          <w:rFonts w:ascii="Verdana" w:eastAsia="Times New Roman" w:hAnsi="Verdana" w:cs="Times New Roman"/>
          <w:lang w:eastAsia="es-ES"/>
        </w:rPr>
      </w:pPr>
    </w:p>
    <w:p w14:paraId="638A1385" w14:textId="77777777" w:rsidR="00E271FC" w:rsidRPr="003973C5" w:rsidRDefault="00E271FC" w:rsidP="00E271FC">
      <w:pPr>
        <w:spacing w:after="120" w:line="276" w:lineRule="auto"/>
        <w:jc w:val="both"/>
        <w:rPr>
          <w:rFonts w:ascii="Verdana" w:eastAsia="Century Gothic" w:hAnsi="Verdana" w:cs="Century Gothic"/>
          <w:b/>
          <w:lang w:val="es-ES"/>
        </w:rPr>
      </w:pPr>
      <w:r w:rsidRPr="003973C5">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71FC" w:rsidRPr="00560477" w14:paraId="23C5C800" w14:textId="77777777" w:rsidTr="001B1664">
        <w:trPr>
          <w:trHeight w:val="494"/>
        </w:trPr>
        <w:tc>
          <w:tcPr>
            <w:tcW w:w="8647" w:type="dxa"/>
          </w:tcPr>
          <w:p w14:paraId="431BB992" w14:textId="77777777" w:rsidR="00E271FC" w:rsidRPr="00C46B0F"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Ley 80 de 1993. Artículos 24, 25, 30</w:t>
            </w:r>
          </w:p>
          <w:p w14:paraId="19AAF13B" w14:textId="77777777" w:rsidR="00E271FC" w:rsidRPr="00C46B0F"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Ley 1150 de 2007. Artículo 5</w:t>
            </w:r>
          </w:p>
          <w:p w14:paraId="4DF51A15" w14:textId="77777777" w:rsidR="00E271FC" w:rsidRPr="00C46B0F"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Ley 1474 de 2011. Artículo 89</w:t>
            </w:r>
          </w:p>
          <w:p w14:paraId="4EF67391" w14:textId="77777777" w:rsidR="00E271FC" w:rsidRPr="00C46B0F"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Ley 1882 de 2018. Artículo 5</w:t>
            </w:r>
          </w:p>
          <w:p w14:paraId="5FBC56A5" w14:textId="77777777" w:rsidR="00E271FC" w:rsidRPr="00C46B0F"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 xml:space="preserve">Decreto 1082 de 2015. Artículo 2.2.1.1.2.2.1, 2.2.1.1.2.1.3, </w:t>
            </w:r>
          </w:p>
          <w:p w14:paraId="5754D108" w14:textId="77777777" w:rsidR="00E271FC" w:rsidRPr="00C46B0F"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Consejo De Estado. Sección Tercera. Sentencia de 30 de noviembre de 2006. Exp. 18.059. M.P. Alier Hernández Enríquez.</w:t>
            </w:r>
          </w:p>
          <w:p w14:paraId="6BE3F89E" w14:textId="77777777" w:rsidR="00E271FC" w:rsidRPr="00DC452E" w:rsidRDefault="00E271FC" w:rsidP="001B1664">
            <w:pPr>
              <w:widowControl w:val="0"/>
              <w:numPr>
                <w:ilvl w:val="0"/>
                <w:numId w:val="16"/>
              </w:numPr>
              <w:autoSpaceDE w:val="0"/>
              <w:autoSpaceDN w:val="0"/>
              <w:spacing w:line="276" w:lineRule="auto"/>
              <w:jc w:val="both"/>
              <w:rPr>
                <w:rFonts w:ascii="Verdana" w:eastAsia="Arial MT" w:hAnsi="Verdana" w:cs="Arial"/>
                <w:bCs/>
                <w:lang w:eastAsia="es-ES" w:bidi="es-ES"/>
              </w:rPr>
            </w:pPr>
            <w:r w:rsidRPr="00C46B0F">
              <w:rPr>
                <w:rFonts w:ascii="Verdana" w:eastAsia="Arial MT" w:hAnsi="Verdana" w:cs="Arial"/>
                <w:bCs/>
                <w:lang w:eastAsia="es-ES" w:bidi="es-ES"/>
              </w:rPr>
              <w:t xml:space="preserve">Consejo de Estado. Sala de lo Contencioso Administrativo Sección Tercera, Subsección C. Sentencia del 26 de febrero de 2014. Radicado: 1999-00113-01 (25.804). C.P. Enrique Gil Botero. </w:t>
            </w:r>
          </w:p>
        </w:tc>
      </w:tr>
    </w:tbl>
    <w:p w14:paraId="7596728D" w14:textId="77777777" w:rsidR="00E271FC" w:rsidRPr="00560477" w:rsidRDefault="00E271FC" w:rsidP="00E271FC">
      <w:pPr>
        <w:widowControl w:val="0"/>
        <w:autoSpaceDE w:val="0"/>
        <w:autoSpaceDN w:val="0"/>
        <w:spacing w:after="0" w:line="276" w:lineRule="auto"/>
        <w:jc w:val="both"/>
        <w:rPr>
          <w:rFonts w:ascii="Verdana" w:hAnsi="Verdana" w:cs="Arial"/>
          <w:color w:val="7030A0"/>
          <w:lang w:val="es-ES"/>
        </w:rPr>
      </w:pPr>
    </w:p>
    <w:p w14:paraId="27B58129" w14:textId="77777777" w:rsidR="00E271FC" w:rsidRPr="003D0AC5" w:rsidRDefault="00E271FC" w:rsidP="00E271FC">
      <w:pPr>
        <w:tabs>
          <w:tab w:val="left" w:pos="142"/>
          <w:tab w:val="left" w:pos="284"/>
        </w:tabs>
        <w:spacing w:after="0" w:line="276" w:lineRule="auto"/>
        <w:jc w:val="both"/>
        <w:rPr>
          <w:rFonts w:ascii="Verdana" w:eastAsia="Century Gothic" w:hAnsi="Verdana" w:cs="Century Gothic"/>
          <w:b/>
          <w:lang w:val="es-ES"/>
        </w:rPr>
      </w:pPr>
      <w:r w:rsidRPr="002A3C8E">
        <w:rPr>
          <w:rFonts w:ascii="Verdana" w:eastAsia="Century Gothic" w:hAnsi="Verdana" w:cs="Century Gothic"/>
          <w:b/>
          <w:lang w:val="es-ES"/>
        </w:rPr>
        <w:t xml:space="preserve">5. Doctrina </w:t>
      </w:r>
      <w:r w:rsidRPr="003D0AC5">
        <w:rPr>
          <w:rFonts w:ascii="Verdana" w:eastAsia="Century Gothic" w:hAnsi="Verdana" w:cs="Century Gothic"/>
          <w:b/>
          <w:lang w:val="es-ES"/>
        </w:rPr>
        <w:t>de la Agencia Nacional de Contratación Pública:</w:t>
      </w:r>
    </w:p>
    <w:p w14:paraId="7928D822" w14:textId="77777777" w:rsidR="00E271FC" w:rsidRPr="00560477" w:rsidRDefault="00E271FC" w:rsidP="00E271FC">
      <w:pPr>
        <w:widowControl w:val="0"/>
        <w:autoSpaceDE w:val="0"/>
        <w:autoSpaceDN w:val="0"/>
        <w:spacing w:after="0" w:line="276" w:lineRule="auto"/>
        <w:jc w:val="both"/>
        <w:rPr>
          <w:rFonts w:ascii="Verdana" w:hAnsi="Verdana" w:cs="Arial"/>
          <w:color w:val="7030A0"/>
          <w:lang w:val="es-ES"/>
        </w:rPr>
      </w:pPr>
    </w:p>
    <w:p w14:paraId="2EF8932E" w14:textId="77777777" w:rsidR="00E271FC" w:rsidRDefault="00E271FC" w:rsidP="00E271FC">
      <w:pPr>
        <w:widowControl w:val="0"/>
        <w:autoSpaceDE w:val="0"/>
        <w:autoSpaceDN w:val="0"/>
        <w:spacing w:after="0" w:line="276" w:lineRule="auto"/>
        <w:jc w:val="both"/>
        <w:rPr>
          <w:rFonts w:ascii="Verdana" w:eastAsia="Calibri" w:hAnsi="Verdana" w:cs="Arial"/>
          <w:bCs/>
          <w:color w:val="000000" w:themeColor="text1"/>
          <w:lang w:eastAsia="es-ES_tradnl"/>
        </w:rPr>
      </w:pPr>
      <w:r w:rsidRPr="00B91ECF">
        <w:rPr>
          <w:rFonts w:ascii="Verdana" w:eastAsia="Calibri" w:hAnsi="Verdana" w:cs="Arial"/>
          <w:color w:val="000000" w:themeColor="text1"/>
          <w:lang w:val="es-ES"/>
        </w:rPr>
        <w:t xml:space="preserve">La Agencia Nacional de Contratación Pública – Colombia Compra Eficiente se ha referido </w:t>
      </w:r>
      <w:r w:rsidRPr="00B91ECF">
        <w:rPr>
          <w:rFonts w:ascii="Verdana" w:hAnsi="Verdana" w:cs="Arial"/>
          <w:color w:val="000000" w:themeColor="text1"/>
          <w:shd w:val="clear" w:color="auto" w:fill="FFFFFF"/>
        </w:rPr>
        <w:t xml:space="preserve">sobre la </w:t>
      </w:r>
      <w:r w:rsidRPr="00B91ECF">
        <w:rPr>
          <w:rStyle w:val="normaltextrun"/>
          <w:rFonts w:ascii="Verdana" w:hAnsi="Verdana" w:cs="Arial"/>
          <w:color w:val="000000" w:themeColor="text1"/>
          <w:shd w:val="clear" w:color="auto" w:fill="FFFFFF"/>
          <w:lang w:val="es-ES"/>
        </w:rPr>
        <w:t>modificación de los pliegos de condiciones a través de las adendas dentro de los procesos de selección en los conceptos</w:t>
      </w:r>
      <w:r w:rsidRPr="00B91ECF">
        <w:rPr>
          <w:rFonts w:ascii="Verdana" w:eastAsia="Aptos" w:hAnsi="Verdana" w:cs="Arial"/>
          <w:color w:val="000000" w:themeColor="text1"/>
          <w:shd w:val="clear" w:color="auto" w:fill="FFFFFF"/>
          <w:lang w:val="es-ES"/>
        </w:rPr>
        <w:t xml:space="preserve">, C-519 del 13 de septiembre de 2022, C-647 del 5 de octubre de 2022, C-705 de 25 de octubre </w:t>
      </w:r>
      <w:r w:rsidRPr="00B91ECF">
        <w:rPr>
          <w:rFonts w:ascii="Verdana" w:eastAsia="Aptos" w:hAnsi="Verdana" w:cs="Arial"/>
          <w:color w:val="000000" w:themeColor="text1"/>
          <w:shd w:val="clear" w:color="auto" w:fill="FFFFFF"/>
          <w:lang w:val="es-ES"/>
        </w:rPr>
        <w:lastRenderedPageBreak/>
        <w:t>de 2022, C-817 del 5 de diciembre de 2022, C-882 del 21 de diciembre de 2022, C-218 del 13 de julio de 2023</w:t>
      </w:r>
      <w:r w:rsidRPr="00B91ECF">
        <w:rPr>
          <w:rStyle w:val="normaltextrun"/>
          <w:rFonts w:ascii="Verdana" w:hAnsi="Verdana" w:cs="Calibri"/>
          <w:color w:val="000000" w:themeColor="text1"/>
          <w:shd w:val="clear" w:color="auto" w:fill="FFFFFF"/>
        </w:rPr>
        <w:t xml:space="preserve">, C- 383 del 20 de septiembre de 2023, </w:t>
      </w:r>
      <w:r w:rsidRPr="00B91ECF">
        <w:rPr>
          <w:rFonts w:ascii="Verdana" w:eastAsia="Aptos" w:hAnsi="Verdana" w:cs="Arial"/>
          <w:color w:val="000000" w:themeColor="text1"/>
          <w:shd w:val="clear" w:color="auto" w:fill="FFFFFF"/>
          <w:lang w:val="es-ES"/>
        </w:rPr>
        <w:t xml:space="preserve">C-299 del 21 de agosto de 2024, C-432 del 16 de septiembre de 2024, </w:t>
      </w:r>
      <w:r w:rsidRPr="00B91ECF">
        <w:rPr>
          <w:rStyle w:val="normaltextrun"/>
          <w:rFonts w:ascii="Verdana" w:hAnsi="Verdana" w:cs="Calibri"/>
          <w:color w:val="000000" w:themeColor="text1"/>
          <w:shd w:val="clear" w:color="auto" w:fill="FFFFFF"/>
        </w:rPr>
        <w:t>C-393 del 9 de septiembre de 2024, C-782 del 18 de noviembre de 2024, C-1020 del 27 de diciembre de 2024,</w:t>
      </w:r>
      <w:r w:rsidRPr="00B91ECF">
        <w:rPr>
          <w:rFonts w:ascii="Verdana" w:eastAsia="Aptos" w:hAnsi="Verdana" w:cs="Arial"/>
          <w:color w:val="000000" w:themeColor="text1"/>
          <w:shd w:val="clear" w:color="auto" w:fill="FFFFFF"/>
          <w:lang w:val="es-ES"/>
        </w:rPr>
        <w:t xml:space="preserve"> entre otros</w:t>
      </w:r>
      <w:r w:rsidRPr="00B91ECF">
        <w:rPr>
          <w:rStyle w:val="normaltextrun"/>
          <w:rFonts w:ascii="Verdana" w:hAnsi="Verdana" w:cs="Arial"/>
          <w:color w:val="000000" w:themeColor="text1"/>
          <w:shd w:val="clear" w:color="auto" w:fill="FFFFFF"/>
          <w:lang w:val="es-ES"/>
        </w:rPr>
        <w:t xml:space="preserve">. Con respecto al principio de publicidad y garantía en el SECOP II se pueden visualizar los conceptos </w:t>
      </w:r>
      <w:r w:rsidRPr="00B91ECF">
        <w:rPr>
          <w:rFonts w:ascii="Verdana" w:hAnsi="Verdana" w:cs="Arial"/>
          <w:color w:val="000000" w:themeColor="text1"/>
          <w:shd w:val="clear" w:color="auto" w:fill="FFFFFF"/>
          <w:lang w:val="es-ES_tradnl"/>
        </w:rPr>
        <w:t xml:space="preserve">C−068 del 22 de abril de 2021, C-185 del 29 de abril de 2021, C-472 del 6 de septiembre de 2021, C-723 del 19 de noviembre de 2024, </w:t>
      </w:r>
      <w:r w:rsidRPr="00B91ECF">
        <w:rPr>
          <w:rStyle w:val="normaltextrun"/>
          <w:rFonts w:ascii="Verdana" w:hAnsi="Verdana" w:cs="Arial"/>
          <w:color w:val="000000" w:themeColor="text1"/>
          <w:shd w:val="clear" w:color="auto" w:fill="FFFFFF"/>
          <w:lang w:val="es-ES"/>
        </w:rPr>
        <w:t xml:space="preserve">C-976 del 23 de enero de 2025, </w:t>
      </w:r>
      <w:r>
        <w:rPr>
          <w:rStyle w:val="normaltextrun"/>
          <w:rFonts w:ascii="Verdana" w:hAnsi="Verdana" w:cs="Arial"/>
          <w:color w:val="000000" w:themeColor="text1"/>
          <w:shd w:val="clear" w:color="auto" w:fill="FFFFFF"/>
          <w:lang w:val="es-ES"/>
        </w:rPr>
        <w:t xml:space="preserve">C-593 del 24 de junio de 2025, C-607 del 26 de junio de 2025, </w:t>
      </w:r>
      <w:r w:rsidRPr="00B91ECF">
        <w:rPr>
          <w:rStyle w:val="normaltextrun"/>
          <w:rFonts w:ascii="Verdana" w:hAnsi="Verdana" w:cs="Arial"/>
          <w:color w:val="000000" w:themeColor="text1"/>
          <w:shd w:val="clear" w:color="auto" w:fill="FFFFFF"/>
          <w:lang w:val="es-ES"/>
        </w:rPr>
        <w:t>entre otros</w:t>
      </w:r>
      <w:r w:rsidRPr="00B91ECF">
        <w:rPr>
          <w:rFonts w:ascii="Verdana" w:eastAsia="Calibri" w:hAnsi="Verdana" w:cs="Arial"/>
          <w:bCs/>
          <w:color w:val="000000" w:themeColor="text1"/>
          <w:lang w:eastAsia="es-ES_tradnl"/>
        </w:rPr>
        <w:t>.</w:t>
      </w:r>
    </w:p>
    <w:p w14:paraId="113304E2" w14:textId="77777777" w:rsidR="00E271FC" w:rsidRDefault="00E271FC" w:rsidP="00E271FC">
      <w:pPr>
        <w:spacing w:after="0" w:line="276" w:lineRule="auto"/>
        <w:jc w:val="both"/>
        <w:rPr>
          <w:rFonts w:ascii="Verdana" w:hAnsi="Verdana" w:cs="Arial"/>
          <w:color w:val="000000" w:themeColor="text1"/>
          <w:shd w:val="clear" w:color="auto" w:fill="FFFFFF"/>
          <w:lang w:val="es-ES"/>
        </w:rPr>
      </w:pPr>
    </w:p>
    <w:p w14:paraId="6D4F1C47" w14:textId="77777777" w:rsidR="00E271FC" w:rsidRPr="003D0AC5" w:rsidRDefault="00E271FC" w:rsidP="00E271FC">
      <w:pPr>
        <w:spacing w:after="0" w:line="276" w:lineRule="auto"/>
        <w:jc w:val="both"/>
        <w:rPr>
          <w:rFonts w:ascii="Verdana" w:hAnsi="Verdana"/>
          <w:color w:val="000000" w:themeColor="text1"/>
        </w:rPr>
      </w:pPr>
      <w:r w:rsidRPr="003D0AC5">
        <w:rPr>
          <w:rFonts w:ascii="Verdana" w:hAnsi="Verdana" w:cs="Arial"/>
          <w:color w:val="000000" w:themeColor="text1"/>
          <w:shd w:val="clear" w:color="auto" w:fill="FFFFFF"/>
          <w:lang w:val="es-ES"/>
        </w:rPr>
        <w:t>Estos</w:t>
      </w:r>
      <w:r w:rsidRPr="003D0AC5">
        <w:rPr>
          <w:rFonts w:ascii="Verdana" w:hAnsi="Verdana"/>
          <w:color w:val="000000" w:themeColor="text1"/>
          <w:lang w:val="es-ES"/>
        </w:rPr>
        <w:t xml:space="preserve"> y otros se encuentran disponibles para consulta en el Sistema de relatoría de la Agencia, al cual se puede acceder a través del siguiente enlace:</w:t>
      </w:r>
      <w:r w:rsidRPr="003D0AC5">
        <w:rPr>
          <w:rFonts w:ascii="Verdana" w:hAnsi="Verdana" w:cs="Arial"/>
          <w:color w:val="000000" w:themeColor="text1"/>
          <w:shd w:val="clear" w:color="auto" w:fill="FFFFFF"/>
          <w:lang w:val="es-ES"/>
        </w:rPr>
        <w:t xml:space="preserve"> </w:t>
      </w:r>
      <w:hyperlink r:id="rId12" w:history="1">
        <w:r w:rsidRPr="003D0AC5">
          <w:rPr>
            <w:rStyle w:val="Hipervnculo"/>
            <w:rFonts w:ascii="Verdana" w:hAnsi="Verdana" w:cs="Arial"/>
            <w:shd w:val="clear" w:color="auto" w:fill="FFFFFF"/>
            <w:lang w:val="es-ES"/>
          </w:rPr>
          <w:t>https://relatoria.colombiacompra.gov.co/busqueda/conceptos</w:t>
        </w:r>
      </w:hyperlink>
    </w:p>
    <w:p w14:paraId="0EFCC941" w14:textId="77777777" w:rsidR="00E271FC" w:rsidRPr="003D0AC5" w:rsidRDefault="00E271FC" w:rsidP="00E271FC">
      <w:pPr>
        <w:spacing w:after="0" w:line="276" w:lineRule="auto"/>
        <w:jc w:val="both"/>
        <w:rPr>
          <w:rFonts w:ascii="Verdana" w:hAnsi="Verdana"/>
          <w:color w:val="000000" w:themeColor="text1"/>
        </w:rPr>
      </w:pPr>
    </w:p>
    <w:p w14:paraId="12C18707" w14:textId="77777777" w:rsidR="00E271FC" w:rsidRPr="00560477" w:rsidRDefault="00E271FC" w:rsidP="00E271FC">
      <w:pPr>
        <w:jc w:val="both"/>
        <w:rPr>
          <w:rFonts w:ascii="Verdana" w:hAnsi="Verdana"/>
          <w:color w:val="7030A0"/>
        </w:rPr>
      </w:pPr>
      <w:r w:rsidRPr="003D0AC5">
        <w:rPr>
          <w:rFonts w:ascii="Verdana" w:hAnsi="Verdana"/>
          <w:color w:val="000000" w:themeColor="text1"/>
        </w:rPr>
        <w:t xml:space="preserve">La sostenibilidad no es una opción, es una obligación. Por ello, la Agencia Nacional de Contratación Pública –Colombia Compra Eficiente– te invita a realizar el </w:t>
      </w:r>
      <w:r w:rsidRPr="003D0AC5">
        <w:rPr>
          <w:rFonts w:ascii="Verdana" w:hAnsi="Verdana"/>
          <w:b/>
          <w:bCs/>
          <w:color w:val="000000" w:themeColor="text1"/>
        </w:rPr>
        <w:t>Curso de Contratación Pública Sostenible y Socialmente Responsable</w:t>
      </w:r>
      <w:r w:rsidRPr="003D0AC5">
        <w:rPr>
          <w:rFonts w:ascii="Verdana" w:hAnsi="Verdana"/>
          <w:color w:val="000000" w:themeColor="text1"/>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560477">
        <w:rPr>
          <w:rFonts w:ascii="Verdana" w:hAnsi="Verdana"/>
          <w:color w:val="7030A0"/>
        </w:rPr>
        <w:br/>
      </w:r>
      <w:hyperlink r:id="rId13" w:tgtFrame="_new" w:history="1">
        <w:r w:rsidRPr="003D0AC5">
          <w:rPr>
            <w:rStyle w:val="Hipervnculo"/>
            <w:rFonts w:ascii="Verdana" w:hAnsi="Verdana"/>
          </w:rPr>
          <w:t>https://formacionvirtual.colombiacompra.gov.co/mod/page/view.php?id=3718</w:t>
        </w:r>
      </w:hyperlink>
    </w:p>
    <w:p w14:paraId="2565C4CD" w14:textId="77777777" w:rsidR="00E271FC" w:rsidRPr="00560477" w:rsidRDefault="00E271FC" w:rsidP="00E271FC">
      <w:pPr>
        <w:jc w:val="both"/>
        <w:rPr>
          <w:rFonts w:ascii="Verdana" w:hAnsi="Verdana"/>
          <w:color w:val="7030A0"/>
        </w:rPr>
      </w:pPr>
      <w:r w:rsidRPr="003D0AC5">
        <w:rPr>
          <w:rFonts w:ascii="Verdana" w:hAnsi="Verdana"/>
        </w:rPr>
        <w:t xml:space="preserve">De otro lado, te contamos que esta Agencia ha da un paso decisivo en la estandarización y modernización del </w:t>
      </w:r>
      <w:r w:rsidRPr="003D0AC5">
        <w:rPr>
          <w:rFonts w:ascii="Verdana" w:hAnsi="Verdana"/>
          <w:b/>
          <w:bCs/>
        </w:rPr>
        <w:t>sector  social</w:t>
      </w:r>
      <w:r w:rsidRPr="003D0AC5">
        <w:rPr>
          <w:rFonts w:ascii="Verdana" w:hAnsi="Verdana"/>
        </w:rPr>
        <w:t xml:space="preserve"> con la expedición de las </w:t>
      </w:r>
      <w:r w:rsidRPr="003D0AC5">
        <w:rPr>
          <w:rFonts w:ascii="Verdana" w:hAnsi="Verdana"/>
          <w:b/>
          <w:bCs/>
        </w:rPr>
        <w:t>Resoluciones 539, 540, 541, 952 y 953 de 2025</w:t>
      </w:r>
      <w:r w:rsidRPr="003D0AC5">
        <w:rPr>
          <w:rFonts w:ascii="Verdana" w:hAnsi="Verdana"/>
        </w:rPr>
        <w:t xml:space="preserve">, </w:t>
      </w:r>
      <w:r w:rsidRPr="003D0AC5">
        <w:rPr>
          <w:rFonts w:ascii="Verdana" w:hAnsi="Verdana"/>
          <w:b/>
          <w:bCs/>
        </w:rPr>
        <w:t>mediante las cuales adoptó Documentos Tipo</w:t>
      </w:r>
      <w:r w:rsidRPr="003D0AC5">
        <w:rPr>
          <w:rFonts w:ascii="Verdana" w:hAnsi="Verdana"/>
        </w:rPr>
        <w:t xml:space="preserve"> para las modalidades de selección de</w:t>
      </w:r>
      <w:r w:rsidRPr="003D0AC5">
        <w:rPr>
          <w:rFonts w:ascii="Verdana" w:hAnsi="Verdana"/>
          <w:b/>
          <w:bCs/>
        </w:rPr>
        <w:t xml:space="preserve"> licitación pública (versión 2), selección abreviada de menor cuantía, mínima cuantía, consultoría e interventoría</w:t>
      </w:r>
      <w:r w:rsidRPr="003D0AC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D0AC5">
          <w:rPr>
            <w:rStyle w:val="Hipervnculo"/>
            <w:rFonts w:ascii="Verdana" w:hAnsi="Verdana"/>
          </w:rPr>
          <w:t>https://www.colombiacompra.gov.co/normativa-y-relatoria/documentos-tipo</w:t>
        </w:r>
      </w:hyperlink>
    </w:p>
    <w:p w14:paraId="4C3BBB39" w14:textId="77777777" w:rsidR="00E271FC" w:rsidRPr="00560477" w:rsidRDefault="00E271FC" w:rsidP="00E271FC">
      <w:pPr>
        <w:jc w:val="both"/>
        <w:rPr>
          <w:rFonts w:ascii="Verdana" w:hAnsi="Verdana"/>
          <w:color w:val="7030A0"/>
        </w:rPr>
      </w:pPr>
      <w:r w:rsidRPr="00AD4284">
        <w:rPr>
          <w:rFonts w:ascii="Verdana" w:hAnsi="Verdana"/>
          <w:color w:val="000000" w:themeColor="text1"/>
        </w:rPr>
        <w:t xml:space="preserve">Si quieres conocer más sobre la aplicación de Documentos Tipo puedes consultar la última versión de la </w:t>
      </w:r>
      <w:r w:rsidRPr="00AD4284">
        <w:rPr>
          <w:rFonts w:ascii="Verdana" w:hAnsi="Verdana"/>
          <w:b/>
          <w:bCs/>
          <w:color w:val="000000" w:themeColor="text1"/>
        </w:rPr>
        <w:t>Guía para la comprensión e implementación de los Documentos Tipo de obra pública de infraestructura de transporte</w:t>
      </w:r>
      <w:r w:rsidRPr="00AD4284">
        <w:rPr>
          <w:rFonts w:ascii="Verdana" w:hAnsi="Verdana"/>
          <w:color w:val="000000" w:themeColor="text1"/>
        </w:rPr>
        <w:t xml:space="preserve">. En esta actualización se incorporaron orientaciones prácticas dirigidas a entidades públicas, proveedores, organismos de control y demás interesados, con el </w:t>
      </w:r>
      <w:r w:rsidRPr="00AD4284">
        <w:rPr>
          <w:rFonts w:ascii="Verdana" w:hAnsi="Verdana"/>
          <w:color w:val="000000" w:themeColor="text1"/>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D4284">
        <w:rPr>
          <w:rFonts w:ascii="Verdana" w:hAnsi="Verdana"/>
          <w:color w:val="000000" w:themeColor="text1"/>
        </w:rPr>
        <w:br/>
      </w:r>
      <w:hyperlink r:id="rId15" w:tgtFrame="_new" w:history="1">
        <w:r w:rsidRPr="00AD428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A8A4FE0" w14:textId="77777777" w:rsidR="00E271FC" w:rsidRPr="00AD4284" w:rsidRDefault="00E271FC" w:rsidP="00E271FC">
      <w:pPr>
        <w:spacing w:after="0"/>
        <w:jc w:val="both"/>
        <w:rPr>
          <w:rFonts w:ascii="Verdana" w:hAnsi="Verdana" w:cs="Arial"/>
          <w:shd w:val="clear" w:color="auto" w:fill="FFFFFF"/>
        </w:rPr>
      </w:pPr>
      <w:r w:rsidRPr="00AD4284">
        <w:rPr>
          <w:rFonts w:ascii="Verdana" w:hAnsi="Verdana" w:cs="Arial"/>
          <w:shd w:val="clear" w:color="auto" w:fill="FFFFFF"/>
        </w:rPr>
        <w:t xml:space="preserve">Por último, lo invitamos a seguirnos en las redes sociales en las cuales se difunde información institucional: </w:t>
      </w:r>
    </w:p>
    <w:p w14:paraId="172719DF" w14:textId="77777777" w:rsidR="00E271FC" w:rsidRPr="00AD4284" w:rsidRDefault="00E271FC" w:rsidP="00E271FC">
      <w:pPr>
        <w:spacing w:after="0"/>
        <w:jc w:val="both"/>
        <w:rPr>
          <w:rFonts w:ascii="Verdana" w:hAnsi="Verdana" w:cs="Arial"/>
          <w:shd w:val="clear" w:color="auto" w:fill="FFFFFF"/>
        </w:rPr>
      </w:pPr>
    </w:p>
    <w:p w14:paraId="52183D27" w14:textId="77777777" w:rsidR="00E271FC" w:rsidRPr="00AD4284" w:rsidRDefault="00E271FC" w:rsidP="00E271FC">
      <w:pPr>
        <w:spacing w:after="0"/>
        <w:jc w:val="both"/>
        <w:rPr>
          <w:rFonts w:ascii="Verdana" w:hAnsi="Verdana" w:cs="Arial"/>
          <w:shd w:val="clear" w:color="auto" w:fill="FFFFFF"/>
        </w:rPr>
      </w:pPr>
      <w:r w:rsidRPr="00AD4284">
        <w:rPr>
          <w:rFonts w:ascii="Verdana" w:hAnsi="Verdana" w:cs="Arial"/>
          <w:shd w:val="clear" w:color="auto" w:fill="FFFFFF"/>
        </w:rPr>
        <w:t xml:space="preserve">Twitter: </w:t>
      </w:r>
      <w:r w:rsidRPr="00AD4284">
        <w:rPr>
          <w:rStyle w:val="Hipervnculo"/>
          <w:rFonts w:ascii="Verdana" w:hAnsi="Verdana"/>
        </w:rPr>
        <w:t>@colombiacompra</w:t>
      </w:r>
      <w:r w:rsidRPr="00AD4284">
        <w:rPr>
          <w:rFonts w:ascii="Verdana" w:hAnsi="Verdana" w:cs="Arial"/>
          <w:color w:val="0000FF"/>
          <w:shd w:val="clear" w:color="auto" w:fill="FFFFFF"/>
        </w:rPr>
        <w:t xml:space="preserve"> </w:t>
      </w:r>
    </w:p>
    <w:p w14:paraId="06EEE367" w14:textId="77777777" w:rsidR="00E271FC" w:rsidRPr="00AD4284" w:rsidRDefault="00E271FC" w:rsidP="00E271FC">
      <w:pPr>
        <w:spacing w:after="0"/>
        <w:jc w:val="both"/>
        <w:rPr>
          <w:rFonts w:ascii="Verdana" w:hAnsi="Verdana" w:cs="Arial"/>
          <w:shd w:val="clear" w:color="auto" w:fill="FFFFFF"/>
        </w:rPr>
      </w:pPr>
      <w:r w:rsidRPr="00AD4284">
        <w:rPr>
          <w:rFonts w:ascii="Verdana" w:hAnsi="Verdana" w:cs="Arial"/>
          <w:shd w:val="clear" w:color="auto" w:fill="FFFFFF"/>
        </w:rPr>
        <w:t>Facebook:</w:t>
      </w:r>
      <w:r w:rsidRPr="00AD4284">
        <w:rPr>
          <w:rStyle w:val="Hipervnculo"/>
          <w:rFonts w:ascii="Verdana" w:hAnsi="Verdana"/>
          <w:lang w:val="es-ES"/>
        </w:rPr>
        <w:t xml:space="preserve"> </w:t>
      </w:r>
      <w:r w:rsidRPr="00AD4284">
        <w:rPr>
          <w:rStyle w:val="Hipervnculo"/>
          <w:rFonts w:ascii="Verdana" w:hAnsi="Verdana"/>
        </w:rPr>
        <w:t>ColombiaCompraEficiente</w:t>
      </w:r>
    </w:p>
    <w:p w14:paraId="15969EEB" w14:textId="77777777" w:rsidR="00E271FC" w:rsidRPr="00AD4284" w:rsidRDefault="00E271FC" w:rsidP="00E271FC">
      <w:pPr>
        <w:spacing w:after="0"/>
        <w:jc w:val="both"/>
        <w:rPr>
          <w:rFonts w:ascii="Verdana" w:hAnsi="Verdana" w:cs="Arial"/>
          <w:color w:val="0000FF"/>
          <w:shd w:val="clear" w:color="auto" w:fill="FFFFFF"/>
        </w:rPr>
      </w:pPr>
      <w:r w:rsidRPr="00AD4284">
        <w:rPr>
          <w:rFonts w:ascii="Verdana" w:hAnsi="Verdana" w:cs="Arial"/>
          <w:shd w:val="clear" w:color="auto" w:fill="FFFFFF"/>
        </w:rPr>
        <w:t xml:space="preserve">LinkedIn: </w:t>
      </w:r>
      <w:r w:rsidRPr="00AD4284">
        <w:rPr>
          <w:rStyle w:val="Hipervnculo"/>
          <w:rFonts w:ascii="Verdana" w:hAnsi="Verdana"/>
        </w:rPr>
        <w:t>Agencia Nacional de Contratación Pública - Colombia Compra Eficiente</w:t>
      </w:r>
      <w:r w:rsidRPr="00AD4284">
        <w:rPr>
          <w:rFonts w:ascii="Verdana" w:hAnsi="Verdana" w:cs="Arial"/>
          <w:color w:val="0000FF"/>
          <w:shd w:val="clear" w:color="auto" w:fill="FFFFFF"/>
        </w:rPr>
        <w:t xml:space="preserve"> </w:t>
      </w:r>
    </w:p>
    <w:p w14:paraId="4E5B4F33" w14:textId="77777777" w:rsidR="00E271FC" w:rsidRPr="00AD4284" w:rsidRDefault="00E271FC" w:rsidP="00E271FC">
      <w:pPr>
        <w:spacing w:after="0"/>
        <w:jc w:val="both"/>
        <w:rPr>
          <w:rFonts w:ascii="Verdana" w:hAnsi="Verdana" w:cs="Arial"/>
          <w:shd w:val="clear" w:color="auto" w:fill="FFFFFF"/>
        </w:rPr>
      </w:pPr>
      <w:r w:rsidRPr="00AD4284">
        <w:rPr>
          <w:rFonts w:ascii="Verdana" w:hAnsi="Verdana" w:cs="Arial"/>
          <w:shd w:val="clear" w:color="auto" w:fill="FFFFFF"/>
        </w:rPr>
        <w:t xml:space="preserve">Instagram: </w:t>
      </w:r>
      <w:r w:rsidRPr="00AD4284">
        <w:rPr>
          <w:rStyle w:val="Hipervnculo"/>
          <w:rFonts w:ascii="Verdana" w:hAnsi="Verdana"/>
        </w:rPr>
        <w:t>@colombiacompraeficiente_cce</w:t>
      </w:r>
    </w:p>
    <w:p w14:paraId="1FFA295A" w14:textId="77777777" w:rsidR="00E271FC" w:rsidRPr="00560477" w:rsidRDefault="00E271FC" w:rsidP="00E271FC">
      <w:pPr>
        <w:widowControl w:val="0"/>
        <w:autoSpaceDE w:val="0"/>
        <w:autoSpaceDN w:val="0"/>
        <w:spacing w:after="0" w:line="276" w:lineRule="auto"/>
        <w:jc w:val="both"/>
        <w:rPr>
          <w:rFonts w:ascii="Verdana" w:hAnsi="Verdana" w:cs="Arial"/>
          <w:lang w:val="es-ES"/>
        </w:rPr>
      </w:pPr>
    </w:p>
    <w:p w14:paraId="5B1122A8" w14:textId="77777777" w:rsidR="00E271FC" w:rsidRPr="00560477" w:rsidRDefault="00E271FC" w:rsidP="00E271FC">
      <w:pPr>
        <w:widowControl w:val="0"/>
        <w:autoSpaceDE w:val="0"/>
        <w:autoSpaceDN w:val="0"/>
        <w:spacing w:after="0" w:line="276" w:lineRule="auto"/>
        <w:jc w:val="both"/>
        <w:rPr>
          <w:rFonts w:ascii="Verdana" w:hAnsi="Verdana" w:cs="Arial"/>
          <w:lang w:val="es-ES"/>
        </w:rPr>
      </w:pPr>
      <w:r w:rsidRPr="00560477">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B6B7361" w14:textId="77777777" w:rsidR="00E271FC" w:rsidRPr="00560477" w:rsidRDefault="00E271FC" w:rsidP="00E271FC">
      <w:pPr>
        <w:widowControl w:val="0"/>
        <w:autoSpaceDE w:val="0"/>
        <w:autoSpaceDN w:val="0"/>
        <w:spacing w:after="0" w:line="276" w:lineRule="auto"/>
        <w:jc w:val="both"/>
        <w:rPr>
          <w:rFonts w:ascii="Verdana" w:hAnsi="Verdana" w:cs="Arial"/>
          <w:lang w:val="es-ES"/>
        </w:rPr>
      </w:pPr>
    </w:p>
    <w:p w14:paraId="24361CBE" w14:textId="77777777" w:rsidR="00E271FC" w:rsidRDefault="00E271FC" w:rsidP="00E271FC">
      <w:pPr>
        <w:spacing w:after="0" w:line="276" w:lineRule="auto"/>
        <w:rPr>
          <w:rFonts w:ascii="Verdana" w:hAnsi="Verdana" w:cs="Arial"/>
          <w:lang w:val="es-ES" w:eastAsia="es-CO"/>
        </w:rPr>
      </w:pPr>
      <w:r w:rsidRPr="00560477">
        <w:rPr>
          <w:rFonts w:ascii="Verdana" w:eastAsia="Times New Roman" w:hAnsi="Verdana" w:cs="Arial"/>
          <w:lang w:val="es-ES" w:eastAsia="es-CO"/>
        </w:rPr>
        <w:t>Atentamente,</w:t>
      </w:r>
      <w:r w:rsidRPr="00560477">
        <w:rPr>
          <w:rFonts w:ascii="Verdana" w:hAnsi="Verdana" w:cs="Arial"/>
          <w:lang w:val="es-ES" w:eastAsia="es-CO"/>
        </w:rPr>
        <w:t xml:space="preserve"> </w:t>
      </w:r>
    </w:p>
    <w:p w14:paraId="2C206CE0" w14:textId="77777777" w:rsidR="00D87E86" w:rsidRPr="00560477" w:rsidRDefault="00D87E86" w:rsidP="00E271FC">
      <w:pPr>
        <w:spacing w:after="0" w:line="276" w:lineRule="auto"/>
        <w:rPr>
          <w:rFonts w:ascii="Verdana" w:hAnsi="Verdana" w:cs="Arial"/>
          <w:lang w:val="es-ES" w:eastAsia="es-CO"/>
        </w:rPr>
      </w:pPr>
    </w:p>
    <w:p w14:paraId="6F43C8B4" w14:textId="12E13796" w:rsidR="00E271FC" w:rsidRPr="00841D97" w:rsidRDefault="00841D97" w:rsidP="00E271FC">
      <w:pPr>
        <w:spacing w:after="0" w:line="276" w:lineRule="auto"/>
        <w:jc w:val="center"/>
        <w:rPr>
          <w:rFonts w:ascii="Verdana" w:hAnsi="Verdana"/>
          <w:noProof/>
          <w:color w:val="7030A0"/>
        </w:rPr>
      </w:pPr>
      <w:r w:rsidRPr="00841D97">
        <w:rPr>
          <w:rFonts w:ascii="Verdana" w:hAnsi="Verdana"/>
          <w:noProof/>
          <w:color w:val="7030A0"/>
        </w:rPr>
        <w:drawing>
          <wp:inline distT="0" distB="0" distL="0" distR="0" wp14:anchorId="77AF5007" wp14:editId="1B9E1BC6">
            <wp:extent cx="2876951" cy="1076475"/>
            <wp:effectExtent l="0" t="0" r="0" b="9525"/>
            <wp:docPr id="396780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78085" name=""/>
                    <pic:cNvPicPr/>
                  </pic:nvPicPr>
                  <pic:blipFill>
                    <a:blip r:embed="rId16"/>
                    <a:stretch>
                      <a:fillRect/>
                    </a:stretch>
                  </pic:blipFill>
                  <pic:spPr>
                    <a:xfrm>
                      <a:off x="0" y="0"/>
                      <a:ext cx="2876951" cy="1076475"/>
                    </a:xfrm>
                    <a:prstGeom prst="rect">
                      <a:avLst/>
                    </a:prstGeom>
                  </pic:spPr>
                </pic:pic>
              </a:graphicData>
            </a:graphic>
          </wp:inline>
        </w:drawing>
      </w:r>
    </w:p>
    <w:p w14:paraId="167790BD" w14:textId="77777777" w:rsidR="00E271FC" w:rsidRPr="00560477" w:rsidRDefault="00E271FC" w:rsidP="00E271FC">
      <w:pPr>
        <w:spacing w:after="0" w:line="276" w:lineRule="auto"/>
        <w:rPr>
          <w:rFonts w:ascii="Verdana" w:hAnsi="Verdana" w:cs="Arial"/>
          <w:color w:val="7030A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271FC" w:rsidRPr="00560477" w14:paraId="018E58FF" w14:textId="77777777" w:rsidTr="001B1664">
        <w:trPr>
          <w:trHeight w:val="315"/>
        </w:trPr>
        <w:tc>
          <w:tcPr>
            <w:tcW w:w="893" w:type="dxa"/>
            <w:vAlign w:val="center"/>
            <w:hideMark/>
          </w:tcPr>
          <w:p w14:paraId="03F85E88" w14:textId="77777777" w:rsidR="00E271FC" w:rsidRPr="00560477" w:rsidRDefault="00E271FC" w:rsidP="001B1664">
            <w:pPr>
              <w:contextualSpacing/>
              <w:rPr>
                <w:rFonts w:ascii="Verdana" w:hAnsi="Verdana" w:cs="Arial"/>
                <w:sz w:val="16"/>
                <w:szCs w:val="16"/>
                <w:lang w:val="es-ES" w:eastAsia="es-ES"/>
              </w:rPr>
            </w:pPr>
            <w:r w:rsidRPr="0056047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4F3FE6" w14:textId="77777777" w:rsidR="00E271FC" w:rsidRPr="00560477" w:rsidRDefault="00E271FC" w:rsidP="001B1664">
            <w:pPr>
              <w:rPr>
                <w:rFonts w:ascii="Verdana" w:eastAsia="Times New Roman" w:hAnsi="Verdana" w:cs="Arial"/>
                <w:sz w:val="16"/>
                <w:szCs w:val="16"/>
                <w:lang w:eastAsia="es-ES"/>
              </w:rPr>
            </w:pPr>
            <w:r w:rsidRPr="00560477">
              <w:rPr>
                <w:rFonts w:ascii="Verdana" w:eastAsia="Times New Roman" w:hAnsi="Verdana" w:cs="Arial"/>
                <w:sz w:val="16"/>
                <w:szCs w:val="16"/>
                <w:lang w:eastAsia="es-ES"/>
              </w:rPr>
              <w:t>Camila Alejandra Naranjo Gómez</w:t>
            </w:r>
          </w:p>
          <w:p w14:paraId="7D53591B" w14:textId="77777777" w:rsidR="00E271FC" w:rsidRPr="00560477" w:rsidRDefault="00E271FC" w:rsidP="001B1664">
            <w:pPr>
              <w:contextualSpacing/>
              <w:rPr>
                <w:rFonts w:ascii="Verdana" w:eastAsia="Arial" w:hAnsi="Verdana" w:cs="Arial"/>
                <w:sz w:val="16"/>
                <w:szCs w:val="16"/>
                <w:lang w:val="es-ES"/>
              </w:rPr>
            </w:pPr>
            <w:r w:rsidRPr="00560477">
              <w:rPr>
                <w:rFonts w:ascii="Verdana" w:eastAsia="Times New Roman" w:hAnsi="Verdana" w:cs="Arial"/>
                <w:sz w:val="16"/>
                <w:szCs w:val="16"/>
                <w:lang w:eastAsia="es-ES"/>
              </w:rPr>
              <w:t>Analista T2-02 de la Subdirección de Gestión Contractual</w:t>
            </w:r>
          </w:p>
        </w:tc>
      </w:tr>
      <w:tr w:rsidR="00E271FC" w:rsidRPr="00560477" w14:paraId="54F77EE0" w14:textId="77777777" w:rsidTr="001B1664">
        <w:trPr>
          <w:trHeight w:val="330"/>
        </w:trPr>
        <w:tc>
          <w:tcPr>
            <w:tcW w:w="893" w:type="dxa"/>
            <w:vAlign w:val="center"/>
            <w:hideMark/>
          </w:tcPr>
          <w:p w14:paraId="4CF8EF99" w14:textId="77777777" w:rsidR="00E271FC" w:rsidRPr="00560477" w:rsidRDefault="00E271FC" w:rsidP="001B1664">
            <w:pPr>
              <w:contextualSpacing/>
              <w:rPr>
                <w:rFonts w:ascii="Verdana" w:hAnsi="Verdana" w:cs="Arial"/>
                <w:sz w:val="16"/>
                <w:szCs w:val="16"/>
                <w:lang w:val="es-ES" w:eastAsia="es-ES"/>
              </w:rPr>
            </w:pPr>
            <w:r w:rsidRPr="0056047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0CACEF" w14:textId="77777777" w:rsidR="00E271FC" w:rsidRPr="00560477" w:rsidRDefault="00E271FC" w:rsidP="001B1664">
            <w:pPr>
              <w:rPr>
                <w:rFonts w:ascii="Verdana" w:eastAsia="Times New Roman" w:hAnsi="Verdana" w:cs="Arial"/>
                <w:sz w:val="16"/>
                <w:szCs w:val="16"/>
                <w:lang w:eastAsia="es-ES"/>
              </w:rPr>
            </w:pPr>
            <w:r w:rsidRPr="00560477">
              <w:rPr>
                <w:rFonts w:ascii="Verdana" w:eastAsia="Times New Roman" w:hAnsi="Verdana" w:cs="Arial"/>
                <w:sz w:val="16"/>
                <w:szCs w:val="16"/>
                <w:lang w:eastAsia="es-ES"/>
              </w:rPr>
              <w:t>Adriana Katerine López Rodríguez</w:t>
            </w:r>
          </w:p>
          <w:p w14:paraId="5252FE6D" w14:textId="77777777" w:rsidR="00E271FC" w:rsidRPr="00560477" w:rsidRDefault="00E271FC" w:rsidP="001B1664">
            <w:pPr>
              <w:pStyle w:val="paragraph"/>
              <w:spacing w:before="0" w:beforeAutospacing="0" w:after="0" w:afterAutospacing="0"/>
              <w:contextualSpacing/>
              <w:textAlignment w:val="baseline"/>
              <w:rPr>
                <w:rFonts w:ascii="Verdana" w:hAnsi="Verdana" w:cs="Segoe UI"/>
                <w:sz w:val="16"/>
                <w:szCs w:val="16"/>
                <w:lang w:val="es-ES"/>
              </w:rPr>
            </w:pPr>
            <w:r w:rsidRPr="00560477">
              <w:rPr>
                <w:rFonts w:ascii="Verdana" w:hAnsi="Verdana" w:cs="Arial"/>
                <w:sz w:val="16"/>
                <w:szCs w:val="16"/>
                <w:lang w:eastAsia="es-ES"/>
              </w:rPr>
              <w:t>Contratista de la Subdirección de Gestión Contractual</w:t>
            </w:r>
          </w:p>
        </w:tc>
      </w:tr>
      <w:tr w:rsidR="00E271FC" w:rsidRPr="00560477" w14:paraId="37C53FA1" w14:textId="77777777" w:rsidTr="001B1664">
        <w:trPr>
          <w:trHeight w:val="300"/>
        </w:trPr>
        <w:tc>
          <w:tcPr>
            <w:tcW w:w="893" w:type="dxa"/>
            <w:vAlign w:val="center"/>
          </w:tcPr>
          <w:p w14:paraId="35CB4B11" w14:textId="77777777" w:rsidR="00E271FC" w:rsidRPr="00560477" w:rsidRDefault="00E271FC" w:rsidP="001B1664">
            <w:pPr>
              <w:contextualSpacing/>
              <w:rPr>
                <w:rFonts w:ascii="Verdana" w:hAnsi="Verdana" w:cs="Arial"/>
                <w:sz w:val="16"/>
                <w:szCs w:val="16"/>
                <w:lang w:val="es-ES" w:eastAsia="es-ES"/>
              </w:rPr>
            </w:pPr>
            <w:r w:rsidRPr="0056047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0B9009" w14:textId="77777777" w:rsidR="00E271FC" w:rsidRPr="00560477" w:rsidRDefault="00E271FC" w:rsidP="001B1664">
            <w:pPr>
              <w:contextualSpacing/>
              <w:rPr>
                <w:rFonts w:ascii="Verdana" w:eastAsia="Calibri" w:hAnsi="Verdana" w:cs="Arial"/>
                <w:sz w:val="16"/>
                <w:szCs w:val="16"/>
                <w:lang w:val="es-ES" w:eastAsia="es-ES"/>
              </w:rPr>
            </w:pPr>
            <w:r w:rsidRPr="00560477">
              <w:rPr>
                <w:rFonts w:ascii="Verdana" w:eastAsia="Calibri" w:hAnsi="Verdana" w:cs="Arial"/>
                <w:sz w:val="16"/>
                <w:szCs w:val="16"/>
                <w:lang w:val="es-ES" w:eastAsia="es-ES"/>
              </w:rPr>
              <w:t>Carolina Quintero Gacharná</w:t>
            </w:r>
          </w:p>
          <w:p w14:paraId="7DA18055" w14:textId="77777777" w:rsidR="00E271FC" w:rsidRPr="00560477" w:rsidRDefault="00E271FC" w:rsidP="001B1664">
            <w:pPr>
              <w:contextualSpacing/>
              <w:rPr>
                <w:rFonts w:ascii="Verdana" w:eastAsia="Calibri" w:hAnsi="Verdana" w:cs="Arial"/>
                <w:sz w:val="16"/>
                <w:szCs w:val="16"/>
                <w:lang w:val="es-ES" w:eastAsia="es-ES"/>
              </w:rPr>
            </w:pPr>
            <w:r w:rsidRPr="00560477">
              <w:rPr>
                <w:rFonts w:ascii="Verdana" w:eastAsia="Calibri" w:hAnsi="Verdana" w:cs="Arial"/>
                <w:sz w:val="16"/>
                <w:szCs w:val="16"/>
                <w:lang w:val="es-ES" w:eastAsia="es-ES"/>
              </w:rPr>
              <w:t>Subdirectora de Gestión Contractual ANCP – CCE</w:t>
            </w:r>
          </w:p>
        </w:tc>
      </w:tr>
    </w:tbl>
    <w:p w14:paraId="2526DBFB" w14:textId="77777777" w:rsidR="00E271FC" w:rsidRPr="00560477" w:rsidRDefault="00E271FC" w:rsidP="00E271FC">
      <w:pPr>
        <w:spacing w:after="120" w:line="276" w:lineRule="auto"/>
        <w:jc w:val="both"/>
        <w:rPr>
          <w:rFonts w:ascii="Verdana" w:eastAsia="Century Gothic" w:hAnsi="Verdana" w:cs="Century Gothic"/>
          <w:b/>
          <w:color w:val="7030A0"/>
        </w:rPr>
      </w:pPr>
    </w:p>
    <w:bookmarkEnd w:id="0"/>
    <w:p w14:paraId="0F293BF4" w14:textId="7AE16A3D" w:rsidR="00127233" w:rsidRPr="00D87E86" w:rsidRDefault="00127233" w:rsidP="00D87E86">
      <w:pPr>
        <w:spacing w:after="120" w:line="276" w:lineRule="auto"/>
        <w:jc w:val="both"/>
        <w:rPr>
          <w:rFonts w:ascii="Verdana" w:eastAsia="Century Gothic" w:hAnsi="Verdana" w:cs="Century Gothic"/>
          <w:b/>
          <w:color w:val="7030A0"/>
          <w:lang w:val="es-ES"/>
        </w:rPr>
      </w:pPr>
    </w:p>
    <w:sectPr w:rsidR="00127233" w:rsidRPr="00D87E8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1B71F" w14:textId="77777777" w:rsidR="001C195D" w:rsidRDefault="001C195D" w:rsidP="004A1847">
      <w:pPr>
        <w:spacing w:after="0" w:line="240" w:lineRule="auto"/>
      </w:pPr>
      <w:r>
        <w:separator/>
      </w:r>
    </w:p>
  </w:endnote>
  <w:endnote w:type="continuationSeparator" w:id="0">
    <w:p w14:paraId="2CA999AC" w14:textId="77777777" w:rsidR="001C195D" w:rsidRDefault="001C195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879C0" w14:textId="77777777" w:rsidR="001C195D" w:rsidRDefault="001C195D" w:rsidP="004A1847">
      <w:pPr>
        <w:spacing w:after="0" w:line="240" w:lineRule="auto"/>
      </w:pPr>
      <w:r>
        <w:separator/>
      </w:r>
    </w:p>
  </w:footnote>
  <w:footnote w:type="continuationSeparator" w:id="0">
    <w:p w14:paraId="5090F73F" w14:textId="77777777" w:rsidR="001C195D" w:rsidRDefault="001C195D" w:rsidP="004A1847">
      <w:pPr>
        <w:spacing w:after="0" w:line="240" w:lineRule="auto"/>
      </w:pPr>
      <w:r>
        <w:continuationSeparator/>
      </w:r>
    </w:p>
  </w:footnote>
  <w:footnote w:id="1">
    <w:p w14:paraId="25A162AC" w14:textId="77777777" w:rsidR="00E271FC" w:rsidRPr="00DE4763" w:rsidRDefault="00E271FC" w:rsidP="00E271FC">
      <w:pPr>
        <w:pStyle w:val="Textonotapie"/>
        <w:ind w:firstLine="708"/>
        <w:jc w:val="both"/>
        <w:rPr>
          <w:rFonts w:ascii="Verdana" w:hAnsi="Verdana" w:cs="Arial"/>
          <w:color w:val="000000" w:themeColor="text1"/>
          <w:sz w:val="16"/>
          <w:szCs w:val="16"/>
        </w:rPr>
      </w:pPr>
      <w:r w:rsidRPr="00DE4763">
        <w:rPr>
          <w:rStyle w:val="Refdenotaalpie"/>
          <w:rFonts w:ascii="Verdana" w:hAnsi="Verdana" w:cs="Arial"/>
          <w:color w:val="000000" w:themeColor="text1"/>
          <w:sz w:val="16"/>
          <w:szCs w:val="16"/>
        </w:rPr>
        <w:footnoteRef/>
      </w:r>
      <w:r w:rsidRPr="00DE4763">
        <w:rPr>
          <w:rFonts w:ascii="Verdana" w:hAnsi="Verdana" w:cs="Arial"/>
          <w:color w:val="000000" w:themeColor="text1"/>
          <w:sz w:val="16"/>
          <w:szCs w:val="16"/>
        </w:rPr>
        <w:t xml:space="preserve"> Ospina Mena, Jesús Marino. Régimen de la Contratación Estatal. Un salto a la contratación líquida. Bogotá: Ed. 1ª. Diké, 2020. p. 383.</w:t>
      </w:r>
    </w:p>
    <w:p w14:paraId="3B5318C2" w14:textId="77777777" w:rsidR="00E271FC" w:rsidRPr="00DE4763" w:rsidRDefault="00E271FC" w:rsidP="00E271FC">
      <w:pPr>
        <w:pStyle w:val="Textonotapie"/>
        <w:ind w:firstLine="708"/>
        <w:jc w:val="both"/>
        <w:rPr>
          <w:rFonts w:ascii="Verdana" w:hAnsi="Verdana" w:cs="Arial"/>
          <w:color w:val="000000" w:themeColor="text1"/>
          <w:sz w:val="16"/>
          <w:szCs w:val="16"/>
        </w:rPr>
      </w:pPr>
    </w:p>
  </w:footnote>
  <w:footnote w:id="2">
    <w:p w14:paraId="7DE98DC2" w14:textId="77777777" w:rsidR="00E271FC" w:rsidRPr="00DE4763" w:rsidRDefault="00E271FC" w:rsidP="00E271FC">
      <w:pPr>
        <w:pStyle w:val="Textonotapie"/>
        <w:ind w:firstLine="708"/>
        <w:jc w:val="both"/>
        <w:rPr>
          <w:rFonts w:ascii="Verdana" w:hAnsi="Verdana" w:cs="Arial"/>
          <w:color w:val="000000" w:themeColor="text1"/>
          <w:sz w:val="16"/>
          <w:szCs w:val="16"/>
        </w:rPr>
      </w:pPr>
      <w:r w:rsidRPr="00DE4763">
        <w:rPr>
          <w:rStyle w:val="Refdenotaalpie"/>
          <w:rFonts w:ascii="Verdana" w:hAnsi="Verdana" w:cs="Arial"/>
          <w:color w:val="000000" w:themeColor="text1"/>
          <w:sz w:val="16"/>
          <w:szCs w:val="16"/>
        </w:rPr>
        <w:footnoteRef/>
      </w:r>
      <w:r w:rsidRPr="00DE4763">
        <w:rPr>
          <w:rFonts w:ascii="Verdana" w:hAnsi="Verdana" w:cs="Arial"/>
          <w:color w:val="000000" w:themeColor="text1"/>
          <w:sz w:val="16"/>
          <w:szCs w:val="16"/>
        </w:rPr>
        <w:t xml:space="preserve"> Consejo De Estado. Sección Tercera. Sentencia de 30 de noviembre de 2006. Exp. 18.059. M.P. Alier Hernández Enríquez.</w:t>
      </w:r>
    </w:p>
  </w:footnote>
  <w:footnote w:id="3">
    <w:p w14:paraId="03F05007" w14:textId="77777777" w:rsidR="00E271FC" w:rsidRPr="00DE4763" w:rsidRDefault="00E271FC" w:rsidP="00E271FC">
      <w:pPr>
        <w:pStyle w:val="Textonotapie"/>
        <w:ind w:firstLine="708"/>
        <w:jc w:val="both"/>
        <w:rPr>
          <w:rFonts w:ascii="Verdana" w:hAnsi="Verdana" w:cs="Arial"/>
          <w:color w:val="000000" w:themeColor="text1"/>
          <w:sz w:val="16"/>
          <w:szCs w:val="16"/>
        </w:rPr>
      </w:pPr>
      <w:r w:rsidRPr="00DE4763">
        <w:rPr>
          <w:rStyle w:val="Refdenotaalpie"/>
          <w:rFonts w:ascii="Verdana" w:hAnsi="Verdana" w:cs="Arial"/>
          <w:color w:val="000000" w:themeColor="text1"/>
          <w:sz w:val="16"/>
          <w:szCs w:val="16"/>
        </w:rPr>
        <w:footnoteRef/>
      </w:r>
      <w:r w:rsidRPr="00DE4763">
        <w:rPr>
          <w:rFonts w:ascii="Verdana" w:hAnsi="Verdana" w:cs="Arial"/>
          <w:color w:val="000000" w:themeColor="text1"/>
          <w:sz w:val="16"/>
          <w:szCs w:val="16"/>
        </w:rPr>
        <w:t xml:space="preserve"> Sin perjuicio de los dispuesto en el artículo 2.2.1.1.2.1.3. del Decreto 1082 de 2015 sobre el contenido del pliego de condiciones.</w:t>
      </w:r>
    </w:p>
    <w:p w14:paraId="353ADC75" w14:textId="77777777" w:rsidR="00E271FC" w:rsidRPr="00DE4763" w:rsidRDefault="00E271FC" w:rsidP="00E271FC">
      <w:pPr>
        <w:pStyle w:val="Textonotapie"/>
        <w:ind w:firstLine="708"/>
        <w:jc w:val="both"/>
        <w:rPr>
          <w:rFonts w:ascii="Verdana" w:hAnsi="Verdana" w:cs="Arial"/>
          <w:color w:val="000000" w:themeColor="text1"/>
          <w:sz w:val="16"/>
          <w:szCs w:val="16"/>
        </w:rPr>
      </w:pPr>
    </w:p>
  </w:footnote>
  <w:footnote w:id="4">
    <w:p w14:paraId="2E284C06" w14:textId="77777777" w:rsidR="00E271FC" w:rsidRPr="00DE4763" w:rsidRDefault="00E271FC" w:rsidP="00E271FC">
      <w:pPr>
        <w:pStyle w:val="Textonotapie"/>
        <w:ind w:firstLine="708"/>
        <w:jc w:val="both"/>
        <w:rPr>
          <w:rFonts w:ascii="Verdana" w:hAnsi="Verdana" w:cs="Arial"/>
          <w:color w:val="000000" w:themeColor="text1"/>
          <w:sz w:val="16"/>
          <w:szCs w:val="16"/>
        </w:rPr>
      </w:pPr>
      <w:r w:rsidRPr="00DE4763">
        <w:rPr>
          <w:rStyle w:val="Refdenotaalpie"/>
          <w:rFonts w:ascii="Verdana" w:hAnsi="Verdana" w:cs="Arial"/>
          <w:color w:val="000000" w:themeColor="text1"/>
          <w:sz w:val="16"/>
          <w:szCs w:val="16"/>
        </w:rPr>
        <w:footnoteRef/>
      </w:r>
      <w:r w:rsidRPr="00DE4763">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5">
    <w:p w14:paraId="5AF93BA6" w14:textId="77777777" w:rsidR="00E271FC" w:rsidRPr="00DE4763" w:rsidRDefault="00E271FC" w:rsidP="00E271FC">
      <w:pPr>
        <w:spacing w:after="0"/>
        <w:ind w:firstLine="720"/>
        <w:jc w:val="both"/>
        <w:rPr>
          <w:rFonts w:ascii="Verdana" w:hAnsi="Verdana" w:cs="Arial"/>
          <w:color w:val="000000" w:themeColor="text1"/>
          <w:sz w:val="16"/>
          <w:szCs w:val="16"/>
        </w:rPr>
      </w:pPr>
      <w:r w:rsidRPr="00DE4763">
        <w:rPr>
          <w:rStyle w:val="Refdenotaalpie"/>
          <w:rFonts w:ascii="Verdana" w:hAnsi="Verdana" w:cs="Arial"/>
          <w:color w:val="000000" w:themeColor="text1"/>
          <w:sz w:val="16"/>
          <w:szCs w:val="16"/>
        </w:rPr>
        <w:footnoteRef/>
      </w:r>
      <w:r w:rsidRPr="00DE4763">
        <w:rPr>
          <w:rFonts w:ascii="Verdana" w:hAnsi="Verdana" w:cs="Arial"/>
          <w:color w:val="000000" w:themeColor="text1"/>
          <w:sz w:val="16"/>
          <w:szCs w:val="16"/>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2672355C" w14:textId="77777777" w:rsidR="00E271FC" w:rsidRPr="00DE4763" w:rsidRDefault="00E271FC" w:rsidP="00E271FC">
      <w:pPr>
        <w:spacing w:after="0"/>
        <w:ind w:firstLine="720"/>
        <w:jc w:val="both"/>
        <w:rPr>
          <w:rFonts w:ascii="Verdana" w:hAnsi="Verdana" w:cs="Arial"/>
          <w:color w:val="000000" w:themeColor="text1"/>
          <w:sz w:val="16"/>
          <w:szCs w:val="16"/>
        </w:rPr>
      </w:pPr>
      <w:r w:rsidRPr="00DE4763">
        <w:rPr>
          <w:rFonts w:ascii="Verdana" w:hAnsi="Verdana" w:cs="Arial"/>
          <w:color w:val="000000" w:themeColor="text1"/>
          <w:sz w:val="16"/>
          <w:szCs w:val="16"/>
          <w:u w:val="single" w:color="4E4D4D"/>
        </w:rPr>
        <w:t xml:space="preserve"> </w:t>
      </w:r>
      <w:r w:rsidRPr="00DE4763">
        <w:rPr>
          <w:rFonts w:ascii="Verdana" w:hAnsi="Verdana" w:cs="Arial"/>
          <w:color w:val="000000" w:themeColor="text1"/>
          <w:sz w:val="16"/>
          <w:szCs w:val="16"/>
        </w:rPr>
        <w:t>“5.2. De la fuerza vinculante de las respuestas a las solicitudes de aclaraciones en relación con los términos de referencia.</w:t>
      </w:r>
    </w:p>
    <w:p w14:paraId="0675CD09" w14:textId="77777777" w:rsidR="00E271FC" w:rsidRPr="00DE4763" w:rsidRDefault="00E271FC" w:rsidP="00E271FC">
      <w:pPr>
        <w:spacing w:after="0"/>
        <w:ind w:firstLine="720"/>
        <w:jc w:val="both"/>
        <w:rPr>
          <w:rFonts w:ascii="Verdana" w:hAnsi="Verdana" w:cs="Arial"/>
          <w:color w:val="000000" w:themeColor="text1"/>
          <w:sz w:val="16"/>
          <w:szCs w:val="16"/>
        </w:rPr>
      </w:pPr>
      <w:r w:rsidRPr="00DE4763">
        <w:rPr>
          <w:rFonts w:ascii="Verdana" w:hAnsi="Verdana" w:cs="Arial"/>
          <w:color w:val="000000" w:themeColor="text1"/>
          <w:sz w:val="16"/>
          <w:szCs w:val="16"/>
        </w:rPr>
        <w:t>[…]</w:t>
      </w:r>
    </w:p>
    <w:p w14:paraId="7047981A" w14:textId="77777777" w:rsidR="00E271FC" w:rsidRPr="00DE4763" w:rsidRDefault="00E271FC" w:rsidP="00E271FC">
      <w:pPr>
        <w:spacing w:after="0"/>
        <w:ind w:firstLine="720"/>
        <w:jc w:val="both"/>
        <w:rPr>
          <w:rFonts w:ascii="Verdana" w:hAnsi="Verdana" w:cs="Arial"/>
          <w:color w:val="000000" w:themeColor="text1"/>
          <w:sz w:val="16"/>
          <w:szCs w:val="16"/>
        </w:rPr>
      </w:pPr>
      <w:r w:rsidRPr="00DE4763">
        <w:rPr>
          <w:rFonts w:ascii="Verdana" w:hAnsi="Verdana" w:cs="Arial"/>
          <w:color w:val="000000" w:themeColor="text1"/>
          <w:sz w:val="16"/>
          <w:szCs w:val="16"/>
        </w:rPr>
        <w:t>Siguiendo el lineamiento expuesto, en criterio de la Sala, independientemente de que el contenido de la modificación se encuentre comprendido en un documento que no tenga el rótulo de “adenda”,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DE4763">
        <w:rPr>
          <w:rFonts w:ascii="Verdana" w:hAnsi="Verdana" w:cs="Arial"/>
          <w:color w:val="000000" w:themeColor="text1"/>
          <w:spacing w:val="-11"/>
          <w:sz w:val="16"/>
          <w:szCs w:val="16"/>
        </w:rPr>
        <w:t xml:space="preserve"> </w:t>
      </w:r>
      <w:r w:rsidRPr="00DE4763">
        <w:rPr>
          <w:rFonts w:ascii="Verdana" w:hAnsi="Verdana" w:cs="Arial"/>
          <w:color w:val="000000" w:themeColor="text1"/>
          <w:sz w:val="16"/>
          <w:szCs w:val="16"/>
        </w:rPr>
        <w:t>oferentes.</w:t>
      </w:r>
    </w:p>
    <w:p w14:paraId="05A30261" w14:textId="77777777" w:rsidR="00E271FC" w:rsidRPr="00DE4763" w:rsidRDefault="00E271FC" w:rsidP="00E271FC">
      <w:pPr>
        <w:ind w:firstLine="720"/>
        <w:jc w:val="both"/>
        <w:rPr>
          <w:rFonts w:ascii="Verdana" w:hAnsi="Verdana" w:cs="Arial"/>
          <w:color w:val="000000" w:themeColor="text1"/>
          <w:sz w:val="16"/>
          <w:szCs w:val="16"/>
        </w:rPr>
      </w:pPr>
      <w:r w:rsidRPr="00DE4763">
        <w:rPr>
          <w:rFonts w:ascii="Verdana" w:hAnsi="Verdana" w:cs="Arial"/>
          <w:color w:val="000000" w:themeColor="text1"/>
          <w:sz w:val="16"/>
          <w:szCs w:val="16"/>
        </w:rPr>
        <w:t>En ese orden de ideas, sea que se llame adenda,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DE4763">
        <w:rPr>
          <w:rFonts w:ascii="Verdana" w:hAnsi="Verdana" w:cs="Arial"/>
          <w:color w:val="000000" w:themeColor="text1"/>
          <w:spacing w:val="-20"/>
          <w:sz w:val="16"/>
          <w:szCs w:val="16"/>
        </w:rPr>
        <w:t xml:space="preserve"> </w:t>
      </w:r>
      <w:r w:rsidRPr="00DE4763">
        <w:rPr>
          <w:rFonts w:ascii="Verdana" w:hAnsi="Verdana" w:cs="Arial"/>
          <w:color w:val="000000" w:themeColor="text1"/>
          <w:sz w:val="16"/>
          <w:szCs w:val="16"/>
        </w:rPr>
        <w:t>condiciones”.</w:t>
      </w:r>
    </w:p>
  </w:footnote>
  <w:footnote w:id="6">
    <w:p w14:paraId="599EEA20" w14:textId="77777777" w:rsidR="00E271FC" w:rsidRPr="00DE4763" w:rsidRDefault="00E271FC" w:rsidP="00E271FC">
      <w:pPr>
        <w:pStyle w:val="Textonotapie"/>
        <w:ind w:firstLine="708"/>
        <w:jc w:val="both"/>
        <w:rPr>
          <w:rFonts w:ascii="Verdana" w:hAnsi="Verdana" w:cs="Arial"/>
          <w:color w:val="000000" w:themeColor="text1"/>
          <w:sz w:val="16"/>
          <w:szCs w:val="16"/>
          <w:lang w:val="es-ES"/>
        </w:rPr>
      </w:pPr>
      <w:r w:rsidRPr="00DE4763">
        <w:rPr>
          <w:rStyle w:val="Refdenotaalpie"/>
          <w:rFonts w:ascii="Verdana" w:hAnsi="Verdana" w:cs="Arial"/>
          <w:color w:val="000000" w:themeColor="text1"/>
          <w:sz w:val="16"/>
          <w:szCs w:val="16"/>
        </w:rPr>
        <w:footnoteRef/>
      </w:r>
      <w:r w:rsidRPr="00DE4763">
        <w:rPr>
          <w:rFonts w:ascii="Verdana" w:hAnsi="Verdana" w:cs="Arial"/>
          <w:color w:val="000000" w:themeColor="text1"/>
          <w:sz w:val="16"/>
          <w:szCs w:val="16"/>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Séptima Edición. Medellín: Librería Jurídica Sánchez, 2014. p. 266).  </w:t>
      </w:r>
    </w:p>
  </w:footnote>
  <w:footnote w:id="7">
    <w:p w14:paraId="4088B1E1" w14:textId="77777777" w:rsidR="00E271FC" w:rsidRPr="00DE4763" w:rsidRDefault="00E271FC" w:rsidP="00E27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DE4763">
        <w:rPr>
          <w:rFonts w:ascii="Verdana" w:hAnsi="Verdana" w:cs="Arial"/>
          <w:sz w:val="16"/>
          <w:szCs w:val="16"/>
          <w:vertAlign w:val="superscript"/>
        </w:rPr>
        <w:footnoteRef/>
      </w:r>
      <w:r w:rsidRPr="00DE4763">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571CDFED" w14:textId="77777777" w:rsidR="00E271FC" w:rsidRPr="00DE4763" w:rsidRDefault="00E271FC" w:rsidP="00E27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8">
    <w:p w14:paraId="09C7631D" w14:textId="77777777" w:rsidR="00E271FC" w:rsidRPr="00DE4763" w:rsidRDefault="00E271FC" w:rsidP="00E27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DE4763">
        <w:rPr>
          <w:rFonts w:ascii="Verdana" w:hAnsi="Verdana" w:cs="Arial"/>
          <w:sz w:val="16"/>
          <w:szCs w:val="16"/>
          <w:vertAlign w:val="superscript"/>
        </w:rPr>
        <w:footnoteRef/>
      </w:r>
      <w:r w:rsidRPr="00DE4763">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9">
    <w:p w14:paraId="4132051C" w14:textId="77777777" w:rsidR="00E271FC" w:rsidRPr="00DE4763" w:rsidRDefault="00E271FC" w:rsidP="00E27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DE4763">
        <w:rPr>
          <w:rFonts w:ascii="Verdana" w:hAnsi="Verdana" w:cs="Arial"/>
          <w:sz w:val="16"/>
          <w:szCs w:val="16"/>
          <w:vertAlign w:val="superscript"/>
        </w:rPr>
        <w:footnoteRef/>
      </w:r>
      <w:r w:rsidRPr="00DE4763">
        <w:rPr>
          <w:rFonts w:ascii="Verdana" w:eastAsia="Arial" w:hAnsi="Verdana" w:cs="Arial"/>
          <w:color w:val="000000"/>
          <w:sz w:val="16"/>
          <w:szCs w:val="16"/>
        </w:rPr>
        <w:t xml:space="preserve"> Consejo de Estado. Sala de lo Contencioso Administrativo Sección Tercera, Subsección C. Sentencia del 26 de febrero de 2014. Radicado: 1999-00113-01 (25.804). C.P. Enrique Gil Botero. </w:t>
      </w:r>
    </w:p>
    <w:p w14:paraId="36FAD824" w14:textId="77777777" w:rsidR="00E271FC" w:rsidRPr="00DE4763" w:rsidRDefault="00E271FC" w:rsidP="00E27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0">
    <w:p w14:paraId="5042B62B" w14:textId="77777777" w:rsidR="00E271FC" w:rsidRPr="00DE4763" w:rsidRDefault="00E271FC" w:rsidP="00E271FC">
      <w:pPr>
        <w:pStyle w:val="Textonotapie"/>
        <w:ind w:firstLine="709"/>
        <w:jc w:val="both"/>
        <w:rPr>
          <w:rFonts w:ascii="Verdana" w:hAnsi="Verdana"/>
          <w:sz w:val="16"/>
          <w:szCs w:val="16"/>
        </w:rPr>
      </w:pPr>
      <w:r w:rsidRPr="00DE4763">
        <w:rPr>
          <w:rStyle w:val="Refdenotaalpie"/>
          <w:rFonts w:ascii="Verdana" w:hAnsi="Verdana"/>
          <w:sz w:val="16"/>
          <w:szCs w:val="16"/>
        </w:rPr>
        <w:footnoteRef/>
      </w:r>
      <w:r w:rsidRPr="00DE4763">
        <w:rPr>
          <w:rFonts w:ascii="Verdana" w:hAnsi="Verdana"/>
          <w:sz w:val="16"/>
          <w:szCs w:val="16"/>
        </w:rPr>
        <w:t xml:space="preserve"> En </w:t>
      </w:r>
      <w:hyperlink r:id="rId1" w:history="1">
        <w:r w:rsidRPr="00DE4763">
          <w:rPr>
            <w:rStyle w:val="Hipervnculo"/>
            <w:rFonts w:ascii="Verdana" w:hAnsi="Verdana"/>
            <w:sz w:val="16"/>
            <w:szCs w:val="16"/>
            <w:lang w:val="es-CO"/>
          </w:rPr>
          <w:t>Circular Externa única Vr3</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725344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2128"/>
    <w:rsid w:val="00154F69"/>
    <w:rsid w:val="0015699B"/>
    <w:rsid w:val="001A33BF"/>
    <w:rsid w:val="001C195D"/>
    <w:rsid w:val="001E4177"/>
    <w:rsid w:val="001F0B24"/>
    <w:rsid w:val="001F14E4"/>
    <w:rsid w:val="001F7DC6"/>
    <w:rsid w:val="0022400B"/>
    <w:rsid w:val="002421BB"/>
    <w:rsid w:val="0025796E"/>
    <w:rsid w:val="002707A2"/>
    <w:rsid w:val="002951A0"/>
    <w:rsid w:val="002962BC"/>
    <w:rsid w:val="002A093D"/>
    <w:rsid w:val="002A0DD0"/>
    <w:rsid w:val="002A49AC"/>
    <w:rsid w:val="002A64FD"/>
    <w:rsid w:val="002B57F3"/>
    <w:rsid w:val="002C7A84"/>
    <w:rsid w:val="002E2BF8"/>
    <w:rsid w:val="002E4FD9"/>
    <w:rsid w:val="0030657A"/>
    <w:rsid w:val="00322A85"/>
    <w:rsid w:val="00324168"/>
    <w:rsid w:val="00330834"/>
    <w:rsid w:val="003448F4"/>
    <w:rsid w:val="00374F5E"/>
    <w:rsid w:val="00377E3E"/>
    <w:rsid w:val="003A5C33"/>
    <w:rsid w:val="003A779E"/>
    <w:rsid w:val="003D0F4D"/>
    <w:rsid w:val="003D5B0D"/>
    <w:rsid w:val="003E0499"/>
    <w:rsid w:val="003E4F80"/>
    <w:rsid w:val="003E6439"/>
    <w:rsid w:val="003F3941"/>
    <w:rsid w:val="00406575"/>
    <w:rsid w:val="00414C74"/>
    <w:rsid w:val="0042722E"/>
    <w:rsid w:val="0044528D"/>
    <w:rsid w:val="004539EA"/>
    <w:rsid w:val="00466E39"/>
    <w:rsid w:val="004A1847"/>
    <w:rsid w:val="004A305D"/>
    <w:rsid w:val="004A79F9"/>
    <w:rsid w:val="004F21C4"/>
    <w:rsid w:val="004F685F"/>
    <w:rsid w:val="00520A5C"/>
    <w:rsid w:val="005566E8"/>
    <w:rsid w:val="00574867"/>
    <w:rsid w:val="00591460"/>
    <w:rsid w:val="005A65E0"/>
    <w:rsid w:val="005C3777"/>
    <w:rsid w:val="005C5CDC"/>
    <w:rsid w:val="005D476C"/>
    <w:rsid w:val="006200BF"/>
    <w:rsid w:val="006219F8"/>
    <w:rsid w:val="006302F7"/>
    <w:rsid w:val="00646B9F"/>
    <w:rsid w:val="00665D70"/>
    <w:rsid w:val="006900D9"/>
    <w:rsid w:val="006F73BA"/>
    <w:rsid w:val="00706C16"/>
    <w:rsid w:val="007340C3"/>
    <w:rsid w:val="0075235A"/>
    <w:rsid w:val="00756841"/>
    <w:rsid w:val="007649AB"/>
    <w:rsid w:val="00770C85"/>
    <w:rsid w:val="00771D0C"/>
    <w:rsid w:val="007833AC"/>
    <w:rsid w:val="007B268C"/>
    <w:rsid w:val="007B7171"/>
    <w:rsid w:val="007C0C0F"/>
    <w:rsid w:val="007C3DC2"/>
    <w:rsid w:val="007C738F"/>
    <w:rsid w:val="007E5497"/>
    <w:rsid w:val="00806F5F"/>
    <w:rsid w:val="00820278"/>
    <w:rsid w:val="008258C9"/>
    <w:rsid w:val="00841D97"/>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42FB"/>
    <w:rsid w:val="00A122D3"/>
    <w:rsid w:val="00A14468"/>
    <w:rsid w:val="00A17F13"/>
    <w:rsid w:val="00A20739"/>
    <w:rsid w:val="00A23AF9"/>
    <w:rsid w:val="00A33C78"/>
    <w:rsid w:val="00A74FB5"/>
    <w:rsid w:val="00AA0C24"/>
    <w:rsid w:val="00AB0ADB"/>
    <w:rsid w:val="00AF37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2C4D"/>
    <w:rsid w:val="00D361FD"/>
    <w:rsid w:val="00D423A2"/>
    <w:rsid w:val="00D44E26"/>
    <w:rsid w:val="00D520D8"/>
    <w:rsid w:val="00D63AC2"/>
    <w:rsid w:val="00D7383B"/>
    <w:rsid w:val="00D7788A"/>
    <w:rsid w:val="00D87E86"/>
    <w:rsid w:val="00DA231B"/>
    <w:rsid w:val="00DC39FC"/>
    <w:rsid w:val="00DF5254"/>
    <w:rsid w:val="00E02524"/>
    <w:rsid w:val="00E16408"/>
    <w:rsid w:val="00E20894"/>
    <w:rsid w:val="00E245AB"/>
    <w:rsid w:val="00E271FC"/>
    <w:rsid w:val="00E2764C"/>
    <w:rsid w:val="00E27F2E"/>
    <w:rsid w:val="00E50AFE"/>
    <w:rsid w:val="00E70F2C"/>
    <w:rsid w:val="00E75C92"/>
    <w:rsid w:val="00E771DC"/>
    <w:rsid w:val="00E8772A"/>
    <w:rsid w:val="00E90F6B"/>
    <w:rsid w:val="00E92C27"/>
    <w:rsid w:val="00EA0E3D"/>
    <w:rsid w:val="00EC38A7"/>
    <w:rsid w:val="00EE1AA8"/>
    <w:rsid w:val="00F23FEA"/>
    <w:rsid w:val="00F31EDC"/>
    <w:rsid w:val="00F462B3"/>
    <w:rsid w:val="00F5664F"/>
    <w:rsid w:val="00F666C4"/>
    <w:rsid w:val="00F757B9"/>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271F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alentiina2345678@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7C33D8E-262E-4DA5-96CF-AB9DA66FAB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17</Pages>
  <Words>5828</Words>
  <Characters>31768</Characters>
  <Application>Microsoft Office Word</Application>
  <DocSecurity>0</DocSecurity>
  <Lines>610</Lines>
  <Paragraphs>132</Paragraphs>
  <ScaleCrop>false</ScaleCrop>
  <Company/>
  <LinksUpToDate>false</LinksUpToDate>
  <CharactersWithSpaces>37464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13</cp:revision>
  <cp:lastPrinted>2023-01-10T21:18:00Z</cp:lastPrinted>
  <dcterms:created xsi:type="dcterms:W3CDTF">2026-04-07T14:07:00Z</dcterms:created>
  <dcterms:modified xsi:type="dcterms:W3CDTF">2026-04-08T21:22:00Z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