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FD009" w14:textId="77777777" w:rsidR="00277AD5" w:rsidRDefault="00277AD5" w:rsidP="00277AD5">
      <w:pPr>
        <w:snapToGrid w:val="0"/>
        <w:contextualSpacing/>
        <w:jc w:val="both"/>
        <w:rPr>
          <w:rFonts w:ascii="Verdana" w:eastAsia="Calibri" w:hAnsi="Verdana" w:cs="Arial"/>
          <w:b/>
          <w:bCs/>
          <w:lang w:val="es-ES" w:eastAsia="es-ES"/>
        </w:rPr>
      </w:pPr>
      <w:bookmarkStart w:id="0" w:name="_Hlk143780582"/>
      <w:r w:rsidRPr="00E24068">
        <w:rPr>
          <w:rFonts w:ascii="Verdana" w:eastAsia="Calibri" w:hAnsi="Verdana" w:cs="Arial"/>
          <w:b/>
          <w:bCs/>
          <w:lang w:val="es-ES" w:eastAsia="es-ES"/>
        </w:rPr>
        <w:t>GARANTÍAS – Contratación estatal – Constitución de garantías – Finalidad – Cumplimiento – Obligaciones contractuales</w:t>
      </w:r>
    </w:p>
    <w:p w14:paraId="05FCD5EB" w14:textId="77777777" w:rsidR="00277AD5" w:rsidRDefault="00277AD5" w:rsidP="00277AD5">
      <w:pPr>
        <w:snapToGrid w:val="0"/>
        <w:contextualSpacing/>
        <w:jc w:val="both"/>
        <w:rPr>
          <w:rFonts w:ascii="Verdana" w:hAnsi="Verdana" w:cs="Arial"/>
          <w:color w:val="000000"/>
          <w:shd w:val="clear" w:color="auto" w:fill="FFFFFF"/>
          <w:lang w:val="es-ES"/>
        </w:rPr>
      </w:pPr>
    </w:p>
    <w:p w14:paraId="4FA75A62" w14:textId="77777777" w:rsidR="00277AD5" w:rsidRPr="00F3096C" w:rsidRDefault="00277AD5" w:rsidP="00277AD5">
      <w:pPr>
        <w:snapToGrid w:val="0"/>
        <w:contextualSpacing/>
        <w:jc w:val="both"/>
        <w:rPr>
          <w:rFonts w:ascii="Verdana" w:eastAsia="Calibri" w:hAnsi="Verdana" w:cs="Arial"/>
          <w:b/>
          <w:bCs/>
          <w:sz w:val="20"/>
          <w:szCs w:val="20"/>
          <w:lang w:val="es-ES" w:eastAsia="es-ES"/>
        </w:rPr>
      </w:pPr>
      <w:r w:rsidRPr="00F3096C">
        <w:rPr>
          <w:rFonts w:ascii="Verdana" w:hAnsi="Verdana" w:cs="Arial"/>
          <w:color w:val="000000"/>
          <w:sz w:val="20"/>
          <w:szCs w:val="20"/>
          <w:shd w:val="clear" w:color="auto" w:fill="FFFFFF"/>
          <w:lang w:val="es-ES"/>
        </w:rPr>
        <w:t>Por regla general, para seleccionar contratistas y para ejecutar contratos se requiere la constitución de garantías. Por un lado, l</w:t>
      </w:r>
      <w:r w:rsidRPr="00F3096C">
        <w:rPr>
          <w:rFonts w:ascii="Verdana" w:eastAsia="Calibri" w:hAnsi="Verdana" w:cs="Arial"/>
          <w:color w:val="000000" w:themeColor="text1"/>
          <w:sz w:val="20"/>
          <w:szCs w:val="20"/>
          <w:lang w:val="es-ES"/>
        </w:rPr>
        <w:t xml:space="preserve">a </w:t>
      </w:r>
      <w:r w:rsidRPr="00F3096C">
        <w:rPr>
          <w:rFonts w:ascii="Verdana" w:eastAsia="Calibri" w:hAnsi="Verdana" w:cs="Arial"/>
          <w:i/>
          <w:iCs/>
          <w:color w:val="000000" w:themeColor="text1"/>
          <w:sz w:val="20"/>
          <w:szCs w:val="20"/>
          <w:lang w:val="es-ES"/>
        </w:rPr>
        <w:t>garantía de seriedad</w:t>
      </w:r>
      <w:r w:rsidRPr="00F3096C">
        <w:rPr>
          <w:rFonts w:ascii="Verdana" w:eastAsia="Calibri" w:hAnsi="Verdana" w:cs="Arial"/>
          <w:color w:val="000000" w:themeColor="text1"/>
          <w:sz w:val="20"/>
          <w:szCs w:val="20"/>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62433C6A" w14:textId="77777777" w:rsidR="00277AD5" w:rsidRDefault="00277AD5" w:rsidP="00277AD5">
      <w:pPr>
        <w:snapToGrid w:val="0"/>
        <w:contextualSpacing/>
        <w:jc w:val="both"/>
        <w:rPr>
          <w:rFonts w:ascii="Verdana" w:eastAsia="Calibri" w:hAnsi="Verdana" w:cs="Arial"/>
          <w:b/>
          <w:bCs/>
          <w:lang w:val="es-ES" w:eastAsia="es-ES"/>
        </w:rPr>
      </w:pPr>
    </w:p>
    <w:p w14:paraId="48718E0B" w14:textId="77777777" w:rsidR="00277AD5" w:rsidRDefault="00277AD5" w:rsidP="00277AD5">
      <w:pPr>
        <w:snapToGrid w:val="0"/>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CUMPLIMIENTO – Amparos – Finalidad</w:t>
      </w:r>
    </w:p>
    <w:p w14:paraId="4763062D" w14:textId="77777777" w:rsidR="00277AD5" w:rsidRDefault="00277AD5" w:rsidP="00277AD5">
      <w:pPr>
        <w:snapToGrid w:val="0"/>
        <w:contextualSpacing/>
        <w:jc w:val="both"/>
        <w:rPr>
          <w:rFonts w:ascii="Verdana" w:eastAsia="Calibri" w:hAnsi="Verdana" w:cs="Arial"/>
          <w:color w:val="000000" w:themeColor="text1"/>
          <w:lang w:val="es-ES"/>
        </w:rPr>
      </w:pPr>
    </w:p>
    <w:p w14:paraId="3CF0BF72" w14:textId="77777777" w:rsidR="00277AD5" w:rsidRPr="00F3096C" w:rsidRDefault="00277AD5" w:rsidP="00277AD5">
      <w:pPr>
        <w:snapToGrid w:val="0"/>
        <w:contextualSpacing/>
        <w:jc w:val="both"/>
        <w:rPr>
          <w:rFonts w:ascii="Verdana" w:eastAsia="Calibri" w:hAnsi="Verdana" w:cs="Arial"/>
          <w:color w:val="000000" w:themeColor="text1"/>
          <w:sz w:val="20"/>
          <w:szCs w:val="20"/>
          <w:lang w:val="es-ES"/>
        </w:rPr>
      </w:pPr>
      <w:r w:rsidRPr="00F3096C">
        <w:rPr>
          <w:rFonts w:ascii="Verdana" w:eastAsia="Calibri" w:hAnsi="Verdana" w:cs="Arial"/>
          <w:color w:val="000000" w:themeColor="text1"/>
          <w:sz w:val="20"/>
          <w:szCs w:val="20"/>
          <w:lang w:val="es-ES"/>
        </w:rPr>
        <w:t xml:space="preserve">En contraste, mediante la </w:t>
      </w:r>
      <w:r w:rsidRPr="00F3096C">
        <w:rPr>
          <w:rFonts w:ascii="Verdana" w:eastAsia="Calibri" w:hAnsi="Verdana" w:cs="Arial"/>
          <w:i/>
          <w:iCs/>
          <w:color w:val="000000" w:themeColor="text1"/>
          <w:sz w:val="20"/>
          <w:szCs w:val="20"/>
          <w:lang w:val="es-ES"/>
        </w:rPr>
        <w:t>garantía de única de cumplimiento</w:t>
      </w:r>
      <w:r w:rsidRPr="00F3096C">
        <w:rPr>
          <w:rFonts w:ascii="Verdana" w:eastAsia="Calibri" w:hAnsi="Verdana" w:cs="Arial"/>
          <w:color w:val="000000" w:themeColor="text1"/>
          <w:sz w:val="20"/>
          <w:szCs w:val="20"/>
          <w:lang w:val="es-ES"/>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w:t>
      </w:r>
      <w:r w:rsidRPr="00F3096C">
        <w:rPr>
          <w:rFonts w:ascii="Verdana" w:hAnsi="Verdana" w:cs="Arial"/>
          <w:color w:val="000000" w:themeColor="text1"/>
          <w:sz w:val="20"/>
          <w:szCs w:val="20"/>
          <w:lang w:val="es-ES"/>
        </w:rPr>
        <w:t xml:space="preserve">Para estos efectos es única, ya que “[…] La prioridad […] es que no haya garantías separadas para los diferentes riesgos, aunque existan varias garantías para diferentes proporciones del interés asegurado […]”.    </w:t>
      </w:r>
    </w:p>
    <w:p w14:paraId="7AED3CBF" w14:textId="77777777" w:rsidR="00277AD5" w:rsidRPr="00F3096C" w:rsidRDefault="00277AD5" w:rsidP="00277AD5">
      <w:pPr>
        <w:snapToGrid w:val="0"/>
        <w:contextualSpacing/>
        <w:jc w:val="both"/>
        <w:rPr>
          <w:rFonts w:ascii="Verdana" w:hAnsi="Verdana" w:cs="Arial"/>
          <w:color w:val="000000" w:themeColor="text1"/>
          <w:sz w:val="20"/>
          <w:szCs w:val="20"/>
          <w:lang w:val="es-ES"/>
        </w:rPr>
      </w:pPr>
    </w:p>
    <w:p w14:paraId="7A405E66" w14:textId="77777777" w:rsidR="00277AD5" w:rsidRPr="00F3096C" w:rsidRDefault="00277AD5" w:rsidP="00277AD5">
      <w:pPr>
        <w:snapToGrid w:val="0"/>
        <w:contextualSpacing/>
        <w:jc w:val="both"/>
        <w:rPr>
          <w:rFonts w:ascii="Verdana" w:hAnsi="Verdana" w:cs="Arial"/>
          <w:color w:val="000000" w:themeColor="text1"/>
          <w:sz w:val="20"/>
          <w:szCs w:val="20"/>
          <w:lang w:val="es-ES"/>
        </w:rPr>
      </w:pPr>
      <w:r w:rsidRPr="00F3096C">
        <w:rPr>
          <w:rFonts w:ascii="Verdana" w:hAnsi="Verdana" w:cs="Arial"/>
          <w:color w:val="000000" w:themeColor="text1"/>
          <w:sz w:val="20"/>
          <w:szCs w:val="20"/>
          <w:lang w:val="es-ES"/>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F3096C">
        <w:rPr>
          <w:rFonts w:ascii="Verdana" w:hAnsi="Verdana" w:cs="Arial"/>
          <w:color w:val="000000" w:themeColor="text1"/>
          <w:sz w:val="20"/>
          <w:szCs w:val="20"/>
          <w:lang w:val="es-ES"/>
        </w:rPr>
        <w:t>ii</w:t>
      </w:r>
      <w:proofErr w:type="spellEnd"/>
      <w:r w:rsidRPr="00F3096C">
        <w:rPr>
          <w:rFonts w:ascii="Verdana" w:hAnsi="Verdana" w:cs="Arial"/>
          <w:color w:val="000000" w:themeColor="text1"/>
          <w:sz w:val="20"/>
          <w:szCs w:val="20"/>
          <w:lang w:val="es-ES"/>
        </w:rPr>
        <w:t xml:space="preserve">) garantías bancarias o </w:t>
      </w:r>
      <w:proofErr w:type="spellStart"/>
      <w:r w:rsidRPr="00F3096C">
        <w:rPr>
          <w:rFonts w:ascii="Verdana" w:hAnsi="Verdana" w:cs="Arial"/>
          <w:color w:val="000000" w:themeColor="text1"/>
          <w:sz w:val="20"/>
          <w:szCs w:val="20"/>
          <w:lang w:val="es-ES"/>
        </w:rPr>
        <w:t>iii</w:t>
      </w:r>
      <w:proofErr w:type="spellEnd"/>
      <w:r w:rsidRPr="00F3096C">
        <w:rPr>
          <w:rFonts w:ascii="Verdana" w:hAnsi="Verdana" w:cs="Arial"/>
          <w:color w:val="000000" w:themeColor="text1"/>
          <w:sz w:val="20"/>
          <w:szCs w:val="20"/>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1272685E" w14:textId="77777777" w:rsidR="00277AD5" w:rsidRPr="00E24068" w:rsidRDefault="00277AD5" w:rsidP="00277AD5">
      <w:pPr>
        <w:snapToGrid w:val="0"/>
        <w:contextualSpacing/>
        <w:jc w:val="both"/>
        <w:rPr>
          <w:rFonts w:ascii="Verdana" w:eastAsia="Calibri" w:hAnsi="Verdana" w:cs="Arial"/>
          <w:b/>
          <w:bCs/>
          <w:lang w:val="es-ES" w:eastAsia="es-ES"/>
        </w:rPr>
      </w:pPr>
    </w:p>
    <w:p w14:paraId="4A1A949F" w14:textId="77777777" w:rsidR="00277AD5" w:rsidRPr="00E24068" w:rsidRDefault="00277AD5" w:rsidP="00277AD5">
      <w:pPr>
        <w:snapToGrid w:val="0"/>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RESPONSABILIDAD CIVIL EXTRACONTRACTUAL – Características – Suficiencia – Criterios de aprobación</w:t>
      </w:r>
    </w:p>
    <w:p w14:paraId="78C4739F" w14:textId="77777777" w:rsidR="00277AD5" w:rsidRDefault="00277AD5" w:rsidP="00277AD5">
      <w:pPr>
        <w:snapToGrid w:val="0"/>
        <w:contextualSpacing/>
        <w:jc w:val="both"/>
        <w:rPr>
          <w:rFonts w:ascii="Verdana" w:hAnsi="Verdana" w:cs="Arial"/>
          <w:color w:val="000000" w:themeColor="text1"/>
          <w:lang w:val="es-ES" w:eastAsia="es-CO"/>
        </w:rPr>
      </w:pPr>
    </w:p>
    <w:p w14:paraId="23948F21" w14:textId="77777777" w:rsidR="00277AD5" w:rsidRPr="00F3096C" w:rsidRDefault="00277AD5" w:rsidP="00277AD5">
      <w:pPr>
        <w:snapToGrid w:val="0"/>
        <w:contextualSpacing/>
        <w:jc w:val="both"/>
        <w:rPr>
          <w:rFonts w:ascii="Verdana" w:hAnsi="Verdana" w:cs="Arial"/>
          <w:color w:val="000000" w:themeColor="text1"/>
          <w:sz w:val="20"/>
          <w:szCs w:val="20"/>
          <w:lang w:val="es-ES" w:eastAsia="es-CO"/>
        </w:rPr>
      </w:pPr>
      <w:r w:rsidRPr="00F3096C">
        <w:rPr>
          <w:rFonts w:ascii="Verdana" w:hAnsi="Verdana" w:cs="Arial"/>
          <w:color w:val="000000" w:themeColor="text1"/>
          <w:sz w:val="20"/>
          <w:szCs w:val="20"/>
          <w:lang w:val="es-ES" w:eastAsia="es-CO"/>
        </w:rPr>
        <w:lastRenderedPageBreak/>
        <w:t xml:space="preserve">En primer lugar, la entidad debe verificar que la garantía cumpla con el requisito de indivisibilidad establecido en el artículo 2.2.1.2.3.1.3. del Decreto 1082 de 2015. </w:t>
      </w:r>
      <w:r w:rsidRPr="00F3096C">
        <w:rPr>
          <w:rFonts w:ascii="Verdana" w:hAnsi="Verdana" w:cs="Arial"/>
          <w:color w:val="000000" w:themeColor="text1"/>
          <w:sz w:val="20"/>
          <w:szCs w:val="20"/>
          <w:lang w:val="es-ES"/>
        </w:rPr>
        <w:t xml:space="preserve">En segundo lugar, el amparo de responsabilidad civil extracontractual debe cumplir con los requisitos dispuestos </w:t>
      </w:r>
      <w:r w:rsidRPr="00F3096C">
        <w:rPr>
          <w:rFonts w:ascii="Verdana" w:hAnsi="Verdana" w:cs="Arial"/>
          <w:color w:val="000000" w:themeColor="text1"/>
          <w:sz w:val="20"/>
          <w:szCs w:val="20"/>
          <w:lang w:val="es-ES" w:eastAsia="es-CO"/>
        </w:rPr>
        <w:t xml:space="preserve">en el artículo 2.2.1.2.3.2.9 con respecto a la modalidad de ocurrencia, así como las calidades que deben tener los intervinientes y los amparos. Tercero, la entidad debe verificar que el contrato de seguro cumpla con la suficiencia en términos de valor y tiempo de acuerdo con el artículo 2.2.1.2.3.1.17. Adicional a lo anterior, la norma establece de manera expresa que la vigencia de esta garantía deberá ser igual al </w:t>
      </w:r>
      <w:r w:rsidRPr="00F3096C">
        <w:rPr>
          <w:rFonts w:ascii="Verdana" w:hAnsi="Verdana" w:cs="Arial"/>
          <w:i/>
          <w:color w:val="000000" w:themeColor="text1"/>
          <w:sz w:val="20"/>
          <w:szCs w:val="20"/>
          <w:lang w:val="es-ES" w:eastAsia="es-CO"/>
        </w:rPr>
        <w:t>período de ejecución del contrato</w:t>
      </w:r>
      <w:r w:rsidRPr="00F3096C">
        <w:rPr>
          <w:rFonts w:ascii="Verdana" w:hAnsi="Verdana" w:cs="Arial"/>
          <w:color w:val="000000" w:themeColor="text1"/>
          <w:sz w:val="20"/>
          <w:szCs w:val="20"/>
          <w:lang w:val="es-ES" w:eastAsia="es-CO"/>
        </w:rPr>
        <w:t xml:space="preserve"> estatal que está respaldando.</w:t>
      </w:r>
    </w:p>
    <w:p w14:paraId="15439BEA" w14:textId="77777777" w:rsidR="00277AD5" w:rsidRPr="00F3096C" w:rsidRDefault="00277AD5" w:rsidP="00277AD5">
      <w:pPr>
        <w:snapToGrid w:val="0"/>
        <w:contextualSpacing/>
        <w:jc w:val="both"/>
        <w:rPr>
          <w:rFonts w:ascii="Verdana" w:hAnsi="Verdana" w:cs="Arial"/>
          <w:color w:val="000000" w:themeColor="text1"/>
          <w:sz w:val="20"/>
          <w:szCs w:val="20"/>
          <w:lang w:val="es-ES" w:eastAsia="es-CO"/>
        </w:rPr>
      </w:pPr>
    </w:p>
    <w:p w14:paraId="5DC118F4" w14:textId="77777777" w:rsidR="00277AD5" w:rsidRPr="00F3096C" w:rsidRDefault="00277AD5" w:rsidP="00277AD5">
      <w:pPr>
        <w:snapToGrid w:val="0"/>
        <w:contextualSpacing/>
        <w:jc w:val="both"/>
        <w:rPr>
          <w:rFonts w:ascii="Verdana" w:hAnsi="Verdana" w:cs="Arial"/>
          <w:color w:val="000000" w:themeColor="text1"/>
          <w:sz w:val="20"/>
          <w:szCs w:val="20"/>
          <w:lang w:val="es-ES" w:eastAsia="es-CO"/>
        </w:rPr>
      </w:pPr>
      <w:r w:rsidRPr="00F3096C">
        <w:rPr>
          <w:rFonts w:ascii="Verdana" w:hAnsi="Verdana" w:cs="Arial"/>
          <w:color w:val="000000" w:themeColor="text1"/>
          <w:sz w:val="20"/>
          <w:szCs w:val="20"/>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w:t>
      </w:r>
      <w:proofErr w:type="spellStart"/>
      <w:r w:rsidRPr="00F3096C">
        <w:rPr>
          <w:rFonts w:ascii="Verdana" w:hAnsi="Verdana" w:cs="Arial"/>
          <w:color w:val="000000" w:themeColor="text1"/>
          <w:sz w:val="20"/>
          <w:szCs w:val="20"/>
          <w:lang w:val="es-ES" w:eastAsia="es-CO"/>
        </w:rPr>
        <w:t>smmlv</w:t>
      </w:r>
      <w:proofErr w:type="spellEnd"/>
      <w:r w:rsidRPr="00F3096C">
        <w:rPr>
          <w:rFonts w:ascii="Verdana" w:hAnsi="Verdana" w:cs="Arial"/>
          <w:color w:val="000000" w:themeColor="text1"/>
          <w:sz w:val="20"/>
          <w:szCs w:val="20"/>
          <w:lang w:val="es-ES" w:eastAsia="es-CO"/>
        </w:rPr>
        <w:t xml:space="preserve">. No serán admisibles las franquicias, coaseguros obligatorios y demás formas de estipulación que impliquen la asunción de parte de la pérdida por la entidad asegurada”. </w:t>
      </w:r>
    </w:p>
    <w:p w14:paraId="53E72447" w14:textId="77777777" w:rsidR="00277AD5" w:rsidRPr="00F3096C" w:rsidRDefault="00277AD5" w:rsidP="00277AD5">
      <w:pPr>
        <w:rPr>
          <w:rFonts w:ascii="Verdana" w:hAnsi="Verdana"/>
          <w:sz w:val="20"/>
          <w:szCs w:val="20"/>
          <w:lang w:val="es-ES"/>
        </w:rPr>
      </w:pPr>
    </w:p>
    <w:p w14:paraId="65679740" w14:textId="77777777" w:rsidR="00277AD5" w:rsidRPr="00F3096C" w:rsidRDefault="00277AD5" w:rsidP="00277AD5">
      <w:pPr>
        <w:rPr>
          <w:rFonts w:ascii="Verdana" w:hAnsi="Verdana"/>
          <w:sz w:val="20"/>
          <w:szCs w:val="20"/>
          <w:lang w:val="es-ES"/>
        </w:rPr>
      </w:pPr>
    </w:p>
    <w:p w14:paraId="52225BD3" w14:textId="77777777" w:rsidR="00277AD5" w:rsidRPr="00F3096C" w:rsidRDefault="00277AD5" w:rsidP="00277AD5">
      <w:pPr>
        <w:rPr>
          <w:rFonts w:ascii="Verdana" w:hAnsi="Verdana"/>
          <w:sz w:val="20"/>
          <w:szCs w:val="20"/>
          <w:lang w:val="es-ES"/>
        </w:rPr>
      </w:pPr>
    </w:p>
    <w:p w14:paraId="0B2984DF" w14:textId="77777777" w:rsidR="00277AD5" w:rsidRPr="00F3096C" w:rsidRDefault="00277AD5" w:rsidP="00277AD5">
      <w:pPr>
        <w:rPr>
          <w:rFonts w:ascii="Verdana" w:hAnsi="Verdana"/>
          <w:sz w:val="20"/>
          <w:szCs w:val="20"/>
          <w:lang w:val="es-ES"/>
        </w:rPr>
      </w:pPr>
    </w:p>
    <w:p w14:paraId="52DB22F9" w14:textId="77777777" w:rsidR="00277AD5" w:rsidRDefault="00277AD5" w:rsidP="00277AD5">
      <w:pPr>
        <w:rPr>
          <w:rFonts w:ascii="Verdana" w:hAnsi="Verdana"/>
          <w:lang w:val="es-ES"/>
        </w:rPr>
      </w:pPr>
    </w:p>
    <w:p w14:paraId="3BD97AA2" w14:textId="77777777" w:rsidR="00277AD5" w:rsidRDefault="00277AD5" w:rsidP="00277AD5">
      <w:pPr>
        <w:rPr>
          <w:rFonts w:ascii="Verdana" w:hAnsi="Verdana"/>
          <w:lang w:val="es-ES"/>
        </w:rPr>
      </w:pPr>
    </w:p>
    <w:p w14:paraId="214259F7" w14:textId="77777777" w:rsidR="00277AD5" w:rsidRDefault="00277AD5" w:rsidP="00277AD5">
      <w:pPr>
        <w:rPr>
          <w:rFonts w:ascii="Verdana" w:hAnsi="Verdana"/>
          <w:lang w:val="es-ES"/>
        </w:rPr>
      </w:pPr>
    </w:p>
    <w:p w14:paraId="09822CA7" w14:textId="77777777" w:rsidR="00277AD5" w:rsidRDefault="00277AD5" w:rsidP="00277AD5">
      <w:pPr>
        <w:rPr>
          <w:rFonts w:ascii="Verdana" w:hAnsi="Verdana"/>
          <w:lang w:val="es-ES"/>
        </w:rPr>
      </w:pPr>
    </w:p>
    <w:p w14:paraId="61F7C6ED" w14:textId="77777777" w:rsidR="00277AD5" w:rsidRDefault="00277AD5" w:rsidP="00277AD5">
      <w:pPr>
        <w:rPr>
          <w:rFonts w:ascii="Verdana" w:hAnsi="Verdana"/>
          <w:lang w:val="es-ES"/>
        </w:rPr>
      </w:pPr>
    </w:p>
    <w:p w14:paraId="79975E24" w14:textId="77777777" w:rsidR="00277AD5" w:rsidRDefault="00277AD5" w:rsidP="00277AD5">
      <w:pPr>
        <w:rPr>
          <w:rFonts w:ascii="Verdana" w:hAnsi="Verdana"/>
          <w:lang w:val="es-ES"/>
        </w:rPr>
      </w:pPr>
    </w:p>
    <w:p w14:paraId="3F03886F" w14:textId="77777777" w:rsidR="00277AD5" w:rsidRDefault="00277AD5" w:rsidP="00277AD5">
      <w:pPr>
        <w:rPr>
          <w:rFonts w:ascii="Verdana" w:hAnsi="Verdana"/>
          <w:lang w:val="es-ES"/>
        </w:rPr>
      </w:pPr>
    </w:p>
    <w:p w14:paraId="0595DFD2" w14:textId="77777777" w:rsidR="00277AD5" w:rsidRDefault="00277AD5" w:rsidP="00277AD5">
      <w:pPr>
        <w:rPr>
          <w:rFonts w:ascii="Verdana" w:hAnsi="Verdana"/>
          <w:lang w:val="es-ES"/>
        </w:rPr>
      </w:pPr>
    </w:p>
    <w:p w14:paraId="61B8386E" w14:textId="77777777" w:rsidR="00277AD5" w:rsidRDefault="00277AD5" w:rsidP="00277AD5">
      <w:pPr>
        <w:rPr>
          <w:rFonts w:ascii="Verdana" w:hAnsi="Verdana"/>
          <w:sz w:val="20"/>
          <w:szCs w:val="20"/>
        </w:rPr>
      </w:pPr>
    </w:p>
    <w:p w14:paraId="7359B630" w14:textId="77777777" w:rsidR="00277AD5" w:rsidRDefault="00277AD5" w:rsidP="00277AD5">
      <w:pPr>
        <w:rPr>
          <w:rFonts w:ascii="Verdana" w:hAnsi="Verdana"/>
          <w:sz w:val="20"/>
          <w:szCs w:val="20"/>
        </w:rPr>
      </w:pPr>
    </w:p>
    <w:p w14:paraId="53AF54A9" w14:textId="77777777" w:rsidR="00277AD5" w:rsidRDefault="00277AD5" w:rsidP="00277AD5">
      <w:pPr>
        <w:rPr>
          <w:rFonts w:ascii="Verdana" w:hAnsi="Verdana"/>
          <w:sz w:val="20"/>
          <w:szCs w:val="20"/>
        </w:rPr>
      </w:pPr>
    </w:p>
    <w:p w14:paraId="084FAFBD" w14:textId="77777777" w:rsidR="00277AD5" w:rsidRDefault="00277AD5" w:rsidP="00277AD5">
      <w:pPr>
        <w:rPr>
          <w:rFonts w:ascii="Verdana" w:hAnsi="Verdana"/>
          <w:sz w:val="20"/>
          <w:szCs w:val="20"/>
        </w:rPr>
      </w:pPr>
    </w:p>
    <w:p w14:paraId="74159F0D" w14:textId="77777777" w:rsidR="00277AD5" w:rsidRDefault="00277AD5" w:rsidP="00277AD5">
      <w:pPr>
        <w:rPr>
          <w:rFonts w:ascii="Verdana" w:hAnsi="Verdana"/>
          <w:sz w:val="20"/>
          <w:szCs w:val="20"/>
        </w:rPr>
      </w:pPr>
    </w:p>
    <w:p w14:paraId="7C83BB2B" w14:textId="77777777" w:rsidR="00277AD5" w:rsidRDefault="00277AD5" w:rsidP="00277AD5">
      <w:pPr>
        <w:rPr>
          <w:rFonts w:ascii="Verdana" w:hAnsi="Verdana"/>
          <w:sz w:val="20"/>
          <w:szCs w:val="20"/>
        </w:rPr>
      </w:pPr>
    </w:p>
    <w:p w14:paraId="64B04DCA" w14:textId="77777777" w:rsidR="00277AD5" w:rsidRDefault="00277AD5" w:rsidP="00277AD5">
      <w:pPr>
        <w:rPr>
          <w:rFonts w:ascii="Verdana" w:hAnsi="Verdana"/>
          <w:sz w:val="20"/>
          <w:szCs w:val="20"/>
        </w:rPr>
      </w:pPr>
    </w:p>
    <w:p w14:paraId="5AA5313F" w14:textId="77777777" w:rsidR="00277AD5" w:rsidRDefault="00277AD5" w:rsidP="00277AD5">
      <w:pPr>
        <w:rPr>
          <w:rFonts w:ascii="Verdana" w:hAnsi="Verdana"/>
          <w:sz w:val="20"/>
          <w:szCs w:val="20"/>
        </w:rPr>
      </w:pPr>
    </w:p>
    <w:p w14:paraId="0E5F2930" w14:textId="77777777" w:rsidR="00277AD5" w:rsidRDefault="00277AD5" w:rsidP="00277AD5">
      <w:pPr>
        <w:rPr>
          <w:rFonts w:ascii="Verdana" w:hAnsi="Verdana"/>
          <w:sz w:val="20"/>
          <w:szCs w:val="20"/>
        </w:rPr>
      </w:pPr>
    </w:p>
    <w:p w14:paraId="73BBCE1B" w14:textId="77777777" w:rsidR="00277AD5" w:rsidRDefault="00277AD5" w:rsidP="00277AD5">
      <w:pPr>
        <w:rPr>
          <w:rFonts w:ascii="Verdana" w:hAnsi="Verdana"/>
          <w:sz w:val="20"/>
          <w:szCs w:val="20"/>
        </w:rPr>
      </w:pPr>
    </w:p>
    <w:p w14:paraId="06DEE071" w14:textId="77777777" w:rsidR="00277AD5" w:rsidRDefault="00277AD5" w:rsidP="00277AD5">
      <w:pPr>
        <w:rPr>
          <w:rFonts w:ascii="Verdana" w:hAnsi="Verdana"/>
          <w:sz w:val="20"/>
          <w:szCs w:val="20"/>
        </w:rPr>
      </w:pPr>
    </w:p>
    <w:p w14:paraId="2F5501A1" w14:textId="77777777" w:rsidR="00277AD5" w:rsidRDefault="00277AD5" w:rsidP="00277AD5">
      <w:pPr>
        <w:rPr>
          <w:rFonts w:ascii="Verdana" w:hAnsi="Verdana"/>
          <w:sz w:val="20"/>
          <w:szCs w:val="20"/>
        </w:rPr>
      </w:pPr>
    </w:p>
    <w:p w14:paraId="6B2C4844" w14:textId="77777777" w:rsidR="00277AD5" w:rsidRDefault="00277AD5" w:rsidP="00277AD5">
      <w:pPr>
        <w:rPr>
          <w:rFonts w:ascii="Verdana" w:hAnsi="Verdana"/>
          <w:sz w:val="20"/>
          <w:szCs w:val="20"/>
        </w:rPr>
      </w:pPr>
    </w:p>
    <w:p w14:paraId="1CDD3D2F" w14:textId="77777777" w:rsidR="00277AD5" w:rsidRDefault="00277AD5" w:rsidP="00277AD5">
      <w:pPr>
        <w:rPr>
          <w:rFonts w:ascii="Verdana" w:hAnsi="Verdana"/>
          <w:sz w:val="20"/>
          <w:szCs w:val="20"/>
        </w:rPr>
      </w:pPr>
    </w:p>
    <w:p w14:paraId="6E80FDE0" w14:textId="77777777" w:rsidR="00277AD5" w:rsidRDefault="00277AD5" w:rsidP="00277AD5">
      <w:pPr>
        <w:rPr>
          <w:rFonts w:ascii="Verdana" w:hAnsi="Verdana"/>
          <w:sz w:val="20"/>
          <w:szCs w:val="20"/>
        </w:rPr>
      </w:pPr>
    </w:p>
    <w:p w14:paraId="6598775A" w14:textId="77777777" w:rsidR="00277AD5" w:rsidRDefault="00277AD5" w:rsidP="00277AD5">
      <w:pPr>
        <w:rPr>
          <w:rFonts w:ascii="Verdana" w:hAnsi="Verdana"/>
          <w:sz w:val="20"/>
          <w:szCs w:val="20"/>
        </w:rPr>
      </w:pPr>
    </w:p>
    <w:p w14:paraId="2527B700" w14:textId="77777777" w:rsidR="00277AD5" w:rsidRDefault="00277AD5" w:rsidP="00277AD5">
      <w:pPr>
        <w:rPr>
          <w:rFonts w:ascii="Verdana" w:hAnsi="Verdana"/>
          <w:sz w:val="20"/>
          <w:szCs w:val="20"/>
        </w:rPr>
      </w:pPr>
    </w:p>
    <w:p w14:paraId="20F7C2EB" w14:textId="3B85E750" w:rsidR="00277AD5" w:rsidRPr="00E31648" w:rsidRDefault="00277AD5" w:rsidP="00277AD5">
      <w:r w:rsidRPr="00C562D4">
        <w:rPr>
          <w:rFonts w:ascii="Verdana" w:eastAsia="Calibri" w:hAnsi="Verdana" w:cs="Arial"/>
          <w:color w:val="000000" w:themeColor="text1"/>
        </w:rPr>
        <w:lastRenderedPageBreak/>
        <w:t xml:space="preserve">Bogotá D.C., </w:t>
      </w:r>
      <w:r w:rsidR="000A303E">
        <w:rPr>
          <w:rFonts w:ascii="Verdana" w:eastAsia="Calibri" w:hAnsi="Verdana" w:cs="Arial"/>
          <w:color w:val="000000" w:themeColor="text1"/>
        </w:rPr>
        <w:t xml:space="preserve">05 </w:t>
      </w:r>
      <w:r w:rsidRPr="00C562D4">
        <w:rPr>
          <w:rFonts w:ascii="Verdana" w:eastAsia="Calibri" w:hAnsi="Verdana" w:cs="Arial"/>
          <w:color w:val="000000" w:themeColor="text1"/>
        </w:rPr>
        <w:t xml:space="preserve">de </w:t>
      </w:r>
      <w:r w:rsidR="000A303E">
        <w:rPr>
          <w:rFonts w:ascii="Verdana" w:eastAsia="Calibri" w:hAnsi="Verdana" w:cs="Arial"/>
          <w:color w:val="000000" w:themeColor="text1"/>
        </w:rPr>
        <w:t>abril</w:t>
      </w:r>
      <w:r>
        <w:rPr>
          <w:rFonts w:ascii="Verdana" w:eastAsia="Calibri" w:hAnsi="Verdana" w:cs="Arial"/>
          <w:color w:val="000000" w:themeColor="text1"/>
        </w:rPr>
        <w:t xml:space="preserve">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5BFD63F2" w14:textId="77777777" w:rsidR="00277AD5" w:rsidRDefault="00277AD5" w:rsidP="00277AD5">
      <w:pPr>
        <w:jc w:val="both"/>
        <w:rPr>
          <w:rFonts w:ascii="Verdana" w:eastAsia="Calibri" w:hAnsi="Verdana" w:cs="Arial"/>
          <w:color w:val="000000" w:themeColor="text1"/>
          <w:lang w:val="es-ES"/>
        </w:rPr>
      </w:pPr>
    </w:p>
    <w:p w14:paraId="22F02C0F" w14:textId="60F214E3" w:rsidR="00277AD5" w:rsidRDefault="005C4450" w:rsidP="005C4450">
      <w:pPr>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274E802C" wp14:editId="1CA91C37">
            <wp:extent cx="2886075" cy="962025"/>
            <wp:effectExtent l="0" t="0" r="9525" b="9525"/>
            <wp:docPr id="3809576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86075" cy="962025"/>
                    </a:xfrm>
                    <a:prstGeom prst="rect">
                      <a:avLst/>
                    </a:prstGeom>
                    <a:noFill/>
                    <a:ln>
                      <a:noFill/>
                    </a:ln>
                  </pic:spPr>
                </pic:pic>
              </a:graphicData>
            </a:graphic>
          </wp:inline>
        </w:drawing>
      </w:r>
    </w:p>
    <w:p w14:paraId="72D6F990" w14:textId="77777777" w:rsidR="00277AD5" w:rsidRDefault="00277AD5" w:rsidP="00277AD5">
      <w:pPr>
        <w:jc w:val="both"/>
        <w:rPr>
          <w:rFonts w:ascii="Verdana" w:eastAsia="Calibri" w:hAnsi="Verdana" w:cs="Arial"/>
          <w:color w:val="000000" w:themeColor="text1"/>
          <w:lang w:val="es-ES"/>
        </w:rPr>
      </w:pPr>
    </w:p>
    <w:p w14:paraId="3C11D07C" w14:textId="77777777" w:rsidR="005C4450" w:rsidRPr="00115E3D" w:rsidRDefault="005C4450" w:rsidP="00277AD5">
      <w:pPr>
        <w:jc w:val="both"/>
        <w:rPr>
          <w:rFonts w:ascii="Verdana" w:eastAsia="Calibri" w:hAnsi="Verdana" w:cs="Arial"/>
          <w:color w:val="000000" w:themeColor="text1"/>
          <w:lang w:val="es-ES"/>
        </w:rPr>
      </w:pPr>
    </w:p>
    <w:p w14:paraId="3C30F968" w14:textId="77777777" w:rsidR="00277AD5" w:rsidRPr="00115E3D" w:rsidRDefault="00277AD5" w:rsidP="00277AD5">
      <w:pPr>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es</w:t>
      </w:r>
    </w:p>
    <w:p w14:paraId="3DDCDA6E" w14:textId="77777777" w:rsidR="00277AD5" w:rsidRDefault="00277AD5" w:rsidP="00277AD5">
      <w:pPr>
        <w:rPr>
          <w:rFonts w:ascii="Verdana" w:eastAsia="Calibri" w:hAnsi="Verdana" w:cs="Arial"/>
          <w:b/>
          <w:bCs/>
          <w:color w:val="000000" w:themeColor="text1"/>
          <w:lang w:eastAsia="es-ES"/>
        </w:rPr>
      </w:pPr>
      <w:r w:rsidRPr="00EC5C83">
        <w:rPr>
          <w:rFonts w:ascii="Verdana" w:eastAsia="Calibri" w:hAnsi="Verdana" w:cs="Arial"/>
          <w:b/>
          <w:bCs/>
          <w:color w:val="000000" w:themeColor="text1"/>
          <w:lang w:eastAsia="es-ES"/>
        </w:rPr>
        <w:t>SIÓN Arquitectura &amp; Ingeniería</w:t>
      </w:r>
      <w:r w:rsidRPr="000D39A8">
        <w:rPr>
          <w:rFonts w:ascii="Verdana" w:eastAsia="Calibri" w:hAnsi="Verdana" w:cs="Arial"/>
          <w:b/>
          <w:bCs/>
          <w:color w:val="000000" w:themeColor="text1"/>
          <w:lang w:eastAsia="es-ES"/>
        </w:rPr>
        <w:t xml:space="preserve"> </w:t>
      </w:r>
    </w:p>
    <w:p w14:paraId="5CB48B05" w14:textId="77777777" w:rsidR="00277AD5" w:rsidRPr="0087638A" w:rsidRDefault="005F767F" w:rsidP="00277AD5">
      <w:pPr>
        <w:rPr>
          <w:rFonts w:ascii="Verdana" w:eastAsia="Calibri" w:hAnsi="Verdana" w:cs="Arial"/>
          <w:color w:val="000000" w:themeColor="text1"/>
          <w:lang w:eastAsia="es-ES"/>
        </w:rPr>
      </w:pPr>
      <w:hyperlink r:id="rId11" w:history="1">
        <w:r w:rsidR="00277AD5" w:rsidRPr="006050B1">
          <w:rPr>
            <w:rStyle w:val="Hipervnculo"/>
            <w:rFonts w:ascii="Verdana" w:hAnsi="Verdana"/>
          </w:rPr>
          <w:t>orlandoramirez_oro@hotmail.com</w:t>
        </w:r>
      </w:hyperlink>
      <w:r w:rsidR="00277AD5">
        <w:rPr>
          <w:rFonts w:ascii="Verdana" w:hAnsi="Verdana"/>
        </w:rPr>
        <w:t xml:space="preserve"> </w:t>
      </w:r>
      <w:r w:rsidR="00277AD5" w:rsidRPr="0087638A">
        <w:rPr>
          <w:rFonts w:ascii="Verdana" w:hAnsi="Verdana"/>
        </w:rPr>
        <w:t xml:space="preserve"> </w:t>
      </w:r>
    </w:p>
    <w:p w14:paraId="15462F96" w14:textId="77777777" w:rsidR="00277AD5" w:rsidRPr="00385D7A" w:rsidRDefault="00277AD5" w:rsidP="00277AD5">
      <w:pPr>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409C4F21" w14:textId="77777777" w:rsidR="00277AD5" w:rsidRPr="00CB7ABE" w:rsidRDefault="00277AD5" w:rsidP="00277AD5">
      <w:pPr>
        <w:rPr>
          <w:rFonts w:ascii="Verdana" w:eastAsia="Calibri" w:hAnsi="Verdana" w:cs="Arial"/>
          <w:b/>
          <w:bCs/>
          <w:color w:val="000000" w:themeColor="text1"/>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277AD5" w:rsidRPr="00115E3D" w14:paraId="47BB76C4" w14:textId="77777777" w:rsidTr="00241FBC">
        <w:trPr>
          <w:trHeight w:val="615"/>
        </w:trPr>
        <w:tc>
          <w:tcPr>
            <w:tcW w:w="2270" w:type="dxa"/>
          </w:tcPr>
          <w:p w14:paraId="47948353" w14:textId="77777777" w:rsidR="00277AD5" w:rsidRPr="00CB7ABE" w:rsidRDefault="00277AD5" w:rsidP="00241FBC">
            <w:pPr>
              <w:jc w:val="both"/>
              <w:rPr>
                <w:rFonts w:ascii="Verdana" w:eastAsia="Calibri" w:hAnsi="Verdana" w:cs="Arial"/>
                <w:b/>
                <w:bCs/>
                <w:color w:val="000000" w:themeColor="text1"/>
              </w:rPr>
            </w:pPr>
          </w:p>
        </w:tc>
        <w:tc>
          <w:tcPr>
            <w:tcW w:w="6547" w:type="dxa"/>
          </w:tcPr>
          <w:p w14:paraId="277ED4EE" w14:textId="77777777" w:rsidR="00277AD5" w:rsidRPr="00115E3D" w:rsidRDefault="00277AD5" w:rsidP="00241FBC">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284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277AD5" w:rsidRPr="007E403E" w14:paraId="7D639416" w14:textId="77777777" w:rsidTr="00241FBC">
        <w:trPr>
          <w:trHeight w:val="1071"/>
        </w:trPr>
        <w:tc>
          <w:tcPr>
            <w:tcW w:w="2270" w:type="dxa"/>
          </w:tcPr>
          <w:p w14:paraId="7DC821E7" w14:textId="77777777" w:rsidR="00277AD5" w:rsidRPr="001B36DA" w:rsidRDefault="00277AD5" w:rsidP="00241FBC">
            <w:pPr>
              <w:jc w:val="both"/>
              <w:rPr>
                <w:rFonts w:ascii="Verdana" w:eastAsia="Calibri" w:hAnsi="Verdana" w:cs="Arial"/>
                <w:color w:val="000000" w:themeColor="text1"/>
                <w:lang w:val="es-ES_tradnl"/>
              </w:rPr>
            </w:pPr>
            <w:r w:rsidRPr="001B36DA">
              <w:rPr>
                <w:rFonts w:ascii="Verdana" w:eastAsia="Calibri" w:hAnsi="Verdana" w:cs="Arial"/>
                <w:b/>
                <w:color w:val="000000" w:themeColor="text1"/>
                <w:lang w:val="es-ES_tradnl"/>
              </w:rPr>
              <w:t>Temas:</w:t>
            </w:r>
            <w:r w:rsidRPr="001B36DA">
              <w:rPr>
                <w:rFonts w:ascii="Verdana" w:eastAsia="Calibri" w:hAnsi="Verdana" w:cs="Arial"/>
                <w:color w:val="000000" w:themeColor="text1"/>
                <w:lang w:val="es-ES_tradnl"/>
              </w:rPr>
              <w:t xml:space="preserve">                   </w:t>
            </w:r>
          </w:p>
        </w:tc>
        <w:tc>
          <w:tcPr>
            <w:tcW w:w="6547" w:type="dxa"/>
          </w:tcPr>
          <w:p w14:paraId="01C99FEB" w14:textId="77777777" w:rsidR="00277AD5" w:rsidRPr="00983DE2" w:rsidRDefault="00277AD5" w:rsidP="00241FBC">
            <w:pPr>
              <w:spacing w:line="276" w:lineRule="auto"/>
              <w:jc w:val="both"/>
              <w:rPr>
                <w:rFonts w:ascii="Verdana" w:eastAsia="Calibri" w:hAnsi="Verdana" w:cs="Arial"/>
                <w:lang w:val="es-ES" w:eastAsia="es-ES"/>
              </w:rPr>
            </w:pPr>
            <w:r w:rsidRPr="00983DE2">
              <w:rPr>
                <w:rFonts w:ascii="Verdana" w:eastAsia="Calibri" w:hAnsi="Verdana" w:cs="Arial"/>
                <w:lang w:val="es-ES" w:eastAsia="es-ES"/>
              </w:rPr>
              <w:t>GARANTÍAS – Contratación estatal – Constitución de garantías – Finalidad – Cumplimiento – Obligaciones contractuales / GARANTÍA DE CUMPLIMIENTO – Amparos – Finalidad / GARANTÍA DE RESPONSABILIDAD CIVIL EXTRACONTRACTUAL – Características – Suficiencia – Criterios de aprobación</w:t>
            </w:r>
          </w:p>
          <w:p w14:paraId="2F08BDBC" w14:textId="77777777" w:rsidR="00277AD5" w:rsidRPr="0087638A" w:rsidRDefault="00277AD5" w:rsidP="00241FBC">
            <w:pPr>
              <w:spacing w:line="276" w:lineRule="auto"/>
              <w:jc w:val="both"/>
              <w:rPr>
                <w:rFonts w:ascii="Verdana" w:eastAsia="Calibri" w:hAnsi="Verdana" w:cs="Arial"/>
                <w:color w:val="000000" w:themeColor="text1"/>
                <w:highlight w:val="yellow"/>
                <w:lang w:val="es-ES" w:eastAsia="es-ES"/>
              </w:rPr>
            </w:pPr>
          </w:p>
        </w:tc>
      </w:tr>
      <w:tr w:rsidR="00277AD5" w:rsidRPr="00115E3D" w14:paraId="73C4B92F" w14:textId="77777777" w:rsidTr="00241FBC">
        <w:trPr>
          <w:trHeight w:val="653"/>
        </w:trPr>
        <w:tc>
          <w:tcPr>
            <w:tcW w:w="2270" w:type="dxa"/>
          </w:tcPr>
          <w:p w14:paraId="70350913" w14:textId="77777777" w:rsidR="00277AD5" w:rsidRPr="00CB7ABE" w:rsidRDefault="00277AD5" w:rsidP="00241FBC">
            <w:pPr>
              <w:jc w:val="both"/>
              <w:rPr>
                <w:rFonts w:ascii="Verdana" w:eastAsia="Calibri" w:hAnsi="Verdana" w:cs="Arial"/>
                <w:b/>
                <w:color w:val="000000" w:themeColor="text1"/>
                <w:lang w:val="es-ES_tradnl"/>
              </w:rPr>
            </w:pPr>
            <w:r w:rsidRPr="00CB7ABE">
              <w:rPr>
                <w:rFonts w:ascii="Verdana" w:eastAsia="Calibri" w:hAnsi="Verdana" w:cs="Arial"/>
                <w:b/>
                <w:color w:val="000000" w:themeColor="text1"/>
                <w:lang w:val="es-ES_tradnl"/>
              </w:rPr>
              <w:t>Radicación:</w:t>
            </w:r>
            <w:r w:rsidRPr="00CB7ABE">
              <w:rPr>
                <w:rFonts w:ascii="Verdana" w:eastAsia="Calibri" w:hAnsi="Verdana" w:cs="Arial"/>
                <w:color w:val="000000" w:themeColor="text1"/>
                <w:lang w:val="es-ES_tradnl"/>
              </w:rPr>
              <w:t xml:space="preserve">           </w:t>
            </w:r>
          </w:p>
        </w:tc>
        <w:tc>
          <w:tcPr>
            <w:tcW w:w="6547" w:type="dxa"/>
          </w:tcPr>
          <w:p w14:paraId="3DAA0C1F" w14:textId="77777777" w:rsidR="00277AD5" w:rsidRPr="00E4271C" w:rsidRDefault="00277AD5" w:rsidP="00241FBC">
            <w:pPr>
              <w:ind w:right="1"/>
              <w:jc w:val="both"/>
              <w:rPr>
                <w:rFonts w:ascii="Verdana" w:hAnsi="Verdana"/>
                <w:color w:val="000000"/>
              </w:rPr>
            </w:pPr>
            <w:r w:rsidRPr="00CB7ABE">
              <w:rPr>
                <w:rFonts w:ascii="Verdana" w:eastAsia="Calibri" w:hAnsi="Verdana" w:cs="Arial"/>
                <w:color w:val="000000" w:themeColor="text1"/>
                <w:lang w:val="es-ES_tradnl"/>
              </w:rPr>
              <w:t>Respuesta a consulta con radicado</w:t>
            </w:r>
            <w:r>
              <w:rPr>
                <w:rFonts w:ascii="Verdana" w:eastAsia="Calibri" w:hAnsi="Verdana" w:cs="Arial"/>
                <w:color w:val="000000" w:themeColor="text1"/>
                <w:lang w:val="es-ES_tradnl"/>
              </w:rPr>
              <w:t xml:space="preserve"> N.º </w:t>
            </w:r>
            <w:r w:rsidRPr="00EC5C83">
              <w:rPr>
                <w:rFonts w:ascii="Verdana" w:eastAsia="Calibri" w:hAnsi="Verdana" w:cs="Arial"/>
                <w:color w:val="000000" w:themeColor="text1"/>
                <w:lang w:val="es-ES_tradnl"/>
              </w:rPr>
              <w:t>1_2026_02_23_002450</w:t>
            </w:r>
            <w:r>
              <w:rPr>
                <w:rFonts w:ascii="Verdana" w:hAnsi="Verdana"/>
                <w:color w:val="2B2B2B"/>
              </w:rPr>
              <w:t>.</w:t>
            </w:r>
          </w:p>
          <w:p w14:paraId="3F9FE298" w14:textId="77777777" w:rsidR="00277AD5" w:rsidRPr="00CB7ABE" w:rsidRDefault="00277AD5" w:rsidP="00241FBC">
            <w:pPr>
              <w:ind w:right="1"/>
              <w:jc w:val="both"/>
              <w:rPr>
                <w:rFonts w:ascii="Verdana" w:hAnsi="Verdana"/>
                <w:color w:val="000000"/>
              </w:rPr>
            </w:pPr>
          </w:p>
        </w:tc>
      </w:tr>
    </w:tbl>
    <w:p w14:paraId="5D01235A" w14:textId="77777777" w:rsidR="00277AD5" w:rsidRPr="00115E3D" w:rsidRDefault="00277AD5" w:rsidP="00277AD5">
      <w:pPr>
        <w:spacing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os</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es;</w:t>
      </w:r>
    </w:p>
    <w:p w14:paraId="0FB62776" w14:textId="77777777" w:rsidR="00277AD5" w:rsidRPr="00115E3D" w:rsidRDefault="00277AD5" w:rsidP="00277AD5">
      <w:pPr>
        <w:tabs>
          <w:tab w:val="left" w:pos="3768"/>
        </w:tabs>
        <w:spacing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5A14A5B1" w14:textId="77777777" w:rsidR="00277AD5" w:rsidRPr="00115E3D" w:rsidRDefault="00277AD5" w:rsidP="00277AD5">
      <w:pPr>
        <w:spacing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la Contraloría General de la Republica y traslada por competencia a la Procuraduría General de la Nación quien a su vez la remite por competencia a esta entidad el 23 de 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 xml:space="preserve">26 y </w:t>
      </w:r>
      <w:r w:rsidRPr="00115E3D">
        <w:rPr>
          <w:rFonts w:ascii="Verdana" w:eastAsia="Calibri" w:hAnsi="Verdana" w:cs="Arial"/>
          <w:color w:val="000000" w:themeColor="text1"/>
          <w:lang w:val="es-ES" w:eastAsia="es-ES"/>
        </w:rPr>
        <w:t xml:space="preserve">en la cual manifiesta lo siguiente: </w:t>
      </w:r>
    </w:p>
    <w:p w14:paraId="6525709C" w14:textId="77777777" w:rsidR="00277AD5" w:rsidRDefault="00277AD5" w:rsidP="00277AD5">
      <w:pPr>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685DED6E" w14:textId="77777777" w:rsidR="00277AD5" w:rsidRPr="00E4271C" w:rsidRDefault="00277AD5" w:rsidP="00277AD5">
      <w:pPr>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t>“</w:t>
      </w:r>
    </w:p>
    <w:p w14:paraId="766A9037"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1.La entidad estatal suscribió un contrato de obra pública en el mes de octubre de 2025, financiado con recursos del Sistema General de Regalías (SGR).</w:t>
      </w:r>
    </w:p>
    <w:p w14:paraId="712B8676"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2.El contrato inició ejecución el 1 de diciembre de 2025 y tiene un plazo de cuatro (4) meses.</w:t>
      </w:r>
    </w:p>
    <w:p w14:paraId="2DD26011"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3</w:t>
      </w:r>
      <w:r>
        <w:rPr>
          <w:rFonts w:ascii="Verdana" w:eastAsia="Century Gothic" w:hAnsi="Verdana" w:cs="Century Gothic"/>
          <w:i/>
          <w:iCs/>
          <w:color w:val="000000" w:themeColor="text1"/>
          <w:sz w:val="20"/>
          <w:szCs w:val="20"/>
        </w:rPr>
        <w:t>.</w:t>
      </w:r>
      <w:r w:rsidRPr="00AF28B8">
        <w:rPr>
          <w:rFonts w:ascii="Verdana" w:eastAsia="Century Gothic" w:hAnsi="Verdana" w:cs="Century Gothic"/>
          <w:i/>
          <w:iCs/>
          <w:color w:val="000000" w:themeColor="text1"/>
          <w:sz w:val="20"/>
          <w:szCs w:val="20"/>
        </w:rPr>
        <w:t>En el contrato se pactaron las siguientes garantías conforme al Decreto 1082 de 2015:</w:t>
      </w:r>
    </w:p>
    <w:p w14:paraId="7ABC481C" w14:textId="77777777" w:rsidR="00277AD5" w:rsidRPr="00AF28B8" w:rsidRDefault="00277AD5" w:rsidP="00277AD5">
      <w:pPr>
        <w:pStyle w:val="Prrafodelista"/>
        <w:numPr>
          <w:ilvl w:val="0"/>
          <w:numId w:val="18"/>
        </w:numPr>
        <w:ind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Cumplimiento</w:t>
      </w:r>
    </w:p>
    <w:p w14:paraId="24275582" w14:textId="77777777" w:rsidR="00277AD5" w:rsidRPr="00AF28B8" w:rsidRDefault="00277AD5" w:rsidP="00277AD5">
      <w:pPr>
        <w:pStyle w:val="Prrafodelista"/>
        <w:numPr>
          <w:ilvl w:val="0"/>
          <w:numId w:val="18"/>
        </w:numPr>
        <w:ind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Calidad del servicio</w:t>
      </w:r>
    </w:p>
    <w:p w14:paraId="14080F1B" w14:textId="77777777" w:rsidR="00277AD5" w:rsidRPr="00AF28B8" w:rsidRDefault="00277AD5" w:rsidP="00277AD5">
      <w:pPr>
        <w:pStyle w:val="Prrafodelista"/>
        <w:numPr>
          <w:ilvl w:val="0"/>
          <w:numId w:val="18"/>
        </w:numPr>
        <w:ind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Pago de salarios y prestaciones sociales</w:t>
      </w:r>
    </w:p>
    <w:p w14:paraId="14383F1A" w14:textId="77777777" w:rsidR="00277AD5" w:rsidRPr="00AF28B8" w:rsidRDefault="00277AD5" w:rsidP="00277AD5">
      <w:pPr>
        <w:pStyle w:val="Prrafodelista"/>
        <w:numPr>
          <w:ilvl w:val="0"/>
          <w:numId w:val="18"/>
        </w:numPr>
        <w:ind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Manejo del anticipo</w:t>
      </w:r>
    </w:p>
    <w:p w14:paraId="4CD97614" w14:textId="77777777" w:rsidR="00277AD5" w:rsidRPr="00AF28B8" w:rsidRDefault="00277AD5" w:rsidP="00277AD5">
      <w:pPr>
        <w:pStyle w:val="Prrafodelista"/>
        <w:numPr>
          <w:ilvl w:val="0"/>
          <w:numId w:val="18"/>
        </w:numPr>
        <w:ind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Estabilidad y calidad de la obra</w:t>
      </w:r>
    </w:p>
    <w:p w14:paraId="4D93A87E" w14:textId="77777777" w:rsidR="00277AD5" w:rsidRPr="00AF28B8" w:rsidRDefault="00277AD5" w:rsidP="00277AD5">
      <w:pPr>
        <w:pStyle w:val="Prrafodelista"/>
        <w:numPr>
          <w:ilvl w:val="0"/>
          <w:numId w:val="18"/>
        </w:numPr>
        <w:ind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Responsabilidad civil extracontractual por 400 SMMLV</w:t>
      </w:r>
    </w:p>
    <w:p w14:paraId="34B3D1B3"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p>
    <w:p w14:paraId="71809764"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4.El contratista, a través de compañía aseguradora, expidió las pólizas de cumplimiento y responsabilidad civil extracontractual, las cuales fueron aprobadas por la entidad al momento del acta de inicio.</w:t>
      </w:r>
    </w:p>
    <w:p w14:paraId="6D3CCF96"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5.Posteriormente, la entidad evidenció que las garantías presentaban diferencias por centavos frente al valor asegurado total, razón por la cual solicitó su ajuste.</w:t>
      </w:r>
    </w:p>
    <w:p w14:paraId="50F49BDC"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6.El contratista procedió a subsanar las observaciones realizadas por la entidad en cuanto a los centavos en el valor asegurado.</w:t>
      </w:r>
    </w:p>
    <w:p w14:paraId="530C3631"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7.Una vez corregido lo anterior, la entidad formuló nueva observación, consistente en exigir que la garantía de responsabilidad civil extracontractual se actualice al SMMLV de la vigencia 2026, pese a que:</w:t>
      </w:r>
    </w:p>
    <w:p w14:paraId="1687C587" w14:textId="77777777" w:rsidR="00277AD5" w:rsidRPr="00AF28B8" w:rsidRDefault="00277AD5" w:rsidP="00277AD5">
      <w:pPr>
        <w:pStyle w:val="Prrafodelista"/>
        <w:numPr>
          <w:ilvl w:val="0"/>
          <w:numId w:val="19"/>
        </w:numPr>
        <w:ind w:left="1134"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El contrato fue suscrito en 2025.</w:t>
      </w:r>
    </w:p>
    <w:p w14:paraId="71B189B5" w14:textId="77777777" w:rsidR="00277AD5" w:rsidRPr="00AF28B8" w:rsidRDefault="00277AD5" w:rsidP="00277AD5">
      <w:pPr>
        <w:pStyle w:val="Prrafodelista"/>
        <w:numPr>
          <w:ilvl w:val="0"/>
          <w:numId w:val="19"/>
        </w:numPr>
        <w:ind w:left="1134"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Las garantías ya habían sido aprobadas.</w:t>
      </w:r>
    </w:p>
    <w:p w14:paraId="42FCD166" w14:textId="77777777" w:rsidR="00277AD5" w:rsidRDefault="00277AD5" w:rsidP="00277AD5">
      <w:pPr>
        <w:pStyle w:val="Prrafodelista"/>
        <w:numPr>
          <w:ilvl w:val="0"/>
          <w:numId w:val="19"/>
        </w:numPr>
        <w:ind w:left="1134"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No se ha expedido acto administrativo motivado ordenando la modificación de la garantía.</w:t>
      </w:r>
    </w:p>
    <w:p w14:paraId="77FA1E94" w14:textId="77777777" w:rsidR="00277AD5" w:rsidRPr="00AF28B8" w:rsidRDefault="00277AD5" w:rsidP="00277AD5">
      <w:pPr>
        <w:pStyle w:val="Prrafodelista"/>
        <w:ind w:left="1134" w:right="709"/>
        <w:jc w:val="both"/>
        <w:rPr>
          <w:rFonts w:ascii="Verdana" w:eastAsia="Century Gothic" w:hAnsi="Verdana" w:cs="Century Gothic"/>
          <w:i/>
          <w:iCs/>
          <w:color w:val="000000" w:themeColor="text1"/>
          <w:sz w:val="20"/>
          <w:szCs w:val="20"/>
        </w:rPr>
      </w:pPr>
    </w:p>
    <w:p w14:paraId="5173FC84"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8.La situación descrita genera incertidumbre jurídica sobre la procedencia de la exigencia y el alcance de la obligación del contratista.</w:t>
      </w:r>
    </w:p>
    <w:p w14:paraId="69AB2B64"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 xml:space="preserve"> </w:t>
      </w:r>
    </w:p>
    <w:p w14:paraId="66AC9A8E" w14:textId="77777777" w:rsidR="00277AD5"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II. PROBLEMA JURÍDICO</w:t>
      </w:r>
      <w:r>
        <w:rPr>
          <w:rFonts w:ascii="Verdana" w:eastAsia="Century Gothic" w:hAnsi="Verdana" w:cs="Century Gothic"/>
          <w:i/>
          <w:iCs/>
          <w:color w:val="000000" w:themeColor="text1"/>
          <w:sz w:val="20"/>
          <w:szCs w:val="20"/>
        </w:rPr>
        <w:t>:</w:t>
      </w:r>
    </w:p>
    <w:p w14:paraId="06B223C3"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p>
    <w:p w14:paraId="7B12B213"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Se solicita concepto sobre:</w:t>
      </w:r>
    </w:p>
    <w:p w14:paraId="174672A0"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1.¿Es jurídicamente procedente exigir la actualización al SMMLV de la vigencia 2026 de la póliza de responsabilidad civil extracontractual cuando el contrato fue suscrito en 2025 y las garantías fueron oportunamente aprobadas?</w:t>
      </w:r>
    </w:p>
    <w:p w14:paraId="04A81103"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2.¿La entidad estatal puede requerir dicho ajuste sin la expedición de un acto administrativo motivado que modifique o requiera formalmente la garantía?</w:t>
      </w:r>
    </w:p>
    <w:p w14:paraId="3EA14C00" w14:textId="77777777" w:rsidR="00277AD5" w:rsidRPr="00AF28B8"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lastRenderedPageBreak/>
        <w:t>3.¿Las correcciones por diferencias mínimas (centavos) constituyen causal suficiente para exigir la reexpedición o actualización integral de la póliza?</w:t>
      </w:r>
    </w:p>
    <w:p w14:paraId="4CED6069" w14:textId="77777777" w:rsidR="00277AD5" w:rsidRPr="00970C7D" w:rsidRDefault="00277AD5" w:rsidP="00277AD5">
      <w:pPr>
        <w:ind w:left="709" w:right="709"/>
        <w:jc w:val="both"/>
        <w:rPr>
          <w:rFonts w:ascii="Verdana" w:eastAsia="Century Gothic" w:hAnsi="Verdana" w:cs="Century Gothic"/>
          <w:i/>
          <w:iCs/>
          <w:color w:val="000000" w:themeColor="text1"/>
          <w:sz w:val="20"/>
          <w:szCs w:val="20"/>
        </w:rPr>
      </w:pPr>
      <w:r w:rsidRPr="00AF28B8">
        <w:rPr>
          <w:rFonts w:ascii="Verdana" w:eastAsia="Century Gothic" w:hAnsi="Verdana" w:cs="Century Gothic"/>
          <w:i/>
          <w:iCs/>
          <w:color w:val="000000" w:themeColor="text1"/>
          <w:sz w:val="20"/>
          <w:szCs w:val="20"/>
        </w:rPr>
        <w:t>4.Conforme al Decreto 1082 de 2015, ¿el valor en SMMLV de la garantía de responsabilidad civil extracontractual debe entenderse fijado a la fecha de expedición de la póliza o debe actualizarse automáticamente con el cambio de vigencia anual?</w:t>
      </w:r>
      <w:r>
        <w:rPr>
          <w:rFonts w:ascii="Verdana" w:eastAsia="Century Gothic" w:hAnsi="Verdana" w:cs="Century Gothic"/>
          <w:i/>
          <w:iCs/>
          <w:color w:val="000000" w:themeColor="text1"/>
          <w:sz w:val="20"/>
          <w:szCs w:val="20"/>
        </w:rPr>
        <w:t>”</w:t>
      </w:r>
      <w:r w:rsidRPr="00970C7D">
        <w:rPr>
          <w:rFonts w:ascii="Verdana" w:eastAsia="Century Gothic" w:hAnsi="Verdana" w:cs="Century Gothic"/>
          <w:i/>
          <w:iCs/>
          <w:color w:val="000000" w:themeColor="text1"/>
          <w:sz w:val="20"/>
          <w:szCs w:val="20"/>
        </w:rPr>
        <w:t xml:space="preserve">. </w:t>
      </w:r>
    </w:p>
    <w:p w14:paraId="49986FC4" w14:textId="77777777" w:rsidR="00277AD5" w:rsidRDefault="00277AD5" w:rsidP="00277AD5">
      <w:pPr>
        <w:ind w:left="709" w:right="709"/>
        <w:jc w:val="both"/>
        <w:rPr>
          <w:rFonts w:ascii="Verdana" w:eastAsia="Century Gothic" w:hAnsi="Verdana" w:cs="Century Gothic"/>
          <w:i/>
          <w:iCs/>
          <w:color w:val="000000" w:themeColor="text1"/>
          <w:sz w:val="20"/>
          <w:szCs w:val="20"/>
        </w:rPr>
      </w:pPr>
    </w:p>
    <w:p w14:paraId="780480F3" w14:textId="77777777" w:rsidR="00277AD5" w:rsidRDefault="00277AD5" w:rsidP="00277AD5">
      <w:pPr>
        <w:spacing w:line="276" w:lineRule="auto"/>
        <w:ind w:right="51" w:firstLine="709"/>
        <w:jc w:val="both"/>
        <w:rPr>
          <w:rFonts w:ascii="Verdana" w:eastAsia="Calibri" w:hAnsi="Verdana" w:cs="Arial"/>
          <w:color w:val="000000" w:themeColor="text1"/>
          <w:lang w:val="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lang w:val="es-ES_tradnl"/>
        </w:rPr>
        <w:tab/>
      </w:r>
    </w:p>
    <w:p w14:paraId="5FD3E6CE" w14:textId="77777777" w:rsidR="00277AD5" w:rsidRPr="00115E3D" w:rsidRDefault="00277AD5" w:rsidP="00277AD5">
      <w:pPr>
        <w:ind w:right="49"/>
        <w:jc w:val="both"/>
        <w:rPr>
          <w:rFonts w:ascii="Verdana" w:eastAsia="Calibri" w:hAnsi="Verdana" w:cs="Arial"/>
          <w:color w:val="000000" w:themeColor="text1"/>
          <w:lang w:val="es-ES_tradnl"/>
        </w:rPr>
      </w:pPr>
    </w:p>
    <w:p w14:paraId="5F4A68D7" w14:textId="77777777" w:rsidR="00277AD5" w:rsidRPr="00115E3D" w:rsidRDefault="00277AD5" w:rsidP="00277AD5">
      <w:pPr>
        <w:spacing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44A4F18C" w14:textId="77777777" w:rsidR="00277AD5" w:rsidRPr="00115E3D" w:rsidRDefault="00277AD5" w:rsidP="00277AD5">
      <w:pPr>
        <w:spacing w:line="276" w:lineRule="auto"/>
        <w:ind w:firstLine="709"/>
        <w:jc w:val="both"/>
        <w:rPr>
          <w:rFonts w:ascii="Verdana" w:eastAsia="Calibri" w:hAnsi="Verdana" w:cs="Arial"/>
          <w:color w:val="000000" w:themeColor="text1"/>
          <w:lang w:val="es-ES" w:eastAsia="es-ES"/>
        </w:rPr>
      </w:pPr>
    </w:p>
    <w:p w14:paraId="06D361DA" w14:textId="77777777" w:rsidR="00277AD5" w:rsidRPr="00115E3D" w:rsidRDefault="00277AD5" w:rsidP="00277AD5">
      <w:pPr>
        <w:pStyle w:val="Prrafodelista"/>
        <w:numPr>
          <w:ilvl w:val="0"/>
          <w:numId w:val="16"/>
        </w:numPr>
        <w:tabs>
          <w:tab w:val="left" w:pos="142"/>
          <w:tab w:val="left" w:pos="284"/>
        </w:tabs>
        <w:spacing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65DA170" w14:textId="77777777" w:rsidR="00277AD5" w:rsidRPr="00115E3D" w:rsidRDefault="00277AD5" w:rsidP="00277AD5">
      <w:pPr>
        <w:tabs>
          <w:tab w:val="left" w:pos="426"/>
        </w:tabs>
        <w:spacing w:line="276" w:lineRule="auto"/>
        <w:jc w:val="both"/>
        <w:rPr>
          <w:rFonts w:ascii="Verdana" w:eastAsia="Century Gothic" w:hAnsi="Verdana" w:cs="Century Gothic"/>
          <w:color w:val="000000" w:themeColor="text1"/>
          <w:lang w:val="es-ES"/>
        </w:rPr>
      </w:pPr>
    </w:p>
    <w:p w14:paraId="01073D34" w14:textId="77777777" w:rsidR="00277AD5" w:rsidRDefault="00277AD5" w:rsidP="00277AD5">
      <w:pPr>
        <w:spacing w:line="276" w:lineRule="auto"/>
        <w:jc w:val="both"/>
        <w:rPr>
          <w:rFonts w:ascii="Verdana" w:eastAsia="Verdana" w:hAnsi="Verdana" w:cs="Verdana"/>
          <w:lang w:val="es-ES"/>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117910">
        <w:rPr>
          <w:rFonts w:ascii="Verdana" w:eastAsia="Verdana" w:hAnsi="Verdana" w:cs="Verdana"/>
        </w:rPr>
        <w:t xml:space="preserve">¿En qué casos resulta procedente exigir la actualización o modificación de la póliza de responsabilidad civil extracontractual constituida en un contrato estatal, particularmente </w:t>
      </w:r>
      <w:r w:rsidRPr="00117910">
        <w:rPr>
          <w:rFonts w:ascii="Verdana" w:eastAsia="Verdana" w:hAnsi="Verdana" w:cs="Verdana"/>
        </w:rPr>
        <w:lastRenderedPageBreak/>
        <w:t>cuando el valor del amparo ha sido fijado en salarios mínimos legales mensuales vigentes (SMMLV)?</w:t>
      </w:r>
    </w:p>
    <w:p w14:paraId="0DC39C95" w14:textId="77777777" w:rsidR="00277AD5" w:rsidRDefault="00277AD5" w:rsidP="00277AD5">
      <w:pPr>
        <w:spacing w:line="276" w:lineRule="auto"/>
        <w:jc w:val="both"/>
        <w:rPr>
          <w:rFonts w:ascii="Verdana" w:eastAsia="Verdana" w:hAnsi="Verdana" w:cs="Verdana"/>
          <w:lang w:val="es-ES"/>
        </w:rPr>
      </w:pPr>
    </w:p>
    <w:p w14:paraId="245AA572" w14:textId="77777777" w:rsidR="00277AD5" w:rsidRPr="00115E3D" w:rsidRDefault="00277AD5" w:rsidP="00277AD5">
      <w:pPr>
        <w:pStyle w:val="Prrafodelista"/>
        <w:numPr>
          <w:ilvl w:val="0"/>
          <w:numId w:val="16"/>
        </w:numPr>
        <w:tabs>
          <w:tab w:val="left" w:pos="142"/>
          <w:tab w:val="left" w:pos="284"/>
        </w:tabs>
        <w:spacing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489D6ED" w14:textId="77777777" w:rsidR="00277AD5" w:rsidRPr="00115E3D" w:rsidRDefault="00277AD5" w:rsidP="00277AD5">
      <w:pPr>
        <w:tabs>
          <w:tab w:val="left" w:pos="142"/>
          <w:tab w:val="left" w:pos="284"/>
        </w:tabs>
        <w:spacing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77AD5" w:rsidRPr="00115E3D" w14:paraId="3C9B893C" w14:textId="77777777" w:rsidTr="00241FBC">
        <w:trPr>
          <w:trHeight w:val="774"/>
        </w:trPr>
        <w:tc>
          <w:tcPr>
            <w:tcW w:w="8828" w:type="dxa"/>
          </w:tcPr>
          <w:p w14:paraId="725369A4" w14:textId="77777777" w:rsidR="000178AF" w:rsidRPr="00867503" w:rsidRDefault="000178AF" w:rsidP="00867503">
            <w:pPr>
              <w:pStyle w:val="NormalWeb"/>
              <w:spacing w:before="0" w:beforeAutospacing="0" w:after="120" w:afterAutospacing="0" w:line="276" w:lineRule="auto"/>
              <w:jc w:val="both"/>
              <w:rPr>
                <w:rFonts w:ascii="Verdana" w:hAnsi="Verdana" w:cs="Segoe UI"/>
                <w:sz w:val="22"/>
                <w:szCs w:val="22"/>
              </w:rPr>
            </w:pPr>
            <w:r w:rsidRPr="00867503">
              <w:rPr>
                <w:rFonts w:ascii="Verdana" w:hAnsi="Verdana" w:cs="Segoe UI"/>
                <w:sz w:val="22"/>
                <w:szCs w:val="22"/>
              </w:rPr>
              <w:t xml:space="preserve">La exigencia de </w:t>
            </w:r>
            <w:r w:rsidRPr="00867503">
              <w:rPr>
                <w:rStyle w:val="Textoennegrita"/>
                <w:rFonts w:ascii="Verdana" w:hAnsi="Verdana" w:cs="Segoe UI"/>
                <w:b w:val="0"/>
                <w:bCs w:val="0"/>
                <w:sz w:val="22"/>
                <w:szCs w:val="22"/>
              </w:rPr>
              <w:t>actualizar o modificar la póliza de responsabilidad civil extracontractual</w:t>
            </w:r>
            <w:r w:rsidRPr="00867503">
              <w:rPr>
                <w:rFonts w:ascii="Verdana" w:hAnsi="Verdana" w:cs="Segoe UI"/>
                <w:sz w:val="22"/>
                <w:szCs w:val="22"/>
              </w:rPr>
              <w:t xml:space="preserve"> en un contrato estatal </w:t>
            </w:r>
            <w:r w:rsidRPr="00867503">
              <w:rPr>
                <w:rStyle w:val="Textoennegrita"/>
                <w:rFonts w:ascii="Verdana" w:hAnsi="Verdana" w:cs="Segoe UI"/>
                <w:b w:val="0"/>
                <w:bCs w:val="0"/>
                <w:sz w:val="22"/>
                <w:szCs w:val="22"/>
              </w:rPr>
              <w:t>no surge de manera automática</w:t>
            </w:r>
            <w:r w:rsidRPr="00867503">
              <w:rPr>
                <w:rFonts w:ascii="Verdana" w:hAnsi="Verdana" w:cs="Segoe UI"/>
                <w:sz w:val="22"/>
                <w:szCs w:val="22"/>
              </w:rPr>
              <w:t xml:space="preserve"> por el solo hecho del cambio anual del salario mínimo legal mensual vigente (SMMLV), aun cuando el valor del amparo haya sido fijado en SMMLV.</w:t>
            </w:r>
          </w:p>
          <w:p w14:paraId="0508A00F" w14:textId="325D9863" w:rsidR="000178AF" w:rsidRPr="00867503" w:rsidRDefault="000178AF" w:rsidP="00867503">
            <w:pPr>
              <w:pStyle w:val="NormalWeb"/>
              <w:spacing w:before="0" w:beforeAutospacing="0" w:after="120" w:afterAutospacing="0" w:line="276" w:lineRule="auto"/>
              <w:ind w:firstLine="709"/>
              <w:jc w:val="both"/>
              <w:rPr>
                <w:rFonts w:ascii="Verdana" w:hAnsi="Verdana" w:cs="Segoe UI"/>
                <w:sz w:val="22"/>
                <w:szCs w:val="22"/>
              </w:rPr>
            </w:pPr>
            <w:r w:rsidRPr="00867503">
              <w:rPr>
                <w:rFonts w:ascii="Verdana" w:hAnsi="Verdana" w:cs="Segoe UI"/>
                <w:sz w:val="22"/>
                <w:szCs w:val="22"/>
              </w:rPr>
              <w:t xml:space="preserve">De conformidad con el </w:t>
            </w:r>
            <w:r w:rsidRPr="00867503">
              <w:rPr>
                <w:rStyle w:val="Textoennegrita"/>
                <w:rFonts w:ascii="Verdana" w:hAnsi="Verdana" w:cs="Segoe UI"/>
                <w:b w:val="0"/>
                <w:bCs w:val="0"/>
                <w:sz w:val="22"/>
                <w:szCs w:val="22"/>
              </w:rPr>
              <w:t>Decreto 1082 de 2015</w:t>
            </w:r>
            <w:r w:rsidRPr="00867503">
              <w:rPr>
                <w:rFonts w:ascii="Verdana" w:hAnsi="Verdana" w:cs="Segoe UI"/>
                <w:sz w:val="22"/>
                <w:szCs w:val="22"/>
              </w:rPr>
              <w:t xml:space="preserve">, las garantías contractuales, incluida la </w:t>
            </w:r>
            <w:r>
              <w:rPr>
                <w:rFonts w:ascii="Verdana" w:hAnsi="Verdana" w:cs="Segoe UI"/>
                <w:sz w:val="22"/>
                <w:szCs w:val="22"/>
              </w:rPr>
              <w:t xml:space="preserve">de </w:t>
            </w:r>
            <w:r w:rsidRPr="000178AF">
              <w:rPr>
                <w:rFonts w:ascii="Verdana" w:hAnsi="Verdana" w:cs="Segoe UI"/>
                <w:sz w:val="22"/>
                <w:szCs w:val="22"/>
              </w:rPr>
              <w:t>R</w:t>
            </w:r>
            <w:r>
              <w:rPr>
                <w:rFonts w:ascii="Verdana" w:hAnsi="Verdana" w:cs="Segoe UI"/>
                <w:sz w:val="22"/>
                <w:szCs w:val="22"/>
              </w:rPr>
              <w:t xml:space="preserve">esponsabilidad </w:t>
            </w:r>
            <w:r w:rsidRPr="00867503">
              <w:rPr>
                <w:rFonts w:ascii="Verdana" w:hAnsi="Verdana" w:cs="Segoe UI"/>
                <w:sz w:val="22"/>
                <w:szCs w:val="22"/>
              </w:rPr>
              <w:t>C</w:t>
            </w:r>
            <w:r>
              <w:rPr>
                <w:rFonts w:ascii="Verdana" w:hAnsi="Verdana" w:cs="Segoe UI"/>
                <w:sz w:val="22"/>
                <w:szCs w:val="22"/>
              </w:rPr>
              <w:t xml:space="preserve">ivil </w:t>
            </w:r>
            <w:r w:rsidRPr="00867503">
              <w:rPr>
                <w:rFonts w:ascii="Verdana" w:hAnsi="Verdana" w:cs="Segoe UI"/>
                <w:sz w:val="22"/>
                <w:szCs w:val="22"/>
              </w:rPr>
              <w:t>E</w:t>
            </w:r>
            <w:r>
              <w:rPr>
                <w:rFonts w:ascii="Verdana" w:hAnsi="Verdana" w:cs="Segoe UI"/>
                <w:sz w:val="22"/>
                <w:szCs w:val="22"/>
              </w:rPr>
              <w:t>xtracontractual</w:t>
            </w:r>
            <w:r w:rsidRPr="00867503">
              <w:rPr>
                <w:rFonts w:ascii="Verdana" w:hAnsi="Verdana" w:cs="Segoe UI"/>
                <w:sz w:val="22"/>
                <w:szCs w:val="22"/>
              </w:rPr>
              <w:t xml:space="preserve">, deben ser </w:t>
            </w:r>
            <w:r w:rsidRPr="00867503">
              <w:rPr>
                <w:rStyle w:val="Textoennegrita"/>
                <w:rFonts w:ascii="Verdana" w:hAnsi="Verdana" w:cs="Segoe UI"/>
                <w:b w:val="0"/>
                <w:bCs w:val="0"/>
                <w:sz w:val="22"/>
                <w:szCs w:val="22"/>
              </w:rPr>
              <w:t>suficientes en valor, vigencia y cobertura</w:t>
            </w:r>
            <w:r w:rsidRPr="00867503">
              <w:rPr>
                <w:rFonts w:ascii="Verdana" w:hAnsi="Verdana" w:cs="Segoe UI"/>
                <w:sz w:val="22"/>
                <w:szCs w:val="22"/>
              </w:rPr>
              <w:t xml:space="preserve">, y su finalidad es </w:t>
            </w:r>
            <w:r w:rsidRPr="00867503">
              <w:rPr>
                <w:rStyle w:val="Textoennegrita"/>
                <w:rFonts w:ascii="Verdana" w:hAnsi="Verdana" w:cs="Segoe UI"/>
                <w:b w:val="0"/>
                <w:bCs w:val="0"/>
                <w:sz w:val="22"/>
                <w:szCs w:val="22"/>
              </w:rPr>
              <w:t>cubrir los riesgos derivados de la ejecución del contrato durante todo su plazo</w:t>
            </w:r>
            <w:r w:rsidRPr="00867503">
              <w:rPr>
                <w:rFonts w:ascii="Verdana" w:hAnsi="Verdana" w:cs="Segoe UI"/>
                <w:sz w:val="22"/>
                <w:szCs w:val="22"/>
              </w:rPr>
              <w:t xml:space="preserve">. En particular, la póliza de </w:t>
            </w:r>
            <w:r w:rsidRPr="000178AF">
              <w:rPr>
                <w:rFonts w:ascii="Verdana" w:hAnsi="Verdana" w:cs="Segoe UI"/>
                <w:sz w:val="22"/>
                <w:szCs w:val="22"/>
              </w:rPr>
              <w:t>R</w:t>
            </w:r>
            <w:r>
              <w:rPr>
                <w:rFonts w:ascii="Verdana" w:hAnsi="Verdana" w:cs="Segoe UI"/>
                <w:sz w:val="22"/>
                <w:szCs w:val="22"/>
              </w:rPr>
              <w:t xml:space="preserve">esponsabilidad </w:t>
            </w:r>
            <w:r w:rsidRPr="00867503">
              <w:rPr>
                <w:rFonts w:ascii="Verdana" w:hAnsi="Verdana" w:cs="Segoe UI"/>
                <w:sz w:val="22"/>
                <w:szCs w:val="22"/>
              </w:rPr>
              <w:t>C</w:t>
            </w:r>
            <w:r>
              <w:rPr>
                <w:rFonts w:ascii="Verdana" w:hAnsi="Verdana" w:cs="Segoe UI"/>
                <w:sz w:val="22"/>
                <w:szCs w:val="22"/>
              </w:rPr>
              <w:t xml:space="preserve">ivil </w:t>
            </w:r>
            <w:r w:rsidRPr="00867503">
              <w:rPr>
                <w:rFonts w:ascii="Verdana" w:hAnsi="Verdana" w:cs="Segoe UI"/>
                <w:sz w:val="22"/>
                <w:szCs w:val="22"/>
              </w:rPr>
              <w:t>E</w:t>
            </w:r>
            <w:r>
              <w:rPr>
                <w:rFonts w:ascii="Verdana" w:hAnsi="Verdana" w:cs="Segoe UI"/>
                <w:sz w:val="22"/>
                <w:szCs w:val="22"/>
              </w:rPr>
              <w:t>xtracontractual</w:t>
            </w:r>
            <w:r w:rsidRPr="00867503">
              <w:rPr>
                <w:rFonts w:ascii="Verdana" w:hAnsi="Verdana" w:cs="Segoe UI"/>
                <w:sz w:val="22"/>
                <w:szCs w:val="22"/>
              </w:rPr>
              <w:t xml:space="preserve"> debe constituirse por el valor determinado en SMMLV según el valor del contrato y tener una vigencia igual al término de ejecución contractual.</w:t>
            </w:r>
          </w:p>
          <w:p w14:paraId="36F10D15" w14:textId="6D95CDB1" w:rsidR="000178AF" w:rsidRPr="00867503" w:rsidRDefault="000178AF" w:rsidP="00867503">
            <w:pPr>
              <w:pStyle w:val="NormalWeb"/>
              <w:spacing w:before="0" w:beforeAutospacing="0" w:after="120" w:afterAutospacing="0" w:line="276" w:lineRule="auto"/>
              <w:ind w:firstLine="709"/>
              <w:jc w:val="both"/>
              <w:rPr>
                <w:rFonts w:ascii="Verdana" w:hAnsi="Verdana" w:cs="Segoe UI"/>
                <w:sz w:val="22"/>
                <w:szCs w:val="22"/>
              </w:rPr>
            </w:pPr>
            <w:r w:rsidRPr="00867503">
              <w:rPr>
                <w:rFonts w:ascii="Verdana" w:hAnsi="Verdana" w:cs="Segoe UI"/>
                <w:sz w:val="22"/>
                <w:szCs w:val="22"/>
              </w:rPr>
              <w:t xml:space="preserve">En este marco, la </w:t>
            </w:r>
            <w:r w:rsidRPr="00867503">
              <w:rPr>
                <w:rStyle w:val="Textoennegrita"/>
                <w:rFonts w:ascii="Verdana" w:hAnsi="Verdana" w:cs="Segoe UI"/>
                <w:b w:val="0"/>
                <w:bCs w:val="0"/>
                <w:sz w:val="22"/>
                <w:szCs w:val="22"/>
              </w:rPr>
              <w:t>obligación del contratista</w:t>
            </w:r>
            <w:r w:rsidRPr="00867503">
              <w:rPr>
                <w:rFonts w:ascii="Verdana" w:hAnsi="Verdana" w:cs="Segoe UI"/>
                <w:sz w:val="22"/>
                <w:szCs w:val="22"/>
              </w:rPr>
              <w:t xml:space="preserve"> consiste en constituir y mantener vigente la garantía</w:t>
            </w:r>
            <w:r>
              <w:rPr>
                <w:rFonts w:ascii="Verdana" w:hAnsi="Verdana" w:cs="Segoe UI"/>
                <w:sz w:val="22"/>
                <w:szCs w:val="22"/>
              </w:rPr>
              <w:t xml:space="preserve">, de acuerdo con lo establecido </w:t>
            </w:r>
            <w:proofErr w:type="spellStart"/>
            <w:r>
              <w:rPr>
                <w:rFonts w:ascii="Verdana" w:hAnsi="Verdana" w:cs="Segoe UI"/>
                <w:sz w:val="22"/>
                <w:szCs w:val="22"/>
              </w:rPr>
              <w:t>enel</w:t>
            </w:r>
            <w:proofErr w:type="spellEnd"/>
            <w:r>
              <w:rPr>
                <w:rFonts w:ascii="Verdana" w:hAnsi="Verdana" w:cs="Segoe UI"/>
                <w:sz w:val="22"/>
                <w:szCs w:val="22"/>
              </w:rPr>
              <w:t xml:space="preserve"> marco normativo y lo pactado en el contrato,</w:t>
            </w:r>
            <w:r w:rsidRPr="00867503">
              <w:rPr>
                <w:rFonts w:ascii="Verdana" w:hAnsi="Verdana" w:cs="Segoe UI"/>
                <w:sz w:val="22"/>
                <w:szCs w:val="22"/>
              </w:rPr>
              <w:t xml:space="preserve"> y la </w:t>
            </w:r>
            <w:r w:rsidRPr="00867503">
              <w:rPr>
                <w:rStyle w:val="Textoennegrita"/>
                <w:rFonts w:ascii="Verdana" w:hAnsi="Verdana" w:cs="Segoe UI"/>
                <w:b w:val="0"/>
                <w:bCs w:val="0"/>
                <w:sz w:val="22"/>
                <w:szCs w:val="22"/>
              </w:rPr>
              <w:t>obligación de la entidad</w:t>
            </w:r>
            <w:r w:rsidRPr="00867503">
              <w:rPr>
                <w:rFonts w:ascii="Verdana" w:hAnsi="Verdana" w:cs="Segoe UI"/>
                <w:sz w:val="22"/>
                <w:szCs w:val="22"/>
              </w:rPr>
              <w:t xml:space="preserve"> es verificar su suficiencia al momento de dicha aprobación.</w:t>
            </w:r>
          </w:p>
          <w:p w14:paraId="00E07E69" w14:textId="7D37E2B2" w:rsidR="000178AF" w:rsidRPr="00867503" w:rsidRDefault="000178AF" w:rsidP="00867503">
            <w:pPr>
              <w:pStyle w:val="NormalWeb"/>
              <w:spacing w:before="0" w:beforeAutospacing="0" w:after="120" w:afterAutospacing="0" w:line="276" w:lineRule="auto"/>
              <w:ind w:firstLine="709"/>
              <w:jc w:val="both"/>
              <w:rPr>
                <w:rFonts w:ascii="Verdana" w:hAnsi="Verdana" w:cs="Segoe UI"/>
                <w:sz w:val="22"/>
                <w:szCs w:val="22"/>
              </w:rPr>
            </w:pPr>
            <w:r w:rsidRPr="00867503">
              <w:rPr>
                <w:rStyle w:val="Textoennegrita"/>
                <w:rFonts w:ascii="Verdana" w:eastAsia="Cambria" w:hAnsi="Verdana" w:cs="Segoe UI"/>
                <w:b w:val="0"/>
                <w:bCs w:val="0"/>
                <w:sz w:val="22"/>
                <w:szCs w:val="22"/>
              </w:rPr>
              <w:t xml:space="preserve">Ahora bien, respecto de </w:t>
            </w:r>
            <w:r w:rsidRPr="00867503">
              <w:rPr>
                <w:rStyle w:val="Textoennegrita"/>
                <w:rFonts w:ascii="Verdana" w:hAnsi="Verdana" w:cs="Segoe UI"/>
                <w:b w:val="0"/>
                <w:bCs w:val="0"/>
                <w:sz w:val="22"/>
                <w:szCs w:val="22"/>
              </w:rPr>
              <w:t>la actualización o modificación de la póliza procede únicamente cuando se presentan circunstancias posteriores que alteran las condiciones inicialmente verificadas</w:t>
            </w:r>
            <w:r w:rsidRPr="00867503">
              <w:rPr>
                <w:rFonts w:ascii="Verdana" w:hAnsi="Verdana" w:cs="Segoe UI"/>
                <w:sz w:val="22"/>
                <w:szCs w:val="22"/>
              </w:rPr>
              <w:t>, tales como:</w:t>
            </w:r>
            <w:r w:rsidR="00117BFC">
              <w:rPr>
                <w:rFonts w:ascii="Verdana" w:hAnsi="Verdana" w:cs="Segoe UI"/>
                <w:sz w:val="22"/>
                <w:szCs w:val="22"/>
              </w:rPr>
              <w:t xml:space="preserve"> la </w:t>
            </w:r>
            <w:r w:rsidR="00117BFC" w:rsidRPr="00867503">
              <w:rPr>
                <w:rStyle w:val="Textoennegrita"/>
                <w:rFonts w:ascii="Verdana" w:hAnsi="Verdana"/>
                <w:b w:val="0"/>
                <w:bCs w:val="0"/>
                <w:sz w:val="22"/>
                <w:szCs w:val="22"/>
              </w:rPr>
              <w:t>a</w:t>
            </w:r>
            <w:r w:rsidRPr="00867503">
              <w:rPr>
                <w:rStyle w:val="Textoennegrita"/>
                <w:rFonts w:ascii="Verdana" w:hAnsi="Verdana" w:cs="Segoe UI"/>
                <w:b w:val="0"/>
                <w:bCs w:val="0"/>
                <w:sz w:val="22"/>
                <w:szCs w:val="22"/>
              </w:rPr>
              <w:t>mpliación, suspensión o prórroga del plazo contractual</w:t>
            </w:r>
            <w:r w:rsidRPr="00867503">
              <w:rPr>
                <w:rFonts w:ascii="Verdana" w:hAnsi="Verdana" w:cs="Segoe UI"/>
                <w:sz w:val="22"/>
                <w:szCs w:val="22"/>
              </w:rPr>
              <w:t>, que exige extender la vigencia del amparo para evitar vacíos de cobertura</w:t>
            </w:r>
            <w:r w:rsidR="00117BFC">
              <w:rPr>
                <w:rFonts w:ascii="Verdana" w:hAnsi="Verdana" w:cs="Segoe UI"/>
                <w:sz w:val="22"/>
                <w:szCs w:val="22"/>
              </w:rPr>
              <w:t xml:space="preserve">; la </w:t>
            </w:r>
            <w:r w:rsidR="00117BFC" w:rsidRPr="00867503">
              <w:rPr>
                <w:rStyle w:val="Textoennegrita"/>
                <w:rFonts w:ascii="Verdana" w:hAnsi="Verdana"/>
                <w:b w:val="0"/>
                <w:bCs w:val="0"/>
                <w:sz w:val="22"/>
                <w:szCs w:val="22"/>
              </w:rPr>
              <w:t>a</w:t>
            </w:r>
            <w:r w:rsidRPr="00867503">
              <w:rPr>
                <w:rStyle w:val="Textoennegrita"/>
                <w:rFonts w:ascii="Verdana" w:hAnsi="Verdana" w:cs="Segoe UI"/>
                <w:b w:val="0"/>
                <w:bCs w:val="0"/>
                <w:sz w:val="22"/>
                <w:szCs w:val="22"/>
              </w:rPr>
              <w:t>dición o modificación del valor del contrato</w:t>
            </w:r>
            <w:r w:rsidRPr="00867503">
              <w:rPr>
                <w:rFonts w:ascii="Verdana" w:hAnsi="Verdana" w:cs="Segoe UI"/>
                <w:sz w:val="22"/>
                <w:szCs w:val="22"/>
              </w:rPr>
              <w:t>, cuando ello implique un aumento del monto del amparo exigid</w:t>
            </w:r>
            <w:r w:rsidR="00117BFC">
              <w:rPr>
                <w:rFonts w:ascii="Verdana" w:hAnsi="Verdana" w:cs="Segoe UI"/>
                <w:sz w:val="22"/>
                <w:szCs w:val="22"/>
              </w:rPr>
              <w:t>o; en general, frente a los c</w:t>
            </w:r>
            <w:r w:rsidRPr="00867503">
              <w:rPr>
                <w:rStyle w:val="Textoennegrita"/>
                <w:rFonts w:ascii="Verdana" w:hAnsi="Verdana" w:cs="Segoe UI"/>
                <w:b w:val="0"/>
                <w:bCs w:val="0"/>
                <w:sz w:val="22"/>
                <w:szCs w:val="22"/>
              </w:rPr>
              <w:t>ambios contractuales que alteren los riesgos asegurados</w:t>
            </w:r>
            <w:r w:rsidRPr="00867503">
              <w:rPr>
                <w:rFonts w:ascii="Verdana" w:hAnsi="Verdana" w:cs="Segoe UI"/>
                <w:sz w:val="22"/>
                <w:szCs w:val="22"/>
              </w:rPr>
              <w:t>.</w:t>
            </w:r>
          </w:p>
          <w:p w14:paraId="3F5E23CA" w14:textId="2033246E" w:rsidR="000178AF" w:rsidRPr="00867503" w:rsidRDefault="000178AF" w:rsidP="00867503">
            <w:pPr>
              <w:pStyle w:val="NormalWeb"/>
              <w:spacing w:before="0" w:beforeAutospacing="0" w:after="120" w:afterAutospacing="0" w:line="276" w:lineRule="auto"/>
              <w:ind w:firstLine="709"/>
              <w:jc w:val="both"/>
              <w:rPr>
                <w:rFonts w:ascii="Verdana" w:hAnsi="Verdana" w:cs="Segoe UI"/>
                <w:sz w:val="22"/>
                <w:szCs w:val="22"/>
              </w:rPr>
            </w:pPr>
            <w:r w:rsidRPr="00867503">
              <w:rPr>
                <w:rStyle w:val="Textoennegrita"/>
                <w:rFonts w:ascii="Verdana" w:hAnsi="Verdana" w:cs="Segoe UI"/>
                <w:b w:val="0"/>
                <w:bCs w:val="0"/>
                <w:sz w:val="22"/>
                <w:szCs w:val="22"/>
              </w:rPr>
              <w:t>No existe obligación normativa ni doctrinal de actualizar el valor asegurado</w:t>
            </w:r>
            <w:r w:rsidRPr="00867503">
              <w:rPr>
                <w:rFonts w:ascii="Verdana" w:hAnsi="Verdana" w:cs="Segoe UI"/>
                <w:sz w:val="22"/>
                <w:szCs w:val="22"/>
              </w:rPr>
              <w:t xml:space="preserve"> de la póliza de </w:t>
            </w:r>
            <w:r w:rsidR="00117BFC" w:rsidRPr="00117BFC">
              <w:rPr>
                <w:rFonts w:ascii="Verdana" w:hAnsi="Verdana" w:cs="Segoe UI"/>
                <w:sz w:val="22"/>
                <w:szCs w:val="22"/>
              </w:rPr>
              <w:t>R</w:t>
            </w:r>
            <w:r w:rsidR="00117BFC">
              <w:rPr>
                <w:rFonts w:ascii="Verdana" w:hAnsi="Verdana" w:cs="Segoe UI"/>
                <w:sz w:val="22"/>
                <w:szCs w:val="22"/>
              </w:rPr>
              <w:t xml:space="preserve">esponsabilidad </w:t>
            </w:r>
            <w:r w:rsidRPr="00867503">
              <w:rPr>
                <w:rFonts w:ascii="Verdana" w:hAnsi="Verdana" w:cs="Segoe UI"/>
                <w:sz w:val="22"/>
                <w:szCs w:val="22"/>
              </w:rPr>
              <w:t>C</w:t>
            </w:r>
            <w:r w:rsidR="00117BFC">
              <w:rPr>
                <w:rFonts w:ascii="Verdana" w:hAnsi="Verdana" w:cs="Segoe UI"/>
                <w:sz w:val="22"/>
                <w:szCs w:val="22"/>
              </w:rPr>
              <w:t xml:space="preserve">ivil </w:t>
            </w:r>
            <w:r w:rsidRPr="00867503">
              <w:rPr>
                <w:rFonts w:ascii="Verdana" w:hAnsi="Verdana" w:cs="Segoe UI"/>
                <w:sz w:val="22"/>
                <w:szCs w:val="22"/>
              </w:rPr>
              <w:t>E</w:t>
            </w:r>
            <w:r w:rsidR="00117BFC">
              <w:rPr>
                <w:rFonts w:ascii="Verdana" w:hAnsi="Verdana" w:cs="Segoe UI"/>
                <w:sz w:val="22"/>
                <w:szCs w:val="22"/>
              </w:rPr>
              <w:t>xtracontractual</w:t>
            </w:r>
            <w:r w:rsidRPr="00867503">
              <w:rPr>
                <w:rFonts w:ascii="Verdana" w:hAnsi="Verdana" w:cs="Segoe UI"/>
                <w:sz w:val="22"/>
                <w:szCs w:val="22"/>
              </w:rPr>
              <w:t xml:space="preserve"> </w:t>
            </w:r>
            <w:r w:rsidRPr="00867503">
              <w:rPr>
                <w:rStyle w:val="Textoennegrita"/>
                <w:rFonts w:ascii="Verdana" w:hAnsi="Verdana" w:cs="Segoe UI"/>
                <w:b w:val="0"/>
                <w:bCs w:val="0"/>
                <w:sz w:val="22"/>
                <w:szCs w:val="22"/>
              </w:rPr>
              <w:t>por el simple cambio de anualidad del SMMLV</w:t>
            </w:r>
            <w:r w:rsidRPr="00867503">
              <w:rPr>
                <w:rFonts w:ascii="Verdana" w:hAnsi="Verdana" w:cs="Segoe UI"/>
                <w:sz w:val="22"/>
                <w:szCs w:val="22"/>
              </w:rPr>
              <w:t xml:space="preserve">, dado que la referencia a salarios mínimos funciona como </w:t>
            </w:r>
            <w:r w:rsidRPr="00867503">
              <w:rPr>
                <w:rStyle w:val="Textoennegrita"/>
                <w:rFonts w:ascii="Verdana" w:hAnsi="Verdana" w:cs="Segoe UI"/>
                <w:b w:val="0"/>
                <w:bCs w:val="0"/>
                <w:sz w:val="22"/>
                <w:szCs w:val="22"/>
              </w:rPr>
              <w:t>un parámetro de determinación inicial de suficiencia</w:t>
            </w:r>
            <w:r w:rsidRPr="00867503">
              <w:rPr>
                <w:rFonts w:ascii="Verdana" w:hAnsi="Verdana" w:cs="Segoe UI"/>
                <w:sz w:val="22"/>
                <w:szCs w:val="22"/>
              </w:rPr>
              <w:t>, y no como un mecanismo de indexación automática durante la ejecución del contrato.</w:t>
            </w:r>
          </w:p>
          <w:p w14:paraId="198FC538" w14:textId="77777777" w:rsidR="000178AF" w:rsidRPr="00867503" w:rsidRDefault="000178AF" w:rsidP="00867503">
            <w:pPr>
              <w:pStyle w:val="NormalWeb"/>
              <w:spacing w:before="0" w:beforeAutospacing="0" w:after="120" w:afterAutospacing="0" w:line="276" w:lineRule="auto"/>
              <w:ind w:firstLine="709"/>
              <w:jc w:val="both"/>
              <w:rPr>
                <w:rFonts w:ascii="Verdana" w:hAnsi="Verdana" w:cs="Segoe UI"/>
                <w:sz w:val="22"/>
                <w:szCs w:val="22"/>
              </w:rPr>
            </w:pPr>
            <w:r w:rsidRPr="00867503">
              <w:rPr>
                <w:rFonts w:ascii="Verdana" w:hAnsi="Verdana" w:cs="Segoe UI"/>
                <w:sz w:val="22"/>
                <w:szCs w:val="22"/>
              </w:rPr>
              <w:lastRenderedPageBreak/>
              <w:t xml:space="preserve">En consecuencia, </w:t>
            </w:r>
            <w:r w:rsidRPr="00867503">
              <w:rPr>
                <w:rStyle w:val="Textoennegrita"/>
                <w:rFonts w:ascii="Verdana" w:hAnsi="Verdana" w:cs="Segoe UI"/>
                <w:b w:val="0"/>
                <w:bCs w:val="0"/>
                <w:sz w:val="22"/>
                <w:szCs w:val="22"/>
              </w:rPr>
              <w:t>la exigencia de actualización debe analizarse caso a caso</w:t>
            </w:r>
            <w:r w:rsidRPr="00867503">
              <w:rPr>
                <w:rFonts w:ascii="Verdana" w:hAnsi="Verdana" w:cs="Segoe UI"/>
                <w:sz w:val="22"/>
                <w:szCs w:val="22"/>
              </w:rPr>
              <w:t>, atendiendo a si se han producido modificaciones contractuales que impacten el plazo, el valor o los riesgos cubiertos. Solo en tales eventos resulta jurídicamente procedente exigir la modificación o actualización de la póliza de responsabilidad civil extracontractual.</w:t>
            </w:r>
          </w:p>
          <w:p w14:paraId="5542C5D0" w14:textId="061775F7" w:rsidR="00277AD5" w:rsidRPr="00867503" w:rsidRDefault="00277AD5" w:rsidP="00867503">
            <w:pPr>
              <w:spacing w:after="120" w:line="276" w:lineRule="auto"/>
              <w:ind w:firstLine="709"/>
              <w:jc w:val="both"/>
              <w:rPr>
                <w:rFonts w:ascii="Verdana" w:eastAsia="Calibri" w:hAnsi="Verdana" w:cs="Arial"/>
                <w:sz w:val="22"/>
                <w:szCs w:val="22"/>
              </w:rPr>
            </w:pPr>
            <w:r w:rsidRPr="00867503">
              <w:rPr>
                <w:rFonts w:ascii="Verdana" w:eastAsia="Calibri" w:hAnsi="Verdana" w:cs="Arial"/>
                <w:sz w:val="22"/>
                <w:szCs w:val="22"/>
              </w:rPr>
              <w:t xml:space="preserve">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    </w:t>
            </w:r>
          </w:p>
          <w:p w14:paraId="7DABA310" w14:textId="4D152A1F" w:rsidR="00277AD5" w:rsidRPr="0029110A" w:rsidRDefault="00277AD5" w:rsidP="00867503">
            <w:pPr>
              <w:spacing w:after="120" w:line="276" w:lineRule="auto"/>
              <w:ind w:firstLine="709"/>
              <w:jc w:val="both"/>
              <w:rPr>
                <w:rFonts w:ascii="Verdana" w:eastAsia="Calibri" w:hAnsi="Verdana"/>
                <w:lang w:val="es-ES"/>
              </w:rPr>
            </w:pPr>
            <w:r w:rsidRPr="00867503">
              <w:rPr>
                <w:rFonts w:ascii="Verdana" w:eastAsia="Calibri" w:hAnsi="Verdana"/>
                <w:sz w:val="22"/>
                <w:szCs w:val="22"/>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39C2210A" w14:textId="77777777" w:rsidR="00277AD5" w:rsidRDefault="00277AD5" w:rsidP="005C08B4">
      <w:pPr>
        <w:tabs>
          <w:tab w:val="left" w:pos="142"/>
          <w:tab w:val="left" w:pos="284"/>
        </w:tabs>
        <w:spacing w:line="276" w:lineRule="auto"/>
        <w:jc w:val="both"/>
        <w:rPr>
          <w:rFonts w:ascii="Verdana" w:eastAsia="Century Gothic" w:hAnsi="Verdana" w:cs="Century Gothic"/>
          <w:b/>
          <w:bCs/>
          <w:color w:val="000000" w:themeColor="text1"/>
          <w:lang w:val="es-ES"/>
        </w:rPr>
      </w:pPr>
    </w:p>
    <w:p w14:paraId="677A51C0" w14:textId="77777777" w:rsidR="00277AD5" w:rsidRDefault="00277AD5" w:rsidP="005C08B4">
      <w:pPr>
        <w:pStyle w:val="Prrafodelista"/>
        <w:numPr>
          <w:ilvl w:val="0"/>
          <w:numId w:val="16"/>
        </w:numPr>
        <w:tabs>
          <w:tab w:val="left" w:pos="142"/>
          <w:tab w:val="left" w:pos="284"/>
        </w:tabs>
        <w:spacing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5A9F19C6" w14:textId="77777777" w:rsidR="00277AD5" w:rsidRPr="00115E3D" w:rsidRDefault="00277AD5" w:rsidP="005C08B4">
      <w:pPr>
        <w:pStyle w:val="Prrafodelista"/>
        <w:tabs>
          <w:tab w:val="left" w:pos="142"/>
          <w:tab w:val="left" w:pos="284"/>
        </w:tabs>
        <w:spacing w:line="276" w:lineRule="auto"/>
        <w:ind w:left="0"/>
        <w:contextualSpacing w:val="0"/>
        <w:jc w:val="both"/>
        <w:rPr>
          <w:rFonts w:ascii="Verdana" w:eastAsia="Century Gothic" w:hAnsi="Verdana" w:cs="Century Gothic"/>
          <w:b/>
          <w:bCs/>
          <w:color w:val="000000" w:themeColor="text1"/>
        </w:rPr>
      </w:pPr>
    </w:p>
    <w:p w14:paraId="24ACB7C5" w14:textId="40FF340E" w:rsidR="00277AD5" w:rsidRDefault="00277AD5" w:rsidP="005C08B4">
      <w:pPr>
        <w:tabs>
          <w:tab w:val="left" w:pos="426"/>
        </w:tabs>
        <w:spacing w:line="276" w:lineRule="auto"/>
        <w:jc w:val="both"/>
        <w:rPr>
          <w:rFonts w:ascii="Verdana" w:eastAsia="Calibri" w:hAnsi="Verdana" w:cs="Arial"/>
          <w:lang w:val="es-ES"/>
        </w:rPr>
      </w:pPr>
      <w:bookmarkStart w:id="2" w:name="_Hlk204856061"/>
      <w:bookmarkStart w:id="3" w:name="_Hlk78820161"/>
      <w:r w:rsidRPr="00DC4B8E">
        <w:rPr>
          <w:rFonts w:ascii="Verdana" w:eastAsia="Calibri" w:hAnsi="Verdana" w:cs="Arial"/>
          <w:lang w:val="es-ES"/>
        </w:rPr>
        <w:t xml:space="preserve">La respuesta anterior se sustenta en las siguientes consideraciones: </w:t>
      </w:r>
    </w:p>
    <w:p w14:paraId="197CD3EE" w14:textId="77777777" w:rsidR="005C08B4" w:rsidRPr="00DC4B8E" w:rsidRDefault="005C08B4" w:rsidP="00867503">
      <w:pPr>
        <w:tabs>
          <w:tab w:val="left" w:pos="426"/>
        </w:tabs>
        <w:spacing w:line="276" w:lineRule="auto"/>
        <w:jc w:val="both"/>
        <w:rPr>
          <w:rFonts w:ascii="Verdana" w:eastAsia="Calibri" w:hAnsi="Verdana" w:cs="Arial"/>
          <w:lang w:val="es-ES"/>
        </w:rPr>
      </w:pPr>
    </w:p>
    <w:p w14:paraId="1112B731" w14:textId="4D34DEAA" w:rsidR="00277AD5" w:rsidRPr="00983DE2" w:rsidRDefault="00277AD5" w:rsidP="00277AD5">
      <w:pPr>
        <w:spacing w:line="276" w:lineRule="auto"/>
        <w:jc w:val="both"/>
        <w:rPr>
          <w:rFonts w:ascii="Verdana" w:eastAsia="Calibri" w:hAnsi="Verdana" w:cs="Arial"/>
          <w:color w:val="000000" w:themeColor="text1"/>
          <w:lang w:val="es-ES"/>
        </w:rPr>
      </w:pPr>
      <w:r w:rsidRPr="00983DE2">
        <w:rPr>
          <w:rFonts w:ascii="Verdana" w:hAnsi="Verdana" w:cs="Arial"/>
          <w:color w:val="000000"/>
          <w:shd w:val="clear" w:color="auto" w:fill="FFFFFF"/>
          <w:lang w:val="es-ES"/>
        </w:rPr>
        <w:t xml:space="preserve">Por regla general, para seleccionar contratistas y para ejecutar contratos se requiere la constitución de garantías. </w:t>
      </w:r>
      <w:bookmarkStart w:id="4" w:name="_Hlk47893233"/>
      <w:r w:rsidRPr="00983DE2">
        <w:rPr>
          <w:rFonts w:ascii="Verdana" w:hAnsi="Verdana" w:cs="Arial"/>
          <w:color w:val="000000"/>
          <w:shd w:val="clear" w:color="auto" w:fill="FFFFFF"/>
          <w:lang w:val="es-ES"/>
        </w:rPr>
        <w:t>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garantía de seriedad</w:t>
      </w:r>
      <w:r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w:t>
      </w:r>
      <w:r w:rsidRPr="00983DE2">
        <w:rPr>
          <w:rFonts w:ascii="Verdana" w:eastAsia="Calibri" w:hAnsi="Verdana" w:cs="Arial"/>
          <w:color w:val="000000" w:themeColor="text1"/>
          <w:lang w:val="es-ES"/>
        </w:rPr>
        <w:lastRenderedPageBreak/>
        <w:t>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4"/>
      <w:r w:rsidRPr="00983DE2">
        <w:rPr>
          <w:rStyle w:val="Refdenotaalpie"/>
          <w:rFonts w:ascii="Verdana" w:eastAsia="Calibri" w:hAnsi="Verdana" w:cs="Arial"/>
          <w:color w:val="000000" w:themeColor="text1"/>
          <w:lang w:val="es-ES"/>
        </w:rPr>
        <w:footnoteReference w:id="1"/>
      </w:r>
      <w:r w:rsidRPr="00983DE2">
        <w:rPr>
          <w:rFonts w:ascii="Verdana" w:eastAsia="Calibri" w:hAnsi="Verdana" w:cs="Arial"/>
          <w:color w:val="000000" w:themeColor="text1"/>
          <w:lang w:val="es-ES"/>
        </w:rPr>
        <w:t>. Sobre este aspecto, la doctrina explica que:</w:t>
      </w:r>
    </w:p>
    <w:p w14:paraId="160A963D" w14:textId="77777777" w:rsidR="00277AD5" w:rsidRPr="00983DE2" w:rsidRDefault="00277AD5" w:rsidP="00277AD5">
      <w:pPr>
        <w:spacing w:line="276" w:lineRule="auto"/>
        <w:jc w:val="both"/>
        <w:rPr>
          <w:rFonts w:ascii="Verdana" w:eastAsia="Calibri" w:hAnsi="Verdana" w:cs="Arial"/>
          <w:color w:val="000000" w:themeColor="text1"/>
          <w:lang w:val="es-ES"/>
        </w:rPr>
      </w:pPr>
    </w:p>
    <w:p w14:paraId="2F3267EB" w14:textId="77777777" w:rsidR="00277AD5" w:rsidRPr="00867503" w:rsidRDefault="00277AD5" w:rsidP="00277AD5">
      <w:pPr>
        <w:ind w:left="709" w:right="709"/>
        <w:jc w:val="both"/>
        <w:rPr>
          <w:rFonts w:ascii="Verdana" w:eastAsia="Calibri" w:hAnsi="Verdana" w:cs="Arial"/>
          <w:color w:val="000000" w:themeColor="text1"/>
          <w:sz w:val="20"/>
          <w:szCs w:val="20"/>
          <w:lang w:val="es-ES"/>
        </w:rPr>
      </w:pPr>
      <w:r w:rsidRPr="00867503">
        <w:rPr>
          <w:rFonts w:ascii="Verdana" w:eastAsia="Calibri" w:hAnsi="Verdana" w:cs="Arial"/>
          <w:color w:val="000000" w:themeColor="text1"/>
          <w:sz w:val="20"/>
          <w:szCs w:val="20"/>
          <w:lang w:val="es-ES"/>
        </w:rPr>
        <w:t xml:space="preserve">“Las </w:t>
      </w:r>
      <w:r w:rsidRPr="00867503">
        <w:rPr>
          <w:rFonts w:ascii="Verdana" w:eastAsia="Calibri" w:hAnsi="Verdana" w:cs="Arial"/>
          <w:i/>
          <w:iCs/>
          <w:color w:val="000000" w:themeColor="text1"/>
          <w:sz w:val="20"/>
          <w:szCs w:val="20"/>
          <w:lang w:val="es-ES"/>
        </w:rPr>
        <w:t>garantías provisionales</w:t>
      </w:r>
      <w:r w:rsidRPr="00867503">
        <w:rPr>
          <w:rFonts w:ascii="Verdana" w:eastAsia="Calibri" w:hAnsi="Verdana" w:cs="Arial"/>
          <w:color w:val="000000" w:themeColor="text1"/>
          <w:sz w:val="20"/>
          <w:szCs w:val="20"/>
          <w:lang w:val="es-ES"/>
        </w:rPr>
        <w:t xml:space="preserve"> “avalan la solemnidad de la oferta por parte del contratista”; constituyen una seña pre-contractual destinada a </w:t>
      </w:r>
      <w:r w:rsidRPr="00867503">
        <w:rPr>
          <w:rFonts w:ascii="Verdana" w:eastAsia="Calibri" w:hAnsi="Verdana" w:cs="Arial"/>
          <w:i/>
          <w:iCs/>
          <w:color w:val="000000" w:themeColor="text1"/>
          <w:sz w:val="20"/>
          <w:szCs w:val="20"/>
          <w:lang w:val="es-ES"/>
        </w:rPr>
        <w:t>asegurar la celebración del contrato</w:t>
      </w:r>
      <w:r w:rsidRPr="00867503">
        <w:rPr>
          <w:rFonts w:ascii="Verdana" w:eastAsia="Calibri" w:hAnsi="Verdana" w:cs="Arial"/>
          <w:color w:val="000000" w:themeColor="text1"/>
          <w:sz w:val="20"/>
          <w:szCs w:val="20"/>
          <w:lang w:val="es-ES"/>
        </w:rPr>
        <w:t xml:space="preserve">, no su cumplimiento. La administración procede a devolver a los oferentes no adjudicatarios, y a transformar en definitiva respecto al adjudicatario, las garantías provisionales, deduciéndose entonces que las </w:t>
      </w:r>
      <w:r w:rsidRPr="00867503">
        <w:rPr>
          <w:rFonts w:ascii="Verdana" w:eastAsia="Calibri" w:hAnsi="Verdana" w:cs="Arial"/>
          <w:i/>
          <w:iCs/>
          <w:color w:val="000000" w:themeColor="text1"/>
          <w:sz w:val="20"/>
          <w:szCs w:val="20"/>
          <w:lang w:val="es-ES"/>
        </w:rPr>
        <w:t>arras</w:t>
      </w:r>
      <w:r w:rsidRPr="00867503">
        <w:rPr>
          <w:rFonts w:ascii="Verdana" w:eastAsia="Calibri" w:hAnsi="Verdana" w:cs="Arial"/>
          <w:color w:val="000000" w:themeColor="text1"/>
          <w:sz w:val="20"/>
          <w:szCs w:val="20"/>
          <w:lang w:val="es-ES"/>
        </w:rPr>
        <w:t xml:space="preserve"> no forman parte del precio, ni son por tanto arras confirmatorias […], sino puramente penitenciales […] como garantías y compensación del </w:t>
      </w:r>
      <w:r w:rsidRPr="00867503">
        <w:rPr>
          <w:rFonts w:ascii="Verdana" w:eastAsia="Calibri" w:hAnsi="Verdana" w:cs="Arial"/>
          <w:i/>
          <w:iCs/>
          <w:color w:val="000000" w:themeColor="text1"/>
          <w:sz w:val="20"/>
          <w:szCs w:val="20"/>
          <w:lang w:val="es-ES"/>
        </w:rPr>
        <w:t xml:space="preserve">ius </w:t>
      </w:r>
      <w:proofErr w:type="spellStart"/>
      <w:r w:rsidRPr="00867503">
        <w:rPr>
          <w:rFonts w:ascii="Verdana" w:eastAsia="Calibri" w:hAnsi="Verdana" w:cs="Arial"/>
          <w:i/>
          <w:iCs/>
          <w:color w:val="000000" w:themeColor="text1"/>
          <w:sz w:val="20"/>
          <w:szCs w:val="20"/>
          <w:lang w:val="es-ES"/>
        </w:rPr>
        <w:t>poenitendi</w:t>
      </w:r>
      <w:proofErr w:type="spellEnd"/>
      <w:r w:rsidRPr="00867503">
        <w:rPr>
          <w:rFonts w:ascii="Verdana" w:eastAsia="Calibri" w:hAnsi="Verdana" w:cs="Arial"/>
          <w:color w:val="000000" w:themeColor="text1"/>
          <w:sz w:val="20"/>
          <w:szCs w:val="20"/>
          <w:lang w:val="es-ES"/>
        </w:rPr>
        <w:t xml:space="preserve"> del licitante. Son, en consecuencia, “la medida de la responsabilidad pre-contractual del oferente”; o, más bien, la garantía de oferta representa en definitiva la medida de la responsabilidad”</w:t>
      </w:r>
      <w:r w:rsidRPr="00867503">
        <w:rPr>
          <w:rStyle w:val="Refdenotaalpie"/>
          <w:rFonts w:ascii="Verdana" w:eastAsia="Calibri" w:hAnsi="Verdana" w:cs="Arial"/>
          <w:color w:val="000000" w:themeColor="text1"/>
          <w:sz w:val="20"/>
          <w:szCs w:val="20"/>
          <w:lang w:val="es-ES"/>
        </w:rPr>
        <w:footnoteReference w:id="2"/>
      </w:r>
      <w:r w:rsidRPr="00867503">
        <w:rPr>
          <w:rFonts w:ascii="Verdana" w:eastAsia="Calibri" w:hAnsi="Verdana" w:cs="Arial"/>
          <w:color w:val="000000" w:themeColor="text1"/>
          <w:sz w:val="20"/>
          <w:szCs w:val="20"/>
          <w:lang w:val="es-ES"/>
        </w:rPr>
        <w:t xml:space="preserve">. (Cursivas dentro del texto)   </w:t>
      </w:r>
    </w:p>
    <w:p w14:paraId="3BC98055" w14:textId="77777777" w:rsidR="00277AD5" w:rsidRPr="00983DE2" w:rsidRDefault="00277AD5" w:rsidP="00277AD5">
      <w:pPr>
        <w:spacing w:line="276" w:lineRule="auto"/>
        <w:jc w:val="both"/>
        <w:rPr>
          <w:rFonts w:ascii="Verdana" w:eastAsia="Calibri" w:hAnsi="Verdana" w:cs="Arial"/>
          <w:color w:val="000000" w:themeColor="text1"/>
          <w:lang w:val="es-ES"/>
        </w:rPr>
      </w:pPr>
    </w:p>
    <w:p w14:paraId="3C4D0E2D" w14:textId="77777777" w:rsidR="00277AD5" w:rsidRPr="00983DE2" w:rsidRDefault="00277AD5" w:rsidP="00DD58E2">
      <w:pPr>
        <w:spacing w:after="120" w:line="276" w:lineRule="auto"/>
        <w:ind w:firstLine="709"/>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el contratista ampara los perjuicios que le pueda generar a la entidad el incumplimiento de las obligaciones derivadas del contrato</w:t>
      </w:r>
      <w:r w:rsidRPr="00983DE2">
        <w:rPr>
          <w:rStyle w:val="Refdenotaalpie"/>
          <w:rFonts w:ascii="Verdana" w:eastAsia="Calibri" w:hAnsi="Verdana" w:cs="Arial"/>
          <w:color w:val="000000" w:themeColor="text1"/>
          <w:lang w:val="es-ES"/>
        </w:rPr>
        <w:footnoteReference w:id="3"/>
      </w:r>
      <w:r w:rsidRPr="00983DE2">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983DE2">
        <w:rPr>
          <w:rFonts w:ascii="Verdana" w:hAnsi="Verdana" w:cs="Arial"/>
          <w:color w:val="000000" w:themeColor="text1"/>
          <w:lang w:val="es-ES"/>
        </w:rPr>
        <w:t xml:space="preserve">Para estos efectos es única, ya que “[…] La prioridad […] es que no haya garantías </w:t>
      </w:r>
      <w:r w:rsidRPr="00983DE2">
        <w:rPr>
          <w:rFonts w:ascii="Verdana" w:hAnsi="Verdana" w:cs="Arial"/>
          <w:color w:val="000000" w:themeColor="text1"/>
          <w:lang w:val="es-ES"/>
        </w:rPr>
        <w:lastRenderedPageBreak/>
        <w:t>separadas para los diferentes riesgos, aunque existan varias garantías para diferentes proporciones del interés asegurado […]”</w:t>
      </w:r>
      <w:r w:rsidRPr="00983DE2">
        <w:rPr>
          <w:rStyle w:val="Refdenotaalpie"/>
          <w:rFonts w:ascii="Verdana" w:hAnsi="Verdana" w:cs="Arial"/>
          <w:color w:val="000000" w:themeColor="text1"/>
          <w:lang w:val="es-ES"/>
        </w:rPr>
        <w:footnoteReference w:id="4"/>
      </w:r>
      <w:r w:rsidRPr="00983DE2">
        <w:rPr>
          <w:rFonts w:ascii="Verdana" w:hAnsi="Verdana" w:cs="Arial"/>
          <w:color w:val="000000" w:themeColor="text1"/>
          <w:lang w:val="es-ES"/>
        </w:rPr>
        <w:t xml:space="preserve">.    </w:t>
      </w:r>
    </w:p>
    <w:p w14:paraId="7325B142" w14:textId="3209B4CB" w:rsidR="00277AD5" w:rsidRPr="00983DE2" w:rsidRDefault="00277AD5" w:rsidP="00DD58E2">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garantías bancarias 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los demás mecanismos de cobertura del riesgo que disponga el reglamento. Igualmente</w:t>
      </w:r>
      <w:r w:rsidR="00DD58E2">
        <w:rPr>
          <w:rFonts w:ascii="Verdana" w:hAnsi="Verdana" w:cs="Arial"/>
          <w:color w:val="000000" w:themeColor="text1"/>
          <w:lang w:val="es-ES"/>
        </w:rPr>
        <w:t>,</w:t>
      </w:r>
      <w:r w:rsidRPr="00983DE2">
        <w:rPr>
          <w:rFonts w:ascii="Verdana" w:hAnsi="Verdana" w:cs="Arial"/>
          <w:color w:val="000000" w:themeColor="text1"/>
          <w:lang w:val="es-ES"/>
        </w:rPr>
        <w:t xml:space="preserv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983DE2">
        <w:rPr>
          <w:rStyle w:val="Refdenotaalpie"/>
          <w:rFonts w:ascii="Verdana" w:hAnsi="Verdana" w:cs="Arial"/>
          <w:color w:val="000000" w:themeColor="text1"/>
          <w:lang w:val="es-ES"/>
        </w:rPr>
        <w:footnoteReference w:id="5"/>
      </w:r>
      <w:r w:rsidRPr="00983DE2">
        <w:rPr>
          <w:rFonts w:ascii="Verdana" w:hAnsi="Verdana" w:cs="Arial"/>
          <w:color w:val="000000" w:themeColor="text1"/>
          <w:lang w:val="es-ES"/>
        </w:rPr>
        <w:t xml:space="preserve">. </w:t>
      </w:r>
    </w:p>
    <w:p w14:paraId="080E13D0" w14:textId="39698CD0" w:rsidR="00277AD5" w:rsidRPr="00983DE2" w:rsidRDefault="00277AD5" w:rsidP="00DD58E2">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El Decreto 1082 de 2015 reglamenta las condiciones en que debe cumplirse</w:t>
      </w:r>
      <w:r w:rsidR="00CC7725">
        <w:rPr>
          <w:rFonts w:ascii="Verdana" w:hAnsi="Verdana" w:cs="Arial"/>
          <w:color w:val="000000" w:themeColor="text1"/>
          <w:lang w:val="es-ES"/>
        </w:rPr>
        <w:t xml:space="preserve"> l</w:t>
      </w:r>
      <w:r w:rsidRPr="00983DE2">
        <w:rPr>
          <w:rFonts w:ascii="Verdana" w:hAnsi="Verdana" w:cs="Arial"/>
          <w:color w:val="000000" w:themeColor="text1"/>
          <w:lang w:val="es-ES"/>
        </w:rPr>
        <w:t>a obligación</w:t>
      </w:r>
      <w:r w:rsidR="00CC7725">
        <w:rPr>
          <w:rFonts w:ascii="Verdana" w:hAnsi="Verdana" w:cs="Arial"/>
          <w:color w:val="000000" w:themeColor="text1"/>
          <w:lang w:val="es-ES"/>
        </w:rPr>
        <w:t xml:space="preserve"> de constituir las garantías en el marco de un contrato estatal</w:t>
      </w:r>
      <w:r w:rsidRPr="00983DE2">
        <w:rPr>
          <w:rFonts w:ascii="Verdana" w:hAnsi="Verdana" w:cs="Arial"/>
          <w:color w:val="000000" w:themeColor="text1"/>
          <w:lang w:val="es-ES"/>
        </w:rPr>
        <w:t xml:space="preserve">.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1F1AB628" w14:textId="77777777" w:rsidR="00277AD5" w:rsidRPr="00983DE2" w:rsidRDefault="00277AD5" w:rsidP="00867503">
      <w:pPr>
        <w:spacing w:after="120" w:line="276" w:lineRule="auto"/>
        <w:ind w:firstLine="708"/>
        <w:jc w:val="both"/>
        <w:rPr>
          <w:rFonts w:ascii="Verdana" w:hAnsi="Verdana" w:cs="Arial"/>
          <w:color w:val="000000" w:themeColor="text1"/>
          <w:lang w:val="es-ES" w:eastAsia="es-CO"/>
        </w:rPr>
      </w:pPr>
      <w:r w:rsidRPr="00983DE2">
        <w:rPr>
          <w:rFonts w:ascii="Verdana" w:hAnsi="Verdana" w:cs="Arial"/>
          <w:color w:val="000000" w:themeColor="text1"/>
          <w:lang w:val="es-ES"/>
        </w:rPr>
        <w:t xml:space="preserve">El artículo 2.2.1.2.3.1.3, por ejemplo, establece que la “garantía de cobertura del Riesgo es indivisible”, además de la obligación de los contratantes de establecer en los pliegos de condiciones las garantías </w:t>
      </w:r>
      <w:r w:rsidRPr="00983DE2">
        <w:rPr>
          <w:rFonts w:ascii="Verdana" w:hAnsi="Verdana" w:cs="Arial"/>
          <w:color w:val="000000" w:themeColor="text1"/>
          <w:lang w:val="es-ES"/>
        </w:rPr>
        <w:lastRenderedPageBreak/>
        <w:t>exigidas para cada periodo contractual</w:t>
      </w:r>
      <w:r w:rsidRPr="00983DE2">
        <w:rPr>
          <w:rStyle w:val="Refdenotaalpie"/>
          <w:rFonts w:ascii="Verdana" w:hAnsi="Verdana" w:cs="Arial"/>
          <w:color w:val="000000" w:themeColor="text1"/>
          <w:lang w:val="es-ES"/>
        </w:rPr>
        <w:footnoteReference w:id="6"/>
      </w:r>
      <w:r w:rsidRPr="00983DE2">
        <w:rPr>
          <w:rFonts w:ascii="Verdana" w:hAnsi="Verdana" w:cs="Arial"/>
          <w:color w:val="000000" w:themeColor="text1"/>
          <w:lang w:val="es-ES"/>
        </w:rPr>
        <w:t xml:space="preserve">. Por su parte, el artículo 2.2.1.3.1.7 prescribe que la garantía de cumplimiento debe cubrir: i) el buen manejo y correcta inversión del anticipo;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la devolución del pago anticipado;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xml:space="preserve">) el cumplimiento del contrato; </w:t>
      </w:r>
      <w:proofErr w:type="spellStart"/>
      <w:r w:rsidRPr="00983DE2">
        <w:rPr>
          <w:rFonts w:ascii="Verdana" w:hAnsi="Verdana" w:cs="Arial"/>
          <w:color w:val="000000" w:themeColor="text1"/>
          <w:lang w:val="es-ES"/>
        </w:rPr>
        <w:t>iv</w:t>
      </w:r>
      <w:proofErr w:type="spellEnd"/>
      <w:r w:rsidRPr="00983DE2">
        <w:rPr>
          <w:rFonts w:ascii="Verdana" w:hAnsi="Verdana" w:cs="Arial"/>
          <w:color w:val="000000" w:themeColor="text1"/>
          <w:lang w:val="es-ES"/>
        </w:rPr>
        <w:t xml:space="preserve">) el pago de salarios, prestaciones sociales legales e indemnizaciones laborales; v)  la estabilidad y calidad de la obra; vi) la </w:t>
      </w:r>
      <w:r w:rsidRPr="00983DE2">
        <w:rPr>
          <w:rFonts w:ascii="Verdana" w:hAnsi="Verdana" w:cs="Arial"/>
          <w:color w:val="000000" w:themeColor="text1"/>
          <w:lang w:val="es-ES" w:eastAsia="es-CO"/>
        </w:rPr>
        <w:t xml:space="preserve">calidad del servicio; </w:t>
      </w:r>
      <w:proofErr w:type="spellStart"/>
      <w:r w:rsidRPr="00983DE2">
        <w:rPr>
          <w:rFonts w:ascii="Verdana" w:hAnsi="Verdana" w:cs="Arial"/>
          <w:color w:val="000000" w:themeColor="text1"/>
          <w:lang w:val="es-ES" w:eastAsia="es-CO"/>
        </w:rPr>
        <w:t>vii</w:t>
      </w:r>
      <w:proofErr w:type="spellEnd"/>
      <w:r w:rsidRPr="00983DE2">
        <w:rPr>
          <w:rFonts w:ascii="Verdana" w:hAnsi="Verdana" w:cs="Arial"/>
          <w:color w:val="000000" w:themeColor="text1"/>
          <w:lang w:val="es-ES" w:eastAsia="es-CO"/>
        </w:rPr>
        <w:t xml:space="preserve">) la calidad y correcto funcionamiento de los bienes; y </w:t>
      </w:r>
      <w:proofErr w:type="spellStart"/>
      <w:r w:rsidRPr="00983DE2">
        <w:rPr>
          <w:rFonts w:ascii="Verdana" w:hAnsi="Verdana" w:cs="Arial"/>
          <w:color w:val="000000" w:themeColor="text1"/>
          <w:lang w:val="es-ES" w:eastAsia="es-CO"/>
        </w:rPr>
        <w:t>viii</w:t>
      </w:r>
      <w:proofErr w:type="spellEnd"/>
      <w:r w:rsidRPr="00983DE2">
        <w:rPr>
          <w:rFonts w:ascii="Verdana" w:hAnsi="Verdana" w:cs="Arial"/>
          <w:color w:val="000000" w:themeColor="text1"/>
          <w:lang w:val="es-ES" w:eastAsia="es-CO"/>
        </w:rPr>
        <w:t>) los demás incumplimientos de las obligaciones que la entidad estatal considere deben ser amparados</w:t>
      </w:r>
      <w:r w:rsidRPr="00983DE2">
        <w:rPr>
          <w:rStyle w:val="Refdenotaalpie"/>
          <w:rFonts w:ascii="Verdana" w:hAnsi="Verdana" w:cs="Arial"/>
          <w:color w:val="000000" w:themeColor="text1"/>
          <w:lang w:val="es-ES" w:eastAsia="es-CO"/>
        </w:rPr>
        <w:footnoteReference w:id="7"/>
      </w:r>
      <w:r w:rsidRPr="00983DE2">
        <w:rPr>
          <w:rFonts w:ascii="Verdana" w:hAnsi="Verdana" w:cs="Arial"/>
          <w:color w:val="000000" w:themeColor="text1"/>
          <w:lang w:val="es-ES" w:eastAsia="es-CO"/>
        </w:rPr>
        <w:t xml:space="preserve">. </w:t>
      </w:r>
    </w:p>
    <w:p w14:paraId="5ECADAB8" w14:textId="214BE2D4" w:rsidR="00277AD5" w:rsidRPr="00983DE2" w:rsidRDefault="00277AD5" w:rsidP="00867503">
      <w:pPr>
        <w:spacing w:after="120" w:line="276" w:lineRule="auto"/>
        <w:ind w:firstLine="708"/>
        <w:jc w:val="both"/>
        <w:rPr>
          <w:rFonts w:ascii="Verdana" w:hAnsi="Verdana" w:cs="Arial"/>
          <w:color w:val="000000" w:themeColor="text1"/>
          <w:lang w:val="es-ES" w:eastAsia="es-CO"/>
        </w:rPr>
      </w:pPr>
      <w:r w:rsidRPr="00983DE2">
        <w:rPr>
          <w:rFonts w:ascii="Verdana" w:hAnsi="Verdana" w:cs="Arial"/>
          <w:color w:val="000000" w:themeColor="text1"/>
          <w:lang w:val="es-ES" w:eastAsia="es-CO"/>
        </w:rPr>
        <w:lastRenderedPageBreak/>
        <w:t xml:space="preserve">En torno al amparo de </w:t>
      </w:r>
      <w:r w:rsidRPr="00983DE2">
        <w:rPr>
          <w:rFonts w:ascii="Verdana" w:hAnsi="Verdana" w:cs="Arial"/>
          <w:i/>
          <w:iCs/>
          <w:color w:val="000000" w:themeColor="text1"/>
          <w:lang w:val="es-ES" w:eastAsia="es-CO"/>
        </w:rPr>
        <w:t>responsabilidad civil extracontractual</w:t>
      </w:r>
      <w:r w:rsidRPr="00983DE2">
        <w:rPr>
          <w:rFonts w:ascii="Verdana" w:hAnsi="Verdana" w:cs="Arial"/>
          <w:color w:val="000000" w:themeColor="text1"/>
          <w:lang w:val="es-ES" w:eastAsia="es-CO"/>
        </w:rPr>
        <w:t>,</w:t>
      </w:r>
      <w:r w:rsidRPr="00983DE2">
        <w:rPr>
          <w:rFonts w:ascii="Verdana" w:hAnsi="Verdana" w:cs="Arial"/>
          <w:b/>
          <w:bCs/>
          <w:color w:val="000000" w:themeColor="text1"/>
          <w:lang w:val="es-ES" w:eastAsia="es-CO"/>
        </w:rPr>
        <w:t xml:space="preserve"> </w:t>
      </w:r>
      <w:r w:rsidR="006A2CFC" w:rsidRPr="00867503">
        <w:rPr>
          <w:rFonts w:ascii="Verdana" w:hAnsi="Verdana" w:cs="Arial"/>
          <w:color w:val="000000" w:themeColor="text1"/>
          <w:lang w:val="es-ES" w:eastAsia="es-CO"/>
        </w:rPr>
        <w:t xml:space="preserve">al cual hace referencia en su consulta, </w:t>
      </w:r>
      <w:r w:rsidRPr="00983DE2">
        <w:rPr>
          <w:rFonts w:ascii="Verdana" w:hAnsi="Verdana" w:cs="Arial"/>
          <w:color w:val="000000" w:themeColor="text1"/>
          <w:lang w:val="es-ES" w:eastAsia="es-CO"/>
        </w:rPr>
        <w:t xml:space="preserve">el </w:t>
      </w:r>
      <w:r w:rsidR="00E342FC">
        <w:rPr>
          <w:rFonts w:ascii="Verdana" w:hAnsi="Verdana" w:cs="Arial"/>
          <w:color w:val="000000" w:themeColor="text1"/>
          <w:lang w:val="es-ES" w:eastAsia="es-CO"/>
        </w:rPr>
        <w:t>a</w:t>
      </w:r>
      <w:r w:rsidRPr="00983DE2">
        <w:rPr>
          <w:rFonts w:ascii="Verdana" w:hAnsi="Verdana" w:cs="Arial"/>
          <w:color w:val="000000" w:themeColor="text1"/>
          <w:lang w:val="es-ES" w:eastAsia="es-CO"/>
        </w:rPr>
        <w:t xml:space="preserve">rtículo 2.2.1.2.3.1.5. establece sobre la cobertura del Riesgo de responsabilidad civil extracontractual que este se deriva de las actuaciones, hechos u omisiones de los contratistas o subcontratistas y solamente puede ser amparada con un contrato de seguro. Adicionalmente, es obligatorio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De acuerdo con el inciso segundo del artículo 2.2.1.2.3.1.8 </w:t>
      </w:r>
      <w:r w:rsidRPr="00983DE2">
        <w:rPr>
          <w:rFonts w:ascii="Verdana" w:hAnsi="Verdana" w:cs="Arial"/>
          <w:i/>
          <w:iCs/>
          <w:color w:val="000000" w:themeColor="text1"/>
          <w:lang w:val="es-ES" w:eastAsia="es-CO"/>
        </w:rPr>
        <w:t>ibidem</w:t>
      </w:r>
      <w:r w:rsidRPr="00983DE2">
        <w:rPr>
          <w:rFonts w:ascii="Verdana" w:hAnsi="Verdana" w:cs="Arial"/>
          <w:color w:val="000000" w:themeColor="text1"/>
          <w:lang w:val="es-ES" w:eastAsia="es-CO"/>
        </w:rPr>
        <w:t>,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2735BBE8" w14:textId="5DE46DAB" w:rsidR="00277AD5" w:rsidRPr="00983DE2" w:rsidRDefault="007E520E" w:rsidP="00867503">
      <w:pPr>
        <w:spacing w:after="120" w:line="276" w:lineRule="auto"/>
        <w:ind w:firstLine="708"/>
        <w:jc w:val="both"/>
        <w:rPr>
          <w:rFonts w:ascii="Verdana" w:hAnsi="Verdana" w:cs="Arial"/>
          <w:color w:val="000000" w:themeColor="text1"/>
          <w:lang w:val="es-ES" w:eastAsia="es-CO"/>
        </w:rPr>
      </w:pPr>
      <w:r>
        <w:rPr>
          <w:rFonts w:ascii="Verdana" w:hAnsi="Verdana" w:cs="Arial"/>
          <w:color w:val="000000" w:themeColor="text1"/>
          <w:lang w:val="es-ES" w:eastAsia="es-CO"/>
        </w:rPr>
        <w:t>Ahora bien, c</w:t>
      </w:r>
      <w:r w:rsidR="00277AD5" w:rsidRPr="00983DE2">
        <w:rPr>
          <w:rFonts w:ascii="Verdana" w:hAnsi="Verdana" w:cs="Arial"/>
          <w:color w:val="000000" w:themeColor="text1"/>
          <w:lang w:val="es-ES" w:eastAsia="es-CO"/>
        </w:rPr>
        <w:t xml:space="preserve">on el fin de asegurar la cobertura de </w:t>
      </w:r>
      <w:r>
        <w:rPr>
          <w:rFonts w:ascii="Verdana" w:hAnsi="Verdana" w:cs="Arial"/>
          <w:color w:val="000000" w:themeColor="text1"/>
          <w:lang w:val="es-ES" w:eastAsia="es-CO"/>
        </w:rPr>
        <w:t>los</w:t>
      </w:r>
      <w:r w:rsidR="00277AD5" w:rsidRPr="00983DE2">
        <w:rPr>
          <w:rFonts w:ascii="Verdana" w:hAnsi="Verdana" w:cs="Arial"/>
          <w:color w:val="000000" w:themeColor="text1"/>
          <w:lang w:val="es-ES" w:eastAsia="es-CO"/>
        </w:rPr>
        <w:t xml:space="preserve"> riesgo</w:t>
      </w:r>
      <w:r>
        <w:rPr>
          <w:rFonts w:ascii="Verdana" w:hAnsi="Verdana" w:cs="Arial"/>
          <w:color w:val="000000" w:themeColor="text1"/>
          <w:lang w:val="es-ES" w:eastAsia="es-CO"/>
        </w:rPr>
        <w:t>s</w:t>
      </w:r>
      <w:r w:rsidR="00BC2722">
        <w:rPr>
          <w:rFonts w:ascii="Verdana" w:hAnsi="Verdana" w:cs="Arial"/>
          <w:color w:val="000000" w:themeColor="text1"/>
          <w:lang w:val="es-ES" w:eastAsia="es-CO"/>
        </w:rPr>
        <w:t>,</w:t>
      </w:r>
      <w:r w:rsidR="00277AD5" w:rsidRPr="00983DE2">
        <w:rPr>
          <w:rFonts w:ascii="Verdana" w:hAnsi="Verdana" w:cs="Arial"/>
          <w:color w:val="000000" w:themeColor="text1"/>
          <w:lang w:val="es-ES" w:eastAsia="es-CO"/>
        </w:rPr>
        <w:t xml:space="preserve"> es responsabilidad de las Entidades Estatales verificar que el contrato de seguro en particular cumpla con los requisitos exigidos por la normativa en materia de contratación estatal. El inciso tercero del artículo 7 de la Ley 1150 de 2007 dispone que “El Gobierno Nacional señalará los criterios que seguirán las entidades para la exigencia de garantías, las clases y niveles de amparo de los riesgos de los contratos […]”, de manera que los contratos de seguro que sean presentados en el marco de los procesos </w:t>
      </w:r>
      <w:r w:rsidR="00277AD5" w:rsidRPr="00983DE2">
        <w:rPr>
          <w:rFonts w:ascii="Verdana" w:hAnsi="Verdana" w:cs="Arial"/>
          <w:color w:val="000000" w:themeColor="text1"/>
          <w:lang w:val="es-ES" w:eastAsia="es-CO"/>
        </w:rPr>
        <w:lastRenderedPageBreak/>
        <w:t>de contratación estatal deben cumplir de manera estricta con lo establecido en el Decreto 1082 de 2015, el cual</w:t>
      </w:r>
      <w:r w:rsidR="00BC2722">
        <w:rPr>
          <w:rFonts w:ascii="Verdana" w:hAnsi="Verdana" w:cs="Arial"/>
          <w:color w:val="000000" w:themeColor="text1"/>
          <w:lang w:val="es-ES" w:eastAsia="es-CO"/>
        </w:rPr>
        <w:t xml:space="preserve">, como se resaltó en los </w:t>
      </w:r>
      <w:r>
        <w:rPr>
          <w:rFonts w:ascii="Verdana" w:hAnsi="Verdana" w:cs="Arial"/>
          <w:color w:val="000000" w:themeColor="text1"/>
          <w:lang w:val="es-ES" w:eastAsia="es-CO"/>
        </w:rPr>
        <w:t>párrafos</w:t>
      </w:r>
      <w:r w:rsidR="00BC2722">
        <w:rPr>
          <w:rFonts w:ascii="Verdana" w:hAnsi="Verdana" w:cs="Arial"/>
          <w:color w:val="000000" w:themeColor="text1"/>
          <w:lang w:val="es-ES" w:eastAsia="es-CO"/>
        </w:rPr>
        <w:t xml:space="preserve"> anteriores,</w:t>
      </w:r>
      <w:r w:rsidR="00277AD5" w:rsidRPr="00983DE2">
        <w:rPr>
          <w:rFonts w:ascii="Verdana" w:hAnsi="Verdana" w:cs="Arial"/>
          <w:color w:val="000000" w:themeColor="text1"/>
          <w:lang w:val="es-ES" w:eastAsia="es-CO"/>
        </w:rPr>
        <w:t xml:space="preserve"> señala los requisitos aplicables para quienes participen y suscriban este tipo de contratos. </w:t>
      </w:r>
    </w:p>
    <w:p w14:paraId="53767ECF" w14:textId="5D47C0CC" w:rsidR="00277AD5" w:rsidRPr="00983DE2" w:rsidRDefault="00277AD5" w:rsidP="00867503">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eastAsia="es-CO"/>
        </w:rPr>
        <w:t xml:space="preserve">En primer lugar, la entidad debe verificar que la garantía cumpla con el requisito de indivisibilidad establecido en el artículo 2.2.1.2.3.1.3. del Decreto 1082 de 2015. Tal como lo señala esta norma </w:t>
      </w:r>
      <w:r w:rsidRPr="00983DE2">
        <w:rPr>
          <w:rFonts w:ascii="Verdana" w:hAnsi="Verdana" w:cs="Arial"/>
          <w:color w:val="000000" w:themeColor="text1"/>
          <w:lang w:val="es-ES"/>
        </w:rPr>
        <w:t xml:space="preserve">la garantía de cobertura del riesgo en materia contractual pública es indivisible. Sin embargo, en los contratos que tengan un plazo mayor a cinco (5) años las garantías pueden cubrir los riesgos de la etapa del contrato o del periodo </w:t>
      </w:r>
      <w:r w:rsidR="00801FBF">
        <w:rPr>
          <w:rFonts w:ascii="Verdana" w:hAnsi="Verdana" w:cs="Arial"/>
          <w:color w:val="000000" w:themeColor="text1"/>
          <w:lang w:val="es-ES"/>
        </w:rPr>
        <w:t>c</w:t>
      </w:r>
      <w:r w:rsidRPr="00983DE2">
        <w:rPr>
          <w:rFonts w:ascii="Verdana" w:hAnsi="Verdana" w:cs="Arial"/>
          <w:color w:val="000000" w:themeColor="text1"/>
          <w:lang w:val="es-ES"/>
        </w:rPr>
        <w:t xml:space="preserve">ontractual, de acuerdo con lo previsto en el contrato. En estos casos, la Entidad Estatal debe indicar en los pliegos de condiciones las garantías que exige en cada etapa del contrato o cada periodo contractual en la forma señalada en el </w:t>
      </w:r>
      <w:r w:rsidR="005E64CF">
        <w:rPr>
          <w:rFonts w:ascii="Verdana" w:hAnsi="Verdana" w:cs="Arial"/>
          <w:color w:val="000000" w:themeColor="text1"/>
          <w:lang w:val="es-ES"/>
        </w:rPr>
        <w:t>d</w:t>
      </w:r>
      <w:r w:rsidRPr="00983DE2">
        <w:rPr>
          <w:rFonts w:ascii="Verdana" w:hAnsi="Verdana" w:cs="Arial"/>
          <w:color w:val="000000" w:themeColor="text1"/>
          <w:lang w:val="es-ES"/>
        </w:rPr>
        <w:t xml:space="preserve">ecreto reglamentario. </w:t>
      </w:r>
    </w:p>
    <w:p w14:paraId="555C9E7B" w14:textId="77777777" w:rsidR="009C23DF" w:rsidRDefault="00277AD5" w:rsidP="00DD58E2">
      <w:pPr>
        <w:spacing w:after="120" w:line="276" w:lineRule="auto"/>
        <w:ind w:firstLine="708"/>
        <w:jc w:val="both"/>
        <w:rPr>
          <w:lang w:val="es-ES"/>
        </w:rPr>
      </w:pPr>
      <w:r w:rsidRPr="00983DE2">
        <w:rPr>
          <w:rFonts w:ascii="Verdana" w:hAnsi="Verdana" w:cs="Arial"/>
          <w:color w:val="000000" w:themeColor="text1"/>
          <w:lang w:val="es-ES"/>
        </w:rPr>
        <w:t xml:space="preserve">Esta regla supone que un contrato estatal debe estar amparado a través de </w:t>
      </w:r>
      <w:r w:rsidRPr="00983DE2">
        <w:rPr>
          <w:rFonts w:ascii="Verdana" w:hAnsi="Verdana" w:cs="Arial"/>
          <w:i/>
          <w:color w:val="000000" w:themeColor="text1"/>
          <w:lang w:val="es-ES"/>
        </w:rPr>
        <w:t>una sola garantía</w:t>
      </w:r>
      <w:r w:rsidRPr="00983DE2">
        <w:rPr>
          <w:rFonts w:ascii="Verdana" w:hAnsi="Verdana" w:cs="Arial"/>
          <w:color w:val="000000" w:themeColor="text1"/>
          <w:lang w:val="es-ES"/>
        </w:rPr>
        <w:t>. La excepción son los contratos que tengan un plazo de ejecución mayor a</w:t>
      </w:r>
      <w:r w:rsidR="009710D4">
        <w:rPr>
          <w:rFonts w:ascii="Verdana" w:hAnsi="Verdana" w:cs="Arial"/>
          <w:color w:val="000000" w:themeColor="text1"/>
          <w:lang w:val="es-ES"/>
        </w:rPr>
        <w:t xml:space="preserve"> cinco</w:t>
      </w:r>
      <w:r w:rsidRPr="00983DE2">
        <w:rPr>
          <w:rFonts w:ascii="Verdana" w:hAnsi="Verdana" w:cs="Arial"/>
          <w:color w:val="000000" w:themeColor="text1"/>
          <w:lang w:val="es-ES"/>
        </w:rPr>
        <w:t xml:space="preserve"> </w:t>
      </w:r>
      <w:r w:rsidR="009710D4">
        <w:rPr>
          <w:rFonts w:ascii="Verdana" w:hAnsi="Verdana" w:cs="Arial"/>
          <w:color w:val="000000" w:themeColor="text1"/>
          <w:lang w:val="es-ES"/>
        </w:rPr>
        <w:t>(</w:t>
      </w:r>
      <w:r w:rsidRPr="00983DE2">
        <w:rPr>
          <w:rFonts w:ascii="Verdana" w:hAnsi="Verdana" w:cs="Arial"/>
          <w:color w:val="000000" w:themeColor="text1"/>
          <w:lang w:val="es-ES"/>
        </w:rPr>
        <w:t>5</w:t>
      </w:r>
      <w:r w:rsidR="009710D4">
        <w:rPr>
          <w:rFonts w:ascii="Verdana" w:hAnsi="Verdana" w:cs="Arial"/>
          <w:color w:val="000000" w:themeColor="text1"/>
          <w:lang w:val="es-ES"/>
        </w:rPr>
        <w:t>)</w:t>
      </w:r>
      <w:r w:rsidRPr="00983DE2">
        <w:rPr>
          <w:rFonts w:ascii="Verdana" w:hAnsi="Verdana" w:cs="Arial"/>
          <w:color w:val="000000" w:themeColor="text1"/>
          <w:lang w:val="es-ES"/>
        </w:rPr>
        <w:t xml:space="preserve"> años. Para estos contratos la garantía se podrá dividir. En este supuesto, las entidades estatales cuentan con varias opciones para dividir las garantías como exigir una garantía independiente para cada etapa del contrato, una independiente para cada periodo contractual o una garantía independiente para cada unidad funcional.</w:t>
      </w:r>
      <w:r w:rsidRPr="00983DE2">
        <w:rPr>
          <w:lang w:val="es-ES"/>
        </w:rPr>
        <w:t xml:space="preserve"> </w:t>
      </w:r>
    </w:p>
    <w:p w14:paraId="03EBA8A4" w14:textId="1A3DF13E" w:rsidR="00277AD5" w:rsidRPr="00983DE2" w:rsidRDefault="00277AD5" w:rsidP="00867503">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Conforme a lo anterior, si la Entidad Estatal celebra un contrato cuyo plazo de ejecución es mayor a cinco (5) años, puede pactar en el contrato que las garantías cubran los riegos de cada etapa del contrato, periodo contractual o unidad funcional, caso en el cual el pliego de condiciones regulará las garantías teniendo en cuenta lo siguiente: i) se identificará la</w:t>
      </w:r>
      <w:r w:rsidRPr="00983DE2">
        <w:rPr>
          <w:lang w:val="es-ES"/>
        </w:rPr>
        <w:t xml:space="preserve"> </w:t>
      </w:r>
      <w:r w:rsidRPr="00983DE2">
        <w:rPr>
          <w:rFonts w:ascii="Verdana" w:hAnsi="Verdana" w:cs="Arial"/>
          <w:color w:val="000000" w:themeColor="text1"/>
          <w:lang w:val="es-ES"/>
        </w:rPr>
        <w:t xml:space="preserve">garantía que ampara los riesgos para cada etapa del contrato o periodo contractual, pero, además, la vigencia que rige para cada uno –que en todo caso no puede ser menor al plazo de ejecución definido para cada etapa del contrato o periodo contractual–, y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el monto de los amparos se calculará tomando el valor de las obligaciones </w:t>
      </w:r>
      <w:r w:rsidRPr="00983DE2">
        <w:rPr>
          <w:rFonts w:ascii="Verdana" w:hAnsi="Verdana" w:cs="Arial"/>
          <w:color w:val="000000" w:themeColor="text1"/>
          <w:lang w:val="es-ES"/>
        </w:rPr>
        <w:lastRenderedPageBreak/>
        <w:t>del contratista para cada etapa del contrato o periodo contractual, y además, regirán las reglas de suficiencia definidas en los artículos 2.2.1.2.3.1.9. al 2.2.1.2.3.1.17. del Decreto 1082 de 2015</w:t>
      </w:r>
      <w:r w:rsidRPr="00983DE2">
        <w:rPr>
          <w:rStyle w:val="Refdenotaalpie"/>
          <w:rFonts w:ascii="Verdana" w:hAnsi="Verdana" w:cs="Arial"/>
          <w:color w:val="000000" w:themeColor="text1"/>
          <w:lang w:val="es-ES"/>
        </w:rPr>
        <w:footnoteReference w:id="8"/>
      </w:r>
      <w:r w:rsidRPr="00983DE2">
        <w:rPr>
          <w:rFonts w:ascii="Verdana" w:hAnsi="Verdana" w:cs="Arial"/>
          <w:color w:val="000000" w:themeColor="text1"/>
          <w:lang w:val="es-ES"/>
        </w:rPr>
        <w:t>.</w:t>
      </w:r>
    </w:p>
    <w:p w14:paraId="02B13C1A" w14:textId="24BC3C96" w:rsidR="00277AD5" w:rsidRPr="00983DE2" w:rsidRDefault="00277AD5" w:rsidP="00277AD5">
      <w:pPr>
        <w:spacing w:before="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En segundo lugar, el amparo de responsabilidad civil extracontractual debe cumplir con los requisitos dispuestos </w:t>
      </w:r>
      <w:r w:rsidRPr="00983DE2">
        <w:rPr>
          <w:rFonts w:ascii="Verdana" w:hAnsi="Verdana" w:cs="Arial"/>
          <w:color w:val="000000" w:themeColor="text1"/>
          <w:lang w:val="es-ES" w:eastAsia="es-CO"/>
        </w:rPr>
        <w:t>en el artículo 2.2.1.2.3.2.9</w:t>
      </w:r>
      <w:r w:rsidRPr="00983DE2">
        <w:rPr>
          <w:rStyle w:val="Refdenotaalpie"/>
          <w:rFonts w:ascii="Verdana" w:hAnsi="Verdana" w:cs="Arial"/>
          <w:color w:val="000000" w:themeColor="text1"/>
          <w:lang w:val="es-ES" w:eastAsia="es-CO"/>
        </w:rPr>
        <w:footnoteReference w:id="9"/>
      </w:r>
      <w:r w:rsidRPr="00983DE2">
        <w:rPr>
          <w:rFonts w:ascii="Verdana" w:hAnsi="Verdana" w:cs="Arial"/>
          <w:color w:val="000000" w:themeColor="text1"/>
          <w:lang w:val="es-ES" w:eastAsia="es-CO"/>
        </w:rPr>
        <w:t xml:space="preserve">, </w:t>
      </w:r>
      <w:r w:rsidR="009C23DF">
        <w:rPr>
          <w:rFonts w:ascii="Verdana" w:hAnsi="Verdana" w:cs="Arial"/>
          <w:color w:val="000000" w:themeColor="text1"/>
          <w:lang w:val="es-ES" w:eastAsia="es-CO"/>
        </w:rPr>
        <w:t>el cual señala</w:t>
      </w:r>
      <w:r w:rsidRPr="00983DE2">
        <w:rPr>
          <w:rFonts w:ascii="Verdana" w:hAnsi="Verdana" w:cs="Arial"/>
          <w:color w:val="000000" w:themeColor="text1"/>
          <w:lang w:val="es-ES" w:eastAsia="es-CO"/>
        </w:rPr>
        <w:t>:</w:t>
      </w:r>
    </w:p>
    <w:p w14:paraId="645B5E7A" w14:textId="77777777" w:rsidR="00277AD5" w:rsidRPr="00983DE2" w:rsidRDefault="00277AD5" w:rsidP="00277AD5">
      <w:pPr>
        <w:spacing w:line="276" w:lineRule="auto"/>
        <w:ind w:firstLine="708"/>
        <w:jc w:val="both"/>
        <w:rPr>
          <w:rFonts w:ascii="Verdana" w:hAnsi="Verdana" w:cs="Arial"/>
          <w:color w:val="000000" w:themeColor="text1"/>
          <w:lang w:val="es-ES" w:eastAsia="es-CO"/>
        </w:rPr>
      </w:pPr>
    </w:p>
    <w:p w14:paraId="20444E88" w14:textId="77777777" w:rsidR="00277AD5" w:rsidRPr="00867503" w:rsidRDefault="00277AD5" w:rsidP="00277AD5">
      <w:pPr>
        <w:pStyle w:val="Textonotapie"/>
        <w:snapToGrid w:val="0"/>
        <w:ind w:left="709" w:right="709"/>
        <w:jc w:val="both"/>
        <w:rPr>
          <w:rFonts w:ascii="Verdana" w:hAnsi="Verdana"/>
          <w:lang w:val="es-ES"/>
        </w:rPr>
      </w:pPr>
      <w:r w:rsidRPr="00867503">
        <w:rPr>
          <w:rFonts w:ascii="Verdana" w:hAnsi="Verdana"/>
          <w:lang w:val="es-ES"/>
        </w:rPr>
        <w:t xml:space="preserve"> “1.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77858A93" w14:textId="77777777" w:rsidR="00277AD5" w:rsidRPr="00867503" w:rsidRDefault="00277AD5" w:rsidP="00277AD5">
      <w:pPr>
        <w:pStyle w:val="Textonotapie"/>
        <w:snapToGrid w:val="0"/>
        <w:ind w:left="709" w:right="709"/>
        <w:jc w:val="both"/>
        <w:rPr>
          <w:rFonts w:ascii="Verdana" w:hAnsi="Verdana"/>
          <w:lang w:val="es-ES"/>
        </w:rPr>
      </w:pPr>
    </w:p>
    <w:p w14:paraId="59221B11" w14:textId="77777777" w:rsidR="00277AD5" w:rsidRPr="00867503" w:rsidRDefault="00277AD5" w:rsidP="00277AD5">
      <w:pPr>
        <w:pStyle w:val="Textonotapie"/>
        <w:snapToGrid w:val="0"/>
        <w:ind w:left="709" w:right="709"/>
        <w:jc w:val="both"/>
        <w:rPr>
          <w:rFonts w:ascii="Verdana" w:hAnsi="Verdana"/>
          <w:lang w:val="es-ES"/>
        </w:rPr>
      </w:pPr>
      <w:r w:rsidRPr="00867503">
        <w:rPr>
          <w:rFonts w:ascii="Verdana" w:hAnsi="Verdana"/>
          <w:lang w:val="es-ES"/>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0C754A26" w14:textId="77777777" w:rsidR="00277AD5" w:rsidRPr="00867503" w:rsidRDefault="00277AD5" w:rsidP="00277AD5">
      <w:pPr>
        <w:pStyle w:val="Textonotapie"/>
        <w:snapToGrid w:val="0"/>
        <w:ind w:left="709" w:right="709"/>
        <w:jc w:val="both"/>
        <w:rPr>
          <w:rFonts w:ascii="Verdana" w:hAnsi="Verdana"/>
          <w:lang w:val="es-ES"/>
        </w:rPr>
      </w:pPr>
    </w:p>
    <w:p w14:paraId="0AAA47A9" w14:textId="77777777" w:rsidR="00277AD5" w:rsidRPr="00867503" w:rsidRDefault="00277AD5" w:rsidP="00277AD5">
      <w:pPr>
        <w:snapToGrid w:val="0"/>
        <w:ind w:left="709" w:right="709"/>
        <w:jc w:val="both"/>
        <w:rPr>
          <w:rFonts w:ascii="Verdana" w:hAnsi="Verdana"/>
          <w:sz w:val="20"/>
          <w:szCs w:val="20"/>
          <w:lang w:val="es-ES"/>
        </w:rPr>
      </w:pPr>
      <w:r w:rsidRPr="00867503">
        <w:rPr>
          <w:rFonts w:ascii="Verdana" w:hAnsi="Verdana"/>
          <w:sz w:val="20"/>
          <w:szCs w:val="20"/>
          <w:lang w:val="es-ES"/>
        </w:rPr>
        <w:t>3. Amparos. El amparo de responsabilidad civil extracontractual debe contener además de la cobertura básica de predios, labores y operaciones, mínimo los siguientes amparos:</w:t>
      </w:r>
    </w:p>
    <w:p w14:paraId="7379ED2D" w14:textId="77777777" w:rsidR="00DE4259" w:rsidRPr="00867503" w:rsidRDefault="00DE4259" w:rsidP="00277AD5">
      <w:pPr>
        <w:snapToGrid w:val="0"/>
        <w:ind w:left="709" w:right="709"/>
        <w:jc w:val="both"/>
        <w:rPr>
          <w:rFonts w:ascii="Verdana" w:hAnsi="Verdana"/>
          <w:sz w:val="20"/>
          <w:szCs w:val="20"/>
          <w:lang w:val="es-ES"/>
        </w:rPr>
      </w:pPr>
    </w:p>
    <w:p w14:paraId="418BC62F" w14:textId="646CFE3D" w:rsidR="00277AD5" w:rsidRPr="00867503" w:rsidRDefault="00277AD5" w:rsidP="00277AD5">
      <w:pPr>
        <w:snapToGrid w:val="0"/>
        <w:ind w:left="709" w:right="709"/>
        <w:jc w:val="both"/>
        <w:rPr>
          <w:rFonts w:ascii="Verdana" w:hAnsi="Verdana"/>
          <w:sz w:val="20"/>
          <w:szCs w:val="20"/>
          <w:lang w:val="es-ES"/>
        </w:rPr>
      </w:pPr>
      <w:r w:rsidRPr="00867503">
        <w:rPr>
          <w:rFonts w:ascii="Verdana" w:hAnsi="Verdana"/>
          <w:sz w:val="20"/>
          <w:szCs w:val="20"/>
          <w:lang w:val="es-ES"/>
        </w:rPr>
        <w:t xml:space="preserve">3.1. Cobertura expresa de perjuicios por daño emergente y lucro cesante. </w:t>
      </w:r>
    </w:p>
    <w:p w14:paraId="2A3EBDDC" w14:textId="77777777" w:rsidR="00277AD5" w:rsidRPr="00867503" w:rsidRDefault="00277AD5" w:rsidP="00277AD5">
      <w:pPr>
        <w:snapToGrid w:val="0"/>
        <w:ind w:left="709" w:right="709"/>
        <w:jc w:val="both"/>
        <w:rPr>
          <w:rFonts w:ascii="Verdana" w:hAnsi="Verdana"/>
          <w:sz w:val="20"/>
          <w:szCs w:val="20"/>
          <w:lang w:val="es-ES"/>
        </w:rPr>
      </w:pPr>
      <w:r w:rsidRPr="00867503">
        <w:rPr>
          <w:rFonts w:ascii="Verdana" w:hAnsi="Verdana"/>
          <w:sz w:val="20"/>
          <w:szCs w:val="20"/>
          <w:lang w:val="es-ES"/>
        </w:rPr>
        <w:t xml:space="preserve">3.2. Cobertura expresa de perjuicios extrapatrimoniales. </w:t>
      </w:r>
    </w:p>
    <w:p w14:paraId="44067105" w14:textId="77777777" w:rsidR="00277AD5" w:rsidRPr="00867503" w:rsidRDefault="00277AD5" w:rsidP="00277AD5">
      <w:pPr>
        <w:snapToGrid w:val="0"/>
        <w:ind w:left="709" w:right="709"/>
        <w:jc w:val="both"/>
        <w:rPr>
          <w:rFonts w:ascii="Verdana" w:hAnsi="Verdana"/>
          <w:sz w:val="20"/>
          <w:szCs w:val="20"/>
          <w:lang w:val="es-ES"/>
        </w:rPr>
      </w:pPr>
      <w:r w:rsidRPr="00867503">
        <w:rPr>
          <w:rFonts w:ascii="Verdana" w:hAnsi="Verdana"/>
          <w:sz w:val="20"/>
          <w:szCs w:val="20"/>
          <w:lang w:val="es-ES"/>
        </w:rPr>
        <w:lastRenderedPageBreak/>
        <w:t xml:space="preserve">3.3. Cobertura expresa de la responsabilidad surgida por actos de contratistas y subcontratistas, salvo que el subcontratista tenga su propio seguro de responsabilidad extracontractual, con los mismos amparos aquí requeridos. </w:t>
      </w:r>
    </w:p>
    <w:p w14:paraId="462AAD53" w14:textId="77777777" w:rsidR="00277AD5" w:rsidRPr="00867503" w:rsidRDefault="00277AD5" w:rsidP="00277AD5">
      <w:pPr>
        <w:snapToGrid w:val="0"/>
        <w:ind w:left="709" w:right="709"/>
        <w:jc w:val="both"/>
        <w:rPr>
          <w:rFonts w:ascii="Verdana" w:hAnsi="Verdana"/>
          <w:sz w:val="20"/>
          <w:szCs w:val="20"/>
          <w:lang w:val="es-ES"/>
        </w:rPr>
      </w:pPr>
      <w:r w:rsidRPr="00867503">
        <w:rPr>
          <w:rFonts w:ascii="Verdana" w:hAnsi="Verdana"/>
          <w:sz w:val="20"/>
          <w:szCs w:val="20"/>
          <w:lang w:val="es-ES"/>
        </w:rPr>
        <w:t xml:space="preserve">3.4. Cobertura expresa de amparo patronal. </w:t>
      </w:r>
    </w:p>
    <w:p w14:paraId="6E482131" w14:textId="77777777" w:rsidR="00277AD5" w:rsidRPr="00867503" w:rsidRDefault="00277AD5" w:rsidP="00277AD5">
      <w:pPr>
        <w:snapToGrid w:val="0"/>
        <w:ind w:left="709" w:right="709"/>
        <w:jc w:val="both"/>
        <w:rPr>
          <w:rFonts w:ascii="Verdana" w:hAnsi="Verdana" w:cs="Arial"/>
          <w:color w:val="000000" w:themeColor="text1"/>
          <w:sz w:val="20"/>
          <w:szCs w:val="20"/>
          <w:lang w:val="es-ES" w:eastAsia="es-CO"/>
        </w:rPr>
      </w:pPr>
      <w:r w:rsidRPr="00867503">
        <w:rPr>
          <w:rFonts w:ascii="Verdana" w:hAnsi="Verdana"/>
          <w:sz w:val="20"/>
          <w:szCs w:val="20"/>
          <w:lang w:val="es-ES"/>
        </w:rPr>
        <w:t>3.5. Cobertura expresa de vehículos propios y no propios”.</w:t>
      </w:r>
    </w:p>
    <w:p w14:paraId="602E3F0C" w14:textId="77777777" w:rsidR="00277AD5" w:rsidRPr="00983DE2" w:rsidRDefault="00277AD5" w:rsidP="00277AD5">
      <w:pPr>
        <w:pStyle w:val="Textonotapie"/>
        <w:snapToGrid w:val="0"/>
        <w:ind w:right="709"/>
        <w:contextualSpacing/>
        <w:jc w:val="both"/>
        <w:rPr>
          <w:rFonts w:ascii="Verdana" w:hAnsi="Verdana" w:cs="Arial"/>
          <w:color w:val="000000" w:themeColor="text1"/>
          <w:lang w:val="es-ES" w:eastAsia="es-CO"/>
        </w:rPr>
      </w:pPr>
    </w:p>
    <w:p w14:paraId="69359F13" w14:textId="77777777" w:rsidR="00277AD5" w:rsidRPr="00983DE2" w:rsidRDefault="00277AD5" w:rsidP="00867503">
      <w:pPr>
        <w:spacing w:after="120" w:line="276" w:lineRule="auto"/>
        <w:ind w:firstLine="708"/>
        <w:jc w:val="both"/>
        <w:rPr>
          <w:rFonts w:ascii="Verdana" w:hAnsi="Verdana" w:cs="Arial"/>
          <w:color w:val="000000" w:themeColor="text1"/>
          <w:lang w:val="es-ES" w:eastAsia="es-CO"/>
        </w:rPr>
      </w:pPr>
      <w:r w:rsidRPr="00983DE2">
        <w:rPr>
          <w:rFonts w:ascii="Verdana" w:hAnsi="Verdana" w:cs="Arial"/>
          <w:color w:val="000000" w:themeColor="text1"/>
          <w:lang w:val="es-ES" w:eastAsia="es-CO"/>
        </w:rPr>
        <w:t>En efecto, en la garantía que respalde el riesgo de responsabilidad civil extracontractual l</w:t>
      </w:r>
      <w:r w:rsidRPr="00983DE2">
        <w:rPr>
          <w:rFonts w:ascii="Verdana" w:hAnsi="Verdana"/>
          <w:lang w:val="es-ES"/>
        </w:rPr>
        <w:t xml:space="preserve">a Entidad Estatal y el contratista deben tener la calidad de asegurado </w:t>
      </w:r>
      <w:r w:rsidRPr="00983DE2">
        <w:rPr>
          <w:rFonts w:ascii="Verdana" w:hAnsi="Verdana" w:cs="Arial"/>
          <w:color w:val="000000" w:themeColor="text1"/>
          <w:lang w:val="es-ES" w:eastAsia="es-CO"/>
        </w:rPr>
        <w:t xml:space="preserve">respecto de los daños producidos por el contratista con ocasión de la ejecución del contrato amparado. Adicionalmente, tanto la Entidad Estatal como los terceros que puedan resultar afectados por la responsabilidad del contratista o sus subcontratistas deben figurar como beneficiarios. El cumplimiento de este requisito debe ser verificado por la entidad estatal para la aprobación de la garantía y el inicio de la ejecución contractual. </w:t>
      </w:r>
    </w:p>
    <w:p w14:paraId="49249570" w14:textId="77777777" w:rsidR="00277AD5" w:rsidRPr="00983DE2" w:rsidRDefault="00277AD5" w:rsidP="00277AD5">
      <w:pPr>
        <w:spacing w:before="120" w:line="276" w:lineRule="auto"/>
        <w:ind w:firstLine="708"/>
        <w:jc w:val="both"/>
        <w:rPr>
          <w:rFonts w:ascii="Verdana" w:hAnsi="Verdana"/>
          <w:lang w:val="es-ES"/>
        </w:rPr>
      </w:pPr>
      <w:r w:rsidRPr="00983DE2">
        <w:rPr>
          <w:rFonts w:ascii="Verdana" w:hAnsi="Verdana" w:cs="Arial"/>
          <w:color w:val="000000" w:themeColor="text1"/>
          <w:lang w:val="es-ES" w:eastAsia="es-CO"/>
        </w:rPr>
        <w:t>Tercero, el seguro de responsabilidad civil extracontractual debe cumplir con los valores mínimos de suficiencia que establece el artículo 2.2.1.2.3.1.17. En efecto, la entidad debe</w:t>
      </w:r>
      <w:r w:rsidRPr="00983DE2">
        <w:rPr>
          <w:rFonts w:ascii="Verdana" w:hAnsi="Verdana"/>
          <w:lang w:val="es-ES"/>
        </w:rPr>
        <w:t xml:space="preserve"> verificar que el valor asegurado por los contratos de seguro que amparan la responsabilidad civil extracontractual no sea inferior a: </w:t>
      </w:r>
    </w:p>
    <w:p w14:paraId="1B85B4FE" w14:textId="77777777" w:rsidR="00277AD5" w:rsidRPr="00983DE2" w:rsidRDefault="00277AD5" w:rsidP="00277AD5">
      <w:pPr>
        <w:spacing w:line="276" w:lineRule="auto"/>
        <w:ind w:firstLine="708"/>
        <w:jc w:val="both"/>
        <w:rPr>
          <w:rFonts w:ascii="Verdana" w:hAnsi="Verdana"/>
          <w:lang w:val="es-ES"/>
        </w:rPr>
      </w:pPr>
    </w:p>
    <w:p w14:paraId="737D3CCD" w14:textId="77777777" w:rsidR="00277AD5" w:rsidRPr="00867503" w:rsidRDefault="00277AD5" w:rsidP="00867503">
      <w:pPr>
        <w:pStyle w:val="Textonotapie"/>
        <w:snapToGrid w:val="0"/>
        <w:ind w:left="709" w:right="709"/>
        <w:contextualSpacing/>
        <w:jc w:val="both"/>
        <w:rPr>
          <w:rFonts w:ascii="Verdana" w:hAnsi="Verdana"/>
          <w:lang w:val="es-ES"/>
        </w:rPr>
      </w:pPr>
      <w:r w:rsidRPr="00867503">
        <w:rPr>
          <w:rFonts w:ascii="Verdana" w:hAnsi="Verdana" w:cs="Arial"/>
          <w:color w:val="000000" w:themeColor="text1"/>
          <w:lang w:val="es-ES" w:eastAsia="es-CO"/>
        </w:rPr>
        <w:t xml:space="preserve">“1. Doscientos (200)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xml:space="preserve"> para contratos cuyo valor sea inferior o igual a mil quinientos (1.500)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w:t>
      </w:r>
    </w:p>
    <w:p w14:paraId="26927E15" w14:textId="77777777" w:rsidR="00277AD5" w:rsidRPr="00867503" w:rsidRDefault="00277AD5" w:rsidP="00DE4259">
      <w:pPr>
        <w:pStyle w:val="Textonotapie"/>
        <w:snapToGrid w:val="0"/>
        <w:spacing w:before="120"/>
        <w:ind w:left="709" w:right="709"/>
        <w:contextualSpacing/>
        <w:jc w:val="both"/>
        <w:rPr>
          <w:rFonts w:ascii="Verdana" w:hAnsi="Verdana" w:cs="Arial"/>
          <w:color w:val="000000" w:themeColor="text1"/>
          <w:lang w:val="es-ES" w:eastAsia="es-CO"/>
        </w:rPr>
      </w:pPr>
      <w:r w:rsidRPr="00867503">
        <w:rPr>
          <w:rFonts w:ascii="Verdana" w:hAnsi="Verdana" w:cs="Arial"/>
          <w:color w:val="000000" w:themeColor="text1"/>
          <w:lang w:val="es-ES" w:eastAsia="es-CO"/>
        </w:rPr>
        <w:t xml:space="preserve">2. Trescientos (300)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xml:space="preserve"> para contratos cuyo valor sea superior a mil quinientos (1.500)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xml:space="preserve"> e inferior o igual a dos mil quinientos (2.500)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w:t>
      </w:r>
    </w:p>
    <w:p w14:paraId="5CFBBDF9" w14:textId="77777777" w:rsidR="00277AD5" w:rsidRPr="00867503" w:rsidRDefault="00277AD5" w:rsidP="00DE4259">
      <w:pPr>
        <w:pStyle w:val="Textonotapie"/>
        <w:snapToGrid w:val="0"/>
        <w:spacing w:before="120"/>
        <w:ind w:left="709" w:right="709"/>
        <w:contextualSpacing/>
        <w:jc w:val="both"/>
        <w:rPr>
          <w:rFonts w:ascii="Verdana" w:hAnsi="Verdana" w:cs="Arial"/>
          <w:color w:val="000000" w:themeColor="text1"/>
          <w:lang w:val="es-ES" w:eastAsia="es-CO"/>
        </w:rPr>
      </w:pPr>
      <w:r w:rsidRPr="00867503">
        <w:rPr>
          <w:rFonts w:ascii="Verdana" w:hAnsi="Verdana" w:cs="Arial"/>
          <w:color w:val="000000" w:themeColor="text1"/>
          <w:lang w:val="es-ES" w:eastAsia="es-CO"/>
        </w:rPr>
        <w:t xml:space="preserve">3. Cuatrocientos (400)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xml:space="preserve"> para contratos cuyo valor sea superior a dos mil quinientos (2.500)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xml:space="preserve"> e inferior o igual a cinco mil (5.000)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w:t>
      </w:r>
    </w:p>
    <w:p w14:paraId="40B3EB33" w14:textId="77777777" w:rsidR="00277AD5" w:rsidRPr="00867503" w:rsidRDefault="00277AD5" w:rsidP="00DE4259">
      <w:pPr>
        <w:pStyle w:val="Textonotapie"/>
        <w:snapToGrid w:val="0"/>
        <w:spacing w:before="120"/>
        <w:ind w:left="709" w:right="709"/>
        <w:contextualSpacing/>
        <w:jc w:val="both"/>
        <w:rPr>
          <w:rFonts w:ascii="Verdana" w:hAnsi="Verdana" w:cs="Arial"/>
          <w:color w:val="000000" w:themeColor="text1"/>
          <w:lang w:val="es-ES" w:eastAsia="es-CO"/>
        </w:rPr>
      </w:pPr>
      <w:r w:rsidRPr="00867503">
        <w:rPr>
          <w:rFonts w:ascii="Verdana" w:hAnsi="Verdana" w:cs="Arial"/>
          <w:color w:val="000000" w:themeColor="text1"/>
          <w:lang w:val="es-ES" w:eastAsia="es-CO"/>
        </w:rPr>
        <w:t xml:space="preserve">4. Quinientos (500)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xml:space="preserve"> para contratos cuyo valor sea superior a cinco mil (5.000)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xml:space="preserve"> e inferior o igual a diez mil (10.000)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w:t>
      </w:r>
    </w:p>
    <w:p w14:paraId="5152D307" w14:textId="77777777" w:rsidR="00277AD5" w:rsidRPr="00867503" w:rsidRDefault="00277AD5" w:rsidP="00DE4259">
      <w:pPr>
        <w:pStyle w:val="Textonotapie"/>
        <w:snapToGrid w:val="0"/>
        <w:spacing w:before="120"/>
        <w:ind w:left="709" w:right="709"/>
        <w:contextualSpacing/>
        <w:jc w:val="both"/>
        <w:rPr>
          <w:rFonts w:ascii="Verdana" w:hAnsi="Verdana" w:cs="Arial"/>
          <w:color w:val="000000" w:themeColor="text1"/>
          <w:lang w:val="es-ES" w:eastAsia="es-CO"/>
        </w:rPr>
      </w:pPr>
      <w:r w:rsidRPr="00867503">
        <w:rPr>
          <w:rFonts w:ascii="Verdana" w:hAnsi="Verdana" w:cs="Arial"/>
          <w:color w:val="000000" w:themeColor="text1"/>
          <w:lang w:val="es-ES" w:eastAsia="es-CO"/>
        </w:rPr>
        <w:t xml:space="preserve">5. El cinco por ciento (5%) del valor del contrato cuando este sea superior a diez mil (10.000)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xml:space="preserve">, caso en el cual el valor asegurado debe ser máximo setenta y cinco mil (75.000) </w:t>
      </w:r>
      <w:proofErr w:type="spellStart"/>
      <w:r w:rsidRPr="00867503">
        <w:rPr>
          <w:rFonts w:ascii="Verdana" w:hAnsi="Verdana" w:cs="Arial"/>
          <w:color w:val="000000" w:themeColor="text1"/>
          <w:lang w:val="es-ES" w:eastAsia="es-CO"/>
        </w:rPr>
        <w:t>smmlv</w:t>
      </w:r>
      <w:proofErr w:type="spellEnd"/>
      <w:r w:rsidRPr="00867503">
        <w:rPr>
          <w:rFonts w:ascii="Verdana" w:hAnsi="Verdana" w:cs="Arial"/>
          <w:color w:val="000000" w:themeColor="text1"/>
          <w:lang w:val="es-ES" w:eastAsia="es-CO"/>
        </w:rPr>
        <w:t>”. </w:t>
      </w:r>
    </w:p>
    <w:p w14:paraId="717682AA" w14:textId="77777777" w:rsidR="00277AD5" w:rsidRPr="00867503" w:rsidRDefault="00277AD5" w:rsidP="00867503">
      <w:pPr>
        <w:pStyle w:val="Textonotapie"/>
        <w:snapToGrid w:val="0"/>
        <w:spacing w:before="120" w:line="276" w:lineRule="auto"/>
        <w:ind w:left="709" w:right="709"/>
        <w:contextualSpacing/>
        <w:jc w:val="both"/>
        <w:rPr>
          <w:rFonts w:ascii="Verdana" w:hAnsi="Verdana"/>
          <w:sz w:val="22"/>
          <w:szCs w:val="22"/>
          <w:lang w:val="es-ES"/>
        </w:rPr>
      </w:pPr>
    </w:p>
    <w:p w14:paraId="6A7FACC4" w14:textId="68D509A8" w:rsidR="00277AD5" w:rsidRPr="00983DE2" w:rsidRDefault="00277AD5" w:rsidP="00277AD5">
      <w:pPr>
        <w:spacing w:after="120" w:line="276" w:lineRule="auto"/>
        <w:ind w:firstLine="708"/>
        <w:jc w:val="both"/>
        <w:rPr>
          <w:rFonts w:ascii="Verdana" w:hAnsi="Verdana" w:cs="Arial"/>
          <w:color w:val="000000" w:themeColor="text1"/>
          <w:lang w:val="es-ES" w:eastAsia="es-CO"/>
        </w:rPr>
      </w:pPr>
      <w:r w:rsidRPr="00983DE2">
        <w:rPr>
          <w:rFonts w:ascii="Verdana" w:hAnsi="Verdana" w:cs="Arial"/>
          <w:color w:val="000000" w:themeColor="text1"/>
          <w:lang w:val="es-ES" w:eastAsia="es-CO"/>
        </w:rPr>
        <w:t>En consecuencia, la entidad debe verificar que el contrato de seguro cumpla con la suficiencia en términos de valor y tiempo</w:t>
      </w:r>
      <w:r w:rsidR="001F4893">
        <w:rPr>
          <w:rFonts w:ascii="Verdana" w:hAnsi="Verdana" w:cs="Arial"/>
          <w:color w:val="000000" w:themeColor="text1"/>
          <w:lang w:val="es-ES" w:eastAsia="es-CO"/>
        </w:rPr>
        <w:t>,</w:t>
      </w:r>
      <w:r w:rsidRPr="00983DE2">
        <w:rPr>
          <w:rFonts w:ascii="Verdana" w:hAnsi="Verdana" w:cs="Arial"/>
          <w:color w:val="000000" w:themeColor="text1"/>
          <w:lang w:val="es-ES" w:eastAsia="es-CO"/>
        </w:rPr>
        <w:t xml:space="preserve"> de acuerdo con</w:t>
      </w:r>
      <w:r w:rsidR="001F4893">
        <w:rPr>
          <w:rFonts w:ascii="Verdana" w:hAnsi="Verdana" w:cs="Arial"/>
          <w:color w:val="000000" w:themeColor="text1"/>
          <w:lang w:val="es-ES" w:eastAsia="es-CO"/>
        </w:rPr>
        <w:t xml:space="preserve"> </w:t>
      </w:r>
      <w:r w:rsidR="001F4893">
        <w:rPr>
          <w:rFonts w:ascii="Verdana" w:hAnsi="Verdana" w:cs="Arial"/>
          <w:color w:val="000000" w:themeColor="text1"/>
          <w:lang w:val="es-ES" w:eastAsia="es-CO"/>
        </w:rPr>
        <w:lastRenderedPageBreak/>
        <w:t>lo establecido en</w:t>
      </w:r>
      <w:r w:rsidRPr="00983DE2">
        <w:rPr>
          <w:rFonts w:ascii="Verdana" w:hAnsi="Verdana" w:cs="Arial"/>
          <w:color w:val="000000" w:themeColor="text1"/>
          <w:lang w:val="es-ES" w:eastAsia="es-CO"/>
        </w:rPr>
        <w:t xml:space="preserve"> el artículo </w:t>
      </w:r>
      <w:bookmarkStart w:id="8" w:name="_Hlk171693447"/>
      <w:r w:rsidRPr="00983DE2">
        <w:rPr>
          <w:rFonts w:ascii="Verdana" w:hAnsi="Verdana" w:cs="Arial"/>
          <w:color w:val="000000" w:themeColor="text1"/>
          <w:lang w:val="es-ES" w:eastAsia="es-CO"/>
        </w:rPr>
        <w:t>2.2.1.2.3.1.17</w:t>
      </w:r>
      <w:bookmarkEnd w:id="8"/>
      <w:r w:rsidRPr="00983DE2">
        <w:rPr>
          <w:rStyle w:val="Refdenotaalpie"/>
          <w:rFonts w:ascii="Verdana" w:hAnsi="Verdana" w:cs="Arial"/>
          <w:color w:val="000000" w:themeColor="text1"/>
          <w:lang w:val="es-ES" w:eastAsia="es-CO"/>
        </w:rPr>
        <w:footnoteReference w:id="10"/>
      </w:r>
      <w:r w:rsidRPr="00983DE2">
        <w:rPr>
          <w:rFonts w:ascii="Verdana" w:hAnsi="Verdana" w:cs="Arial"/>
          <w:color w:val="000000" w:themeColor="text1"/>
          <w:lang w:val="es-ES" w:eastAsia="es-CO"/>
        </w:rPr>
        <w:t xml:space="preserve">. Adicional a lo anterior, la norma establece de manera expresa que la vigencia de esta garantía deberá ser igual al </w:t>
      </w:r>
      <w:r w:rsidRPr="00983DE2">
        <w:rPr>
          <w:rFonts w:ascii="Verdana" w:hAnsi="Verdana" w:cs="Arial"/>
          <w:i/>
          <w:color w:val="000000" w:themeColor="text1"/>
          <w:lang w:val="es-ES" w:eastAsia="es-CO"/>
        </w:rPr>
        <w:t>período de ejecución del contrato</w:t>
      </w:r>
      <w:r w:rsidRPr="00983DE2">
        <w:rPr>
          <w:rFonts w:ascii="Verdana" w:hAnsi="Verdana" w:cs="Arial"/>
          <w:color w:val="000000" w:themeColor="text1"/>
          <w:lang w:val="es-ES" w:eastAsia="es-CO"/>
        </w:rPr>
        <w:t xml:space="preserve"> estatal que está respaldando.</w:t>
      </w:r>
    </w:p>
    <w:p w14:paraId="3F13C288" w14:textId="77777777" w:rsidR="00277AD5" w:rsidRPr="00983DE2" w:rsidRDefault="00277AD5" w:rsidP="00277AD5">
      <w:pPr>
        <w:spacing w:before="120" w:line="276" w:lineRule="auto"/>
        <w:ind w:firstLine="708"/>
        <w:jc w:val="both"/>
        <w:rPr>
          <w:rFonts w:ascii="Verdana" w:hAnsi="Verdana" w:cs="Arial"/>
          <w:color w:val="000000" w:themeColor="text1"/>
          <w:lang w:val="es-ES" w:eastAsia="es-CO"/>
        </w:rPr>
      </w:pPr>
      <w:r w:rsidRPr="00983DE2">
        <w:rPr>
          <w:rFonts w:ascii="Verdana" w:hAnsi="Verdana" w:cs="Arial"/>
          <w:color w:val="000000" w:themeColor="text1"/>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w:t>
      </w:r>
      <w:proofErr w:type="spellStart"/>
      <w:r w:rsidRPr="00983DE2">
        <w:rPr>
          <w:rFonts w:ascii="Verdana" w:hAnsi="Verdana" w:cs="Arial"/>
          <w:color w:val="000000" w:themeColor="text1"/>
          <w:lang w:val="es-ES" w:eastAsia="es-CO"/>
        </w:rPr>
        <w:t>smmlv</w:t>
      </w:r>
      <w:proofErr w:type="spellEnd"/>
      <w:r w:rsidRPr="00983DE2">
        <w:rPr>
          <w:rFonts w:ascii="Verdana" w:hAnsi="Verdana" w:cs="Arial"/>
          <w:color w:val="000000" w:themeColor="text1"/>
          <w:lang w:val="es-ES" w:eastAsia="es-CO"/>
        </w:rPr>
        <w:t xml:space="preserve">. No serán admisibles las franquicias, coaseguros obligatorios y demás formas de estipulación que impliquen la asunción de parte de la pérdida por la entidad asegurada”. </w:t>
      </w:r>
    </w:p>
    <w:p w14:paraId="741AA163" w14:textId="77777777" w:rsidR="00277AD5" w:rsidRDefault="00277AD5" w:rsidP="00277AD5">
      <w:pPr>
        <w:spacing w:before="120" w:line="276" w:lineRule="auto"/>
        <w:ind w:firstLine="708"/>
        <w:jc w:val="both"/>
        <w:rPr>
          <w:rFonts w:ascii="Verdana" w:hAnsi="Verdana" w:cs="Arial"/>
          <w:color w:val="000000" w:themeColor="text1"/>
          <w:lang w:val="es-ES" w:eastAsia="es-CO"/>
        </w:rPr>
      </w:pPr>
      <w:r w:rsidRPr="00983DE2">
        <w:rPr>
          <w:rFonts w:ascii="Verdana" w:hAnsi="Verdana" w:cs="Arial"/>
          <w:color w:val="000000" w:themeColor="text1"/>
          <w:lang w:val="es-ES" w:eastAsia="es-CO"/>
        </w:rPr>
        <w:t>Así, el cumplimiento de las exigencias previstas en el Decreto Único Reglamentario del Sector Planeación condiciona la aprobación de la garantía como requisito de ejecución contractual conforme al inciso segundo de artículo 41 de la Ley 80 de 1993. De esta manera, independientemente de la naturaleza “corporativa” o “individual” de la garantía, la Entidad Estatal tiene la obligación de verificar en cada caso que el contrato de seguro de responsabilidad civil extracontractual satisfaga todos los requisitos previamente expuestos, en los términos establecidos en la normativa.</w:t>
      </w:r>
    </w:p>
    <w:p w14:paraId="3CAE45D5" w14:textId="09A67C5D" w:rsidR="00277AD5" w:rsidRDefault="00277AD5" w:rsidP="00277AD5">
      <w:pPr>
        <w:spacing w:before="120" w:line="276" w:lineRule="auto"/>
        <w:ind w:firstLine="708"/>
        <w:jc w:val="both"/>
        <w:rPr>
          <w:rFonts w:ascii="Verdana" w:eastAsia="Calibri" w:hAnsi="Verdana" w:cs="Arial"/>
        </w:rPr>
      </w:pPr>
      <w:r w:rsidRPr="007E09CB">
        <w:rPr>
          <w:rFonts w:ascii="Verdana" w:eastAsia="Calibri" w:hAnsi="Verdana" w:cs="Arial"/>
        </w:rPr>
        <w:t xml:space="preserve">Bajo este marco normativo y doctrinal, la obligación del contratista consiste en constituir y mantener vigente </w:t>
      </w:r>
      <w:r w:rsidR="00D57475">
        <w:rPr>
          <w:rFonts w:ascii="Verdana" w:eastAsia="Calibri" w:hAnsi="Verdana" w:cs="Arial"/>
        </w:rPr>
        <w:t xml:space="preserve"> y actualizada </w:t>
      </w:r>
      <w:r w:rsidRPr="007E09CB">
        <w:rPr>
          <w:rFonts w:ascii="Verdana" w:eastAsia="Calibri" w:hAnsi="Verdana" w:cs="Arial"/>
        </w:rPr>
        <w:t xml:space="preserve">la garantía en los términos exigidos y aprobados por la </w:t>
      </w:r>
      <w:r w:rsidR="00CB15F3">
        <w:rPr>
          <w:rFonts w:ascii="Verdana" w:eastAsia="Calibri" w:hAnsi="Verdana" w:cs="Arial"/>
        </w:rPr>
        <w:t>E</w:t>
      </w:r>
      <w:r w:rsidRPr="007E09CB">
        <w:rPr>
          <w:rFonts w:ascii="Verdana" w:eastAsia="Calibri" w:hAnsi="Verdana" w:cs="Arial"/>
        </w:rPr>
        <w:t xml:space="preserve">ntidad </w:t>
      </w:r>
      <w:r w:rsidR="00CB15F3">
        <w:rPr>
          <w:rFonts w:ascii="Verdana" w:eastAsia="Calibri" w:hAnsi="Verdana" w:cs="Arial"/>
        </w:rPr>
        <w:t>E</w:t>
      </w:r>
      <w:r w:rsidRPr="007E09CB">
        <w:rPr>
          <w:rFonts w:ascii="Verdana" w:eastAsia="Calibri" w:hAnsi="Verdana" w:cs="Arial"/>
        </w:rPr>
        <w:t xml:space="preserve">statal, de manera que </w:t>
      </w:r>
      <w:r w:rsidRPr="007E09CB">
        <w:rPr>
          <w:rFonts w:ascii="Verdana" w:eastAsia="Calibri" w:hAnsi="Verdana" w:cs="Arial"/>
        </w:rPr>
        <w:lastRenderedPageBreak/>
        <w:t>cubra los riesgos derivados de la ejecución contractual durante el período correspondiente.</w:t>
      </w:r>
    </w:p>
    <w:p w14:paraId="04B9C164" w14:textId="52FDB900" w:rsidR="00277AD5" w:rsidRPr="007E09CB" w:rsidRDefault="00D57475" w:rsidP="00277AD5">
      <w:pPr>
        <w:spacing w:before="120" w:line="276" w:lineRule="auto"/>
        <w:ind w:firstLine="708"/>
        <w:jc w:val="both"/>
        <w:rPr>
          <w:rFonts w:ascii="Verdana" w:eastAsia="Calibri" w:hAnsi="Verdana" w:cs="Arial"/>
        </w:rPr>
      </w:pPr>
      <w:r>
        <w:rPr>
          <w:rFonts w:ascii="Verdana" w:eastAsia="Calibri" w:hAnsi="Verdana" w:cs="Arial"/>
        </w:rPr>
        <w:t>En ese contexto</w:t>
      </w:r>
      <w:r w:rsidR="00277AD5" w:rsidRPr="007E09CB">
        <w:rPr>
          <w:rFonts w:ascii="Verdana" w:eastAsia="Calibri" w:hAnsi="Verdana" w:cs="Arial"/>
        </w:rPr>
        <w:t>, la modificación o actualización de la póliza procede cuando se presentan circunstancias que alteren las condiciones inicialmente verificadas por la entidad, tales como:</w:t>
      </w:r>
      <w:r w:rsidR="00277AD5">
        <w:rPr>
          <w:rFonts w:ascii="Verdana" w:eastAsia="Calibri" w:hAnsi="Verdana" w:cs="Arial"/>
        </w:rPr>
        <w:t xml:space="preserve"> </w:t>
      </w:r>
      <w:r w:rsidR="00277AD5" w:rsidRPr="007E09CB">
        <w:rPr>
          <w:rFonts w:ascii="Verdana" w:eastAsia="Calibri" w:hAnsi="Verdana" w:cs="Arial"/>
        </w:rPr>
        <w:t>la ampliación del plazo de ejecución del contrato</w:t>
      </w:r>
      <w:r w:rsidR="00277AD5">
        <w:rPr>
          <w:rFonts w:ascii="Verdana" w:eastAsia="Calibri" w:hAnsi="Verdana" w:cs="Arial"/>
        </w:rPr>
        <w:t xml:space="preserve">, </w:t>
      </w:r>
      <w:r w:rsidR="00277AD5" w:rsidRPr="007E09CB">
        <w:rPr>
          <w:rFonts w:ascii="Verdana" w:eastAsia="Calibri" w:hAnsi="Verdana" w:cs="Arial"/>
        </w:rPr>
        <w:t>la adición o modificación del valor contractual que implique un cambio en el monto del amparo exigido</w:t>
      </w:r>
      <w:r w:rsidR="00277AD5">
        <w:rPr>
          <w:rFonts w:ascii="Verdana" w:eastAsia="Calibri" w:hAnsi="Verdana" w:cs="Arial"/>
        </w:rPr>
        <w:t xml:space="preserve"> </w:t>
      </w:r>
      <w:r w:rsidR="00277AD5" w:rsidRPr="007E09CB">
        <w:rPr>
          <w:rFonts w:ascii="Verdana" w:eastAsia="Calibri" w:hAnsi="Verdana" w:cs="Arial"/>
        </w:rPr>
        <w:t>o</w:t>
      </w:r>
      <w:r w:rsidR="00277AD5">
        <w:rPr>
          <w:rFonts w:ascii="Verdana" w:eastAsia="Calibri" w:hAnsi="Verdana" w:cs="Arial"/>
        </w:rPr>
        <w:t xml:space="preserve"> </w:t>
      </w:r>
      <w:r w:rsidR="00277AD5" w:rsidRPr="007E09CB">
        <w:rPr>
          <w:rFonts w:ascii="Verdana" w:eastAsia="Calibri" w:hAnsi="Verdana" w:cs="Arial"/>
        </w:rPr>
        <w:t>cualquier modificación contractual que altere los riesgos asegurados.</w:t>
      </w:r>
    </w:p>
    <w:p w14:paraId="653CD7F7" w14:textId="5D4C4C59" w:rsidR="00277AD5" w:rsidRPr="007E09CB" w:rsidRDefault="00277AD5" w:rsidP="00277AD5">
      <w:pPr>
        <w:spacing w:after="120" w:line="276" w:lineRule="auto"/>
        <w:jc w:val="both"/>
        <w:rPr>
          <w:rFonts w:ascii="Verdana" w:eastAsia="Calibri" w:hAnsi="Verdana" w:cs="Arial"/>
        </w:rPr>
      </w:pPr>
      <w:r>
        <w:rPr>
          <w:rFonts w:ascii="Verdana" w:eastAsia="Calibri" w:hAnsi="Verdana" w:cs="Arial"/>
        </w:rPr>
        <w:t xml:space="preserve">         </w:t>
      </w:r>
      <w:r w:rsidRPr="007E09CB">
        <w:rPr>
          <w:rFonts w:ascii="Verdana" w:eastAsia="Calibri" w:hAnsi="Verdana" w:cs="Arial"/>
        </w:rPr>
        <w:t xml:space="preserve">En efecto, </w:t>
      </w:r>
      <w:r>
        <w:rPr>
          <w:rFonts w:ascii="Verdana" w:eastAsia="Calibri" w:hAnsi="Verdana" w:cs="Arial"/>
        </w:rPr>
        <w:t>mediante concepto C-1260 del 03 de julio de 2025 expedido por esta Subdirección</w:t>
      </w:r>
      <w:r w:rsidR="00D57475">
        <w:rPr>
          <w:rFonts w:ascii="Verdana" w:eastAsia="Calibri" w:hAnsi="Verdana" w:cs="Arial"/>
        </w:rPr>
        <w:t xml:space="preserve"> de Gestión</w:t>
      </w:r>
      <w:r>
        <w:rPr>
          <w:rFonts w:ascii="Verdana" w:eastAsia="Calibri" w:hAnsi="Verdana" w:cs="Arial"/>
        </w:rPr>
        <w:t xml:space="preserve"> Contractual se </w:t>
      </w:r>
      <w:r w:rsidRPr="007E09CB">
        <w:rPr>
          <w:rFonts w:ascii="Verdana" w:eastAsia="Calibri" w:hAnsi="Verdana" w:cs="Arial"/>
        </w:rPr>
        <w:t>ha señalado que cuando el plazo del contrato se extiende</w:t>
      </w:r>
      <w:r>
        <w:rPr>
          <w:rFonts w:ascii="Verdana" w:eastAsia="Calibri" w:hAnsi="Verdana" w:cs="Arial"/>
        </w:rPr>
        <w:t xml:space="preserve">, </w:t>
      </w:r>
      <w:r w:rsidRPr="007E09CB">
        <w:rPr>
          <w:rFonts w:ascii="Verdana" w:eastAsia="Calibri" w:hAnsi="Verdana" w:cs="Arial"/>
        </w:rPr>
        <w:t xml:space="preserve">por ejemplo, como consecuencia de una suspensión o prórroga la póliza de responsabilidad civil extracontractual debe ampliarse para evitar vacíos en la cobertura frente a daños a terceros, dado que su vigencia debe cubrir todo el período de ejecución del contrato. </w:t>
      </w:r>
    </w:p>
    <w:p w14:paraId="38731253" w14:textId="2281B75E" w:rsidR="00277AD5" w:rsidRPr="007E09CB" w:rsidRDefault="00277AD5" w:rsidP="00277AD5">
      <w:pPr>
        <w:spacing w:after="120" w:line="276" w:lineRule="auto"/>
        <w:jc w:val="both"/>
        <w:rPr>
          <w:rFonts w:ascii="Verdana" w:eastAsia="Calibri" w:hAnsi="Verdana" w:cs="Arial"/>
        </w:rPr>
      </w:pPr>
      <w:r>
        <w:rPr>
          <w:rFonts w:ascii="Verdana" w:eastAsia="Calibri" w:hAnsi="Verdana" w:cs="Arial"/>
        </w:rPr>
        <w:t xml:space="preserve">         </w:t>
      </w:r>
      <w:r w:rsidRPr="007E09CB">
        <w:rPr>
          <w:rFonts w:ascii="Verdana" w:eastAsia="Calibri" w:hAnsi="Verdana" w:cs="Arial"/>
        </w:rPr>
        <w:t>En ausencia de estas circunstancias, no se advierte en la normativa ni en la doctrina administrativa la existencia de una obligación automática de actualizar el valor asegurado de la póliza por el simple cambio</w:t>
      </w:r>
      <w:r>
        <w:rPr>
          <w:rFonts w:ascii="Verdana" w:eastAsia="Calibri" w:hAnsi="Verdana" w:cs="Arial"/>
        </w:rPr>
        <w:t xml:space="preserve"> de anualidad</w:t>
      </w:r>
      <w:r w:rsidRPr="007E09CB">
        <w:rPr>
          <w:rFonts w:ascii="Verdana" w:eastAsia="Calibri" w:hAnsi="Verdana" w:cs="Arial"/>
        </w:rPr>
        <w:t>.</w:t>
      </w:r>
      <w:r>
        <w:rPr>
          <w:rFonts w:ascii="Verdana" w:eastAsia="Calibri" w:hAnsi="Verdana" w:cs="Arial"/>
        </w:rPr>
        <w:t xml:space="preserve"> </w:t>
      </w:r>
      <w:r w:rsidRPr="007E09CB">
        <w:rPr>
          <w:rFonts w:ascii="Verdana" w:eastAsia="Calibri" w:hAnsi="Verdana" w:cs="Arial"/>
        </w:rPr>
        <w:t>En ese orden, la referencia al valor en SMMLV prevista en el decreto constituye un parámetro para determinar la suficiencia de la cobertura al momento de constituir la garantía, pero no implica, por sí misma, que la póliza deba ser actualizada cada vez que se modifica el salario mínimo legal.</w:t>
      </w:r>
    </w:p>
    <w:p w14:paraId="3192D9D6" w14:textId="756C5D8F" w:rsidR="00277AD5" w:rsidRDefault="00277AD5" w:rsidP="00277AD5">
      <w:pPr>
        <w:spacing w:after="120" w:line="276" w:lineRule="auto"/>
        <w:ind w:firstLine="708"/>
        <w:jc w:val="both"/>
        <w:rPr>
          <w:rFonts w:ascii="Verdana" w:eastAsia="Calibri" w:hAnsi="Verdana" w:cs="Arial"/>
          <w:bCs/>
          <w:color w:val="000000"/>
        </w:rPr>
      </w:pPr>
      <w:r w:rsidRPr="00002297">
        <w:rPr>
          <w:rFonts w:ascii="Verdana" w:eastAsia="Calibri" w:hAnsi="Verdana" w:cs="Arial"/>
          <w:lang w:eastAsia="es-ES"/>
        </w:rPr>
        <w:t xml:space="preserve">Así las cosas, corresponde a cada </w:t>
      </w:r>
      <w:r w:rsidR="00D57475">
        <w:rPr>
          <w:rFonts w:ascii="Verdana" w:eastAsia="Calibri" w:hAnsi="Verdana" w:cs="Arial"/>
          <w:lang w:eastAsia="es-ES"/>
        </w:rPr>
        <w:t>E</w:t>
      </w:r>
      <w:r w:rsidRPr="00002297">
        <w:rPr>
          <w:rFonts w:ascii="Verdana" w:eastAsia="Calibri" w:hAnsi="Verdana" w:cs="Arial"/>
          <w:lang w:eastAsia="es-ES"/>
        </w:rPr>
        <w:t xml:space="preserve">ntidad </w:t>
      </w:r>
      <w:r w:rsidR="00D57475">
        <w:rPr>
          <w:rFonts w:ascii="Verdana" w:eastAsia="Calibri" w:hAnsi="Verdana" w:cs="Arial"/>
          <w:lang w:eastAsia="es-ES"/>
        </w:rPr>
        <w:t>P</w:t>
      </w:r>
      <w:r w:rsidRPr="00002297">
        <w:rPr>
          <w:rFonts w:ascii="Verdana" w:eastAsia="Calibri" w:hAnsi="Verdana" w:cs="Arial"/>
          <w:lang w:eastAsia="es-ES"/>
        </w:rPr>
        <w:t xml:space="preserve">ública y a sus equipos jurídicos analizar en cada caso concreto los elementos fácticos y jurídicos relacionados con la constitución y aprobación de las garantías, con el fin de determinar si resulta procedente exigir la actualización de la póliza de responsabilidad civil extracontractual al salario mínimo legal mensual vigente de la vigencia 2026, valorando especialmente si se han presentado modificaciones contractuales que alteren las condiciones inicialmente verificadas, como ampliaciones del plazo, adiciones de valor o cambios en los riesgos asegurados. En todo caso, se recomienda </w:t>
      </w:r>
      <w:r w:rsidRPr="00002297">
        <w:rPr>
          <w:rFonts w:ascii="Verdana" w:eastAsia="Calibri" w:hAnsi="Verdana" w:cs="Arial"/>
          <w:lang w:eastAsia="es-ES"/>
        </w:rPr>
        <w:lastRenderedPageBreak/>
        <w:t xml:space="preserve">consultar la Guía </w:t>
      </w:r>
      <w:r>
        <w:rPr>
          <w:rFonts w:ascii="Verdana" w:eastAsia="Calibri" w:hAnsi="Verdana" w:cs="Arial"/>
          <w:lang w:eastAsia="es-ES"/>
        </w:rPr>
        <w:t xml:space="preserve">de Garantías en </w:t>
      </w:r>
      <w:r w:rsidRPr="00002297">
        <w:rPr>
          <w:rFonts w:ascii="Verdana" w:eastAsia="Calibri" w:hAnsi="Verdana" w:cs="Arial"/>
          <w:lang w:eastAsia="es-ES"/>
        </w:rPr>
        <w:t xml:space="preserve">Procesos de Contratación elaborada por la Agencia Nacional de </w:t>
      </w:r>
      <w:r w:rsidRPr="00002297">
        <w:rPr>
          <w:rFonts w:ascii="Verdana" w:eastAsia="Calibri" w:hAnsi="Verdana" w:cs="Arial"/>
        </w:rPr>
        <w:t>Contratación Pública– Colombia Compra Eficiente</w:t>
      </w:r>
      <w:r w:rsidR="00D57475">
        <w:rPr>
          <w:rStyle w:val="Refdenotaalpie"/>
          <w:rFonts w:ascii="Verdana" w:eastAsia="Calibri" w:hAnsi="Verdana" w:cs="Arial"/>
        </w:rPr>
        <w:footnoteReference w:id="11"/>
      </w:r>
      <w:r w:rsidRPr="00002297">
        <w:rPr>
          <w:rFonts w:ascii="Verdana" w:eastAsia="Calibri" w:hAnsi="Verdana" w:cs="Arial"/>
        </w:rPr>
        <w:t>, la cual contiene orientaciones sobre la estructuración, verificación y suficiencia de las garantías en los contratos estatales</w:t>
      </w:r>
      <w:r>
        <w:rPr>
          <w:rFonts w:ascii="Verdana" w:eastAsia="Calibri" w:hAnsi="Verdana" w:cs="Arial"/>
        </w:rPr>
        <w:t>.</w:t>
      </w:r>
    </w:p>
    <w:p w14:paraId="69BBBEDB" w14:textId="77777777" w:rsidR="00277AD5" w:rsidRPr="005055D5" w:rsidRDefault="00277AD5" w:rsidP="00277AD5">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295C8C6" w14:textId="77777777" w:rsidR="00277AD5" w:rsidRDefault="00277AD5" w:rsidP="00277AD5">
      <w:pPr>
        <w:spacing w:line="276" w:lineRule="auto"/>
        <w:ind w:firstLine="708"/>
        <w:jc w:val="both"/>
        <w:rPr>
          <w:rFonts w:ascii="Verdana" w:eastAsia="Calibri" w:hAnsi="Verdana" w:cs="Arial"/>
          <w:bCs/>
          <w:color w:val="000000"/>
        </w:rPr>
      </w:pPr>
      <w:r w:rsidRPr="005055D5">
        <w:rPr>
          <w:rFonts w:ascii="Verdana" w:eastAsia="Calibri" w:hAnsi="Verdana" w:cs="Arial"/>
          <w:bCs/>
          <w:color w:val="000000"/>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7443F61" w14:textId="77777777" w:rsidR="00277AD5" w:rsidRPr="00742A56" w:rsidRDefault="00277AD5" w:rsidP="00277AD5">
      <w:pPr>
        <w:spacing w:line="276" w:lineRule="auto"/>
        <w:jc w:val="both"/>
        <w:rPr>
          <w:rFonts w:ascii="Verdana" w:hAnsi="Verdana" w:cs="Arial"/>
          <w:bCs/>
          <w:color w:val="000000" w:themeColor="text1"/>
        </w:rPr>
      </w:pPr>
    </w:p>
    <w:bookmarkEnd w:id="2"/>
    <w:bookmarkEnd w:id="3"/>
    <w:p w14:paraId="004031DA" w14:textId="77777777" w:rsidR="00277AD5" w:rsidRPr="00115E3D" w:rsidRDefault="00277AD5" w:rsidP="00277AD5">
      <w:pPr>
        <w:pStyle w:val="Prrafodelista"/>
        <w:numPr>
          <w:ilvl w:val="0"/>
          <w:numId w:val="16"/>
        </w:numPr>
        <w:tabs>
          <w:tab w:val="left" w:pos="142"/>
          <w:tab w:val="left" w:pos="284"/>
        </w:tabs>
        <w:spacing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39C521DB" w14:textId="77777777" w:rsidR="00277AD5" w:rsidRPr="00115E3D" w:rsidRDefault="00277AD5" w:rsidP="00277AD5">
      <w:pPr>
        <w:widowControl w:val="0"/>
        <w:autoSpaceDE w:val="0"/>
        <w:autoSpaceDN w:val="0"/>
        <w:spacing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77AD5" w:rsidRPr="00115E3D" w14:paraId="6CC79D6D" w14:textId="77777777" w:rsidTr="00241FBC">
        <w:trPr>
          <w:trHeight w:val="335"/>
        </w:trPr>
        <w:tc>
          <w:tcPr>
            <w:tcW w:w="8647" w:type="dxa"/>
          </w:tcPr>
          <w:p w14:paraId="5AB0A819" w14:textId="77777777" w:rsidR="00277AD5" w:rsidRPr="00D57475" w:rsidRDefault="00277AD5" w:rsidP="00867503">
            <w:pPr>
              <w:pStyle w:val="Prrafodelista"/>
              <w:numPr>
                <w:ilvl w:val="0"/>
                <w:numId w:val="17"/>
              </w:numPr>
              <w:snapToGrid w:val="0"/>
              <w:spacing w:after="120" w:line="276" w:lineRule="auto"/>
              <w:ind w:left="612" w:hanging="357"/>
              <w:contextualSpacing w:val="0"/>
              <w:jc w:val="both"/>
              <w:rPr>
                <w:rFonts w:ascii="Verdana" w:hAnsi="Verdana" w:cs="Arial"/>
                <w:color w:val="000000" w:themeColor="text1"/>
                <w:sz w:val="22"/>
                <w:szCs w:val="22"/>
                <w:lang w:eastAsia="es-CO"/>
              </w:rPr>
            </w:pPr>
            <w:r w:rsidRPr="00D57475">
              <w:rPr>
                <w:rFonts w:ascii="Verdana" w:hAnsi="Verdana" w:cs="Arial"/>
                <w:color w:val="000000" w:themeColor="text1"/>
                <w:sz w:val="22"/>
                <w:szCs w:val="22"/>
                <w:lang w:eastAsia="es-CO"/>
              </w:rPr>
              <w:t xml:space="preserve">Ley 80 de 1993, artículo 41. </w:t>
            </w:r>
          </w:p>
          <w:p w14:paraId="462DB1A1" w14:textId="77777777" w:rsidR="00277AD5" w:rsidRPr="00D57475" w:rsidRDefault="00277AD5" w:rsidP="00867503">
            <w:pPr>
              <w:pStyle w:val="Prrafodelista"/>
              <w:numPr>
                <w:ilvl w:val="0"/>
                <w:numId w:val="17"/>
              </w:numPr>
              <w:snapToGrid w:val="0"/>
              <w:spacing w:after="120" w:line="276" w:lineRule="auto"/>
              <w:ind w:left="612" w:hanging="357"/>
              <w:contextualSpacing w:val="0"/>
              <w:jc w:val="both"/>
              <w:rPr>
                <w:rFonts w:ascii="Verdana" w:hAnsi="Verdana" w:cs="Arial"/>
                <w:color w:val="000000" w:themeColor="text1"/>
                <w:sz w:val="22"/>
                <w:szCs w:val="22"/>
                <w:lang w:eastAsia="es-CO"/>
              </w:rPr>
            </w:pPr>
            <w:r w:rsidRPr="00D57475">
              <w:rPr>
                <w:rFonts w:ascii="Verdana" w:hAnsi="Verdana" w:cs="Arial"/>
                <w:color w:val="000000" w:themeColor="text1"/>
                <w:sz w:val="22"/>
                <w:szCs w:val="22"/>
                <w:lang w:eastAsia="es-CO"/>
              </w:rPr>
              <w:lastRenderedPageBreak/>
              <w:t xml:space="preserve">Ley 1150 de 2007, artículo 7. </w:t>
            </w:r>
          </w:p>
          <w:p w14:paraId="4B2CAC8E" w14:textId="2C72FE9A" w:rsidR="00D57475" w:rsidRPr="00D57475" w:rsidRDefault="00277AD5" w:rsidP="00867503">
            <w:pPr>
              <w:pStyle w:val="Prrafodelista"/>
              <w:numPr>
                <w:ilvl w:val="0"/>
                <w:numId w:val="17"/>
              </w:numPr>
              <w:snapToGrid w:val="0"/>
              <w:spacing w:after="120" w:line="276" w:lineRule="auto"/>
              <w:ind w:left="612" w:hanging="357"/>
              <w:contextualSpacing w:val="0"/>
              <w:jc w:val="both"/>
              <w:rPr>
                <w:rFonts w:ascii="Verdana" w:hAnsi="Verdana" w:cs="Arial"/>
                <w:color w:val="000000" w:themeColor="text1"/>
                <w:sz w:val="22"/>
                <w:szCs w:val="22"/>
                <w:lang w:eastAsia="es-CO"/>
              </w:rPr>
            </w:pPr>
            <w:r w:rsidRPr="00D57475">
              <w:rPr>
                <w:rFonts w:ascii="Verdana" w:hAnsi="Verdana" w:cs="Arial"/>
                <w:color w:val="000000" w:themeColor="text1"/>
                <w:sz w:val="22"/>
                <w:szCs w:val="22"/>
                <w:lang w:eastAsia="es-CO"/>
              </w:rPr>
              <w:t>Código de Comercio, artículos 1068 y 1071.</w:t>
            </w:r>
          </w:p>
          <w:p w14:paraId="355E4D7D" w14:textId="77777777" w:rsidR="00D57475" w:rsidRPr="00D57475" w:rsidRDefault="00277AD5" w:rsidP="00867503">
            <w:pPr>
              <w:pStyle w:val="Prrafodelista"/>
              <w:numPr>
                <w:ilvl w:val="0"/>
                <w:numId w:val="17"/>
              </w:numPr>
              <w:snapToGrid w:val="0"/>
              <w:spacing w:after="120" w:line="276" w:lineRule="auto"/>
              <w:ind w:left="612" w:hanging="357"/>
              <w:contextualSpacing w:val="0"/>
              <w:jc w:val="both"/>
              <w:rPr>
                <w:rFonts w:ascii="Verdana" w:hAnsi="Verdana" w:cs="Arial"/>
                <w:color w:val="000000" w:themeColor="text1"/>
                <w:sz w:val="22"/>
                <w:szCs w:val="22"/>
                <w:lang w:eastAsia="es-CO"/>
              </w:rPr>
            </w:pPr>
            <w:r w:rsidRPr="00867503">
              <w:rPr>
                <w:rFonts w:ascii="Verdana" w:hAnsi="Verdana" w:cs="Arial"/>
                <w:color w:val="000000" w:themeColor="text1"/>
                <w:sz w:val="22"/>
                <w:szCs w:val="22"/>
                <w:lang w:eastAsia="es-CO"/>
              </w:rPr>
              <w:t>Decreto 1082 de 2015, artículos 2.2.1.2.3.1.1 a 2.2.1.2.3.1.19.</w:t>
            </w:r>
          </w:p>
          <w:p w14:paraId="5AE05FCA" w14:textId="5313B046" w:rsidR="00D57475" w:rsidRPr="00867503" w:rsidRDefault="00D57475" w:rsidP="00867503">
            <w:pPr>
              <w:pStyle w:val="Prrafodelista"/>
              <w:numPr>
                <w:ilvl w:val="0"/>
                <w:numId w:val="17"/>
              </w:numPr>
              <w:snapToGrid w:val="0"/>
              <w:spacing w:after="120" w:line="276" w:lineRule="auto"/>
              <w:ind w:left="612" w:hanging="357"/>
              <w:contextualSpacing w:val="0"/>
              <w:jc w:val="both"/>
              <w:rPr>
                <w:rFonts w:ascii="Verdana" w:hAnsi="Verdana" w:cs="Arial"/>
                <w:color w:val="000000" w:themeColor="text1"/>
                <w:sz w:val="22"/>
                <w:szCs w:val="22"/>
                <w:lang w:eastAsia="es-CO"/>
              </w:rPr>
            </w:pPr>
            <w:r w:rsidRPr="00867503">
              <w:rPr>
                <w:rFonts w:ascii="Verdana" w:eastAsia="Calibri" w:hAnsi="Verdana" w:cs="Arial"/>
                <w:sz w:val="22"/>
                <w:szCs w:val="22"/>
                <w:lang w:eastAsia="es-ES"/>
              </w:rPr>
              <w:t xml:space="preserve">Agencia Nacional de </w:t>
            </w:r>
            <w:r w:rsidRPr="00867503">
              <w:rPr>
                <w:rFonts w:ascii="Verdana" w:eastAsia="Calibri" w:hAnsi="Verdana" w:cs="Arial"/>
                <w:sz w:val="22"/>
                <w:szCs w:val="22"/>
              </w:rPr>
              <w:t xml:space="preserve">Contratación Pública– Colombia Compra Eficiente. </w:t>
            </w:r>
            <w:r w:rsidRPr="00867503">
              <w:rPr>
                <w:rFonts w:ascii="Verdana" w:eastAsia="Calibri" w:hAnsi="Verdana" w:cs="Arial"/>
                <w:sz w:val="22"/>
                <w:szCs w:val="22"/>
                <w:lang w:eastAsia="es-ES"/>
              </w:rPr>
              <w:t xml:space="preserve">Guía de Garantías en Procesos de Contratación. Disponible: </w:t>
            </w:r>
            <w:hyperlink r:id="rId12" w:history="1">
              <w:r w:rsidRPr="00867503">
                <w:rPr>
                  <w:rStyle w:val="Hipervnculo"/>
                  <w:rFonts w:ascii="Verdana" w:eastAsia="Calibri" w:hAnsi="Verdana" w:cs="Arial"/>
                  <w:sz w:val="22"/>
                  <w:szCs w:val="22"/>
                  <w:lang w:eastAsia="es-ES"/>
                </w:rPr>
                <w:t>https://www.colombiacompra.gov.co/wp-content/uploads/2024/08/2016-Guia-de-garantias-en-Procesos-de-Contratacion-G-GPC-01.pdf</w:t>
              </w:r>
            </w:hyperlink>
            <w:r w:rsidRPr="00867503">
              <w:rPr>
                <w:rFonts w:ascii="Verdana" w:eastAsia="Calibri" w:hAnsi="Verdana" w:cs="Arial"/>
                <w:sz w:val="16"/>
                <w:szCs w:val="16"/>
                <w:lang w:eastAsia="es-ES"/>
              </w:rPr>
              <w:t xml:space="preserve"> </w:t>
            </w:r>
          </w:p>
        </w:tc>
      </w:tr>
    </w:tbl>
    <w:p w14:paraId="40EF3EA8" w14:textId="77777777" w:rsidR="00277AD5" w:rsidRPr="00D57475" w:rsidRDefault="00277AD5" w:rsidP="00D57475">
      <w:pPr>
        <w:widowControl w:val="0"/>
        <w:autoSpaceDE w:val="0"/>
        <w:autoSpaceDN w:val="0"/>
        <w:spacing w:line="276" w:lineRule="auto"/>
        <w:jc w:val="both"/>
        <w:rPr>
          <w:rFonts w:ascii="Verdana" w:hAnsi="Verdana" w:cs="Arial"/>
          <w:color w:val="000000" w:themeColor="text1"/>
        </w:rPr>
      </w:pPr>
    </w:p>
    <w:p w14:paraId="354387C7" w14:textId="77777777" w:rsidR="00277AD5" w:rsidRPr="00D57475" w:rsidRDefault="00277AD5" w:rsidP="00D57475">
      <w:pPr>
        <w:pStyle w:val="Prrafodelista"/>
        <w:numPr>
          <w:ilvl w:val="0"/>
          <w:numId w:val="16"/>
        </w:numPr>
        <w:tabs>
          <w:tab w:val="left" w:pos="142"/>
          <w:tab w:val="left" w:pos="284"/>
        </w:tabs>
        <w:spacing w:line="276" w:lineRule="auto"/>
        <w:ind w:left="0" w:firstLine="0"/>
        <w:contextualSpacing w:val="0"/>
        <w:jc w:val="both"/>
        <w:rPr>
          <w:rFonts w:ascii="Verdana" w:eastAsia="Century Gothic" w:hAnsi="Verdana" w:cs="Century Gothic"/>
          <w:b/>
          <w:bCs/>
          <w:color w:val="000000" w:themeColor="text1"/>
        </w:rPr>
      </w:pPr>
      <w:r w:rsidRPr="00D57475">
        <w:rPr>
          <w:rFonts w:ascii="Verdana" w:eastAsia="Century Gothic" w:hAnsi="Verdana" w:cs="Century Gothic"/>
          <w:b/>
          <w:bCs/>
          <w:color w:val="000000" w:themeColor="text1"/>
        </w:rPr>
        <w:t>Doctrina de la Agencia Nacional de Contratación Pública:</w:t>
      </w:r>
    </w:p>
    <w:p w14:paraId="7ABCA179" w14:textId="77777777" w:rsidR="00277AD5" w:rsidRPr="00D57475" w:rsidRDefault="00277AD5" w:rsidP="00D57475">
      <w:pPr>
        <w:widowControl w:val="0"/>
        <w:autoSpaceDE w:val="0"/>
        <w:autoSpaceDN w:val="0"/>
        <w:spacing w:line="276" w:lineRule="auto"/>
        <w:jc w:val="both"/>
        <w:rPr>
          <w:rFonts w:ascii="Verdana" w:hAnsi="Verdana" w:cs="Arial"/>
          <w:color w:val="000000" w:themeColor="text1"/>
        </w:rPr>
      </w:pPr>
    </w:p>
    <w:p w14:paraId="318BAA66" w14:textId="77777777" w:rsidR="00277AD5" w:rsidRPr="00D57475" w:rsidRDefault="00277AD5" w:rsidP="00D57475">
      <w:pPr>
        <w:widowControl w:val="0"/>
        <w:autoSpaceDE w:val="0"/>
        <w:autoSpaceDN w:val="0"/>
        <w:spacing w:line="276" w:lineRule="auto"/>
        <w:jc w:val="both"/>
        <w:rPr>
          <w:rStyle w:val="normaltextrun"/>
          <w:rFonts w:ascii="Verdana" w:hAnsi="Verdana" w:cs="Arial"/>
        </w:rPr>
      </w:pPr>
      <w:r w:rsidRPr="00D57475">
        <w:rPr>
          <w:rStyle w:val="normaltextrun"/>
          <w:rFonts w:ascii="Verdana" w:hAnsi="Verdana" w:cs="Arial"/>
          <w:color w:val="000000" w:themeColor="text1"/>
          <w:shd w:val="clear" w:color="auto" w:fill="FFFFFF"/>
          <w:lang w:val="es-ES"/>
        </w:rPr>
        <w:t xml:space="preserve">La Agencia Nacional de Contratación Pública – Colombia Compra Eficiente se ha referido </w:t>
      </w:r>
      <w:r w:rsidRPr="00D57475">
        <w:rPr>
          <w:rStyle w:val="normaltextrun"/>
          <w:rFonts w:ascii="Verdana" w:hAnsi="Verdana" w:cs="Arial"/>
          <w:shd w:val="clear" w:color="auto" w:fill="FFFFFF"/>
          <w:lang w:val="es-ES"/>
        </w:rPr>
        <w:t>al régimen de garantías en los Conceptos</w:t>
      </w:r>
      <w:r w:rsidRPr="00D57475">
        <w:rPr>
          <w:rStyle w:val="normaltextrun"/>
          <w:rFonts w:ascii="Verdana" w:hAnsi="Verdana" w:cs="Calibri"/>
          <w:shd w:val="clear" w:color="auto" w:fill="FFFFFF"/>
          <w:lang w:val="es-ES"/>
        </w:rPr>
        <w:t xml:space="preserve"> </w:t>
      </w:r>
      <w:r w:rsidRPr="00D57475">
        <w:rPr>
          <w:rStyle w:val="normaltextrun"/>
          <w:rFonts w:ascii="Verdana" w:hAnsi="Verdana" w:cs="Arial"/>
          <w:shd w:val="clear" w:color="auto" w:fill="FFFFFF"/>
          <w:lang w:val="es-ES"/>
        </w:rPr>
        <w:t xml:space="preserve">2201913000009075 del 9 de diciembre de 2019, C-080 del 8 de abril de 2021, C-525 del 27 de septiembre de 2021, C- 567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C-306 del 12 de agosto de 2024, </w:t>
      </w:r>
      <w:r w:rsidRPr="00D57475">
        <w:rPr>
          <w:rFonts w:ascii="Verdana" w:eastAsia="Calibri" w:hAnsi="Verdana" w:cs="Arial"/>
          <w:lang w:val="es-ES" w:eastAsia="es-ES"/>
        </w:rPr>
        <w:t xml:space="preserve">C–099 del 21 de febrero de 2025, </w:t>
      </w:r>
      <w:r w:rsidRPr="00D57475">
        <w:rPr>
          <w:rFonts w:ascii="Verdana" w:eastAsia="Calibri" w:hAnsi="Verdana" w:cs="Arial"/>
        </w:rPr>
        <w:t xml:space="preserve">C-1260 del 03 de julio de 2025 </w:t>
      </w:r>
      <w:r w:rsidRPr="00D57475">
        <w:rPr>
          <w:rFonts w:ascii="Verdana" w:eastAsia="Calibri" w:hAnsi="Verdana" w:cs="Arial"/>
          <w:lang w:val="es-ES" w:eastAsia="es-ES"/>
        </w:rPr>
        <w:t>y C-1547 del 03 de diciembre de 2025</w:t>
      </w:r>
      <w:r w:rsidRPr="00D57475">
        <w:rPr>
          <w:rFonts w:ascii="Verdana" w:eastAsia="Calibri" w:hAnsi="Verdana" w:cs="Arial"/>
        </w:rPr>
        <w:t>.</w:t>
      </w:r>
      <w:r w:rsidRPr="00D57475">
        <w:rPr>
          <w:rFonts w:ascii="Verdana" w:hAnsi="Verdana" w:cs="Arial"/>
        </w:rPr>
        <w:t xml:space="preserve"> </w:t>
      </w:r>
      <w:r w:rsidRPr="00D57475">
        <w:rPr>
          <w:rStyle w:val="normaltextrun"/>
          <w:rFonts w:ascii="Verdana" w:hAnsi="Verdana" w:cs="Arial"/>
          <w:shd w:val="clear" w:color="auto" w:fill="FFFFFF"/>
          <w:lang w:val="es-ES"/>
        </w:rPr>
        <w:t>Es</w:t>
      </w:r>
      <w:r w:rsidRPr="00D57475">
        <w:rPr>
          <w:rFonts w:ascii="Verdana" w:hAnsi="Verdana" w:cs="Arial"/>
        </w:rPr>
        <w:t>tos y otros conceptos se encuentran disponibles para consulta en el Sistema de relatoría de la Agencia, al cual se puede acceder a través del siguiente enlace:</w:t>
      </w:r>
      <w:r w:rsidRPr="00D57475">
        <w:rPr>
          <w:rStyle w:val="normaltextrun"/>
          <w:rFonts w:ascii="Verdana" w:hAnsi="Verdana" w:cs="Arial"/>
          <w:shd w:val="clear" w:color="auto" w:fill="FFFFFF"/>
          <w:lang w:val="es-ES"/>
        </w:rPr>
        <w:t xml:space="preserve"> </w:t>
      </w:r>
      <w:hyperlink r:id="rId13" w:history="1">
        <w:r w:rsidRPr="00D57475">
          <w:rPr>
            <w:rStyle w:val="Hipervnculo"/>
            <w:rFonts w:ascii="Verdana" w:hAnsi="Verdana" w:cs="Arial"/>
            <w:shd w:val="clear" w:color="auto" w:fill="FFFFFF"/>
            <w:lang w:val="es-ES"/>
          </w:rPr>
          <w:t>https://relatoria.colombiacompra.gov.co/busqueda/conceptos</w:t>
        </w:r>
      </w:hyperlink>
    </w:p>
    <w:p w14:paraId="5614E63E" w14:textId="77777777" w:rsidR="00277AD5" w:rsidRPr="00D57475" w:rsidRDefault="00277AD5" w:rsidP="00D57475">
      <w:pPr>
        <w:widowControl w:val="0"/>
        <w:autoSpaceDE w:val="0"/>
        <w:autoSpaceDN w:val="0"/>
        <w:spacing w:line="276" w:lineRule="auto"/>
        <w:jc w:val="both"/>
        <w:rPr>
          <w:rStyle w:val="normaltextrun"/>
          <w:rFonts w:ascii="Verdana" w:hAnsi="Verdana" w:cs="Arial"/>
          <w:color w:val="000000" w:themeColor="text1"/>
          <w:shd w:val="clear" w:color="auto" w:fill="FFFFFF"/>
          <w:lang w:val="es-ES"/>
        </w:rPr>
      </w:pPr>
      <w:r w:rsidRPr="00D57475">
        <w:rPr>
          <w:rStyle w:val="normaltextrun"/>
          <w:rFonts w:ascii="Verdana" w:hAnsi="Verdana" w:cs="Arial"/>
          <w:color w:val="000000" w:themeColor="text1"/>
          <w:shd w:val="clear" w:color="auto" w:fill="FFFFFF"/>
          <w:lang w:val="es-ES"/>
        </w:rPr>
        <w:t xml:space="preserve">  </w:t>
      </w:r>
    </w:p>
    <w:p w14:paraId="7AD1B488" w14:textId="77777777" w:rsidR="00277AD5" w:rsidRPr="00D57475" w:rsidRDefault="00277AD5" w:rsidP="00867503">
      <w:pPr>
        <w:spacing w:line="276" w:lineRule="auto"/>
        <w:jc w:val="both"/>
        <w:rPr>
          <w:rFonts w:ascii="Verdana" w:hAnsi="Verdana"/>
        </w:rPr>
      </w:pPr>
      <w:r w:rsidRPr="00D57475">
        <w:rPr>
          <w:rFonts w:ascii="Verdana" w:hAnsi="Verdana"/>
        </w:rPr>
        <w:t xml:space="preserve">La sostenibilidad no es una opción, es una obligación. Por ello, la Agencia Nacional de Contratación Pública –Colombia Compra Eficiente– te invita a realizar el </w:t>
      </w:r>
      <w:r w:rsidRPr="00D57475">
        <w:rPr>
          <w:rFonts w:ascii="Verdana" w:hAnsi="Verdana"/>
          <w:b/>
          <w:bCs/>
        </w:rPr>
        <w:t>Curso de Contratación Pública Sostenible y Socialmente Responsable</w:t>
      </w:r>
      <w:r w:rsidRPr="00D5747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57475">
        <w:rPr>
          <w:rFonts w:ascii="Verdana" w:hAnsi="Verdana"/>
        </w:rPr>
        <w:br/>
      </w:r>
      <w:hyperlink r:id="rId14" w:tgtFrame="_new" w:history="1">
        <w:r w:rsidRPr="00D57475">
          <w:rPr>
            <w:rStyle w:val="Hipervnculo"/>
            <w:rFonts w:ascii="Verdana" w:hAnsi="Verdana"/>
          </w:rPr>
          <w:t>https://formacionvirtual.colombiacompra.gov.co/mod/page/view.php?id=3718</w:t>
        </w:r>
      </w:hyperlink>
    </w:p>
    <w:p w14:paraId="5A07C7B5" w14:textId="77777777" w:rsidR="00277AD5" w:rsidRPr="00D57475" w:rsidRDefault="00277AD5" w:rsidP="00867503">
      <w:pPr>
        <w:spacing w:line="276" w:lineRule="auto"/>
        <w:jc w:val="both"/>
        <w:rPr>
          <w:rFonts w:ascii="Verdana" w:hAnsi="Verdana"/>
        </w:rPr>
      </w:pPr>
      <w:r w:rsidRPr="00D57475">
        <w:rPr>
          <w:rFonts w:ascii="Verdana" w:hAnsi="Verdana"/>
        </w:rPr>
        <w:t xml:space="preserve">De otro lado, te contamos que esta Agencia ha da un paso decisivo en la estandarización y modernización del </w:t>
      </w:r>
      <w:r w:rsidRPr="00D57475">
        <w:rPr>
          <w:rFonts w:ascii="Verdana" w:hAnsi="Verdana"/>
          <w:b/>
          <w:bCs/>
        </w:rPr>
        <w:t>sector  social</w:t>
      </w:r>
      <w:r w:rsidRPr="00D57475">
        <w:rPr>
          <w:rFonts w:ascii="Verdana" w:hAnsi="Verdana"/>
        </w:rPr>
        <w:t xml:space="preserve"> con la expedición de las </w:t>
      </w:r>
      <w:r w:rsidRPr="00D57475">
        <w:rPr>
          <w:rFonts w:ascii="Verdana" w:hAnsi="Verdana"/>
          <w:b/>
          <w:bCs/>
        </w:rPr>
        <w:t>Resoluciones 539, 540, 541, 952 y 953 de 2025</w:t>
      </w:r>
      <w:r w:rsidRPr="00D57475">
        <w:rPr>
          <w:rFonts w:ascii="Verdana" w:hAnsi="Verdana"/>
        </w:rPr>
        <w:t xml:space="preserve">, </w:t>
      </w:r>
      <w:r w:rsidRPr="00D57475">
        <w:rPr>
          <w:rFonts w:ascii="Verdana" w:hAnsi="Verdana"/>
          <w:b/>
          <w:bCs/>
        </w:rPr>
        <w:t>mediante las cuales adoptó Documentos Tipo</w:t>
      </w:r>
      <w:r w:rsidRPr="00D57475">
        <w:rPr>
          <w:rFonts w:ascii="Verdana" w:hAnsi="Verdana"/>
        </w:rPr>
        <w:t xml:space="preserve"> para las modalidades de selección de</w:t>
      </w:r>
      <w:r w:rsidRPr="00D57475">
        <w:rPr>
          <w:rFonts w:ascii="Verdana" w:hAnsi="Verdana"/>
          <w:b/>
          <w:bCs/>
        </w:rPr>
        <w:t xml:space="preserve"> licitación pública (versión 2), selección abreviada de menor cuantía, mínima cuantía, consultoría e interventoría</w:t>
      </w:r>
      <w:r w:rsidRPr="00D574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D57475">
          <w:rPr>
            <w:rStyle w:val="Hipervnculo"/>
            <w:rFonts w:ascii="Verdana" w:hAnsi="Verdana"/>
          </w:rPr>
          <w:t>https://www.colombiacompra.gov.co/normativa-y-relatoria/documentos-tipo</w:t>
        </w:r>
      </w:hyperlink>
    </w:p>
    <w:p w14:paraId="77853FCB" w14:textId="77777777" w:rsidR="00277AD5" w:rsidRPr="00D57475" w:rsidRDefault="00277AD5" w:rsidP="00867503">
      <w:pPr>
        <w:spacing w:line="276" w:lineRule="auto"/>
        <w:jc w:val="both"/>
        <w:rPr>
          <w:rFonts w:ascii="Verdana" w:hAnsi="Verdana"/>
        </w:rPr>
      </w:pPr>
      <w:r w:rsidRPr="00D57475">
        <w:rPr>
          <w:rFonts w:ascii="Verdana" w:hAnsi="Verdana"/>
        </w:rPr>
        <w:t xml:space="preserve">Si quieres conocer más sobre la aplicación de Documentos Tipo puedes consultar la última versión de la </w:t>
      </w:r>
      <w:r w:rsidRPr="00D57475">
        <w:rPr>
          <w:rFonts w:ascii="Verdana" w:hAnsi="Verdana"/>
          <w:b/>
          <w:bCs/>
        </w:rPr>
        <w:t>Guía para la comprensión e implementación de los Documentos Tipo de obra pública de infraestructura de transporte</w:t>
      </w:r>
      <w:r w:rsidRPr="00D574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57475">
        <w:rPr>
          <w:rFonts w:ascii="Verdana" w:hAnsi="Verdana"/>
        </w:rPr>
        <w:br/>
      </w:r>
      <w:hyperlink r:id="rId16" w:tgtFrame="_new" w:history="1">
        <w:r w:rsidRPr="00D574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DED552B" w14:textId="77777777" w:rsidR="00277AD5" w:rsidRPr="00D57475" w:rsidRDefault="00277AD5" w:rsidP="00867503">
      <w:pPr>
        <w:spacing w:line="276" w:lineRule="auto"/>
        <w:jc w:val="both"/>
        <w:rPr>
          <w:rFonts w:ascii="Verdana" w:hAnsi="Verdana"/>
          <w:color w:val="000000" w:themeColor="text1"/>
        </w:rPr>
      </w:pPr>
      <w:r w:rsidRPr="00D57475">
        <w:rPr>
          <w:rFonts w:ascii="Verdana" w:hAnsi="Verdana"/>
          <w:color w:val="000000" w:themeColor="text1"/>
        </w:rPr>
        <w:t xml:space="preserve">Lo invitamos a seguirnos en las redes sociales en las cuales se difunde información institucional: </w:t>
      </w:r>
    </w:p>
    <w:p w14:paraId="24E9275E" w14:textId="77777777" w:rsidR="00277AD5" w:rsidRPr="00D57475" w:rsidRDefault="00277AD5" w:rsidP="00867503">
      <w:pPr>
        <w:spacing w:line="276" w:lineRule="auto"/>
        <w:jc w:val="both"/>
        <w:rPr>
          <w:rFonts w:ascii="Verdana" w:hAnsi="Verdana"/>
          <w:color w:val="000000" w:themeColor="text1"/>
        </w:rPr>
      </w:pPr>
    </w:p>
    <w:p w14:paraId="1F980556" w14:textId="77777777" w:rsidR="00277AD5" w:rsidRPr="00D57475" w:rsidRDefault="00277AD5" w:rsidP="00867503">
      <w:pPr>
        <w:spacing w:line="276" w:lineRule="auto"/>
        <w:jc w:val="both"/>
        <w:rPr>
          <w:rFonts w:ascii="Verdana" w:hAnsi="Verdana"/>
          <w:color w:val="000000" w:themeColor="text1"/>
        </w:rPr>
      </w:pPr>
      <w:r w:rsidRPr="00D57475">
        <w:rPr>
          <w:rFonts w:ascii="Verdana" w:hAnsi="Verdana"/>
          <w:color w:val="000000" w:themeColor="text1"/>
        </w:rPr>
        <w:t xml:space="preserve">Twitter: </w:t>
      </w:r>
      <w:r w:rsidRPr="00D57475">
        <w:rPr>
          <w:rStyle w:val="Hipervnculo"/>
          <w:rFonts w:ascii="Verdana" w:hAnsi="Verdana"/>
          <w:color w:val="000000" w:themeColor="text1"/>
        </w:rPr>
        <w:t>@colombiacompra</w:t>
      </w:r>
      <w:r w:rsidRPr="00D57475">
        <w:rPr>
          <w:rFonts w:ascii="Verdana" w:hAnsi="Verdana"/>
          <w:color w:val="000000" w:themeColor="text1"/>
        </w:rPr>
        <w:t xml:space="preserve"> </w:t>
      </w:r>
    </w:p>
    <w:p w14:paraId="261172F6" w14:textId="77777777" w:rsidR="00277AD5" w:rsidRPr="00D57475" w:rsidRDefault="00277AD5" w:rsidP="00867503">
      <w:pPr>
        <w:spacing w:line="276" w:lineRule="auto"/>
        <w:jc w:val="both"/>
        <w:rPr>
          <w:rFonts w:ascii="Verdana" w:hAnsi="Verdana"/>
          <w:color w:val="000000" w:themeColor="text1"/>
        </w:rPr>
      </w:pPr>
      <w:r w:rsidRPr="00D57475">
        <w:rPr>
          <w:rFonts w:ascii="Verdana" w:hAnsi="Verdana"/>
          <w:color w:val="000000" w:themeColor="text1"/>
        </w:rPr>
        <w:t xml:space="preserve">Facebook: </w:t>
      </w:r>
      <w:proofErr w:type="spellStart"/>
      <w:r w:rsidRPr="00D57475">
        <w:rPr>
          <w:rStyle w:val="Hipervnculo"/>
          <w:rFonts w:ascii="Verdana" w:hAnsi="Verdana"/>
          <w:color w:val="000000" w:themeColor="text1"/>
        </w:rPr>
        <w:t>ColombiaCompraEficiente</w:t>
      </w:r>
      <w:proofErr w:type="spellEnd"/>
    </w:p>
    <w:p w14:paraId="0673FC1F" w14:textId="77777777" w:rsidR="00277AD5" w:rsidRPr="00D57475" w:rsidRDefault="00277AD5" w:rsidP="00867503">
      <w:pPr>
        <w:spacing w:line="276" w:lineRule="auto"/>
        <w:jc w:val="both"/>
        <w:rPr>
          <w:rFonts w:ascii="Verdana" w:hAnsi="Verdana"/>
          <w:color w:val="000000" w:themeColor="text1"/>
        </w:rPr>
      </w:pPr>
      <w:r w:rsidRPr="00D57475">
        <w:rPr>
          <w:rFonts w:ascii="Verdana" w:hAnsi="Verdana"/>
          <w:color w:val="000000" w:themeColor="text1"/>
        </w:rPr>
        <w:lastRenderedPageBreak/>
        <w:t xml:space="preserve">LinkedIn: </w:t>
      </w:r>
      <w:r w:rsidRPr="00D57475">
        <w:rPr>
          <w:rStyle w:val="Hipervnculo"/>
          <w:rFonts w:ascii="Verdana" w:hAnsi="Verdana"/>
          <w:color w:val="000000" w:themeColor="text1"/>
        </w:rPr>
        <w:t>Agencia Nacional de Contratación Pública - Colombia Compra Eficiente</w:t>
      </w:r>
      <w:r w:rsidRPr="00D57475">
        <w:rPr>
          <w:rFonts w:ascii="Verdana" w:hAnsi="Verdana"/>
          <w:color w:val="000000" w:themeColor="text1"/>
        </w:rPr>
        <w:t xml:space="preserve"> Instagram: </w:t>
      </w:r>
      <w:r w:rsidRPr="00D57475">
        <w:rPr>
          <w:rStyle w:val="Hipervnculo"/>
          <w:rFonts w:ascii="Verdana" w:hAnsi="Verdana"/>
          <w:color w:val="000000" w:themeColor="text1"/>
        </w:rPr>
        <w:t>@colombiacompraeficiente_cce</w:t>
      </w:r>
    </w:p>
    <w:p w14:paraId="2A9BDFF2" w14:textId="77777777" w:rsidR="00277AD5" w:rsidRPr="00D57475" w:rsidRDefault="00277AD5" w:rsidP="00D57475">
      <w:pPr>
        <w:widowControl w:val="0"/>
        <w:autoSpaceDE w:val="0"/>
        <w:autoSpaceDN w:val="0"/>
        <w:spacing w:line="276" w:lineRule="auto"/>
        <w:jc w:val="both"/>
        <w:rPr>
          <w:rFonts w:ascii="Verdana" w:hAnsi="Verdana" w:cs="Arial"/>
          <w:color w:val="000000" w:themeColor="text1"/>
        </w:rPr>
      </w:pPr>
    </w:p>
    <w:p w14:paraId="2194C612" w14:textId="5210D5B3" w:rsidR="00277AD5" w:rsidRPr="00D57475" w:rsidRDefault="00277AD5" w:rsidP="00D57475">
      <w:pPr>
        <w:widowControl w:val="0"/>
        <w:autoSpaceDE w:val="0"/>
        <w:autoSpaceDN w:val="0"/>
        <w:spacing w:line="276" w:lineRule="auto"/>
        <w:jc w:val="both"/>
        <w:rPr>
          <w:rFonts w:ascii="Verdana" w:hAnsi="Verdana" w:cs="Arial"/>
          <w:color w:val="000000" w:themeColor="text1"/>
          <w:lang w:val="es-ES_tradnl"/>
        </w:rPr>
      </w:pPr>
      <w:r w:rsidRPr="00D57475">
        <w:rPr>
          <w:rFonts w:ascii="Verdana" w:hAnsi="Verdana" w:cs="Arial"/>
          <w:color w:val="000000" w:themeColor="text1"/>
        </w:rPr>
        <w:t xml:space="preserve">Este concepto tiene el alcance previsto en el artículo 28 del Código de Procedimiento Administrativo y de lo Contencioso Administrativo </w:t>
      </w:r>
      <w:r w:rsidRPr="00D57475">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4A8BE03" w14:textId="77777777" w:rsidR="001A33BF" w:rsidRPr="00D57475" w:rsidRDefault="001A33BF" w:rsidP="00867503">
      <w:pPr>
        <w:spacing w:line="276" w:lineRule="auto"/>
        <w:jc w:val="both"/>
        <w:rPr>
          <w:rFonts w:ascii="Verdana" w:eastAsia="Verdana" w:hAnsi="Verdana" w:cs="Verdana"/>
          <w:lang w:val="es-MX"/>
        </w:rPr>
      </w:pPr>
    </w:p>
    <w:p w14:paraId="3B27AFCD" w14:textId="2C59718D" w:rsidR="002A0DD0" w:rsidRPr="00132AAF" w:rsidRDefault="002A0DD0" w:rsidP="00132AAF">
      <w:pPr>
        <w:spacing w:line="276" w:lineRule="auto"/>
        <w:jc w:val="both"/>
        <w:rPr>
          <w:rFonts w:ascii="Verdana" w:eastAsia="Verdana" w:hAnsi="Verdana" w:cs="Verdana"/>
          <w:lang w:val="es-MX"/>
        </w:rPr>
      </w:pPr>
      <w:r w:rsidRPr="00D57475">
        <w:rPr>
          <w:rFonts w:ascii="Verdana" w:eastAsia="Verdana" w:hAnsi="Verdana" w:cs="Verdana"/>
          <w:lang w:val="es-MX"/>
        </w:rPr>
        <w:t>Cordialmente,</w:t>
      </w:r>
    </w:p>
    <w:p w14:paraId="20CE9AF1" w14:textId="77777777" w:rsidR="00C15437" w:rsidRDefault="00C15437" w:rsidP="30821638">
      <w:pPr>
        <w:jc w:val="both"/>
        <w:rPr>
          <w:rFonts w:ascii="Verdana" w:eastAsia="Verdana" w:hAnsi="Verdana" w:cs="Verdana"/>
          <w:b/>
          <w:bCs/>
          <w:lang w:val="es-MX"/>
        </w:rPr>
      </w:pPr>
    </w:p>
    <w:p w14:paraId="33C12921" w14:textId="77777777" w:rsidR="005C4450" w:rsidRDefault="005C4450" w:rsidP="00132AAF">
      <w:pPr>
        <w:jc w:val="center"/>
        <w:rPr>
          <w:noProof/>
        </w:rPr>
      </w:pPr>
    </w:p>
    <w:p w14:paraId="65EAD245" w14:textId="0021100A" w:rsidR="005C4450" w:rsidRDefault="005C4450" w:rsidP="00132AAF">
      <w:pPr>
        <w:jc w:val="center"/>
        <w:rPr>
          <w:noProof/>
        </w:rPr>
      </w:pPr>
      <w:r>
        <w:rPr>
          <w:noProof/>
        </w:rPr>
        <w:drawing>
          <wp:inline distT="0" distB="0" distL="0" distR="0" wp14:anchorId="584F31CE" wp14:editId="720973D0">
            <wp:extent cx="3068955" cy="1317449"/>
            <wp:effectExtent l="0" t="0" r="0" b="0"/>
            <wp:docPr id="191507364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86646" cy="1325044"/>
                    </a:xfrm>
                    <a:prstGeom prst="rect">
                      <a:avLst/>
                    </a:prstGeom>
                    <a:noFill/>
                    <a:ln>
                      <a:noFill/>
                    </a:ln>
                  </pic:spPr>
                </pic:pic>
              </a:graphicData>
            </a:graphic>
          </wp:inline>
        </w:drawing>
      </w:r>
    </w:p>
    <w:p w14:paraId="753BBB68" w14:textId="77777777" w:rsidR="005C4450" w:rsidRDefault="005C4450" w:rsidP="00132AAF">
      <w:pPr>
        <w:jc w:val="center"/>
        <w:rPr>
          <w:noProof/>
        </w:rPr>
      </w:pPr>
    </w:p>
    <w:p w14:paraId="2859EA4B" w14:textId="77777777" w:rsidR="002A0DD0" w:rsidRPr="00376191" w:rsidRDefault="002A0DD0" w:rsidP="30821638">
      <w:pPr>
        <w:jc w:val="both"/>
        <w:rPr>
          <w:rFonts w:ascii="Verdana" w:eastAsia="Verdana" w:hAnsi="Verdana" w:cs="Verdana"/>
          <w:b/>
          <w:bC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77AD5" w:rsidRPr="00115E3D" w14:paraId="49784933" w14:textId="77777777" w:rsidTr="00241FBC">
        <w:trPr>
          <w:trHeight w:val="315"/>
        </w:trPr>
        <w:tc>
          <w:tcPr>
            <w:tcW w:w="893" w:type="dxa"/>
            <w:vAlign w:val="center"/>
            <w:hideMark/>
          </w:tcPr>
          <w:p w14:paraId="4634F37C" w14:textId="77777777" w:rsidR="00277AD5" w:rsidRPr="00115E3D" w:rsidRDefault="00277AD5" w:rsidP="00241FB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86DB9EE" w14:textId="77777777" w:rsidR="00277AD5" w:rsidRPr="00115E3D" w:rsidRDefault="00277AD5" w:rsidP="00241FBC">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2482D028" w14:textId="77777777" w:rsidR="00277AD5" w:rsidRPr="00115E3D" w:rsidRDefault="00277AD5" w:rsidP="00241FBC">
            <w:pPr>
              <w:contextualSpacing/>
              <w:rPr>
                <w:rFonts w:ascii="Verdana" w:eastAsia="Arial" w:hAnsi="Verdana" w:cs="Arial"/>
                <w:color w:val="000000" w:themeColor="text1"/>
                <w:sz w:val="16"/>
                <w:szCs w:val="16"/>
              </w:rPr>
            </w:pPr>
            <w:r w:rsidRPr="00AB5151">
              <w:rPr>
                <w:rStyle w:val="normaltextrun"/>
                <w:rFonts w:ascii="Verdana" w:eastAsia="Arial" w:hAnsi="Verdana"/>
                <w:color w:val="000000" w:themeColor="text1"/>
                <w:sz w:val="16"/>
                <w:szCs w:val="16"/>
              </w:rPr>
              <w:t>C</w:t>
            </w:r>
            <w:r w:rsidRPr="00AB5151">
              <w:rPr>
                <w:rStyle w:val="normaltextrun"/>
                <w:rFonts w:ascii="Verdana" w:eastAsia="Arial" w:hAnsi="Verdana"/>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277AD5" w:rsidRPr="00115E3D" w14:paraId="6BA1C3C0" w14:textId="77777777" w:rsidTr="00241FBC">
        <w:trPr>
          <w:trHeight w:val="330"/>
        </w:trPr>
        <w:tc>
          <w:tcPr>
            <w:tcW w:w="893" w:type="dxa"/>
            <w:vAlign w:val="center"/>
            <w:hideMark/>
          </w:tcPr>
          <w:p w14:paraId="269D0BFC" w14:textId="77777777" w:rsidR="00277AD5" w:rsidRPr="00115E3D" w:rsidRDefault="00277AD5" w:rsidP="00241FB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E18FF2" w14:textId="534DDB3C" w:rsidR="00277AD5" w:rsidRPr="00B37171" w:rsidRDefault="00277AD5" w:rsidP="00241FBC">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r w:rsidR="005C08B4">
              <w:rPr>
                <w:rFonts w:ascii="Verdana" w:hAnsi="Verdana" w:cs="Segoe UI"/>
                <w:color w:val="000000" w:themeColor="text1"/>
                <w:sz w:val="16"/>
                <w:szCs w:val="16"/>
              </w:rPr>
              <w:t xml:space="preserve"> Castañeda</w:t>
            </w:r>
          </w:p>
          <w:p w14:paraId="755C291A" w14:textId="77777777" w:rsidR="00277AD5" w:rsidRPr="00115E3D" w:rsidRDefault="00277AD5" w:rsidP="00241FBC">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277AD5" w:rsidRPr="00115E3D" w14:paraId="5F78DE5E" w14:textId="77777777" w:rsidTr="00241FBC">
        <w:trPr>
          <w:trHeight w:val="300"/>
        </w:trPr>
        <w:tc>
          <w:tcPr>
            <w:tcW w:w="893" w:type="dxa"/>
            <w:vAlign w:val="center"/>
          </w:tcPr>
          <w:p w14:paraId="37DF9FF3" w14:textId="77777777" w:rsidR="00277AD5" w:rsidRPr="00115E3D" w:rsidRDefault="00277AD5" w:rsidP="00241FB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080938" w14:textId="77777777" w:rsidR="00277AD5" w:rsidRPr="00115E3D" w:rsidRDefault="00277AD5" w:rsidP="00241FBC">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645657F2" w14:textId="77777777" w:rsidR="00277AD5" w:rsidRPr="00115E3D" w:rsidRDefault="00277AD5" w:rsidP="00241FBC">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5DF0FF7B" w14:textId="2344EE0F" w:rsidR="545B112A" w:rsidRDefault="545B112A"/>
    <w:p w14:paraId="26A0CB84" w14:textId="77777777" w:rsidR="002E2BF8" w:rsidRPr="00E02524" w:rsidRDefault="002E2BF8" w:rsidP="30821638">
      <w:pPr>
        <w:jc w:val="both"/>
        <w:rPr>
          <w:rFonts w:ascii="Verdana" w:eastAsia="Verdana" w:hAnsi="Verdana" w:cs="Verdana"/>
          <w:lang w:val="es-ES"/>
        </w:rPr>
      </w:pPr>
    </w:p>
    <w:p w14:paraId="493E8921" w14:textId="77777777" w:rsidR="002E2BF8" w:rsidRPr="00E02524" w:rsidRDefault="002E2BF8" w:rsidP="30821638">
      <w:pPr>
        <w:jc w:val="both"/>
        <w:rPr>
          <w:rFonts w:ascii="Verdana" w:eastAsia="Verdana" w:hAnsi="Verdana" w:cs="Verdana"/>
          <w:lang w:val="es-ES"/>
        </w:rPr>
      </w:pPr>
    </w:p>
    <w:p w14:paraId="7AB8EA08" w14:textId="77777777" w:rsidR="002E2BF8" w:rsidRPr="00E02524" w:rsidRDefault="002E2BF8" w:rsidP="30821638">
      <w:pPr>
        <w:jc w:val="both"/>
        <w:rPr>
          <w:rFonts w:ascii="Verdana" w:eastAsia="Verdana" w:hAnsi="Verdana" w:cs="Verdana"/>
          <w:lang w:val="es-ES"/>
        </w:rPr>
      </w:pPr>
    </w:p>
    <w:bookmarkEnd w:id="0"/>
    <w:p w14:paraId="0F293BF4" w14:textId="7E338EA2" w:rsidR="00127233" w:rsidRPr="0015699B" w:rsidRDefault="00127233" w:rsidP="00376191">
      <w:pPr>
        <w:ind w:left="1080"/>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A38A3" w14:textId="77777777" w:rsidR="00133DC3" w:rsidRDefault="00133DC3" w:rsidP="004A1847">
      <w:r>
        <w:separator/>
      </w:r>
    </w:p>
  </w:endnote>
  <w:endnote w:type="continuationSeparator" w:id="0">
    <w:p w14:paraId="31B0F738" w14:textId="77777777" w:rsidR="00133DC3" w:rsidRDefault="00133DC3" w:rsidP="004A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Segoe UI">
    <w:altName w:val="Segoe UI"/>
    <w:panose1 w:val="020B0502040204020203"/>
    <w:charset w:val="01"/>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cstheme="minorBidi"/>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112E3E" w14:textId="77777777" w:rsidR="00133DC3" w:rsidRDefault="00133DC3" w:rsidP="004A1847">
      <w:r>
        <w:separator/>
      </w:r>
    </w:p>
  </w:footnote>
  <w:footnote w:type="continuationSeparator" w:id="0">
    <w:p w14:paraId="6378BB6B" w14:textId="77777777" w:rsidR="00133DC3" w:rsidRDefault="00133DC3" w:rsidP="004A1847">
      <w:r>
        <w:continuationSeparator/>
      </w:r>
    </w:p>
  </w:footnote>
  <w:footnote w:id="1">
    <w:p w14:paraId="58A1C15B" w14:textId="77777777" w:rsidR="00277AD5" w:rsidRPr="00D57475" w:rsidRDefault="00277AD5" w:rsidP="00867503">
      <w:pPr>
        <w:pStyle w:val="Textonotapie"/>
        <w:snapToGrid w:val="0"/>
        <w:ind w:firstLine="709"/>
        <w:jc w:val="both"/>
        <w:rPr>
          <w:rFonts w:ascii="Verdana" w:hAnsi="Verdana" w:cs="Arial"/>
          <w:color w:val="000000" w:themeColor="text1"/>
          <w:sz w:val="16"/>
          <w:szCs w:val="16"/>
        </w:rPr>
      </w:pPr>
      <w:r w:rsidRPr="00D57475">
        <w:rPr>
          <w:rStyle w:val="Refdenotaalpie"/>
          <w:rFonts w:ascii="Verdana" w:hAnsi="Verdana" w:cs="Arial"/>
          <w:color w:val="000000" w:themeColor="text1"/>
          <w:sz w:val="16"/>
          <w:szCs w:val="16"/>
        </w:rPr>
        <w:footnoteRef/>
      </w:r>
      <w:r w:rsidRPr="00D57475">
        <w:rPr>
          <w:rFonts w:ascii="Verdana" w:hAnsi="Verdana" w:cs="Arial"/>
          <w:color w:val="000000" w:themeColor="text1"/>
          <w:sz w:val="16"/>
          <w:szCs w:val="16"/>
        </w:rPr>
        <w:t xml:space="preserve"> CORTE CONSTITUCIONAL. Sentencia C-452 de 1999. M.P. Eduardo Cifuentes Muñoz. </w:t>
      </w:r>
    </w:p>
  </w:footnote>
  <w:footnote w:id="2">
    <w:p w14:paraId="50839F5E" w14:textId="77777777" w:rsidR="00277AD5" w:rsidRPr="00D57475" w:rsidRDefault="00277AD5" w:rsidP="00867503">
      <w:pPr>
        <w:pStyle w:val="Textonotapie"/>
        <w:snapToGrid w:val="0"/>
        <w:ind w:firstLine="709"/>
        <w:jc w:val="both"/>
        <w:rPr>
          <w:rFonts w:ascii="Verdana" w:hAnsi="Verdana" w:cs="Arial"/>
          <w:color w:val="000000" w:themeColor="text1"/>
          <w:sz w:val="16"/>
          <w:szCs w:val="16"/>
        </w:rPr>
      </w:pPr>
      <w:r w:rsidRPr="00D57475">
        <w:rPr>
          <w:rStyle w:val="Refdenotaalpie"/>
          <w:rFonts w:ascii="Verdana" w:hAnsi="Verdana" w:cs="Arial"/>
          <w:color w:val="000000" w:themeColor="text1"/>
          <w:sz w:val="16"/>
          <w:szCs w:val="16"/>
        </w:rPr>
        <w:footnoteRef/>
      </w:r>
      <w:r w:rsidRPr="00D57475">
        <w:rPr>
          <w:rFonts w:ascii="Verdana" w:hAnsi="Verdana" w:cs="Arial"/>
          <w:color w:val="000000" w:themeColor="text1"/>
          <w:sz w:val="16"/>
          <w:szCs w:val="16"/>
        </w:rPr>
        <w:t xml:space="preserve"> DROMI, José Roberto. La licitación pública. Buenos Aires: Ciudad Argentina, 1980. pp. 288-289.</w:t>
      </w:r>
    </w:p>
  </w:footnote>
  <w:footnote w:id="3">
    <w:p w14:paraId="6485B4C9" w14:textId="77777777" w:rsidR="00277AD5" w:rsidRPr="00D57475" w:rsidRDefault="00277AD5" w:rsidP="00867503">
      <w:pPr>
        <w:pStyle w:val="Textonotapie"/>
        <w:snapToGrid w:val="0"/>
        <w:ind w:firstLine="709"/>
        <w:jc w:val="both"/>
        <w:rPr>
          <w:rFonts w:ascii="Verdana" w:hAnsi="Verdana" w:cs="Arial"/>
          <w:sz w:val="16"/>
          <w:szCs w:val="16"/>
        </w:rPr>
      </w:pPr>
      <w:r w:rsidRPr="00D57475">
        <w:rPr>
          <w:rStyle w:val="Refdenotaalpie"/>
          <w:rFonts w:ascii="Verdana" w:hAnsi="Verdana" w:cs="Arial"/>
          <w:sz w:val="16"/>
          <w:szCs w:val="16"/>
        </w:rPr>
        <w:footnoteRef/>
      </w:r>
      <w:r w:rsidRPr="00D57475">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4">
    <w:p w14:paraId="7875627A" w14:textId="77777777" w:rsidR="00277AD5" w:rsidRPr="00D57475" w:rsidRDefault="00277AD5" w:rsidP="00867503">
      <w:pPr>
        <w:pStyle w:val="Textonotapie"/>
        <w:snapToGrid w:val="0"/>
        <w:ind w:firstLine="709"/>
        <w:jc w:val="both"/>
        <w:rPr>
          <w:rFonts w:ascii="Verdana" w:hAnsi="Verdana" w:cs="Arial"/>
          <w:color w:val="000000" w:themeColor="text1"/>
          <w:sz w:val="16"/>
          <w:szCs w:val="16"/>
        </w:rPr>
      </w:pPr>
      <w:r w:rsidRPr="00D57475">
        <w:rPr>
          <w:rStyle w:val="Refdenotaalpie"/>
          <w:rFonts w:ascii="Verdana" w:hAnsi="Verdana" w:cs="Arial"/>
          <w:color w:val="000000" w:themeColor="text1"/>
          <w:sz w:val="16"/>
          <w:szCs w:val="16"/>
        </w:rPr>
        <w:footnoteRef/>
      </w:r>
      <w:r w:rsidRPr="00D57475">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5">
    <w:p w14:paraId="4A4FCBE5"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ES"/>
        </w:rPr>
      </w:pPr>
      <w:r w:rsidRPr="00D57475">
        <w:rPr>
          <w:rStyle w:val="Refdenotaalpie"/>
          <w:rFonts w:ascii="Verdana" w:hAnsi="Verdana" w:cs="Arial"/>
          <w:color w:val="000000" w:themeColor="text1"/>
          <w:sz w:val="16"/>
          <w:szCs w:val="16"/>
        </w:rPr>
        <w:footnoteRef/>
      </w:r>
      <w:r w:rsidRPr="00D57475">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D57475">
        <w:rPr>
          <w:rFonts w:ascii="Verdana" w:hAnsi="Verdana" w:cs="Arial"/>
          <w:color w:val="000000" w:themeColor="text1"/>
          <w:sz w:val="16"/>
          <w:szCs w:val="16"/>
          <w:lang w:val="es-ES"/>
        </w:rPr>
        <w:t xml:space="preserve">Igualmente, el inciso primero del artículo 1071 </w:t>
      </w:r>
      <w:r w:rsidRPr="00D57475">
        <w:rPr>
          <w:rFonts w:ascii="Verdana" w:hAnsi="Verdana" w:cs="Arial"/>
          <w:i/>
          <w:iCs/>
          <w:color w:val="000000" w:themeColor="text1"/>
          <w:sz w:val="16"/>
          <w:szCs w:val="16"/>
          <w:lang w:val="es-ES"/>
        </w:rPr>
        <w:t>ibidem</w:t>
      </w:r>
      <w:r w:rsidRPr="00D57475">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6">
    <w:p w14:paraId="31B64AFA"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Style w:val="Refdenotaalpie"/>
          <w:rFonts w:ascii="Verdana" w:hAnsi="Verdana" w:cs="Arial"/>
          <w:color w:val="000000" w:themeColor="text1"/>
          <w:sz w:val="16"/>
          <w:szCs w:val="16"/>
        </w:rPr>
        <w:footnoteRef/>
      </w:r>
      <w:r w:rsidRPr="00D57475">
        <w:rPr>
          <w:rFonts w:ascii="Verdana" w:hAnsi="Verdana" w:cs="Arial"/>
          <w:color w:val="000000" w:themeColor="text1"/>
          <w:sz w:val="16"/>
          <w:szCs w:val="16"/>
        </w:rPr>
        <w:t xml:space="preserve"> </w:t>
      </w:r>
      <w:r w:rsidRPr="00D57475">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396724E0"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44FE66DD"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6EBCFCAE"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63369B97"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40FBDDC7"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7">
    <w:p w14:paraId="1977E0AE"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Style w:val="Refdenotaalpie"/>
          <w:rFonts w:ascii="Verdana" w:hAnsi="Verdana" w:cs="Arial"/>
          <w:color w:val="000000" w:themeColor="text1"/>
          <w:sz w:val="16"/>
          <w:szCs w:val="16"/>
        </w:rPr>
        <w:footnoteRef/>
      </w:r>
      <w:r w:rsidRPr="00D57475">
        <w:rPr>
          <w:rFonts w:ascii="Verdana" w:hAnsi="Verdana" w:cs="Arial"/>
          <w:color w:val="000000" w:themeColor="text1"/>
          <w:sz w:val="16"/>
          <w:szCs w:val="16"/>
        </w:rPr>
        <w:t xml:space="preserve"> </w:t>
      </w:r>
      <w:r w:rsidRPr="00D57475">
        <w:rPr>
          <w:rFonts w:ascii="Verdana" w:hAnsi="Verdana" w:cs="Arial"/>
          <w:color w:val="000000" w:themeColor="text1"/>
          <w:sz w:val="16"/>
          <w:szCs w:val="16"/>
          <w:lang w:val="es-CO"/>
        </w:rPr>
        <w:t xml:space="preserve">“Artículo </w:t>
      </w:r>
      <w:bookmarkStart w:id="5" w:name="_Hlk67919994"/>
      <w:r w:rsidRPr="00D57475">
        <w:rPr>
          <w:rFonts w:ascii="Verdana" w:hAnsi="Verdana" w:cs="Arial"/>
          <w:color w:val="000000" w:themeColor="text1"/>
          <w:sz w:val="16"/>
          <w:szCs w:val="16"/>
          <w:lang w:val="es-CO"/>
        </w:rPr>
        <w:t>2.2.1.2.3.1.7</w:t>
      </w:r>
      <w:bookmarkEnd w:id="5"/>
      <w:r w:rsidRPr="00D57475">
        <w:rPr>
          <w:rFonts w:ascii="Verdana" w:hAnsi="Verdana" w:cs="Arial"/>
          <w:color w:val="000000" w:themeColor="text1"/>
          <w:sz w:val="16"/>
          <w:szCs w:val="16"/>
          <w:lang w:val="es-CO"/>
        </w:rPr>
        <w:t xml:space="preserve">. Garantía de cumplimiento. La garantía de cumplimiento del contrato debe cubrir: </w:t>
      </w:r>
    </w:p>
    <w:p w14:paraId="26F32E55"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  </w:t>
      </w:r>
      <w:r w:rsidRPr="00D57475">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5A45326B"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2BAC0DE9"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3. Cumplimiento del contrato. Este amparo cubre a la Entidad Estatal de los perjuicios derivados de: </w:t>
      </w:r>
    </w:p>
    <w:p w14:paraId="029E71B9"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  </w:t>
      </w:r>
      <w:r w:rsidRPr="00D57475">
        <w:rPr>
          <w:rFonts w:ascii="Verdana" w:hAnsi="Verdana" w:cs="Arial"/>
          <w:color w:val="000000" w:themeColor="text1"/>
          <w:sz w:val="16"/>
          <w:szCs w:val="16"/>
          <w:lang w:val="es-CO"/>
        </w:rPr>
        <w:tab/>
        <w:t xml:space="preserve">3.1. </w:t>
      </w:r>
      <w:bookmarkStart w:id="6" w:name="_Hlk67920056"/>
      <w:r w:rsidRPr="00D57475">
        <w:rPr>
          <w:rFonts w:ascii="Verdana" w:hAnsi="Verdana" w:cs="Arial"/>
          <w:color w:val="000000" w:themeColor="text1"/>
          <w:sz w:val="16"/>
          <w:szCs w:val="16"/>
          <w:lang w:val="es-CO"/>
        </w:rPr>
        <w:t xml:space="preserve">El incumplimiento total o parcial del contrato, cuando el incumplimiento es imputable al contratista; </w:t>
      </w:r>
    </w:p>
    <w:p w14:paraId="137D8407"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  </w:t>
      </w:r>
      <w:r w:rsidRPr="00D57475">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513EAE67"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6"/>
    <w:p w14:paraId="6CB57630"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3.4. El pago del valor de las multas y de la cláusula penal pecuniaria. </w:t>
      </w:r>
    </w:p>
    <w:p w14:paraId="0884084D"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4C3F2500"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2D7B3F3A"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6C355FD2"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56A9EDA1"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500E1A85" w14:textId="77777777" w:rsidR="00277AD5" w:rsidRPr="00D57475" w:rsidRDefault="00277AD5" w:rsidP="00867503">
      <w:pPr>
        <w:pStyle w:val="Textonotapie"/>
        <w:snapToGrid w:val="0"/>
        <w:ind w:firstLine="709"/>
        <w:jc w:val="both"/>
        <w:rPr>
          <w:rFonts w:ascii="Verdana" w:hAnsi="Verdana" w:cs="Arial"/>
          <w:color w:val="000000" w:themeColor="text1"/>
          <w:sz w:val="16"/>
          <w:szCs w:val="16"/>
          <w:lang w:val="es-CO"/>
        </w:rPr>
      </w:pPr>
      <w:r w:rsidRPr="00D57475">
        <w:rPr>
          <w:rFonts w:ascii="Verdana" w:hAnsi="Verdana" w:cs="Arial"/>
          <w:color w:val="000000" w:themeColor="text1"/>
          <w:sz w:val="16"/>
          <w:szCs w:val="16"/>
          <w:lang w:val="es-CO"/>
        </w:rPr>
        <w:t xml:space="preserve">8. </w:t>
      </w:r>
      <w:bookmarkStart w:id="7" w:name="_Hlk143267015"/>
      <w:r w:rsidRPr="00D57475">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7"/>
      <w:r w:rsidRPr="00D57475">
        <w:rPr>
          <w:rFonts w:ascii="Verdana" w:hAnsi="Verdana" w:cs="Arial"/>
          <w:color w:val="000000" w:themeColor="text1"/>
          <w:sz w:val="16"/>
          <w:szCs w:val="16"/>
          <w:lang w:val="es-CO"/>
        </w:rPr>
        <w:t>”.</w:t>
      </w:r>
    </w:p>
  </w:footnote>
  <w:footnote w:id="8">
    <w:p w14:paraId="481C42C6" w14:textId="77777777" w:rsidR="00277AD5" w:rsidRPr="00D57475" w:rsidRDefault="00277AD5" w:rsidP="00867503">
      <w:pPr>
        <w:pStyle w:val="Textonotapie"/>
        <w:ind w:firstLine="709"/>
        <w:jc w:val="both"/>
        <w:rPr>
          <w:rFonts w:ascii="Verdana" w:hAnsi="Verdana"/>
          <w:sz w:val="16"/>
          <w:szCs w:val="16"/>
          <w:lang w:val="es-ES"/>
        </w:rPr>
      </w:pPr>
      <w:r w:rsidRPr="00D57475">
        <w:rPr>
          <w:rStyle w:val="Refdenotaalpie"/>
          <w:rFonts w:ascii="Verdana" w:hAnsi="Verdana"/>
          <w:sz w:val="16"/>
          <w:szCs w:val="16"/>
        </w:rPr>
        <w:footnoteRef/>
      </w:r>
      <w:r w:rsidRPr="00D57475">
        <w:rPr>
          <w:rFonts w:ascii="Verdana" w:hAnsi="Verdana"/>
          <w:sz w:val="16"/>
          <w:szCs w:val="16"/>
        </w:rPr>
        <w:t xml:space="preserve"> </w:t>
      </w:r>
      <w:r w:rsidRPr="00D57475">
        <w:rPr>
          <w:rFonts w:ascii="Verdana" w:hAnsi="Verdana"/>
          <w:sz w:val="16"/>
          <w:szCs w:val="16"/>
          <w:lang w:val="es-CO"/>
        </w:rPr>
        <w:t xml:space="preserve">Concepto C-069 del 27 de mayo de 2024 disponible en: </w:t>
      </w:r>
      <w:hyperlink r:id="rId1" w:history="1">
        <w:r w:rsidRPr="00D57475">
          <w:rPr>
            <w:rStyle w:val="Hipervnculo"/>
            <w:rFonts w:ascii="Verdana" w:hAnsi="Verdana"/>
            <w:sz w:val="16"/>
            <w:szCs w:val="16"/>
            <w:lang w:val="es-CO"/>
          </w:rPr>
          <w:t>https://relatoria.colombiacompra.gov.co/conceptos/c-069-de-2024/</w:t>
        </w:r>
      </w:hyperlink>
      <w:r w:rsidRPr="00D57475">
        <w:rPr>
          <w:rFonts w:ascii="Verdana" w:hAnsi="Verdana"/>
          <w:sz w:val="16"/>
          <w:szCs w:val="16"/>
          <w:lang w:val="es-CO"/>
        </w:rPr>
        <w:t xml:space="preserve"> </w:t>
      </w:r>
    </w:p>
  </w:footnote>
  <w:footnote w:id="9">
    <w:p w14:paraId="7F3A7354" w14:textId="77777777" w:rsidR="00277AD5" w:rsidRPr="00D57475" w:rsidRDefault="00277AD5" w:rsidP="00867503">
      <w:pPr>
        <w:pStyle w:val="Textonotapie"/>
        <w:snapToGrid w:val="0"/>
        <w:ind w:firstLine="709"/>
        <w:jc w:val="both"/>
        <w:rPr>
          <w:rFonts w:ascii="Verdana" w:hAnsi="Verdana"/>
          <w:sz w:val="16"/>
          <w:szCs w:val="16"/>
        </w:rPr>
      </w:pPr>
      <w:r w:rsidRPr="00D57475">
        <w:rPr>
          <w:rStyle w:val="Refdenotaalpie"/>
          <w:rFonts w:ascii="Verdana" w:hAnsi="Verdana"/>
          <w:sz w:val="16"/>
          <w:szCs w:val="16"/>
        </w:rPr>
        <w:footnoteRef/>
      </w:r>
      <w:r w:rsidRPr="00D57475">
        <w:rPr>
          <w:rFonts w:ascii="Verdana" w:hAnsi="Verdana"/>
          <w:sz w:val="16"/>
          <w:szCs w:val="16"/>
        </w:rPr>
        <w:t xml:space="preserve"> El artículo 2.2.1.2.3.2.9 del Decreto 1082 de 2015 dispone que “El amparo de responsabilidad civil extracontractual debe cumplir los siguientes requisitos:</w:t>
      </w:r>
    </w:p>
    <w:p w14:paraId="00674FB6"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1669A5B4"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6E06A0CA"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3. Amparos. El amparo de responsabilidad civil extracontractual debe contener además de la cobertura básica de predios, labores y operaciones, mínimo los siguientes amparos:</w:t>
      </w:r>
    </w:p>
    <w:p w14:paraId="0F5348A6"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3.1. Cobertura expresa de perjuicios por daño emergente y lucro cesante.</w:t>
      </w:r>
    </w:p>
    <w:p w14:paraId="0916B723"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3.2. Cobertura expresa de perjuicios extrapatrimoniales.</w:t>
      </w:r>
    </w:p>
    <w:p w14:paraId="477C8159"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3.3. Cobertura expresa de la responsabilidad surgida por actos de contratistas y subcontratistas, salvo que el subcontratista tenga su propio seguro de responsabilidad extracontractual, con los mismos amparos aquí requeridos.</w:t>
      </w:r>
    </w:p>
    <w:p w14:paraId="0E7AFFB0"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3.4. Cobertura expresa de amparo patronal.</w:t>
      </w:r>
    </w:p>
    <w:p w14:paraId="1FAFB9F0"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3.5. Cobertura expresa de vehículos propios y no propios”.</w:t>
      </w:r>
    </w:p>
  </w:footnote>
  <w:footnote w:id="10">
    <w:p w14:paraId="337CEC1A" w14:textId="77777777" w:rsidR="00277AD5" w:rsidRPr="00D57475" w:rsidRDefault="00277AD5" w:rsidP="00867503">
      <w:pPr>
        <w:pStyle w:val="Textonotapie"/>
        <w:snapToGrid w:val="0"/>
        <w:ind w:firstLine="709"/>
        <w:jc w:val="both"/>
        <w:rPr>
          <w:rFonts w:ascii="Verdana" w:hAnsi="Verdana"/>
          <w:sz w:val="16"/>
          <w:szCs w:val="16"/>
        </w:rPr>
      </w:pPr>
      <w:r w:rsidRPr="00D57475">
        <w:rPr>
          <w:rStyle w:val="Refdenotaalpie"/>
          <w:rFonts w:ascii="Verdana" w:hAnsi="Verdana"/>
          <w:sz w:val="16"/>
          <w:szCs w:val="16"/>
        </w:rPr>
        <w:footnoteRef/>
      </w:r>
      <w:r w:rsidRPr="00D57475">
        <w:rPr>
          <w:rFonts w:ascii="Verdana" w:hAnsi="Verdana"/>
          <w:sz w:val="16"/>
          <w:szCs w:val="16"/>
        </w:rPr>
        <w:t xml:space="preserve"> El artículo 2.2.1.2.3.1.17 del Decreto 1082 de 2015 prescribe lo siguiente: “El valor asegurado por los contratos de seguro que amparan la responsabilidad civil extracontractual no debe ser inferior a:</w:t>
      </w:r>
    </w:p>
    <w:p w14:paraId="5A7A78F6"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1. Doscientos (200) smmlv para contratos cuyo valor sea inferior o igual a mil quinientos (1.500) smmlv.</w:t>
      </w:r>
    </w:p>
    <w:p w14:paraId="277F5534"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2. Trescientos (300) smmlv para contratos cuyo valor sea superior a mil quinientos (1.500) smmlv e inferior o igual a dos mil quinientos (2.500) smmlv.</w:t>
      </w:r>
    </w:p>
    <w:p w14:paraId="5AF46B94"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3. Cuatrocientos (400) smmlv para contratos cuyo valor sea superior a dos mil quinientos (2.500) smmlv e inferior o igual a cinco mil (5.000) smmlv.</w:t>
      </w:r>
    </w:p>
    <w:p w14:paraId="6DCFF5BD"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4. Quinientos (500) smmlv para contratos cuyo valor sea superior a cinco mil (5.000) smmlv e inferior o igual a diez mil (10.000) smmlv.</w:t>
      </w:r>
    </w:p>
    <w:p w14:paraId="5E133FDB"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5. El cinco por ciento (5%) del valor del contrato cuando este sea superior a diez mil (10.000) smmlv, caso en el cual el valor asegurado debe ser máximo setenta y cinco mil (75.000) smmlv.</w:t>
      </w:r>
    </w:p>
    <w:p w14:paraId="2385997D" w14:textId="77777777" w:rsidR="00277AD5" w:rsidRPr="00D57475" w:rsidRDefault="00277AD5" w:rsidP="00867503">
      <w:pPr>
        <w:pStyle w:val="Textonotapie"/>
        <w:snapToGrid w:val="0"/>
        <w:ind w:firstLine="709"/>
        <w:jc w:val="both"/>
        <w:rPr>
          <w:rFonts w:ascii="Verdana" w:hAnsi="Verdana"/>
          <w:sz w:val="16"/>
          <w:szCs w:val="16"/>
        </w:rPr>
      </w:pPr>
      <w:r w:rsidRPr="00D57475">
        <w:rPr>
          <w:rFonts w:ascii="Verdana" w:hAnsi="Verdana"/>
          <w:sz w:val="16"/>
          <w:szCs w:val="16"/>
        </w:rPr>
        <w:t>La vigencia de esta garantía deberá ser igual al período de ejecución del contrato”.</w:t>
      </w:r>
    </w:p>
  </w:footnote>
  <w:footnote w:id="11">
    <w:p w14:paraId="4F9E68A3" w14:textId="37D10755" w:rsidR="00D57475" w:rsidRPr="00867503" w:rsidRDefault="00D57475" w:rsidP="00867503">
      <w:pPr>
        <w:pStyle w:val="Textonotapie"/>
        <w:ind w:firstLine="709"/>
        <w:jc w:val="both"/>
        <w:rPr>
          <w:rFonts w:ascii="Verdana" w:hAnsi="Verdana"/>
          <w:sz w:val="16"/>
          <w:szCs w:val="16"/>
          <w:lang w:val="es-ES"/>
        </w:rPr>
      </w:pPr>
      <w:r w:rsidRPr="00867503">
        <w:rPr>
          <w:rStyle w:val="Refdenotaalpie"/>
          <w:rFonts w:ascii="Verdana" w:hAnsi="Verdana"/>
          <w:sz w:val="16"/>
          <w:szCs w:val="16"/>
        </w:rPr>
        <w:footnoteRef/>
      </w:r>
      <w:r w:rsidRPr="00867503">
        <w:rPr>
          <w:rFonts w:ascii="Verdana" w:hAnsi="Verdana"/>
          <w:sz w:val="16"/>
          <w:szCs w:val="16"/>
        </w:rPr>
        <w:t xml:space="preserve"> </w:t>
      </w:r>
      <w:r w:rsidRPr="00867503">
        <w:rPr>
          <w:rFonts w:ascii="Verdana" w:eastAsia="Calibri" w:hAnsi="Verdana" w:cs="Arial"/>
          <w:sz w:val="16"/>
          <w:szCs w:val="16"/>
          <w:lang w:eastAsia="es-ES"/>
        </w:rPr>
        <w:t xml:space="preserve">Agencia Nacional de </w:t>
      </w:r>
      <w:r w:rsidRPr="00867503">
        <w:rPr>
          <w:rFonts w:ascii="Verdana" w:eastAsia="Calibri" w:hAnsi="Verdana" w:cs="Arial"/>
          <w:sz w:val="16"/>
          <w:szCs w:val="16"/>
        </w:rPr>
        <w:t>Contratación Pública</w:t>
      </w:r>
      <w:r>
        <w:rPr>
          <w:rFonts w:ascii="Verdana" w:eastAsia="Calibri" w:hAnsi="Verdana" w:cs="Arial"/>
          <w:sz w:val="16"/>
          <w:szCs w:val="16"/>
        </w:rPr>
        <w:t xml:space="preserve"> </w:t>
      </w:r>
      <w:r w:rsidRPr="00867503">
        <w:rPr>
          <w:rFonts w:ascii="Verdana" w:eastAsia="Calibri" w:hAnsi="Verdana" w:cs="Arial"/>
          <w:sz w:val="16"/>
          <w:szCs w:val="16"/>
        </w:rPr>
        <w:t>– Colombia Compra Eficiente</w:t>
      </w:r>
      <w:r>
        <w:rPr>
          <w:rFonts w:ascii="Verdana" w:eastAsia="Calibri" w:hAnsi="Verdana" w:cs="Arial"/>
          <w:sz w:val="16"/>
          <w:szCs w:val="16"/>
        </w:rPr>
        <w:t>.</w:t>
      </w:r>
      <w:r w:rsidRPr="00867503">
        <w:rPr>
          <w:rFonts w:ascii="Verdana" w:hAnsi="Verdana"/>
          <w:sz w:val="16"/>
          <w:szCs w:val="16"/>
        </w:rPr>
        <w:t xml:space="preserve"> </w:t>
      </w:r>
      <w:r w:rsidRPr="00867503">
        <w:rPr>
          <w:rFonts w:ascii="Verdana" w:eastAsia="Calibri" w:hAnsi="Verdana" w:cs="Arial"/>
          <w:sz w:val="16"/>
          <w:szCs w:val="16"/>
          <w:lang w:eastAsia="es-ES"/>
        </w:rPr>
        <w:t xml:space="preserve">Guía de Garantías en Procesos de Contratación. Disponible: </w:t>
      </w:r>
      <w:hyperlink r:id="rId2" w:history="1">
        <w:r w:rsidRPr="00142669">
          <w:rPr>
            <w:rStyle w:val="Hipervnculo"/>
            <w:rFonts w:ascii="Verdana" w:eastAsia="Calibri" w:hAnsi="Verdana" w:cs="Arial"/>
            <w:sz w:val="16"/>
            <w:szCs w:val="16"/>
            <w:lang w:eastAsia="es-ES"/>
          </w:rPr>
          <w:t>https://www.colombiacompra.gov.co/wp-content/uploads/2024/08/2016-Guia-de-garantias-en-Procesos-de-Contratacion-G-GPC-01.pdf</w:t>
        </w:r>
      </w:hyperlink>
      <w:r>
        <w:rPr>
          <w:rFonts w:ascii="Verdana" w:eastAsia="Calibri" w:hAnsi="Verdana" w:cs="Arial"/>
          <w:sz w:val="16"/>
          <w:szCs w:val="16"/>
          <w:lang w:eastAsia="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line="120" w:lineRule="auto"/>
      <w:rPr>
        <w:rFonts w:ascii="Century Gothic" w:eastAsia="Geo" w:hAnsi="Century Gothic" w:cs="Geo"/>
        <w:sz w:val="16"/>
        <w:szCs w:val="16"/>
        <w:lang w:eastAsia="es-CO"/>
      </w:rPr>
    </w:pPr>
  </w:p>
  <w:p w14:paraId="211B7F5D" w14:textId="77777777" w:rsidR="00C925AC" w:rsidRDefault="00C925AC" w:rsidP="00844AE9">
    <w:pPr>
      <w:rPr>
        <w:rFonts w:ascii="Verdana" w:hAnsi="Verdana"/>
      </w:rPr>
    </w:pPr>
  </w:p>
  <w:p w14:paraId="5A0054B1" w14:textId="77777777" w:rsidR="00A14468" w:rsidRPr="00C925AC" w:rsidRDefault="00A14468" w:rsidP="00844AE9">
    <w:pPr>
      <w:rPr>
        <w:rFonts w:ascii="Verdana" w:hAnsi="Verdana"/>
      </w:rPr>
    </w:pPr>
  </w:p>
  <w:p w14:paraId="1FD1C243" w14:textId="37C5500A" w:rsidR="008A446D" w:rsidRPr="00C925AC" w:rsidRDefault="00C925AC" w:rsidP="000D5DA7">
    <w:pPr>
      <w:spacing w:line="480" w:lineRule="auto"/>
      <w:rPr>
        <w:rFonts w:ascii="Verdana" w:hAnsi="Verdana"/>
        <w:b/>
        <w:bCs/>
      </w:rPr>
    </w:pPr>
    <w:r w:rsidRPr="00C925AC">
      <w:rPr>
        <w:rFonts w:ascii="Verdana" w:hAnsi="Verdana"/>
        <w:b/>
        <w:bCs/>
      </w:rPr>
      <w:t>FORMATO</w:t>
    </w:r>
    <w:r w:rsidR="00BF7425">
      <w:rPr>
        <w:rFonts w:ascii="Verdana" w:hAnsi="Verdana"/>
        <w:b/>
        <w:bCs/>
      </w:rPr>
      <w:t xml:space="preserve"> DE RESPUESTA </w:t>
    </w:r>
    <w:r w:rsidRPr="00C925AC">
      <w:rPr>
        <w:rFonts w:ascii="Verdana" w:hAnsi="Verdana"/>
        <w:b/>
        <w:bCs/>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8B719B"/>
    <w:multiLevelType w:val="hybridMultilevel"/>
    <w:tmpl w:val="54DAC94E"/>
    <w:lvl w:ilvl="0" w:tplc="3BDE3448">
      <w:numFmt w:val="bullet"/>
      <w:lvlText w:val=""/>
      <w:lvlJc w:val="left"/>
      <w:pPr>
        <w:ind w:left="1778" w:hanging="360"/>
      </w:pPr>
      <w:rPr>
        <w:rFonts w:ascii="Symbol" w:eastAsia="Century Gothic" w:hAnsi="Symbol" w:cs="Century Gothic"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027C01"/>
    <w:multiLevelType w:val="multilevel"/>
    <w:tmpl w:val="EFC64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21082B"/>
    <w:multiLevelType w:val="hybridMultilevel"/>
    <w:tmpl w:val="FA263692"/>
    <w:lvl w:ilvl="0" w:tplc="3BDE3448">
      <w:numFmt w:val="bullet"/>
      <w:lvlText w:val=""/>
      <w:lvlJc w:val="left"/>
      <w:pPr>
        <w:ind w:left="1069" w:hanging="360"/>
      </w:pPr>
      <w:rPr>
        <w:rFonts w:ascii="Symbol" w:eastAsia="Century Gothic" w:hAnsi="Symbol" w:cs="Century Gothic"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2"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6"/>
  </w:num>
  <w:num w:numId="8">
    <w:abstractNumId w:val="15"/>
  </w:num>
  <w:num w:numId="9">
    <w:abstractNumId w:val="8"/>
  </w:num>
  <w:num w:numId="10">
    <w:abstractNumId w:val="14"/>
  </w:num>
  <w:num w:numId="11">
    <w:abstractNumId w:val="9"/>
  </w:num>
  <w:num w:numId="12">
    <w:abstractNumId w:val="1"/>
  </w:num>
  <w:num w:numId="13">
    <w:abstractNumId w:val="4"/>
  </w:num>
  <w:num w:numId="14">
    <w:abstractNumId w:val="17"/>
  </w:num>
  <w:num w:numId="15">
    <w:abstractNumId w:val="13"/>
  </w:num>
  <w:num w:numId="16">
    <w:abstractNumId w:val="0"/>
  </w:num>
  <w:num w:numId="17">
    <w:abstractNumId w:val="12"/>
  </w:num>
  <w:num w:numId="18">
    <w:abstractNumId w:val="11"/>
  </w:num>
  <w:num w:numId="19">
    <w:abstractNumId w:val="3"/>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8AF"/>
    <w:rsid w:val="00046945"/>
    <w:rsid w:val="00046D34"/>
    <w:rsid w:val="00061B2A"/>
    <w:rsid w:val="00082362"/>
    <w:rsid w:val="000A303E"/>
    <w:rsid w:val="000A683E"/>
    <w:rsid w:val="000B19B9"/>
    <w:rsid w:val="000D0334"/>
    <w:rsid w:val="000D5DA7"/>
    <w:rsid w:val="000F6486"/>
    <w:rsid w:val="00116940"/>
    <w:rsid w:val="00117BFC"/>
    <w:rsid w:val="00125105"/>
    <w:rsid w:val="00127233"/>
    <w:rsid w:val="00132AAF"/>
    <w:rsid w:val="00133DC3"/>
    <w:rsid w:val="0015699B"/>
    <w:rsid w:val="001A33BF"/>
    <w:rsid w:val="001E4177"/>
    <w:rsid w:val="001F0B24"/>
    <w:rsid w:val="001F4893"/>
    <w:rsid w:val="001F7DC6"/>
    <w:rsid w:val="0022400B"/>
    <w:rsid w:val="002421BB"/>
    <w:rsid w:val="0025796E"/>
    <w:rsid w:val="002707A2"/>
    <w:rsid w:val="00277AD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6191"/>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08B4"/>
    <w:rsid w:val="005C3777"/>
    <w:rsid w:val="005C4450"/>
    <w:rsid w:val="005C5CDC"/>
    <w:rsid w:val="005D476C"/>
    <w:rsid w:val="005E64CF"/>
    <w:rsid w:val="005E7B5A"/>
    <w:rsid w:val="006200BF"/>
    <w:rsid w:val="006219F8"/>
    <w:rsid w:val="006302F7"/>
    <w:rsid w:val="00646B9F"/>
    <w:rsid w:val="00665D70"/>
    <w:rsid w:val="006900D9"/>
    <w:rsid w:val="006A2CFC"/>
    <w:rsid w:val="006F0909"/>
    <w:rsid w:val="006F6E45"/>
    <w:rsid w:val="00706C16"/>
    <w:rsid w:val="007340C3"/>
    <w:rsid w:val="0075235A"/>
    <w:rsid w:val="00756841"/>
    <w:rsid w:val="007649AB"/>
    <w:rsid w:val="00771D0C"/>
    <w:rsid w:val="007833AC"/>
    <w:rsid w:val="007B268C"/>
    <w:rsid w:val="007B7171"/>
    <w:rsid w:val="007C0C0F"/>
    <w:rsid w:val="007C3DC2"/>
    <w:rsid w:val="007E520E"/>
    <w:rsid w:val="007E5497"/>
    <w:rsid w:val="00801FBF"/>
    <w:rsid w:val="00806F5F"/>
    <w:rsid w:val="00820278"/>
    <w:rsid w:val="008258C9"/>
    <w:rsid w:val="00844AE9"/>
    <w:rsid w:val="00867503"/>
    <w:rsid w:val="00867F95"/>
    <w:rsid w:val="0087646A"/>
    <w:rsid w:val="008843B6"/>
    <w:rsid w:val="00891928"/>
    <w:rsid w:val="008A446D"/>
    <w:rsid w:val="008B25F1"/>
    <w:rsid w:val="008D180B"/>
    <w:rsid w:val="008E647F"/>
    <w:rsid w:val="008F0EA7"/>
    <w:rsid w:val="00923EEF"/>
    <w:rsid w:val="009419F9"/>
    <w:rsid w:val="0095685E"/>
    <w:rsid w:val="00961B09"/>
    <w:rsid w:val="00965334"/>
    <w:rsid w:val="0097093E"/>
    <w:rsid w:val="009710D4"/>
    <w:rsid w:val="009A0DFA"/>
    <w:rsid w:val="009A1C6F"/>
    <w:rsid w:val="009B2D26"/>
    <w:rsid w:val="009C23DF"/>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275F2"/>
    <w:rsid w:val="00B44A47"/>
    <w:rsid w:val="00B72CD3"/>
    <w:rsid w:val="00B72FFF"/>
    <w:rsid w:val="00BC2722"/>
    <w:rsid w:val="00BC3D36"/>
    <w:rsid w:val="00BD54A6"/>
    <w:rsid w:val="00BD7F72"/>
    <w:rsid w:val="00BF7425"/>
    <w:rsid w:val="00C04FB3"/>
    <w:rsid w:val="00C11D8B"/>
    <w:rsid w:val="00C15139"/>
    <w:rsid w:val="00C15437"/>
    <w:rsid w:val="00C330EB"/>
    <w:rsid w:val="00C50D69"/>
    <w:rsid w:val="00C5365C"/>
    <w:rsid w:val="00C754BE"/>
    <w:rsid w:val="00C76B1C"/>
    <w:rsid w:val="00C925AC"/>
    <w:rsid w:val="00CB15F3"/>
    <w:rsid w:val="00CB6357"/>
    <w:rsid w:val="00CC1B26"/>
    <w:rsid w:val="00CC7725"/>
    <w:rsid w:val="00D361FD"/>
    <w:rsid w:val="00D423A2"/>
    <w:rsid w:val="00D44E26"/>
    <w:rsid w:val="00D520D8"/>
    <w:rsid w:val="00D57475"/>
    <w:rsid w:val="00D63AC2"/>
    <w:rsid w:val="00D7383B"/>
    <w:rsid w:val="00D7788A"/>
    <w:rsid w:val="00DA231B"/>
    <w:rsid w:val="00DC39FC"/>
    <w:rsid w:val="00DD58E2"/>
    <w:rsid w:val="00DE4259"/>
    <w:rsid w:val="00DF5254"/>
    <w:rsid w:val="00E02524"/>
    <w:rsid w:val="00E16408"/>
    <w:rsid w:val="00E20894"/>
    <w:rsid w:val="00E245AB"/>
    <w:rsid w:val="00E2764C"/>
    <w:rsid w:val="00E27F2E"/>
    <w:rsid w:val="00E342FC"/>
    <w:rsid w:val="00E50AFE"/>
    <w:rsid w:val="00E75C92"/>
    <w:rsid w:val="00E771DC"/>
    <w:rsid w:val="00E8772A"/>
    <w:rsid w:val="00E90F6B"/>
    <w:rsid w:val="00E92C27"/>
    <w:rsid w:val="00EA0E3D"/>
    <w:rsid w:val="00EC38A7"/>
    <w:rsid w:val="00EE1AA8"/>
    <w:rsid w:val="00EF36F5"/>
    <w:rsid w:val="00F17D57"/>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8AF"/>
    <w:pPr>
      <w:spacing w:after="0" w:line="240" w:lineRule="auto"/>
    </w:pPr>
    <w:rPr>
      <w:rFonts w:ascii="Times New Roman" w:eastAsia="Times New Roman" w:hAnsi="Times New Roman" w:cs="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pPr>
    <w:rPr>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pPr>
    <w:rPr>
      <w:lang w:eastAsia="es-CO"/>
    </w:rPr>
  </w:style>
  <w:style w:type="paragraph" w:customStyle="1" w:styleId="blanco">
    <w:name w:val="blanco"/>
    <w:basedOn w:val="Normal"/>
    <w:rsid w:val="00C76B1C"/>
    <w:pPr>
      <w:spacing w:before="100" w:beforeAutospacing="1" w:after="100" w:afterAutospacing="1"/>
    </w:pPr>
    <w:rPr>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277AD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77AD5"/>
    <w:rPr>
      <w:rFonts w:ascii="Geomanist Light" w:hAnsi="Geomanist Light"/>
      <w:lang w:val="es-ES"/>
    </w:rPr>
  </w:style>
  <w:style w:type="character" w:styleId="Textoennegrita">
    <w:name w:val="Strong"/>
    <w:basedOn w:val="Fuentedeprrafopredeter"/>
    <w:uiPriority w:val="22"/>
    <w:qFormat/>
    <w:rsid w:val="000178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036298317">
      <w:bodyDiv w:val="1"/>
      <w:marLeft w:val="0"/>
      <w:marRight w:val="0"/>
      <w:marTop w:val="0"/>
      <w:marBottom w:val="0"/>
      <w:divBdr>
        <w:top w:val="none" w:sz="0" w:space="0" w:color="auto"/>
        <w:left w:val="none" w:sz="0" w:space="0" w:color="auto"/>
        <w:bottom w:val="none" w:sz="0" w:space="0" w:color="auto"/>
        <w:right w:val="none" w:sz="0" w:space="0" w:color="auto"/>
      </w:divBdr>
      <w:divsChild>
        <w:div w:id="80061017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wp-content/uploads/2024/08/2016-Guia-de-garantias-en-Procesos-de-Contratacion-G-GPC-01.pdf"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rlandoramirez_oro@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2016-Guia-de-garantias-en-Procesos-de-Contratacion-G-GPC-01.pdf" TargetMode="External"/><Relationship Id="rId1" Type="http://schemas.openxmlformats.org/officeDocument/2006/relationships/hyperlink" Target="https://relatoria.colombiacompra.gov.co/conceptos/c-069-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FF23EE4-0B33-4B86-8116-8610633ADD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20</Pages>
  <Words>5420</Words>
  <Characters>29813</Characters>
  <Application>Microsoft Office Word</Application>
  <DocSecurity>0</DocSecurity>
  <Lines>248</Lines>
  <Paragraphs>70</Paragraphs>
  <ScaleCrop>false</ScaleCrop>
  <Company/>
  <LinksUpToDate>false</LinksUpToDate>
  <CharactersWithSpaces>35163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2026-04-09T22:16:00Z</dcterms:created>
  <dcterms:modified xsi:type="dcterms:W3CDTF">2026-04-09T22:16:00Z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