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93990A" w14:textId="77777777" w:rsidR="007B55DD" w:rsidRPr="007B55DD" w:rsidRDefault="007B55DD" w:rsidP="008D5262">
      <w:pPr>
        <w:spacing w:after="0" w:line="240" w:lineRule="auto"/>
        <w:jc w:val="both"/>
        <w:rPr>
          <w:rFonts w:ascii="Verdana" w:eastAsia="Verdana" w:hAnsi="Verdana" w:cs="Verdana"/>
          <w:b/>
          <w:lang w:val="es-ES"/>
        </w:rPr>
      </w:pPr>
      <w:bookmarkStart w:id="0" w:name="_Hlk143780582"/>
      <w:r w:rsidRPr="007B55DD">
        <w:rPr>
          <w:rFonts w:ascii="Verdana" w:eastAsia="Verdana" w:hAnsi="Verdana" w:cs="Verdana"/>
          <w:b/>
          <w:lang w:val="es-ES"/>
        </w:rPr>
        <w:t>CONTRATOS ESTATALES – Capacidad jurídica – Requisitos esenciales</w:t>
      </w:r>
    </w:p>
    <w:p w14:paraId="7A10BB6B" w14:textId="77777777" w:rsidR="007B55DD" w:rsidRPr="007B55DD" w:rsidRDefault="007B55DD" w:rsidP="008D5262">
      <w:pPr>
        <w:spacing w:after="0" w:line="240" w:lineRule="auto"/>
        <w:jc w:val="both"/>
        <w:rPr>
          <w:rFonts w:ascii="Verdana" w:eastAsia="Verdana" w:hAnsi="Verdana" w:cs="Verdana"/>
          <w:b/>
          <w:lang w:val="es-ES"/>
        </w:rPr>
      </w:pPr>
    </w:p>
    <w:p w14:paraId="23CF3151" w14:textId="7DDFC313" w:rsidR="007B55DD" w:rsidRPr="007B55DD" w:rsidRDefault="007B55DD" w:rsidP="008D5262">
      <w:pPr>
        <w:spacing w:after="0" w:line="240" w:lineRule="auto"/>
        <w:jc w:val="both"/>
        <w:rPr>
          <w:rFonts w:ascii="Verdana" w:eastAsia="Verdana" w:hAnsi="Verdana" w:cs="Verdana"/>
          <w:bCs/>
          <w:sz w:val="20"/>
          <w:szCs w:val="20"/>
          <w:lang w:val="es-ES_tradnl"/>
        </w:rPr>
      </w:pPr>
      <w:r w:rsidRPr="007B55DD">
        <w:rPr>
          <w:rFonts w:ascii="Verdana" w:eastAsia="Verdana" w:hAnsi="Verdana" w:cs="Verdana"/>
          <w:bCs/>
          <w:sz w:val="20"/>
          <w:szCs w:val="20"/>
          <w:lang w:val="es-ES_tradnl"/>
        </w:rPr>
        <w:t xml:space="preserve">Por su parte, el artículo 1º de la Ley 80 de 1993 determina que su objetivo es disponer de reglas y principios que rigen los contratos de las entidades estatales y, en ese sentido, el artículo 32 </w:t>
      </w:r>
      <w:r w:rsidRPr="007B55DD">
        <w:rPr>
          <w:rFonts w:ascii="Verdana" w:eastAsia="Verdana" w:hAnsi="Verdana" w:cs="Verdana"/>
          <w:bCs/>
          <w:i/>
          <w:iCs/>
          <w:sz w:val="20"/>
          <w:szCs w:val="20"/>
          <w:lang w:val="es-ES_tradnl"/>
        </w:rPr>
        <w:t>ibidem</w:t>
      </w:r>
      <w:r w:rsidRPr="007B55DD">
        <w:rPr>
          <w:rFonts w:ascii="Verdana" w:eastAsia="Verdana" w:hAnsi="Verdana" w:cs="Verdana"/>
          <w:bCs/>
          <w:sz w:val="20"/>
          <w:szCs w:val="20"/>
          <w:lang w:val="es-ES_tradnl"/>
        </w:rPr>
        <w:t xml:space="preserve"> define los contratos estatales como “todos los actos jurídicos, generadores de obligaciones que celebren las entidades a que se refiere este estatuto [art. 2], previstos en el derecho privado o en disposiciones especiales, o derivados del ejercicio de la autonomía de la voluntad”. De acuerdo con lo anterior, para la definición de contrato estatal basta con que una de las entidades que enumera el artículo 2º de la Ley 80 de 1993 sea una de las partes, sin importar el extremo de la relación jurídico negocial que asuma. </w:t>
      </w:r>
    </w:p>
    <w:p w14:paraId="158D436D" w14:textId="4CE3E884" w:rsidR="007B55DD" w:rsidRPr="007B55DD" w:rsidRDefault="007B55DD" w:rsidP="008D5262">
      <w:pPr>
        <w:spacing w:after="0" w:line="240" w:lineRule="auto"/>
        <w:jc w:val="both"/>
        <w:rPr>
          <w:rFonts w:ascii="Verdana" w:eastAsia="Verdana" w:hAnsi="Verdana" w:cs="Verdana"/>
          <w:bCs/>
          <w:sz w:val="20"/>
          <w:szCs w:val="20"/>
          <w:lang w:val="es-ES"/>
        </w:rPr>
      </w:pPr>
      <w:r w:rsidRPr="007B55DD">
        <w:rPr>
          <w:rFonts w:ascii="Verdana" w:eastAsia="Verdana" w:hAnsi="Verdana" w:cs="Verdana"/>
          <w:bCs/>
          <w:sz w:val="20"/>
          <w:szCs w:val="20"/>
          <w:lang w:val="es-ES"/>
        </w:rPr>
        <w:t>[…]</w:t>
      </w:r>
    </w:p>
    <w:p w14:paraId="4A93BB65" w14:textId="3B8BD10D" w:rsidR="007B55DD" w:rsidRPr="007B55DD" w:rsidRDefault="007B55DD" w:rsidP="008D5262">
      <w:pPr>
        <w:spacing w:after="0" w:line="240" w:lineRule="auto"/>
        <w:jc w:val="both"/>
        <w:rPr>
          <w:rFonts w:ascii="Verdana" w:eastAsia="Verdana" w:hAnsi="Verdana" w:cs="Verdana"/>
          <w:bCs/>
          <w:sz w:val="20"/>
          <w:szCs w:val="20"/>
        </w:rPr>
      </w:pPr>
      <w:r w:rsidRPr="007B55DD">
        <w:rPr>
          <w:rFonts w:ascii="Verdana" w:eastAsia="Verdana" w:hAnsi="Verdana" w:cs="Verdana"/>
          <w:bCs/>
          <w:sz w:val="20"/>
          <w:szCs w:val="20"/>
        </w:rPr>
        <w:t xml:space="preserve">Asimismo, para efectos de individualizar sus requisitos esenciales, el artículo 1501 del Código Civil dispone que corresponden a “[…] aquellas cosas sin las cuales, o no produce efecto alguno, o degeneran en otro contrato diferente […]”. Es decir, “[…] no es admisible un juicio de comparación con las figuras típicas del ordenamiento, en virtud de la indeterminación inherente antes de su perfeccionamiento, pues […] este es fruto de la mera autonomía privada de las partes, la cual da vida a una figura absolutamente extraña a los tipos contractuales establecidos por las normas jurídicas del ordenamiento jurídico y por la costumbre […]”. </w:t>
      </w:r>
    </w:p>
    <w:p w14:paraId="7AC7C97E" w14:textId="77777777" w:rsidR="007B55DD" w:rsidRPr="007B55DD" w:rsidRDefault="007B55DD" w:rsidP="008D5262">
      <w:pPr>
        <w:spacing w:after="0" w:line="240" w:lineRule="auto"/>
        <w:jc w:val="both"/>
        <w:rPr>
          <w:rFonts w:ascii="Verdana" w:eastAsia="Verdana" w:hAnsi="Verdana" w:cs="Verdana"/>
          <w:b/>
        </w:rPr>
      </w:pPr>
    </w:p>
    <w:p w14:paraId="25F779DF" w14:textId="77777777" w:rsidR="00976438" w:rsidRDefault="007B55DD" w:rsidP="008D5262">
      <w:pPr>
        <w:spacing w:after="0" w:line="240" w:lineRule="auto"/>
        <w:jc w:val="both"/>
        <w:rPr>
          <w:rFonts w:ascii="Verdana" w:eastAsia="Verdana" w:hAnsi="Verdana" w:cs="Verdana"/>
          <w:b/>
        </w:rPr>
      </w:pPr>
      <w:r w:rsidRPr="007B55DD">
        <w:rPr>
          <w:rFonts w:ascii="Verdana" w:eastAsia="Verdana" w:hAnsi="Verdana" w:cs="Verdana"/>
          <w:b/>
        </w:rPr>
        <w:t xml:space="preserve">DONACIÓN – Concepto </w:t>
      </w:r>
    </w:p>
    <w:p w14:paraId="209AF5B1" w14:textId="77777777" w:rsidR="00976438" w:rsidRPr="00976438" w:rsidRDefault="00976438" w:rsidP="008D5262">
      <w:pPr>
        <w:spacing w:after="0" w:line="240" w:lineRule="auto"/>
        <w:jc w:val="both"/>
        <w:rPr>
          <w:rFonts w:ascii="Verdana" w:eastAsia="Verdana" w:hAnsi="Verdana" w:cs="Verdana"/>
          <w:bCs/>
          <w:sz w:val="20"/>
          <w:szCs w:val="20"/>
        </w:rPr>
      </w:pPr>
    </w:p>
    <w:p w14:paraId="554147F0" w14:textId="77777777" w:rsidR="00976438" w:rsidRPr="00976438" w:rsidRDefault="00976438" w:rsidP="008D5262">
      <w:pPr>
        <w:spacing w:after="0" w:line="240" w:lineRule="auto"/>
        <w:jc w:val="both"/>
        <w:rPr>
          <w:rFonts w:ascii="Verdana" w:eastAsia="Verdana" w:hAnsi="Verdana" w:cs="Verdana"/>
          <w:bCs/>
          <w:sz w:val="20"/>
          <w:szCs w:val="20"/>
        </w:rPr>
      </w:pPr>
      <w:r w:rsidRPr="00976438">
        <w:rPr>
          <w:rFonts w:ascii="Verdana" w:eastAsia="Verdana" w:hAnsi="Verdana" w:cs="Verdana"/>
          <w:bCs/>
          <w:sz w:val="20"/>
          <w:szCs w:val="20"/>
        </w:rPr>
        <w:t xml:space="preserve">De lo anterior se infiere que la </w:t>
      </w:r>
      <w:r w:rsidRPr="00976438">
        <w:rPr>
          <w:rFonts w:ascii="Verdana" w:eastAsia="Verdana" w:hAnsi="Verdana" w:cs="Verdana"/>
          <w:bCs/>
          <w:i/>
          <w:iCs/>
          <w:sz w:val="20"/>
          <w:szCs w:val="20"/>
        </w:rPr>
        <w:t>donación</w:t>
      </w:r>
      <w:r w:rsidRPr="00976438">
        <w:rPr>
          <w:rFonts w:ascii="Verdana" w:eastAsia="Verdana" w:hAnsi="Verdana" w:cs="Verdana"/>
          <w:bCs/>
          <w:sz w:val="20"/>
          <w:szCs w:val="20"/>
        </w:rPr>
        <w:t xml:space="preserve"> está tipificada en el Código Civil, en su artículo 1443, catalogándolo como un</w:t>
      </w:r>
      <w:r w:rsidRPr="00976438">
        <w:rPr>
          <w:rFonts w:ascii="Verdana" w:eastAsia="Verdana" w:hAnsi="Verdana" w:cs="Verdana"/>
          <w:bCs/>
          <w:i/>
          <w:iCs/>
          <w:sz w:val="20"/>
          <w:szCs w:val="20"/>
        </w:rPr>
        <w:t xml:space="preserve"> acto</w:t>
      </w:r>
      <w:r w:rsidRPr="00976438">
        <w:rPr>
          <w:rFonts w:ascii="Verdana" w:eastAsia="Verdana" w:hAnsi="Verdana" w:cs="Verdana"/>
          <w:bCs/>
          <w:sz w:val="20"/>
          <w:szCs w:val="20"/>
        </w:rPr>
        <w:t xml:space="preserve"> por el cual una persona transfiere, gratuita e irrevocablemente, una parte de sus bienes a otra persona que la acepta</w:t>
      </w:r>
      <w:r w:rsidRPr="00976438">
        <w:rPr>
          <w:rFonts w:ascii="Verdana" w:eastAsia="Verdana" w:hAnsi="Verdana" w:cs="Verdana"/>
          <w:bCs/>
          <w:i/>
          <w:iCs/>
          <w:sz w:val="20"/>
          <w:szCs w:val="20"/>
        </w:rPr>
        <w:t xml:space="preserve">.  </w:t>
      </w:r>
      <w:r w:rsidRPr="00976438">
        <w:rPr>
          <w:rFonts w:ascii="Verdana" w:eastAsia="Verdana" w:hAnsi="Verdana" w:cs="Verdana"/>
          <w:bCs/>
          <w:sz w:val="20"/>
          <w:szCs w:val="20"/>
        </w:rPr>
        <w:t>Sin embargo, como se observa, el Consejo de Estado critica su acepción, pues –más que un simple “acto”– la donación tiene la naturaleza contractual pues, aunque en la mayoría de los casos imponga obligaciones a una sola de las partes, surge del acuerdo de voluntades.</w:t>
      </w:r>
    </w:p>
    <w:p w14:paraId="49DF075A" w14:textId="2CF88634" w:rsidR="00976438" w:rsidRPr="00976438" w:rsidRDefault="00976438" w:rsidP="008D5262">
      <w:pPr>
        <w:spacing w:after="0" w:line="240" w:lineRule="auto"/>
        <w:jc w:val="both"/>
        <w:rPr>
          <w:rFonts w:ascii="Verdana" w:eastAsia="Verdana" w:hAnsi="Verdana" w:cs="Verdana"/>
          <w:bCs/>
          <w:sz w:val="20"/>
          <w:szCs w:val="20"/>
        </w:rPr>
      </w:pPr>
      <w:r w:rsidRPr="00976438">
        <w:rPr>
          <w:rFonts w:ascii="Verdana" w:eastAsia="Verdana" w:hAnsi="Verdana" w:cs="Verdana"/>
          <w:bCs/>
          <w:sz w:val="20"/>
          <w:szCs w:val="20"/>
        </w:rPr>
        <w:t xml:space="preserve"> </w:t>
      </w:r>
    </w:p>
    <w:p w14:paraId="0C29D71F" w14:textId="77777777" w:rsidR="00976438" w:rsidRPr="00976438" w:rsidRDefault="00976438" w:rsidP="008D5262">
      <w:pPr>
        <w:spacing w:after="0" w:line="240" w:lineRule="auto"/>
        <w:jc w:val="both"/>
        <w:rPr>
          <w:rFonts w:ascii="Verdana" w:eastAsia="Verdana" w:hAnsi="Verdana" w:cs="Verdana"/>
          <w:bCs/>
          <w:sz w:val="20"/>
          <w:szCs w:val="20"/>
        </w:rPr>
      </w:pPr>
      <w:r w:rsidRPr="00976438">
        <w:rPr>
          <w:rFonts w:ascii="Verdana" w:eastAsia="Verdana" w:hAnsi="Verdana" w:cs="Verdana"/>
          <w:bCs/>
          <w:sz w:val="20"/>
          <w:szCs w:val="20"/>
        </w:rPr>
        <w:t xml:space="preserve">Por su parte, GUZMÁN BRITO define la </w:t>
      </w:r>
      <w:r w:rsidRPr="00976438">
        <w:rPr>
          <w:rFonts w:ascii="Verdana" w:eastAsia="Verdana" w:hAnsi="Verdana" w:cs="Verdana"/>
          <w:bCs/>
          <w:i/>
          <w:iCs/>
          <w:sz w:val="20"/>
          <w:szCs w:val="20"/>
        </w:rPr>
        <w:t>donación</w:t>
      </w:r>
      <w:r w:rsidRPr="00976438">
        <w:rPr>
          <w:rFonts w:ascii="Verdana" w:eastAsia="Verdana" w:hAnsi="Verdana" w:cs="Verdana"/>
          <w:bCs/>
          <w:sz w:val="20"/>
          <w:szCs w:val="20"/>
        </w:rPr>
        <w:t xml:space="preserve"> como “[…] </w:t>
      </w:r>
      <w:r w:rsidRPr="00976438">
        <w:rPr>
          <w:rFonts w:ascii="Verdana" w:eastAsia="Verdana" w:hAnsi="Verdana" w:cs="Verdana"/>
          <w:bCs/>
          <w:i/>
          <w:iCs/>
          <w:sz w:val="20"/>
          <w:szCs w:val="20"/>
        </w:rPr>
        <w:t>la atribución convencional dispositiva entre vivos, no debida, gratuita y lucrativa de una cosa corporal o incorporal o de un valor, que disminuyendo el patrimonio del donante y aumenta el del donatario</w:t>
      </w:r>
      <w:r w:rsidRPr="00976438">
        <w:rPr>
          <w:rFonts w:ascii="Verdana" w:eastAsia="Verdana" w:hAnsi="Verdana" w:cs="Verdana"/>
          <w:bCs/>
          <w:sz w:val="20"/>
          <w:szCs w:val="20"/>
        </w:rPr>
        <w:t xml:space="preserve">”. Este carácter atributivo no es de naturaleza legal –como sucede en la adjudicación del tesoro encontrado en terreno ajeno conforme a las reglas del artículo 701 del Código Civil–, no tiene como propósito entregar la mera tenencia de la cosa –como sucede en los contratos de comodato o arrendamiento–, ni se origina en aplicación de las reglas de la sucesión por causa de muerte. </w:t>
      </w:r>
    </w:p>
    <w:p w14:paraId="1AB2E4B2" w14:textId="77777777" w:rsidR="00976438" w:rsidRDefault="00976438" w:rsidP="008D5262">
      <w:pPr>
        <w:spacing w:after="0" w:line="240" w:lineRule="auto"/>
        <w:jc w:val="both"/>
        <w:rPr>
          <w:rFonts w:ascii="Verdana" w:eastAsia="Verdana" w:hAnsi="Verdana" w:cs="Verdana"/>
          <w:b/>
        </w:rPr>
      </w:pPr>
    </w:p>
    <w:p w14:paraId="1BBC8535" w14:textId="73D05752" w:rsidR="007B55DD" w:rsidRPr="007B55DD" w:rsidRDefault="007B55DD" w:rsidP="008D5262">
      <w:pPr>
        <w:spacing w:after="0" w:line="240" w:lineRule="auto"/>
        <w:jc w:val="both"/>
        <w:rPr>
          <w:rFonts w:ascii="Verdana" w:eastAsia="Verdana" w:hAnsi="Verdana" w:cs="Verdana"/>
          <w:b/>
        </w:rPr>
      </w:pPr>
      <w:r w:rsidRPr="007B55DD">
        <w:rPr>
          <w:rFonts w:ascii="Verdana" w:eastAsia="Verdana" w:hAnsi="Verdana" w:cs="Verdana"/>
          <w:b/>
        </w:rPr>
        <w:t>DONACIÓN - Enajenación – Bienes muebles – Bienes Inmuebles</w:t>
      </w:r>
    </w:p>
    <w:p w14:paraId="3207DAAD" w14:textId="77777777" w:rsidR="007B55DD" w:rsidRPr="00976438" w:rsidRDefault="007B55DD" w:rsidP="008D5262">
      <w:pPr>
        <w:spacing w:after="0" w:line="240" w:lineRule="auto"/>
        <w:jc w:val="both"/>
        <w:rPr>
          <w:rFonts w:ascii="Verdana" w:eastAsia="Verdana" w:hAnsi="Verdana" w:cs="Verdana"/>
          <w:bCs/>
          <w:sz w:val="20"/>
          <w:szCs w:val="20"/>
        </w:rPr>
      </w:pPr>
    </w:p>
    <w:p w14:paraId="591C0071" w14:textId="77777777" w:rsidR="00976438" w:rsidRPr="00976438" w:rsidRDefault="00976438" w:rsidP="008D5262">
      <w:pPr>
        <w:spacing w:after="0" w:line="240" w:lineRule="auto"/>
        <w:jc w:val="both"/>
        <w:rPr>
          <w:rFonts w:ascii="Verdana" w:eastAsia="Verdana" w:hAnsi="Verdana" w:cs="Verdana"/>
          <w:bCs/>
          <w:sz w:val="20"/>
          <w:szCs w:val="20"/>
          <w:lang w:val="es-ES"/>
        </w:rPr>
      </w:pPr>
      <w:r w:rsidRPr="00976438">
        <w:rPr>
          <w:rFonts w:ascii="Verdana" w:eastAsia="Verdana" w:hAnsi="Verdana" w:cs="Verdana"/>
          <w:bCs/>
          <w:sz w:val="20"/>
          <w:szCs w:val="20"/>
        </w:rPr>
        <w:t>Respecto del tipo de bienes que pueden ser objeto de donación es importante resaltar, en primer lugar, que e</w:t>
      </w:r>
      <w:r w:rsidRPr="00976438">
        <w:rPr>
          <w:rFonts w:ascii="Verdana" w:eastAsia="Verdana" w:hAnsi="Verdana" w:cs="Verdana"/>
          <w:bCs/>
          <w:sz w:val="20"/>
          <w:szCs w:val="20"/>
          <w:lang w:val="es-ES"/>
        </w:rPr>
        <w:t>l artículo 654 del Código Civil clasifica las cosas corporales en muebles e inmuebles. El artículo 655 define los bienes muebles como los que “</w:t>
      </w:r>
      <w:r w:rsidRPr="00976438">
        <w:rPr>
          <w:rFonts w:ascii="Verdana" w:eastAsia="Verdana" w:hAnsi="Verdana" w:cs="Verdana"/>
          <w:bCs/>
          <w:i/>
          <w:iCs/>
          <w:sz w:val="20"/>
          <w:szCs w:val="20"/>
          <w:lang w:val="es-ES"/>
        </w:rPr>
        <w:t>pueden transportarse de un lugar a otro, sea moviéndose ellas a sí mismas como los animales</w:t>
      </w:r>
      <w:r w:rsidRPr="00976438">
        <w:rPr>
          <w:rFonts w:ascii="Verdana" w:eastAsia="Verdana" w:hAnsi="Verdana" w:cs="Verdana"/>
          <w:bCs/>
          <w:sz w:val="20"/>
          <w:szCs w:val="20"/>
          <w:lang w:val="es-ES"/>
        </w:rPr>
        <w:t xml:space="preserve"> </w:t>
      </w:r>
      <w:r w:rsidRPr="00976438">
        <w:rPr>
          <w:rFonts w:ascii="Verdana" w:eastAsia="Verdana" w:hAnsi="Verdana" w:cs="Verdana"/>
          <w:bCs/>
          <w:sz w:val="20"/>
          <w:szCs w:val="20"/>
          <w:lang w:val="es-ES"/>
        </w:rPr>
        <w:lastRenderedPageBreak/>
        <w:t>(</w:t>
      </w:r>
      <w:r w:rsidRPr="00976438">
        <w:rPr>
          <w:rFonts w:ascii="Verdana" w:eastAsia="Verdana" w:hAnsi="Verdana" w:cs="Verdana"/>
          <w:bCs/>
          <w:i/>
          <w:iCs/>
          <w:sz w:val="20"/>
          <w:szCs w:val="20"/>
          <w:lang w:val="es-ES"/>
        </w:rPr>
        <w:t>que por eso se llaman semovientes), sea que sólo se muevan por una fuerza externa, como las cosas inanimadas”</w:t>
      </w:r>
      <w:r w:rsidRPr="00976438">
        <w:rPr>
          <w:rFonts w:ascii="Verdana" w:eastAsia="Verdana" w:hAnsi="Verdana" w:cs="Verdana"/>
          <w:bCs/>
          <w:sz w:val="20"/>
          <w:szCs w:val="20"/>
          <w:lang w:val="es-ES"/>
        </w:rPr>
        <w:t>, mientras que el artículo 656 define los inmuebles así: “</w:t>
      </w:r>
      <w:r w:rsidRPr="00976438">
        <w:rPr>
          <w:rFonts w:ascii="Verdana" w:eastAsia="Verdana" w:hAnsi="Verdana" w:cs="Verdana"/>
          <w:bCs/>
          <w:i/>
          <w:iCs/>
          <w:sz w:val="20"/>
          <w:szCs w:val="20"/>
          <w:lang w:val="es-ES"/>
        </w:rPr>
        <w:t>Inmuebles o fincas o bienes raíces son las cosas que no pueden transportarse de un lugar a otro; como las tierras y minas, y las que adhieren permanentemente a ellas, como los edificios, los árboles. Las casas y veredas se llaman predios o fundos”.</w:t>
      </w:r>
      <w:r w:rsidRPr="00976438">
        <w:rPr>
          <w:rFonts w:ascii="Verdana" w:eastAsia="Verdana" w:hAnsi="Verdana" w:cs="Verdana"/>
          <w:bCs/>
          <w:sz w:val="20"/>
          <w:szCs w:val="20"/>
          <w:lang w:val="es-ES"/>
        </w:rPr>
        <w:t xml:space="preserve"> No obstante, esta definición se refiere a los inmuebles por naturaleza, pues el Código también considera inmuebles a las cosas que en principio eran muebles, pero que por su destinación o adhesión mutan su categoría. </w:t>
      </w:r>
    </w:p>
    <w:p w14:paraId="720E1D01" w14:textId="77777777" w:rsidR="007B55DD" w:rsidRPr="00976438" w:rsidRDefault="007B55DD" w:rsidP="008D5262">
      <w:pPr>
        <w:spacing w:after="0" w:line="240" w:lineRule="auto"/>
        <w:jc w:val="both"/>
        <w:rPr>
          <w:rFonts w:ascii="Verdana" w:eastAsia="Verdana" w:hAnsi="Verdana" w:cs="Verdana"/>
          <w:b/>
          <w:lang w:val="es-ES"/>
        </w:rPr>
      </w:pPr>
    </w:p>
    <w:p w14:paraId="3E0AA604" w14:textId="77777777" w:rsidR="007B55DD" w:rsidRPr="007B55DD" w:rsidRDefault="007B55DD" w:rsidP="008D5262">
      <w:pPr>
        <w:spacing w:after="0" w:line="240" w:lineRule="auto"/>
        <w:jc w:val="both"/>
        <w:rPr>
          <w:rFonts w:ascii="Verdana" w:eastAsia="Verdana" w:hAnsi="Verdana" w:cs="Verdana"/>
          <w:b/>
        </w:rPr>
      </w:pPr>
      <w:r w:rsidRPr="007B55DD">
        <w:rPr>
          <w:rFonts w:ascii="Verdana" w:eastAsia="Verdana" w:hAnsi="Verdana" w:cs="Verdana"/>
          <w:b/>
        </w:rPr>
        <w:t xml:space="preserve">BIENES PÚBLICOS – Tipos </w:t>
      </w:r>
    </w:p>
    <w:p w14:paraId="5C501C66" w14:textId="77777777" w:rsidR="007B55DD" w:rsidRPr="00CA60C9" w:rsidRDefault="007B55DD" w:rsidP="008D5262">
      <w:pPr>
        <w:spacing w:after="0" w:line="240" w:lineRule="auto"/>
        <w:jc w:val="both"/>
        <w:rPr>
          <w:rFonts w:ascii="Verdana" w:eastAsia="Verdana" w:hAnsi="Verdana" w:cs="Verdana"/>
          <w:bCs/>
          <w:sz w:val="20"/>
          <w:szCs w:val="20"/>
        </w:rPr>
      </w:pPr>
    </w:p>
    <w:p w14:paraId="605A674E" w14:textId="3D4448AA" w:rsidR="00CA60C9" w:rsidRDefault="00CA60C9" w:rsidP="008D5262">
      <w:pPr>
        <w:spacing w:after="0" w:line="240" w:lineRule="auto"/>
        <w:jc w:val="both"/>
        <w:rPr>
          <w:rFonts w:ascii="Verdana" w:eastAsia="Verdana" w:hAnsi="Verdana" w:cs="Verdana"/>
          <w:bCs/>
          <w:sz w:val="20"/>
          <w:szCs w:val="20"/>
          <w:lang w:val="es-MX"/>
        </w:rPr>
      </w:pPr>
      <w:r w:rsidRPr="00CA60C9">
        <w:rPr>
          <w:rFonts w:ascii="Verdana" w:eastAsia="Verdana" w:hAnsi="Verdana" w:cs="Verdana"/>
          <w:bCs/>
          <w:sz w:val="20"/>
          <w:szCs w:val="20"/>
          <w:lang w:val="es-ES"/>
        </w:rPr>
        <w:t>Por otro lado, e</w:t>
      </w:r>
      <w:r w:rsidRPr="00CA60C9">
        <w:rPr>
          <w:rFonts w:ascii="Verdana" w:eastAsia="Verdana" w:hAnsi="Verdana" w:cs="Verdana"/>
          <w:bCs/>
          <w:sz w:val="20"/>
          <w:szCs w:val="20"/>
          <w:lang w:val="es-MX"/>
        </w:rPr>
        <w:t>l artículo 674 del Código Civil define los bienes de dominio público como aquellos que “</w:t>
      </w:r>
      <w:r w:rsidRPr="00CA60C9">
        <w:rPr>
          <w:rFonts w:ascii="Verdana" w:eastAsia="Verdana" w:hAnsi="Verdana" w:cs="Verdana"/>
          <w:bCs/>
          <w:i/>
          <w:iCs/>
          <w:sz w:val="20"/>
          <w:szCs w:val="20"/>
          <w:lang w:val="es-MX"/>
        </w:rPr>
        <w:t xml:space="preserve">[…] pertenece a todos los habitantes de un Territorio, como el de calles, plazas, puentes y caminos, se llaman bienes de la Unión o de </w:t>
      </w:r>
      <w:proofErr w:type="gramStart"/>
      <w:r w:rsidRPr="00CA60C9">
        <w:rPr>
          <w:rFonts w:ascii="Verdana" w:eastAsia="Verdana" w:hAnsi="Verdana" w:cs="Verdana"/>
          <w:bCs/>
          <w:i/>
          <w:iCs/>
          <w:sz w:val="20"/>
          <w:szCs w:val="20"/>
          <w:lang w:val="es-MX"/>
        </w:rPr>
        <w:t>uso público o bienes públicos</w:t>
      </w:r>
      <w:proofErr w:type="gramEnd"/>
      <w:r w:rsidRPr="00CA60C9">
        <w:rPr>
          <w:rFonts w:ascii="Verdana" w:eastAsia="Verdana" w:hAnsi="Verdana" w:cs="Verdana"/>
          <w:bCs/>
          <w:i/>
          <w:iCs/>
          <w:sz w:val="20"/>
          <w:szCs w:val="20"/>
          <w:lang w:val="es-MX"/>
        </w:rPr>
        <w:t xml:space="preserve"> del Territorio”. </w:t>
      </w:r>
      <w:r w:rsidRPr="00CA60C9">
        <w:rPr>
          <w:rFonts w:ascii="Verdana" w:eastAsia="Verdana" w:hAnsi="Verdana" w:cs="Verdana"/>
          <w:bCs/>
          <w:sz w:val="20"/>
          <w:szCs w:val="20"/>
          <w:lang w:val="es-MX"/>
        </w:rPr>
        <w:t>Los bienes de dominio público, de acuerdo con la sentencia C- 183 de 2003 de la Corte Constitucional, son “</w:t>
      </w:r>
      <w:r w:rsidRPr="00CA60C9">
        <w:rPr>
          <w:rFonts w:ascii="Verdana" w:eastAsia="Verdana" w:hAnsi="Verdana" w:cs="Verdana"/>
          <w:bCs/>
          <w:i/>
          <w:iCs/>
          <w:sz w:val="20"/>
          <w:szCs w:val="20"/>
          <w:lang w:val="es-MX"/>
        </w:rPr>
        <w:t>el conjunto de bienes que la administración afecta al uso directo de la comunidad o que lo utiliza para servir a la sociedad”</w:t>
      </w:r>
      <w:r w:rsidRPr="00CA60C9">
        <w:rPr>
          <w:rFonts w:ascii="Verdana" w:eastAsia="Verdana" w:hAnsi="Verdana" w:cs="Verdana"/>
          <w:bCs/>
          <w:sz w:val="20"/>
          <w:szCs w:val="20"/>
          <w:lang w:val="es-MX"/>
        </w:rPr>
        <w:t xml:space="preserve">. Dentro de esta categoría se encuentran los bienes fiscales y los bienes de uso público. Los bienes fiscales, de acuerdo con el Alto Tribunal Constitucional, están destinados a la prestación de servicios públicos que la Administración utiliza de forma inmediata, como los edificios donde funcionan las oficinas públicas. </w:t>
      </w:r>
    </w:p>
    <w:p w14:paraId="496B80EF" w14:textId="77777777" w:rsidR="00CA60C9" w:rsidRPr="00CA60C9" w:rsidRDefault="00CA60C9" w:rsidP="008D5262">
      <w:pPr>
        <w:spacing w:after="0" w:line="240" w:lineRule="auto"/>
        <w:jc w:val="both"/>
        <w:rPr>
          <w:rFonts w:ascii="Verdana" w:eastAsia="Verdana" w:hAnsi="Verdana" w:cs="Verdana"/>
          <w:bCs/>
          <w:i/>
          <w:iCs/>
          <w:sz w:val="20"/>
          <w:szCs w:val="20"/>
          <w:lang w:val="es-MX"/>
        </w:rPr>
      </w:pPr>
    </w:p>
    <w:p w14:paraId="073A006B" w14:textId="6215860C" w:rsidR="00CA60C9" w:rsidRDefault="00CA60C9" w:rsidP="008D5262">
      <w:pPr>
        <w:spacing w:after="0" w:line="240" w:lineRule="auto"/>
        <w:jc w:val="both"/>
        <w:rPr>
          <w:rFonts w:ascii="Verdana" w:eastAsia="Verdana" w:hAnsi="Verdana" w:cs="Verdana"/>
          <w:bCs/>
          <w:sz w:val="20"/>
          <w:szCs w:val="20"/>
          <w:vertAlign w:val="superscript"/>
          <w:lang w:val="es-MX"/>
        </w:rPr>
      </w:pPr>
      <w:r w:rsidRPr="00CA60C9">
        <w:rPr>
          <w:rFonts w:ascii="Verdana" w:eastAsia="Verdana" w:hAnsi="Verdana" w:cs="Verdana"/>
          <w:bCs/>
          <w:sz w:val="20"/>
          <w:szCs w:val="20"/>
          <w:lang w:val="es-MX"/>
        </w:rPr>
        <w:t xml:space="preserve">A su vez, el Consejo de Estado, define los bienes fiscales como </w:t>
      </w:r>
      <w:r w:rsidRPr="00CA60C9">
        <w:rPr>
          <w:rFonts w:ascii="Verdana" w:eastAsia="Verdana" w:hAnsi="Verdana" w:cs="Verdana"/>
          <w:bCs/>
          <w:i/>
          <w:iCs/>
          <w:sz w:val="20"/>
          <w:szCs w:val="20"/>
          <w:lang w:val="es-MX"/>
        </w:rPr>
        <w:t>“aquellos que pertenecen  a sujetos de derecho público de cualquier naturaleza u orden y que, por lo general, están destinados al cumplimiento de las funciones públicas o servicios públicos, tales como los terrenos, edificios, fincas, granjas, equipos, enseres, acciones, rentas y bienes del presupuesto, etc., es decir, afectos al desarrollo de su misión y utilizados para sus actividades, o pueden constituir una reserva patrimonial para fines de utilidad común. Su dominio corresponde a la República, pero su uso no pertenece generalmente a los habitantes, de manera que el Estado los posee y los administra en forma similar a como lo hacen los particulares con los bienes de su propiedad”</w:t>
      </w:r>
      <w:r w:rsidRPr="00CA60C9">
        <w:rPr>
          <w:rFonts w:ascii="Verdana" w:eastAsia="Verdana" w:hAnsi="Verdana" w:cs="Verdana"/>
          <w:bCs/>
          <w:sz w:val="20"/>
          <w:szCs w:val="20"/>
          <w:vertAlign w:val="superscript"/>
          <w:lang w:val="es-MX"/>
        </w:rPr>
        <w:t>.</w:t>
      </w:r>
      <w:r w:rsidRPr="00CA60C9">
        <w:rPr>
          <w:rFonts w:ascii="Verdana" w:eastAsia="Verdana" w:hAnsi="Verdana" w:cs="Verdana"/>
          <w:bCs/>
          <w:sz w:val="20"/>
          <w:szCs w:val="20"/>
          <w:lang w:val="es-MX"/>
        </w:rPr>
        <w:t xml:space="preserve"> De esta forma, sobre los bienes fiscales, a pesar de estar destinados a la prestación de servicios públicos, las Entidades Estatales tienen la facultad de disponer de ellos a través de un acto jurídico como la compraventa, la donación, el arriendo, entre otros.</w:t>
      </w:r>
      <w:r w:rsidRPr="00CA60C9">
        <w:rPr>
          <w:rFonts w:ascii="Verdana" w:eastAsia="Verdana" w:hAnsi="Verdana" w:cs="Verdana"/>
          <w:bCs/>
          <w:sz w:val="20"/>
          <w:szCs w:val="20"/>
          <w:vertAlign w:val="superscript"/>
          <w:lang w:val="es-MX"/>
        </w:rPr>
        <w:t xml:space="preserve"> </w:t>
      </w:r>
    </w:p>
    <w:p w14:paraId="3A2AF415" w14:textId="77777777" w:rsidR="00CA60C9" w:rsidRPr="00CA60C9" w:rsidRDefault="00CA60C9" w:rsidP="008D5262">
      <w:pPr>
        <w:spacing w:after="0" w:line="240" w:lineRule="auto"/>
        <w:jc w:val="both"/>
        <w:rPr>
          <w:rFonts w:ascii="Verdana" w:eastAsia="Verdana" w:hAnsi="Verdana" w:cs="Verdana"/>
          <w:bCs/>
          <w:sz w:val="20"/>
          <w:szCs w:val="20"/>
          <w:lang w:val="es-MX"/>
        </w:rPr>
      </w:pPr>
    </w:p>
    <w:p w14:paraId="572EBD9F" w14:textId="6EC47145" w:rsidR="00CA60C9" w:rsidRPr="00CA60C9" w:rsidRDefault="00CA60C9" w:rsidP="008D5262">
      <w:pPr>
        <w:spacing w:after="0" w:line="240" w:lineRule="auto"/>
        <w:jc w:val="both"/>
        <w:rPr>
          <w:rFonts w:ascii="Verdana" w:eastAsia="Verdana" w:hAnsi="Verdana" w:cs="Verdana"/>
          <w:bCs/>
          <w:sz w:val="20"/>
          <w:szCs w:val="20"/>
          <w:lang w:val="es-MX"/>
        </w:rPr>
      </w:pPr>
      <w:r w:rsidRPr="00CA60C9">
        <w:rPr>
          <w:rFonts w:ascii="Verdana" w:eastAsia="Verdana" w:hAnsi="Verdana" w:cs="Verdana"/>
          <w:bCs/>
          <w:sz w:val="20"/>
          <w:szCs w:val="20"/>
          <w:lang w:val="es-MX"/>
        </w:rPr>
        <w:t xml:space="preserve">Acerca de los bienes de uso público, el Consejo de Estado los define como </w:t>
      </w:r>
      <w:r w:rsidRPr="00CA60C9">
        <w:rPr>
          <w:rFonts w:ascii="Verdana" w:eastAsia="Verdana" w:hAnsi="Verdana" w:cs="Verdana"/>
          <w:bCs/>
          <w:i/>
          <w:iCs/>
          <w:sz w:val="20"/>
          <w:szCs w:val="20"/>
          <w:lang w:val="es-MX"/>
        </w:rPr>
        <w:t>“aquellos cuya titularidad pertenece al Estado y se hallan destinados al uso, goce y disfrute de todos los habitantes del territorio, están sometidos al régimen de derecho público y sobre ellos el Estado ejerce derechos de administración y de policía, con miras a garantizar y proteger su uso y goce común, por motivos de interés general”.</w:t>
      </w:r>
      <w:r w:rsidRPr="00CA60C9">
        <w:rPr>
          <w:rFonts w:ascii="Verdana" w:eastAsia="Verdana" w:hAnsi="Verdana" w:cs="Verdana"/>
          <w:bCs/>
          <w:sz w:val="20"/>
          <w:szCs w:val="20"/>
          <w:lang w:val="es-MX"/>
        </w:rPr>
        <w:t xml:space="preserve"> Por lo tanto, como estos bienes están destinados al uso de los habitantes de un territorio, el Estado no puede disponer de ellos por encontrarse fuera del comercio.</w:t>
      </w:r>
      <w:r w:rsidRPr="00CA60C9">
        <w:rPr>
          <w:rFonts w:ascii="Verdana" w:eastAsia="Verdana" w:hAnsi="Verdana" w:cs="Verdana"/>
          <w:bCs/>
          <w:sz w:val="20"/>
          <w:szCs w:val="20"/>
          <w:vertAlign w:val="superscript"/>
          <w:lang w:val="es-MX"/>
        </w:rPr>
        <w:t xml:space="preserve"> </w:t>
      </w:r>
      <w:r w:rsidRPr="00CA60C9">
        <w:rPr>
          <w:rFonts w:ascii="Verdana" w:eastAsia="Verdana" w:hAnsi="Verdana" w:cs="Verdana"/>
          <w:bCs/>
          <w:sz w:val="20"/>
          <w:szCs w:val="20"/>
          <w:lang w:val="es-MX"/>
        </w:rPr>
        <w:t xml:space="preserve"> En ese orden de ideas, los bienes sobre los cuales puede recaer el acto de enajenación a título gratuito (donación) son los bienes fiscales muebles o inmuebles y no los bienes de uso público.</w:t>
      </w:r>
    </w:p>
    <w:p w14:paraId="25953266" w14:textId="77777777" w:rsidR="007B55DD" w:rsidRPr="00CA60C9" w:rsidRDefault="007B55DD" w:rsidP="008D5262">
      <w:pPr>
        <w:spacing w:after="0" w:line="240" w:lineRule="auto"/>
        <w:jc w:val="both"/>
        <w:rPr>
          <w:rFonts w:ascii="Verdana" w:eastAsia="Verdana" w:hAnsi="Verdana" w:cs="Verdana"/>
          <w:b/>
          <w:lang w:val="es-MX"/>
        </w:rPr>
      </w:pPr>
    </w:p>
    <w:p w14:paraId="473A3C55" w14:textId="77777777" w:rsidR="007B55DD" w:rsidRPr="007B55DD" w:rsidRDefault="007B55DD" w:rsidP="008D5262">
      <w:pPr>
        <w:spacing w:after="0" w:line="240" w:lineRule="auto"/>
        <w:jc w:val="both"/>
        <w:rPr>
          <w:rFonts w:ascii="Verdana" w:eastAsia="Verdana" w:hAnsi="Verdana" w:cs="Verdana"/>
          <w:b/>
        </w:rPr>
      </w:pPr>
      <w:r w:rsidRPr="007B55DD">
        <w:rPr>
          <w:rFonts w:ascii="Verdana" w:eastAsia="Verdana" w:hAnsi="Verdana" w:cs="Verdana"/>
          <w:b/>
        </w:rPr>
        <w:lastRenderedPageBreak/>
        <w:t xml:space="preserve">FACULTAD DE CELEBRAR CONTRATO DE DONACIÓN ENTRE ENTIDADES ESTATALES - Desarrollo Jurisprudencial – No aplica prohibición del Artículo 355 Constitucional </w:t>
      </w:r>
    </w:p>
    <w:p w14:paraId="6C951758" w14:textId="77777777" w:rsidR="007B55DD" w:rsidRPr="00BF25AE" w:rsidRDefault="007B55DD" w:rsidP="008D5262">
      <w:pPr>
        <w:spacing w:after="0" w:line="240" w:lineRule="auto"/>
        <w:jc w:val="both"/>
        <w:rPr>
          <w:rFonts w:ascii="Verdana" w:eastAsia="Verdana" w:hAnsi="Verdana" w:cs="Verdana"/>
          <w:b/>
        </w:rPr>
      </w:pPr>
    </w:p>
    <w:p w14:paraId="38A1BFB2" w14:textId="77777777" w:rsidR="00BF25AE" w:rsidRPr="00BF25AE" w:rsidRDefault="00BF25AE" w:rsidP="008D5262">
      <w:pPr>
        <w:spacing w:after="0" w:line="240" w:lineRule="auto"/>
        <w:jc w:val="both"/>
        <w:rPr>
          <w:rFonts w:ascii="Verdana" w:eastAsia="Verdana" w:hAnsi="Verdana" w:cs="Verdana"/>
          <w:bCs/>
          <w:sz w:val="20"/>
          <w:szCs w:val="20"/>
        </w:rPr>
      </w:pPr>
      <w:r w:rsidRPr="00BF25AE">
        <w:rPr>
          <w:rFonts w:ascii="Verdana" w:eastAsia="Verdana" w:hAnsi="Verdana" w:cs="Verdana"/>
          <w:bCs/>
          <w:sz w:val="20"/>
          <w:szCs w:val="20"/>
        </w:rPr>
        <w:t>En síntesis, se reitera que, las entidades estatales están limitadas para actuar como donantes en virtud de la restricción establecida en el artículo 355 de la Constitución Política, la cual prohíbe la entrega de auxilios o donaciones a personas naturales o jurídicas de derecho privado. Sin embargo, esta prohibición no se extiende a las donaciones efectuadas entre entidades públicas, por lo que tales actos resultan jurídicamente procedentes cuando se otorgan entre sujetos que hacen parte de la administración pública.</w:t>
      </w:r>
    </w:p>
    <w:p w14:paraId="54B696F0" w14:textId="77777777" w:rsidR="00BF25AE" w:rsidRPr="007B55DD" w:rsidRDefault="00BF25AE" w:rsidP="008D5262">
      <w:pPr>
        <w:spacing w:after="0" w:line="240" w:lineRule="auto"/>
        <w:jc w:val="both"/>
        <w:rPr>
          <w:rFonts w:ascii="Verdana" w:eastAsia="Verdana" w:hAnsi="Verdana" w:cs="Verdana"/>
          <w:b/>
        </w:rPr>
      </w:pPr>
    </w:p>
    <w:p w14:paraId="7ACFB533" w14:textId="77777777" w:rsidR="007B55DD" w:rsidRPr="007B55DD" w:rsidRDefault="007B55DD" w:rsidP="008D5262">
      <w:pPr>
        <w:spacing w:after="0" w:line="240" w:lineRule="auto"/>
        <w:jc w:val="both"/>
        <w:rPr>
          <w:rFonts w:ascii="Verdana" w:eastAsia="Verdana" w:hAnsi="Verdana" w:cs="Verdana"/>
          <w:b/>
        </w:rPr>
      </w:pPr>
      <w:r w:rsidRPr="007B55DD">
        <w:rPr>
          <w:rFonts w:ascii="Verdana" w:eastAsia="Verdana" w:hAnsi="Verdana" w:cs="Verdana"/>
          <w:b/>
        </w:rPr>
        <w:t xml:space="preserve">DONACIÓN – Prohibición – Artículo 355 Constitucional </w:t>
      </w:r>
    </w:p>
    <w:p w14:paraId="51AB4BB6" w14:textId="77777777" w:rsidR="007B55DD" w:rsidRDefault="007B55DD" w:rsidP="008D5262">
      <w:pPr>
        <w:spacing w:after="0" w:line="240" w:lineRule="auto"/>
        <w:jc w:val="both"/>
        <w:rPr>
          <w:rFonts w:ascii="Verdana" w:eastAsia="Verdana" w:hAnsi="Verdana" w:cs="Verdana"/>
          <w:b/>
        </w:rPr>
      </w:pPr>
    </w:p>
    <w:p w14:paraId="57D619D9" w14:textId="18E7363F" w:rsidR="00BF25AE" w:rsidRDefault="00BF25AE" w:rsidP="008D5262">
      <w:pPr>
        <w:spacing w:after="0" w:line="240" w:lineRule="auto"/>
        <w:jc w:val="both"/>
        <w:rPr>
          <w:rFonts w:ascii="Verdana" w:eastAsia="Verdana" w:hAnsi="Verdana" w:cs="Verdana"/>
          <w:bCs/>
          <w:sz w:val="20"/>
          <w:szCs w:val="20"/>
        </w:rPr>
      </w:pPr>
      <w:r w:rsidRPr="00BF25AE">
        <w:rPr>
          <w:rFonts w:ascii="Verdana" w:eastAsia="Verdana" w:hAnsi="Verdana" w:cs="Verdana"/>
          <w:bCs/>
          <w:sz w:val="20"/>
          <w:szCs w:val="20"/>
        </w:rPr>
        <w:t xml:space="preserve">Ahora bien, es importante precisar que el artículo 355 de la Constitución Política establece una restricción: “Ninguna de las ramas u órganos del Poder Público podrá decretar auxilios o donaciones en favor de personas naturales o jurídicas de </w:t>
      </w:r>
      <w:r w:rsidRPr="00BF25AE">
        <w:rPr>
          <w:rFonts w:ascii="Verdana" w:eastAsia="Verdana" w:hAnsi="Verdana" w:cs="Verdana"/>
          <w:bCs/>
          <w:i/>
          <w:iCs/>
          <w:sz w:val="20"/>
          <w:szCs w:val="20"/>
        </w:rPr>
        <w:t>derecho privado</w:t>
      </w:r>
      <w:r w:rsidRPr="00BF25AE">
        <w:rPr>
          <w:rFonts w:ascii="Verdana" w:eastAsia="Verdana" w:hAnsi="Verdana" w:cs="Verdana"/>
          <w:bCs/>
          <w:sz w:val="20"/>
          <w:szCs w:val="20"/>
        </w:rPr>
        <w:t>”. Sin embargo, no se extendieron los efectos de esta prohibición a las donaciones en las cuales las entidades públicas actuaban en calidad de donatarias. Este aspecto fue estudiado por el Consejo de Estado recientemente, en Concepto del 11 de octubre de 2022, donde se resolvía la inquietud acerca de si una empresa industrial y comercial del Estado, no sometida al régimen contractual general -Ley 80 de 1993-, podía dar y recibir en donación hacía y desde entidades públicas, bienes públicos -muebles e inmuebles-.</w:t>
      </w:r>
    </w:p>
    <w:p w14:paraId="3A639210" w14:textId="77777777" w:rsidR="00BF25AE" w:rsidRPr="00BF25AE" w:rsidRDefault="00BF25AE" w:rsidP="008D5262">
      <w:pPr>
        <w:spacing w:after="0" w:line="240" w:lineRule="auto"/>
        <w:jc w:val="both"/>
        <w:rPr>
          <w:rFonts w:ascii="Verdana" w:eastAsia="Verdana" w:hAnsi="Verdana" w:cs="Verdana"/>
          <w:bCs/>
          <w:sz w:val="20"/>
          <w:szCs w:val="20"/>
        </w:rPr>
      </w:pPr>
    </w:p>
    <w:p w14:paraId="014146A2" w14:textId="77777777" w:rsidR="007B55DD" w:rsidRPr="007B55DD" w:rsidRDefault="007B55DD" w:rsidP="008D5262">
      <w:pPr>
        <w:spacing w:after="0" w:line="240" w:lineRule="auto"/>
        <w:jc w:val="both"/>
        <w:rPr>
          <w:rFonts w:ascii="Verdana" w:eastAsia="Verdana" w:hAnsi="Verdana" w:cs="Verdana"/>
          <w:b/>
        </w:rPr>
      </w:pPr>
      <w:r w:rsidRPr="007B55DD">
        <w:rPr>
          <w:rFonts w:ascii="Verdana" w:eastAsia="Verdana" w:hAnsi="Verdana" w:cs="Verdana"/>
          <w:b/>
        </w:rPr>
        <w:t xml:space="preserve">AUXILIOS Y DONACIONES – Jurisprudencia – Corte Constitucional </w:t>
      </w:r>
    </w:p>
    <w:p w14:paraId="59226C40" w14:textId="77777777" w:rsidR="007B55DD" w:rsidRPr="007B55DD" w:rsidRDefault="007B55DD" w:rsidP="008D5262">
      <w:pPr>
        <w:spacing w:after="0" w:line="240" w:lineRule="auto"/>
        <w:jc w:val="both"/>
        <w:rPr>
          <w:rFonts w:ascii="Verdana" w:eastAsia="Verdana" w:hAnsi="Verdana" w:cs="Verdana"/>
          <w:b/>
        </w:rPr>
      </w:pPr>
    </w:p>
    <w:p w14:paraId="58519740" w14:textId="77777777" w:rsidR="00BF25AE" w:rsidRPr="00BF25AE" w:rsidRDefault="00BF25AE" w:rsidP="008D5262">
      <w:pPr>
        <w:spacing w:after="0" w:line="240" w:lineRule="auto"/>
        <w:jc w:val="both"/>
        <w:rPr>
          <w:rFonts w:ascii="Verdana" w:eastAsia="Verdana" w:hAnsi="Verdana" w:cs="Verdana"/>
          <w:sz w:val="20"/>
          <w:szCs w:val="20"/>
        </w:rPr>
      </w:pPr>
      <w:r w:rsidRPr="00BF25AE">
        <w:rPr>
          <w:rFonts w:ascii="Verdana" w:eastAsia="Verdana" w:hAnsi="Verdana" w:cs="Verdana"/>
          <w:sz w:val="20"/>
          <w:szCs w:val="20"/>
        </w:rPr>
        <w:t xml:space="preserve">En consecuencia, las entidades públicas no pueden realizar donaciones de bienes muebles a favor de particulares, dado que el artículo 355 de la Constitución Política prohíbe la entrega de auxilios o donaciones a personas naturales o jurídicas de derecho privado. Esta restricción busca asegurar la correcta destinación de los recursos públicos y evitar transferencias que no respondan a fines estatales legítimos. Por tanto, se reitera que el artículo 355 de la Constitución Política de Colombia prohibió en su inciso primero cualquier tipo de auxilio o donación por parte del Estado a personas naturales o jurídicas de derecho privado. Sin embargo; para la Corte Constitucional la prohibición de la que trata este artículo se materializa cuando se registre al menos uno de los siguientes eventos: </w:t>
      </w:r>
    </w:p>
    <w:p w14:paraId="4D2466FD" w14:textId="77777777" w:rsidR="00BF25AE" w:rsidRPr="00BF25AE" w:rsidRDefault="00BF25AE" w:rsidP="008D5262">
      <w:pPr>
        <w:spacing w:after="0" w:line="240" w:lineRule="auto"/>
        <w:jc w:val="both"/>
        <w:rPr>
          <w:rFonts w:ascii="Verdana" w:eastAsia="Verdana" w:hAnsi="Verdana" w:cs="Verdana"/>
          <w:sz w:val="20"/>
          <w:szCs w:val="20"/>
        </w:rPr>
      </w:pPr>
    </w:p>
    <w:p w14:paraId="088FD19A" w14:textId="77777777" w:rsidR="00BF25AE" w:rsidRPr="00BF25AE" w:rsidRDefault="00BF25AE" w:rsidP="008D5262">
      <w:pPr>
        <w:spacing w:after="0" w:line="240" w:lineRule="auto"/>
        <w:jc w:val="both"/>
        <w:rPr>
          <w:rFonts w:ascii="Verdana" w:eastAsia="Verdana" w:hAnsi="Verdana" w:cs="Verdana"/>
          <w:sz w:val="20"/>
          <w:szCs w:val="20"/>
        </w:rPr>
      </w:pPr>
      <w:r w:rsidRPr="00BF25AE">
        <w:rPr>
          <w:rFonts w:ascii="Verdana" w:eastAsia="Verdana" w:hAnsi="Verdana" w:cs="Verdana"/>
          <w:sz w:val="20"/>
          <w:szCs w:val="20"/>
        </w:rPr>
        <w:t xml:space="preserve">i) se omita dar aplicación al principio presupuestal de legalidad del gasto; </w:t>
      </w:r>
      <w:proofErr w:type="spellStart"/>
      <w:r w:rsidRPr="00BF25AE">
        <w:rPr>
          <w:rFonts w:ascii="Verdana" w:eastAsia="Verdana" w:hAnsi="Verdana" w:cs="Verdana"/>
          <w:sz w:val="20"/>
          <w:szCs w:val="20"/>
        </w:rPr>
        <w:t>ii</w:t>
      </w:r>
      <w:proofErr w:type="spellEnd"/>
      <w:r w:rsidRPr="00BF25AE">
        <w:rPr>
          <w:rFonts w:ascii="Verdana" w:eastAsia="Verdana" w:hAnsi="Verdana" w:cs="Verdana"/>
          <w:sz w:val="20"/>
          <w:szCs w:val="20"/>
        </w:rPr>
        <w:t xml:space="preserve">) la ley que crea la subvención o auxilio en desarrollo de los artículos 334 y siguientes de la C.P. o desarrolla las subvenciones autorizadas directamente por la Constitución Política, omita determinar de manera concreta y explícita su finalidad, destinatarios, alcances materiales y temporales, condiciones y criterios de asignación, publicidad e impugnación, así como los límites a la libertad económica; </w:t>
      </w:r>
      <w:proofErr w:type="spellStart"/>
      <w:r w:rsidRPr="00BF25AE">
        <w:rPr>
          <w:rFonts w:ascii="Verdana" w:eastAsia="Verdana" w:hAnsi="Verdana" w:cs="Verdana"/>
          <w:sz w:val="20"/>
          <w:szCs w:val="20"/>
        </w:rPr>
        <w:t>iii</w:t>
      </w:r>
      <w:proofErr w:type="spellEnd"/>
      <w:r w:rsidRPr="00BF25AE">
        <w:rPr>
          <w:rFonts w:ascii="Verdana" w:eastAsia="Verdana" w:hAnsi="Verdana" w:cs="Verdana"/>
          <w:sz w:val="20"/>
          <w:szCs w:val="20"/>
        </w:rPr>
        <w:t xml:space="preserve">) la asignación obedezca a criterios de mera liberalidad, es decir, no se encuadre en una política pública reflejada en el Plan Nacional de Desarrollo o en los planes seccionales de desarrollo; </w:t>
      </w:r>
      <w:proofErr w:type="spellStart"/>
      <w:r w:rsidRPr="00BF25AE">
        <w:rPr>
          <w:rFonts w:ascii="Verdana" w:eastAsia="Verdana" w:hAnsi="Verdana" w:cs="Verdana"/>
          <w:sz w:val="20"/>
          <w:szCs w:val="20"/>
        </w:rPr>
        <w:t>iv</w:t>
      </w:r>
      <w:proofErr w:type="spellEnd"/>
      <w:r w:rsidRPr="00BF25AE">
        <w:rPr>
          <w:rFonts w:ascii="Verdana" w:eastAsia="Verdana" w:hAnsi="Verdana" w:cs="Verdana"/>
          <w:sz w:val="20"/>
          <w:szCs w:val="20"/>
        </w:rPr>
        <w:t xml:space="preserve">) cuando </w:t>
      </w:r>
      <w:r w:rsidRPr="00BF25AE">
        <w:rPr>
          <w:rFonts w:ascii="Verdana" w:eastAsia="Verdana" w:hAnsi="Verdana" w:cs="Verdana"/>
          <w:sz w:val="20"/>
          <w:szCs w:val="20"/>
        </w:rPr>
        <w:lastRenderedPageBreak/>
        <w:t xml:space="preserve">el costo del subsidio para el Estado sea mayor que el beneficio social que se obtiene a partir de su implementación o cuando el auxilio o subsidio sólo beneficie a un grupo de interés sin que reporte beneficios a la sociedad en su conjunto o contribuya a ampliar las diferencias sociales, v) cuando la asignación de recursos públicos no contribuya a fortalecer la capacidad de acceso de los más pobres a los bienes y servicios públicos esenciales, en la medida en que se entreguen a quienes menos lo necesitan o menos lo merecen; </w:t>
      </w:r>
      <w:proofErr w:type="spellStart"/>
      <w:r w:rsidRPr="00BF25AE">
        <w:rPr>
          <w:rFonts w:ascii="Verdana" w:eastAsia="Verdana" w:hAnsi="Verdana" w:cs="Verdana"/>
          <w:sz w:val="20"/>
          <w:szCs w:val="20"/>
        </w:rPr>
        <w:t>iv</w:t>
      </w:r>
      <w:proofErr w:type="spellEnd"/>
      <w:r w:rsidRPr="00BF25AE">
        <w:rPr>
          <w:rFonts w:ascii="Verdana" w:eastAsia="Verdana" w:hAnsi="Verdana" w:cs="Verdana"/>
          <w:sz w:val="20"/>
          <w:szCs w:val="20"/>
        </w:rPr>
        <w:t xml:space="preserve">) cuando el subsidio tenga vocación de permanencia convirtiéndose en una carga al presupuesto público, en la medida que el subsidio o auxilio está llamado a producir efectos inmediatos dentro de una determinada coyuntura económica, de manera que una vocación de permanencia indica que la situación o sector al cual se dirige requiere de otras y más profundas medidas estructurales; y </w:t>
      </w:r>
      <w:proofErr w:type="spellStart"/>
      <w:r w:rsidRPr="00BF25AE">
        <w:rPr>
          <w:rFonts w:ascii="Verdana" w:eastAsia="Verdana" w:hAnsi="Verdana" w:cs="Verdana"/>
          <w:sz w:val="20"/>
          <w:szCs w:val="20"/>
        </w:rPr>
        <w:t>vii</w:t>
      </w:r>
      <w:proofErr w:type="spellEnd"/>
      <w:r w:rsidRPr="00BF25AE">
        <w:rPr>
          <w:rFonts w:ascii="Verdana" w:eastAsia="Verdana" w:hAnsi="Verdana" w:cs="Verdana"/>
          <w:sz w:val="20"/>
          <w:szCs w:val="20"/>
        </w:rPr>
        <w:t>) cuando el subsidio entrañe la figura de la desviación de poder, esto es, cuando el incentivo se cree con un propósito distinto de aquel para el cual aparentemente fue creado”.</w:t>
      </w:r>
    </w:p>
    <w:p w14:paraId="1068C4AF" w14:textId="77777777" w:rsidR="00BF25AE" w:rsidRPr="00BF25AE" w:rsidRDefault="00BF25AE" w:rsidP="008D5262">
      <w:pPr>
        <w:spacing w:after="0" w:line="240" w:lineRule="auto"/>
        <w:jc w:val="both"/>
        <w:rPr>
          <w:rFonts w:ascii="Verdana" w:eastAsia="Verdana" w:hAnsi="Verdana" w:cs="Verdana"/>
          <w:sz w:val="20"/>
          <w:szCs w:val="20"/>
        </w:rPr>
      </w:pPr>
    </w:p>
    <w:p w14:paraId="1E4E28D8" w14:textId="77777777" w:rsidR="00BF25AE" w:rsidRPr="00BF25AE" w:rsidRDefault="00BF25AE" w:rsidP="008D5262">
      <w:pPr>
        <w:spacing w:after="0" w:line="240" w:lineRule="auto"/>
        <w:jc w:val="both"/>
        <w:rPr>
          <w:rFonts w:ascii="Verdana" w:eastAsia="Verdana" w:hAnsi="Verdana" w:cs="Verdana"/>
          <w:sz w:val="20"/>
          <w:szCs w:val="20"/>
        </w:rPr>
      </w:pPr>
      <w:r w:rsidRPr="00BF25AE">
        <w:rPr>
          <w:rFonts w:ascii="Verdana" w:eastAsia="Verdana" w:hAnsi="Verdana" w:cs="Verdana"/>
          <w:sz w:val="20"/>
          <w:szCs w:val="20"/>
        </w:rPr>
        <w:t>Para la Corte Constitucional, serán válidos los auxilios y donaciones que: “(i) alberguen una finalidad estrictamente altruista y benéfica, y no obedezcan a la mera liberalidad del Estado</w:t>
      </w:r>
      <w:r w:rsidRPr="00BF25AE">
        <w:rPr>
          <w:rFonts w:ascii="Verdana" w:eastAsia="Verdana" w:hAnsi="Verdana" w:cs="Verdana"/>
          <w:i/>
          <w:iCs/>
          <w:sz w:val="20"/>
          <w:szCs w:val="20"/>
        </w:rPr>
        <w:t>; la finalidad altruista del auxilio se encuentra autorizada únicamente cuando se dirige a alentar actividades o programas de interés público acordes con el plan de desarrollo y los planes seccionales de desarrollo, a través de entidades sin ánimo de lucro, con las cuales deberá suscribirse, previamente, un contrato</w:t>
      </w:r>
      <w:r w:rsidRPr="00BF25AE">
        <w:rPr>
          <w:rFonts w:ascii="Verdana" w:eastAsia="Verdana" w:hAnsi="Verdana" w:cs="Verdana"/>
          <w:sz w:val="20"/>
          <w:szCs w:val="20"/>
        </w:rPr>
        <w:t>.</w:t>
      </w:r>
      <w:r w:rsidRPr="00BF25AE">
        <w:rPr>
          <w:rFonts w:ascii="Verdana" w:eastAsia="Verdana" w:hAnsi="Verdana" w:cs="Verdana"/>
          <w:i/>
          <w:iCs/>
          <w:sz w:val="20"/>
          <w:szCs w:val="20"/>
        </w:rPr>
        <w:t xml:space="preserve"> </w:t>
      </w:r>
      <w:r w:rsidRPr="00BF25AE">
        <w:rPr>
          <w:rFonts w:ascii="Verdana" w:eastAsia="Verdana" w:hAnsi="Verdana" w:cs="Verdana"/>
          <w:sz w:val="20"/>
          <w:szCs w:val="20"/>
        </w:rPr>
        <w:t>De esta manera se asegura una cierta reciprocidad a favor del Estado; (</w:t>
      </w:r>
      <w:proofErr w:type="spellStart"/>
      <w:r w:rsidRPr="00BF25AE">
        <w:rPr>
          <w:rFonts w:ascii="Verdana" w:eastAsia="Verdana" w:hAnsi="Verdana" w:cs="Verdana"/>
          <w:sz w:val="20"/>
          <w:szCs w:val="20"/>
        </w:rPr>
        <w:t>ii</w:t>
      </w:r>
      <w:proofErr w:type="spellEnd"/>
      <w:r w:rsidRPr="00BF25AE">
        <w:rPr>
          <w:rFonts w:ascii="Verdana" w:eastAsia="Verdana" w:hAnsi="Verdana" w:cs="Verdana"/>
          <w:sz w:val="20"/>
          <w:szCs w:val="20"/>
        </w:rPr>
        <w:t>) derivarse de la facultad de intervención del Estado en la economía y, en consecuencia, orientarse al estímulo de una determinada actividad económica; asignación que por mandato expreso del artículo 334 superior debe comportar una contraprestación; (</w:t>
      </w:r>
      <w:proofErr w:type="spellStart"/>
      <w:r w:rsidRPr="00BF25AE">
        <w:rPr>
          <w:rFonts w:ascii="Verdana" w:eastAsia="Verdana" w:hAnsi="Verdana" w:cs="Verdana"/>
          <w:sz w:val="20"/>
          <w:szCs w:val="20"/>
        </w:rPr>
        <w:t>iii</w:t>
      </w:r>
      <w:proofErr w:type="spellEnd"/>
      <w:r w:rsidRPr="00BF25AE">
        <w:rPr>
          <w:rFonts w:ascii="Verdana" w:eastAsia="Verdana" w:hAnsi="Verdana" w:cs="Verdana"/>
          <w:sz w:val="20"/>
          <w:szCs w:val="20"/>
        </w:rPr>
        <w:t xml:space="preserve">) fundarse en un precepto constitucional que lo autorice expresamente, en orden a garantizar los derechos fundamentales vía acceso a bienes y servicios por parte de quienes tienen mayores necesidades y menores ingresos, con lo cual se garantiza una contraprestación o beneficio social.” </w:t>
      </w:r>
    </w:p>
    <w:p w14:paraId="442FB574" w14:textId="77777777" w:rsidR="007B55DD" w:rsidRPr="007B55DD" w:rsidRDefault="007B55DD" w:rsidP="008D5262">
      <w:pPr>
        <w:spacing w:after="0" w:line="240" w:lineRule="auto"/>
        <w:jc w:val="both"/>
        <w:rPr>
          <w:rFonts w:ascii="Verdana" w:eastAsia="Verdana" w:hAnsi="Verdana" w:cs="Verdana"/>
          <w:b/>
        </w:rPr>
      </w:pPr>
    </w:p>
    <w:p w14:paraId="3651A600" w14:textId="18569DFD" w:rsidR="007B55DD" w:rsidRPr="007B55DD" w:rsidRDefault="007B55DD" w:rsidP="008D5262">
      <w:pPr>
        <w:spacing w:after="0" w:line="240" w:lineRule="auto"/>
        <w:jc w:val="both"/>
        <w:rPr>
          <w:rFonts w:ascii="Verdana" w:eastAsia="Verdana" w:hAnsi="Verdana" w:cs="Verdana"/>
          <w:b/>
        </w:rPr>
      </w:pPr>
      <w:r w:rsidRPr="007B55DD">
        <w:rPr>
          <w:rFonts w:ascii="Verdana" w:eastAsia="Verdana" w:hAnsi="Verdana" w:cs="Verdana"/>
          <w:b/>
        </w:rPr>
        <w:t>DONACIÓN – Revisión – Artículo 355 Constitucional – Contratos con Entidades Sin Ánimo de Lucro</w:t>
      </w:r>
    </w:p>
    <w:p w14:paraId="370B20EC" w14:textId="77777777" w:rsidR="007B55DD" w:rsidRDefault="007B55DD" w:rsidP="008D5262">
      <w:pPr>
        <w:spacing w:after="0" w:line="240" w:lineRule="auto"/>
        <w:rPr>
          <w:rFonts w:ascii="Verdana" w:eastAsia="Verdana" w:hAnsi="Verdana" w:cs="Verdana"/>
        </w:rPr>
      </w:pPr>
    </w:p>
    <w:p w14:paraId="7B66342A" w14:textId="59559F33" w:rsidR="007B55DD" w:rsidRPr="007B55DD" w:rsidRDefault="008D5262" w:rsidP="008D5262">
      <w:pPr>
        <w:spacing w:after="0" w:line="240" w:lineRule="auto"/>
        <w:jc w:val="both"/>
        <w:rPr>
          <w:rFonts w:ascii="Verdana" w:eastAsia="Verdana" w:hAnsi="Verdana" w:cs="Verdana"/>
        </w:rPr>
      </w:pPr>
      <w:r w:rsidRPr="008D5262">
        <w:rPr>
          <w:rFonts w:ascii="Verdana" w:eastAsia="Verdana" w:hAnsi="Verdana" w:cs="Verdana"/>
          <w:sz w:val="20"/>
          <w:szCs w:val="20"/>
        </w:rPr>
        <w:t xml:space="preserve">De lo anterior se infiere, que la situación definida por el Alto Tribunal Constitucional de </w:t>
      </w:r>
      <w:r w:rsidRPr="008D5262">
        <w:rPr>
          <w:rFonts w:ascii="Verdana" w:eastAsia="Verdana" w:hAnsi="Verdana" w:cs="Verdana"/>
          <w:i/>
          <w:iCs/>
          <w:sz w:val="20"/>
          <w:szCs w:val="20"/>
        </w:rPr>
        <w:t>“albergar una finalidad estrictamente altruista y benéfica dirigida a alentar una actividad de interés público, a través de entidades sin ánimo de lucro”,</w:t>
      </w:r>
      <w:r w:rsidRPr="008D5262">
        <w:rPr>
          <w:rFonts w:ascii="Verdana" w:eastAsia="Verdana" w:hAnsi="Verdana" w:cs="Verdana"/>
          <w:sz w:val="20"/>
          <w:szCs w:val="20"/>
        </w:rPr>
        <w:t xml:space="preserve"> hace referencia al inciso segundo del artículo 355 superior, que facultó a las entidades públicas para que con los recursos de los respectivos presupuestos, celebren contratos con entidades privadas sin ánimo de lucro y de reconocida idoneidad con el fin de impulsar programas y actividades de interés público acordes con el Plan Nacional y los planes seccionales de Desarrollo. Por tanto, dicho aparte normativo, permite el desarrollo de actividades esencialmente benéficas, no como instrumento económico, sino como un instrumento asistencial y altruista en el que no se privilegia la arbitrariedad y unilateralidad del gasto público, pues exige un grado aceptable de reciprocidad por parte del beneficiario de la ayuda</w:t>
      </w:r>
      <w:r>
        <w:rPr>
          <w:rFonts w:ascii="Verdana" w:eastAsia="Verdana" w:hAnsi="Verdana" w:cs="Verdana"/>
        </w:rPr>
        <w:t>.</w:t>
      </w:r>
    </w:p>
    <w:p w14:paraId="51916EB5" w14:textId="7D9209DE" w:rsidR="00556A55" w:rsidRDefault="00F05CCA" w:rsidP="00556A55">
      <w:pPr>
        <w:spacing w:after="0"/>
        <w:rPr>
          <w:rFonts w:ascii="Verdana" w:hAnsi="Verdana"/>
        </w:rPr>
      </w:pPr>
      <w:r w:rsidRPr="00F05CCA">
        <w:rPr>
          <w:rFonts w:ascii="Verdana" w:hAnsi="Verdana"/>
          <w:noProof/>
        </w:rPr>
        <w:lastRenderedPageBreak/>
        <w:drawing>
          <wp:anchor distT="0" distB="0" distL="114300" distR="114300" simplePos="0" relativeHeight="251658240" behindDoc="0" locked="0" layoutInCell="1" allowOverlap="1" wp14:anchorId="47DB8F86" wp14:editId="3100A614">
            <wp:simplePos x="0" y="0"/>
            <wp:positionH relativeFrom="margin">
              <wp:align>right</wp:align>
            </wp:positionH>
            <wp:positionV relativeFrom="paragraph">
              <wp:posOffset>121285</wp:posOffset>
            </wp:positionV>
            <wp:extent cx="2680970" cy="723900"/>
            <wp:effectExtent l="0" t="0" r="5080" b="0"/>
            <wp:wrapSquare wrapText="bothSides"/>
            <wp:docPr id="210879147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680970" cy="723900"/>
                    </a:xfrm>
                    <a:prstGeom prst="rect">
                      <a:avLst/>
                    </a:prstGeom>
                    <a:noFill/>
                    <a:ln>
                      <a:noFill/>
                    </a:ln>
                  </pic:spPr>
                </pic:pic>
              </a:graphicData>
            </a:graphic>
            <wp14:sizeRelH relativeFrom="margin">
              <wp14:pctWidth>0</wp14:pctWidth>
            </wp14:sizeRelH>
          </wp:anchor>
        </w:drawing>
      </w:r>
      <w:r w:rsidR="00556A55" w:rsidRPr="30821638">
        <w:rPr>
          <w:rFonts w:ascii="Verdana" w:eastAsia="Verdana" w:hAnsi="Verdana" w:cs="Verdana"/>
        </w:rPr>
        <w:t>Bogotá D.C.,</w:t>
      </w:r>
      <w:r w:rsidR="007A37AD">
        <w:rPr>
          <w:rFonts w:ascii="Verdana" w:eastAsia="Verdana" w:hAnsi="Verdana" w:cs="Verdana"/>
        </w:rPr>
        <w:t xml:space="preserve"> </w:t>
      </w:r>
      <w:r>
        <w:rPr>
          <w:rFonts w:ascii="Verdana" w:eastAsia="Verdana" w:hAnsi="Verdana" w:cs="Verdana"/>
        </w:rPr>
        <w:t>9 de abril de 2026</w:t>
      </w:r>
      <w:r w:rsidR="00556A55">
        <w:tab/>
      </w:r>
      <w:r w:rsidR="00556A55">
        <w:br/>
      </w:r>
    </w:p>
    <w:p w14:paraId="5350F476" w14:textId="77777777" w:rsidR="00556A55" w:rsidRPr="00B57A1B" w:rsidRDefault="00556A55" w:rsidP="00556A55">
      <w:pPr>
        <w:spacing w:after="0" w:line="240" w:lineRule="auto"/>
        <w:rPr>
          <w:rFonts w:ascii="Verdana" w:hAnsi="Verdana"/>
        </w:rPr>
      </w:pPr>
    </w:p>
    <w:p w14:paraId="63BF437C" w14:textId="77777777" w:rsidR="00556A55" w:rsidRPr="0098583C" w:rsidRDefault="00556A55" w:rsidP="00556A55">
      <w:pPr>
        <w:spacing w:after="0" w:line="240" w:lineRule="auto"/>
        <w:rPr>
          <w:rFonts w:ascii="Verdana" w:eastAsia="Calibri" w:hAnsi="Verdana" w:cs="Times New Roman"/>
          <w:lang w:val="es-MX"/>
        </w:rPr>
      </w:pPr>
      <w:r w:rsidRPr="0098583C">
        <w:rPr>
          <w:rFonts w:ascii="Verdana" w:eastAsia="Calibri" w:hAnsi="Verdana" w:cs="Times New Roman"/>
          <w:lang w:val="es-MX"/>
        </w:rPr>
        <w:t>Señor</w:t>
      </w:r>
      <w:r>
        <w:rPr>
          <w:rFonts w:ascii="Verdana" w:eastAsia="Calibri" w:hAnsi="Verdana" w:cs="Times New Roman"/>
          <w:lang w:val="es-MX"/>
        </w:rPr>
        <w:t>a</w:t>
      </w:r>
    </w:p>
    <w:p w14:paraId="3B8CC61C" w14:textId="77777777" w:rsidR="00556A55" w:rsidRPr="0098583C" w:rsidRDefault="00556A55" w:rsidP="00556A55">
      <w:pPr>
        <w:spacing w:after="0" w:line="240" w:lineRule="auto"/>
        <w:rPr>
          <w:rFonts w:ascii="Verdana" w:eastAsia="Calibri" w:hAnsi="Verdana" w:cs="Times New Roman"/>
          <w:b/>
          <w:lang w:val="es-MX"/>
        </w:rPr>
      </w:pPr>
      <w:r w:rsidRPr="0098583C">
        <w:rPr>
          <w:rFonts w:ascii="Verdana" w:eastAsia="Calibri" w:hAnsi="Verdana" w:cs="Times New Roman"/>
          <w:b/>
          <w:lang w:val="es-MX"/>
        </w:rPr>
        <w:t>Valentina Rico Gamboa</w:t>
      </w:r>
    </w:p>
    <w:p w14:paraId="229906C0" w14:textId="77777777" w:rsidR="00556A55" w:rsidRPr="0098583C" w:rsidRDefault="00556A55" w:rsidP="00556A55">
      <w:pPr>
        <w:spacing w:after="0" w:line="240" w:lineRule="auto"/>
        <w:rPr>
          <w:rFonts w:ascii="Verdana" w:hAnsi="Verdana"/>
        </w:rPr>
      </w:pPr>
      <w:hyperlink r:id="rId12" w:history="1">
        <w:r w:rsidRPr="00435593">
          <w:rPr>
            <w:rStyle w:val="Hipervnculo"/>
            <w:rFonts w:ascii="Verdana" w:hAnsi="Verdana"/>
          </w:rPr>
          <w:t>valentinaricog@gmail.com</w:t>
        </w:r>
      </w:hyperlink>
      <w:r>
        <w:rPr>
          <w:rFonts w:ascii="Verdana" w:hAnsi="Verdana"/>
        </w:rPr>
        <w:t xml:space="preserve"> </w:t>
      </w:r>
    </w:p>
    <w:p w14:paraId="63A4C0C6" w14:textId="77777777" w:rsidR="00556A55" w:rsidRPr="0098583C" w:rsidRDefault="00556A55" w:rsidP="00556A55">
      <w:pPr>
        <w:spacing w:after="0" w:line="240" w:lineRule="auto"/>
        <w:rPr>
          <w:rFonts w:ascii="Verdana" w:eastAsia="Calibri" w:hAnsi="Verdana" w:cs="Times New Roman"/>
        </w:rPr>
      </w:pPr>
      <w:r w:rsidRPr="0098583C">
        <w:rPr>
          <w:rFonts w:ascii="Verdana" w:eastAsia="Calibri" w:hAnsi="Verdana" w:cs="Times New Roman"/>
        </w:rPr>
        <w:t>Cajicá, Cundinamarca</w:t>
      </w:r>
    </w:p>
    <w:p w14:paraId="428461A4" w14:textId="77777777" w:rsidR="00556A55" w:rsidRPr="00B57A1B" w:rsidRDefault="00556A55" w:rsidP="00556A55">
      <w:pPr>
        <w:spacing w:after="0" w:line="240" w:lineRule="auto"/>
        <w:rPr>
          <w:rFonts w:ascii="Verdana" w:eastAsia="Calibri" w:hAnsi="Verdana" w:cs="Times New Roman"/>
        </w:rPr>
      </w:pPr>
    </w:p>
    <w:p w14:paraId="6BA2B820" w14:textId="77777777" w:rsidR="00556A55" w:rsidRPr="00B57A1B" w:rsidRDefault="00556A55" w:rsidP="00556A55">
      <w:pPr>
        <w:spacing w:after="0" w:line="240" w:lineRule="auto"/>
        <w:rPr>
          <w:rFonts w:ascii="Verdana" w:eastAsia="Calibri" w:hAnsi="Verdana" w:cs="Times New Roman"/>
        </w:rPr>
      </w:pPr>
    </w:p>
    <w:p w14:paraId="5C7EA4E0" w14:textId="77777777" w:rsidR="00556A55" w:rsidRPr="00B57A1B" w:rsidRDefault="00556A55" w:rsidP="00556A55">
      <w:pPr>
        <w:spacing w:after="0" w:line="256" w:lineRule="auto"/>
        <w:rPr>
          <w:rFonts w:ascii="Verdana" w:eastAsia="Calibri" w:hAnsi="Verdana" w:cs="Times New Roman"/>
          <w:b/>
          <w:bCs/>
          <w:lang w:val="es-ES"/>
        </w:rPr>
      </w:pPr>
      <w:r w:rsidRPr="00B57A1B">
        <w:rPr>
          <w:rFonts w:ascii="Verdana" w:eastAsia="Calibri" w:hAnsi="Verdana" w:cs="Times New Roman"/>
          <w:b/>
          <w:bCs/>
          <w:lang w:val="es-ES"/>
        </w:rPr>
        <w:t xml:space="preserve">                   </w:t>
      </w:r>
      <w:r>
        <w:rPr>
          <w:rFonts w:ascii="Verdana" w:eastAsia="Calibri" w:hAnsi="Verdana" w:cs="Times New Roman"/>
          <w:b/>
          <w:bCs/>
          <w:lang w:val="es-ES"/>
        </w:rPr>
        <w:t xml:space="preserve">                 Concepto C–291 de 2026 </w:t>
      </w:r>
    </w:p>
    <w:p w14:paraId="01880BF5" w14:textId="77777777" w:rsidR="00556A55" w:rsidRPr="00B57A1B" w:rsidRDefault="00556A55" w:rsidP="00556A55">
      <w:pPr>
        <w:spacing w:after="0" w:line="256" w:lineRule="auto"/>
        <w:rPr>
          <w:rFonts w:ascii="Verdana" w:eastAsia="Calibri" w:hAnsi="Verdana" w:cs="Times New Roman"/>
          <w:lang w:val="es-ES_tradnl"/>
        </w:rPr>
      </w:pPr>
    </w:p>
    <w:tbl>
      <w:tblPr>
        <w:tblStyle w:val="Tablaconcuadrcula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556A55" w:rsidRPr="00B57A1B" w14:paraId="716E2DE5" w14:textId="77777777" w:rsidTr="008631AE">
        <w:trPr>
          <w:trHeight w:val="645"/>
        </w:trPr>
        <w:tc>
          <w:tcPr>
            <w:tcW w:w="2685" w:type="dxa"/>
            <w:hideMark/>
          </w:tcPr>
          <w:p w14:paraId="5B3F5CAA" w14:textId="77777777" w:rsidR="00556A55" w:rsidRPr="00B57A1B" w:rsidRDefault="00556A55" w:rsidP="008631AE">
            <w:pPr>
              <w:spacing w:line="256" w:lineRule="auto"/>
              <w:rPr>
                <w:rFonts w:ascii="Verdana" w:hAnsi="Verdana"/>
                <w:b/>
                <w:bCs/>
                <w:lang w:val="es-ES_tradnl"/>
              </w:rPr>
            </w:pPr>
            <w:r w:rsidRPr="00B57A1B">
              <w:rPr>
                <w:rFonts w:ascii="Verdana" w:hAnsi="Verdana"/>
                <w:b/>
                <w:bCs/>
                <w:lang w:val="es-ES_tradnl"/>
              </w:rPr>
              <w:t xml:space="preserve">Temas:                   </w:t>
            </w:r>
          </w:p>
        </w:tc>
        <w:tc>
          <w:tcPr>
            <w:tcW w:w="6241" w:type="dxa"/>
            <w:hideMark/>
          </w:tcPr>
          <w:p w14:paraId="28D2DB79" w14:textId="77777777" w:rsidR="00556A55" w:rsidRDefault="00556A55" w:rsidP="008631AE">
            <w:pPr>
              <w:spacing w:line="276" w:lineRule="auto"/>
              <w:jc w:val="both"/>
              <w:rPr>
                <w:rFonts w:ascii="Verdana" w:hAnsi="Verdana" w:cs="Arial"/>
                <w:lang w:eastAsia="es-ES"/>
              </w:rPr>
            </w:pPr>
            <w:r w:rsidRPr="009D6F0E">
              <w:rPr>
                <w:rFonts w:ascii="Verdana" w:hAnsi="Verdana" w:cs="Arial"/>
                <w:bCs/>
                <w:lang w:val="es-ES" w:eastAsia="es-ES"/>
              </w:rPr>
              <w:t>CONTRATOS ESTATALES – Capacidad jurídica – Requisitos esenciales /</w:t>
            </w:r>
            <w:r>
              <w:rPr>
                <w:rFonts w:ascii="Verdana" w:hAnsi="Verdana" w:cs="Arial"/>
                <w:bCs/>
                <w:lang w:val="es-ES" w:eastAsia="es-ES"/>
              </w:rPr>
              <w:t xml:space="preserve"> </w:t>
            </w:r>
            <w:r w:rsidRPr="009D6F0E">
              <w:rPr>
                <w:rFonts w:ascii="Verdana" w:hAnsi="Verdana" w:cs="Arial"/>
                <w:lang w:eastAsia="es-ES"/>
              </w:rPr>
              <w:t xml:space="preserve">DONACIÓN – Concepto / </w:t>
            </w:r>
            <w:r>
              <w:rPr>
                <w:rFonts w:ascii="Verdana" w:hAnsi="Verdana" w:cs="Arial"/>
                <w:lang w:eastAsia="es-ES"/>
              </w:rPr>
              <w:t xml:space="preserve">DONACIÓN - </w:t>
            </w:r>
            <w:r w:rsidRPr="002C6840">
              <w:rPr>
                <w:rFonts w:ascii="Verdana" w:hAnsi="Verdana" w:cs="Arial"/>
                <w:lang w:eastAsia="es-ES"/>
              </w:rPr>
              <w:t>E</w:t>
            </w:r>
            <w:r>
              <w:rPr>
                <w:rFonts w:ascii="Verdana" w:hAnsi="Verdana" w:cs="Arial"/>
                <w:lang w:eastAsia="es-ES"/>
              </w:rPr>
              <w:t>najenación</w:t>
            </w:r>
            <w:r w:rsidRPr="002C6840">
              <w:rPr>
                <w:rFonts w:ascii="Verdana" w:hAnsi="Verdana" w:cs="Arial"/>
                <w:lang w:eastAsia="es-ES"/>
              </w:rPr>
              <w:t xml:space="preserve"> – Bienes muebles – Bienes Inmuebles / BIENES PÚBLICOS – Tipos</w:t>
            </w:r>
            <w:r>
              <w:rPr>
                <w:rFonts w:ascii="Verdana" w:hAnsi="Verdana" w:cs="Arial"/>
                <w:lang w:eastAsia="es-ES"/>
              </w:rPr>
              <w:t xml:space="preserve"> /</w:t>
            </w:r>
            <w:r w:rsidRPr="002C6840">
              <w:rPr>
                <w:rFonts w:ascii="Verdana" w:hAnsi="Verdana" w:cs="Arial"/>
                <w:lang w:eastAsia="es-ES"/>
              </w:rPr>
              <w:t xml:space="preserve"> </w:t>
            </w:r>
            <w:r w:rsidRPr="009D6F0E">
              <w:rPr>
                <w:rFonts w:ascii="Verdana" w:hAnsi="Verdana" w:cs="Arial"/>
                <w:lang w:eastAsia="es-ES"/>
              </w:rPr>
              <w:t>FACULTAD DE CELEBRAR CONTRATO DE DONACIÓN ENTRE ENTIDADES ESTATALES - Desarrollo Jurisprudencial – No aplica prohibición del Artículo 355 Constitucional</w:t>
            </w:r>
            <w:r>
              <w:rPr>
                <w:rFonts w:ascii="Verdana" w:hAnsi="Verdana" w:cs="Arial"/>
                <w:lang w:eastAsia="es-ES"/>
              </w:rPr>
              <w:t xml:space="preserve"> / DONACIÓN – Prohibición – Artículo 355 Constitucional / AUXILIOS Y DONACIONES – Jurisprudencia – Corte Constitucional / DONACIÓN – Revisión – Artículo 355 Constitucional – Contratos con Entidades Sin Ánimo de Lucro. </w:t>
            </w:r>
          </w:p>
          <w:p w14:paraId="3C3A7D9C" w14:textId="77777777" w:rsidR="00556A55" w:rsidRPr="00441434" w:rsidRDefault="00556A55" w:rsidP="008631AE">
            <w:pPr>
              <w:spacing w:line="276" w:lineRule="auto"/>
              <w:jc w:val="both"/>
              <w:rPr>
                <w:rFonts w:ascii="Verdana" w:hAnsi="Verdana" w:cs="Arial"/>
                <w:lang w:eastAsia="es-ES"/>
              </w:rPr>
            </w:pPr>
          </w:p>
          <w:p w14:paraId="2AF19C8B" w14:textId="77777777" w:rsidR="00556A55" w:rsidRPr="00441434" w:rsidRDefault="00556A55" w:rsidP="008631AE">
            <w:pPr>
              <w:spacing w:line="276" w:lineRule="auto"/>
              <w:jc w:val="both"/>
              <w:rPr>
                <w:rFonts w:ascii="Verdana" w:hAnsi="Verdana" w:cs="Arial"/>
                <w:lang w:eastAsia="es-ES"/>
              </w:rPr>
            </w:pPr>
          </w:p>
        </w:tc>
        <w:tc>
          <w:tcPr>
            <w:tcW w:w="6237" w:type="dxa"/>
          </w:tcPr>
          <w:p w14:paraId="120F564B" w14:textId="77777777" w:rsidR="00556A55" w:rsidRPr="00B57A1B" w:rsidRDefault="00556A55" w:rsidP="008631AE">
            <w:pPr>
              <w:spacing w:line="256" w:lineRule="auto"/>
              <w:rPr>
                <w:rFonts w:ascii="Verdana" w:hAnsi="Verdana"/>
              </w:rPr>
            </w:pPr>
          </w:p>
        </w:tc>
      </w:tr>
      <w:tr w:rsidR="00556A55" w:rsidRPr="00B57A1B" w14:paraId="10F251C4" w14:textId="77777777" w:rsidTr="008631AE">
        <w:tc>
          <w:tcPr>
            <w:tcW w:w="2685" w:type="dxa"/>
          </w:tcPr>
          <w:p w14:paraId="2AE3A24E" w14:textId="77777777" w:rsidR="00556A55" w:rsidRPr="00B57A1B" w:rsidRDefault="00556A55" w:rsidP="008631AE">
            <w:pPr>
              <w:spacing w:line="256" w:lineRule="auto"/>
              <w:rPr>
                <w:rFonts w:ascii="Verdana" w:hAnsi="Verdana"/>
                <w:b/>
                <w:bCs/>
                <w:lang w:val="es-ES_tradnl"/>
              </w:rPr>
            </w:pPr>
            <w:r w:rsidRPr="00B57A1B">
              <w:rPr>
                <w:rFonts w:ascii="Verdana" w:hAnsi="Verdana"/>
                <w:b/>
                <w:bCs/>
                <w:lang w:val="es-ES_tradnl"/>
              </w:rPr>
              <w:t xml:space="preserve">Radicación:               </w:t>
            </w:r>
          </w:p>
        </w:tc>
        <w:tc>
          <w:tcPr>
            <w:tcW w:w="6241" w:type="dxa"/>
          </w:tcPr>
          <w:p w14:paraId="79D64467" w14:textId="77777777" w:rsidR="00556A55" w:rsidRPr="002F4390" w:rsidRDefault="00556A55" w:rsidP="008631AE">
            <w:pPr>
              <w:spacing w:line="257" w:lineRule="auto"/>
              <w:jc w:val="both"/>
              <w:rPr>
                <w:rFonts w:ascii="Verdana" w:hAnsi="Verdana"/>
                <w:lang w:val="es-ES_tradnl"/>
              </w:rPr>
            </w:pPr>
            <w:r w:rsidRPr="00B57A1B">
              <w:rPr>
                <w:rFonts w:ascii="Verdana" w:hAnsi="Verdana"/>
                <w:lang w:val="es-ES_tradnl"/>
              </w:rPr>
              <w:t>Respue</w:t>
            </w:r>
            <w:r>
              <w:rPr>
                <w:rFonts w:ascii="Verdana" w:hAnsi="Verdana"/>
                <w:lang w:val="es-ES_tradnl"/>
              </w:rPr>
              <w:t xml:space="preserve">sta a consulta con radicado No. </w:t>
            </w:r>
            <w:r w:rsidRPr="0098583C">
              <w:rPr>
                <w:rFonts w:ascii="Verdana" w:hAnsi="Verdana"/>
              </w:rPr>
              <w:t>1_2026_02_24_002535</w:t>
            </w:r>
          </w:p>
          <w:p w14:paraId="2C0B1ADB" w14:textId="77777777" w:rsidR="00556A55" w:rsidRPr="00B57A1B" w:rsidRDefault="00556A55" w:rsidP="008631AE">
            <w:pPr>
              <w:spacing w:line="257" w:lineRule="auto"/>
              <w:jc w:val="both"/>
              <w:rPr>
                <w:rFonts w:ascii="Verdana" w:hAnsi="Verdana"/>
              </w:rPr>
            </w:pPr>
          </w:p>
          <w:p w14:paraId="41120BB7" w14:textId="77777777" w:rsidR="00556A55" w:rsidRPr="00B57A1B" w:rsidRDefault="00556A55" w:rsidP="008631AE">
            <w:pPr>
              <w:spacing w:line="257" w:lineRule="auto"/>
              <w:jc w:val="both"/>
              <w:rPr>
                <w:rFonts w:ascii="Verdana" w:hAnsi="Verdana"/>
              </w:rPr>
            </w:pPr>
          </w:p>
        </w:tc>
        <w:tc>
          <w:tcPr>
            <w:tcW w:w="6237" w:type="dxa"/>
          </w:tcPr>
          <w:p w14:paraId="6C58423F" w14:textId="77777777" w:rsidR="00556A55" w:rsidRPr="00B57A1B" w:rsidRDefault="00556A55" w:rsidP="008631AE">
            <w:pPr>
              <w:spacing w:line="256" w:lineRule="auto"/>
              <w:rPr>
                <w:rFonts w:ascii="Verdana" w:hAnsi="Verdana"/>
                <w:lang w:val="es-ES_tradnl"/>
              </w:rPr>
            </w:pPr>
          </w:p>
        </w:tc>
      </w:tr>
    </w:tbl>
    <w:p w14:paraId="3B378ED1" w14:textId="77777777" w:rsidR="00556A55" w:rsidRPr="00B57A1B" w:rsidRDefault="00556A55" w:rsidP="00556A55">
      <w:pPr>
        <w:spacing w:after="0" w:line="256" w:lineRule="auto"/>
        <w:rPr>
          <w:rFonts w:ascii="Verdana" w:eastAsia="Calibri" w:hAnsi="Verdana" w:cs="Times New Roman"/>
          <w:lang w:val="es-ES"/>
        </w:rPr>
      </w:pPr>
      <w:r w:rsidRPr="00B57A1B">
        <w:rPr>
          <w:rFonts w:ascii="Verdana" w:eastAsia="Calibri" w:hAnsi="Verdana" w:cs="Times New Roman"/>
          <w:lang w:val="es-ES"/>
        </w:rPr>
        <w:t>Estimad</w:t>
      </w:r>
      <w:r>
        <w:rPr>
          <w:rFonts w:ascii="Verdana" w:eastAsia="Calibri" w:hAnsi="Verdana" w:cs="Times New Roman"/>
          <w:lang w:val="es-ES"/>
        </w:rPr>
        <w:t>a Señora Valentina</w:t>
      </w:r>
      <w:r w:rsidRPr="00B57A1B">
        <w:rPr>
          <w:rFonts w:ascii="Verdana" w:eastAsia="Calibri" w:hAnsi="Verdana" w:cs="Times New Roman"/>
          <w:lang w:val="es-ES"/>
        </w:rPr>
        <w:t xml:space="preserve">: </w:t>
      </w:r>
    </w:p>
    <w:p w14:paraId="5D6EADC2" w14:textId="77777777" w:rsidR="00556A55" w:rsidRPr="00B57A1B" w:rsidRDefault="00556A55" w:rsidP="00556A55">
      <w:pPr>
        <w:spacing w:after="0" w:line="256" w:lineRule="auto"/>
        <w:rPr>
          <w:rFonts w:ascii="Verdana" w:eastAsia="Calibri" w:hAnsi="Verdana" w:cs="Times New Roman"/>
          <w:lang w:val="es-ES"/>
        </w:rPr>
      </w:pPr>
    </w:p>
    <w:p w14:paraId="7A0CD067" w14:textId="77777777" w:rsidR="00556A55" w:rsidRPr="00A743E8" w:rsidRDefault="00556A55" w:rsidP="00556A55">
      <w:pPr>
        <w:spacing w:after="120" w:line="276" w:lineRule="auto"/>
        <w:jc w:val="both"/>
        <w:rPr>
          <w:rFonts w:ascii="Verdana" w:eastAsia="Calibri" w:hAnsi="Verdana" w:cs="Times New Roman"/>
          <w:bCs/>
          <w:lang w:bidi="es-ES"/>
        </w:rPr>
      </w:pPr>
      <w:r w:rsidRPr="00B57A1B">
        <w:rPr>
          <w:rFonts w:ascii="Verdana" w:eastAsia="Calibri" w:hAnsi="Verdana" w:cs="Times New Roman"/>
          <w:bCs/>
          <w:lang w:val="es-ES" w:bidi="es-ES"/>
        </w:rPr>
        <w:t xml:space="preserve">En ejercicio de la competencia otorgada por los artículos 3, numeral 5º, y 11, numeral 8º, del Decreto Ley 4170 de 2011, </w:t>
      </w:r>
      <w:r w:rsidRPr="00B57A1B">
        <w:rPr>
          <w:rFonts w:ascii="Verdana" w:eastAsia="Calibri" w:hAnsi="Verdana" w:cs="Times New Roman"/>
          <w:bCs/>
        </w:rPr>
        <w:t xml:space="preserve">así como lo establecido por la Resolución 469 de 2025 expedida por esta Entidad, </w:t>
      </w:r>
      <w:r w:rsidRPr="00B57A1B">
        <w:rPr>
          <w:rFonts w:ascii="Verdana" w:eastAsia="Calibri" w:hAnsi="Verdana" w:cs="Times New Roman"/>
          <w:bCs/>
          <w:lang w:val="es-ES" w:bidi="es-ES"/>
        </w:rPr>
        <w:t>la Agencia Nacional de Contratación Pública – Colombia Compra Eficien</w:t>
      </w:r>
      <w:r>
        <w:rPr>
          <w:rFonts w:ascii="Verdana" w:eastAsia="Calibri" w:hAnsi="Verdana" w:cs="Times New Roman"/>
          <w:bCs/>
          <w:lang w:val="es-ES" w:bidi="es-ES"/>
        </w:rPr>
        <w:t>te– responde la solicitud de consulta del 24 de febrero de 2026</w:t>
      </w:r>
      <w:r w:rsidRPr="00B57A1B">
        <w:rPr>
          <w:rFonts w:ascii="Verdana" w:eastAsia="Calibri" w:hAnsi="Verdana" w:cs="Times New Roman"/>
          <w:bCs/>
          <w:lang w:val="es-ES" w:bidi="es-ES"/>
        </w:rPr>
        <w:t xml:space="preserve">, en la cual manifiesta: </w:t>
      </w:r>
      <w:r>
        <w:rPr>
          <w:rFonts w:ascii="Verdana" w:eastAsia="Calibri" w:hAnsi="Verdana" w:cs="Times New Roman"/>
          <w:bCs/>
          <w:lang w:val="es-ES" w:bidi="es-ES"/>
        </w:rPr>
        <w:t>“</w:t>
      </w:r>
      <w:r w:rsidRPr="00A743E8">
        <w:rPr>
          <w:rFonts w:ascii="Verdana" w:eastAsia="Calibri" w:hAnsi="Verdana" w:cs="Times New Roman"/>
          <w:bCs/>
          <w:lang w:bidi="es-ES"/>
        </w:rPr>
        <w:t>una entidad pública puede realizar u</w:t>
      </w:r>
      <w:r>
        <w:rPr>
          <w:rFonts w:ascii="Verdana" w:eastAsia="Calibri" w:hAnsi="Verdana" w:cs="Times New Roman"/>
          <w:bCs/>
          <w:lang w:bidi="es-ES"/>
        </w:rPr>
        <w:t xml:space="preserve">na donación de bienes muebles a </w:t>
      </w:r>
      <w:r w:rsidRPr="00A743E8">
        <w:rPr>
          <w:rFonts w:ascii="Verdana" w:eastAsia="Calibri" w:hAnsi="Verdana" w:cs="Times New Roman"/>
          <w:bCs/>
          <w:lang w:bidi="es-ES"/>
        </w:rPr>
        <w:t>una asociación la cual está conformada por víctimas del conflicto armado,</w:t>
      </w:r>
      <w:r>
        <w:rPr>
          <w:rFonts w:ascii="Verdana" w:eastAsia="Calibri" w:hAnsi="Verdana" w:cs="Times New Roman"/>
          <w:bCs/>
          <w:lang w:bidi="es-ES"/>
        </w:rPr>
        <w:t xml:space="preserve"> </w:t>
      </w:r>
      <w:r w:rsidRPr="00A743E8">
        <w:rPr>
          <w:rFonts w:ascii="Verdana" w:eastAsia="Calibri" w:hAnsi="Verdana" w:cs="Times New Roman"/>
          <w:bCs/>
          <w:lang w:bidi="es-ES"/>
        </w:rPr>
        <w:t>la norma tiene un vacío por tal razón es importante el concepto emitido</w:t>
      </w:r>
      <w:r>
        <w:rPr>
          <w:rFonts w:ascii="Verdana" w:eastAsia="Calibri" w:hAnsi="Verdana" w:cs="Times New Roman"/>
          <w:bCs/>
          <w:lang w:bidi="es-ES"/>
        </w:rPr>
        <w:t xml:space="preserve"> por la agencia”. </w:t>
      </w:r>
    </w:p>
    <w:p w14:paraId="58A3F2F5" w14:textId="77777777" w:rsidR="00556A55" w:rsidRPr="00B57A1B" w:rsidRDefault="00556A55" w:rsidP="00556A55">
      <w:pPr>
        <w:spacing w:after="120" w:line="276" w:lineRule="auto"/>
        <w:ind w:firstLine="709"/>
        <w:jc w:val="both"/>
        <w:rPr>
          <w:rFonts w:ascii="Verdana" w:eastAsia="Calibri" w:hAnsi="Verdana" w:cs="Times New Roman"/>
          <w:lang w:val="es-ES"/>
        </w:rPr>
      </w:pPr>
      <w:r w:rsidRPr="00B57A1B">
        <w:rPr>
          <w:rFonts w:ascii="Verdana" w:eastAsia="Calibri" w:hAnsi="Verdana" w:cs="Times New Roman"/>
          <w:lang w:val="es-ES"/>
        </w:rPr>
        <w:lastRenderedPageBreak/>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24AC7E71" w14:textId="77777777" w:rsidR="00556A55" w:rsidRPr="00B57A1B" w:rsidRDefault="00556A55" w:rsidP="00556A55">
      <w:pPr>
        <w:spacing w:after="0" w:line="276" w:lineRule="auto"/>
        <w:ind w:firstLine="708"/>
        <w:jc w:val="both"/>
        <w:rPr>
          <w:rFonts w:ascii="Verdana" w:eastAsia="Calibri" w:hAnsi="Verdana" w:cs="Times New Roman"/>
          <w:lang w:val="es-ES"/>
        </w:rPr>
      </w:pPr>
      <w:r w:rsidRPr="00B57A1B">
        <w:rPr>
          <w:rFonts w:ascii="Verdana" w:eastAsia="Calibri" w:hAnsi="Verdana" w:cs="Times New Roman"/>
          <w:lang w:val="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w:t>
      </w:r>
      <w:r>
        <w:rPr>
          <w:rFonts w:ascii="Verdana" w:eastAsia="Calibri" w:hAnsi="Verdana" w:cs="Times New Roman"/>
          <w:lang w:val="es-ES"/>
        </w:rPr>
        <w:t xml:space="preserve"> los problemas jurídicos objeto de consulta</w:t>
      </w:r>
      <w:r w:rsidRPr="00B57A1B">
        <w:rPr>
          <w:rFonts w:ascii="Verdana" w:eastAsia="Calibri" w:hAnsi="Verdana" w:cs="Times New Roman"/>
          <w:lang w:val="es-ES"/>
        </w:rPr>
        <w:t xml:space="preserve">. </w:t>
      </w:r>
    </w:p>
    <w:p w14:paraId="087B7BF0" w14:textId="77777777" w:rsidR="00556A55" w:rsidRPr="00B57A1B" w:rsidRDefault="00556A55" w:rsidP="00556A55">
      <w:pPr>
        <w:spacing w:after="0" w:line="256" w:lineRule="auto"/>
        <w:rPr>
          <w:rFonts w:ascii="Verdana" w:eastAsia="Calibri" w:hAnsi="Verdana" w:cs="Times New Roman"/>
          <w:lang w:val="es-ES"/>
        </w:rPr>
      </w:pPr>
    </w:p>
    <w:p w14:paraId="044E5339" w14:textId="77777777" w:rsidR="00556A55" w:rsidRPr="00B57A1B" w:rsidRDefault="00556A55" w:rsidP="00556A55">
      <w:pPr>
        <w:numPr>
          <w:ilvl w:val="0"/>
          <w:numId w:val="16"/>
        </w:numPr>
        <w:spacing w:after="0" w:line="256" w:lineRule="auto"/>
        <w:contextualSpacing/>
        <w:rPr>
          <w:rFonts w:ascii="Verdana" w:eastAsia="Calibri" w:hAnsi="Verdana" w:cs="Times New Roman"/>
          <w:b/>
          <w:bCs/>
          <w:lang w:val="es-ES"/>
        </w:rPr>
      </w:pPr>
      <w:r w:rsidRPr="00B57A1B">
        <w:rPr>
          <w:rFonts w:ascii="Verdana" w:eastAsia="Calibri" w:hAnsi="Verdana" w:cs="Times New Roman"/>
          <w:b/>
          <w:bCs/>
          <w:lang w:val="es-ES"/>
        </w:rPr>
        <w:t>Problema planteado:</w:t>
      </w:r>
    </w:p>
    <w:p w14:paraId="4BDB6B8D" w14:textId="77777777" w:rsidR="00556A55" w:rsidRPr="00B57A1B" w:rsidRDefault="00556A55" w:rsidP="00556A55">
      <w:pPr>
        <w:spacing w:after="0" w:line="256" w:lineRule="auto"/>
        <w:rPr>
          <w:rFonts w:ascii="Verdana" w:eastAsia="Calibri" w:hAnsi="Verdana" w:cs="Times New Roman"/>
        </w:rPr>
      </w:pPr>
    </w:p>
    <w:p w14:paraId="3BB9E2C1" w14:textId="77777777" w:rsidR="00556A55" w:rsidRDefault="00556A55" w:rsidP="00556A55">
      <w:pPr>
        <w:spacing w:after="0" w:line="276" w:lineRule="auto"/>
        <w:jc w:val="both"/>
        <w:rPr>
          <w:rFonts w:ascii="Verdana" w:eastAsia="Calibri" w:hAnsi="Verdana" w:cs="Times New Roman"/>
          <w:iCs/>
          <w:lang w:val="es-ES"/>
        </w:rPr>
      </w:pPr>
      <w:r w:rsidRPr="00B57A1B">
        <w:rPr>
          <w:rFonts w:ascii="Verdana" w:eastAsia="Calibri" w:hAnsi="Verdana" w:cs="Times New Roman"/>
        </w:rPr>
        <w:t xml:space="preserve">De acuerdo </w:t>
      </w:r>
      <w:r>
        <w:rPr>
          <w:rFonts w:ascii="Verdana" w:eastAsia="Calibri" w:hAnsi="Verdana" w:cs="Times New Roman"/>
        </w:rPr>
        <w:t>con el contenido de sus solicitudes</w:t>
      </w:r>
      <w:r w:rsidRPr="00B57A1B">
        <w:rPr>
          <w:rFonts w:ascii="Verdana" w:eastAsia="Calibri" w:hAnsi="Verdana" w:cs="Times New Roman"/>
        </w:rPr>
        <w:t>, es</w:t>
      </w:r>
      <w:r>
        <w:rPr>
          <w:rFonts w:ascii="Verdana" w:eastAsia="Calibri" w:hAnsi="Verdana" w:cs="Times New Roman"/>
        </w:rPr>
        <w:t>ta Agencia procede a resolver el siguiente problema jurídico</w:t>
      </w:r>
      <w:r>
        <w:rPr>
          <w:rFonts w:ascii="Verdana" w:eastAsia="Calibri" w:hAnsi="Verdana" w:cs="Times New Roman"/>
          <w:iCs/>
          <w:lang w:val="es-ES"/>
        </w:rPr>
        <w:t>: ¿Es procedente que una entidad pública celebre contratos de donación de bienes muebles con personas jurídicas de derecho privado?</w:t>
      </w:r>
    </w:p>
    <w:p w14:paraId="653CDA7B" w14:textId="77777777" w:rsidR="00556A55" w:rsidRPr="00B57A1B" w:rsidRDefault="00556A55" w:rsidP="00556A55">
      <w:pPr>
        <w:spacing w:after="0" w:line="276" w:lineRule="auto"/>
        <w:jc w:val="both"/>
        <w:rPr>
          <w:rFonts w:ascii="Verdana" w:eastAsia="Calibri" w:hAnsi="Verdana" w:cs="Times New Roman"/>
          <w:i/>
          <w:iCs/>
          <w:lang w:val="es-ES"/>
        </w:rPr>
      </w:pPr>
    </w:p>
    <w:p w14:paraId="6A968EC0" w14:textId="77777777" w:rsidR="00556A55" w:rsidRPr="00B57A1B" w:rsidRDefault="00556A55" w:rsidP="00556A55">
      <w:pPr>
        <w:numPr>
          <w:ilvl w:val="0"/>
          <w:numId w:val="16"/>
        </w:numPr>
        <w:spacing w:after="0" w:line="256" w:lineRule="auto"/>
        <w:contextualSpacing/>
        <w:rPr>
          <w:rFonts w:ascii="Verdana" w:eastAsia="Calibri" w:hAnsi="Verdana" w:cs="Times New Roman"/>
          <w:b/>
          <w:bCs/>
          <w:lang w:val="es-ES"/>
        </w:rPr>
      </w:pPr>
      <w:r w:rsidRPr="00B57A1B">
        <w:rPr>
          <w:rFonts w:ascii="Verdana" w:eastAsia="Calibri" w:hAnsi="Verdana" w:cs="Times New Roman"/>
          <w:b/>
          <w:bCs/>
          <w:lang w:val="es-ES"/>
        </w:rPr>
        <w:t>Respuesta:</w:t>
      </w:r>
    </w:p>
    <w:p w14:paraId="2CEF556F" w14:textId="77777777" w:rsidR="00556A55" w:rsidRPr="00B57A1B" w:rsidRDefault="00556A55" w:rsidP="00556A55">
      <w:pPr>
        <w:spacing w:after="0" w:line="276" w:lineRule="auto"/>
        <w:rPr>
          <w:rFonts w:ascii="Verdana" w:eastAsia="Calibri" w:hAnsi="Verdana" w:cs="Times New Roman"/>
          <w:b/>
          <w:bCs/>
          <w:lang w:val="es-ES"/>
        </w:rPr>
      </w:pPr>
    </w:p>
    <w:tbl>
      <w:tblPr>
        <w:tblStyle w:val="Tablaconcuadrcula"/>
        <w:tblW w:w="8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556A55" w:rsidRPr="00B57A1B" w14:paraId="7337E65A" w14:textId="77777777" w:rsidTr="008631AE">
        <w:trPr>
          <w:trHeight w:val="345"/>
          <w:jc w:val="center"/>
        </w:trPr>
        <w:tc>
          <w:tcPr>
            <w:tcW w:w="8784" w:type="dxa"/>
            <w:tcBorders>
              <w:bottom w:val="single" w:sz="4" w:space="0" w:color="auto"/>
            </w:tcBorders>
          </w:tcPr>
          <w:p w14:paraId="74AD5C90" w14:textId="77777777" w:rsidR="00556A55" w:rsidRPr="00A73749" w:rsidRDefault="00556A55" w:rsidP="008631AE">
            <w:pPr>
              <w:spacing w:after="120" w:line="276" w:lineRule="auto"/>
              <w:jc w:val="both"/>
              <w:rPr>
                <w:rFonts w:ascii="Verdana" w:eastAsia="Century Gothic" w:hAnsi="Verdana" w:cs="Century Gothic"/>
                <w:lang w:eastAsia="es-CO"/>
              </w:rPr>
            </w:pPr>
            <w:r w:rsidRPr="00A73749">
              <w:rPr>
                <w:rFonts w:ascii="Verdana" w:eastAsia="Calibri" w:hAnsi="Verdana" w:cs="Times New Roman"/>
              </w:rPr>
              <w:t xml:space="preserve">En cuanto al problema jurídico, objeto de consulta, </w:t>
            </w:r>
            <w:r>
              <w:rPr>
                <w:rFonts w:ascii="Verdana" w:eastAsia="Calibri" w:hAnsi="Verdana" w:cs="Times New Roman"/>
              </w:rPr>
              <w:t>debe señalarse</w:t>
            </w:r>
            <w:r w:rsidRPr="00A73749">
              <w:rPr>
                <w:rFonts w:ascii="Verdana" w:eastAsia="Calibri" w:hAnsi="Verdana" w:cs="Times New Roman"/>
              </w:rPr>
              <w:t xml:space="preserve"> </w:t>
            </w:r>
            <w:r w:rsidRPr="0019267B">
              <w:rPr>
                <w:rFonts w:ascii="Verdana" w:eastAsia="Century Gothic" w:hAnsi="Verdana" w:cs="Century Gothic"/>
                <w:lang w:eastAsia="es-CO"/>
              </w:rPr>
              <w:t xml:space="preserve">que, las entidades estatales </w:t>
            </w:r>
            <w:r w:rsidRPr="00A73749">
              <w:rPr>
                <w:rFonts w:ascii="Verdana" w:eastAsia="Century Gothic" w:hAnsi="Verdana" w:cs="Century Gothic"/>
                <w:lang w:eastAsia="es-CO"/>
              </w:rPr>
              <w:t xml:space="preserve">están limitadas </w:t>
            </w:r>
            <w:r w:rsidRPr="0019267B">
              <w:rPr>
                <w:rFonts w:ascii="Verdana" w:eastAsia="Century Gothic" w:hAnsi="Verdana" w:cs="Century Gothic"/>
                <w:lang w:eastAsia="es-CO"/>
              </w:rPr>
              <w:t>para actuar como donantes</w:t>
            </w:r>
            <w:r>
              <w:rPr>
                <w:rFonts w:ascii="Verdana" w:eastAsia="Century Gothic" w:hAnsi="Verdana" w:cs="Century Gothic"/>
                <w:lang w:eastAsia="es-CO"/>
              </w:rPr>
              <w:t>,</w:t>
            </w:r>
            <w:r w:rsidRPr="0019267B">
              <w:rPr>
                <w:rFonts w:ascii="Verdana" w:eastAsia="Century Gothic" w:hAnsi="Verdana" w:cs="Century Gothic"/>
                <w:lang w:eastAsia="es-CO"/>
              </w:rPr>
              <w:t xml:space="preserve"> en virtud de la restricción establecida en el artículo 355 de la Constitución Política, la cual prohíbe la entrega de auxilios o donaciones a personas naturales o jurídicas de derecho privado. Sin embargo, esta prohibición no se extiende a las donaciones </w:t>
            </w:r>
            <w:r>
              <w:rPr>
                <w:rFonts w:ascii="Verdana" w:eastAsia="Century Gothic" w:hAnsi="Verdana" w:cs="Century Gothic"/>
                <w:lang w:eastAsia="es-CO"/>
              </w:rPr>
              <w:t xml:space="preserve">que se efectúen </w:t>
            </w:r>
            <w:r w:rsidRPr="0019267B">
              <w:rPr>
                <w:rFonts w:ascii="Verdana" w:eastAsia="Century Gothic" w:hAnsi="Verdana" w:cs="Century Gothic"/>
                <w:lang w:eastAsia="es-CO"/>
              </w:rPr>
              <w:t xml:space="preserve">entre entidades públicas, por lo que tales actos </w:t>
            </w:r>
            <w:r w:rsidRPr="0019267B">
              <w:rPr>
                <w:rFonts w:ascii="Verdana" w:eastAsia="Century Gothic" w:hAnsi="Verdana" w:cs="Century Gothic"/>
                <w:lang w:eastAsia="es-CO"/>
              </w:rPr>
              <w:lastRenderedPageBreak/>
              <w:t>resultan jurídicamente procedentes cuando se otorgan entre sujetos que hacen parte de la administración pública.</w:t>
            </w:r>
          </w:p>
          <w:p w14:paraId="39C4E6F7" w14:textId="77777777" w:rsidR="00556A55" w:rsidRDefault="00556A55" w:rsidP="008631AE">
            <w:pPr>
              <w:spacing w:after="120" w:line="276" w:lineRule="auto"/>
              <w:ind w:firstLine="709"/>
              <w:jc w:val="both"/>
              <w:rPr>
                <w:rFonts w:ascii="Verdana" w:eastAsia="Century Gothic" w:hAnsi="Verdana" w:cs="Century Gothic"/>
              </w:rPr>
            </w:pPr>
            <w:r w:rsidRPr="00A73749">
              <w:rPr>
                <w:rFonts w:ascii="Verdana" w:eastAsia="Century Gothic" w:hAnsi="Verdana" w:cs="Century Gothic"/>
                <w:lang w:eastAsia="es-CO"/>
              </w:rPr>
              <w:tab/>
            </w:r>
            <w:r w:rsidRPr="00A73749">
              <w:rPr>
                <w:rFonts w:ascii="Verdana" w:eastAsia="Century Gothic" w:hAnsi="Verdana" w:cs="Century Gothic"/>
              </w:rPr>
              <w:t xml:space="preserve">En consecuencia, las entidades públicas no </w:t>
            </w:r>
            <w:r>
              <w:rPr>
                <w:rFonts w:ascii="Verdana" w:eastAsia="Century Gothic" w:hAnsi="Verdana" w:cs="Century Gothic"/>
              </w:rPr>
              <w:t>se encuentran habilitadas para realizar</w:t>
            </w:r>
            <w:r w:rsidRPr="00A73749">
              <w:rPr>
                <w:rFonts w:ascii="Verdana" w:eastAsia="Century Gothic" w:hAnsi="Verdana" w:cs="Century Gothic"/>
              </w:rPr>
              <w:t xml:space="preserve"> donaciones de bienes muebles a favor de particulares, dado que el </w:t>
            </w:r>
            <w:r>
              <w:rPr>
                <w:rFonts w:ascii="Verdana" w:eastAsia="Century Gothic" w:hAnsi="Verdana" w:cs="Century Gothic"/>
              </w:rPr>
              <w:t xml:space="preserve">citado </w:t>
            </w:r>
            <w:r w:rsidRPr="00A73749">
              <w:rPr>
                <w:rFonts w:ascii="Verdana" w:eastAsia="Century Gothic" w:hAnsi="Verdana" w:cs="Century Gothic"/>
              </w:rPr>
              <w:t xml:space="preserve">artículo 355 prohíbe </w:t>
            </w:r>
            <w:r>
              <w:rPr>
                <w:rFonts w:ascii="Verdana" w:eastAsia="Century Gothic" w:hAnsi="Verdana" w:cs="Century Gothic"/>
              </w:rPr>
              <w:t xml:space="preserve">expresamente </w:t>
            </w:r>
            <w:r w:rsidRPr="00A73749">
              <w:rPr>
                <w:rFonts w:ascii="Verdana" w:eastAsia="Century Gothic" w:hAnsi="Verdana" w:cs="Century Gothic"/>
              </w:rPr>
              <w:t xml:space="preserve">la entrega de auxilios o donaciones a personas naturales o jurídicas de derecho privado. Esta restricción busca asegurar la correcta destinación de los recursos públicos y evitar transferencias que no respondan a fines estatales legítimos. </w:t>
            </w:r>
          </w:p>
          <w:p w14:paraId="51DD65E0" w14:textId="77777777" w:rsidR="00556A55" w:rsidRPr="005647CA" w:rsidRDefault="00556A55" w:rsidP="008631AE">
            <w:pPr>
              <w:spacing w:after="120" w:line="276" w:lineRule="auto"/>
              <w:ind w:firstLine="709"/>
              <w:jc w:val="both"/>
              <w:rPr>
                <w:rFonts w:ascii="Verdana" w:eastAsia="Times New Roman" w:hAnsi="Verdana" w:cs="Arial"/>
                <w:lang w:eastAsia="es-ES_tradnl"/>
              </w:rPr>
            </w:pPr>
            <w:r>
              <w:rPr>
                <w:rFonts w:ascii="Verdana" w:eastAsia="Century Gothic" w:hAnsi="Verdana" w:cs="Century Gothic"/>
              </w:rPr>
              <w:t xml:space="preserve">Así, </w:t>
            </w:r>
            <w:r w:rsidRPr="00A73749">
              <w:rPr>
                <w:rFonts w:ascii="Verdana" w:eastAsia="Times New Roman" w:hAnsi="Verdana" w:cs="Arial"/>
                <w:lang w:eastAsia="es-ES_tradnl"/>
              </w:rPr>
              <w:t>el</w:t>
            </w:r>
            <w:r>
              <w:rPr>
                <w:rFonts w:ascii="Verdana" w:eastAsia="Times New Roman" w:hAnsi="Verdana" w:cs="Arial"/>
                <w:lang w:eastAsia="es-ES_tradnl"/>
              </w:rPr>
              <w:t xml:space="preserve"> inciso primero del</w:t>
            </w:r>
            <w:r w:rsidRPr="00A73749">
              <w:rPr>
                <w:rFonts w:ascii="Verdana" w:eastAsia="Times New Roman" w:hAnsi="Verdana" w:cs="Arial"/>
                <w:lang w:eastAsia="es-ES_tradnl"/>
              </w:rPr>
              <w:t xml:space="preserve"> artículo 355 de la Constitución Política de Colombia prohibió cualquier tipo de auxilio o donación por parte del Estado a personas naturales o jurídicas de derecho privado. Sin embargo</w:t>
            </w:r>
            <w:r>
              <w:rPr>
                <w:rFonts w:ascii="Verdana" w:eastAsia="Times New Roman" w:hAnsi="Verdana" w:cs="Arial"/>
                <w:lang w:eastAsia="es-ES_tradnl"/>
              </w:rPr>
              <w:t>,</w:t>
            </w:r>
            <w:r w:rsidRPr="00A73749">
              <w:rPr>
                <w:rFonts w:ascii="Verdana" w:eastAsia="Times New Roman" w:hAnsi="Verdana" w:cs="Arial"/>
                <w:lang w:eastAsia="es-ES_tradnl"/>
              </w:rPr>
              <w:t xml:space="preserve"> la Corte Constitucional</w:t>
            </w:r>
            <w:r>
              <w:rPr>
                <w:rFonts w:ascii="Verdana" w:eastAsia="Times New Roman" w:hAnsi="Verdana" w:cs="Arial"/>
                <w:lang w:eastAsia="es-ES_tradnl"/>
              </w:rPr>
              <w:t>,</w:t>
            </w:r>
            <w:r w:rsidRPr="00A73749">
              <w:rPr>
                <w:rFonts w:ascii="Verdana" w:eastAsia="Times New Roman" w:hAnsi="Verdana" w:cs="Arial"/>
                <w:lang w:eastAsia="es-ES_tradnl"/>
              </w:rPr>
              <w:t xml:space="preserve"> </w:t>
            </w:r>
            <w:r>
              <w:rPr>
                <w:rFonts w:ascii="Verdana" w:eastAsia="Times New Roman" w:hAnsi="Verdana" w:cs="Arial"/>
                <w:lang w:eastAsia="es-ES_tradnl"/>
              </w:rPr>
              <w:t xml:space="preserve">en la </w:t>
            </w:r>
            <w:r w:rsidRPr="00D14807">
              <w:rPr>
                <w:rFonts w:ascii="Verdana" w:eastAsia="Times New Roman" w:hAnsi="Verdana" w:cs="Arial"/>
                <w:lang w:eastAsia="es-ES_tradnl"/>
              </w:rPr>
              <w:t>Sentencia C-324 del 13 de mayo de 2009</w:t>
            </w:r>
            <w:r>
              <w:rPr>
                <w:rFonts w:ascii="Verdana" w:eastAsia="Times New Roman" w:hAnsi="Verdana" w:cs="Arial"/>
                <w:lang w:eastAsia="es-ES_tradnl"/>
              </w:rPr>
              <w:t xml:space="preserve">, expresa que </w:t>
            </w:r>
            <w:r w:rsidRPr="00A73749">
              <w:rPr>
                <w:rFonts w:ascii="Verdana" w:eastAsia="Times New Roman" w:hAnsi="Verdana" w:cs="Arial"/>
                <w:lang w:eastAsia="es-ES_tradnl"/>
              </w:rPr>
              <w:t>la prohibición de la que trata este artículo se materializa cuando se registre al menos uno de los siguientes eventos: “</w:t>
            </w:r>
            <w:r w:rsidRPr="005647CA">
              <w:rPr>
                <w:rFonts w:ascii="Verdana" w:eastAsia="Times New Roman" w:hAnsi="Verdana" w:cs="Arial"/>
                <w:lang w:eastAsia="es-ES_tradnl"/>
              </w:rPr>
              <w:t xml:space="preserve">i) se omita dar aplicación al principio presupuestal de legalidad del gasto; </w:t>
            </w:r>
            <w:proofErr w:type="spellStart"/>
            <w:r w:rsidRPr="005647CA">
              <w:rPr>
                <w:rFonts w:ascii="Verdana" w:eastAsia="Times New Roman" w:hAnsi="Verdana" w:cs="Arial"/>
                <w:lang w:eastAsia="es-ES_tradnl"/>
              </w:rPr>
              <w:t>ii</w:t>
            </w:r>
            <w:proofErr w:type="spellEnd"/>
            <w:r w:rsidRPr="005647CA">
              <w:rPr>
                <w:rFonts w:ascii="Verdana" w:eastAsia="Times New Roman" w:hAnsi="Verdana" w:cs="Arial"/>
                <w:lang w:eastAsia="es-ES_tradnl"/>
              </w:rPr>
              <w:t xml:space="preserve">) la ley que crea la subvención o auxilio en desarrollo de los artículos 334 y siguientes de la C.P. o desarrolla las subvenciones autorizadas directamente por la Constitución Política, omita determinar de manera concreta y explícita su finalidad, destinatarios, alcances materiales y temporales, condiciones y criterios de asignación, publicidad e impugnación, así como los límites a la libertad económica; </w:t>
            </w:r>
            <w:proofErr w:type="spellStart"/>
            <w:r w:rsidRPr="005647CA">
              <w:rPr>
                <w:rFonts w:ascii="Verdana" w:eastAsia="Times New Roman" w:hAnsi="Verdana" w:cs="Arial"/>
                <w:lang w:eastAsia="es-ES_tradnl"/>
              </w:rPr>
              <w:t>iii</w:t>
            </w:r>
            <w:proofErr w:type="spellEnd"/>
            <w:r w:rsidRPr="005647CA">
              <w:rPr>
                <w:rFonts w:ascii="Verdana" w:eastAsia="Times New Roman" w:hAnsi="Verdana" w:cs="Arial"/>
                <w:lang w:eastAsia="es-ES_tradnl"/>
              </w:rPr>
              <w:t xml:space="preserve">) la asignación obedezca a criterios de mera liberalidad, es decir, no se encuadre en una política pública reflejada en el Plan Nacional de Desarrollo o en los planes seccionales de desarrollo; </w:t>
            </w:r>
            <w:proofErr w:type="spellStart"/>
            <w:r w:rsidRPr="005647CA">
              <w:rPr>
                <w:rFonts w:ascii="Verdana" w:eastAsia="Times New Roman" w:hAnsi="Verdana" w:cs="Arial"/>
                <w:lang w:eastAsia="es-ES_tradnl"/>
              </w:rPr>
              <w:t>iv</w:t>
            </w:r>
            <w:proofErr w:type="spellEnd"/>
            <w:r w:rsidRPr="005647CA">
              <w:rPr>
                <w:rFonts w:ascii="Verdana" w:eastAsia="Times New Roman" w:hAnsi="Verdana" w:cs="Arial"/>
                <w:lang w:eastAsia="es-ES_tradnl"/>
              </w:rPr>
              <w:t xml:space="preserve">) cuando el costo del subsidio para el Estado sea mayor que el beneficio social que se obtiene a partir de su implementación o cuando el auxilio o subsidio sólo beneficie a un grupo de interés sin que reporte beneficios a la sociedad en su conjunto o contribuya a ampliar las diferencias sociales, v) cuando la asignación de recursos públicos no contribuya a fortalecer la capacidad de acceso de los más pobres a los bienes y servicios públicos esenciales, en la medida en que se entreguen a quienes menos lo necesitan o menos lo merecen; </w:t>
            </w:r>
            <w:proofErr w:type="spellStart"/>
            <w:r w:rsidRPr="005647CA">
              <w:rPr>
                <w:rFonts w:ascii="Verdana" w:eastAsia="Times New Roman" w:hAnsi="Verdana" w:cs="Arial"/>
                <w:lang w:eastAsia="es-ES_tradnl"/>
              </w:rPr>
              <w:t>iv</w:t>
            </w:r>
            <w:proofErr w:type="spellEnd"/>
            <w:r w:rsidRPr="005647CA">
              <w:rPr>
                <w:rFonts w:ascii="Verdana" w:eastAsia="Times New Roman" w:hAnsi="Verdana" w:cs="Arial"/>
                <w:lang w:eastAsia="es-ES_tradnl"/>
              </w:rPr>
              <w:t xml:space="preserve">) cuando el subsidio tenga vocación de permanencia convirtiéndose en una carga al presupuesto público, en la medida que el subsidio o auxilio está llamado a producir efectos inmediatos dentro de una determinada coyuntura económica, de manera que una vocación de permanencia indica que la situación o sector al cual se dirige requiere de otras y más profundas medidas estructurales; y </w:t>
            </w:r>
            <w:proofErr w:type="spellStart"/>
            <w:r w:rsidRPr="005647CA">
              <w:rPr>
                <w:rFonts w:ascii="Verdana" w:eastAsia="Times New Roman" w:hAnsi="Verdana" w:cs="Arial"/>
                <w:lang w:eastAsia="es-ES_tradnl"/>
              </w:rPr>
              <w:t>vii</w:t>
            </w:r>
            <w:proofErr w:type="spellEnd"/>
            <w:r w:rsidRPr="005647CA">
              <w:rPr>
                <w:rFonts w:ascii="Verdana" w:eastAsia="Times New Roman" w:hAnsi="Verdana" w:cs="Arial"/>
                <w:lang w:eastAsia="es-ES_tradnl"/>
              </w:rPr>
              <w:t xml:space="preserve">) cuando el </w:t>
            </w:r>
            <w:r w:rsidRPr="005647CA">
              <w:rPr>
                <w:rFonts w:ascii="Verdana" w:eastAsia="Times New Roman" w:hAnsi="Verdana" w:cs="Arial"/>
                <w:lang w:eastAsia="es-ES_tradnl"/>
              </w:rPr>
              <w:lastRenderedPageBreak/>
              <w:t>subsidio entrañe la figura de la desviación de poder, esto es, cuando el incentivo se cree con un propósito distinto de aquel para el cual aparentemente fue creado”.</w:t>
            </w:r>
          </w:p>
          <w:p w14:paraId="359A1B8A" w14:textId="77777777" w:rsidR="00556A55" w:rsidRPr="005647CA" w:rsidRDefault="00556A55" w:rsidP="008631AE">
            <w:pPr>
              <w:spacing w:after="120" w:line="276" w:lineRule="auto"/>
              <w:ind w:firstLine="709"/>
              <w:jc w:val="both"/>
              <w:rPr>
                <w:rFonts w:ascii="Verdana" w:eastAsia="Times New Roman" w:hAnsi="Verdana" w:cs="Arial"/>
                <w:lang w:eastAsia="es-ES_tradnl"/>
              </w:rPr>
            </w:pPr>
            <w:r w:rsidRPr="005647CA">
              <w:rPr>
                <w:rFonts w:ascii="Verdana" w:eastAsia="Times New Roman" w:hAnsi="Verdana" w:cs="Arial"/>
                <w:lang w:eastAsia="es-ES_tradnl"/>
              </w:rPr>
              <w:t>La jurisprudencia constitucional ha decantado en un amplio conjunto de pronunciamientos sobre el alcance del artículo 355 superior, que una prohibición absoluta implicaría una tensión inaceptable entre distintas características centrales de nuestra Constitución, por lo que suponer que el Estado, a través de sus órganos y ramas que ejercen el poder público, tiene prohibida las subvenciones a todas las actividades de las empresas de derecho privado, haría inevitable la satisfacción de las cláusulas del Estado Social de Derecho e igualdad material.</w:t>
            </w:r>
          </w:p>
          <w:p w14:paraId="741F5CD0" w14:textId="77777777" w:rsidR="00556A55" w:rsidRPr="005647CA" w:rsidRDefault="00556A55" w:rsidP="008631AE">
            <w:pPr>
              <w:spacing w:after="120" w:line="276" w:lineRule="auto"/>
              <w:ind w:firstLine="709"/>
              <w:jc w:val="both"/>
              <w:rPr>
                <w:rFonts w:ascii="Verdana" w:eastAsia="Times New Roman" w:hAnsi="Verdana" w:cs="Arial"/>
                <w:lang w:eastAsia="es-ES_tradnl"/>
              </w:rPr>
            </w:pPr>
            <w:r w:rsidRPr="005647CA">
              <w:rPr>
                <w:rFonts w:ascii="Verdana" w:eastAsia="Times New Roman" w:hAnsi="Verdana" w:cs="Arial"/>
                <w:lang w:eastAsia="es-ES_tradnl"/>
              </w:rPr>
              <w:t>Para la Corte Constitucional, serán válidos los auxilios y donaciones que: “(i) alberguen una finalidad estrictamente altruista y benéfica, y no obedezcan a la mera liberalidad del Estado</w:t>
            </w:r>
            <w:r w:rsidRPr="005647CA">
              <w:rPr>
                <w:rFonts w:ascii="Verdana" w:eastAsia="Times New Roman" w:hAnsi="Verdana" w:cs="Arial"/>
                <w:i/>
                <w:iCs/>
                <w:u w:val="single"/>
                <w:lang w:eastAsia="es-ES_tradnl"/>
              </w:rPr>
              <w:t>; la finalidad altruista del auxilio se encuentra autorizada únicamente cuando se dirige a alentar actividades o programas de interés público acordes con el plan de desarrollo y los planes seccionales de desarrollo, a través de entidades sin ánimo de lucro, con las cuales deberá suscribirse, previamente, un contrato</w:t>
            </w:r>
            <w:r w:rsidRPr="005647CA">
              <w:rPr>
                <w:rFonts w:ascii="Verdana" w:eastAsia="Times New Roman" w:hAnsi="Verdana" w:cs="Arial"/>
                <w:u w:val="single"/>
                <w:lang w:eastAsia="es-ES_tradnl"/>
              </w:rPr>
              <w:t>.</w:t>
            </w:r>
            <w:r w:rsidRPr="005647CA">
              <w:rPr>
                <w:rFonts w:ascii="Verdana" w:eastAsia="Times New Roman" w:hAnsi="Verdana" w:cs="Arial"/>
                <w:i/>
                <w:iCs/>
                <w:lang w:eastAsia="es-ES_tradnl"/>
              </w:rPr>
              <w:t xml:space="preserve"> </w:t>
            </w:r>
            <w:r w:rsidRPr="005647CA">
              <w:rPr>
                <w:rFonts w:ascii="Verdana" w:eastAsia="Times New Roman" w:hAnsi="Verdana" w:cs="Arial"/>
                <w:lang w:eastAsia="es-ES_tradnl"/>
              </w:rPr>
              <w:t>De esta manera se asegura una cierta reciprocidad a favor del Estado; (</w:t>
            </w:r>
            <w:proofErr w:type="spellStart"/>
            <w:r w:rsidRPr="005647CA">
              <w:rPr>
                <w:rFonts w:ascii="Verdana" w:eastAsia="Times New Roman" w:hAnsi="Verdana" w:cs="Arial"/>
                <w:lang w:eastAsia="es-ES_tradnl"/>
              </w:rPr>
              <w:t>ii</w:t>
            </w:r>
            <w:proofErr w:type="spellEnd"/>
            <w:r w:rsidRPr="005647CA">
              <w:rPr>
                <w:rFonts w:ascii="Verdana" w:eastAsia="Times New Roman" w:hAnsi="Verdana" w:cs="Arial"/>
                <w:lang w:eastAsia="es-ES_tradnl"/>
              </w:rPr>
              <w:t>) derivarse de la facultad de intervención del Estado en la economía y, en consecuencia, orientarse al estímulo de una determinada actividad económica; asignación que por mandato expreso del artículo 334 superior debe comportar una contraprestación; (</w:t>
            </w:r>
            <w:proofErr w:type="spellStart"/>
            <w:r w:rsidRPr="005647CA">
              <w:rPr>
                <w:rFonts w:ascii="Verdana" w:eastAsia="Times New Roman" w:hAnsi="Verdana" w:cs="Arial"/>
                <w:lang w:eastAsia="es-ES_tradnl"/>
              </w:rPr>
              <w:t>iii</w:t>
            </w:r>
            <w:proofErr w:type="spellEnd"/>
            <w:r w:rsidRPr="005647CA">
              <w:rPr>
                <w:rFonts w:ascii="Verdana" w:eastAsia="Times New Roman" w:hAnsi="Verdana" w:cs="Arial"/>
                <w:lang w:eastAsia="es-ES_tradnl"/>
              </w:rPr>
              <w:t>) fundarse en un precepto constitucional que lo autorice expresamente, en orden a garantizar los derechos fundamentales vía acceso a bienes y servicios por parte de quienes tienen mayores necesidades y menores ingresos, con lo cual se garantiza una contraprestación o beneficio social.”(Subraya y cursiva fuera de texto)</w:t>
            </w:r>
          </w:p>
          <w:p w14:paraId="7238960A" w14:textId="77777777" w:rsidR="00556A55" w:rsidRPr="00A73749" w:rsidRDefault="00556A55" w:rsidP="008631AE">
            <w:pPr>
              <w:spacing w:after="120" w:line="276" w:lineRule="auto"/>
              <w:ind w:firstLine="709"/>
              <w:jc w:val="both"/>
              <w:rPr>
                <w:rFonts w:ascii="Verdana" w:eastAsia="Times New Roman" w:hAnsi="Verdana" w:cs="Arial"/>
                <w:lang w:eastAsia="es-ES_tradnl"/>
              </w:rPr>
            </w:pPr>
            <w:r w:rsidRPr="00A73749">
              <w:rPr>
                <w:rFonts w:ascii="Verdana" w:eastAsia="Times New Roman" w:hAnsi="Verdana" w:cs="Arial"/>
                <w:lang w:eastAsia="es-ES_tradnl"/>
              </w:rPr>
              <w:t xml:space="preserve">De lo anterior se infiere, que la situación definida por el Alto Tribunal Constitucional de </w:t>
            </w:r>
            <w:r w:rsidRPr="00A73749">
              <w:rPr>
                <w:rFonts w:ascii="Verdana" w:eastAsia="Times New Roman" w:hAnsi="Verdana" w:cs="Arial"/>
                <w:i/>
                <w:iCs/>
                <w:lang w:eastAsia="es-ES_tradnl"/>
              </w:rPr>
              <w:t>“albergar una finalidad estrictamente altruista y benéfica dirigida a alentar una actividad de interés público, a través de entidades sin ánimo de lucro”,</w:t>
            </w:r>
            <w:r w:rsidRPr="00A73749">
              <w:rPr>
                <w:rFonts w:ascii="Verdana" w:eastAsia="Times New Roman" w:hAnsi="Verdana" w:cs="Arial"/>
                <w:lang w:eastAsia="es-ES_tradnl"/>
              </w:rPr>
              <w:t xml:space="preserve"> hace referencia al inciso segundo del artículo 355 superior, que facultó a las entidades públicas para que con los recursos de los respectivos presupuestos, celebren contratos con entidades privadas sin ánimo de lucro y de reconocida idoneidad con el fin de impulsar programas y actividades de interés público acordes con el Plan Nacional y los planes </w:t>
            </w:r>
            <w:r w:rsidRPr="00A73749">
              <w:rPr>
                <w:rFonts w:ascii="Verdana" w:eastAsia="Times New Roman" w:hAnsi="Verdana" w:cs="Arial"/>
                <w:lang w:eastAsia="es-ES_tradnl"/>
              </w:rPr>
              <w:lastRenderedPageBreak/>
              <w:t>seccionales de Desarrollo. Por tanto, dicho aparte normativo, permite el desarrollo de actividades esencialmente benéficas, no como instrumento económico, sino como un instrumento asistencial y altruista en el que no se privilegia la arbitrariedad y unilateralidad del gasto público, pues exige un grado aceptable de reciprocidad por parte del beneficiario de la ayuda.</w:t>
            </w:r>
          </w:p>
          <w:p w14:paraId="6996EBAB" w14:textId="77777777" w:rsidR="00874570" w:rsidRDefault="00556A55" w:rsidP="008631AE">
            <w:pPr>
              <w:spacing w:after="120" w:line="276" w:lineRule="auto"/>
              <w:ind w:firstLine="709"/>
              <w:jc w:val="both"/>
              <w:rPr>
                <w:rFonts w:ascii="Verdana" w:eastAsia="Calibri" w:hAnsi="Verdana" w:cs="Times New Roman"/>
              </w:rPr>
            </w:pPr>
            <w:r w:rsidRPr="00FB7CC6">
              <w:rPr>
                <w:rFonts w:ascii="Verdana" w:eastAsia="Calibri" w:hAnsi="Verdana" w:cs="Times New Roman"/>
              </w:rPr>
              <w:t>Ante ese panorama, en consideración a las consideraciones hasta ahora expuestas, esta Subdirección advierte que la entidad estatal será quien determine de manera concreta si la contratación que tiene por objeto la enajenación de bienes</w:t>
            </w:r>
            <w:r w:rsidRPr="00A73749">
              <w:rPr>
                <w:rFonts w:ascii="Verdana" w:eastAsia="Calibri" w:hAnsi="Verdana" w:cs="Times New Roman"/>
              </w:rPr>
              <w:t xml:space="preserve"> muebles</w:t>
            </w:r>
            <w:r w:rsidRPr="00FB7CC6">
              <w:rPr>
                <w:rFonts w:ascii="Verdana" w:eastAsia="Calibri" w:hAnsi="Verdana" w:cs="Times New Roman"/>
              </w:rPr>
              <w:t xml:space="preserve"> del Estado a título gratuito a favor de una ESAL comporta una contratación de las autorizadas por el artículo 355 superior. Sin embargo, la entidad estatal contratante deberá cerciorarse de que no se materialice la prohibición contenida en el inciso primero del artículo en cuestión. </w:t>
            </w:r>
          </w:p>
          <w:p w14:paraId="7FE0EED9" w14:textId="644C9903" w:rsidR="00556A55" w:rsidRPr="00A73749" w:rsidRDefault="00556A55" w:rsidP="008631AE">
            <w:pPr>
              <w:spacing w:after="120" w:line="276" w:lineRule="auto"/>
              <w:ind w:firstLine="709"/>
              <w:jc w:val="both"/>
              <w:rPr>
                <w:rFonts w:ascii="Verdana" w:eastAsia="Times New Roman" w:hAnsi="Verdana" w:cs="Arial"/>
                <w:lang w:eastAsia="es-ES_tradnl"/>
              </w:rPr>
            </w:pPr>
            <w:r w:rsidRPr="008B0381">
              <w:rPr>
                <w:rFonts w:ascii="Verdana" w:eastAsia="Calibri" w:hAnsi="Verdana" w:cs="Times New Roman"/>
                <w:lang w:val="es-ES"/>
              </w:rPr>
              <w:t>Dentro de este marco, la entidad pública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w:t>
            </w:r>
          </w:p>
        </w:tc>
      </w:tr>
    </w:tbl>
    <w:p w14:paraId="428CFDB6" w14:textId="77777777" w:rsidR="00556A55" w:rsidRPr="00B57A1B" w:rsidRDefault="00556A55" w:rsidP="00556A55">
      <w:pPr>
        <w:spacing w:after="0" w:line="276" w:lineRule="auto"/>
        <w:jc w:val="both"/>
        <w:rPr>
          <w:rFonts w:ascii="Verdana" w:eastAsia="Calibri" w:hAnsi="Verdana" w:cs="Arial"/>
          <w:bCs/>
          <w:color w:val="000000" w:themeColor="text1"/>
        </w:rPr>
      </w:pPr>
    </w:p>
    <w:p w14:paraId="35EE0210" w14:textId="77777777" w:rsidR="00556A55" w:rsidRPr="00B57A1B" w:rsidRDefault="00556A55" w:rsidP="00556A55">
      <w:pPr>
        <w:numPr>
          <w:ilvl w:val="0"/>
          <w:numId w:val="16"/>
        </w:numPr>
        <w:tabs>
          <w:tab w:val="left" w:pos="2268"/>
        </w:tabs>
        <w:spacing w:after="0" w:line="276" w:lineRule="auto"/>
        <w:rPr>
          <w:rFonts w:ascii="Verdana" w:eastAsia="Calibri" w:hAnsi="Verdana" w:cs="Times New Roman"/>
          <w:b/>
          <w:bCs/>
          <w:lang w:val="es-ES"/>
        </w:rPr>
      </w:pPr>
      <w:r w:rsidRPr="00B57A1B">
        <w:rPr>
          <w:rFonts w:ascii="Verdana" w:eastAsia="Calibri" w:hAnsi="Verdana" w:cs="Times New Roman"/>
          <w:b/>
          <w:bCs/>
          <w:lang w:val="es-ES"/>
        </w:rPr>
        <w:t>Razones de la respuesta:</w:t>
      </w:r>
    </w:p>
    <w:p w14:paraId="06D1FC94" w14:textId="77777777" w:rsidR="00556A55" w:rsidRPr="00B57A1B" w:rsidRDefault="00556A55" w:rsidP="00556A55">
      <w:pPr>
        <w:spacing w:after="0" w:line="276" w:lineRule="auto"/>
        <w:rPr>
          <w:rFonts w:ascii="Verdana" w:eastAsia="Calibri" w:hAnsi="Verdana" w:cs="Times New Roman"/>
          <w:b/>
          <w:bCs/>
          <w:lang w:val="es-ES"/>
        </w:rPr>
      </w:pPr>
    </w:p>
    <w:p w14:paraId="40D3684C" w14:textId="77777777" w:rsidR="00556A55" w:rsidRPr="00B57A1B" w:rsidRDefault="00556A55" w:rsidP="00556A55">
      <w:pPr>
        <w:spacing w:after="0" w:line="276" w:lineRule="auto"/>
        <w:jc w:val="both"/>
        <w:rPr>
          <w:rFonts w:ascii="Verdana" w:eastAsia="Calibri" w:hAnsi="Verdana" w:cs="Arial"/>
          <w:lang w:val="es-ES"/>
        </w:rPr>
      </w:pPr>
      <w:r w:rsidRPr="00B57A1B">
        <w:rPr>
          <w:rFonts w:ascii="Verdana" w:eastAsia="Calibri" w:hAnsi="Verdana" w:cs="Arial"/>
          <w:lang w:val="es-ES"/>
        </w:rPr>
        <w:t xml:space="preserve">Lo anterior se sustenta en las siguientes consideraciones: </w:t>
      </w:r>
    </w:p>
    <w:p w14:paraId="0954FDBC" w14:textId="77777777" w:rsidR="00556A55" w:rsidRPr="00415608" w:rsidRDefault="00556A55" w:rsidP="00556A55">
      <w:pPr>
        <w:spacing w:after="0" w:line="276" w:lineRule="auto"/>
        <w:jc w:val="both"/>
        <w:rPr>
          <w:rFonts w:ascii="Verdana" w:eastAsia="Calibri" w:hAnsi="Verdana" w:cs="Arial"/>
          <w:lang w:val="es-ES"/>
        </w:rPr>
      </w:pPr>
      <w:bookmarkStart w:id="1" w:name="_Hlk78820161"/>
    </w:p>
    <w:p w14:paraId="1C96CBC6" w14:textId="77777777" w:rsidR="00556A55" w:rsidRPr="0019267B" w:rsidRDefault="00556A55" w:rsidP="00556A55">
      <w:pPr>
        <w:spacing w:after="120" w:line="276" w:lineRule="auto"/>
        <w:jc w:val="both"/>
        <w:rPr>
          <w:rFonts w:ascii="Verdana" w:hAnsi="Verdana" w:cs="Arial"/>
        </w:rPr>
      </w:pPr>
      <w:r w:rsidRPr="00097627">
        <w:rPr>
          <w:rFonts w:ascii="Verdana" w:eastAsia="Calibri" w:hAnsi="Verdana" w:cs="Arial"/>
          <w:bCs/>
          <w:lang w:val="es-ES_tradnl"/>
        </w:rPr>
        <w:t>i.</w:t>
      </w:r>
      <w:r w:rsidRPr="00097627">
        <w:rPr>
          <w:rFonts w:ascii="Verdana" w:eastAsia="Calibri" w:hAnsi="Verdana" w:cs="Arial"/>
          <w:color w:val="000000"/>
          <w:lang w:val="es-MX"/>
        </w:rPr>
        <w:t xml:space="preserve"> </w:t>
      </w:r>
      <w:r w:rsidRPr="0019267B">
        <w:rPr>
          <w:rFonts w:ascii="Verdana" w:eastAsia="Calibri" w:hAnsi="Verdana" w:cs="Arial"/>
          <w:lang w:val="es-ES"/>
        </w:rPr>
        <w:t xml:space="preserve">El Estatuto General de Contratación de la Administración Pública –EGCAP- define los contratos de obra, consultoría, prestación de servicios, concesión, encargos fiduciarios y fiducia pública. Sin embargo, se trata de un listado enunciativo, pues la Ley 80 de 1993 se integra con las tipologías contractuales previstas en el derecho privado. Por ello, </w:t>
      </w:r>
      <w:r w:rsidRPr="0019267B">
        <w:rPr>
          <w:rFonts w:ascii="Verdana" w:hAnsi="Verdana" w:cs="Arial"/>
        </w:rPr>
        <w:t xml:space="preserve">el inciso primero del artículo 13 dispone: “Los contratos que celebren las entidades a que se refiere el artículo 2o. del presente estatuto se regirán por las disposiciones comerciales y civiles pertinentes, salvo en las materias particularmente reguladas en esta ley”. </w:t>
      </w:r>
    </w:p>
    <w:p w14:paraId="6014206D" w14:textId="77777777" w:rsidR="00556A55" w:rsidRPr="0019267B" w:rsidRDefault="00556A55" w:rsidP="00556A55">
      <w:pPr>
        <w:spacing w:after="0" w:line="276" w:lineRule="auto"/>
        <w:ind w:firstLine="709"/>
        <w:jc w:val="both"/>
        <w:rPr>
          <w:rFonts w:ascii="Verdana" w:hAnsi="Verdana" w:cs="Arial"/>
        </w:rPr>
      </w:pPr>
      <w:r w:rsidRPr="0019267B">
        <w:rPr>
          <w:rFonts w:ascii="Verdana" w:hAnsi="Verdana" w:cs="Arial"/>
        </w:rPr>
        <w:t xml:space="preserve">Dicha idea también se reitera en el EGCAP considerando que: “Son contratos estatales todos los actos jurídicos generadores de obligaciones que </w:t>
      </w:r>
      <w:r w:rsidRPr="0019267B">
        <w:rPr>
          <w:rFonts w:ascii="Verdana" w:hAnsi="Verdana" w:cs="Arial"/>
        </w:rPr>
        <w:lastRenderedPageBreak/>
        <w:t>celebren las entidades a que se refiere el presente estatuto, previstos en el derecho privado o en disposiciones especiales, o derivados del ejercicio de la autonomía de la voluntad” –art. 32, inciso primero–. Asimismo, dispone que “Las estipulaciones de los contratos serán las que, de acuerdo con las normas civiles, comerciales y las previstas en esta ley, correspondan a su esencia y naturaleza” –art. 40, inciso primero–.</w:t>
      </w:r>
      <w:r>
        <w:rPr>
          <w:rFonts w:ascii="Verdana" w:hAnsi="Verdana" w:cs="Arial"/>
        </w:rPr>
        <w:t xml:space="preserve"> </w:t>
      </w:r>
      <w:r w:rsidRPr="0019267B">
        <w:rPr>
          <w:rFonts w:ascii="Verdana" w:hAnsi="Verdana" w:cs="Arial"/>
        </w:rPr>
        <w:t>De esta manera, los contratos de las entidades sometidas al EGCAP se rigen generalmente por el derecho privado y, excepcionalmente, por el derecho público, pues las normas civiles y comerciales son el derecho común de los contratos estatales</w:t>
      </w:r>
      <w:r w:rsidRPr="0019267B">
        <w:rPr>
          <w:rFonts w:ascii="Verdana" w:hAnsi="Verdana" w:cs="Arial"/>
          <w:vertAlign w:val="superscript"/>
        </w:rPr>
        <w:footnoteReference w:id="1"/>
      </w:r>
      <w:r w:rsidRPr="0019267B">
        <w:rPr>
          <w:rFonts w:ascii="Verdana" w:hAnsi="Verdana" w:cs="Arial"/>
        </w:rPr>
        <w:t>. Para la doctrina, la mixtura del régimen contractual:</w:t>
      </w:r>
    </w:p>
    <w:p w14:paraId="7F2CE9F5" w14:textId="77777777" w:rsidR="00556A55" w:rsidRPr="0019267B" w:rsidRDefault="00556A55" w:rsidP="00556A55">
      <w:pPr>
        <w:spacing w:after="0" w:line="276" w:lineRule="auto"/>
        <w:ind w:firstLine="709"/>
        <w:jc w:val="both"/>
        <w:rPr>
          <w:rFonts w:ascii="Verdana" w:hAnsi="Verdana" w:cs="Arial"/>
        </w:rPr>
      </w:pPr>
    </w:p>
    <w:p w14:paraId="79185F93" w14:textId="77777777" w:rsidR="00556A55" w:rsidRPr="0019267B" w:rsidRDefault="00556A55" w:rsidP="00556A55">
      <w:pPr>
        <w:spacing w:after="0" w:line="240" w:lineRule="auto"/>
        <w:ind w:left="709" w:right="709"/>
        <w:jc w:val="both"/>
        <w:rPr>
          <w:rFonts w:ascii="Verdana" w:hAnsi="Verdana" w:cs="Arial"/>
          <w:sz w:val="20"/>
          <w:szCs w:val="20"/>
        </w:rPr>
      </w:pPr>
      <w:r w:rsidRPr="0019267B">
        <w:rPr>
          <w:rFonts w:ascii="Verdana" w:hAnsi="Verdana" w:cs="Arial"/>
          <w:sz w:val="20"/>
          <w:szCs w:val="20"/>
        </w:rPr>
        <w:t xml:space="preserve">“[…] no hace otra cosa que aprovechar ciertos principios rectores de la contratación general </w:t>
      </w:r>
      <w:proofErr w:type="gramStart"/>
      <w:r w:rsidRPr="0019267B">
        <w:rPr>
          <w:rFonts w:ascii="Verdana" w:hAnsi="Verdana" w:cs="Arial"/>
          <w:sz w:val="20"/>
          <w:szCs w:val="20"/>
        </w:rPr>
        <w:t>que</w:t>
      </w:r>
      <w:proofErr w:type="gramEnd"/>
      <w:r w:rsidRPr="0019267B">
        <w:rPr>
          <w:rFonts w:ascii="Verdana" w:hAnsi="Verdana" w:cs="Arial"/>
          <w:sz w:val="20"/>
          <w:szCs w:val="20"/>
        </w:rPr>
        <w:t xml:space="preserve"> aunque tengan su consagración en códigos de derecho privado como el civil o el comercial, no son propios y exclusivos de este derecho. Baste pensar en los requisitos de consentimiento válido, objeto y causa lícitos, capacidad, elementos esenciales según la naturaleza de cada contrato, responsabilidad, naturaleza de las obligaciones emanadas de los mismos, etc. etc. Extremos éstos que de derecho privado no tienen sino su presentación formal o el nombre y que la tradición, desde su origen romano, se acostumbró a calificarlos así y a no preocuparse por su cuestionamiento o definición.</w:t>
      </w:r>
    </w:p>
    <w:p w14:paraId="3717891B" w14:textId="77777777" w:rsidR="00556A55" w:rsidRPr="0019267B" w:rsidRDefault="00556A55" w:rsidP="00556A55">
      <w:pPr>
        <w:spacing w:after="0" w:line="240" w:lineRule="auto"/>
        <w:ind w:right="709"/>
        <w:jc w:val="both"/>
        <w:rPr>
          <w:rFonts w:ascii="Verdana" w:hAnsi="Verdana" w:cs="Arial"/>
          <w:sz w:val="20"/>
          <w:szCs w:val="20"/>
        </w:rPr>
      </w:pPr>
      <w:r w:rsidRPr="0019267B">
        <w:rPr>
          <w:rFonts w:ascii="Verdana" w:hAnsi="Verdana" w:cs="Arial"/>
          <w:sz w:val="20"/>
          <w:szCs w:val="20"/>
        </w:rPr>
        <w:tab/>
      </w:r>
    </w:p>
    <w:p w14:paraId="1CF3B0A5" w14:textId="77777777" w:rsidR="00556A55" w:rsidRPr="0019267B" w:rsidRDefault="00556A55" w:rsidP="00556A55">
      <w:pPr>
        <w:spacing w:after="0" w:line="240" w:lineRule="auto"/>
        <w:ind w:left="709" w:right="709"/>
        <w:jc w:val="both"/>
        <w:rPr>
          <w:rFonts w:ascii="Verdana" w:hAnsi="Verdana" w:cs="Arial"/>
          <w:sz w:val="20"/>
          <w:szCs w:val="20"/>
        </w:rPr>
      </w:pPr>
      <w:r w:rsidRPr="0019267B">
        <w:rPr>
          <w:rFonts w:ascii="Verdana" w:hAnsi="Verdana" w:cs="Arial"/>
          <w:sz w:val="20"/>
          <w:szCs w:val="20"/>
        </w:rPr>
        <w:t>En otras palabras, extremos como los indicados no son ni de derecho público ni de derecho privado, sino, simplemente, de derecho propio, aplicables a toda relación contractual, con prescindencia de la naturaleza de los sujetos involucrados en la misma”</w:t>
      </w:r>
      <w:r w:rsidRPr="0019267B">
        <w:rPr>
          <w:rFonts w:ascii="Verdana" w:hAnsi="Verdana" w:cs="Arial"/>
          <w:sz w:val="20"/>
          <w:szCs w:val="20"/>
          <w:vertAlign w:val="superscript"/>
        </w:rPr>
        <w:footnoteReference w:id="2"/>
      </w:r>
      <w:r w:rsidRPr="0019267B">
        <w:rPr>
          <w:rFonts w:ascii="Verdana" w:hAnsi="Verdana" w:cs="Arial"/>
          <w:sz w:val="20"/>
          <w:szCs w:val="20"/>
        </w:rPr>
        <w:t xml:space="preserve">. </w:t>
      </w:r>
    </w:p>
    <w:p w14:paraId="4BCC69A1" w14:textId="77777777" w:rsidR="00556A55" w:rsidRPr="0019267B" w:rsidRDefault="00556A55" w:rsidP="00556A55">
      <w:pPr>
        <w:spacing w:after="0" w:line="276" w:lineRule="auto"/>
        <w:ind w:left="709" w:right="709"/>
        <w:jc w:val="both"/>
        <w:rPr>
          <w:rFonts w:ascii="Verdana" w:hAnsi="Verdana" w:cs="Arial"/>
        </w:rPr>
      </w:pPr>
      <w:r w:rsidRPr="0019267B">
        <w:rPr>
          <w:rFonts w:ascii="Verdana" w:hAnsi="Verdana" w:cs="Arial"/>
        </w:rPr>
        <w:t xml:space="preserve"> </w:t>
      </w:r>
    </w:p>
    <w:p w14:paraId="7BFD2E76" w14:textId="77777777" w:rsidR="00556A55" w:rsidRPr="0019267B" w:rsidRDefault="00556A55" w:rsidP="00556A55">
      <w:pPr>
        <w:spacing w:after="0" w:line="276" w:lineRule="auto"/>
        <w:jc w:val="both"/>
        <w:rPr>
          <w:rFonts w:ascii="Verdana" w:hAnsi="Verdana" w:cs="Arial"/>
        </w:rPr>
      </w:pPr>
      <w:r w:rsidRPr="0019267B">
        <w:rPr>
          <w:rFonts w:ascii="Verdana" w:hAnsi="Verdana" w:cs="Arial"/>
        </w:rPr>
        <w:tab/>
        <w:t xml:space="preserve">Ello no implica una privatización absoluta del régimen contractual de las entidades públicas, pues la Ley 80 de 1993 –entre otros aspectos– regula especialmente la capacidad jurídica –inhabilidades, incompatibilidades, consorcios y uniones temporales y registro único de proponentes–, las reglas de selección objetiva –procedimientos de selección–, así como algunos aspectos de ejecución contractual –manejo del riesgo, cláusulas exorbitantes y tipologías contractuales–. Por ello, con excepción de las materias expresamente reguladas en el Estatuto de Contratación, es posible la aplicación de las normas de derecho privado. </w:t>
      </w:r>
    </w:p>
    <w:p w14:paraId="3AEC5110" w14:textId="77777777" w:rsidR="00556A55" w:rsidRPr="0019267B" w:rsidRDefault="00556A55" w:rsidP="00556A55">
      <w:pPr>
        <w:tabs>
          <w:tab w:val="left" w:pos="426"/>
        </w:tabs>
        <w:spacing w:after="120" w:line="276" w:lineRule="auto"/>
        <w:jc w:val="both"/>
        <w:rPr>
          <w:rFonts w:ascii="Verdana" w:hAnsi="Verdana" w:cs="Arial"/>
          <w:bCs/>
          <w:lang w:eastAsia="es-ES" w:bidi="es-ES"/>
        </w:rPr>
      </w:pPr>
    </w:p>
    <w:p w14:paraId="16EEB7BE" w14:textId="77777777" w:rsidR="00556A55" w:rsidRPr="0019267B" w:rsidRDefault="00556A55" w:rsidP="00556A55">
      <w:pPr>
        <w:tabs>
          <w:tab w:val="left" w:pos="426"/>
        </w:tabs>
        <w:spacing w:after="120" w:line="276" w:lineRule="auto"/>
        <w:jc w:val="both"/>
        <w:rPr>
          <w:rFonts w:ascii="Verdana" w:eastAsia="Arial" w:hAnsi="Verdana" w:cs="Arial"/>
          <w:color w:val="000000" w:themeColor="text1"/>
          <w:lang w:val="es-ES" w:eastAsia="es-ES"/>
        </w:rPr>
      </w:pPr>
      <w:proofErr w:type="spellStart"/>
      <w:r w:rsidRPr="0019267B">
        <w:rPr>
          <w:rFonts w:ascii="Verdana" w:hAnsi="Verdana" w:cs="Arial"/>
          <w:lang w:val="es-ES"/>
        </w:rPr>
        <w:t>ii</w:t>
      </w:r>
      <w:proofErr w:type="spellEnd"/>
      <w:r w:rsidRPr="0019267B">
        <w:rPr>
          <w:rFonts w:ascii="Verdana" w:hAnsi="Verdana" w:cs="Arial"/>
          <w:lang w:val="es-ES"/>
        </w:rPr>
        <w:t>. Los contratos se fundan bajo el principio de autonomía de voluntad de las partes, donde ocurren varias personas en la celebración de un negocio que suelen ser quienes materialmente, y en la práctica, actúan como partes del correspondiente acuerdo, es decir, quienes se obligan en virtud de este. En efecto</w:t>
      </w:r>
      <w:r w:rsidRPr="0019267B">
        <w:rPr>
          <w:rFonts w:ascii="Verdana" w:eastAsia="Arial" w:hAnsi="Verdana" w:cs="Arial"/>
          <w:color w:val="000000" w:themeColor="text1"/>
          <w:lang w:val="es-ES" w:eastAsia="es-ES"/>
        </w:rPr>
        <w:t>, el artículo 1495 del Código Civil establece que el “[c]</w:t>
      </w:r>
      <w:proofErr w:type="spellStart"/>
      <w:r w:rsidRPr="0019267B">
        <w:rPr>
          <w:rFonts w:ascii="Verdana" w:eastAsia="Arial" w:hAnsi="Verdana" w:cs="Arial"/>
          <w:color w:val="000000" w:themeColor="text1"/>
          <w:lang w:val="es-ES" w:eastAsia="es-ES"/>
        </w:rPr>
        <w:t>ontrato</w:t>
      </w:r>
      <w:proofErr w:type="spellEnd"/>
      <w:r w:rsidRPr="0019267B">
        <w:rPr>
          <w:rFonts w:ascii="Verdana" w:eastAsia="Arial" w:hAnsi="Verdana" w:cs="Arial"/>
          <w:color w:val="000000" w:themeColor="text1"/>
          <w:lang w:val="es-ES" w:eastAsia="es-ES"/>
        </w:rPr>
        <w:t xml:space="preserve"> o convención es un acto por el cual una parte se obliga para con otra a dar, hacer, o no alguna cosa. Cada parte puede ser de una o muchas personas”. A su turno, el Código de Comercio establece en el artículo 864 que “[e]l contrato es un acuerdo de dos o más partes para constituir, regular o extinguir entre ellas una relación jurídica patrimonial”.</w:t>
      </w:r>
    </w:p>
    <w:p w14:paraId="5F0BC133" w14:textId="77777777" w:rsidR="00556A55" w:rsidRPr="0019267B" w:rsidRDefault="00556A55" w:rsidP="00556A55">
      <w:pPr>
        <w:widowControl w:val="0"/>
        <w:autoSpaceDE w:val="0"/>
        <w:autoSpaceDN w:val="0"/>
        <w:spacing w:after="120" w:line="276" w:lineRule="auto"/>
        <w:ind w:firstLine="708"/>
        <w:jc w:val="both"/>
        <w:rPr>
          <w:rFonts w:ascii="Verdana" w:eastAsia="Arial" w:hAnsi="Verdana" w:cs="Arial"/>
          <w:color w:val="000000" w:themeColor="text1"/>
          <w:lang w:val="es-ES_tradnl" w:eastAsia="es-ES_tradnl"/>
        </w:rPr>
      </w:pPr>
      <w:r w:rsidRPr="0019267B">
        <w:rPr>
          <w:rFonts w:ascii="Verdana" w:eastAsia="Arial" w:hAnsi="Verdana" w:cs="Arial"/>
          <w:color w:val="000000" w:themeColor="text1"/>
          <w:lang w:val="es-ES_tradnl" w:eastAsia="es-ES_tradnl"/>
        </w:rPr>
        <w:t xml:space="preserve">Por su parte, el artículo 1º de la Ley 80 de 1993 determina que su objetivo es disponer de reglas y principios que rigen los contratos de las entidades estatales y, en ese sentido, el artículo 32 </w:t>
      </w:r>
      <w:r w:rsidRPr="0019267B">
        <w:rPr>
          <w:rFonts w:ascii="Verdana" w:eastAsia="Arial" w:hAnsi="Verdana" w:cs="Arial"/>
          <w:i/>
          <w:iCs/>
          <w:color w:val="000000" w:themeColor="text1"/>
          <w:lang w:val="es-ES_tradnl" w:eastAsia="es-ES_tradnl"/>
        </w:rPr>
        <w:t>ibidem</w:t>
      </w:r>
      <w:r w:rsidRPr="0019267B">
        <w:rPr>
          <w:rFonts w:ascii="Verdana" w:eastAsia="Arial" w:hAnsi="Verdana" w:cs="Arial"/>
          <w:color w:val="000000" w:themeColor="text1"/>
          <w:lang w:val="es-ES_tradnl" w:eastAsia="es-ES_tradnl"/>
        </w:rPr>
        <w:t xml:space="preserve"> define los contratos estatales como “todos los actos jurídicos, generadores de obligaciones que celebren las entidades a que se refiere este estatuto [art. 2], previstos en el derecho privado o en disposiciones especiales, o derivados del ejercicio de la autonomía de la voluntad”. De acuerdo con lo anterior, para la definición de contrato estatal basta con que una de las entidades que enumera el artículo 2º de la Ley 80 de 1993</w:t>
      </w:r>
      <w:r w:rsidRPr="0019267B">
        <w:rPr>
          <w:rFonts w:ascii="Verdana" w:eastAsia="Arial" w:hAnsi="Verdana" w:cs="Arial"/>
          <w:color w:val="000000" w:themeColor="text1"/>
          <w:vertAlign w:val="superscript"/>
          <w:lang w:val="es-ES_tradnl" w:eastAsia="es-ES_tradnl"/>
        </w:rPr>
        <w:footnoteReference w:id="3"/>
      </w:r>
      <w:r w:rsidRPr="0019267B">
        <w:rPr>
          <w:rFonts w:ascii="Verdana" w:eastAsia="Arial" w:hAnsi="Verdana" w:cs="Arial"/>
          <w:color w:val="000000" w:themeColor="text1"/>
          <w:lang w:val="es-ES_tradnl" w:eastAsia="es-ES_tradnl"/>
        </w:rPr>
        <w:t xml:space="preserve"> sea una de las partes, sin importar el extremo de la relación jurídico negocial que</w:t>
      </w:r>
      <w:r w:rsidRPr="0019267B">
        <w:rPr>
          <w:rFonts w:ascii="Verdana" w:eastAsia="Arial" w:hAnsi="Verdana" w:cs="Arial"/>
          <w:color w:val="000000" w:themeColor="text1"/>
          <w:spacing w:val="-14"/>
          <w:lang w:val="es-ES_tradnl" w:eastAsia="es-ES_tradnl"/>
        </w:rPr>
        <w:t xml:space="preserve"> </w:t>
      </w:r>
      <w:r w:rsidRPr="0019267B">
        <w:rPr>
          <w:rFonts w:ascii="Verdana" w:eastAsia="Arial" w:hAnsi="Verdana" w:cs="Arial"/>
          <w:color w:val="000000" w:themeColor="text1"/>
          <w:lang w:val="es-ES_tradnl" w:eastAsia="es-ES_tradnl"/>
        </w:rPr>
        <w:t xml:space="preserve">asuma. </w:t>
      </w:r>
    </w:p>
    <w:p w14:paraId="60FF9ED0" w14:textId="77777777" w:rsidR="00556A55" w:rsidRPr="0019267B" w:rsidRDefault="00556A55" w:rsidP="00556A55">
      <w:pPr>
        <w:spacing w:after="120" w:line="276" w:lineRule="auto"/>
        <w:ind w:firstLine="708"/>
        <w:jc w:val="both"/>
        <w:rPr>
          <w:rFonts w:ascii="Verdana" w:eastAsia="Calibri" w:hAnsi="Verdana"/>
          <w:color w:val="000000" w:themeColor="text1"/>
          <w:lang w:val="es-ES"/>
        </w:rPr>
      </w:pPr>
      <w:r w:rsidRPr="0019267B">
        <w:rPr>
          <w:rFonts w:ascii="Verdana" w:eastAsia="Calibri" w:hAnsi="Verdana"/>
          <w:color w:val="000000" w:themeColor="text1"/>
          <w:lang w:val="es-ES"/>
        </w:rPr>
        <w:t xml:space="preserve">Más allá de la tipicidad o no del contrato estatal, es necesario tener en cuenta que la capacidad contractual para celebrar contratos estatales está regulada en el artículo 6 de la Ley 80 de 1993. De conformidad con la norma citada, “Pueden celebrar contratos con las entidades estatales las personas </w:t>
      </w:r>
      <w:r w:rsidRPr="0019267B">
        <w:rPr>
          <w:rFonts w:ascii="Verdana" w:eastAsia="Calibri" w:hAnsi="Verdana"/>
          <w:color w:val="000000" w:themeColor="text1"/>
          <w:lang w:val="es-ES"/>
        </w:rPr>
        <w:lastRenderedPageBreak/>
        <w:t xml:space="preserve">consideradas legalmente capaces en las disposiciones vigentes […]”. De acuerdo con la modificación de la Ley 2160 de 2021, la norma agrega lo siguiente: “[…] También podrán celebrar contratos con las entidades estatales los Cabildos Indígenas, las asociaciones de Autoridades Tradicionales Indígenas, los consejos comunitarios de las comunidades negras regulados por la Ley 70 de 1993 […] las organizaciones de base de comunidades negras, afrocolombianas, raizales y palenqueras y las demás formas y expresiones organizativas […]; y los consorcios y uniones temporales”. </w:t>
      </w:r>
    </w:p>
    <w:p w14:paraId="497C70DF" w14:textId="77777777" w:rsidR="00556A55" w:rsidRPr="0019267B" w:rsidRDefault="00556A55" w:rsidP="00556A55">
      <w:pPr>
        <w:spacing w:after="120" w:line="276" w:lineRule="auto"/>
        <w:ind w:firstLine="709"/>
        <w:jc w:val="both"/>
        <w:rPr>
          <w:rFonts w:ascii="Verdana" w:eastAsia="Calibri" w:hAnsi="Verdana"/>
          <w:color w:val="000000" w:themeColor="text1"/>
        </w:rPr>
      </w:pPr>
      <w:r w:rsidRPr="0019267B">
        <w:rPr>
          <w:rFonts w:ascii="Verdana" w:eastAsia="Calibri" w:hAnsi="Verdana"/>
          <w:color w:val="000000" w:themeColor="text1"/>
        </w:rPr>
        <w:t>Asimismo, para efectos de individualizar sus requisitos esenciales, el artículo 1501 del Código Civil dispone que corresponden a “[…] aquellas cosas sin las cuales, o no produce efecto alguno, o degeneran en otro contrato diferente […]”. Es decir, “[…] no es admisible un juicio de comparación con las figuras típicas del ordenamiento, en virtud de la indeterminación inherente antes de su perfeccionamiento, pues […] este es fruto de la mera autonomía privada de las partes, la cual da vida a una figura absolutamente extraña a los tipos contractuales establecidos por las normas jurídicas del ordenamiento jurídico y por la costumbre […]”</w:t>
      </w:r>
      <w:r w:rsidRPr="0019267B">
        <w:rPr>
          <w:rFonts w:ascii="Verdana" w:eastAsia="Calibri" w:hAnsi="Verdana"/>
          <w:color w:val="000000" w:themeColor="text1"/>
          <w:vertAlign w:val="superscript"/>
        </w:rPr>
        <w:footnoteReference w:id="4"/>
      </w:r>
      <w:r w:rsidRPr="0019267B">
        <w:rPr>
          <w:rFonts w:ascii="Verdana" w:eastAsia="Calibri" w:hAnsi="Verdana"/>
          <w:color w:val="000000" w:themeColor="text1"/>
        </w:rPr>
        <w:t xml:space="preserve">. </w:t>
      </w:r>
    </w:p>
    <w:p w14:paraId="4602F6A6" w14:textId="77777777" w:rsidR="00556A55" w:rsidRDefault="00556A55" w:rsidP="00556A55">
      <w:pPr>
        <w:spacing w:after="0" w:line="276" w:lineRule="auto"/>
        <w:ind w:firstLine="708"/>
        <w:jc w:val="both"/>
        <w:rPr>
          <w:rFonts w:ascii="Verdana" w:eastAsia="Calibri" w:hAnsi="Verdana" w:cs="Arial"/>
          <w:color w:val="000000"/>
          <w:lang w:val="es-MX"/>
        </w:rPr>
      </w:pPr>
      <w:r w:rsidRPr="0019267B">
        <w:rPr>
          <w:rFonts w:ascii="Verdana" w:eastAsia="Calibri" w:hAnsi="Verdana"/>
          <w:color w:val="000000" w:themeColor="text1"/>
          <w:lang w:val="es-ES"/>
        </w:rPr>
        <w:t xml:space="preserve">Al margen de la tipicidad o no del negocio, la existencia de los contratos estatales, es decir, la producción de efectos jurídicos en los términos del artículo 1501 </w:t>
      </w:r>
      <w:r w:rsidRPr="0019267B">
        <w:rPr>
          <w:rFonts w:ascii="Verdana" w:eastAsia="Calibri" w:hAnsi="Verdana"/>
          <w:i/>
          <w:color w:val="000000" w:themeColor="text1"/>
          <w:lang w:val="es-ES"/>
        </w:rPr>
        <w:t>ibidem</w:t>
      </w:r>
      <w:r w:rsidRPr="0019267B">
        <w:rPr>
          <w:rFonts w:ascii="Verdana" w:eastAsia="Calibri" w:hAnsi="Verdana"/>
          <w:color w:val="000000" w:themeColor="text1"/>
          <w:lang w:val="es-ES"/>
        </w:rPr>
        <w:t>, depende de la regulación del inciso primero de los artículos 39 y 41 del EGCAP.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w:t>
      </w:r>
    </w:p>
    <w:p w14:paraId="7ABD1DC3" w14:textId="77777777" w:rsidR="00556A55" w:rsidRDefault="00556A55" w:rsidP="00556A55">
      <w:pPr>
        <w:spacing w:after="0" w:line="276" w:lineRule="auto"/>
        <w:jc w:val="both"/>
        <w:rPr>
          <w:rFonts w:ascii="Verdana" w:eastAsia="Calibri" w:hAnsi="Verdana" w:cs="Arial"/>
          <w:color w:val="000000"/>
          <w:lang w:val="es-MX"/>
        </w:rPr>
      </w:pPr>
    </w:p>
    <w:p w14:paraId="442BAB6A" w14:textId="77777777" w:rsidR="00556A55" w:rsidRPr="0081189E" w:rsidRDefault="00556A55" w:rsidP="00556A55">
      <w:pPr>
        <w:pStyle w:val="NormalWeb"/>
        <w:spacing w:before="0" w:beforeAutospacing="0" w:after="0" w:afterAutospacing="0" w:line="276" w:lineRule="auto"/>
        <w:jc w:val="both"/>
        <w:rPr>
          <w:rFonts w:ascii="Verdana" w:eastAsia="Century Gothic" w:hAnsi="Verdana" w:cs="Century Gothic"/>
          <w:sz w:val="22"/>
          <w:szCs w:val="22"/>
        </w:rPr>
      </w:pPr>
      <w:proofErr w:type="spellStart"/>
      <w:r w:rsidRPr="0081189E">
        <w:rPr>
          <w:rFonts w:ascii="Verdana" w:eastAsia="Calibri" w:hAnsi="Verdana" w:cs="Arial"/>
          <w:color w:val="000000"/>
          <w:sz w:val="22"/>
          <w:szCs w:val="22"/>
          <w:lang w:val="es-MX"/>
        </w:rPr>
        <w:t>iii</w:t>
      </w:r>
      <w:proofErr w:type="spellEnd"/>
      <w:r w:rsidRPr="0081189E">
        <w:rPr>
          <w:rFonts w:ascii="Verdana" w:eastAsia="Calibri" w:hAnsi="Verdana" w:cs="Arial"/>
          <w:color w:val="000000"/>
          <w:sz w:val="22"/>
          <w:szCs w:val="22"/>
          <w:lang w:val="es-MX"/>
        </w:rPr>
        <w:t xml:space="preserve">. </w:t>
      </w:r>
      <w:r w:rsidRPr="0081189E">
        <w:rPr>
          <w:rFonts w:ascii="Verdana" w:eastAsia="Century Gothic" w:hAnsi="Verdana" w:cs="Century Gothic"/>
          <w:sz w:val="22"/>
          <w:szCs w:val="22"/>
        </w:rPr>
        <w:t xml:space="preserve">Ahora bien, entrando en la materia de consulta, sobre el contrato de donación, podría decirse que aquel hace parte de los contratos nominados en el derecho privado, pero no ha sido desarrollado de manera especial, ni cuenta con una regulación amplía que abarque su concepto, alcance y contenido. Incluso, </w:t>
      </w:r>
      <w:r w:rsidRPr="0081189E">
        <w:rPr>
          <w:rFonts w:ascii="Verdana" w:eastAsia="Century Gothic" w:hAnsi="Verdana" w:cs="Century Gothic"/>
          <w:sz w:val="22"/>
          <w:szCs w:val="22"/>
        </w:rPr>
        <w:lastRenderedPageBreak/>
        <w:t>la Subsección A, de la Sección Tercera del Consejo de Estado, se pronunció sobre este tema en Sentencia del 10 de febrero de 2016, radicación núm. 15001-23-31-000-2003-00628-01 (39538), al señalar que:</w:t>
      </w:r>
    </w:p>
    <w:p w14:paraId="5A5BD8CC" w14:textId="77777777" w:rsidR="00556A55" w:rsidRPr="0019267B" w:rsidRDefault="00556A55" w:rsidP="00556A55">
      <w:pPr>
        <w:spacing w:after="0" w:line="276" w:lineRule="auto"/>
        <w:jc w:val="both"/>
        <w:rPr>
          <w:rFonts w:ascii="Verdana" w:eastAsia="Century Gothic" w:hAnsi="Verdana" w:cs="Century Gothic"/>
          <w:lang w:eastAsia="es-CO"/>
        </w:rPr>
      </w:pPr>
    </w:p>
    <w:p w14:paraId="1098FB67" w14:textId="77777777" w:rsidR="00556A55" w:rsidRPr="0019267B" w:rsidRDefault="00556A55" w:rsidP="00556A55">
      <w:pPr>
        <w:spacing w:after="0" w:line="240" w:lineRule="auto"/>
        <w:ind w:left="709" w:right="709"/>
        <w:jc w:val="both"/>
        <w:rPr>
          <w:rFonts w:ascii="Verdana" w:eastAsia="Century Gothic" w:hAnsi="Verdana" w:cs="Century Gothic"/>
          <w:sz w:val="20"/>
          <w:szCs w:val="20"/>
          <w:lang w:eastAsia="es-CO"/>
        </w:rPr>
      </w:pPr>
      <w:r>
        <w:rPr>
          <w:rFonts w:ascii="Verdana" w:eastAsia="Century Gothic" w:hAnsi="Verdana" w:cs="Century Gothic"/>
          <w:sz w:val="20"/>
          <w:szCs w:val="20"/>
          <w:lang w:eastAsia="es-CO"/>
        </w:rPr>
        <w:t>“</w:t>
      </w:r>
      <w:r w:rsidRPr="0019267B">
        <w:rPr>
          <w:rFonts w:ascii="Verdana" w:eastAsia="Century Gothic" w:hAnsi="Verdana" w:cs="Century Gothic"/>
          <w:sz w:val="20"/>
          <w:szCs w:val="20"/>
          <w:lang w:eastAsia="es-CO"/>
        </w:rPr>
        <w:t xml:space="preserve">El contrato de donación marcado por el sino de la liberalidad y, por lo mismo, de algún recelo en cuanto a sus fines y respecto a la integridad del patrimonio del donante, no ha gozado de una regulación normativa prolija que ofrezca claridad palmaria en cuanto a su concepto, contenido y alcance. En efecto, en primer lugar, el Código Civil ubica a la figura en su (sic) del Libro III (De la sucesión por causa de muerte, y de las donaciones entre vivos) y no, como hubiese sido pertinente, dentro del Libro IV (De las obligaciones en general y de los contratos) en tanto, como se precisará, corresponde a una relación de tipo contractual. </w:t>
      </w:r>
    </w:p>
    <w:p w14:paraId="57F16A78" w14:textId="77777777" w:rsidR="00556A55" w:rsidRPr="0019267B" w:rsidRDefault="00556A55" w:rsidP="00556A55">
      <w:pPr>
        <w:spacing w:after="0" w:line="240" w:lineRule="auto"/>
        <w:ind w:left="709" w:right="709"/>
        <w:jc w:val="both"/>
        <w:rPr>
          <w:rFonts w:ascii="Verdana" w:eastAsia="Century Gothic" w:hAnsi="Verdana" w:cs="Century Gothic"/>
          <w:sz w:val="20"/>
          <w:szCs w:val="20"/>
          <w:lang w:eastAsia="es-CO"/>
        </w:rPr>
      </w:pPr>
    </w:p>
    <w:p w14:paraId="638E6571" w14:textId="77777777" w:rsidR="00556A55" w:rsidRPr="0019267B" w:rsidRDefault="00556A55" w:rsidP="00556A55">
      <w:pPr>
        <w:spacing w:after="0" w:line="240" w:lineRule="auto"/>
        <w:ind w:left="709" w:right="709"/>
        <w:jc w:val="both"/>
        <w:rPr>
          <w:rFonts w:ascii="Verdana" w:eastAsia="Century Gothic" w:hAnsi="Verdana" w:cs="Century Gothic"/>
          <w:sz w:val="20"/>
          <w:szCs w:val="20"/>
          <w:lang w:eastAsia="es-CO"/>
        </w:rPr>
      </w:pPr>
      <w:r w:rsidRPr="0019267B">
        <w:rPr>
          <w:rFonts w:ascii="Verdana" w:eastAsia="Century Gothic" w:hAnsi="Verdana" w:cs="Century Gothic"/>
          <w:sz w:val="20"/>
          <w:szCs w:val="20"/>
          <w:lang w:eastAsia="es-CO"/>
        </w:rPr>
        <w:t xml:space="preserve">Al momento de su conceptualización la donación corrió igual fortuna, pues el artículo 1443 del Código Civil la define como el acto por el cual una persona transfiere, gratuita e irrevocablemente, una parte de sus bienes a otra que la acepta, lo que resulta de suyo impreciso, en tanto se está ante un verdadero contrato y no un mero acto, pues a él no solo concurre la voluntad dispositiva de aquel que pretende desprenderse de parte de su patrimonio, sino que requiere, para su perfeccionamiento, la aceptación de quien recibirá el beneficio económico: donante y donatario han de participar en la formación del acto mediante el concurso de sus voluntades en torno de la prestación que constituye el objeto de la relación negocial. El contrato de donación, en últimas, constituirá el título traslaticio del dominio, tal como lo previene el artículo 745 del Código Civil. </w:t>
      </w:r>
    </w:p>
    <w:p w14:paraId="68D696CF" w14:textId="77777777" w:rsidR="00556A55" w:rsidRPr="0019267B" w:rsidRDefault="00556A55" w:rsidP="00556A55">
      <w:pPr>
        <w:spacing w:after="0" w:line="240" w:lineRule="auto"/>
        <w:ind w:left="709" w:right="709"/>
        <w:jc w:val="both"/>
        <w:rPr>
          <w:rFonts w:ascii="Verdana" w:eastAsia="Century Gothic" w:hAnsi="Verdana" w:cs="Century Gothic"/>
          <w:sz w:val="20"/>
          <w:szCs w:val="20"/>
          <w:lang w:eastAsia="es-CO"/>
        </w:rPr>
      </w:pPr>
    </w:p>
    <w:p w14:paraId="0B647F95" w14:textId="77777777" w:rsidR="00556A55" w:rsidRPr="0019267B" w:rsidRDefault="00556A55" w:rsidP="00556A55">
      <w:pPr>
        <w:spacing w:after="0" w:line="240" w:lineRule="auto"/>
        <w:ind w:left="709" w:right="709"/>
        <w:jc w:val="both"/>
        <w:rPr>
          <w:rFonts w:ascii="Verdana" w:eastAsia="Century Gothic" w:hAnsi="Verdana" w:cs="Century Gothic"/>
          <w:sz w:val="20"/>
          <w:szCs w:val="20"/>
          <w:lang w:eastAsia="es-CO"/>
        </w:rPr>
      </w:pPr>
      <w:r w:rsidRPr="0019267B">
        <w:rPr>
          <w:rFonts w:ascii="Verdana" w:eastAsia="Century Gothic" w:hAnsi="Verdana" w:cs="Century Gothic"/>
          <w:sz w:val="20"/>
          <w:szCs w:val="20"/>
          <w:lang w:eastAsia="es-CO"/>
        </w:rPr>
        <w:t xml:space="preserve">En términos generales, la donación ha de entenderse, por regla general, como un contrato unilateral, gratuito, irrevocable, de naturaleza recepticia, en el que participa el donante como único obligado en la relación y quien se desprende de parte de su patrimonio, por una parte, y, por la otra, el donatario quien, por lo general, no asume ningún tipo de obligación y percibe un incremento patrimonial correspondiente a la prestación a la que el donante se ha obligado. </w:t>
      </w:r>
    </w:p>
    <w:p w14:paraId="297F3EB0" w14:textId="77777777" w:rsidR="00556A55" w:rsidRPr="0019267B" w:rsidRDefault="00556A55" w:rsidP="00556A55">
      <w:pPr>
        <w:spacing w:after="0" w:line="240" w:lineRule="auto"/>
        <w:ind w:left="709" w:right="709"/>
        <w:jc w:val="both"/>
        <w:rPr>
          <w:rFonts w:ascii="Verdana" w:eastAsia="Century Gothic" w:hAnsi="Verdana" w:cs="Century Gothic"/>
          <w:sz w:val="20"/>
          <w:szCs w:val="20"/>
          <w:lang w:eastAsia="es-CO"/>
        </w:rPr>
      </w:pPr>
    </w:p>
    <w:p w14:paraId="1194AB53" w14:textId="77777777" w:rsidR="00556A55" w:rsidRPr="0019267B" w:rsidRDefault="00556A55" w:rsidP="00556A55">
      <w:pPr>
        <w:spacing w:after="0" w:line="240" w:lineRule="auto"/>
        <w:ind w:left="709" w:right="709"/>
        <w:jc w:val="both"/>
        <w:rPr>
          <w:rFonts w:ascii="Verdana" w:eastAsia="Century Gothic" w:hAnsi="Verdana" w:cs="Century Gothic"/>
          <w:sz w:val="20"/>
          <w:szCs w:val="20"/>
          <w:lang w:eastAsia="es-CO"/>
        </w:rPr>
      </w:pPr>
      <w:r w:rsidRPr="0019267B">
        <w:rPr>
          <w:rFonts w:ascii="Verdana" w:eastAsia="Century Gothic" w:hAnsi="Verdana" w:cs="Century Gothic"/>
          <w:sz w:val="20"/>
          <w:szCs w:val="20"/>
          <w:lang w:eastAsia="es-CO"/>
        </w:rPr>
        <w:t xml:space="preserve">Es unilateral, por regla general, en tanto solo el donante se obliga para con el donatario, que no contrae obligación alguna; no obstante, excepcionalmente, el donatario puede quedar obligado cuandoquiera que la liberalidad va acompañada por cargas o gravámenes. Su gratuidad está determinada porque su efecto práctico se encamina a la utilidad de una de las partes, sufriendo la otra el gravamen. El contrato de donación, además, es irrevocable en tanto ello deriva de su naturaleza contractual y se opone a la revocabilidad propia de las asignaciones testamentarias. El carácter recepticio anotado deviene, también, de su naturaleza </w:t>
      </w:r>
      <w:r w:rsidRPr="0019267B">
        <w:rPr>
          <w:rFonts w:ascii="Verdana" w:eastAsia="Century Gothic" w:hAnsi="Verdana" w:cs="Century Gothic"/>
          <w:sz w:val="20"/>
          <w:szCs w:val="20"/>
          <w:lang w:eastAsia="es-CO"/>
        </w:rPr>
        <w:lastRenderedPageBreak/>
        <w:t>contractual, pues el perfeccionamiento del contrato surge a partir de la confluencia de la voluntad de donante y donatario</w:t>
      </w:r>
      <w:r>
        <w:rPr>
          <w:rFonts w:ascii="Verdana" w:eastAsia="Century Gothic" w:hAnsi="Verdana" w:cs="Century Gothic"/>
          <w:sz w:val="20"/>
          <w:szCs w:val="20"/>
          <w:lang w:eastAsia="es-CO"/>
        </w:rPr>
        <w:t>”</w:t>
      </w:r>
      <w:r w:rsidRPr="0019267B">
        <w:rPr>
          <w:rFonts w:ascii="Verdana" w:eastAsia="Century Gothic" w:hAnsi="Verdana" w:cs="Century Gothic"/>
          <w:sz w:val="20"/>
          <w:szCs w:val="20"/>
          <w:vertAlign w:val="superscript"/>
          <w:lang w:eastAsia="es-CO"/>
        </w:rPr>
        <w:footnoteReference w:id="5"/>
      </w:r>
      <w:r w:rsidRPr="0019267B">
        <w:rPr>
          <w:rFonts w:ascii="Verdana" w:eastAsia="Century Gothic" w:hAnsi="Verdana" w:cs="Century Gothic"/>
          <w:sz w:val="20"/>
          <w:szCs w:val="20"/>
          <w:lang w:eastAsia="es-CO"/>
        </w:rPr>
        <w:t>.</w:t>
      </w:r>
    </w:p>
    <w:p w14:paraId="0F7D4A46" w14:textId="77777777" w:rsidR="00556A55" w:rsidRPr="0019267B" w:rsidRDefault="00556A55" w:rsidP="00556A55">
      <w:pPr>
        <w:spacing w:after="0" w:line="276" w:lineRule="auto"/>
        <w:jc w:val="both"/>
        <w:rPr>
          <w:rFonts w:ascii="Verdana" w:eastAsia="Century Gothic" w:hAnsi="Verdana" w:cs="Century Gothic"/>
          <w:lang w:eastAsia="es-CO"/>
        </w:rPr>
      </w:pPr>
    </w:p>
    <w:p w14:paraId="54971EF8" w14:textId="77777777" w:rsidR="00556A55" w:rsidRPr="0019267B" w:rsidRDefault="00556A55" w:rsidP="00556A55">
      <w:pPr>
        <w:spacing w:after="120" w:line="276" w:lineRule="auto"/>
        <w:ind w:firstLine="708"/>
        <w:jc w:val="both"/>
        <w:rPr>
          <w:rFonts w:ascii="Verdana" w:eastAsia="Century Gothic" w:hAnsi="Verdana" w:cs="Century Gothic"/>
          <w:lang w:eastAsia="es-CO"/>
        </w:rPr>
      </w:pPr>
      <w:r w:rsidRPr="0019267B">
        <w:rPr>
          <w:rFonts w:ascii="Verdana" w:eastAsia="Century Gothic" w:hAnsi="Verdana" w:cs="Century Gothic"/>
          <w:lang w:eastAsia="es-CO"/>
        </w:rPr>
        <w:t xml:space="preserve">De lo anterior se </w:t>
      </w:r>
      <w:r>
        <w:rPr>
          <w:rFonts w:ascii="Verdana" w:eastAsia="Century Gothic" w:hAnsi="Verdana" w:cs="Century Gothic"/>
          <w:lang w:eastAsia="es-CO"/>
        </w:rPr>
        <w:t>infier</w:t>
      </w:r>
      <w:r w:rsidRPr="0019267B">
        <w:rPr>
          <w:rFonts w:ascii="Verdana" w:eastAsia="Century Gothic" w:hAnsi="Verdana" w:cs="Century Gothic"/>
          <w:lang w:eastAsia="es-CO"/>
        </w:rPr>
        <w:t xml:space="preserve">e que la </w:t>
      </w:r>
      <w:r w:rsidRPr="0019267B">
        <w:rPr>
          <w:rFonts w:ascii="Verdana" w:eastAsia="Century Gothic" w:hAnsi="Verdana" w:cs="Century Gothic"/>
          <w:i/>
          <w:iCs/>
          <w:lang w:eastAsia="es-CO"/>
        </w:rPr>
        <w:t>donación</w:t>
      </w:r>
      <w:r w:rsidRPr="0019267B">
        <w:rPr>
          <w:rFonts w:ascii="Verdana" w:eastAsia="Century Gothic" w:hAnsi="Verdana" w:cs="Century Gothic"/>
          <w:lang w:eastAsia="es-CO"/>
        </w:rPr>
        <w:t xml:space="preserve"> está tipificada en el Código Civil, en su artículo 1443, catalogándolo como un</w:t>
      </w:r>
      <w:r w:rsidRPr="0019267B">
        <w:rPr>
          <w:rFonts w:ascii="Verdana" w:eastAsia="Century Gothic" w:hAnsi="Verdana" w:cs="Century Gothic"/>
          <w:i/>
          <w:iCs/>
          <w:lang w:eastAsia="es-CO"/>
        </w:rPr>
        <w:t xml:space="preserve"> acto</w:t>
      </w:r>
      <w:r w:rsidRPr="0019267B">
        <w:rPr>
          <w:rFonts w:ascii="Verdana" w:eastAsia="Century Gothic" w:hAnsi="Verdana" w:cs="Century Gothic"/>
          <w:lang w:eastAsia="es-CO"/>
        </w:rPr>
        <w:t xml:space="preserve"> por el cual una persona transfiere, gratuita e irrevocablemente, una parte de sus bienes a otra persona que la acepta</w:t>
      </w:r>
      <w:r w:rsidRPr="0019267B">
        <w:rPr>
          <w:rFonts w:ascii="Verdana" w:eastAsia="Century Gothic" w:hAnsi="Verdana" w:cs="Century Gothic"/>
          <w:i/>
          <w:iCs/>
          <w:lang w:eastAsia="es-CO"/>
        </w:rPr>
        <w:t xml:space="preserve">.  </w:t>
      </w:r>
      <w:r w:rsidRPr="0019267B">
        <w:rPr>
          <w:rFonts w:ascii="Verdana" w:eastAsia="Century Gothic" w:hAnsi="Verdana" w:cs="Century Gothic"/>
          <w:lang w:eastAsia="es-CO"/>
        </w:rPr>
        <w:t>Sin embargo, como se observa, el Consejo de Estado critica su acepción, pues –más que un simple “acto”– la donación tiene la naturaleza contractual pues, aunque en la mayoría de los casos imponga obligaciones a una sola de las partes, surge del acuerdo de voluntades</w:t>
      </w:r>
      <w:r w:rsidRPr="0019267B">
        <w:rPr>
          <w:rFonts w:ascii="Verdana" w:eastAsia="Times New Roman" w:hAnsi="Verdana" w:cs="Arial"/>
          <w:vertAlign w:val="superscript"/>
          <w:lang w:eastAsia="es-CO"/>
        </w:rPr>
        <w:footnoteReference w:id="6"/>
      </w:r>
      <w:r w:rsidRPr="0019267B">
        <w:rPr>
          <w:rFonts w:ascii="Verdana" w:eastAsia="Century Gothic" w:hAnsi="Verdana" w:cs="Century Gothic"/>
          <w:lang w:eastAsia="es-CO"/>
        </w:rPr>
        <w:t xml:space="preserve">. </w:t>
      </w:r>
    </w:p>
    <w:p w14:paraId="448BEB22" w14:textId="77777777" w:rsidR="00556A55" w:rsidRDefault="00556A55" w:rsidP="00556A55">
      <w:pPr>
        <w:spacing w:after="120" w:line="276" w:lineRule="auto"/>
        <w:ind w:firstLine="708"/>
        <w:jc w:val="both"/>
        <w:rPr>
          <w:rFonts w:ascii="Verdana" w:eastAsia="Century Gothic" w:hAnsi="Verdana" w:cs="Century Gothic"/>
          <w:lang w:eastAsia="es-CO"/>
        </w:rPr>
      </w:pPr>
      <w:r w:rsidRPr="0019267B">
        <w:rPr>
          <w:rFonts w:ascii="Verdana" w:eastAsia="Century Gothic" w:hAnsi="Verdana" w:cs="Century Gothic"/>
          <w:lang w:eastAsia="es-CO"/>
        </w:rPr>
        <w:t xml:space="preserve">Por su parte, GUZMÁN BRITO define la </w:t>
      </w:r>
      <w:r w:rsidRPr="0019267B">
        <w:rPr>
          <w:rFonts w:ascii="Verdana" w:eastAsia="Century Gothic" w:hAnsi="Verdana" w:cs="Century Gothic"/>
          <w:i/>
          <w:iCs/>
          <w:lang w:eastAsia="es-CO"/>
        </w:rPr>
        <w:t>donación</w:t>
      </w:r>
      <w:r w:rsidRPr="0019267B">
        <w:rPr>
          <w:rFonts w:ascii="Verdana" w:eastAsia="Century Gothic" w:hAnsi="Verdana" w:cs="Century Gothic"/>
          <w:lang w:eastAsia="es-CO"/>
        </w:rPr>
        <w:t xml:space="preserve"> como “[…] </w:t>
      </w:r>
      <w:r w:rsidRPr="0019267B">
        <w:rPr>
          <w:rFonts w:ascii="Verdana" w:eastAsia="Century Gothic" w:hAnsi="Verdana" w:cs="Century Gothic"/>
          <w:i/>
          <w:iCs/>
          <w:lang w:eastAsia="es-CO"/>
        </w:rPr>
        <w:t>la atribución convencional dispositiva entre vivos, no debida, gratuita y lucrativa de una cosa corporal o incorporal o de un valor, que disminuyendo el patrimonio del donante y aumenta el del donatario</w:t>
      </w:r>
      <w:r w:rsidRPr="0019267B">
        <w:rPr>
          <w:rFonts w:ascii="Verdana" w:eastAsia="Century Gothic" w:hAnsi="Verdana" w:cs="Century Gothic"/>
          <w:lang w:eastAsia="es-CO"/>
        </w:rPr>
        <w:t xml:space="preserve">”. Este carácter atributivo no es de naturaleza legal –como sucede en la adjudicación del tesoro encontrado en terreno ajeno conforme a las reglas del artículo 701 del Código Civil–, no tiene como propósito entregar la mera tenencia de la cosa –como sucede en los contratos de comodato o </w:t>
      </w:r>
      <w:r w:rsidRPr="0019267B">
        <w:rPr>
          <w:rFonts w:ascii="Verdana" w:eastAsia="Century Gothic" w:hAnsi="Verdana" w:cs="Century Gothic"/>
          <w:lang w:eastAsia="es-CO"/>
        </w:rPr>
        <w:lastRenderedPageBreak/>
        <w:t xml:space="preserve">arrendamiento–, ni se origina en aplicación de las reglas de la sucesión por causa de muerte. </w:t>
      </w:r>
    </w:p>
    <w:p w14:paraId="46C8456D" w14:textId="77777777" w:rsidR="00556A55" w:rsidRPr="0019267B" w:rsidRDefault="00556A55" w:rsidP="00556A55">
      <w:pPr>
        <w:spacing w:after="120" w:line="276" w:lineRule="auto"/>
        <w:ind w:firstLine="708"/>
        <w:jc w:val="both"/>
        <w:rPr>
          <w:rFonts w:ascii="Verdana" w:eastAsia="Century Gothic" w:hAnsi="Verdana" w:cs="Century Gothic"/>
          <w:lang w:eastAsia="es-CO"/>
        </w:rPr>
      </w:pPr>
      <w:r w:rsidRPr="0019267B">
        <w:rPr>
          <w:rFonts w:ascii="Verdana" w:eastAsia="Century Gothic" w:hAnsi="Verdana" w:cs="Century Gothic"/>
          <w:lang w:eastAsia="es-CO"/>
        </w:rPr>
        <w:t>Asimismo, la donación es una liberalidad y depende completamente de la voluntad del donante, por lo que –a diferencia de la compraventa, por ejemplo– la transferencia de la cosa no surge de un acto debido. Esta liberalidad entraña, por un lado, la falta de contraprestación –gratuidad– y, por otro, la ausencia del deber de restituir lo donado –</w:t>
      </w:r>
      <w:proofErr w:type="spellStart"/>
      <w:r w:rsidRPr="0019267B">
        <w:rPr>
          <w:rFonts w:ascii="Verdana" w:eastAsia="Century Gothic" w:hAnsi="Verdana" w:cs="Century Gothic"/>
          <w:lang w:eastAsia="es-CO"/>
        </w:rPr>
        <w:t>lucratividad</w:t>
      </w:r>
      <w:proofErr w:type="spellEnd"/>
      <w:r w:rsidRPr="0019267B">
        <w:rPr>
          <w:rFonts w:ascii="Verdana" w:eastAsia="Century Gothic" w:hAnsi="Verdana" w:cs="Century Gothic"/>
          <w:lang w:eastAsia="es-CO"/>
        </w:rPr>
        <w:t>–. Por tanto, es necesario una modificación en el patrimonio de las partes involucradas en el negocio jurídico</w:t>
      </w:r>
      <w:r w:rsidRPr="0019267B">
        <w:rPr>
          <w:rFonts w:ascii="Verdana" w:eastAsia="Times New Roman" w:hAnsi="Verdana" w:cs="Arial"/>
          <w:vertAlign w:val="superscript"/>
          <w:lang w:eastAsia="es-CO"/>
        </w:rPr>
        <w:footnoteReference w:id="7"/>
      </w:r>
      <w:r w:rsidRPr="0019267B">
        <w:rPr>
          <w:rFonts w:ascii="Verdana" w:eastAsia="Century Gothic" w:hAnsi="Verdana" w:cs="Century Gothic"/>
          <w:lang w:eastAsia="es-CO"/>
        </w:rPr>
        <w:t xml:space="preserve">.  </w:t>
      </w:r>
    </w:p>
    <w:p w14:paraId="0C1C4AC8" w14:textId="77777777" w:rsidR="00556A55" w:rsidRPr="0019267B" w:rsidRDefault="00556A55" w:rsidP="00556A55">
      <w:pPr>
        <w:spacing w:after="120" w:line="276" w:lineRule="auto"/>
        <w:ind w:firstLine="708"/>
        <w:jc w:val="both"/>
        <w:rPr>
          <w:rFonts w:ascii="Verdana" w:eastAsia="Century Gothic" w:hAnsi="Verdana" w:cs="Century Gothic"/>
          <w:lang w:eastAsia="es-CO"/>
        </w:rPr>
      </w:pPr>
      <w:r w:rsidRPr="0019267B">
        <w:rPr>
          <w:rFonts w:ascii="Verdana" w:eastAsia="Century Gothic" w:hAnsi="Verdana" w:cs="Century Gothic"/>
          <w:lang w:eastAsia="es-CO"/>
        </w:rPr>
        <w:t xml:space="preserve">Como aspectos a destacar, además de nominado, la </w:t>
      </w:r>
      <w:r w:rsidRPr="0019267B">
        <w:rPr>
          <w:rFonts w:ascii="Verdana" w:eastAsia="Century Gothic" w:hAnsi="Verdana" w:cs="Century Gothic"/>
          <w:i/>
          <w:iCs/>
          <w:lang w:eastAsia="es-CO"/>
        </w:rPr>
        <w:t>donación</w:t>
      </w:r>
      <w:r w:rsidRPr="0019267B">
        <w:rPr>
          <w:rFonts w:ascii="Verdana" w:eastAsia="Century Gothic" w:hAnsi="Verdana" w:cs="Century Gothic"/>
          <w:lang w:eastAsia="es-CO"/>
        </w:rPr>
        <w:t xml:space="preserve"> es un contrato principal y gratuito, pues subsiste por sí mismo sin necesidad de una convención adicional –art. 1499 del CC– y tiene por objeto la utilidad de una sola de las partes –art. 1497 del CC–. Aunque por regla general es un contrato unilateral, es decir, una las partes se obliga para con otra que no contrae obligación alguna –art. 1496 del CC–, existen ciertos tipos de donaciones –como aquellas con causa onerosa, con gravamen o sujetas a modalidades– que generan compromisos para ambas. En estos casos, la donación será un contrato bilateral pero gratuito</w:t>
      </w:r>
      <w:r w:rsidRPr="0019267B">
        <w:rPr>
          <w:rFonts w:ascii="Verdana" w:eastAsia="Times New Roman" w:hAnsi="Verdana" w:cs="Arial"/>
          <w:vertAlign w:val="superscript"/>
          <w:lang w:eastAsia="es-CO"/>
        </w:rPr>
        <w:footnoteReference w:id="8"/>
      </w:r>
      <w:r w:rsidRPr="0019267B">
        <w:rPr>
          <w:rFonts w:ascii="Verdana" w:eastAsia="Century Gothic" w:hAnsi="Verdana" w:cs="Century Gothic"/>
          <w:lang w:eastAsia="es-CO"/>
        </w:rPr>
        <w:t xml:space="preserve">.    </w:t>
      </w:r>
    </w:p>
    <w:p w14:paraId="346D8883" w14:textId="77777777" w:rsidR="00556A55" w:rsidRPr="0019267B" w:rsidRDefault="00556A55" w:rsidP="00556A55">
      <w:pPr>
        <w:spacing w:after="120" w:line="276" w:lineRule="auto"/>
        <w:ind w:firstLine="708"/>
        <w:jc w:val="both"/>
        <w:rPr>
          <w:rFonts w:ascii="Verdana" w:eastAsia="Century Gothic" w:hAnsi="Verdana" w:cs="Century Gothic"/>
          <w:lang w:eastAsia="es-CO"/>
        </w:rPr>
      </w:pPr>
      <w:r w:rsidRPr="0019267B">
        <w:rPr>
          <w:rFonts w:ascii="Verdana" w:eastAsia="Century Gothic" w:hAnsi="Verdana" w:cs="Century Gothic"/>
          <w:lang w:eastAsia="es-CO"/>
        </w:rPr>
        <w:t>Sin perjuicio de la formalidad escrita que exige el inciso primero del artículo 41 del EGCAP, el contrato puede tener naturaleza consensual o solemne. De acuerdo con el artículo 1458 del Código Civil, “</w:t>
      </w:r>
      <w:r w:rsidRPr="0019267B">
        <w:rPr>
          <w:rFonts w:ascii="Verdana" w:eastAsia="Century Gothic" w:hAnsi="Verdana" w:cs="Century Gothic"/>
          <w:i/>
          <w:iCs/>
          <w:lang w:eastAsia="es-CO"/>
        </w:rPr>
        <w:t>Corresponde al notario autorizar mediante escritura pública, las donaciones cuyo valor exceda la suma de cincuenta (50) salarios mínimos mensuales, siempre que donante y donatario sean plenamente capaces, lo soliciten de común acuerdo y no se contravenga ninguna disposición legal</w:t>
      </w:r>
      <w:r w:rsidRPr="0019267B">
        <w:rPr>
          <w:rFonts w:ascii="Verdana" w:eastAsia="Century Gothic" w:hAnsi="Verdana" w:cs="Century Gothic"/>
          <w:lang w:eastAsia="es-CO"/>
        </w:rPr>
        <w:t>”; razón por la cual, “</w:t>
      </w:r>
      <w:r w:rsidRPr="0019267B">
        <w:rPr>
          <w:rFonts w:ascii="Verdana" w:eastAsia="Century Gothic" w:hAnsi="Verdana" w:cs="Century Gothic"/>
          <w:i/>
          <w:iCs/>
          <w:lang w:eastAsia="es-CO"/>
        </w:rPr>
        <w:t>Las donaciones cuyo valor sea igual o inferior a cincuenta (50) salarios mínimos mensuales, no requieren insinuación</w:t>
      </w:r>
      <w:r w:rsidRPr="0019267B">
        <w:rPr>
          <w:rFonts w:ascii="Verdana" w:eastAsia="Century Gothic" w:hAnsi="Verdana" w:cs="Century Gothic"/>
          <w:lang w:eastAsia="es-CO"/>
        </w:rPr>
        <w:t>”. Por lo demás, independientemente de la cuantía, “</w:t>
      </w:r>
      <w:r w:rsidRPr="0019267B">
        <w:rPr>
          <w:rFonts w:ascii="Verdana" w:eastAsia="Century Gothic" w:hAnsi="Verdana" w:cs="Century Gothic"/>
          <w:i/>
          <w:iCs/>
          <w:lang w:eastAsia="es-CO"/>
        </w:rPr>
        <w:t xml:space="preserve">No valdrá la donación entre vivos, de cualquiera especie de bienes raíces, si no es otorgada por escritura pública, inscrita en el competente registro de instrumentos </w:t>
      </w:r>
      <w:r w:rsidRPr="0019267B">
        <w:rPr>
          <w:rFonts w:ascii="Verdana" w:eastAsia="Century Gothic" w:hAnsi="Verdana" w:cs="Century Gothic"/>
          <w:i/>
          <w:iCs/>
          <w:lang w:eastAsia="es-CO"/>
        </w:rPr>
        <w:lastRenderedPageBreak/>
        <w:t>públicos</w:t>
      </w:r>
      <w:r w:rsidRPr="0019267B">
        <w:rPr>
          <w:rFonts w:ascii="Verdana" w:eastAsia="Century Gothic" w:hAnsi="Verdana" w:cs="Century Gothic"/>
          <w:lang w:eastAsia="es-CO"/>
        </w:rPr>
        <w:t xml:space="preserve">” –art. 1457, inc. 1°, del CC–.  También es un contrato de ejecución instantánea, salvo las donaciones de pensiones periódicas –art. 1459 del CC–.  </w:t>
      </w:r>
    </w:p>
    <w:p w14:paraId="691AE9B8" w14:textId="77777777" w:rsidR="00556A55" w:rsidRPr="0019267B" w:rsidRDefault="00556A55" w:rsidP="00556A55">
      <w:pPr>
        <w:spacing w:after="120" w:line="276" w:lineRule="auto"/>
        <w:ind w:firstLine="708"/>
        <w:jc w:val="both"/>
        <w:rPr>
          <w:rFonts w:ascii="Verdana" w:eastAsia="Century Gothic" w:hAnsi="Verdana" w:cs="Century Gothic"/>
          <w:lang w:eastAsia="es-CO"/>
        </w:rPr>
      </w:pPr>
      <w:r w:rsidRPr="0019267B">
        <w:rPr>
          <w:rFonts w:ascii="Verdana" w:eastAsia="Century Gothic" w:hAnsi="Verdana" w:cs="Century Gothic"/>
          <w:lang w:eastAsia="es-CO"/>
        </w:rPr>
        <w:t>Por otra parte, la donación es un título traslaticio del derecho de domino en los términos del inciso primero del artículo 745 del Código Civil. Desde esta perspectiva, como señala impropiamente el precitado artículo 1443 ibidem, el contrato no “</w:t>
      </w:r>
      <w:r w:rsidRPr="0019267B">
        <w:rPr>
          <w:rFonts w:ascii="Verdana" w:eastAsia="Century Gothic" w:hAnsi="Verdana" w:cs="Century Gothic"/>
          <w:i/>
          <w:iCs/>
          <w:lang w:eastAsia="es-CO"/>
        </w:rPr>
        <w:t>transfiere</w:t>
      </w:r>
      <w:r w:rsidRPr="0019267B">
        <w:rPr>
          <w:rFonts w:ascii="Verdana" w:eastAsia="Century Gothic" w:hAnsi="Verdana" w:cs="Century Gothic"/>
          <w:lang w:eastAsia="es-CO"/>
        </w:rPr>
        <w:t>” los bienes, sino que “</w:t>
      </w:r>
      <w:r w:rsidRPr="0019267B">
        <w:rPr>
          <w:rFonts w:ascii="Verdana" w:eastAsia="Century Gothic" w:hAnsi="Verdana" w:cs="Century Gothic"/>
          <w:i/>
          <w:iCs/>
          <w:lang w:eastAsia="es-CO"/>
        </w:rPr>
        <w:t>obliga a transferirlos</w:t>
      </w:r>
      <w:r w:rsidRPr="0019267B">
        <w:rPr>
          <w:rFonts w:ascii="Verdana" w:eastAsia="Century Gothic" w:hAnsi="Verdana" w:cs="Century Gothic"/>
          <w:lang w:eastAsia="es-CO"/>
        </w:rPr>
        <w:t xml:space="preserve">”; por lo que es un título que posibilita la posterior tradición de las cosas donadas. Este surge de forma derivativa –no originaria–, por acto entre vivos –lo que excluye las donaciones mortis causa de los artículos 1194 y </w:t>
      </w:r>
      <w:proofErr w:type="spellStart"/>
      <w:r w:rsidRPr="0019267B">
        <w:rPr>
          <w:rFonts w:ascii="Verdana" w:eastAsia="Century Gothic" w:hAnsi="Verdana" w:cs="Century Gothic"/>
          <w:lang w:eastAsia="es-CO"/>
        </w:rPr>
        <w:t>ss</w:t>
      </w:r>
      <w:proofErr w:type="spellEnd"/>
      <w:r w:rsidRPr="0019267B">
        <w:rPr>
          <w:rFonts w:ascii="Verdana" w:eastAsia="Century Gothic" w:hAnsi="Verdana" w:cs="Century Gothic"/>
          <w:lang w:eastAsia="es-CO"/>
        </w:rPr>
        <w:t xml:space="preserve"> del Código Civil– y de forma singular –no universal–. </w:t>
      </w:r>
    </w:p>
    <w:p w14:paraId="488539C5" w14:textId="77777777" w:rsidR="00556A55" w:rsidRDefault="00556A55" w:rsidP="00556A55">
      <w:pPr>
        <w:spacing w:after="120" w:line="276" w:lineRule="auto"/>
        <w:jc w:val="both"/>
        <w:rPr>
          <w:rFonts w:ascii="Verdana" w:eastAsia="Century Gothic" w:hAnsi="Verdana" w:cs="Century Gothic"/>
          <w:lang w:eastAsia="es-CO"/>
        </w:rPr>
      </w:pPr>
      <w:r w:rsidRPr="0019267B">
        <w:rPr>
          <w:rFonts w:ascii="Verdana" w:eastAsia="Century Gothic" w:hAnsi="Verdana" w:cs="Century Gothic"/>
          <w:lang w:eastAsia="es-CO"/>
        </w:rPr>
        <w:tab/>
        <w:t>Finalmente, se trata de un contrato excepcional y, por regla general irrevocable. El artículo 1450 del Código Civil dispone que “</w:t>
      </w:r>
      <w:r w:rsidRPr="0019267B">
        <w:rPr>
          <w:rFonts w:ascii="Verdana" w:eastAsia="Century Gothic" w:hAnsi="Verdana" w:cs="Century Gothic"/>
          <w:i/>
          <w:iCs/>
          <w:lang w:eastAsia="es-CO"/>
        </w:rPr>
        <w:t>La donación entre vivos no se presume sino en los casos que expresamente hayan previsto las leyes</w:t>
      </w:r>
      <w:r w:rsidRPr="0019267B">
        <w:rPr>
          <w:rFonts w:ascii="Verdana" w:eastAsia="Century Gothic" w:hAnsi="Verdana" w:cs="Century Gothic"/>
          <w:lang w:eastAsia="es-CO"/>
        </w:rPr>
        <w:t>”, de manera que “</w:t>
      </w:r>
      <w:r w:rsidRPr="0019267B">
        <w:rPr>
          <w:rFonts w:ascii="Verdana" w:eastAsia="Century Gothic" w:hAnsi="Verdana" w:cs="Century Gothic"/>
          <w:i/>
          <w:iCs/>
          <w:lang w:eastAsia="es-CO"/>
        </w:rPr>
        <w:t>Del que da lo que no debe no se presume que lo dona, a menos de probarse que tuvo perfecto conocimiento de lo que hacía, tanto en el hecho como en el derecho</w:t>
      </w:r>
      <w:r w:rsidRPr="0019267B">
        <w:rPr>
          <w:rFonts w:ascii="Verdana" w:eastAsia="Century Gothic" w:hAnsi="Verdana" w:cs="Century Gothic"/>
          <w:lang w:eastAsia="es-CO"/>
        </w:rPr>
        <w:t>” –art. 1317 del CC–. Además, las obligaciones derivadas de la donación son ley para las partes y, por tanto, el contrato solo se extingue por el mutuo consentimiento o por las causas que establezca la ley –art. 1602 del CC–. Tratándose de estas últimas, la revocabilidad se limita a la ingratitud del donatario –arts. 1485 del CC–, aunque las donaciones entre cónyuges sean revocables al margen de esta circunstancia –art. 1195, inc. final, del CC–.</w:t>
      </w:r>
    </w:p>
    <w:p w14:paraId="3A06130F" w14:textId="77777777" w:rsidR="00556A55" w:rsidRPr="00097627" w:rsidRDefault="00556A55" w:rsidP="00556A55">
      <w:pPr>
        <w:spacing w:after="120" w:line="276" w:lineRule="auto"/>
        <w:ind w:firstLine="708"/>
        <w:jc w:val="both"/>
        <w:rPr>
          <w:rFonts w:ascii="Verdana" w:eastAsia="Times New Roman" w:hAnsi="Verdana" w:cs="Arial"/>
          <w:color w:val="000000" w:themeColor="text1"/>
          <w:lang w:val="es-ES" w:eastAsia="es-ES_tradnl"/>
        </w:rPr>
      </w:pPr>
      <w:r w:rsidRPr="00097627">
        <w:rPr>
          <w:rFonts w:ascii="Verdana" w:eastAsia="Times New Roman" w:hAnsi="Verdana" w:cs="Arial"/>
          <w:color w:val="000000" w:themeColor="text1"/>
          <w:lang w:eastAsia="es-ES_tradnl"/>
        </w:rPr>
        <w:t>Respecto del tipo de bienes que pueden ser objeto de donación es importante resaltar, en primer lugar, que e</w:t>
      </w:r>
      <w:r w:rsidRPr="00097627">
        <w:rPr>
          <w:rFonts w:ascii="Verdana" w:eastAsia="Times New Roman" w:hAnsi="Verdana" w:cs="Arial"/>
          <w:color w:val="000000" w:themeColor="text1"/>
          <w:lang w:val="es-ES" w:eastAsia="es-ES_tradnl"/>
        </w:rPr>
        <w:t xml:space="preserve">l artículo 654 del Código Civil clasifica las cosas corporales en muebles e inmuebles. El artículo 655 define </w:t>
      </w:r>
      <w:r>
        <w:rPr>
          <w:rFonts w:ascii="Verdana" w:eastAsia="Times New Roman" w:hAnsi="Verdana" w:cs="Arial"/>
          <w:color w:val="000000" w:themeColor="text1"/>
          <w:lang w:val="es-ES" w:eastAsia="es-ES_tradnl"/>
        </w:rPr>
        <w:t>los bienes muebles como los que “</w:t>
      </w:r>
      <w:r w:rsidRPr="00097627">
        <w:rPr>
          <w:rFonts w:ascii="Verdana" w:eastAsia="Times New Roman" w:hAnsi="Verdana" w:cs="Arial"/>
          <w:i/>
          <w:iCs/>
          <w:color w:val="000000" w:themeColor="text1"/>
          <w:lang w:val="es-ES" w:eastAsia="es-ES_tradnl"/>
        </w:rPr>
        <w:t>pueden transportarse de un lugar a otro, sea moviéndose ellas a sí mismas como los animales</w:t>
      </w:r>
      <w:r w:rsidRPr="00097627">
        <w:rPr>
          <w:rFonts w:ascii="Verdana" w:eastAsia="Times New Roman" w:hAnsi="Verdana" w:cs="Arial"/>
          <w:color w:val="000000" w:themeColor="text1"/>
          <w:lang w:val="es-ES" w:eastAsia="es-ES_tradnl"/>
        </w:rPr>
        <w:t xml:space="preserve"> (</w:t>
      </w:r>
      <w:r w:rsidRPr="00097627">
        <w:rPr>
          <w:rFonts w:ascii="Verdana" w:eastAsia="Times New Roman" w:hAnsi="Verdana" w:cs="Arial"/>
          <w:i/>
          <w:iCs/>
          <w:color w:val="000000" w:themeColor="text1"/>
          <w:lang w:val="es-ES" w:eastAsia="es-ES_tradnl"/>
        </w:rPr>
        <w:t>que por eso se llaman semovientes), sea que sólo se muevan por una fuerza ext</w:t>
      </w:r>
      <w:r>
        <w:rPr>
          <w:rFonts w:ascii="Verdana" w:eastAsia="Times New Roman" w:hAnsi="Verdana" w:cs="Arial"/>
          <w:i/>
          <w:iCs/>
          <w:color w:val="000000" w:themeColor="text1"/>
          <w:lang w:val="es-ES" w:eastAsia="es-ES_tradnl"/>
        </w:rPr>
        <w:t>erna, como las cosas inanimadas”</w:t>
      </w:r>
      <w:r w:rsidRPr="00097627">
        <w:rPr>
          <w:rFonts w:ascii="Verdana" w:eastAsia="Times New Roman" w:hAnsi="Verdana" w:cs="Arial"/>
          <w:color w:val="000000" w:themeColor="text1"/>
          <w:lang w:val="es-ES" w:eastAsia="es-ES_tradnl"/>
        </w:rPr>
        <w:t>, mientras que el artícul</w:t>
      </w:r>
      <w:r>
        <w:rPr>
          <w:rFonts w:ascii="Verdana" w:eastAsia="Times New Roman" w:hAnsi="Verdana" w:cs="Arial"/>
          <w:color w:val="000000" w:themeColor="text1"/>
          <w:lang w:val="es-ES" w:eastAsia="es-ES_tradnl"/>
        </w:rPr>
        <w:t>o 656 define los inmuebles así: “</w:t>
      </w:r>
      <w:r w:rsidRPr="00097627">
        <w:rPr>
          <w:rFonts w:ascii="Verdana" w:eastAsia="Times New Roman" w:hAnsi="Verdana" w:cs="Arial"/>
          <w:i/>
          <w:iCs/>
          <w:color w:val="000000" w:themeColor="text1"/>
          <w:lang w:val="es-ES" w:eastAsia="es-ES_tradnl"/>
        </w:rPr>
        <w:t>Inmuebles o fincas o bienes raíces son las cosas que no pueden transportarse de un lugar a otro; como las tierras y minas, y las que adhieren permanentemente a ellas, como los edificios, los árboles. Las casas y ver</w:t>
      </w:r>
      <w:r>
        <w:rPr>
          <w:rFonts w:ascii="Verdana" w:eastAsia="Times New Roman" w:hAnsi="Verdana" w:cs="Arial"/>
          <w:i/>
          <w:iCs/>
          <w:color w:val="000000" w:themeColor="text1"/>
          <w:lang w:val="es-ES" w:eastAsia="es-ES_tradnl"/>
        </w:rPr>
        <w:t>edas se llaman predios o fundos”</w:t>
      </w:r>
      <w:r w:rsidRPr="00097627">
        <w:rPr>
          <w:rFonts w:ascii="Verdana" w:eastAsia="Times New Roman" w:hAnsi="Verdana" w:cs="Arial"/>
          <w:i/>
          <w:iCs/>
          <w:color w:val="000000" w:themeColor="text1"/>
          <w:lang w:val="es-ES" w:eastAsia="es-ES_tradnl"/>
        </w:rPr>
        <w:t>.</w:t>
      </w:r>
      <w:r w:rsidRPr="00097627">
        <w:rPr>
          <w:rFonts w:ascii="Verdana" w:eastAsia="Times New Roman" w:hAnsi="Verdana" w:cs="Arial"/>
          <w:color w:val="000000" w:themeColor="text1"/>
          <w:lang w:val="es-ES" w:eastAsia="es-ES_tradnl"/>
        </w:rPr>
        <w:t xml:space="preserve"> No obstante, esta definición se refiere a los inmuebles por naturaleza, pues el Código también considera inmuebles a las cosas que en principio eran muebles, pero que por su destinación o adhesión mutan su categoría. </w:t>
      </w:r>
    </w:p>
    <w:p w14:paraId="1615EDC9" w14:textId="77777777" w:rsidR="00556A55" w:rsidRPr="00097627" w:rsidRDefault="00556A55" w:rsidP="00556A55">
      <w:pPr>
        <w:spacing w:after="120" w:line="276" w:lineRule="auto"/>
        <w:ind w:firstLine="708"/>
        <w:jc w:val="both"/>
        <w:rPr>
          <w:rFonts w:ascii="Verdana" w:eastAsia="Times New Roman" w:hAnsi="Verdana" w:cs="Arial"/>
          <w:i/>
          <w:iCs/>
          <w:lang w:val="es-MX" w:eastAsia="es-ES_tradnl"/>
        </w:rPr>
      </w:pPr>
      <w:r w:rsidRPr="00097627">
        <w:rPr>
          <w:rFonts w:ascii="Verdana" w:eastAsia="Times New Roman" w:hAnsi="Verdana" w:cs="Arial"/>
          <w:lang w:val="es-ES" w:eastAsia="es-ES_tradnl"/>
        </w:rPr>
        <w:lastRenderedPageBreak/>
        <w:t>Por otro lado, e</w:t>
      </w:r>
      <w:r w:rsidRPr="00097627">
        <w:rPr>
          <w:rFonts w:ascii="Verdana" w:eastAsia="Times New Roman" w:hAnsi="Verdana" w:cs="Arial"/>
          <w:lang w:val="es-MX" w:eastAsia="es-ES_tradnl"/>
        </w:rPr>
        <w:t xml:space="preserve">l artículo 674 del Código Civil define los bienes de dominio público como aquellos que </w:t>
      </w:r>
      <w:r>
        <w:rPr>
          <w:rFonts w:ascii="Verdana" w:eastAsia="Times New Roman" w:hAnsi="Verdana" w:cs="Arial"/>
          <w:lang w:val="es-MX" w:eastAsia="es-ES_tradnl"/>
        </w:rPr>
        <w:t>“</w:t>
      </w:r>
      <w:r>
        <w:rPr>
          <w:rFonts w:ascii="Verdana" w:eastAsia="Times New Roman" w:hAnsi="Verdana" w:cs="Arial"/>
          <w:i/>
          <w:iCs/>
          <w:lang w:val="es-MX" w:eastAsia="es-ES_tradnl"/>
        </w:rPr>
        <w:t>[…]</w:t>
      </w:r>
      <w:r w:rsidRPr="00097627">
        <w:rPr>
          <w:rFonts w:ascii="Verdana" w:eastAsia="Times New Roman" w:hAnsi="Verdana" w:cs="Arial"/>
          <w:i/>
          <w:iCs/>
          <w:lang w:val="es-MX" w:eastAsia="es-ES_tradnl"/>
        </w:rPr>
        <w:t xml:space="preserve"> pertenece a todos los habitantes de un Territorio, como el de calles, plazas, puentes y caminos, se llaman bienes de la Unión o de </w:t>
      </w:r>
      <w:proofErr w:type="gramStart"/>
      <w:r w:rsidRPr="00097627">
        <w:rPr>
          <w:rFonts w:ascii="Verdana" w:eastAsia="Times New Roman" w:hAnsi="Verdana" w:cs="Arial"/>
          <w:i/>
          <w:iCs/>
          <w:lang w:val="es-MX" w:eastAsia="es-ES_tradnl"/>
        </w:rPr>
        <w:t>uso público o</w:t>
      </w:r>
      <w:r>
        <w:rPr>
          <w:rFonts w:ascii="Verdana" w:eastAsia="Times New Roman" w:hAnsi="Verdana" w:cs="Arial"/>
          <w:i/>
          <w:iCs/>
          <w:lang w:val="es-MX" w:eastAsia="es-ES_tradnl"/>
        </w:rPr>
        <w:t xml:space="preserve"> bienes públicos</w:t>
      </w:r>
      <w:proofErr w:type="gramEnd"/>
      <w:r>
        <w:rPr>
          <w:rFonts w:ascii="Verdana" w:eastAsia="Times New Roman" w:hAnsi="Verdana" w:cs="Arial"/>
          <w:i/>
          <w:iCs/>
          <w:lang w:val="es-MX" w:eastAsia="es-ES_tradnl"/>
        </w:rPr>
        <w:t xml:space="preserve"> del Territorio”</w:t>
      </w:r>
      <w:r w:rsidRPr="00097627">
        <w:rPr>
          <w:rFonts w:ascii="Verdana" w:eastAsia="Times New Roman" w:hAnsi="Verdana" w:cs="Arial"/>
          <w:i/>
          <w:iCs/>
          <w:lang w:val="es-MX" w:eastAsia="es-ES_tradnl"/>
        </w:rPr>
        <w:t>.</w:t>
      </w:r>
      <w:r>
        <w:rPr>
          <w:rFonts w:ascii="Verdana" w:eastAsia="Times New Roman" w:hAnsi="Verdana" w:cs="Arial"/>
          <w:i/>
          <w:iCs/>
          <w:lang w:val="es-MX" w:eastAsia="es-ES_tradnl"/>
        </w:rPr>
        <w:t xml:space="preserve"> </w:t>
      </w:r>
      <w:r w:rsidRPr="00097627">
        <w:rPr>
          <w:rFonts w:ascii="Verdana" w:eastAsia="Times New Roman" w:hAnsi="Verdana" w:cs="Arial"/>
          <w:lang w:val="es-MX" w:eastAsia="es-ES_tradnl"/>
        </w:rPr>
        <w:t>Los bienes de dominio público, de acuerdo con la sentencia C- 183 de 2003 de la C</w:t>
      </w:r>
      <w:r>
        <w:rPr>
          <w:rFonts w:ascii="Verdana" w:eastAsia="Times New Roman" w:hAnsi="Verdana" w:cs="Arial"/>
          <w:lang w:val="es-MX" w:eastAsia="es-ES_tradnl"/>
        </w:rPr>
        <w:t>orte Constitucional, son “</w:t>
      </w:r>
      <w:r w:rsidRPr="00097627">
        <w:rPr>
          <w:rFonts w:ascii="Verdana" w:eastAsia="Times New Roman" w:hAnsi="Verdana" w:cs="Arial"/>
          <w:i/>
          <w:iCs/>
          <w:lang w:val="es-MX" w:eastAsia="es-ES_tradnl"/>
        </w:rPr>
        <w:t>el conjunto de bienes que la administración afecta al uso directo de la comunidad o que lo ut</w:t>
      </w:r>
      <w:r>
        <w:rPr>
          <w:rFonts w:ascii="Verdana" w:eastAsia="Times New Roman" w:hAnsi="Verdana" w:cs="Arial"/>
          <w:i/>
          <w:iCs/>
          <w:lang w:val="es-MX" w:eastAsia="es-ES_tradnl"/>
        </w:rPr>
        <w:t>iliza para servir a la sociedad”</w:t>
      </w:r>
      <w:r w:rsidRPr="00097627">
        <w:rPr>
          <w:rFonts w:ascii="Verdana" w:eastAsia="Times New Roman" w:hAnsi="Verdana" w:cs="Arial"/>
          <w:lang w:val="es-MX" w:eastAsia="es-ES_tradnl"/>
        </w:rPr>
        <w:t>. Dentro de esta categoría se encuentran los bienes fiscales y los bienes de uso público.</w:t>
      </w:r>
      <w:r w:rsidRPr="00097627">
        <w:rPr>
          <w:rFonts w:ascii="Verdana" w:eastAsia="Times New Roman" w:hAnsi="Verdana" w:cs="Arial"/>
          <w:vertAlign w:val="superscript"/>
          <w:lang w:val="es-MX" w:eastAsia="es-ES_tradnl"/>
        </w:rPr>
        <w:footnoteReference w:id="9"/>
      </w:r>
      <w:r w:rsidRPr="00097627">
        <w:rPr>
          <w:rFonts w:ascii="Verdana" w:eastAsia="Times New Roman" w:hAnsi="Verdana" w:cs="Arial"/>
          <w:lang w:val="es-MX" w:eastAsia="es-ES_tradnl"/>
        </w:rPr>
        <w:t xml:space="preserve"> Los bienes fiscales, de acuerdo con el Alto Tribunal Constitucional</w:t>
      </w:r>
      <w:r w:rsidRPr="00097627">
        <w:rPr>
          <w:rFonts w:ascii="Verdana" w:eastAsia="Times New Roman" w:hAnsi="Verdana" w:cs="Arial"/>
          <w:vertAlign w:val="superscript"/>
          <w:lang w:val="es-MX" w:eastAsia="es-ES_tradnl"/>
        </w:rPr>
        <w:footnoteReference w:id="10"/>
      </w:r>
      <w:r w:rsidRPr="00097627">
        <w:rPr>
          <w:rFonts w:ascii="Verdana" w:eastAsia="Times New Roman" w:hAnsi="Verdana" w:cs="Arial"/>
          <w:lang w:val="es-MX" w:eastAsia="es-ES_tradnl"/>
        </w:rPr>
        <w:t xml:space="preserve">, están destinados a la prestación de servicios públicos que la Administración utiliza de forma inmediata, como los edificios donde funcionan las oficinas públicas. </w:t>
      </w:r>
    </w:p>
    <w:p w14:paraId="624FE87F" w14:textId="77777777" w:rsidR="00556A55" w:rsidRPr="00097627" w:rsidRDefault="00556A55" w:rsidP="00556A55">
      <w:pPr>
        <w:spacing w:after="120" w:line="276" w:lineRule="auto"/>
        <w:ind w:firstLine="720"/>
        <w:jc w:val="both"/>
        <w:rPr>
          <w:rFonts w:ascii="Verdana" w:eastAsia="Times New Roman" w:hAnsi="Verdana" w:cs="Arial"/>
          <w:lang w:val="es-MX" w:eastAsia="es-ES_tradnl"/>
        </w:rPr>
      </w:pPr>
      <w:r w:rsidRPr="00097627">
        <w:rPr>
          <w:rFonts w:ascii="Verdana" w:eastAsia="Times New Roman" w:hAnsi="Verdana" w:cs="Arial"/>
          <w:lang w:val="es-MX" w:eastAsia="es-ES_tradnl"/>
        </w:rPr>
        <w:t xml:space="preserve">A su vez, el Consejo de Estado, define los bienes fiscales como </w:t>
      </w:r>
      <w:r>
        <w:rPr>
          <w:rFonts w:ascii="Verdana" w:eastAsia="Times New Roman" w:hAnsi="Verdana" w:cs="Arial"/>
          <w:i/>
          <w:iCs/>
          <w:lang w:val="es-MX" w:eastAsia="es-ES_tradnl"/>
        </w:rPr>
        <w:t>“</w:t>
      </w:r>
      <w:r w:rsidRPr="00097627">
        <w:rPr>
          <w:rFonts w:ascii="Verdana" w:eastAsia="Times New Roman" w:hAnsi="Verdana" w:cs="Arial"/>
          <w:i/>
          <w:iCs/>
          <w:lang w:val="es-MX" w:eastAsia="es-ES_tradnl"/>
        </w:rPr>
        <w:t xml:space="preserve">aquellos que pertenecen  </w:t>
      </w:r>
      <w:r w:rsidRPr="00097627">
        <w:rPr>
          <w:rFonts w:ascii="Verdana" w:eastAsia="Times New Roman" w:hAnsi="Verdana" w:cs="Arial"/>
          <w:i/>
          <w:iCs/>
          <w:color w:val="000000" w:themeColor="text1"/>
          <w:lang w:val="es-MX" w:eastAsia="es-ES_tradnl"/>
        </w:rPr>
        <w:t>a sujetos de derecho público de cualquier naturaleza u orden y que, por lo general, están destinados al cumplimiento de las funciones públicas o servicios públicos, tales como los terrenos, edificios, fincas, granjas, equipos, enseres, acciones, rentas y bienes del presupuesto, etc., es decir, afectos al desarrollo de su misión y utilizados para sus actividades, o pueden constituir una reserva patrimonial para fines de utilidad común. Su dominio corresponde a la República, pero su uso no pertenece generalmente a los habitantes, de manera que el Estado los posee y los administra en forma similar a como lo hacen los particulares con los bienes de su</w:t>
      </w:r>
      <w:r w:rsidRPr="00097627">
        <w:rPr>
          <w:rFonts w:ascii="Verdana" w:eastAsia="Times New Roman" w:hAnsi="Verdana" w:cs="Arial"/>
          <w:i/>
          <w:iCs/>
          <w:color w:val="000000" w:themeColor="text1"/>
          <w:spacing w:val="-27"/>
          <w:lang w:val="es-MX" w:eastAsia="es-ES_tradnl"/>
        </w:rPr>
        <w:t xml:space="preserve"> </w:t>
      </w:r>
      <w:r>
        <w:rPr>
          <w:rFonts w:ascii="Verdana" w:eastAsia="Times New Roman" w:hAnsi="Verdana" w:cs="Arial"/>
          <w:i/>
          <w:iCs/>
          <w:color w:val="000000" w:themeColor="text1"/>
          <w:lang w:val="es-MX" w:eastAsia="es-ES_tradnl"/>
        </w:rPr>
        <w:t>propiedad”</w:t>
      </w:r>
      <w:r w:rsidRPr="00097627">
        <w:rPr>
          <w:rFonts w:ascii="Verdana" w:eastAsia="Times New Roman" w:hAnsi="Verdana" w:cs="Arial"/>
          <w:i/>
          <w:iCs/>
          <w:vertAlign w:val="superscript"/>
          <w:lang w:val="es-MX" w:eastAsia="es-ES_tradnl"/>
        </w:rPr>
        <w:footnoteReference w:id="11"/>
      </w:r>
      <w:r w:rsidRPr="00097627">
        <w:rPr>
          <w:rFonts w:ascii="Verdana" w:eastAsia="Times New Roman" w:hAnsi="Verdana" w:cs="Arial"/>
          <w:vertAlign w:val="superscript"/>
          <w:lang w:val="es-MX" w:eastAsia="es-ES_tradnl"/>
        </w:rPr>
        <w:t>.</w:t>
      </w:r>
      <w:r w:rsidRPr="00097627">
        <w:rPr>
          <w:rFonts w:ascii="Verdana" w:eastAsia="Times New Roman" w:hAnsi="Verdana" w:cs="Arial"/>
          <w:color w:val="000000" w:themeColor="text1"/>
          <w:lang w:val="es-MX" w:eastAsia="es-ES_tradnl"/>
        </w:rPr>
        <w:t xml:space="preserve"> </w:t>
      </w:r>
      <w:r w:rsidRPr="00097627">
        <w:rPr>
          <w:rFonts w:ascii="Verdana" w:eastAsia="Times New Roman" w:hAnsi="Verdana" w:cs="Arial"/>
          <w:lang w:val="es-MX" w:eastAsia="es-ES_tradnl"/>
        </w:rPr>
        <w:t>De esta forma, sobre los bienes fiscales, a pesar de estar destinados a la prestación de servicios públicos, las Entidades Estatales tienen la facultad de disponer de ellos a través de un acto jurídico como la compraventa, la donación, el arriendo, entre</w:t>
      </w:r>
      <w:r w:rsidRPr="00097627">
        <w:rPr>
          <w:rFonts w:ascii="Verdana" w:eastAsia="Times New Roman" w:hAnsi="Verdana" w:cs="Arial"/>
          <w:spacing w:val="-3"/>
          <w:lang w:val="es-MX" w:eastAsia="es-ES_tradnl"/>
        </w:rPr>
        <w:t xml:space="preserve"> </w:t>
      </w:r>
      <w:r w:rsidRPr="00097627">
        <w:rPr>
          <w:rFonts w:ascii="Verdana" w:eastAsia="Times New Roman" w:hAnsi="Verdana" w:cs="Arial"/>
          <w:lang w:val="es-MX" w:eastAsia="es-ES_tradnl"/>
        </w:rPr>
        <w:t>otros.</w:t>
      </w:r>
      <w:r w:rsidRPr="00097627">
        <w:rPr>
          <w:rFonts w:ascii="Verdana" w:eastAsia="Times New Roman" w:hAnsi="Verdana" w:cs="Arial"/>
          <w:vertAlign w:val="superscript"/>
          <w:lang w:val="es-MX" w:eastAsia="es-ES_tradnl"/>
        </w:rPr>
        <w:t xml:space="preserve"> </w:t>
      </w:r>
    </w:p>
    <w:p w14:paraId="2E973DFC" w14:textId="77777777" w:rsidR="00556A55" w:rsidRPr="00097627" w:rsidRDefault="00556A55" w:rsidP="00556A55">
      <w:pPr>
        <w:spacing w:after="0" w:line="276" w:lineRule="auto"/>
        <w:ind w:firstLine="720"/>
        <w:jc w:val="both"/>
        <w:rPr>
          <w:rFonts w:ascii="Verdana" w:eastAsia="Times New Roman" w:hAnsi="Verdana" w:cs="Arial"/>
          <w:lang w:val="es-MX" w:eastAsia="es-ES_tradnl"/>
        </w:rPr>
      </w:pPr>
      <w:r w:rsidRPr="00097627">
        <w:rPr>
          <w:rFonts w:ascii="Verdana" w:eastAsia="Times New Roman" w:hAnsi="Verdana" w:cs="Arial"/>
          <w:lang w:val="es-MX" w:eastAsia="es-ES_tradnl"/>
        </w:rPr>
        <w:t xml:space="preserve">Acerca de los bienes de uso público, el Consejo de Estado los define como </w:t>
      </w:r>
      <w:r>
        <w:rPr>
          <w:rFonts w:ascii="Verdana" w:eastAsia="Times New Roman" w:hAnsi="Verdana" w:cs="Arial"/>
          <w:i/>
          <w:iCs/>
          <w:lang w:val="es-MX" w:eastAsia="es-ES_tradnl"/>
        </w:rPr>
        <w:t>“</w:t>
      </w:r>
      <w:r w:rsidRPr="00097627">
        <w:rPr>
          <w:rFonts w:ascii="Verdana" w:eastAsia="Times New Roman" w:hAnsi="Verdana" w:cs="Arial"/>
          <w:i/>
          <w:iCs/>
          <w:lang w:val="es-MX" w:eastAsia="es-ES_tradnl"/>
        </w:rPr>
        <w:t>aquellos cuya titularidad pertenece al Estado y se hallan destinados al uso, goce y disfrute de todos los habitantes del territorio, están sometidos al régimen de derecho público y sobre ellos el Estado ejerce derechos de administración y de policía, con miras a garantizar y proteger su uso y goce común,</w:t>
      </w:r>
      <w:r>
        <w:rPr>
          <w:rFonts w:ascii="Verdana" w:eastAsia="Times New Roman" w:hAnsi="Verdana" w:cs="Arial"/>
          <w:i/>
          <w:iCs/>
          <w:lang w:val="es-MX" w:eastAsia="es-ES_tradnl"/>
        </w:rPr>
        <w:t xml:space="preserve"> por motivos de interés general”</w:t>
      </w:r>
      <w:r w:rsidRPr="00097627">
        <w:rPr>
          <w:rFonts w:ascii="Verdana" w:eastAsia="Times New Roman" w:hAnsi="Verdana" w:cs="Arial"/>
          <w:i/>
          <w:iCs/>
          <w:vertAlign w:val="superscript"/>
          <w:lang w:val="es-MX" w:eastAsia="es-ES_tradnl"/>
        </w:rPr>
        <w:footnoteReference w:id="12"/>
      </w:r>
      <w:r w:rsidRPr="00097627">
        <w:rPr>
          <w:rFonts w:ascii="Verdana" w:eastAsia="Times New Roman" w:hAnsi="Verdana" w:cs="Arial"/>
          <w:i/>
          <w:iCs/>
          <w:lang w:val="es-MX" w:eastAsia="es-ES_tradnl"/>
        </w:rPr>
        <w:t>.</w:t>
      </w:r>
      <w:r w:rsidRPr="00097627">
        <w:rPr>
          <w:rFonts w:ascii="Verdana" w:eastAsia="Times New Roman" w:hAnsi="Verdana" w:cs="Arial"/>
          <w:lang w:val="es-MX" w:eastAsia="es-ES_tradnl"/>
        </w:rPr>
        <w:t xml:space="preserve"> Por lo tanto, como estos bienes están destinados al uso de los habitantes de un territorio, el Estado no puede disponer de ellos por </w:t>
      </w:r>
      <w:r w:rsidRPr="00097627">
        <w:rPr>
          <w:rFonts w:ascii="Verdana" w:eastAsia="Times New Roman" w:hAnsi="Verdana" w:cs="Arial"/>
          <w:lang w:val="es-MX" w:eastAsia="es-ES_tradnl"/>
        </w:rPr>
        <w:lastRenderedPageBreak/>
        <w:t>encontrarse fuera del comercio</w:t>
      </w:r>
      <w:r w:rsidRPr="00097627">
        <w:rPr>
          <w:rFonts w:ascii="Verdana" w:eastAsia="Times New Roman" w:hAnsi="Verdana" w:cs="Arial"/>
          <w:vertAlign w:val="superscript"/>
          <w:lang w:val="es-MX" w:eastAsia="es-ES_tradnl"/>
        </w:rPr>
        <w:footnoteReference w:id="13"/>
      </w:r>
      <w:r w:rsidRPr="00097627">
        <w:rPr>
          <w:rFonts w:ascii="Verdana" w:eastAsia="Times New Roman" w:hAnsi="Verdana" w:cs="Arial"/>
          <w:lang w:val="es-MX" w:eastAsia="es-ES_tradnl"/>
        </w:rPr>
        <w:t>.</w:t>
      </w:r>
      <w:r w:rsidRPr="00097627">
        <w:rPr>
          <w:rFonts w:ascii="Verdana" w:eastAsia="Times New Roman" w:hAnsi="Verdana" w:cs="Arial"/>
          <w:vertAlign w:val="superscript"/>
          <w:lang w:val="es-MX" w:eastAsia="es-ES_tradnl"/>
        </w:rPr>
        <w:t xml:space="preserve"> </w:t>
      </w:r>
      <w:r>
        <w:rPr>
          <w:rFonts w:ascii="Verdana" w:eastAsia="Times New Roman" w:hAnsi="Verdana" w:cs="Arial"/>
          <w:lang w:val="es-MX" w:eastAsia="es-ES_tradnl"/>
        </w:rPr>
        <w:t xml:space="preserve"> </w:t>
      </w:r>
      <w:r w:rsidRPr="00097627">
        <w:rPr>
          <w:rFonts w:ascii="Verdana" w:eastAsia="Times New Roman" w:hAnsi="Verdana" w:cs="Arial"/>
          <w:lang w:val="es-MX" w:eastAsia="es-ES_tradnl"/>
        </w:rPr>
        <w:t>En ese orden de ideas, los bienes sobre los cuales puede recaer el acto de enajenación a título gratuito (donación) son los bienes fiscales muebles o inmuebles y no los bienes de uso público.</w:t>
      </w:r>
    </w:p>
    <w:p w14:paraId="7B31AAF5" w14:textId="77777777" w:rsidR="00556A55" w:rsidRPr="0019267B" w:rsidRDefault="00556A55" w:rsidP="00556A55">
      <w:pPr>
        <w:spacing w:after="0" w:line="276" w:lineRule="auto"/>
        <w:jc w:val="both"/>
        <w:rPr>
          <w:rFonts w:ascii="Verdana" w:eastAsia="Century Gothic" w:hAnsi="Verdana" w:cs="Century Gothic"/>
          <w:lang w:val="es-ES" w:eastAsia="es-CO"/>
        </w:rPr>
      </w:pPr>
    </w:p>
    <w:p w14:paraId="3B7884F8" w14:textId="77777777" w:rsidR="00556A55" w:rsidRPr="0019267B" w:rsidRDefault="00556A55" w:rsidP="00556A55">
      <w:pPr>
        <w:spacing w:after="0" w:line="276" w:lineRule="auto"/>
        <w:jc w:val="both"/>
        <w:rPr>
          <w:rFonts w:ascii="Verdana" w:eastAsia="Century Gothic" w:hAnsi="Verdana" w:cs="Century Gothic"/>
          <w:lang w:eastAsia="es-CO"/>
        </w:rPr>
      </w:pPr>
      <w:proofErr w:type="spellStart"/>
      <w:r>
        <w:rPr>
          <w:rFonts w:ascii="Verdana" w:eastAsia="Century Gothic" w:hAnsi="Verdana" w:cs="Century Gothic"/>
          <w:lang w:eastAsia="es-CO"/>
        </w:rPr>
        <w:t>iv</w:t>
      </w:r>
      <w:proofErr w:type="spellEnd"/>
      <w:r>
        <w:rPr>
          <w:rFonts w:ascii="Verdana" w:eastAsia="Century Gothic" w:hAnsi="Verdana" w:cs="Century Gothic"/>
          <w:lang w:eastAsia="es-CO"/>
        </w:rPr>
        <w:t xml:space="preserve">. </w:t>
      </w:r>
      <w:r w:rsidRPr="0019267B">
        <w:rPr>
          <w:rFonts w:ascii="Verdana" w:eastAsia="Century Gothic" w:hAnsi="Verdana" w:cs="Century Gothic"/>
          <w:lang w:eastAsia="es-CO"/>
        </w:rPr>
        <w:t xml:space="preserve">Ahora bien, </w:t>
      </w:r>
      <w:r>
        <w:rPr>
          <w:rFonts w:ascii="Verdana" w:eastAsia="Century Gothic" w:hAnsi="Verdana" w:cs="Century Gothic"/>
          <w:lang w:eastAsia="es-CO"/>
        </w:rPr>
        <w:t xml:space="preserve">es importante precisar que </w:t>
      </w:r>
      <w:r w:rsidRPr="0019267B">
        <w:rPr>
          <w:rFonts w:ascii="Verdana" w:eastAsia="Century Gothic" w:hAnsi="Verdana" w:cs="Century Gothic"/>
          <w:lang w:eastAsia="es-CO"/>
        </w:rPr>
        <w:t xml:space="preserve">el artículo 355 de la Constitución Política establece una restricción: “Ninguna de las ramas u órganos del Poder Público podrá decretar auxilios o donaciones en favor de personas naturales o jurídicas de </w:t>
      </w:r>
      <w:r w:rsidRPr="0019267B">
        <w:rPr>
          <w:rFonts w:ascii="Verdana" w:eastAsia="Century Gothic" w:hAnsi="Verdana" w:cs="Century Gothic"/>
          <w:i/>
          <w:iCs/>
          <w:lang w:eastAsia="es-CO"/>
        </w:rPr>
        <w:t>derecho privado</w:t>
      </w:r>
      <w:r w:rsidRPr="0019267B">
        <w:rPr>
          <w:rFonts w:ascii="Verdana" w:eastAsia="Century Gothic" w:hAnsi="Verdana" w:cs="Century Gothic"/>
          <w:lang w:eastAsia="es-CO"/>
        </w:rPr>
        <w:t>”. Sin embargo, no se extendieron los efectos de esta prohibición a las donaciones en las cuales las entidades públicas actuaban en calidad de donatarias. Este aspecto fue estudiado por el Consejo de Estado recientemente, en Concepto del 11 de octubre de 2022</w:t>
      </w:r>
      <w:r w:rsidRPr="0019267B">
        <w:rPr>
          <w:rFonts w:ascii="Verdana" w:eastAsia="Century Gothic" w:hAnsi="Verdana" w:cs="Century Gothic"/>
          <w:vertAlign w:val="superscript"/>
          <w:lang w:eastAsia="es-CO"/>
        </w:rPr>
        <w:footnoteReference w:id="14"/>
      </w:r>
      <w:r w:rsidRPr="0019267B">
        <w:rPr>
          <w:rFonts w:ascii="Verdana" w:eastAsia="Century Gothic" w:hAnsi="Verdana" w:cs="Century Gothic"/>
          <w:lang w:eastAsia="es-CO"/>
        </w:rPr>
        <w:t>, donde se resolvía la inquietud acerca de si una empresa industrial y comercial del Estado, no sometida al régimen contractual general -Ley 80</w:t>
      </w:r>
      <w:r>
        <w:rPr>
          <w:rFonts w:ascii="Verdana" w:eastAsia="Century Gothic" w:hAnsi="Verdana" w:cs="Century Gothic"/>
          <w:lang w:eastAsia="es-CO"/>
        </w:rPr>
        <w:t xml:space="preserve"> de 1993</w:t>
      </w:r>
      <w:r w:rsidRPr="0019267B">
        <w:rPr>
          <w:rFonts w:ascii="Verdana" w:eastAsia="Century Gothic" w:hAnsi="Verdana" w:cs="Century Gothic"/>
          <w:lang w:eastAsia="es-CO"/>
        </w:rPr>
        <w:t>-, podía dar y recibir en donación hacía y desde entidades públicas, bienes públicos -muebles e inmuebles-. En la decisión adoptada por la Alta Corporación, se pronunció así:</w:t>
      </w:r>
    </w:p>
    <w:p w14:paraId="199203A0" w14:textId="77777777" w:rsidR="00556A55" w:rsidRPr="0019267B" w:rsidRDefault="00556A55" w:rsidP="00556A55">
      <w:pPr>
        <w:spacing w:after="0" w:line="276" w:lineRule="auto"/>
        <w:jc w:val="both"/>
        <w:rPr>
          <w:rFonts w:ascii="Verdana" w:eastAsia="Century Gothic" w:hAnsi="Verdana" w:cs="Century Gothic"/>
          <w:lang w:eastAsia="es-CO"/>
        </w:rPr>
      </w:pPr>
    </w:p>
    <w:p w14:paraId="11A1C953" w14:textId="77777777" w:rsidR="00556A55" w:rsidRPr="0019267B" w:rsidRDefault="00556A55" w:rsidP="00556A55">
      <w:pPr>
        <w:spacing w:after="0" w:line="240" w:lineRule="auto"/>
        <w:ind w:left="709" w:right="709"/>
        <w:jc w:val="both"/>
        <w:rPr>
          <w:rFonts w:ascii="Verdana" w:eastAsia="Century Gothic" w:hAnsi="Verdana" w:cs="Century Gothic"/>
          <w:sz w:val="20"/>
          <w:szCs w:val="20"/>
          <w:lang w:eastAsia="es-CO"/>
        </w:rPr>
      </w:pPr>
      <w:r w:rsidRPr="0019267B">
        <w:rPr>
          <w:rFonts w:ascii="Verdana" w:eastAsia="Century Gothic" w:hAnsi="Verdana" w:cs="Century Gothic"/>
          <w:sz w:val="20"/>
          <w:szCs w:val="20"/>
          <w:lang w:eastAsia="es-CO"/>
        </w:rPr>
        <w:t>“[…] la Sala ha expresado en forma clara, que el artículo 355 de la Constitución no prohíbe las donaciones a favor de entidades que integran las ramas u órganos del poder público, y que aquellas proceden para el cumplimiento de deberes constitucionales expresos, pero no señala que sea solamente para esta finalidad, de modo que podrían realizarse para otras finalidades, por ejemplo, si se trata de un bien que necesita una entidad pública para el desarrollo de sus actividades, y otra entidad pública lo posee, y se lo puede donar sin afectar el ejercicio de sus funciones u objeto social”.</w:t>
      </w:r>
    </w:p>
    <w:p w14:paraId="06B53179" w14:textId="77777777" w:rsidR="00556A55" w:rsidRPr="0019267B" w:rsidRDefault="00556A55" w:rsidP="00556A55">
      <w:pPr>
        <w:spacing w:after="0" w:line="276" w:lineRule="auto"/>
        <w:ind w:left="709" w:right="709"/>
        <w:jc w:val="both"/>
        <w:rPr>
          <w:rFonts w:ascii="Verdana" w:eastAsia="Century Gothic" w:hAnsi="Verdana" w:cs="Century Gothic"/>
          <w:lang w:eastAsia="es-CO"/>
        </w:rPr>
      </w:pPr>
    </w:p>
    <w:p w14:paraId="7037AAE6" w14:textId="77777777" w:rsidR="00556A55" w:rsidRPr="0019267B" w:rsidRDefault="00556A55" w:rsidP="00556A55">
      <w:pPr>
        <w:spacing w:after="0" w:line="276" w:lineRule="auto"/>
        <w:ind w:firstLine="708"/>
        <w:jc w:val="both"/>
        <w:rPr>
          <w:rFonts w:ascii="Verdana" w:eastAsia="Century Gothic" w:hAnsi="Verdana" w:cs="Century Gothic"/>
          <w:lang w:eastAsia="es-CO"/>
        </w:rPr>
      </w:pPr>
      <w:r w:rsidRPr="0019267B">
        <w:rPr>
          <w:rFonts w:ascii="Verdana" w:eastAsia="Century Gothic" w:hAnsi="Verdana" w:cs="Century Gothic"/>
          <w:lang w:eastAsia="es-CO"/>
        </w:rPr>
        <w:t>De manera que resulta claro que las entidades estatales están facultadas para celebrar contratos de donación a favor de otra entidad estatal, y que la celebración del contrato derivado del derecho privado resulta posible por virtud de la remisión que el Estatuto General hace a dichas instituciones en sus artículos 13 y 32. Así lo expresó el Consejo de Estado en la Sentencia del 10 de febrero de 2016, antes citada:</w:t>
      </w:r>
    </w:p>
    <w:p w14:paraId="22A41F62" w14:textId="77777777" w:rsidR="00556A55" w:rsidRPr="0019267B" w:rsidRDefault="00556A55" w:rsidP="00556A55">
      <w:pPr>
        <w:spacing w:after="0" w:line="276" w:lineRule="auto"/>
        <w:ind w:firstLine="708"/>
        <w:jc w:val="both"/>
        <w:rPr>
          <w:rFonts w:ascii="Verdana" w:eastAsia="Century Gothic" w:hAnsi="Verdana" w:cs="Century Gothic"/>
          <w:lang w:eastAsia="es-CO"/>
        </w:rPr>
      </w:pPr>
    </w:p>
    <w:p w14:paraId="0D54C6C0" w14:textId="77777777" w:rsidR="00556A55" w:rsidRPr="0019267B" w:rsidRDefault="00556A55" w:rsidP="00556A55">
      <w:pPr>
        <w:spacing w:after="0" w:line="240" w:lineRule="auto"/>
        <w:ind w:left="709" w:right="709"/>
        <w:jc w:val="both"/>
        <w:rPr>
          <w:rFonts w:ascii="Verdana" w:eastAsia="Century Gothic" w:hAnsi="Verdana" w:cs="Century Gothic"/>
          <w:sz w:val="20"/>
          <w:szCs w:val="20"/>
          <w:lang w:eastAsia="es-CO"/>
        </w:rPr>
      </w:pPr>
      <w:r>
        <w:rPr>
          <w:rFonts w:ascii="Verdana" w:eastAsia="Century Gothic" w:hAnsi="Verdana" w:cs="Century Gothic"/>
          <w:sz w:val="20"/>
          <w:szCs w:val="20"/>
          <w:lang w:eastAsia="es-CO"/>
        </w:rPr>
        <w:t>“</w:t>
      </w:r>
      <w:r w:rsidRPr="0019267B">
        <w:rPr>
          <w:rFonts w:ascii="Verdana" w:eastAsia="Century Gothic" w:hAnsi="Verdana" w:cs="Century Gothic"/>
          <w:sz w:val="20"/>
          <w:szCs w:val="20"/>
          <w:lang w:eastAsia="es-CO"/>
        </w:rPr>
        <w:t xml:space="preserve">En punto de la capacidad de las entidades públicas debe advertirse, preliminarmente, que por expresa disposición constitucional a propósito </w:t>
      </w:r>
      <w:r w:rsidRPr="0019267B">
        <w:rPr>
          <w:rFonts w:ascii="Verdana" w:eastAsia="Century Gothic" w:hAnsi="Verdana" w:cs="Century Gothic"/>
          <w:sz w:val="20"/>
          <w:szCs w:val="20"/>
          <w:lang w:eastAsia="es-CO"/>
        </w:rPr>
        <w:lastRenderedPageBreak/>
        <w:t xml:space="preserve">(artículos 4, 6 у 121 a 124, entre otros), la competencia de los servidores públicos y, por supuesto, de las entidades públicas es reglada y específica -no general- primando el principio de la especialidad. De esta manera se garantiza la previsión frente al comportamiento de los servidores y entidades públicas y el respeto por el principio de legalidad. </w:t>
      </w:r>
    </w:p>
    <w:p w14:paraId="0859668E" w14:textId="77777777" w:rsidR="00556A55" w:rsidRPr="0019267B" w:rsidRDefault="00556A55" w:rsidP="00556A55">
      <w:pPr>
        <w:spacing w:after="0" w:line="240" w:lineRule="auto"/>
        <w:ind w:left="709" w:right="709"/>
        <w:jc w:val="both"/>
        <w:rPr>
          <w:rFonts w:ascii="Verdana" w:eastAsia="Century Gothic" w:hAnsi="Verdana" w:cs="Century Gothic"/>
          <w:sz w:val="20"/>
          <w:szCs w:val="20"/>
          <w:lang w:eastAsia="es-CO"/>
        </w:rPr>
      </w:pPr>
    </w:p>
    <w:p w14:paraId="68C00EE7" w14:textId="77777777" w:rsidR="00556A55" w:rsidRPr="0019267B" w:rsidRDefault="00556A55" w:rsidP="00556A55">
      <w:pPr>
        <w:spacing w:after="0" w:line="240" w:lineRule="auto"/>
        <w:ind w:left="709" w:right="709"/>
        <w:jc w:val="both"/>
        <w:rPr>
          <w:rFonts w:ascii="Verdana" w:eastAsia="Century Gothic" w:hAnsi="Verdana" w:cs="Century Gothic"/>
          <w:sz w:val="20"/>
          <w:szCs w:val="20"/>
          <w:lang w:eastAsia="es-CO"/>
        </w:rPr>
      </w:pPr>
      <w:r w:rsidRPr="0019267B">
        <w:rPr>
          <w:rFonts w:ascii="Verdana" w:eastAsia="Century Gothic" w:hAnsi="Verdana" w:cs="Century Gothic"/>
          <w:sz w:val="20"/>
          <w:szCs w:val="20"/>
          <w:u w:val="single"/>
          <w:lang w:eastAsia="es-CO"/>
        </w:rPr>
        <w:t>Lo anterior no significa, sin embargo, que en materia contractual pública cada una de las operaciones que pueden ser adelantadas por una entidad deba ser autorizada particularmente por la ley. Para el caso del contrato de donación que ocupa la atención de la Sala no podría exigirse que para su celebración debiera existir una autorización, específica y previa, para cada entidad pública. Destaca la Sala que existe, en efecto, una autorización general, contenida en el Estatuto General de Contratación de la Administración Pública Nacional (sic), de conformidad con la cual las entidades públicas, con el objeto de cumplir los altos fines estatales (artículo 3), y acudiendo a los contratos previstos en el ordenamiento civil o comercial (artículo 13), podrán adoptar las figuras contractuales que resulten pertinentes de conformidad con la autonomía de la voluntad que le es reconocida (artículo 32), garantizando que, en tales casos, se respeten los principios de transparencia, economía y responsabilidad</w:t>
      </w:r>
      <w:r w:rsidRPr="0019267B">
        <w:rPr>
          <w:rFonts w:ascii="Verdana" w:eastAsia="Century Gothic" w:hAnsi="Verdana" w:cs="Century Gothic"/>
          <w:sz w:val="20"/>
          <w:szCs w:val="20"/>
          <w:lang w:eastAsia="es-CO"/>
        </w:rPr>
        <w:t xml:space="preserve">. (Subrayas de la Sala). </w:t>
      </w:r>
    </w:p>
    <w:p w14:paraId="2B08B266" w14:textId="77777777" w:rsidR="00556A55" w:rsidRPr="0019267B" w:rsidRDefault="00556A55" w:rsidP="00556A55">
      <w:pPr>
        <w:spacing w:after="0" w:line="240" w:lineRule="auto"/>
        <w:ind w:left="709" w:right="709"/>
        <w:jc w:val="both"/>
        <w:rPr>
          <w:rFonts w:ascii="Verdana" w:eastAsia="Century Gothic" w:hAnsi="Verdana" w:cs="Century Gothic"/>
          <w:sz w:val="20"/>
          <w:szCs w:val="20"/>
          <w:lang w:eastAsia="es-CO"/>
        </w:rPr>
      </w:pPr>
    </w:p>
    <w:p w14:paraId="07B0BDE9" w14:textId="77777777" w:rsidR="00556A55" w:rsidRPr="0019267B" w:rsidRDefault="00556A55" w:rsidP="00556A55">
      <w:pPr>
        <w:spacing w:after="0" w:line="240" w:lineRule="auto"/>
        <w:ind w:left="709" w:right="709"/>
        <w:jc w:val="both"/>
        <w:rPr>
          <w:rFonts w:ascii="Verdana" w:eastAsia="Century Gothic" w:hAnsi="Verdana" w:cs="Century Gothic"/>
          <w:sz w:val="20"/>
          <w:szCs w:val="20"/>
          <w:lang w:eastAsia="es-CO"/>
        </w:rPr>
      </w:pPr>
      <w:r w:rsidRPr="0019267B">
        <w:rPr>
          <w:rFonts w:ascii="Verdana" w:eastAsia="Century Gothic" w:hAnsi="Verdana" w:cs="Century Gothic"/>
          <w:sz w:val="20"/>
          <w:szCs w:val="20"/>
          <w:lang w:eastAsia="es-CO"/>
        </w:rPr>
        <w:t>Huelga anotar que, de manera tangencial, la Ley 80 de 1993 se refiere a los contratos de donación, al señalar que en los mismos se prescindirá de la utilización de las cláusulas o estipulaciones excepcionales (parágrafo del artículo 14)</w:t>
      </w:r>
      <w:r>
        <w:rPr>
          <w:rFonts w:ascii="Verdana" w:eastAsia="Century Gothic" w:hAnsi="Verdana" w:cs="Century Gothic"/>
          <w:sz w:val="20"/>
          <w:szCs w:val="20"/>
          <w:lang w:eastAsia="es-CO"/>
        </w:rPr>
        <w:t>”</w:t>
      </w:r>
      <w:r w:rsidRPr="0019267B">
        <w:rPr>
          <w:rFonts w:ascii="Verdana" w:eastAsia="Century Gothic" w:hAnsi="Verdana" w:cs="Century Gothic"/>
          <w:sz w:val="20"/>
          <w:szCs w:val="20"/>
          <w:lang w:eastAsia="es-CO"/>
        </w:rPr>
        <w:t>.</w:t>
      </w:r>
    </w:p>
    <w:p w14:paraId="227258BB" w14:textId="77777777" w:rsidR="00556A55" w:rsidRPr="0019267B" w:rsidRDefault="00556A55" w:rsidP="00556A55">
      <w:pPr>
        <w:spacing w:after="0" w:line="276" w:lineRule="auto"/>
        <w:jc w:val="both"/>
        <w:rPr>
          <w:rFonts w:ascii="Verdana" w:eastAsia="Century Gothic" w:hAnsi="Verdana" w:cs="Century Gothic"/>
          <w:lang w:eastAsia="es-CO"/>
        </w:rPr>
      </w:pPr>
    </w:p>
    <w:p w14:paraId="17C2C38B" w14:textId="77777777" w:rsidR="00556A55" w:rsidRDefault="00556A55" w:rsidP="00556A55">
      <w:pPr>
        <w:spacing w:after="120" w:line="276" w:lineRule="auto"/>
        <w:jc w:val="both"/>
        <w:rPr>
          <w:rFonts w:ascii="Verdana" w:eastAsia="Century Gothic" w:hAnsi="Verdana" w:cs="Century Gothic"/>
          <w:lang w:eastAsia="es-CO"/>
        </w:rPr>
      </w:pPr>
      <w:r w:rsidRPr="0019267B">
        <w:rPr>
          <w:rFonts w:ascii="Verdana" w:eastAsia="Century Gothic" w:hAnsi="Verdana" w:cs="Century Gothic"/>
          <w:lang w:eastAsia="es-CO"/>
        </w:rPr>
        <w:tab/>
        <w:t xml:space="preserve">En síntesis, se reitera que, las entidades estatales </w:t>
      </w:r>
      <w:r>
        <w:rPr>
          <w:rFonts w:ascii="Verdana" w:eastAsia="Century Gothic" w:hAnsi="Verdana" w:cs="Century Gothic"/>
          <w:lang w:eastAsia="es-CO"/>
        </w:rPr>
        <w:t xml:space="preserve">están limitadas </w:t>
      </w:r>
      <w:r w:rsidRPr="0019267B">
        <w:rPr>
          <w:rFonts w:ascii="Verdana" w:eastAsia="Century Gothic" w:hAnsi="Verdana" w:cs="Century Gothic"/>
          <w:lang w:eastAsia="es-CO"/>
        </w:rPr>
        <w:t>para actuar como donantes en virtud de la restricción establecida en el artículo 355 de la Constitución Política, la cual prohíbe la entrega de auxilios o donaciones a personas naturales o jurídicas de derecho privado. Sin embargo, esta prohibición no se extiende a las donaciones efectuadas entre entidades públicas, por lo que tales actos resultan jurídicamente procedentes cuando se otorgan entre sujetos que hacen parte de la administración pública.</w:t>
      </w:r>
    </w:p>
    <w:p w14:paraId="25D47B85" w14:textId="77777777" w:rsidR="00556A55" w:rsidRPr="005647CA" w:rsidRDefault="00556A55" w:rsidP="00556A55">
      <w:pPr>
        <w:spacing w:before="120" w:after="0" w:line="276" w:lineRule="auto"/>
        <w:jc w:val="both"/>
        <w:rPr>
          <w:rFonts w:ascii="Verdana" w:eastAsia="Times New Roman" w:hAnsi="Verdana" w:cs="Arial"/>
          <w:lang w:eastAsia="es-ES_tradnl"/>
        </w:rPr>
      </w:pPr>
      <w:r>
        <w:rPr>
          <w:rFonts w:ascii="Verdana" w:eastAsia="Century Gothic" w:hAnsi="Verdana" w:cs="Century Gothic"/>
          <w:lang w:eastAsia="es-CO"/>
        </w:rPr>
        <w:tab/>
      </w:r>
      <w:r w:rsidRPr="00C13001">
        <w:rPr>
          <w:rFonts w:ascii="Verdana" w:eastAsia="Century Gothic" w:hAnsi="Verdana" w:cs="Century Gothic"/>
        </w:rPr>
        <w:t>En consecuencia, las entidades públicas no pueden realizar donaciones de bienes muebles a favor de particulares, dado que el artículo 355 de la Constitución Política prohíbe la entrega de auxilios o donaciones a personas naturales o jurídicas de derecho privado. Esta restricción busca asegurar la correcta destinación de los recursos públicos y evitar transferencias que no respondan a fines estatales legítimos.</w:t>
      </w:r>
      <w:r>
        <w:rPr>
          <w:rFonts w:ascii="Verdana" w:eastAsia="Century Gothic" w:hAnsi="Verdana" w:cs="Century Gothic"/>
        </w:rPr>
        <w:t xml:space="preserve"> </w:t>
      </w:r>
      <w:r w:rsidRPr="00C13001">
        <w:rPr>
          <w:rFonts w:ascii="Verdana" w:eastAsia="Century Gothic" w:hAnsi="Verdana" w:cs="Century Gothic"/>
          <w:lang w:eastAsia="es-CO"/>
        </w:rPr>
        <w:t xml:space="preserve">Por tanto, </w:t>
      </w:r>
      <w:r w:rsidRPr="005647CA">
        <w:rPr>
          <w:rFonts w:ascii="Verdana" w:eastAsia="Times New Roman" w:hAnsi="Verdana" w:cs="Arial"/>
          <w:lang w:eastAsia="es-ES_tradnl"/>
        </w:rPr>
        <w:t xml:space="preserve">se </w:t>
      </w:r>
      <w:r>
        <w:rPr>
          <w:rFonts w:ascii="Verdana" w:eastAsia="Times New Roman" w:hAnsi="Verdana" w:cs="Arial"/>
          <w:lang w:eastAsia="es-ES_tradnl"/>
        </w:rPr>
        <w:t>re</w:t>
      </w:r>
      <w:r w:rsidRPr="005647CA">
        <w:rPr>
          <w:rFonts w:ascii="Verdana" w:eastAsia="Times New Roman" w:hAnsi="Verdana" w:cs="Arial"/>
          <w:lang w:eastAsia="es-ES_tradnl"/>
        </w:rPr>
        <w:t xml:space="preserve">itera que el artículo 355 de la Constitución Política de Colombia prohibió en su inciso primero cualquier </w:t>
      </w:r>
      <w:r w:rsidRPr="005647CA">
        <w:rPr>
          <w:rFonts w:ascii="Verdana" w:eastAsia="Times New Roman" w:hAnsi="Verdana" w:cs="Arial"/>
          <w:lang w:eastAsia="es-ES_tradnl"/>
        </w:rPr>
        <w:lastRenderedPageBreak/>
        <w:t xml:space="preserve">tipo de auxilio o donación por parte del Estado a personas naturales o jurídicas de derecho privado. Sin embargo; para la Corte Constitucional la prohibición de la que trata este artículo se materializa cuando se registre al menos uno de los siguientes eventos: </w:t>
      </w:r>
    </w:p>
    <w:p w14:paraId="639376DB" w14:textId="77777777" w:rsidR="00556A55" w:rsidRPr="005647CA" w:rsidRDefault="00556A55" w:rsidP="00556A55">
      <w:pPr>
        <w:spacing w:after="0" w:line="240" w:lineRule="auto"/>
        <w:ind w:left="709" w:right="709"/>
        <w:jc w:val="both"/>
        <w:rPr>
          <w:rFonts w:ascii="Verdana" w:eastAsia="Times New Roman" w:hAnsi="Verdana" w:cs="Arial"/>
          <w:sz w:val="21"/>
          <w:szCs w:val="21"/>
          <w:lang w:eastAsia="es-ES_tradnl"/>
        </w:rPr>
      </w:pPr>
    </w:p>
    <w:p w14:paraId="2B438BB9" w14:textId="77777777" w:rsidR="00556A55" w:rsidRPr="005647CA" w:rsidRDefault="00556A55" w:rsidP="00556A55">
      <w:pPr>
        <w:spacing w:after="0" w:line="240" w:lineRule="auto"/>
        <w:ind w:left="709" w:right="709"/>
        <w:jc w:val="both"/>
        <w:rPr>
          <w:rFonts w:ascii="Verdana" w:eastAsia="Times New Roman" w:hAnsi="Verdana" w:cs="Arial"/>
          <w:sz w:val="20"/>
          <w:szCs w:val="20"/>
          <w:lang w:eastAsia="es-ES_tradnl"/>
        </w:rPr>
      </w:pPr>
      <w:r w:rsidRPr="005647CA">
        <w:rPr>
          <w:rFonts w:ascii="Verdana" w:eastAsia="Times New Roman" w:hAnsi="Verdana" w:cs="Arial"/>
          <w:sz w:val="20"/>
          <w:szCs w:val="20"/>
          <w:lang w:eastAsia="es-ES_tradnl"/>
        </w:rPr>
        <w:t xml:space="preserve">i) se omita dar aplicación al principio presupuestal de legalidad del gasto; </w:t>
      </w:r>
      <w:proofErr w:type="spellStart"/>
      <w:r w:rsidRPr="005647CA">
        <w:rPr>
          <w:rFonts w:ascii="Verdana" w:eastAsia="Times New Roman" w:hAnsi="Verdana" w:cs="Arial"/>
          <w:sz w:val="20"/>
          <w:szCs w:val="20"/>
          <w:lang w:eastAsia="es-ES_tradnl"/>
        </w:rPr>
        <w:t>ii</w:t>
      </w:r>
      <w:proofErr w:type="spellEnd"/>
      <w:r w:rsidRPr="005647CA">
        <w:rPr>
          <w:rFonts w:ascii="Verdana" w:eastAsia="Times New Roman" w:hAnsi="Verdana" w:cs="Arial"/>
          <w:sz w:val="20"/>
          <w:szCs w:val="20"/>
          <w:lang w:eastAsia="es-ES_tradnl"/>
        </w:rPr>
        <w:t xml:space="preserve">) la ley que crea la subvención o auxilio en desarrollo de los artículos 334 y siguientes de la C.P. o desarrolla las subvenciones autorizadas directamente por la Constitución Política, omita determinar de manera concreta y explícita su finalidad, destinatarios, alcances materiales y temporales, condiciones y criterios de asignación, publicidad e impugnación, así como los límites a la libertad económica; </w:t>
      </w:r>
      <w:proofErr w:type="spellStart"/>
      <w:r w:rsidRPr="005647CA">
        <w:rPr>
          <w:rFonts w:ascii="Verdana" w:eastAsia="Times New Roman" w:hAnsi="Verdana" w:cs="Arial"/>
          <w:sz w:val="20"/>
          <w:szCs w:val="20"/>
          <w:lang w:eastAsia="es-ES_tradnl"/>
        </w:rPr>
        <w:t>iii</w:t>
      </w:r>
      <w:proofErr w:type="spellEnd"/>
      <w:r w:rsidRPr="005647CA">
        <w:rPr>
          <w:rFonts w:ascii="Verdana" w:eastAsia="Times New Roman" w:hAnsi="Verdana" w:cs="Arial"/>
          <w:sz w:val="20"/>
          <w:szCs w:val="20"/>
          <w:lang w:eastAsia="es-ES_tradnl"/>
        </w:rPr>
        <w:t xml:space="preserve">) la asignación obedezca a criterios de mera liberalidad, es decir, no se encuadre en una política pública reflejada en el Plan Nacional de Desarrollo o en los planes seccionales de desarrollo; </w:t>
      </w:r>
      <w:proofErr w:type="spellStart"/>
      <w:r w:rsidRPr="005647CA">
        <w:rPr>
          <w:rFonts w:ascii="Verdana" w:eastAsia="Times New Roman" w:hAnsi="Verdana" w:cs="Arial"/>
          <w:sz w:val="20"/>
          <w:szCs w:val="20"/>
          <w:lang w:eastAsia="es-ES_tradnl"/>
        </w:rPr>
        <w:t>iv</w:t>
      </w:r>
      <w:proofErr w:type="spellEnd"/>
      <w:r w:rsidRPr="005647CA">
        <w:rPr>
          <w:rFonts w:ascii="Verdana" w:eastAsia="Times New Roman" w:hAnsi="Verdana" w:cs="Arial"/>
          <w:sz w:val="20"/>
          <w:szCs w:val="20"/>
          <w:lang w:eastAsia="es-ES_tradnl"/>
        </w:rPr>
        <w:t xml:space="preserve">) cuando el costo del subsidio para el Estado sea mayor que el beneficio social que se obtiene a partir de su implementación o cuando el auxilio o subsidio sólo beneficie a un grupo de interés sin que reporte beneficios a la sociedad en su conjunto o contribuya a ampliar las diferencias sociales, v) cuando la asignación de recursos públicos no contribuya a fortalecer la capacidad de acceso de los más pobres a los bienes y servicios públicos esenciales, en la medida en que se entreguen a quienes menos lo necesitan o menos lo merecen; </w:t>
      </w:r>
      <w:proofErr w:type="spellStart"/>
      <w:r w:rsidRPr="005647CA">
        <w:rPr>
          <w:rFonts w:ascii="Verdana" w:eastAsia="Times New Roman" w:hAnsi="Verdana" w:cs="Arial"/>
          <w:sz w:val="20"/>
          <w:szCs w:val="20"/>
          <w:lang w:eastAsia="es-ES_tradnl"/>
        </w:rPr>
        <w:t>iv</w:t>
      </w:r>
      <w:proofErr w:type="spellEnd"/>
      <w:r w:rsidRPr="005647CA">
        <w:rPr>
          <w:rFonts w:ascii="Verdana" w:eastAsia="Times New Roman" w:hAnsi="Verdana" w:cs="Arial"/>
          <w:sz w:val="20"/>
          <w:szCs w:val="20"/>
          <w:lang w:eastAsia="es-ES_tradnl"/>
        </w:rPr>
        <w:t xml:space="preserve">) cuando el subsidio tenga vocación de permanencia convirtiéndose en una carga al presupuesto público, en la medida que el subsidio o auxilio está llamado a producir efectos inmediatos dentro de una determinada coyuntura económica, de manera que una vocación de permanencia indica que la situación o sector al cual se dirige requiere de otras y más profundas medidas estructurales; y </w:t>
      </w:r>
      <w:proofErr w:type="spellStart"/>
      <w:r w:rsidRPr="005647CA">
        <w:rPr>
          <w:rFonts w:ascii="Verdana" w:eastAsia="Times New Roman" w:hAnsi="Verdana" w:cs="Arial"/>
          <w:sz w:val="20"/>
          <w:szCs w:val="20"/>
          <w:lang w:eastAsia="es-ES_tradnl"/>
        </w:rPr>
        <w:t>vii</w:t>
      </w:r>
      <w:proofErr w:type="spellEnd"/>
      <w:r w:rsidRPr="005647CA">
        <w:rPr>
          <w:rFonts w:ascii="Verdana" w:eastAsia="Times New Roman" w:hAnsi="Verdana" w:cs="Arial"/>
          <w:sz w:val="20"/>
          <w:szCs w:val="20"/>
          <w:lang w:eastAsia="es-ES_tradnl"/>
        </w:rPr>
        <w:t>) cuando el subsidio entrañe la figura de la desviación de poder, esto es, cuando el incentivo se cree con un propósito distinto de aquel para el cual aparentemente fue creado</w:t>
      </w:r>
      <w:r w:rsidRPr="005647CA">
        <w:rPr>
          <w:rFonts w:ascii="Verdana" w:eastAsia="Times New Roman" w:hAnsi="Verdana" w:cs="Arial"/>
          <w:sz w:val="20"/>
          <w:szCs w:val="20"/>
          <w:vertAlign w:val="superscript"/>
          <w:lang w:eastAsia="es-ES_tradnl"/>
        </w:rPr>
        <w:footnoteReference w:id="15"/>
      </w:r>
      <w:r w:rsidRPr="005647CA">
        <w:rPr>
          <w:rFonts w:ascii="Verdana" w:eastAsia="Times New Roman" w:hAnsi="Verdana" w:cs="Arial"/>
          <w:sz w:val="20"/>
          <w:szCs w:val="20"/>
          <w:lang w:eastAsia="es-ES_tradnl"/>
        </w:rPr>
        <w:t>”.</w:t>
      </w:r>
    </w:p>
    <w:p w14:paraId="5953FBB7" w14:textId="77777777" w:rsidR="00556A55" w:rsidRPr="005647CA" w:rsidRDefault="00556A55" w:rsidP="00556A55">
      <w:pPr>
        <w:spacing w:after="0" w:line="240" w:lineRule="auto"/>
        <w:ind w:left="709" w:right="709"/>
        <w:jc w:val="both"/>
        <w:rPr>
          <w:rFonts w:ascii="Verdana" w:eastAsia="Times New Roman" w:hAnsi="Verdana" w:cs="Arial"/>
          <w:sz w:val="20"/>
          <w:szCs w:val="20"/>
          <w:lang w:eastAsia="es-ES_tradnl"/>
        </w:rPr>
      </w:pPr>
    </w:p>
    <w:p w14:paraId="05EC8E93" w14:textId="77777777" w:rsidR="00556A55" w:rsidRPr="005647CA" w:rsidRDefault="00556A55" w:rsidP="00556A55">
      <w:pPr>
        <w:spacing w:after="120" w:line="276" w:lineRule="auto"/>
        <w:ind w:firstLine="708"/>
        <w:jc w:val="both"/>
        <w:rPr>
          <w:rFonts w:ascii="Verdana" w:eastAsia="Times New Roman" w:hAnsi="Verdana" w:cs="Arial"/>
          <w:lang w:eastAsia="es-ES_tradnl"/>
        </w:rPr>
      </w:pPr>
      <w:r w:rsidRPr="005647CA">
        <w:rPr>
          <w:rFonts w:ascii="Verdana" w:eastAsia="Times New Roman" w:hAnsi="Verdana" w:cs="Arial"/>
          <w:lang w:eastAsia="es-ES_tradnl"/>
        </w:rPr>
        <w:t>La jurisprudencia constitucional ha decantado en un amplio conjunto de pronunciamientos sobre el alcance del artículo 355 superior, que una prohibición absoluta implicaría una tensión inaceptable entre distintas características centrales de nuestra Constitución, por lo que suponer que el Estado, a través de sus órganos y ramas que ejercen el poder público, tiene prohibida las subvenciones a todas las actividades de las empresas de derecho privado, haría inevitable la satisfacción de las cláusulas del Estado Social de Derecho e igualdad material</w:t>
      </w:r>
      <w:r w:rsidRPr="005647CA">
        <w:rPr>
          <w:rFonts w:ascii="Verdana" w:eastAsia="Times New Roman" w:hAnsi="Verdana" w:cs="Arial"/>
          <w:vertAlign w:val="superscript"/>
          <w:lang w:eastAsia="es-ES_tradnl"/>
        </w:rPr>
        <w:footnoteReference w:id="16"/>
      </w:r>
      <w:r w:rsidRPr="005647CA">
        <w:rPr>
          <w:rFonts w:ascii="Verdana" w:eastAsia="Times New Roman" w:hAnsi="Verdana" w:cs="Arial"/>
          <w:lang w:eastAsia="es-ES_tradnl"/>
        </w:rPr>
        <w:t>.</w:t>
      </w:r>
    </w:p>
    <w:p w14:paraId="5F2650E0" w14:textId="77777777" w:rsidR="00556A55" w:rsidRPr="005647CA" w:rsidRDefault="00556A55" w:rsidP="00556A55">
      <w:pPr>
        <w:spacing w:before="120" w:after="120" w:line="276" w:lineRule="auto"/>
        <w:ind w:firstLine="709"/>
        <w:jc w:val="both"/>
        <w:rPr>
          <w:rFonts w:ascii="Verdana" w:eastAsia="Times New Roman" w:hAnsi="Verdana" w:cs="Arial"/>
          <w:lang w:eastAsia="es-ES_tradnl"/>
        </w:rPr>
      </w:pPr>
      <w:r w:rsidRPr="005647CA">
        <w:rPr>
          <w:rFonts w:ascii="Verdana" w:eastAsia="Times New Roman" w:hAnsi="Verdana" w:cs="Arial"/>
          <w:lang w:eastAsia="es-ES_tradnl"/>
        </w:rPr>
        <w:lastRenderedPageBreak/>
        <w:t>Para la Corte Constitucional, serán válidos los auxilios y donaciones que: “(i) alberguen una finalidad estrictamente altruista y benéfica, y no obedezcan a la mera liberalidad del Estado</w:t>
      </w:r>
      <w:r w:rsidRPr="005647CA">
        <w:rPr>
          <w:rFonts w:ascii="Verdana" w:eastAsia="Times New Roman" w:hAnsi="Verdana" w:cs="Arial"/>
          <w:i/>
          <w:iCs/>
          <w:u w:val="single"/>
          <w:lang w:eastAsia="es-ES_tradnl"/>
        </w:rPr>
        <w:t>; la finalidad altruista del auxilio se encuentra autorizada únicamente cuando se dirige a alentar actividades o programas de interés público acordes con el plan de desarrollo y los planes seccionales de desarrollo, a través de entidades sin ánimo de lucro, con las cuales deberá suscribirse, previamente, un contrato</w:t>
      </w:r>
      <w:r w:rsidRPr="005647CA">
        <w:rPr>
          <w:rFonts w:ascii="Verdana" w:eastAsia="Times New Roman" w:hAnsi="Verdana" w:cs="Arial"/>
          <w:u w:val="single"/>
          <w:lang w:eastAsia="es-ES_tradnl"/>
        </w:rPr>
        <w:t>.</w:t>
      </w:r>
      <w:r w:rsidRPr="005647CA">
        <w:rPr>
          <w:rFonts w:ascii="Verdana" w:eastAsia="Times New Roman" w:hAnsi="Verdana" w:cs="Arial"/>
          <w:i/>
          <w:iCs/>
          <w:lang w:eastAsia="es-ES_tradnl"/>
        </w:rPr>
        <w:t xml:space="preserve"> </w:t>
      </w:r>
      <w:r w:rsidRPr="005647CA">
        <w:rPr>
          <w:rFonts w:ascii="Verdana" w:eastAsia="Times New Roman" w:hAnsi="Verdana" w:cs="Arial"/>
          <w:lang w:eastAsia="es-ES_tradnl"/>
        </w:rPr>
        <w:t>De esta manera se asegura una cierta reciprocidad a favor del Estado; (</w:t>
      </w:r>
      <w:proofErr w:type="spellStart"/>
      <w:r w:rsidRPr="005647CA">
        <w:rPr>
          <w:rFonts w:ascii="Verdana" w:eastAsia="Times New Roman" w:hAnsi="Verdana" w:cs="Arial"/>
          <w:lang w:eastAsia="es-ES_tradnl"/>
        </w:rPr>
        <w:t>ii</w:t>
      </w:r>
      <w:proofErr w:type="spellEnd"/>
      <w:r w:rsidRPr="005647CA">
        <w:rPr>
          <w:rFonts w:ascii="Verdana" w:eastAsia="Times New Roman" w:hAnsi="Verdana" w:cs="Arial"/>
          <w:lang w:eastAsia="es-ES_tradnl"/>
        </w:rPr>
        <w:t>) derivarse de la facultad de intervención del Estado en la economía y, en consecuencia, orientarse al estímulo de una determinada actividad económica; asignación que por mandato expreso del artículo 334 superior debe comportar una contraprestación; (</w:t>
      </w:r>
      <w:proofErr w:type="spellStart"/>
      <w:r w:rsidRPr="005647CA">
        <w:rPr>
          <w:rFonts w:ascii="Verdana" w:eastAsia="Times New Roman" w:hAnsi="Verdana" w:cs="Arial"/>
          <w:lang w:eastAsia="es-ES_tradnl"/>
        </w:rPr>
        <w:t>iii</w:t>
      </w:r>
      <w:proofErr w:type="spellEnd"/>
      <w:r w:rsidRPr="005647CA">
        <w:rPr>
          <w:rFonts w:ascii="Verdana" w:eastAsia="Times New Roman" w:hAnsi="Verdana" w:cs="Arial"/>
          <w:lang w:eastAsia="es-ES_tradnl"/>
        </w:rPr>
        <w:t>) fundarse en un precepto constitucional que lo autorice expresamente, en orden a garantizar los derechos fundamentales vía acceso a bienes y servicios por parte de quienes tienen mayores necesidades y menores ingresos, con lo cual se garantiza una contraprestación o beneficio social.”</w:t>
      </w:r>
      <w:r w:rsidRPr="005647CA">
        <w:rPr>
          <w:rFonts w:ascii="Verdana" w:eastAsia="Times New Roman" w:hAnsi="Verdana" w:cs="Arial"/>
          <w:vertAlign w:val="superscript"/>
          <w:lang w:eastAsia="es-ES_tradnl"/>
        </w:rPr>
        <w:footnoteReference w:id="17"/>
      </w:r>
      <w:r w:rsidRPr="005647CA">
        <w:rPr>
          <w:rFonts w:ascii="Verdana" w:eastAsia="Times New Roman" w:hAnsi="Verdana" w:cs="Arial"/>
          <w:lang w:eastAsia="es-ES_tradnl"/>
        </w:rPr>
        <w:t xml:space="preserve"> (Subraya y cursiva fuera de texto)</w:t>
      </w:r>
    </w:p>
    <w:p w14:paraId="5BF99969" w14:textId="77777777" w:rsidR="00556A55" w:rsidRPr="00FB7CC6" w:rsidRDefault="00556A55" w:rsidP="00556A55">
      <w:pPr>
        <w:spacing w:before="120" w:after="120" w:line="276" w:lineRule="auto"/>
        <w:ind w:firstLine="708"/>
        <w:jc w:val="both"/>
        <w:rPr>
          <w:rFonts w:ascii="Verdana" w:eastAsia="Times New Roman" w:hAnsi="Verdana" w:cs="Arial"/>
          <w:lang w:eastAsia="es-ES_tradnl"/>
        </w:rPr>
      </w:pPr>
      <w:r w:rsidRPr="00FB7CC6">
        <w:rPr>
          <w:rFonts w:ascii="Verdana" w:eastAsia="Times New Roman" w:hAnsi="Verdana" w:cs="Arial"/>
          <w:lang w:eastAsia="es-ES_tradnl"/>
        </w:rPr>
        <w:t xml:space="preserve">De lo anterior se </w:t>
      </w:r>
      <w:r>
        <w:rPr>
          <w:rFonts w:ascii="Verdana" w:eastAsia="Times New Roman" w:hAnsi="Verdana" w:cs="Arial"/>
          <w:lang w:eastAsia="es-ES_tradnl"/>
        </w:rPr>
        <w:t>infiere</w:t>
      </w:r>
      <w:r w:rsidRPr="00FB7CC6">
        <w:rPr>
          <w:rFonts w:ascii="Verdana" w:eastAsia="Times New Roman" w:hAnsi="Verdana" w:cs="Arial"/>
          <w:lang w:eastAsia="es-ES_tradnl"/>
        </w:rPr>
        <w:t xml:space="preserve">, que la situación definida por el Alto Tribunal Constitucional de </w:t>
      </w:r>
      <w:r w:rsidRPr="00FB7CC6">
        <w:rPr>
          <w:rFonts w:ascii="Verdana" w:eastAsia="Times New Roman" w:hAnsi="Verdana" w:cs="Arial"/>
          <w:i/>
          <w:iCs/>
          <w:lang w:eastAsia="es-ES_tradnl"/>
        </w:rPr>
        <w:t>“albergar una finalidad estrictamente altruista y benéfica dirigida a alentar una actividad de interés público, a través de entidades sin ánimo de lucro”,</w:t>
      </w:r>
      <w:r w:rsidRPr="00FB7CC6">
        <w:rPr>
          <w:rFonts w:ascii="Verdana" w:eastAsia="Times New Roman" w:hAnsi="Verdana" w:cs="Arial"/>
          <w:lang w:eastAsia="es-ES_tradnl"/>
        </w:rPr>
        <w:t xml:space="preserve"> hace referencia al inciso segundo del artículo 355 superior, que facultó a las entidades públicas para que con los recursos de los respectivos presupuestos, celebren contratos con entidades privadas sin ánimo de lucro y de reconocida idoneidad con el fin de impulsar programas y actividades de interés público acordes con el Plan Nacional y los planes seccionales de Desarrollo. Por tanto, dicho aparte normativo, permite el desarrollo de actividades esencialmente benéficas, no como instrumento económico, sino como un instrumento asistencial y altruista en el que no se privilegia la arbitrariedad y unilateralidad del gasto público, pues exige un grado aceptable de reciprocidad por parte del beneficiario de la ayuda</w:t>
      </w:r>
      <w:r w:rsidRPr="00FB7CC6">
        <w:rPr>
          <w:rFonts w:ascii="Verdana" w:eastAsia="Times New Roman" w:hAnsi="Verdana" w:cs="Arial"/>
          <w:vertAlign w:val="superscript"/>
          <w:lang w:eastAsia="es-ES_tradnl"/>
        </w:rPr>
        <w:footnoteReference w:id="18"/>
      </w:r>
      <w:r w:rsidRPr="00FB7CC6">
        <w:rPr>
          <w:rFonts w:ascii="Verdana" w:eastAsia="Times New Roman" w:hAnsi="Verdana" w:cs="Arial"/>
          <w:lang w:eastAsia="es-ES_tradnl"/>
        </w:rPr>
        <w:t>.</w:t>
      </w:r>
    </w:p>
    <w:p w14:paraId="117F2A8A" w14:textId="77777777" w:rsidR="00556A55" w:rsidRPr="00FB7CC6" w:rsidRDefault="00556A55" w:rsidP="00556A55">
      <w:pPr>
        <w:spacing w:before="120" w:after="0" w:line="276" w:lineRule="auto"/>
        <w:ind w:firstLine="708"/>
        <w:jc w:val="both"/>
        <w:rPr>
          <w:rFonts w:ascii="Verdana" w:eastAsia="Times New Roman" w:hAnsi="Verdana" w:cs="Arial"/>
          <w:lang w:eastAsia="es-ES_tradnl"/>
        </w:rPr>
      </w:pPr>
      <w:r w:rsidRPr="00FB7CC6">
        <w:rPr>
          <w:rFonts w:ascii="Verdana" w:eastAsia="Calibri" w:hAnsi="Verdana" w:cs="Times New Roman"/>
        </w:rPr>
        <w:t xml:space="preserve">Ante ese panorama, en consideración </w:t>
      </w:r>
      <w:r>
        <w:rPr>
          <w:rFonts w:ascii="Verdana" w:eastAsia="Calibri" w:hAnsi="Verdana" w:cs="Times New Roman"/>
        </w:rPr>
        <w:t>a los argumentos expuestos</w:t>
      </w:r>
      <w:r w:rsidRPr="00FB7CC6">
        <w:rPr>
          <w:rFonts w:ascii="Verdana" w:eastAsia="Calibri" w:hAnsi="Verdana" w:cs="Times New Roman"/>
        </w:rPr>
        <w:t xml:space="preserve"> hasta ahora expuestas, esta Subdirección advierte que la entidad estatal será quien determine de manera concreta si la contratación que tiene por objeto la enajenación de bienes</w:t>
      </w:r>
      <w:r>
        <w:rPr>
          <w:rFonts w:ascii="Verdana" w:eastAsia="Calibri" w:hAnsi="Verdana" w:cs="Times New Roman"/>
        </w:rPr>
        <w:t xml:space="preserve"> muebles</w:t>
      </w:r>
      <w:r w:rsidRPr="00FB7CC6">
        <w:rPr>
          <w:rFonts w:ascii="Verdana" w:eastAsia="Calibri" w:hAnsi="Verdana" w:cs="Times New Roman"/>
        </w:rPr>
        <w:t xml:space="preserve"> del Estado a título gratuito a favor de una</w:t>
      </w:r>
      <w:r>
        <w:rPr>
          <w:rFonts w:ascii="Verdana" w:eastAsia="Calibri" w:hAnsi="Verdana" w:cs="Times New Roman"/>
        </w:rPr>
        <w:t xml:space="preserve"> Entidad Sin Ánimo de Lucro –</w:t>
      </w:r>
      <w:r w:rsidRPr="00FB7CC6">
        <w:rPr>
          <w:rFonts w:ascii="Verdana" w:eastAsia="Calibri" w:hAnsi="Verdana" w:cs="Times New Roman"/>
        </w:rPr>
        <w:t>ESAL</w:t>
      </w:r>
      <w:r>
        <w:rPr>
          <w:rFonts w:ascii="Verdana" w:eastAsia="Calibri" w:hAnsi="Verdana" w:cs="Times New Roman"/>
        </w:rPr>
        <w:t>-</w:t>
      </w:r>
      <w:r w:rsidRPr="00FB7CC6">
        <w:rPr>
          <w:rFonts w:ascii="Verdana" w:eastAsia="Calibri" w:hAnsi="Verdana" w:cs="Times New Roman"/>
        </w:rPr>
        <w:t xml:space="preserve"> comporta una contratación de las </w:t>
      </w:r>
      <w:r w:rsidRPr="00FB7CC6">
        <w:rPr>
          <w:rFonts w:ascii="Verdana" w:eastAsia="Calibri" w:hAnsi="Verdana" w:cs="Times New Roman"/>
        </w:rPr>
        <w:lastRenderedPageBreak/>
        <w:t xml:space="preserve">autorizadas por el artículo 355 superior. Sin embargo, la entidad estatal contratante deberá cerciorarse de que no se materialice la prohibición contenida en el inciso primero del artículo en cuestión. </w:t>
      </w:r>
      <w:r>
        <w:rPr>
          <w:rFonts w:ascii="Verdana" w:eastAsia="Calibri" w:hAnsi="Verdana" w:cs="Times New Roman"/>
        </w:rPr>
        <w:t xml:space="preserve">En esta línea, la </w:t>
      </w:r>
      <w:r w:rsidRPr="00FB7CC6">
        <w:rPr>
          <w:rFonts w:ascii="Verdana" w:eastAsia="Calibri" w:hAnsi="Verdana" w:cs="Times New Roman"/>
        </w:rPr>
        <w:t>Corte Constitucional ha indicado eventos en los que resulta predicable la materialización de tal prohibición como, por ejemplo, cuando se omita dar aplicación al principio presupuestal de legalidad del gasto o cuando la asignación obedezca a criterios de mera liberalidad, es decir, no se encuadre en una política pública reflejada en el Plan Nacional de Desarrollo o en los planes seccionales de desarrollo.</w:t>
      </w:r>
    </w:p>
    <w:bookmarkEnd w:id="1"/>
    <w:p w14:paraId="568F97FE" w14:textId="77777777" w:rsidR="00556A55" w:rsidRPr="005B7638" w:rsidRDefault="00556A55" w:rsidP="00556A55">
      <w:pPr>
        <w:spacing w:after="0" w:line="276" w:lineRule="auto"/>
        <w:jc w:val="both"/>
        <w:rPr>
          <w:rFonts w:ascii="Verdana" w:eastAsia="Calibri" w:hAnsi="Verdana" w:cs="Arial"/>
          <w:lang w:eastAsia="es-ES_tradnl"/>
        </w:rPr>
      </w:pPr>
    </w:p>
    <w:p w14:paraId="5DC6DD63" w14:textId="77777777" w:rsidR="00556A55" w:rsidRPr="00B16AC6" w:rsidRDefault="00556A55" w:rsidP="00556A55">
      <w:pPr>
        <w:spacing w:after="120" w:line="276" w:lineRule="auto"/>
        <w:jc w:val="both"/>
        <w:rPr>
          <w:rFonts w:ascii="Verdana" w:eastAsia="Calibri" w:hAnsi="Verdana" w:cs="Arial"/>
          <w:color w:val="000000" w:themeColor="text1"/>
          <w:lang w:val="es-ES"/>
        </w:rPr>
      </w:pPr>
      <w:r>
        <w:rPr>
          <w:rFonts w:ascii="Verdana" w:eastAsia="Calibri" w:hAnsi="Verdana" w:cs="Arial"/>
          <w:color w:val="000000" w:themeColor="text1"/>
          <w:lang w:val="es-ES"/>
        </w:rPr>
        <w:t xml:space="preserve">v. Al </w:t>
      </w:r>
      <w:r w:rsidRPr="00B17041">
        <w:rPr>
          <w:rFonts w:ascii="Verdana" w:hAnsi="Verdana" w:cs="Arial"/>
          <w:lang w:val="es-ES_tradnl" w:eastAsia="es-ES"/>
        </w:rPr>
        <w:t>margen de la explicación precedente debe advertirse que el análisis requerido para resolver pr</w:t>
      </w:r>
      <w:r>
        <w:rPr>
          <w:rFonts w:ascii="Verdana" w:hAnsi="Verdana" w:cs="Arial"/>
          <w:lang w:val="es-ES_tradnl" w:eastAsia="es-ES"/>
        </w:rPr>
        <w:t>oblemas específicos en torno a la donación de bienes muebles entre una entidad pública y una persona jurídica de derecho privado debe realizarse</w:t>
      </w:r>
      <w:r w:rsidRPr="00B17041">
        <w:rPr>
          <w:rFonts w:ascii="Verdana" w:hAnsi="Verdana" w:cs="Arial"/>
          <w:lang w:val="es-ES_tradnl" w:eastAsia="es-ES"/>
        </w:rPr>
        <w:t xml:space="preserve">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3128114F" w14:textId="77777777" w:rsidR="00556A55" w:rsidRPr="00B17041" w:rsidRDefault="00556A55" w:rsidP="00556A55">
      <w:pPr>
        <w:spacing w:after="0" w:line="276" w:lineRule="auto"/>
        <w:ind w:firstLine="709"/>
        <w:jc w:val="both"/>
        <w:rPr>
          <w:rFonts w:ascii="Verdana" w:hAnsi="Verdana" w:cs="Arial"/>
          <w:lang w:val="es-ES" w:eastAsia="es-ES"/>
        </w:rPr>
      </w:pPr>
      <w:r w:rsidRPr="00B17041">
        <w:rPr>
          <w:rFonts w:ascii="Verdana" w:hAnsi="Verdana" w:cs="Arial"/>
          <w:lang w:val="es-ES" w:eastAsia="es-ES"/>
        </w:rPr>
        <w:t xml:space="preserve">Dentro de este marco, la entidad </w:t>
      </w:r>
      <w:r w:rsidRPr="00485C44">
        <w:rPr>
          <w:rFonts w:ascii="Verdana" w:hAnsi="Verdana" w:cs="Arial"/>
          <w:lang w:val="es-ES" w:eastAsia="es-ES"/>
        </w:rPr>
        <w:t xml:space="preserve">pública </w:t>
      </w:r>
      <w:r>
        <w:rPr>
          <w:rFonts w:ascii="Verdana" w:hAnsi="Verdana" w:cs="Arial"/>
          <w:lang w:val="es-ES" w:eastAsia="es-ES"/>
        </w:rPr>
        <w:t>definirá</w:t>
      </w:r>
      <w:r w:rsidRPr="00B17041">
        <w:rPr>
          <w:rFonts w:ascii="Verdana" w:hAnsi="Verdana" w:cs="Arial"/>
          <w:lang w:val="es-ES" w:eastAsia="es-ES"/>
        </w:rPr>
        <w:t xml:space="preserve">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692CBE37" w14:textId="77777777" w:rsidR="00556A55" w:rsidRPr="00CD0DCD" w:rsidRDefault="00556A55" w:rsidP="00556A55">
      <w:pPr>
        <w:spacing w:after="0" w:line="276" w:lineRule="auto"/>
        <w:jc w:val="both"/>
        <w:rPr>
          <w:rFonts w:ascii="Verdana" w:eastAsia="Calibri" w:hAnsi="Verdana" w:cs="Arial"/>
          <w:lang w:val="es-ES" w:eastAsia="es-MX"/>
        </w:rPr>
      </w:pPr>
    </w:p>
    <w:p w14:paraId="748A3EDC" w14:textId="77777777" w:rsidR="00556A55" w:rsidRPr="00B57A1B" w:rsidRDefault="00556A55" w:rsidP="00556A55">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B57A1B">
        <w:rPr>
          <w:rFonts w:ascii="Verdana" w:eastAsia="Century Gothic" w:hAnsi="Verdana" w:cs="Century Gothic"/>
          <w:b/>
          <w:bCs/>
          <w:lang w:val="es-ES"/>
        </w:rPr>
        <w:t xml:space="preserve">Referencias normativas, jurisprudenciales y otras fuentes </w:t>
      </w:r>
    </w:p>
    <w:p w14:paraId="769A79ED" w14:textId="77777777" w:rsidR="00556A55" w:rsidRPr="00B57A1B" w:rsidRDefault="00556A55" w:rsidP="00556A55">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56A55" w:rsidRPr="00B57A1B" w14:paraId="0730AFD5" w14:textId="77777777" w:rsidTr="008631AE">
        <w:trPr>
          <w:trHeight w:val="487"/>
          <w:jc w:val="center"/>
        </w:trPr>
        <w:tc>
          <w:tcPr>
            <w:tcW w:w="8647" w:type="dxa"/>
          </w:tcPr>
          <w:p w14:paraId="1F446A9E" w14:textId="77777777" w:rsidR="00556A55" w:rsidRPr="00F5594D" w:rsidRDefault="00556A55" w:rsidP="00556A55">
            <w:pPr>
              <w:pStyle w:val="Prrafodelista"/>
              <w:widowControl w:val="0"/>
              <w:numPr>
                <w:ilvl w:val="0"/>
                <w:numId w:val="19"/>
              </w:numPr>
              <w:autoSpaceDE w:val="0"/>
              <w:autoSpaceDN w:val="0"/>
              <w:spacing w:before="120" w:after="120" w:line="276" w:lineRule="auto"/>
              <w:ind w:left="714" w:hanging="357"/>
              <w:contextualSpacing w:val="0"/>
              <w:jc w:val="both"/>
              <w:rPr>
                <w:rFonts w:ascii="Verdana" w:eastAsia="Arial MT" w:hAnsi="Verdana" w:cs="Arial"/>
                <w:lang w:val="es-MX" w:eastAsia="es-ES" w:bidi="es-ES"/>
              </w:rPr>
            </w:pPr>
            <w:r>
              <w:rPr>
                <w:rFonts w:ascii="Verdana" w:eastAsia="Arial MT" w:hAnsi="Verdana" w:cs="Arial"/>
                <w:lang w:eastAsia="es-ES" w:bidi="es-ES"/>
              </w:rPr>
              <w:t xml:space="preserve">Constitución Política, artículos 334 y 355. </w:t>
            </w:r>
          </w:p>
          <w:p w14:paraId="1EBAEA12" w14:textId="77777777" w:rsidR="00556A55" w:rsidRPr="00F5594D" w:rsidRDefault="00556A55" w:rsidP="00556A55">
            <w:pPr>
              <w:pStyle w:val="Prrafodelista"/>
              <w:widowControl w:val="0"/>
              <w:numPr>
                <w:ilvl w:val="0"/>
                <w:numId w:val="19"/>
              </w:numPr>
              <w:autoSpaceDE w:val="0"/>
              <w:autoSpaceDN w:val="0"/>
              <w:spacing w:before="120" w:after="120" w:line="276" w:lineRule="auto"/>
              <w:ind w:left="714" w:hanging="357"/>
              <w:contextualSpacing w:val="0"/>
              <w:jc w:val="both"/>
              <w:rPr>
                <w:rFonts w:ascii="Verdana" w:eastAsia="Arial MT" w:hAnsi="Verdana" w:cs="Arial"/>
                <w:lang w:eastAsia="es-ES" w:bidi="es-ES"/>
              </w:rPr>
            </w:pPr>
            <w:r w:rsidRPr="00F5594D">
              <w:rPr>
                <w:rFonts w:ascii="Verdana" w:eastAsia="Arial MT" w:hAnsi="Verdana" w:cs="Arial"/>
                <w:lang w:eastAsia="es-ES" w:bidi="es-ES"/>
              </w:rPr>
              <w:t>Código Civil,</w:t>
            </w:r>
            <w:r w:rsidRPr="00F5594D">
              <w:rPr>
                <w:rFonts w:ascii="Verdana" w:hAnsi="Verdana"/>
              </w:rPr>
              <w:t xml:space="preserve"> </w:t>
            </w:r>
            <w:r w:rsidRPr="00F5594D">
              <w:rPr>
                <w:rFonts w:ascii="Verdana" w:eastAsia="Arial MT" w:hAnsi="Verdana" w:cs="Arial"/>
                <w:lang w:eastAsia="es-ES" w:bidi="es-ES"/>
              </w:rPr>
              <w:t xml:space="preserve">artículos </w:t>
            </w:r>
            <w:r w:rsidRPr="00CC2FA2">
              <w:rPr>
                <w:rFonts w:ascii="Verdana" w:eastAsia="Arial MT" w:hAnsi="Verdana" w:cs="Arial"/>
                <w:lang w:eastAsia="es-ES" w:bidi="es-ES"/>
              </w:rPr>
              <w:t>6</w:t>
            </w:r>
            <w:r w:rsidRPr="00F5594D">
              <w:rPr>
                <w:rFonts w:ascii="Verdana" w:eastAsia="Arial MT" w:hAnsi="Verdana" w:cs="Arial"/>
                <w:lang w:eastAsia="es-ES" w:bidi="es-ES"/>
              </w:rPr>
              <w:t>54, 655, 674,</w:t>
            </w:r>
            <w:r>
              <w:rPr>
                <w:rFonts w:ascii="Verdana" w:eastAsia="Arial MT" w:hAnsi="Verdana" w:cs="Arial"/>
                <w:lang w:eastAsia="es-ES" w:bidi="es-ES"/>
              </w:rPr>
              <w:t xml:space="preserve"> </w:t>
            </w:r>
            <w:r w:rsidRPr="00F5594D">
              <w:rPr>
                <w:rFonts w:ascii="Verdana" w:eastAsia="Arial MT" w:hAnsi="Verdana" w:cs="Arial"/>
                <w:lang w:eastAsia="es-ES" w:bidi="es-ES"/>
              </w:rPr>
              <w:t xml:space="preserve">745, 1164 y </w:t>
            </w:r>
            <w:proofErr w:type="spellStart"/>
            <w:r w:rsidRPr="00F5594D">
              <w:rPr>
                <w:rFonts w:ascii="Verdana" w:eastAsia="Arial MT" w:hAnsi="Verdana" w:cs="Arial"/>
                <w:lang w:eastAsia="es-ES" w:bidi="es-ES"/>
              </w:rPr>
              <w:t>ss</w:t>
            </w:r>
            <w:proofErr w:type="spellEnd"/>
            <w:r w:rsidRPr="00F5594D">
              <w:rPr>
                <w:rFonts w:ascii="Verdana" w:eastAsia="Arial MT" w:hAnsi="Verdana" w:cs="Arial"/>
                <w:lang w:eastAsia="es-ES" w:bidi="es-ES"/>
              </w:rPr>
              <w:t>, 1195, 1317, 1443, 1450, 1457, 1458, 1459, 1485, 1496, 1497, 1499,</w:t>
            </w:r>
            <w:r>
              <w:rPr>
                <w:rFonts w:ascii="Verdana" w:eastAsia="Arial MT" w:hAnsi="Verdana" w:cs="Arial"/>
                <w:lang w:eastAsia="es-ES" w:bidi="es-ES"/>
              </w:rPr>
              <w:t xml:space="preserve"> 1501,</w:t>
            </w:r>
            <w:r w:rsidRPr="00F5594D">
              <w:rPr>
                <w:rFonts w:ascii="Verdana" w:eastAsia="Arial MT" w:hAnsi="Verdana" w:cs="Arial"/>
                <w:lang w:eastAsia="es-ES" w:bidi="es-ES"/>
              </w:rPr>
              <w:t xml:space="preserve"> 1602. </w:t>
            </w:r>
          </w:p>
          <w:p w14:paraId="03B270A3" w14:textId="77777777" w:rsidR="00556A55" w:rsidRPr="00F5594D" w:rsidRDefault="00556A55" w:rsidP="00556A55">
            <w:pPr>
              <w:pStyle w:val="Prrafodelista"/>
              <w:widowControl w:val="0"/>
              <w:numPr>
                <w:ilvl w:val="0"/>
                <w:numId w:val="19"/>
              </w:numPr>
              <w:autoSpaceDE w:val="0"/>
              <w:autoSpaceDN w:val="0"/>
              <w:spacing w:before="120" w:after="120" w:line="276" w:lineRule="auto"/>
              <w:ind w:left="714" w:hanging="357"/>
              <w:contextualSpacing w:val="0"/>
              <w:jc w:val="both"/>
              <w:rPr>
                <w:rFonts w:ascii="Verdana" w:eastAsia="Arial MT" w:hAnsi="Verdana" w:cs="Arial"/>
                <w:lang w:val="es-MX" w:eastAsia="es-ES" w:bidi="es-ES"/>
              </w:rPr>
            </w:pPr>
            <w:r>
              <w:rPr>
                <w:rFonts w:ascii="Verdana" w:eastAsia="Arial MT" w:hAnsi="Verdana" w:cs="Arial"/>
                <w:lang w:eastAsia="es-ES" w:bidi="es-ES"/>
              </w:rPr>
              <w:lastRenderedPageBreak/>
              <w:t xml:space="preserve">Ley 80 de 1993, artículos 2,6, 13, 32, 40 y 41. </w:t>
            </w:r>
          </w:p>
          <w:p w14:paraId="6F97C440" w14:textId="77777777" w:rsidR="00556A55" w:rsidRPr="00CC2FA2" w:rsidRDefault="00556A55" w:rsidP="00556A55">
            <w:pPr>
              <w:pStyle w:val="Prrafodelista"/>
              <w:widowControl w:val="0"/>
              <w:numPr>
                <w:ilvl w:val="0"/>
                <w:numId w:val="19"/>
              </w:numPr>
              <w:autoSpaceDE w:val="0"/>
              <w:autoSpaceDN w:val="0"/>
              <w:spacing w:before="120" w:after="120" w:line="276" w:lineRule="auto"/>
              <w:ind w:left="714" w:hanging="357"/>
              <w:contextualSpacing w:val="0"/>
              <w:jc w:val="both"/>
              <w:rPr>
                <w:rFonts w:ascii="Verdana" w:eastAsia="Arial MT" w:hAnsi="Verdana" w:cs="Arial"/>
                <w:lang w:val="es-MX" w:eastAsia="es-ES" w:bidi="es-ES"/>
              </w:rPr>
            </w:pPr>
            <w:r w:rsidRPr="00AC78D9">
              <w:rPr>
                <w:rFonts w:ascii="Verdana" w:eastAsia="Arial MT" w:hAnsi="Verdana" w:cs="Arial"/>
                <w:lang w:eastAsia="es-ES" w:bidi="es-ES"/>
              </w:rPr>
              <w:t xml:space="preserve"> </w:t>
            </w:r>
            <w:r w:rsidRPr="00CC2FA2">
              <w:rPr>
                <w:rFonts w:ascii="Verdana" w:eastAsia="Arial MT" w:hAnsi="Verdana" w:cs="Arial"/>
                <w:lang w:val="es-MX" w:eastAsia="es-ES" w:bidi="es-ES"/>
              </w:rPr>
              <w:t xml:space="preserve">BENAVIDES, José Luis. El contrato estatal: entre el derecho público y el derecho privado. Segunda edición. Bogotá: Universidad Externado de Colombia, 2009. </w:t>
            </w:r>
          </w:p>
          <w:p w14:paraId="2C50BD71" w14:textId="77777777" w:rsidR="00556A55" w:rsidRPr="00F5594D" w:rsidRDefault="00556A55" w:rsidP="00556A55">
            <w:pPr>
              <w:pStyle w:val="Prrafodelista"/>
              <w:widowControl w:val="0"/>
              <w:numPr>
                <w:ilvl w:val="0"/>
                <w:numId w:val="19"/>
              </w:numPr>
              <w:autoSpaceDE w:val="0"/>
              <w:autoSpaceDN w:val="0"/>
              <w:spacing w:before="120" w:after="120" w:line="276" w:lineRule="auto"/>
              <w:ind w:left="714" w:hanging="357"/>
              <w:contextualSpacing w:val="0"/>
              <w:jc w:val="both"/>
              <w:rPr>
                <w:rFonts w:ascii="Verdana" w:eastAsia="Arial MT" w:hAnsi="Verdana" w:cs="Arial"/>
                <w:lang w:val="es-MX" w:eastAsia="es-ES" w:bidi="es-ES"/>
              </w:rPr>
            </w:pPr>
            <w:r w:rsidRPr="00F5594D">
              <w:rPr>
                <w:rFonts w:ascii="Verdana" w:eastAsia="Arial MT" w:hAnsi="Verdana" w:cs="Arial"/>
                <w:lang w:val="es-MX" w:eastAsia="es-ES" w:bidi="es-ES"/>
              </w:rPr>
              <w:t xml:space="preserve">BETANCUR JARAMILLO, Carlos. Derecho procesal administrativo. Octava edición. Medellín: Señal Editora, 2013. </w:t>
            </w:r>
          </w:p>
          <w:p w14:paraId="30806AFF" w14:textId="77777777" w:rsidR="00556A55" w:rsidRPr="00597DEC" w:rsidRDefault="00556A55" w:rsidP="00556A55">
            <w:pPr>
              <w:pStyle w:val="Prrafodelista"/>
              <w:numPr>
                <w:ilvl w:val="0"/>
                <w:numId w:val="19"/>
              </w:numPr>
              <w:spacing w:line="276" w:lineRule="auto"/>
              <w:jc w:val="both"/>
              <w:rPr>
                <w:rFonts w:ascii="Verdana" w:eastAsia="Arial MT" w:hAnsi="Verdana" w:cs="Arial"/>
                <w:lang w:val="es-MX" w:eastAsia="es-ES" w:bidi="es-ES"/>
              </w:rPr>
            </w:pPr>
            <w:r w:rsidRPr="00597DEC">
              <w:rPr>
                <w:rFonts w:ascii="Verdana" w:eastAsia="Arial MT" w:hAnsi="Verdana" w:cs="Arial"/>
                <w:lang w:val="es-MX" w:eastAsia="es-ES" w:bidi="es-ES"/>
              </w:rPr>
              <w:t xml:space="preserve">GUZMÁN BRITO, Alejandro. De las Donaciones entre vivos. Conceptos y tipos, Santiago: </w:t>
            </w:r>
            <w:proofErr w:type="spellStart"/>
            <w:r w:rsidRPr="00597DEC">
              <w:rPr>
                <w:rFonts w:ascii="Verdana" w:eastAsia="Arial MT" w:hAnsi="Verdana" w:cs="Arial"/>
                <w:lang w:val="es-MX" w:eastAsia="es-ES" w:bidi="es-ES"/>
              </w:rPr>
              <w:t>LexisNexis</w:t>
            </w:r>
            <w:proofErr w:type="spellEnd"/>
            <w:r w:rsidRPr="00597DEC">
              <w:rPr>
                <w:rFonts w:ascii="Verdana" w:eastAsia="Arial MT" w:hAnsi="Verdana" w:cs="Arial"/>
                <w:lang w:val="es-MX" w:eastAsia="es-ES" w:bidi="es-ES"/>
              </w:rPr>
              <w:t xml:space="preserve">, 2005. </w:t>
            </w:r>
          </w:p>
          <w:p w14:paraId="49959566" w14:textId="77777777" w:rsidR="00556A55" w:rsidRPr="00F5594D" w:rsidRDefault="00556A55" w:rsidP="00556A55">
            <w:pPr>
              <w:pStyle w:val="Prrafodelista"/>
              <w:widowControl w:val="0"/>
              <w:numPr>
                <w:ilvl w:val="0"/>
                <w:numId w:val="19"/>
              </w:numPr>
              <w:autoSpaceDE w:val="0"/>
              <w:autoSpaceDN w:val="0"/>
              <w:spacing w:before="120" w:after="120" w:line="276" w:lineRule="auto"/>
              <w:ind w:left="714" w:hanging="357"/>
              <w:contextualSpacing w:val="0"/>
              <w:jc w:val="both"/>
              <w:rPr>
                <w:rFonts w:ascii="Verdana" w:eastAsia="Arial MT" w:hAnsi="Verdana" w:cs="Arial"/>
                <w:lang w:val="es-MX" w:eastAsia="es-ES" w:bidi="es-ES"/>
              </w:rPr>
            </w:pPr>
            <w:r w:rsidRPr="00F5594D">
              <w:rPr>
                <w:rFonts w:ascii="Verdana" w:eastAsia="Arial MT" w:hAnsi="Verdana" w:cs="Arial"/>
                <w:lang w:val="es-MX" w:eastAsia="es-ES" w:bidi="es-ES"/>
              </w:rPr>
              <w:t xml:space="preserve">LAURENT, François. Principios de derecho civil francés. Tomo XI. México DF: Tribunal Superior de Justicia del Distrito Federal, 2008. </w:t>
            </w:r>
          </w:p>
          <w:p w14:paraId="0A913EF4" w14:textId="77777777" w:rsidR="00556A55" w:rsidRPr="00F5594D" w:rsidRDefault="00556A55" w:rsidP="00556A55">
            <w:pPr>
              <w:pStyle w:val="Prrafodelista"/>
              <w:widowControl w:val="0"/>
              <w:numPr>
                <w:ilvl w:val="0"/>
                <w:numId w:val="19"/>
              </w:numPr>
              <w:autoSpaceDE w:val="0"/>
              <w:autoSpaceDN w:val="0"/>
              <w:spacing w:before="120" w:after="120" w:line="276" w:lineRule="auto"/>
              <w:ind w:left="714" w:hanging="357"/>
              <w:contextualSpacing w:val="0"/>
              <w:jc w:val="both"/>
              <w:rPr>
                <w:rFonts w:ascii="Verdana" w:eastAsia="Arial MT" w:hAnsi="Verdana" w:cs="Arial"/>
                <w:lang w:val="es-MX" w:eastAsia="es-ES" w:bidi="es-ES"/>
              </w:rPr>
            </w:pPr>
            <w:r w:rsidRPr="00F5594D">
              <w:rPr>
                <w:rFonts w:ascii="Verdana" w:eastAsia="Arial MT" w:hAnsi="Verdana" w:cs="Arial"/>
                <w:lang w:val="es-MX" w:eastAsia="es-ES" w:bidi="es-ES"/>
              </w:rPr>
              <w:t>LÓPEZ SANTA MARÍA, Jorge. Los contratos: parte general. Tomo I. Tercera Edición. Santiago: Editorial Jurídica de Chile. 2001.</w:t>
            </w:r>
          </w:p>
          <w:p w14:paraId="0128C267" w14:textId="77777777" w:rsidR="00556A55" w:rsidRPr="00597DEC" w:rsidRDefault="00556A55" w:rsidP="00556A55">
            <w:pPr>
              <w:pStyle w:val="Prrafodelista"/>
              <w:numPr>
                <w:ilvl w:val="0"/>
                <w:numId w:val="19"/>
              </w:numPr>
              <w:spacing w:line="276" w:lineRule="auto"/>
              <w:jc w:val="both"/>
              <w:rPr>
                <w:rFonts w:ascii="Verdana" w:eastAsia="Arial MT" w:hAnsi="Verdana" w:cs="Arial"/>
                <w:lang w:val="es-MX" w:eastAsia="es-ES" w:bidi="es-ES"/>
              </w:rPr>
            </w:pPr>
            <w:r w:rsidRPr="00597DEC">
              <w:rPr>
                <w:rFonts w:ascii="Verdana" w:eastAsia="Arial MT" w:hAnsi="Verdana" w:cs="Arial"/>
                <w:lang w:val="es-MX" w:eastAsia="es-ES" w:bidi="es-ES"/>
              </w:rPr>
              <w:t xml:space="preserve">SÁNCHEZ TRUJILLO, Juan Pablo. Completitud de la oferta del contrato atípico: elementos esenciales del contrato atípico como requisito de delimitación del objeto de la oferta mercantil. Consultado el 21 de marzo de 2025 en la página web </w:t>
            </w:r>
            <w:hyperlink r:id="rId13" w:history="1">
              <w:r w:rsidRPr="00597DEC">
                <w:rPr>
                  <w:rStyle w:val="Hipervnculo"/>
                  <w:rFonts w:ascii="Verdana" w:eastAsia="Arial MT" w:hAnsi="Verdana" w:cs="Arial"/>
                  <w:lang w:val="es-MX" w:eastAsia="es-ES" w:bidi="es-ES"/>
                </w:rPr>
                <w:t>https://revistas.udea.edu.co/index.php/derypol/article/view/331285/20790715</w:t>
              </w:r>
            </w:hyperlink>
            <w:r w:rsidRPr="00597DEC">
              <w:rPr>
                <w:rFonts w:ascii="Verdana" w:eastAsia="Arial MT" w:hAnsi="Verdana" w:cs="Arial"/>
                <w:lang w:val="es-MX" w:eastAsia="es-ES" w:bidi="es-ES"/>
              </w:rPr>
              <w:t xml:space="preserve">. </w:t>
            </w:r>
          </w:p>
          <w:p w14:paraId="13B69FE5" w14:textId="77777777" w:rsidR="00556A55" w:rsidRPr="00F5594D" w:rsidRDefault="00556A55" w:rsidP="00556A55">
            <w:pPr>
              <w:pStyle w:val="Prrafodelista"/>
              <w:widowControl w:val="0"/>
              <w:numPr>
                <w:ilvl w:val="0"/>
                <w:numId w:val="19"/>
              </w:numPr>
              <w:autoSpaceDE w:val="0"/>
              <w:autoSpaceDN w:val="0"/>
              <w:spacing w:before="120" w:after="120" w:line="276" w:lineRule="auto"/>
              <w:ind w:left="714" w:hanging="357"/>
              <w:contextualSpacing w:val="0"/>
              <w:jc w:val="both"/>
              <w:rPr>
                <w:rFonts w:ascii="Verdana" w:eastAsia="Arial MT" w:hAnsi="Verdana" w:cs="Arial"/>
                <w:lang w:val="es-MX" w:eastAsia="es-ES" w:bidi="es-ES"/>
              </w:rPr>
            </w:pPr>
            <w:r w:rsidRPr="00F5594D">
              <w:rPr>
                <w:rFonts w:ascii="Verdana" w:eastAsia="Arial MT" w:hAnsi="Verdana" w:cs="Arial"/>
                <w:lang w:val="es-MX" w:eastAsia="es-ES" w:bidi="es-ES"/>
              </w:rPr>
              <w:t xml:space="preserve">Consejo de Estado. Sección Tercera, Subsección B. Sentencia del 30 de abril de 2012. C.P. Ruth Stella Correa Palacio. </w:t>
            </w:r>
            <w:proofErr w:type="spellStart"/>
            <w:r w:rsidRPr="00F5594D">
              <w:rPr>
                <w:rFonts w:ascii="Verdana" w:eastAsia="Arial MT" w:hAnsi="Verdana" w:cs="Arial"/>
                <w:lang w:val="es-MX" w:eastAsia="es-ES" w:bidi="es-ES"/>
              </w:rPr>
              <w:t>Exp</w:t>
            </w:r>
            <w:proofErr w:type="spellEnd"/>
            <w:r w:rsidRPr="00F5594D">
              <w:rPr>
                <w:rFonts w:ascii="Verdana" w:eastAsia="Arial MT" w:hAnsi="Verdana" w:cs="Arial"/>
                <w:lang w:val="es-MX" w:eastAsia="es-ES" w:bidi="es-ES"/>
              </w:rPr>
              <w:t>. 21.699.</w:t>
            </w:r>
          </w:p>
          <w:p w14:paraId="6020C9B1" w14:textId="77777777" w:rsidR="00556A55" w:rsidRPr="00F5594D" w:rsidRDefault="00556A55" w:rsidP="00556A55">
            <w:pPr>
              <w:pStyle w:val="Prrafodelista"/>
              <w:widowControl w:val="0"/>
              <w:numPr>
                <w:ilvl w:val="0"/>
                <w:numId w:val="19"/>
              </w:numPr>
              <w:autoSpaceDE w:val="0"/>
              <w:autoSpaceDN w:val="0"/>
              <w:spacing w:before="120" w:after="120" w:line="276" w:lineRule="auto"/>
              <w:ind w:left="714" w:hanging="357"/>
              <w:contextualSpacing w:val="0"/>
              <w:jc w:val="both"/>
              <w:rPr>
                <w:rFonts w:ascii="Verdana" w:eastAsia="Arial MT" w:hAnsi="Verdana" w:cs="Arial"/>
                <w:lang w:val="es-CO" w:eastAsia="es-ES" w:bidi="es-ES"/>
              </w:rPr>
            </w:pPr>
            <w:r w:rsidRPr="00F5594D">
              <w:rPr>
                <w:rFonts w:ascii="Verdana" w:eastAsia="Arial MT" w:hAnsi="Verdana" w:cs="Arial"/>
                <w:lang w:val="es-CO" w:eastAsia="es-ES" w:bidi="es-ES"/>
              </w:rPr>
              <w:t>Consejo de Estado. Subsección A, de la Sección Tercera. Sentencia del 10 de febrero de 2016</w:t>
            </w:r>
            <w:r>
              <w:rPr>
                <w:rFonts w:ascii="Verdana" w:eastAsia="Arial MT" w:hAnsi="Verdana" w:cs="Arial"/>
                <w:lang w:val="es-CO" w:eastAsia="es-ES" w:bidi="es-ES"/>
              </w:rPr>
              <w:t>. C.P. Hernán Andrade Rincón.</w:t>
            </w:r>
            <w:r w:rsidRPr="00F5594D">
              <w:rPr>
                <w:rFonts w:ascii="Verdana" w:eastAsia="Arial MT" w:hAnsi="Verdana" w:cs="Arial"/>
                <w:lang w:val="es-CO" w:eastAsia="es-ES" w:bidi="es-ES"/>
              </w:rPr>
              <w:t xml:space="preserve"> </w:t>
            </w:r>
            <w:proofErr w:type="spellStart"/>
            <w:r w:rsidRPr="00F5594D">
              <w:rPr>
                <w:rFonts w:ascii="Verdana" w:eastAsia="Arial MT" w:hAnsi="Verdana" w:cs="Arial"/>
                <w:lang w:val="es-CO" w:eastAsia="es-ES" w:bidi="es-ES"/>
              </w:rPr>
              <w:t>Exp</w:t>
            </w:r>
            <w:proofErr w:type="spellEnd"/>
            <w:r w:rsidRPr="00F5594D">
              <w:rPr>
                <w:rFonts w:ascii="Verdana" w:eastAsia="Arial MT" w:hAnsi="Verdana" w:cs="Arial"/>
                <w:lang w:val="es-CO" w:eastAsia="es-ES" w:bidi="es-ES"/>
              </w:rPr>
              <w:t>. 39538.</w:t>
            </w:r>
          </w:p>
          <w:p w14:paraId="64E664CD" w14:textId="77777777" w:rsidR="00556A55" w:rsidRPr="00F5594D" w:rsidRDefault="00556A55" w:rsidP="00556A55">
            <w:pPr>
              <w:pStyle w:val="Prrafodelista"/>
              <w:widowControl w:val="0"/>
              <w:numPr>
                <w:ilvl w:val="0"/>
                <w:numId w:val="19"/>
              </w:numPr>
              <w:autoSpaceDE w:val="0"/>
              <w:autoSpaceDN w:val="0"/>
              <w:spacing w:before="120" w:after="120" w:line="276" w:lineRule="auto"/>
              <w:ind w:left="714" w:hanging="357"/>
              <w:contextualSpacing w:val="0"/>
              <w:jc w:val="both"/>
              <w:rPr>
                <w:rFonts w:ascii="Verdana" w:eastAsia="Arial MT" w:hAnsi="Verdana" w:cs="Arial"/>
                <w:lang w:val="es-CO" w:eastAsia="es-ES" w:bidi="es-ES"/>
              </w:rPr>
            </w:pPr>
            <w:r w:rsidRPr="00F5594D">
              <w:rPr>
                <w:rFonts w:ascii="Verdana" w:eastAsia="Arial MT" w:hAnsi="Verdana" w:cs="Arial"/>
                <w:lang w:val="es-CO" w:eastAsia="es-ES" w:bidi="es-ES"/>
              </w:rPr>
              <w:t xml:space="preserve">Consejo de Estado. Sección Tercera, Subsección A. Sentencia del 19 de julio de 2018, C.P. Carlos Alberto Zambrano Barrera. </w:t>
            </w:r>
            <w:proofErr w:type="spellStart"/>
            <w:r w:rsidRPr="00F5594D">
              <w:rPr>
                <w:rFonts w:ascii="Verdana" w:eastAsia="Arial MT" w:hAnsi="Verdana" w:cs="Arial"/>
                <w:lang w:val="es-CO" w:eastAsia="es-ES" w:bidi="es-ES"/>
              </w:rPr>
              <w:t>Exp</w:t>
            </w:r>
            <w:proofErr w:type="spellEnd"/>
            <w:r w:rsidRPr="00F5594D">
              <w:rPr>
                <w:rFonts w:ascii="Verdana" w:eastAsia="Arial MT" w:hAnsi="Verdana" w:cs="Arial"/>
                <w:lang w:val="es-CO" w:eastAsia="es-ES" w:bidi="es-ES"/>
              </w:rPr>
              <w:t>. 36.711.</w:t>
            </w:r>
          </w:p>
          <w:p w14:paraId="75B5F85E" w14:textId="77777777" w:rsidR="00556A55" w:rsidRPr="00F5594D" w:rsidRDefault="00556A55" w:rsidP="00556A55">
            <w:pPr>
              <w:pStyle w:val="Prrafodelista"/>
              <w:widowControl w:val="0"/>
              <w:numPr>
                <w:ilvl w:val="0"/>
                <w:numId w:val="19"/>
              </w:numPr>
              <w:autoSpaceDE w:val="0"/>
              <w:autoSpaceDN w:val="0"/>
              <w:spacing w:before="120" w:after="120" w:line="276" w:lineRule="auto"/>
              <w:ind w:left="714" w:hanging="357"/>
              <w:contextualSpacing w:val="0"/>
              <w:jc w:val="both"/>
              <w:rPr>
                <w:rFonts w:ascii="Verdana" w:eastAsia="Arial MT" w:hAnsi="Verdana" w:cs="Arial"/>
                <w:lang w:val="es-CO" w:eastAsia="es-ES" w:bidi="es-ES"/>
              </w:rPr>
            </w:pPr>
            <w:r w:rsidRPr="00F5594D">
              <w:rPr>
                <w:rFonts w:ascii="Verdana" w:eastAsia="Arial MT" w:hAnsi="Verdana" w:cs="Arial"/>
                <w:lang w:val="es-CO" w:eastAsia="es-ES" w:bidi="es-ES"/>
              </w:rPr>
              <w:t>Consejo de Estado. Sala de Consulta y Servicio Civil. Concepto del 11 de octubre de 2022. C.P. Édgar González López. Rad. 2481.</w:t>
            </w:r>
          </w:p>
          <w:p w14:paraId="61061D91" w14:textId="77777777" w:rsidR="00556A55" w:rsidRPr="00F5594D" w:rsidRDefault="00556A55" w:rsidP="00556A55">
            <w:pPr>
              <w:pStyle w:val="Prrafodelista"/>
              <w:widowControl w:val="0"/>
              <w:numPr>
                <w:ilvl w:val="0"/>
                <w:numId w:val="19"/>
              </w:numPr>
              <w:autoSpaceDE w:val="0"/>
              <w:autoSpaceDN w:val="0"/>
              <w:spacing w:before="120" w:after="120" w:line="276" w:lineRule="auto"/>
              <w:ind w:left="714" w:hanging="357"/>
              <w:contextualSpacing w:val="0"/>
              <w:jc w:val="both"/>
              <w:rPr>
                <w:rFonts w:ascii="Verdana" w:eastAsia="Arial MT" w:hAnsi="Verdana" w:cs="Arial"/>
                <w:lang w:val="es-CO" w:eastAsia="es-ES" w:bidi="es-ES"/>
              </w:rPr>
            </w:pPr>
            <w:r w:rsidRPr="00F5594D">
              <w:rPr>
                <w:rFonts w:ascii="Verdana" w:eastAsia="Arial MT" w:hAnsi="Verdana" w:cs="Arial"/>
                <w:lang w:val="es-CO" w:eastAsia="es-ES" w:bidi="es-ES"/>
              </w:rPr>
              <w:t xml:space="preserve">Corte Constitucional. Sentencia C-183 de 2003. M.P. Alfredo Beltrán Sierra. </w:t>
            </w:r>
          </w:p>
          <w:p w14:paraId="42A92169" w14:textId="77777777" w:rsidR="00556A55" w:rsidRPr="00F5594D" w:rsidRDefault="00556A55" w:rsidP="00556A55">
            <w:pPr>
              <w:pStyle w:val="Prrafodelista"/>
              <w:widowControl w:val="0"/>
              <w:numPr>
                <w:ilvl w:val="0"/>
                <w:numId w:val="19"/>
              </w:numPr>
              <w:autoSpaceDE w:val="0"/>
              <w:autoSpaceDN w:val="0"/>
              <w:spacing w:before="120" w:after="120" w:line="276" w:lineRule="auto"/>
              <w:ind w:left="714" w:hanging="357"/>
              <w:contextualSpacing w:val="0"/>
              <w:jc w:val="both"/>
              <w:rPr>
                <w:rFonts w:ascii="Verdana" w:eastAsia="Arial MT" w:hAnsi="Verdana" w:cs="Arial"/>
                <w:lang w:val="es-MX" w:eastAsia="es-ES" w:bidi="es-ES"/>
              </w:rPr>
            </w:pPr>
            <w:r w:rsidRPr="00F5594D">
              <w:rPr>
                <w:rFonts w:ascii="Verdana" w:eastAsia="Arial MT" w:hAnsi="Verdana" w:cs="Arial"/>
                <w:lang w:val="es-MX" w:eastAsia="es-ES" w:bidi="es-ES"/>
              </w:rPr>
              <w:t>Corte Constitucional. Sentencia C-324 del 13 de mayo de 2009. M.P. Juan Carlos Henao Pérez.</w:t>
            </w:r>
          </w:p>
          <w:p w14:paraId="6D739BE6" w14:textId="77777777" w:rsidR="00556A55" w:rsidRPr="00F5594D" w:rsidRDefault="00556A55" w:rsidP="00556A55">
            <w:pPr>
              <w:pStyle w:val="Prrafodelista"/>
              <w:widowControl w:val="0"/>
              <w:numPr>
                <w:ilvl w:val="0"/>
                <w:numId w:val="19"/>
              </w:numPr>
              <w:autoSpaceDE w:val="0"/>
              <w:autoSpaceDN w:val="0"/>
              <w:spacing w:before="120" w:after="120" w:line="276" w:lineRule="auto"/>
              <w:ind w:left="714" w:hanging="357"/>
              <w:contextualSpacing w:val="0"/>
              <w:jc w:val="both"/>
              <w:rPr>
                <w:rFonts w:ascii="Verdana" w:eastAsia="Arial MT" w:hAnsi="Verdana" w:cs="Arial"/>
                <w:lang w:val="es-MX" w:eastAsia="es-ES" w:bidi="es-ES"/>
              </w:rPr>
            </w:pPr>
            <w:r w:rsidRPr="00F5594D">
              <w:rPr>
                <w:rFonts w:ascii="Verdana" w:eastAsia="Arial MT" w:hAnsi="Verdana" w:cs="Arial"/>
                <w:lang w:val="es-MX" w:eastAsia="es-ES" w:bidi="es-ES"/>
              </w:rPr>
              <w:t xml:space="preserve">Corte Constitucional. Sentencia C-027 del 03 de febrero de 2016. M.P. </w:t>
            </w:r>
            <w:r w:rsidRPr="00F5594D">
              <w:rPr>
                <w:rFonts w:ascii="Verdana" w:eastAsia="Arial MT" w:hAnsi="Verdana" w:cs="Arial"/>
                <w:lang w:val="es-MX" w:eastAsia="es-ES" w:bidi="es-ES"/>
              </w:rPr>
              <w:lastRenderedPageBreak/>
              <w:t>María Victoria Calle Correa.</w:t>
            </w:r>
          </w:p>
        </w:tc>
      </w:tr>
    </w:tbl>
    <w:p w14:paraId="71D639CB" w14:textId="77777777" w:rsidR="00556A55" w:rsidRPr="00B57A1B" w:rsidRDefault="00556A55" w:rsidP="00556A55">
      <w:pPr>
        <w:widowControl w:val="0"/>
        <w:autoSpaceDE w:val="0"/>
        <w:autoSpaceDN w:val="0"/>
        <w:spacing w:after="0" w:line="276" w:lineRule="auto"/>
        <w:jc w:val="both"/>
        <w:rPr>
          <w:rFonts w:ascii="Verdana" w:hAnsi="Verdana" w:cs="Arial"/>
        </w:rPr>
      </w:pPr>
    </w:p>
    <w:p w14:paraId="42742286" w14:textId="77777777" w:rsidR="00556A55" w:rsidRPr="00B57A1B" w:rsidRDefault="00556A55" w:rsidP="00556A55">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B57A1B">
        <w:rPr>
          <w:rFonts w:ascii="Verdana" w:eastAsia="Century Gothic" w:hAnsi="Verdana" w:cs="Century Gothic"/>
          <w:b/>
          <w:bCs/>
          <w:lang w:val="es-ES"/>
        </w:rPr>
        <w:t>Doctrina de la Agencia Nacional de Contratación Pública:</w:t>
      </w:r>
    </w:p>
    <w:p w14:paraId="7C5D393B" w14:textId="77777777" w:rsidR="00556A55" w:rsidRPr="00B57A1B" w:rsidRDefault="00556A55" w:rsidP="00556A55">
      <w:pPr>
        <w:widowControl w:val="0"/>
        <w:autoSpaceDE w:val="0"/>
        <w:autoSpaceDN w:val="0"/>
        <w:spacing w:after="0" w:line="276" w:lineRule="auto"/>
        <w:jc w:val="both"/>
        <w:rPr>
          <w:rFonts w:ascii="Verdana" w:hAnsi="Verdana" w:cs="Arial"/>
        </w:rPr>
      </w:pPr>
    </w:p>
    <w:p w14:paraId="1F698260" w14:textId="77777777" w:rsidR="00556A55" w:rsidRPr="00530A1F" w:rsidRDefault="00556A55" w:rsidP="00556A55">
      <w:pPr>
        <w:widowControl w:val="0"/>
        <w:autoSpaceDE w:val="0"/>
        <w:autoSpaceDN w:val="0"/>
        <w:spacing w:after="0" w:line="276" w:lineRule="auto"/>
        <w:jc w:val="both"/>
        <w:rPr>
          <w:rFonts w:ascii="Verdana" w:hAnsi="Verdana" w:cs="Arial"/>
          <w:bCs/>
          <w:shd w:val="clear" w:color="auto" w:fill="FFFFFF"/>
        </w:rPr>
      </w:pPr>
      <w:r w:rsidRPr="00392E13">
        <w:rPr>
          <w:rFonts w:ascii="Verdana" w:hAnsi="Verdana" w:cs="Arial"/>
          <w:bCs/>
          <w:shd w:val="clear" w:color="auto" w:fill="FFFFFF"/>
        </w:rPr>
        <w:t>La Agencia Nacional de Contratación Públi</w:t>
      </w:r>
      <w:r>
        <w:rPr>
          <w:rFonts w:ascii="Verdana" w:hAnsi="Verdana" w:cs="Arial"/>
          <w:bCs/>
          <w:shd w:val="clear" w:color="auto" w:fill="FFFFFF"/>
        </w:rPr>
        <w:t xml:space="preserve">ca – Colombia Compra Eficiente, en referencia a la enajenación de bienes muebles a título gratuito se han expedido los conceptos con Radicado </w:t>
      </w:r>
      <w:r w:rsidRPr="00530A1F">
        <w:rPr>
          <w:rFonts w:ascii="Verdana" w:hAnsi="Verdana" w:cs="Arial"/>
          <w:bCs/>
          <w:shd w:val="clear" w:color="auto" w:fill="FFFFFF"/>
          <w:lang w:val="es-ES_tradnl"/>
        </w:rPr>
        <w:t xml:space="preserve">No. 2201913000007905 del 23 de octubre de 2019, 2201913000008259 del 6 de noviembre de 2019, C-186 del 17 de marzo de 2020, </w:t>
      </w:r>
      <w:r w:rsidRPr="00530A1F">
        <w:rPr>
          <w:rFonts w:ascii="Verdana" w:hAnsi="Verdana" w:cs="Arial"/>
          <w:bCs/>
          <w:shd w:val="clear" w:color="auto" w:fill="FFFFFF"/>
        </w:rPr>
        <w:t>C-6</w:t>
      </w:r>
      <w:r>
        <w:rPr>
          <w:rFonts w:ascii="Verdana" w:hAnsi="Verdana" w:cs="Arial"/>
          <w:bCs/>
          <w:shd w:val="clear" w:color="auto" w:fill="FFFFFF"/>
        </w:rPr>
        <w:t xml:space="preserve">61 del 17 de noviembre de 2020, </w:t>
      </w:r>
      <w:r w:rsidRPr="00530A1F">
        <w:rPr>
          <w:rFonts w:ascii="Verdana" w:hAnsi="Verdana" w:cs="Arial"/>
          <w:bCs/>
          <w:shd w:val="clear" w:color="auto" w:fill="FFFFFF"/>
        </w:rPr>
        <w:t>C-397 del 18 de julio de 2022</w:t>
      </w:r>
      <w:r>
        <w:rPr>
          <w:rFonts w:ascii="Verdana" w:hAnsi="Verdana" w:cs="Arial"/>
          <w:bCs/>
          <w:shd w:val="clear" w:color="auto" w:fill="FFFFFF"/>
        </w:rPr>
        <w:t>, C-704 del 26 de octubre de 2022, C- 825 del 5 de agosto de 2025, C-994 del 4 de septiembre de 2025, entre otros.</w:t>
      </w:r>
      <w:r>
        <w:rPr>
          <w:rFonts w:ascii="Verdana" w:hAnsi="Verdana" w:cs="Arial"/>
          <w:shd w:val="clear" w:color="auto" w:fill="FFFFFF"/>
        </w:rPr>
        <w:t xml:space="preserve"> </w:t>
      </w:r>
      <w:r w:rsidRPr="00185EE9">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2DBB4CC1" w14:textId="77777777" w:rsidR="00556A55" w:rsidRPr="00185EE9" w:rsidRDefault="00556A55" w:rsidP="00556A55">
      <w:pPr>
        <w:spacing w:after="0" w:line="256" w:lineRule="auto"/>
        <w:jc w:val="both"/>
        <w:rPr>
          <w:rFonts w:ascii="Verdana" w:eastAsia="Calibri" w:hAnsi="Verdana" w:cs="Times New Roman"/>
        </w:rPr>
      </w:pPr>
      <w:hyperlink r:id="rId14" w:history="1">
        <w:r w:rsidRPr="00F14AAD">
          <w:rPr>
            <w:rStyle w:val="Hipervnculo"/>
            <w:rFonts w:ascii="Verdana" w:eastAsia="Calibri" w:hAnsi="Verdana" w:cs="Times New Roman"/>
            <w:lang w:val="es-ES"/>
          </w:rPr>
          <w:t>https://relatoria.colombiacompra.gov.co/busqueda/conceptos</w:t>
        </w:r>
      </w:hyperlink>
      <w:r w:rsidRPr="00185EE9">
        <w:rPr>
          <w:rFonts w:ascii="Verdana" w:eastAsia="Calibri" w:hAnsi="Verdana" w:cs="Times New Roman"/>
        </w:rPr>
        <w:t xml:space="preserve">. </w:t>
      </w:r>
    </w:p>
    <w:p w14:paraId="057C6494" w14:textId="77777777" w:rsidR="00556A55" w:rsidRPr="00B57A1B" w:rsidRDefault="00556A55" w:rsidP="00556A55">
      <w:pPr>
        <w:spacing w:after="0"/>
        <w:jc w:val="both"/>
        <w:rPr>
          <w:rFonts w:ascii="Verdana" w:hAnsi="Verdana"/>
        </w:rPr>
      </w:pPr>
    </w:p>
    <w:p w14:paraId="102B3ACA" w14:textId="77777777" w:rsidR="00556A55" w:rsidRDefault="00556A55" w:rsidP="00556A55">
      <w:pPr>
        <w:spacing w:after="0"/>
        <w:jc w:val="both"/>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5" w:tgtFrame="_new" w:history="1">
        <w:r w:rsidRPr="009A385A">
          <w:rPr>
            <w:rStyle w:val="Hipervnculo"/>
            <w:rFonts w:ascii="Verdana" w:hAnsi="Verdana"/>
          </w:rPr>
          <w:t>https://formacionvirtual.colombiacompra.gov.co/mod/page/view.php?id=3718</w:t>
        </w:r>
      </w:hyperlink>
    </w:p>
    <w:p w14:paraId="657B13A0" w14:textId="77777777" w:rsidR="00556A55" w:rsidRPr="009A385A" w:rsidRDefault="00556A55" w:rsidP="00556A55">
      <w:pPr>
        <w:spacing w:after="0"/>
        <w:jc w:val="both"/>
        <w:rPr>
          <w:rFonts w:ascii="Verdana" w:hAnsi="Verdana"/>
        </w:rPr>
      </w:pPr>
    </w:p>
    <w:p w14:paraId="3DACBC77" w14:textId="77777777" w:rsidR="00556A55" w:rsidRDefault="00556A55" w:rsidP="00556A55">
      <w:pPr>
        <w:spacing w:after="0"/>
        <w:jc w:val="both"/>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6" w:tgtFrame="_new" w:history="1">
        <w:r w:rsidRPr="00635F16">
          <w:rPr>
            <w:rStyle w:val="Hipervnculo"/>
            <w:rFonts w:ascii="Verdana" w:hAnsi="Verdana"/>
          </w:rPr>
          <w:t>https://www.colombiacompra.gov.co/normativa-y-relatoria/documentos-tipo</w:t>
        </w:r>
      </w:hyperlink>
    </w:p>
    <w:p w14:paraId="26C6E4D1" w14:textId="77777777" w:rsidR="00556A55" w:rsidRDefault="00556A55" w:rsidP="00556A55">
      <w:pPr>
        <w:spacing w:after="0"/>
        <w:jc w:val="both"/>
        <w:rPr>
          <w:rFonts w:ascii="Verdana" w:hAnsi="Verdana"/>
        </w:rPr>
      </w:pPr>
    </w:p>
    <w:p w14:paraId="3744F99F" w14:textId="77777777" w:rsidR="00556A55" w:rsidRPr="008E1CD7" w:rsidRDefault="00556A55" w:rsidP="00556A55">
      <w:pPr>
        <w:spacing w:after="0"/>
        <w:jc w:val="both"/>
        <w:rPr>
          <w:rFonts w:ascii="Verdana" w:hAnsi="Verdana"/>
        </w:rPr>
      </w:pPr>
      <w:r>
        <w:rPr>
          <w:rFonts w:ascii="Verdana" w:hAnsi="Verdana"/>
        </w:rPr>
        <w:lastRenderedPageBreak/>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7"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6C291E7A" w14:textId="77777777" w:rsidR="00556A55" w:rsidRDefault="00556A55" w:rsidP="00556A55">
      <w:pPr>
        <w:shd w:val="clear" w:color="auto" w:fill="FFFFFF"/>
        <w:spacing w:after="0" w:line="276" w:lineRule="auto"/>
        <w:jc w:val="both"/>
        <w:rPr>
          <w:rFonts w:ascii="Verdana" w:hAnsi="Verdana"/>
          <w:color w:val="000000"/>
          <w:u w:val="single"/>
        </w:rPr>
      </w:pPr>
    </w:p>
    <w:p w14:paraId="008326BC" w14:textId="77777777" w:rsidR="00556A55" w:rsidRPr="0038088D" w:rsidRDefault="00556A55" w:rsidP="00556A55">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w:t>
      </w:r>
      <w:r w:rsidRPr="0038088D">
        <w:rPr>
          <w:rFonts w:ascii="Verdana" w:hAnsi="Verdana"/>
        </w:rPr>
        <w:t xml:space="preserve">atención: </w:t>
      </w:r>
    </w:p>
    <w:p w14:paraId="4271A9E0" w14:textId="77777777" w:rsidR="00556A55" w:rsidRPr="0038088D" w:rsidRDefault="00556A55" w:rsidP="00556A55">
      <w:pPr>
        <w:spacing w:after="0"/>
        <w:jc w:val="both"/>
        <w:rPr>
          <w:rFonts w:ascii="Verdana" w:hAnsi="Verdana"/>
        </w:rPr>
      </w:pPr>
    </w:p>
    <w:p w14:paraId="1D8EDD54" w14:textId="77777777" w:rsidR="00556A55" w:rsidRPr="0038088D" w:rsidRDefault="00556A55" w:rsidP="00556A55">
      <w:pPr>
        <w:pStyle w:val="Prrafodelista"/>
        <w:numPr>
          <w:ilvl w:val="0"/>
          <w:numId w:val="15"/>
        </w:numPr>
        <w:spacing w:after="0" w:line="240" w:lineRule="auto"/>
        <w:jc w:val="both"/>
        <w:rPr>
          <w:rFonts w:ascii="Verdana" w:eastAsia="Verdana" w:hAnsi="Verdana" w:cs="Verdana"/>
          <w:color w:val="4472C4" w:themeColor="accent1"/>
          <w:u w:val="single"/>
        </w:rPr>
      </w:pPr>
      <w:r w:rsidRPr="0038088D">
        <w:rPr>
          <w:rFonts w:ascii="Verdana" w:eastAsia="Verdana" w:hAnsi="Verdana" w:cs="Verdana"/>
        </w:rPr>
        <w:t xml:space="preserve">Línea nacional gratuita o servicio a la ciudadanía (Mesa de servicio): </w:t>
      </w:r>
      <w:r w:rsidRPr="0038088D">
        <w:rPr>
          <w:rStyle w:val="Hipervnculo"/>
          <w:rFonts w:ascii="Verdana" w:hAnsi="Verdana"/>
        </w:rPr>
        <w:t>01800 0520808</w:t>
      </w:r>
    </w:p>
    <w:p w14:paraId="0CCDB47D" w14:textId="77777777" w:rsidR="00556A55" w:rsidRPr="0038088D" w:rsidRDefault="00556A55" w:rsidP="00556A55">
      <w:pPr>
        <w:pStyle w:val="Prrafodelista"/>
        <w:numPr>
          <w:ilvl w:val="0"/>
          <w:numId w:val="15"/>
        </w:numPr>
        <w:spacing w:after="0"/>
        <w:rPr>
          <w:rFonts w:ascii="Verdana" w:eastAsia="Verdana" w:hAnsi="Verdana" w:cs="Verdana"/>
          <w:color w:val="4472C4" w:themeColor="accent1"/>
          <w:u w:val="single"/>
        </w:rPr>
      </w:pPr>
      <w:r w:rsidRPr="0038088D">
        <w:rPr>
          <w:rFonts w:ascii="Verdana" w:eastAsia="Verdana" w:hAnsi="Verdana" w:cs="Verdana"/>
        </w:rPr>
        <w:t>Línea en Bogotá (Mesa de servicio</w:t>
      </w:r>
      <w:proofErr w:type="gramStart"/>
      <w:r w:rsidRPr="0038088D">
        <w:rPr>
          <w:rFonts w:ascii="Verdana" w:eastAsia="Verdana" w:hAnsi="Verdana" w:cs="Verdana"/>
        </w:rPr>
        <w:t>):</w:t>
      </w:r>
      <w:r w:rsidRPr="0038088D">
        <w:rPr>
          <w:rStyle w:val="Hipervnculo"/>
          <w:rFonts w:ascii="Verdana" w:hAnsi="Verdana"/>
        </w:rPr>
        <w:t>+</w:t>
      </w:r>
      <w:proofErr w:type="gramEnd"/>
      <w:r w:rsidRPr="0038088D">
        <w:rPr>
          <w:rStyle w:val="Hipervnculo"/>
          <w:rFonts w:ascii="Verdana" w:hAnsi="Verdana"/>
        </w:rPr>
        <w:t>57 601 7456788</w:t>
      </w:r>
    </w:p>
    <w:p w14:paraId="4A91D223" w14:textId="77777777" w:rsidR="00556A55" w:rsidRPr="0038088D" w:rsidRDefault="00556A55" w:rsidP="00556A55">
      <w:pPr>
        <w:pStyle w:val="Prrafodelista"/>
        <w:numPr>
          <w:ilvl w:val="0"/>
          <w:numId w:val="15"/>
        </w:numPr>
        <w:spacing w:after="0"/>
        <w:rPr>
          <w:rFonts w:ascii="Verdana" w:eastAsia="Verdana" w:hAnsi="Verdana" w:cs="Verdana"/>
          <w:color w:val="0000FF"/>
          <w:u w:val="single"/>
        </w:rPr>
      </w:pPr>
      <w:r w:rsidRPr="0038088D">
        <w:rPr>
          <w:rFonts w:ascii="Verdana" w:eastAsia="Verdana" w:hAnsi="Verdana" w:cs="Verdana"/>
        </w:rPr>
        <w:t xml:space="preserve">Correo de radicación de correspondencia: </w:t>
      </w:r>
      <w:hyperlink r:id="rId18">
        <w:r w:rsidRPr="0038088D">
          <w:rPr>
            <w:rStyle w:val="Hipervnculo"/>
            <w:rFonts w:ascii="Verdana" w:eastAsia="Verdana" w:hAnsi="Verdana" w:cs="Verdana"/>
          </w:rPr>
          <w:t>ventanilladeradicacion@colombiacompra.gov.co</w:t>
        </w:r>
      </w:hyperlink>
    </w:p>
    <w:p w14:paraId="5737616E" w14:textId="77777777" w:rsidR="00556A55" w:rsidRPr="0038088D" w:rsidRDefault="00556A55" w:rsidP="00556A55">
      <w:pPr>
        <w:pStyle w:val="Prrafodelista"/>
        <w:numPr>
          <w:ilvl w:val="0"/>
          <w:numId w:val="15"/>
        </w:numPr>
        <w:spacing w:after="0"/>
        <w:rPr>
          <w:rFonts w:ascii="Verdana" w:eastAsia="Verdana" w:hAnsi="Verdana" w:cs="Verdana"/>
          <w:color w:val="0000FF"/>
          <w:u w:val="single"/>
        </w:rPr>
      </w:pPr>
      <w:r w:rsidRPr="0038088D">
        <w:rPr>
          <w:rFonts w:ascii="Verdana" w:eastAsia="Verdana" w:hAnsi="Verdana" w:cs="Verdana"/>
        </w:rPr>
        <w:t>Formulario web para</w:t>
      </w:r>
      <w:r w:rsidRPr="0038088D">
        <w:rPr>
          <w:rFonts w:ascii="Verdana" w:eastAsia="Verdana" w:hAnsi="Verdana" w:cs="Verdana"/>
          <w:lang w:val="es"/>
        </w:rPr>
        <w:t xml:space="preserve"> PQRSD: </w:t>
      </w:r>
      <w:hyperlink r:id="rId19">
        <w:r w:rsidRPr="0038088D">
          <w:rPr>
            <w:rStyle w:val="Hipervnculo"/>
            <w:rFonts w:ascii="Verdana" w:eastAsia="Verdana" w:hAnsi="Verdana" w:cs="Verdana"/>
          </w:rPr>
          <w:t>https://www.colombiacompra.gov.co/pqrsd/informacion-importante-antes-de-formular-una-pqrsd</w:t>
        </w:r>
      </w:hyperlink>
    </w:p>
    <w:p w14:paraId="02A19534" w14:textId="77777777" w:rsidR="00556A55" w:rsidRPr="0038088D" w:rsidRDefault="00556A55" w:rsidP="00556A55">
      <w:pPr>
        <w:spacing w:after="0" w:line="240" w:lineRule="auto"/>
        <w:ind w:left="720"/>
        <w:jc w:val="both"/>
        <w:rPr>
          <w:rFonts w:ascii="Verdana" w:hAnsi="Verdana"/>
        </w:rPr>
      </w:pPr>
    </w:p>
    <w:p w14:paraId="0BE59002" w14:textId="77777777" w:rsidR="00556A55" w:rsidRPr="0038088D" w:rsidRDefault="00556A55" w:rsidP="00556A55">
      <w:pPr>
        <w:spacing w:after="0" w:line="240" w:lineRule="auto"/>
        <w:rPr>
          <w:rFonts w:ascii="Verdana" w:hAnsi="Verdana"/>
        </w:rPr>
      </w:pPr>
      <w:r w:rsidRPr="0038088D">
        <w:rPr>
          <w:rFonts w:ascii="Verdana" w:hAnsi="Verdana"/>
        </w:rPr>
        <w:t xml:space="preserve">Evalúa el servicio que ofrece la Agencia por el canal de atención de PQRSD en el siguiente </w:t>
      </w:r>
      <w:proofErr w:type="gramStart"/>
      <w:r w:rsidRPr="0038088D">
        <w:rPr>
          <w:rFonts w:ascii="Verdana" w:hAnsi="Verdana"/>
        </w:rPr>
        <w:t>enlace :</w:t>
      </w:r>
      <w:proofErr w:type="gramEnd"/>
      <w:hyperlink r:id="rId20" w:tgtFrame="_blank" w:tooltip="https://forms.office.com/r/pphywvs2sz" w:history="1">
        <w:r w:rsidRPr="0038088D">
          <w:rPr>
            <w:rStyle w:val="Hipervnculo"/>
            <w:rFonts w:ascii="Verdana" w:hAnsi="Verdana"/>
          </w:rPr>
          <w:t>https://forms.office.com/r/pPHyWVs2SZ</w:t>
        </w:r>
      </w:hyperlink>
      <w:r w:rsidRPr="0038088D">
        <w:rPr>
          <w:rFonts w:ascii="Verdana" w:hAnsi="Verdana"/>
        </w:rPr>
        <w:t xml:space="preserve"> .¡Ayúdanos a mejorar porque el compromiso es de todos!</w:t>
      </w:r>
    </w:p>
    <w:p w14:paraId="00D26557" w14:textId="77777777" w:rsidR="00556A55" w:rsidRPr="0038088D" w:rsidRDefault="00556A55" w:rsidP="00556A55">
      <w:pPr>
        <w:spacing w:after="0" w:line="240" w:lineRule="auto"/>
        <w:rPr>
          <w:rFonts w:ascii="Verdana" w:hAnsi="Verdana"/>
        </w:rPr>
      </w:pPr>
    </w:p>
    <w:p w14:paraId="22865F17" w14:textId="77777777" w:rsidR="00556A55" w:rsidRPr="0038088D" w:rsidRDefault="00556A55" w:rsidP="00556A55">
      <w:pPr>
        <w:spacing w:after="0" w:line="240" w:lineRule="auto"/>
        <w:jc w:val="both"/>
        <w:rPr>
          <w:rFonts w:ascii="Verdana" w:hAnsi="Verdana"/>
        </w:rPr>
      </w:pPr>
      <w:r w:rsidRPr="0038088D">
        <w:rPr>
          <w:rFonts w:ascii="Verdana" w:hAnsi="Verdana"/>
        </w:rPr>
        <w:t xml:space="preserve">Por último, lo invitamos a seguirnos en las redes sociales en las cuales se difunde información institucional: </w:t>
      </w:r>
    </w:p>
    <w:p w14:paraId="17FAAB30" w14:textId="77777777" w:rsidR="00556A55" w:rsidRPr="00116940" w:rsidRDefault="00556A55" w:rsidP="00556A55">
      <w:pPr>
        <w:spacing w:after="0" w:line="240" w:lineRule="auto"/>
        <w:jc w:val="both"/>
        <w:rPr>
          <w:rFonts w:ascii="Verdana" w:hAnsi="Verdana"/>
        </w:rPr>
      </w:pPr>
    </w:p>
    <w:p w14:paraId="06860082" w14:textId="77777777" w:rsidR="00556A55" w:rsidRPr="00116940" w:rsidRDefault="00556A55" w:rsidP="00556A55">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5DCE2F90" w14:textId="77777777" w:rsidR="00556A55" w:rsidRPr="00116940" w:rsidRDefault="00556A55" w:rsidP="00556A55">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4A038F93" w14:textId="77777777" w:rsidR="00556A55" w:rsidRPr="00E22E6E" w:rsidRDefault="00556A55" w:rsidP="00556A55">
      <w:pPr>
        <w:spacing w:after="0" w:line="240" w:lineRule="auto"/>
        <w:jc w:val="both"/>
        <w:rPr>
          <w:rFonts w:ascii="Verdana" w:hAnsi="Verdana"/>
        </w:rPr>
      </w:pPr>
      <w:r w:rsidRPr="00116940">
        <w:rPr>
          <w:rFonts w:ascii="Verdana" w:hAnsi="Verdana"/>
        </w:rPr>
        <w:lastRenderedPageBreak/>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05A7DDE9" w14:textId="77777777" w:rsidR="00556A55" w:rsidRPr="009C4035" w:rsidRDefault="00556A55" w:rsidP="00556A55">
      <w:pPr>
        <w:shd w:val="clear" w:color="auto" w:fill="FFFFFF"/>
        <w:spacing w:after="0" w:line="276" w:lineRule="auto"/>
        <w:jc w:val="both"/>
        <w:rPr>
          <w:rFonts w:ascii="Verdana" w:hAnsi="Verdana" w:cs="Arial"/>
          <w:color w:val="FF0000"/>
          <w:shd w:val="clear" w:color="auto" w:fill="FFFFFF"/>
          <w:lang w:val="es-ES_tradnl"/>
        </w:rPr>
      </w:pPr>
      <w:r w:rsidRPr="004A73EC">
        <w:rPr>
          <w:rFonts w:ascii="Verdana" w:hAnsi="Verdana" w:cs="Arial"/>
          <w:color w:val="000000" w:themeColor="text1"/>
          <w:shd w:val="clear" w:color="auto" w:fill="FFFFFF"/>
          <w:lang w:val="es-ES_tradnl"/>
        </w:rPr>
        <w:t xml:space="preserve"> </w:t>
      </w:r>
      <w:r w:rsidRPr="004A73EC">
        <w:rPr>
          <w:rStyle w:val="normaltextrun"/>
          <w:rFonts w:ascii="Verdana" w:hAnsi="Verdana" w:cs="Arial"/>
          <w:color w:val="FF0000"/>
          <w:shd w:val="clear" w:color="auto" w:fill="FFFFFF"/>
          <w:lang w:val="es-ES_tradnl"/>
        </w:rPr>
        <w:t xml:space="preserve">        </w:t>
      </w:r>
    </w:p>
    <w:p w14:paraId="13F8EF84" w14:textId="77777777" w:rsidR="00556A55" w:rsidRPr="00593A5F" w:rsidRDefault="00556A55" w:rsidP="00556A55">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r>
        <w:rPr>
          <w:rFonts w:ascii="Verdana" w:hAnsi="Verdana" w:cs="Arial"/>
          <w:lang w:val="es-ES_tradnl"/>
        </w:rPr>
        <w:t xml:space="preserve"> </w:t>
      </w:r>
    </w:p>
    <w:p w14:paraId="50095373" w14:textId="77777777" w:rsidR="00556A55" w:rsidRPr="00593A5F" w:rsidRDefault="00556A55" w:rsidP="00556A55">
      <w:pPr>
        <w:widowControl w:val="0"/>
        <w:autoSpaceDE w:val="0"/>
        <w:autoSpaceDN w:val="0"/>
        <w:spacing w:after="0" w:line="276" w:lineRule="auto"/>
        <w:jc w:val="both"/>
        <w:rPr>
          <w:rFonts w:ascii="Verdana" w:hAnsi="Verdana" w:cs="Arial"/>
        </w:rPr>
      </w:pPr>
    </w:p>
    <w:p w14:paraId="10D33AF9" w14:textId="77777777" w:rsidR="00556A55" w:rsidRPr="00593A5F" w:rsidRDefault="00556A55" w:rsidP="00556A55">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128A0DEB" w14:textId="77777777" w:rsidR="00556A55" w:rsidRDefault="00556A55" w:rsidP="00556A55">
      <w:pPr>
        <w:spacing w:line="276" w:lineRule="auto"/>
        <w:jc w:val="center"/>
        <w:rPr>
          <w:noProof/>
          <w:lang w:val="en-US"/>
        </w:rPr>
      </w:pPr>
    </w:p>
    <w:p w14:paraId="5544B155" w14:textId="7DF8DE34" w:rsidR="00556A55" w:rsidRPr="00593A5F" w:rsidRDefault="008D5262" w:rsidP="00556A55">
      <w:pPr>
        <w:spacing w:line="276" w:lineRule="auto"/>
        <w:jc w:val="center"/>
        <w:rPr>
          <w:rFonts w:ascii="Verdana" w:hAnsi="Verdana" w:cs="Arial"/>
          <w:color w:val="000000"/>
          <w:lang w:val="es-ES_tradnl" w:eastAsia="es-CO"/>
        </w:rPr>
      </w:pPr>
      <w:r w:rsidRPr="002C3AD6">
        <w:rPr>
          <w:rFonts w:ascii="Century Gothic" w:hAnsi="Century Gothic"/>
          <w:noProof/>
          <w:lang w:val="en-US"/>
        </w:rPr>
        <w:drawing>
          <wp:inline distT="0" distB="0" distL="0" distR="0" wp14:anchorId="4F716361" wp14:editId="4BFE6F0F">
            <wp:extent cx="3279697" cy="1217463"/>
            <wp:effectExtent l="0" t="0" r="0" b="1905"/>
            <wp:docPr id="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21"/>
                    <a:stretch>
                      <a:fillRect/>
                    </a:stretch>
                  </pic:blipFill>
                  <pic:spPr>
                    <a:xfrm>
                      <a:off x="0" y="0"/>
                      <a:ext cx="3312722" cy="1229722"/>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556A55" w:rsidRPr="00593A5F" w14:paraId="4401D047" w14:textId="77777777" w:rsidTr="008631AE">
        <w:trPr>
          <w:trHeight w:val="315"/>
        </w:trPr>
        <w:tc>
          <w:tcPr>
            <w:tcW w:w="893" w:type="dxa"/>
            <w:vAlign w:val="center"/>
            <w:hideMark/>
          </w:tcPr>
          <w:p w14:paraId="4753F63A" w14:textId="77777777" w:rsidR="00556A55" w:rsidRPr="003751C7" w:rsidRDefault="00556A55" w:rsidP="008631AE">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B19DB92" w14:textId="77777777" w:rsidR="00556A55" w:rsidRPr="00254A7A" w:rsidRDefault="00556A55" w:rsidP="008631AE">
            <w:pPr>
              <w:contextualSpacing/>
              <w:rPr>
                <w:rStyle w:val="normaltextrun"/>
                <w:rFonts w:ascii="Verdana" w:hAnsi="Verdana"/>
                <w:sz w:val="16"/>
                <w:szCs w:val="16"/>
              </w:rPr>
            </w:pPr>
            <w:r>
              <w:rPr>
                <w:rStyle w:val="normaltextrun"/>
                <w:rFonts w:ascii="Verdana" w:hAnsi="Verdana"/>
                <w:sz w:val="16"/>
                <w:szCs w:val="16"/>
              </w:rPr>
              <w:t>José Luis Sánchez Cardona</w:t>
            </w:r>
          </w:p>
          <w:p w14:paraId="2A095B57" w14:textId="77777777" w:rsidR="00556A55" w:rsidRPr="00254A7A" w:rsidRDefault="00556A55" w:rsidP="008631AE">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556A55" w:rsidRPr="00593A5F" w14:paraId="57377B81" w14:textId="77777777" w:rsidTr="008631AE">
        <w:trPr>
          <w:trHeight w:val="330"/>
        </w:trPr>
        <w:tc>
          <w:tcPr>
            <w:tcW w:w="893" w:type="dxa"/>
            <w:vAlign w:val="center"/>
            <w:hideMark/>
          </w:tcPr>
          <w:p w14:paraId="14A00C10" w14:textId="77777777" w:rsidR="00556A55" w:rsidRPr="003751C7" w:rsidRDefault="00556A55" w:rsidP="008631AE">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AFB743D" w14:textId="77777777" w:rsidR="00556A55" w:rsidRPr="001B6B73" w:rsidRDefault="00556A55" w:rsidP="008631AE">
            <w:pPr>
              <w:pStyle w:val="paragraph"/>
              <w:spacing w:after="0"/>
              <w:contextualSpacing/>
              <w:textAlignment w:val="baseline"/>
              <w:rPr>
                <w:rStyle w:val="normaltextrun"/>
                <w:rFonts w:ascii="Verdana" w:hAnsi="Verdana" w:cs="Arial"/>
                <w:sz w:val="16"/>
                <w:szCs w:val="16"/>
                <w:lang w:val="es-ES_tradnl"/>
              </w:rPr>
            </w:pPr>
            <w:r>
              <w:rPr>
                <w:rStyle w:val="normaltextrun"/>
                <w:rFonts w:ascii="Verdana" w:hAnsi="Verdana" w:cs="Arial"/>
                <w:sz w:val="16"/>
                <w:szCs w:val="16"/>
                <w:lang w:val="es-ES_tradnl"/>
              </w:rPr>
              <w:t>Diana Lucía Saavedra Castañeda</w:t>
            </w:r>
          </w:p>
          <w:p w14:paraId="7BA72B5D" w14:textId="77777777" w:rsidR="00556A55" w:rsidRPr="00254A7A" w:rsidRDefault="00556A55" w:rsidP="008631AE">
            <w:pPr>
              <w:pStyle w:val="paragraph"/>
              <w:spacing w:before="0" w:beforeAutospacing="0" w:after="0" w:afterAutospacing="0"/>
              <w:contextualSpacing/>
              <w:textAlignment w:val="baseline"/>
              <w:rPr>
                <w:rFonts w:ascii="Verdana" w:hAnsi="Verdana" w:cs="Segoe UI"/>
                <w:sz w:val="16"/>
                <w:szCs w:val="16"/>
              </w:rPr>
            </w:pPr>
            <w:r>
              <w:rPr>
                <w:rStyle w:val="normaltextrun"/>
                <w:rFonts w:ascii="Verdana" w:hAnsi="Verdana" w:cs="Arial"/>
                <w:sz w:val="16"/>
                <w:szCs w:val="16"/>
                <w:lang w:val="es-ES_tradnl"/>
              </w:rPr>
              <w:t xml:space="preserve">Contratista </w:t>
            </w:r>
            <w:r w:rsidRPr="001B6B73">
              <w:rPr>
                <w:rStyle w:val="normaltextrun"/>
                <w:rFonts w:ascii="Verdana" w:hAnsi="Verdana" w:cs="Arial"/>
                <w:sz w:val="16"/>
                <w:szCs w:val="16"/>
                <w:lang w:val="es-ES_tradnl"/>
              </w:rPr>
              <w:t>de la Subdirección de Gestión Contractual</w:t>
            </w:r>
          </w:p>
        </w:tc>
      </w:tr>
      <w:tr w:rsidR="00556A55" w:rsidRPr="00593A5F" w14:paraId="0D496A97" w14:textId="77777777" w:rsidTr="008631AE">
        <w:trPr>
          <w:trHeight w:val="300"/>
        </w:trPr>
        <w:tc>
          <w:tcPr>
            <w:tcW w:w="893" w:type="dxa"/>
            <w:vAlign w:val="center"/>
          </w:tcPr>
          <w:p w14:paraId="0689F349" w14:textId="77777777" w:rsidR="00556A55" w:rsidRPr="003751C7" w:rsidRDefault="00556A55" w:rsidP="008631AE">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546EED0" w14:textId="77777777" w:rsidR="00556A55" w:rsidRPr="003751C7" w:rsidRDefault="00556A55" w:rsidP="008631AE">
            <w:pPr>
              <w:contextualSpacing/>
              <w:rPr>
                <w:rFonts w:ascii="Verdana" w:eastAsia="Calibri" w:hAnsi="Verdana" w:cs="Arial"/>
                <w:sz w:val="16"/>
                <w:szCs w:val="16"/>
                <w:lang w:val="pt-BR" w:eastAsia="es-ES"/>
              </w:rPr>
            </w:pPr>
            <w:r w:rsidRPr="003751C7">
              <w:rPr>
                <w:rFonts w:ascii="Verdana" w:eastAsia="Calibri" w:hAnsi="Verdana" w:cs="Arial"/>
                <w:sz w:val="16"/>
                <w:szCs w:val="16"/>
                <w:lang w:val="pt-BR" w:eastAsia="es-ES"/>
              </w:rPr>
              <w:t>Carolina Quintero Gacharná</w:t>
            </w:r>
          </w:p>
          <w:p w14:paraId="3D44A3B7" w14:textId="77777777" w:rsidR="00556A55" w:rsidRPr="003751C7" w:rsidRDefault="00556A55" w:rsidP="008631AE">
            <w:pPr>
              <w:contextualSpacing/>
              <w:rPr>
                <w:rFonts w:ascii="Verdana" w:eastAsia="Calibri" w:hAnsi="Verdana" w:cs="Arial"/>
                <w:sz w:val="16"/>
                <w:szCs w:val="16"/>
                <w:lang w:val="pt-BR" w:eastAsia="es-ES"/>
              </w:rPr>
            </w:pPr>
            <w:r w:rsidRPr="003751C7">
              <w:rPr>
                <w:rFonts w:ascii="Verdana" w:eastAsia="Calibri" w:hAnsi="Verdana" w:cs="Arial"/>
                <w:sz w:val="16"/>
                <w:szCs w:val="16"/>
                <w:lang w:eastAsia="es-ES"/>
              </w:rPr>
              <w:t>Subdirectora</w:t>
            </w:r>
            <w:r w:rsidRPr="003751C7">
              <w:rPr>
                <w:rFonts w:ascii="Verdana" w:eastAsia="Calibri" w:hAnsi="Verdana" w:cs="Arial"/>
                <w:sz w:val="16"/>
                <w:szCs w:val="16"/>
                <w:lang w:val="pt-BR" w:eastAsia="es-ES"/>
              </w:rPr>
              <w:t xml:space="preserve"> de Gestión Contractual ANCP – CCE</w:t>
            </w:r>
          </w:p>
        </w:tc>
      </w:tr>
    </w:tbl>
    <w:p w14:paraId="548AE4CB" w14:textId="77777777" w:rsidR="00556A55" w:rsidRPr="000E2B93" w:rsidRDefault="00556A55" w:rsidP="00556A55">
      <w:pPr>
        <w:spacing w:after="0"/>
        <w:rPr>
          <w:rFonts w:ascii="Verdana" w:eastAsia="Verdana" w:hAnsi="Verdana" w:cs="Verdana"/>
        </w:rPr>
      </w:pPr>
    </w:p>
    <w:p w14:paraId="6F781397" w14:textId="298B60E0" w:rsidR="00556A55" w:rsidRPr="000E2B93" w:rsidRDefault="00556A55" w:rsidP="00556A55">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p w14:paraId="2575A3B6" w14:textId="77777777" w:rsidR="00A743E8" w:rsidRPr="00556A55" w:rsidRDefault="00A743E8" w:rsidP="00556A55"/>
    <w:sectPr w:rsidR="00A743E8" w:rsidRPr="00556A55" w:rsidSect="007C0C0F">
      <w:headerReference w:type="default" r:id="rId22"/>
      <w:footerReference w:type="default" r:id="rId23"/>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625397" w14:textId="77777777" w:rsidR="00CD7977" w:rsidRDefault="00CD7977" w:rsidP="004A1847">
      <w:pPr>
        <w:spacing w:after="0" w:line="240" w:lineRule="auto"/>
      </w:pPr>
      <w:r>
        <w:separator/>
      </w:r>
    </w:p>
  </w:endnote>
  <w:endnote w:type="continuationSeparator" w:id="0">
    <w:p w14:paraId="24D6EAFE" w14:textId="77777777" w:rsidR="00CD7977" w:rsidRDefault="00CD7977"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AC78D9" w:rsidRDefault="00AC78D9">
    <w:pPr>
      <w:pStyle w:val="Piedepgina"/>
    </w:pPr>
  </w:p>
  <w:p w14:paraId="594D6D9F" w14:textId="09CDFBBD" w:rsidR="00AC78D9" w:rsidRPr="00174B77" w:rsidRDefault="00AC78D9"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874570" w:rsidRPr="00874570">
      <w:rPr>
        <w:rFonts w:ascii="Verdana" w:eastAsiaTheme="minorEastAsia" w:hAnsi="Verdana"/>
        <w:b/>
        <w:bCs/>
        <w:noProof/>
        <w:sz w:val="16"/>
        <w:szCs w:val="16"/>
      </w:rPr>
      <w:t>22</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AC78D9" w:rsidRDefault="00AC78D9"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AC78D9" w:rsidRPr="00E41027" w:rsidRDefault="00AC78D9"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46D7CAE9" w:rsidR="00AC78D9" w:rsidRDefault="00AC78D9"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3</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4D78A3" w14:textId="77777777" w:rsidR="00CD7977" w:rsidRDefault="00CD7977" w:rsidP="004A1847">
      <w:pPr>
        <w:spacing w:after="0" w:line="240" w:lineRule="auto"/>
      </w:pPr>
      <w:r>
        <w:separator/>
      </w:r>
    </w:p>
  </w:footnote>
  <w:footnote w:type="continuationSeparator" w:id="0">
    <w:p w14:paraId="6EBA8E58" w14:textId="77777777" w:rsidR="00CD7977" w:rsidRDefault="00CD7977" w:rsidP="004A1847">
      <w:pPr>
        <w:spacing w:after="0" w:line="240" w:lineRule="auto"/>
      </w:pPr>
      <w:r>
        <w:continuationSeparator/>
      </w:r>
    </w:p>
  </w:footnote>
  <w:footnote w:id="1">
    <w:p w14:paraId="1133EECE" w14:textId="77777777" w:rsidR="00556A55" w:rsidRPr="008B0381" w:rsidRDefault="00556A55" w:rsidP="00556A55">
      <w:pPr>
        <w:pStyle w:val="Textonotapie"/>
        <w:ind w:firstLine="708"/>
        <w:jc w:val="both"/>
        <w:rPr>
          <w:rFonts w:ascii="Verdana" w:hAnsi="Verdana" w:cs="Arial"/>
          <w:sz w:val="16"/>
          <w:szCs w:val="16"/>
        </w:rPr>
      </w:pPr>
      <w:r w:rsidRPr="008B0381">
        <w:rPr>
          <w:rStyle w:val="Refdenotaalpie"/>
          <w:rFonts w:ascii="Verdana" w:hAnsi="Verdana" w:cs="Arial"/>
          <w:sz w:val="16"/>
          <w:szCs w:val="16"/>
        </w:rPr>
        <w:footnoteRef/>
      </w:r>
      <w:r w:rsidRPr="008B0381">
        <w:rPr>
          <w:rFonts w:ascii="Verdana" w:hAnsi="Verdana" w:cs="Arial"/>
          <w:sz w:val="16"/>
          <w:szCs w:val="16"/>
        </w:rPr>
        <w:t xml:space="preserve"> Cfr. BENAVIDES, José Luis. El contrato estatal: entre el derecho público y el derecho privado. Segunda edición. Bogotá: Universidad Externado de Colombia, 2009. pp. 78-79. </w:t>
      </w:r>
    </w:p>
  </w:footnote>
  <w:footnote w:id="2">
    <w:p w14:paraId="105D1A39" w14:textId="77777777" w:rsidR="00556A55" w:rsidRPr="008B0381" w:rsidRDefault="00556A55" w:rsidP="00556A55">
      <w:pPr>
        <w:pStyle w:val="Textonotapie"/>
        <w:ind w:firstLine="708"/>
        <w:jc w:val="both"/>
        <w:rPr>
          <w:rFonts w:ascii="Verdana" w:hAnsi="Verdana" w:cs="Arial"/>
          <w:sz w:val="16"/>
          <w:szCs w:val="16"/>
        </w:rPr>
      </w:pPr>
      <w:r w:rsidRPr="008B0381">
        <w:rPr>
          <w:rStyle w:val="Refdenotaalpie"/>
          <w:rFonts w:ascii="Verdana" w:hAnsi="Verdana" w:cs="Arial"/>
          <w:sz w:val="16"/>
          <w:szCs w:val="16"/>
        </w:rPr>
        <w:footnoteRef/>
      </w:r>
      <w:r w:rsidRPr="008B0381">
        <w:rPr>
          <w:rFonts w:ascii="Verdana" w:hAnsi="Verdana" w:cs="Arial"/>
          <w:sz w:val="16"/>
          <w:szCs w:val="16"/>
        </w:rPr>
        <w:t xml:space="preserve"> BETANCUR JARAMILLO, Carlos. Derecho procesal administrativo. Octava edición. Medellín: Señal Editora, 2013. p. 627. </w:t>
      </w:r>
    </w:p>
  </w:footnote>
  <w:footnote w:id="3">
    <w:p w14:paraId="5EC3B7D3" w14:textId="77777777" w:rsidR="00556A55" w:rsidRPr="008B0381" w:rsidRDefault="00556A55" w:rsidP="00556A55">
      <w:pPr>
        <w:pStyle w:val="Textoindependiente"/>
        <w:ind w:firstLine="708"/>
        <w:contextualSpacing/>
        <w:jc w:val="both"/>
        <w:rPr>
          <w:rFonts w:ascii="Verdana" w:hAnsi="Verdana"/>
          <w:sz w:val="16"/>
          <w:szCs w:val="16"/>
        </w:rPr>
      </w:pPr>
      <w:r w:rsidRPr="008B0381">
        <w:rPr>
          <w:rStyle w:val="Refdenotaalpie"/>
          <w:rFonts w:ascii="Verdana" w:hAnsi="Verdana"/>
          <w:sz w:val="16"/>
          <w:szCs w:val="16"/>
        </w:rPr>
        <w:footnoteRef/>
      </w:r>
      <w:r w:rsidRPr="008B0381">
        <w:rPr>
          <w:rFonts w:ascii="Verdana" w:hAnsi="Verdana"/>
          <w:sz w:val="16"/>
          <w:szCs w:val="16"/>
        </w:rPr>
        <w:t xml:space="preserve"> </w:t>
      </w:r>
      <w:r w:rsidRPr="008B0381">
        <w:rPr>
          <w:rFonts w:ascii="Verdana" w:hAnsi="Verdana"/>
          <w:sz w:val="16"/>
          <w:szCs w:val="16"/>
          <w:lang w:val="es-ES_tradnl"/>
        </w:rPr>
        <w:t xml:space="preserve">El artículo 2º define, para los efectos del ámbito de sujeción del estatuto, que se denominan entidades estatales: “a) </w:t>
      </w:r>
      <w:r w:rsidRPr="008B0381">
        <w:rPr>
          <w:rFonts w:ascii="Verdana" w:hAnsi="Verdana"/>
          <w:sz w:val="16"/>
          <w:szCs w:val="16"/>
        </w:rPr>
        <w:t>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 b) El Senado de la República, la Cámara de Representantes, el Consejo Superior de la Judicatura, la Fiscalía General de la Nación, la Contraloría General de la República, las contralorías departamentales, distritales y municipales, la Procuraduría General de la Nación, la Registraduría Nacional del Estado Civil, los ministerios, los departamentos administrativos, las superintendencias, las unidades administrativas especiales y, en general, los organismos o dependencias del Estado a los que la ley otorgue capacidad para celebrar contratos”.</w:t>
      </w:r>
    </w:p>
  </w:footnote>
  <w:footnote w:id="4">
    <w:p w14:paraId="156FFF8F" w14:textId="77777777" w:rsidR="00556A55" w:rsidRPr="008B0381" w:rsidRDefault="00556A55" w:rsidP="00556A55">
      <w:pPr>
        <w:pStyle w:val="Textonotapie"/>
        <w:ind w:firstLine="709"/>
        <w:jc w:val="both"/>
        <w:rPr>
          <w:rFonts w:ascii="Verdana" w:hAnsi="Verdana"/>
          <w:sz w:val="16"/>
          <w:szCs w:val="16"/>
        </w:rPr>
      </w:pPr>
      <w:r w:rsidRPr="008B0381">
        <w:rPr>
          <w:rStyle w:val="Refdenotaalpie"/>
          <w:rFonts w:ascii="Verdana" w:hAnsi="Verdana"/>
          <w:sz w:val="16"/>
          <w:szCs w:val="16"/>
        </w:rPr>
        <w:footnoteRef/>
      </w:r>
      <w:r w:rsidRPr="008B0381">
        <w:rPr>
          <w:rFonts w:ascii="Verdana" w:hAnsi="Verdana"/>
          <w:sz w:val="16"/>
          <w:szCs w:val="16"/>
        </w:rPr>
        <w:t xml:space="preserve"> SÁNCHEZ TRUJILLO, Juan Pablo. Completitud de la oferta del contrato atípico: elementos esenciales del contrato atípico como requisito de delimitación del objeto de la oferta mercantil. Consultado el 21 de marzo de 2025 en la página web </w:t>
      </w:r>
      <w:hyperlink r:id="rId1" w:history="1">
        <w:r w:rsidRPr="008B0381">
          <w:rPr>
            <w:rStyle w:val="Hipervnculo"/>
            <w:rFonts w:ascii="Verdana" w:hAnsi="Verdana"/>
            <w:sz w:val="16"/>
            <w:szCs w:val="16"/>
          </w:rPr>
          <w:t>https://revistas.udea.edu.co/index.php/derypol/article/view/331285/20790715</w:t>
        </w:r>
      </w:hyperlink>
      <w:r w:rsidRPr="008B0381">
        <w:rPr>
          <w:rFonts w:ascii="Verdana" w:hAnsi="Verdana"/>
          <w:sz w:val="16"/>
          <w:szCs w:val="16"/>
        </w:rPr>
        <w:t xml:space="preserve">. </w:t>
      </w:r>
    </w:p>
  </w:footnote>
  <w:footnote w:id="5">
    <w:p w14:paraId="04ABC5A1" w14:textId="77777777" w:rsidR="00556A55" w:rsidRPr="008B0381" w:rsidRDefault="00556A55" w:rsidP="00556A55">
      <w:pPr>
        <w:pStyle w:val="Textonotapie"/>
        <w:ind w:firstLine="708"/>
        <w:jc w:val="both"/>
        <w:rPr>
          <w:rFonts w:ascii="Verdana" w:eastAsia="Calibri" w:hAnsi="Verdana" w:cs="Times New Roman"/>
          <w:sz w:val="16"/>
          <w:szCs w:val="16"/>
          <w:lang w:val="es-CO"/>
        </w:rPr>
      </w:pPr>
      <w:r w:rsidRPr="008B0381">
        <w:rPr>
          <w:rStyle w:val="Refdenotaalpie"/>
          <w:rFonts w:ascii="Verdana" w:hAnsi="Verdana"/>
          <w:sz w:val="16"/>
          <w:szCs w:val="16"/>
        </w:rPr>
        <w:footnoteRef/>
      </w:r>
      <w:r w:rsidRPr="008B0381">
        <w:rPr>
          <w:rFonts w:ascii="Verdana" w:hAnsi="Verdana"/>
          <w:sz w:val="16"/>
          <w:szCs w:val="16"/>
        </w:rPr>
        <w:t xml:space="preserve"> </w:t>
      </w:r>
      <w:r w:rsidRPr="008B0381">
        <w:rPr>
          <w:rFonts w:ascii="Verdana" w:hAnsi="Verdana"/>
          <w:sz w:val="16"/>
          <w:szCs w:val="16"/>
          <w:lang w:val="es-CO"/>
        </w:rPr>
        <w:t xml:space="preserve">Consejo de Estado. Subsección A, de la Sección Tercera. Sentencia del 10 de febrero de 2016. C.P. Hernán Andrade Rincón. Exp. 39538. </w:t>
      </w:r>
    </w:p>
  </w:footnote>
  <w:footnote w:id="6">
    <w:p w14:paraId="4CC95933" w14:textId="77777777" w:rsidR="00556A55" w:rsidRPr="008B0381" w:rsidRDefault="00556A55" w:rsidP="00556A55">
      <w:pPr>
        <w:pStyle w:val="Textonotapie"/>
        <w:ind w:firstLine="708"/>
        <w:jc w:val="both"/>
        <w:rPr>
          <w:rFonts w:ascii="Verdana" w:hAnsi="Verdana"/>
          <w:sz w:val="16"/>
          <w:szCs w:val="16"/>
        </w:rPr>
      </w:pPr>
      <w:r w:rsidRPr="008B0381">
        <w:rPr>
          <w:rStyle w:val="Refdenotaalpie"/>
          <w:rFonts w:ascii="Verdana" w:hAnsi="Verdana"/>
          <w:sz w:val="16"/>
          <w:szCs w:val="16"/>
        </w:rPr>
        <w:footnoteRef/>
      </w:r>
      <w:r w:rsidRPr="008B0381">
        <w:rPr>
          <w:rFonts w:ascii="Verdana" w:hAnsi="Verdana"/>
          <w:sz w:val="16"/>
          <w:szCs w:val="16"/>
        </w:rPr>
        <w:t xml:space="preserve"> Sobre la misma expresión, la cual fue utilizada también en el artículo 894 del Código Civil Francés, LAURENT comenta que “[…] En el proyecto del código civil sometido al Consejo de Estado, la donación se califica de contrato. El primer cónsul criticó esta definición. ‘El contrato, dijo, impone mutuas obligaciones a los dos contingentes; por lo que esta definición no puede convenir a la donación’. Esta crítica no fue objeto de ninguna discusión; se habló sobre la cuestión de saber si convenia admitir definiciones en el código; en el curso de la conversación, Malevilla presentó una definición que reemplazaba la palabra contrato, con la de acto; lo que el Consejo aceptó. Se ha querido ver en la observación del primer cónsul uno de esos rasgos de luz por los cuales un hombre de genio adivina las dificultades que en realidad ignora. Esto no es más que una adulación. Verdad es que en el antiguo derecho los mejores jurisconsultos estaban divididos en la cuestión: Furgole sostiene que la donación no es un contrato, porque su objeto esencial es gratificar al donatario, y que sería desnaturalizarlo si se quiere encadenarlo con un vínculo de derecho. Esta sutileza no está en el espíritu del derecho francés. Ricard, Pothier, Domat se atrevieron a la realidad de las cosas. ¿Por qué se exige la aceptación del donatario si no es un contrato la donación? ¿por qué se exige que el donatario y el donador sean capaces en el momento en que se verifica el concurso de consentimiento? En verdad que el primer cónsul no se percataba de esta sutileza cuando criticaba la disposición del proyecto; lo que dice es simplemente un error; porque supone que no hay contrato sino cuando las dos partes contraen obligaciones reciprocas, lo que conducirla a la consecuencia de que un contrato unilateral no es un contrato; y ¿es necesario añadir que lo contrario se halla escrito en el artículo 1103? ‘El contrato es unilateral cuando una persona se obliga en provecho de otra, sin que por parte de ésta haya ningún compromiso’ [norma equivalente al artículo 1496 del Código Civil Colombiano]. Esta definición se aplica literalmente a la donación. Luego es cierto que la donación es un contrato. Esta no es una cuestión de palabras. Siendo la donación un contrato, resulta de esto que las reglas generales establecidas ero el título ‘De las Obligaciones Convencionales’ tienen su aplicación a las donaciones, a menos que el código las derogue […]” (LAURENT, François. Principios de derecho civil francés. Tomo XI. México DF: Tribunal Superior de Justicia del Distrito Federal, 2008. pp. 139-140. Corchetes fuera de texto).</w:t>
      </w:r>
    </w:p>
    <w:p w14:paraId="636FDDB4" w14:textId="77777777" w:rsidR="00556A55" w:rsidRPr="008B0381" w:rsidRDefault="00556A55" w:rsidP="00556A55">
      <w:pPr>
        <w:pStyle w:val="Textonotapie"/>
        <w:ind w:firstLine="708"/>
        <w:jc w:val="both"/>
        <w:rPr>
          <w:rFonts w:ascii="Verdana" w:hAnsi="Verdana"/>
          <w:sz w:val="16"/>
          <w:szCs w:val="16"/>
        </w:rPr>
      </w:pPr>
    </w:p>
  </w:footnote>
  <w:footnote w:id="7">
    <w:p w14:paraId="55993CF9" w14:textId="77777777" w:rsidR="00556A55" w:rsidRPr="008B0381" w:rsidRDefault="00556A55" w:rsidP="00556A55">
      <w:pPr>
        <w:pStyle w:val="Textonotapie"/>
        <w:ind w:firstLine="708"/>
        <w:jc w:val="both"/>
        <w:rPr>
          <w:rFonts w:ascii="Verdana" w:hAnsi="Verdana"/>
          <w:sz w:val="16"/>
          <w:szCs w:val="16"/>
        </w:rPr>
      </w:pPr>
      <w:r w:rsidRPr="008B0381">
        <w:rPr>
          <w:rStyle w:val="Refdenotaalpie"/>
          <w:rFonts w:ascii="Verdana" w:hAnsi="Verdana"/>
          <w:sz w:val="16"/>
          <w:szCs w:val="16"/>
        </w:rPr>
        <w:footnoteRef/>
      </w:r>
      <w:r w:rsidRPr="008B0381">
        <w:rPr>
          <w:rFonts w:ascii="Verdana" w:hAnsi="Verdana"/>
          <w:sz w:val="16"/>
          <w:szCs w:val="16"/>
        </w:rPr>
        <w:t xml:space="preserve"> GUZMÁN BRITO, Alejandro. De las Donaciones entre vivos. Conceptos y tipos, Santiago: LexisNexis, 2005. pp. 35 a 52.</w:t>
      </w:r>
    </w:p>
  </w:footnote>
  <w:footnote w:id="8">
    <w:p w14:paraId="72C4FC96" w14:textId="77777777" w:rsidR="00556A55" w:rsidRPr="008B0381" w:rsidRDefault="00556A55" w:rsidP="00556A55">
      <w:pPr>
        <w:pStyle w:val="Textonotapie"/>
        <w:ind w:firstLine="708"/>
        <w:jc w:val="both"/>
        <w:rPr>
          <w:rFonts w:ascii="Verdana" w:hAnsi="Verdana"/>
          <w:sz w:val="16"/>
          <w:szCs w:val="16"/>
        </w:rPr>
      </w:pPr>
      <w:r w:rsidRPr="008B0381">
        <w:rPr>
          <w:rStyle w:val="Refdenotaalpie"/>
          <w:rFonts w:ascii="Verdana" w:hAnsi="Verdana"/>
          <w:sz w:val="16"/>
          <w:szCs w:val="16"/>
        </w:rPr>
        <w:footnoteRef/>
      </w:r>
      <w:r w:rsidRPr="008B0381">
        <w:rPr>
          <w:rFonts w:ascii="Verdana" w:hAnsi="Verdana"/>
          <w:sz w:val="16"/>
          <w:szCs w:val="16"/>
        </w:rPr>
        <w:t xml:space="preserve"> “La donación irrevocable o entre vivos, en la que se impone al donatario una carga o modo en beneficio de un tercero, es un contrato bilateral, pues genera obligaciones para el donante y para el donatario, y al mismo tiempo es un contrato gratuito, ya que no engendra utilidad económica al donante sino que exclusivamente a la parte donataria y al tercero beneficiario del modo” (Cfr. LÓPEZ SANTA MARÍA, Jorge. Los contratos: parte general. Tomo I. Tercera Edición. Santiago: Editorial Jurídica de Chile. 2001. p. 109).</w:t>
      </w:r>
    </w:p>
  </w:footnote>
  <w:footnote w:id="9">
    <w:p w14:paraId="0A1B086C" w14:textId="77777777" w:rsidR="00556A55" w:rsidRPr="008B0381" w:rsidRDefault="00556A55" w:rsidP="00556A55">
      <w:pPr>
        <w:spacing w:after="0" w:line="240" w:lineRule="auto"/>
        <w:ind w:firstLine="708"/>
        <w:jc w:val="both"/>
        <w:rPr>
          <w:rFonts w:ascii="Verdana" w:hAnsi="Verdana" w:cs="Arial"/>
          <w:color w:val="000000" w:themeColor="text1"/>
          <w:sz w:val="16"/>
          <w:szCs w:val="16"/>
        </w:rPr>
      </w:pPr>
      <w:r w:rsidRPr="008B0381">
        <w:rPr>
          <w:rStyle w:val="Refdenotaalpie"/>
          <w:rFonts w:ascii="Verdana" w:hAnsi="Verdana" w:cs="Arial"/>
          <w:sz w:val="16"/>
          <w:szCs w:val="16"/>
        </w:rPr>
        <w:footnoteRef/>
      </w:r>
      <w:r w:rsidRPr="008B0381">
        <w:rPr>
          <w:rFonts w:ascii="Verdana" w:hAnsi="Verdana" w:cs="Arial"/>
          <w:sz w:val="16"/>
          <w:szCs w:val="16"/>
        </w:rPr>
        <w:t xml:space="preserve"> </w:t>
      </w:r>
      <w:r w:rsidRPr="008B0381">
        <w:rPr>
          <w:rFonts w:ascii="Verdana" w:hAnsi="Verdana" w:cs="Arial"/>
          <w:color w:val="000000" w:themeColor="text1"/>
          <w:sz w:val="16"/>
          <w:szCs w:val="16"/>
        </w:rPr>
        <w:t xml:space="preserve">Corte Constitucional. Sentencia C-183 de 2003. M.P. Alfredo Beltrán Sierra. </w:t>
      </w:r>
    </w:p>
  </w:footnote>
  <w:footnote w:id="10">
    <w:p w14:paraId="4A1EC983" w14:textId="77777777" w:rsidR="00556A55" w:rsidRPr="008B0381" w:rsidRDefault="00556A55" w:rsidP="00556A55">
      <w:pPr>
        <w:pStyle w:val="Textonotapie"/>
        <w:ind w:firstLine="708"/>
        <w:jc w:val="both"/>
        <w:rPr>
          <w:rFonts w:ascii="Verdana" w:hAnsi="Verdana" w:cs="Arial"/>
          <w:sz w:val="16"/>
          <w:szCs w:val="16"/>
          <w:lang w:val="es-ES"/>
        </w:rPr>
      </w:pPr>
      <w:r w:rsidRPr="008B0381">
        <w:rPr>
          <w:rStyle w:val="Refdenotaalpie"/>
          <w:rFonts w:ascii="Verdana" w:hAnsi="Verdana" w:cs="Arial"/>
          <w:sz w:val="16"/>
          <w:szCs w:val="16"/>
        </w:rPr>
        <w:footnoteRef/>
      </w:r>
      <w:r w:rsidRPr="008B0381">
        <w:rPr>
          <w:rFonts w:ascii="Verdana" w:hAnsi="Verdana" w:cs="Arial"/>
          <w:sz w:val="16"/>
          <w:szCs w:val="16"/>
        </w:rPr>
        <w:t xml:space="preserve"> </w:t>
      </w:r>
      <w:r w:rsidRPr="008B0381">
        <w:rPr>
          <w:rFonts w:ascii="Verdana" w:hAnsi="Verdana" w:cs="Arial"/>
          <w:sz w:val="16"/>
          <w:szCs w:val="16"/>
          <w:lang w:val="es-ES"/>
        </w:rPr>
        <w:t>Ibídem.</w:t>
      </w:r>
    </w:p>
  </w:footnote>
  <w:footnote w:id="11">
    <w:p w14:paraId="1A257BDC" w14:textId="77777777" w:rsidR="00556A55" w:rsidRPr="008B0381" w:rsidRDefault="00556A55" w:rsidP="00556A55">
      <w:pPr>
        <w:pStyle w:val="Textonotapie"/>
        <w:ind w:firstLine="708"/>
        <w:jc w:val="both"/>
        <w:rPr>
          <w:rFonts w:ascii="Verdana" w:hAnsi="Verdana" w:cs="Arial"/>
          <w:color w:val="000000" w:themeColor="text1"/>
          <w:sz w:val="16"/>
          <w:szCs w:val="16"/>
        </w:rPr>
      </w:pPr>
      <w:r w:rsidRPr="008B0381">
        <w:rPr>
          <w:rStyle w:val="Refdenotaalpie"/>
          <w:rFonts w:ascii="Verdana" w:hAnsi="Verdana" w:cs="Arial"/>
          <w:color w:val="000000" w:themeColor="text1"/>
          <w:sz w:val="16"/>
          <w:szCs w:val="16"/>
        </w:rPr>
        <w:footnoteRef/>
      </w:r>
      <w:r w:rsidRPr="008B0381">
        <w:rPr>
          <w:rFonts w:ascii="Verdana" w:hAnsi="Verdana" w:cs="Arial"/>
          <w:color w:val="000000" w:themeColor="text1"/>
          <w:sz w:val="16"/>
          <w:szCs w:val="16"/>
        </w:rPr>
        <w:t xml:space="preserve"> Consejo de Estado. Sección Tercera, Subsección B. Sentencia del 30 de abril de 2012. C.P. Ruth Stella Correa Palacio. Exp. 21.699.</w:t>
      </w:r>
    </w:p>
  </w:footnote>
  <w:footnote w:id="12">
    <w:p w14:paraId="2B0D7586" w14:textId="77777777" w:rsidR="00556A55" w:rsidRPr="008B0381" w:rsidRDefault="00556A55" w:rsidP="00556A55">
      <w:pPr>
        <w:spacing w:after="0" w:line="240" w:lineRule="auto"/>
        <w:ind w:firstLine="708"/>
        <w:jc w:val="both"/>
        <w:rPr>
          <w:rFonts w:ascii="Verdana" w:hAnsi="Verdana" w:cs="Arial"/>
          <w:color w:val="000000" w:themeColor="text1"/>
          <w:sz w:val="16"/>
          <w:szCs w:val="16"/>
        </w:rPr>
      </w:pPr>
      <w:r w:rsidRPr="008B0381">
        <w:rPr>
          <w:rStyle w:val="Refdenotaalpie"/>
          <w:rFonts w:ascii="Verdana" w:hAnsi="Verdana" w:cs="Arial"/>
          <w:color w:val="000000" w:themeColor="text1"/>
          <w:sz w:val="16"/>
          <w:szCs w:val="16"/>
        </w:rPr>
        <w:footnoteRef/>
      </w:r>
      <w:r w:rsidRPr="008B0381">
        <w:rPr>
          <w:rFonts w:ascii="Verdana" w:hAnsi="Verdana" w:cs="Arial"/>
          <w:color w:val="000000" w:themeColor="text1"/>
          <w:sz w:val="16"/>
          <w:szCs w:val="16"/>
        </w:rPr>
        <w:t xml:space="preserve"> Consejo de Estado. Sección Tercera, Subsección A. Sentencia del 19 de julio de 2018, C.P. Carlos Alberto Zambrano Barrera. Exp. 36.711.</w:t>
      </w:r>
    </w:p>
  </w:footnote>
  <w:footnote w:id="13">
    <w:p w14:paraId="3E625DE9" w14:textId="77777777" w:rsidR="00556A55" w:rsidRPr="008B0381" w:rsidRDefault="00556A55" w:rsidP="00556A55">
      <w:pPr>
        <w:spacing w:after="0" w:line="240" w:lineRule="auto"/>
        <w:ind w:firstLine="708"/>
        <w:jc w:val="both"/>
        <w:rPr>
          <w:rFonts w:ascii="Verdana" w:hAnsi="Verdana" w:cs="Arial"/>
          <w:color w:val="000000" w:themeColor="text1"/>
          <w:sz w:val="16"/>
          <w:szCs w:val="16"/>
        </w:rPr>
      </w:pPr>
      <w:r w:rsidRPr="008B0381">
        <w:rPr>
          <w:rStyle w:val="Refdenotaalpie"/>
          <w:rFonts w:ascii="Verdana" w:hAnsi="Verdana" w:cs="Arial"/>
          <w:color w:val="000000" w:themeColor="text1"/>
          <w:sz w:val="16"/>
          <w:szCs w:val="16"/>
        </w:rPr>
        <w:footnoteRef/>
      </w:r>
      <w:r w:rsidRPr="008B0381">
        <w:rPr>
          <w:rFonts w:ascii="Verdana" w:hAnsi="Verdana" w:cs="Arial"/>
          <w:color w:val="000000" w:themeColor="text1"/>
          <w:sz w:val="16"/>
          <w:szCs w:val="16"/>
        </w:rPr>
        <w:t xml:space="preserve"> Corte Constitucional. Sentencia C-183 de 2003.  M.P. Alfredo Beltrán Sierra. </w:t>
      </w:r>
    </w:p>
  </w:footnote>
  <w:footnote w:id="14">
    <w:p w14:paraId="5EB99161" w14:textId="77777777" w:rsidR="00556A55" w:rsidRPr="008B0381" w:rsidRDefault="00556A55" w:rsidP="00556A55">
      <w:pPr>
        <w:pStyle w:val="Textonotapie"/>
        <w:ind w:firstLine="708"/>
        <w:jc w:val="both"/>
        <w:rPr>
          <w:rFonts w:ascii="Verdana" w:hAnsi="Verdana"/>
          <w:sz w:val="16"/>
          <w:szCs w:val="16"/>
          <w:lang w:val="es-CO"/>
        </w:rPr>
      </w:pPr>
      <w:r w:rsidRPr="008B0381">
        <w:rPr>
          <w:rStyle w:val="Refdenotaalpie"/>
          <w:rFonts w:ascii="Verdana" w:hAnsi="Verdana"/>
          <w:sz w:val="16"/>
          <w:szCs w:val="16"/>
        </w:rPr>
        <w:footnoteRef/>
      </w:r>
      <w:r w:rsidRPr="008B0381">
        <w:rPr>
          <w:rFonts w:ascii="Verdana" w:hAnsi="Verdana"/>
          <w:sz w:val="16"/>
          <w:szCs w:val="16"/>
        </w:rPr>
        <w:t xml:space="preserve"> </w:t>
      </w:r>
      <w:r w:rsidRPr="008B0381">
        <w:rPr>
          <w:rFonts w:ascii="Verdana" w:hAnsi="Verdana"/>
          <w:sz w:val="16"/>
          <w:szCs w:val="16"/>
          <w:lang w:val="es-CO"/>
        </w:rPr>
        <w:t>Consejo de Estado. Sala de Consulta y Servicio Civil. Concepto del 11 de octubre de 2022. C.P. Édgar González López. Rad. 2481.</w:t>
      </w:r>
    </w:p>
    <w:p w14:paraId="100B18FF" w14:textId="77777777" w:rsidR="00556A55" w:rsidRPr="008B0381" w:rsidRDefault="00556A55" w:rsidP="00556A55">
      <w:pPr>
        <w:pStyle w:val="Textonotapie"/>
        <w:ind w:firstLine="708"/>
        <w:jc w:val="both"/>
        <w:rPr>
          <w:rFonts w:ascii="Verdana" w:hAnsi="Verdana"/>
          <w:sz w:val="16"/>
          <w:szCs w:val="16"/>
          <w:lang w:val="es-CO"/>
        </w:rPr>
      </w:pPr>
    </w:p>
  </w:footnote>
  <w:footnote w:id="15">
    <w:p w14:paraId="14CAB18D" w14:textId="77777777" w:rsidR="00556A55" w:rsidRPr="008B0381" w:rsidRDefault="00556A55" w:rsidP="00556A55">
      <w:pPr>
        <w:pStyle w:val="Textonotapie"/>
        <w:ind w:firstLine="708"/>
        <w:jc w:val="both"/>
        <w:rPr>
          <w:rFonts w:ascii="Verdana" w:hAnsi="Verdana"/>
          <w:sz w:val="16"/>
          <w:szCs w:val="16"/>
        </w:rPr>
      </w:pPr>
      <w:r w:rsidRPr="008B0381">
        <w:rPr>
          <w:rStyle w:val="Refdenotaalpie"/>
          <w:rFonts w:ascii="Verdana" w:hAnsi="Verdana"/>
          <w:sz w:val="16"/>
          <w:szCs w:val="16"/>
        </w:rPr>
        <w:footnoteRef/>
      </w:r>
      <w:r w:rsidRPr="008B0381">
        <w:rPr>
          <w:rFonts w:ascii="Verdana" w:hAnsi="Verdana"/>
          <w:sz w:val="16"/>
          <w:szCs w:val="16"/>
        </w:rPr>
        <w:t xml:space="preserve"> Corte Constitucional. Sentencia C-324 del 13 de mayo de 2009. M.P. Juan Carlos Henao Pérez.</w:t>
      </w:r>
    </w:p>
  </w:footnote>
  <w:footnote w:id="16">
    <w:p w14:paraId="3F0A2991" w14:textId="77777777" w:rsidR="00556A55" w:rsidRPr="008B0381" w:rsidRDefault="00556A55" w:rsidP="00556A55">
      <w:pPr>
        <w:pStyle w:val="Textonotapie"/>
        <w:ind w:firstLine="708"/>
        <w:jc w:val="both"/>
        <w:rPr>
          <w:rFonts w:ascii="Verdana" w:hAnsi="Verdana"/>
          <w:sz w:val="16"/>
          <w:szCs w:val="16"/>
        </w:rPr>
      </w:pPr>
      <w:r w:rsidRPr="008B0381">
        <w:rPr>
          <w:rStyle w:val="Refdenotaalpie"/>
          <w:rFonts w:ascii="Verdana" w:hAnsi="Verdana"/>
          <w:sz w:val="16"/>
          <w:szCs w:val="16"/>
        </w:rPr>
        <w:footnoteRef/>
      </w:r>
      <w:r w:rsidRPr="008B0381">
        <w:rPr>
          <w:rFonts w:ascii="Verdana" w:hAnsi="Verdana"/>
          <w:sz w:val="16"/>
          <w:szCs w:val="16"/>
        </w:rPr>
        <w:t xml:space="preserve"> Corte Constitucional. Sentencia C-027 del 03 de febrero de 2016. M.P. María Victoria Calle Correa.</w:t>
      </w:r>
    </w:p>
  </w:footnote>
  <w:footnote w:id="17">
    <w:p w14:paraId="03E97420" w14:textId="77777777" w:rsidR="00556A55" w:rsidRPr="008B0381" w:rsidRDefault="00556A55" w:rsidP="00556A55">
      <w:pPr>
        <w:pStyle w:val="Textonotapie"/>
        <w:ind w:firstLine="708"/>
        <w:jc w:val="both"/>
        <w:rPr>
          <w:rFonts w:ascii="Verdana" w:hAnsi="Verdana"/>
          <w:sz w:val="16"/>
          <w:szCs w:val="16"/>
        </w:rPr>
      </w:pPr>
      <w:r w:rsidRPr="008B0381">
        <w:rPr>
          <w:rStyle w:val="Refdenotaalpie"/>
          <w:rFonts w:ascii="Verdana" w:hAnsi="Verdana"/>
          <w:sz w:val="16"/>
          <w:szCs w:val="16"/>
        </w:rPr>
        <w:footnoteRef/>
      </w:r>
      <w:r w:rsidRPr="008B0381">
        <w:rPr>
          <w:rFonts w:ascii="Verdana" w:hAnsi="Verdana"/>
          <w:sz w:val="16"/>
          <w:szCs w:val="16"/>
        </w:rPr>
        <w:t xml:space="preserve"> Ver nota al pie 14.</w:t>
      </w:r>
    </w:p>
  </w:footnote>
  <w:footnote w:id="18">
    <w:p w14:paraId="2E1897F0" w14:textId="77777777" w:rsidR="00556A55" w:rsidRPr="00F81BC1" w:rsidRDefault="00556A55" w:rsidP="00556A55">
      <w:pPr>
        <w:pStyle w:val="Textonotapie"/>
        <w:ind w:firstLine="708"/>
        <w:jc w:val="both"/>
        <w:rPr>
          <w:rFonts w:ascii="Verdana" w:hAnsi="Verdana"/>
          <w:sz w:val="16"/>
          <w:szCs w:val="16"/>
        </w:rPr>
      </w:pPr>
      <w:r w:rsidRPr="008B0381">
        <w:rPr>
          <w:rStyle w:val="Refdenotaalpie"/>
          <w:rFonts w:ascii="Verdana" w:hAnsi="Verdana"/>
          <w:sz w:val="16"/>
          <w:szCs w:val="16"/>
        </w:rPr>
        <w:footnoteRef/>
      </w:r>
      <w:r w:rsidRPr="008B0381">
        <w:rPr>
          <w:rFonts w:ascii="Verdana" w:hAnsi="Verdana"/>
          <w:sz w:val="16"/>
          <w:szCs w:val="16"/>
        </w:rPr>
        <w:t xml:space="preserve"> Corte Constitucional. Sentencia C-027 de 2016. M.P. María Victoria Calle Correa.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AC78D9" w:rsidRDefault="00AC78D9" w:rsidP="00844AE9">
    <w:pPr>
      <w:pStyle w:val="Encabezado"/>
      <w:spacing w:line="120" w:lineRule="auto"/>
    </w:pPr>
    <w:r>
      <w:rPr>
        <w:rFonts w:ascii="Geomanist Bold" w:hAnsi="Geomanist Bold"/>
        <w:b/>
        <w:bCs/>
        <w:noProof/>
        <w:color w:val="002060"/>
        <w:sz w:val="24"/>
        <w:szCs w:val="24"/>
        <w:lang w:val="en-US"/>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lang w:val="en-US"/>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AC78D9" w:rsidRDefault="00AC78D9">
    <w:pPr>
      <w:pStyle w:val="Encabezado"/>
    </w:pPr>
  </w:p>
  <w:p w14:paraId="5E18350A" w14:textId="705F7B76" w:rsidR="00AC78D9" w:rsidRPr="004A305D" w:rsidRDefault="00AC78D9" w:rsidP="00B01B1A">
    <w:pPr>
      <w:spacing w:after="0" w:line="120" w:lineRule="auto"/>
      <w:rPr>
        <w:rFonts w:ascii="Century Gothic" w:eastAsia="Geo" w:hAnsi="Century Gothic" w:cs="Geo"/>
        <w:sz w:val="16"/>
        <w:szCs w:val="16"/>
        <w:lang w:eastAsia="es-CO"/>
      </w:rPr>
    </w:pPr>
  </w:p>
  <w:p w14:paraId="211B7F5D" w14:textId="77777777" w:rsidR="00AC78D9" w:rsidRDefault="00AC78D9" w:rsidP="00844AE9">
    <w:pPr>
      <w:spacing w:after="0" w:line="240" w:lineRule="auto"/>
      <w:rPr>
        <w:rFonts w:ascii="Verdana" w:hAnsi="Verdana"/>
        <w:sz w:val="24"/>
        <w:szCs w:val="24"/>
      </w:rPr>
    </w:pPr>
  </w:p>
  <w:p w14:paraId="5A0054B1" w14:textId="77777777" w:rsidR="00AC78D9" w:rsidRPr="00C925AC" w:rsidRDefault="00AC78D9" w:rsidP="00844AE9">
    <w:pPr>
      <w:spacing w:after="0" w:line="240" w:lineRule="auto"/>
      <w:rPr>
        <w:rFonts w:ascii="Verdana" w:hAnsi="Verdana"/>
        <w:sz w:val="24"/>
        <w:szCs w:val="24"/>
      </w:rPr>
    </w:pPr>
  </w:p>
  <w:p w14:paraId="1FD1C243" w14:textId="37C5500A" w:rsidR="00AC78D9" w:rsidRPr="00C925AC" w:rsidRDefault="00AC78D9"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11866AC"/>
    <w:multiLevelType w:val="hybridMultilevel"/>
    <w:tmpl w:val="3E5CC990"/>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6" w15:restartNumberingAfterBreak="0">
    <w:nsid w:val="756A231F"/>
    <w:multiLevelType w:val="hybridMultilevel"/>
    <w:tmpl w:val="42E84C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60994036">
    <w:abstractNumId w:val="6"/>
  </w:num>
  <w:num w:numId="2" w16cid:durableId="1094548544">
    <w:abstractNumId w:val="1"/>
  </w:num>
  <w:num w:numId="3" w16cid:durableId="990137183">
    <w:abstractNumId w:val="4"/>
  </w:num>
  <w:num w:numId="4" w16cid:durableId="78940133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548644183">
    <w:abstractNumId w:val="1"/>
  </w:num>
  <w:num w:numId="6" w16cid:durableId="1848865307">
    <w:abstractNumId w:val="13"/>
  </w:num>
  <w:num w:numId="7" w16cid:durableId="1679888321">
    <w:abstractNumId w:val="5"/>
  </w:num>
  <w:num w:numId="8" w16cid:durableId="909002310">
    <w:abstractNumId w:val="12"/>
  </w:num>
  <w:num w:numId="9" w16cid:durableId="1632202047">
    <w:abstractNumId w:val="7"/>
  </w:num>
  <w:num w:numId="10" w16cid:durableId="1044595469">
    <w:abstractNumId w:val="11"/>
  </w:num>
  <w:num w:numId="11" w16cid:durableId="960066027">
    <w:abstractNumId w:val="8"/>
  </w:num>
  <w:num w:numId="12" w16cid:durableId="421607186">
    <w:abstractNumId w:val="0"/>
  </w:num>
  <w:num w:numId="13" w16cid:durableId="1193034670">
    <w:abstractNumId w:val="2"/>
  </w:num>
  <w:num w:numId="14" w16cid:durableId="123087007">
    <w:abstractNumId w:val="14"/>
  </w:num>
  <w:num w:numId="15" w16cid:durableId="2090929037">
    <w:abstractNumId w:val="10"/>
  </w:num>
  <w:num w:numId="16" w16cid:durableId="999118218">
    <w:abstractNumId w:val="3"/>
  </w:num>
  <w:num w:numId="17" w16cid:durableId="1108545020">
    <w:abstractNumId w:val="9"/>
  </w:num>
  <w:num w:numId="18" w16cid:durableId="1320498236">
    <w:abstractNumId w:val="15"/>
  </w:num>
  <w:num w:numId="19" w16cid:durableId="1798526124">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03830"/>
    <w:rsid w:val="00016F78"/>
    <w:rsid w:val="000312C3"/>
    <w:rsid w:val="00035DF5"/>
    <w:rsid w:val="00046945"/>
    <w:rsid w:val="000508D1"/>
    <w:rsid w:val="00061B2A"/>
    <w:rsid w:val="00082362"/>
    <w:rsid w:val="00097627"/>
    <w:rsid w:val="000A683E"/>
    <w:rsid w:val="000B19B9"/>
    <w:rsid w:val="000B2F1D"/>
    <w:rsid w:val="000D0334"/>
    <w:rsid w:val="000D5DA7"/>
    <w:rsid w:val="000F6486"/>
    <w:rsid w:val="00116940"/>
    <w:rsid w:val="00125105"/>
    <w:rsid w:val="00126B92"/>
    <w:rsid w:val="00127233"/>
    <w:rsid w:val="001357B2"/>
    <w:rsid w:val="00136941"/>
    <w:rsid w:val="0015699B"/>
    <w:rsid w:val="00176EC6"/>
    <w:rsid w:val="0019267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B1EF4"/>
    <w:rsid w:val="002B72B5"/>
    <w:rsid w:val="002B730F"/>
    <w:rsid w:val="002C6840"/>
    <w:rsid w:val="002C7A84"/>
    <w:rsid w:val="002E2BF8"/>
    <w:rsid w:val="002E4FD9"/>
    <w:rsid w:val="002E6104"/>
    <w:rsid w:val="002F4390"/>
    <w:rsid w:val="002F4750"/>
    <w:rsid w:val="0030657A"/>
    <w:rsid w:val="00322A85"/>
    <w:rsid w:val="00324168"/>
    <w:rsid w:val="00330834"/>
    <w:rsid w:val="00331E14"/>
    <w:rsid w:val="003448F4"/>
    <w:rsid w:val="00345791"/>
    <w:rsid w:val="003504CF"/>
    <w:rsid w:val="0037015E"/>
    <w:rsid w:val="00374F5E"/>
    <w:rsid w:val="00377E3E"/>
    <w:rsid w:val="00397E8F"/>
    <w:rsid w:val="003A779E"/>
    <w:rsid w:val="003D0F4D"/>
    <w:rsid w:val="003D5B0D"/>
    <w:rsid w:val="003D6FB6"/>
    <w:rsid w:val="003E0499"/>
    <w:rsid w:val="003E1AFE"/>
    <w:rsid w:val="003E2609"/>
    <w:rsid w:val="003E348A"/>
    <w:rsid w:val="003E4F80"/>
    <w:rsid w:val="003E6439"/>
    <w:rsid w:val="003F3941"/>
    <w:rsid w:val="003F7BAC"/>
    <w:rsid w:val="00406575"/>
    <w:rsid w:val="00414C74"/>
    <w:rsid w:val="0042722E"/>
    <w:rsid w:val="00430465"/>
    <w:rsid w:val="00441434"/>
    <w:rsid w:val="004427A2"/>
    <w:rsid w:val="0044528D"/>
    <w:rsid w:val="00466E39"/>
    <w:rsid w:val="00472DE0"/>
    <w:rsid w:val="00482B83"/>
    <w:rsid w:val="004A1847"/>
    <w:rsid w:val="004A305D"/>
    <w:rsid w:val="004B4E88"/>
    <w:rsid w:val="004C33E4"/>
    <w:rsid w:val="004D62C6"/>
    <w:rsid w:val="004F21C4"/>
    <w:rsid w:val="004F685F"/>
    <w:rsid w:val="00500525"/>
    <w:rsid w:val="00503FCD"/>
    <w:rsid w:val="00530A1F"/>
    <w:rsid w:val="005566E8"/>
    <w:rsid w:val="00556A55"/>
    <w:rsid w:val="005647CA"/>
    <w:rsid w:val="00565FD7"/>
    <w:rsid w:val="00574867"/>
    <w:rsid w:val="00591460"/>
    <w:rsid w:val="00597DEC"/>
    <w:rsid w:val="005A65E0"/>
    <w:rsid w:val="005B7638"/>
    <w:rsid w:val="005C3777"/>
    <w:rsid w:val="005C5CDC"/>
    <w:rsid w:val="005D476C"/>
    <w:rsid w:val="006200BF"/>
    <w:rsid w:val="006219F8"/>
    <w:rsid w:val="006302F7"/>
    <w:rsid w:val="0063475B"/>
    <w:rsid w:val="006420BD"/>
    <w:rsid w:val="00646B9F"/>
    <w:rsid w:val="00665D70"/>
    <w:rsid w:val="006745D3"/>
    <w:rsid w:val="00674FF0"/>
    <w:rsid w:val="006827DE"/>
    <w:rsid w:val="006900D9"/>
    <w:rsid w:val="0069331C"/>
    <w:rsid w:val="00694B36"/>
    <w:rsid w:val="00706C16"/>
    <w:rsid w:val="007340C3"/>
    <w:rsid w:val="00745363"/>
    <w:rsid w:val="0075235A"/>
    <w:rsid w:val="00756841"/>
    <w:rsid w:val="0076175D"/>
    <w:rsid w:val="00762F8D"/>
    <w:rsid w:val="007649AB"/>
    <w:rsid w:val="00771D0C"/>
    <w:rsid w:val="007833AC"/>
    <w:rsid w:val="007A1830"/>
    <w:rsid w:val="007A37AD"/>
    <w:rsid w:val="007B1B93"/>
    <w:rsid w:val="007B268C"/>
    <w:rsid w:val="007B55DD"/>
    <w:rsid w:val="007B5751"/>
    <w:rsid w:val="007B7171"/>
    <w:rsid w:val="007C0C0F"/>
    <w:rsid w:val="007C3DC2"/>
    <w:rsid w:val="007D5B3F"/>
    <w:rsid w:val="007E5497"/>
    <w:rsid w:val="00806F5F"/>
    <w:rsid w:val="0081189E"/>
    <w:rsid w:val="00813BAA"/>
    <w:rsid w:val="00820278"/>
    <w:rsid w:val="008258C9"/>
    <w:rsid w:val="0083378B"/>
    <w:rsid w:val="00844AE9"/>
    <w:rsid w:val="00867F95"/>
    <w:rsid w:val="00874570"/>
    <w:rsid w:val="008750DC"/>
    <w:rsid w:val="008843B6"/>
    <w:rsid w:val="00891928"/>
    <w:rsid w:val="008A0720"/>
    <w:rsid w:val="008A446D"/>
    <w:rsid w:val="008B1BD7"/>
    <w:rsid w:val="008B25F1"/>
    <w:rsid w:val="008B7171"/>
    <w:rsid w:val="008B76C7"/>
    <w:rsid w:val="008D180B"/>
    <w:rsid w:val="008D5262"/>
    <w:rsid w:val="008D7907"/>
    <w:rsid w:val="008F0EA7"/>
    <w:rsid w:val="008F3DCB"/>
    <w:rsid w:val="00923EEF"/>
    <w:rsid w:val="009419F9"/>
    <w:rsid w:val="0095685E"/>
    <w:rsid w:val="00957C34"/>
    <w:rsid w:val="00961B09"/>
    <w:rsid w:val="00965334"/>
    <w:rsid w:val="0097093E"/>
    <w:rsid w:val="009721AA"/>
    <w:rsid w:val="00976438"/>
    <w:rsid w:val="0098174A"/>
    <w:rsid w:val="0098583C"/>
    <w:rsid w:val="009877B5"/>
    <w:rsid w:val="009A0DFA"/>
    <w:rsid w:val="009A3571"/>
    <w:rsid w:val="009A74B4"/>
    <w:rsid w:val="009B2D26"/>
    <w:rsid w:val="009B4089"/>
    <w:rsid w:val="009B6528"/>
    <w:rsid w:val="009C71FA"/>
    <w:rsid w:val="009C72E7"/>
    <w:rsid w:val="009C7F7E"/>
    <w:rsid w:val="009D3058"/>
    <w:rsid w:val="009D6F0E"/>
    <w:rsid w:val="009F3A13"/>
    <w:rsid w:val="00A122D3"/>
    <w:rsid w:val="00A14468"/>
    <w:rsid w:val="00A17F13"/>
    <w:rsid w:val="00A20739"/>
    <w:rsid w:val="00A23AF9"/>
    <w:rsid w:val="00A247C9"/>
    <w:rsid w:val="00A33C78"/>
    <w:rsid w:val="00A52377"/>
    <w:rsid w:val="00A73749"/>
    <w:rsid w:val="00A743E8"/>
    <w:rsid w:val="00A77865"/>
    <w:rsid w:val="00AB0ADB"/>
    <w:rsid w:val="00AC78D9"/>
    <w:rsid w:val="00B00C0E"/>
    <w:rsid w:val="00B01B1A"/>
    <w:rsid w:val="00B16B6B"/>
    <w:rsid w:val="00B44A47"/>
    <w:rsid w:val="00B63408"/>
    <w:rsid w:val="00B66EBC"/>
    <w:rsid w:val="00B72CD3"/>
    <w:rsid w:val="00B72FFF"/>
    <w:rsid w:val="00BC3D36"/>
    <w:rsid w:val="00BD54A6"/>
    <w:rsid w:val="00BD7F72"/>
    <w:rsid w:val="00BF25AE"/>
    <w:rsid w:val="00BF7425"/>
    <w:rsid w:val="00C04FB3"/>
    <w:rsid w:val="00C11D8B"/>
    <w:rsid w:val="00C13001"/>
    <w:rsid w:val="00C330EB"/>
    <w:rsid w:val="00C43A61"/>
    <w:rsid w:val="00C50D69"/>
    <w:rsid w:val="00C5365C"/>
    <w:rsid w:val="00C754BE"/>
    <w:rsid w:val="00C76B1C"/>
    <w:rsid w:val="00C925AC"/>
    <w:rsid w:val="00CA60C9"/>
    <w:rsid w:val="00CB6357"/>
    <w:rsid w:val="00CB6798"/>
    <w:rsid w:val="00CC1B26"/>
    <w:rsid w:val="00CD7977"/>
    <w:rsid w:val="00CF6E5B"/>
    <w:rsid w:val="00D14807"/>
    <w:rsid w:val="00D361FD"/>
    <w:rsid w:val="00D423A2"/>
    <w:rsid w:val="00D44E26"/>
    <w:rsid w:val="00D520D8"/>
    <w:rsid w:val="00D532F2"/>
    <w:rsid w:val="00D62B39"/>
    <w:rsid w:val="00D63AC2"/>
    <w:rsid w:val="00D7383B"/>
    <w:rsid w:val="00D7788A"/>
    <w:rsid w:val="00D77ED5"/>
    <w:rsid w:val="00D85536"/>
    <w:rsid w:val="00DA231B"/>
    <w:rsid w:val="00DB442D"/>
    <w:rsid w:val="00DC39FC"/>
    <w:rsid w:val="00DD0ECD"/>
    <w:rsid w:val="00DF2A39"/>
    <w:rsid w:val="00DF5254"/>
    <w:rsid w:val="00E02524"/>
    <w:rsid w:val="00E15A3E"/>
    <w:rsid w:val="00E16408"/>
    <w:rsid w:val="00E20894"/>
    <w:rsid w:val="00E245AB"/>
    <w:rsid w:val="00E2764C"/>
    <w:rsid w:val="00E27F2E"/>
    <w:rsid w:val="00E50AFE"/>
    <w:rsid w:val="00E75C92"/>
    <w:rsid w:val="00E771DC"/>
    <w:rsid w:val="00E8772A"/>
    <w:rsid w:val="00E90F6B"/>
    <w:rsid w:val="00E92C27"/>
    <w:rsid w:val="00EA0E3D"/>
    <w:rsid w:val="00EA2550"/>
    <w:rsid w:val="00EC38A7"/>
    <w:rsid w:val="00EE1AA8"/>
    <w:rsid w:val="00F01DF3"/>
    <w:rsid w:val="00F05CCA"/>
    <w:rsid w:val="00F11799"/>
    <w:rsid w:val="00F23FEA"/>
    <w:rsid w:val="00F27984"/>
    <w:rsid w:val="00F27B7B"/>
    <w:rsid w:val="00F31EDC"/>
    <w:rsid w:val="00F419E4"/>
    <w:rsid w:val="00F462B3"/>
    <w:rsid w:val="00F54E0C"/>
    <w:rsid w:val="00F5594D"/>
    <w:rsid w:val="00F5664F"/>
    <w:rsid w:val="00F666C4"/>
    <w:rsid w:val="00F76AFC"/>
    <w:rsid w:val="00F81BC1"/>
    <w:rsid w:val="00F8569A"/>
    <w:rsid w:val="00F93BFD"/>
    <w:rsid w:val="00FA47C0"/>
    <w:rsid w:val="00FB04E8"/>
    <w:rsid w:val="00FB5DD1"/>
    <w:rsid w:val="00FB7CC6"/>
    <w:rsid w:val="00FC2B5D"/>
    <w:rsid w:val="00FD0452"/>
    <w:rsid w:val="00FF1449"/>
    <w:rsid w:val="00FF7963"/>
    <w:rsid w:val="09908A09"/>
    <w:rsid w:val="19A2EC2C"/>
    <w:rsid w:val="2859CA1B"/>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56A55"/>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7A1830"/>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7A1830"/>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3504CF"/>
    <w:rPr>
      <w:rFonts w:ascii="Geomanist Light" w:hAnsi="Geomanist Light"/>
      <w:lang w:val="es-ES"/>
    </w:rPr>
  </w:style>
  <w:style w:type="character" w:styleId="Fuerte">
    <w:name w:val="Strong"/>
    <w:basedOn w:val="Fuentedeprrafopredeter"/>
    <w:uiPriority w:val="22"/>
    <w:qFormat/>
    <w:rsid w:val="003E348A"/>
    <w:rPr>
      <w:b/>
      <w:bCs/>
    </w:rPr>
  </w:style>
  <w:style w:type="character" w:customStyle="1" w:styleId="NormalWebCar">
    <w:name w:val="Normal (Web) Car"/>
    <w:link w:val="NormalWeb"/>
    <w:uiPriority w:val="99"/>
    <w:locked/>
    <w:rsid w:val="003E348A"/>
    <w:rPr>
      <w:rFonts w:ascii="Times New Roman" w:eastAsia="Times New Roman" w:hAnsi="Times New Roman" w:cs="Times New Roman"/>
      <w:sz w:val="24"/>
      <w:szCs w:val="24"/>
      <w:lang w:eastAsia="es-CO"/>
    </w:rPr>
  </w:style>
  <w:style w:type="paragraph" w:styleId="Textoindependiente">
    <w:name w:val="Body Text"/>
    <w:basedOn w:val="Normal"/>
    <w:link w:val="TextoindependienteCar"/>
    <w:uiPriority w:val="99"/>
    <w:semiHidden/>
    <w:unhideWhenUsed/>
    <w:rsid w:val="0083378B"/>
    <w:pPr>
      <w:spacing w:after="120"/>
    </w:pPr>
  </w:style>
  <w:style w:type="character" w:customStyle="1" w:styleId="TextoindependienteCar">
    <w:name w:val="Texto independiente Car"/>
    <w:basedOn w:val="Fuentedeprrafopredeter"/>
    <w:link w:val="Textoindependiente"/>
    <w:uiPriority w:val="99"/>
    <w:semiHidden/>
    <w:rsid w:val="0083378B"/>
  </w:style>
  <w:style w:type="table" w:customStyle="1" w:styleId="Tablaconcuadrcula12">
    <w:name w:val="Tabla con cuadrícula12"/>
    <w:basedOn w:val="Tablanormal"/>
    <w:next w:val="Tablaconcuadrcula"/>
    <w:uiPriority w:val="39"/>
    <w:qFormat/>
    <w:rsid w:val="00A743E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2">
    <w:name w:val="Mención sin resolver2"/>
    <w:basedOn w:val="Fuentedeprrafopredeter"/>
    <w:uiPriority w:val="99"/>
    <w:semiHidden/>
    <w:unhideWhenUsed/>
    <w:rsid w:val="00F5594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vistas.udea.edu.co/index.php/derypol/article/view/331285/20790715" TargetMode="External"/><Relationship Id="rId18" Type="http://schemas.openxmlformats.org/officeDocument/2006/relationships/hyperlink" Target="mailto:ventanilladeradicacion@colombiacompra.gov.co" TargetMode="External"/><Relationship Id="rId3" Type="http://schemas.openxmlformats.org/officeDocument/2006/relationships/customXml" Target="../customXml/item3.xml"/><Relationship Id="rId21" Type="http://schemas.openxmlformats.org/officeDocument/2006/relationships/image" Target="media/image3.png"/><Relationship Id="rId7" Type="http://schemas.openxmlformats.org/officeDocument/2006/relationships/settings" Target="settings.xml"/><Relationship Id="rId12" Type="http://schemas.openxmlformats.org/officeDocument/2006/relationships/hyperlink" Target="mailto:valentinaricog@gmail.com" TargetMode="External"/><Relationship Id="rId17"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colombiacompra.gov.co/normativa-y-relatoria/documentos-tipo" TargetMode="External"/><Relationship Id="rId20" Type="http://schemas.openxmlformats.org/officeDocument/2006/relationships/hyperlink" Target="https://forms.office.com/r/pPHyWVs2SZ"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formacionvirtual.colombiacompra.gov.co/mod/page/view.php?id=3718" TargetMode="External"/><Relationship Id="rId23"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hyperlink" Target="https://www.colombiacompra.gov.co/pqrsd/informacion-importante-antes-de-formular-una-pqrsd"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 Id="rId22" Type="http://schemas.openxmlformats.org/officeDocument/2006/relationships/header" Target="header1.xml"/></Relationships>
</file>

<file path=word/_rels/footnotes.xml.rels><?xml version="1.0" encoding="UTF-8" standalone="yes"?>
<Relationships xmlns="http://schemas.openxmlformats.org/package/2006/relationships"><Relationship Id="rId1" Type="http://schemas.openxmlformats.org/officeDocument/2006/relationships/hyperlink" Target="https://revistas.udea.edu.co/index.php/derypol/article/view/331285/20790715"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2.xml><?xml version="1.0" encoding="utf-8"?>
<ds:datastoreItem xmlns:ds="http://schemas.openxmlformats.org/officeDocument/2006/customXml" ds:itemID="{81A98A72-169C-49FF-B2E3-1DB39EA327D2}">
  <ds:schemaRefs>
    <ds:schemaRef ds:uri="http://schemas.openxmlformats.org/officeDocument/2006/bibliography"/>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710426F9-D4B6-4857-A06E-1D71313B8D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26</Pages>
  <Words>9498</Words>
  <Characters>51387</Characters>
  <Application>Microsoft Office Word</Application>
  <DocSecurity>0</DocSecurity>
  <Lines>951</Lines>
  <Paragraphs>162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60723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6</cp:revision>
  <cp:lastPrinted>2023-01-10T21:18:00Z</cp:lastPrinted>
  <dcterms:created xsi:type="dcterms:W3CDTF">2026-04-13T21:19:00Z</dcterms:created>
  <dcterms:modified xsi:type="dcterms:W3CDTF">2026-04-14T14:29:00Z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