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649A7" w14:textId="77777777" w:rsidR="00D15EA7" w:rsidRPr="008F42CB" w:rsidRDefault="00D15EA7" w:rsidP="00D15EA7">
      <w:pPr>
        <w:spacing w:after="0" w:line="240" w:lineRule="auto"/>
        <w:rPr>
          <w:rFonts w:ascii="Verdana" w:hAnsi="Verdana" w:cs="Arial"/>
          <w:b/>
          <w:bCs/>
          <w:lang w:val="es-MX" w:eastAsia="es-ES"/>
        </w:rPr>
      </w:pPr>
      <w:bookmarkStart w:id="0" w:name="_Hlk143780582"/>
      <w:r w:rsidRPr="008F42CB">
        <w:rPr>
          <w:rFonts w:ascii="Verdana" w:hAnsi="Verdana" w:cs="Arial"/>
          <w:b/>
          <w:bCs/>
          <w:lang w:val="es-MX" w:eastAsia="es-ES"/>
        </w:rPr>
        <w:t>LEY DE GARANTÍAS ELECTORALES ‒ Finalidad</w:t>
      </w:r>
    </w:p>
    <w:p w14:paraId="60D45E03" w14:textId="77777777" w:rsidR="00D15EA7" w:rsidRPr="008F42CB" w:rsidRDefault="00D15EA7" w:rsidP="00D15EA7">
      <w:pPr>
        <w:spacing w:after="0" w:line="240" w:lineRule="auto"/>
        <w:rPr>
          <w:rFonts w:ascii="Verdana" w:hAnsi="Verdana" w:cs="Arial"/>
          <w:lang w:val="es-MX" w:eastAsia="es-ES"/>
        </w:rPr>
      </w:pPr>
    </w:p>
    <w:p w14:paraId="4E278AD5" w14:textId="77777777" w:rsidR="00D15EA7" w:rsidRPr="00F6299A" w:rsidRDefault="00D15EA7" w:rsidP="00D15EA7">
      <w:pPr>
        <w:tabs>
          <w:tab w:val="left" w:pos="426"/>
        </w:tabs>
        <w:spacing w:after="120" w:line="240" w:lineRule="auto"/>
        <w:jc w:val="both"/>
        <w:rPr>
          <w:rFonts w:ascii="Verdana" w:eastAsia="Times New Roman" w:hAnsi="Verdana" w:cs="Arial"/>
          <w:sz w:val="20"/>
          <w:szCs w:val="20"/>
          <w:lang w:eastAsia="es-CO"/>
        </w:rPr>
      </w:pPr>
      <w:r w:rsidRPr="00F6299A">
        <w:rPr>
          <w:rFonts w:ascii="Verdana" w:eastAsia="Calibri" w:hAnsi="Verdana" w:cs="Arial"/>
          <w:sz w:val="20"/>
          <w:szCs w:val="20"/>
        </w:rPr>
        <w:t>El ordenamiento jurídico colombiano contempla previsiones claras para evitar la obtención de beneficios personales en asuntos propios de la administración pública</w:t>
      </w:r>
      <w:r w:rsidRPr="00F6299A">
        <w:rPr>
          <w:rFonts w:ascii="Verdana" w:eastAsia="Calibri" w:hAnsi="Verdana" w:cs="Arial"/>
          <w:i/>
          <w:sz w:val="20"/>
          <w:szCs w:val="20"/>
        </w:rPr>
        <w:t xml:space="preserve">. </w:t>
      </w:r>
      <w:r w:rsidRPr="00F6299A">
        <w:rPr>
          <w:rFonts w:ascii="Verdana" w:eastAsia="Calibri" w:hAnsi="Verdana" w:cs="Arial"/>
          <w:sz w:val="20"/>
          <w:szCs w:val="20"/>
        </w:rPr>
        <w:t xml:space="preserve">Por ejemplo, el artículo 127 de la Constitución Política establece una prohibición contractual a los servidores públicos y, en cuanto a aspectos políticos, establece restricciones a ciertos empleados del Estado, incluso en época no electoral. </w:t>
      </w:r>
    </w:p>
    <w:p w14:paraId="5E05DCE0" w14:textId="77777777" w:rsidR="00D15EA7" w:rsidRDefault="00D15EA7" w:rsidP="00D15EA7">
      <w:pPr>
        <w:spacing w:after="0" w:line="240" w:lineRule="auto"/>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r w:rsidRPr="002F271B">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21F772DD" w14:textId="77777777" w:rsidR="00D15EA7" w:rsidRPr="002F271B" w:rsidRDefault="00D15EA7" w:rsidP="00D15EA7">
      <w:pPr>
        <w:spacing w:after="0" w:line="240" w:lineRule="auto"/>
        <w:jc w:val="both"/>
        <w:rPr>
          <w:rFonts w:ascii="Verdana" w:eastAsia="Times New Roman" w:hAnsi="Verdana" w:cs="Arial"/>
          <w:sz w:val="20"/>
          <w:szCs w:val="20"/>
          <w:lang w:eastAsia="es-CO"/>
        </w:rPr>
      </w:pPr>
    </w:p>
    <w:p w14:paraId="2CFE5AEF" w14:textId="77777777" w:rsidR="00D15EA7" w:rsidRDefault="00D15EA7" w:rsidP="00D15EA7">
      <w:pPr>
        <w:spacing w:after="0" w:line="240" w:lineRule="auto"/>
        <w:jc w:val="both"/>
        <w:rPr>
          <w:rFonts w:ascii="Verdana" w:hAnsi="Verdana" w:cs="Arial"/>
          <w:b/>
          <w:bCs/>
          <w:lang w:val="es-MX" w:eastAsia="es-ES"/>
        </w:rPr>
      </w:pPr>
      <w:r w:rsidRPr="008F42CB">
        <w:rPr>
          <w:rFonts w:ascii="Verdana" w:hAnsi="Verdana" w:cs="Arial"/>
          <w:b/>
          <w:bCs/>
          <w:lang w:val="es-MX" w:eastAsia="es-ES"/>
        </w:rPr>
        <w:t xml:space="preserve">LEY DE GARANTÍAS ELECTORALES ‒ Tipos de restricciones ‒ Ámbito temporal – Celebración </w:t>
      </w:r>
      <w:r>
        <w:rPr>
          <w:rFonts w:ascii="Verdana" w:hAnsi="Verdana" w:cs="Arial"/>
          <w:b/>
          <w:bCs/>
          <w:lang w:val="es-MX" w:eastAsia="es-ES"/>
        </w:rPr>
        <w:t>–</w:t>
      </w:r>
      <w:r w:rsidRPr="008F42CB">
        <w:rPr>
          <w:rFonts w:ascii="Verdana" w:hAnsi="Verdana" w:cs="Arial"/>
          <w:b/>
          <w:bCs/>
          <w:lang w:val="es-MX" w:eastAsia="es-ES"/>
        </w:rPr>
        <w:t xml:space="preserve"> Límite</w:t>
      </w:r>
    </w:p>
    <w:p w14:paraId="34F343B7" w14:textId="77777777" w:rsidR="00D15EA7" w:rsidRDefault="00D15EA7" w:rsidP="00D15EA7">
      <w:pPr>
        <w:spacing w:after="0" w:line="276" w:lineRule="auto"/>
        <w:jc w:val="both"/>
        <w:rPr>
          <w:rFonts w:ascii="Verdana" w:hAnsi="Verdana" w:cs="Arial"/>
          <w:b/>
          <w:bCs/>
          <w:lang w:val="es-MX" w:eastAsia="es-ES"/>
        </w:rPr>
      </w:pPr>
    </w:p>
    <w:p w14:paraId="7379827E" w14:textId="77777777" w:rsidR="00D15EA7" w:rsidRPr="00F6299A" w:rsidRDefault="00D15EA7" w:rsidP="00D15EA7">
      <w:pPr>
        <w:spacing w:after="0" w:line="240" w:lineRule="auto"/>
        <w:jc w:val="both"/>
        <w:rPr>
          <w:rFonts w:ascii="Verdana" w:eastAsia="Arial" w:hAnsi="Verdana" w:cs="Arial"/>
          <w:sz w:val="20"/>
          <w:szCs w:val="20"/>
          <w:lang w:val="es-ES" w:eastAsia="es-ES" w:bidi="es-ES"/>
        </w:rPr>
      </w:pPr>
      <w:r w:rsidRPr="00F6299A">
        <w:rPr>
          <w:rFonts w:ascii="Verdana" w:eastAsia="Times New Roman" w:hAnsi="Verdana" w:cs="Arial"/>
          <w:sz w:val="20"/>
          <w:szCs w:val="20"/>
          <w:lang w:val="es-MX" w:eastAsia="es-CO"/>
        </w:rPr>
        <w:t>De</w:t>
      </w:r>
      <w:r w:rsidRPr="00F6299A">
        <w:rPr>
          <w:rFonts w:ascii="Verdana" w:eastAsia="Arial" w:hAnsi="Verdana" w:cs="Arial"/>
          <w:sz w:val="20"/>
          <w:szCs w:val="20"/>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79012C3" w14:textId="77777777" w:rsidR="00D15EA7" w:rsidRPr="00F6299A" w:rsidRDefault="00D15EA7" w:rsidP="00D15EA7">
      <w:pPr>
        <w:spacing w:after="0" w:line="240" w:lineRule="auto"/>
        <w:ind w:firstLine="709"/>
        <w:jc w:val="both"/>
        <w:rPr>
          <w:rFonts w:ascii="Verdana" w:eastAsia="Arial" w:hAnsi="Verdana" w:cs="Arial"/>
          <w:sz w:val="20"/>
          <w:szCs w:val="20"/>
          <w:lang w:val="es-ES" w:eastAsia="es-ES" w:bidi="es-ES"/>
        </w:rPr>
      </w:pPr>
    </w:p>
    <w:p w14:paraId="0D2C8767" w14:textId="77777777" w:rsidR="00D15EA7" w:rsidRPr="00F6299A" w:rsidRDefault="00D15EA7" w:rsidP="00D15EA7">
      <w:pPr>
        <w:spacing w:after="120" w:line="240" w:lineRule="auto"/>
        <w:jc w:val="both"/>
        <w:rPr>
          <w:rFonts w:ascii="Verdana" w:eastAsia="Arial" w:hAnsi="Verdana" w:cs="Arial"/>
          <w:sz w:val="20"/>
          <w:szCs w:val="20"/>
          <w:lang w:val="es-ES" w:eastAsia="es-ES" w:bidi="es-ES"/>
        </w:rPr>
      </w:pPr>
      <w:r w:rsidRPr="00F6299A">
        <w:rPr>
          <w:rFonts w:ascii="Verdana" w:eastAsia="Arial" w:hAnsi="Verdana" w:cs="Arial"/>
          <w:sz w:val="20"/>
          <w:szCs w:val="20"/>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0053359E" w14:textId="77777777" w:rsidR="00D15EA7" w:rsidRPr="00F6299A" w:rsidRDefault="00D15EA7" w:rsidP="00D15EA7">
      <w:pPr>
        <w:spacing w:after="120" w:line="240" w:lineRule="auto"/>
        <w:jc w:val="both"/>
        <w:rPr>
          <w:rFonts w:ascii="Verdana" w:eastAsia="Calibri" w:hAnsi="Verdana" w:cs="Arial"/>
          <w:sz w:val="20"/>
          <w:szCs w:val="20"/>
        </w:rPr>
      </w:pPr>
      <w:r w:rsidRPr="00F6299A">
        <w:rPr>
          <w:rFonts w:ascii="Verdana" w:eastAsia="Calibri" w:hAnsi="Verdana" w:cs="Arial"/>
          <w:sz w:val="20"/>
          <w:szCs w:val="20"/>
        </w:rPr>
        <w:t xml:space="preserve">Por un lado, el </w:t>
      </w:r>
      <w:r w:rsidRPr="00F6299A">
        <w:rPr>
          <w:rFonts w:ascii="Verdana" w:eastAsia="Calibri" w:hAnsi="Verdana" w:cs="Arial"/>
          <w:i/>
          <w:iCs/>
          <w:sz w:val="20"/>
          <w:szCs w:val="20"/>
        </w:rPr>
        <w:t>artículo 33 de la Ley 996 de 2005</w:t>
      </w:r>
      <w:r w:rsidRPr="00F6299A">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33C8E8C" w14:textId="77777777" w:rsidR="00D15EA7" w:rsidRDefault="00D15EA7" w:rsidP="00D15EA7">
      <w:pPr>
        <w:spacing w:after="0" w:line="240" w:lineRule="auto"/>
        <w:jc w:val="both"/>
        <w:rPr>
          <w:rFonts w:ascii="Verdana" w:eastAsia="Calibri" w:hAnsi="Verdana" w:cs="Arial"/>
          <w:sz w:val="20"/>
          <w:szCs w:val="20"/>
          <w:lang w:val="es-MX"/>
        </w:rPr>
      </w:pPr>
      <w:r w:rsidRPr="00F6299A">
        <w:rPr>
          <w:rFonts w:ascii="Verdana" w:eastAsia="Calibri" w:hAnsi="Verdana" w:cs="Arial"/>
          <w:sz w:val="20"/>
          <w:szCs w:val="20"/>
        </w:rPr>
        <w:t xml:space="preserve">Por otro lado, </w:t>
      </w:r>
      <w:r w:rsidRPr="00F6299A">
        <w:rPr>
          <w:rFonts w:ascii="Verdana" w:eastAsia="Calibri" w:hAnsi="Verdana" w:cs="Arial"/>
          <w:i/>
          <w:iCs/>
          <w:sz w:val="20"/>
          <w:szCs w:val="20"/>
        </w:rPr>
        <w:t>el parágrafo del artículo 38 de la Ley 996 de 2005</w:t>
      </w:r>
      <w:r w:rsidRPr="00F6299A">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F6299A">
        <w:rPr>
          <w:rFonts w:ascii="Verdana" w:eastAsia="Calibri" w:hAnsi="Verdana" w:cs="Arial"/>
          <w:sz w:val="20"/>
          <w:szCs w:val="20"/>
          <w:lang w:val="es-MX"/>
        </w:rPr>
        <w:t xml:space="preserve">celebrar convenios interadministrativos para la ejecución de recursos públicos, ni participar, promover y destinar recursos públicos de las entidades a su cargo, como tampoco de las </w:t>
      </w:r>
      <w:r w:rsidRPr="00F6299A">
        <w:rPr>
          <w:rFonts w:ascii="Verdana" w:eastAsia="Calibri" w:hAnsi="Verdana" w:cs="Arial"/>
          <w:sz w:val="20"/>
          <w:szCs w:val="20"/>
          <w:lang w:val="es-MX"/>
        </w:rPr>
        <w:lastRenderedPageBreak/>
        <w:t>que participen como miembros de sus juntas directivas, en o para reuniones de carácter proselitista.</w:t>
      </w:r>
    </w:p>
    <w:p w14:paraId="1535416B" w14:textId="77777777" w:rsidR="00D15EA7" w:rsidRDefault="00D15EA7" w:rsidP="00D15EA7">
      <w:pPr>
        <w:spacing w:after="0" w:line="240" w:lineRule="auto"/>
        <w:jc w:val="both"/>
        <w:rPr>
          <w:rFonts w:ascii="Verdana" w:eastAsia="Calibri" w:hAnsi="Verdana" w:cs="Arial"/>
          <w:sz w:val="20"/>
          <w:szCs w:val="20"/>
          <w:lang w:val="es-MX"/>
        </w:rPr>
      </w:pPr>
    </w:p>
    <w:p w14:paraId="371B5C53" w14:textId="77777777" w:rsidR="00D15EA7" w:rsidRPr="00805E81" w:rsidRDefault="00D15EA7" w:rsidP="00D15EA7">
      <w:pPr>
        <w:spacing w:after="0" w:line="240" w:lineRule="auto"/>
        <w:jc w:val="both"/>
        <w:rPr>
          <w:rFonts w:ascii="Verdana" w:eastAsia="Calibri" w:hAnsi="Verdana" w:cs="Arial"/>
          <w:b/>
          <w:bCs/>
          <w:lang w:val="es-MX"/>
        </w:rPr>
      </w:pPr>
      <w:r w:rsidRPr="00805E81">
        <w:rPr>
          <w:rFonts w:ascii="Verdana" w:eastAsia="Calibri" w:hAnsi="Verdana" w:cs="Arial"/>
          <w:b/>
          <w:bCs/>
          <w:lang w:val="es-MX"/>
        </w:rPr>
        <w:t xml:space="preserve">LEY DE GARANTÍAS – Prohibición de contratación directa – LEY 996 DE 2025 – Artículo 33 </w:t>
      </w:r>
    </w:p>
    <w:p w14:paraId="2FB1BFDD" w14:textId="77777777" w:rsidR="00D15EA7" w:rsidRDefault="00D15EA7" w:rsidP="00D15EA7">
      <w:pPr>
        <w:spacing w:after="0" w:line="240" w:lineRule="auto"/>
        <w:jc w:val="both"/>
        <w:rPr>
          <w:rFonts w:ascii="Verdana" w:eastAsia="Calibri" w:hAnsi="Verdana" w:cs="Arial"/>
          <w:sz w:val="20"/>
          <w:szCs w:val="20"/>
          <w:lang w:val="es-MX"/>
        </w:rPr>
      </w:pPr>
    </w:p>
    <w:p w14:paraId="511A59ED" w14:textId="77777777" w:rsidR="00D15EA7" w:rsidRDefault="00D15EA7" w:rsidP="00D15EA7">
      <w:pPr>
        <w:spacing w:after="0" w:line="240" w:lineRule="auto"/>
        <w:jc w:val="both"/>
        <w:rPr>
          <w:rFonts w:ascii="Verdana" w:eastAsia="Times New Roman" w:hAnsi="Verdana" w:cs="Arial"/>
          <w:sz w:val="20"/>
          <w:szCs w:val="20"/>
          <w:lang w:val="es-MX"/>
        </w:rPr>
      </w:pPr>
      <w:r w:rsidRPr="00805E81">
        <w:rPr>
          <w:rFonts w:ascii="Verdana" w:eastAsia="Times New Roman" w:hAnsi="Verdana" w:cs="Arial"/>
          <w:sz w:val="20"/>
          <w:szCs w:val="20"/>
          <w:lang w:val="es-MX"/>
        </w:rPr>
        <w:t xml:space="preserve">El ámbito material de la prohibición contenida en esta disposición está delimitado por la expresión </w:t>
      </w:r>
      <w:r w:rsidRPr="00805E81">
        <w:rPr>
          <w:rFonts w:ascii="Verdana" w:eastAsia="Calibri" w:hAnsi="Verdana" w:cs="Arial"/>
          <w:sz w:val="20"/>
          <w:szCs w:val="20"/>
          <w:lang w:val="es-MX"/>
        </w:rPr>
        <w:t>“</w:t>
      </w:r>
      <w:r w:rsidRPr="00805E81">
        <w:rPr>
          <w:rFonts w:ascii="Verdana" w:eastAsia="Times New Roman" w:hAnsi="Verdana" w:cs="Arial"/>
          <w:sz w:val="20"/>
          <w:szCs w:val="20"/>
          <w:lang w:val="es-MX"/>
        </w:rPr>
        <w:t>queda prohibida la contratación directa</w:t>
      </w:r>
      <w:r w:rsidRPr="00805E81">
        <w:rPr>
          <w:rFonts w:ascii="Verdana" w:eastAsia="Calibri" w:hAnsi="Verdana" w:cs="Arial"/>
          <w:sz w:val="20"/>
          <w:szCs w:val="20"/>
          <w:lang w:val="es-MX"/>
        </w:rPr>
        <w:t>”</w:t>
      </w:r>
      <w:r>
        <w:rPr>
          <w:rFonts w:ascii="Verdana" w:eastAsia="Times New Roman" w:hAnsi="Verdana" w:cs="Arial"/>
          <w:sz w:val="20"/>
          <w:szCs w:val="20"/>
          <w:lang w:val="es-MX"/>
        </w:rPr>
        <w:t xml:space="preserve"> […] </w:t>
      </w:r>
      <w:r w:rsidRPr="00805E81">
        <w:rPr>
          <w:rFonts w:ascii="Verdana" w:eastAsia="Times New Roman" w:hAnsi="Verdana" w:cs="Arial"/>
          <w:sz w:val="20"/>
          <w:szCs w:val="20"/>
          <w:lang w:val="es-MX"/>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w:t>
      </w:r>
    </w:p>
    <w:p w14:paraId="7AF8AE5D" w14:textId="77777777" w:rsidR="00D15EA7" w:rsidRDefault="00D15EA7" w:rsidP="00D15EA7">
      <w:pPr>
        <w:spacing w:after="0" w:line="240" w:lineRule="auto"/>
        <w:jc w:val="both"/>
        <w:rPr>
          <w:rFonts w:ascii="Verdana" w:eastAsia="Times New Roman" w:hAnsi="Verdana" w:cs="Arial"/>
          <w:sz w:val="20"/>
          <w:szCs w:val="20"/>
          <w:lang w:val="es-MX"/>
        </w:rPr>
      </w:pPr>
    </w:p>
    <w:p w14:paraId="31461AC0" w14:textId="77777777" w:rsidR="00D15EA7" w:rsidRDefault="00D15EA7" w:rsidP="00D15EA7">
      <w:pPr>
        <w:spacing w:after="0" w:line="240" w:lineRule="auto"/>
        <w:jc w:val="both"/>
        <w:rPr>
          <w:rFonts w:ascii="Verdana" w:eastAsia="Calibri" w:hAnsi="Verdana" w:cs="Arial"/>
          <w:b/>
          <w:bCs/>
          <w:lang w:val="es-MX"/>
        </w:rPr>
      </w:pPr>
      <w:r w:rsidRPr="00457026">
        <w:rPr>
          <w:rFonts w:ascii="Verdana" w:eastAsia="Calibri" w:hAnsi="Verdana" w:cs="Arial"/>
          <w:b/>
          <w:bCs/>
          <w:lang w:val="es-MX"/>
        </w:rPr>
        <w:t xml:space="preserve">LEY DE GARANTÍAS – Excepciones contratación directa </w:t>
      </w:r>
      <w:r>
        <w:rPr>
          <w:rFonts w:ascii="Verdana" w:eastAsia="Calibri" w:hAnsi="Verdana" w:cs="Arial"/>
          <w:b/>
          <w:bCs/>
          <w:lang w:val="es-MX"/>
        </w:rPr>
        <w:t xml:space="preserve">– LEY DE GARANTÍAS – Empresas Sociales del Estado – Excepción – Posibilidad de contratar directamente </w:t>
      </w:r>
    </w:p>
    <w:p w14:paraId="697D000E" w14:textId="77777777" w:rsidR="00D15EA7" w:rsidRDefault="00D15EA7" w:rsidP="00D15EA7">
      <w:pPr>
        <w:spacing w:after="0" w:line="240" w:lineRule="auto"/>
        <w:jc w:val="both"/>
        <w:rPr>
          <w:rFonts w:ascii="Verdana" w:eastAsia="Calibri" w:hAnsi="Verdana" w:cs="Arial"/>
          <w:b/>
          <w:bCs/>
          <w:lang w:val="es-MX"/>
        </w:rPr>
      </w:pPr>
    </w:p>
    <w:p w14:paraId="7B77FDC9" w14:textId="77777777" w:rsidR="00D15EA7" w:rsidRPr="00457026" w:rsidRDefault="00D15EA7" w:rsidP="00D15EA7">
      <w:pPr>
        <w:spacing w:after="0" w:line="240" w:lineRule="auto"/>
        <w:jc w:val="both"/>
        <w:rPr>
          <w:rFonts w:ascii="Verdana" w:eastAsia="Times New Roman" w:hAnsi="Verdana" w:cs="Arial"/>
          <w:sz w:val="20"/>
          <w:szCs w:val="20"/>
          <w:lang w:val="es-MX" w:eastAsia="es-CO"/>
        </w:rPr>
      </w:pPr>
      <w:r w:rsidRPr="00457026">
        <w:rPr>
          <w:rFonts w:ascii="Verdana" w:eastAsia="Times New Roman" w:hAnsi="Verdana" w:cs="Arial"/>
          <w:sz w:val="20"/>
          <w:szCs w:val="20"/>
          <w:lang w:val="es-MX"/>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w:t>
      </w:r>
      <w:r w:rsidRPr="00457026">
        <w:rPr>
          <w:rFonts w:ascii="Verdana" w:eastAsia="Times New Roman" w:hAnsi="Verdana" w:cs="Arial"/>
          <w:i/>
          <w:sz w:val="20"/>
          <w:szCs w:val="20"/>
          <w:lang w:val="es-MX"/>
        </w:rPr>
        <w:t>los que deban realizar las entidades sanitarias y hospitalarias.</w:t>
      </w:r>
      <w:r w:rsidRPr="00457026">
        <w:rPr>
          <w:rFonts w:ascii="Verdana" w:eastAsia="Times New Roman" w:hAnsi="Verdana" w:cs="Arial"/>
          <w:bCs/>
          <w:sz w:val="20"/>
          <w:szCs w:val="20"/>
          <w:lang w:val="es-MX" w:eastAsia="es-CO"/>
        </w:rPr>
        <w:t xml:space="preserve"> </w:t>
      </w:r>
    </w:p>
    <w:p w14:paraId="45500D04" w14:textId="77777777" w:rsidR="00D15EA7" w:rsidRDefault="00D15EA7" w:rsidP="00D15EA7">
      <w:pPr>
        <w:spacing w:after="0" w:line="240" w:lineRule="auto"/>
        <w:jc w:val="both"/>
        <w:rPr>
          <w:rFonts w:ascii="Verdana" w:eastAsia="Calibri" w:hAnsi="Verdana" w:cs="Arial"/>
          <w:b/>
          <w:bCs/>
          <w:lang w:val="es-MX"/>
        </w:rPr>
      </w:pPr>
    </w:p>
    <w:p w14:paraId="2B103C2E" w14:textId="77777777" w:rsidR="00D15EA7" w:rsidRPr="00457026" w:rsidRDefault="00D15EA7" w:rsidP="00D15EA7">
      <w:pPr>
        <w:spacing w:after="0" w:line="240" w:lineRule="auto"/>
        <w:jc w:val="both"/>
        <w:rPr>
          <w:rFonts w:ascii="Verdana" w:eastAsia="Calibri" w:hAnsi="Verdana" w:cs="Arial"/>
          <w:sz w:val="20"/>
          <w:szCs w:val="20"/>
          <w:lang w:val="es-ES"/>
        </w:rPr>
      </w:pPr>
      <w:r w:rsidRPr="00457026">
        <w:rPr>
          <w:rFonts w:ascii="Verdana" w:eastAsia="Calibri" w:hAnsi="Verdana" w:cs="Arial"/>
          <w:sz w:val="20"/>
          <w:szCs w:val="20"/>
          <w:lang w:val="es-MX"/>
        </w:rPr>
        <w:t>[…]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w:t>
      </w:r>
    </w:p>
    <w:p w14:paraId="28E16F81" w14:textId="77777777" w:rsidR="00D15EA7" w:rsidRDefault="00D15EA7" w:rsidP="00D15EA7">
      <w:pPr>
        <w:spacing w:after="0" w:line="240" w:lineRule="auto"/>
        <w:jc w:val="both"/>
        <w:rPr>
          <w:rFonts w:ascii="Verdana" w:eastAsia="Calibri" w:hAnsi="Verdana" w:cs="Arial"/>
          <w:color w:val="000000" w:themeColor="text1"/>
          <w:lang w:val="es-ES"/>
        </w:rPr>
      </w:pPr>
    </w:p>
    <w:p w14:paraId="6B7F6394" w14:textId="77777777" w:rsidR="00D15EA7" w:rsidRPr="00B321C3" w:rsidRDefault="00D15EA7" w:rsidP="00D15EA7">
      <w:pPr>
        <w:spacing w:after="0"/>
        <w:jc w:val="both"/>
        <w:rPr>
          <w:rFonts w:ascii="Verdana" w:hAnsi="Verdana"/>
          <w:b/>
          <w:bCs/>
        </w:rPr>
      </w:pPr>
      <w:r w:rsidRPr="00B321C3">
        <w:rPr>
          <w:rFonts w:ascii="Verdana" w:eastAsia="Aptos" w:hAnsi="Verdana" w:cs="Arial"/>
          <w:b/>
          <w:bCs/>
          <w:lang w:val="es-MX" w:eastAsia="es-ES_tradnl"/>
        </w:rPr>
        <w:t xml:space="preserve">INTERADMINISTRATIVOS – Circular Externa Única – Auto de suspensión </w:t>
      </w:r>
    </w:p>
    <w:p w14:paraId="111C1C0E" w14:textId="77777777" w:rsidR="00D15EA7" w:rsidRPr="00667CD6" w:rsidRDefault="00D15EA7" w:rsidP="00D15EA7">
      <w:pPr>
        <w:spacing w:after="0"/>
        <w:jc w:val="both"/>
        <w:rPr>
          <w:rFonts w:ascii="Verdana" w:hAnsi="Verdana"/>
          <w:b/>
        </w:rPr>
      </w:pPr>
    </w:p>
    <w:p w14:paraId="7E6CFF27" w14:textId="77777777" w:rsidR="00D15EA7" w:rsidRPr="00667CD6" w:rsidRDefault="00D15EA7" w:rsidP="00D15EA7">
      <w:pPr>
        <w:spacing w:after="0" w:line="240" w:lineRule="auto"/>
        <w:jc w:val="both"/>
        <w:rPr>
          <w:rFonts w:ascii="Verdana" w:hAnsi="Verdana"/>
          <w:sz w:val="18"/>
          <w:szCs w:val="20"/>
        </w:rPr>
      </w:pPr>
      <w:r w:rsidRPr="00667CD6">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667CD6">
        <w:rPr>
          <w:rFonts w:ascii="Verdana" w:hAnsi="Verdana"/>
          <w:sz w:val="20"/>
        </w:rPr>
        <w:t>numeral 16.2 de la Circular Externa Única de 2022 expedida por la Agencia Nacional de Contratación Pública -Colombia Compra Eficiente-, concretamente, respecto de los siguientes apartes normativos</w:t>
      </w:r>
      <w:r w:rsidRPr="00667CD6">
        <w:rPr>
          <w:rFonts w:ascii="Verdana" w:hAnsi="Verdana"/>
          <w:sz w:val="18"/>
          <w:szCs w:val="20"/>
        </w:rPr>
        <w:t xml:space="preserve"> </w:t>
      </w:r>
    </w:p>
    <w:p w14:paraId="3685729B" w14:textId="77777777" w:rsidR="00D15EA7" w:rsidRPr="00667CD6" w:rsidRDefault="00D15EA7" w:rsidP="00D15EA7">
      <w:pPr>
        <w:spacing w:after="0" w:line="240" w:lineRule="auto"/>
        <w:ind w:left="709" w:right="709"/>
        <w:jc w:val="both"/>
        <w:rPr>
          <w:rFonts w:ascii="Verdana" w:hAnsi="Verdana"/>
          <w:sz w:val="20"/>
        </w:rPr>
      </w:pPr>
    </w:p>
    <w:p w14:paraId="388A6C77" w14:textId="77777777" w:rsidR="00D15EA7" w:rsidRPr="00667CD6" w:rsidRDefault="00D15EA7" w:rsidP="00D15EA7">
      <w:pPr>
        <w:spacing w:after="0" w:line="240" w:lineRule="auto"/>
        <w:jc w:val="both"/>
        <w:rPr>
          <w:rFonts w:ascii="Verdana" w:eastAsia="Arial" w:hAnsi="Verdana" w:cs="Arial"/>
          <w:i/>
          <w:iCs/>
          <w:sz w:val="20"/>
          <w:lang w:eastAsia="es-ES" w:bidi="es-ES"/>
        </w:rPr>
      </w:pPr>
      <w:r w:rsidRPr="00667CD6">
        <w:rPr>
          <w:rFonts w:ascii="Verdana" w:eastAsia="Arial" w:hAnsi="Verdana" w:cs="Arial"/>
          <w:sz w:val="20"/>
          <w:lang w:val="es-MX" w:eastAsia="es-ES" w:bidi="es-ES"/>
        </w:rPr>
        <w:lastRenderedPageBreak/>
        <w:t xml:space="preserve">De conformidad con los argumentos de dicha providencia, se parte de la distinción entre los conceptos </w:t>
      </w:r>
      <w:r w:rsidRPr="00667CD6">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667CD6">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316FE800" w14:textId="77777777" w:rsidR="00D15EA7" w:rsidRDefault="00D15EA7" w:rsidP="00D15EA7">
      <w:pPr>
        <w:spacing w:after="0" w:line="240" w:lineRule="auto"/>
        <w:rPr>
          <w:rFonts w:ascii="Verdana" w:hAnsi="Verdana"/>
          <w:sz w:val="20"/>
          <w:szCs w:val="20"/>
        </w:rPr>
      </w:pPr>
    </w:p>
    <w:p w14:paraId="2D240884" w14:textId="77777777" w:rsidR="00D15EA7" w:rsidRDefault="00D15EA7" w:rsidP="00D15EA7">
      <w:pPr>
        <w:spacing w:after="0" w:line="240" w:lineRule="auto"/>
        <w:rPr>
          <w:rFonts w:ascii="Verdana" w:hAnsi="Verdana"/>
          <w:sz w:val="20"/>
          <w:szCs w:val="20"/>
        </w:rPr>
      </w:pPr>
    </w:p>
    <w:p w14:paraId="5A67727D" w14:textId="77777777" w:rsidR="00D15EA7" w:rsidRDefault="00D15EA7" w:rsidP="00D15EA7">
      <w:pPr>
        <w:spacing w:after="0" w:line="240" w:lineRule="auto"/>
        <w:rPr>
          <w:rFonts w:ascii="Verdana" w:hAnsi="Verdana"/>
          <w:sz w:val="20"/>
          <w:szCs w:val="20"/>
        </w:rPr>
      </w:pPr>
    </w:p>
    <w:p w14:paraId="4DA00AA3" w14:textId="77777777" w:rsidR="00D15EA7" w:rsidRDefault="00D15EA7" w:rsidP="00D15EA7">
      <w:pPr>
        <w:spacing w:after="0" w:line="240" w:lineRule="auto"/>
        <w:rPr>
          <w:rFonts w:ascii="Verdana" w:hAnsi="Verdana"/>
          <w:sz w:val="20"/>
          <w:szCs w:val="20"/>
        </w:rPr>
      </w:pPr>
    </w:p>
    <w:p w14:paraId="0FC4F844" w14:textId="77777777" w:rsidR="00D15EA7" w:rsidRDefault="00D15EA7" w:rsidP="00D15EA7">
      <w:pPr>
        <w:spacing w:after="0" w:line="240" w:lineRule="auto"/>
        <w:rPr>
          <w:rFonts w:ascii="Verdana" w:hAnsi="Verdana"/>
          <w:sz w:val="20"/>
          <w:szCs w:val="20"/>
        </w:rPr>
      </w:pPr>
    </w:p>
    <w:p w14:paraId="12751582" w14:textId="77777777" w:rsidR="00D15EA7" w:rsidRDefault="00D15EA7" w:rsidP="00D15EA7">
      <w:pPr>
        <w:spacing w:after="0" w:line="240" w:lineRule="auto"/>
        <w:rPr>
          <w:rFonts w:ascii="Verdana" w:hAnsi="Verdana"/>
          <w:sz w:val="20"/>
          <w:szCs w:val="20"/>
        </w:rPr>
      </w:pPr>
    </w:p>
    <w:p w14:paraId="30C6D6AC" w14:textId="77777777" w:rsidR="00D15EA7" w:rsidRDefault="00D15EA7" w:rsidP="00D15EA7">
      <w:pPr>
        <w:spacing w:after="0" w:line="240" w:lineRule="auto"/>
        <w:rPr>
          <w:rFonts w:ascii="Verdana" w:hAnsi="Verdana"/>
          <w:sz w:val="20"/>
          <w:szCs w:val="20"/>
        </w:rPr>
      </w:pPr>
    </w:p>
    <w:p w14:paraId="57265209" w14:textId="77777777" w:rsidR="00D15EA7" w:rsidRDefault="00D15EA7" w:rsidP="00D15EA7">
      <w:pPr>
        <w:spacing w:after="0" w:line="240" w:lineRule="auto"/>
        <w:rPr>
          <w:rFonts w:ascii="Verdana" w:hAnsi="Verdana"/>
          <w:sz w:val="20"/>
          <w:szCs w:val="20"/>
        </w:rPr>
      </w:pPr>
    </w:p>
    <w:p w14:paraId="7425FD08" w14:textId="77777777" w:rsidR="00D15EA7" w:rsidRDefault="00D15EA7" w:rsidP="00D15EA7">
      <w:pPr>
        <w:spacing w:after="0" w:line="240" w:lineRule="auto"/>
        <w:rPr>
          <w:rFonts w:ascii="Verdana" w:hAnsi="Verdana"/>
          <w:sz w:val="20"/>
          <w:szCs w:val="20"/>
        </w:rPr>
      </w:pPr>
    </w:p>
    <w:p w14:paraId="70690CF8" w14:textId="77777777" w:rsidR="00D15EA7" w:rsidRDefault="00D15EA7" w:rsidP="00D15EA7">
      <w:pPr>
        <w:spacing w:after="0" w:line="240" w:lineRule="auto"/>
        <w:rPr>
          <w:rFonts w:ascii="Verdana" w:hAnsi="Verdana"/>
          <w:sz w:val="20"/>
          <w:szCs w:val="20"/>
        </w:rPr>
      </w:pPr>
    </w:p>
    <w:p w14:paraId="09238A0C" w14:textId="77777777" w:rsidR="00D15EA7" w:rsidRDefault="00D15EA7" w:rsidP="00D15EA7">
      <w:pPr>
        <w:spacing w:after="0" w:line="240" w:lineRule="auto"/>
        <w:rPr>
          <w:rFonts w:ascii="Verdana" w:hAnsi="Verdana"/>
          <w:sz w:val="20"/>
          <w:szCs w:val="20"/>
        </w:rPr>
      </w:pPr>
    </w:p>
    <w:p w14:paraId="33739CE4" w14:textId="77777777" w:rsidR="00D15EA7" w:rsidRDefault="00D15EA7" w:rsidP="00D15EA7">
      <w:pPr>
        <w:spacing w:after="0" w:line="240" w:lineRule="auto"/>
        <w:rPr>
          <w:rFonts w:ascii="Verdana" w:hAnsi="Verdana"/>
          <w:sz w:val="20"/>
          <w:szCs w:val="20"/>
        </w:rPr>
      </w:pPr>
    </w:p>
    <w:p w14:paraId="7556A8F2" w14:textId="77777777" w:rsidR="00D15EA7" w:rsidRDefault="00D15EA7" w:rsidP="00D15EA7">
      <w:pPr>
        <w:spacing w:after="0" w:line="240" w:lineRule="auto"/>
        <w:rPr>
          <w:rFonts w:ascii="Verdana" w:hAnsi="Verdana"/>
          <w:sz w:val="20"/>
          <w:szCs w:val="20"/>
        </w:rPr>
      </w:pPr>
    </w:p>
    <w:p w14:paraId="189C4F1E" w14:textId="77777777" w:rsidR="00D15EA7" w:rsidRDefault="00D15EA7" w:rsidP="00D15EA7">
      <w:pPr>
        <w:spacing w:after="0" w:line="240" w:lineRule="auto"/>
        <w:rPr>
          <w:rFonts w:ascii="Verdana" w:hAnsi="Verdana"/>
          <w:sz w:val="20"/>
          <w:szCs w:val="20"/>
        </w:rPr>
      </w:pPr>
    </w:p>
    <w:p w14:paraId="3F93E779" w14:textId="77777777" w:rsidR="00D15EA7" w:rsidRDefault="00D15EA7" w:rsidP="00D15EA7">
      <w:pPr>
        <w:spacing w:after="0" w:line="240" w:lineRule="auto"/>
        <w:rPr>
          <w:rFonts w:ascii="Verdana" w:hAnsi="Verdana"/>
          <w:sz w:val="20"/>
          <w:szCs w:val="20"/>
        </w:rPr>
      </w:pPr>
    </w:p>
    <w:p w14:paraId="2823E1ED" w14:textId="77777777" w:rsidR="00D15EA7" w:rsidRDefault="00D15EA7" w:rsidP="00D15EA7">
      <w:pPr>
        <w:spacing w:after="0" w:line="240" w:lineRule="auto"/>
        <w:rPr>
          <w:rFonts w:ascii="Verdana" w:hAnsi="Verdana"/>
          <w:sz w:val="20"/>
          <w:szCs w:val="20"/>
        </w:rPr>
      </w:pPr>
    </w:p>
    <w:p w14:paraId="039F1A31" w14:textId="77777777" w:rsidR="00D15EA7" w:rsidRDefault="00D15EA7" w:rsidP="00D15EA7">
      <w:pPr>
        <w:spacing w:after="0" w:line="240" w:lineRule="auto"/>
        <w:rPr>
          <w:rFonts w:ascii="Verdana" w:hAnsi="Verdana"/>
          <w:sz w:val="20"/>
          <w:szCs w:val="20"/>
        </w:rPr>
      </w:pPr>
    </w:p>
    <w:p w14:paraId="09BC7C28" w14:textId="77777777" w:rsidR="00D15EA7" w:rsidRDefault="00D15EA7" w:rsidP="00D15EA7">
      <w:pPr>
        <w:spacing w:after="0" w:line="240" w:lineRule="auto"/>
        <w:rPr>
          <w:rFonts w:ascii="Verdana" w:hAnsi="Verdana"/>
          <w:sz w:val="20"/>
          <w:szCs w:val="20"/>
        </w:rPr>
      </w:pPr>
    </w:p>
    <w:p w14:paraId="1EF3C068" w14:textId="77777777" w:rsidR="00D15EA7" w:rsidRDefault="00D15EA7" w:rsidP="00D15EA7">
      <w:pPr>
        <w:spacing w:after="0" w:line="240" w:lineRule="auto"/>
        <w:rPr>
          <w:rFonts w:ascii="Verdana" w:hAnsi="Verdana"/>
          <w:sz w:val="20"/>
          <w:szCs w:val="20"/>
        </w:rPr>
      </w:pPr>
    </w:p>
    <w:p w14:paraId="08292044" w14:textId="77777777" w:rsidR="00D15EA7" w:rsidRDefault="00D15EA7" w:rsidP="00D15EA7">
      <w:pPr>
        <w:spacing w:after="0" w:line="240" w:lineRule="auto"/>
        <w:rPr>
          <w:rFonts w:ascii="Verdana" w:hAnsi="Verdana"/>
          <w:sz w:val="20"/>
          <w:szCs w:val="20"/>
        </w:rPr>
      </w:pPr>
    </w:p>
    <w:p w14:paraId="2CC772F2" w14:textId="77777777" w:rsidR="00D15EA7" w:rsidRDefault="00D15EA7" w:rsidP="00D15EA7">
      <w:pPr>
        <w:spacing w:after="0" w:line="240" w:lineRule="auto"/>
        <w:rPr>
          <w:rFonts w:ascii="Verdana" w:hAnsi="Verdana"/>
          <w:sz w:val="20"/>
          <w:szCs w:val="20"/>
        </w:rPr>
      </w:pPr>
    </w:p>
    <w:p w14:paraId="7A918820" w14:textId="77777777" w:rsidR="00D15EA7" w:rsidRDefault="00D15EA7" w:rsidP="00D15EA7">
      <w:pPr>
        <w:spacing w:after="0" w:line="240" w:lineRule="auto"/>
        <w:rPr>
          <w:rFonts w:ascii="Verdana" w:hAnsi="Verdana"/>
          <w:sz w:val="20"/>
          <w:szCs w:val="20"/>
        </w:rPr>
      </w:pPr>
    </w:p>
    <w:p w14:paraId="3C202824" w14:textId="77777777" w:rsidR="00D15EA7" w:rsidRDefault="00D15EA7" w:rsidP="00D15EA7">
      <w:pPr>
        <w:spacing w:after="0" w:line="240" w:lineRule="auto"/>
        <w:rPr>
          <w:rFonts w:ascii="Verdana" w:hAnsi="Verdana"/>
          <w:sz w:val="20"/>
          <w:szCs w:val="20"/>
        </w:rPr>
      </w:pPr>
    </w:p>
    <w:p w14:paraId="38B0B1F0" w14:textId="77777777" w:rsidR="00D15EA7" w:rsidRDefault="00D15EA7" w:rsidP="00D15EA7">
      <w:pPr>
        <w:spacing w:after="0" w:line="240" w:lineRule="auto"/>
        <w:rPr>
          <w:rFonts w:ascii="Verdana" w:hAnsi="Verdana"/>
          <w:sz w:val="20"/>
          <w:szCs w:val="20"/>
        </w:rPr>
      </w:pPr>
    </w:p>
    <w:p w14:paraId="6DA71B40" w14:textId="77777777" w:rsidR="00D15EA7" w:rsidRDefault="00D15EA7" w:rsidP="00D15EA7">
      <w:pPr>
        <w:spacing w:after="0" w:line="240" w:lineRule="auto"/>
        <w:rPr>
          <w:rFonts w:ascii="Verdana" w:hAnsi="Verdana"/>
          <w:sz w:val="20"/>
          <w:szCs w:val="20"/>
        </w:rPr>
      </w:pPr>
    </w:p>
    <w:p w14:paraId="3ECD6900" w14:textId="77777777" w:rsidR="00D15EA7" w:rsidRDefault="00D15EA7" w:rsidP="00D15EA7">
      <w:pPr>
        <w:spacing w:after="0" w:line="240" w:lineRule="auto"/>
        <w:rPr>
          <w:rFonts w:ascii="Verdana" w:hAnsi="Verdana"/>
          <w:sz w:val="20"/>
          <w:szCs w:val="20"/>
        </w:rPr>
      </w:pPr>
    </w:p>
    <w:p w14:paraId="6941FD7D" w14:textId="77777777" w:rsidR="00D15EA7" w:rsidRDefault="00D15EA7" w:rsidP="00D15EA7">
      <w:pPr>
        <w:spacing w:after="0" w:line="240" w:lineRule="auto"/>
        <w:rPr>
          <w:rFonts w:ascii="Verdana" w:hAnsi="Verdana"/>
          <w:sz w:val="20"/>
          <w:szCs w:val="20"/>
        </w:rPr>
      </w:pPr>
    </w:p>
    <w:p w14:paraId="23A6921B" w14:textId="77777777" w:rsidR="00D15EA7" w:rsidRDefault="00D15EA7" w:rsidP="00D15EA7">
      <w:pPr>
        <w:spacing w:after="0" w:line="240" w:lineRule="auto"/>
        <w:rPr>
          <w:rFonts w:ascii="Verdana" w:hAnsi="Verdana"/>
          <w:sz w:val="20"/>
          <w:szCs w:val="20"/>
        </w:rPr>
      </w:pPr>
    </w:p>
    <w:p w14:paraId="483FECA6" w14:textId="77777777" w:rsidR="00D15EA7" w:rsidRDefault="00D15EA7" w:rsidP="00D15EA7">
      <w:pPr>
        <w:spacing w:after="0" w:line="240" w:lineRule="auto"/>
        <w:rPr>
          <w:rFonts w:ascii="Verdana" w:hAnsi="Verdana"/>
          <w:sz w:val="20"/>
          <w:szCs w:val="20"/>
        </w:rPr>
      </w:pPr>
    </w:p>
    <w:p w14:paraId="2A4AB7CE" w14:textId="77777777" w:rsidR="008E17C4" w:rsidRDefault="008E17C4" w:rsidP="00D15EA7">
      <w:pPr>
        <w:spacing w:after="0" w:line="240" w:lineRule="auto"/>
        <w:rPr>
          <w:rFonts w:ascii="Verdana" w:eastAsia="Calibri" w:hAnsi="Verdana" w:cs="Arial"/>
          <w:color w:val="000000" w:themeColor="text1"/>
        </w:rPr>
      </w:pPr>
    </w:p>
    <w:p w14:paraId="59C7B770" w14:textId="77777777" w:rsidR="008E17C4" w:rsidRDefault="008E17C4" w:rsidP="00D15EA7">
      <w:pPr>
        <w:spacing w:after="0" w:line="240" w:lineRule="auto"/>
        <w:rPr>
          <w:rFonts w:ascii="Verdana" w:eastAsia="Calibri" w:hAnsi="Verdana" w:cs="Arial"/>
          <w:color w:val="000000" w:themeColor="text1"/>
        </w:rPr>
      </w:pPr>
    </w:p>
    <w:p w14:paraId="567577B6" w14:textId="77777777" w:rsidR="008E17C4" w:rsidRDefault="008E17C4" w:rsidP="00D15EA7">
      <w:pPr>
        <w:spacing w:after="0" w:line="240" w:lineRule="auto"/>
        <w:rPr>
          <w:rFonts w:ascii="Verdana" w:eastAsia="Calibri" w:hAnsi="Verdana" w:cs="Arial"/>
          <w:color w:val="000000" w:themeColor="text1"/>
        </w:rPr>
      </w:pPr>
    </w:p>
    <w:p w14:paraId="24911877" w14:textId="5DD52EE9" w:rsidR="00D15EA7" w:rsidRPr="00E31648" w:rsidRDefault="00D15EA7" w:rsidP="00D15EA7">
      <w:pPr>
        <w:spacing w:after="0" w:line="240" w:lineRule="auto"/>
      </w:pPr>
      <w:r w:rsidRPr="00C562D4">
        <w:rPr>
          <w:rFonts w:ascii="Verdana" w:eastAsia="Calibri" w:hAnsi="Verdana" w:cs="Arial"/>
          <w:color w:val="000000" w:themeColor="text1"/>
        </w:rPr>
        <w:t xml:space="preserve">Bogotá D.C., </w:t>
      </w:r>
      <w:r w:rsidR="00E42B02">
        <w:rPr>
          <w:rFonts w:ascii="Verdana" w:eastAsia="Calibri" w:hAnsi="Verdana" w:cs="Arial"/>
          <w:color w:val="000000" w:themeColor="text1"/>
        </w:rPr>
        <w:t>08</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sidR="00E42B02">
        <w:rPr>
          <w:rFonts w:ascii="Verdana" w:eastAsia="Calibri" w:hAnsi="Verdana" w:cs="Arial"/>
          <w:color w:val="000000" w:themeColor="text1"/>
        </w:rPr>
        <w:t>abril</w:t>
      </w:r>
      <w:r>
        <w:rPr>
          <w:rFonts w:ascii="Verdana" w:eastAsia="Calibri" w:hAnsi="Verdana" w:cs="Arial"/>
          <w:color w:val="000000" w:themeColor="text1"/>
        </w:rPr>
        <w:t xml:space="preserve">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6D644580" w14:textId="77777777" w:rsidR="00D15EA7" w:rsidRDefault="00D15EA7" w:rsidP="00D15EA7">
      <w:pPr>
        <w:spacing w:after="0" w:line="240" w:lineRule="auto"/>
        <w:jc w:val="both"/>
        <w:rPr>
          <w:rFonts w:ascii="Verdana" w:eastAsia="Calibri" w:hAnsi="Verdana" w:cs="Arial"/>
          <w:color w:val="000000" w:themeColor="text1"/>
          <w:lang w:val="es-ES"/>
        </w:rPr>
      </w:pPr>
    </w:p>
    <w:p w14:paraId="3ACB2926" w14:textId="474CE154" w:rsidR="00D15EA7" w:rsidRDefault="00AA2018" w:rsidP="00AA2018">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1AAAE6CA" wp14:editId="20F08C8E">
            <wp:extent cx="2114550" cy="666750"/>
            <wp:effectExtent l="0" t="0" r="0" b="0"/>
            <wp:docPr id="3738997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14550" cy="666750"/>
                    </a:xfrm>
                    <a:prstGeom prst="rect">
                      <a:avLst/>
                    </a:prstGeom>
                    <a:noFill/>
                    <a:ln>
                      <a:noFill/>
                    </a:ln>
                  </pic:spPr>
                </pic:pic>
              </a:graphicData>
            </a:graphic>
          </wp:inline>
        </w:drawing>
      </w:r>
    </w:p>
    <w:p w14:paraId="1EF67524" w14:textId="77777777" w:rsidR="00D15EA7" w:rsidRPr="00115E3D" w:rsidRDefault="00D15EA7" w:rsidP="00D15EA7">
      <w:pPr>
        <w:spacing w:after="0" w:line="240" w:lineRule="auto"/>
        <w:jc w:val="both"/>
        <w:rPr>
          <w:rFonts w:ascii="Verdana" w:eastAsia="Calibri" w:hAnsi="Verdana" w:cs="Arial"/>
          <w:color w:val="000000" w:themeColor="text1"/>
          <w:lang w:val="es-ES"/>
        </w:rPr>
      </w:pPr>
    </w:p>
    <w:p w14:paraId="6FF8B3DA" w14:textId="77777777" w:rsidR="00D15EA7" w:rsidRPr="00115E3D" w:rsidRDefault="00D15EA7" w:rsidP="00D15EA7">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3318A0DE" w14:textId="77777777" w:rsidR="00D15EA7" w:rsidRDefault="00D15EA7" w:rsidP="00D15EA7">
      <w:pPr>
        <w:spacing w:after="0" w:line="240" w:lineRule="auto"/>
        <w:rPr>
          <w:rFonts w:ascii="Verdana" w:eastAsia="Calibri" w:hAnsi="Verdana" w:cs="Arial"/>
          <w:b/>
          <w:bCs/>
          <w:color w:val="000000" w:themeColor="text1"/>
          <w:lang w:eastAsia="es-ES"/>
        </w:rPr>
      </w:pPr>
      <w:r>
        <w:rPr>
          <w:rFonts w:ascii="Verdana" w:eastAsia="Calibri" w:hAnsi="Verdana" w:cs="Arial"/>
          <w:b/>
          <w:bCs/>
          <w:color w:val="000000" w:themeColor="text1"/>
          <w:lang w:eastAsia="es-ES"/>
        </w:rPr>
        <w:t>YANETH ROCIO URREA MURCIA</w:t>
      </w:r>
    </w:p>
    <w:p w14:paraId="52E02310" w14:textId="77777777" w:rsidR="00D15EA7" w:rsidRPr="0087638A" w:rsidRDefault="00ED255A" w:rsidP="00D15EA7">
      <w:pPr>
        <w:spacing w:after="0" w:line="240" w:lineRule="auto"/>
        <w:rPr>
          <w:rFonts w:ascii="Verdana" w:eastAsia="Calibri" w:hAnsi="Verdana" w:cs="Arial"/>
          <w:color w:val="000000" w:themeColor="text1"/>
          <w:lang w:eastAsia="es-ES"/>
        </w:rPr>
      </w:pPr>
      <w:hyperlink r:id="rId11" w:history="1">
        <w:r w:rsidR="00D15EA7" w:rsidRPr="0069465B">
          <w:rPr>
            <w:rStyle w:val="Hipervnculo"/>
            <w:rFonts w:ascii="Verdana" w:hAnsi="Verdana"/>
          </w:rPr>
          <w:t>yaneth.rocio81@gmail.com</w:t>
        </w:r>
      </w:hyperlink>
      <w:r w:rsidR="00D15EA7">
        <w:rPr>
          <w:rFonts w:ascii="Verdana" w:hAnsi="Verdana"/>
        </w:rPr>
        <w:t xml:space="preserve"> </w:t>
      </w:r>
      <w:r w:rsidR="00D15EA7" w:rsidRPr="0087638A">
        <w:rPr>
          <w:rFonts w:ascii="Verdana" w:hAnsi="Verdana"/>
        </w:rPr>
        <w:t xml:space="preserve"> </w:t>
      </w:r>
    </w:p>
    <w:p w14:paraId="7BAE0269" w14:textId="77777777" w:rsidR="00D15EA7" w:rsidRPr="00385D7A" w:rsidRDefault="00D15EA7" w:rsidP="00D15EA7">
      <w:pPr>
        <w:spacing w:after="0" w:line="240" w:lineRule="auto"/>
        <w:rPr>
          <w:rFonts w:ascii="Verdana" w:eastAsia="Calibri" w:hAnsi="Verdana" w:cs="Arial"/>
          <w:color w:val="000000" w:themeColor="text1"/>
          <w:lang w:eastAsia="es-ES"/>
        </w:rPr>
      </w:pPr>
      <w:r>
        <w:rPr>
          <w:rFonts w:ascii="Verdana" w:eastAsia="Calibri" w:hAnsi="Verdana" w:cs="Arial"/>
          <w:color w:val="000000" w:themeColor="text1"/>
          <w:lang w:eastAsia="es-ES"/>
        </w:rPr>
        <w:t>Bogotá D.C.</w:t>
      </w:r>
    </w:p>
    <w:p w14:paraId="5D9F8209" w14:textId="77777777" w:rsidR="00D15EA7" w:rsidRPr="00CB7ABE" w:rsidRDefault="00D15EA7" w:rsidP="00D15EA7">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D15EA7" w:rsidRPr="00115E3D" w14:paraId="66E25CDC" w14:textId="77777777" w:rsidTr="00AB3039">
        <w:trPr>
          <w:trHeight w:val="615"/>
        </w:trPr>
        <w:tc>
          <w:tcPr>
            <w:tcW w:w="2270" w:type="dxa"/>
          </w:tcPr>
          <w:p w14:paraId="4B4C71E7" w14:textId="77777777" w:rsidR="00D15EA7" w:rsidRPr="00CB7ABE" w:rsidRDefault="00D15EA7" w:rsidP="00AB3039">
            <w:pPr>
              <w:jc w:val="both"/>
              <w:rPr>
                <w:rFonts w:ascii="Verdana" w:eastAsia="Calibri" w:hAnsi="Verdana" w:cs="Arial"/>
                <w:b/>
                <w:bCs/>
                <w:color w:val="000000" w:themeColor="text1"/>
                <w:lang w:eastAsia="es-ES_tradnl"/>
              </w:rPr>
            </w:pPr>
          </w:p>
        </w:tc>
        <w:tc>
          <w:tcPr>
            <w:tcW w:w="6547" w:type="dxa"/>
          </w:tcPr>
          <w:p w14:paraId="4EBA9491" w14:textId="77777777" w:rsidR="00D15EA7" w:rsidRPr="008A209A" w:rsidRDefault="00D15EA7" w:rsidP="00AB3039">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Concepto C- 299 de 2026</w:t>
            </w:r>
          </w:p>
        </w:tc>
      </w:tr>
      <w:tr w:rsidR="00D15EA7" w:rsidRPr="007E403E" w14:paraId="63AC79DD" w14:textId="77777777" w:rsidTr="00AB3039">
        <w:trPr>
          <w:trHeight w:val="1071"/>
        </w:trPr>
        <w:tc>
          <w:tcPr>
            <w:tcW w:w="2270" w:type="dxa"/>
          </w:tcPr>
          <w:p w14:paraId="15114A21" w14:textId="77777777" w:rsidR="00D15EA7" w:rsidRPr="001B36DA" w:rsidRDefault="00D15EA7" w:rsidP="00AB3039">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53557E2C" w14:textId="77777777" w:rsidR="00D15EA7" w:rsidRPr="00343E12" w:rsidRDefault="00D15EA7" w:rsidP="00AB3039">
            <w:pPr>
              <w:jc w:val="both"/>
              <w:rPr>
                <w:rFonts w:ascii="Verdana" w:eastAsia="Times New Roman" w:hAnsi="Verdana" w:cs="Arial"/>
                <w:color w:val="000000"/>
                <w:lang w:val="es-ES"/>
              </w:rPr>
            </w:pPr>
            <w:r w:rsidRPr="00343E12">
              <w:rPr>
                <w:rFonts w:ascii="Verdana" w:eastAsia="Aptos" w:hAnsi="Verdana" w:cs="Arial"/>
                <w:lang w:val="es-MX" w:eastAsia="es-ES"/>
              </w:rPr>
              <w:t xml:space="preserve">LEY DE GARANTÍAS ELECTORALES ‒ Finalidad / LEY DE GARANTÍAS ELECTORALES ‒ Tipos de restricciones ‒ Ámbito temporal – Celebración - Límite / LEY DE GARANTÍAS ELECTORALES – Prohibición – Artículo 33 – Contratación directa – Alcance / LEY DE GARANTÍAS ELECTORALES – Excepciones / </w:t>
            </w:r>
            <w:r w:rsidRPr="00343E12">
              <w:rPr>
                <w:rFonts w:ascii="Verdana" w:eastAsia="Times New Roman" w:hAnsi="Verdana" w:cs="Arial"/>
                <w:color w:val="000000"/>
                <w:lang w:val="es-ES"/>
              </w:rPr>
              <w:t xml:space="preserve">LEY DE GARANTÍAS ELECTORALES – Excepciones – Destinatarios - Entidades sanitarias y hospitalarias / </w:t>
            </w:r>
            <w:r w:rsidRPr="00343E12">
              <w:rPr>
                <w:rFonts w:ascii="Verdana" w:eastAsia="Aptos" w:hAnsi="Verdana" w:cs="Arial"/>
                <w:lang w:val="es-MX" w:eastAsia="es-ES_tradnl"/>
              </w:rPr>
              <w:t>CONVENIOS INTERADMINISTRATIVOS – Criterio orgánico / CONTRATOS Y CONVENIOS INTERADMINISTRATIVOS – Circular Externa Única – Auto de suspensión</w:t>
            </w:r>
          </w:p>
          <w:p w14:paraId="11D641F1" w14:textId="77777777" w:rsidR="00D15EA7" w:rsidRPr="008A209A" w:rsidRDefault="00D15EA7" w:rsidP="00AB3039">
            <w:pPr>
              <w:spacing w:line="276" w:lineRule="auto"/>
              <w:jc w:val="both"/>
              <w:rPr>
                <w:rFonts w:ascii="Verdana" w:eastAsia="Calibri" w:hAnsi="Verdana" w:cs="Arial"/>
                <w:color w:val="000000" w:themeColor="text1"/>
                <w:lang w:val="es-ES" w:eastAsia="es-ES"/>
              </w:rPr>
            </w:pPr>
          </w:p>
        </w:tc>
      </w:tr>
      <w:tr w:rsidR="00D15EA7" w:rsidRPr="00115E3D" w14:paraId="6406BF95" w14:textId="77777777" w:rsidTr="00AB3039">
        <w:trPr>
          <w:trHeight w:val="653"/>
        </w:trPr>
        <w:tc>
          <w:tcPr>
            <w:tcW w:w="2270" w:type="dxa"/>
          </w:tcPr>
          <w:p w14:paraId="6ACBFFC7" w14:textId="77777777" w:rsidR="00D15EA7" w:rsidRPr="00CB7ABE" w:rsidRDefault="00D15EA7" w:rsidP="00AB3039">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2F207619" w14:textId="77777777" w:rsidR="00D15EA7" w:rsidRPr="00E4271C" w:rsidRDefault="00D15EA7" w:rsidP="00AB3039">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8A209A">
              <w:rPr>
                <w:rFonts w:ascii="Verdana" w:eastAsia="Calibri" w:hAnsi="Verdana" w:cs="Arial"/>
                <w:color w:val="000000" w:themeColor="text1"/>
                <w:lang w:val="es-ES_tradnl" w:eastAsia="es-ES_tradnl"/>
              </w:rPr>
              <w:t>1_2026_02_25_002625</w:t>
            </w:r>
            <w:r>
              <w:rPr>
                <w:rFonts w:ascii="Verdana" w:hAnsi="Verdana"/>
                <w:color w:val="2B2B2B"/>
              </w:rPr>
              <w:t>.</w:t>
            </w:r>
          </w:p>
          <w:p w14:paraId="0B5F59DA" w14:textId="77777777" w:rsidR="00D15EA7" w:rsidRPr="00CB7ABE" w:rsidRDefault="00D15EA7" w:rsidP="00AB3039">
            <w:pPr>
              <w:ind w:right="1"/>
              <w:jc w:val="both"/>
              <w:rPr>
                <w:rFonts w:ascii="Verdana" w:hAnsi="Verdana"/>
                <w:color w:val="000000"/>
              </w:rPr>
            </w:pPr>
          </w:p>
        </w:tc>
      </w:tr>
    </w:tbl>
    <w:p w14:paraId="71F0AA97" w14:textId="77777777" w:rsidR="00D15EA7" w:rsidRPr="00115E3D" w:rsidRDefault="00D15EA7" w:rsidP="00D15EA7">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p>
    <w:p w14:paraId="38CD5F89" w14:textId="77777777" w:rsidR="00D15EA7" w:rsidRPr="00115E3D" w:rsidRDefault="00D15EA7" w:rsidP="00D15EA7">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39D6EE33" w14:textId="77777777" w:rsidR="00D15EA7" w:rsidRPr="00115E3D" w:rsidRDefault="00D15EA7" w:rsidP="00D15EA7">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esta entidad el 26 de febrero de 2026 </w:t>
      </w:r>
      <w:r w:rsidRPr="00115E3D">
        <w:rPr>
          <w:rFonts w:ascii="Verdana" w:eastAsia="Calibri" w:hAnsi="Verdana" w:cs="Arial"/>
          <w:color w:val="000000" w:themeColor="text1"/>
          <w:lang w:val="es-ES" w:eastAsia="es-ES"/>
        </w:rPr>
        <w:t xml:space="preserve">en la cual manifiesta lo siguiente: </w:t>
      </w:r>
    </w:p>
    <w:p w14:paraId="057CF5CB" w14:textId="77777777" w:rsidR="00D15EA7" w:rsidRDefault="00D15EA7" w:rsidP="00D15EA7">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25EE295D" w14:textId="77777777" w:rsidR="00D15EA7" w:rsidRPr="00970C7D" w:rsidRDefault="00D15EA7" w:rsidP="00D15EA7">
      <w:pPr>
        <w:spacing w:after="0" w:line="240" w:lineRule="auto"/>
        <w:ind w:left="709" w:right="709"/>
        <w:jc w:val="both"/>
        <w:rPr>
          <w:rFonts w:ascii="Verdana" w:eastAsia="Century Gothic" w:hAnsi="Verdana" w:cs="Century Gothic"/>
          <w:i/>
          <w:iCs/>
          <w:color w:val="000000" w:themeColor="text1"/>
          <w:sz w:val="20"/>
          <w:szCs w:val="20"/>
        </w:rPr>
      </w:pPr>
      <w:r w:rsidRPr="00733AEE">
        <w:rPr>
          <w:rFonts w:ascii="Verdana" w:eastAsia="Century Gothic" w:hAnsi="Verdana" w:cs="Century Gothic"/>
          <w:i/>
          <w:iCs/>
          <w:color w:val="000000" w:themeColor="text1"/>
          <w:sz w:val="20"/>
          <w:szCs w:val="20"/>
          <w:lang w:val="es-ES"/>
        </w:rPr>
        <w:lastRenderedPageBreak/>
        <w:t>“</w:t>
      </w:r>
      <w:r>
        <w:rPr>
          <w:rFonts w:ascii="Verdana" w:eastAsia="Century Gothic" w:hAnsi="Verdana" w:cs="Century Gothic"/>
          <w:i/>
          <w:iCs/>
          <w:color w:val="000000" w:themeColor="text1"/>
          <w:sz w:val="20"/>
          <w:szCs w:val="20"/>
        </w:rPr>
        <w:t>Solicitud de concepto respecto de la posibilidad de suscribir un contrato entre una alcaldía municipal (Municipio de Pitalito) y una ESE municipal (ESE Municipal Manuel Castro Tovar de Pitalito) para ejecutar recursos del Sistema General de Participaciones (SGP) subsidio a la oferta, que fueron para ejecutar en la vigencia 2026 en el marco de la Ley de Garantías Electorales”</w:t>
      </w:r>
      <w:r w:rsidRPr="00970C7D">
        <w:rPr>
          <w:rFonts w:ascii="Verdana" w:eastAsia="Century Gothic" w:hAnsi="Verdana" w:cs="Century Gothic"/>
          <w:i/>
          <w:iCs/>
          <w:color w:val="000000" w:themeColor="text1"/>
          <w:sz w:val="20"/>
          <w:szCs w:val="20"/>
        </w:rPr>
        <w:t xml:space="preserve"> </w:t>
      </w:r>
    </w:p>
    <w:p w14:paraId="3CB5AC9A" w14:textId="77777777" w:rsidR="00D15EA7" w:rsidRDefault="00D15EA7" w:rsidP="00D15EA7">
      <w:pPr>
        <w:spacing w:after="0" w:line="240" w:lineRule="auto"/>
        <w:ind w:left="709" w:right="709"/>
        <w:jc w:val="both"/>
        <w:rPr>
          <w:rFonts w:ascii="Verdana" w:eastAsia="Century Gothic" w:hAnsi="Verdana" w:cs="Century Gothic"/>
          <w:i/>
          <w:iCs/>
          <w:color w:val="000000" w:themeColor="text1"/>
          <w:sz w:val="20"/>
          <w:szCs w:val="20"/>
        </w:rPr>
      </w:pPr>
    </w:p>
    <w:p w14:paraId="20AB654A" w14:textId="77777777" w:rsidR="00D15EA7" w:rsidRDefault="00D15EA7" w:rsidP="00D15EA7">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A599D73" w14:textId="77777777" w:rsidR="00D15EA7" w:rsidRPr="00115E3D" w:rsidRDefault="00D15EA7" w:rsidP="00D15EA7">
      <w:pPr>
        <w:spacing w:after="0" w:line="240" w:lineRule="auto"/>
        <w:ind w:right="49"/>
        <w:jc w:val="both"/>
        <w:rPr>
          <w:rFonts w:ascii="Verdana" w:eastAsia="Calibri" w:hAnsi="Verdana" w:cs="Arial"/>
          <w:color w:val="000000" w:themeColor="text1"/>
          <w:szCs w:val="24"/>
          <w:lang w:val="es-ES_tradnl" w:eastAsia="es-ES_tradnl"/>
        </w:rPr>
      </w:pPr>
    </w:p>
    <w:p w14:paraId="0AFA2F41" w14:textId="77777777" w:rsidR="00D15EA7" w:rsidRPr="00115E3D" w:rsidRDefault="00D15EA7" w:rsidP="00D15EA7">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3AF3885C" w14:textId="77777777" w:rsidR="00D15EA7" w:rsidRPr="00115E3D" w:rsidRDefault="00D15EA7" w:rsidP="00D15EA7">
      <w:pPr>
        <w:spacing w:after="0" w:line="276" w:lineRule="auto"/>
        <w:ind w:firstLine="709"/>
        <w:jc w:val="both"/>
        <w:rPr>
          <w:rFonts w:ascii="Verdana" w:eastAsia="Calibri" w:hAnsi="Verdana" w:cs="Arial"/>
          <w:color w:val="000000" w:themeColor="text1"/>
          <w:lang w:val="es-ES" w:eastAsia="es-ES"/>
        </w:rPr>
      </w:pPr>
    </w:p>
    <w:p w14:paraId="2BC310A8" w14:textId="77777777" w:rsidR="00D15EA7" w:rsidRPr="00115E3D" w:rsidRDefault="00D15EA7" w:rsidP="00D15EA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7562D1B3" w14:textId="77777777" w:rsidR="00D15EA7" w:rsidRPr="00115E3D" w:rsidRDefault="00D15EA7" w:rsidP="00D15EA7">
      <w:pPr>
        <w:tabs>
          <w:tab w:val="left" w:pos="426"/>
        </w:tabs>
        <w:spacing w:after="0" w:line="276" w:lineRule="auto"/>
        <w:jc w:val="both"/>
        <w:rPr>
          <w:rFonts w:ascii="Verdana" w:eastAsia="Century Gothic" w:hAnsi="Verdana" w:cs="Century Gothic"/>
          <w:color w:val="000000" w:themeColor="text1"/>
          <w:lang w:val="es-ES"/>
        </w:rPr>
      </w:pPr>
    </w:p>
    <w:p w14:paraId="6B13A39B" w14:textId="77777777" w:rsidR="00D15EA7" w:rsidRDefault="00D15EA7" w:rsidP="00D15EA7">
      <w:pPr>
        <w:spacing w:after="0" w:line="276" w:lineRule="auto"/>
        <w:jc w:val="both"/>
        <w:rPr>
          <w:rFonts w:ascii="Verdana" w:eastAsia="Verdana" w:hAnsi="Verdana" w:cs="Verdana"/>
          <w:lang w:val="es-ES"/>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117910">
        <w:rPr>
          <w:rFonts w:ascii="Verdana" w:eastAsia="Verdana" w:hAnsi="Verdana" w:cs="Verdana"/>
        </w:rPr>
        <w:t>¿</w:t>
      </w:r>
      <w:r w:rsidRPr="00343E12">
        <w:rPr>
          <w:rFonts w:ascii="Verdana" w:eastAsia="Calibri" w:hAnsi="Verdana" w:cs="Arial"/>
          <w:color w:val="000000"/>
          <w:lang w:eastAsia="es-ES"/>
        </w:rPr>
        <w:t>Cuáles son las restricciones aplicables</w:t>
      </w:r>
      <w:r>
        <w:rPr>
          <w:rFonts w:ascii="Verdana" w:eastAsia="Calibri" w:hAnsi="Verdana" w:cs="Arial"/>
          <w:color w:val="000000"/>
          <w:lang w:eastAsia="es-ES"/>
        </w:rPr>
        <w:t>,</w:t>
      </w:r>
      <w:r w:rsidRPr="00343E12">
        <w:rPr>
          <w:rFonts w:ascii="Verdana" w:eastAsia="Calibri" w:hAnsi="Verdana" w:cs="Arial"/>
          <w:color w:val="000000"/>
          <w:lang w:eastAsia="es-ES"/>
        </w:rPr>
        <w:t xml:space="preserve"> en materia de contratación estatal, a las Empresas Sociales del Estado durante </w:t>
      </w:r>
      <w:r>
        <w:rPr>
          <w:rFonts w:ascii="Verdana" w:eastAsia="Calibri" w:hAnsi="Verdana" w:cs="Arial"/>
          <w:color w:val="000000"/>
          <w:lang w:eastAsia="es-ES"/>
        </w:rPr>
        <w:t xml:space="preserve">los </w:t>
      </w:r>
      <w:r w:rsidRPr="00343E12">
        <w:rPr>
          <w:rFonts w:ascii="Verdana" w:eastAsia="Calibri" w:hAnsi="Verdana" w:cs="Arial"/>
          <w:color w:val="000000"/>
          <w:lang w:eastAsia="es-ES"/>
        </w:rPr>
        <w:t>periodo</w:t>
      </w:r>
      <w:r>
        <w:rPr>
          <w:rFonts w:ascii="Verdana" w:eastAsia="Calibri" w:hAnsi="Verdana" w:cs="Arial"/>
          <w:color w:val="000000"/>
          <w:lang w:eastAsia="es-ES"/>
        </w:rPr>
        <w:t>s</w:t>
      </w:r>
      <w:r w:rsidRPr="00343E12">
        <w:rPr>
          <w:rFonts w:ascii="Verdana" w:eastAsia="Calibri" w:hAnsi="Verdana" w:cs="Arial"/>
          <w:color w:val="000000"/>
          <w:lang w:eastAsia="es-ES"/>
        </w:rPr>
        <w:t xml:space="preserve"> en que rige la Ley de Garantías Electorales</w:t>
      </w:r>
      <w:r w:rsidRPr="00117910">
        <w:rPr>
          <w:rFonts w:ascii="Verdana" w:eastAsia="Verdana" w:hAnsi="Verdana" w:cs="Verdana"/>
        </w:rPr>
        <w:t>?</w:t>
      </w:r>
    </w:p>
    <w:p w14:paraId="6B785A95" w14:textId="77777777" w:rsidR="00D15EA7" w:rsidRDefault="00D15EA7" w:rsidP="00D15EA7">
      <w:pPr>
        <w:spacing w:after="0" w:line="276" w:lineRule="auto"/>
        <w:jc w:val="both"/>
        <w:rPr>
          <w:rFonts w:ascii="Verdana" w:eastAsia="Verdana" w:hAnsi="Verdana" w:cs="Verdana"/>
          <w:lang w:val="es-ES"/>
        </w:rPr>
      </w:pPr>
    </w:p>
    <w:p w14:paraId="0337E7EA" w14:textId="77777777" w:rsidR="00D15EA7" w:rsidRPr="00115E3D" w:rsidRDefault="00D15EA7" w:rsidP="00D15EA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12C8B123" w14:textId="77777777" w:rsidR="00D15EA7" w:rsidRPr="00115E3D" w:rsidRDefault="00D15EA7" w:rsidP="00D15EA7">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15EA7" w:rsidRPr="00115E3D" w14:paraId="4564968B" w14:textId="77777777" w:rsidTr="00AB3039">
        <w:trPr>
          <w:trHeight w:val="774"/>
        </w:trPr>
        <w:tc>
          <w:tcPr>
            <w:tcW w:w="8828" w:type="dxa"/>
          </w:tcPr>
          <w:p w14:paraId="384036E0" w14:textId="77777777" w:rsidR="00D15EA7" w:rsidRDefault="00D15EA7" w:rsidP="00AB3039">
            <w:pPr>
              <w:spacing w:after="120" w:line="276" w:lineRule="auto"/>
              <w:ind w:firstLine="709"/>
              <w:jc w:val="both"/>
              <w:rPr>
                <w:rFonts w:ascii="Verdana" w:eastAsia="Arial" w:hAnsi="Verdana" w:cs="Arial"/>
                <w:lang w:eastAsia="es-ES" w:bidi="es-ES"/>
              </w:rPr>
            </w:pPr>
            <w:r>
              <w:rPr>
                <w:rFonts w:ascii="Verdana" w:hAnsi="Verdana" w:cs="Arial"/>
              </w:rPr>
              <w:lastRenderedPageBreak/>
              <w:t xml:space="preserve">  </w:t>
            </w:r>
            <w:r w:rsidRPr="007E09CB">
              <w:rPr>
                <w:rFonts w:ascii="Verdana" w:eastAsiaTheme="minorEastAsia" w:hAnsi="Verdana" w:cs="Arial"/>
                <w:lang w:eastAsia="es-CO"/>
              </w:rPr>
              <w:t xml:space="preserve">De </w:t>
            </w:r>
            <w:r w:rsidRPr="007E09CB">
              <w:rPr>
                <w:rFonts w:ascii="Verdana" w:eastAsia="Calibri" w:hAnsi="Verdana" w:cs="Arial"/>
              </w:rPr>
              <w:t>conformidad con los artículos 2.2.1.2.3.1.7 y 2.2.1.2.3.1.8 del Decreto</w:t>
            </w:r>
            <w:r>
              <w:rPr>
                <w:rFonts w:ascii="Verdana" w:eastAsia="Calibri" w:hAnsi="Verdana" w:cs="Arial"/>
              </w:rPr>
              <w:t xml:space="preserve"> </w:t>
            </w:r>
            <w:r>
              <w:rPr>
                <w:rFonts w:ascii="Verdana" w:eastAsia="Calibri" w:hAnsi="Verdana" w:cs="Arial"/>
                <w:lang w:val="es-ES"/>
              </w:rPr>
              <w:t>i)</w:t>
            </w:r>
            <w:r w:rsidRPr="000C5BB0">
              <w:t xml:space="preserve"> </w:t>
            </w:r>
            <w:r>
              <w:rPr>
                <w:rFonts w:ascii="Verdana" w:eastAsia="Arial" w:hAnsi="Verdana" w:cs="Arial"/>
                <w:lang w:eastAsia="es-ES" w:bidi="es-ES"/>
              </w:rPr>
              <w:t>L</w:t>
            </w:r>
            <w:r w:rsidRPr="00FF007A">
              <w:rPr>
                <w:rFonts w:ascii="Verdana" w:eastAsia="Arial" w:hAnsi="Verdana" w:cs="Arial"/>
                <w:lang w:eastAsia="es-ES" w:bidi="es-ES"/>
              </w:rPr>
              <w:t>a Ley de Garantías se dirigen a dos (2) tipos de campañas electorales diferenciadas</w:t>
            </w:r>
            <w:r>
              <w:rPr>
                <w:rFonts w:ascii="Verdana" w:eastAsia="Arial" w:hAnsi="Verdana" w:cs="Arial"/>
                <w:lang w:eastAsia="es-ES" w:bidi="es-ES"/>
              </w:rPr>
              <w:t xml:space="preserve">: i) </w:t>
            </w:r>
            <w:r w:rsidRPr="00FF007A">
              <w:rPr>
                <w:rFonts w:ascii="Verdana" w:eastAsia="Arial" w:hAnsi="Verdana" w:cs="Arial"/>
                <w:lang w:eastAsia="es-ES" w:bidi="es-ES"/>
              </w:rPr>
              <w:t>la del artículo 33 que aplica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Arial" w:hAnsi="Verdana" w:cs="Arial"/>
                <w:lang w:eastAsia="es-ES" w:bidi="es-ES"/>
              </w:rPr>
              <w:t xml:space="preserve">; </w:t>
            </w:r>
            <w:proofErr w:type="spellStart"/>
            <w:r>
              <w:rPr>
                <w:rFonts w:ascii="Verdana" w:eastAsia="Arial" w:hAnsi="Verdana" w:cs="Arial"/>
                <w:lang w:eastAsia="es-ES" w:bidi="es-ES"/>
              </w:rPr>
              <w:t>ii</w:t>
            </w:r>
            <w:proofErr w:type="spellEnd"/>
            <w:r>
              <w:rPr>
                <w:rFonts w:ascii="Verdana" w:eastAsia="Arial" w:hAnsi="Verdana" w:cs="Arial"/>
                <w:lang w:eastAsia="es-ES" w:bidi="es-ES"/>
              </w:rPr>
              <w:t xml:space="preserve">) </w:t>
            </w:r>
            <w:r w:rsidRPr="00FF007A">
              <w:rPr>
                <w:rFonts w:ascii="Verdana" w:eastAsia="Arial" w:hAnsi="Verdana" w:cs="Arial"/>
                <w:lang w:eastAsia="es-ES" w:bidi="es-ES"/>
              </w:rPr>
              <w:t>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lang w:eastAsia="es-ES" w:bidi="es-ES"/>
              </w:rPr>
              <w:t>.</w:t>
            </w:r>
          </w:p>
          <w:p w14:paraId="128611D5" w14:textId="77777777" w:rsidR="00D15EA7" w:rsidRDefault="00D15EA7" w:rsidP="00AB3039">
            <w:pPr>
              <w:spacing w:after="120" w:line="276" w:lineRule="auto"/>
              <w:ind w:firstLine="709"/>
              <w:jc w:val="both"/>
              <w:rPr>
                <w:rFonts w:ascii="Verdana" w:eastAsia="Calibri" w:hAnsi="Verdana" w:cs="Arial"/>
              </w:rPr>
            </w:pPr>
            <w:r w:rsidRPr="00FF007A">
              <w:rPr>
                <w:rFonts w:ascii="Verdana" w:eastAsia="Arial" w:hAnsi="Verdana" w:cs="Arial"/>
                <w:lang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3C66E5C8" w14:textId="77777777" w:rsidR="00D15EA7" w:rsidRDefault="00D15EA7" w:rsidP="00AB3039">
            <w:pPr>
              <w:spacing w:after="120" w:line="276" w:lineRule="auto"/>
              <w:ind w:firstLine="709"/>
              <w:jc w:val="both"/>
              <w:rPr>
                <w:rFonts w:ascii="Verdana" w:eastAsia="Calibri" w:hAnsi="Verdana" w:cs="Arial"/>
              </w:rPr>
            </w:pPr>
            <w:r>
              <w:rPr>
                <w:rFonts w:ascii="Verdana" w:eastAsia="Calibri" w:hAnsi="Verdana" w:cs="Arial"/>
              </w:rPr>
              <w:t>P</w:t>
            </w:r>
            <w:r w:rsidRPr="000C5BB0">
              <w:rPr>
                <w:rFonts w:ascii="Verdana" w:eastAsia="Calibri" w:hAnsi="Verdana" w:cs="Arial"/>
              </w:rPr>
              <w:t xml:space="preserve">ara las elecciones presidenciales, </w:t>
            </w:r>
            <w:r>
              <w:rPr>
                <w:rFonts w:ascii="Verdana" w:eastAsia="Calibri" w:hAnsi="Verdana" w:cs="Arial"/>
              </w:rPr>
              <w:t>las restricciones a aplicar son las del artículo 33 de la Ley 996 de 2005, por lo cual, dentro de los 4 meses anteriores a la elección presidencial, es decir desde el 31 de enero de 2026, y hasta el momento de la celebración de la segunda vuelta, si fuere el caso, q</w:t>
            </w:r>
            <w:r w:rsidRPr="008772F9">
              <w:rPr>
                <w:rFonts w:ascii="Verdana" w:eastAsia="Calibri" w:hAnsi="Verdana" w:cs="Arial"/>
              </w:rPr>
              <w:t>ueda prohibida la contratación directa por parte de todos los entes del Estado</w:t>
            </w:r>
            <w:r>
              <w:rPr>
                <w:rFonts w:ascii="Verdana" w:eastAsia="Calibri" w:hAnsi="Verdana" w:cs="Arial"/>
              </w:rPr>
              <w:t>, dentro de lo cual se incluye los contratos de prestación de servicios profesionales y de apoyo a la gestión</w:t>
            </w:r>
            <w:r w:rsidRPr="008772F9">
              <w:rPr>
                <w:rFonts w:ascii="Verdana" w:eastAsia="Calibri" w:hAnsi="Verdana" w:cs="Arial"/>
              </w:rPr>
              <w:t>.</w:t>
            </w:r>
          </w:p>
          <w:p w14:paraId="5289F57C" w14:textId="1278B7BA" w:rsidR="00D15EA7" w:rsidRDefault="00D15EA7" w:rsidP="00AB3039">
            <w:pPr>
              <w:spacing w:after="120" w:line="276" w:lineRule="auto"/>
              <w:ind w:firstLine="709"/>
              <w:jc w:val="both"/>
              <w:rPr>
                <w:rFonts w:ascii="Verdana" w:eastAsia="Times New Roman" w:hAnsi="Verdana" w:cs="Arial"/>
              </w:rPr>
            </w:pPr>
            <w:r w:rsidRPr="00FF007A">
              <w:rPr>
                <w:rFonts w:ascii="Verdana" w:eastAsia="Arial" w:hAnsi="Verdana" w:cs="Arial"/>
                <w:lang w:eastAsia="es-ES" w:bidi="es-ES"/>
              </w:rPr>
              <w:t xml:space="preserve">Ahora bien, </w:t>
            </w:r>
            <w:r w:rsidRPr="00FF007A">
              <w:rPr>
                <w:rFonts w:ascii="Verdana" w:eastAsia="Calibri" w:hAnsi="Verdana" w:cs="Arial"/>
                <w:lang w:eastAsia="es-ES" w:bidi="es-ES"/>
              </w:rPr>
              <w:t xml:space="preserve">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artículo 33 de la Ley 996 de 2005</w:t>
            </w:r>
            <w:r w:rsidR="00A11F30">
              <w:rPr>
                <w:rFonts w:ascii="Verdana" w:eastAsia="Times New Roman" w:hAnsi="Verdana" w:cs="Arial"/>
              </w:rPr>
              <w:t xml:space="preserve">, </w:t>
            </w:r>
            <w:r w:rsidRPr="00FF007A">
              <w:rPr>
                <w:rFonts w:ascii="Verdana" w:eastAsia="Times New Roman" w:hAnsi="Verdana" w:cs="Arial"/>
                <w:bCs/>
                <w:lang w:eastAsia="es-CO"/>
              </w:rPr>
              <w:t>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w:t>
            </w:r>
            <w:r w:rsidRPr="00FF007A">
              <w:rPr>
                <w:rFonts w:ascii="Verdana" w:eastAsia="Times New Roman" w:hAnsi="Verdana" w:cs="Arial"/>
                <w:bCs/>
                <w:lang w:eastAsia="es-CO"/>
              </w:rPr>
              <w:lastRenderedPageBreak/>
              <w:t xml:space="preserve">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rPr>
              <w:t>.</w:t>
            </w:r>
          </w:p>
          <w:p w14:paraId="119B68FF" w14:textId="77777777" w:rsidR="00D15EA7" w:rsidRDefault="00D15EA7" w:rsidP="00AB3039">
            <w:pPr>
              <w:tabs>
                <w:tab w:val="left" w:pos="426"/>
              </w:tabs>
              <w:spacing w:before="120" w:line="276" w:lineRule="auto"/>
              <w:ind w:firstLine="709"/>
              <w:jc w:val="both"/>
              <w:rPr>
                <w:rFonts w:ascii="Verdana" w:hAnsi="Verdana" w:cs="Arial"/>
                <w:bCs/>
                <w:color w:val="000000" w:themeColor="text1"/>
              </w:rPr>
            </w:pPr>
            <w:r>
              <w:rPr>
                <w:rFonts w:ascii="Verdana" w:hAnsi="Verdana" w:cs="Arial"/>
                <w:bCs/>
                <w:color w:val="000000" w:themeColor="text1"/>
              </w:rPr>
              <w:t xml:space="preserve">En ese sentido, </w:t>
            </w:r>
            <w:r w:rsidRPr="00FF007A">
              <w:rPr>
                <w:rFonts w:ascii="Verdana" w:hAnsi="Verdana" w:cs="Arial"/>
                <w:bCs/>
                <w:color w:val="000000" w:themeColor="text1"/>
              </w:rPr>
              <w:t>es pertinente analizar el quinto evento exceptuado de la prohibición</w:t>
            </w:r>
            <w:r>
              <w:rPr>
                <w:rFonts w:ascii="Verdana" w:hAnsi="Verdana" w:cs="Arial"/>
                <w:bCs/>
                <w:color w:val="000000" w:themeColor="text1"/>
              </w:rPr>
              <w:t xml:space="preserve"> contemplada en el inciso segundo del artículo 33 de la Ley 996 de 2005</w:t>
            </w:r>
            <w:r w:rsidRPr="00FF007A">
              <w:rPr>
                <w:rFonts w:ascii="Verdana" w:hAnsi="Verdana" w:cs="Arial"/>
                <w:bCs/>
                <w:color w:val="000000" w:themeColor="text1"/>
              </w:rPr>
              <w:t xml:space="preserve">,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1217B50A" w14:textId="77777777" w:rsidR="00D15EA7" w:rsidRDefault="00D15EA7" w:rsidP="00AB3039">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Fonts w:ascii="Verdana" w:hAnsi="Verdana" w:cs="Arial"/>
                <w:color w:val="000000" w:themeColor="text1"/>
              </w:rPr>
              <w:t>.</w:t>
            </w:r>
          </w:p>
          <w:p w14:paraId="3288EF2A" w14:textId="77777777" w:rsidR="00D15EA7" w:rsidRDefault="00D15EA7" w:rsidP="00AB3039">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4A4BF061" w14:textId="77777777" w:rsidR="00D15EA7" w:rsidRDefault="00D15EA7" w:rsidP="00AB3039">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w:t>
            </w:r>
            <w:r w:rsidRPr="00FF007A">
              <w:rPr>
                <w:rFonts w:ascii="Verdana" w:eastAsia="Arial" w:hAnsi="Verdana" w:cs="Arial"/>
                <w:bCs/>
                <w:color w:val="000000" w:themeColor="text1"/>
              </w:rPr>
              <w:lastRenderedPageBreak/>
              <w:t xml:space="preserve">pública que pretenda adelantar un proceso no competitivo. Adicionalmente, será pertinente analizar </w:t>
            </w:r>
            <w:r w:rsidRPr="4D902665">
              <w:rPr>
                <w:rFonts w:ascii="Verdana" w:eastAsia="Arial" w:hAnsi="Verdana" w:cs="Arial"/>
                <w:color w:val="000000" w:themeColor="text1"/>
              </w:rPr>
              <w:t>y verificar si</w:t>
            </w:r>
            <w:r w:rsidRPr="00FF007A">
              <w:rPr>
                <w:rFonts w:ascii="Verdana" w:eastAsia="Arial" w:hAnsi="Verdana" w:cs="Arial"/>
                <w:bCs/>
                <w:color w:val="000000" w:themeColor="text1"/>
              </w:rPr>
              <w:t xml:space="preserve">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se realiza con ocasión a una “emergencia sanitaria” o si es llevada a cabo por “entidades sanitarias u hospitalarias”. De ser así, 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5E519613" w14:textId="77777777" w:rsidR="00D15EA7" w:rsidRDefault="00D15EA7" w:rsidP="00AB3039">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 xml:space="preserve">“Alcaldes, Gobernadores, Secretarios, Gerentes y Directores de las entidades del orden municipal, departamental o distrital”; así como determinar si lo que pretende adelantar es un convenio o un contrato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 xml:space="preserve">de convenios o contratos interadministrativos </w:t>
            </w:r>
            <w:r w:rsidRPr="00FF007A">
              <w:rPr>
                <w:rFonts w:ascii="Verdana" w:eastAsia="Arial" w:hAnsi="Verdana" w:cs="Arial"/>
                <w:bCs/>
                <w:color w:val="000000" w:themeColor="text1"/>
              </w:rPr>
              <w:t xml:space="preserve">en los cuatro meses anteriores a cualquier contienda electoral. Es importante resaltar que para esta prohibición la norma no contempló ninguna excepción, de modo que aplicará, aunque se trate de entidades sanitarias u hospitalarias. </w:t>
            </w:r>
          </w:p>
          <w:p w14:paraId="7AF732C3" w14:textId="77777777" w:rsidR="00D15EA7" w:rsidRDefault="00D15EA7" w:rsidP="00AB3039">
            <w:pPr>
              <w:spacing w:after="120" w:line="276" w:lineRule="auto"/>
              <w:ind w:firstLine="709"/>
              <w:jc w:val="both"/>
              <w:rPr>
                <w:rFonts w:ascii="Verdana" w:eastAsia="Calibri" w:hAnsi="Verdana" w:cs="Arial"/>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78635733" w14:textId="77777777" w:rsidR="00D15EA7" w:rsidRPr="00667CD6" w:rsidRDefault="00D15EA7" w:rsidP="00AB3039">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Finalmente</w:t>
            </w:r>
            <w:r w:rsidRPr="31E4E861">
              <w:rPr>
                <w:rFonts w:ascii="Verdana" w:eastAsia="Times New Roman" w:hAnsi="Verdana" w:cs="Arial"/>
                <w:lang w:eastAsia="es-CO"/>
              </w:rPr>
              <w:t xml:space="preserve">, a la luz de lo expuesto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Pr="31E4E861">
              <w:rPr>
                <w:rFonts w:ascii="Verdana" w:eastAsia="Arial" w:hAnsi="Verdana" w:cs="Arial"/>
                <w:lang w:eastAsia="es-ES" w:bidi="es-ES"/>
              </w:rPr>
              <w:t xml:space="preserve">de suspensión provisional parcial del </w:t>
            </w:r>
            <w:r w:rsidRPr="31E4E861">
              <w:rPr>
                <w:rFonts w:ascii="Verdana" w:hAnsi="Verdana" w:cs="Arial"/>
              </w:rPr>
              <w:t xml:space="preserve">numeral 16.2 de la Circular Externa Única de 2022 expedida por la Agencia Nacional de Contratación Pública -Colombia Compra Eficiente-, y </w:t>
            </w:r>
            <w:r w:rsidRPr="31E4E861">
              <w:rPr>
                <w:rFonts w:ascii="Verdana" w:eastAsia="Arial" w:hAnsi="Verdana" w:cs="Arial"/>
                <w:lang w:eastAsia="es-ES" w:bidi="es-ES"/>
              </w:rPr>
              <w:t>de los apartes cuestionados del inciso segundo y del inciso cuarto del numeral 16.2 de la Circular Externa Única, versión 3 del 27 de diciembre de 2023,</w:t>
            </w:r>
            <w:r w:rsidRPr="31E4E861">
              <w:rPr>
                <w:rFonts w:ascii="Verdana" w:eastAsia="Times New Roman" w:hAnsi="Verdana" w:cs="Arial"/>
                <w:lang w:eastAsia="es-CO"/>
              </w:rPr>
              <w:t xml:space="preserve"> no resultaría </w:t>
            </w:r>
            <w:r w:rsidRPr="31E4E861">
              <w:rPr>
                <w:rFonts w:ascii="Verdana" w:eastAsia="Times New Roman" w:hAnsi="Verdana" w:cs="Arial"/>
                <w:lang w:eastAsia="es-CO"/>
              </w:rPr>
              <w:lastRenderedPageBreak/>
              <w:t xml:space="preserve">aplicable la prohibición del parágrafo del artículo 38 de la Ley de Garantías Electorales a los </w:t>
            </w:r>
            <w:r w:rsidRPr="31E4E861">
              <w:rPr>
                <w:rFonts w:ascii="Verdana" w:eastAsia="Times New Roman" w:hAnsi="Verdana" w:cs="Arial"/>
                <w:i/>
                <w:lang w:eastAsia="es-CO"/>
              </w:rPr>
              <w:t>contratos interadministrativos</w:t>
            </w:r>
            <w:r w:rsidRPr="31E4E861">
              <w:rPr>
                <w:rFonts w:ascii="Verdana" w:eastAsia="Times New Roman" w:hAnsi="Verdana" w:cs="Arial"/>
                <w:lang w:eastAsia="es-CO"/>
              </w:rPr>
              <w:t>.</w:t>
            </w:r>
          </w:p>
          <w:p w14:paraId="1615432E" w14:textId="77777777" w:rsidR="00D15EA7" w:rsidRPr="00667CD6" w:rsidRDefault="00D15EA7" w:rsidP="00AB3039">
            <w:pPr>
              <w:spacing w:after="12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Así las cosas, conforme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 </w:t>
            </w:r>
            <w:r w:rsidRPr="00EF3792">
              <w:rPr>
                <w:rFonts w:ascii="Verdana" w:eastAsia="Times New Roman" w:hAnsi="Verdana" w:cs="Arial"/>
                <w:lang w:eastAsia="es-CO"/>
              </w:rPr>
              <w:t xml:space="preserve">Lo anterior, sin perjuicio de que entre </w:t>
            </w:r>
            <w:r>
              <w:rPr>
                <w:rFonts w:ascii="Verdana" w:eastAsia="Times New Roman" w:hAnsi="Verdana" w:cs="Arial"/>
                <w:lang w:eastAsia="es-CO"/>
              </w:rPr>
              <w:t>a regir</w:t>
            </w:r>
            <w:r w:rsidRPr="00EF3792">
              <w:rPr>
                <w:rFonts w:ascii="Verdana" w:eastAsia="Times New Roman" w:hAnsi="Verdana" w:cs="Arial"/>
                <w:lang w:eastAsia="es-CO"/>
              </w:rPr>
              <w:t xml:space="preserve"> el artículo 33 de la Ley 996, no se podrán celebrar los contratos interadministrativos mediante la modalidad de contratación directa.</w:t>
            </w:r>
          </w:p>
          <w:p w14:paraId="48BEF4BB" w14:textId="77777777" w:rsidR="00D15EA7" w:rsidRDefault="00D15EA7" w:rsidP="00AB3039">
            <w:pPr>
              <w:spacing w:after="120" w:line="276" w:lineRule="auto"/>
              <w:jc w:val="both"/>
              <w:rPr>
                <w:rFonts w:ascii="Verdana" w:eastAsia="Calibri" w:hAnsi="Verdana" w:cs="Arial"/>
              </w:rPr>
            </w:pPr>
            <w:r w:rsidRPr="00667CD6">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w:t>
            </w:r>
            <w:r>
              <w:rPr>
                <w:rFonts w:ascii="Verdana" w:eastAsia="Arial" w:hAnsi="Verdana" w:cs="Arial"/>
                <w:bCs/>
                <w:color w:val="000000" w:themeColor="text1"/>
              </w:rPr>
              <w:t xml:space="preserve"> </w:t>
            </w:r>
            <w:r w:rsidRPr="00667CD6">
              <w:rPr>
                <w:rFonts w:ascii="Verdana" w:eastAsia="Arial" w:hAnsi="Verdana" w:cs="Arial"/>
                <w:bCs/>
                <w:color w:val="000000" w:themeColor="text1"/>
              </w:rPr>
              <w:t xml:space="preserve">excepciones, de manera que pueda realizar la contratación directa durante el periodo de la prohibición. 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r w:rsidRPr="007E09CB">
              <w:rPr>
                <w:rFonts w:ascii="Verdana" w:eastAsia="Calibri" w:hAnsi="Verdana" w:cs="Arial"/>
              </w:rPr>
              <w:t xml:space="preserve"> </w:t>
            </w:r>
          </w:p>
          <w:p w14:paraId="60BF8C8A" w14:textId="77777777" w:rsidR="00D15EA7" w:rsidRPr="009326F6" w:rsidRDefault="00D15EA7" w:rsidP="00AB3039">
            <w:pPr>
              <w:spacing w:after="120" w:line="276" w:lineRule="auto"/>
              <w:jc w:val="both"/>
              <w:rPr>
                <w:rFonts w:ascii="Verdana" w:eastAsia="Calibri" w:hAnsi="Verdana" w:cs="Arial"/>
              </w:rPr>
            </w:pPr>
            <w:r>
              <w:rPr>
                <w:rFonts w:ascii="Verdana" w:eastAsia="Calibri" w:hAnsi="Verdana" w:cs="Arial"/>
              </w:rPr>
              <w:t xml:space="preserve">       </w:t>
            </w:r>
            <w:r w:rsidRPr="00DD53C0">
              <w:rPr>
                <w:rFonts w:ascii="Verdana" w:eastAsia="Calibri" w:hAnsi="Verdana" w:cs="Arial"/>
              </w:rP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Pr>
                <w:rFonts w:ascii="Verdana" w:eastAsia="Calibri" w:hAnsi="Verdana" w:cs="Arial"/>
              </w:rPr>
              <w:t xml:space="preserve">    </w:t>
            </w:r>
          </w:p>
          <w:p w14:paraId="2F7F6579" w14:textId="77777777" w:rsidR="00D15EA7" w:rsidRPr="0029110A" w:rsidRDefault="00D15EA7" w:rsidP="00AB3039">
            <w:pPr>
              <w:spacing w:before="120"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D15EA7" w:rsidRPr="00115E3D" w14:paraId="1DF5FB85" w14:textId="77777777" w:rsidTr="00AB3039">
        <w:trPr>
          <w:trHeight w:val="162"/>
        </w:trPr>
        <w:tc>
          <w:tcPr>
            <w:tcW w:w="8828" w:type="dxa"/>
          </w:tcPr>
          <w:p w14:paraId="3EF02631" w14:textId="77777777" w:rsidR="00D15EA7" w:rsidRDefault="00D15EA7" w:rsidP="00AB3039">
            <w:pPr>
              <w:spacing w:line="276" w:lineRule="auto"/>
              <w:jc w:val="both"/>
              <w:rPr>
                <w:rFonts w:ascii="Verdana" w:eastAsia="Calibri" w:hAnsi="Verdana" w:cs="Arial"/>
              </w:rPr>
            </w:pPr>
          </w:p>
        </w:tc>
      </w:tr>
    </w:tbl>
    <w:p w14:paraId="00BEEF5E" w14:textId="77777777" w:rsidR="00D15EA7" w:rsidRDefault="00D15EA7" w:rsidP="00D15EA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7F198A7" w14:textId="77777777" w:rsidR="00D15EA7" w:rsidRDefault="00D15EA7" w:rsidP="00D15EA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4A7A1EA7" w14:textId="77777777" w:rsidR="00D15EA7" w:rsidRPr="00115E3D" w:rsidRDefault="00D15EA7" w:rsidP="00D15EA7">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49F6C5C2" w14:textId="77777777" w:rsidR="00D15EA7" w:rsidRPr="00343E12" w:rsidRDefault="00D15EA7" w:rsidP="00D15EA7">
      <w:pPr>
        <w:tabs>
          <w:tab w:val="left" w:pos="142"/>
          <w:tab w:val="left" w:pos="284"/>
        </w:tabs>
        <w:spacing w:after="0" w:line="276" w:lineRule="auto"/>
        <w:jc w:val="both"/>
        <w:rPr>
          <w:rFonts w:ascii="Verdana" w:eastAsia="Calibri" w:hAnsi="Verdana" w:cs="Arial"/>
        </w:rPr>
      </w:pPr>
      <w:bookmarkStart w:id="2" w:name="_Hlk204856061"/>
      <w:bookmarkStart w:id="3" w:name="_Hlk78820161"/>
      <w:r w:rsidRPr="00343E12">
        <w:rPr>
          <w:rFonts w:ascii="Verdana" w:eastAsia="Calibri" w:hAnsi="Verdana" w:cs="Arial"/>
        </w:rPr>
        <w:t xml:space="preserve">Lo anterior se sustenta en las siguientes consideraciones: </w:t>
      </w:r>
    </w:p>
    <w:p w14:paraId="1B0D7C32" w14:textId="77777777" w:rsidR="00D15EA7" w:rsidRPr="00343E12" w:rsidRDefault="00D15EA7" w:rsidP="00D15EA7">
      <w:pPr>
        <w:tabs>
          <w:tab w:val="left" w:pos="142"/>
          <w:tab w:val="left" w:pos="284"/>
        </w:tabs>
        <w:spacing w:after="0" w:line="240" w:lineRule="auto"/>
        <w:jc w:val="both"/>
        <w:rPr>
          <w:rFonts w:ascii="Verdana" w:eastAsia="Calibri" w:hAnsi="Verdana" w:cs="Arial"/>
        </w:rPr>
      </w:pPr>
    </w:p>
    <w:p w14:paraId="6F624009" w14:textId="77777777" w:rsidR="00D15EA7" w:rsidRPr="00343E12" w:rsidRDefault="00D15EA7" w:rsidP="00D15EA7">
      <w:pPr>
        <w:tabs>
          <w:tab w:val="left" w:pos="142"/>
          <w:tab w:val="left" w:pos="284"/>
        </w:tabs>
        <w:spacing w:after="120" w:line="276" w:lineRule="auto"/>
        <w:jc w:val="both"/>
        <w:rPr>
          <w:rFonts w:ascii="Verdana" w:eastAsia="Calibri" w:hAnsi="Verdana" w:cs="Arial"/>
        </w:rPr>
      </w:pPr>
      <w:r w:rsidRPr="00343E12">
        <w:rPr>
          <w:rFonts w:ascii="Verdana" w:eastAsia="Calibri" w:hAnsi="Verdana" w:cs="Arial"/>
        </w:rPr>
        <w:t>El ordenamiento jurídico colombiano contempla previsiones claras para evitar la obtención de beneficios personales en asuntos propios de la administración pública</w:t>
      </w:r>
      <w:r w:rsidRPr="00343E12">
        <w:rPr>
          <w:rFonts w:ascii="Verdana" w:eastAsia="Calibri" w:hAnsi="Verdana" w:cs="Arial"/>
          <w:i/>
        </w:rPr>
        <w:t xml:space="preserve">. </w:t>
      </w:r>
      <w:r w:rsidRPr="00343E12">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343E12">
        <w:rPr>
          <w:rFonts w:ascii="Verdana" w:eastAsia="Aptos" w:hAnsi="Verdana" w:cs="Times New Roman"/>
          <w:vertAlign w:val="superscript"/>
        </w:rPr>
        <w:footnoteReference w:id="1"/>
      </w:r>
      <w:r w:rsidRPr="00343E12">
        <w:rPr>
          <w:rFonts w:ascii="Verdana" w:eastAsia="Calibri" w:hAnsi="Verdana" w:cs="Arial"/>
        </w:rPr>
        <w:t>.</w:t>
      </w:r>
    </w:p>
    <w:p w14:paraId="273F8A1D" w14:textId="77777777" w:rsidR="00D15EA7" w:rsidRPr="00343E12" w:rsidRDefault="00D15EA7" w:rsidP="00D15EA7">
      <w:pPr>
        <w:tabs>
          <w:tab w:val="left" w:pos="142"/>
          <w:tab w:val="left" w:pos="284"/>
        </w:tabs>
        <w:spacing w:after="120" w:line="276" w:lineRule="auto"/>
        <w:ind w:firstLine="142"/>
        <w:jc w:val="both"/>
        <w:rPr>
          <w:rFonts w:ascii="Verdana" w:eastAsia="Calibri" w:hAnsi="Verdana" w:cs="Arial"/>
        </w:rPr>
      </w:pPr>
      <w:r w:rsidRPr="00343E12">
        <w:rPr>
          <w:rFonts w:ascii="Verdana" w:eastAsia="Calibri" w:hAnsi="Verdana" w:cs="Arial"/>
        </w:rPr>
        <w:tab/>
      </w:r>
      <w:r w:rsidRPr="00343E12">
        <w:rPr>
          <w:rFonts w:ascii="Verdana" w:eastAsia="Calibri" w:hAnsi="Verdana" w:cs="Arial"/>
        </w:rPr>
        <w:tab/>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343E12">
        <w:rPr>
          <w:rFonts w:ascii="Verdana" w:eastAsia="Calibri" w:hAnsi="Verdana" w:cs="Arial"/>
          <w:vertAlign w:val="superscript"/>
        </w:rPr>
        <w:footnoteReference w:id="2"/>
      </w:r>
      <w:r w:rsidRPr="00343E12">
        <w:rPr>
          <w:rFonts w:ascii="Verdana" w:eastAsia="Calibri" w:hAnsi="Verdana" w:cs="Arial"/>
        </w:rPr>
        <w:t>. En esta medida, introduce limitaciones para realizar nombramientos, postulaciones, contrataciones o cualquier otro tipo de actividad que implique destinación de recursos públicos bajo el devenir propio de las entidades estatales.</w:t>
      </w:r>
    </w:p>
    <w:p w14:paraId="4BA2434A" w14:textId="77777777" w:rsidR="00D15EA7" w:rsidRPr="00343E12" w:rsidRDefault="00D15EA7" w:rsidP="00D15EA7">
      <w:pPr>
        <w:tabs>
          <w:tab w:val="left" w:pos="142"/>
          <w:tab w:val="left" w:pos="284"/>
        </w:tabs>
        <w:spacing w:after="120" w:line="276" w:lineRule="auto"/>
        <w:ind w:firstLine="142"/>
        <w:jc w:val="both"/>
        <w:rPr>
          <w:rFonts w:ascii="Verdana" w:eastAsia="Calibri" w:hAnsi="Verdana" w:cs="Arial"/>
        </w:rPr>
      </w:pPr>
      <w:r w:rsidRPr="00343E12">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AFC5609" w14:textId="77777777" w:rsidR="00D15EA7" w:rsidRPr="00343E12" w:rsidRDefault="00D15EA7" w:rsidP="00D15EA7">
      <w:pPr>
        <w:spacing w:after="0" w:line="240" w:lineRule="auto"/>
        <w:ind w:left="709" w:right="709"/>
        <w:contextualSpacing/>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ES" w:eastAsia="es-CO"/>
        </w:rPr>
        <w:t xml:space="preserve">“[…] </w:t>
      </w:r>
      <w:r w:rsidRPr="00343E12">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D7D5D2E" w14:textId="77777777" w:rsidR="00D15EA7" w:rsidRPr="00343E12" w:rsidRDefault="00D15EA7" w:rsidP="00D15EA7">
      <w:pPr>
        <w:spacing w:after="0" w:line="240" w:lineRule="auto"/>
        <w:ind w:left="709" w:right="709"/>
        <w:contextualSpacing/>
        <w:jc w:val="both"/>
        <w:rPr>
          <w:rFonts w:ascii="Verdana" w:eastAsia="Times New Roman" w:hAnsi="Verdana" w:cs="Arial"/>
          <w:sz w:val="20"/>
          <w:szCs w:val="20"/>
          <w:lang w:val="es-MX" w:eastAsia="es-CO"/>
        </w:rPr>
      </w:pPr>
    </w:p>
    <w:p w14:paraId="3D6C733F" w14:textId="77777777" w:rsidR="00D15EA7" w:rsidRPr="00343E12" w:rsidRDefault="00D15EA7" w:rsidP="00D15EA7">
      <w:pPr>
        <w:spacing w:after="0" w:line="240" w:lineRule="auto"/>
        <w:ind w:left="709" w:right="709"/>
        <w:contextualSpacing/>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t xml:space="preserve">[…] </w:t>
      </w:r>
    </w:p>
    <w:p w14:paraId="048E00F2" w14:textId="77777777" w:rsidR="00D15EA7" w:rsidRPr="00343E12" w:rsidRDefault="00D15EA7" w:rsidP="00D15EA7">
      <w:pPr>
        <w:spacing w:after="0" w:line="240" w:lineRule="auto"/>
        <w:ind w:left="709" w:right="709"/>
        <w:contextualSpacing/>
        <w:jc w:val="both"/>
        <w:rPr>
          <w:rFonts w:ascii="Verdana" w:eastAsia="Times New Roman" w:hAnsi="Verdana" w:cs="Arial"/>
          <w:sz w:val="20"/>
          <w:szCs w:val="20"/>
          <w:lang w:val="es-MX" w:eastAsia="es-CO"/>
        </w:rPr>
      </w:pPr>
    </w:p>
    <w:p w14:paraId="56C6FB36" w14:textId="77777777" w:rsidR="00D15EA7" w:rsidRPr="00343E12" w:rsidRDefault="00D15EA7" w:rsidP="00D15EA7">
      <w:pPr>
        <w:spacing w:after="0" w:line="240" w:lineRule="auto"/>
        <w:ind w:left="709" w:right="709"/>
        <w:contextualSpacing/>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343E12">
        <w:rPr>
          <w:rFonts w:ascii="Verdana" w:eastAsia="Calibri" w:hAnsi="Verdana" w:cs="Arial"/>
          <w:sz w:val="20"/>
          <w:szCs w:val="20"/>
          <w:vertAlign w:val="superscript"/>
          <w:lang w:val="es-MX"/>
        </w:rPr>
        <w:footnoteReference w:id="3"/>
      </w:r>
      <w:r w:rsidRPr="00343E12">
        <w:rPr>
          <w:rFonts w:ascii="Verdana" w:eastAsia="Times New Roman" w:hAnsi="Verdana" w:cs="Arial"/>
          <w:sz w:val="20"/>
          <w:szCs w:val="20"/>
          <w:lang w:val="es-MX" w:eastAsia="es-CO"/>
        </w:rPr>
        <w:t>.</w:t>
      </w:r>
    </w:p>
    <w:p w14:paraId="2AA02268" w14:textId="77777777" w:rsidR="00D15EA7" w:rsidRPr="00343E12" w:rsidRDefault="00D15EA7" w:rsidP="00D15EA7">
      <w:pPr>
        <w:spacing w:after="0" w:line="240" w:lineRule="auto"/>
        <w:ind w:firstLine="709"/>
        <w:jc w:val="both"/>
        <w:rPr>
          <w:rFonts w:ascii="Verdana" w:eastAsia="Times New Roman" w:hAnsi="Verdana" w:cs="Arial"/>
          <w:lang w:val="es-MX" w:eastAsia="es-CO"/>
        </w:rPr>
      </w:pPr>
    </w:p>
    <w:p w14:paraId="5C54B6D0" w14:textId="77777777" w:rsidR="00D15EA7" w:rsidRPr="00343E12" w:rsidRDefault="00D15EA7" w:rsidP="00D15EA7">
      <w:pPr>
        <w:spacing w:after="120" w:line="276" w:lineRule="auto"/>
        <w:ind w:firstLine="709"/>
        <w:jc w:val="both"/>
        <w:rPr>
          <w:rFonts w:ascii="Verdana" w:eastAsia="Times New Roman" w:hAnsi="Verdana" w:cs="Arial"/>
          <w:lang w:val="es-MX" w:eastAsia="es-CO"/>
        </w:rPr>
      </w:pPr>
      <w:r w:rsidRPr="00343E12">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14:paraId="38F62AE5" w14:textId="77777777" w:rsidR="00D15EA7" w:rsidRPr="00343E12" w:rsidRDefault="00D15EA7" w:rsidP="00D15EA7">
      <w:pPr>
        <w:spacing w:after="0" w:line="240" w:lineRule="auto"/>
        <w:ind w:left="709" w:right="709"/>
        <w:contextualSpacing/>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6D86B28" w14:textId="77777777" w:rsidR="00D15EA7" w:rsidRPr="00343E12" w:rsidRDefault="00D15EA7" w:rsidP="00D15EA7">
      <w:pPr>
        <w:spacing w:after="0" w:line="240" w:lineRule="auto"/>
        <w:ind w:right="709"/>
        <w:contextualSpacing/>
        <w:jc w:val="both"/>
        <w:rPr>
          <w:rFonts w:ascii="Verdana" w:eastAsia="Times New Roman" w:hAnsi="Verdana" w:cs="Arial"/>
          <w:lang w:val="es-MX" w:eastAsia="es-CO"/>
        </w:rPr>
      </w:pPr>
    </w:p>
    <w:p w14:paraId="4793C0D0" w14:textId="77777777" w:rsidR="00D15EA7" w:rsidRPr="00343E12" w:rsidRDefault="00D15EA7" w:rsidP="00D15EA7">
      <w:pPr>
        <w:spacing w:after="0" w:line="240" w:lineRule="auto"/>
        <w:ind w:left="709" w:right="709"/>
        <w:contextualSpacing/>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t>La jurisprudencia de la Corte Constitucional</w:t>
      </w:r>
      <w:r w:rsidRPr="00343E12">
        <w:rPr>
          <w:rFonts w:ascii="Verdana" w:eastAsia="Times New Roman" w:hAnsi="Verdana" w:cs="Arial"/>
          <w:sz w:val="20"/>
          <w:szCs w:val="20"/>
          <w:vertAlign w:val="superscript"/>
          <w:lang w:val="es-MX" w:eastAsia="es-CO"/>
        </w:rPr>
        <w:footnoteReference w:id="4"/>
      </w:r>
      <w:r w:rsidRPr="00343E12">
        <w:rPr>
          <w:rFonts w:ascii="Verdana" w:eastAsia="Times New Roman" w:hAnsi="Verdana" w:cs="Arial"/>
          <w:sz w:val="20"/>
          <w:szCs w:val="20"/>
          <w:lang w:val="es-MX" w:eastAsia="es-CO"/>
        </w:rPr>
        <w:t> y del Consejo de Estado</w:t>
      </w:r>
      <w:r w:rsidRPr="00343E12">
        <w:rPr>
          <w:rFonts w:ascii="Verdana" w:eastAsia="Times New Roman" w:hAnsi="Verdana" w:cs="Arial"/>
          <w:sz w:val="20"/>
          <w:szCs w:val="20"/>
          <w:vertAlign w:val="superscript"/>
          <w:lang w:val="es-MX" w:eastAsia="es-CO"/>
        </w:rPr>
        <w:footnoteReference w:id="5"/>
      </w:r>
      <w:r w:rsidRPr="00343E12">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w:t>
      </w:r>
      <w:r w:rsidRPr="00343E12">
        <w:rPr>
          <w:rFonts w:ascii="Verdana" w:eastAsia="Times New Roman" w:hAnsi="Verdana" w:cs="Arial"/>
          <w:sz w:val="20"/>
          <w:szCs w:val="20"/>
          <w:lang w:val="es-MX" w:eastAsia="es-CO"/>
        </w:rPr>
        <w:lastRenderedPageBreak/>
        <w:t>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343E12">
        <w:rPr>
          <w:rFonts w:ascii="Verdana" w:eastAsia="Times New Roman" w:hAnsi="Verdana" w:cs="Arial"/>
          <w:sz w:val="20"/>
          <w:szCs w:val="20"/>
          <w:vertAlign w:val="superscript"/>
          <w:lang w:val="es-MX" w:eastAsia="es-CO"/>
        </w:rPr>
        <w:footnoteReference w:id="6"/>
      </w:r>
      <w:r w:rsidRPr="00343E12">
        <w:rPr>
          <w:rFonts w:ascii="Verdana" w:eastAsia="Times New Roman" w:hAnsi="Verdana" w:cs="Arial"/>
          <w:sz w:val="20"/>
          <w:szCs w:val="20"/>
          <w:lang w:val="es-MX" w:eastAsia="es-CO"/>
        </w:rPr>
        <w:t>.</w:t>
      </w:r>
    </w:p>
    <w:p w14:paraId="0A58B8E4" w14:textId="77777777" w:rsidR="00D15EA7" w:rsidRPr="00343E12" w:rsidRDefault="00D15EA7" w:rsidP="00D15EA7">
      <w:pPr>
        <w:spacing w:after="0" w:line="276" w:lineRule="auto"/>
        <w:jc w:val="both"/>
        <w:rPr>
          <w:rFonts w:ascii="Verdana" w:eastAsia="Calibri" w:hAnsi="Verdana" w:cs="Arial"/>
          <w:bCs/>
          <w:lang w:val="es-ES_tradnl"/>
        </w:rPr>
      </w:pPr>
    </w:p>
    <w:p w14:paraId="08B9C7B1" w14:textId="77777777" w:rsidR="00D15EA7" w:rsidRPr="00343E12" w:rsidRDefault="00D15EA7" w:rsidP="00D15EA7">
      <w:pPr>
        <w:spacing w:after="0" w:line="276" w:lineRule="auto"/>
        <w:ind w:firstLine="709"/>
        <w:jc w:val="both"/>
        <w:rPr>
          <w:rFonts w:ascii="Verdana" w:eastAsia="Arial" w:hAnsi="Verdana" w:cs="Arial"/>
          <w:lang w:val="es-ES" w:eastAsia="es-ES" w:bidi="es-ES"/>
        </w:rPr>
      </w:pPr>
      <w:r w:rsidRPr="00343E12">
        <w:rPr>
          <w:rFonts w:ascii="Verdana" w:eastAsia="Times New Roman" w:hAnsi="Verdana" w:cs="Arial"/>
          <w:lang w:val="es-MX" w:eastAsia="es-CO"/>
        </w:rPr>
        <w:t>De</w:t>
      </w:r>
      <w:r w:rsidRPr="00343E12">
        <w:rPr>
          <w:rFonts w:ascii="Verdana" w:eastAsia="Arial" w:hAnsi="Verdana" w:cs="Arial"/>
          <w:lang w:val="es-ES" w:eastAsia="es-ES" w:bidi="es-ES"/>
        </w:rPr>
        <w:t xml:space="preserve"> conformidad con lo anterior, </w:t>
      </w:r>
      <w:bookmarkStart w:id="4" w:name="_Hlk77236098"/>
      <w:bookmarkStart w:id="5" w:name="_Hlk100679383"/>
      <w:r w:rsidRPr="00343E12">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A2E8201" w14:textId="77777777" w:rsidR="00D15EA7" w:rsidRPr="00343E12" w:rsidRDefault="00D15EA7" w:rsidP="00D15EA7">
      <w:pPr>
        <w:spacing w:after="0" w:line="240" w:lineRule="auto"/>
        <w:ind w:firstLine="709"/>
        <w:jc w:val="both"/>
        <w:rPr>
          <w:rFonts w:ascii="Verdana" w:eastAsia="Arial" w:hAnsi="Verdana" w:cs="Arial"/>
          <w:lang w:val="es-ES" w:eastAsia="es-ES" w:bidi="es-ES"/>
        </w:rPr>
      </w:pPr>
    </w:p>
    <w:p w14:paraId="453E3CC0" w14:textId="77777777" w:rsidR="00D15EA7" w:rsidRPr="00343E12" w:rsidRDefault="00D15EA7" w:rsidP="00D15EA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7FAD6A29" w14:textId="77777777" w:rsidR="00D15EA7" w:rsidRPr="00343E12" w:rsidRDefault="00D15EA7" w:rsidP="00D15EA7">
      <w:pPr>
        <w:spacing w:after="120" w:line="276" w:lineRule="auto"/>
        <w:ind w:firstLine="708"/>
        <w:jc w:val="both"/>
        <w:rPr>
          <w:rFonts w:ascii="Verdana" w:eastAsia="Calibri" w:hAnsi="Verdana" w:cs="Arial"/>
        </w:rPr>
      </w:pPr>
      <w:r w:rsidRPr="00343E12">
        <w:rPr>
          <w:rFonts w:ascii="Verdana" w:eastAsia="Calibri" w:hAnsi="Verdana" w:cs="Arial"/>
        </w:rPr>
        <w:t xml:space="preserve">Por un lado, el </w:t>
      </w:r>
      <w:r w:rsidRPr="00343E12">
        <w:rPr>
          <w:rFonts w:ascii="Verdana" w:eastAsia="Calibri" w:hAnsi="Verdana" w:cs="Arial"/>
          <w:i/>
          <w:iCs/>
        </w:rPr>
        <w:t>artículo 33 de la Ley 996 de 2005</w:t>
      </w:r>
      <w:r w:rsidRPr="00343E12">
        <w:rPr>
          <w:rFonts w:ascii="Verdana" w:eastAsia="Calibri" w:hAnsi="Verdana" w:cs="Arial"/>
        </w:rPr>
        <w:t xml:space="preserve"> prohíbe “(…) la contratación directa por parte de todos los entes del Estado (…)”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r w:rsidRPr="00343E12">
        <w:rPr>
          <w:rFonts w:ascii="Verdana" w:eastAsia="Calibri" w:hAnsi="Verdana" w:cs="Arial"/>
          <w:vertAlign w:val="superscript"/>
        </w:rPr>
        <w:footnoteReference w:id="7"/>
      </w:r>
      <w:r w:rsidRPr="00343E12">
        <w:rPr>
          <w:rFonts w:ascii="Verdana" w:eastAsia="Calibri" w:hAnsi="Verdana" w:cs="Arial"/>
        </w:rPr>
        <w:t>.</w:t>
      </w:r>
    </w:p>
    <w:p w14:paraId="3ACEB3FC" w14:textId="77777777" w:rsidR="00D15EA7" w:rsidRPr="00343E12" w:rsidRDefault="00D15EA7" w:rsidP="00D15EA7">
      <w:pPr>
        <w:widowControl w:val="0"/>
        <w:autoSpaceDE w:val="0"/>
        <w:autoSpaceDN w:val="0"/>
        <w:spacing w:after="120" w:line="276" w:lineRule="auto"/>
        <w:ind w:right="113" w:firstLine="709"/>
        <w:jc w:val="both"/>
        <w:rPr>
          <w:rFonts w:ascii="Verdana" w:eastAsia="Arial" w:hAnsi="Verdana" w:cs="Arial"/>
          <w:lang w:val="es-ES" w:eastAsia="es-ES" w:bidi="es-ES"/>
        </w:rPr>
      </w:pPr>
      <w:r w:rsidRPr="00343E12">
        <w:rPr>
          <w:rFonts w:ascii="Verdana" w:eastAsia="Calibri" w:hAnsi="Verdana" w:cs="Arial"/>
        </w:rPr>
        <w:lastRenderedPageBreak/>
        <w:t xml:space="preserve">Por otro lado, </w:t>
      </w:r>
      <w:r w:rsidRPr="00343E12">
        <w:rPr>
          <w:rFonts w:ascii="Verdana" w:eastAsia="Calibri" w:hAnsi="Verdana" w:cs="Arial"/>
          <w:i/>
          <w:iCs/>
        </w:rPr>
        <w:t>el parágrafo del artículo 38 de la Ley 996 de 2005</w:t>
      </w:r>
      <w:r w:rsidRPr="00343E12">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343E12">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r w:rsidRPr="00343E12">
        <w:rPr>
          <w:rFonts w:ascii="Verdana" w:eastAsia="Calibri" w:hAnsi="Verdana" w:cs="Arial"/>
        </w:rPr>
        <w:t>”</w:t>
      </w:r>
      <w:bookmarkEnd w:id="5"/>
      <w:r w:rsidRPr="00343E12">
        <w:rPr>
          <w:rFonts w:ascii="Verdana" w:eastAsia="Calibri" w:hAnsi="Verdana" w:cs="Arial"/>
          <w:vertAlign w:val="superscript"/>
        </w:rPr>
        <w:footnoteReference w:id="8"/>
      </w:r>
      <w:r w:rsidRPr="00343E12">
        <w:rPr>
          <w:rFonts w:ascii="Verdana" w:eastAsia="Calibri" w:hAnsi="Verdana" w:cs="Arial"/>
          <w:lang w:val="es-MX"/>
        </w:rPr>
        <w:t>.</w:t>
      </w:r>
      <w:r w:rsidRPr="00343E12">
        <w:rPr>
          <w:rFonts w:ascii="Verdana" w:eastAsia="Arial" w:hAnsi="Verdana" w:cs="Arial"/>
          <w:lang w:val="es-ES" w:eastAsia="es-ES" w:bidi="es-ES"/>
        </w:rPr>
        <w:t xml:space="preserve"> </w:t>
      </w:r>
    </w:p>
    <w:p w14:paraId="26DBA596" w14:textId="77777777" w:rsidR="00D15EA7" w:rsidRPr="00343E12" w:rsidRDefault="00D15EA7" w:rsidP="00D15EA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343E1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536C3991" w14:textId="77777777" w:rsidR="00D15EA7" w:rsidRPr="00343E12" w:rsidRDefault="00D15EA7" w:rsidP="00D15EA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9E953DA" w14:textId="77777777" w:rsidR="00D15EA7" w:rsidRPr="00343E12" w:rsidRDefault="00D15EA7" w:rsidP="00D15EA7">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343E12">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343E12">
        <w:rPr>
          <w:rFonts w:ascii="Verdana" w:eastAsia="Arial" w:hAnsi="Verdana" w:cs="Arial"/>
          <w:sz w:val="20"/>
          <w:szCs w:val="20"/>
          <w:vertAlign w:val="superscript"/>
          <w:lang w:eastAsia="es-ES" w:bidi="es-ES"/>
        </w:rPr>
        <w:footnoteReference w:id="9"/>
      </w:r>
      <w:r w:rsidRPr="00343E12">
        <w:rPr>
          <w:rFonts w:ascii="Verdana" w:eastAsia="Arial" w:hAnsi="Verdana" w:cs="Arial"/>
          <w:sz w:val="20"/>
          <w:szCs w:val="20"/>
          <w:lang w:eastAsia="es-ES" w:bidi="es-ES"/>
        </w:rPr>
        <w:t>.</w:t>
      </w:r>
    </w:p>
    <w:p w14:paraId="0742CCC8" w14:textId="77777777" w:rsidR="00D15EA7" w:rsidRPr="00343E12" w:rsidRDefault="00D15EA7" w:rsidP="00D15EA7">
      <w:pPr>
        <w:widowControl w:val="0"/>
        <w:autoSpaceDE w:val="0"/>
        <w:autoSpaceDN w:val="0"/>
        <w:spacing w:after="0" w:line="240" w:lineRule="auto"/>
        <w:contextualSpacing/>
        <w:rPr>
          <w:rFonts w:ascii="Verdana" w:eastAsia="Arial" w:hAnsi="Verdana" w:cs="Arial"/>
          <w:lang w:val="es-ES" w:eastAsia="es-ES" w:bidi="es-ES"/>
        </w:rPr>
      </w:pPr>
    </w:p>
    <w:p w14:paraId="28B6CE6D" w14:textId="77777777" w:rsidR="00D15EA7" w:rsidRPr="00343E12" w:rsidRDefault="00D15EA7" w:rsidP="00D15EA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343E12">
        <w:rPr>
          <w:rFonts w:ascii="Verdana" w:eastAsia="Arial" w:hAnsi="Verdana" w:cs="Arial"/>
          <w:i/>
          <w:iCs/>
          <w:lang w:val="es-ES" w:eastAsia="es-ES" w:bidi="es-ES"/>
        </w:rPr>
        <w:t>En primer lugar</w:t>
      </w:r>
      <w:r w:rsidRPr="00343E12">
        <w:rPr>
          <w:rFonts w:ascii="Verdana" w:eastAsia="Arial" w:hAnsi="Verdana" w:cs="Arial"/>
          <w:lang w:val="es-ES" w:eastAsia="es-ES" w:bidi="es-ES"/>
        </w:rPr>
        <w:t xml:space="preserve">, la del artículo 33 que aplica solo respecto de las elecciones </w:t>
      </w:r>
      <w:r w:rsidRPr="00343E12">
        <w:rPr>
          <w:rFonts w:ascii="Verdana" w:eastAsia="Arial" w:hAnsi="Verdana" w:cs="Arial"/>
          <w:lang w:val="es-ES" w:eastAsia="es-ES" w:bidi="es-ES"/>
        </w:rPr>
        <w:lastRenderedPageBreak/>
        <w:t xml:space="preserve">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081A072A" w14:textId="77777777" w:rsidR="00D15EA7" w:rsidRPr="00343E12" w:rsidRDefault="00D15EA7" w:rsidP="00D15EA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i/>
          <w:iCs/>
          <w:lang w:val="es-ES" w:eastAsia="es-ES" w:bidi="es-ES"/>
        </w:rPr>
        <w:t>En segundo lugar</w:t>
      </w:r>
      <w:r w:rsidRPr="00343E1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9918862" w14:textId="77777777" w:rsidR="00D15EA7" w:rsidRPr="00343E12" w:rsidRDefault="00D15EA7" w:rsidP="00D15EA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0F2A054D" w14:textId="77777777" w:rsidR="00D15EA7" w:rsidRPr="00343E12" w:rsidRDefault="00D15EA7" w:rsidP="00D15EA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y el Vicepresidente de la República, ha perdido vigencia ante la prohibición de la reelección presidencial, restablecida por el Acto Legislativo 2 de 2015. Esto excepto para el </w:t>
      </w:r>
      <w:proofErr w:type="gramStart"/>
      <w:r w:rsidRPr="00343E12">
        <w:rPr>
          <w:rFonts w:ascii="Verdana" w:eastAsia="Arial" w:hAnsi="Verdana" w:cs="Arial"/>
          <w:lang w:val="es-ES" w:eastAsia="es-ES" w:bidi="es-ES"/>
        </w:rPr>
        <w:t>Vicepresidente</w:t>
      </w:r>
      <w:proofErr w:type="gramEnd"/>
      <w:r w:rsidRPr="00343E12">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A1A0B73" w14:textId="77777777" w:rsidR="00D15EA7" w:rsidRPr="00343E12" w:rsidRDefault="00D15EA7" w:rsidP="00D15EA7">
      <w:pPr>
        <w:widowControl w:val="0"/>
        <w:spacing w:after="120" w:line="276" w:lineRule="auto"/>
        <w:ind w:right="113" w:firstLine="709"/>
        <w:jc w:val="both"/>
        <w:rPr>
          <w:rFonts w:ascii="Verdana" w:eastAsia="Times New Roman" w:hAnsi="Verdana" w:cs="Arial"/>
          <w:bCs/>
          <w:lang w:eastAsia="es-CO"/>
        </w:rPr>
      </w:pPr>
      <w:r w:rsidRPr="00343E12">
        <w:rPr>
          <w:rFonts w:ascii="Verdana" w:eastAsia="Times New Roman" w:hAnsi="Verdana" w:cs="Arial"/>
          <w:bCs/>
          <w:lang w:val="es-MX" w:eastAsia="es-CO"/>
        </w:rPr>
        <w:lastRenderedPageBreak/>
        <w:t>Para entender el momento de aplicación de estas restricciones, es preciso señalar que el vocablo “celebrar” es definido por el Diccionario Panhispánico del Español Jurídico como: “</w:t>
      </w:r>
      <w:r w:rsidRPr="00343E12">
        <w:rPr>
          <w:rFonts w:ascii="Verdana" w:eastAsia="Times New Roman" w:hAnsi="Verdana" w:cs="Arial"/>
          <w:bCs/>
          <w:lang w:eastAsia="es-CO"/>
        </w:rPr>
        <w:t>1. </w:t>
      </w:r>
      <w:r w:rsidRPr="00343E12">
        <w:rPr>
          <w:rFonts w:ascii="Verdana" w:eastAsia="Times New Roman" w:hAnsi="Verdana" w:cs="Arial"/>
          <w:bCs/>
          <w:i/>
          <w:iCs/>
          <w:lang w:eastAsia="es-CO"/>
        </w:rPr>
        <w:t>Gral.</w:t>
      </w:r>
      <w:r w:rsidRPr="00343E12">
        <w:rPr>
          <w:rFonts w:ascii="Verdana" w:eastAsia="Times New Roman" w:hAnsi="Verdana" w:cs="Arial"/>
          <w:bCs/>
          <w:lang w:eastAsia="es-CO"/>
        </w:rPr>
        <w:t xml:space="preserve"> Otorgar o firmar un contrato. 2. </w:t>
      </w:r>
      <w:proofErr w:type="spellStart"/>
      <w:r w:rsidRPr="00343E12">
        <w:rPr>
          <w:rFonts w:ascii="Verdana" w:eastAsia="Times New Roman" w:hAnsi="Verdana" w:cs="Arial"/>
          <w:bCs/>
          <w:i/>
          <w:iCs/>
          <w:lang w:eastAsia="es-CO"/>
        </w:rPr>
        <w:t>Proc</w:t>
      </w:r>
      <w:proofErr w:type="spellEnd"/>
      <w:r w:rsidRPr="00343E12">
        <w:rPr>
          <w:rFonts w:ascii="Verdana" w:eastAsia="Times New Roman" w:hAnsi="Verdana" w:cs="Arial"/>
          <w:bCs/>
          <w:i/>
          <w:iCs/>
          <w:lang w:eastAsia="es-CO"/>
        </w:rPr>
        <w:t>.</w:t>
      </w:r>
      <w:r w:rsidRPr="00343E12">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343628A0" w14:textId="77777777" w:rsidR="00D15EA7" w:rsidRPr="00343E12" w:rsidRDefault="00D15EA7" w:rsidP="00D15EA7">
      <w:pPr>
        <w:spacing w:after="120" w:line="276" w:lineRule="auto"/>
        <w:ind w:firstLine="708"/>
        <w:jc w:val="both"/>
        <w:rPr>
          <w:rFonts w:ascii="Verdana" w:eastAsia="Times New Roman" w:hAnsi="Verdana" w:cs="Arial"/>
          <w:bCs/>
          <w:lang w:val="es-ES" w:eastAsia="es-CO"/>
        </w:rPr>
      </w:pPr>
      <w:r w:rsidRPr="00343E12">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343E12">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343E12">
        <w:rPr>
          <w:rFonts w:ascii="Verdana" w:eastAsia="Times New Roman" w:hAnsi="Verdana" w:cs="Arial"/>
          <w:bCs/>
          <w:i/>
          <w:lang w:val="es-ES" w:eastAsia="es-CO"/>
        </w:rPr>
        <w:t>ibídem</w:t>
      </w:r>
      <w:proofErr w:type="spellEnd"/>
      <w:r w:rsidRPr="00343E12">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1CC1408B" w14:textId="77777777" w:rsidR="00D15EA7" w:rsidRPr="00343E12" w:rsidRDefault="00D15EA7" w:rsidP="00D15EA7">
      <w:pPr>
        <w:spacing w:after="120" w:line="276" w:lineRule="auto"/>
        <w:ind w:firstLine="708"/>
        <w:jc w:val="both"/>
        <w:rPr>
          <w:rFonts w:ascii="Verdana" w:eastAsia="Times New Roman" w:hAnsi="Verdana" w:cs="Arial"/>
          <w:bCs/>
          <w:lang w:val="es-ES" w:eastAsia="es-CO"/>
        </w:rPr>
      </w:pPr>
      <w:r w:rsidRPr="00343E12">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3CD5D3BC" w14:textId="77777777" w:rsidR="00D15EA7" w:rsidRPr="00343E12" w:rsidRDefault="00D15EA7" w:rsidP="00D15EA7">
      <w:pPr>
        <w:spacing w:after="0" w:line="276" w:lineRule="auto"/>
        <w:ind w:firstLine="708"/>
        <w:jc w:val="both"/>
        <w:rPr>
          <w:rFonts w:ascii="Verdana" w:eastAsia="Times New Roman" w:hAnsi="Verdana" w:cs="Arial"/>
          <w:bCs/>
          <w:lang w:val="es-ES" w:eastAsia="es-CO"/>
        </w:rPr>
      </w:pPr>
      <w:r w:rsidRPr="00343E12">
        <w:rPr>
          <w:rFonts w:ascii="Verdana" w:eastAsia="Times New Roman" w:hAnsi="Verdana" w:cs="Arial"/>
          <w:bCs/>
          <w:lang w:val="es-ES" w:eastAsia="es-CO"/>
        </w:rPr>
        <w:t xml:space="preserve">Así mismo, </w:t>
      </w:r>
      <w:r w:rsidRPr="00343E12">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343E12">
        <w:rPr>
          <w:rFonts w:ascii="Verdana" w:eastAsia="Times New Roman" w:hAnsi="Verdana" w:cs="Arial"/>
          <w:bCs/>
          <w:vertAlign w:val="superscript"/>
          <w:lang w:val="es-MX" w:eastAsia="es-CO"/>
        </w:rPr>
        <w:footnoteReference w:id="10"/>
      </w:r>
      <w:r w:rsidRPr="00343E12">
        <w:rPr>
          <w:rFonts w:ascii="Verdana" w:eastAsia="Times New Roman" w:hAnsi="Verdana" w:cs="Arial"/>
          <w:bCs/>
          <w:lang w:val="es-MX" w:eastAsia="es-CO"/>
        </w:rPr>
        <w:t xml:space="preserve">. </w:t>
      </w:r>
    </w:p>
    <w:p w14:paraId="7228B8D2" w14:textId="77777777" w:rsidR="00D15EA7" w:rsidRPr="00343E12" w:rsidRDefault="00D15EA7" w:rsidP="00D15EA7">
      <w:pPr>
        <w:spacing w:after="0" w:line="240" w:lineRule="auto"/>
        <w:jc w:val="both"/>
        <w:rPr>
          <w:rFonts w:ascii="Verdana" w:eastAsia="Arial" w:hAnsi="Verdana" w:cs="Arial"/>
          <w:lang w:val="es-ES" w:eastAsia="es-ES" w:bidi="es-ES"/>
        </w:rPr>
      </w:pPr>
    </w:p>
    <w:p w14:paraId="1F475537" w14:textId="77777777" w:rsidR="00D15EA7" w:rsidRPr="00343E12" w:rsidRDefault="00D15EA7" w:rsidP="00D15EA7">
      <w:pPr>
        <w:spacing w:after="0" w:line="276" w:lineRule="auto"/>
        <w:ind w:firstLine="709"/>
        <w:jc w:val="both"/>
        <w:rPr>
          <w:rFonts w:ascii="Verdana" w:eastAsia="Times New Roman" w:hAnsi="Verdana" w:cs="Arial"/>
          <w:i/>
          <w:lang w:val="es-MX" w:eastAsia="es-CO" w:bidi="es-ES"/>
        </w:rPr>
      </w:pPr>
      <w:r w:rsidRPr="00343E12">
        <w:rPr>
          <w:rFonts w:ascii="Verdana" w:eastAsia="Arial" w:hAnsi="Verdana" w:cs="Arial"/>
          <w:lang w:val="es-ES" w:eastAsia="es-ES" w:bidi="es-ES"/>
        </w:rPr>
        <w:t xml:space="preserve">Ahora bien, </w:t>
      </w:r>
      <w:r w:rsidRPr="00343E12">
        <w:rPr>
          <w:rFonts w:ascii="Verdana" w:eastAsia="Calibri" w:hAnsi="Verdana" w:cs="Arial"/>
          <w:lang w:eastAsia="es-ES" w:bidi="es-ES"/>
        </w:rPr>
        <w:t xml:space="preserve">para responder al problema jurídico planteado resulta necesario precisar el alcance de la prohibición </w:t>
      </w:r>
      <w:r w:rsidRPr="00343E12">
        <w:rPr>
          <w:rFonts w:ascii="Verdana" w:eastAsia="Arial" w:hAnsi="Verdana" w:cs="Arial"/>
          <w:lang w:val="es-ES" w:eastAsia="es-ES" w:bidi="es-ES"/>
        </w:rPr>
        <w:t>establecida en e</w:t>
      </w:r>
      <w:r w:rsidRPr="00343E12">
        <w:rPr>
          <w:rFonts w:ascii="Verdana" w:eastAsia="Calibri" w:hAnsi="Verdana" w:cs="Arial"/>
        </w:rPr>
        <w:t xml:space="preserve">l </w:t>
      </w:r>
      <w:r w:rsidRPr="00343E12">
        <w:rPr>
          <w:rFonts w:ascii="Verdana" w:eastAsia="Times New Roman" w:hAnsi="Verdana" w:cs="Arial"/>
          <w:lang w:val="es-MX"/>
        </w:rPr>
        <w:t xml:space="preserve">artículo 33 de la Ley 996 de 2005. El ámbito material de la prohibición contenida en esta disposición está delimitado por la expresión </w:t>
      </w:r>
      <w:r w:rsidRPr="00343E12">
        <w:rPr>
          <w:rFonts w:ascii="Verdana" w:eastAsia="Calibri" w:hAnsi="Verdana" w:cs="Arial"/>
          <w:lang w:val="es-MX"/>
        </w:rPr>
        <w:t>“</w:t>
      </w:r>
      <w:r w:rsidRPr="00343E12">
        <w:rPr>
          <w:rFonts w:ascii="Verdana" w:eastAsia="Times New Roman" w:hAnsi="Verdana" w:cs="Arial"/>
          <w:lang w:val="es-MX"/>
        </w:rPr>
        <w:t>queda prohibida la contratación directa</w:t>
      </w:r>
      <w:r w:rsidRPr="00343E12">
        <w:rPr>
          <w:rFonts w:ascii="Verdana" w:eastAsia="Calibri" w:hAnsi="Verdana" w:cs="Arial"/>
          <w:lang w:val="es-MX"/>
        </w:rPr>
        <w:t>”</w:t>
      </w:r>
      <w:r w:rsidRPr="00343E12">
        <w:rPr>
          <w:rFonts w:ascii="Verdana" w:eastAsia="Times New Roman" w:hAnsi="Verdana" w:cs="Arial"/>
          <w:lang w:val="es-MX"/>
        </w:rPr>
        <w:t xml:space="preserve">. </w:t>
      </w:r>
      <w:r w:rsidRPr="00343E12">
        <w:rPr>
          <w:rFonts w:ascii="Verdana" w:eastAsia="Times New Roman" w:hAnsi="Verdana" w:cs="Arial"/>
          <w:lang w:val="es-MX" w:eastAsia="es-CO"/>
        </w:rPr>
        <w:t xml:space="preserve">A propósito de </w:t>
      </w:r>
      <w:r w:rsidRPr="00343E12">
        <w:rPr>
          <w:rFonts w:ascii="Verdana" w:eastAsia="Times New Roman" w:hAnsi="Verdana" w:cs="Arial"/>
          <w:lang w:eastAsia="es-CO"/>
        </w:rPr>
        <w:t>esta restricción de la Ley de Garantías Electorales, la Sala de Consulta y Servicio Civil del Consejo de Estado ha considerado que:</w:t>
      </w:r>
    </w:p>
    <w:p w14:paraId="0E9CDB73" w14:textId="77777777" w:rsidR="00D15EA7" w:rsidRPr="00343E12" w:rsidRDefault="00D15EA7" w:rsidP="00D15EA7">
      <w:pPr>
        <w:spacing w:after="0" w:line="276" w:lineRule="auto"/>
        <w:ind w:left="708" w:right="709"/>
        <w:jc w:val="both"/>
        <w:rPr>
          <w:rFonts w:ascii="Verdana" w:eastAsia="Calibri" w:hAnsi="Verdana" w:cs="Arial"/>
          <w:lang w:val="es-MX"/>
        </w:rPr>
      </w:pPr>
    </w:p>
    <w:p w14:paraId="329B94A8" w14:textId="77777777" w:rsidR="00D15EA7" w:rsidRPr="00343E12" w:rsidRDefault="00D15EA7" w:rsidP="00D15EA7">
      <w:pPr>
        <w:spacing w:after="0" w:line="240" w:lineRule="auto"/>
        <w:ind w:left="709" w:right="709"/>
        <w:jc w:val="both"/>
        <w:rPr>
          <w:rFonts w:ascii="Verdana" w:eastAsia="Calibri" w:hAnsi="Verdana" w:cs="Arial"/>
          <w:sz w:val="20"/>
          <w:szCs w:val="20"/>
          <w:lang w:val="es-MX"/>
        </w:rPr>
      </w:pPr>
      <w:r w:rsidRPr="00343E1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43E12">
        <w:rPr>
          <w:rFonts w:ascii="Verdana" w:eastAsia="Times New Roman" w:hAnsi="Verdana" w:cs="Arial"/>
          <w:sz w:val="20"/>
          <w:szCs w:val="20"/>
          <w:vertAlign w:val="superscript"/>
          <w:lang w:eastAsia="es-CO"/>
        </w:rPr>
        <w:footnoteReference w:id="11"/>
      </w:r>
      <w:r w:rsidRPr="00343E12">
        <w:rPr>
          <w:rFonts w:ascii="Verdana" w:eastAsia="Calibri" w:hAnsi="Verdana" w:cs="Arial"/>
          <w:sz w:val="20"/>
          <w:szCs w:val="20"/>
          <w:lang w:val="es-MX"/>
        </w:rPr>
        <w:t>.</w:t>
      </w:r>
    </w:p>
    <w:p w14:paraId="15A2CE9F" w14:textId="77777777" w:rsidR="00D15EA7" w:rsidRPr="00343E12" w:rsidRDefault="00D15EA7" w:rsidP="00D15EA7">
      <w:pPr>
        <w:spacing w:after="0" w:line="240" w:lineRule="auto"/>
        <w:ind w:left="709" w:right="709"/>
        <w:jc w:val="both"/>
        <w:rPr>
          <w:rFonts w:ascii="Verdana" w:eastAsia="Calibri" w:hAnsi="Verdana" w:cs="Arial"/>
          <w:sz w:val="20"/>
          <w:szCs w:val="20"/>
          <w:lang w:val="es-MX"/>
        </w:rPr>
      </w:pPr>
    </w:p>
    <w:p w14:paraId="21DD5838" w14:textId="77777777" w:rsidR="00D15EA7" w:rsidRPr="00343E12" w:rsidRDefault="00D15EA7" w:rsidP="00D15EA7">
      <w:pPr>
        <w:spacing w:after="0" w:line="240" w:lineRule="auto"/>
        <w:ind w:left="709" w:right="709"/>
        <w:jc w:val="both"/>
        <w:rPr>
          <w:rFonts w:ascii="Verdana" w:eastAsia="Calibri" w:hAnsi="Verdana" w:cs="Arial"/>
          <w:sz w:val="20"/>
          <w:szCs w:val="20"/>
          <w:lang w:val="es-MX"/>
        </w:rPr>
      </w:pPr>
      <w:r w:rsidRPr="00343E12">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43E12">
        <w:rPr>
          <w:rFonts w:ascii="Verdana" w:eastAsia="Times New Roman" w:hAnsi="Verdana" w:cs="Arial"/>
          <w:sz w:val="20"/>
          <w:szCs w:val="20"/>
          <w:vertAlign w:val="superscript"/>
          <w:lang w:val="es-MX"/>
        </w:rPr>
        <w:footnoteReference w:id="12"/>
      </w:r>
      <w:r w:rsidRPr="00343E12">
        <w:rPr>
          <w:rFonts w:ascii="Verdana" w:eastAsia="Times New Roman" w:hAnsi="Verdana" w:cs="Arial"/>
          <w:sz w:val="20"/>
          <w:szCs w:val="20"/>
          <w:vertAlign w:val="superscript"/>
          <w:lang w:val="es-MX"/>
        </w:rPr>
        <w:t>.</w:t>
      </w:r>
      <w:r w:rsidRPr="00343E1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43E12">
        <w:rPr>
          <w:rFonts w:ascii="Verdana" w:eastAsia="Times New Roman" w:hAnsi="Verdana" w:cs="Arial"/>
          <w:sz w:val="20"/>
          <w:szCs w:val="20"/>
          <w:vertAlign w:val="superscript"/>
          <w:lang w:eastAsia="es-CO"/>
        </w:rPr>
        <w:footnoteReference w:id="13"/>
      </w:r>
      <w:r w:rsidRPr="00343E12">
        <w:rPr>
          <w:rFonts w:ascii="Verdana" w:eastAsia="Calibri" w:hAnsi="Verdana" w:cs="Arial"/>
          <w:sz w:val="20"/>
          <w:szCs w:val="20"/>
          <w:lang w:val="es-MX"/>
        </w:rPr>
        <w:t xml:space="preserve"> .</w:t>
      </w:r>
    </w:p>
    <w:p w14:paraId="438E277F" w14:textId="77777777" w:rsidR="00D15EA7" w:rsidRPr="00343E12" w:rsidRDefault="00D15EA7" w:rsidP="00D15EA7">
      <w:pPr>
        <w:shd w:val="clear" w:color="auto" w:fill="FFFFFF"/>
        <w:spacing w:after="0" w:line="276" w:lineRule="auto"/>
        <w:ind w:firstLine="709"/>
        <w:jc w:val="both"/>
        <w:rPr>
          <w:rFonts w:ascii="Verdana" w:eastAsia="Times New Roman" w:hAnsi="Verdana" w:cs="Arial"/>
          <w:lang w:eastAsia="x-none"/>
        </w:rPr>
      </w:pPr>
    </w:p>
    <w:p w14:paraId="3F8E1418" w14:textId="77777777" w:rsidR="00D15EA7" w:rsidRPr="00343E12" w:rsidRDefault="00D15EA7" w:rsidP="00D15EA7">
      <w:pPr>
        <w:spacing w:after="120" w:line="276" w:lineRule="auto"/>
        <w:ind w:firstLine="708"/>
        <w:jc w:val="both"/>
        <w:rPr>
          <w:rFonts w:ascii="Verdana" w:eastAsia="Times New Roman" w:hAnsi="Verdana" w:cs="Arial"/>
          <w:bCs/>
          <w:lang w:eastAsia="x-none"/>
        </w:rPr>
      </w:pPr>
      <w:r w:rsidRPr="00343E12">
        <w:rPr>
          <w:rFonts w:ascii="Verdana" w:eastAsia="Times New Roman" w:hAnsi="Verdana" w:cs="Arial"/>
          <w:lang w:eastAsia="x-none"/>
        </w:rPr>
        <w:t xml:space="preserve">De acuerdo con el citado concepto, la prohibición del artículo 33 de la Ley de Garantías Electorales se refiere a </w:t>
      </w:r>
      <w:r w:rsidRPr="00343E12">
        <w:rPr>
          <w:rFonts w:ascii="Verdana" w:eastAsia="Times New Roman" w:hAnsi="Verdana" w:cs="Arial"/>
          <w:sz w:val="19"/>
          <w:szCs w:val="19"/>
          <w:lang w:eastAsia="en-GB"/>
        </w:rPr>
        <w:t>“</w:t>
      </w:r>
      <w:r w:rsidRPr="00343E12">
        <w:rPr>
          <w:rFonts w:ascii="Verdana" w:eastAsia="Times New Roman" w:hAnsi="Verdana" w:cs="Arial"/>
          <w:lang w:eastAsia="x-none"/>
        </w:rPr>
        <w:t>cualquier sistema que no implique convocatoria pública y posibilidad de pluralidad de oferentes</w:t>
      </w:r>
      <w:r w:rsidRPr="00343E12">
        <w:rPr>
          <w:rFonts w:ascii="Verdana" w:eastAsia="Times New Roman" w:hAnsi="Verdana" w:cs="Arial"/>
          <w:lang w:eastAsia="en-GB"/>
        </w:rPr>
        <w:t>”</w:t>
      </w:r>
      <w:r w:rsidRPr="00343E12">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343E12">
        <w:rPr>
          <w:rFonts w:ascii="Verdana" w:eastAsia="Times New Roman" w:hAnsi="Verdana" w:cs="Arial"/>
          <w:lang w:val="es-ES_tradnl" w:eastAsia="x-none"/>
        </w:rPr>
        <w:t>y la mínima cuantía</w:t>
      </w:r>
      <w:r w:rsidRPr="00343E12" w:rsidDel="00A85D9F">
        <w:rPr>
          <w:rFonts w:ascii="Verdana" w:eastAsia="Times New Roman" w:hAnsi="Verdana" w:cs="Arial"/>
          <w:lang w:eastAsia="x-none"/>
        </w:rPr>
        <w:t xml:space="preserve"> </w:t>
      </w:r>
      <w:r w:rsidRPr="00343E12">
        <w:rPr>
          <w:rFonts w:ascii="Verdana" w:eastAsia="Times New Roman" w:hAnsi="Verdana" w:cs="Arial"/>
          <w:lang w:eastAsia="x-none"/>
        </w:rPr>
        <w:t xml:space="preserve">u otros previstos en normas especiales. Esta posición es congruente con la expedición de la Ley 1150 de 2007 que, entre otras reformas, </w:t>
      </w:r>
      <w:r w:rsidRPr="00343E12">
        <w:rPr>
          <w:rFonts w:ascii="Verdana" w:eastAsia="Times New Roman" w:hAnsi="Verdana" w:cs="Arial"/>
          <w:lang w:eastAsia="x-none"/>
        </w:rPr>
        <w:lastRenderedPageBreak/>
        <w:t>introdujo la selección abreviada, rediseñó el concurso de méritos</w:t>
      </w:r>
      <w:r w:rsidRPr="00343E12">
        <w:rPr>
          <w:rFonts w:ascii="Verdana" w:eastAsia="Times New Roman" w:hAnsi="Verdana" w:cs="Arial"/>
          <w:vertAlign w:val="superscript"/>
          <w:lang w:val="en-GB" w:eastAsia="x-none"/>
        </w:rPr>
        <w:footnoteReference w:id="14"/>
      </w:r>
      <w:r w:rsidRPr="00343E12">
        <w:rPr>
          <w:rFonts w:ascii="Verdana" w:eastAsia="Times New Roman" w:hAnsi="Verdana" w:cs="Arial"/>
          <w:lang w:eastAsia="x-none"/>
        </w:rPr>
        <w:t xml:space="preserve"> y sistematizó las causales de contratación directa</w:t>
      </w:r>
      <w:r w:rsidRPr="00343E12">
        <w:rPr>
          <w:rFonts w:ascii="Verdana" w:eastAsia="Times New Roman" w:hAnsi="Verdana" w:cs="Arial"/>
          <w:vertAlign w:val="superscript"/>
          <w:lang w:val="en-GB" w:eastAsia="x-none"/>
        </w:rPr>
        <w:footnoteReference w:id="15"/>
      </w:r>
      <w:r w:rsidRPr="00343E12">
        <w:rPr>
          <w:rFonts w:ascii="Verdana" w:eastAsia="Times New Roman" w:hAnsi="Verdana" w:cs="Arial"/>
          <w:lang w:eastAsia="x-none"/>
        </w:rPr>
        <w:t xml:space="preserve">, </w:t>
      </w:r>
      <w:r w:rsidRPr="00343E12">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8A5B835" w14:textId="77777777" w:rsidR="00D15EA7" w:rsidRPr="00343E12" w:rsidRDefault="00D15EA7" w:rsidP="00D15EA7">
      <w:pPr>
        <w:spacing w:after="120" w:line="276" w:lineRule="auto"/>
        <w:ind w:firstLine="708"/>
        <w:jc w:val="both"/>
        <w:rPr>
          <w:rFonts w:ascii="Verdana" w:eastAsia="Times New Roman" w:hAnsi="Verdana" w:cs="Arial"/>
          <w:lang w:val="es-MX"/>
        </w:rPr>
      </w:pPr>
      <w:r w:rsidRPr="00343E12">
        <w:rPr>
          <w:rFonts w:ascii="Verdana" w:eastAsia="Times New Roman" w:hAnsi="Verdana" w:cs="Arial"/>
          <w:lang w:eastAsia="x-none"/>
        </w:rPr>
        <w:t xml:space="preserve">De esta forma, con fundamento en la evolución de la normativa sobre la contratación pública, se ha depurado la noción de </w:t>
      </w:r>
      <w:r w:rsidRPr="00343E12">
        <w:rPr>
          <w:rFonts w:ascii="Verdana" w:eastAsia="Times New Roman" w:hAnsi="Verdana" w:cs="Arial"/>
          <w:sz w:val="19"/>
          <w:szCs w:val="19"/>
          <w:lang w:eastAsia="en-GB"/>
        </w:rPr>
        <w:t>“</w:t>
      </w:r>
      <w:r w:rsidRPr="00343E12">
        <w:rPr>
          <w:rFonts w:ascii="Verdana" w:eastAsia="Times New Roman" w:hAnsi="Verdana" w:cs="Arial"/>
          <w:lang w:eastAsia="x-none"/>
        </w:rPr>
        <w:t>contratación directa</w:t>
      </w:r>
      <w:r w:rsidRPr="00343E12">
        <w:rPr>
          <w:rFonts w:ascii="Verdana" w:eastAsia="Times New Roman" w:hAnsi="Verdana" w:cs="Arial"/>
          <w:lang w:eastAsia="en-GB"/>
        </w:rPr>
        <w:t>”</w:t>
      </w:r>
      <w:r w:rsidRPr="00343E12">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343E12">
        <w:rPr>
          <w:rFonts w:ascii="Verdana" w:eastAsia="Times New Roman" w:hAnsi="Verdana" w:cs="Arial"/>
          <w:vertAlign w:val="superscript"/>
          <w:lang w:val="en-GB"/>
        </w:rPr>
        <w:footnoteReference w:id="16"/>
      </w:r>
      <w:r w:rsidRPr="00343E12">
        <w:rPr>
          <w:rFonts w:ascii="Verdana" w:eastAsia="Times New Roman" w:hAnsi="Verdana" w:cs="Arial"/>
          <w:lang w:eastAsia="x-none"/>
        </w:rPr>
        <w:t>, han establecido sistemas de contratación que implican convocatoria pública y participación de varios oferentes</w:t>
      </w:r>
      <w:r w:rsidRPr="00343E12">
        <w:rPr>
          <w:rFonts w:ascii="Verdana" w:eastAsia="Times New Roman" w:hAnsi="Verdana" w:cs="Arial"/>
          <w:lang w:eastAsia="en-GB"/>
        </w:rPr>
        <w:t>”</w:t>
      </w:r>
      <w:r w:rsidRPr="00343E12">
        <w:rPr>
          <w:rFonts w:ascii="Verdana" w:eastAsia="Times New Roman" w:hAnsi="Verdana" w:cs="Arial"/>
          <w:lang w:eastAsia="x-none"/>
        </w:rPr>
        <w:t xml:space="preserve">. </w:t>
      </w:r>
    </w:p>
    <w:p w14:paraId="18989AC7" w14:textId="77777777" w:rsidR="00D15EA7" w:rsidRPr="00343E12" w:rsidRDefault="00D15EA7" w:rsidP="00D15EA7">
      <w:pPr>
        <w:spacing w:after="120" w:line="276" w:lineRule="auto"/>
        <w:ind w:firstLine="708"/>
        <w:jc w:val="both"/>
        <w:rPr>
          <w:rFonts w:ascii="Verdana" w:eastAsia="Times New Roman" w:hAnsi="Verdana" w:cs="Arial"/>
          <w:bCs/>
          <w:lang w:val="es-MX" w:eastAsia="es-CO"/>
        </w:rPr>
      </w:pPr>
      <w:r w:rsidRPr="00343E12">
        <w:rPr>
          <w:rFonts w:ascii="Verdana" w:eastAsia="Times New Roman" w:hAnsi="Verdana" w:cs="Arial"/>
          <w:lang w:val="es-MX"/>
        </w:rPr>
        <w:t>E</w:t>
      </w:r>
      <w:r w:rsidRPr="00343E12">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343E12">
        <w:rPr>
          <w:rFonts w:ascii="Verdana" w:eastAsia="Times New Roman" w:hAnsi="Verdana" w:cs="Arial"/>
          <w:vertAlign w:val="superscript"/>
          <w:lang w:eastAsia="x-none"/>
        </w:rPr>
        <w:footnoteReference w:id="17"/>
      </w:r>
      <w:r w:rsidRPr="00343E12">
        <w:rPr>
          <w:rFonts w:ascii="Verdana" w:eastAsia="Times New Roman" w:hAnsi="Verdana" w:cs="Arial"/>
          <w:lang w:eastAsia="x-none"/>
        </w:rPr>
        <w:t xml:space="preserve">. </w:t>
      </w:r>
    </w:p>
    <w:p w14:paraId="31768FBF" w14:textId="77777777" w:rsidR="00D15EA7" w:rsidRPr="00343E12" w:rsidRDefault="00D15EA7" w:rsidP="00D15EA7">
      <w:pPr>
        <w:spacing w:after="120" w:line="276" w:lineRule="auto"/>
        <w:ind w:firstLine="708"/>
        <w:jc w:val="both"/>
        <w:rPr>
          <w:rFonts w:ascii="Verdana" w:eastAsia="Times New Roman" w:hAnsi="Verdana" w:cs="Arial"/>
          <w:bCs/>
          <w:lang w:val="es-MX" w:eastAsia="es-CO"/>
        </w:rPr>
      </w:pPr>
      <w:r w:rsidRPr="00343E12">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sidRPr="00343E12">
        <w:rPr>
          <w:rFonts w:ascii="Verdana" w:eastAsia="Times New Roman" w:hAnsi="Verdana" w:cs="Arial"/>
          <w:lang w:val="es-MX" w:eastAsia="es-CO"/>
        </w:rPr>
        <w:t xml:space="preserve"> Electorales</w:t>
      </w:r>
      <w:r w:rsidRPr="00343E12">
        <w:rPr>
          <w:rFonts w:ascii="Verdana" w:eastAsia="Times New Roman" w:hAnsi="Verdana" w:cs="Arial"/>
          <w:bCs/>
          <w:lang w:val="es-MX" w:eastAsia="es-CO"/>
        </w:rPr>
        <w:t xml:space="preserve">, al señalar que no solo aplica frente a las entidades sometidas al Estatuto general de Contratación de la Administración Pública, sino también frente a las entidades que tengan un </w:t>
      </w:r>
      <w:r w:rsidRPr="00343E12">
        <w:rPr>
          <w:rFonts w:ascii="Verdana" w:eastAsia="Times New Roman" w:hAnsi="Verdana" w:cs="Arial"/>
          <w:bCs/>
          <w:lang w:val="es-MX" w:eastAsia="es-CO"/>
        </w:rPr>
        <w:lastRenderedPageBreak/>
        <w:t xml:space="preserve">régimen especial de contratación. No obstante, también se observa que luego de la expedición de Ley 1150 de 2007, el Consejo de Estado comenzó a delimitar con mayor precisión el término de </w:t>
      </w:r>
      <w:r w:rsidRPr="00343E12">
        <w:rPr>
          <w:rFonts w:ascii="Verdana" w:eastAsia="Times New Roman" w:hAnsi="Verdana" w:cs="Arial"/>
          <w:lang w:val="es-MX" w:eastAsia="es-CO"/>
        </w:rPr>
        <w:t>“</w:t>
      </w:r>
      <w:r w:rsidRPr="00343E12">
        <w:rPr>
          <w:rFonts w:ascii="Verdana" w:eastAsia="Times New Roman" w:hAnsi="Verdana" w:cs="Arial"/>
          <w:bCs/>
          <w:lang w:val="es-MX" w:eastAsia="es-CO"/>
        </w:rPr>
        <w:t>contratación directa</w:t>
      </w:r>
      <w:r w:rsidRPr="00343E12">
        <w:rPr>
          <w:rFonts w:ascii="Verdana" w:eastAsia="Times New Roman" w:hAnsi="Verdana" w:cs="Arial"/>
          <w:lang w:val="es-MX" w:eastAsia="es-CO"/>
        </w:rPr>
        <w:t>”.</w:t>
      </w:r>
    </w:p>
    <w:p w14:paraId="2C7568DB" w14:textId="77777777" w:rsidR="00D15EA7" w:rsidRPr="00343E12" w:rsidRDefault="00D15EA7" w:rsidP="00D15EA7">
      <w:pPr>
        <w:spacing w:after="120" w:line="276" w:lineRule="auto"/>
        <w:ind w:firstLine="708"/>
        <w:jc w:val="both"/>
        <w:rPr>
          <w:rFonts w:ascii="Verdana" w:eastAsia="Times New Roman" w:hAnsi="Verdana" w:cs="Arial"/>
          <w:bCs/>
          <w:lang w:val="es-MX" w:eastAsia="x-none"/>
        </w:rPr>
      </w:pPr>
      <w:r w:rsidRPr="00343E12">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343E12">
        <w:rPr>
          <w:rFonts w:ascii="Verdana" w:eastAsia="Times New Roman" w:hAnsi="Verdana" w:cs="Arial"/>
          <w:vertAlign w:val="superscript"/>
          <w:lang w:eastAsia="x-none"/>
        </w:rPr>
        <w:footnoteReference w:id="18"/>
      </w:r>
      <w:r w:rsidRPr="00343E12">
        <w:rPr>
          <w:rFonts w:ascii="Verdana" w:eastAsia="Times New Roman" w:hAnsi="Verdana" w:cs="Arial"/>
          <w:bCs/>
          <w:lang w:val="es-MX" w:eastAsia="x-none"/>
        </w:rPr>
        <w:t>.</w:t>
      </w:r>
      <w:r w:rsidRPr="00343E12">
        <w:rPr>
          <w:rFonts w:ascii="Verdana" w:eastAsia="Times New Roman" w:hAnsi="Verdana" w:cs="Arial"/>
          <w:vertAlign w:val="superscript"/>
          <w:lang w:eastAsia="x-none"/>
        </w:rPr>
        <w:t xml:space="preserve"> </w:t>
      </w:r>
    </w:p>
    <w:p w14:paraId="2F446490" w14:textId="77777777" w:rsidR="00D15EA7" w:rsidRPr="00343E12" w:rsidRDefault="00D15EA7" w:rsidP="00D15EA7">
      <w:pPr>
        <w:spacing w:after="120" w:line="276" w:lineRule="auto"/>
        <w:ind w:firstLine="708"/>
        <w:jc w:val="both"/>
        <w:rPr>
          <w:rFonts w:ascii="Verdana" w:eastAsia="Times New Roman" w:hAnsi="Verdana" w:cs="Arial"/>
          <w:lang w:eastAsia="x-none"/>
        </w:rPr>
      </w:pPr>
      <w:r w:rsidRPr="00343E12">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343E12">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DD2BB55" w14:textId="77777777" w:rsidR="00D15EA7" w:rsidRPr="00343E12" w:rsidRDefault="00D15EA7" w:rsidP="00D15EA7">
      <w:pPr>
        <w:spacing w:after="120" w:line="276" w:lineRule="auto"/>
        <w:ind w:firstLine="708"/>
        <w:jc w:val="both"/>
        <w:rPr>
          <w:rFonts w:ascii="Verdana" w:eastAsia="Times New Roman" w:hAnsi="Verdana" w:cs="Arial"/>
          <w:bCs/>
          <w:lang w:val="es-MX" w:eastAsia="es-CO"/>
        </w:rPr>
      </w:pPr>
      <w:r w:rsidRPr="00343E12">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w:t>
      </w:r>
      <w:r w:rsidRPr="00343E12">
        <w:rPr>
          <w:rFonts w:ascii="Verdana" w:eastAsia="Times New Roman" w:hAnsi="Verdana" w:cs="Arial"/>
          <w:lang w:val="es-MX" w:eastAsia="es-CO"/>
        </w:rPr>
        <w:t xml:space="preserve"> Electorales</w:t>
      </w:r>
      <w:r w:rsidRPr="00343E12">
        <w:rPr>
          <w:rFonts w:ascii="Verdana" w:eastAsia="Times New Roman" w:hAnsi="Verdana" w:cs="Arial"/>
          <w:bCs/>
          <w:lang w:val="es-MX" w:eastAsia="es-CO"/>
        </w:rPr>
        <w:t>, sin que ello haga nugatoria la restricción de la contratación directa y siempre que cumplan los principios de planeación, transparencia y responsabilidad</w:t>
      </w:r>
      <w:r w:rsidRPr="00343E12">
        <w:rPr>
          <w:rFonts w:ascii="Verdana" w:eastAsia="Times New Roman" w:hAnsi="Verdana" w:cs="Arial"/>
          <w:bCs/>
          <w:vertAlign w:val="superscript"/>
          <w:lang w:val="es-MX" w:eastAsia="es-CO"/>
        </w:rPr>
        <w:footnoteReference w:id="19"/>
      </w:r>
      <w:r w:rsidRPr="00343E12">
        <w:rPr>
          <w:rFonts w:ascii="Verdana" w:eastAsia="Times New Roman" w:hAnsi="Verdana" w:cs="Arial"/>
          <w:bCs/>
          <w:lang w:val="es-MX" w:eastAsia="es-CO"/>
        </w:rPr>
        <w:t xml:space="preserve">. Además, también es posible que contratos celebrados previamente se continúen ejecutando con normalidad. </w:t>
      </w:r>
    </w:p>
    <w:p w14:paraId="48698F9C" w14:textId="77777777" w:rsidR="00D15EA7" w:rsidRPr="00343E12" w:rsidRDefault="00D15EA7" w:rsidP="00D15EA7">
      <w:pPr>
        <w:spacing w:after="120" w:line="276" w:lineRule="auto"/>
        <w:ind w:firstLine="708"/>
        <w:jc w:val="both"/>
        <w:rPr>
          <w:rFonts w:ascii="Verdana" w:eastAsia="Times New Roman" w:hAnsi="Verdana" w:cs="Arial"/>
          <w:lang w:val="es-MX" w:eastAsia="es-CO"/>
        </w:rPr>
      </w:pPr>
      <w:r w:rsidRPr="00343E12">
        <w:rPr>
          <w:rFonts w:ascii="Verdana" w:eastAsia="Times New Roman" w:hAnsi="Verdana" w:cs="Arial"/>
          <w:lang w:val="es-MX"/>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w:t>
      </w:r>
      <w:r w:rsidRPr="00343E12">
        <w:rPr>
          <w:rFonts w:ascii="Verdana" w:eastAsia="Times New Roman" w:hAnsi="Verdana" w:cs="Arial"/>
          <w:lang w:val="es-MX"/>
        </w:rPr>
        <w:lastRenderedPageBreak/>
        <w:t xml:space="preserve">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w:t>
      </w:r>
      <w:r w:rsidRPr="00343E12">
        <w:rPr>
          <w:rFonts w:ascii="Verdana" w:eastAsia="Times New Roman" w:hAnsi="Verdana" w:cs="Arial"/>
          <w:i/>
          <w:lang w:val="es-MX"/>
        </w:rPr>
        <w:t>los que deban realizar las entidades sanitarias y hospitalarias.</w:t>
      </w:r>
      <w:r w:rsidRPr="00343E12">
        <w:rPr>
          <w:rFonts w:ascii="Verdana" w:eastAsia="Times New Roman" w:hAnsi="Verdana" w:cs="Arial"/>
          <w:bCs/>
          <w:lang w:val="es-MX" w:eastAsia="es-CO"/>
        </w:rPr>
        <w:t xml:space="preserve"> </w:t>
      </w:r>
    </w:p>
    <w:p w14:paraId="14B72486" w14:textId="77777777" w:rsidR="00D15EA7" w:rsidRPr="00343E12" w:rsidRDefault="00D15EA7" w:rsidP="00D15EA7">
      <w:pPr>
        <w:spacing w:after="120" w:line="276" w:lineRule="auto"/>
        <w:ind w:firstLine="708"/>
        <w:jc w:val="both"/>
        <w:rPr>
          <w:rFonts w:ascii="Verdana" w:eastAsia="Times New Roman" w:hAnsi="Verdana" w:cs="Arial"/>
          <w:bCs/>
          <w:lang w:val="es-MX" w:eastAsia="es-CO"/>
        </w:rPr>
      </w:pPr>
      <w:r w:rsidRPr="00343E12">
        <w:rPr>
          <w:rFonts w:ascii="Verdana" w:eastAsia="Times New Roman" w:hAnsi="Verdana" w:cs="Arial"/>
          <w:lang w:val="es-MX" w:eastAsia="es-CO"/>
        </w:rPr>
        <w:t>Conforme a las anteriores excepciones, es</w:t>
      </w:r>
      <w:r w:rsidRPr="00343E12">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100DBC8" w14:textId="77777777" w:rsidR="00D15EA7" w:rsidRPr="00343E12" w:rsidRDefault="00D15EA7" w:rsidP="00D15EA7">
      <w:pPr>
        <w:spacing w:after="120" w:line="276" w:lineRule="auto"/>
        <w:ind w:firstLine="709"/>
        <w:jc w:val="both"/>
        <w:rPr>
          <w:rFonts w:ascii="Verdana" w:eastAsia="Times New Roman" w:hAnsi="Verdana" w:cs="Arial"/>
          <w:lang w:val="es-MX"/>
        </w:rPr>
      </w:pPr>
      <w:r w:rsidRPr="00343E12">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343E12">
        <w:rPr>
          <w:rFonts w:ascii="Verdana" w:eastAsia="Calibri" w:hAnsi="Verdana" w:cs="Arial"/>
          <w:vertAlign w:val="superscript"/>
          <w:lang w:val="es-MX"/>
        </w:rPr>
        <w:footnoteReference w:id="20"/>
      </w:r>
      <w:r w:rsidRPr="00343E12">
        <w:rPr>
          <w:rFonts w:ascii="Verdana" w:eastAsia="Times New Roman" w:hAnsi="Verdana" w:cs="Arial"/>
          <w:lang w:val="es-MX"/>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28FC5CDA" w14:textId="77777777" w:rsidR="00D15EA7" w:rsidRPr="00343E12" w:rsidRDefault="00D15EA7" w:rsidP="00D15EA7">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En este punto, es pertinente analizar el quinto evento</w:t>
      </w:r>
      <w:r w:rsidRPr="00343E12">
        <w:rPr>
          <w:rFonts w:ascii="Verdana" w:eastAsia="Aptos" w:hAnsi="Verdana" w:cs="Arial"/>
          <w:i/>
          <w:iCs/>
          <w:color w:val="000000"/>
          <w:lang w:val="es-ES"/>
        </w:rPr>
        <w:t xml:space="preserve"> </w:t>
      </w:r>
      <w:r w:rsidRPr="00343E12">
        <w:rPr>
          <w:rFonts w:ascii="Verdana" w:eastAsia="Aptos" w:hAnsi="Verdana" w:cs="Arial"/>
          <w:color w:val="000000"/>
          <w:lang w:val="es-ES"/>
        </w:rPr>
        <w:t xml:space="preserve">exceptuado de la prohibición, relacionado con la contratación por parte de las entidades sanitarias y hospitalarias, </w:t>
      </w:r>
      <w:r w:rsidRPr="00343E12">
        <w:rPr>
          <w:rFonts w:ascii="Verdana" w:eastAsia="Aptos" w:hAnsi="Verdana" w:cs="Arial"/>
          <w:color w:val="000000"/>
        </w:rPr>
        <w:t>a efectos de determinar si la excepción referida es aplicable a los contratos suscritos por las Empresas Sociales del Estado –ESE-</w:t>
      </w:r>
      <w:r w:rsidRPr="00343E12">
        <w:rPr>
          <w:rFonts w:ascii="Verdana" w:eastAsia="Aptos" w:hAnsi="Verdana" w:cs="Arial"/>
          <w:color w:val="000000"/>
          <w:lang w:val="es-ES"/>
        </w:rPr>
        <w:t xml:space="preserve">. Para ello, debe tenerse en cuenta el artículo 94 de la Ley 100 de 1993, que dispone </w:t>
      </w:r>
      <w:r w:rsidRPr="00343E12">
        <w:rPr>
          <w:rFonts w:ascii="Verdana" w:eastAsia="Aptos" w:hAnsi="Verdana" w:cs="Arial"/>
          <w:color w:val="000000"/>
          <w:lang w:val="es-ES" w:eastAsia="es-CO"/>
        </w:rPr>
        <w:t>“</w:t>
      </w:r>
      <w:r w:rsidRPr="00343E12">
        <w:rPr>
          <w:rFonts w:ascii="Verdana" w:eastAsia="Aptos" w:hAnsi="Verdana" w:cs="Arial"/>
          <w:color w:val="000000"/>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w:t>
      </w:r>
      <w:r w:rsidRPr="00343E12">
        <w:rPr>
          <w:rFonts w:ascii="Verdana" w:eastAsia="Aptos" w:hAnsi="Verdana" w:cs="Arial"/>
          <w:color w:val="000000"/>
          <w:lang w:val="es-ES"/>
        </w:rPr>
        <w:lastRenderedPageBreak/>
        <w:t xml:space="preserve">administrativa, creadas por la Ley o por las asambleas o concejos, según el caso, sometidas al régimen jurídico previsto en este capítulo”. </w:t>
      </w:r>
    </w:p>
    <w:p w14:paraId="7482DED3" w14:textId="77777777" w:rsidR="00D15EA7" w:rsidRPr="00343E12" w:rsidRDefault="00D15EA7" w:rsidP="00D15EA7">
      <w:pPr>
        <w:tabs>
          <w:tab w:val="left" w:pos="426"/>
        </w:tabs>
        <w:spacing w:after="120" w:line="276" w:lineRule="auto"/>
        <w:ind w:firstLine="709"/>
        <w:jc w:val="both"/>
        <w:rPr>
          <w:rFonts w:ascii="Verdana" w:eastAsia="Aptos" w:hAnsi="Verdana" w:cs="Arial"/>
          <w:color w:val="000000"/>
        </w:rPr>
      </w:pPr>
      <w:r w:rsidRPr="00343E12">
        <w:rPr>
          <w:rFonts w:ascii="Verdana" w:eastAsia="Aptos" w:hAnsi="Verdana" w:cs="Arial"/>
          <w:color w:val="000000"/>
          <w:lang w:val="es-ES"/>
        </w:rPr>
        <w:t>Es decir que, a partir de la entrada en vigencia de la Ley 100 de 1993, las Empresas Sociales del Estado son las entidades públicas que tienen a su cargo la prestación de servicios de salud de manera directa. Igualmente, el artículo 197 de la misma disposición</w:t>
      </w:r>
      <w:r w:rsidRPr="00343E12">
        <w:rPr>
          <w:rFonts w:ascii="Verdana" w:eastAsia="Aptos" w:hAnsi="Verdana" w:cs="Arial"/>
          <w:color w:val="000000"/>
          <w:vertAlign w:val="superscript"/>
          <w:lang w:val="es-ES_tradnl"/>
        </w:rPr>
        <w:footnoteReference w:id="21"/>
      </w:r>
      <w:r w:rsidRPr="00343E12">
        <w:rPr>
          <w:rFonts w:ascii="Verdana" w:eastAsia="Aptos" w:hAnsi="Verdana" w:cs="Arial"/>
          <w:color w:val="000000"/>
          <w:lang w:val="es-ES"/>
        </w:rPr>
        <w:t xml:space="preserve"> otorgó un término de seis (6) meses a las entidades territoriales prestadoras del servicio de salud para restructurarlas en Empresas Sociales del Estado. </w:t>
      </w:r>
    </w:p>
    <w:p w14:paraId="5BAB375E" w14:textId="77777777" w:rsidR="00D15EA7" w:rsidRPr="00343E12" w:rsidRDefault="00D15EA7" w:rsidP="00D15EA7">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De lo anterior se desprende que, bajo la Ley 100 de 1993, dentro de la estructura de la administración pública las entidades encargadas de prestar el servicio de salud de manera directa son las Empresas Sociales del Estado. Además, el mismo artículo 197 de la disposición referida estableció el deber de reestructurar y transformar en Empresas Sociales del Estado a las entidades descentralizadas que, al momento de entrada en vigor de la ley referida, prestaban directamente este servicio.  </w:t>
      </w:r>
    </w:p>
    <w:p w14:paraId="5277EE95" w14:textId="77777777" w:rsidR="00D15EA7" w:rsidRPr="00343E12" w:rsidRDefault="00D15EA7" w:rsidP="00D15EA7">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Así, se observa que la voluntad del legislador plasmada en la Ley 100 de 1993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en Empresas Sociales del Estado. </w:t>
      </w:r>
    </w:p>
    <w:p w14:paraId="5E08B75F" w14:textId="77777777" w:rsidR="00D15EA7" w:rsidRPr="00343E12" w:rsidRDefault="00D15EA7" w:rsidP="00D15EA7">
      <w:pPr>
        <w:tabs>
          <w:tab w:val="left" w:pos="426"/>
        </w:tabs>
        <w:spacing w:after="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Este proceso de reestructuración, dada las implicaciones administrativas que suponen, no ha sido inmediato, según se observa de lo señalado por el Ministerio de la Protección Social como cabeza del sector salud del orden 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 </w:t>
      </w:r>
    </w:p>
    <w:p w14:paraId="0F6FB146" w14:textId="77777777" w:rsidR="00D15EA7" w:rsidRPr="00343E12" w:rsidRDefault="00D15EA7" w:rsidP="00D15EA7">
      <w:pPr>
        <w:tabs>
          <w:tab w:val="left" w:pos="426"/>
        </w:tabs>
        <w:spacing w:after="0" w:line="240" w:lineRule="auto"/>
        <w:ind w:left="709" w:right="709"/>
        <w:jc w:val="both"/>
        <w:rPr>
          <w:rFonts w:ascii="Verdana" w:eastAsia="Aptos" w:hAnsi="Verdana" w:cs="Arial"/>
          <w:color w:val="000000"/>
          <w:sz w:val="20"/>
          <w:szCs w:val="20"/>
          <w:shd w:val="clear" w:color="auto" w:fill="FFFFFF"/>
          <w:lang w:val="es-ES"/>
        </w:rPr>
      </w:pPr>
      <w:r w:rsidRPr="00343E12">
        <w:rPr>
          <w:rFonts w:ascii="Verdana" w:eastAsia="Aptos" w:hAnsi="Verdana" w:cs="Arial"/>
          <w:color w:val="000000"/>
          <w:sz w:val="20"/>
          <w:szCs w:val="20"/>
          <w:shd w:val="clear" w:color="auto" w:fill="FFFFFF"/>
          <w:lang w:val="es-ES"/>
        </w:rPr>
        <w:t xml:space="preserve">“(…) se encuentran cubiertos por la excepción contemplada en el inciso 2 del artículo 33 de la Ley de Garantías Electorales, las entidades </w:t>
      </w:r>
      <w:r w:rsidRPr="00343E12">
        <w:rPr>
          <w:rFonts w:ascii="Verdana" w:eastAsia="Aptos" w:hAnsi="Verdana" w:cs="Arial"/>
          <w:color w:val="000000"/>
          <w:sz w:val="20"/>
          <w:szCs w:val="20"/>
          <w:shd w:val="clear" w:color="auto" w:fill="FFFFFF"/>
          <w:lang w:val="es-ES"/>
        </w:rPr>
        <w:lastRenderedPageBreak/>
        <w:t xml:space="preserve">hospitalarias que a la luz de las normas vigentes </w:t>
      </w:r>
      <w:r w:rsidRPr="00343E12">
        <w:rPr>
          <w:rFonts w:ascii="Verdana" w:eastAsia="Aptos" w:hAnsi="Verdana" w:cs="Arial"/>
          <w:i/>
          <w:iCs/>
          <w:color w:val="000000"/>
          <w:sz w:val="20"/>
          <w:szCs w:val="20"/>
          <w:shd w:val="clear" w:color="auto" w:fill="FFFFFF"/>
          <w:lang w:val="es-ES"/>
        </w:rPr>
        <w:t xml:space="preserve">no son otras distintas que las Empresas Sociales del estado y todas aquellas instituciones públicas </w:t>
      </w:r>
      <w:proofErr w:type="gramStart"/>
      <w:r w:rsidRPr="00343E12">
        <w:rPr>
          <w:rFonts w:ascii="Verdana" w:eastAsia="Aptos" w:hAnsi="Verdana" w:cs="Arial"/>
          <w:i/>
          <w:iCs/>
          <w:color w:val="000000"/>
          <w:sz w:val="20"/>
          <w:szCs w:val="20"/>
          <w:shd w:val="clear" w:color="auto" w:fill="FFFFFF"/>
          <w:lang w:val="es-ES"/>
        </w:rPr>
        <w:t>que</w:t>
      </w:r>
      <w:proofErr w:type="gramEnd"/>
      <w:r w:rsidRPr="00343E12">
        <w:rPr>
          <w:rFonts w:ascii="Verdana" w:eastAsia="Aptos" w:hAnsi="Verdana" w:cs="Arial"/>
          <w:i/>
          <w:iCs/>
          <w:color w:val="000000"/>
          <w:sz w:val="20"/>
          <w:szCs w:val="20"/>
          <w:shd w:val="clear" w:color="auto" w:fill="FFFFFF"/>
          <w:lang w:val="es-ES"/>
        </w:rPr>
        <w:t xml:space="preserve"> a pesar de no haberse transformado en Empresas Sociales del Estado, prestan un servicio de salud directo sobre el usuario en su carácter general de entidad hospitalaria</w:t>
      </w:r>
      <w:r w:rsidRPr="00343E12">
        <w:rPr>
          <w:rFonts w:ascii="Verdana" w:eastAsia="Aptos" w:hAnsi="Verdana" w:cs="Arial"/>
          <w:color w:val="000000"/>
          <w:sz w:val="20"/>
          <w:szCs w:val="20"/>
          <w:shd w:val="clear" w:color="auto" w:fill="FFFFFF"/>
          <w:lang w:val="es-ES"/>
        </w:rPr>
        <w:t xml:space="preserve"> (…)”.  </w:t>
      </w:r>
    </w:p>
    <w:p w14:paraId="4AF08446" w14:textId="77777777" w:rsidR="00D15EA7" w:rsidRPr="00343E12" w:rsidRDefault="00D15EA7" w:rsidP="00D15EA7">
      <w:pPr>
        <w:tabs>
          <w:tab w:val="left" w:pos="426"/>
        </w:tabs>
        <w:spacing w:after="0" w:line="276" w:lineRule="auto"/>
        <w:ind w:left="709" w:right="709"/>
        <w:jc w:val="both"/>
        <w:rPr>
          <w:rFonts w:ascii="Verdana" w:eastAsia="Aptos" w:hAnsi="Verdana" w:cs="Arial"/>
          <w:color w:val="000000"/>
          <w:lang w:val="es-ES"/>
        </w:rPr>
      </w:pPr>
    </w:p>
    <w:p w14:paraId="080F53F7" w14:textId="77777777" w:rsidR="00D15EA7" w:rsidRPr="00343E12" w:rsidRDefault="00D15EA7" w:rsidP="00D15EA7">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4F14D8BC" w14:textId="77777777" w:rsidR="00D15EA7" w:rsidRPr="00343E12" w:rsidRDefault="00D15EA7" w:rsidP="00D15EA7">
      <w:pPr>
        <w:tabs>
          <w:tab w:val="left" w:pos="426"/>
        </w:tabs>
        <w:spacing w:before="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6DCB925D" w14:textId="77777777" w:rsidR="00D15EA7" w:rsidRPr="00343E12" w:rsidRDefault="00D15EA7" w:rsidP="00D15EA7">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val="es-MX" w:eastAsia="es-CO"/>
        </w:rPr>
        <w:t>Respecto del alcance de esta prohibición la Circular Externa No. 006 de 2025 expedida por la ANCP -CCE, en los literales ii) y iv) del numeral 2</w:t>
      </w:r>
      <w:r w:rsidRPr="00343E12">
        <w:rPr>
          <w:rFonts w:ascii="Verdana" w:eastAsia="Times New Roman" w:hAnsi="Verdana" w:cs="Arial"/>
          <w:lang w:eastAsia="es-CO"/>
        </w:rPr>
        <w:t>,</w:t>
      </w:r>
      <w:r w:rsidRPr="00343E12">
        <w:rPr>
          <w:rFonts w:ascii="Verdana" w:eastAsia="Times New Roman" w:hAnsi="Verdana" w:cs="Arial"/>
          <w:lang w:val="es-MX" w:eastAsia="es-CO"/>
        </w:rPr>
        <w:t xml:space="preserve"> indica que el </w:t>
      </w:r>
      <w:r w:rsidRPr="00343E12">
        <w:rPr>
          <w:rFonts w:ascii="Verdana" w:eastAsia="Times New Roman" w:hAnsi="Verdana" w:cs="Arial"/>
          <w:lang w:eastAsia="es-CO"/>
        </w:rPr>
        <w:t xml:space="preserve">parágrafo del artículo 38 de la Ley 996 de 2005 cobija expresamente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343E12">
        <w:rPr>
          <w:rFonts w:ascii="Verdana" w:eastAsia="Times New Roman" w:hAnsi="Verdana" w:cs="Arial"/>
          <w:i/>
          <w:iCs/>
          <w:lang w:eastAsia="es-CO"/>
        </w:rPr>
        <w:t>“aunque se configure alguno de los supuestos de excepción que señaló el inciso final del artículo 33”.</w:t>
      </w:r>
      <w:r w:rsidRPr="00343E12">
        <w:rPr>
          <w:rFonts w:ascii="Verdana" w:eastAsia="Times New Roman" w:hAnsi="Verdana" w:cs="Arial"/>
          <w:lang w:eastAsia="es-CO"/>
        </w:rPr>
        <w:t xml:space="preserve"> </w:t>
      </w:r>
    </w:p>
    <w:p w14:paraId="35BAF378" w14:textId="77777777" w:rsidR="00D15EA7" w:rsidRPr="00343E12" w:rsidRDefault="00D15EA7" w:rsidP="00D15EA7">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601B1BD5" w14:textId="77777777" w:rsidR="00D15EA7" w:rsidRPr="00343E12" w:rsidRDefault="00D15EA7" w:rsidP="00D15EA7">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lastRenderedPageBreak/>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independientemente de que se configure alguno de los supuestos de excepción que señaló el inciso final del artículo 33, es decir, que se trate de:</w:t>
      </w:r>
      <w:r w:rsidRPr="00343E12">
        <w:rPr>
          <w:rFonts w:ascii="Verdana" w:eastAsia="Aptos"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0B07A109" w14:textId="77777777" w:rsidR="00D15EA7" w:rsidRPr="00343E12" w:rsidRDefault="00D15EA7" w:rsidP="00D15EA7">
      <w:pPr>
        <w:spacing w:before="120" w:after="0" w:line="276" w:lineRule="auto"/>
        <w:ind w:firstLine="708"/>
        <w:jc w:val="both"/>
        <w:rPr>
          <w:rFonts w:ascii="Verdana" w:eastAsia="Times New Roman" w:hAnsi="Verdana" w:cs="Arial"/>
          <w:lang w:eastAsia="es-CO"/>
        </w:rPr>
      </w:pPr>
      <w:bookmarkStart w:id="8" w:name="_Hlk215234154"/>
      <w:r w:rsidRPr="00343E12">
        <w:rPr>
          <w:rFonts w:ascii="Verdana" w:eastAsia="Times New Roman" w:hAnsi="Verdana" w:cs="Arial"/>
          <w:lang w:eastAsia="es-CO"/>
        </w:rPr>
        <w:t xml:space="preserve">En este punto, teniendo en cuenta lo señalado en el contenido de su petición, vale la pena destacar que </w:t>
      </w:r>
      <w:r w:rsidRPr="00343E12">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343E12">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343E12">
        <w:rPr>
          <w:rFonts w:ascii="Verdana" w:eastAsia="Aptos" w:hAnsi="Verdana" w:cs="Arial"/>
          <w:vertAlign w:val="superscript"/>
        </w:rPr>
        <w:footnoteReference w:id="22"/>
      </w:r>
      <w:r w:rsidRPr="00343E12">
        <w:rPr>
          <w:rFonts w:ascii="Verdana" w:eastAsia="Aptos" w:hAnsi="Verdana" w:cs="Arial"/>
        </w:rPr>
        <w:t xml:space="preserve">: </w:t>
      </w:r>
    </w:p>
    <w:p w14:paraId="3EB983E7" w14:textId="77777777" w:rsidR="00D15EA7" w:rsidRPr="00343E12" w:rsidRDefault="00D15EA7" w:rsidP="00D15EA7">
      <w:pPr>
        <w:spacing w:after="0" w:line="276" w:lineRule="auto"/>
        <w:ind w:firstLine="709"/>
        <w:jc w:val="both"/>
        <w:rPr>
          <w:rFonts w:ascii="Verdana" w:eastAsia="Aptos" w:hAnsi="Verdana" w:cs="Arial"/>
        </w:rPr>
      </w:pPr>
    </w:p>
    <w:p w14:paraId="6E060025" w14:textId="77777777" w:rsidR="00D15EA7" w:rsidRPr="00343E12" w:rsidRDefault="00D15EA7" w:rsidP="00D15EA7">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lang w:val="es-MX"/>
        </w:rPr>
        <w:t>i)</w:t>
      </w:r>
      <w:r w:rsidRPr="00343E12">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740735D" w14:textId="77777777" w:rsidR="00D15EA7" w:rsidRPr="00343E12" w:rsidRDefault="00D15EA7" w:rsidP="00D15EA7">
      <w:pPr>
        <w:spacing w:after="0" w:line="240" w:lineRule="auto"/>
        <w:ind w:left="709" w:right="709"/>
        <w:jc w:val="both"/>
        <w:rPr>
          <w:rFonts w:ascii="Verdana" w:eastAsia="Aptos" w:hAnsi="Verdana" w:cs="Arial"/>
          <w:sz w:val="20"/>
          <w:szCs w:val="20"/>
        </w:rPr>
      </w:pPr>
    </w:p>
    <w:p w14:paraId="7E96B496" w14:textId="77777777" w:rsidR="00D15EA7" w:rsidRPr="00343E12" w:rsidRDefault="00D15EA7" w:rsidP="00D15EA7">
      <w:pPr>
        <w:spacing w:after="0" w:line="240" w:lineRule="auto"/>
        <w:ind w:left="709" w:right="709"/>
        <w:jc w:val="both"/>
        <w:rPr>
          <w:rFonts w:ascii="Verdana" w:eastAsia="Aptos" w:hAnsi="Verdana" w:cs="Arial"/>
          <w:sz w:val="20"/>
          <w:szCs w:val="20"/>
        </w:rPr>
      </w:pPr>
      <w:proofErr w:type="spellStart"/>
      <w:r w:rsidRPr="00343E12">
        <w:rPr>
          <w:rFonts w:ascii="Verdana" w:eastAsia="Aptos" w:hAnsi="Verdana" w:cs="Arial"/>
          <w:sz w:val="20"/>
          <w:szCs w:val="20"/>
        </w:rPr>
        <w:t>ii</w:t>
      </w:r>
      <w:proofErr w:type="spellEnd"/>
      <w:r w:rsidRPr="00343E12">
        <w:rPr>
          <w:rFonts w:ascii="Verdana" w:eastAsia="Aptos"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769ADDCB" w14:textId="77777777" w:rsidR="00D15EA7" w:rsidRPr="00343E12" w:rsidRDefault="00D15EA7" w:rsidP="00D15EA7">
      <w:pPr>
        <w:spacing w:after="0" w:line="276" w:lineRule="auto"/>
        <w:ind w:left="709" w:right="709"/>
        <w:jc w:val="both"/>
        <w:rPr>
          <w:rFonts w:ascii="Verdana" w:eastAsia="Aptos" w:hAnsi="Verdana" w:cs="Arial"/>
        </w:rPr>
      </w:pPr>
    </w:p>
    <w:p w14:paraId="2E3BA5F7" w14:textId="77777777" w:rsidR="00D15EA7" w:rsidRPr="00343E12" w:rsidRDefault="00D15EA7" w:rsidP="00D15EA7">
      <w:pPr>
        <w:spacing w:after="120" w:line="276" w:lineRule="auto"/>
        <w:ind w:firstLine="709"/>
        <w:jc w:val="both"/>
        <w:rPr>
          <w:rFonts w:ascii="Verdana" w:eastAsia="Arial" w:hAnsi="Verdana" w:cs="Arial"/>
          <w:i/>
          <w:iCs/>
          <w:lang w:eastAsia="es-ES" w:bidi="es-ES"/>
        </w:rPr>
      </w:pPr>
      <w:r w:rsidRPr="00343E12">
        <w:rPr>
          <w:rFonts w:ascii="Verdana" w:eastAsia="Arial" w:hAnsi="Verdana" w:cs="Arial"/>
          <w:lang w:val="es-MX" w:eastAsia="es-ES" w:bidi="es-ES"/>
        </w:rPr>
        <w:t xml:space="preserve">De conformidad con los argumentos de dicha providencia, se parte de la distinción entre los conceptos </w:t>
      </w:r>
      <w:r w:rsidRPr="00343E12">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sidRPr="00343E12">
        <w:rPr>
          <w:rFonts w:ascii="Verdana" w:eastAsia="Arial" w:hAnsi="Verdana" w:cs="Arial"/>
          <w:lang w:eastAsia="es-ES" w:bidi="es-ES"/>
        </w:rPr>
        <w:t xml:space="preserve">En este sentido, en relación con el parágrafo del artículo 38 de la Ley 996 de 2005 concluyó que </w:t>
      </w:r>
      <w:r w:rsidRPr="00343E12">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343E12">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343E12">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15AB9E4" w14:textId="77777777" w:rsidR="00D15EA7" w:rsidRPr="00343E12" w:rsidRDefault="00D15EA7" w:rsidP="00D15EA7">
      <w:pPr>
        <w:spacing w:after="120" w:line="276" w:lineRule="auto"/>
        <w:ind w:firstLine="709"/>
        <w:jc w:val="both"/>
        <w:rPr>
          <w:rFonts w:ascii="Verdana" w:eastAsia="Arial" w:hAnsi="Verdana" w:cs="Arial"/>
          <w:lang w:eastAsia="es-ES" w:bidi="es-ES"/>
        </w:rPr>
      </w:pPr>
      <w:r w:rsidRPr="00343E12">
        <w:rPr>
          <w:rFonts w:ascii="Verdana" w:eastAsia="Arial" w:hAnsi="Verdana" w:cs="Arial"/>
          <w:lang w:eastAsia="es-ES" w:bidi="es-ES"/>
        </w:rPr>
        <w:t>De igual manera, mediante auto del 6 de noviembre de 2025, el Consejo de Estado, Subsección A de la Sección Tercera, decretó</w:t>
      </w:r>
      <w:r w:rsidRPr="00343E12">
        <w:rPr>
          <w:rFonts w:ascii="Verdana" w:eastAsia="Arial" w:hAnsi="Verdana" w:cs="Arial"/>
          <w:b/>
          <w:bCs/>
          <w:lang w:eastAsia="es-ES" w:bidi="es-ES"/>
        </w:rPr>
        <w:t xml:space="preserve"> </w:t>
      </w:r>
      <w:r w:rsidRPr="00343E12">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343E12">
        <w:rPr>
          <w:rFonts w:ascii="Verdana" w:eastAsia="Arial" w:hAnsi="Verdana" w:cs="Arial"/>
          <w:vertAlign w:val="superscript"/>
          <w:lang w:eastAsia="es-ES" w:bidi="es-ES"/>
        </w:rPr>
        <w:footnoteReference w:id="23"/>
      </w:r>
      <w:r w:rsidRPr="00343E12">
        <w:rPr>
          <w:rFonts w:ascii="Verdana" w:eastAsia="Arial" w:hAnsi="Verdana" w:cs="Arial"/>
          <w:lang w:eastAsia="es-ES" w:bidi="es-ES"/>
        </w:rPr>
        <w:t xml:space="preserve">. Para tales efectos, el alto tribunal resaltó la interpretación restrictiva de las normas que </w:t>
      </w:r>
      <w:r w:rsidRPr="00343E12">
        <w:rPr>
          <w:rFonts w:ascii="Verdana" w:eastAsia="Arial" w:hAnsi="Verdana" w:cs="Arial"/>
          <w:lang w:eastAsia="es-ES" w:bidi="es-ES"/>
        </w:rPr>
        <w:lastRenderedPageBreak/>
        <w:t xml:space="preserve">contienen prohibiciones, como la del parágrafo del artículo 38 de la Ley 996 de 2005, por manera que se excluye la analogía </w:t>
      </w:r>
      <w:proofErr w:type="spellStart"/>
      <w:r w:rsidRPr="00343E12">
        <w:rPr>
          <w:rFonts w:ascii="Verdana" w:eastAsia="Arial" w:hAnsi="Verdana" w:cs="Arial"/>
          <w:lang w:eastAsia="es-ES" w:bidi="es-ES"/>
        </w:rPr>
        <w:t>legis</w:t>
      </w:r>
      <w:proofErr w:type="spellEnd"/>
      <w:r w:rsidRPr="00343E12">
        <w:rPr>
          <w:rFonts w:ascii="Verdana" w:eastAsia="Arial" w:hAnsi="Verdana" w:cs="Arial"/>
          <w:lang w:eastAsia="es-ES" w:bidi="es-ES"/>
        </w:rPr>
        <w:t xml:space="preserve"> o iuris y la interpretación extensiva y reiteró los argumentos sobre la diferencia entre contratos y convenios interadministrativos. </w:t>
      </w:r>
    </w:p>
    <w:p w14:paraId="509A2C67" w14:textId="77777777" w:rsidR="00D15EA7" w:rsidRPr="00343E12" w:rsidRDefault="00D15EA7" w:rsidP="00D15EA7">
      <w:pPr>
        <w:spacing w:after="120" w:line="276" w:lineRule="auto"/>
        <w:ind w:firstLine="709"/>
        <w:jc w:val="both"/>
        <w:rPr>
          <w:rFonts w:ascii="Verdana" w:eastAsia="Times New Roman" w:hAnsi="Verdana" w:cs="Times New Roman"/>
          <w:lang w:eastAsia="es-ES"/>
        </w:rPr>
      </w:pPr>
      <w:r w:rsidRPr="00343E12">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343E12">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45A65DAF" w14:textId="77777777" w:rsidR="00D15EA7" w:rsidRPr="00343E12" w:rsidRDefault="00D15EA7" w:rsidP="00D15EA7">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43E12">
        <w:rPr>
          <w:rFonts w:ascii="Verdana" w:eastAsia="Times New Roman" w:hAnsi="Verdana" w:cs="Times New Roman"/>
          <w:vertAlign w:val="superscript"/>
          <w:lang w:eastAsia="es-ES"/>
        </w:rPr>
        <w:footnoteReference w:id="24"/>
      </w:r>
      <w:r w:rsidRPr="00343E1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A64DC7E" w14:textId="77777777" w:rsidR="00D15EA7" w:rsidRPr="00343E12" w:rsidRDefault="00D15EA7" w:rsidP="00D15EA7">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2A6B800D" w14:textId="77777777" w:rsidR="00D15EA7" w:rsidRPr="00343E12" w:rsidRDefault="00D15EA7" w:rsidP="00D15EA7">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eastAsia="es-CO"/>
        </w:rPr>
        <w:lastRenderedPageBreak/>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343E12">
        <w:rPr>
          <w:rFonts w:ascii="Verdana" w:eastAsia="Times New Roman" w:hAnsi="Verdana" w:cs="Arial"/>
          <w:i/>
          <w:iCs/>
          <w:lang w:eastAsia="es-CO"/>
        </w:rPr>
        <w:t>contratos interadministrativos</w:t>
      </w:r>
      <w:r w:rsidRPr="00343E12">
        <w:rPr>
          <w:rFonts w:ascii="Verdana" w:eastAsia="Times New Roman" w:hAnsi="Verdana" w:cs="Arial"/>
          <w:lang w:eastAsia="es-CO"/>
        </w:rPr>
        <w:t>, esta prohibición solo aplicaría a los convenios interadministrativos que impliquen la ejecución de recursos públicos</w:t>
      </w:r>
      <w:r w:rsidRPr="00343E12">
        <w:rPr>
          <w:rFonts w:ascii="Verdana" w:eastAsia="Times New Roman" w:hAnsi="Verdana" w:cs="Arial"/>
          <w:vertAlign w:val="superscript"/>
          <w:lang w:eastAsia="es-CO"/>
        </w:rPr>
        <w:footnoteReference w:id="25"/>
      </w:r>
      <w:r w:rsidRPr="00343E12">
        <w:rPr>
          <w:rFonts w:ascii="Verdana" w:eastAsia="Times New Roman" w:hAnsi="Verdana" w:cs="Arial"/>
          <w:lang w:eastAsia="es-CO"/>
        </w:rPr>
        <w:t>.</w:t>
      </w:r>
    </w:p>
    <w:p w14:paraId="791C47FD" w14:textId="77777777" w:rsidR="00D15EA7" w:rsidRPr="00343E12" w:rsidRDefault="00D15EA7" w:rsidP="00D15EA7">
      <w:pPr>
        <w:spacing w:after="120" w:line="276" w:lineRule="auto"/>
        <w:ind w:firstLine="708"/>
        <w:jc w:val="both"/>
        <w:rPr>
          <w:rFonts w:ascii="Verdana" w:eastAsia="Times New Roman" w:hAnsi="Verdana" w:cs="Arial"/>
          <w:lang w:eastAsia="es-CO"/>
        </w:rPr>
      </w:pPr>
      <w:r w:rsidRPr="00343E12">
        <w:rPr>
          <w:rFonts w:ascii="Verdana" w:eastAsia="Aptos" w:hAnsi="Verdana" w:cs="Arial"/>
          <w:bCs/>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D02A9DF" w14:textId="77777777" w:rsidR="00D15EA7" w:rsidRPr="00343E12" w:rsidRDefault="00D15EA7" w:rsidP="00D15EA7">
      <w:pPr>
        <w:spacing w:after="0" w:line="276" w:lineRule="auto"/>
        <w:ind w:firstLine="708"/>
        <w:jc w:val="both"/>
        <w:rPr>
          <w:rFonts w:ascii="Verdana" w:eastAsia="Aptos" w:hAnsi="Verdana" w:cs="Arial"/>
          <w:bCs/>
          <w:color w:val="000000"/>
        </w:rPr>
      </w:pPr>
      <w:r w:rsidRPr="00343E12">
        <w:rPr>
          <w:rFonts w:ascii="Verdana" w:eastAsia="Aptos"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End w:id="8"/>
      <w:r w:rsidRPr="00343E12">
        <w:rPr>
          <w:rFonts w:ascii="Verdana" w:eastAsia="Aptos" w:hAnsi="Verdana" w:cs="Arial"/>
          <w:bCs/>
          <w:color w:val="000000"/>
        </w:rPr>
        <w:t xml:space="preserve"> </w:t>
      </w:r>
    </w:p>
    <w:p w14:paraId="7A3BBEAD" w14:textId="77777777" w:rsidR="00D15EA7" w:rsidRDefault="00D15EA7" w:rsidP="00D15EA7">
      <w:pPr>
        <w:spacing w:after="0" w:line="276" w:lineRule="auto"/>
        <w:jc w:val="both"/>
        <w:rPr>
          <w:rFonts w:ascii="Verdana" w:eastAsia="Calibri" w:hAnsi="Verdana" w:cs="Arial"/>
          <w:bCs/>
          <w:color w:val="000000"/>
        </w:rPr>
      </w:pPr>
    </w:p>
    <w:p w14:paraId="610EFDEA" w14:textId="77777777" w:rsidR="00D15EA7" w:rsidRPr="005055D5" w:rsidRDefault="00D15EA7" w:rsidP="00D15EA7">
      <w:pPr>
        <w:spacing w:after="120" w:line="276" w:lineRule="auto"/>
        <w:ind w:firstLine="708"/>
        <w:jc w:val="both"/>
        <w:rPr>
          <w:rFonts w:ascii="Verdana" w:eastAsia="Arial" w:hAnsi="Verdana" w:cs="Arial"/>
          <w:bCs/>
          <w:color w:val="000000"/>
        </w:rPr>
      </w:pPr>
      <w:r w:rsidRPr="005055D5">
        <w:rPr>
          <w:rFonts w:ascii="Verdana" w:eastAsia="Calibri" w:hAnsi="Verdana" w:cs="Arial"/>
          <w:bCs/>
          <w:color w:val="000000"/>
        </w:rPr>
        <w:t xml:space="preserve">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w:t>
      </w:r>
      <w:r w:rsidRPr="005055D5">
        <w:rPr>
          <w:rFonts w:ascii="Verdana" w:eastAsia="Calibri" w:hAnsi="Verdana" w:cs="Arial"/>
          <w:bCs/>
          <w:color w:val="000000"/>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72FD8A5" w14:textId="77777777" w:rsidR="00D15EA7" w:rsidRDefault="00D15EA7" w:rsidP="00D15EA7">
      <w:pPr>
        <w:spacing w:after="0" w:line="276" w:lineRule="auto"/>
        <w:ind w:firstLine="708"/>
        <w:jc w:val="both"/>
        <w:rPr>
          <w:rFonts w:ascii="Verdana" w:eastAsia="Calibri" w:hAnsi="Verdana" w:cs="Arial"/>
          <w:bCs/>
          <w:color w:val="000000"/>
        </w:rPr>
      </w:pPr>
      <w:r w:rsidRPr="005055D5">
        <w:rPr>
          <w:rFonts w:ascii="Verdana" w:eastAsia="Calibri" w:hAnsi="Verdana" w:cs="Arial"/>
          <w:bCs/>
          <w:color w:val="000000"/>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196F53B" w14:textId="77777777" w:rsidR="00D15EA7" w:rsidRPr="00742A56" w:rsidRDefault="00D15EA7" w:rsidP="00D15EA7">
      <w:pPr>
        <w:spacing w:after="0" w:line="276" w:lineRule="auto"/>
        <w:jc w:val="both"/>
        <w:rPr>
          <w:rFonts w:ascii="Verdana" w:hAnsi="Verdana" w:cs="Arial"/>
          <w:bCs/>
          <w:color w:val="000000" w:themeColor="text1"/>
        </w:rPr>
      </w:pPr>
    </w:p>
    <w:bookmarkEnd w:id="2"/>
    <w:bookmarkEnd w:id="3"/>
    <w:p w14:paraId="374A9042" w14:textId="77777777" w:rsidR="00D15EA7" w:rsidRPr="00115E3D" w:rsidRDefault="00D15EA7" w:rsidP="00D15EA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428CF3D1" w14:textId="77777777" w:rsidR="00D15EA7" w:rsidRPr="00115E3D" w:rsidRDefault="00D15EA7" w:rsidP="00D15EA7">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15EA7" w:rsidRPr="00115E3D" w14:paraId="6B7BAE93" w14:textId="77777777" w:rsidTr="00AB3039">
        <w:trPr>
          <w:trHeight w:val="335"/>
        </w:trPr>
        <w:tc>
          <w:tcPr>
            <w:tcW w:w="8647" w:type="dxa"/>
          </w:tcPr>
          <w:p w14:paraId="3472697A"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Constitución Política de Colombia. Artículos: 127 y 197.</w:t>
            </w:r>
          </w:p>
          <w:p w14:paraId="24452AEA"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Ley 80 de 1993. Artículos: 39 y 41.</w:t>
            </w:r>
          </w:p>
          <w:p w14:paraId="0C8C1253"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1150 de 2007. Artículo 2. </w:t>
            </w:r>
          </w:p>
          <w:p w14:paraId="74A7C048"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996 de 2025. Artículos: 9, 33 y 38. </w:t>
            </w:r>
          </w:p>
          <w:p w14:paraId="62888AF5"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100 de 1993. Artículos: 100 y 197. </w:t>
            </w:r>
          </w:p>
          <w:p w14:paraId="2B47BC23"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Consejo de Estado. Sala de lo Contencioso Administrativo. Sección Primera. Sentencia de 3 de marzo de 2005. Radicado: 25001-23-15-000-2004-00823-01(PI). C.P: Camilo Arciniegas Andrade. </w:t>
            </w:r>
          </w:p>
          <w:p w14:paraId="7A094A1A"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24 de julio de 2013, radicado: 11001-03-06-000-2013-00407-00 (2166). C.P. Álvaro Namén Vargas.</w:t>
            </w:r>
          </w:p>
          <w:p w14:paraId="516CBAE9"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del 17 de febrero de 2015. Radicado: 11001-03-06-000-2015-00164-00 (2269). C.P. William Zambrano Cetina.</w:t>
            </w:r>
          </w:p>
          <w:p w14:paraId="534B5309"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lastRenderedPageBreak/>
              <w:t>Consejo de Estado. Sala de Consulta y Servicio Civil. Concepto del 2 de septiembre de 2013. Radicación: 11001-03-06-000-2013-00412-00 (2168). Consejero Ponente: Álvaro Namén Vargas.</w:t>
            </w:r>
          </w:p>
          <w:p w14:paraId="0BBD6AAC"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 8 de mayo de 2018. Radicación: 11001-03-06-000-2018-00095-00 (2382). Consejero Ponente: Álvaro Namén Vargas.</w:t>
            </w:r>
          </w:p>
          <w:p w14:paraId="7CB1F942"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C- 1153 de 2005. M.P. Marco Gerardo Monroy Cabra.</w:t>
            </w:r>
          </w:p>
          <w:p w14:paraId="52B462B2"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C-233 de 4 de abril de 2002. M.P: Álvaro Tafur Galvis.</w:t>
            </w:r>
          </w:p>
          <w:p w14:paraId="6D3B1B1B"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C-551 de 9 de julio de 2003. M.P: Eduardo Montealegre Lynnet.</w:t>
            </w:r>
          </w:p>
          <w:p w14:paraId="0F8BCFDA"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Corte Constitucional. Sentencia C-353 de 20 de mayo de 2009. M.P: Jorge Iván Palacio </w:t>
            </w:r>
            <w:proofErr w:type="spellStart"/>
            <w:r w:rsidRPr="00343E12">
              <w:rPr>
                <w:rFonts w:ascii="Verdana" w:eastAsia="Times New Roman" w:hAnsi="Verdana" w:cs="Arial"/>
                <w:color w:val="000000"/>
                <w:lang w:eastAsia="es-CO"/>
              </w:rPr>
              <w:t>Palacio</w:t>
            </w:r>
            <w:proofErr w:type="spellEnd"/>
            <w:r w:rsidRPr="00343E12">
              <w:rPr>
                <w:rFonts w:ascii="Verdana" w:eastAsia="Times New Roman" w:hAnsi="Verdana" w:cs="Arial"/>
                <w:color w:val="000000"/>
                <w:lang w:eastAsia="es-CO"/>
              </w:rPr>
              <w:t>.</w:t>
            </w:r>
          </w:p>
          <w:p w14:paraId="01B1872F"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C-541 de 30 de junio de 2010. M.P: Gabriel Eduardo Mendoza Martelo.</w:t>
            </w:r>
          </w:p>
          <w:p w14:paraId="129BD744" w14:textId="77777777" w:rsidR="00D15EA7" w:rsidRPr="00343E12" w:rsidRDefault="00D15EA7" w:rsidP="00D15EA7">
            <w:pPr>
              <w:numPr>
                <w:ilvl w:val="0"/>
                <w:numId w:val="17"/>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C-1153 de 2005 de 11 de noviembre de 2005. M.P: Marco Gerardo Monroy Cabra.</w:t>
            </w:r>
          </w:p>
          <w:p w14:paraId="7F9E003A" w14:textId="77777777" w:rsidR="00D15EA7" w:rsidRPr="00D81159" w:rsidRDefault="00D15EA7" w:rsidP="00AB3039">
            <w:pPr>
              <w:spacing w:line="276" w:lineRule="auto"/>
              <w:ind w:left="615"/>
              <w:jc w:val="both"/>
              <w:rPr>
                <w:rFonts w:ascii="Verdana" w:hAnsi="Verdana" w:cs="Arial"/>
              </w:rPr>
            </w:pPr>
            <w:r w:rsidRPr="00343E12">
              <w:rPr>
                <w:rFonts w:ascii="Verdana" w:eastAsia="Times New Roman" w:hAnsi="Verdana" w:cs="Arial"/>
                <w:color w:val="000000"/>
                <w:lang w:eastAsia="es-CO"/>
              </w:rPr>
              <w:t xml:space="preserve">Circular única Externa. En </w:t>
            </w:r>
            <w:hyperlink r:id="rId12" w:history="1">
              <w:r w:rsidRPr="00343E12">
                <w:rPr>
                  <w:rFonts w:ascii="Verdana" w:eastAsia="Times New Roman" w:hAnsi="Verdana" w:cs="Arial"/>
                  <w:color w:val="0000FF"/>
                  <w:u w:val="single"/>
                  <w:lang w:eastAsia="es-CO"/>
                </w:rPr>
                <w:t>circular_externa_unica_version_3_vf49.pdf</w:t>
              </w:r>
            </w:hyperlink>
          </w:p>
        </w:tc>
      </w:tr>
    </w:tbl>
    <w:p w14:paraId="02E520D6" w14:textId="77777777" w:rsidR="00D15EA7" w:rsidRPr="00115E3D" w:rsidRDefault="00D15EA7" w:rsidP="00D15EA7">
      <w:pPr>
        <w:widowControl w:val="0"/>
        <w:autoSpaceDE w:val="0"/>
        <w:autoSpaceDN w:val="0"/>
        <w:spacing w:after="0" w:line="276" w:lineRule="auto"/>
        <w:jc w:val="both"/>
        <w:rPr>
          <w:rFonts w:ascii="Verdana" w:hAnsi="Verdana" w:cs="Arial"/>
          <w:color w:val="000000" w:themeColor="text1"/>
        </w:rPr>
      </w:pPr>
    </w:p>
    <w:p w14:paraId="2B2966B8" w14:textId="77777777" w:rsidR="00D15EA7" w:rsidRPr="00115E3D" w:rsidRDefault="00D15EA7" w:rsidP="00D15EA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6E56646E" w14:textId="77777777" w:rsidR="00D15EA7" w:rsidRPr="00115E3D" w:rsidRDefault="00D15EA7" w:rsidP="00D15EA7">
      <w:pPr>
        <w:widowControl w:val="0"/>
        <w:autoSpaceDE w:val="0"/>
        <w:autoSpaceDN w:val="0"/>
        <w:spacing w:after="0" w:line="276" w:lineRule="auto"/>
        <w:jc w:val="both"/>
        <w:rPr>
          <w:rFonts w:ascii="Verdana" w:hAnsi="Verdana" w:cs="Arial"/>
          <w:color w:val="000000" w:themeColor="text1"/>
        </w:rPr>
      </w:pPr>
    </w:p>
    <w:p w14:paraId="0357BAAA" w14:textId="77777777" w:rsidR="00D15EA7" w:rsidRPr="00AB30E0" w:rsidRDefault="00D15EA7" w:rsidP="00D15EA7">
      <w:pPr>
        <w:widowControl w:val="0"/>
        <w:autoSpaceDE w:val="0"/>
        <w:autoSpaceDN w:val="0"/>
        <w:spacing w:after="0" w:line="276" w:lineRule="auto"/>
        <w:jc w:val="both"/>
        <w:rPr>
          <w:rStyle w:val="normaltextrun"/>
          <w:rFonts w:ascii="Verdana" w:eastAsia="Aptos" w:hAnsi="Verdana" w:cs="Arial"/>
          <w:shd w:val="clear" w:color="auto" w:fill="FFFFFF"/>
        </w:rPr>
      </w:pPr>
      <w:r w:rsidRPr="00343E12">
        <w:rPr>
          <w:rFonts w:ascii="Verdana" w:eastAsia="Aptos"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w:t>
      </w:r>
      <w:r w:rsidRPr="00343E12">
        <w:rPr>
          <w:rFonts w:ascii="Verdana" w:eastAsia="Aptos" w:hAnsi="Verdana" w:cs="Arial"/>
          <w:shd w:val="clear" w:color="auto" w:fill="FFFFFF"/>
        </w:rPr>
        <w:lastRenderedPageBreak/>
        <w:t>noviembre del 2025</w:t>
      </w:r>
      <w:r>
        <w:rPr>
          <w:rFonts w:ascii="Verdana" w:eastAsia="Aptos" w:hAnsi="Verdana" w:cs="Arial"/>
          <w:shd w:val="clear" w:color="auto" w:fill="FFFFFF"/>
        </w:rPr>
        <w:t>,</w:t>
      </w:r>
      <w:r w:rsidRPr="00343E12">
        <w:rPr>
          <w:rFonts w:ascii="Verdana" w:eastAsia="Aptos" w:hAnsi="Verdana" w:cs="Arial"/>
          <w:shd w:val="clear" w:color="auto" w:fill="FFFFFF"/>
        </w:rPr>
        <w:t xml:space="preserve"> C-1492 de 21 de noviembre de 2025</w:t>
      </w:r>
      <w:r>
        <w:rPr>
          <w:rFonts w:ascii="Verdana" w:eastAsia="Aptos" w:hAnsi="Verdana" w:cs="Arial"/>
          <w:shd w:val="clear" w:color="auto" w:fill="FFFFFF"/>
        </w:rPr>
        <w:t xml:space="preserve"> y C-1603 del 09 de diciembre de 2025</w:t>
      </w:r>
      <w:r>
        <w:rPr>
          <w:rFonts w:ascii="Verdana" w:eastAsia="Calibri" w:hAnsi="Verdana" w:cs="Arial"/>
        </w:rPr>
        <w:t>.</w:t>
      </w:r>
      <w:r w:rsidRPr="00DC4B8E">
        <w:rPr>
          <w:rFonts w:ascii="Verdana" w:hAnsi="Verdana" w:cs="Arial"/>
        </w:rPr>
        <w:t xml:space="preserve"> </w:t>
      </w:r>
      <w:r w:rsidRPr="00DC4B8E">
        <w:rPr>
          <w:rStyle w:val="normaltextrun"/>
          <w:rFonts w:ascii="Verdana" w:hAnsi="Verdana" w:cs="Arial"/>
          <w:shd w:val="clear" w:color="auto" w:fill="FFFFFF"/>
          <w:lang w:val="es-ES"/>
        </w:rPr>
        <w:t>Es</w:t>
      </w:r>
      <w:r w:rsidRPr="00DC4B8E">
        <w:rPr>
          <w:rFonts w:ascii="Verdana" w:hAnsi="Verdana" w:cs="Arial"/>
        </w:rPr>
        <w:t>tos y otros conceptos se encuentran disponibles para consulta en el Sistema de relatoría de la Agencia, al cual se puede acceder a través del siguiente enlace:</w:t>
      </w:r>
      <w:r w:rsidRPr="00DC4B8E">
        <w:rPr>
          <w:rStyle w:val="normaltextrun"/>
          <w:rFonts w:ascii="Verdana" w:hAnsi="Verdana" w:cs="Arial"/>
          <w:shd w:val="clear" w:color="auto" w:fill="FFFFFF"/>
          <w:lang w:val="es-ES"/>
        </w:rPr>
        <w:t xml:space="preserve"> </w:t>
      </w:r>
      <w:hyperlink r:id="rId13" w:history="1">
        <w:r w:rsidRPr="00DC4B8E">
          <w:rPr>
            <w:rStyle w:val="Hipervnculo"/>
            <w:rFonts w:ascii="Verdana" w:hAnsi="Verdana" w:cs="Arial"/>
            <w:shd w:val="clear" w:color="auto" w:fill="FFFFFF"/>
            <w:lang w:val="es-ES"/>
          </w:rPr>
          <w:t>https://relatoria.colombiacompra.gov.co/busqueda/conceptos</w:t>
        </w:r>
      </w:hyperlink>
    </w:p>
    <w:p w14:paraId="57A0B20C" w14:textId="77777777" w:rsidR="00D15EA7" w:rsidRPr="00115E3D" w:rsidRDefault="00D15EA7" w:rsidP="00D15EA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4ADB493B" w14:textId="77777777" w:rsidR="00D15EA7" w:rsidRPr="009A385A" w:rsidRDefault="00D15EA7" w:rsidP="00D15EA7">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5995323A" w14:textId="77777777" w:rsidR="00D15EA7" w:rsidRDefault="00D15EA7" w:rsidP="00D15EA7">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4BB4B416" w14:textId="77777777" w:rsidR="00D15EA7" w:rsidRPr="009A385A" w:rsidRDefault="00D15EA7" w:rsidP="00D15EA7">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E6D81BD" w14:textId="77777777" w:rsidR="00D15EA7" w:rsidRPr="00115E3D" w:rsidRDefault="00D15EA7" w:rsidP="00D15EA7">
      <w:pPr>
        <w:spacing w:after="0" w:line="240" w:lineRule="auto"/>
        <w:jc w:val="both"/>
        <w:rPr>
          <w:rFonts w:ascii="Verdana" w:hAnsi="Verdana"/>
          <w:color w:val="000000" w:themeColor="text1"/>
        </w:rPr>
      </w:pPr>
      <w:r>
        <w:rPr>
          <w:rFonts w:ascii="Verdana" w:hAnsi="Verdana"/>
          <w:color w:val="000000" w:themeColor="text1"/>
        </w:rPr>
        <w:lastRenderedPageBreak/>
        <w:t>L</w:t>
      </w:r>
      <w:r w:rsidRPr="00115E3D">
        <w:rPr>
          <w:rFonts w:ascii="Verdana" w:hAnsi="Verdana"/>
          <w:color w:val="000000" w:themeColor="text1"/>
        </w:rPr>
        <w:t xml:space="preserve">o invitamos a seguirnos en las redes sociales en las cuales se difunde información institucional: </w:t>
      </w:r>
    </w:p>
    <w:p w14:paraId="7A171004" w14:textId="77777777" w:rsidR="00D15EA7" w:rsidRPr="00115E3D" w:rsidRDefault="00D15EA7" w:rsidP="00D15EA7">
      <w:pPr>
        <w:spacing w:after="0" w:line="240" w:lineRule="auto"/>
        <w:jc w:val="both"/>
        <w:rPr>
          <w:rFonts w:ascii="Verdana" w:hAnsi="Verdana"/>
          <w:color w:val="000000" w:themeColor="text1"/>
        </w:rPr>
      </w:pPr>
    </w:p>
    <w:p w14:paraId="61CE5A12" w14:textId="77777777" w:rsidR="00D15EA7" w:rsidRPr="00115E3D" w:rsidRDefault="00D15EA7" w:rsidP="00D15EA7">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44623EAE" w14:textId="77777777" w:rsidR="00D15EA7" w:rsidRPr="00115E3D" w:rsidRDefault="00D15EA7" w:rsidP="00D15EA7">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080B6066" w14:textId="77777777" w:rsidR="00D15EA7" w:rsidRPr="00115E3D" w:rsidRDefault="00D15EA7" w:rsidP="00D15EA7">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377DCB99" w14:textId="77777777" w:rsidR="00D15EA7" w:rsidRPr="00115E3D" w:rsidRDefault="00D15EA7" w:rsidP="00D15EA7">
      <w:pPr>
        <w:widowControl w:val="0"/>
        <w:autoSpaceDE w:val="0"/>
        <w:autoSpaceDN w:val="0"/>
        <w:spacing w:after="0" w:line="276" w:lineRule="auto"/>
        <w:jc w:val="both"/>
        <w:rPr>
          <w:rFonts w:ascii="Verdana" w:hAnsi="Verdana" w:cs="Arial"/>
          <w:color w:val="000000" w:themeColor="text1"/>
        </w:rPr>
      </w:pPr>
    </w:p>
    <w:p w14:paraId="6FF87C4E" w14:textId="77777777" w:rsidR="00D15EA7" w:rsidRPr="00115E3D" w:rsidRDefault="00D15EA7" w:rsidP="00D15EA7">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2AC5A05E" w14:textId="77777777" w:rsidR="00D15EA7" w:rsidRPr="00115E3D" w:rsidRDefault="00D15EA7" w:rsidP="00D15EA7">
      <w:pPr>
        <w:widowControl w:val="0"/>
        <w:autoSpaceDE w:val="0"/>
        <w:autoSpaceDN w:val="0"/>
        <w:spacing w:after="0" w:line="276" w:lineRule="auto"/>
        <w:jc w:val="both"/>
        <w:rPr>
          <w:rFonts w:ascii="Verdana" w:hAnsi="Verdana" w:cs="Arial"/>
          <w:color w:val="000000" w:themeColor="text1"/>
        </w:rPr>
      </w:pPr>
    </w:p>
    <w:p w14:paraId="7AA5FC81" w14:textId="77777777" w:rsidR="00D15EA7" w:rsidRPr="00115E3D" w:rsidRDefault="00D15EA7" w:rsidP="00D15EA7">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08B8DAD8" w14:textId="77777777" w:rsidR="00AA2018" w:rsidRDefault="00AA2018" w:rsidP="00D15EA7">
      <w:pPr>
        <w:spacing w:line="276" w:lineRule="auto"/>
        <w:jc w:val="center"/>
        <w:rPr>
          <w:noProof/>
        </w:rPr>
      </w:pPr>
    </w:p>
    <w:p w14:paraId="259570C8" w14:textId="536C7909" w:rsidR="00AA2018" w:rsidRDefault="00AA2018" w:rsidP="00D15EA7">
      <w:pPr>
        <w:spacing w:line="276" w:lineRule="auto"/>
        <w:jc w:val="center"/>
        <w:rPr>
          <w:noProof/>
        </w:rPr>
      </w:pPr>
      <w:r>
        <w:rPr>
          <w:noProof/>
        </w:rPr>
        <w:drawing>
          <wp:inline distT="0" distB="0" distL="0" distR="0" wp14:anchorId="5ED1A4CC" wp14:editId="136E26E4">
            <wp:extent cx="2992755" cy="1284738"/>
            <wp:effectExtent l="0" t="0" r="0" b="0"/>
            <wp:docPr id="44376596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04595" cy="1289821"/>
                    </a:xfrm>
                    <a:prstGeom prst="rect">
                      <a:avLst/>
                    </a:prstGeom>
                    <a:noFill/>
                    <a:ln>
                      <a:noFill/>
                    </a:ln>
                  </pic:spPr>
                </pic:pic>
              </a:graphicData>
            </a:graphic>
          </wp:inline>
        </w:drawing>
      </w:r>
    </w:p>
    <w:p w14:paraId="1B445819" w14:textId="77777777" w:rsidR="00D15EA7" w:rsidRDefault="00D15EA7" w:rsidP="00D15EA7">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15EA7" w:rsidRPr="00115E3D" w14:paraId="09A7AE89" w14:textId="77777777" w:rsidTr="00AB3039">
        <w:trPr>
          <w:trHeight w:val="315"/>
        </w:trPr>
        <w:tc>
          <w:tcPr>
            <w:tcW w:w="893" w:type="dxa"/>
            <w:vAlign w:val="center"/>
            <w:hideMark/>
          </w:tcPr>
          <w:p w14:paraId="27F47E91" w14:textId="77777777" w:rsidR="00D15EA7" w:rsidRPr="00115E3D" w:rsidRDefault="00D15EA7" w:rsidP="00AB3039">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9A83F17" w14:textId="77777777" w:rsidR="00D15EA7" w:rsidRPr="00115E3D" w:rsidRDefault="00D15EA7" w:rsidP="00AB3039">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76893AF5" w14:textId="77777777" w:rsidR="00D15EA7" w:rsidRPr="00115E3D" w:rsidRDefault="00D15EA7" w:rsidP="00AB3039">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D15EA7" w:rsidRPr="00115E3D" w14:paraId="0904C250" w14:textId="77777777" w:rsidTr="00AB3039">
        <w:trPr>
          <w:trHeight w:val="330"/>
        </w:trPr>
        <w:tc>
          <w:tcPr>
            <w:tcW w:w="893" w:type="dxa"/>
            <w:vAlign w:val="center"/>
            <w:hideMark/>
          </w:tcPr>
          <w:p w14:paraId="00DF760B" w14:textId="77777777" w:rsidR="00D15EA7" w:rsidRPr="00115E3D" w:rsidRDefault="00D15EA7" w:rsidP="00AB3039">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7C04749" w14:textId="77777777" w:rsidR="00D15EA7" w:rsidRPr="00B37171" w:rsidRDefault="00D15EA7" w:rsidP="00AB3039">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467B7358" w14:textId="77777777" w:rsidR="00D15EA7" w:rsidRPr="00115E3D" w:rsidRDefault="00D15EA7" w:rsidP="00AB3039">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D15EA7" w:rsidRPr="00115E3D" w14:paraId="126D1EB2" w14:textId="77777777" w:rsidTr="00AB3039">
        <w:trPr>
          <w:trHeight w:val="300"/>
        </w:trPr>
        <w:tc>
          <w:tcPr>
            <w:tcW w:w="893" w:type="dxa"/>
            <w:vAlign w:val="center"/>
          </w:tcPr>
          <w:p w14:paraId="169F2FDC" w14:textId="77777777" w:rsidR="00D15EA7" w:rsidRPr="00115E3D" w:rsidRDefault="00D15EA7" w:rsidP="00AB3039">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FBD89F" w14:textId="77777777" w:rsidR="00D15EA7" w:rsidRPr="00115E3D" w:rsidRDefault="00D15EA7" w:rsidP="00AB3039">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1FB23377" w14:textId="77777777" w:rsidR="00D15EA7" w:rsidRPr="00115E3D" w:rsidRDefault="00D15EA7" w:rsidP="00AB3039">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w:t>
            </w:r>
            <w:proofErr w:type="spellStart"/>
            <w:r w:rsidRPr="00115E3D">
              <w:rPr>
                <w:rFonts w:ascii="Verdana" w:eastAsia="Calibri" w:hAnsi="Verdana" w:cs="Arial"/>
                <w:color w:val="000000" w:themeColor="text1"/>
                <w:sz w:val="16"/>
                <w:szCs w:val="16"/>
                <w:lang w:val="pt-BR" w:eastAsia="es-ES"/>
              </w:rPr>
              <w:t>Gestión</w:t>
            </w:r>
            <w:proofErr w:type="spellEnd"/>
            <w:r w:rsidRPr="00115E3D">
              <w:rPr>
                <w:rFonts w:ascii="Verdana" w:eastAsia="Calibri" w:hAnsi="Verdana" w:cs="Arial"/>
                <w:color w:val="000000" w:themeColor="text1"/>
                <w:sz w:val="16"/>
                <w:szCs w:val="16"/>
                <w:lang w:val="pt-BR" w:eastAsia="es-ES"/>
              </w:rPr>
              <w:t xml:space="preserve">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7C9026E2" w14:textId="77777777" w:rsidR="002A0DD0" w:rsidRPr="00D15EA7" w:rsidRDefault="002A0DD0" w:rsidP="30821638">
      <w:pPr>
        <w:spacing w:after="0" w:line="240" w:lineRule="auto"/>
        <w:jc w:val="both"/>
        <w:rPr>
          <w:rFonts w:ascii="Verdana" w:eastAsia="Verdana" w:hAnsi="Verdana" w:cs="Verdana"/>
          <w:b/>
          <w:bCs/>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2D4443D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5DF0FF7B" w14:textId="3BF1D3B9" w:rsidR="545B112A" w:rsidRDefault="545B112A"/>
    <w:p w14:paraId="26A0CB84" w14:textId="77777777" w:rsidR="002E2BF8" w:rsidRPr="00E02524" w:rsidRDefault="002E2BF8" w:rsidP="30821638">
      <w:pPr>
        <w:spacing w:after="0"/>
        <w:jc w:val="both"/>
        <w:rPr>
          <w:rFonts w:ascii="Verdana" w:eastAsia="Verdana" w:hAnsi="Verdana" w:cs="Verdana"/>
          <w:lang w:val="es-ES"/>
        </w:rPr>
      </w:pPr>
    </w:p>
    <w:p w14:paraId="493E8921" w14:textId="77777777" w:rsidR="002E2BF8" w:rsidRPr="00E02524" w:rsidRDefault="002E2BF8" w:rsidP="30821638">
      <w:pPr>
        <w:spacing w:after="0"/>
        <w:jc w:val="both"/>
        <w:rPr>
          <w:rFonts w:ascii="Verdana" w:eastAsia="Verdana" w:hAnsi="Verdana" w:cs="Verdana"/>
          <w:lang w:val="es-ES"/>
        </w:rPr>
      </w:pPr>
    </w:p>
    <w:p w14:paraId="7AB8EA08" w14:textId="77777777" w:rsidR="002E2BF8" w:rsidRPr="00E02524" w:rsidRDefault="002E2BF8" w:rsidP="30821638">
      <w:pPr>
        <w:spacing w:after="0"/>
        <w:jc w:val="both"/>
        <w:rPr>
          <w:rFonts w:ascii="Verdana" w:eastAsia="Verdana" w:hAnsi="Verdana" w:cs="Verdana"/>
          <w:lang w:val="es-ES"/>
        </w:rPr>
      </w:pPr>
    </w:p>
    <w:bookmarkEnd w:id="0"/>
    <w:p w14:paraId="0F293BF4" w14:textId="08E5A17B" w:rsidR="00127233" w:rsidRPr="0015699B" w:rsidRDefault="00127233" w:rsidP="006F4461">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E15CD" w14:textId="77777777" w:rsidR="00ED255A" w:rsidRDefault="00ED255A" w:rsidP="004A1847">
      <w:pPr>
        <w:spacing w:after="0" w:line="240" w:lineRule="auto"/>
      </w:pPr>
      <w:r>
        <w:separator/>
      </w:r>
    </w:p>
  </w:endnote>
  <w:endnote w:type="continuationSeparator" w:id="0">
    <w:p w14:paraId="4E5F54B3" w14:textId="77777777" w:rsidR="00ED255A" w:rsidRDefault="00ED255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altName w:val="Segoe UI"/>
    <w:panose1 w:val="020B0502040204020203"/>
    <w:charset w:val="01"/>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7A889F" w14:textId="77777777" w:rsidR="00ED255A" w:rsidRDefault="00ED255A" w:rsidP="004A1847">
      <w:pPr>
        <w:spacing w:after="0" w:line="240" w:lineRule="auto"/>
      </w:pPr>
      <w:r>
        <w:separator/>
      </w:r>
    </w:p>
  </w:footnote>
  <w:footnote w:type="continuationSeparator" w:id="0">
    <w:p w14:paraId="4101464D" w14:textId="77777777" w:rsidR="00ED255A" w:rsidRDefault="00ED255A" w:rsidP="004A1847">
      <w:pPr>
        <w:spacing w:after="0" w:line="240" w:lineRule="auto"/>
      </w:pPr>
      <w:r>
        <w:continuationSeparator/>
      </w:r>
    </w:p>
  </w:footnote>
  <w:footnote w:id="1">
    <w:p w14:paraId="037B1624" w14:textId="77777777" w:rsidR="00D15EA7" w:rsidRPr="00514F13" w:rsidRDefault="00D15EA7" w:rsidP="00D15EA7">
      <w:pPr>
        <w:pStyle w:val="Textonotapie"/>
        <w:ind w:firstLine="709"/>
        <w:jc w:val="both"/>
        <w:rPr>
          <w:rFonts w:ascii="Verdana" w:hAnsi="Verdana" w:cs="Arial"/>
          <w:sz w:val="16"/>
          <w:szCs w:val="16"/>
        </w:rPr>
      </w:pPr>
      <w:r w:rsidRPr="006A36BB">
        <w:rPr>
          <w:rStyle w:val="Refdenotaalpie"/>
          <w:rFonts w:ascii="Verdana" w:hAnsi="Verdana" w:cs="Arial"/>
          <w:sz w:val="14"/>
          <w:szCs w:val="14"/>
        </w:rPr>
        <w:footnoteRef/>
      </w:r>
      <w:r w:rsidRPr="006A36BB">
        <w:rPr>
          <w:rFonts w:ascii="Verdana" w:hAnsi="Verdana" w:cs="Arial"/>
          <w:sz w:val="14"/>
          <w:szCs w:val="14"/>
        </w:rPr>
        <w:t xml:space="preserve"> </w:t>
      </w:r>
      <w:r w:rsidRPr="00514F13">
        <w:rPr>
          <w:rFonts w:ascii="Verdana" w:hAnsi="Verdana" w:cs="Arial"/>
          <w:sz w:val="16"/>
          <w:szCs w:val="16"/>
        </w:rPr>
        <w:t xml:space="preserve">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40D1AC0" w14:textId="77777777" w:rsidR="00D15EA7" w:rsidRPr="00514F13" w:rsidRDefault="00D15EA7" w:rsidP="00D15EA7">
      <w:pPr>
        <w:pStyle w:val="Textonotapie"/>
        <w:ind w:firstLine="709"/>
        <w:jc w:val="both"/>
        <w:rPr>
          <w:rFonts w:ascii="Verdana" w:hAnsi="Verdana" w:cs="Arial"/>
          <w:sz w:val="16"/>
          <w:szCs w:val="16"/>
        </w:rPr>
      </w:pPr>
      <w:r w:rsidRPr="00514F13">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25C81004" w14:textId="77777777" w:rsidR="00D15EA7" w:rsidRPr="00514F13" w:rsidRDefault="00D15EA7" w:rsidP="00D15EA7">
      <w:pPr>
        <w:pStyle w:val="Textonotapie"/>
        <w:ind w:firstLine="709"/>
        <w:jc w:val="both"/>
        <w:rPr>
          <w:rFonts w:ascii="Verdana" w:hAnsi="Verdana" w:cs="Arial"/>
          <w:sz w:val="16"/>
          <w:szCs w:val="16"/>
        </w:rPr>
      </w:pPr>
      <w:r w:rsidRPr="00514F13">
        <w:rPr>
          <w:rStyle w:val="Refdenotaalpie"/>
          <w:rFonts w:ascii="Verdana" w:hAnsi="Verdana"/>
          <w:sz w:val="16"/>
          <w:szCs w:val="16"/>
        </w:rPr>
        <w:footnoteRef/>
      </w:r>
      <w:r w:rsidRPr="00514F13">
        <w:rPr>
          <w:rFonts w:ascii="Verdana" w:hAnsi="Verdana"/>
          <w:sz w:val="16"/>
          <w:szCs w:val="16"/>
        </w:rPr>
        <w:t xml:space="preserve"> </w:t>
      </w:r>
      <w:r w:rsidRPr="00514F13">
        <w:rPr>
          <w:rFonts w:ascii="Verdana" w:hAnsi="Verdana" w:cs="Arial"/>
          <w:sz w:val="16"/>
          <w:szCs w:val="16"/>
        </w:rPr>
        <w:t>Gaceta del Congreso de la República No. 71 del 2005.</w:t>
      </w:r>
    </w:p>
    <w:p w14:paraId="071B423F" w14:textId="77777777" w:rsidR="00D15EA7" w:rsidRPr="00514F13" w:rsidRDefault="00D15EA7" w:rsidP="00D15EA7">
      <w:pPr>
        <w:pStyle w:val="Textonotapie"/>
        <w:jc w:val="both"/>
        <w:rPr>
          <w:rFonts w:ascii="Verdana" w:hAnsi="Verdana"/>
          <w:sz w:val="16"/>
          <w:szCs w:val="16"/>
        </w:rPr>
      </w:pPr>
    </w:p>
  </w:footnote>
  <w:footnote w:id="3">
    <w:p w14:paraId="3BC927BB" w14:textId="77777777" w:rsidR="00D15EA7" w:rsidRPr="00514F13" w:rsidRDefault="00D15EA7" w:rsidP="00D15EA7">
      <w:pPr>
        <w:pStyle w:val="Textonotapie"/>
        <w:ind w:firstLine="709"/>
        <w:jc w:val="both"/>
        <w:rPr>
          <w:rFonts w:ascii="Verdana" w:hAnsi="Verdana" w:cs="Arial"/>
          <w:sz w:val="16"/>
          <w:szCs w:val="16"/>
          <w:lang w:val="pt-BR"/>
        </w:rPr>
      </w:pPr>
      <w:r w:rsidRPr="00514F13">
        <w:rPr>
          <w:rStyle w:val="Refdenotaalpie"/>
          <w:rFonts w:ascii="Verdana" w:hAnsi="Verdana" w:cs="Arial"/>
          <w:sz w:val="16"/>
          <w:szCs w:val="16"/>
        </w:rPr>
        <w:footnoteRef/>
      </w:r>
      <w:r w:rsidRPr="00514F13">
        <w:rPr>
          <w:rFonts w:ascii="Verdana" w:hAnsi="Verdana" w:cs="Arial"/>
          <w:sz w:val="16"/>
          <w:szCs w:val="16"/>
          <w:lang w:val="pt-BR"/>
        </w:rPr>
        <w:t xml:space="preserve"> Corte Constitucional, Sentencia C- 1153 de 2005, M.P. Marco Gerardo Monroy Cabra.</w:t>
      </w:r>
    </w:p>
  </w:footnote>
  <w:footnote w:id="4">
    <w:p w14:paraId="2F05F74B" w14:textId="77777777" w:rsidR="00D15EA7" w:rsidRPr="00514F13" w:rsidRDefault="00D15EA7" w:rsidP="00D15EA7">
      <w:pPr>
        <w:pStyle w:val="Textonotapie"/>
        <w:ind w:firstLine="709"/>
        <w:jc w:val="both"/>
        <w:rPr>
          <w:rFonts w:ascii="Verdana" w:hAnsi="Verdana" w:cs="Arial"/>
          <w:sz w:val="16"/>
          <w:szCs w:val="16"/>
          <w:lang w:val="es-CO"/>
        </w:rPr>
      </w:pPr>
      <w:r w:rsidRPr="00514F13">
        <w:rPr>
          <w:rStyle w:val="Refdenotaalpie"/>
          <w:rFonts w:ascii="Verdana" w:hAnsi="Verdana" w:cs="Arial"/>
          <w:sz w:val="16"/>
          <w:szCs w:val="16"/>
        </w:rPr>
        <w:footnoteRef/>
      </w:r>
      <w:r w:rsidRPr="00514F13">
        <w:rPr>
          <w:rFonts w:ascii="Verdana" w:hAnsi="Verdana" w:cs="Arial"/>
          <w:sz w:val="16"/>
          <w:szCs w:val="16"/>
          <w:lang w:val="pt-BR"/>
        </w:rPr>
        <w:t xml:space="preserve"> </w:t>
      </w:r>
      <w:r w:rsidRPr="00514F13">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12ECC13B" w14:textId="77777777" w:rsidR="00D15EA7" w:rsidRPr="00514F13" w:rsidRDefault="00D15EA7" w:rsidP="00D15EA7">
      <w:pPr>
        <w:pStyle w:val="Textonotapie"/>
        <w:ind w:firstLine="709"/>
        <w:jc w:val="both"/>
        <w:rPr>
          <w:rFonts w:ascii="Verdana" w:hAnsi="Verdana" w:cs="Arial"/>
          <w:sz w:val="16"/>
          <w:szCs w:val="16"/>
          <w:lang w:val="pt-BR"/>
        </w:rPr>
      </w:pPr>
    </w:p>
  </w:footnote>
  <w:footnote w:id="5">
    <w:p w14:paraId="1FBDA4C4" w14:textId="77777777" w:rsidR="00D15EA7" w:rsidRPr="00514F13" w:rsidRDefault="00D15EA7" w:rsidP="00D15EA7">
      <w:pPr>
        <w:pStyle w:val="Textonotapie"/>
        <w:ind w:firstLine="709"/>
        <w:jc w:val="both"/>
        <w:rPr>
          <w:rFonts w:ascii="Verdana" w:hAnsi="Verdana" w:cs="Arial"/>
          <w:sz w:val="16"/>
          <w:szCs w:val="16"/>
          <w:lang w:val="es-ES"/>
        </w:rPr>
      </w:pPr>
      <w:r w:rsidRPr="00514F13">
        <w:rPr>
          <w:rStyle w:val="Refdenotaalpie"/>
          <w:rFonts w:ascii="Verdana" w:hAnsi="Verdana" w:cs="Arial"/>
          <w:sz w:val="16"/>
          <w:szCs w:val="16"/>
        </w:rPr>
        <w:footnoteRef/>
      </w:r>
      <w:r w:rsidRPr="00514F13">
        <w:rPr>
          <w:rFonts w:ascii="Verdana" w:hAnsi="Verdana" w:cs="Arial"/>
          <w:sz w:val="16"/>
          <w:szCs w:val="16"/>
          <w:lang w:val="es-CO"/>
        </w:rPr>
        <w:t xml:space="preserve"> Consejo de Estado. Sala de lo Contencioso Administrativo. Sección Primera. Sentencia de 3 de marzo de 2005. Radicado: </w:t>
      </w:r>
      <w:r w:rsidRPr="00514F13">
        <w:rPr>
          <w:rFonts w:ascii="Verdana" w:hAnsi="Verdana" w:cs="Arial"/>
          <w:sz w:val="16"/>
          <w:szCs w:val="16"/>
          <w:lang w:val="es-ES"/>
        </w:rPr>
        <w:t xml:space="preserve">25001-23-15-000-2004-00823-01 (PI). </w:t>
      </w:r>
      <w:r w:rsidRPr="00514F13">
        <w:rPr>
          <w:rFonts w:ascii="Verdana" w:hAnsi="Verdana" w:cs="Arial"/>
          <w:sz w:val="16"/>
          <w:szCs w:val="16"/>
          <w:lang w:val="es-CO"/>
        </w:rPr>
        <w:t xml:space="preserve">C.P: Camilo Arciniegas Andrade. Ver también, de la Sección Tercera. </w:t>
      </w:r>
    </w:p>
    <w:p w14:paraId="4966ACBF" w14:textId="77777777" w:rsidR="00D15EA7" w:rsidRPr="00514F13" w:rsidRDefault="00D15EA7" w:rsidP="00D15EA7">
      <w:pPr>
        <w:pStyle w:val="Textonotapie"/>
        <w:ind w:firstLine="709"/>
        <w:jc w:val="both"/>
        <w:rPr>
          <w:rFonts w:ascii="Verdana" w:hAnsi="Verdana" w:cs="Arial"/>
          <w:sz w:val="16"/>
          <w:szCs w:val="16"/>
          <w:lang w:val="es-CO"/>
        </w:rPr>
      </w:pPr>
    </w:p>
  </w:footnote>
  <w:footnote w:id="6">
    <w:p w14:paraId="02FE0869" w14:textId="77777777" w:rsidR="00D15EA7" w:rsidRPr="00514F13" w:rsidRDefault="00D15EA7" w:rsidP="00D15EA7">
      <w:pPr>
        <w:pStyle w:val="Textonotapie"/>
        <w:ind w:firstLine="709"/>
        <w:jc w:val="both"/>
        <w:rPr>
          <w:rFonts w:ascii="Verdana" w:hAnsi="Verdana" w:cs="Arial"/>
          <w:sz w:val="16"/>
          <w:szCs w:val="16"/>
        </w:rPr>
      </w:pPr>
      <w:r w:rsidRPr="00514F13">
        <w:rPr>
          <w:rStyle w:val="Refdenotaalpie"/>
          <w:rFonts w:ascii="Verdana" w:hAnsi="Verdana" w:cs="Arial"/>
          <w:sz w:val="16"/>
          <w:szCs w:val="16"/>
        </w:rPr>
        <w:footnoteRef/>
      </w:r>
      <w:r w:rsidRPr="00514F13">
        <w:rPr>
          <w:rFonts w:ascii="Verdana" w:hAnsi="Verdana" w:cs="Arial"/>
          <w:sz w:val="16"/>
          <w:szCs w:val="16"/>
        </w:rPr>
        <w:t xml:space="preserve"> Consejo de Estado, Sala de Consulta y Servicio Civil. 24 de julio de 2013. Radicado: </w:t>
      </w:r>
      <w:r w:rsidRPr="00514F13">
        <w:rPr>
          <w:rFonts w:ascii="Verdana" w:hAnsi="Verdana" w:cs="Arial"/>
          <w:sz w:val="16"/>
          <w:szCs w:val="16"/>
          <w:lang w:val="es-CO"/>
        </w:rPr>
        <w:t xml:space="preserve">11001-03-06-000-2013-00407-00 </w:t>
      </w:r>
      <w:r w:rsidRPr="00514F13">
        <w:rPr>
          <w:rFonts w:ascii="Verdana" w:hAnsi="Verdana" w:cs="Arial"/>
          <w:sz w:val="16"/>
          <w:szCs w:val="16"/>
        </w:rPr>
        <w:t xml:space="preserve">(2166). C.P. Álvaro Namén Vargas.  </w:t>
      </w:r>
    </w:p>
  </w:footnote>
  <w:footnote w:id="7">
    <w:p w14:paraId="669562A2" w14:textId="77777777" w:rsidR="00D15EA7" w:rsidRPr="00514F13" w:rsidRDefault="00D15EA7" w:rsidP="00D15EA7">
      <w:pPr>
        <w:spacing w:after="0" w:line="240" w:lineRule="auto"/>
        <w:ind w:firstLine="709"/>
        <w:jc w:val="both"/>
        <w:rPr>
          <w:rFonts w:ascii="Verdana" w:eastAsia="Times New Roman" w:hAnsi="Verdana" w:cs="Arial"/>
          <w:sz w:val="16"/>
          <w:szCs w:val="16"/>
        </w:rPr>
      </w:pPr>
      <w:r w:rsidRPr="00514F13">
        <w:rPr>
          <w:rStyle w:val="Refdenotaalpie"/>
          <w:rFonts w:ascii="Verdana" w:hAnsi="Verdana" w:cs="Arial"/>
          <w:sz w:val="16"/>
          <w:szCs w:val="16"/>
        </w:rPr>
        <w:footnoteRef/>
      </w:r>
      <w:r w:rsidRPr="00514F13">
        <w:rPr>
          <w:rFonts w:ascii="Verdana" w:hAnsi="Verdana" w:cs="Arial"/>
          <w:sz w:val="16"/>
          <w:szCs w:val="16"/>
        </w:rPr>
        <w:t xml:space="preserve"> </w:t>
      </w:r>
      <w:bookmarkStart w:id="6" w:name="33"/>
      <w:r w:rsidRPr="00514F13">
        <w:rPr>
          <w:rFonts w:ascii="Verdana" w:eastAsia="Calibri" w:hAnsi="Verdana" w:cs="Arial"/>
          <w:color w:val="000000"/>
          <w:sz w:val="16"/>
          <w:szCs w:val="16"/>
        </w:rPr>
        <w:t>“</w:t>
      </w:r>
      <w:r w:rsidRPr="00514F13">
        <w:rPr>
          <w:rFonts w:ascii="Verdana" w:eastAsia="Times New Roman" w:hAnsi="Verdana" w:cs="Arial"/>
          <w:sz w:val="16"/>
          <w:szCs w:val="16"/>
        </w:rPr>
        <w:t>Artículo 33. Restricciones a la contratación pública.</w:t>
      </w:r>
      <w:bookmarkEnd w:id="6"/>
      <w:r w:rsidRPr="00514F13">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BF5CD6E" w14:textId="77777777" w:rsidR="00D15EA7" w:rsidRPr="00514F13" w:rsidRDefault="00D15EA7" w:rsidP="00D15EA7">
      <w:pPr>
        <w:spacing w:after="0" w:line="240" w:lineRule="auto"/>
        <w:ind w:firstLine="709"/>
        <w:jc w:val="both"/>
        <w:rPr>
          <w:rFonts w:ascii="Verdana" w:eastAsia="Times New Roman" w:hAnsi="Verdana" w:cs="Arial"/>
          <w:sz w:val="16"/>
          <w:szCs w:val="16"/>
        </w:rPr>
      </w:pPr>
      <w:r w:rsidRPr="00514F13">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14F13">
        <w:rPr>
          <w:rFonts w:ascii="Verdana" w:eastAsia="Calibri" w:hAnsi="Verdana" w:cs="Arial"/>
          <w:color w:val="000000"/>
          <w:sz w:val="16"/>
          <w:szCs w:val="16"/>
        </w:rPr>
        <w:t>”</w:t>
      </w:r>
      <w:r w:rsidRPr="00514F13">
        <w:rPr>
          <w:rFonts w:ascii="Verdana" w:eastAsia="Times New Roman" w:hAnsi="Verdana" w:cs="Arial"/>
          <w:sz w:val="16"/>
          <w:szCs w:val="16"/>
        </w:rPr>
        <w:t>.</w:t>
      </w:r>
    </w:p>
    <w:p w14:paraId="6FD6A0A4" w14:textId="77777777" w:rsidR="00D15EA7" w:rsidRPr="00514F13" w:rsidRDefault="00D15EA7" w:rsidP="00D15EA7">
      <w:pPr>
        <w:spacing w:after="0" w:line="240" w:lineRule="auto"/>
        <w:ind w:firstLine="709"/>
        <w:jc w:val="both"/>
        <w:rPr>
          <w:rFonts w:ascii="Verdana" w:eastAsia="Times New Roman" w:hAnsi="Verdana" w:cs="Arial"/>
          <w:sz w:val="16"/>
          <w:szCs w:val="16"/>
        </w:rPr>
      </w:pPr>
    </w:p>
  </w:footnote>
  <w:footnote w:id="8">
    <w:p w14:paraId="17DDAFD0" w14:textId="77777777" w:rsidR="00D15EA7" w:rsidRPr="00514F13" w:rsidRDefault="00D15EA7" w:rsidP="00D15EA7">
      <w:pPr>
        <w:pStyle w:val="NormalWeb"/>
        <w:spacing w:before="0" w:beforeAutospacing="0" w:after="0" w:afterAutospacing="0"/>
        <w:ind w:firstLine="709"/>
        <w:jc w:val="both"/>
        <w:rPr>
          <w:rFonts w:ascii="Verdana" w:hAnsi="Verdana" w:cs="Arial"/>
          <w:sz w:val="16"/>
          <w:szCs w:val="16"/>
          <w:lang w:val="es-MX"/>
        </w:rPr>
      </w:pPr>
      <w:r w:rsidRPr="00514F13">
        <w:rPr>
          <w:rStyle w:val="Refdenotaalpie"/>
          <w:rFonts w:ascii="Verdana" w:eastAsiaTheme="majorEastAsia" w:hAnsi="Verdana" w:cs="Arial"/>
          <w:sz w:val="16"/>
          <w:szCs w:val="16"/>
        </w:rPr>
        <w:footnoteRef/>
      </w:r>
      <w:r w:rsidRPr="00514F13">
        <w:rPr>
          <w:rFonts w:ascii="Verdana" w:hAnsi="Verdana" w:cs="Arial"/>
          <w:sz w:val="16"/>
          <w:szCs w:val="16"/>
        </w:rPr>
        <w:t xml:space="preserve"> </w:t>
      </w:r>
      <w:bookmarkStart w:id="7" w:name="38"/>
      <w:r w:rsidRPr="00514F13">
        <w:rPr>
          <w:rFonts w:ascii="Verdana" w:eastAsia="Calibri" w:hAnsi="Verdana" w:cs="Arial"/>
          <w:color w:val="000000"/>
          <w:sz w:val="16"/>
          <w:szCs w:val="16"/>
        </w:rPr>
        <w:t>“</w:t>
      </w:r>
      <w:r w:rsidRPr="00514F13">
        <w:rPr>
          <w:rFonts w:ascii="Verdana" w:hAnsi="Verdana" w:cs="Arial"/>
          <w:sz w:val="16"/>
          <w:szCs w:val="16"/>
          <w:lang w:val="es-MX"/>
        </w:rPr>
        <w:t>Artículo 38. Prohibiciones para los servidores públicos. A los empleados del Estado les está prohibido:</w:t>
      </w:r>
      <w:bookmarkEnd w:id="7"/>
      <w:r w:rsidRPr="00514F13">
        <w:rPr>
          <w:rFonts w:ascii="Verdana" w:hAnsi="Verdana" w:cs="Arial"/>
          <w:sz w:val="16"/>
          <w:szCs w:val="16"/>
          <w:lang w:val="es-MX"/>
        </w:rPr>
        <w:t xml:space="preserve"> (…)</w:t>
      </w:r>
    </w:p>
    <w:p w14:paraId="2EAE7855" w14:textId="77777777" w:rsidR="00D15EA7" w:rsidRPr="00514F13" w:rsidRDefault="00D15EA7" w:rsidP="00D15EA7">
      <w:pPr>
        <w:pStyle w:val="NormalWeb"/>
        <w:spacing w:before="0" w:beforeAutospacing="0" w:after="0" w:afterAutospacing="0"/>
        <w:ind w:firstLine="709"/>
        <w:jc w:val="both"/>
        <w:rPr>
          <w:rFonts w:ascii="Verdana" w:hAnsi="Verdana" w:cs="Arial"/>
          <w:sz w:val="16"/>
          <w:szCs w:val="16"/>
          <w:lang w:val="es-MX"/>
        </w:rPr>
      </w:pPr>
      <w:r w:rsidRPr="00514F13">
        <w:rPr>
          <w:rStyle w:val="baj"/>
          <w:rFonts w:ascii="Verdana" w:eastAsiaTheme="majorEastAsia" w:hAnsi="Verdana" w:cs="Arial"/>
          <w:sz w:val="16"/>
          <w:szCs w:val="16"/>
          <w:lang w:val="es-MX"/>
        </w:rPr>
        <w:t>Parágrafo.</w:t>
      </w:r>
      <w:r w:rsidRPr="00514F13">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14F13">
        <w:rPr>
          <w:rFonts w:ascii="Verdana" w:eastAsia="Calibri" w:hAnsi="Verdana" w:cs="Arial"/>
          <w:color w:val="000000"/>
          <w:sz w:val="16"/>
          <w:szCs w:val="16"/>
        </w:rPr>
        <w:t>”</w:t>
      </w:r>
      <w:r w:rsidRPr="00514F13">
        <w:rPr>
          <w:rFonts w:ascii="Verdana" w:hAnsi="Verdana" w:cs="Arial"/>
          <w:sz w:val="16"/>
          <w:szCs w:val="16"/>
          <w:lang w:val="es-MX"/>
        </w:rPr>
        <w:t>.</w:t>
      </w:r>
    </w:p>
  </w:footnote>
  <w:footnote w:id="9">
    <w:p w14:paraId="764B3070" w14:textId="77777777" w:rsidR="00D15EA7" w:rsidRPr="00514F13" w:rsidRDefault="00D15EA7" w:rsidP="00D15EA7">
      <w:pPr>
        <w:spacing w:after="0" w:line="240" w:lineRule="auto"/>
        <w:ind w:left="100" w:right="244" w:firstLine="709"/>
        <w:jc w:val="both"/>
        <w:rPr>
          <w:rFonts w:ascii="Verdana" w:hAnsi="Verdana" w:cs="Arial"/>
          <w:sz w:val="16"/>
          <w:szCs w:val="16"/>
          <w:lang w:val="es-ES"/>
        </w:rPr>
      </w:pPr>
      <w:r w:rsidRPr="00514F13">
        <w:rPr>
          <w:rStyle w:val="Refdenotaalpie"/>
          <w:rFonts w:ascii="Verdana" w:hAnsi="Verdana" w:cs="Arial"/>
          <w:sz w:val="16"/>
          <w:szCs w:val="16"/>
        </w:rPr>
        <w:footnoteRef/>
      </w:r>
      <w:r w:rsidRPr="00514F13">
        <w:rPr>
          <w:rFonts w:ascii="Verdana" w:hAnsi="Verdana" w:cs="Arial"/>
          <w:sz w:val="16"/>
          <w:szCs w:val="16"/>
        </w:rPr>
        <w:t xml:space="preserve"> Consejo de Estado. Sala de Consulta y Servicio Civil. Concepto del 17 de febrero de 2015. Radicado: 11001-03-06-000-2015-00164-00 (2269). C.P. William Zambrano Cetina.</w:t>
      </w:r>
    </w:p>
  </w:footnote>
  <w:footnote w:id="10">
    <w:p w14:paraId="3D8E378B" w14:textId="77777777" w:rsidR="00D15EA7" w:rsidRPr="00514F13" w:rsidRDefault="00D15EA7" w:rsidP="00D15EA7">
      <w:pPr>
        <w:pStyle w:val="Textonotapie"/>
        <w:ind w:firstLine="708"/>
        <w:jc w:val="both"/>
        <w:rPr>
          <w:rFonts w:ascii="Verdana" w:hAnsi="Verdana" w:cs="Arial"/>
          <w:sz w:val="16"/>
          <w:szCs w:val="16"/>
        </w:rPr>
      </w:pPr>
      <w:r w:rsidRPr="00514F13">
        <w:rPr>
          <w:rStyle w:val="Refdenotaalpie"/>
          <w:rFonts w:ascii="Verdana" w:hAnsi="Verdana" w:cs="Arial"/>
          <w:sz w:val="16"/>
          <w:szCs w:val="16"/>
        </w:rPr>
        <w:footnoteRef/>
      </w:r>
      <w:r w:rsidRPr="00514F13">
        <w:rPr>
          <w:rFonts w:ascii="Verdana" w:hAnsi="Verdana" w:cs="Arial"/>
          <w:sz w:val="16"/>
          <w:szCs w:val="16"/>
        </w:rPr>
        <w:t xml:space="preserve"> Colombia Compra Eficiente. Circular Externa Única. Numeral 16.5. </w:t>
      </w:r>
    </w:p>
    <w:p w14:paraId="13F596E8" w14:textId="77777777" w:rsidR="00D15EA7" w:rsidRPr="00514F13" w:rsidRDefault="00D15EA7" w:rsidP="00D15EA7">
      <w:pPr>
        <w:pStyle w:val="Textonotapie"/>
        <w:ind w:firstLine="708"/>
        <w:jc w:val="both"/>
        <w:rPr>
          <w:rFonts w:ascii="Verdana" w:hAnsi="Verdana" w:cs="Arial"/>
          <w:sz w:val="16"/>
          <w:szCs w:val="16"/>
        </w:rPr>
      </w:pPr>
    </w:p>
  </w:footnote>
  <w:footnote w:id="11">
    <w:p w14:paraId="4FAAF9BA" w14:textId="77777777" w:rsidR="00D15EA7" w:rsidRPr="00514F13" w:rsidRDefault="00D15EA7" w:rsidP="00D15EA7">
      <w:pPr>
        <w:pStyle w:val="Textonotapie"/>
        <w:ind w:right="51" w:firstLine="709"/>
        <w:jc w:val="both"/>
        <w:rPr>
          <w:rFonts w:ascii="Verdana" w:hAnsi="Verdana" w:cs="Arial"/>
          <w:sz w:val="16"/>
          <w:szCs w:val="16"/>
        </w:rPr>
      </w:pPr>
      <w:r w:rsidRPr="00514F13">
        <w:rPr>
          <w:rStyle w:val="Refdenotaalpie"/>
          <w:rFonts w:ascii="Verdana" w:hAnsi="Verdana" w:cs="Arial"/>
          <w:sz w:val="16"/>
          <w:szCs w:val="16"/>
        </w:rPr>
        <w:footnoteRef/>
      </w:r>
      <w:r w:rsidRPr="00514F13">
        <w:rPr>
          <w:rFonts w:ascii="Verdana" w:hAnsi="Verdana" w:cs="Arial"/>
          <w:sz w:val="16"/>
          <w:szCs w:val="16"/>
        </w:rPr>
        <w:t xml:space="preserve"> “</w:t>
      </w:r>
      <w:r w:rsidRPr="00514F13">
        <w:rPr>
          <w:rFonts w:ascii="Verdana" w:hAnsi="Verdana" w:cs="Arial"/>
          <w:sz w:val="16"/>
          <w:szCs w:val="16"/>
          <w:lang w:val="es-ES"/>
        </w:rPr>
        <w:t xml:space="preserve">[25] </w:t>
      </w:r>
      <w:r w:rsidRPr="00514F13">
        <w:rPr>
          <w:rFonts w:ascii="Verdana" w:hAnsi="Verdana" w:cs="Arial"/>
          <w:sz w:val="16"/>
          <w:szCs w:val="16"/>
        </w:rPr>
        <w:t>Cfr. Consejo de Estado. Sección Tercera. Sentencia de 3 de diciembre de 2007. Radicados: 24.715, 25.206, 25.409, 24.524, 27.834, 25.410, 26.105, 28.244, 31.447 -acumulados-“.</w:t>
      </w:r>
    </w:p>
  </w:footnote>
  <w:footnote w:id="12">
    <w:p w14:paraId="6D3B3E4B" w14:textId="77777777" w:rsidR="00D15EA7" w:rsidRPr="00514F13" w:rsidRDefault="00D15EA7" w:rsidP="00D15EA7">
      <w:pPr>
        <w:pStyle w:val="Textonotapie"/>
        <w:ind w:right="51" w:firstLine="709"/>
        <w:jc w:val="both"/>
        <w:rPr>
          <w:rFonts w:ascii="Verdana" w:hAnsi="Verdana" w:cs="Arial"/>
          <w:sz w:val="16"/>
          <w:szCs w:val="16"/>
        </w:rPr>
      </w:pPr>
      <w:r w:rsidRPr="00514F13">
        <w:rPr>
          <w:rStyle w:val="Refdenotaalpie"/>
          <w:rFonts w:ascii="Verdana" w:hAnsi="Verdana" w:cs="Arial"/>
          <w:sz w:val="16"/>
          <w:szCs w:val="16"/>
        </w:rPr>
        <w:footnoteRef/>
      </w:r>
      <w:r w:rsidRPr="00514F13">
        <w:rPr>
          <w:rFonts w:ascii="Verdana" w:hAnsi="Verdana" w:cs="Arial"/>
          <w:sz w:val="16"/>
          <w:szCs w:val="16"/>
        </w:rPr>
        <w:t xml:space="preserve"> “</w:t>
      </w:r>
      <w:r w:rsidRPr="00514F13">
        <w:rPr>
          <w:rFonts w:ascii="Verdana" w:hAnsi="Verdana" w:cs="Arial"/>
          <w:sz w:val="16"/>
          <w:szCs w:val="16"/>
          <w:lang w:val="es-ES"/>
        </w:rPr>
        <w:t xml:space="preserve">[26] </w:t>
      </w:r>
      <w:r w:rsidRPr="00514F13">
        <w:rPr>
          <w:rFonts w:ascii="Verdana" w:hAnsi="Verdana" w:cs="Arial"/>
          <w:sz w:val="16"/>
          <w:szCs w:val="16"/>
        </w:rPr>
        <w:t>Al respecto ver el concepto 1712 de 2 de febrero de 2006. Consejo de Estado Sala de Consulta y Servicio Civil”.</w:t>
      </w:r>
    </w:p>
  </w:footnote>
  <w:footnote w:id="13">
    <w:p w14:paraId="14D1A867" w14:textId="77777777" w:rsidR="00D15EA7" w:rsidRPr="00514F13" w:rsidRDefault="00D15EA7" w:rsidP="00D15EA7">
      <w:pPr>
        <w:pStyle w:val="Textonotapie"/>
        <w:ind w:firstLine="709"/>
        <w:jc w:val="both"/>
        <w:rPr>
          <w:rFonts w:ascii="Verdana" w:hAnsi="Verdana" w:cs="Arial"/>
          <w:sz w:val="16"/>
          <w:szCs w:val="16"/>
        </w:rPr>
      </w:pPr>
      <w:r w:rsidRPr="00514F13">
        <w:rPr>
          <w:rStyle w:val="Refdenotaalpie"/>
          <w:rFonts w:ascii="Verdana" w:hAnsi="Verdana" w:cs="Arial"/>
          <w:sz w:val="16"/>
          <w:szCs w:val="16"/>
        </w:rPr>
        <w:footnoteRef/>
      </w:r>
      <w:r w:rsidRPr="00514F13">
        <w:rPr>
          <w:rFonts w:ascii="Verdana" w:hAnsi="Verdana" w:cs="Arial"/>
          <w:sz w:val="16"/>
          <w:szCs w:val="16"/>
        </w:rPr>
        <w:t xml:space="preserve"> Consejo de Estado. Sala de Consulta y Servicio Civil. Concepto del 2 de septiembre de 2013. Radicación: 11001-03-06-000-2013-00412-00 (2168). Consejero Ponente: Álvaro Namén Vargas.</w:t>
      </w:r>
    </w:p>
  </w:footnote>
  <w:footnote w:id="14">
    <w:p w14:paraId="4A363349" w14:textId="77777777" w:rsidR="00D15EA7" w:rsidRPr="00514F13" w:rsidRDefault="00D15EA7" w:rsidP="00D15EA7">
      <w:pPr>
        <w:pStyle w:val="Textonotapie"/>
        <w:ind w:firstLine="709"/>
        <w:jc w:val="both"/>
        <w:rPr>
          <w:rFonts w:ascii="Verdana" w:hAnsi="Verdana" w:cs="Arial"/>
          <w:sz w:val="16"/>
          <w:szCs w:val="16"/>
          <w:lang w:val="es-ES"/>
        </w:rPr>
      </w:pPr>
      <w:r w:rsidRPr="00514F13">
        <w:rPr>
          <w:rStyle w:val="Refdenotaalpie"/>
          <w:rFonts w:ascii="Verdana" w:hAnsi="Verdana" w:cs="Arial"/>
          <w:sz w:val="16"/>
          <w:szCs w:val="16"/>
        </w:rPr>
        <w:footnoteRef/>
      </w:r>
      <w:r w:rsidRPr="00514F13">
        <w:rPr>
          <w:rFonts w:ascii="Verdana" w:hAnsi="Verdana" w:cs="Arial"/>
          <w:sz w:val="16"/>
          <w:szCs w:val="16"/>
        </w:rPr>
        <w:t xml:space="preserve"> </w:t>
      </w:r>
      <w:r w:rsidRPr="00514F13">
        <w:rPr>
          <w:rFonts w:ascii="Verdana" w:hAnsi="Verdana" w:cs="Arial"/>
          <w:sz w:val="16"/>
          <w:szCs w:val="16"/>
          <w:lang w:val="es-ES"/>
        </w:rPr>
        <w:t xml:space="preserve">Artículo 2. </w:t>
      </w:r>
    </w:p>
  </w:footnote>
  <w:footnote w:id="15">
    <w:p w14:paraId="1C5A5662" w14:textId="77777777" w:rsidR="00D15EA7" w:rsidRPr="00514F13" w:rsidRDefault="00D15EA7" w:rsidP="00D15EA7">
      <w:pPr>
        <w:pStyle w:val="Textonotapie"/>
        <w:ind w:firstLine="709"/>
        <w:jc w:val="both"/>
        <w:rPr>
          <w:rFonts w:ascii="Verdana" w:hAnsi="Verdana" w:cs="Arial"/>
          <w:sz w:val="16"/>
          <w:szCs w:val="16"/>
          <w:lang w:val="es-ES"/>
        </w:rPr>
      </w:pPr>
      <w:r w:rsidRPr="00514F13">
        <w:rPr>
          <w:rStyle w:val="Refdenotaalpie"/>
          <w:rFonts w:ascii="Verdana" w:hAnsi="Verdana" w:cs="Arial"/>
          <w:sz w:val="16"/>
          <w:szCs w:val="16"/>
        </w:rPr>
        <w:footnoteRef/>
      </w:r>
      <w:r w:rsidRPr="00514F13">
        <w:rPr>
          <w:rFonts w:ascii="Verdana" w:hAnsi="Verdana" w:cs="Arial"/>
          <w:sz w:val="16"/>
          <w:szCs w:val="16"/>
        </w:rPr>
        <w:t xml:space="preserve"> </w:t>
      </w:r>
      <w:r w:rsidRPr="00514F13">
        <w:rPr>
          <w:rFonts w:ascii="Verdana" w:hAnsi="Verdana" w:cs="Arial"/>
          <w:i/>
          <w:sz w:val="16"/>
          <w:szCs w:val="16"/>
          <w:lang w:val="es-ES"/>
        </w:rPr>
        <w:t>Ídem</w:t>
      </w:r>
      <w:r w:rsidRPr="00514F13">
        <w:rPr>
          <w:rFonts w:ascii="Verdana" w:hAnsi="Verdana" w:cs="Arial"/>
          <w:sz w:val="16"/>
          <w:szCs w:val="16"/>
          <w:lang w:val="es-ES"/>
        </w:rPr>
        <w:t>.</w:t>
      </w:r>
    </w:p>
    <w:p w14:paraId="50B09F6E" w14:textId="77777777" w:rsidR="00D15EA7" w:rsidRPr="00514F13" w:rsidRDefault="00D15EA7" w:rsidP="00D15EA7">
      <w:pPr>
        <w:pStyle w:val="Textonotapie"/>
        <w:ind w:firstLine="709"/>
        <w:jc w:val="both"/>
        <w:rPr>
          <w:rFonts w:ascii="Verdana" w:hAnsi="Verdana" w:cs="Arial"/>
          <w:sz w:val="16"/>
          <w:szCs w:val="16"/>
          <w:lang w:val="es-ES"/>
        </w:rPr>
      </w:pPr>
    </w:p>
  </w:footnote>
  <w:footnote w:id="16">
    <w:p w14:paraId="22E110C9" w14:textId="77777777" w:rsidR="00D15EA7" w:rsidRPr="00514F13" w:rsidRDefault="00D15EA7" w:rsidP="00D15EA7">
      <w:pPr>
        <w:pStyle w:val="Textonotapie"/>
        <w:ind w:firstLine="709"/>
        <w:jc w:val="both"/>
        <w:rPr>
          <w:rFonts w:ascii="Verdana" w:hAnsi="Verdana" w:cs="Arial"/>
          <w:sz w:val="16"/>
          <w:szCs w:val="16"/>
          <w:lang w:val="es-ES"/>
        </w:rPr>
      </w:pPr>
      <w:r w:rsidRPr="00514F13">
        <w:rPr>
          <w:rStyle w:val="Refdenotaalpie"/>
          <w:rFonts w:ascii="Verdana" w:hAnsi="Verdana" w:cs="Arial"/>
          <w:sz w:val="16"/>
          <w:szCs w:val="16"/>
        </w:rPr>
        <w:footnoteRef/>
      </w:r>
      <w:r w:rsidRPr="00514F13">
        <w:rPr>
          <w:rStyle w:val="Refdenotaalpie"/>
          <w:rFonts w:ascii="Verdana" w:hAnsi="Verdana" w:cs="Arial"/>
          <w:sz w:val="16"/>
          <w:szCs w:val="16"/>
        </w:rPr>
        <w:t xml:space="preserve"> </w:t>
      </w:r>
      <w:r w:rsidRPr="00514F13">
        <w:rPr>
          <w:rFonts w:ascii="Verdana" w:hAnsi="Verdana" w:cs="Arial"/>
          <w:sz w:val="16"/>
          <w:szCs w:val="16"/>
          <w:lang w:val="es-ES"/>
        </w:rPr>
        <w:t>“[…] A este respecto, cabe recordar que el artículo 860 del Código de Comercio regula la licitación en el derecho privado”.</w:t>
      </w:r>
    </w:p>
  </w:footnote>
  <w:footnote w:id="17">
    <w:p w14:paraId="2F4DAFFC" w14:textId="77777777" w:rsidR="00D15EA7" w:rsidRPr="00514F13" w:rsidRDefault="00D15EA7" w:rsidP="00D15EA7">
      <w:pPr>
        <w:shd w:val="clear" w:color="auto" w:fill="FFFFFF"/>
        <w:spacing w:after="0" w:line="240" w:lineRule="auto"/>
        <w:ind w:firstLine="709"/>
        <w:jc w:val="both"/>
        <w:rPr>
          <w:rFonts w:ascii="Verdana" w:hAnsi="Verdana" w:cs="Arial"/>
          <w:sz w:val="16"/>
          <w:szCs w:val="16"/>
          <w:lang w:val="es-ES"/>
        </w:rPr>
      </w:pPr>
      <w:r w:rsidRPr="00514F13">
        <w:rPr>
          <w:rStyle w:val="Refdenotaalpie"/>
          <w:rFonts w:ascii="Verdana" w:hAnsi="Verdana" w:cs="Arial"/>
          <w:sz w:val="16"/>
          <w:szCs w:val="16"/>
        </w:rPr>
        <w:footnoteRef/>
      </w:r>
      <w:r w:rsidRPr="00514F13">
        <w:rPr>
          <w:rStyle w:val="Refdenotaalpie"/>
          <w:rFonts w:ascii="Verdana" w:hAnsi="Verdana" w:cs="Arial"/>
          <w:sz w:val="16"/>
          <w:szCs w:val="16"/>
        </w:rPr>
        <w:t xml:space="preserve"> </w:t>
      </w:r>
      <w:r w:rsidRPr="00514F13">
        <w:rPr>
          <w:rFonts w:ascii="Verdana" w:hAnsi="Verdana" w:cs="Arial"/>
          <w:sz w:val="16"/>
          <w:szCs w:val="16"/>
          <w:lang w:val="es-ES"/>
        </w:rPr>
        <w:t>Consejo de Estado. Sala de Consulta y Servicio Civil. Concepto de 8 de mayo de 2018. Radicación: 11001-03-06-000-2018-00095-00 (2382). Consejero Ponente: Álvaro Namén Vargas.</w:t>
      </w:r>
    </w:p>
  </w:footnote>
  <w:footnote w:id="18">
    <w:p w14:paraId="52651C87" w14:textId="77777777" w:rsidR="00D15EA7" w:rsidRPr="00514F13" w:rsidRDefault="00D15EA7" w:rsidP="00D15EA7">
      <w:pPr>
        <w:pStyle w:val="Textonotapie"/>
        <w:ind w:firstLine="709"/>
        <w:jc w:val="both"/>
        <w:rPr>
          <w:rFonts w:ascii="Verdana" w:hAnsi="Verdana" w:cs="Arial"/>
          <w:sz w:val="16"/>
          <w:szCs w:val="16"/>
        </w:rPr>
      </w:pPr>
      <w:r w:rsidRPr="00514F13">
        <w:rPr>
          <w:rStyle w:val="Refdenotaalpie"/>
          <w:rFonts w:ascii="Verdana" w:hAnsi="Verdana" w:cs="Arial"/>
          <w:sz w:val="16"/>
          <w:szCs w:val="16"/>
        </w:rPr>
        <w:footnoteRef/>
      </w:r>
      <w:r w:rsidRPr="00514F13">
        <w:rPr>
          <w:rFonts w:ascii="Verdana" w:hAnsi="Verdana" w:cs="Arial"/>
          <w:sz w:val="16"/>
          <w:szCs w:val="16"/>
        </w:rPr>
        <w:t xml:space="preserve"> Ibídem.</w:t>
      </w:r>
    </w:p>
  </w:footnote>
  <w:footnote w:id="19">
    <w:p w14:paraId="0C0459E9" w14:textId="77777777" w:rsidR="00D15EA7" w:rsidRPr="00514F13" w:rsidRDefault="00D15EA7" w:rsidP="00D15EA7">
      <w:pPr>
        <w:pStyle w:val="Textonotapie"/>
        <w:ind w:firstLine="708"/>
        <w:jc w:val="both"/>
        <w:rPr>
          <w:rFonts w:ascii="Verdana" w:hAnsi="Verdana" w:cs="Arial"/>
          <w:sz w:val="16"/>
          <w:szCs w:val="16"/>
        </w:rPr>
      </w:pPr>
      <w:r w:rsidRPr="00514F13">
        <w:rPr>
          <w:rStyle w:val="Refdenotaalpie"/>
          <w:rFonts w:ascii="Verdana" w:hAnsi="Verdana" w:cs="Arial"/>
          <w:sz w:val="16"/>
          <w:szCs w:val="16"/>
        </w:rPr>
        <w:footnoteRef/>
      </w:r>
      <w:r w:rsidRPr="00514F13">
        <w:rPr>
          <w:rFonts w:ascii="Verdana" w:hAnsi="Verdana" w:cs="Arial"/>
          <w:sz w:val="16"/>
          <w:szCs w:val="16"/>
        </w:rPr>
        <w:t xml:space="preserve"> Colombia Compra Eficiente. Circular Única Externa.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 En </w:t>
      </w:r>
      <w:hyperlink r:id="rId1" w:history="1">
        <w:r w:rsidRPr="00514F13">
          <w:rPr>
            <w:rStyle w:val="Hipervnculo"/>
            <w:rFonts w:ascii="Verdana" w:hAnsi="Verdana" w:cs="Arial"/>
            <w:sz w:val="16"/>
            <w:szCs w:val="16"/>
            <w:lang w:val="es-CO"/>
          </w:rPr>
          <w:t>circular_externa_unica_version_3_vf49.pdf</w:t>
        </w:r>
      </w:hyperlink>
    </w:p>
    <w:p w14:paraId="1DFA0495" w14:textId="77777777" w:rsidR="00D15EA7" w:rsidRPr="00514F13" w:rsidRDefault="00D15EA7" w:rsidP="00D15EA7">
      <w:pPr>
        <w:pStyle w:val="Textonotapie"/>
        <w:ind w:firstLine="708"/>
        <w:jc w:val="both"/>
        <w:rPr>
          <w:rFonts w:ascii="Verdana" w:hAnsi="Verdana" w:cs="Arial"/>
          <w:sz w:val="16"/>
          <w:szCs w:val="16"/>
        </w:rPr>
      </w:pPr>
    </w:p>
  </w:footnote>
  <w:footnote w:id="20">
    <w:p w14:paraId="1B8E7FCE" w14:textId="77777777" w:rsidR="00D15EA7" w:rsidRPr="00514F13" w:rsidRDefault="00D15EA7" w:rsidP="00D15EA7">
      <w:pPr>
        <w:pStyle w:val="Textonotapie"/>
        <w:ind w:firstLine="709"/>
        <w:jc w:val="both"/>
        <w:rPr>
          <w:rFonts w:ascii="Verdana" w:hAnsi="Verdana" w:cs="Arial"/>
          <w:sz w:val="16"/>
          <w:szCs w:val="16"/>
        </w:rPr>
      </w:pPr>
      <w:r w:rsidRPr="00514F13">
        <w:rPr>
          <w:rStyle w:val="Refdenotaalpie"/>
          <w:rFonts w:ascii="Verdana" w:hAnsi="Verdana" w:cs="Arial"/>
          <w:sz w:val="16"/>
          <w:szCs w:val="16"/>
        </w:rPr>
        <w:footnoteRef/>
      </w:r>
      <w:r w:rsidRPr="00514F13">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44C9B3BD" w14:textId="77777777" w:rsidR="00D15EA7" w:rsidRPr="00514F13" w:rsidRDefault="00D15EA7" w:rsidP="00D15EA7">
      <w:pPr>
        <w:pStyle w:val="Textonotapie"/>
        <w:ind w:firstLine="709"/>
        <w:jc w:val="both"/>
        <w:rPr>
          <w:rFonts w:ascii="Verdana" w:hAnsi="Verdana" w:cs="Arial"/>
          <w:sz w:val="16"/>
          <w:szCs w:val="16"/>
        </w:rPr>
      </w:pPr>
    </w:p>
  </w:footnote>
  <w:footnote w:id="21">
    <w:p w14:paraId="09013274" w14:textId="77777777" w:rsidR="00D15EA7" w:rsidRPr="00514F13" w:rsidRDefault="00D15EA7" w:rsidP="00D15EA7">
      <w:pPr>
        <w:pStyle w:val="Textonotapie"/>
        <w:ind w:firstLine="708"/>
        <w:jc w:val="both"/>
        <w:rPr>
          <w:rFonts w:ascii="Verdana" w:hAnsi="Verdana" w:cs="Arial"/>
          <w:color w:val="000000"/>
          <w:sz w:val="16"/>
          <w:szCs w:val="16"/>
          <w:lang w:val="es-ES"/>
        </w:rPr>
      </w:pPr>
      <w:r w:rsidRPr="00514F13">
        <w:rPr>
          <w:rStyle w:val="Refdenotaalpie"/>
          <w:rFonts w:ascii="Verdana" w:hAnsi="Verdana" w:cs="Arial"/>
          <w:color w:val="000000"/>
          <w:sz w:val="16"/>
          <w:szCs w:val="16"/>
        </w:rPr>
        <w:footnoteRef/>
      </w:r>
      <w:r w:rsidRPr="00514F13">
        <w:rPr>
          <w:rFonts w:ascii="Verdana" w:hAnsi="Verdana" w:cs="Arial"/>
          <w:color w:val="000000"/>
          <w:sz w:val="16"/>
          <w:szCs w:val="16"/>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2">
    <w:p w14:paraId="0DF948FC" w14:textId="77777777" w:rsidR="00D15EA7" w:rsidRPr="00514F13" w:rsidRDefault="00D15EA7" w:rsidP="00D15EA7">
      <w:pPr>
        <w:pStyle w:val="Textonotapie"/>
        <w:ind w:firstLine="709"/>
        <w:contextualSpacing/>
        <w:jc w:val="both"/>
        <w:rPr>
          <w:rFonts w:ascii="Verdana" w:hAnsi="Verdana"/>
          <w:sz w:val="16"/>
          <w:szCs w:val="16"/>
          <w:lang w:val="es-CO"/>
        </w:rPr>
      </w:pPr>
      <w:r w:rsidRPr="00514F13">
        <w:rPr>
          <w:rStyle w:val="Refdenotaalpie"/>
          <w:rFonts w:ascii="Verdana" w:hAnsi="Verdana"/>
          <w:sz w:val="16"/>
          <w:szCs w:val="16"/>
        </w:rPr>
        <w:footnoteRef/>
      </w:r>
      <w:r w:rsidRPr="00514F13">
        <w:rPr>
          <w:rFonts w:ascii="Verdana" w:hAnsi="Verdana"/>
          <w:sz w:val="16"/>
          <w:szCs w:val="16"/>
          <w:lang w:val="es-CO"/>
        </w:rPr>
        <w:t xml:space="preserve"> Consejo de Estado, Sección Tercera. Auto del 4 de octubre de 2024. Exp. 70.313. C.P: Fredy Ibarra Martínez.</w:t>
      </w:r>
    </w:p>
  </w:footnote>
  <w:footnote w:id="23">
    <w:p w14:paraId="2F71B1E8" w14:textId="77777777" w:rsidR="00D15EA7" w:rsidRPr="00514F13" w:rsidRDefault="00D15EA7" w:rsidP="00D15EA7">
      <w:pPr>
        <w:pStyle w:val="Textonotapie"/>
        <w:ind w:firstLine="709"/>
        <w:contextualSpacing/>
        <w:jc w:val="both"/>
        <w:rPr>
          <w:rFonts w:ascii="Verdana" w:hAnsi="Verdana"/>
          <w:sz w:val="16"/>
          <w:szCs w:val="16"/>
          <w:lang w:val="es-CO"/>
        </w:rPr>
      </w:pPr>
      <w:r w:rsidRPr="00514F13">
        <w:rPr>
          <w:rStyle w:val="Refdenotaalpie"/>
          <w:rFonts w:ascii="Verdana" w:hAnsi="Verdana"/>
          <w:sz w:val="16"/>
          <w:szCs w:val="16"/>
        </w:rPr>
        <w:footnoteRef/>
      </w:r>
      <w:r w:rsidRPr="00514F13">
        <w:rPr>
          <w:rFonts w:ascii="Verdana" w:hAnsi="Verdana"/>
          <w:sz w:val="16"/>
          <w:szCs w:val="16"/>
        </w:rPr>
        <w:t xml:space="preserve"> La parte resolutiva del auto dispone lo siguiente; “</w:t>
      </w:r>
      <w:r w:rsidRPr="00514F13">
        <w:rPr>
          <w:rFonts w:ascii="Verdana" w:hAnsi="Verdana"/>
          <w:b/>
          <w:sz w:val="16"/>
          <w:szCs w:val="16"/>
          <w:lang w:val="es-CO"/>
        </w:rPr>
        <w:t xml:space="preserve">PRIMERO: DECRETAR </w:t>
      </w:r>
      <w:r w:rsidRPr="00514F13">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514F13">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514F13">
        <w:rPr>
          <w:rFonts w:ascii="Verdana" w:hAnsi="Verdana"/>
          <w:sz w:val="16"/>
          <w:szCs w:val="16"/>
          <w:lang w:val="es-CO"/>
        </w:rPr>
        <w:t xml:space="preserve">, por las razones expuestas en precedencia. </w:t>
      </w:r>
    </w:p>
    <w:p w14:paraId="37C2DA43" w14:textId="77777777" w:rsidR="00D15EA7" w:rsidRPr="00514F13" w:rsidRDefault="00D15EA7" w:rsidP="00D15EA7">
      <w:pPr>
        <w:pStyle w:val="Textonotapie"/>
        <w:ind w:firstLine="709"/>
        <w:contextualSpacing/>
        <w:jc w:val="both"/>
        <w:rPr>
          <w:rFonts w:ascii="Verdana" w:hAnsi="Verdana"/>
          <w:sz w:val="16"/>
          <w:szCs w:val="16"/>
          <w:lang w:val="es-CO"/>
        </w:rPr>
      </w:pPr>
      <w:r w:rsidRPr="00514F13">
        <w:rPr>
          <w:rFonts w:ascii="Verdana" w:hAnsi="Verdana"/>
          <w:b/>
          <w:sz w:val="16"/>
          <w:szCs w:val="16"/>
          <w:lang w:val="es-CO"/>
        </w:rPr>
        <w:t xml:space="preserve">SEGUNDO: DECRETAR </w:t>
      </w:r>
      <w:r w:rsidRPr="00514F13">
        <w:rPr>
          <w:rFonts w:ascii="Verdana" w:hAnsi="Verdana"/>
          <w:sz w:val="16"/>
          <w:szCs w:val="16"/>
          <w:lang w:val="es-CO"/>
        </w:rPr>
        <w:t>la suspensión provisional de la expresión “</w:t>
      </w:r>
      <w:r w:rsidRPr="00514F13">
        <w:rPr>
          <w:rFonts w:ascii="Verdana" w:hAnsi="Verdana"/>
          <w:i/>
          <w:sz w:val="16"/>
          <w:szCs w:val="16"/>
          <w:lang w:val="es-CO"/>
        </w:rPr>
        <w:t>contratos</w:t>
      </w:r>
      <w:r w:rsidRPr="00514F13">
        <w:rPr>
          <w:rFonts w:ascii="Verdana" w:hAnsi="Verdana"/>
          <w:sz w:val="16"/>
          <w:szCs w:val="16"/>
          <w:lang w:val="es-CO"/>
        </w:rPr>
        <w:t xml:space="preserve">” y del párrafo </w:t>
      </w:r>
      <w:r w:rsidRPr="00514F13">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514F13">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4">
    <w:p w14:paraId="493C1308" w14:textId="77777777" w:rsidR="00D15EA7" w:rsidRPr="00514F13" w:rsidRDefault="00D15EA7" w:rsidP="00D15EA7">
      <w:pPr>
        <w:spacing w:after="0" w:line="240" w:lineRule="auto"/>
        <w:ind w:firstLine="709"/>
        <w:contextualSpacing/>
        <w:jc w:val="both"/>
        <w:rPr>
          <w:rFonts w:ascii="Verdana" w:eastAsia="Times New Roman" w:hAnsi="Verdana" w:cs="Times New Roman"/>
          <w:sz w:val="16"/>
          <w:szCs w:val="16"/>
          <w:lang w:eastAsia="es-ES"/>
        </w:rPr>
      </w:pPr>
      <w:r w:rsidRPr="00514F13">
        <w:rPr>
          <w:rStyle w:val="Refdenotaalpie"/>
          <w:rFonts w:ascii="Verdana" w:hAnsi="Verdana"/>
          <w:sz w:val="16"/>
          <w:szCs w:val="16"/>
        </w:rPr>
        <w:footnoteRef/>
      </w:r>
      <w:r w:rsidRPr="00514F13">
        <w:rPr>
          <w:rFonts w:ascii="Verdana" w:hAnsi="Verdana"/>
          <w:sz w:val="16"/>
          <w:szCs w:val="16"/>
        </w:rPr>
        <w:t xml:space="preserve"> </w:t>
      </w:r>
      <w:r w:rsidRPr="00514F13">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514F13">
        <w:rPr>
          <w:rFonts w:ascii="Verdana" w:hAnsi="Verdana"/>
          <w:sz w:val="16"/>
          <w:szCs w:val="16"/>
        </w:rPr>
        <w:t xml:space="preserve">La parte de la providencia señala: </w:t>
      </w:r>
      <w:r w:rsidRPr="00514F13">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5">
    <w:p w14:paraId="20B2F9D1" w14:textId="77777777" w:rsidR="00D15EA7" w:rsidRPr="001D30AB" w:rsidRDefault="00D15EA7" w:rsidP="00D15EA7">
      <w:pPr>
        <w:pStyle w:val="Textonotapie"/>
        <w:ind w:firstLine="709"/>
        <w:rPr>
          <w:rFonts w:ascii="Verdana" w:hAnsi="Verdana"/>
          <w:sz w:val="18"/>
          <w:szCs w:val="18"/>
          <w:lang w:val="es-CO"/>
        </w:rPr>
      </w:pPr>
      <w:r w:rsidRPr="00514F13">
        <w:rPr>
          <w:rStyle w:val="Refdenotaalpie"/>
          <w:rFonts w:ascii="Verdana" w:hAnsi="Verdana"/>
          <w:sz w:val="16"/>
          <w:szCs w:val="16"/>
        </w:rPr>
        <w:footnoteRef/>
      </w:r>
      <w:r w:rsidRPr="00514F13">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w:t>
      </w:r>
      <w:r w:rsidRPr="001D30AB">
        <w:rPr>
          <w:rFonts w:ascii="Verdana" w:hAnsi="Verdana"/>
          <w:sz w:val="18"/>
          <w:szCs w:val="18"/>
        </w:rPr>
        <w:t xml:space="preserve">bre </w:t>
      </w:r>
      <w:r w:rsidRPr="00514F13">
        <w:rPr>
          <w:rFonts w:ascii="Verdana" w:hAnsi="Verdana"/>
          <w:sz w:val="16"/>
          <w:szCs w:val="16"/>
        </w:rPr>
        <w:t>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7"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2939"/>
    <w:rsid w:val="00061B2A"/>
    <w:rsid w:val="00082362"/>
    <w:rsid w:val="000A683E"/>
    <w:rsid w:val="000B19B9"/>
    <w:rsid w:val="000B460C"/>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37B9B"/>
    <w:rsid w:val="00440542"/>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D1828"/>
    <w:rsid w:val="006F4461"/>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17C4"/>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1F30"/>
    <w:rsid w:val="00A122D3"/>
    <w:rsid w:val="00A14468"/>
    <w:rsid w:val="00A17F13"/>
    <w:rsid w:val="00A20739"/>
    <w:rsid w:val="00A23AF9"/>
    <w:rsid w:val="00A33C78"/>
    <w:rsid w:val="00A60DF8"/>
    <w:rsid w:val="00AA201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5EA7"/>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2B02"/>
    <w:rsid w:val="00E50AFE"/>
    <w:rsid w:val="00E75C92"/>
    <w:rsid w:val="00E771DC"/>
    <w:rsid w:val="00E8772A"/>
    <w:rsid w:val="00E90F6B"/>
    <w:rsid w:val="00E92C27"/>
    <w:rsid w:val="00EA0E3D"/>
    <w:rsid w:val="00EC38A7"/>
    <w:rsid w:val="00ED255A"/>
    <w:rsid w:val="00EE1AA8"/>
    <w:rsid w:val="00F17D57"/>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15EA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15EA7"/>
    <w:rPr>
      <w:rFonts w:ascii="Geomanist Light" w:hAnsi="Geomanist Light"/>
      <w:lang w:val="es-ES"/>
    </w:rPr>
  </w:style>
  <w:style w:type="character" w:customStyle="1" w:styleId="baj">
    <w:name w:val="b_aj"/>
    <w:basedOn w:val="Fuentedeprrafopredeter"/>
    <w:rsid w:val="00D15EA7"/>
  </w:style>
  <w:style w:type="character" w:customStyle="1" w:styleId="NormalWebCar">
    <w:name w:val="Normal (Web) Car"/>
    <w:link w:val="NormalWeb"/>
    <w:uiPriority w:val="99"/>
    <w:locked/>
    <w:rsid w:val="00D15EA7"/>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operaciones.colombiacompra.gov.co/sites/cce_public/files/cce_circulares/circular_externa_unica_version_3_vf49.pdf"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aneth.rocio81@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67158C8-BBBF-4EB5-84F8-41F14725EB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29</Pages>
  <Words>9691</Words>
  <Characters>53306</Characters>
  <Application>Microsoft Office Word</Application>
  <DocSecurity>0</DocSecurity>
  <Lines>444</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3</cp:revision>
  <cp:lastPrinted>2023-01-10T21:18:00Z</cp:lastPrinted>
  <dcterms:created xsi:type="dcterms:W3CDTF">2026-04-09T21:12:00Z</dcterms:created>
  <dcterms:modified xsi:type="dcterms:W3CDTF">2026-04-09T22:51:00Z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