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91D4" w14:textId="77777777" w:rsidR="00E14120" w:rsidRPr="00396DBB" w:rsidRDefault="00E14120" w:rsidP="00E14120">
      <w:pPr>
        <w:pStyle w:val="Textoindependiente"/>
        <w:spacing w:after="0" w:line="240" w:lineRule="auto"/>
        <w:ind w:right="102"/>
        <w:jc w:val="both"/>
        <w:rPr>
          <w:rFonts w:ascii="Verdana" w:hAnsi="Verdana" w:cs="Arial"/>
          <w:b/>
          <w:color w:val="000000" w:themeColor="text1"/>
          <w:lang w:val="es-ES_tradnl"/>
        </w:rPr>
      </w:pPr>
      <w:r w:rsidRPr="005D4B9C">
        <w:rPr>
          <w:rFonts w:ascii="Verdana" w:hAnsi="Verdana" w:cs="Arial"/>
          <w:b/>
          <w:color w:val="000000" w:themeColor="text1"/>
          <w:lang w:val="es-ES_tradnl"/>
        </w:rPr>
        <w:t>REQUISITOS HABILITANTES – Noción</w:t>
      </w:r>
      <w:r>
        <w:rPr>
          <w:rFonts w:ascii="Verdana" w:hAnsi="Verdana" w:cs="Arial"/>
          <w:b/>
          <w:color w:val="000000" w:themeColor="text1"/>
          <w:lang w:val="es-ES_tradnl"/>
        </w:rPr>
        <w:t xml:space="preserve"> </w:t>
      </w:r>
      <w:r w:rsidRPr="00396DBB">
        <w:rPr>
          <w:rFonts w:ascii="Verdana" w:hAnsi="Verdana" w:cs="Arial"/>
          <w:b/>
          <w:color w:val="000000" w:themeColor="text1"/>
          <w:lang w:val="es-ES_tradnl"/>
        </w:rPr>
        <w:t xml:space="preserve"> </w:t>
      </w:r>
    </w:p>
    <w:p w14:paraId="342C3AC6" w14:textId="77777777" w:rsidR="00E14120" w:rsidRPr="00396DBB" w:rsidRDefault="00E14120" w:rsidP="00E14120">
      <w:pPr>
        <w:pStyle w:val="Textoindependiente"/>
        <w:spacing w:after="0" w:line="240" w:lineRule="auto"/>
        <w:ind w:right="102"/>
        <w:jc w:val="both"/>
        <w:rPr>
          <w:rFonts w:ascii="Verdana" w:hAnsi="Verdana" w:cs="Arial"/>
          <w:color w:val="000000" w:themeColor="text1"/>
          <w:sz w:val="20"/>
          <w:szCs w:val="20"/>
          <w:lang w:val="es-ES_tradnl"/>
        </w:rPr>
      </w:pPr>
    </w:p>
    <w:p w14:paraId="1FD77FB8" w14:textId="77777777" w:rsidR="00E14120" w:rsidRPr="005D4B9C" w:rsidRDefault="00E14120" w:rsidP="00E14120">
      <w:pPr>
        <w:spacing w:after="0" w:line="240" w:lineRule="auto"/>
        <w:jc w:val="both"/>
        <w:rPr>
          <w:rFonts w:ascii="Verdana" w:eastAsia="Arial" w:hAnsi="Verdana" w:cs="Arial"/>
          <w:bCs/>
          <w:color w:val="000000" w:themeColor="text1"/>
          <w:sz w:val="20"/>
          <w:szCs w:val="20"/>
        </w:rPr>
      </w:pPr>
      <w:r w:rsidRPr="005D4B9C">
        <w:rPr>
          <w:rFonts w:ascii="Verdana" w:eastAsia="Arial" w:hAnsi="Verdana" w:cs="Arial"/>
          <w:bCs/>
          <w:color w:val="000000" w:themeColor="text1"/>
          <w:sz w:val="20"/>
          <w:szCs w:val="20"/>
        </w:rPr>
        <w:t xml:space="preserve">Los requisitos habilitantes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294B7BC1" w14:textId="77777777" w:rsidR="00E14120" w:rsidRPr="005D4B9C" w:rsidRDefault="00E14120" w:rsidP="00E14120">
      <w:pPr>
        <w:spacing w:after="0" w:line="240" w:lineRule="auto"/>
        <w:jc w:val="both"/>
        <w:rPr>
          <w:rFonts w:ascii="Verdana" w:eastAsia="Arial" w:hAnsi="Verdana" w:cs="Arial"/>
          <w:bCs/>
          <w:color w:val="000000" w:themeColor="text1"/>
          <w:sz w:val="20"/>
          <w:szCs w:val="20"/>
        </w:rPr>
      </w:pPr>
    </w:p>
    <w:p w14:paraId="4FD760A5" w14:textId="77777777" w:rsidR="00E14120" w:rsidRDefault="00E14120" w:rsidP="00E14120">
      <w:pPr>
        <w:spacing w:after="0" w:line="240" w:lineRule="auto"/>
        <w:jc w:val="both"/>
        <w:rPr>
          <w:rFonts w:ascii="Verdana" w:eastAsia="Arial" w:hAnsi="Verdana" w:cs="Arial"/>
          <w:color w:val="000000" w:themeColor="text1"/>
          <w:sz w:val="20"/>
          <w:szCs w:val="20"/>
        </w:rPr>
      </w:pPr>
      <w:r w:rsidRPr="005D4B9C">
        <w:rPr>
          <w:rFonts w:ascii="Verdana" w:eastAsia="Arial" w:hAnsi="Verdana" w:cs="Arial"/>
          <w:bCs/>
          <w:color w:val="000000" w:themeColor="text1"/>
          <w:sz w:val="20"/>
          <w:szCs w:val="20"/>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r>
        <w:rPr>
          <w:rFonts w:ascii="Verdana" w:eastAsia="Arial" w:hAnsi="Verdana" w:cs="Arial"/>
          <w:bCs/>
          <w:color w:val="000000" w:themeColor="text1"/>
          <w:sz w:val="20"/>
          <w:szCs w:val="20"/>
        </w:rPr>
        <w:t>.</w:t>
      </w:r>
      <w:r w:rsidRPr="00FB1576">
        <w:rPr>
          <w:rFonts w:ascii="Verdana" w:eastAsia="Arial" w:hAnsi="Verdana" w:cs="Arial"/>
          <w:color w:val="000000" w:themeColor="text1"/>
          <w:sz w:val="20"/>
          <w:szCs w:val="20"/>
        </w:rPr>
        <w:t xml:space="preserve"> </w:t>
      </w:r>
    </w:p>
    <w:p w14:paraId="14A3895D" w14:textId="77777777" w:rsidR="00E14120" w:rsidRDefault="00E14120" w:rsidP="00E14120">
      <w:pPr>
        <w:spacing w:after="0" w:line="240" w:lineRule="auto"/>
        <w:jc w:val="both"/>
        <w:rPr>
          <w:rFonts w:ascii="Verdana" w:eastAsia="Arial" w:hAnsi="Verdana" w:cs="Arial"/>
          <w:color w:val="000000" w:themeColor="text1"/>
          <w:sz w:val="20"/>
          <w:szCs w:val="20"/>
        </w:rPr>
      </w:pPr>
    </w:p>
    <w:p w14:paraId="60D96C15" w14:textId="77777777" w:rsidR="00E14120" w:rsidRDefault="00E14120" w:rsidP="00E14120">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CAPACIDAD JURÍDICA</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Personas naturales – Objeto social</w:t>
      </w:r>
    </w:p>
    <w:p w14:paraId="10143D6B" w14:textId="77777777" w:rsidR="00E14120" w:rsidRPr="00066843" w:rsidRDefault="00E14120" w:rsidP="00E14120">
      <w:pPr>
        <w:spacing w:after="0" w:line="240" w:lineRule="auto"/>
        <w:jc w:val="both"/>
        <w:rPr>
          <w:rFonts w:ascii="Verdana" w:eastAsia="Calibri" w:hAnsi="Verdana" w:cs="Arial"/>
          <w:b/>
          <w:color w:val="000000" w:themeColor="text1"/>
          <w:lang w:val="es-ES_tradnl"/>
        </w:rPr>
      </w:pPr>
    </w:p>
    <w:p w14:paraId="7384F8E6" w14:textId="77777777" w:rsidR="00E14120" w:rsidRPr="00E72132" w:rsidRDefault="00E14120" w:rsidP="00E14120">
      <w:pPr>
        <w:spacing w:line="240" w:lineRule="auto"/>
        <w:jc w:val="both"/>
        <w:rPr>
          <w:sz w:val="20"/>
          <w:szCs w:val="20"/>
        </w:rPr>
      </w:pPr>
      <w:r w:rsidRPr="00E72132">
        <w:rPr>
          <w:rFonts w:ascii="Verdana" w:hAnsi="Verdana" w:cs="Arial"/>
          <w:sz w:val="20"/>
          <w:szCs w:val="20"/>
        </w:rPr>
        <w:t>Para el Consejo de Estado “la capacidad jurídica en la contratación estatal se integra no solamente por la capacidad de goce y la capacidad de ejercicio del proponente sino también por la ausencia de inhabilidades o incompatibilidades de su parte. En otros términos, en la actividad negocial de la administración tiene capacidad jurídica el proponente que existe, que tiene plena capacidad de ejercicio o de obrar y que no tiene inhabilidad o impedimento alguno para intervenir en el iter contractual”. Si bien las inhabilidades y las incompatibilidades guardan relación con las incapacidades particulares que consisten en la prohibición que la ley ha impuesto a ciertas personas para ejecutar ciertos actos, para efectos de la capacidad de ejercicio, es necesario estarse a lo dispuesto en inciso 1 del artículo 34 del Código Civil.</w:t>
      </w:r>
      <w:r w:rsidRPr="00E72132">
        <w:rPr>
          <w:rFonts w:ascii="Verdana" w:hAnsi="Verdana" w:cs="Arial"/>
          <w:sz w:val="20"/>
          <w:szCs w:val="20"/>
          <w:lang w:val="es-ES_tradnl"/>
        </w:rPr>
        <w:t xml:space="preserve"> </w:t>
      </w:r>
    </w:p>
    <w:p w14:paraId="4F4D9740" w14:textId="77777777" w:rsidR="00E14120" w:rsidRPr="00E72132" w:rsidRDefault="00E14120" w:rsidP="00E14120">
      <w:pPr>
        <w:spacing w:line="240" w:lineRule="auto"/>
        <w:jc w:val="both"/>
        <w:rPr>
          <w:sz w:val="20"/>
          <w:szCs w:val="20"/>
        </w:rPr>
      </w:pPr>
      <w:r w:rsidRPr="00E72132">
        <w:rPr>
          <w:rFonts w:ascii="Verdana" w:eastAsia="Calibri" w:hAnsi="Verdana" w:cs="Arial"/>
          <w:sz w:val="20"/>
          <w:szCs w:val="20"/>
          <w:lang w:val="es-ES" w:eastAsia="es-ES"/>
        </w:rPr>
        <w:t xml:space="preserve">Se concluye que, las personas naturales que tienen capacidad jurídica para contratar son los mayores de edad, salvo que por disposición expresa se encuentren limitados por decisión judicial, y que no estén incursas en inhabilidades, incompatibilidades o prohibiciones derivadas de la ley. </w:t>
      </w:r>
    </w:p>
    <w:p w14:paraId="6EB04A4A" w14:textId="77777777" w:rsidR="00E14120" w:rsidRPr="007D07DC" w:rsidRDefault="00E14120" w:rsidP="00E14120">
      <w:pPr>
        <w:spacing w:after="0" w:line="240" w:lineRule="auto"/>
        <w:jc w:val="both"/>
        <w:rPr>
          <w:rFonts w:ascii="Verdana" w:eastAsia="Calibri" w:hAnsi="Verdana" w:cs="Arial"/>
          <w:b/>
          <w:lang w:val="es-ES_tradnl"/>
        </w:rPr>
      </w:pPr>
    </w:p>
    <w:p w14:paraId="7C1EE321" w14:textId="77777777" w:rsidR="00E14120" w:rsidRPr="007D07DC" w:rsidRDefault="00E14120" w:rsidP="00E14120">
      <w:pPr>
        <w:spacing w:after="0" w:line="240" w:lineRule="auto"/>
        <w:jc w:val="both"/>
        <w:rPr>
          <w:rFonts w:ascii="Verdana" w:eastAsia="Calibri" w:hAnsi="Verdana" w:cs="Arial"/>
          <w:b/>
          <w:lang w:val="es-ES_tradnl"/>
        </w:rPr>
      </w:pPr>
      <w:r w:rsidRPr="007D07DC">
        <w:rPr>
          <w:rFonts w:ascii="Verdana" w:eastAsia="Calibri" w:hAnsi="Verdana" w:cs="Arial"/>
          <w:b/>
          <w:lang w:val="es-ES_tradnl"/>
        </w:rPr>
        <w:t xml:space="preserve">PERSONAS NATURALES – Capacidad – Clasificación Industrial Internacional Uniforme – Efectos declarativos </w:t>
      </w:r>
    </w:p>
    <w:p w14:paraId="47FC58B5" w14:textId="77777777" w:rsidR="00E14120" w:rsidRPr="007D07DC" w:rsidRDefault="00E14120" w:rsidP="00E14120">
      <w:pPr>
        <w:spacing w:after="0" w:line="240" w:lineRule="auto"/>
        <w:jc w:val="both"/>
        <w:rPr>
          <w:rFonts w:ascii="Verdana" w:eastAsia="Calibri" w:hAnsi="Verdana" w:cs="Arial"/>
          <w:bCs/>
          <w:sz w:val="20"/>
          <w:szCs w:val="20"/>
          <w:lang w:val="es-ES_tradnl"/>
        </w:rPr>
      </w:pPr>
    </w:p>
    <w:p w14:paraId="36E3EB00" w14:textId="77777777" w:rsidR="00E14120" w:rsidRPr="00BA78DD" w:rsidRDefault="00E14120" w:rsidP="00E14120">
      <w:pPr>
        <w:spacing w:after="120" w:line="240" w:lineRule="auto"/>
        <w:jc w:val="both"/>
        <w:rPr>
          <w:rFonts w:ascii="Verdana" w:eastAsia="Times New Roman" w:hAnsi="Verdana" w:cs="Arial"/>
          <w:sz w:val="20"/>
          <w:szCs w:val="20"/>
          <w:lang w:val="es-ES_tradnl" w:eastAsia="es-ES_tradnl"/>
        </w:rPr>
      </w:pPr>
      <w:r w:rsidRPr="00BA78DD">
        <w:rPr>
          <w:rFonts w:ascii="Verdana" w:eastAsia="Calibri" w:hAnsi="Verdana" w:cs="Arial"/>
          <w:sz w:val="20"/>
          <w:szCs w:val="20"/>
        </w:rPr>
        <w:t>Por otra parte, e</w:t>
      </w:r>
      <w:r w:rsidRPr="00BA78DD">
        <w:rPr>
          <w:rFonts w:ascii="Verdana" w:eastAsia="Calibri" w:hAnsi="Verdana" w:cs="Arial"/>
          <w:sz w:val="20"/>
          <w:szCs w:val="20"/>
          <w:lang w:val="es-ES_tradnl" w:eastAsia="es-ES_tradnl"/>
        </w:rPr>
        <w:t xml:space="preserve">n el </w:t>
      </w:r>
      <w:r w:rsidRPr="00BA78DD">
        <w:rPr>
          <w:rFonts w:ascii="Verdana" w:eastAsia="Times New Roman" w:hAnsi="Verdana" w:cs="Arial"/>
          <w:sz w:val="20"/>
          <w:szCs w:val="20"/>
          <w:lang w:val="es-ES" w:eastAsia="es-ES"/>
        </w:rPr>
        <w:t xml:space="preserve">Registro Único Empresarial y Social –en adelante </w:t>
      </w:r>
      <w:r w:rsidRPr="00BA78DD">
        <w:rPr>
          <w:rFonts w:ascii="Verdana" w:eastAsia="Times New Roman" w:hAnsi="Verdana" w:cs="Arial"/>
          <w:sz w:val="20"/>
          <w:szCs w:val="20"/>
          <w:lang w:val="es-ES_tradnl" w:eastAsia="es-ES_tradnl"/>
        </w:rPr>
        <w:t>RUES</w:t>
      </w:r>
      <w:r w:rsidRPr="00BA78DD">
        <w:rPr>
          <w:rFonts w:ascii="Verdana" w:eastAsia="Times New Roman" w:hAnsi="Verdana" w:cs="Arial"/>
          <w:sz w:val="20"/>
          <w:szCs w:val="20"/>
          <w:lang w:val="es-ES" w:eastAsia="es-ES"/>
        </w:rPr>
        <w:t>–</w:t>
      </w:r>
      <w:r w:rsidRPr="00BA78DD">
        <w:rPr>
          <w:rFonts w:ascii="Verdana" w:eastAsia="Times New Roman" w:hAnsi="Verdana" w:cs="Arial"/>
          <w:sz w:val="20"/>
          <w:szCs w:val="20"/>
          <w:lang w:val="es-ES_tradnl" w:eastAsia="es-ES_tradnl"/>
        </w:rPr>
        <w:t xml:space="preserve">, administrado por las Cámaras de Comercio, se encuentra el listado de las actividades económicas que desarrolla cada empresa, según los códigos de la Clasificación Industrial </w:t>
      </w:r>
      <w:r w:rsidRPr="00BA78DD">
        <w:rPr>
          <w:rFonts w:ascii="Verdana" w:eastAsia="Times New Roman" w:hAnsi="Verdana" w:cs="Arial"/>
          <w:sz w:val="20"/>
          <w:szCs w:val="20"/>
          <w:lang w:val="es-ES_tradnl" w:eastAsia="es-ES_tradnl"/>
        </w:rPr>
        <w:lastRenderedPageBreak/>
        <w:t>Internacional Uniforme –CIIU–, en virtud de lo dispuesto en el artículo 11 de la Ley 590 de 2000 y el artículo 166 del Decreto Ley 019 de 2012.</w:t>
      </w:r>
    </w:p>
    <w:p w14:paraId="60BB3145" w14:textId="77777777" w:rsidR="00E14120" w:rsidRPr="00BA78DD" w:rsidRDefault="00E14120" w:rsidP="00E14120">
      <w:pPr>
        <w:spacing w:after="120" w:line="276" w:lineRule="auto"/>
        <w:jc w:val="both"/>
        <w:rPr>
          <w:rFonts w:ascii="Verdana" w:eastAsia="Calibri" w:hAnsi="Verdana" w:cs="Arial"/>
          <w:sz w:val="20"/>
          <w:szCs w:val="20"/>
          <w:lang w:eastAsia="es-ES_tradnl"/>
        </w:rPr>
      </w:pPr>
      <w:r w:rsidRPr="00BA78DD">
        <w:rPr>
          <w:rFonts w:ascii="Verdana" w:eastAsia="Calibri" w:hAnsi="Verdana" w:cs="Arial"/>
          <w:sz w:val="20"/>
          <w:szCs w:val="20"/>
        </w:rPr>
        <w:t xml:space="preserve">La </w:t>
      </w:r>
      <w:r w:rsidRPr="00BA78DD">
        <w:rPr>
          <w:rFonts w:ascii="Verdana" w:eastAsia="Times New Roman" w:hAnsi="Verdana" w:cs="Arial"/>
          <w:sz w:val="20"/>
          <w:szCs w:val="20"/>
          <w:lang w:val="es-ES_tradnl" w:eastAsia="es-ES_tradnl"/>
        </w:rPr>
        <w:t>CIIU</w:t>
      </w:r>
      <w:r w:rsidRPr="00BA78DD">
        <w:rPr>
          <w:rFonts w:ascii="Verdana" w:eastAsia="Calibri" w:hAnsi="Verdana" w:cs="Arial"/>
          <w:sz w:val="20"/>
          <w:szCs w:val="20"/>
        </w:rPr>
        <w:t xml:space="preserve"> corresponde a un sistema estandarizado desarrollado por las Naciones Unidas para clasificar las actividades económicas en distintos sectores. Como explica el DANE, su objetivo es facilitar la recopilación, análisis y comparación de datos estadísticos a nivel nacional e internacional “La CIIU tiene por finalidad establecer una clasificación uniforme de las actividades económicas productivas. Su propósito principal es ofrecer un conjunto de categorías de actividades económicas que se pueda utilizar para la reunión y presentación de estadísticas de acuerdo con esas actividades. Por consiguiente, la CIIU se propone presentar ese conjunto de categorías de actividades de tal modo que las entidades puedan clasificarse según la actividad económica que realizan. Las categorías de la CIIU se han definido vinculándolas, en la medida de lo posible, con la forma en que el proceso económico está estructurado en diferentes tipos de unidades estadísticas y la manera como se describe ese proceso en las estadísticas económicas”. </w:t>
      </w:r>
    </w:p>
    <w:p w14:paraId="085E0ED8" w14:textId="77777777" w:rsidR="00E14120" w:rsidRPr="00BA78DD" w:rsidRDefault="00E14120" w:rsidP="00E14120">
      <w:pPr>
        <w:spacing w:after="120" w:line="276" w:lineRule="auto"/>
        <w:jc w:val="both"/>
        <w:rPr>
          <w:rFonts w:ascii="Verdana" w:eastAsia="Calibri" w:hAnsi="Verdana" w:cs="Arial"/>
          <w:sz w:val="20"/>
          <w:szCs w:val="20"/>
          <w:lang w:val="es-ES_tradnl" w:eastAsia="es-ES_tradnl"/>
        </w:rPr>
      </w:pPr>
      <w:r w:rsidRPr="00BA78DD">
        <w:rPr>
          <w:rFonts w:ascii="Verdana" w:eastAsia="Calibri" w:hAnsi="Verdana" w:cs="Arial"/>
          <w:sz w:val="20"/>
          <w:szCs w:val="20"/>
        </w:rPr>
        <w:t xml:space="preserve">De esta manera, los códigos del </w:t>
      </w:r>
      <w:r w:rsidRPr="00BA78DD">
        <w:rPr>
          <w:rFonts w:ascii="Verdana" w:eastAsia="Times New Roman" w:hAnsi="Verdana" w:cs="Arial"/>
          <w:sz w:val="20"/>
          <w:szCs w:val="20"/>
          <w:lang w:val="es-ES_tradnl" w:eastAsia="es-ES_tradnl"/>
        </w:rPr>
        <w:t>CIIU</w:t>
      </w:r>
      <w:r w:rsidRPr="00BA78DD">
        <w:rPr>
          <w:rFonts w:ascii="Verdana" w:eastAsia="Calibri" w:hAnsi="Verdana" w:cs="Arial"/>
          <w:sz w:val="20"/>
          <w:szCs w:val="20"/>
        </w:rPr>
        <w:t xml:space="preserve"> tienen efectos declarativos, no constitutivos. Por ello, respecto de la persona natural existe capacidad jurídica </w:t>
      </w:r>
      <w:r w:rsidRPr="00BA78DD">
        <w:rPr>
          <w:rFonts w:ascii="Verdana" w:eastAsia="Calibri" w:hAnsi="Verdana" w:cs="Arial"/>
          <w:sz w:val="20"/>
          <w:szCs w:val="20"/>
          <w:lang w:val="es-ES" w:eastAsia="es-ES"/>
        </w:rPr>
        <w:t xml:space="preserve">cuando son mayores de edad, salvo que por disposición expresa se encuentren limitados por decisión judicial, y que no estén incursas en inhabilidades, incompatibilidades o prohibiciones derivadas de la ley </w:t>
      </w:r>
      <w:r w:rsidRPr="00BA78DD">
        <w:rPr>
          <w:rFonts w:ascii="Verdana" w:eastAsia="Calibri" w:hAnsi="Verdana" w:cs="Arial"/>
          <w:sz w:val="20"/>
          <w:szCs w:val="20"/>
        </w:rPr>
        <w:t xml:space="preserve">y aquella se mantiene aunque la actividad económica no se haya recogido en la clasificación. </w:t>
      </w:r>
    </w:p>
    <w:p w14:paraId="1B6C21BA" w14:textId="77777777" w:rsidR="00E14120" w:rsidRPr="00BA78DD" w:rsidRDefault="00E14120" w:rsidP="00E14120">
      <w:pPr>
        <w:pBdr>
          <w:top w:val="nil"/>
          <w:left w:val="nil"/>
          <w:bottom w:val="nil"/>
          <w:right w:val="nil"/>
          <w:between w:val="nil"/>
        </w:pBdr>
        <w:tabs>
          <w:tab w:val="left" w:pos="284"/>
        </w:tabs>
        <w:spacing w:after="0" w:line="240" w:lineRule="auto"/>
        <w:jc w:val="both"/>
        <w:rPr>
          <w:rFonts w:ascii="Verdana" w:eastAsia="Arial" w:hAnsi="Verdana" w:cs="Arial"/>
          <w:color w:val="7030A0"/>
          <w:sz w:val="20"/>
          <w:szCs w:val="20"/>
          <w:lang w:val="es-ES_tradnl"/>
        </w:rPr>
      </w:pPr>
    </w:p>
    <w:p w14:paraId="1E56AB53" w14:textId="77777777" w:rsidR="00E14120" w:rsidRPr="00BA78DD" w:rsidRDefault="00E14120" w:rsidP="00E14120">
      <w:pPr>
        <w:spacing w:after="0" w:line="240" w:lineRule="auto"/>
        <w:jc w:val="both"/>
        <w:rPr>
          <w:rFonts w:ascii="Verdana" w:hAnsi="Verdana"/>
          <w:b/>
          <w:bCs/>
          <w:color w:val="7030A0"/>
          <w:sz w:val="20"/>
          <w:szCs w:val="20"/>
        </w:rPr>
      </w:pPr>
    </w:p>
    <w:p w14:paraId="7DF73EF4" w14:textId="77777777" w:rsidR="00E14120" w:rsidRDefault="00E14120" w:rsidP="00E14120">
      <w:pPr>
        <w:spacing w:after="0" w:line="240" w:lineRule="auto"/>
        <w:jc w:val="both"/>
        <w:rPr>
          <w:rFonts w:ascii="Verdana" w:hAnsi="Verdana"/>
          <w:b/>
          <w:bCs/>
          <w:color w:val="7030A0"/>
          <w:sz w:val="20"/>
          <w:szCs w:val="20"/>
        </w:rPr>
      </w:pPr>
    </w:p>
    <w:p w14:paraId="11371280" w14:textId="77777777" w:rsidR="00E14120" w:rsidRDefault="00E14120" w:rsidP="00E14120">
      <w:pPr>
        <w:spacing w:after="0" w:line="240" w:lineRule="auto"/>
        <w:jc w:val="both"/>
        <w:rPr>
          <w:rFonts w:ascii="Verdana" w:hAnsi="Verdana"/>
          <w:b/>
          <w:bCs/>
          <w:color w:val="7030A0"/>
          <w:sz w:val="20"/>
          <w:szCs w:val="20"/>
        </w:rPr>
      </w:pPr>
    </w:p>
    <w:p w14:paraId="08CD75B8" w14:textId="77777777" w:rsidR="00E14120" w:rsidRDefault="00E14120" w:rsidP="00E14120">
      <w:pPr>
        <w:spacing w:after="0" w:line="240" w:lineRule="auto"/>
        <w:jc w:val="both"/>
        <w:rPr>
          <w:rFonts w:ascii="Verdana" w:hAnsi="Verdana"/>
          <w:b/>
          <w:bCs/>
          <w:color w:val="7030A0"/>
          <w:sz w:val="20"/>
          <w:szCs w:val="20"/>
        </w:rPr>
      </w:pPr>
    </w:p>
    <w:p w14:paraId="4D29D6AE" w14:textId="77777777" w:rsidR="00E14120" w:rsidRDefault="00E14120" w:rsidP="00E14120">
      <w:pPr>
        <w:spacing w:after="0" w:line="240" w:lineRule="auto"/>
        <w:jc w:val="both"/>
        <w:rPr>
          <w:rFonts w:ascii="Verdana" w:hAnsi="Verdana"/>
          <w:b/>
          <w:bCs/>
          <w:color w:val="7030A0"/>
          <w:sz w:val="20"/>
          <w:szCs w:val="20"/>
        </w:rPr>
      </w:pPr>
    </w:p>
    <w:p w14:paraId="591DABF3" w14:textId="77777777" w:rsidR="00E14120" w:rsidRDefault="00E14120" w:rsidP="00E14120">
      <w:pPr>
        <w:spacing w:after="0" w:line="240" w:lineRule="auto"/>
        <w:jc w:val="both"/>
        <w:rPr>
          <w:rFonts w:ascii="Verdana" w:hAnsi="Verdana"/>
          <w:b/>
          <w:bCs/>
          <w:color w:val="7030A0"/>
          <w:sz w:val="20"/>
          <w:szCs w:val="20"/>
        </w:rPr>
      </w:pPr>
    </w:p>
    <w:p w14:paraId="625A61D7" w14:textId="77777777" w:rsidR="00E14120" w:rsidRDefault="00E14120" w:rsidP="00E14120">
      <w:pPr>
        <w:spacing w:after="0" w:line="240" w:lineRule="auto"/>
        <w:jc w:val="both"/>
        <w:rPr>
          <w:rFonts w:ascii="Verdana" w:hAnsi="Verdana"/>
          <w:b/>
          <w:bCs/>
          <w:color w:val="7030A0"/>
          <w:sz w:val="20"/>
          <w:szCs w:val="20"/>
        </w:rPr>
      </w:pPr>
    </w:p>
    <w:p w14:paraId="406869C5" w14:textId="77777777" w:rsidR="00E14120" w:rsidRDefault="00E14120" w:rsidP="00E14120">
      <w:pPr>
        <w:spacing w:after="0" w:line="240" w:lineRule="auto"/>
        <w:jc w:val="both"/>
        <w:rPr>
          <w:rFonts w:ascii="Verdana" w:hAnsi="Verdana"/>
          <w:b/>
          <w:bCs/>
          <w:color w:val="7030A0"/>
          <w:sz w:val="20"/>
          <w:szCs w:val="20"/>
        </w:rPr>
      </w:pPr>
    </w:p>
    <w:p w14:paraId="00AE7D4B" w14:textId="77777777" w:rsidR="00E14120" w:rsidRDefault="00E14120" w:rsidP="00E14120">
      <w:pPr>
        <w:spacing w:after="0" w:line="240" w:lineRule="auto"/>
        <w:jc w:val="both"/>
        <w:rPr>
          <w:rFonts w:ascii="Verdana" w:hAnsi="Verdana"/>
          <w:b/>
          <w:bCs/>
          <w:color w:val="7030A0"/>
          <w:sz w:val="20"/>
          <w:szCs w:val="20"/>
        </w:rPr>
      </w:pPr>
    </w:p>
    <w:p w14:paraId="410947BD" w14:textId="77777777" w:rsidR="00E14120" w:rsidRDefault="00E14120" w:rsidP="00E14120">
      <w:pPr>
        <w:spacing w:after="0" w:line="240" w:lineRule="auto"/>
        <w:jc w:val="both"/>
        <w:rPr>
          <w:rFonts w:ascii="Verdana" w:hAnsi="Verdana"/>
          <w:b/>
          <w:bCs/>
          <w:color w:val="7030A0"/>
          <w:sz w:val="20"/>
          <w:szCs w:val="20"/>
        </w:rPr>
      </w:pPr>
    </w:p>
    <w:p w14:paraId="1C11FEEC" w14:textId="77777777" w:rsidR="00E14120" w:rsidRDefault="00E14120" w:rsidP="00E14120">
      <w:pPr>
        <w:spacing w:after="0" w:line="240" w:lineRule="auto"/>
        <w:jc w:val="both"/>
        <w:rPr>
          <w:rFonts w:ascii="Verdana" w:hAnsi="Verdana"/>
          <w:b/>
          <w:bCs/>
          <w:color w:val="7030A0"/>
          <w:sz w:val="20"/>
          <w:szCs w:val="20"/>
        </w:rPr>
      </w:pPr>
    </w:p>
    <w:p w14:paraId="796D59D4" w14:textId="77777777" w:rsidR="00E14120" w:rsidRDefault="00E14120" w:rsidP="00E14120">
      <w:pPr>
        <w:spacing w:after="0" w:line="240" w:lineRule="auto"/>
        <w:jc w:val="both"/>
        <w:rPr>
          <w:rFonts w:ascii="Verdana" w:hAnsi="Verdana"/>
          <w:b/>
          <w:bCs/>
          <w:color w:val="7030A0"/>
          <w:sz w:val="20"/>
          <w:szCs w:val="20"/>
        </w:rPr>
      </w:pPr>
    </w:p>
    <w:p w14:paraId="731C1FC3" w14:textId="77777777" w:rsidR="00E14120" w:rsidRDefault="00E14120" w:rsidP="00E14120">
      <w:pPr>
        <w:spacing w:after="0" w:line="240" w:lineRule="auto"/>
        <w:jc w:val="both"/>
        <w:rPr>
          <w:rFonts w:ascii="Verdana" w:hAnsi="Verdana"/>
          <w:b/>
          <w:bCs/>
          <w:color w:val="7030A0"/>
          <w:sz w:val="20"/>
          <w:szCs w:val="20"/>
        </w:rPr>
      </w:pPr>
    </w:p>
    <w:p w14:paraId="18FB5E86" w14:textId="77777777" w:rsidR="00E14120" w:rsidRDefault="00E14120" w:rsidP="00E14120">
      <w:pPr>
        <w:spacing w:after="0" w:line="240" w:lineRule="auto"/>
        <w:jc w:val="both"/>
        <w:rPr>
          <w:rFonts w:ascii="Verdana" w:hAnsi="Verdana"/>
          <w:b/>
          <w:bCs/>
          <w:color w:val="7030A0"/>
          <w:sz w:val="20"/>
          <w:szCs w:val="20"/>
        </w:rPr>
      </w:pPr>
    </w:p>
    <w:p w14:paraId="7E65F6B2" w14:textId="77777777" w:rsidR="00E14120" w:rsidRDefault="00E14120" w:rsidP="00E14120">
      <w:pPr>
        <w:spacing w:after="0" w:line="240" w:lineRule="auto"/>
        <w:jc w:val="both"/>
        <w:rPr>
          <w:rFonts w:ascii="Verdana" w:hAnsi="Verdana"/>
          <w:b/>
          <w:bCs/>
          <w:color w:val="7030A0"/>
          <w:sz w:val="20"/>
          <w:szCs w:val="20"/>
        </w:rPr>
      </w:pPr>
    </w:p>
    <w:p w14:paraId="23149617" w14:textId="77777777" w:rsidR="00BA78DD" w:rsidRDefault="00BA78DD" w:rsidP="00E14120">
      <w:pPr>
        <w:spacing w:after="0" w:line="240" w:lineRule="auto"/>
        <w:jc w:val="both"/>
        <w:rPr>
          <w:rFonts w:ascii="Verdana" w:hAnsi="Verdana"/>
          <w:b/>
          <w:bCs/>
          <w:color w:val="7030A0"/>
          <w:sz w:val="20"/>
          <w:szCs w:val="20"/>
        </w:rPr>
      </w:pPr>
    </w:p>
    <w:p w14:paraId="01BA02A7" w14:textId="77777777" w:rsidR="00BA78DD" w:rsidRDefault="00BA78DD" w:rsidP="00E14120">
      <w:pPr>
        <w:spacing w:after="0" w:line="240" w:lineRule="auto"/>
        <w:jc w:val="both"/>
        <w:rPr>
          <w:rFonts w:ascii="Verdana" w:hAnsi="Verdana"/>
          <w:b/>
          <w:bCs/>
          <w:color w:val="7030A0"/>
          <w:sz w:val="20"/>
          <w:szCs w:val="20"/>
        </w:rPr>
      </w:pPr>
    </w:p>
    <w:p w14:paraId="28B5F776" w14:textId="77777777" w:rsidR="00E14120" w:rsidRPr="00FD09FB" w:rsidRDefault="00E14120" w:rsidP="00E14120">
      <w:pPr>
        <w:spacing w:after="0" w:line="240" w:lineRule="auto"/>
        <w:jc w:val="both"/>
        <w:rPr>
          <w:rFonts w:ascii="Verdana" w:hAnsi="Verdana"/>
          <w:b/>
          <w:bCs/>
          <w:color w:val="7030A0"/>
          <w:sz w:val="20"/>
          <w:szCs w:val="20"/>
        </w:rPr>
      </w:pPr>
    </w:p>
    <w:p w14:paraId="132DD980" w14:textId="77777777" w:rsidR="00E14120" w:rsidRPr="00FD09FB" w:rsidRDefault="00E14120" w:rsidP="00E14120">
      <w:pPr>
        <w:spacing w:after="120" w:line="240" w:lineRule="auto"/>
        <w:jc w:val="both"/>
        <w:rPr>
          <w:rFonts w:ascii="Verdana" w:hAnsi="Verdana" w:cs="Arial"/>
          <w:color w:val="7030A0"/>
          <w:sz w:val="20"/>
          <w:szCs w:val="20"/>
        </w:rPr>
      </w:pPr>
    </w:p>
    <w:p w14:paraId="60FDBD6B" w14:textId="5941C635" w:rsidR="00E14120" w:rsidRPr="00DB0B87" w:rsidRDefault="00E14120" w:rsidP="00E14120">
      <w:pPr>
        <w:spacing w:after="0"/>
        <w:rPr>
          <w:rFonts w:ascii="Verdana" w:hAnsi="Verdana"/>
        </w:rPr>
      </w:pPr>
      <w:r w:rsidRPr="00DB0B87">
        <w:rPr>
          <w:rFonts w:ascii="Verdana" w:hAnsi="Verdana"/>
        </w:rPr>
        <w:lastRenderedPageBreak/>
        <w:t xml:space="preserve">Bogotá D.C., </w:t>
      </w:r>
      <w:r w:rsidR="00882C31">
        <w:rPr>
          <w:rFonts w:ascii="Verdana" w:hAnsi="Verdana"/>
        </w:rPr>
        <w:t>08 Abril 2026</w:t>
      </w:r>
    </w:p>
    <w:p w14:paraId="01589B60" w14:textId="4B5DCE39" w:rsidR="00E14120" w:rsidRPr="00FD09FB" w:rsidRDefault="007B469B" w:rsidP="00E14120">
      <w:pPr>
        <w:spacing w:after="0"/>
        <w:rPr>
          <w:rFonts w:ascii="Verdana" w:hAnsi="Verdana"/>
          <w:color w:val="7030A0"/>
          <w:lang w:val="es-ES"/>
        </w:rPr>
      </w:pPr>
      <w:r w:rsidRPr="007B469B">
        <w:rPr>
          <w:rFonts w:ascii="Verdana" w:eastAsia="Calibri" w:hAnsi="Verdana" w:cs="Arial"/>
          <w:noProof/>
          <w:lang w:val="es-ES" w:eastAsia="es-ES"/>
        </w:rPr>
        <w:drawing>
          <wp:anchor distT="0" distB="0" distL="114300" distR="114300" simplePos="0" relativeHeight="251660288" behindDoc="1" locked="0" layoutInCell="1" allowOverlap="1" wp14:anchorId="4B9C124A" wp14:editId="6F34426B">
            <wp:simplePos x="0" y="0"/>
            <wp:positionH relativeFrom="margin">
              <wp:posOffset>3247968</wp:posOffset>
            </wp:positionH>
            <wp:positionV relativeFrom="paragraph">
              <wp:posOffset>9303</wp:posOffset>
            </wp:positionV>
            <wp:extent cx="2357763" cy="652007"/>
            <wp:effectExtent l="0" t="0" r="4445" b="0"/>
            <wp:wrapNone/>
            <wp:docPr id="14781148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114863" name=""/>
                    <pic:cNvPicPr/>
                  </pic:nvPicPr>
                  <pic:blipFill>
                    <a:blip r:embed="rId10">
                      <a:extLst>
                        <a:ext uri="{28A0092B-C50C-407E-A947-70E740481C1C}">
                          <a14:useLocalDpi xmlns:a14="http://schemas.microsoft.com/office/drawing/2010/main" val="0"/>
                        </a:ext>
                      </a:extLst>
                    </a:blip>
                    <a:stretch>
                      <a:fillRect/>
                    </a:stretch>
                  </pic:blipFill>
                  <pic:spPr>
                    <a:xfrm>
                      <a:off x="0" y="0"/>
                      <a:ext cx="2366123" cy="654319"/>
                    </a:xfrm>
                    <a:prstGeom prst="rect">
                      <a:avLst/>
                    </a:prstGeom>
                  </pic:spPr>
                </pic:pic>
              </a:graphicData>
            </a:graphic>
            <wp14:sizeRelH relativeFrom="margin">
              <wp14:pctWidth>0</wp14:pctWidth>
            </wp14:sizeRelH>
            <wp14:sizeRelV relativeFrom="margin">
              <wp14:pctHeight>0</wp14:pctHeight>
            </wp14:sizeRelV>
          </wp:anchor>
        </w:drawing>
      </w:r>
    </w:p>
    <w:p w14:paraId="3F4D5BC3" w14:textId="3E98FEC0" w:rsidR="00E14120" w:rsidRPr="00396567" w:rsidRDefault="00E14120" w:rsidP="00E14120">
      <w:pPr>
        <w:spacing w:after="0" w:line="240" w:lineRule="auto"/>
        <w:rPr>
          <w:rFonts w:ascii="Verdana" w:hAnsi="Verdana"/>
          <w:lang w:val="es-ES"/>
        </w:rPr>
      </w:pPr>
      <w:bookmarkStart w:id="0" w:name="_Hlk143780582"/>
      <w:r w:rsidRPr="00396567">
        <w:rPr>
          <w:rFonts w:ascii="Verdana" w:eastAsia="Calibri" w:hAnsi="Verdana" w:cs="Arial"/>
          <w:lang w:val="es-ES" w:eastAsia="es-ES"/>
        </w:rPr>
        <w:t>Señor</w:t>
      </w:r>
    </w:p>
    <w:p w14:paraId="15C60FED" w14:textId="77777777" w:rsidR="00E14120" w:rsidRPr="00396567" w:rsidRDefault="00E14120" w:rsidP="00E14120">
      <w:pPr>
        <w:spacing w:after="0"/>
        <w:rPr>
          <w:rFonts w:ascii="Verdana" w:eastAsia="Calibri" w:hAnsi="Verdana" w:cs="Arial"/>
          <w:b/>
          <w:bCs/>
          <w:lang w:eastAsia="es-ES"/>
        </w:rPr>
      </w:pPr>
      <w:r w:rsidRPr="00396567">
        <w:rPr>
          <w:rFonts w:ascii="Verdana" w:eastAsia="Calibri" w:hAnsi="Verdana" w:cs="Arial"/>
          <w:b/>
          <w:bCs/>
          <w:lang w:eastAsia="es-ES"/>
        </w:rPr>
        <w:t>José Fabián Sánchez Ortíz</w:t>
      </w:r>
    </w:p>
    <w:p w14:paraId="6A5DABFF" w14:textId="77777777" w:rsidR="00E14120" w:rsidRDefault="00E14120" w:rsidP="00E14120">
      <w:pPr>
        <w:tabs>
          <w:tab w:val="center" w:pos="4419"/>
        </w:tabs>
        <w:spacing w:after="0"/>
        <w:rPr>
          <w:rFonts w:ascii="Verdana" w:eastAsia="Calibri" w:hAnsi="Verdana" w:cs="Arial"/>
          <w:color w:val="7030A0"/>
          <w:lang w:eastAsia="es-ES"/>
        </w:rPr>
      </w:pPr>
      <w:hyperlink r:id="rId11" w:history="1">
        <w:r w:rsidRPr="00027D20">
          <w:rPr>
            <w:rStyle w:val="Hipervnculo"/>
            <w:rFonts w:ascii="Verdana" w:eastAsia="Calibri" w:hAnsi="Verdana" w:cs="Arial"/>
            <w:lang w:eastAsia="es-ES"/>
          </w:rPr>
          <w:t>jfsanchez93@hotmail.com</w:t>
        </w:r>
      </w:hyperlink>
    </w:p>
    <w:p w14:paraId="269C389E" w14:textId="77777777" w:rsidR="00E14120" w:rsidRPr="00396567" w:rsidRDefault="00E14120" w:rsidP="00E14120">
      <w:pPr>
        <w:spacing w:after="0"/>
        <w:rPr>
          <w:rFonts w:ascii="Verdana" w:eastAsia="Calibri" w:hAnsi="Verdana" w:cs="Arial"/>
          <w:lang w:val="es-ES" w:eastAsia="es-ES"/>
        </w:rPr>
      </w:pPr>
      <w:r w:rsidRPr="00396567">
        <w:rPr>
          <w:rFonts w:ascii="Verdana" w:eastAsia="Calibri" w:hAnsi="Verdana" w:cs="Arial"/>
          <w:lang w:eastAsia="es-ES"/>
        </w:rPr>
        <w:t>San José de Cúcuta, Norte de Santander</w:t>
      </w:r>
    </w:p>
    <w:p w14:paraId="5234DD37" w14:textId="77777777" w:rsidR="00E14120" w:rsidRPr="00FD09FB" w:rsidRDefault="00E14120" w:rsidP="00E14120">
      <w:pPr>
        <w:spacing w:after="0" w:line="240" w:lineRule="auto"/>
        <w:rPr>
          <w:rFonts w:ascii="Verdana" w:eastAsia="Calibri" w:hAnsi="Verdana" w:cs="Arial"/>
          <w:b/>
          <w:bCs/>
          <w:color w:val="7030A0"/>
          <w:lang w:val="es-ES" w:eastAsia="es-ES"/>
        </w:rPr>
      </w:pPr>
    </w:p>
    <w:p w14:paraId="51175C53" w14:textId="77777777" w:rsidR="00E14120" w:rsidRPr="00FD09FB" w:rsidRDefault="00E14120" w:rsidP="00E14120">
      <w:pPr>
        <w:spacing w:after="0" w:line="240" w:lineRule="auto"/>
        <w:rPr>
          <w:rFonts w:ascii="Verdana" w:eastAsia="Calibri" w:hAnsi="Verdana" w:cs="Arial"/>
          <w:b/>
          <w:bCs/>
          <w:color w:val="7030A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14120" w:rsidRPr="00FD09FB" w14:paraId="61EC5E00" w14:textId="77777777" w:rsidTr="00F61EC7">
        <w:trPr>
          <w:trHeight w:val="300"/>
        </w:trPr>
        <w:tc>
          <w:tcPr>
            <w:tcW w:w="2410" w:type="dxa"/>
          </w:tcPr>
          <w:p w14:paraId="083DB1B9" w14:textId="77777777" w:rsidR="00E14120" w:rsidRPr="00396567" w:rsidRDefault="00E14120" w:rsidP="00F61EC7">
            <w:pPr>
              <w:ind w:left="-142"/>
              <w:jc w:val="both"/>
              <w:rPr>
                <w:rFonts w:ascii="Verdana" w:eastAsia="Calibri" w:hAnsi="Verdana" w:cs="Arial"/>
                <w:b/>
                <w:bCs/>
                <w:lang w:val="es-ES" w:eastAsia="es-ES_tradnl"/>
              </w:rPr>
            </w:pPr>
          </w:p>
        </w:tc>
        <w:tc>
          <w:tcPr>
            <w:tcW w:w="6100" w:type="dxa"/>
          </w:tcPr>
          <w:p w14:paraId="41D7CA51" w14:textId="77777777" w:rsidR="00E14120" w:rsidRPr="00396567" w:rsidRDefault="00E14120" w:rsidP="00F61EC7">
            <w:pPr>
              <w:ind w:left="3"/>
              <w:jc w:val="both"/>
              <w:rPr>
                <w:rFonts w:ascii="Verdana" w:eastAsia="Calibri" w:hAnsi="Verdana" w:cs="Arial"/>
                <w:b/>
                <w:bCs/>
                <w:lang w:val="es-ES" w:eastAsia="es-ES"/>
              </w:rPr>
            </w:pPr>
            <w:r w:rsidRPr="00396567">
              <w:rPr>
                <w:rFonts w:ascii="Verdana" w:eastAsia="Calibri" w:hAnsi="Verdana" w:cs="Arial"/>
                <w:b/>
                <w:bCs/>
                <w:lang w:val="es-ES" w:eastAsia="es-ES"/>
              </w:rPr>
              <w:t>Concepto C-302 de 2026</w:t>
            </w:r>
          </w:p>
          <w:p w14:paraId="0E79638A" w14:textId="77777777" w:rsidR="00E14120" w:rsidRPr="00396567" w:rsidRDefault="00E14120" w:rsidP="00F61EC7">
            <w:pPr>
              <w:ind w:left="3"/>
              <w:jc w:val="both"/>
              <w:rPr>
                <w:rFonts w:ascii="Verdana" w:eastAsia="Calibri" w:hAnsi="Verdana" w:cs="Arial"/>
                <w:b/>
                <w:bCs/>
                <w:lang w:val="es-ES" w:eastAsia="es-ES"/>
              </w:rPr>
            </w:pPr>
          </w:p>
        </w:tc>
      </w:tr>
      <w:tr w:rsidR="00E14120" w:rsidRPr="00F84921" w14:paraId="08ABFCA1" w14:textId="77777777" w:rsidTr="00F61EC7">
        <w:trPr>
          <w:trHeight w:val="300"/>
        </w:trPr>
        <w:tc>
          <w:tcPr>
            <w:tcW w:w="2410" w:type="dxa"/>
          </w:tcPr>
          <w:p w14:paraId="43DF2108" w14:textId="77777777" w:rsidR="00E14120" w:rsidRPr="00FD09FB" w:rsidRDefault="00E14120" w:rsidP="00F61EC7">
            <w:pPr>
              <w:ind w:left="424" w:firstLine="137"/>
              <w:jc w:val="both"/>
              <w:rPr>
                <w:rFonts w:ascii="Verdana" w:eastAsia="Calibri" w:hAnsi="Verdana" w:cs="Arial"/>
                <w:color w:val="7030A0"/>
                <w:lang w:val="es-ES" w:eastAsia="es-ES_tradnl"/>
              </w:rPr>
            </w:pPr>
            <w:r w:rsidRPr="00CF4F98">
              <w:rPr>
                <w:rFonts w:ascii="Verdana" w:eastAsia="Calibri" w:hAnsi="Verdana" w:cs="Arial"/>
                <w:b/>
                <w:lang w:val="es-ES" w:eastAsia="es-ES_tradnl"/>
              </w:rPr>
              <w:t>Temas:</w:t>
            </w:r>
            <w:r w:rsidRPr="00CF4F98">
              <w:rPr>
                <w:rFonts w:ascii="Verdana" w:eastAsia="Calibri" w:hAnsi="Verdana" w:cs="Arial"/>
                <w:lang w:val="es-ES" w:eastAsia="es-ES_tradnl"/>
              </w:rPr>
              <w:t xml:space="preserve">              </w:t>
            </w:r>
          </w:p>
        </w:tc>
        <w:tc>
          <w:tcPr>
            <w:tcW w:w="6100" w:type="dxa"/>
          </w:tcPr>
          <w:p w14:paraId="6203137C" w14:textId="77777777" w:rsidR="00E14120" w:rsidRPr="00F84921" w:rsidRDefault="00E14120" w:rsidP="00F61EC7">
            <w:pPr>
              <w:jc w:val="both"/>
              <w:rPr>
                <w:rFonts w:ascii="Verdana" w:hAnsi="Verdana"/>
              </w:rPr>
            </w:pPr>
            <w:r w:rsidRPr="00F84921">
              <w:rPr>
                <w:rFonts w:ascii="Verdana" w:hAnsi="Verdana"/>
              </w:rPr>
              <w:t xml:space="preserve">REQUISITOS HABILITANTES – Noción / CAPACIDAD JURÍDICA – Personas naturales – Objeto social / PERSONAS NATURALES – Capacidad – Clasificación Industrial Internacional Uniforme – Efectos declarativos </w:t>
            </w:r>
          </w:p>
          <w:p w14:paraId="2B0F653F" w14:textId="77777777" w:rsidR="00E14120" w:rsidRPr="00F84921" w:rsidRDefault="00E14120" w:rsidP="00F61EC7">
            <w:pPr>
              <w:jc w:val="both"/>
              <w:rPr>
                <w:rFonts w:ascii="Verdana" w:hAnsi="Verdana"/>
              </w:rPr>
            </w:pPr>
          </w:p>
        </w:tc>
      </w:tr>
      <w:tr w:rsidR="00E14120" w:rsidRPr="00FD09FB" w14:paraId="381438AB" w14:textId="77777777" w:rsidTr="00F61EC7">
        <w:trPr>
          <w:trHeight w:val="87"/>
        </w:trPr>
        <w:tc>
          <w:tcPr>
            <w:tcW w:w="2410" w:type="dxa"/>
          </w:tcPr>
          <w:p w14:paraId="49075EB1" w14:textId="77777777" w:rsidR="00E14120" w:rsidRPr="00CF4F98" w:rsidRDefault="00E14120" w:rsidP="00F61EC7">
            <w:pPr>
              <w:ind w:left="561"/>
              <w:jc w:val="both"/>
              <w:rPr>
                <w:rFonts w:ascii="Verdana" w:eastAsia="Calibri" w:hAnsi="Verdana" w:cs="Arial"/>
                <w:b/>
                <w:lang w:val="es-ES" w:eastAsia="es-ES_tradnl"/>
              </w:rPr>
            </w:pPr>
            <w:r w:rsidRPr="00CF4F98">
              <w:rPr>
                <w:rFonts w:ascii="Verdana" w:eastAsia="Calibri" w:hAnsi="Verdana" w:cs="Arial"/>
                <w:b/>
                <w:lang w:val="es-ES" w:eastAsia="es-ES_tradnl"/>
              </w:rPr>
              <w:t>Radicación:</w:t>
            </w:r>
            <w:r w:rsidRPr="00CF4F98">
              <w:rPr>
                <w:rFonts w:ascii="Verdana" w:eastAsia="Calibri" w:hAnsi="Verdana" w:cs="Arial"/>
                <w:lang w:val="es-ES" w:eastAsia="es-ES_tradnl"/>
              </w:rPr>
              <w:t xml:space="preserve">              </w:t>
            </w:r>
          </w:p>
        </w:tc>
        <w:tc>
          <w:tcPr>
            <w:tcW w:w="6100" w:type="dxa"/>
          </w:tcPr>
          <w:p w14:paraId="3AC87A9A" w14:textId="77777777" w:rsidR="00E14120" w:rsidRPr="00CF4F98" w:rsidRDefault="00E14120" w:rsidP="00F61EC7">
            <w:pPr>
              <w:ind w:left="3"/>
              <w:jc w:val="both"/>
              <w:rPr>
                <w:rFonts w:ascii="Verdana" w:hAnsi="Verdana"/>
                <w:lang w:val="es-ES"/>
              </w:rPr>
            </w:pPr>
            <w:r w:rsidRPr="00CF4F98">
              <w:rPr>
                <w:rFonts w:ascii="Verdana" w:eastAsia="Calibri" w:hAnsi="Verdana" w:cs="Arial"/>
                <w:lang w:val="es-ES" w:eastAsia="es-ES"/>
              </w:rPr>
              <w:t>Respuesta a consulta con radicado No. 1_2026_02_25_002641</w:t>
            </w:r>
          </w:p>
        </w:tc>
      </w:tr>
    </w:tbl>
    <w:p w14:paraId="7ACEBFF9" w14:textId="77777777" w:rsidR="00E14120" w:rsidRPr="00FD09FB" w:rsidRDefault="00E14120" w:rsidP="00E14120">
      <w:pPr>
        <w:spacing w:after="0" w:line="276" w:lineRule="auto"/>
        <w:jc w:val="both"/>
        <w:rPr>
          <w:rFonts w:ascii="Verdana" w:eastAsia="Calibri" w:hAnsi="Verdana" w:cs="Arial"/>
          <w:color w:val="7030A0"/>
          <w:lang w:eastAsia="es-ES"/>
        </w:rPr>
      </w:pPr>
    </w:p>
    <w:p w14:paraId="68A7BB13" w14:textId="77777777" w:rsidR="00E14120" w:rsidRPr="00CF4F98" w:rsidRDefault="00E14120" w:rsidP="00E14120">
      <w:pPr>
        <w:spacing w:after="0" w:line="276" w:lineRule="auto"/>
        <w:jc w:val="both"/>
        <w:rPr>
          <w:rFonts w:ascii="Verdana" w:eastAsia="Calibri" w:hAnsi="Verdana" w:cs="Arial"/>
          <w:lang w:eastAsia="es-ES"/>
        </w:rPr>
      </w:pPr>
    </w:p>
    <w:p w14:paraId="05C0BF6B" w14:textId="77777777" w:rsidR="00E14120" w:rsidRPr="00CF4F98" w:rsidRDefault="00E14120" w:rsidP="00E14120">
      <w:pPr>
        <w:spacing w:after="0" w:line="276" w:lineRule="auto"/>
        <w:jc w:val="both"/>
        <w:rPr>
          <w:rFonts w:ascii="Verdana" w:eastAsia="Calibri" w:hAnsi="Verdana" w:cs="Arial"/>
          <w:lang w:eastAsia="es-ES"/>
        </w:rPr>
      </w:pPr>
      <w:r w:rsidRPr="00CF4F98">
        <w:rPr>
          <w:rFonts w:ascii="Verdana" w:eastAsia="Calibri" w:hAnsi="Verdana" w:cs="Arial"/>
          <w:lang w:eastAsia="es-ES"/>
        </w:rPr>
        <w:t>Estimado señor Sánchez:</w:t>
      </w:r>
    </w:p>
    <w:p w14:paraId="4E7C147B" w14:textId="77777777" w:rsidR="00E14120" w:rsidRPr="00CF4F98" w:rsidRDefault="00E14120" w:rsidP="00E14120">
      <w:pPr>
        <w:spacing w:after="0" w:line="276" w:lineRule="auto"/>
        <w:jc w:val="both"/>
        <w:rPr>
          <w:rFonts w:ascii="Verdana" w:eastAsia="Calibri" w:hAnsi="Verdana" w:cs="Arial"/>
          <w:lang w:eastAsia="es-ES"/>
        </w:rPr>
      </w:pPr>
      <w:r w:rsidRPr="00CF4F98">
        <w:rPr>
          <w:rFonts w:ascii="Verdana" w:eastAsia="Calibri" w:hAnsi="Verdana" w:cs="Arial"/>
          <w:lang w:eastAsia="es-ES"/>
        </w:rPr>
        <w:t xml:space="preserve"> </w:t>
      </w:r>
    </w:p>
    <w:p w14:paraId="092A9DC3" w14:textId="77777777" w:rsidR="00E14120" w:rsidRPr="00CF4F98" w:rsidRDefault="00E14120" w:rsidP="00E14120">
      <w:pPr>
        <w:tabs>
          <w:tab w:val="left" w:pos="3768"/>
        </w:tabs>
        <w:spacing w:after="0" w:line="276" w:lineRule="auto"/>
        <w:jc w:val="both"/>
        <w:rPr>
          <w:rFonts w:ascii="Verdana" w:eastAsia="Calibri" w:hAnsi="Verdana" w:cs="Arial"/>
          <w:lang w:eastAsia="es-ES"/>
        </w:rPr>
      </w:pPr>
      <w:r w:rsidRPr="00CF4F98">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25 de febrero de 2026, en la cual manifiesta lo siguiente: </w:t>
      </w:r>
    </w:p>
    <w:p w14:paraId="42F2E49B" w14:textId="77777777" w:rsidR="00E14120" w:rsidRPr="00EF3B20" w:rsidRDefault="00E14120" w:rsidP="00E14120">
      <w:pPr>
        <w:tabs>
          <w:tab w:val="left" w:pos="3768"/>
        </w:tabs>
        <w:spacing w:after="0" w:line="276" w:lineRule="auto"/>
        <w:jc w:val="both"/>
        <w:rPr>
          <w:rFonts w:ascii="Verdana" w:eastAsia="Calibri" w:hAnsi="Verdana" w:cs="Arial"/>
          <w:lang w:eastAsia="es-ES"/>
        </w:rPr>
      </w:pPr>
    </w:p>
    <w:p w14:paraId="7B38F2EF" w14:textId="77777777" w:rsidR="00E14120" w:rsidRPr="00EF3B20" w:rsidRDefault="00E14120" w:rsidP="00E14120">
      <w:pPr>
        <w:spacing w:before="120" w:after="120"/>
        <w:ind w:left="709" w:right="709"/>
        <w:contextualSpacing/>
        <w:jc w:val="both"/>
        <w:rPr>
          <w:rFonts w:ascii="Verdana" w:eastAsia="Century Gothic" w:hAnsi="Verdana" w:cs="Century Gothic"/>
          <w:i/>
          <w:iCs/>
          <w:sz w:val="20"/>
          <w:szCs w:val="20"/>
          <w:lang w:val="es-ES"/>
        </w:rPr>
      </w:pPr>
      <w:r w:rsidRPr="00EF3B20">
        <w:rPr>
          <w:rFonts w:ascii="Verdana" w:eastAsia="Century Gothic" w:hAnsi="Verdana" w:cs="Century Gothic"/>
          <w:i/>
          <w:iCs/>
          <w:sz w:val="20"/>
          <w:szCs w:val="20"/>
          <w:lang w:val="es-ES"/>
        </w:rPr>
        <w:t>“(…) Es entonces que, con base en este contexto y problemática actual, me permito consultarle a la entidad lo siguiente:</w:t>
      </w:r>
    </w:p>
    <w:p w14:paraId="52CCB8DA"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¿La CAPACIDAD JURIDICA de una PERSONA NATURAL COMERCIANTE LEGALMENTE INSCRITO se mide a través de los CODIGOS CIIU inscritos en su registro mercantil?</w:t>
      </w:r>
    </w:p>
    <w:p w14:paraId="12DC711E"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Existe alguna norma jurídica en materia de contratación estatal, código de comercio, o código civil que señale que, una PERSONA NATURAL COMERCIANTE LEGALMENTE INSCRITO, ¿SOLO PUEDE COMERCIALIZAR los bienes y servicios relacionados con los códigos CIIU en su registro mercantil?</w:t>
      </w:r>
    </w:p>
    <w:p w14:paraId="2DEC5149"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 xml:space="preserve">¿Una PERSONA NATURAL COMERCIANTE LEGALMENTE INSCRITA puede desarrollar y comercializar bienes y servicios distintos a los asociados a los códigos CIIU registrados en su matrícula mercantil, </w:t>
      </w:r>
      <w:r w:rsidRPr="00EF3B20">
        <w:rPr>
          <w:rFonts w:ascii="Verdana" w:eastAsia="Century Gothic" w:hAnsi="Verdana" w:cs="Century Gothic"/>
          <w:i/>
          <w:iCs/>
          <w:sz w:val="20"/>
          <w:szCs w:val="20"/>
        </w:rPr>
        <w:lastRenderedPageBreak/>
        <w:t>siempre que se trate de actividades lícitas y no sometidas a un régimen especial de autorización estatal?</w:t>
      </w:r>
    </w:p>
    <w:p w14:paraId="5DF718A3"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¿una entidad puede exigir que el proponente PERSONA NATURAL para participar en un proceso de mínima cuantía o, ser adjudicatario de este que, tenga inscritos códigos específicos en su registro mercantil?</w:t>
      </w:r>
    </w:p>
    <w:p w14:paraId="6B790B1D"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¿una entidad puede exigir que el proponente PERSONA NATURAL para participar en un proceso de mínima cuantía o, ser adjudicatario de este que, tenga inscritos códigos específicos en su registro mercantil con cierto termino de antelación? (…)</w:t>
      </w:r>
    </w:p>
    <w:p w14:paraId="1DAC58F0"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¿una entidad puede exigir que el proponente PERSONA NATURAL para participar en un proceso de mínima cuantía o, ser adjudicatario de este que, tenga inscritos códigos específicos en su registro mercantil y que este esté inscrito con un año de antelación?</w:t>
      </w:r>
    </w:p>
    <w:p w14:paraId="77DCBD56"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¿Existe alguna norma jurídica que prohíba o impida que la PERSONA NATURAL pueda hacer mutaciones en su registro mercantil en cualquier momento?</w:t>
      </w:r>
    </w:p>
    <w:p w14:paraId="6A587763"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¿La exigencia de códigos CIIU específicos como requisito de participación puede constituir una restricción a la pluralidad de oferentes o a la libre concurrencia en los procesos de contratación estatal?</w:t>
      </w:r>
    </w:p>
    <w:p w14:paraId="5EE90793"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¿Los códigos CIIU tienen carácter habilitante en materia de contratación estatal o constituyen únicamente una clasificación estadística o registral de la actividad económica del comerciante?</w:t>
      </w:r>
    </w:p>
    <w:p w14:paraId="2CD480D9"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¿Puede considerarse jurídicamente válido limitar la participación de una persona natural comerciante en un proceso de contratación estatal por no tener inscrito un código CIIU específico, aun cuando tenga la capacidad legal y material para ejecutar el objeto contractual?</w:t>
      </w:r>
    </w:p>
    <w:p w14:paraId="6F5FD4A1"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Limitar la participación o la adjudicación de un contrato estatal a la exigencia del requisito de CODIGOS CIIU específicos en personas naturales, para procesos de mínima cuantía, ¿es contrario al artículo 333 de la constitución política de Colombia?</w:t>
      </w:r>
    </w:p>
    <w:p w14:paraId="4A6D0F7C"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Limitar la participación o la adjudicación de un contrato estatal a la exigencia del requisito de CODIGOS CIIU con antigüedad especifica en su inscripción, EN PERSONAS NATURALES, para procesos de mínima cuantía es contrario al artículo 333 de la constitución política de Colombia?</w:t>
      </w:r>
    </w:p>
    <w:p w14:paraId="54F7F092" w14:textId="77777777" w:rsidR="00E14120" w:rsidRPr="00EF3B20" w:rsidRDefault="00E14120" w:rsidP="00E14120">
      <w:pPr>
        <w:pStyle w:val="Prrafodelista"/>
        <w:numPr>
          <w:ilvl w:val="0"/>
          <w:numId w:val="17"/>
        </w:numPr>
        <w:spacing w:before="120" w:after="120"/>
        <w:ind w:left="1134" w:right="709"/>
        <w:jc w:val="both"/>
        <w:rPr>
          <w:rFonts w:ascii="Verdana" w:eastAsia="Century Gothic" w:hAnsi="Verdana" w:cs="Century Gothic"/>
          <w:i/>
          <w:iCs/>
          <w:sz w:val="20"/>
          <w:szCs w:val="20"/>
        </w:rPr>
      </w:pPr>
      <w:r w:rsidRPr="00EF3B20">
        <w:rPr>
          <w:rFonts w:ascii="Verdana" w:eastAsia="Century Gothic" w:hAnsi="Verdana" w:cs="Century Gothic"/>
          <w:i/>
          <w:iCs/>
          <w:sz w:val="20"/>
          <w:szCs w:val="20"/>
        </w:rPr>
        <w:t>¿cuál fue la finalidad en la creación de CODIGOS CIIU? (…)”</w:t>
      </w:r>
    </w:p>
    <w:p w14:paraId="46D4F9CA" w14:textId="77777777" w:rsidR="00E14120" w:rsidRPr="00EF3B20" w:rsidRDefault="00E14120" w:rsidP="00E14120">
      <w:pPr>
        <w:pStyle w:val="Prrafodelista"/>
        <w:spacing w:before="120" w:after="120"/>
        <w:ind w:left="1134" w:right="709"/>
        <w:jc w:val="both"/>
        <w:rPr>
          <w:rFonts w:ascii="Verdana" w:eastAsia="Century Gothic" w:hAnsi="Verdana" w:cs="Century Gothic"/>
          <w:i/>
          <w:iCs/>
          <w:color w:val="7030A0"/>
          <w:sz w:val="20"/>
          <w:szCs w:val="20"/>
        </w:rPr>
      </w:pPr>
    </w:p>
    <w:p w14:paraId="737F91AC" w14:textId="77777777" w:rsidR="00E14120" w:rsidRPr="007C56E8" w:rsidRDefault="00E14120" w:rsidP="00E14120">
      <w:pPr>
        <w:spacing w:after="120" w:line="276" w:lineRule="auto"/>
        <w:ind w:firstLine="708"/>
        <w:jc w:val="both"/>
        <w:rPr>
          <w:rFonts w:ascii="Verdana" w:eastAsia="Calibri" w:hAnsi="Verdana" w:cs="Arial"/>
          <w:lang w:val="es-ES" w:eastAsia="es-ES"/>
        </w:rPr>
      </w:pPr>
      <w:r w:rsidRPr="007C56E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7C56E8">
        <w:rPr>
          <w:rFonts w:ascii="Verdana" w:eastAsia="Calibri" w:hAnsi="Verdana" w:cs="Arial"/>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C56E8">
        <w:rPr>
          <w:rFonts w:ascii="Verdana" w:hAnsi="Verdana"/>
          <w:lang w:val="es-ES"/>
        </w:rPr>
        <w:tab/>
      </w:r>
    </w:p>
    <w:p w14:paraId="000464C8" w14:textId="77777777" w:rsidR="00E14120" w:rsidRPr="007C56E8" w:rsidRDefault="00E14120" w:rsidP="00E14120">
      <w:pPr>
        <w:spacing w:after="0" w:line="276" w:lineRule="auto"/>
        <w:ind w:firstLine="709"/>
        <w:jc w:val="both"/>
        <w:rPr>
          <w:rFonts w:ascii="Verdana" w:eastAsia="Calibri" w:hAnsi="Verdana" w:cs="Arial"/>
          <w:lang w:val="es-ES" w:eastAsia="es-ES"/>
        </w:rPr>
      </w:pPr>
      <w:r w:rsidRPr="007C56E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39AF258" w14:textId="77777777" w:rsidR="00E14120" w:rsidRPr="007C56E8" w:rsidRDefault="00E14120" w:rsidP="00E14120">
      <w:pPr>
        <w:spacing w:after="0" w:line="276" w:lineRule="auto"/>
        <w:ind w:firstLine="709"/>
        <w:jc w:val="both"/>
        <w:rPr>
          <w:rFonts w:ascii="Verdana" w:eastAsia="Calibri" w:hAnsi="Verdana" w:cs="Arial"/>
          <w:lang w:val="es-ES" w:eastAsia="es-ES"/>
        </w:rPr>
      </w:pPr>
    </w:p>
    <w:p w14:paraId="2A5001D3" w14:textId="77777777" w:rsidR="00E14120" w:rsidRPr="007C56E8" w:rsidRDefault="00E14120" w:rsidP="00E14120">
      <w:pPr>
        <w:tabs>
          <w:tab w:val="left" w:pos="142"/>
          <w:tab w:val="left" w:pos="284"/>
        </w:tabs>
        <w:spacing w:after="0" w:line="276" w:lineRule="auto"/>
        <w:contextualSpacing/>
        <w:jc w:val="both"/>
        <w:rPr>
          <w:rFonts w:ascii="Verdana" w:eastAsia="Century Gothic" w:hAnsi="Verdana" w:cs="Century Gothic"/>
          <w:b/>
          <w:lang w:val="es-ES"/>
        </w:rPr>
      </w:pPr>
      <w:r w:rsidRPr="007C56E8">
        <w:rPr>
          <w:rFonts w:ascii="Verdana" w:eastAsia="Century Gothic" w:hAnsi="Verdana" w:cs="Century Gothic"/>
          <w:b/>
          <w:lang w:val="es-ES"/>
        </w:rPr>
        <w:t>1. Problema planteado:</w:t>
      </w:r>
    </w:p>
    <w:p w14:paraId="5A62B38C" w14:textId="77777777" w:rsidR="00E14120" w:rsidRPr="00FD09FB" w:rsidRDefault="00E14120" w:rsidP="00E14120">
      <w:pPr>
        <w:tabs>
          <w:tab w:val="left" w:pos="426"/>
        </w:tabs>
        <w:spacing w:after="0" w:line="276" w:lineRule="auto"/>
        <w:jc w:val="both"/>
        <w:rPr>
          <w:rFonts w:ascii="Verdana" w:eastAsia="Century Gothic" w:hAnsi="Verdana" w:cs="Century Gothic"/>
          <w:color w:val="7030A0"/>
          <w:lang w:val="es-ES"/>
        </w:rPr>
      </w:pPr>
    </w:p>
    <w:p w14:paraId="178EEF08" w14:textId="77777777" w:rsidR="00E14120" w:rsidRDefault="00E14120" w:rsidP="00E14120">
      <w:pPr>
        <w:spacing w:after="0" w:line="276" w:lineRule="auto"/>
        <w:jc w:val="both"/>
        <w:rPr>
          <w:rFonts w:ascii="Verdana" w:eastAsia="Century Gothic" w:hAnsi="Verdana" w:cs="Century Gothic"/>
          <w:color w:val="7030A0"/>
        </w:rPr>
      </w:pPr>
      <w:r w:rsidRPr="007C56E8">
        <w:rPr>
          <w:rFonts w:ascii="Verdana" w:eastAsia="Century Gothic" w:hAnsi="Verdana" w:cs="Century Gothic"/>
          <w:lang w:val="es-ES"/>
        </w:rPr>
        <w:t xml:space="preserve">De acuerdo con el contenido de su solicitud, esta Agencia resolverá el siguiente </w:t>
      </w:r>
      <w:r w:rsidRPr="00025A37">
        <w:rPr>
          <w:rFonts w:ascii="Verdana" w:eastAsia="Century Gothic" w:hAnsi="Verdana" w:cs="Century Gothic"/>
          <w:lang w:val="es-ES"/>
        </w:rPr>
        <w:t xml:space="preserve">problema jurídico: </w:t>
      </w:r>
      <w:r w:rsidRPr="00025A37">
        <w:rPr>
          <w:rFonts w:ascii="Verdana" w:eastAsia="Century Gothic" w:hAnsi="Verdana" w:cs="Century Gothic"/>
        </w:rPr>
        <w:t>¿Cuál es el alcance de los códigos CIIU frente a la capacidad jurídica de las personas naturales en los procesos de contratación estatal?</w:t>
      </w:r>
    </w:p>
    <w:p w14:paraId="6174D255" w14:textId="77777777" w:rsidR="00E14120" w:rsidRPr="00FD09FB" w:rsidRDefault="00E14120" w:rsidP="00E14120">
      <w:pPr>
        <w:spacing w:after="0" w:line="276" w:lineRule="auto"/>
        <w:jc w:val="both"/>
        <w:rPr>
          <w:rFonts w:ascii="Verdana" w:eastAsia="Century Gothic" w:hAnsi="Verdana" w:cs="Century Gothic"/>
          <w:color w:val="7030A0"/>
        </w:rPr>
      </w:pPr>
    </w:p>
    <w:p w14:paraId="59B5EB35" w14:textId="77777777" w:rsidR="00E14120" w:rsidRDefault="00E14120" w:rsidP="00E14120">
      <w:pPr>
        <w:tabs>
          <w:tab w:val="left" w:pos="142"/>
          <w:tab w:val="left" w:pos="284"/>
        </w:tabs>
        <w:spacing w:after="0" w:line="276" w:lineRule="auto"/>
        <w:jc w:val="both"/>
        <w:rPr>
          <w:rFonts w:ascii="Verdana" w:eastAsia="Century Gothic" w:hAnsi="Verdana" w:cs="Century Gothic"/>
          <w:b/>
          <w:lang w:val="es-ES"/>
        </w:rPr>
      </w:pPr>
      <w:r w:rsidRPr="001246E5">
        <w:rPr>
          <w:rFonts w:ascii="Verdana" w:eastAsia="Century Gothic" w:hAnsi="Verdana" w:cs="Century Gothic"/>
          <w:b/>
          <w:lang w:val="es-ES"/>
        </w:rPr>
        <w:t>2. Respuesta:</w:t>
      </w:r>
    </w:p>
    <w:p w14:paraId="330D3269" w14:textId="77777777" w:rsidR="00E14120" w:rsidRPr="001246E5" w:rsidRDefault="00E14120" w:rsidP="00E14120">
      <w:pPr>
        <w:tabs>
          <w:tab w:val="left" w:pos="142"/>
          <w:tab w:val="left" w:pos="284"/>
        </w:tabs>
        <w:spacing w:after="0" w:line="276" w:lineRule="auto"/>
        <w:jc w:val="both"/>
        <w:rPr>
          <w:rFonts w:ascii="Verdana" w:eastAsia="Century Gothic" w:hAnsi="Verdana" w:cs="Century Gothic"/>
          <w:b/>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14120" w:rsidRPr="00FD09FB" w14:paraId="641C8FD6" w14:textId="77777777" w:rsidTr="00F61EC7">
        <w:tc>
          <w:tcPr>
            <w:tcW w:w="8828" w:type="dxa"/>
          </w:tcPr>
          <w:p w14:paraId="1C53BE0A" w14:textId="77777777" w:rsidR="00E14120" w:rsidRPr="007D11C0" w:rsidRDefault="00E14120" w:rsidP="00F61EC7">
            <w:pPr>
              <w:spacing w:before="120" w:after="120" w:line="276" w:lineRule="auto"/>
              <w:ind w:firstLine="25"/>
              <w:jc w:val="both"/>
              <w:textAlignment w:val="baseline"/>
              <w:rPr>
                <w:rFonts w:ascii="Verdana" w:eastAsia="Times New Roman" w:hAnsi="Verdana" w:cs="Arial"/>
                <w:lang w:eastAsia="es-ES_tradnl"/>
              </w:rPr>
            </w:pPr>
            <w:r w:rsidRPr="00BE7A2F">
              <w:rPr>
                <w:rFonts w:ascii="Verdana" w:eastAsia="Times New Roman" w:hAnsi="Verdana" w:cs="Arial"/>
                <w:lang w:eastAsia="es-ES_tradnl"/>
              </w:rPr>
              <w:t>Conforme a la interpretación de las normas generales del sistema de compras públicas</w:t>
            </w:r>
            <w:r>
              <w:rPr>
                <w:rFonts w:ascii="Verdana" w:eastAsia="Times New Roman" w:hAnsi="Verdana" w:cs="Arial"/>
                <w:lang w:eastAsia="es-ES_tradnl"/>
              </w:rPr>
              <w:t xml:space="preserve"> y e</w:t>
            </w:r>
            <w:r w:rsidRPr="00961AD1">
              <w:rPr>
                <w:rFonts w:ascii="Verdana" w:eastAsia="Calibri" w:hAnsi="Verdana" w:cs="Arial"/>
              </w:rPr>
              <w:t xml:space="preserve">n relación con el problema jurídico planteado debe señalarse que, </w:t>
            </w:r>
            <w:r>
              <w:rPr>
                <w:rFonts w:ascii="Verdana" w:eastAsia="Calibri" w:hAnsi="Verdana" w:cs="Arial"/>
              </w:rPr>
              <w:t>l</w:t>
            </w:r>
            <w:r w:rsidRPr="0062047D">
              <w:rPr>
                <w:rFonts w:ascii="Verdana" w:eastAsia="Calibri" w:hAnsi="Verdana" w:cs="Arial"/>
              </w:rPr>
              <w:t>os códigos de la Clasificación Industrial Internacional Uniforme (CIIU) no determinan ni limitan la capacidad jurídica de las personas naturales en los procesos de contratación estatal. En efecto, la capacidad jurídica constituye un requisito habilitante que se predica de la aptitud legal para obligarse válidamente, la cual, tratándose de personas naturales, se concreta en ser mayor de edad, no estar limitado por decisión judicial y no encontrarse incurso en inhabilidades, incompatibilidades o prohibiciones legales.</w:t>
            </w:r>
          </w:p>
          <w:p w14:paraId="53AE3B95" w14:textId="77777777" w:rsidR="00E14120" w:rsidRPr="00EC54E6" w:rsidRDefault="00E14120" w:rsidP="00F61EC7">
            <w:pPr>
              <w:widowControl w:val="0"/>
              <w:autoSpaceDE w:val="0"/>
              <w:autoSpaceDN w:val="0"/>
              <w:spacing w:after="120" w:line="276" w:lineRule="auto"/>
              <w:ind w:firstLine="737"/>
              <w:jc w:val="both"/>
              <w:rPr>
                <w:rFonts w:ascii="Verdana" w:eastAsia="Calibri" w:hAnsi="Verdana" w:cs="Arial"/>
              </w:rPr>
            </w:pPr>
            <w:r w:rsidRPr="00EC54E6">
              <w:rPr>
                <w:rFonts w:ascii="Verdana" w:eastAsia="Calibri" w:hAnsi="Verdana" w:cs="Arial"/>
              </w:rPr>
              <w:t>Por su parte,</w:t>
            </w:r>
            <w:r>
              <w:rPr>
                <w:rFonts w:ascii="Verdana" w:eastAsia="Calibri" w:hAnsi="Verdana" w:cs="Arial"/>
              </w:rPr>
              <w:t xml:space="preserve"> </w:t>
            </w:r>
            <w:r w:rsidRPr="00961AD1">
              <w:rPr>
                <w:rFonts w:ascii="Verdana" w:eastAsia="Calibri" w:hAnsi="Verdana" w:cs="Arial"/>
              </w:rPr>
              <w:t xml:space="preserve">en relación a los códigos de la </w:t>
            </w:r>
            <w:r w:rsidRPr="00961AD1">
              <w:rPr>
                <w:rFonts w:ascii="Verdana" w:eastAsia="Times New Roman" w:hAnsi="Verdana" w:cs="Arial"/>
                <w:lang w:val="es-ES_tradnl" w:eastAsia="es-ES_tradnl"/>
              </w:rPr>
              <w:t>Clasificación Industrial Internacional Uniforme –CIIU–</w:t>
            </w:r>
            <w:r>
              <w:rPr>
                <w:rFonts w:ascii="Verdana" w:eastAsia="Times New Roman" w:hAnsi="Verdana" w:cs="Arial"/>
                <w:lang w:val="es-ES_tradnl" w:eastAsia="es-ES_tradnl"/>
              </w:rPr>
              <w:t xml:space="preserve">, </w:t>
            </w:r>
            <w:r w:rsidRPr="00961AD1">
              <w:rPr>
                <w:rFonts w:ascii="Verdana" w:eastAsia="Calibri" w:hAnsi="Verdana" w:cs="Arial"/>
              </w:rPr>
              <w:t xml:space="preserve">esta corresponde a un sistema estandarizado desarrollado por las Naciones Unidas para clasificar las actividades económicas </w:t>
            </w:r>
            <w:r w:rsidRPr="00961AD1">
              <w:rPr>
                <w:rFonts w:ascii="Verdana" w:eastAsia="Calibri" w:hAnsi="Verdana" w:cs="Arial"/>
              </w:rPr>
              <w:lastRenderedPageBreak/>
              <w:t>en distintos sectores. Como explica el DANE, su objetivo es facilitar la recopilación, análisis y comparación de datos estadísticos a nivel nacional e internacional y por lo tanto, ninguna condiciona la capacidad de las personas naturales</w:t>
            </w:r>
            <w:r>
              <w:rPr>
                <w:rFonts w:ascii="Verdana" w:eastAsia="Calibri" w:hAnsi="Verdana" w:cs="Arial"/>
              </w:rPr>
              <w:t>, d</w:t>
            </w:r>
            <w:r>
              <w:rPr>
                <w:rFonts w:ascii="Verdana" w:eastAsia="Calibri" w:hAnsi="Verdana" w:cs="Arial"/>
                <w:color w:val="000000" w:themeColor="text1"/>
              </w:rPr>
              <w:t xml:space="preserve">e esta manera, la </w:t>
            </w:r>
            <w:r w:rsidRPr="00E30B1D">
              <w:rPr>
                <w:rFonts w:ascii="Verdana" w:eastAsia="Times New Roman" w:hAnsi="Verdana" w:cs="Arial"/>
                <w:color w:val="000000" w:themeColor="text1"/>
                <w:lang w:val="es-ES_tradnl" w:eastAsia="es-ES_tradnl"/>
              </w:rPr>
              <w:t>CIIU</w:t>
            </w:r>
            <w:r>
              <w:rPr>
                <w:rFonts w:ascii="Verdana" w:eastAsia="Calibri" w:hAnsi="Verdana" w:cs="Arial"/>
                <w:color w:val="000000" w:themeColor="text1"/>
              </w:rPr>
              <w:t xml:space="preserve"> tienen efectos declarativos, no constitutivos.</w:t>
            </w:r>
          </w:p>
          <w:p w14:paraId="5E309493" w14:textId="77777777" w:rsidR="00E14120" w:rsidRDefault="00E14120" w:rsidP="00F61EC7">
            <w:pPr>
              <w:pBdr>
                <w:top w:val="nil"/>
                <w:left w:val="nil"/>
                <w:bottom w:val="nil"/>
                <w:right w:val="nil"/>
                <w:between w:val="nil"/>
              </w:pBdr>
              <w:spacing w:line="276" w:lineRule="auto"/>
              <w:ind w:firstLine="708"/>
              <w:jc w:val="both"/>
              <w:rPr>
                <w:rFonts w:ascii="Verdana" w:eastAsia="Times New Roman" w:hAnsi="Verdana" w:cs="Arial"/>
                <w:lang w:val="es-ES_tradnl" w:eastAsia="es-ES_tradnl"/>
              </w:rPr>
            </w:pPr>
            <w:r w:rsidRPr="00160294">
              <w:rPr>
                <w:rFonts w:ascii="Verdana" w:eastAsia="Calibri" w:hAnsi="Verdana" w:cs="Arial"/>
              </w:rPr>
              <w:t xml:space="preserve">Sin perjuicio de lo anterior, sumado a las implicaciones estadísticas de la </w:t>
            </w:r>
            <w:r w:rsidRPr="00160294">
              <w:rPr>
                <w:rFonts w:ascii="Verdana" w:eastAsia="Times New Roman" w:hAnsi="Verdana" w:cs="Arial"/>
                <w:lang w:val="es-ES_tradnl" w:eastAsia="es-ES_tradnl"/>
              </w:rPr>
              <w:t>CIIU, los interesados deben registrar adecuadamente los códigos de sus actividades económicas en el RUES. Lo anterior teniendo en cuenta que son un parámetro para la DIAN en lo relativo al control y determinación de los impuestos y demás obligaciones tributarias, aduaneras y cambiarias.</w:t>
            </w:r>
          </w:p>
          <w:p w14:paraId="08C0B641" w14:textId="77777777" w:rsidR="00E14120" w:rsidRPr="00FD09FB" w:rsidRDefault="00E14120" w:rsidP="00F61EC7">
            <w:pPr>
              <w:shd w:val="clear" w:color="auto" w:fill="FFFFFF"/>
              <w:spacing w:before="120" w:after="120" w:line="276" w:lineRule="auto"/>
              <w:ind w:right="51" w:firstLine="709"/>
              <w:jc w:val="both"/>
              <w:rPr>
                <w:rFonts w:ascii="Verdana" w:eastAsia="Times New Roman" w:hAnsi="Verdana" w:cs="Times New Roman"/>
                <w:color w:val="7030A0"/>
                <w:lang w:eastAsia="es-ES"/>
              </w:rPr>
            </w:pPr>
            <w:r w:rsidRPr="00A833D4">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A833D4">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36C6F5BC" w14:textId="77777777" w:rsidR="00E14120" w:rsidRDefault="00E14120" w:rsidP="00E14120">
      <w:pPr>
        <w:tabs>
          <w:tab w:val="left" w:pos="142"/>
          <w:tab w:val="left" w:pos="284"/>
        </w:tabs>
        <w:spacing w:before="240" w:after="240" w:line="276" w:lineRule="auto"/>
        <w:jc w:val="both"/>
        <w:rPr>
          <w:rFonts w:ascii="Verdana" w:eastAsia="Century Gothic" w:hAnsi="Verdana" w:cs="Century Gothic"/>
          <w:b/>
          <w:lang w:val="es-ES"/>
        </w:rPr>
      </w:pPr>
      <w:r w:rsidRPr="001246E5">
        <w:rPr>
          <w:rFonts w:ascii="Verdana" w:eastAsia="Century Gothic" w:hAnsi="Verdana" w:cs="Century Gothic"/>
          <w:b/>
          <w:lang w:val="es-ES"/>
        </w:rPr>
        <w:lastRenderedPageBreak/>
        <w:t>3. Razones de la respuesta:</w:t>
      </w:r>
    </w:p>
    <w:p w14:paraId="09CE03D8" w14:textId="77777777" w:rsidR="00E14120" w:rsidRDefault="00E14120" w:rsidP="00E14120">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F762114" w14:textId="77777777" w:rsidR="00E14120" w:rsidRPr="00172EC1" w:rsidRDefault="00E14120" w:rsidP="00E14120">
      <w:pPr>
        <w:spacing w:after="0" w:line="276" w:lineRule="auto"/>
        <w:jc w:val="both"/>
        <w:rPr>
          <w:rFonts w:ascii="Verdana" w:eastAsia="Calibri" w:hAnsi="Verdana" w:cs="Arial"/>
          <w:lang w:val="es-ES"/>
        </w:rPr>
      </w:pPr>
    </w:p>
    <w:p w14:paraId="31DFCB2B" w14:textId="77777777" w:rsidR="00E14120" w:rsidRPr="00886F14" w:rsidRDefault="00E14120" w:rsidP="00E14120">
      <w:pPr>
        <w:spacing w:after="120" w:line="276" w:lineRule="auto"/>
        <w:jc w:val="both"/>
        <w:rPr>
          <w:rFonts w:ascii="Verdana" w:hAnsi="Verdana" w:cs="Arial"/>
          <w:color w:val="000000" w:themeColor="text1"/>
          <w:lang w:val="es-ES_tradnl"/>
        </w:rPr>
      </w:pPr>
      <w:r w:rsidRPr="00AE41EE">
        <w:rPr>
          <w:rFonts w:ascii="Verdana" w:eastAsia="Calibri" w:hAnsi="Verdana" w:cs="Arial"/>
          <w:lang w:val="es-ES"/>
        </w:rPr>
        <w:t xml:space="preserve">i. </w:t>
      </w:r>
      <w:r w:rsidRPr="00AE41EE">
        <w:rPr>
          <w:rFonts w:ascii="Verdana" w:hAnsi="Verdana" w:cs="Arial"/>
          <w:color w:val="000000" w:themeColor="text1"/>
          <w:lang w:val="es-ES_tradnl"/>
        </w:rPr>
        <w:t xml:space="preserve">Los </w:t>
      </w:r>
      <w:r w:rsidRPr="00AE41EE">
        <w:rPr>
          <w:rFonts w:ascii="Verdana" w:hAnsi="Verdana" w:cs="Arial"/>
          <w:i/>
          <w:iCs/>
          <w:color w:val="000000" w:themeColor="text1"/>
          <w:lang w:val="es-ES_tradnl"/>
        </w:rPr>
        <w:t>requisitos habilitantes</w:t>
      </w:r>
      <w:r w:rsidRPr="00AE41EE">
        <w:rPr>
          <w:rFonts w:ascii="Verdana" w:hAnsi="Verdana" w:cs="Arial"/>
          <w:color w:val="000000" w:themeColor="text1"/>
          <w:lang w:val="es-ES_tradnl"/>
        </w:rPr>
        <w:t xml:space="preserve"> se definen como exigencias de participación en los procedimientos de selección, establecidos en disposiciones normativas, de</w:t>
      </w:r>
      <w:r w:rsidRPr="00886F14">
        <w:rPr>
          <w:rFonts w:ascii="Verdana" w:hAnsi="Verdana" w:cs="Arial"/>
          <w:color w:val="000000" w:themeColor="text1"/>
          <w:lang w:val="es-ES_tradnl"/>
        </w:rPr>
        <w:t xml:space="preserve"> carácter legal o reglamentario, o las contenidas en el acto administrativo que regula las reglas de la convocatoria, es decir, en el pliego de condiciones o el documento equivalente a este. Se diferencian de los </w:t>
      </w:r>
      <w:r w:rsidRPr="00886F14">
        <w:rPr>
          <w:rFonts w:ascii="Verdana" w:hAnsi="Verdana" w:cs="Arial"/>
          <w:i/>
          <w:iCs/>
          <w:color w:val="000000" w:themeColor="text1"/>
          <w:lang w:val="es-ES_tradnl"/>
        </w:rPr>
        <w:t>criterios de evaluación</w:t>
      </w:r>
      <w:r w:rsidRPr="00886F14">
        <w:rPr>
          <w:rFonts w:ascii="Verdana" w:hAnsi="Verdana" w:cs="Arial"/>
          <w:color w:val="000000" w:themeColor="text1"/>
          <w:lang w:val="es-ES_tradnl"/>
        </w:rPr>
        <w:t xml:space="preserve"> –también conocidos como </w:t>
      </w:r>
      <w:r w:rsidRPr="00886F14">
        <w:rPr>
          <w:rFonts w:ascii="Verdana" w:hAnsi="Verdana" w:cs="Arial"/>
          <w:i/>
          <w:iCs/>
          <w:color w:val="000000" w:themeColor="text1"/>
          <w:lang w:val="es-ES_tradnl"/>
        </w:rPr>
        <w:t>criterios de calificación</w:t>
      </w:r>
      <w:r w:rsidRPr="00886F14">
        <w:rPr>
          <w:rFonts w:ascii="Verdana" w:hAnsi="Verdana" w:cs="Arial"/>
          <w:color w:val="000000" w:themeColor="text1"/>
          <w:lang w:val="es-ES_tradnl"/>
        </w:rPr>
        <w:t xml:space="preserve">– en que estos son los factores definidos por la Entidad Estatal para la asignación de puntaje en el momento de </w:t>
      </w:r>
      <w:r w:rsidRPr="00886F14">
        <w:rPr>
          <w:rFonts w:ascii="Verdana" w:hAnsi="Verdana" w:cs="Arial"/>
          <w:color w:val="000000" w:themeColor="text1"/>
          <w:lang w:val="es-ES_tradnl"/>
        </w:rPr>
        <w:lastRenderedPageBreak/>
        <w:t xml:space="preserve">la comparación de las ofertas, y que, a partir de su ponderación, permiten establecer el orden de elegibilidad y, por ende, la propuesta ganadora. </w:t>
      </w:r>
    </w:p>
    <w:p w14:paraId="7181EE5C" w14:textId="77777777" w:rsidR="00E14120" w:rsidRPr="00886F14" w:rsidRDefault="00E14120" w:rsidP="00E14120">
      <w:pPr>
        <w:spacing w:after="120" w:line="276" w:lineRule="auto"/>
        <w:ind w:firstLine="708"/>
        <w:jc w:val="both"/>
        <w:rPr>
          <w:rFonts w:ascii="Verdana" w:hAnsi="Verdana" w:cs="Arial"/>
          <w:color w:val="000000" w:themeColor="text1"/>
          <w:lang w:val="es-ES_tradnl"/>
        </w:rPr>
      </w:pPr>
      <w:r w:rsidRPr="00886F14">
        <w:rPr>
          <w:rFonts w:ascii="Verdana" w:hAnsi="Verdana" w:cs="Arial"/>
          <w:color w:val="000000" w:themeColor="text1"/>
          <w:lang w:val="es-ES_tradnl"/>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w:t>
      </w:r>
      <w:r>
        <w:rPr>
          <w:rFonts w:ascii="Verdana" w:hAnsi="Verdana" w:cs="Arial"/>
          <w:color w:val="000000" w:themeColor="text1"/>
          <w:lang w:val="es-ES_tradnl"/>
        </w:rPr>
        <w:t>. D</w:t>
      </w:r>
      <w:r w:rsidRPr="00886F14">
        <w:rPr>
          <w:rFonts w:ascii="Verdana" w:hAnsi="Verdana" w:cs="Arial"/>
          <w:color w:val="000000" w:themeColor="text1"/>
          <w:lang w:val="es-ES_tradnl"/>
        </w:rPr>
        <w:t xml:space="preserve">e </w:t>
      </w:r>
      <w:r>
        <w:rPr>
          <w:rFonts w:ascii="Verdana" w:hAnsi="Verdana" w:cs="Arial"/>
          <w:color w:val="000000" w:themeColor="text1"/>
          <w:lang w:val="es-ES_tradnl"/>
        </w:rPr>
        <w:t xml:space="preserve">esta </w:t>
      </w:r>
      <w:r w:rsidRPr="00886F14">
        <w:rPr>
          <w:rFonts w:ascii="Verdana" w:hAnsi="Verdana" w:cs="Arial"/>
          <w:color w:val="000000" w:themeColor="text1"/>
          <w:lang w:val="es-ES_tradnl"/>
        </w:rPr>
        <w:t>manera</w:t>
      </w:r>
      <w:r>
        <w:rPr>
          <w:rFonts w:ascii="Verdana" w:hAnsi="Verdana" w:cs="Arial"/>
          <w:color w:val="000000" w:themeColor="text1"/>
          <w:lang w:val="es-ES_tradnl"/>
        </w:rPr>
        <w:t>,</w:t>
      </w:r>
      <w:r w:rsidRPr="00886F14">
        <w:rPr>
          <w:rFonts w:ascii="Verdana" w:hAnsi="Verdana" w:cs="Arial"/>
          <w:color w:val="000000" w:themeColor="text1"/>
          <w:lang w:val="es-ES_tradnl"/>
        </w:rPr>
        <w:t xml:space="preserve"> quienes no los reúnan no pueden continuar en el procedimiento de selección, </w:t>
      </w:r>
      <w:r>
        <w:rPr>
          <w:rFonts w:ascii="Verdana" w:hAnsi="Verdana" w:cs="Arial"/>
          <w:color w:val="000000" w:themeColor="text1"/>
          <w:lang w:val="es-ES_tradnl"/>
        </w:rPr>
        <w:t>es decir</w:t>
      </w:r>
      <w:r w:rsidRPr="00886F14">
        <w:rPr>
          <w:rFonts w:ascii="Verdana" w:hAnsi="Verdana" w:cs="Arial"/>
          <w:color w:val="000000" w:themeColor="text1"/>
          <w:lang w:val="es-ES_tradnl"/>
        </w:rPr>
        <w:t>, incurren en causal de rechazo. Esto</w:t>
      </w:r>
      <w:r>
        <w:rPr>
          <w:rFonts w:ascii="Verdana" w:hAnsi="Verdana" w:cs="Arial"/>
          <w:color w:val="000000" w:themeColor="text1"/>
          <w:lang w:val="es-ES_tradnl"/>
        </w:rPr>
        <w:t>,</w:t>
      </w:r>
      <w:r w:rsidRPr="00886F14">
        <w:rPr>
          <w:rFonts w:ascii="Verdana" w:hAnsi="Verdana" w:cs="Arial"/>
          <w:color w:val="000000" w:themeColor="text1"/>
          <w:lang w:val="es-ES_tradnl"/>
        </w:rPr>
        <w:t xml:space="preserve"> sin perjuicio del derecho que tienen los oferentes de subsanar los defectos que se presenten en la prueba de tales requisitos, de conformidad con el artículo 5, parágrafos 1º al 4º, de la Ley 1150 de 2007.</w:t>
      </w:r>
    </w:p>
    <w:p w14:paraId="20A2330A" w14:textId="77777777" w:rsidR="00E14120" w:rsidRDefault="00E14120" w:rsidP="00E14120">
      <w:pPr>
        <w:spacing w:after="120" w:line="276" w:lineRule="auto"/>
        <w:ind w:firstLine="708"/>
        <w:jc w:val="both"/>
        <w:rPr>
          <w:rFonts w:ascii="Verdana" w:hAnsi="Verdana" w:cs="Arial"/>
          <w:color w:val="000000" w:themeColor="text1"/>
          <w:lang w:val="es-ES_tradnl"/>
        </w:rPr>
      </w:pPr>
      <w:r w:rsidRPr="00886F14">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886F14">
        <w:rPr>
          <w:rFonts w:ascii="Verdana" w:hAnsi="Verdana" w:cs="Arial"/>
          <w:i/>
          <w:iCs/>
          <w:color w:val="000000" w:themeColor="text1"/>
          <w:lang w:val="es-ES_tradnl"/>
        </w:rPr>
        <w:t>.</w:t>
      </w:r>
      <w:r w:rsidRPr="00886F14">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098CC49A" w14:textId="77777777" w:rsidR="00E14120" w:rsidRPr="00886F14" w:rsidRDefault="00E14120" w:rsidP="00E14120">
      <w:pPr>
        <w:spacing w:after="0" w:line="276" w:lineRule="auto"/>
        <w:ind w:firstLine="708"/>
        <w:jc w:val="both"/>
        <w:rPr>
          <w:rFonts w:ascii="Verdana" w:hAnsi="Verdana" w:cs="Arial"/>
          <w:color w:val="000000" w:themeColor="text1"/>
          <w:lang w:val="es-ES"/>
        </w:rPr>
      </w:pPr>
      <w:r w:rsidRPr="5D636007">
        <w:rPr>
          <w:rFonts w:ascii="Verdana" w:hAnsi="Verdana" w:cs="Arial"/>
          <w:color w:val="000000" w:themeColor="text1"/>
          <w:lang w:val="es-ES"/>
        </w:rPr>
        <w:t xml:space="preserve">Específicamente, el numeral 1º del referido artículo 5 establece que en los procesos de selección de contratistas serán objeto de verificación, como requisitos habilitantes, </w:t>
      </w:r>
      <w:r w:rsidRPr="5D636007">
        <w:rPr>
          <w:rFonts w:ascii="Verdana" w:hAnsi="Verdana" w:cs="Arial"/>
          <w:i/>
          <w:color w:val="000000" w:themeColor="text1"/>
          <w:lang w:val="es-ES"/>
        </w:rPr>
        <w:t>entre otros</w:t>
      </w:r>
      <w:r w:rsidRPr="5D636007">
        <w:rPr>
          <w:rFonts w:ascii="Verdana" w:hAnsi="Verdana" w:cs="Arial"/>
          <w:color w:val="000000" w:themeColor="text1"/>
          <w:lang w:val="es-ES"/>
        </w:rPr>
        <w:t xml:space="preserve">, los siguientes: i) la capacidad jurídica; ii) la experiencia; iii) la capacidad financiera y iv) la capacidad de organización. En efecto, la normativa citada prescribe lo siguiente: </w:t>
      </w:r>
    </w:p>
    <w:p w14:paraId="785F03BC" w14:textId="77777777" w:rsidR="00E14120" w:rsidRPr="00886F14" w:rsidRDefault="00E14120" w:rsidP="00E14120">
      <w:pPr>
        <w:spacing w:after="0" w:line="276" w:lineRule="auto"/>
        <w:ind w:firstLine="708"/>
        <w:jc w:val="both"/>
        <w:rPr>
          <w:rFonts w:ascii="Verdana" w:hAnsi="Verdana" w:cs="Arial"/>
          <w:color w:val="000000" w:themeColor="text1"/>
          <w:lang w:val="es-ES_tradnl"/>
        </w:rPr>
      </w:pPr>
    </w:p>
    <w:p w14:paraId="701F418C" w14:textId="77777777" w:rsidR="00E14120" w:rsidRPr="00E123D7" w:rsidRDefault="00E14120" w:rsidP="00E14120">
      <w:pPr>
        <w:spacing w:after="0" w:line="240" w:lineRule="auto"/>
        <w:ind w:left="709" w:right="709"/>
        <w:rPr>
          <w:rFonts w:ascii="Verdana" w:hAnsi="Verdana" w:cs="Arial"/>
          <w:color w:val="000000" w:themeColor="text1"/>
          <w:sz w:val="20"/>
          <w:szCs w:val="20"/>
          <w:lang w:val="es-ES_tradnl"/>
        </w:rPr>
      </w:pPr>
      <w:r w:rsidRPr="00E123D7">
        <w:rPr>
          <w:rFonts w:ascii="Verdana" w:hAnsi="Verdana" w:cs="Arial"/>
          <w:i/>
          <w:color w:val="000000" w:themeColor="text1"/>
          <w:sz w:val="20"/>
          <w:szCs w:val="20"/>
          <w:lang w:val="es-ES_tradnl"/>
        </w:rPr>
        <w:t>“</w:t>
      </w:r>
      <w:r w:rsidRPr="00E123D7">
        <w:rPr>
          <w:rFonts w:ascii="Verdana" w:hAnsi="Verdana" w:cs="Arial"/>
          <w:color w:val="000000" w:themeColor="text1"/>
          <w:sz w:val="20"/>
          <w:szCs w:val="20"/>
          <w:lang w:val="es-ES_tradnl"/>
        </w:rPr>
        <w:t xml:space="preserve">Artículo 5. De la Selección Objetiva. </w:t>
      </w:r>
    </w:p>
    <w:p w14:paraId="7A229A9B" w14:textId="0E2517F5" w:rsidR="00E14120" w:rsidRPr="00E123D7" w:rsidRDefault="00D0009B" w:rsidP="00E14120">
      <w:pPr>
        <w:spacing w:after="0" w:line="240" w:lineRule="auto"/>
        <w:ind w:left="709" w:right="709"/>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w:t>
      </w:r>
      <w:r w:rsidR="00E14120" w:rsidRPr="00E123D7">
        <w:rPr>
          <w:rFonts w:ascii="Verdana" w:hAnsi="Verdana" w:cs="Arial"/>
          <w:color w:val="000000" w:themeColor="text1"/>
          <w:sz w:val="20"/>
          <w:szCs w:val="20"/>
          <w:lang w:val="es-ES_tradnl"/>
        </w:rPr>
        <w:t>…</w:t>
      </w:r>
      <w:r>
        <w:rPr>
          <w:rFonts w:ascii="Verdana" w:hAnsi="Verdana" w:cs="Arial"/>
          <w:color w:val="000000" w:themeColor="text1"/>
          <w:sz w:val="20"/>
          <w:szCs w:val="20"/>
          <w:lang w:val="es-ES_tradnl"/>
        </w:rPr>
        <w:t>)</w:t>
      </w:r>
    </w:p>
    <w:p w14:paraId="2E8EB1AA" w14:textId="6DCF9C3F" w:rsidR="00E14120" w:rsidRPr="00E14120" w:rsidRDefault="00E14120" w:rsidP="00E14120">
      <w:pPr>
        <w:pStyle w:val="Prrafodelista"/>
        <w:spacing w:after="0" w:line="240" w:lineRule="auto"/>
        <w:ind w:left="709" w:right="709"/>
        <w:jc w:val="both"/>
        <w:rPr>
          <w:rFonts w:ascii="Verdana" w:eastAsia="Calibri" w:hAnsi="Verdana" w:cs="Arial"/>
          <w:color w:val="000000" w:themeColor="text1"/>
          <w:sz w:val="20"/>
          <w:szCs w:val="20"/>
        </w:rPr>
      </w:pPr>
      <w:r w:rsidRPr="00E123D7">
        <w:rPr>
          <w:rFonts w:ascii="Verdana" w:eastAsia="Calibri" w:hAnsi="Verdana" w:cs="Arial"/>
          <w:color w:val="000000" w:themeColor="text1"/>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r w:rsidRPr="00E123D7">
        <w:rPr>
          <w:rFonts w:ascii="Verdana" w:eastAsia="Calibri" w:hAnsi="Verdana" w:cs="Arial"/>
          <w:i/>
          <w:color w:val="000000" w:themeColor="text1"/>
          <w:sz w:val="20"/>
          <w:szCs w:val="20"/>
        </w:rPr>
        <w:t>”</w:t>
      </w:r>
      <w:r w:rsidRPr="00E123D7">
        <w:rPr>
          <w:rFonts w:ascii="Verdana" w:eastAsia="Calibri" w:hAnsi="Verdana" w:cs="Arial"/>
          <w:color w:val="000000" w:themeColor="text1"/>
          <w:sz w:val="20"/>
          <w:szCs w:val="20"/>
        </w:rPr>
        <w:t>.</w:t>
      </w:r>
    </w:p>
    <w:p w14:paraId="3342A492" w14:textId="77777777" w:rsidR="00E14120" w:rsidRPr="00C94107" w:rsidRDefault="00E14120" w:rsidP="00E14120">
      <w:pPr>
        <w:spacing w:after="120" w:line="276" w:lineRule="auto"/>
        <w:ind w:firstLine="708"/>
        <w:jc w:val="both"/>
        <w:rPr>
          <w:rFonts w:ascii="Verdana" w:eastAsia="Times New Roman" w:hAnsi="Verdana" w:cs="Arial"/>
          <w:highlight w:val="cyan"/>
          <w:lang w:val="es-ES_tradnl" w:eastAsia="es-MX"/>
        </w:rPr>
      </w:pPr>
      <w:bookmarkStart w:id="1" w:name="_Hlk99547809"/>
      <w:bookmarkStart w:id="2" w:name="_Hlk99546625"/>
      <w:r w:rsidRPr="00C94107">
        <w:rPr>
          <w:rFonts w:ascii="Verdana" w:eastAsia="Times New Roman" w:hAnsi="Verdana" w:cs="Arial"/>
          <w:lang w:val="es-ES_tradnl" w:eastAsia="es-MX"/>
        </w:rPr>
        <w:t xml:space="preserve">La Agencia Nacional de Contratación Pública – Colombia Compra Eficiente ha defendido el carácter </w:t>
      </w:r>
      <w:bookmarkStart w:id="3" w:name="_Hlk99547799"/>
      <w:r w:rsidRPr="00C94107">
        <w:rPr>
          <w:rFonts w:ascii="Verdana" w:eastAsia="Times New Roman" w:hAnsi="Verdana" w:cs="Arial"/>
          <w:lang w:val="es-ES_tradnl" w:eastAsia="es-MX"/>
        </w:rPr>
        <w:t xml:space="preserve">enunciativo del listado de los requisitos habilitantes </w:t>
      </w:r>
      <w:r w:rsidRPr="00C94107">
        <w:rPr>
          <w:rFonts w:ascii="Verdana" w:eastAsia="Times New Roman" w:hAnsi="Verdana" w:cs="Arial"/>
          <w:lang w:val="es-ES_tradnl" w:eastAsia="es-MX"/>
        </w:rPr>
        <w:lastRenderedPageBreak/>
        <w:t xml:space="preserve">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1"/>
      <w:bookmarkEnd w:id="3"/>
      <w:r w:rsidRPr="00C94107">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2"/>
      <w:r w:rsidRPr="00C94107">
        <w:rPr>
          <w:rFonts w:ascii="Verdana" w:eastAsia="Times New Roman" w:hAnsi="Verdana" w:cs="Arial"/>
          <w:vertAlign w:val="superscript"/>
          <w:lang w:val="es-ES_tradnl" w:eastAsia="es-MX"/>
        </w:rPr>
        <w:footnoteReference w:id="1"/>
      </w:r>
      <w:r w:rsidRPr="00C94107">
        <w:rPr>
          <w:rFonts w:ascii="Verdana" w:eastAsia="Times New Roman" w:hAnsi="Verdana" w:cs="Arial"/>
          <w:lang w:val="es-ES_tradnl" w:eastAsia="es-MX"/>
        </w:rPr>
        <w:t xml:space="preserve">. </w:t>
      </w:r>
    </w:p>
    <w:p w14:paraId="1EB03867" w14:textId="77777777" w:rsidR="00E14120" w:rsidRPr="007E4577" w:rsidRDefault="00E14120" w:rsidP="00E14120">
      <w:pPr>
        <w:spacing w:after="120" w:line="276" w:lineRule="auto"/>
        <w:ind w:firstLine="708"/>
        <w:jc w:val="both"/>
        <w:rPr>
          <w:rFonts w:ascii="Verdana" w:hAnsi="Verdana" w:cs="Arial"/>
        </w:rPr>
      </w:pPr>
      <w:r w:rsidRPr="00886F14">
        <w:rPr>
          <w:rFonts w:ascii="Verdana" w:hAnsi="Verdana" w:cs="Arial"/>
        </w:rPr>
        <w:t>Una vez fijados los requisitos habilitantes por la Entidad Estatal, quienes presenten ofertas deben acreditar que cumplen con los mismos, pues, en el evento contrario, las propuestas deberán ser rechazadas. El ente encargado de verificar el cumplimiento por parte de los proponentes sobre los requisitos que haya considerado la Entidad como habilitantes será la Cámara de Comercio</w:t>
      </w:r>
      <w:r w:rsidRPr="007E4577">
        <w:rPr>
          <w:rFonts w:ascii="Verdana" w:hAnsi="Verdana" w:cs="Arial"/>
        </w:rPr>
        <w:t xml:space="preserve">. Lo anterior, </w:t>
      </w:r>
      <w:r w:rsidRPr="00886F14">
        <w:rPr>
          <w:rFonts w:ascii="Verdana" w:hAnsi="Verdana" w:cs="Arial"/>
        </w:rPr>
        <w:t>en la medida en que, mediante el Registro Único de Proponentes –</w:t>
      </w:r>
      <w:r w:rsidRPr="007E4577">
        <w:rPr>
          <w:rFonts w:ascii="Verdana" w:hAnsi="Verdana" w:cs="Arial"/>
        </w:rPr>
        <w:t xml:space="preserve">en adelante </w:t>
      </w:r>
      <w:r w:rsidRPr="00886F14">
        <w:rPr>
          <w:rFonts w:ascii="Verdana" w:hAnsi="Verdana" w:cs="Arial"/>
        </w:rPr>
        <w:t>RUP–, se pondrá de presente toda la información relacionada con la experiencia, capacidad jurídica, capacidad financiera y organizacional, así como la clasificación del proponente</w:t>
      </w:r>
      <w:r w:rsidRPr="00886F14">
        <w:rPr>
          <w:rStyle w:val="Refdenotaalpie"/>
          <w:rFonts w:ascii="Verdana" w:hAnsi="Verdana" w:cs="Arial"/>
          <w:color w:val="000000" w:themeColor="text1"/>
          <w:lang w:val="es-ES_tradnl"/>
        </w:rPr>
        <w:footnoteReference w:id="2"/>
      </w:r>
      <w:r w:rsidRPr="00886F14">
        <w:rPr>
          <w:rFonts w:ascii="Verdana" w:hAnsi="Verdana" w:cs="Arial"/>
        </w:rPr>
        <w:t xml:space="preserve">. </w:t>
      </w:r>
    </w:p>
    <w:p w14:paraId="69708635" w14:textId="77777777" w:rsidR="00E14120" w:rsidRDefault="00E14120" w:rsidP="00E14120">
      <w:pPr>
        <w:spacing w:after="0" w:line="276" w:lineRule="auto"/>
        <w:ind w:firstLine="708"/>
        <w:jc w:val="both"/>
        <w:rPr>
          <w:rFonts w:ascii="Verdana" w:eastAsia="Times New Roman" w:hAnsi="Verdana" w:cs="Arial"/>
          <w:lang w:eastAsia="es-ES_tradnl"/>
        </w:rPr>
      </w:pPr>
      <w:r w:rsidRPr="00886F14">
        <w:rPr>
          <w:rFonts w:ascii="Verdana" w:hAnsi="Verdana" w:cs="Arial"/>
        </w:rPr>
        <w:t>De la misma manera</w:t>
      </w:r>
      <w:r w:rsidRPr="007E4577">
        <w:rPr>
          <w:rFonts w:ascii="Verdana" w:hAnsi="Verdana" w:cs="Arial"/>
        </w:rPr>
        <w:t>,</w:t>
      </w:r>
      <w:r w:rsidRPr="00886F14">
        <w:rPr>
          <w:rFonts w:ascii="Verdana" w:hAnsi="Verdana" w:cs="Arial"/>
        </w:rPr>
        <w:t xml:space="preserve"> es pertinente mencionar que existen determinados procesos en donde se excepciona el uso del mencionado registro y de la clasificación del proponente, siendo estos los siguientes: contratación directa, contratos para la prestación de servicios de salud, contratos de mínima cuantía, entre otros puestos de presente por el artículo 6 de la Ley 1150 de 2007</w:t>
      </w:r>
      <w:r w:rsidRPr="00886F14">
        <w:rPr>
          <w:rStyle w:val="Refdenotaalpie"/>
          <w:rFonts w:ascii="Verdana" w:hAnsi="Verdana" w:cs="Arial"/>
          <w:color w:val="000000" w:themeColor="text1"/>
          <w:lang w:val="es-ES_tradnl"/>
        </w:rPr>
        <w:footnoteReference w:id="3"/>
      </w:r>
      <w:r w:rsidRPr="00886F14">
        <w:rPr>
          <w:rFonts w:ascii="Verdana" w:hAnsi="Verdana" w:cs="Arial"/>
          <w:color w:val="000000" w:themeColor="text1"/>
          <w:lang w:val="es-ES_tradnl"/>
        </w:rPr>
        <w:t>.</w:t>
      </w:r>
      <w:r w:rsidRPr="00640182">
        <w:rPr>
          <w:rFonts w:ascii="Verdana" w:hAnsi="Verdana" w:cs="Arial"/>
          <w:color w:val="000000" w:themeColor="text1"/>
          <w:lang w:val="es-ES_tradnl"/>
        </w:rPr>
        <w:t xml:space="preserve"> En </w:t>
      </w:r>
      <w:r w:rsidRPr="00640182">
        <w:rPr>
          <w:rFonts w:ascii="Verdana" w:hAnsi="Verdana" w:cs="Arial"/>
          <w:color w:val="000000" w:themeColor="text1"/>
          <w:lang w:val="es-ES_tradnl"/>
        </w:rPr>
        <w:lastRenderedPageBreak/>
        <w:t xml:space="preserve">estos eventos, </w:t>
      </w:r>
      <w:r w:rsidRPr="00640182">
        <w:rPr>
          <w:rFonts w:ascii="Verdana" w:hAnsi="Verdana" w:cs="Arial"/>
        </w:rPr>
        <w:t>las Entidades deberán verificar directamente el cumplimiento de los requisitos habilitantes</w:t>
      </w:r>
      <w:r w:rsidRPr="00640182">
        <w:rPr>
          <w:rFonts w:ascii="Verdana" w:hAnsi="Verdana" w:cs="Arial"/>
          <w:vertAlign w:val="superscript"/>
        </w:rPr>
        <w:footnoteReference w:id="4"/>
      </w:r>
      <w:r w:rsidRPr="00640182">
        <w:rPr>
          <w:rFonts w:ascii="Verdana" w:hAnsi="Verdana" w:cs="Arial"/>
        </w:rPr>
        <w:t xml:space="preserve">. Para esto, deberá señalar en la invitación, o el documento que haga sus veces, </w:t>
      </w:r>
      <w:r w:rsidRPr="00640182">
        <w:rPr>
          <w:rFonts w:ascii="Verdana" w:eastAsia="Times New Roman" w:hAnsi="Verdana" w:cs="Arial"/>
          <w:lang w:eastAsia="es-ES_tradnl"/>
        </w:rPr>
        <w:t>cuál es la información que se debe acreditar, así como los documentos que tendrá como válidos para tal fin.</w:t>
      </w:r>
    </w:p>
    <w:p w14:paraId="1CD98156" w14:textId="77777777" w:rsidR="00E14120" w:rsidRDefault="00E14120" w:rsidP="00E14120">
      <w:pPr>
        <w:spacing w:after="0" w:line="276" w:lineRule="auto"/>
        <w:ind w:firstLine="708"/>
        <w:jc w:val="both"/>
        <w:rPr>
          <w:rFonts w:ascii="Verdana" w:eastAsia="Times New Roman" w:hAnsi="Verdana" w:cs="Arial"/>
          <w:lang w:eastAsia="es-ES_tradnl"/>
        </w:rPr>
      </w:pPr>
    </w:p>
    <w:p w14:paraId="5F43912A" w14:textId="77777777" w:rsidR="00E14120" w:rsidRPr="00392904" w:rsidRDefault="00E14120" w:rsidP="00E14120">
      <w:pPr>
        <w:tabs>
          <w:tab w:val="left" w:pos="8505"/>
        </w:tabs>
        <w:spacing w:after="120" w:line="276" w:lineRule="auto"/>
        <w:ind w:right="142"/>
        <w:jc w:val="both"/>
        <w:rPr>
          <w:rFonts w:ascii="Verdana" w:hAnsi="Verdana" w:cs="Arial"/>
        </w:rPr>
      </w:pPr>
      <w:r w:rsidRPr="00AE41EE">
        <w:rPr>
          <w:rFonts w:ascii="Verdana" w:hAnsi="Verdana" w:cs="Arial"/>
          <w:iCs/>
          <w:lang w:val="es-ES_tradnl"/>
        </w:rPr>
        <w:t>ii. Ahora bien, r</w:t>
      </w:r>
      <w:r w:rsidRPr="00AE41EE">
        <w:rPr>
          <w:rFonts w:ascii="Verdana" w:hAnsi="Verdana" w:cs="Arial"/>
          <w:i/>
          <w:iCs/>
        </w:rPr>
        <w:t>especto a la capacidad jurídica</w:t>
      </w:r>
      <w:r w:rsidRPr="00AE41EE">
        <w:rPr>
          <w:rFonts w:ascii="Verdana" w:hAnsi="Verdana" w:cs="Arial"/>
        </w:rPr>
        <w:t>, ésta es un presupuesto de la</w:t>
      </w:r>
      <w:r w:rsidRPr="00392904">
        <w:rPr>
          <w:rFonts w:ascii="Verdana" w:hAnsi="Verdana" w:cs="Arial"/>
        </w:rPr>
        <w:t xml:space="preserve"> validez del contrato. No en vano, en concordancia con el numeral 1 del artículo 1502 del Código Civil</w:t>
      </w:r>
      <w:r w:rsidRPr="00392904">
        <w:rPr>
          <w:rStyle w:val="Refdenotaalpie"/>
          <w:rFonts w:ascii="Verdana" w:hAnsi="Verdana" w:cs="Arial"/>
        </w:rPr>
        <w:footnoteReference w:id="5"/>
      </w:r>
      <w:r w:rsidRPr="00392904">
        <w:rPr>
          <w:rFonts w:ascii="Verdana" w:hAnsi="Verdana" w:cs="Arial"/>
        </w:rPr>
        <w:t xml:space="preserve">, el artículo 6 de la Ley 80 de 1993 dispone que “Pueden celebrar contratos con las entidades estatales las personas consideradas legalmente capaces en las disposiciones vigentes”. Así las cosas, la capacidad jurídica </w:t>
      </w:r>
      <w:r w:rsidRPr="00392904">
        <w:rPr>
          <w:rFonts w:ascii="Verdana" w:eastAsia="Calibri" w:hAnsi="Verdana" w:cs="Arial"/>
          <w:lang w:val="es-ES" w:eastAsia="es-ES"/>
        </w:rPr>
        <w:t>es la aptitud que recae en los sujetos activos o pasivos de las relaciones jurídicas</w:t>
      </w:r>
      <w:r w:rsidRPr="00392904">
        <w:rPr>
          <w:rFonts w:ascii="Verdana" w:eastAsia="Calibri" w:hAnsi="Verdana" w:cs="Arial"/>
          <w:vertAlign w:val="superscript"/>
          <w:lang w:val="es-ES" w:eastAsia="es-ES"/>
        </w:rPr>
        <w:footnoteReference w:id="6"/>
      </w:r>
      <w:r w:rsidRPr="00392904">
        <w:rPr>
          <w:rFonts w:ascii="Verdana" w:eastAsia="Calibri" w:hAnsi="Verdana" w:cs="Arial"/>
          <w:lang w:val="es-ES" w:eastAsia="es-ES"/>
        </w:rPr>
        <w:t>. Para efectos de las relaciones contractuales en las que uno de los extremos de la relación sea una Entidad Estatal, la capacidad jurídica es la facultad que tiene una persona natural o jurídica para celebrar contratos con estas Entidades. En otras palabras, se refiere a la capacidad de obligarse a cumplir el objeto del contrato, así como a no estar incursa en inhabilidades o incompatibilidades que impidan su celebración.</w:t>
      </w:r>
    </w:p>
    <w:p w14:paraId="3E24D8B1" w14:textId="77777777" w:rsidR="00E14120" w:rsidRPr="00392904" w:rsidRDefault="00E14120" w:rsidP="00E14120">
      <w:pPr>
        <w:tabs>
          <w:tab w:val="left" w:pos="8505"/>
        </w:tabs>
        <w:spacing w:after="0" w:line="276" w:lineRule="auto"/>
        <w:ind w:right="142" w:firstLine="709"/>
        <w:jc w:val="both"/>
        <w:rPr>
          <w:rFonts w:ascii="Verdana" w:hAnsi="Verdana" w:cs="Arial"/>
        </w:rPr>
      </w:pPr>
      <w:r w:rsidRPr="00392904">
        <w:rPr>
          <w:rFonts w:ascii="Verdana" w:hAnsi="Verdana" w:cs="Arial"/>
        </w:rPr>
        <w:t xml:space="preserve">Para estos efectos, tratándose de </w:t>
      </w:r>
      <w:r w:rsidRPr="00392904">
        <w:rPr>
          <w:rFonts w:ascii="Verdana" w:hAnsi="Verdana" w:cs="Arial"/>
          <w:i/>
          <w:iCs/>
        </w:rPr>
        <w:t>personas naturales</w:t>
      </w:r>
      <w:r w:rsidRPr="00392904">
        <w:rPr>
          <w:rFonts w:ascii="Verdana" w:hAnsi="Verdana" w:cs="Arial"/>
        </w:rPr>
        <w:t xml:space="preserve">, si bien todos los seres humanos, por el hecho de gozar de personalidad jurídica, son sujetos de derechos y obligaciones, algunas no pueden ejercerlos por sí mismos, sino a través de interpuesta persona. Lo anterior significa que, si bien todas las </w:t>
      </w:r>
      <w:r w:rsidRPr="00392904">
        <w:rPr>
          <w:rFonts w:ascii="Verdana" w:hAnsi="Verdana" w:cs="Arial"/>
        </w:rPr>
        <w:lastRenderedPageBreak/>
        <w:t xml:space="preserve">personas tienen </w:t>
      </w:r>
      <w:r w:rsidRPr="00392904">
        <w:rPr>
          <w:rFonts w:ascii="Verdana" w:hAnsi="Verdana" w:cs="Arial"/>
          <w:i/>
        </w:rPr>
        <w:t>capacidad de goce</w:t>
      </w:r>
      <w:r w:rsidRPr="00392904">
        <w:rPr>
          <w:rFonts w:ascii="Verdana" w:hAnsi="Verdana" w:cs="Arial"/>
        </w:rPr>
        <w:t xml:space="preserve">, no todas tienen </w:t>
      </w:r>
      <w:r w:rsidRPr="00392904">
        <w:rPr>
          <w:rFonts w:ascii="Verdana" w:hAnsi="Verdana" w:cs="Arial"/>
          <w:i/>
        </w:rPr>
        <w:t>capacidad de ejercicio</w:t>
      </w:r>
      <w:r w:rsidRPr="00392904">
        <w:rPr>
          <w:rFonts w:ascii="Verdana" w:hAnsi="Verdana" w:cs="Arial"/>
        </w:rPr>
        <w:t>. En efecto, la primera es reconocida por el artículo 14 de la Constitución Política de 1991, en el sentido que “Toda persona tiene derecho al reconocimiento de su personalidad jurídica”. Adicionalmente, el artículo 74 del Código Civil prescribe que “Son personas todos los individuos de la especie humana, cualquiera que sea su edad, sexo, estirpe o condición”. Al respecto, la doctrina explica que:</w:t>
      </w:r>
    </w:p>
    <w:p w14:paraId="2699CF60" w14:textId="77777777" w:rsidR="00E14120" w:rsidRPr="00392904" w:rsidRDefault="00E14120" w:rsidP="00E14120">
      <w:pPr>
        <w:tabs>
          <w:tab w:val="left" w:pos="8505"/>
        </w:tabs>
        <w:spacing w:after="0" w:line="276" w:lineRule="auto"/>
        <w:ind w:right="142"/>
        <w:jc w:val="both"/>
        <w:rPr>
          <w:rFonts w:ascii="Verdana" w:hAnsi="Verdana" w:cs="Arial"/>
        </w:rPr>
      </w:pPr>
    </w:p>
    <w:p w14:paraId="75B55DE1" w14:textId="77777777" w:rsidR="00E14120" w:rsidRPr="00392904" w:rsidRDefault="00E14120" w:rsidP="00E14120">
      <w:pPr>
        <w:tabs>
          <w:tab w:val="left" w:pos="8505"/>
        </w:tabs>
        <w:spacing w:after="0" w:line="240" w:lineRule="auto"/>
        <w:ind w:left="709" w:right="709"/>
        <w:jc w:val="both"/>
        <w:rPr>
          <w:rFonts w:ascii="Verdana" w:hAnsi="Verdana" w:cs="Arial"/>
          <w:sz w:val="20"/>
          <w:szCs w:val="20"/>
        </w:rPr>
      </w:pPr>
      <w:r w:rsidRPr="00392904">
        <w:rPr>
          <w:rFonts w:ascii="Verdana" w:hAnsi="Verdana" w:cs="Arial"/>
          <w:sz w:val="20"/>
          <w:szCs w:val="20"/>
        </w:rPr>
        <w:t>“</w:t>
      </w:r>
      <w:r w:rsidRPr="00392904">
        <w:rPr>
          <w:rFonts w:ascii="Verdana" w:hAnsi="Verdana" w:cs="Arial"/>
          <w:i/>
          <w:sz w:val="20"/>
          <w:szCs w:val="20"/>
        </w:rPr>
        <w:t>Capacidad</w:t>
      </w:r>
      <w:r w:rsidRPr="00392904">
        <w:rPr>
          <w:rFonts w:ascii="Verdana" w:hAnsi="Verdana" w:cs="Arial"/>
          <w:sz w:val="20"/>
          <w:szCs w:val="20"/>
        </w:rPr>
        <w:t xml:space="preserve"> es una palabra de doble sentido, lo mismo que </w:t>
      </w:r>
      <w:r w:rsidRPr="00392904">
        <w:rPr>
          <w:rFonts w:ascii="Verdana" w:hAnsi="Verdana" w:cs="Arial"/>
          <w:i/>
          <w:sz w:val="20"/>
          <w:szCs w:val="20"/>
        </w:rPr>
        <w:t>incapacidad</w:t>
      </w:r>
      <w:r w:rsidRPr="00392904">
        <w:rPr>
          <w:rFonts w:ascii="Verdana" w:hAnsi="Verdana" w:cs="Arial"/>
          <w:sz w:val="20"/>
          <w:szCs w:val="20"/>
        </w:rPr>
        <w:t xml:space="preserve">, su contraria: a veces designa con ella la aptitud o falta de aptitud para </w:t>
      </w:r>
      <w:r w:rsidRPr="00392904">
        <w:rPr>
          <w:rFonts w:ascii="Verdana" w:hAnsi="Verdana" w:cs="Arial"/>
          <w:i/>
          <w:sz w:val="20"/>
          <w:szCs w:val="20"/>
        </w:rPr>
        <w:t>adquirir</w:t>
      </w:r>
      <w:r w:rsidRPr="00392904">
        <w:rPr>
          <w:rFonts w:ascii="Verdana" w:hAnsi="Verdana" w:cs="Arial"/>
          <w:sz w:val="20"/>
          <w:szCs w:val="20"/>
        </w:rPr>
        <w:t xml:space="preserve"> y para </w:t>
      </w:r>
      <w:r w:rsidRPr="00392904">
        <w:rPr>
          <w:rFonts w:ascii="Verdana" w:hAnsi="Verdana" w:cs="Arial"/>
          <w:i/>
          <w:sz w:val="20"/>
          <w:szCs w:val="20"/>
        </w:rPr>
        <w:t>poseer</w:t>
      </w:r>
      <w:r w:rsidRPr="00392904">
        <w:rPr>
          <w:rFonts w:ascii="Verdana" w:hAnsi="Verdana" w:cs="Arial"/>
          <w:sz w:val="20"/>
          <w:szCs w:val="20"/>
        </w:rPr>
        <w:t xml:space="preserve"> derechos, para ser titular de esos derechos, y entonces se trata de una </w:t>
      </w:r>
      <w:r w:rsidRPr="00392904">
        <w:rPr>
          <w:rFonts w:ascii="Verdana" w:hAnsi="Verdana" w:cs="Arial"/>
          <w:i/>
          <w:sz w:val="20"/>
          <w:szCs w:val="20"/>
        </w:rPr>
        <w:t>capacidad</w:t>
      </w:r>
      <w:r w:rsidRPr="00392904">
        <w:rPr>
          <w:rFonts w:ascii="Verdana" w:hAnsi="Verdana" w:cs="Arial"/>
          <w:sz w:val="20"/>
          <w:szCs w:val="20"/>
        </w:rPr>
        <w:t xml:space="preserve"> o una </w:t>
      </w:r>
      <w:r w:rsidRPr="00392904">
        <w:rPr>
          <w:rFonts w:ascii="Verdana" w:hAnsi="Verdana" w:cs="Arial"/>
          <w:i/>
          <w:sz w:val="20"/>
          <w:szCs w:val="20"/>
        </w:rPr>
        <w:t>incapacidad</w:t>
      </w:r>
      <w:r w:rsidRPr="00392904">
        <w:rPr>
          <w:rFonts w:ascii="Verdana" w:hAnsi="Verdana" w:cs="Arial"/>
          <w:sz w:val="20"/>
          <w:szCs w:val="20"/>
        </w:rPr>
        <w:t xml:space="preserve"> </w:t>
      </w:r>
      <w:r w:rsidRPr="00392904">
        <w:rPr>
          <w:rFonts w:ascii="Verdana" w:hAnsi="Verdana" w:cs="Arial"/>
          <w:i/>
          <w:sz w:val="20"/>
          <w:szCs w:val="20"/>
        </w:rPr>
        <w:t>de goce</w:t>
      </w:r>
      <w:r w:rsidRPr="00392904">
        <w:rPr>
          <w:rFonts w:ascii="Verdana" w:hAnsi="Verdana" w:cs="Arial"/>
          <w:sz w:val="20"/>
          <w:szCs w:val="20"/>
        </w:rPr>
        <w:t xml:space="preserve"> […]; otras veces, y con mayor frecuencia, se trata sólo de la aptitud o falta de aptitud para </w:t>
      </w:r>
      <w:r w:rsidRPr="00392904">
        <w:rPr>
          <w:rFonts w:ascii="Verdana" w:hAnsi="Verdana" w:cs="Arial"/>
          <w:i/>
          <w:sz w:val="20"/>
          <w:szCs w:val="20"/>
        </w:rPr>
        <w:t>ejercer</w:t>
      </w:r>
      <w:r w:rsidRPr="00392904">
        <w:rPr>
          <w:rFonts w:ascii="Verdana" w:hAnsi="Verdana" w:cs="Arial"/>
          <w:sz w:val="20"/>
          <w:szCs w:val="20"/>
        </w:rPr>
        <w:t xml:space="preserve"> los derechos de que una persona está investida y, en tal caso, se trata sólo de una </w:t>
      </w:r>
      <w:r w:rsidRPr="00392904">
        <w:rPr>
          <w:rFonts w:ascii="Verdana" w:hAnsi="Verdana" w:cs="Arial"/>
          <w:i/>
          <w:sz w:val="20"/>
          <w:szCs w:val="20"/>
        </w:rPr>
        <w:t>capacidad</w:t>
      </w:r>
      <w:r w:rsidRPr="00392904">
        <w:rPr>
          <w:rFonts w:ascii="Verdana" w:hAnsi="Verdana" w:cs="Arial"/>
          <w:sz w:val="20"/>
          <w:szCs w:val="20"/>
        </w:rPr>
        <w:t xml:space="preserve"> o de una </w:t>
      </w:r>
      <w:r w:rsidRPr="00392904">
        <w:rPr>
          <w:rFonts w:ascii="Verdana" w:hAnsi="Verdana" w:cs="Arial"/>
          <w:i/>
          <w:sz w:val="20"/>
          <w:szCs w:val="20"/>
        </w:rPr>
        <w:t>incapacidad de ejercicio</w:t>
      </w:r>
      <w:r w:rsidRPr="00392904">
        <w:rPr>
          <w:rFonts w:ascii="Verdana" w:hAnsi="Verdana" w:cs="Arial"/>
          <w:sz w:val="20"/>
          <w:szCs w:val="20"/>
        </w:rPr>
        <w:t>.</w:t>
      </w:r>
    </w:p>
    <w:p w14:paraId="49DF6FEE" w14:textId="77777777" w:rsidR="00E14120" w:rsidRPr="00392904" w:rsidRDefault="00E14120" w:rsidP="00E14120">
      <w:pPr>
        <w:tabs>
          <w:tab w:val="left" w:pos="8505"/>
        </w:tabs>
        <w:spacing w:after="0" w:line="240" w:lineRule="auto"/>
        <w:ind w:left="709" w:right="709"/>
        <w:jc w:val="both"/>
        <w:rPr>
          <w:rFonts w:ascii="Verdana" w:hAnsi="Verdana" w:cs="Arial"/>
          <w:sz w:val="20"/>
          <w:szCs w:val="20"/>
        </w:rPr>
      </w:pPr>
    </w:p>
    <w:p w14:paraId="1BD5EC95" w14:textId="77777777" w:rsidR="00E14120" w:rsidRPr="00392904" w:rsidRDefault="00E14120" w:rsidP="00E14120">
      <w:pPr>
        <w:tabs>
          <w:tab w:val="left" w:pos="8505"/>
        </w:tabs>
        <w:spacing w:after="0" w:line="240" w:lineRule="auto"/>
        <w:ind w:left="709" w:right="709"/>
        <w:jc w:val="both"/>
        <w:rPr>
          <w:rFonts w:ascii="Verdana" w:hAnsi="Verdana" w:cs="Arial"/>
          <w:sz w:val="20"/>
          <w:szCs w:val="20"/>
        </w:rPr>
      </w:pPr>
      <w:r w:rsidRPr="00392904">
        <w:rPr>
          <w:rFonts w:ascii="Verdana" w:hAnsi="Verdana" w:cs="Arial"/>
          <w:sz w:val="20"/>
          <w:szCs w:val="20"/>
        </w:rPr>
        <w:t xml:space="preserve">Ejemplos: un menor no tiene derechos políticos, está totalmente privado de ellos; la incapacidad se refiere al </w:t>
      </w:r>
      <w:r w:rsidRPr="00392904">
        <w:rPr>
          <w:rFonts w:ascii="Verdana" w:hAnsi="Verdana" w:cs="Arial"/>
          <w:i/>
          <w:sz w:val="20"/>
          <w:szCs w:val="20"/>
        </w:rPr>
        <w:t>goce</w:t>
      </w:r>
      <w:r w:rsidRPr="00392904">
        <w:rPr>
          <w:rFonts w:ascii="Verdana" w:hAnsi="Verdana" w:cs="Arial"/>
          <w:sz w:val="20"/>
          <w:szCs w:val="20"/>
        </w:rPr>
        <w:t xml:space="preserve">, a la </w:t>
      </w:r>
      <w:r w:rsidRPr="00392904">
        <w:rPr>
          <w:rFonts w:ascii="Verdana" w:hAnsi="Verdana" w:cs="Arial"/>
          <w:i/>
          <w:sz w:val="20"/>
          <w:szCs w:val="20"/>
        </w:rPr>
        <w:t>existencia</w:t>
      </w:r>
      <w:r w:rsidRPr="00392904">
        <w:rPr>
          <w:rFonts w:ascii="Verdana" w:hAnsi="Verdana" w:cs="Arial"/>
          <w:sz w:val="20"/>
          <w:szCs w:val="20"/>
        </w:rPr>
        <w:t xml:space="preserve"> misma de esos derechos. Pero ese mismo menor puede ser propietario o acreedor; puede poseer bienes, tener una fortuna considerable; desde este punto de vista, en ese terreno, le pertenece la capacidad de goce, pero, esos derechos de que está investido de propiedad o de crédito, no puede ejercerlos por sí mismo, sobre todo sí es todavía un niño; es preciso, de toda necesidad, que alguien los ejerza por él, en su nombre. Le falta capacidad de ejercicio.</w:t>
      </w:r>
    </w:p>
    <w:p w14:paraId="78E1D1EA" w14:textId="77777777" w:rsidR="00E14120" w:rsidRPr="00392904" w:rsidRDefault="00E14120" w:rsidP="00E14120">
      <w:pPr>
        <w:tabs>
          <w:tab w:val="left" w:pos="8505"/>
        </w:tabs>
        <w:spacing w:after="0" w:line="240" w:lineRule="auto"/>
        <w:ind w:left="709" w:right="709"/>
        <w:jc w:val="both"/>
        <w:rPr>
          <w:rFonts w:ascii="Verdana" w:hAnsi="Verdana" w:cs="Arial"/>
          <w:sz w:val="20"/>
          <w:szCs w:val="20"/>
        </w:rPr>
      </w:pPr>
    </w:p>
    <w:p w14:paraId="0A3EEA48" w14:textId="77777777" w:rsidR="00E14120" w:rsidRPr="00392904" w:rsidRDefault="00E14120" w:rsidP="00E14120">
      <w:pPr>
        <w:tabs>
          <w:tab w:val="left" w:pos="8505"/>
        </w:tabs>
        <w:spacing w:after="0" w:line="240" w:lineRule="auto"/>
        <w:ind w:left="8505" w:right="709" w:hanging="7796"/>
        <w:jc w:val="both"/>
        <w:rPr>
          <w:rFonts w:ascii="Verdana" w:hAnsi="Verdana" w:cs="Arial"/>
          <w:sz w:val="20"/>
          <w:szCs w:val="20"/>
        </w:rPr>
      </w:pPr>
      <w:r>
        <w:rPr>
          <w:rFonts w:ascii="Verdana" w:hAnsi="Verdana" w:cs="Arial"/>
          <w:sz w:val="20"/>
          <w:szCs w:val="20"/>
        </w:rPr>
        <w:t>(</w:t>
      </w:r>
      <w:r w:rsidRPr="00392904">
        <w:rPr>
          <w:rFonts w:ascii="Verdana" w:hAnsi="Verdana" w:cs="Arial"/>
          <w:sz w:val="20"/>
          <w:szCs w:val="20"/>
        </w:rPr>
        <w:t>…</w:t>
      </w:r>
      <w:r>
        <w:rPr>
          <w:rFonts w:ascii="Verdana" w:hAnsi="Verdana" w:cs="Arial"/>
          <w:sz w:val="20"/>
          <w:szCs w:val="20"/>
        </w:rPr>
        <w:t>)</w:t>
      </w:r>
    </w:p>
    <w:p w14:paraId="2AAE91C4" w14:textId="77777777" w:rsidR="00E14120" w:rsidRPr="00392904" w:rsidRDefault="00E14120" w:rsidP="00E14120">
      <w:pPr>
        <w:tabs>
          <w:tab w:val="left" w:pos="8505"/>
        </w:tabs>
        <w:spacing w:after="0" w:line="240" w:lineRule="auto"/>
        <w:ind w:left="709" w:right="709"/>
        <w:jc w:val="both"/>
        <w:rPr>
          <w:rFonts w:ascii="Verdana" w:hAnsi="Verdana" w:cs="Arial"/>
          <w:sz w:val="20"/>
          <w:szCs w:val="20"/>
        </w:rPr>
      </w:pPr>
    </w:p>
    <w:p w14:paraId="061ADC3B" w14:textId="77777777" w:rsidR="00E14120" w:rsidRPr="00392904" w:rsidRDefault="00E14120" w:rsidP="00E14120">
      <w:pPr>
        <w:tabs>
          <w:tab w:val="left" w:pos="8505"/>
        </w:tabs>
        <w:spacing w:after="0" w:line="240" w:lineRule="auto"/>
        <w:ind w:left="709" w:right="709"/>
        <w:jc w:val="both"/>
        <w:rPr>
          <w:rFonts w:ascii="Verdana" w:hAnsi="Verdana" w:cs="Arial"/>
          <w:sz w:val="20"/>
          <w:szCs w:val="20"/>
        </w:rPr>
      </w:pPr>
      <w:r w:rsidRPr="00392904">
        <w:rPr>
          <w:rFonts w:ascii="Verdana" w:hAnsi="Verdana" w:cs="Arial"/>
          <w:sz w:val="20"/>
          <w:szCs w:val="20"/>
        </w:rPr>
        <w:t>Resulta de las explicaciones precedentes que la incapacidad de goce es más grave que la de ejercicio, porque la primera lleva consigo la segunda, y no recíprocamente. Y, sobre todo, una es irremediable mientras que la otra lleva consigo paliativos, remedios: el menor es incapaz de ejercitar los derechos que le pertenecen, pero eso no importa, porque alguien los ejercerá por él, su padre o su tutor. Lo esencial es tener, poseer los derechos; la cuestión de su ejercicio es, si no secundaria, por lo menos susceptible de ser resuelta por un medio o por otro”</w:t>
      </w:r>
      <w:r w:rsidRPr="00392904">
        <w:rPr>
          <w:rStyle w:val="Refdenotaalpie"/>
          <w:rFonts w:ascii="Verdana" w:hAnsi="Verdana" w:cs="Arial"/>
          <w:sz w:val="20"/>
          <w:szCs w:val="20"/>
        </w:rPr>
        <w:footnoteReference w:id="7"/>
      </w:r>
      <w:r w:rsidRPr="00392904">
        <w:rPr>
          <w:rFonts w:ascii="Verdana" w:hAnsi="Verdana" w:cs="Arial"/>
          <w:sz w:val="20"/>
          <w:szCs w:val="20"/>
        </w:rPr>
        <w:t xml:space="preserve">. (Énfasis dentro del texto)               </w:t>
      </w:r>
    </w:p>
    <w:p w14:paraId="4F7F769C" w14:textId="77777777" w:rsidR="00E14120" w:rsidRPr="00392904" w:rsidRDefault="00E14120" w:rsidP="00E14120">
      <w:pPr>
        <w:tabs>
          <w:tab w:val="left" w:pos="709"/>
        </w:tabs>
        <w:spacing w:after="0" w:line="276" w:lineRule="auto"/>
        <w:ind w:firstLine="709"/>
        <w:jc w:val="both"/>
        <w:rPr>
          <w:rFonts w:ascii="Verdana" w:hAnsi="Verdana" w:cs="Arial"/>
        </w:rPr>
      </w:pPr>
    </w:p>
    <w:p w14:paraId="67F61AD5" w14:textId="77777777" w:rsidR="00E14120" w:rsidRPr="00392904" w:rsidRDefault="00E14120" w:rsidP="00E14120">
      <w:pPr>
        <w:tabs>
          <w:tab w:val="left" w:pos="709"/>
        </w:tabs>
        <w:spacing w:after="120" w:line="276" w:lineRule="auto"/>
        <w:ind w:firstLine="709"/>
        <w:jc w:val="both"/>
        <w:rPr>
          <w:rFonts w:ascii="Verdana" w:hAnsi="Verdana" w:cs="Arial"/>
        </w:rPr>
      </w:pPr>
      <w:r w:rsidRPr="00392904">
        <w:rPr>
          <w:rFonts w:ascii="Verdana" w:hAnsi="Verdana" w:cs="Arial"/>
        </w:rPr>
        <w:t xml:space="preserve">Por ello, ante la necesidad de proteger a determinados sujetos, el ordenamiento jurídico exige que se actúe a través de terceros, bien sea para adquirir derechos o contraer obligaciones. No en vano, el Código Civil dispone que “La capacidad legal de una persona consiste en poderse obligar por sí </w:t>
      </w:r>
      <w:r w:rsidRPr="00392904">
        <w:rPr>
          <w:rFonts w:ascii="Verdana" w:hAnsi="Verdana" w:cs="Arial"/>
        </w:rPr>
        <w:lastRenderedPageBreak/>
        <w:t>misma, y sin el ministerio o la autorización de otra” –inciso 2 del artículo 1502– y que “Toda persona es legalmente capaz, excepto aquéllas que la ley declara incapaces” –artículo 1503–</w:t>
      </w:r>
      <w:r w:rsidRPr="00392904">
        <w:rPr>
          <w:rStyle w:val="Refdenotaalpie"/>
          <w:rFonts w:ascii="Verdana" w:hAnsi="Verdana" w:cs="Arial"/>
        </w:rPr>
        <w:footnoteReference w:id="8"/>
      </w:r>
      <w:r w:rsidRPr="00392904">
        <w:rPr>
          <w:rFonts w:ascii="Verdana" w:hAnsi="Verdana" w:cs="Arial"/>
        </w:rPr>
        <w:t>.</w:t>
      </w:r>
    </w:p>
    <w:p w14:paraId="67704740" w14:textId="77777777" w:rsidR="00E14120" w:rsidRPr="00392904" w:rsidRDefault="00E14120" w:rsidP="00E14120">
      <w:pPr>
        <w:spacing w:after="120" w:line="276" w:lineRule="auto"/>
        <w:ind w:firstLine="708"/>
        <w:jc w:val="both"/>
        <w:rPr>
          <w:rFonts w:ascii="Verdana" w:hAnsi="Verdana" w:cs="Arial"/>
          <w:lang w:val="es-ES_tradnl"/>
        </w:rPr>
      </w:pPr>
      <w:r w:rsidRPr="00392904">
        <w:rPr>
          <w:rFonts w:ascii="Verdana" w:hAnsi="Verdana" w:cs="Arial"/>
        </w:rPr>
        <w:t xml:space="preserve">Para el Consejo de Estado </w:t>
      </w:r>
      <w:r>
        <w:rPr>
          <w:rFonts w:ascii="Verdana" w:hAnsi="Verdana" w:cs="Arial"/>
        </w:rPr>
        <w:t>“</w:t>
      </w:r>
      <w:r w:rsidRPr="00392904">
        <w:rPr>
          <w:rFonts w:ascii="Verdana" w:hAnsi="Verdana" w:cs="Arial"/>
        </w:rPr>
        <w:t>la capacidad jurídica en la contratación estatal se integra no solamente por la capacidad de goce y la capacidad de ejercicio del proponente sino también por la ausencia de inhabilidades o incompatibilidades de su parte. En otros términos, en la actividad negocial de la administración tiene capacidad jurídica el proponente que existe, que tiene plena capacidad de ejercicio o de obrar y que no tiene inhabilidad o impedimento alguno para intervenir en el iter contractual”</w:t>
      </w:r>
      <w:r w:rsidRPr="00392904">
        <w:rPr>
          <w:rStyle w:val="Refdenotaalpie"/>
          <w:rFonts w:ascii="Verdana" w:hAnsi="Verdana" w:cs="Arial"/>
        </w:rPr>
        <w:footnoteReference w:id="9"/>
      </w:r>
      <w:r w:rsidRPr="00392904">
        <w:rPr>
          <w:rFonts w:ascii="Verdana" w:hAnsi="Verdana" w:cs="Arial"/>
        </w:rPr>
        <w:t>. Si bien las inhabilidades y las incompatibilidades guardan relación con las incapacidades particulares que consisten en la prohibición que la ley ha impuesto a ciertas personas para ejecutar ciertos actos</w:t>
      </w:r>
      <w:r w:rsidRPr="00392904">
        <w:rPr>
          <w:rStyle w:val="Refdenotaalpie"/>
          <w:rFonts w:ascii="Verdana" w:hAnsi="Verdana" w:cs="Arial"/>
        </w:rPr>
        <w:footnoteReference w:id="10"/>
      </w:r>
      <w:r w:rsidRPr="00392904">
        <w:rPr>
          <w:rFonts w:ascii="Verdana" w:hAnsi="Verdana" w:cs="Arial"/>
        </w:rPr>
        <w:t>, para efectos de la capacidad de ejercicio, es necesario estarse a lo dispuesto en inciso 1 del artículo 34 del Código Civil.</w:t>
      </w:r>
      <w:r w:rsidRPr="00392904">
        <w:rPr>
          <w:rFonts w:ascii="Verdana" w:hAnsi="Verdana" w:cs="Arial"/>
          <w:lang w:val="es-ES_tradnl"/>
        </w:rPr>
        <w:t xml:space="preserve"> </w:t>
      </w:r>
    </w:p>
    <w:p w14:paraId="596A5557" w14:textId="77777777" w:rsidR="00E14120" w:rsidRPr="008708F3" w:rsidRDefault="00E14120" w:rsidP="00E14120">
      <w:pPr>
        <w:spacing w:before="120" w:after="0" w:line="276" w:lineRule="auto"/>
        <w:ind w:firstLine="709"/>
        <w:jc w:val="both"/>
        <w:rPr>
          <w:rFonts w:ascii="Verdana" w:eastAsia="Calibri" w:hAnsi="Verdana" w:cs="Arial"/>
          <w:lang w:val="es-ES" w:eastAsia="es-ES"/>
        </w:rPr>
      </w:pPr>
      <w:r w:rsidRPr="00392904">
        <w:rPr>
          <w:rFonts w:ascii="Verdana" w:eastAsia="Calibri" w:hAnsi="Verdana" w:cs="Arial"/>
          <w:lang w:val="es-ES" w:eastAsia="es-ES"/>
        </w:rPr>
        <w:t xml:space="preserve">Se concluye que, las personas naturales que tienen capacidad jurídica para contratar son los mayores de edad, salvo que por disposición expresa se </w:t>
      </w:r>
      <w:r w:rsidRPr="00392904">
        <w:rPr>
          <w:rFonts w:ascii="Verdana" w:eastAsia="Calibri" w:hAnsi="Verdana" w:cs="Arial"/>
          <w:lang w:val="es-ES" w:eastAsia="es-ES"/>
        </w:rPr>
        <w:lastRenderedPageBreak/>
        <w:t>encuentren limitados por decisión judicial, y que no estén incursas en inhabilidades, incompatibilidades o prohibiciones derivadas de la ley.</w:t>
      </w:r>
      <w:r w:rsidRPr="008708F3">
        <w:rPr>
          <w:rFonts w:ascii="Verdana" w:eastAsia="Calibri" w:hAnsi="Verdana" w:cs="Arial"/>
          <w:lang w:val="es-ES" w:eastAsia="es-ES"/>
        </w:rPr>
        <w:t xml:space="preserve"> </w:t>
      </w:r>
    </w:p>
    <w:p w14:paraId="5F58C471" w14:textId="77777777" w:rsidR="00E14120" w:rsidRPr="008708F3" w:rsidRDefault="00E14120" w:rsidP="00E14120">
      <w:pPr>
        <w:spacing w:after="0" w:line="276" w:lineRule="auto"/>
        <w:jc w:val="both"/>
        <w:rPr>
          <w:rFonts w:ascii="Verdana" w:hAnsi="Verdana" w:cs="Arial"/>
          <w:lang w:val="es-ES_tradnl"/>
        </w:rPr>
      </w:pPr>
    </w:p>
    <w:p w14:paraId="6B751B15" w14:textId="70C05807" w:rsidR="00E14120" w:rsidRPr="00620DA8" w:rsidRDefault="00E14120" w:rsidP="00E14120">
      <w:pPr>
        <w:spacing w:after="120" w:line="276" w:lineRule="auto"/>
        <w:jc w:val="both"/>
        <w:rPr>
          <w:rFonts w:ascii="Verdana" w:eastAsia="Calibri" w:hAnsi="Verdana" w:cs="Arial"/>
          <w:lang w:val="es-ES_tradnl" w:eastAsia="es-ES_tradnl"/>
        </w:rPr>
      </w:pPr>
      <w:r w:rsidRPr="00620DA8">
        <w:rPr>
          <w:rFonts w:ascii="Verdana" w:eastAsia="Calibri" w:hAnsi="Verdana" w:cs="Arial"/>
        </w:rPr>
        <w:t>iii. Por otra parte, e</w:t>
      </w:r>
      <w:r w:rsidRPr="00620DA8">
        <w:rPr>
          <w:rFonts w:ascii="Verdana" w:eastAsia="Calibri" w:hAnsi="Verdana" w:cs="Arial"/>
          <w:lang w:val="es-ES_tradnl" w:eastAsia="es-ES_tradnl"/>
        </w:rPr>
        <w:t xml:space="preserve">n el </w:t>
      </w:r>
      <w:r w:rsidRPr="00620DA8">
        <w:rPr>
          <w:rFonts w:ascii="Verdana" w:eastAsia="Times New Roman" w:hAnsi="Verdana" w:cs="Arial"/>
          <w:lang w:val="es-ES" w:eastAsia="es-ES"/>
        </w:rPr>
        <w:t xml:space="preserve">Registro Único Empresarial y Social –en adelante </w:t>
      </w:r>
      <w:r w:rsidRPr="00620DA8">
        <w:rPr>
          <w:rFonts w:ascii="Verdana" w:eastAsia="Times New Roman" w:hAnsi="Verdana" w:cs="Arial"/>
          <w:lang w:val="es-ES_tradnl" w:eastAsia="es-ES_tradnl"/>
        </w:rPr>
        <w:t>RUES</w:t>
      </w:r>
      <w:r w:rsidRPr="00620DA8">
        <w:rPr>
          <w:rFonts w:ascii="Verdana" w:eastAsia="Times New Roman" w:hAnsi="Verdana" w:cs="Arial"/>
          <w:lang w:val="es-ES" w:eastAsia="es-ES"/>
        </w:rPr>
        <w:t>–</w:t>
      </w:r>
      <w:r w:rsidRPr="00620DA8">
        <w:rPr>
          <w:rFonts w:ascii="Verdana" w:eastAsia="Times New Roman" w:hAnsi="Verdana" w:cs="Arial"/>
          <w:lang w:val="es-ES_tradnl" w:eastAsia="es-ES_tradnl"/>
        </w:rPr>
        <w:t>,</w:t>
      </w:r>
      <w:r w:rsidR="00240ACB">
        <w:rPr>
          <w:rFonts w:ascii="Verdana" w:eastAsia="Times New Roman" w:hAnsi="Verdana" w:cs="Arial"/>
          <w:lang w:val="es-ES_tradnl" w:eastAsia="es-ES_tradnl"/>
        </w:rPr>
        <w:t xml:space="preserve"> </w:t>
      </w:r>
      <w:r w:rsidRPr="00620DA8">
        <w:rPr>
          <w:rFonts w:ascii="Verdana" w:eastAsia="Times New Roman" w:hAnsi="Verdana" w:cs="Arial"/>
          <w:lang w:val="es-ES_tradnl" w:eastAsia="es-ES_tradnl"/>
        </w:rPr>
        <w:t xml:space="preserve">administrado por las Cámaras de Comercio, se encuentra el listado de las actividades económicas que desarrolla cada empresa, según los códigos de la Clasificación Industrial Internacional Uniforme –CIIU–, en virtud de lo dispuesto en el artículo 11 de la Ley 590 de 2000 y el artículo 166 del Decreto Ley 019 de 2012. </w:t>
      </w:r>
    </w:p>
    <w:p w14:paraId="069CF463" w14:textId="77777777" w:rsidR="00E14120" w:rsidRPr="00620DA8" w:rsidRDefault="00E14120" w:rsidP="00E14120">
      <w:pPr>
        <w:spacing w:after="120" w:line="276" w:lineRule="auto"/>
        <w:ind w:firstLine="708"/>
        <w:jc w:val="both"/>
        <w:rPr>
          <w:rFonts w:ascii="Verdana" w:eastAsia="Calibri" w:hAnsi="Verdana" w:cs="Arial"/>
          <w:color w:val="000000" w:themeColor="text1"/>
        </w:rPr>
      </w:pPr>
      <w:r w:rsidRPr="00620DA8">
        <w:rPr>
          <w:rFonts w:ascii="Verdana" w:eastAsia="Calibri" w:hAnsi="Verdana" w:cs="Arial"/>
          <w:color w:val="000000" w:themeColor="text1"/>
        </w:rPr>
        <w:t xml:space="preserve">La </w:t>
      </w:r>
      <w:r w:rsidRPr="00620DA8">
        <w:rPr>
          <w:rFonts w:ascii="Verdana" w:eastAsia="Times New Roman" w:hAnsi="Verdana" w:cs="Arial"/>
          <w:color w:val="000000" w:themeColor="text1"/>
          <w:lang w:val="es-ES_tradnl" w:eastAsia="es-ES_tradnl"/>
        </w:rPr>
        <w:t>CIIU</w:t>
      </w:r>
      <w:r w:rsidRPr="00620DA8">
        <w:rPr>
          <w:rFonts w:ascii="Verdana" w:eastAsia="Calibri" w:hAnsi="Verdana" w:cs="Arial"/>
          <w:color w:val="000000" w:themeColor="text1"/>
        </w:rPr>
        <w:t xml:space="preserve"> corresponde a un sistema estandarizado desarrollado por las Naciones Unidas para clasificar las actividades económicas en distintos sectores. Como explica el DANE, su objetivo es facilitar la recopilación, análisis y comparación de datos estadísticos a nivel nacional e internacional:</w:t>
      </w:r>
    </w:p>
    <w:p w14:paraId="4E5821E7" w14:textId="77777777" w:rsidR="00E14120" w:rsidRPr="00FA4CEE" w:rsidRDefault="00E14120" w:rsidP="00E14120">
      <w:pPr>
        <w:spacing w:after="0" w:line="240" w:lineRule="auto"/>
        <w:ind w:left="709" w:right="709"/>
        <w:jc w:val="both"/>
        <w:rPr>
          <w:rFonts w:ascii="Verdana" w:eastAsia="Calibri" w:hAnsi="Verdana" w:cs="Arial"/>
          <w:color w:val="000000" w:themeColor="text1"/>
          <w:sz w:val="20"/>
          <w:szCs w:val="20"/>
        </w:rPr>
      </w:pPr>
      <w:r w:rsidRPr="00620DA8">
        <w:rPr>
          <w:rFonts w:ascii="Verdana" w:eastAsia="Calibri" w:hAnsi="Verdana" w:cs="Arial"/>
          <w:color w:val="000000" w:themeColor="text1"/>
          <w:sz w:val="20"/>
          <w:szCs w:val="20"/>
        </w:rPr>
        <w:t>“La CIIU tiene por finalidad establecer una clasificación uniforme de las actividades económicas productivas. Su propósito principal es ofrecer un conjunto de categorías de actividades económicas que se pueda utilizar para la reunión y presentación de estadísticas de acuerdo con esas actividades. Por consiguiente, la CIIU se propone presentar ese conjunto de categorías de actividades de tal modo que las entidades puedan clasificarse según la actividad económica que realizan. Las categorías de la CIIU se han definido vinculándolas, en la medida de lo posible, con la forma en que el proceso económico está estructurado en diferentes tipos de unidades estadísticas y la manera como se describe ese proceso en las estadísticas económicas”</w:t>
      </w:r>
      <w:r w:rsidRPr="00620DA8">
        <w:rPr>
          <w:rFonts w:ascii="Verdana" w:eastAsia="Calibri" w:hAnsi="Verdana" w:cs="Arial"/>
          <w:color w:val="000000" w:themeColor="text1"/>
          <w:sz w:val="20"/>
          <w:szCs w:val="20"/>
          <w:vertAlign w:val="superscript"/>
        </w:rPr>
        <w:footnoteReference w:id="11"/>
      </w:r>
      <w:r w:rsidRPr="00620DA8">
        <w:rPr>
          <w:rFonts w:ascii="Verdana" w:eastAsia="Calibri" w:hAnsi="Verdana" w:cs="Arial"/>
          <w:color w:val="000000" w:themeColor="text1"/>
          <w:sz w:val="20"/>
          <w:szCs w:val="20"/>
        </w:rPr>
        <w:t>.</w:t>
      </w:r>
      <w:r w:rsidRPr="00FA4CEE">
        <w:rPr>
          <w:rFonts w:ascii="Verdana" w:eastAsia="Calibri" w:hAnsi="Verdana" w:cs="Arial"/>
          <w:color w:val="000000" w:themeColor="text1"/>
          <w:sz w:val="20"/>
          <w:szCs w:val="20"/>
        </w:rPr>
        <w:t xml:space="preserve"> </w:t>
      </w:r>
    </w:p>
    <w:p w14:paraId="26196DA4" w14:textId="77777777" w:rsidR="00E14120" w:rsidRPr="00636C44" w:rsidRDefault="00E14120" w:rsidP="00E14120">
      <w:pPr>
        <w:spacing w:after="0" w:line="276" w:lineRule="auto"/>
        <w:ind w:firstLine="708"/>
        <w:jc w:val="both"/>
        <w:rPr>
          <w:rFonts w:ascii="Verdana" w:hAnsi="Verdana" w:cs="Arial"/>
          <w:color w:val="000000" w:themeColor="text1"/>
        </w:rPr>
      </w:pPr>
    </w:p>
    <w:p w14:paraId="388FF46F" w14:textId="77777777" w:rsidR="00E14120" w:rsidRPr="00160294" w:rsidRDefault="00E14120" w:rsidP="00E14120">
      <w:pPr>
        <w:pBdr>
          <w:top w:val="nil"/>
          <w:left w:val="nil"/>
          <w:bottom w:val="nil"/>
          <w:right w:val="nil"/>
          <w:between w:val="nil"/>
        </w:pBdr>
        <w:spacing w:after="120" w:line="276" w:lineRule="auto"/>
        <w:ind w:firstLine="708"/>
        <w:jc w:val="both"/>
        <w:rPr>
          <w:rFonts w:ascii="Verdana" w:eastAsia="Calibri" w:hAnsi="Verdana" w:cs="Arial"/>
        </w:rPr>
      </w:pPr>
      <w:r w:rsidRPr="00160294">
        <w:rPr>
          <w:rFonts w:ascii="Verdana" w:eastAsia="Calibri" w:hAnsi="Verdana" w:cs="Arial"/>
        </w:rPr>
        <w:t xml:space="preserve">De esta manera, los códigos del </w:t>
      </w:r>
      <w:r w:rsidRPr="00160294">
        <w:rPr>
          <w:rFonts w:ascii="Verdana" w:eastAsia="Times New Roman" w:hAnsi="Verdana" w:cs="Arial"/>
          <w:lang w:val="es-ES_tradnl" w:eastAsia="es-ES_tradnl"/>
        </w:rPr>
        <w:t>CIIU</w:t>
      </w:r>
      <w:r w:rsidRPr="00160294">
        <w:rPr>
          <w:rFonts w:ascii="Verdana" w:eastAsia="Calibri" w:hAnsi="Verdana" w:cs="Arial"/>
        </w:rPr>
        <w:t xml:space="preserve"> tienen efectos declarativos, no constitutivos. Por ello, respecto de la persona natural existe capacidad jurídica </w:t>
      </w:r>
      <w:r w:rsidRPr="00160294">
        <w:rPr>
          <w:rFonts w:ascii="Verdana" w:eastAsia="Calibri" w:hAnsi="Verdana" w:cs="Arial"/>
          <w:lang w:val="es-ES" w:eastAsia="es-ES"/>
        </w:rPr>
        <w:t xml:space="preserve">cuando son mayores de edad, salvo que por disposición expresa se encuentren limitados por decisión judicial, y que no estén incursas en inhabilidades, incompatibilidades o prohibiciones derivadas de la ley </w:t>
      </w:r>
      <w:r w:rsidRPr="00160294">
        <w:rPr>
          <w:rFonts w:ascii="Verdana" w:eastAsia="Calibri" w:hAnsi="Verdana" w:cs="Arial"/>
        </w:rPr>
        <w:t xml:space="preserve">y aquella se mantiene aunque la actividad económica no se haya recogido en la clasificación. </w:t>
      </w:r>
    </w:p>
    <w:p w14:paraId="05A12796" w14:textId="77777777" w:rsidR="00E14120" w:rsidRPr="00160294" w:rsidRDefault="00E14120" w:rsidP="00E14120">
      <w:pPr>
        <w:pBdr>
          <w:top w:val="nil"/>
          <w:left w:val="nil"/>
          <w:bottom w:val="nil"/>
          <w:right w:val="nil"/>
          <w:between w:val="nil"/>
        </w:pBdr>
        <w:spacing w:after="0" w:line="276" w:lineRule="auto"/>
        <w:ind w:firstLine="708"/>
        <w:jc w:val="both"/>
        <w:rPr>
          <w:rFonts w:ascii="Verdana" w:eastAsia="Times New Roman" w:hAnsi="Verdana" w:cs="Arial"/>
          <w:lang w:val="es-ES_tradnl" w:eastAsia="es-ES_tradnl"/>
        </w:rPr>
      </w:pPr>
      <w:r w:rsidRPr="00160294">
        <w:rPr>
          <w:rFonts w:ascii="Verdana" w:eastAsia="Calibri" w:hAnsi="Verdana" w:cs="Arial"/>
        </w:rPr>
        <w:t xml:space="preserve">Sin perjuicio de lo anterior, sumado a las implicaciones estadísticas de la </w:t>
      </w:r>
      <w:r w:rsidRPr="00160294">
        <w:rPr>
          <w:rFonts w:ascii="Verdana" w:eastAsia="Times New Roman" w:hAnsi="Verdana" w:cs="Arial"/>
          <w:lang w:val="es-ES_tradnl" w:eastAsia="es-ES_tradnl"/>
        </w:rPr>
        <w:t xml:space="preserve">CIIU, los interesados deben registrar adecuadamente los códigos de sus actividades económicas en el RUES. Lo anterior teniendo en cuenta que son un </w:t>
      </w:r>
      <w:r w:rsidRPr="00160294">
        <w:rPr>
          <w:rFonts w:ascii="Verdana" w:eastAsia="Times New Roman" w:hAnsi="Verdana" w:cs="Arial"/>
          <w:lang w:val="es-ES_tradnl" w:eastAsia="es-ES_tradnl"/>
        </w:rPr>
        <w:lastRenderedPageBreak/>
        <w:t>parámetro para la DIAN en lo relativo al control y determinación de los impuestos y demás obligaciones tributarias, aduaneras y cambiarias.</w:t>
      </w:r>
    </w:p>
    <w:p w14:paraId="12785021" w14:textId="77777777" w:rsidR="00E14120" w:rsidRPr="00D73D08" w:rsidRDefault="00E14120" w:rsidP="00E14120">
      <w:pPr>
        <w:tabs>
          <w:tab w:val="left" w:pos="3900"/>
        </w:tabs>
        <w:spacing w:after="0" w:line="276" w:lineRule="auto"/>
        <w:ind w:firstLine="708"/>
        <w:jc w:val="both"/>
        <w:rPr>
          <w:rFonts w:ascii="Verdana" w:hAnsi="Verdana" w:cs="Arial"/>
          <w:color w:val="000000" w:themeColor="text1"/>
          <w:lang w:val="es-ES_tradnl"/>
        </w:rPr>
      </w:pPr>
    </w:p>
    <w:p w14:paraId="2CA6C307" w14:textId="77777777" w:rsidR="00E14120" w:rsidRPr="00E47911" w:rsidRDefault="00E14120" w:rsidP="00E14120">
      <w:pPr>
        <w:pBdr>
          <w:top w:val="nil"/>
          <w:left w:val="nil"/>
          <w:bottom w:val="nil"/>
          <w:right w:val="nil"/>
          <w:between w:val="nil"/>
        </w:pBdr>
        <w:spacing w:after="120" w:line="276" w:lineRule="auto"/>
        <w:jc w:val="both"/>
        <w:rPr>
          <w:rFonts w:ascii="Verdana" w:eastAsia="Calibri" w:hAnsi="Verdana" w:cs="Arial"/>
          <w:color w:val="000000" w:themeColor="text1"/>
        </w:rPr>
      </w:pPr>
      <w:r>
        <w:rPr>
          <w:rFonts w:ascii="Verdana" w:hAnsi="Verdana" w:cs="Arial"/>
          <w:lang w:eastAsia="es-ES"/>
        </w:rPr>
        <w:t xml:space="preserve">iv. </w:t>
      </w: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gestión contractual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1494B07F" w14:textId="77777777" w:rsidR="00E14120" w:rsidRDefault="00E14120" w:rsidP="00E14120">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2743C085" w14:textId="77777777" w:rsidR="00E14120" w:rsidRPr="00301910" w:rsidRDefault="00E14120" w:rsidP="00E14120">
      <w:pPr>
        <w:spacing w:before="120" w:after="0" w:line="276" w:lineRule="auto"/>
        <w:ind w:firstLine="709"/>
        <w:jc w:val="both"/>
        <w:rPr>
          <w:rFonts w:ascii="Verdana" w:hAnsi="Verdana" w:cs="Arial"/>
          <w:lang w:eastAsia="es-ES"/>
        </w:rPr>
      </w:pPr>
    </w:p>
    <w:p w14:paraId="6D3D739F" w14:textId="77777777" w:rsidR="00E14120" w:rsidRPr="00635125" w:rsidRDefault="00E14120" w:rsidP="00E14120">
      <w:pPr>
        <w:spacing w:after="120" w:line="276" w:lineRule="auto"/>
        <w:jc w:val="both"/>
        <w:rPr>
          <w:rFonts w:ascii="Verdana" w:eastAsia="Century Gothic" w:hAnsi="Verdana" w:cs="Century Gothic"/>
          <w:b/>
          <w:lang w:val="es-ES"/>
        </w:rPr>
      </w:pPr>
      <w:r w:rsidRPr="00635125">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14120" w:rsidRPr="00FD09FB" w14:paraId="72399BC1" w14:textId="77777777" w:rsidTr="00F61EC7">
        <w:trPr>
          <w:trHeight w:val="494"/>
        </w:trPr>
        <w:tc>
          <w:tcPr>
            <w:tcW w:w="8647" w:type="dxa"/>
          </w:tcPr>
          <w:p w14:paraId="69899BA3" w14:textId="77777777" w:rsidR="00E14120" w:rsidRPr="00903124" w:rsidRDefault="00E14120" w:rsidP="00F61EC7">
            <w:pPr>
              <w:widowControl w:val="0"/>
              <w:numPr>
                <w:ilvl w:val="0"/>
                <w:numId w:val="16"/>
              </w:numPr>
              <w:autoSpaceDE w:val="0"/>
              <w:autoSpaceDN w:val="0"/>
              <w:spacing w:line="276" w:lineRule="auto"/>
              <w:jc w:val="both"/>
              <w:rPr>
                <w:rFonts w:ascii="Verdana" w:eastAsia="Arial MT" w:hAnsi="Verdana" w:cs="Arial"/>
                <w:bCs/>
                <w:lang w:eastAsia="es-ES" w:bidi="es-ES"/>
              </w:rPr>
            </w:pPr>
            <w:r w:rsidRPr="00903124">
              <w:rPr>
                <w:rFonts w:ascii="Verdana" w:eastAsia="Arial MT" w:hAnsi="Verdana" w:cs="Arial"/>
                <w:bCs/>
                <w:lang w:eastAsia="es-ES" w:bidi="es-ES"/>
              </w:rPr>
              <w:t>Constitución Política de Colombia. Artículo 14.</w:t>
            </w:r>
          </w:p>
          <w:p w14:paraId="5F24A63D" w14:textId="77777777" w:rsidR="00E14120" w:rsidRPr="00903124" w:rsidRDefault="00E14120" w:rsidP="00F61EC7">
            <w:pPr>
              <w:widowControl w:val="0"/>
              <w:numPr>
                <w:ilvl w:val="0"/>
                <w:numId w:val="16"/>
              </w:numPr>
              <w:autoSpaceDE w:val="0"/>
              <w:autoSpaceDN w:val="0"/>
              <w:spacing w:line="276" w:lineRule="auto"/>
              <w:jc w:val="both"/>
              <w:rPr>
                <w:rFonts w:ascii="Verdana" w:eastAsia="Arial MT" w:hAnsi="Verdana" w:cs="Arial"/>
                <w:bCs/>
                <w:lang w:eastAsia="es-ES" w:bidi="es-ES"/>
              </w:rPr>
            </w:pPr>
            <w:r w:rsidRPr="00903124">
              <w:rPr>
                <w:rFonts w:ascii="Verdana" w:eastAsia="Arial MT" w:hAnsi="Verdana" w:cs="Arial"/>
                <w:bCs/>
                <w:lang w:eastAsia="es-ES" w:bidi="es-ES"/>
              </w:rPr>
              <w:t>Código Civil Colombiano. Artículos 1502, 1503 y 1504.</w:t>
            </w:r>
          </w:p>
          <w:p w14:paraId="1C0A4CD3" w14:textId="77777777" w:rsidR="00E14120" w:rsidRPr="00903124" w:rsidRDefault="00E14120" w:rsidP="00F61EC7">
            <w:pPr>
              <w:widowControl w:val="0"/>
              <w:numPr>
                <w:ilvl w:val="0"/>
                <w:numId w:val="16"/>
              </w:numPr>
              <w:autoSpaceDE w:val="0"/>
              <w:autoSpaceDN w:val="0"/>
              <w:spacing w:line="276" w:lineRule="auto"/>
              <w:jc w:val="both"/>
              <w:rPr>
                <w:rFonts w:ascii="Verdana" w:eastAsia="Arial MT" w:hAnsi="Verdana" w:cs="Arial"/>
                <w:bCs/>
                <w:lang w:eastAsia="es-ES" w:bidi="es-ES"/>
              </w:rPr>
            </w:pPr>
            <w:r w:rsidRPr="00903124">
              <w:rPr>
                <w:rFonts w:ascii="Verdana" w:eastAsia="Arial MT" w:hAnsi="Verdana" w:cs="Arial"/>
                <w:bCs/>
                <w:lang w:eastAsia="es-ES" w:bidi="es-ES"/>
              </w:rPr>
              <w:t>Ley 80 de 1993. Artículo 6</w:t>
            </w:r>
          </w:p>
          <w:p w14:paraId="52320C40" w14:textId="77777777" w:rsidR="00E14120" w:rsidRPr="00903124" w:rsidRDefault="00E14120" w:rsidP="00F61EC7">
            <w:pPr>
              <w:widowControl w:val="0"/>
              <w:numPr>
                <w:ilvl w:val="0"/>
                <w:numId w:val="16"/>
              </w:numPr>
              <w:autoSpaceDE w:val="0"/>
              <w:autoSpaceDN w:val="0"/>
              <w:spacing w:line="276" w:lineRule="auto"/>
              <w:jc w:val="both"/>
              <w:rPr>
                <w:rFonts w:ascii="Verdana" w:eastAsia="Arial MT" w:hAnsi="Verdana" w:cs="Arial"/>
                <w:bCs/>
                <w:lang w:eastAsia="es-ES" w:bidi="es-ES"/>
              </w:rPr>
            </w:pPr>
            <w:r w:rsidRPr="00903124">
              <w:rPr>
                <w:rFonts w:ascii="Verdana" w:eastAsia="Arial MT" w:hAnsi="Verdana" w:cs="Arial"/>
                <w:bCs/>
                <w:lang w:eastAsia="es-ES" w:bidi="es-ES"/>
              </w:rPr>
              <w:t xml:space="preserve">Ley 1150 de 2007. Artículos 5, 6 </w:t>
            </w:r>
          </w:p>
          <w:p w14:paraId="650CC5AB" w14:textId="77777777" w:rsidR="00E14120" w:rsidRPr="00903124" w:rsidRDefault="00E14120" w:rsidP="00F61EC7">
            <w:pPr>
              <w:widowControl w:val="0"/>
              <w:numPr>
                <w:ilvl w:val="0"/>
                <w:numId w:val="16"/>
              </w:numPr>
              <w:autoSpaceDE w:val="0"/>
              <w:autoSpaceDN w:val="0"/>
              <w:spacing w:line="276" w:lineRule="auto"/>
              <w:jc w:val="both"/>
              <w:rPr>
                <w:rFonts w:ascii="Verdana" w:eastAsia="Arial MT" w:hAnsi="Verdana" w:cs="Arial"/>
                <w:bCs/>
                <w:lang w:eastAsia="es-ES" w:bidi="es-ES"/>
              </w:rPr>
            </w:pPr>
            <w:r w:rsidRPr="00903124">
              <w:rPr>
                <w:rFonts w:ascii="Verdana" w:eastAsia="Arial MT" w:hAnsi="Verdana" w:cs="Arial"/>
                <w:bCs/>
                <w:lang w:eastAsia="es-ES" w:bidi="es-ES"/>
              </w:rPr>
              <w:t>Consejo de Estado. Sección Tercera. Sentencia del 26 de enero de 2011. Rad. 36.408. C.P. Jaime Orlando Santofimio Gamboa.</w:t>
            </w:r>
          </w:p>
          <w:p w14:paraId="360829D5" w14:textId="77777777" w:rsidR="00E14120" w:rsidRPr="00903124" w:rsidRDefault="00E14120" w:rsidP="00F61EC7">
            <w:pPr>
              <w:widowControl w:val="0"/>
              <w:numPr>
                <w:ilvl w:val="0"/>
                <w:numId w:val="16"/>
              </w:numPr>
              <w:autoSpaceDE w:val="0"/>
              <w:autoSpaceDN w:val="0"/>
              <w:spacing w:line="276" w:lineRule="auto"/>
              <w:jc w:val="both"/>
              <w:rPr>
                <w:rFonts w:ascii="Verdana" w:eastAsia="Arial MT" w:hAnsi="Verdana" w:cs="Arial"/>
                <w:bCs/>
                <w:lang w:eastAsia="es-ES" w:bidi="es-ES"/>
              </w:rPr>
            </w:pPr>
            <w:r w:rsidRPr="00903124">
              <w:rPr>
                <w:rFonts w:ascii="Verdana" w:eastAsia="Arial MT" w:hAnsi="Verdana" w:cs="Arial"/>
                <w:bCs/>
                <w:lang w:eastAsia="es-ES" w:bidi="es-ES"/>
              </w:rPr>
              <w:t xml:space="preserve">Departamento Administrativo Nacional de Estadística. Clasificación Industrial Internacional Uniforme de todas las actividades económicas. Revisión 4 Adaptada para Colombia. 2022. Consultado el 19 de marzo de 2025 en la página web </w:t>
            </w:r>
            <w:hyperlink r:id="rId12" w:history="1">
              <w:r w:rsidRPr="00DE2B9F">
                <w:rPr>
                  <w:rStyle w:val="Hipervnculo"/>
                  <w:rFonts w:ascii="Verdana" w:eastAsia="Arial MT" w:hAnsi="Verdana" w:cs="Arial"/>
                  <w:bCs/>
                  <w:lang w:eastAsia="es-ES" w:bidi="es-ES"/>
                </w:rPr>
                <w:t>https://www.dane.gov.co/files/sen/nomenclatura/ciiu/CIIU_Rev_4_A</w:t>
              </w:r>
              <w:r w:rsidRPr="00DE2B9F">
                <w:rPr>
                  <w:rStyle w:val="Hipervnculo"/>
                  <w:rFonts w:ascii="Verdana" w:eastAsia="Arial MT" w:hAnsi="Verdana" w:cs="Arial"/>
                  <w:bCs/>
                  <w:lang w:eastAsia="es-ES" w:bidi="es-ES"/>
                </w:rPr>
                <w:lastRenderedPageBreak/>
                <w:t>C2022.pdf</w:t>
              </w:r>
            </w:hyperlink>
            <w:r w:rsidRPr="00903124">
              <w:rPr>
                <w:rFonts w:ascii="Verdana" w:eastAsia="Arial MT" w:hAnsi="Verdana" w:cs="Arial"/>
                <w:bCs/>
                <w:lang w:eastAsia="es-ES" w:bidi="es-ES"/>
              </w:rPr>
              <w:t>.</w:t>
            </w:r>
          </w:p>
        </w:tc>
      </w:tr>
    </w:tbl>
    <w:p w14:paraId="271930FA" w14:textId="77777777" w:rsidR="00E14120" w:rsidRPr="00FD09FB" w:rsidRDefault="00E14120" w:rsidP="00E14120">
      <w:pPr>
        <w:widowControl w:val="0"/>
        <w:autoSpaceDE w:val="0"/>
        <w:autoSpaceDN w:val="0"/>
        <w:spacing w:after="0" w:line="276" w:lineRule="auto"/>
        <w:jc w:val="both"/>
        <w:rPr>
          <w:rFonts w:ascii="Verdana" w:hAnsi="Verdana" w:cs="Arial"/>
          <w:color w:val="7030A0"/>
          <w:lang w:val="es-ES"/>
        </w:rPr>
      </w:pPr>
    </w:p>
    <w:p w14:paraId="0C78B606" w14:textId="77777777" w:rsidR="00E14120" w:rsidRPr="00635125" w:rsidRDefault="00E14120" w:rsidP="00E14120">
      <w:pPr>
        <w:tabs>
          <w:tab w:val="left" w:pos="142"/>
          <w:tab w:val="left" w:pos="284"/>
        </w:tabs>
        <w:spacing w:after="0" w:line="276" w:lineRule="auto"/>
        <w:jc w:val="both"/>
        <w:rPr>
          <w:rFonts w:ascii="Verdana" w:eastAsia="Century Gothic" w:hAnsi="Verdana" w:cs="Century Gothic"/>
          <w:b/>
          <w:lang w:val="es-ES"/>
        </w:rPr>
      </w:pPr>
      <w:r w:rsidRPr="00635125">
        <w:rPr>
          <w:rFonts w:ascii="Verdana" w:eastAsia="Century Gothic" w:hAnsi="Verdana" w:cs="Century Gothic"/>
          <w:b/>
          <w:lang w:val="es-ES"/>
        </w:rPr>
        <w:t>5. Doctrina de la Agencia Nacional de Contratación Pública:</w:t>
      </w:r>
    </w:p>
    <w:p w14:paraId="0DEBB76F" w14:textId="77777777" w:rsidR="00E14120" w:rsidRPr="00FD09FB" w:rsidRDefault="00E14120" w:rsidP="00E14120">
      <w:pPr>
        <w:widowControl w:val="0"/>
        <w:autoSpaceDE w:val="0"/>
        <w:autoSpaceDN w:val="0"/>
        <w:spacing w:after="0" w:line="276" w:lineRule="auto"/>
        <w:jc w:val="both"/>
        <w:rPr>
          <w:rFonts w:ascii="Verdana" w:hAnsi="Verdana" w:cs="Arial"/>
          <w:color w:val="7030A0"/>
          <w:lang w:val="es-ES"/>
        </w:rPr>
      </w:pPr>
    </w:p>
    <w:p w14:paraId="4E038A1C" w14:textId="6CDB9B47" w:rsidR="00E14120" w:rsidRDefault="00E14120" w:rsidP="00E14120">
      <w:pPr>
        <w:widowControl w:val="0"/>
        <w:autoSpaceDE w:val="0"/>
        <w:autoSpaceDN w:val="0"/>
        <w:spacing w:after="0" w:line="276" w:lineRule="auto"/>
        <w:jc w:val="both"/>
        <w:rPr>
          <w:rFonts w:ascii="Verdana" w:eastAsia="Calibri" w:hAnsi="Verdana" w:cs="Arial"/>
          <w:lang w:val="es-ES_tradnl"/>
        </w:rPr>
      </w:pPr>
      <w:r w:rsidRPr="00772875">
        <w:rPr>
          <w:rFonts w:ascii="Verdana" w:eastAsia="Calibri" w:hAnsi="Verdana" w:cs="Arial"/>
          <w:lang w:val="es-ES"/>
        </w:rPr>
        <w:t xml:space="preserve">La Agencia Nacional de Contratación Pública – Colombia Compra Eficiente se ha referido </w:t>
      </w:r>
      <w:r w:rsidRPr="00772875">
        <w:rPr>
          <w:rFonts w:ascii="Verdana" w:hAnsi="Verdana" w:cs="Arial"/>
          <w:shd w:val="clear" w:color="auto" w:fill="FFFFFF"/>
        </w:rPr>
        <w:t xml:space="preserve">sobre </w:t>
      </w:r>
      <w:r w:rsidRPr="00772875">
        <w:rPr>
          <w:rFonts w:ascii="Verdana" w:eastAsia="Calibri" w:hAnsi="Verdana" w:cs="Arial"/>
          <w:lang w:val="es-ES_tradnl"/>
        </w:rPr>
        <w:t>sobre requisitos habilitantes y los códigos CIIU</w:t>
      </w:r>
      <w:r w:rsidRPr="00772875">
        <w:rPr>
          <w:rFonts w:ascii="Verdana" w:hAnsi="Verdana" w:cs="Arial"/>
          <w:shd w:val="clear" w:color="auto" w:fill="FFFFFF"/>
        </w:rPr>
        <w:t xml:space="preserve"> en</w:t>
      </w:r>
      <w:r w:rsidRPr="00772875">
        <w:rPr>
          <w:rStyle w:val="normaltextrun"/>
          <w:rFonts w:ascii="Verdana" w:hAnsi="Verdana" w:cs="Arial"/>
          <w:shd w:val="clear" w:color="auto" w:fill="FFFFFF"/>
          <w:lang w:val="es-ES"/>
        </w:rPr>
        <w:t xml:space="preserve"> los conceptos</w:t>
      </w:r>
      <w:r w:rsidRPr="00772875">
        <w:rPr>
          <w:rFonts w:ascii="Verdana" w:eastAsia="Aptos" w:hAnsi="Verdana" w:cs="Arial"/>
          <w:shd w:val="clear" w:color="auto" w:fill="FFFFFF"/>
          <w:lang w:val="es-ES"/>
        </w:rPr>
        <w:t xml:space="preserve">, </w:t>
      </w:r>
      <w:r w:rsidRPr="00772875">
        <w:rPr>
          <w:rFonts w:ascii="Verdana" w:eastAsia="Calibri" w:hAnsi="Verdana" w:cs="Arial"/>
          <w:lang w:val="es-ES_tradnl"/>
        </w:rPr>
        <w:t>C- 187 del 25 de marzo de 2025, C-296 del 26 de marzo de 2025, C-501 del 03 de junio de 2025, C- 337 del 18 de agosto de 2023, C-397 del 7 de mayo de 2025, C-926 del 18 de agosto de 2025, C-1014 del 01 de septiembre de 2025, C-1153 del 10 de septiembre de 2025, entre otros.</w:t>
      </w:r>
    </w:p>
    <w:p w14:paraId="2EDD8B9A" w14:textId="77777777" w:rsidR="00777D45" w:rsidRPr="00E14849" w:rsidRDefault="00777D45" w:rsidP="00E14120">
      <w:pPr>
        <w:widowControl w:val="0"/>
        <w:autoSpaceDE w:val="0"/>
        <w:autoSpaceDN w:val="0"/>
        <w:spacing w:after="0" w:line="276" w:lineRule="auto"/>
        <w:jc w:val="both"/>
        <w:rPr>
          <w:rFonts w:ascii="Verdana" w:eastAsia="Calibri" w:hAnsi="Verdana" w:cs="Arial"/>
          <w:lang w:val="es-ES_tradnl"/>
        </w:rPr>
      </w:pPr>
    </w:p>
    <w:p w14:paraId="78D62145" w14:textId="77777777" w:rsidR="00E14120" w:rsidRPr="00FD09FB" w:rsidRDefault="00E14120" w:rsidP="00E14120">
      <w:pPr>
        <w:spacing w:after="0" w:line="276" w:lineRule="auto"/>
        <w:jc w:val="both"/>
        <w:rPr>
          <w:rFonts w:ascii="Verdana" w:hAnsi="Verdana"/>
        </w:rPr>
      </w:pPr>
      <w:r w:rsidRPr="00FD09FB">
        <w:rPr>
          <w:rFonts w:ascii="Verdana" w:hAnsi="Verdana" w:cs="Arial"/>
          <w:shd w:val="clear" w:color="auto" w:fill="FFFFFF"/>
          <w:lang w:val="es-ES"/>
        </w:rPr>
        <w:t>Estos</w:t>
      </w:r>
      <w:r w:rsidRPr="00FD09FB">
        <w:rPr>
          <w:rFonts w:ascii="Verdana" w:hAnsi="Verdana"/>
          <w:lang w:val="es-ES"/>
        </w:rPr>
        <w:t xml:space="preserve"> y otros se encuentran disponibles para consulta en el Sistema de relatoría de la Agencia, al cual se puede acceder a través del siguiente enlace:</w:t>
      </w:r>
      <w:r w:rsidRPr="00FD09FB">
        <w:rPr>
          <w:rFonts w:ascii="Verdana" w:hAnsi="Verdana" w:cs="Arial"/>
          <w:shd w:val="clear" w:color="auto" w:fill="FFFFFF"/>
          <w:lang w:val="es-ES"/>
        </w:rPr>
        <w:t xml:space="preserve"> </w:t>
      </w:r>
      <w:hyperlink r:id="rId13" w:history="1">
        <w:r w:rsidRPr="00027D20">
          <w:rPr>
            <w:rStyle w:val="Hipervnculo"/>
            <w:rFonts w:ascii="Verdana" w:hAnsi="Verdana"/>
          </w:rPr>
          <w:t>https://relatoria.colombiacompra.gov.co/busqueda/conceptos</w:t>
        </w:r>
      </w:hyperlink>
    </w:p>
    <w:p w14:paraId="49C750BF" w14:textId="77777777" w:rsidR="00E14120" w:rsidRPr="00FD09FB" w:rsidRDefault="00E14120" w:rsidP="00E14120">
      <w:pPr>
        <w:spacing w:after="0" w:line="276" w:lineRule="auto"/>
        <w:jc w:val="both"/>
        <w:rPr>
          <w:rFonts w:ascii="Verdana" w:hAnsi="Verdana"/>
        </w:rPr>
      </w:pPr>
    </w:p>
    <w:p w14:paraId="7E7192D0" w14:textId="77777777" w:rsidR="00E14120" w:rsidRPr="00560477" w:rsidRDefault="00E14120" w:rsidP="00E14120">
      <w:pPr>
        <w:jc w:val="both"/>
        <w:rPr>
          <w:rFonts w:ascii="Verdana" w:hAnsi="Verdana"/>
          <w:color w:val="7030A0"/>
        </w:rPr>
      </w:pPr>
      <w:r w:rsidRPr="00FD09FB">
        <w:rPr>
          <w:rFonts w:ascii="Verdana" w:hAnsi="Verdana"/>
        </w:rPr>
        <w:t xml:space="preserve">La sostenibilidad no es una opción, es una obligación. Por ello, la Agencia Nacional de </w:t>
      </w:r>
      <w:r w:rsidRPr="003D0AC5">
        <w:rPr>
          <w:rFonts w:ascii="Verdana" w:hAnsi="Verdana"/>
          <w:color w:val="000000" w:themeColor="text1"/>
        </w:rPr>
        <w:t xml:space="preserve">Contratación Pública –Colombia Compra Eficiente– te invita a realizar el </w:t>
      </w:r>
      <w:r w:rsidRPr="003D0AC5">
        <w:rPr>
          <w:rFonts w:ascii="Verdana" w:hAnsi="Verdana"/>
          <w:b/>
          <w:bCs/>
          <w:color w:val="000000" w:themeColor="text1"/>
        </w:rPr>
        <w:t>Curso de Contratación Pública Sostenible y Socialmente Responsable</w:t>
      </w:r>
      <w:r w:rsidRPr="003D0AC5">
        <w:rPr>
          <w:rFonts w:ascii="Verdana" w:hAnsi="Verdana"/>
          <w:color w:val="000000" w:themeColor="text1"/>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560477">
        <w:rPr>
          <w:rFonts w:ascii="Verdana" w:hAnsi="Verdana"/>
          <w:color w:val="7030A0"/>
        </w:rPr>
        <w:br/>
      </w:r>
      <w:hyperlink r:id="rId14" w:tgtFrame="_new" w:history="1">
        <w:r w:rsidRPr="003D0AC5">
          <w:rPr>
            <w:rStyle w:val="Hipervnculo"/>
            <w:rFonts w:ascii="Verdana" w:hAnsi="Verdana"/>
          </w:rPr>
          <w:t>https://formacionvirtual.colombiacompra.gov.co/mod/page/view.php?id=3718</w:t>
        </w:r>
      </w:hyperlink>
    </w:p>
    <w:p w14:paraId="661A3730" w14:textId="77777777" w:rsidR="00E14120" w:rsidRPr="00560477" w:rsidRDefault="00E14120" w:rsidP="00E14120">
      <w:pPr>
        <w:jc w:val="both"/>
        <w:rPr>
          <w:rFonts w:ascii="Verdana" w:hAnsi="Verdana"/>
          <w:color w:val="7030A0"/>
        </w:rPr>
      </w:pPr>
      <w:r w:rsidRPr="003D0AC5">
        <w:rPr>
          <w:rFonts w:ascii="Verdana" w:hAnsi="Verdana"/>
        </w:rPr>
        <w:t xml:space="preserve">De otro lado, te contamos que esta Agencia ha da un paso decisivo en la estandarización y modernización del </w:t>
      </w:r>
      <w:r w:rsidRPr="003D0AC5">
        <w:rPr>
          <w:rFonts w:ascii="Verdana" w:hAnsi="Verdana"/>
          <w:b/>
          <w:bCs/>
        </w:rPr>
        <w:t>sector  social</w:t>
      </w:r>
      <w:r w:rsidRPr="003D0AC5">
        <w:rPr>
          <w:rFonts w:ascii="Verdana" w:hAnsi="Verdana"/>
        </w:rPr>
        <w:t xml:space="preserve"> con la expedición de las </w:t>
      </w:r>
      <w:r w:rsidRPr="003D0AC5">
        <w:rPr>
          <w:rFonts w:ascii="Verdana" w:hAnsi="Verdana"/>
          <w:b/>
          <w:bCs/>
        </w:rPr>
        <w:t>Resoluciones 539, 540, 541, 952 y 953 de 2025</w:t>
      </w:r>
      <w:r w:rsidRPr="003D0AC5">
        <w:rPr>
          <w:rFonts w:ascii="Verdana" w:hAnsi="Verdana"/>
        </w:rPr>
        <w:t xml:space="preserve">, </w:t>
      </w:r>
      <w:r w:rsidRPr="003D0AC5">
        <w:rPr>
          <w:rFonts w:ascii="Verdana" w:hAnsi="Verdana"/>
          <w:b/>
          <w:bCs/>
        </w:rPr>
        <w:t>mediante las cuales adoptó Documentos Tipo</w:t>
      </w:r>
      <w:r w:rsidRPr="003D0AC5">
        <w:rPr>
          <w:rFonts w:ascii="Verdana" w:hAnsi="Verdana"/>
        </w:rPr>
        <w:t xml:space="preserve"> para las modalidades de selección de</w:t>
      </w:r>
      <w:r w:rsidRPr="003D0AC5">
        <w:rPr>
          <w:rFonts w:ascii="Verdana" w:hAnsi="Verdana"/>
          <w:b/>
          <w:bCs/>
        </w:rPr>
        <w:t xml:space="preserve"> licitación pública (versión 2), selección abreviada de menor cuantía, mínima cuantía, consultoría e interventoría</w:t>
      </w:r>
      <w:r w:rsidRPr="003D0AC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3D0AC5">
          <w:rPr>
            <w:rStyle w:val="Hipervnculo"/>
            <w:rFonts w:ascii="Verdana" w:hAnsi="Verdana"/>
          </w:rPr>
          <w:t>https://www.colombiacompra.gov.co/normativa-y-relatoria/documentos-tipo</w:t>
        </w:r>
      </w:hyperlink>
    </w:p>
    <w:p w14:paraId="16C40F92" w14:textId="77777777" w:rsidR="00E14120" w:rsidRPr="00560477" w:rsidRDefault="00E14120" w:rsidP="00E14120">
      <w:pPr>
        <w:jc w:val="both"/>
        <w:rPr>
          <w:rFonts w:ascii="Verdana" w:hAnsi="Verdana"/>
          <w:color w:val="7030A0"/>
        </w:rPr>
      </w:pPr>
      <w:r w:rsidRPr="00AD4284">
        <w:rPr>
          <w:rFonts w:ascii="Verdana" w:hAnsi="Verdana"/>
          <w:color w:val="000000" w:themeColor="text1"/>
        </w:rPr>
        <w:t xml:space="preserve">Si quieres conocer más sobre la aplicación de Documentos Tipo puedes consultar la última versión de la </w:t>
      </w:r>
      <w:r w:rsidRPr="00AD4284">
        <w:rPr>
          <w:rFonts w:ascii="Verdana" w:hAnsi="Verdana"/>
          <w:b/>
          <w:bCs/>
          <w:color w:val="000000" w:themeColor="text1"/>
        </w:rPr>
        <w:t>Guía para la comprensión e implementación de los Documentos Tipo de obra pública de infraestructura de transporte</w:t>
      </w:r>
      <w:r w:rsidRPr="00AD4284">
        <w:rPr>
          <w:rFonts w:ascii="Verdana" w:hAnsi="Verdana"/>
          <w:color w:val="000000" w:themeColor="text1"/>
        </w:rPr>
        <w:t xml:space="preserve">. En </w:t>
      </w:r>
      <w:r w:rsidRPr="00AD4284">
        <w:rPr>
          <w:rFonts w:ascii="Verdana" w:hAnsi="Verdana"/>
          <w:color w:val="000000" w:themeColor="text1"/>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AD4284">
        <w:rPr>
          <w:rFonts w:ascii="Verdana" w:hAnsi="Verdana"/>
          <w:color w:val="000000" w:themeColor="text1"/>
        </w:rPr>
        <w:br/>
      </w:r>
      <w:hyperlink r:id="rId16" w:tgtFrame="_new" w:history="1">
        <w:r w:rsidRPr="00AD428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A96136D" w14:textId="77777777" w:rsidR="00E14120" w:rsidRPr="00AD4284" w:rsidRDefault="00E14120" w:rsidP="00E14120">
      <w:pPr>
        <w:spacing w:after="0"/>
        <w:jc w:val="both"/>
        <w:rPr>
          <w:rFonts w:ascii="Verdana" w:hAnsi="Verdana" w:cs="Arial"/>
          <w:shd w:val="clear" w:color="auto" w:fill="FFFFFF"/>
        </w:rPr>
      </w:pPr>
      <w:r w:rsidRPr="00AD4284">
        <w:rPr>
          <w:rFonts w:ascii="Verdana" w:hAnsi="Verdana" w:cs="Arial"/>
          <w:shd w:val="clear" w:color="auto" w:fill="FFFFFF"/>
        </w:rPr>
        <w:t xml:space="preserve">Por último, lo invitamos a seguirnos en las redes sociales en las cuales se difunde información institucional: </w:t>
      </w:r>
    </w:p>
    <w:p w14:paraId="6A74300F" w14:textId="77777777" w:rsidR="00E14120" w:rsidRPr="00AD4284" w:rsidRDefault="00E14120" w:rsidP="00E14120">
      <w:pPr>
        <w:spacing w:after="0"/>
        <w:jc w:val="both"/>
        <w:rPr>
          <w:rFonts w:ascii="Verdana" w:hAnsi="Verdana" w:cs="Arial"/>
          <w:shd w:val="clear" w:color="auto" w:fill="FFFFFF"/>
        </w:rPr>
      </w:pPr>
    </w:p>
    <w:p w14:paraId="0664AC35" w14:textId="77777777" w:rsidR="00E14120" w:rsidRPr="00AD4284" w:rsidRDefault="00E14120" w:rsidP="00E14120">
      <w:pPr>
        <w:spacing w:after="0"/>
        <w:jc w:val="both"/>
        <w:rPr>
          <w:rFonts w:ascii="Verdana" w:hAnsi="Verdana" w:cs="Arial"/>
          <w:shd w:val="clear" w:color="auto" w:fill="FFFFFF"/>
        </w:rPr>
      </w:pPr>
      <w:r w:rsidRPr="00AD4284">
        <w:rPr>
          <w:rFonts w:ascii="Verdana" w:hAnsi="Verdana" w:cs="Arial"/>
          <w:shd w:val="clear" w:color="auto" w:fill="FFFFFF"/>
        </w:rPr>
        <w:t xml:space="preserve">Twitter: </w:t>
      </w:r>
      <w:r w:rsidRPr="00AD4284">
        <w:rPr>
          <w:rStyle w:val="Hipervnculo"/>
          <w:rFonts w:ascii="Verdana" w:hAnsi="Verdana"/>
        </w:rPr>
        <w:t>@colombiacompra</w:t>
      </w:r>
      <w:r w:rsidRPr="00AD4284">
        <w:rPr>
          <w:rFonts w:ascii="Verdana" w:hAnsi="Verdana" w:cs="Arial"/>
          <w:color w:val="0000FF"/>
          <w:shd w:val="clear" w:color="auto" w:fill="FFFFFF"/>
        </w:rPr>
        <w:t xml:space="preserve"> </w:t>
      </w:r>
    </w:p>
    <w:p w14:paraId="5F2F314A" w14:textId="77777777" w:rsidR="00E14120" w:rsidRPr="00AD4284" w:rsidRDefault="00E14120" w:rsidP="00E14120">
      <w:pPr>
        <w:spacing w:after="0"/>
        <w:jc w:val="both"/>
        <w:rPr>
          <w:rFonts w:ascii="Verdana" w:hAnsi="Verdana" w:cs="Arial"/>
          <w:shd w:val="clear" w:color="auto" w:fill="FFFFFF"/>
        </w:rPr>
      </w:pPr>
      <w:r w:rsidRPr="00AD4284">
        <w:rPr>
          <w:rFonts w:ascii="Verdana" w:hAnsi="Verdana" w:cs="Arial"/>
          <w:shd w:val="clear" w:color="auto" w:fill="FFFFFF"/>
        </w:rPr>
        <w:t>Facebook:</w:t>
      </w:r>
      <w:r w:rsidRPr="00AD4284">
        <w:rPr>
          <w:rStyle w:val="Hipervnculo"/>
          <w:rFonts w:ascii="Verdana" w:hAnsi="Verdana"/>
          <w:lang w:val="es-ES"/>
        </w:rPr>
        <w:t xml:space="preserve"> </w:t>
      </w:r>
      <w:r w:rsidRPr="00AD4284">
        <w:rPr>
          <w:rStyle w:val="Hipervnculo"/>
          <w:rFonts w:ascii="Verdana" w:hAnsi="Verdana"/>
        </w:rPr>
        <w:t>ColombiaCompraEficiente</w:t>
      </w:r>
    </w:p>
    <w:p w14:paraId="3082BB07" w14:textId="77777777" w:rsidR="00E14120" w:rsidRPr="00AD4284" w:rsidRDefault="00E14120" w:rsidP="00E14120">
      <w:pPr>
        <w:spacing w:after="0"/>
        <w:jc w:val="both"/>
        <w:rPr>
          <w:rFonts w:ascii="Verdana" w:hAnsi="Verdana" w:cs="Arial"/>
          <w:color w:val="0000FF"/>
          <w:shd w:val="clear" w:color="auto" w:fill="FFFFFF"/>
        </w:rPr>
      </w:pPr>
      <w:r w:rsidRPr="00AD4284">
        <w:rPr>
          <w:rFonts w:ascii="Verdana" w:hAnsi="Verdana" w:cs="Arial"/>
          <w:shd w:val="clear" w:color="auto" w:fill="FFFFFF"/>
        </w:rPr>
        <w:t xml:space="preserve">LinkedIn: </w:t>
      </w:r>
      <w:r w:rsidRPr="00AD4284">
        <w:rPr>
          <w:rStyle w:val="Hipervnculo"/>
          <w:rFonts w:ascii="Verdana" w:hAnsi="Verdana"/>
        </w:rPr>
        <w:t>Agencia Nacional de Contratación Pública - Colombia Compra Eficiente</w:t>
      </w:r>
      <w:r w:rsidRPr="00AD4284">
        <w:rPr>
          <w:rFonts w:ascii="Verdana" w:hAnsi="Verdana" w:cs="Arial"/>
          <w:color w:val="0000FF"/>
          <w:shd w:val="clear" w:color="auto" w:fill="FFFFFF"/>
        </w:rPr>
        <w:t xml:space="preserve"> </w:t>
      </w:r>
    </w:p>
    <w:p w14:paraId="224DB889" w14:textId="77777777" w:rsidR="00E14120" w:rsidRPr="00AD4284" w:rsidRDefault="00E14120" w:rsidP="00E14120">
      <w:pPr>
        <w:spacing w:after="0"/>
        <w:jc w:val="both"/>
        <w:rPr>
          <w:rFonts w:ascii="Verdana" w:hAnsi="Verdana" w:cs="Arial"/>
          <w:shd w:val="clear" w:color="auto" w:fill="FFFFFF"/>
        </w:rPr>
      </w:pPr>
      <w:r w:rsidRPr="00AD4284">
        <w:rPr>
          <w:rFonts w:ascii="Verdana" w:hAnsi="Verdana" w:cs="Arial"/>
          <w:shd w:val="clear" w:color="auto" w:fill="FFFFFF"/>
        </w:rPr>
        <w:t xml:space="preserve">Instagram: </w:t>
      </w:r>
      <w:r w:rsidRPr="00AD4284">
        <w:rPr>
          <w:rStyle w:val="Hipervnculo"/>
          <w:rFonts w:ascii="Verdana" w:hAnsi="Verdana"/>
        </w:rPr>
        <w:t>@colombiacompraeficiente_cce</w:t>
      </w:r>
    </w:p>
    <w:p w14:paraId="1AAD3411" w14:textId="77777777" w:rsidR="00E14120" w:rsidRPr="00560477" w:rsidRDefault="00E14120" w:rsidP="00E14120">
      <w:pPr>
        <w:widowControl w:val="0"/>
        <w:autoSpaceDE w:val="0"/>
        <w:autoSpaceDN w:val="0"/>
        <w:spacing w:after="0" w:line="276" w:lineRule="auto"/>
        <w:jc w:val="both"/>
        <w:rPr>
          <w:rFonts w:ascii="Verdana" w:hAnsi="Verdana" w:cs="Arial"/>
          <w:lang w:val="es-ES"/>
        </w:rPr>
      </w:pPr>
    </w:p>
    <w:p w14:paraId="01B330EB" w14:textId="77777777" w:rsidR="00E14120" w:rsidRPr="00560477" w:rsidRDefault="00E14120" w:rsidP="00E14120">
      <w:pPr>
        <w:widowControl w:val="0"/>
        <w:autoSpaceDE w:val="0"/>
        <w:autoSpaceDN w:val="0"/>
        <w:spacing w:after="0" w:line="276" w:lineRule="auto"/>
        <w:jc w:val="both"/>
        <w:rPr>
          <w:rFonts w:ascii="Verdana" w:hAnsi="Verdana" w:cs="Arial"/>
          <w:lang w:val="es-ES"/>
        </w:rPr>
      </w:pPr>
      <w:r w:rsidRPr="00560477">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2685873" w14:textId="77777777" w:rsidR="00E14120" w:rsidRPr="00560477" w:rsidRDefault="00E14120" w:rsidP="00E14120">
      <w:pPr>
        <w:widowControl w:val="0"/>
        <w:autoSpaceDE w:val="0"/>
        <w:autoSpaceDN w:val="0"/>
        <w:spacing w:after="0" w:line="276" w:lineRule="auto"/>
        <w:jc w:val="both"/>
        <w:rPr>
          <w:rFonts w:ascii="Verdana" w:hAnsi="Verdana" w:cs="Arial"/>
          <w:lang w:val="es-ES"/>
        </w:rPr>
      </w:pPr>
    </w:p>
    <w:p w14:paraId="08160CA6" w14:textId="77777777" w:rsidR="00E14120" w:rsidRPr="00560477" w:rsidRDefault="00E14120" w:rsidP="00E14120">
      <w:pPr>
        <w:spacing w:after="0" w:line="276" w:lineRule="auto"/>
        <w:rPr>
          <w:rFonts w:ascii="Verdana" w:hAnsi="Verdana" w:cs="Arial"/>
          <w:lang w:val="es-ES" w:eastAsia="es-CO"/>
        </w:rPr>
      </w:pPr>
      <w:r w:rsidRPr="00560477">
        <w:rPr>
          <w:rFonts w:ascii="Verdana" w:eastAsia="Times New Roman" w:hAnsi="Verdana" w:cs="Arial"/>
          <w:lang w:val="es-ES" w:eastAsia="es-CO"/>
        </w:rPr>
        <w:t>Atentamente,</w:t>
      </w:r>
      <w:r w:rsidRPr="00560477">
        <w:rPr>
          <w:rFonts w:ascii="Verdana" w:hAnsi="Verdana" w:cs="Arial"/>
          <w:lang w:val="es-ES" w:eastAsia="es-CO"/>
        </w:rPr>
        <w:t xml:space="preserve"> </w:t>
      </w:r>
    </w:p>
    <w:p w14:paraId="6EB816D0" w14:textId="08B6CAC0" w:rsidR="00E14120" w:rsidRPr="00FD5A0A" w:rsidRDefault="00FD5A0A" w:rsidP="00E14120">
      <w:pPr>
        <w:spacing w:after="0" w:line="276" w:lineRule="auto"/>
        <w:jc w:val="center"/>
        <w:rPr>
          <w:rFonts w:ascii="Verdana" w:hAnsi="Verdana"/>
          <w:noProof/>
          <w:color w:val="7030A0"/>
        </w:rPr>
      </w:pPr>
      <w:r w:rsidRPr="00FD5A0A">
        <w:rPr>
          <w:rFonts w:ascii="Verdana" w:hAnsi="Verdana"/>
          <w:noProof/>
          <w:color w:val="7030A0"/>
        </w:rPr>
        <w:drawing>
          <wp:anchor distT="0" distB="0" distL="114300" distR="114300" simplePos="0" relativeHeight="251661312" behindDoc="1" locked="0" layoutInCell="1" allowOverlap="1" wp14:anchorId="6DF5AF1F" wp14:editId="2C6194E1">
            <wp:simplePos x="0" y="0"/>
            <wp:positionH relativeFrom="margin">
              <wp:align>center</wp:align>
            </wp:positionH>
            <wp:positionV relativeFrom="paragraph">
              <wp:posOffset>6682</wp:posOffset>
            </wp:positionV>
            <wp:extent cx="2876951" cy="1076475"/>
            <wp:effectExtent l="0" t="0" r="0" b="9525"/>
            <wp:wrapTight wrapText="bothSides">
              <wp:wrapPolygon edited="0">
                <wp:start x="0" y="0"/>
                <wp:lineTo x="0" y="21409"/>
                <wp:lineTo x="21457" y="21409"/>
                <wp:lineTo x="21457" y="0"/>
                <wp:lineTo x="0" y="0"/>
              </wp:wrapPolygon>
            </wp:wrapTight>
            <wp:docPr id="16180311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031105" name=""/>
                    <pic:cNvPicPr/>
                  </pic:nvPicPr>
                  <pic:blipFill>
                    <a:blip r:embed="rId17">
                      <a:extLst>
                        <a:ext uri="{28A0092B-C50C-407E-A947-70E740481C1C}">
                          <a14:useLocalDpi xmlns:a14="http://schemas.microsoft.com/office/drawing/2010/main" val="0"/>
                        </a:ext>
                      </a:extLst>
                    </a:blip>
                    <a:stretch>
                      <a:fillRect/>
                    </a:stretch>
                  </pic:blipFill>
                  <pic:spPr>
                    <a:xfrm>
                      <a:off x="0" y="0"/>
                      <a:ext cx="2876951" cy="1076475"/>
                    </a:xfrm>
                    <a:prstGeom prst="rect">
                      <a:avLst/>
                    </a:prstGeom>
                  </pic:spPr>
                </pic:pic>
              </a:graphicData>
            </a:graphic>
          </wp:anchor>
        </w:drawing>
      </w:r>
    </w:p>
    <w:p w14:paraId="27501EAD" w14:textId="77777777" w:rsidR="00E14120" w:rsidRDefault="00E14120" w:rsidP="00E14120">
      <w:pPr>
        <w:spacing w:after="0" w:line="276" w:lineRule="auto"/>
        <w:rPr>
          <w:rFonts w:ascii="Verdana" w:hAnsi="Verdana" w:cs="Arial"/>
          <w:color w:val="7030A0"/>
          <w:lang w:val="es-ES" w:eastAsia="es-CO"/>
        </w:rPr>
      </w:pPr>
    </w:p>
    <w:p w14:paraId="24B36D6F" w14:textId="77777777" w:rsidR="00C8385A" w:rsidRDefault="00C8385A" w:rsidP="00E14120">
      <w:pPr>
        <w:spacing w:after="0" w:line="276" w:lineRule="auto"/>
        <w:rPr>
          <w:rFonts w:ascii="Verdana" w:hAnsi="Verdana" w:cs="Arial"/>
          <w:color w:val="7030A0"/>
          <w:lang w:val="es-ES" w:eastAsia="es-CO"/>
        </w:rPr>
      </w:pPr>
    </w:p>
    <w:p w14:paraId="6B8E7759" w14:textId="77777777" w:rsidR="00C8385A" w:rsidRDefault="00C8385A" w:rsidP="00E14120">
      <w:pPr>
        <w:spacing w:after="0" w:line="276" w:lineRule="auto"/>
        <w:rPr>
          <w:rFonts w:ascii="Verdana" w:hAnsi="Verdana" w:cs="Arial"/>
          <w:color w:val="7030A0"/>
          <w:lang w:val="es-ES" w:eastAsia="es-CO"/>
        </w:rPr>
      </w:pPr>
    </w:p>
    <w:p w14:paraId="445B5B78" w14:textId="77777777" w:rsidR="00C8385A" w:rsidRDefault="00C8385A" w:rsidP="00E14120">
      <w:pPr>
        <w:spacing w:after="0" w:line="276" w:lineRule="auto"/>
        <w:rPr>
          <w:rFonts w:ascii="Verdana" w:hAnsi="Verdana" w:cs="Arial"/>
          <w:color w:val="7030A0"/>
          <w:lang w:val="es-ES" w:eastAsia="es-CO"/>
        </w:rPr>
      </w:pPr>
    </w:p>
    <w:p w14:paraId="0962C452" w14:textId="77777777" w:rsidR="00C8385A" w:rsidRPr="00560477" w:rsidRDefault="00C8385A" w:rsidP="00E14120">
      <w:pPr>
        <w:spacing w:after="0" w:line="276" w:lineRule="auto"/>
        <w:rPr>
          <w:rFonts w:ascii="Verdana" w:hAnsi="Verdana" w:cs="Arial"/>
          <w:color w:val="7030A0"/>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14120" w:rsidRPr="00560477" w14:paraId="2264114F" w14:textId="77777777" w:rsidTr="00F61EC7">
        <w:trPr>
          <w:trHeight w:val="315"/>
        </w:trPr>
        <w:tc>
          <w:tcPr>
            <w:tcW w:w="893" w:type="dxa"/>
            <w:vAlign w:val="center"/>
            <w:hideMark/>
          </w:tcPr>
          <w:p w14:paraId="47B5A917" w14:textId="77777777" w:rsidR="00E14120" w:rsidRPr="00560477" w:rsidRDefault="00E14120" w:rsidP="00F61EC7">
            <w:pPr>
              <w:contextualSpacing/>
              <w:rPr>
                <w:rFonts w:ascii="Verdana" w:hAnsi="Verdana" w:cs="Arial"/>
                <w:sz w:val="16"/>
                <w:szCs w:val="16"/>
                <w:lang w:val="es-ES" w:eastAsia="es-ES"/>
              </w:rPr>
            </w:pPr>
            <w:r w:rsidRPr="0056047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F24B3D2" w14:textId="77777777" w:rsidR="00E14120" w:rsidRPr="00560477" w:rsidRDefault="00E14120" w:rsidP="00F61EC7">
            <w:pPr>
              <w:rPr>
                <w:rFonts w:ascii="Verdana" w:eastAsia="Times New Roman" w:hAnsi="Verdana" w:cs="Arial"/>
                <w:sz w:val="16"/>
                <w:szCs w:val="16"/>
                <w:lang w:eastAsia="es-ES"/>
              </w:rPr>
            </w:pPr>
            <w:r w:rsidRPr="00560477">
              <w:rPr>
                <w:rFonts w:ascii="Verdana" w:eastAsia="Times New Roman" w:hAnsi="Verdana" w:cs="Arial"/>
                <w:sz w:val="16"/>
                <w:szCs w:val="16"/>
                <w:lang w:eastAsia="es-ES"/>
              </w:rPr>
              <w:t>Camila Alejandra Naranjo Gómez</w:t>
            </w:r>
          </w:p>
          <w:p w14:paraId="5E13384F" w14:textId="77777777" w:rsidR="00E14120" w:rsidRPr="00560477" w:rsidRDefault="00E14120" w:rsidP="00F61EC7">
            <w:pPr>
              <w:contextualSpacing/>
              <w:rPr>
                <w:rFonts w:ascii="Verdana" w:eastAsia="Arial" w:hAnsi="Verdana" w:cs="Arial"/>
                <w:sz w:val="16"/>
                <w:szCs w:val="16"/>
                <w:lang w:val="es-ES"/>
              </w:rPr>
            </w:pPr>
            <w:r w:rsidRPr="00560477">
              <w:rPr>
                <w:rFonts w:ascii="Verdana" w:eastAsia="Times New Roman" w:hAnsi="Verdana" w:cs="Arial"/>
                <w:sz w:val="16"/>
                <w:szCs w:val="16"/>
                <w:lang w:eastAsia="es-ES"/>
              </w:rPr>
              <w:t>Analista T2-02 de la Subdirección de Gestión Contractual</w:t>
            </w:r>
          </w:p>
        </w:tc>
      </w:tr>
      <w:tr w:rsidR="00E14120" w:rsidRPr="00560477" w14:paraId="4136FB47" w14:textId="77777777" w:rsidTr="00F61EC7">
        <w:trPr>
          <w:trHeight w:val="330"/>
        </w:trPr>
        <w:tc>
          <w:tcPr>
            <w:tcW w:w="893" w:type="dxa"/>
            <w:vAlign w:val="center"/>
            <w:hideMark/>
          </w:tcPr>
          <w:p w14:paraId="73F8B8AC" w14:textId="77777777" w:rsidR="00E14120" w:rsidRPr="00560477" w:rsidRDefault="00E14120" w:rsidP="00F61EC7">
            <w:pPr>
              <w:contextualSpacing/>
              <w:rPr>
                <w:rFonts w:ascii="Verdana" w:hAnsi="Verdana" w:cs="Arial"/>
                <w:sz w:val="16"/>
                <w:szCs w:val="16"/>
                <w:lang w:val="es-ES" w:eastAsia="es-ES"/>
              </w:rPr>
            </w:pPr>
            <w:r w:rsidRPr="0056047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D1886F" w14:textId="77777777" w:rsidR="00E14120" w:rsidRPr="00560477" w:rsidRDefault="00E14120" w:rsidP="00F61EC7">
            <w:pPr>
              <w:rPr>
                <w:rFonts w:ascii="Verdana" w:eastAsia="Times New Roman" w:hAnsi="Verdana" w:cs="Arial"/>
                <w:sz w:val="16"/>
                <w:szCs w:val="16"/>
                <w:lang w:eastAsia="es-ES"/>
              </w:rPr>
            </w:pPr>
            <w:r>
              <w:rPr>
                <w:rFonts w:ascii="Verdana" w:eastAsia="Times New Roman" w:hAnsi="Verdana" w:cs="Arial"/>
                <w:sz w:val="16"/>
                <w:szCs w:val="16"/>
                <w:lang w:eastAsia="es-ES"/>
              </w:rPr>
              <w:t>Juan David Cárdenas Cabezas</w:t>
            </w:r>
          </w:p>
          <w:p w14:paraId="2C6BDE2C" w14:textId="77777777" w:rsidR="00E14120" w:rsidRPr="00560477" w:rsidRDefault="00E14120" w:rsidP="00F61EC7">
            <w:pPr>
              <w:pStyle w:val="paragraph"/>
              <w:spacing w:before="0" w:beforeAutospacing="0" w:after="0" w:afterAutospacing="0"/>
              <w:contextualSpacing/>
              <w:textAlignment w:val="baseline"/>
              <w:rPr>
                <w:rFonts w:ascii="Verdana" w:hAnsi="Verdana" w:cs="Segoe UI"/>
                <w:sz w:val="16"/>
                <w:szCs w:val="16"/>
                <w:lang w:val="es-ES"/>
              </w:rPr>
            </w:pPr>
            <w:r w:rsidRPr="00560477">
              <w:rPr>
                <w:rFonts w:ascii="Verdana" w:hAnsi="Verdana" w:cs="Arial"/>
                <w:sz w:val="16"/>
                <w:szCs w:val="16"/>
                <w:lang w:eastAsia="es-ES"/>
              </w:rPr>
              <w:t>Contratista de la Subdirección de Gestión Contractual</w:t>
            </w:r>
          </w:p>
        </w:tc>
      </w:tr>
      <w:tr w:rsidR="00E14120" w:rsidRPr="00560477" w14:paraId="57641F72" w14:textId="77777777" w:rsidTr="00F61EC7">
        <w:trPr>
          <w:trHeight w:val="300"/>
        </w:trPr>
        <w:tc>
          <w:tcPr>
            <w:tcW w:w="893" w:type="dxa"/>
            <w:vAlign w:val="center"/>
          </w:tcPr>
          <w:p w14:paraId="75529C98" w14:textId="77777777" w:rsidR="00E14120" w:rsidRPr="00560477" w:rsidRDefault="00E14120" w:rsidP="00F61EC7">
            <w:pPr>
              <w:contextualSpacing/>
              <w:rPr>
                <w:rFonts w:ascii="Verdana" w:hAnsi="Verdana" w:cs="Arial"/>
                <w:sz w:val="16"/>
                <w:szCs w:val="16"/>
                <w:lang w:val="es-ES" w:eastAsia="es-ES"/>
              </w:rPr>
            </w:pPr>
            <w:r w:rsidRPr="0056047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4E7032" w14:textId="77777777" w:rsidR="00E14120" w:rsidRPr="00560477" w:rsidRDefault="00E14120" w:rsidP="00F61EC7">
            <w:pPr>
              <w:contextualSpacing/>
              <w:rPr>
                <w:rFonts w:ascii="Verdana" w:eastAsia="Calibri" w:hAnsi="Verdana" w:cs="Arial"/>
                <w:sz w:val="16"/>
                <w:szCs w:val="16"/>
                <w:lang w:val="es-ES" w:eastAsia="es-ES"/>
              </w:rPr>
            </w:pPr>
            <w:r w:rsidRPr="00560477">
              <w:rPr>
                <w:rFonts w:ascii="Verdana" w:eastAsia="Calibri" w:hAnsi="Verdana" w:cs="Arial"/>
                <w:sz w:val="16"/>
                <w:szCs w:val="16"/>
                <w:lang w:val="es-ES" w:eastAsia="es-ES"/>
              </w:rPr>
              <w:t>Carolina Quintero Gacharná</w:t>
            </w:r>
          </w:p>
          <w:p w14:paraId="45332D78" w14:textId="77777777" w:rsidR="00E14120" w:rsidRPr="00560477" w:rsidRDefault="00E14120" w:rsidP="00F61EC7">
            <w:pPr>
              <w:contextualSpacing/>
              <w:rPr>
                <w:rFonts w:ascii="Verdana" w:eastAsia="Calibri" w:hAnsi="Verdana" w:cs="Arial"/>
                <w:sz w:val="16"/>
                <w:szCs w:val="16"/>
                <w:lang w:val="es-ES" w:eastAsia="es-ES"/>
              </w:rPr>
            </w:pPr>
            <w:r w:rsidRPr="00560477">
              <w:rPr>
                <w:rFonts w:ascii="Verdana" w:eastAsia="Calibri" w:hAnsi="Verdana" w:cs="Arial"/>
                <w:sz w:val="16"/>
                <w:szCs w:val="16"/>
                <w:lang w:val="es-ES" w:eastAsia="es-ES"/>
              </w:rPr>
              <w:t>Subdirectora de Gestión Contractual ANCP – CCE</w:t>
            </w:r>
          </w:p>
        </w:tc>
      </w:tr>
    </w:tbl>
    <w:p w14:paraId="371743DD" w14:textId="77777777" w:rsidR="00E14120" w:rsidRPr="00560477" w:rsidRDefault="00E14120" w:rsidP="00E14120">
      <w:pPr>
        <w:spacing w:after="120" w:line="276" w:lineRule="auto"/>
        <w:jc w:val="both"/>
        <w:rPr>
          <w:rFonts w:ascii="Verdana" w:eastAsia="Century Gothic" w:hAnsi="Verdana" w:cs="Century Gothic"/>
          <w:b/>
          <w:color w:val="7030A0"/>
        </w:rPr>
      </w:pPr>
    </w:p>
    <w:bookmarkEnd w:id="0"/>
    <w:p w14:paraId="0F293BF4" w14:textId="72777237" w:rsidR="00127233" w:rsidRPr="00E14120" w:rsidRDefault="00127233" w:rsidP="00E14120"/>
    <w:sectPr w:rsidR="00127233" w:rsidRPr="00E14120"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A53DE8" w14:textId="77777777" w:rsidR="005F370B" w:rsidRDefault="005F370B" w:rsidP="004A1847">
      <w:pPr>
        <w:spacing w:after="0" w:line="240" w:lineRule="auto"/>
      </w:pPr>
      <w:r>
        <w:separator/>
      </w:r>
    </w:p>
  </w:endnote>
  <w:endnote w:type="continuationSeparator" w:id="0">
    <w:p w14:paraId="29F1E2FC" w14:textId="77777777" w:rsidR="005F370B" w:rsidRDefault="005F370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2B7EB7" w14:textId="77777777" w:rsidR="005F370B" w:rsidRDefault="005F370B" w:rsidP="004A1847">
      <w:pPr>
        <w:spacing w:after="0" w:line="240" w:lineRule="auto"/>
      </w:pPr>
      <w:r>
        <w:separator/>
      </w:r>
    </w:p>
  </w:footnote>
  <w:footnote w:type="continuationSeparator" w:id="0">
    <w:p w14:paraId="4B52C00D" w14:textId="77777777" w:rsidR="005F370B" w:rsidRDefault="005F370B" w:rsidP="004A1847">
      <w:pPr>
        <w:spacing w:after="0" w:line="240" w:lineRule="auto"/>
      </w:pPr>
      <w:r>
        <w:continuationSeparator/>
      </w:r>
    </w:p>
  </w:footnote>
  <w:footnote w:id="1">
    <w:p w14:paraId="49BD24E4" w14:textId="77777777" w:rsidR="00E14120" w:rsidRPr="00F266FF" w:rsidRDefault="00E14120" w:rsidP="00E14120">
      <w:pPr>
        <w:pStyle w:val="NormalWeb"/>
        <w:snapToGrid w:val="0"/>
        <w:spacing w:before="0" w:beforeAutospacing="0" w:after="0" w:afterAutospacing="0"/>
        <w:ind w:firstLine="709"/>
        <w:contextualSpacing/>
        <w:jc w:val="both"/>
        <w:rPr>
          <w:rFonts w:ascii="Verdana" w:hAnsi="Verdana" w:cs="Arial"/>
          <w:sz w:val="16"/>
          <w:szCs w:val="16"/>
        </w:rPr>
      </w:pPr>
      <w:r w:rsidRPr="00F266FF">
        <w:rPr>
          <w:rStyle w:val="Refdenotaalpie"/>
          <w:rFonts w:ascii="Verdana" w:hAnsi="Verdana" w:cs="Arial"/>
          <w:sz w:val="16"/>
          <w:szCs w:val="16"/>
        </w:rPr>
        <w:footnoteRef/>
      </w:r>
      <w:r w:rsidRPr="00F266FF">
        <w:rPr>
          <w:rFonts w:ascii="Verdana" w:hAnsi="Verdana" w:cs="Arial"/>
          <w:sz w:val="16"/>
          <w:szCs w:val="16"/>
        </w:rPr>
        <w:t xml:space="preserve"> </w:t>
      </w:r>
      <w:r w:rsidRPr="00F266FF">
        <w:rPr>
          <w:rFonts w:ascii="Verdana" w:hAnsi="Verdana" w:cs="Arial"/>
          <w:sz w:val="16"/>
          <w:szCs w:val="16"/>
          <w:lang w:val="es-ES"/>
        </w:rPr>
        <w:t>“</w:t>
      </w:r>
      <w:r w:rsidRPr="00F266FF">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783D18AA" w14:textId="77777777" w:rsidR="00E14120" w:rsidRPr="00F266FF" w:rsidRDefault="00E14120" w:rsidP="00E14120">
      <w:pPr>
        <w:snapToGrid w:val="0"/>
        <w:spacing w:after="0" w:line="240" w:lineRule="auto"/>
        <w:ind w:firstLine="708"/>
        <w:contextualSpacing/>
        <w:jc w:val="both"/>
        <w:rPr>
          <w:rFonts w:ascii="Verdana" w:hAnsi="Verdana" w:cs="Arial"/>
          <w:sz w:val="16"/>
          <w:szCs w:val="16"/>
        </w:rPr>
      </w:pPr>
      <w:r w:rsidRPr="00F266FF">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2">
    <w:p w14:paraId="5AE829CB" w14:textId="77777777" w:rsidR="00E14120" w:rsidRPr="00F266FF" w:rsidRDefault="00E14120" w:rsidP="00E14120">
      <w:pPr>
        <w:pStyle w:val="NormalWeb"/>
        <w:spacing w:before="0" w:beforeAutospacing="0" w:after="0" w:afterAutospacing="0"/>
        <w:ind w:firstLine="708"/>
        <w:jc w:val="both"/>
        <w:rPr>
          <w:rFonts w:ascii="Verdana" w:hAnsi="Verdana" w:cs="Arial"/>
          <w:color w:val="000000" w:themeColor="text1"/>
          <w:sz w:val="16"/>
          <w:szCs w:val="16"/>
        </w:rPr>
      </w:pPr>
      <w:r w:rsidRPr="00F266FF">
        <w:rPr>
          <w:rStyle w:val="Refdenotaalpie"/>
          <w:rFonts w:ascii="Verdana" w:hAnsi="Verdana" w:cs="Arial"/>
          <w:color w:val="000000" w:themeColor="text1"/>
          <w:sz w:val="16"/>
          <w:szCs w:val="16"/>
        </w:rPr>
        <w:footnoteRef/>
      </w:r>
      <w:r w:rsidRPr="00F266FF">
        <w:rPr>
          <w:rFonts w:ascii="Verdana" w:hAnsi="Verdana" w:cs="Arial"/>
          <w:color w:val="000000" w:themeColor="text1"/>
          <w:sz w:val="16"/>
          <w:szCs w:val="16"/>
        </w:rPr>
        <w:t xml:space="preserve"> </w:t>
      </w:r>
      <w:r w:rsidRPr="00F266FF">
        <w:rPr>
          <w:rFonts w:ascii="Verdana" w:hAnsi="Verdana" w:cs="Arial"/>
          <w:color w:val="000000" w:themeColor="text1"/>
          <w:sz w:val="16"/>
          <w:szCs w:val="16"/>
          <w:lang w:val="es-ES"/>
        </w:rPr>
        <w:t xml:space="preserve">Artículo 6 Ley 1150 de 2007 </w:t>
      </w:r>
      <w:r w:rsidRPr="00F266FF">
        <w:rPr>
          <w:rFonts w:ascii="Verdana" w:eastAsia="Calibri" w:hAnsi="Verdana" w:cs="Arial"/>
          <w:i/>
          <w:iCs/>
          <w:color w:val="000000" w:themeColor="text1"/>
          <w:sz w:val="16"/>
          <w:szCs w:val="16"/>
          <w:lang w:val="es-ES_tradnl"/>
        </w:rPr>
        <w:t>“</w:t>
      </w:r>
      <w:r w:rsidRPr="00F266FF">
        <w:rPr>
          <w:rFonts w:ascii="Verdana" w:hAnsi="Verdana" w:cs="Arial"/>
          <w:color w:val="000000" w:themeColor="text1"/>
          <w:sz w:val="16"/>
          <w:szCs w:val="16"/>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7982A4A" w14:textId="77777777" w:rsidR="00E14120" w:rsidRPr="00F266FF" w:rsidRDefault="00E14120" w:rsidP="00E14120">
      <w:pPr>
        <w:pStyle w:val="NormalWeb"/>
        <w:spacing w:before="0" w:beforeAutospacing="0" w:after="0" w:afterAutospacing="0"/>
        <w:ind w:firstLine="708"/>
        <w:jc w:val="both"/>
        <w:rPr>
          <w:rFonts w:ascii="Verdana" w:hAnsi="Verdana" w:cs="Arial"/>
          <w:color w:val="000000" w:themeColor="text1"/>
          <w:sz w:val="16"/>
          <w:szCs w:val="16"/>
        </w:rPr>
      </w:pPr>
      <w:r>
        <w:rPr>
          <w:rFonts w:ascii="Verdana" w:hAnsi="Verdana" w:cs="Arial"/>
          <w:color w:val="000000" w:themeColor="text1"/>
          <w:sz w:val="16"/>
          <w:szCs w:val="16"/>
        </w:rPr>
        <w:t>(</w:t>
      </w:r>
      <w:r w:rsidRPr="00F266FF">
        <w:rPr>
          <w:rFonts w:ascii="Verdana" w:hAnsi="Verdana" w:cs="Arial"/>
          <w:color w:val="000000" w:themeColor="text1"/>
          <w:sz w:val="16"/>
          <w:szCs w:val="16"/>
        </w:rPr>
        <w:t>…</w:t>
      </w:r>
      <w:r>
        <w:rPr>
          <w:rFonts w:ascii="Verdana" w:hAnsi="Verdana" w:cs="Arial"/>
          <w:color w:val="000000" w:themeColor="text1"/>
          <w:sz w:val="16"/>
          <w:szCs w:val="16"/>
        </w:rPr>
        <w:t>)</w:t>
      </w:r>
    </w:p>
    <w:p w14:paraId="439B0EAE" w14:textId="77777777" w:rsidR="00E14120" w:rsidRPr="00F266FF" w:rsidRDefault="00E14120" w:rsidP="00E14120">
      <w:pPr>
        <w:pStyle w:val="NormalWeb"/>
        <w:spacing w:before="0" w:beforeAutospacing="0" w:after="0" w:afterAutospacing="0"/>
        <w:ind w:firstLine="708"/>
        <w:jc w:val="both"/>
        <w:rPr>
          <w:rFonts w:ascii="Verdana" w:hAnsi="Verdana" w:cs="Arial"/>
          <w:color w:val="000000" w:themeColor="text1"/>
          <w:sz w:val="16"/>
          <w:szCs w:val="16"/>
        </w:rPr>
      </w:pPr>
      <w:r w:rsidRPr="00F266FF">
        <w:rPr>
          <w:rFonts w:ascii="Verdana" w:hAnsi="Verdana" w:cs="Arial"/>
          <w:color w:val="000000" w:themeColor="text1"/>
          <w:sz w:val="16"/>
          <w:szCs w:val="16"/>
        </w:rPr>
        <w:t>En dicho registro constará la información relacionada con la experiencia, capacidad jurídica, financiera y de organización del proponente y su clasificación</w:t>
      </w:r>
      <w:r w:rsidRPr="00F266FF">
        <w:rPr>
          <w:rFonts w:ascii="Verdana" w:eastAsia="Calibri" w:hAnsi="Verdana" w:cs="Arial"/>
          <w:i/>
          <w:iCs/>
          <w:color w:val="000000" w:themeColor="text1"/>
          <w:sz w:val="16"/>
          <w:szCs w:val="16"/>
          <w:lang w:val="es-ES_tradnl"/>
        </w:rPr>
        <w:t>”</w:t>
      </w:r>
      <w:r w:rsidRPr="00F266FF">
        <w:rPr>
          <w:rFonts w:ascii="Verdana" w:hAnsi="Verdana" w:cs="Arial"/>
          <w:color w:val="000000" w:themeColor="text1"/>
          <w:sz w:val="16"/>
          <w:szCs w:val="16"/>
        </w:rPr>
        <w:t>.</w:t>
      </w:r>
    </w:p>
  </w:footnote>
  <w:footnote w:id="3">
    <w:p w14:paraId="2E8F1316" w14:textId="77777777" w:rsidR="00E14120" w:rsidRPr="00E2347F" w:rsidRDefault="00E14120" w:rsidP="00E14120">
      <w:pPr>
        <w:spacing w:after="0" w:line="240" w:lineRule="auto"/>
        <w:ind w:firstLine="708"/>
        <w:jc w:val="both"/>
        <w:rPr>
          <w:rFonts w:ascii="Verdana" w:hAnsi="Verdana" w:cs="Arial"/>
          <w:color w:val="000000" w:themeColor="text1"/>
          <w:sz w:val="16"/>
          <w:szCs w:val="16"/>
        </w:rPr>
      </w:pPr>
      <w:r w:rsidRPr="00F266FF">
        <w:rPr>
          <w:rStyle w:val="Refdenotaalpie"/>
          <w:rFonts w:ascii="Verdana" w:hAnsi="Verdana" w:cs="Arial"/>
          <w:color w:val="000000" w:themeColor="text1"/>
          <w:sz w:val="16"/>
          <w:szCs w:val="16"/>
        </w:rPr>
        <w:footnoteRef/>
      </w:r>
      <w:r w:rsidRPr="00F266FF">
        <w:rPr>
          <w:rFonts w:ascii="Verdana" w:hAnsi="Verdana" w:cs="Arial"/>
          <w:color w:val="000000" w:themeColor="text1"/>
          <w:sz w:val="16"/>
          <w:szCs w:val="16"/>
        </w:rPr>
        <w:t xml:space="preserve"> </w:t>
      </w:r>
      <w:r w:rsidRPr="00F266FF">
        <w:rPr>
          <w:rFonts w:ascii="Verdana" w:hAnsi="Verdana" w:cs="Arial"/>
          <w:i/>
          <w:iCs/>
          <w:color w:val="000000" w:themeColor="text1"/>
          <w:sz w:val="16"/>
          <w:szCs w:val="16"/>
          <w:lang w:val="es-ES_tradnl"/>
        </w:rPr>
        <w:t>“</w:t>
      </w:r>
      <w:r w:rsidRPr="00F266FF">
        <w:rPr>
          <w:rFonts w:ascii="Verdana" w:hAnsi="Verdana" w:cs="Arial"/>
          <w:color w:val="000000" w:themeColor="text1"/>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sidRPr="00F266FF">
        <w:rPr>
          <w:rFonts w:ascii="Verdana" w:hAnsi="Verdana" w:cs="Arial"/>
          <w:i/>
          <w:iCs/>
          <w:sz w:val="16"/>
          <w:szCs w:val="16"/>
        </w:rPr>
        <w:t>”</w:t>
      </w:r>
      <w:r w:rsidRPr="00F266FF">
        <w:rPr>
          <w:rFonts w:ascii="Verdana" w:hAnsi="Verdana" w:cs="Arial"/>
          <w:color w:val="000000" w:themeColor="text1"/>
          <w:sz w:val="16"/>
          <w:szCs w:val="16"/>
        </w:rPr>
        <w:t xml:space="preserve">. </w:t>
      </w:r>
    </w:p>
  </w:footnote>
  <w:footnote w:id="4">
    <w:p w14:paraId="41DBFFB8" w14:textId="77777777" w:rsidR="00E14120" w:rsidRPr="00F266FF" w:rsidRDefault="00E14120" w:rsidP="00E14120">
      <w:pPr>
        <w:pStyle w:val="Textonotapie"/>
        <w:snapToGrid w:val="0"/>
        <w:ind w:firstLine="708"/>
        <w:jc w:val="both"/>
        <w:rPr>
          <w:rFonts w:ascii="Verdana" w:hAnsi="Verdana" w:cs="Arial"/>
          <w:sz w:val="16"/>
          <w:szCs w:val="16"/>
          <w:lang w:eastAsia="es-CO"/>
        </w:rPr>
      </w:pPr>
      <w:r w:rsidRPr="00F266FF">
        <w:rPr>
          <w:rStyle w:val="Refdenotaalpie"/>
          <w:rFonts w:ascii="Verdana" w:hAnsi="Verdana" w:cs="Arial"/>
          <w:sz w:val="16"/>
          <w:szCs w:val="16"/>
        </w:rPr>
        <w:footnoteRef/>
      </w:r>
      <w:r w:rsidRPr="00F266FF">
        <w:rPr>
          <w:rFonts w:ascii="Verdana" w:hAnsi="Verdana" w:cs="Arial"/>
          <w:sz w:val="16"/>
          <w:szCs w:val="16"/>
        </w:rPr>
        <w:t xml:space="preserve"> </w:t>
      </w:r>
      <w:r w:rsidRPr="00F266FF">
        <w:rPr>
          <w:rFonts w:ascii="Verdana" w:hAnsi="Verdana" w:cs="Arial"/>
          <w:sz w:val="16"/>
          <w:szCs w:val="16"/>
          <w:lang w:eastAsia="es-CO"/>
        </w:rPr>
        <w:t xml:space="preserve">Ley 1150 de 2007: “Artículo 6.  De la verificación de las condiciones de los proponentes. </w:t>
      </w:r>
      <w:r>
        <w:rPr>
          <w:rFonts w:ascii="Verdana" w:hAnsi="Verdana" w:cs="Arial"/>
          <w:sz w:val="16"/>
          <w:szCs w:val="16"/>
          <w:lang w:eastAsia="es-CO"/>
        </w:rPr>
        <w:t>(</w:t>
      </w:r>
      <w:r w:rsidRPr="00F266FF">
        <w:rPr>
          <w:rFonts w:ascii="Verdana" w:hAnsi="Verdana" w:cs="Arial"/>
          <w:sz w:val="16"/>
          <w:szCs w:val="16"/>
          <w:lang w:eastAsia="es-CO"/>
        </w:rPr>
        <w:t>...</w:t>
      </w:r>
      <w:r>
        <w:rPr>
          <w:rFonts w:ascii="Verdana" w:hAnsi="Verdana" w:cs="Arial"/>
          <w:sz w:val="16"/>
          <w:szCs w:val="16"/>
          <w:lang w:eastAsia="es-CO"/>
        </w:rPr>
        <w:t>)</w:t>
      </w:r>
      <w:r w:rsidRPr="00F266FF">
        <w:rPr>
          <w:rFonts w:ascii="Verdana" w:hAnsi="Verdana" w:cs="Arial"/>
          <w:sz w:val="16"/>
          <w:szCs w:val="16"/>
          <w:lang w:eastAsia="es-CO"/>
        </w:rPr>
        <w:t xml:space="preserve"> “No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Pr>
          <w:rFonts w:ascii="Verdana" w:hAnsi="Verdana" w:cs="Arial"/>
          <w:sz w:val="16"/>
          <w:szCs w:val="16"/>
          <w:lang w:eastAsia="es-CO"/>
        </w:rPr>
        <w:t>(</w:t>
      </w:r>
      <w:r w:rsidRPr="00F266FF">
        <w:rPr>
          <w:rFonts w:ascii="Verdana" w:hAnsi="Verdana" w:cs="Arial"/>
          <w:sz w:val="16"/>
          <w:szCs w:val="16"/>
          <w:lang w:eastAsia="es-CO"/>
        </w:rPr>
        <w:t>...</w:t>
      </w:r>
      <w:r>
        <w:rPr>
          <w:rFonts w:ascii="Verdana" w:hAnsi="Verdana" w:cs="Arial"/>
          <w:sz w:val="16"/>
          <w:szCs w:val="16"/>
          <w:lang w:eastAsia="es-CO"/>
        </w:rPr>
        <w:t>)</w:t>
      </w:r>
      <w:r w:rsidRPr="00F266FF">
        <w:rPr>
          <w:rFonts w:ascii="Verdana" w:hAnsi="Verdana" w:cs="Arial"/>
          <w:sz w:val="16"/>
          <w:szCs w:val="16"/>
          <w:lang w:eastAsia="es-CO"/>
        </w:rPr>
        <w:t xml:space="preserve">”. </w:t>
      </w:r>
    </w:p>
  </w:footnote>
  <w:footnote w:id="5">
    <w:p w14:paraId="2FEE0FAF" w14:textId="77777777" w:rsidR="00E14120" w:rsidRPr="00F266FF" w:rsidRDefault="00E14120" w:rsidP="00E14120">
      <w:pPr>
        <w:pStyle w:val="Textonotapie"/>
        <w:ind w:firstLine="708"/>
        <w:jc w:val="both"/>
        <w:rPr>
          <w:rFonts w:ascii="Verdana" w:hAnsi="Verdana" w:cs="Arial"/>
          <w:color w:val="000000" w:themeColor="text1"/>
          <w:sz w:val="16"/>
          <w:szCs w:val="16"/>
        </w:rPr>
      </w:pPr>
      <w:r w:rsidRPr="00F266FF">
        <w:rPr>
          <w:rStyle w:val="Refdenotaalpie"/>
          <w:rFonts w:ascii="Verdana" w:hAnsi="Verdana" w:cs="Arial"/>
          <w:color w:val="000000" w:themeColor="text1"/>
          <w:sz w:val="16"/>
          <w:szCs w:val="16"/>
        </w:rPr>
        <w:footnoteRef/>
      </w:r>
      <w:r w:rsidRPr="00F266FF">
        <w:rPr>
          <w:rFonts w:ascii="Verdana" w:hAnsi="Verdana" w:cs="Arial"/>
          <w:color w:val="000000" w:themeColor="text1"/>
          <w:sz w:val="16"/>
          <w:szCs w:val="16"/>
        </w:rPr>
        <w:t xml:space="preserve"> Esta norma prescribe que “Para que una persona se obligue a otra por un acto o declaración de voluntad, es necesario:</w:t>
      </w:r>
    </w:p>
    <w:p w14:paraId="5ADC7E3F" w14:textId="77777777" w:rsidR="00E14120" w:rsidRPr="00F266FF" w:rsidRDefault="00E14120" w:rsidP="00E14120">
      <w:pPr>
        <w:pStyle w:val="Textonotapie"/>
        <w:ind w:firstLine="708"/>
        <w:jc w:val="both"/>
        <w:rPr>
          <w:rFonts w:ascii="Verdana" w:hAnsi="Verdana" w:cs="Arial"/>
          <w:color w:val="000000" w:themeColor="text1"/>
          <w:sz w:val="16"/>
          <w:szCs w:val="16"/>
        </w:rPr>
      </w:pPr>
      <w:r w:rsidRPr="00F266FF">
        <w:rPr>
          <w:rFonts w:ascii="Verdana" w:hAnsi="Verdana" w:cs="Arial"/>
          <w:color w:val="000000" w:themeColor="text1"/>
          <w:sz w:val="16"/>
          <w:szCs w:val="16"/>
        </w:rPr>
        <w:t>1o.) que sea legalmente capaz;</w:t>
      </w:r>
    </w:p>
    <w:p w14:paraId="57E41046" w14:textId="77777777" w:rsidR="00E14120" w:rsidRPr="00F266FF" w:rsidRDefault="00E14120" w:rsidP="00E14120">
      <w:pPr>
        <w:pStyle w:val="Textonotapie"/>
        <w:ind w:firstLine="708"/>
        <w:jc w:val="both"/>
        <w:rPr>
          <w:rFonts w:ascii="Verdana" w:hAnsi="Verdana" w:cs="Arial"/>
          <w:color w:val="000000" w:themeColor="text1"/>
          <w:sz w:val="16"/>
          <w:szCs w:val="16"/>
        </w:rPr>
      </w:pPr>
      <w:r w:rsidRPr="00F266FF">
        <w:rPr>
          <w:rFonts w:ascii="Verdana" w:hAnsi="Verdana" w:cs="Arial"/>
          <w:color w:val="000000" w:themeColor="text1"/>
          <w:sz w:val="16"/>
          <w:szCs w:val="16"/>
        </w:rPr>
        <w:t>2o.) que consienta en dicho acto o declaración y su consentimiento no adolezca de vicio;</w:t>
      </w:r>
    </w:p>
    <w:p w14:paraId="63514204" w14:textId="77777777" w:rsidR="00E14120" w:rsidRPr="00F266FF" w:rsidRDefault="00E14120" w:rsidP="00E14120">
      <w:pPr>
        <w:pStyle w:val="Textonotapie"/>
        <w:ind w:firstLine="708"/>
        <w:jc w:val="both"/>
        <w:rPr>
          <w:rFonts w:ascii="Verdana" w:hAnsi="Verdana" w:cs="Arial"/>
          <w:color w:val="000000" w:themeColor="text1"/>
          <w:sz w:val="16"/>
          <w:szCs w:val="16"/>
        </w:rPr>
      </w:pPr>
      <w:r w:rsidRPr="00F266FF">
        <w:rPr>
          <w:rFonts w:ascii="Verdana" w:hAnsi="Verdana" w:cs="Arial"/>
          <w:color w:val="000000" w:themeColor="text1"/>
          <w:sz w:val="16"/>
          <w:szCs w:val="16"/>
        </w:rPr>
        <w:t>3o.) que recaiga sobre un objeto lícito;</w:t>
      </w:r>
    </w:p>
    <w:p w14:paraId="3F5E8592" w14:textId="77777777" w:rsidR="00E14120" w:rsidRPr="00F266FF" w:rsidRDefault="00E14120" w:rsidP="00E14120">
      <w:pPr>
        <w:pStyle w:val="Textonotapie"/>
        <w:ind w:firstLine="708"/>
        <w:jc w:val="both"/>
        <w:rPr>
          <w:rFonts w:ascii="Verdana" w:hAnsi="Verdana" w:cs="Arial"/>
          <w:color w:val="000000" w:themeColor="text1"/>
          <w:sz w:val="16"/>
          <w:szCs w:val="16"/>
        </w:rPr>
      </w:pPr>
      <w:r w:rsidRPr="00F266FF">
        <w:rPr>
          <w:rFonts w:ascii="Verdana" w:hAnsi="Verdana" w:cs="Arial"/>
          <w:color w:val="000000" w:themeColor="text1"/>
          <w:sz w:val="16"/>
          <w:szCs w:val="16"/>
        </w:rPr>
        <w:t>4o.) que tenga una causa lícita.</w:t>
      </w:r>
    </w:p>
    <w:p w14:paraId="2836FE05" w14:textId="77777777" w:rsidR="00E14120" w:rsidRPr="00F266FF" w:rsidRDefault="00E14120" w:rsidP="00E14120">
      <w:pPr>
        <w:pStyle w:val="Textonotapie"/>
        <w:ind w:firstLine="708"/>
        <w:jc w:val="both"/>
        <w:rPr>
          <w:rFonts w:ascii="Verdana" w:hAnsi="Verdana" w:cs="Arial"/>
          <w:color w:val="000000" w:themeColor="text1"/>
          <w:sz w:val="16"/>
          <w:szCs w:val="16"/>
        </w:rPr>
      </w:pPr>
      <w:r w:rsidRPr="00F266FF">
        <w:rPr>
          <w:rFonts w:ascii="Verdana" w:hAnsi="Verdana" w:cs="Arial"/>
          <w:color w:val="000000" w:themeColor="text1"/>
          <w:sz w:val="16"/>
          <w:szCs w:val="16"/>
        </w:rPr>
        <w:t>La capacidad legal de una persona consiste en poderse obligar por sí misma, y sin el ministerio o la autorización de otra”.</w:t>
      </w:r>
    </w:p>
  </w:footnote>
  <w:footnote w:id="6">
    <w:p w14:paraId="60BBC055" w14:textId="77777777" w:rsidR="00E14120" w:rsidRPr="00F22A64" w:rsidRDefault="00E14120" w:rsidP="00E14120">
      <w:pPr>
        <w:pStyle w:val="Textonotapie"/>
        <w:snapToGrid w:val="0"/>
        <w:ind w:firstLine="420"/>
        <w:jc w:val="both"/>
        <w:rPr>
          <w:rFonts w:ascii="Verdana" w:hAnsi="Verdana" w:cs="Arial"/>
          <w:color w:val="000000" w:themeColor="text1"/>
          <w:sz w:val="15"/>
          <w:szCs w:val="15"/>
        </w:rPr>
      </w:pPr>
      <w:r w:rsidRPr="00F266FF">
        <w:rPr>
          <w:rStyle w:val="Refdenotaalpie"/>
          <w:rFonts w:ascii="Verdana" w:hAnsi="Verdana" w:cs="Arial"/>
          <w:color w:val="000000" w:themeColor="text1"/>
          <w:sz w:val="16"/>
          <w:szCs w:val="16"/>
        </w:rPr>
        <w:footnoteRef/>
      </w:r>
      <w:r w:rsidRPr="00F266FF">
        <w:rPr>
          <w:rFonts w:ascii="Verdana" w:hAnsi="Verdana" w:cs="Arial"/>
          <w:color w:val="000000" w:themeColor="text1"/>
          <w:sz w:val="16"/>
          <w:szCs w:val="16"/>
          <w:lang w:val="pt-BR"/>
        </w:rPr>
        <w:t xml:space="preserve"> Corte Constitucional. Sala Plena. Sentencia C 178 de 29 de abril de 1996. </w:t>
      </w:r>
      <w:r w:rsidRPr="00F266FF">
        <w:rPr>
          <w:rFonts w:ascii="Verdana" w:hAnsi="Verdana" w:cs="Arial"/>
          <w:color w:val="000000" w:themeColor="text1"/>
          <w:sz w:val="16"/>
          <w:szCs w:val="16"/>
        </w:rPr>
        <w:t>Magistrado Ponente: Antonio Barrera Carbonell. Expediente No. D-974.</w:t>
      </w:r>
      <w:r w:rsidRPr="00F22A64">
        <w:rPr>
          <w:rFonts w:ascii="Verdana" w:hAnsi="Verdana" w:cs="Arial"/>
          <w:color w:val="000000" w:themeColor="text1"/>
          <w:sz w:val="15"/>
          <w:szCs w:val="15"/>
        </w:rPr>
        <w:t xml:space="preserve"> </w:t>
      </w:r>
    </w:p>
  </w:footnote>
  <w:footnote w:id="7">
    <w:p w14:paraId="1DCE77C4" w14:textId="77777777" w:rsidR="00E14120" w:rsidRPr="00E2347F" w:rsidRDefault="00E14120" w:rsidP="00E14120">
      <w:pPr>
        <w:pStyle w:val="Textonotapie"/>
        <w:ind w:firstLine="708"/>
        <w:jc w:val="both"/>
        <w:rPr>
          <w:rFonts w:ascii="Verdana" w:hAnsi="Verdana" w:cs="Arial"/>
          <w:color w:val="000000" w:themeColor="text1"/>
          <w:sz w:val="16"/>
          <w:szCs w:val="16"/>
        </w:rPr>
      </w:pPr>
      <w:r w:rsidRPr="00E2347F">
        <w:rPr>
          <w:rStyle w:val="Refdenotaalpie"/>
          <w:rFonts w:ascii="Verdana" w:hAnsi="Verdana"/>
          <w:color w:val="000000" w:themeColor="text1"/>
          <w:sz w:val="16"/>
          <w:szCs w:val="16"/>
        </w:rPr>
        <w:footnoteRef/>
      </w:r>
      <w:r w:rsidRPr="00E2347F">
        <w:rPr>
          <w:rFonts w:ascii="Verdana" w:hAnsi="Verdana"/>
          <w:color w:val="000000" w:themeColor="text1"/>
          <w:sz w:val="16"/>
          <w:szCs w:val="16"/>
        </w:rPr>
        <w:t xml:space="preserve"> </w:t>
      </w:r>
      <w:r w:rsidRPr="00E2347F">
        <w:rPr>
          <w:rFonts w:ascii="Verdana" w:hAnsi="Verdana" w:cs="Arial"/>
          <w:color w:val="000000" w:themeColor="text1"/>
          <w:sz w:val="16"/>
          <w:szCs w:val="16"/>
        </w:rPr>
        <w:t>JOSSERAND, Louis. Derecho civil: teorías generales del derecho y de los derechos. Las personas. Tomo I. Volumen I. Buenos Aires: EJEA, 1952. pp. 262-263.</w:t>
      </w:r>
    </w:p>
  </w:footnote>
  <w:footnote w:id="8">
    <w:p w14:paraId="14D5497C" w14:textId="77777777" w:rsidR="00E14120" w:rsidRPr="00E2347F" w:rsidRDefault="00E14120" w:rsidP="00E14120">
      <w:pPr>
        <w:pStyle w:val="Textonotapie"/>
        <w:ind w:firstLine="708"/>
        <w:jc w:val="both"/>
        <w:rPr>
          <w:rFonts w:ascii="Verdana" w:hAnsi="Verdana"/>
          <w:sz w:val="16"/>
          <w:szCs w:val="16"/>
        </w:rPr>
      </w:pPr>
      <w:r w:rsidRPr="00E2347F">
        <w:rPr>
          <w:rStyle w:val="Refdenotaalpie"/>
          <w:rFonts w:ascii="Verdana" w:hAnsi="Verdana"/>
          <w:sz w:val="16"/>
          <w:szCs w:val="16"/>
        </w:rPr>
        <w:footnoteRef/>
      </w:r>
      <w:r w:rsidRPr="00E2347F">
        <w:rPr>
          <w:rFonts w:ascii="Verdana" w:hAnsi="Verdana"/>
          <w:sz w:val="16"/>
          <w:szCs w:val="16"/>
        </w:rPr>
        <w:t xml:space="preserve"> En esta medida, la limitación de la capacidad de ejercicio de los menores de edad tiene su fundamento en el artículo 1504 del Código Civil, el cual –después de la modificación introducida por el artículo 57 de la Ley 1996 de 2019– dispone que “Son absolutamente incapaces los impúberes. Sus actos no producen ni aún obligaciones naturales, y no admiten caución. Son también incapaces los menores púberes. Pero la incapacidad de estas personas no es absoluta y sus actos pueden tener valor en ciertas circunstancias y bajo ciertos respectos determinados por las leyes. Además de estas incapacidades hay otras particulares que consisten en la prohibición que la ley ha impuesto a ciertas personas para ejecutar ciertos actos”. </w:t>
      </w:r>
    </w:p>
  </w:footnote>
  <w:footnote w:id="9">
    <w:p w14:paraId="5570E520" w14:textId="77777777" w:rsidR="00E14120" w:rsidRPr="00E2347F" w:rsidRDefault="00E14120" w:rsidP="00E14120">
      <w:pPr>
        <w:pStyle w:val="Textonotapie"/>
        <w:ind w:firstLine="708"/>
        <w:jc w:val="both"/>
        <w:rPr>
          <w:rFonts w:ascii="Verdana" w:hAnsi="Verdana"/>
          <w:color w:val="000000" w:themeColor="text1"/>
          <w:sz w:val="16"/>
          <w:szCs w:val="16"/>
        </w:rPr>
      </w:pPr>
      <w:r w:rsidRPr="00E2347F">
        <w:rPr>
          <w:rStyle w:val="Refdenotaalpie"/>
          <w:rFonts w:ascii="Verdana" w:hAnsi="Verdana"/>
          <w:color w:val="000000" w:themeColor="text1"/>
          <w:sz w:val="16"/>
          <w:szCs w:val="16"/>
        </w:rPr>
        <w:footnoteRef/>
      </w:r>
      <w:r w:rsidRPr="00E2347F">
        <w:rPr>
          <w:rFonts w:ascii="Verdana" w:hAnsi="Verdana"/>
          <w:color w:val="000000" w:themeColor="text1"/>
          <w:sz w:val="16"/>
          <w:szCs w:val="16"/>
        </w:rPr>
        <w:t xml:space="preserve"> </w:t>
      </w:r>
      <w:r w:rsidRPr="00E2347F">
        <w:rPr>
          <w:rFonts w:ascii="Verdana" w:hAnsi="Verdana" w:cs="Arial"/>
          <w:color w:val="000000" w:themeColor="text1"/>
          <w:sz w:val="16"/>
          <w:szCs w:val="16"/>
        </w:rPr>
        <w:t>Consejo De Estado. Sección Tercera. Sentencia del 26 de enero de 2011. Rad. 36.408. C.P. Jaime Orlando Santofimio Gamboa.</w:t>
      </w:r>
      <w:r w:rsidRPr="00E2347F">
        <w:rPr>
          <w:rFonts w:ascii="Verdana" w:hAnsi="Verdana"/>
          <w:color w:val="000000" w:themeColor="text1"/>
          <w:sz w:val="16"/>
          <w:szCs w:val="16"/>
        </w:rPr>
        <w:t xml:space="preserve">  </w:t>
      </w:r>
    </w:p>
  </w:footnote>
  <w:footnote w:id="10">
    <w:p w14:paraId="6712D69D" w14:textId="77777777" w:rsidR="00E14120" w:rsidRPr="00E2347F" w:rsidRDefault="00E14120" w:rsidP="00E14120">
      <w:pPr>
        <w:pStyle w:val="Textonotapie"/>
        <w:ind w:firstLine="708"/>
        <w:jc w:val="both"/>
        <w:rPr>
          <w:rFonts w:ascii="Verdana" w:hAnsi="Verdana" w:cs="Arial"/>
          <w:color w:val="000000" w:themeColor="text1"/>
          <w:sz w:val="16"/>
          <w:szCs w:val="16"/>
        </w:rPr>
      </w:pPr>
      <w:r w:rsidRPr="00E2347F">
        <w:rPr>
          <w:rStyle w:val="Refdenotaalpie"/>
          <w:rFonts w:ascii="Verdana" w:hAnsi="Verdana"/>
          <w:color w:val="000000" w:themeColor="text1"/>
          <w:sz w:val="16"/>
          <w:szCs w:val="16"/>
        </w:rPr>
        <w:footnoteRef/>
      </w:r>
      <w:r w:rsidRPr="00E2347F">
        <w:rPr>
          <w:rFonts w:ascii="Verdana" w:hAnsi="Verdana"/>
          <w:color w:val="000000" w:themeColor="text1"/>
          <w:sz w:val="16"/>
          <w:szCs w:val="16"/>
        </w:rPr>
        <w:t xml:space="preserve"> </w:t>
      </w:r>
      <w:r w:rsidRPr="00E2347F">
        <w:rPr>
          <w:rFonts w:ascii="Verdana" w:hAnsi="Verdana" w:cs="Arial"/>
          <w:color w:val="000000" w:themeColor="text1"/>
          <w:sz w:val="16"/>
          <w:szCs w:val="16"/>
        </w:rPr>
        <w:t>Para estos efectos, la doctrina considera que “</w:t>
      </w:r>
      <w:r>
        <w:rPr>
          <w:rFonts w:ascii="Verdana" w:hAnsi="Verdana" w:cs="Arial"/>
          <w:color w:val="000000" w:themeColor="text1"/>
          <w:sz w:val="16"/>
          <w:szCs w:val="16"/>
        </w:rPr>
        <w:t>(</w:t>
      </w:r>
      <w:r w:rsidRPr="00E2347F">
        <w:rPr>
          <w:rFonts w:ascii="Verdana" w:hAnsi="Verdana" w:cs="Arial"/>
          <w:color w:val="000000" w:themeColor="text1"/>
          <w:sz w:val="16"/>
          <w:szCs w:val="16"/>
        </w:rPr>
        <w:t>…</w:t>
      </w:r>
      <w:r>
        <w:rPr>
          <w:rFonts w:ascii="Verdana" w:hAnsi="Verdana" w:cs="Arial"/>
          <w:color w:val="000000" w:themeColor="text1"/>
          <w:sz w:val="16"/>
          <w:szCs w:val="16"/>
        </w:rPr>
        <w:t>)</w:t>
      </w:r>
      <w:r w:rsidRPr="00E2347F">
        <w:rPr>
          <w:rFonts w:ascii="Verdana" w:hAnsi="Verdana" w:cs="Arial"/>
          <w:color w:val="000000" w:themeColor="text1"/>
          <w:sz w:val="16"/>
          <w:szCs w:val="16"/>
        </w:rPr>
        <w:t xml:space="preserve"> la incapacidad especial afecta únicamente a ciertas personas, impidiéndoles que puedan ejecutar actos específicos que la ley señala en cada caso; de modo que, para que sea aplicable, se requieren dos condiciones: la persona misma y el acto.</w:t>
      </w:r>
    </w:p>
    <w:p w14:paraId="58C024A4" w14:textId="77777777" w:rsidR="00E14120" w:rsidRPr="00E2347F" w:rsidRDefault="00E14120" w:rsidP="00E14120">
      <w:pPr>
        <w:pStyle w:val="Textonotapie"/>
        <w:ind w:firstLine="708"/>
        <w:jc w:val="both"/>
        <w:rPr>
          <w:rFonts w:ascii="Verdana" w:hAnsi="Verdana" w:cs="Arial"/>
          <w:color w:val="000000" w:themeColor="text1"/>
          <w:sz w:val="16"/>
          <w:szCs w:val="16"/>
        </w:rPr>
      </w:pPr>
      <w:r w:rsidRPr="00E2347F">
        <w:rPr>
          <w:rFonts w:ascii="Verdana" w:hAnsi="Verdana" w:cs="Arial"/>
          <w:color w:val="000000" w:themeColor="text1"/>
          <w:sz w:val="16"/>
          <w:szCs w:val="16"/>
        </w:rPr>
        <w:t>Si esas personas, que, por otra parte, son plenamente capaces para celebrar o ejecutar válidamente cualquier acto o contrato de la vida civil, celebran uno, para el cual son capaces, el acto o contrato es válido, porque la incapacidad sólo dice relación con el acto o contrato específico que la ley señala.</w:t>
      </w:r>
    </w:p>
    <w:p w14:paraId="5E4A9F16" w14:textId="77777777" w:rsidR="00E14120" w:rsidRPr="00E2347F" w:rsidRDefault="00E14120" w:rsidP="00E14120">
      <w:pPr>
        <w:pStyle w:val="Textonotapie"/>
        <w:ind w:firstLine="708"/>
        <w:jc w:val="both"/>
        <w:rPr>
          <w:rFonts w:ascii="Verdana" w:hAnsi="Verdana" w:cs="Arial"/>
          <w:color w:val="000000" w:themeColor="text1"/>
          <w:sz w:val="16"/>
          <w:szCs w:val="16"/>
        </w:rPr>
      </w:pPr>
      <w:r w:rsidRPr="00E2347F">
        <w:rPr>
          <w:rFonts w:ascii="Verdana" w:hAnsi="Verdana" w:cs="Arial"/>
          <w:color w:val="000000" w:themeColor="text1"/>
          <w:sz w:val="16"/>
          <w:szCs w:val="16"/>
        </w:rPr>
        <w:t>Igualmente, el acto o contrato para cuya ejecución o celebración la ley considera incapaz a ciertas y determinadas personas no tiene en sí nada de reprobable, y puede, por lo general, ser ejecutado por cualquier individuo, estando las más de las veces expresamente reglamentado por la legislación. Pero si es ejecutado por aquellas personas, la ley no permite su subsistencia y autoriza su anulación, porque no quiere que esas personas, que están en situaciones especiales, celebren o ejecuten tales actos o contratos.</w:t>
      </w:r>
    </w:p>
    <w:p w14:paraId="6FC60454" w14:textId="77777777" w:rsidR="00E14120" w:rsidRPr="00E2347F" w:rsidRDefault="00E14120" w:rsidP="00E14120">
      <w:pPr>
        <w:pStyle w:val="Textonotapie"/>
        <w:ind w:firstLine="708"/>
        <w:jc w:val="both"/>
        <w:rPr>
          <w:rFonts w:ascii="Verdana" w:hAnsi="Verdana" w:cs="Arial"/>
          <w:color w:val="000000" w:themeColor="text1"/>
          <w:sz w:val="16"/>
          <w:szCs w:val="16"/>
        </w:rPr>
      </w:pPr>
      <w:r w:rsidRPr="00E2347F">
        <w:rPr>
          <w:rFonts w:ascii="Verdana" w:hAnsi="Verdana" w:cs="Arial"/>
          <w:color w:val="000000" w:themeColor="text1"/>
          <w:sz w:val="16"/>
          <w:szCs w:val="16"/>
        </w:rPr>
        <w:t>En consecuencia, en las incapacidades especiales existe una relación íntima entre la calidad o estado de que está revestida una persona, y el acto específico que realiza. Por tal motivo, tratándose de una persona que no reúna esa calidad o estado, el acto puede ejecutarse sin ningún inconveniente; y en igual forma, tratándose de otro acto diverso, la persona que tenga esa calidad puede ejecutarlo válidamente. La incapacidad especial se produce, pues, por la conjunción de dos circunstancias, que deben coexistir: persona que reúna ciertas condiciones o que tenga un estado especial determinado por la ley, y acto cuya celebración sea prohibida a esa persona” (</w:t>
      </w:r>
      <w:bookmarkStart w:id="4" w:name="_Hlk35615848"/>
      <w:r w:rsidRPr="00E2347F">
        <w:rPr>
          <w:rFonts w:ascii="Verdana" w:hAnsi="Verdana" w:cs="Arial"/>
          <w:color w:val="000000" w:themeColor="text1"/>
          <w:sz w:val="16"/>
          <w:szCs w:val="16"/>
        </w:rPr>
        <w:t>ALESSADRI BESA, Arturo. La nulidad y la rescisión en el derecho civil chileno. Tomo I. Santiago de Chile: Ediar Editores LTDA, 1949. p. 471</w:t>
      </w:r>
      <w:bookmarkEnd w:id="4"/>
      <w:r w:rsidRPr="00E2347F">
        <w:rPr>
          <w:rFonts w:ascii="Verdana" w:hAnsi="Verdana" w:cs="Arial"/>
          <w:color w:val="000000" w:themeColor="text1"/>
          <w:sz w:val="16"/>
          <w:szCs w:val="16"/>
        </w:rPr>
        <w:t xml:space="preserve">). </w:t>
      </w:r>
    </w:p>
  </w:footnote>
  <w:footnote w:id="11">
    <w:p w14:paraId="1AA0F597" w14:textId="77777777" w:rsidR="00E14120" w:rsidRPr="00F455A3" w:rsidRDefault="00E14120" w:rsidP="00E14120">
      <w:pPr>
        <w:pStyle w:val="Textonotapie"/>
        <w:ind w:firstLine="708"/>
        <w:jc w:val="both"/>
        <w:rPr>
          <w:rFonts w:ascii="Verdana" w:hAnsi="Verdana"/>
          <w:sz w:val="16"/>
          <w:szCs w:val="16"/>
        </w:rPr>
      </w:pPr>
      <w:r w:rsidRPr="00F455A3">
        <w:rPr>
          <w:rStyle w:val="Refdenotaalpie"/>
          <w:rFonts w:ascii="Verdana" w:hAnsi="Verdana"/>
          <w:sz w:val="16"/>
          <w:szCs w:val="16"/>
        </w:rPr>
        <w:footnoteRef/>
      </w:r>
      <w:r>
        <w:rPr>
          <w:rFonts w:ascii="Verdana" w:hAnsi="Verdana"/>
          <w:sz w:val="16"/>
          <w:szCs w:val="16"/>
        </w:rPr>
        <w:t xml:space="preserve"> </w:t>
      </w:r>
      <w:r w:rsidRPr="00F455A3">
        <w:rPr>
          <w:rFonts w:ascii="Verdana" w:hAnsi="Verdana"/>
          <w:sz w:val="16"/>
          <w:szCs w:val="16"/>
        </w:rPr>
        <w:t xml:space="preserve">DEPARTAMENTO ADMINISTRATIVO NACIONAL DE ESTADÍSTICA. Clasificación Industrial Internacional Uniforme de todas las actividades económicas. Revisión 4 Adaptada para Colombia. 2022. Consultado el 19 de marzo de 2025 en la página web </w:t>
      </w:r>
      <w:hyperlink r:id="rId1" w:history="1">
        <w:r w:rsidRPr="00F455A3">
          <w:rPr>
            <w:rStyle w:val="Hipervnculo"/>
            <w:rFonts w:ascii="Verdana" w:hAnsi="Verdana"/>
            <w:sz w:val="16"/>
            <w:szCs w:val="16"/>
          </w:rPr>
          <w:t>https://www.dane.gov.co/files/sen/nomenclatura/ciiu/CIIU_Rev_4_AC2022.pdf</w:t>
        </w:r>
      </w:hyperlink>
      <w:r w:rsidRPr="00F455A3">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3FC064B"/>
    <w:multiLevelType w:val="hybridMultilevel"/>
    <w:tmpl w:val="12EA156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9"/>
  </w:num>
  <w:num w:numId="17" w16cid:durableId="17159332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1E98"/>
    <w:rsid w:val="00061B2A"/>
    <w:rsid w:val="00082362"/>
    <w:rsid w:val="000A683E"/>
    <w:rsid w:val="000B19B9"/>
    <w:rsid w:val="000C6F49"/>
    <w:rsid w:val="000D0334"/>
    <w:rsid w:val="000D5DA7"/>
    <w:rsid w:val="000F6486"/>
    <w:rsid w:val="00116940"/>
    <w:rsid w:val="00125105"/>
    <w:rsid w:val="00127233"/>
    <w:rsid w:val="0015699B"/>
    <w:rsid w:val="001A33BF"/>
    <w:rsid w:val="001E4177"/>
    <w:rsid w:val="001F0B24"/>
    <w:rsid w:val="001F7DC6"/>
    <w:rsid w:val="0022400B"/>
    <w:rsid w:val="00240ACB"/>
    <w:rsid w:val="002421BB"/>
    <w:rsid w:val="0025796E"/>
    <w:rsid w:val="002707A2"/>
    <w:rsid w:val="002717F6"/>
    <w:rsid w:val="00294F08"/>
    <w:rsid w:val="002951A0"/>
    <w:rsid w:val="002962BC"/>
    <w:rsid w:val="002A093D"/>
    <w:rsid w:val="002A0DD0"/>
    <w:rsid w:val="002A49AC"/>
    <w:rsid w:val="002A64FD"/>
    <w:rsid w:val="002B05E1"/>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44C6"/>
    <w:rsid w:val="005566E8"/>
    <w:rsid w:val="00574867"/>
    <w:rsid w:val="00591460"/>
    <w:rsid w:val="005A65E0"/>
    <w:rsid w:val="005C3777"/>
    <w:rsid w:val="005C5CDC"/>
    <w:rsid w:val="005D476C"/>
    <w:rsid w:val="005F370B"/>
    <w:rsid w:val="006200BF"/>
    <w:rsid w:val="006219F8"/>
    <w:rsid w:val="006302F7"/>
    <w:rsid w:val="00646B9F"/>
    <w:rsid w:val="00665D70"/>
    <w:rsid w:val="006900D9"/>
    <w:rsid w:val="006A38D5"/>
    <w:rsid w:val="00706C16"/>
    <w:rsid w:val="007340C3"/>
    <w:rsid w:val="0075235A"/>
    <w:rsid w:val="00756841"/>
    <w:rsid w:val="007649AB"/>
    <w:rsid w:val="00771D0C"/>
    <w:rsid w:val="00777D45"/>
    <w:rsid w:val="007833AC"/>
    <w:rsid w:val="00795149"/>
    <w:rsid w:val="007B268C"/>
    <w:rsid w:val="007B469B"/>
    <w:rsid w:val="007B7171"/>
    <w:rsid w:val="007C0C0F"/>
    <w:rsid w:val="007C3DC2"/>
    <w:rsid w:val="007E5497"/>
    <w:rsid w:val="00806F5F"/>
    <w:rsid w:val="00820278"/>
    <w:rsid w:val="008258C9"/>
    <w:rsid w:val="00844AE9"/>
    <w:rsid w:val="00867F95"/>
    <w:rsid w:val="00882C31"/>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F37DB"/>
    <w:rsid w:val="00B00764"/>
    <w:rsid w:val="00B00C0E"/>
    <w:rsid w:val="00B01B1A"/>
    <w:rsid w:val="00B0381D"/>
    <w:rsid w:val="00B12014"/>
    <w:rsid w:val="00B44A47"/>
    <w:rsid w:val="00B72CD3"/>
    <w:rsid w:val="00B72FFF"/>
    <w:rsid w:val="00BA78DD"/>
    <w:rsid w:val="00BC3D36"/>
    <w:rsid w:val="00BD54A6"/>
    <w:rsid w:val="00BD7F72"/>
    <w:rsid w:val="00BF7425"/>
    <w:rsid w:val="00C04FB3"/>
    <w:rsid w:val="00C11D8B"/>
    <w:rsid w:val="00C15139"/>
    <w:rsid w:val="00C330EB"/>
    <w:rsid w:val="00C50D69"/>
    <w:rsid w:val="00C5365C"/>
    <w:rsid w:val="00C65122"/>
    <w:rsid w:val="00C754BE"/>
    <w:rsid w:val="00C76B1C"/>
    <w:rsid w:val="00C8385A"/>
    <w:rsid w:val="00C925AC"/>
    <w:rsid w:val="00CB6357"/>
    <w:rsid w:val="00CC1B26"/>
    <w:rsid w:val="00D0009B"/>
    <w:rsid w:val="00D361FD"/>
    <w:rsid w:val="00D423A2"/>
    <w:rsid w:val="00D44E26"/>
    <w:rsid w:val="00D520D8"/>
    <w:rsid w:val="00D63AC2"/>
    <w:rsid w:val="00D7383B"/>
    <w:rsid w:val="00D7788A"/>
    <w:rsid w:val="00DA231B"/>
    <w:rsid w:val="00DC39FC"/>
    <w:rsid w:val="00DF5254"/>
    <w:rsid w:val="00E02524"/>
    <w:rsid w:val="00E14120"/>
    <w:rsid w:val="00E16408"/>
    <w:rsid w:val="00E17846"/>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D5A0A"/>
    <w:rsid w:val="00FF0DF2"/>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14120"/>
    <w:pPr>
      <w:spacing w:line="240" w:lineRule="exact"/>
    </w:pPr>
    <w:rPr>
      <w:vertAlign w:val="superscript"/>
    </w:rPr>
  </w:style>
  <w:style w:type="character" w:customStyle="1" w:styleId="NormalWebCar">
    <w:name w:val="Normal (Web) Car"/>
    <w:link w:val="NormalWeb"/>
    <w:uiPriority w:val="99"/>
    <w:locked/>
    <w:rsid w:val="00E14120"/>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14120"/>
    <w:rPr>
      <w:rFonts w:ascii="Geomanist Light" w:hAnsi="Geomanist Light"/>
      <w:lang w:val="es-ES"/>
    </w:rPr>
  </w:style>
  <w:style w:type="paragraph" w:styleId="Textoindependiente">
    <w:name w:val="Body Text"/>
    <w:basedOn w:val="Normal"/>
    <w:link w:val="TextoindependienteCar"/>
    <w:uiPriority w:val="1"/>
    <w:unhideWhenUsed/>
    <w:qFormat/>
    <w:rsid w:val="00E14120"/>
    <w:pPr>
      <w:spacing w:after="120"/>
    </w:pPr>
  </w:style>
  <w:style w:type="character" w:customStyle="1" w:styleId="TextoindependienteCar">
    <w:name w:val="Texto independiente Car"/>
    <w:basedOn w:val="Fuentedeprrafopredeter"/>
    <w:link w:val="Textoindependiente"/>
    <w:uiPriority w:val="1"/>
    <w:rsid w:val="00E141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dane.gov.co/files/sen/nomenclatura/ciiu/CIIU_Rev_4_AC2022.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fsanchez93@hot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dane.gov.co/files/sen/nomenclatura/ciiu/CIIU_Rev_4_AC202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2ABABBA-5E66-4928-8CEE-834DC4AE31D3}"/>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15</Pages>
  <Words>4768</Words>
  <Characters>26755</Characters>
  <Application>Microsoft Office Word</Application>
  <DocSecurity>0</DocSecurity>
  <Lines>535</Lines>
  <Paragraphs>123</Paragraphs>
  <ScaleCrop>false</ScaleCrop>
  <Company/>
  <LinksUpToDate>false</LinksUpToDate>
  <CharactersWithSpaces>31400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10</cp:revision>
  <cp:lastPrinted>2023-01-10T21:18:00Z</cp:lastPrinted>
  <dcterms:created xsi:type="dcterms:W3CDTF">2026-04-06T21:28:00Z</dcterms:created>
  <dcterms:modified xsi:type="dcterms:W3CDTF">2026-04-08T21:33:00Z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