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995B2" w14:textId="77777777" w:rsidR="008F50DF" w:rsidRPr="008F50DF" w:rsidRDefault="008F50DF" w:rsidP="008F50DF">
      <w:pPr>
        <w:spacing w:after="0" w:line="276" w:lineRule="auto"/>
        <w:jc w:val="both"/>
        <w:rPr>
          <w:rFonts w:ascii="Verdana" w:eastAsia="Calibri" w:hAnsi="Verdana" w:cs="Arial"/>
          <w:b/>
          <w:bCs/>
          <w:lang w:val="es-ES_tradnl"/>
        </w:rPr>
      </w:pPr>
      <w:bookmarkStart w:id="0" w:name="_Hlk143780582"/>
      <w:r w:rsidRPr="008F50DF">
        <w:rPr>
          <w:rFonts w:ascii="Verdana" w:eastAsia="Calibri" w:hAnsi="Verdana" w:cs="Arial"/>
          <w:b/>
          <w:bCs/>
          <w:lang w:val="es-ES_tradnl"/>
        </w:rPr>
        <w:t xml:space="preserve">DOCUMENTOS TIPO – Fundamento normativo – Obligatoriedad </w:t>
      </w:r>
    </w:p>
    <w:p w14:paraId="3DB0B870" w14:textId="77777777" w:rsidR="008F50DF" w:rsidRPr="008F50DF" w:rsidRDefault="008F50DF" w:rsidP="008F50DF">
      <w:pPr>
        <w:spacing w:after="0" w:line="276" w:lineRule="auto"/>
        <w:jc w:val="both"/>
        <w:rPr>
          <w:rFonts w:ascii="Verdana" w:eastAsia="Calibri" w:hAnsi="Verdana" w:cs="Arial"/>
          <w:b/>
          <w:bCs/>
          <w:sz w:val="20"/>
          <w:szCs w:val="20"/>
          <w:lang w:val="es-ES_tradnl"/>
        </w:rPr>
      </w:pPr>
    </w:p>
    <w:p w14:paraId="3FA07462" w14:textId="77777777" w:rsidR="008F50DF" w:rsidRPr="008F50DF" w:rsidRDefault="008F50DF" w:rsidP="008F50DF">
      <w:pPr>
        <w:tabs>
          <w:tab w:val="left" w:pos="709"/>
        </w:tabs>
        <w:spacing w:after="0" w:line="240" w:lineRule="auto"/>
        <w:jc w:val="both"/>
        <w:rPr>
          <w:rFonts w:ascii="Verdana" w:eastAsia="Calibri" w:hAnsi="Verdana" w:cs="Arial"/>
          <w:sz w:val="20"/>
          <w:szCs w:val="20"/>
          <w:lang w:val="es-ES"/>
        </w:rPr>
      </w:pPr>
      <w:r w:rsidRPr="008F50DF">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99DA953" w14:textId="77777777" w:rsidR="008F50DF" w:rsidRPr="008F50DF" w:rsidRDefault="008F50DF" w:rsidP="008F50DF">
      <w:pPr>
        <w:spacing w:after="0" w:line="276" w:lineRule="auto"/>
        <w:jc w:val="both"/>
        <w:rPr>
          <w:rFonts w:ascii="Verdana" w:eastAsia="Calibri" w:hAnsi="Verdana" w:cs="Arial"/>
          <w:b/>
          <w:bCs/>
          <w:lang w:val="es-ES_tradnl"/>
        </w:rPr>
      </w:pPr>
    </w:p>
    <w:p w14:paraId="007580D7" w14:textId="77777777" w:rsidR="008F50DF" w:rsidRPr="008F50DF" w:rsidRDefault="008F50DF" w:rsidP="008F50DF">
      <w:pPr>
        <w:widowControl w:val="0"/>
        <w:autoSpaceDE w:val="0"/>
        <w:autoSpaceDN w:val="0"/>
        <w:spacing w:after="0" w:line="276" w:lineRule="auto"/>
        <w:jc w:val="both"/>
        <w:rPr>
          <w:rFonts w:ascii="Verdana" w:eastAsia="Calibri" w:hAnsi="Verdana" w:cs="Times New Roman"/>
          <w:b/>
          <w:bCs/>
          <w:lang w:val="es-ES"/>
        </w:rPr>
      </w:pPr>
      <w:r w:rsidRPr="008F50DF">
        <w:rPr>
          <w:rFonts w:ascii="Verdana" w:eastAsia="Calibri" w:hAnsi="Verdana" w:cs="Arial"/>
          <w:b/>
          <w:bCs/>
          <w:lang w:val="es-ES_tradnl"/>
        </w:rPr>
        <w:t>SECTOR SOCIAL</w:t>
      </w:r>
      <w:r w:rsidRPr="008F50DF">
        <w:rPr>
          <w:rFonts w:ascii="Verdana" w:eastAsia="Calibri" w:hAnsi="Verdana" w:cs="Times New Roman"/>
          <w:lang w:val="es-ES"/>
        </w:rPr>
        <w:t xml:space="preserve"> </w:t>
      </w:r>
      <w:r w:rsidRPr="008F50DF">
        <w:rPr>
          <w:rFonts w:ascii="Verdana" w:eastAsia="Calibri" w:hAnsi="Verdana" w:cs="Times New Roman"/>
          <w:b/>
          <w:bCs/>
          <w:lang w:val="es-ES"/>
        </w:rPr>
        <w:t>– Documentos tipo – Vigentes</w:t>
      </w:r>
    </w:p>
    <w:p w14:paraId="36DC679C" w14:textId="77777777" w:rsidR="008F50DF" w:rsidRPr="008F50DF" w:rsidRDefault="008F50DF" w:rsidP="008F50DF">
      <w:pPr>
        <w:widowControl w:val="0"/>
        <w:autoSpaceDE w:val="0"/>
        <w:autoSpaceDN w:val="0"/>
        <w:spacing w:after="0" w:line="276" w:lineRule="auto"/>
        <w:jc w:val="both"/>
        <w:rPr>
          <w:rFonts w:ascii="Verdana" w:eastAsia="Calibri" w:hAnsi="Verdana" w:cs="Times New Roman"/>
          <w:b/>
          <w:bCs/>
          <w:lang w:val="es-ES"/>
        </w:rPr>
      </w:pPr>
    </w:p>
    <w:p w14:paraId="407FABA8"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b/>
          <w:bCs/>
          <w:sz w:val="20"/>
          <w:szCs w:val="20"/>
          <w:lang w:val="es-ES"/>
        </w:rPr>
      </w:pPr>
      <w:r w:rsidRPr="008F50DF">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7CE9251E" w14:textId="77777777" w:rsidR="008F50DF" w:rsidRPr="008F50DF" w:rsidRDefault="008F50DF" w:rsidP="008F50DF">
      <w:pPr>
        <w:widowControl w:val="0"/>
        <w:autoSpaceDE w:val="0"/>
        <w:autoSpaceDN w:val="0"/>
        <w:spacing w:after="0" w:line="276" w:lineRule="auto"/>
        <w:jc w:val="both"/>
        <w:rPr>
          <w:rFonts w:ascii="Verdana" w:eastAsia="Calibri" w:hAnsi="Verdana" w:cs="Times New Roman"/>
          <w:lang w:val="es-ES"/>
        </w:rPr>
      </w:pPr>
    </w:p>
    <w:p w14:paraId="1741EEFB" w14:textId="77777777" w:rsidR="008F50DF" w:rsidRPr="008F50DF" w:rsidRDefault="008F50DF" w:rsidP="008F50DF">
      <w:pPr>
        <w:spacing w:after="0" w:line="276" w:lineRule="auto"/>
        <w:jc w:val="both"/>
        <w:rPr>
          <w:rFonts w:ascii="Verdana" w:eastAsia="Calibri" w:hAnsi="Verdana" w:cs="Times New Roman"/>
          <w:sz w:val="20"/>
          <w:szCs w:val="20"/>
          <w:lang w:val="es-ES"/>
        </w:rPr>
      </w:pPr>
      <w:r w:rsidRPr="008F50DF">
        <w:rPr>
          <w:rFonts w:ascii="Verdana" w:eastAsia="Calibri" w:hAnsi="Verdana" w:cs="Times New Roman"/>
          <w:b/>
          <w:bCs/>
          <w:lang w:val="es-ES"/>
        </w:rPr>
        <w:t xml:space="preserve">DOCUMENTOS TIPO – Aplicación – Matriz de Experiencia </w:t>
      </w:r>
    </w:p>
    <w:p w14:paraId="5779C90E" w14:textId="77777777" w:rsidR="008F50DF" w:rsidRPr="008F50DF" w:rsidRDefault="008F50DF" w:rsidP="008F50DF">
      <w:pPr>
        <w:spacing w:after="0" w:line="240" w:lineRule="auto"/>
        <w:rPr>
          <w:rFonts w:ascii="Verdana" w:eastAsia="Geomanist Light" w:hAnsi="Verdana" w:cs="Arial"/>
          <w:lang w:val="es-MX"/>
        </w:rPr>
      </w:pPr>
    </w:p>
    <w:p w14:paraId="76230EED"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sz w:val="20"/>
          <w:szCs w:val="20"/>
          <w:lang w:val="es-ES"/>
        </w:rPr>
      </w:pPr>
      <w:r w:rsidRPr="008F50DF">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A008911"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sz w:val="20"/>
          <w:szCs w:val="20"/>
          <w:lang w:val="es-ES"/>
        </w:rPr>
      </w:pPr>
    </w:p>
    <w:p w14:paraId="41972B77"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sz w:val="20"/>
          <w:szCs w:val="20"/>
          <w:lang w:val="es-ES"/>
        </w:rPr>
      </w:pPr>
      <w:r w:rsidRPr="008F50DF">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F6B4959"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sz w:val="20"/>
          <w:szCs w:val="20"/>
          <w:lang w:val="es-ES"/>
        </w:rPr>
      </w:pPr>
    </w:p>
    <w:p w14:paraId="31E9C25C"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b/>
          <w:bCs/>
          <w:lang w:val="es-ES"/>
        </w:rPr>
      </w:pPr>
      <w:r w:rsidRPr="008F50DF">
        <w:rPr>
          <w:rFonts w:ascii="Verdana" w:eastAsia="Calibri" w:hAnsi="Verdana" w:cs="Times New Roman"/>
          <w:b/>
          <w:bCs/>
          <w:lang w:val="es-ES"/>
        </w:rPr>
        <w:t>DOCUMENTOS TIPO – Sector educativo – Actividad – Suministro e instalación – Alcance</w:t>
      </w:r>
    </w:p>
    <w:p w14:paraId="6FD213E4"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b/>
          <w:bCs/>
          <w:lang w:val="es-ES"/>
        </w:rPr>
      </w:pPr>
    </w:p>
    <w:p w14:paraId="6952152D"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r w:rsidRPr="008F50DF">
        <w:rPr>
          <w:rFonts w:ascii="Verdana" w:eastAsia="Calibri" w:hAnsi="Verdana" w:cs="Times New Roman"/>
          <w:sz w:val="20"/>
          <w:szCs w:val="20"/>
          <w:lang w:val="es-ES" w:eastAsia="es-MX"/>
        </w:rPr>
        <w:t xml:space="preserve">(…) </w:t>
      </w:r>
      <w:r w:rsidRPr="008F50DF">
        <w:rPr>
          <w:rFonts w:ascii="Verdana" w:eastAsia="Times New Roman" w:hAnsi="Verdana" w:cs="Times New Roman"/>
          <w:color w:val="000000"/>
          <w:sz w:val="20"/>
          <w:szCs w:val="20"/>
          <w:lang w:eastAsia="es-CO"/>
        </w:rPr>
        <w:t xml:space="preserve">en su solicitud usted indaga sobre la aplicación de las actividades 1.12, 1.14 y 1.16 contenidas en la Matriz 1 – Experiencia para un contrato que tiene por objeto la dotación </w:t>
      </w:r>
      <w:r w:rsidRPr="008F50DF">
        <w:rPr>
          <w:rFonts w:ascii="Verdana" w:eastAsia="Times New Roman" w:hAnsi="Verdana" w:cs="Times New Roman"/>
          <w:color w:val="000000"/>
          <w:sz w:val="20"/>
          <w:szCs w:val="20"/>
          <w:lang w:eastAsia="es-CO"/>
        </w:rPr>
        <w:lastRenderedPageBreak/>
        <w:t xml:space="preserve">de infraestructura educativa. De esta forma, resulta pertinente establecer el alcance de las actividades mencionadas para determinar si estas se enmarcan o no en el proyecto que pretende contratar la entidad. </w:t>
      </w:r>
    </w:p>
    <w:p w14:paraId="0D03493A"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p>
    <w:p w14:paraId="521CDC6F"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r w:rsidRPr="008F50DF">
        <w:rPr>
          <w:rFonts w:ascii="Verdana" w:eastAsia="Times New Roman" w:hAnsi="Verdana" w:cs="Times New Roman"/>
          <w:color w:val="000000"/>
          <w:sz w:val="20"/>
          <w:szCs w:val="20"/>
          <w:lang w:eastAsia="es-CO"/>
        </w:rPr>
        <w:t>(…)</w:t>
      </w:r>
    </w:p>
    <w:p w14:paraId="3841682A"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p>
    <w:p w14:paraId="4045E4EE" w14:textId="77777777" w:rsidR="008F50DF" w:rsidRPr="008F50DF" w:rsidRDefault="008F50DF" w:rsidP="008F50DF">
      <w:pPr>
        <w:spacing w:after="0" w:line="240" w:lineRule="auto"/>
        <w:jc w:val="both"/>
        <w:rPr>
          <w:rFonts w:ascii="Verdana" w:eastAsia="Aptos" w:hAnsi="Verdana" w:cs="Times New Roman"/>
          <w:kern w:val="2"/>
          <w:sz w:val="20"/>
          <w:szCs w:val="20"/>
          <w:lang w:eastAsia="es-CO"/>
          <w14:ligatures w14:val="standardContextual"/>
        </w:rPr>
      </w:pPr>
      <w:r w:rsidRPr="008F50DF">
        <w:rPr>
          <w:rFonts w:ascii="Verdana" w:eastAsia="Aptos" w:hAnsi="Verdana" w:cs="Times New Roman"/>
          <w:kern w:val="2"/>
          <w:sz w:val="20"/>
          <w:szCs w:val="20"/>
          <w:lang w:eastAsia="es-CO"/>
          <w14:ligatures w14:val="standardContextual"/>
        </w:rPr>
        <w:t xml:space="preserve">(…) las actividades indicadas aplican para los procesos que adelanten las entidades obligadas a utilizar los documentos tipo, cuando correspondan al </w:t>
      </w:r>
      <w:r w:rsidRPr="008F50DF">
        <w:rPr>
          <w:rFonts w:ascii="Verdana" w:eastAsia="Aptos" w:hAnsi="Verdana" w:cs="Times New Roman"/>
          <w:i/>
          <w:iCs/>
          <w:kern w:val="2"/>
          <w:sz w:val="20"/>
          <w:szCs w:val="20"/>
          <w:lang w:eastAsia="es-CO"/>
          <w14:ligatures w14:val="standardContextual"/>
        </w:rPr>
        <w:t>suministro e instalación</w:t>
      </w:r>
      <w:r w:rsidRPr="008F50DF">
        <w:rPr>
          <w:rFonts w:ascii="Verdana" w:eastAsia="Aptos" w:hAnsi="Verdana" w:cs="Times New Roman"/>
          <w:kern w:val="2"/>
          <w:sz w:val="20"/>
          <w:szCs w:val="20"/>
          <w:lang w:eastAsia="es-CO"/>
          <w14:ligatures w14:val="standardContextual"/>
        </w:rPr>
        <w:t xml:space="preserve"> de mobiliario interno o externo (1.12), sistemas de aire acondicionado, sistemas de ventilación o similares (1.14), y equipos especiales, electromecánicos y/o electrónicos, maquinarias u otros tipos de equipos (1.16) sobre infraestructura educativa.</w:t>
      </w:r>
    </w:p>
    <w:p w14:paraId="546C57D9" w14:textId="77777777" w:rsidR="008F50DF" w:rsidRPr="008F50DF" w:rsidRDefault="008F50DF" w:rsidP="008F50DF">
      <w:pPr>
        <w:spacing w:after="0" w:line="240" w:lineRule="auto"/>
        <w:jc w:val="both"/>
        <w:rPr>
          <w:rFonts w:ascii="Verdana" w:eastAsia="Aptos" w:hAnsi="Verdana" w:cs="Times New Roman"/>
          <w:kern w:val="2"/>
          <w:sz w:val="20"/>
          <w:szCs w:val="20"/>
          <w:lang w:eastAsia="es-CO"/>
          <w14:ligatures w14:val="standardContextual"/>
        </w:rPr>
      </w:pPr>
    </w:p>
    <w:p w14:paraId="5B73146B"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r w:rsidRPr="008F50DF">
        <w:rPr>
          <w:rFonts w:ascii="Verdana" w:eastAsia="Times New Roman" w:hAnsi="Verdana" w:cs="Times New Roman"/>
          <w:color w:val="000000"/>
          <w:sz w:val="20"/>
          <w:szCs w:val="20"/>
          <w:lang w:eastAsia="es-CO"/>
        </w:rPr>
        <w:t>De esta forma, la actividad de suministro está ligada a la actividad de instalación de los muebles mencionados que se encuentran en edificaciones que hacen parte de la infraestructura educativa. Así, por sí sola, la actividad de suministro no requiere la aplicación de los documentos tipo expedidos por esta Agencia en el sector educativo. Es decir que, si una entidad pretende adelantar un proceso que tenga por objeto el suministro de mobiliario interno o externo, el suministro de sistemas de aire acondicionado, sistemas de ventilación o similares, y el suministro de equipos especiales, electromecánicos y/o electrónicos, maquinarias u otros tipos de equipos sobre infraestructura educativa, no tendrá que aplicar los documentos tipo expedidos por esta Agencia en el sector educativo.</w:t>
      </w:r>
    </w:p>
    <w:p w14:paraId="68E33EFC"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sz w:val="20"/>
          <w:szCs w:val="20"/>
          <w:highlight w:val="yellow"/>
          <w:lang w:val="es-ES"/>
        </w:rPr>
      </w:pPr>
    </w:p>
    <w:p w14:paraId="70F43BE3" w14:textId="77777777" w:rsidR="008F50DF" w:rsidRPr="008F50DF" w:rsidRDefault="008F50DF" w:rsidP="008F50DF">
      <w:pPr>
        <w:spacing w:after="0" w:line="240" w:lineRule="auto"/>
        <w:jc w:val="both"/>
        <w:rPr>
          <w:rFonts w:ascii="Verdana" w:eastAsia="Calibri" w:hAnsi="Verdana" w:cs="Arial"/>
          <w:b/>
          <w:bCs/>
          <w:color w:val="000000"/>
          <w:kern w:val="2"/>
          <w:lang w:val="es-ES_tradnl"/>
          <w14:ligatures w14:val="standardContextual"/>
        </w:rPr>
      </w:pPr>
      <w:r w:rsidRPr="008F50DF">
        <w:rPr>
          <w:rFonts w:ascii="Verdana" w:eastAsia="Calibri" w:hAnsi="Verdana" w:cs="Arial"/>
          <w:b/>
          <w:bCs/>
          <w:color w:val="000000"/>
          <w:kern w:val="2"/>
          <w:lang w:val="es-ES_tradnl"/>
          <w14:ligatures w14:val="standardContextual"/>
        </w:rPr>
        <w:t>INSTALACIÓN – Obra – Contrato mixto – Prestación principal</w:t>
      </w:r>
    </w:p>
    <w:p w14:paraId="64AA5458" w14:textId="77777777" w:rsidR="008F50DF" w:rsidRPr="008F50DF" w:rsidRDefault="008F50DF" w:rsidP="008F50DF">
      <w:pPr>
        <w:spacing w:after="0" w:line="240" w:lineRule="auto"/>
        <w:jc w:val="both"/>
        <w:rPr>
          <w:rFonts w:ascii="Verdana" w:eastAsia="Calibri" w:hAnsi="Verdana" w:cs="Arial"/>
          <w:b/>
          <w:bCs/>
          <w:color w:val="000000"/>
          <w:kern w:val="2"/>
          <w:sz w:val="20"/>
          <w:szCs w:val="20"/>
          <w:lang w:val="es-ES_tradnl"/>
          <w14:ligatures w14:val="standardContextual"/>
        </w:rPr>
      </w:pPr>
      <w:r w:rsidRPr="008F50DF">
        <w:rPr>
          <w:rFonts w:ascii="Verdana" w:eastAsia="Calibri" w:hAnsi="Verdana" w:cs="Arial"/>
          <w:b/>
          <w:bCs/>
          <w:color w:val="000000"/>
          <w:kern w:val="2"/>
          <w:sz w:val="20"/>
          <w:szCs w:val="20"/>
          <w:lang w:val="es-ES_tradnl"/>
          <w14:ligatures w14:val="standardContextual"/>
        </w:rPr>
        <w:t xml:space="preserve"> </w:t>
      </w:r>
    </w:p>
    <w:p w14:paraId="7572AEEC" w14:textId="77777777" w:rsidR="008F50DF" w:rsidRPr="008F50DF" w:rsidRDefault="008F50DF" w:rsidP="14E3E404">
      <w:pPr>
        <w:spacing w:after="0" w:line="240" w:lineRule="auto"/>
        <w:jc w:val="both"/>
        <w:rPr>
          <w:rFonts w:ascii="Verdana" w:eastAsia="Calibri" w:hAnsi="Verdana" w:cs="Arial"/>
          <w:color w:val="000000"/>
          <w:kern w:val="2"/>
          <w:sz w:val="20"/>
          <w:szCs w:val="20"/>
          <w:lang w:val="es-ES"/>
          <w14:ligatures w14:val="standardContextual"/>
        </w:rPr>
      </w:pPr>
      <w:r w:rsidRPr="14E3E404">
        <w:rPr>
          <w:rFonts w:ascii="Verdana" w:eastAsia="Calibri" w:hAnsi="Verdana" w:cs="Arial"/>
          <w:color w:val="000000"/>
          <w:kern w:val="2"/>
          <w:sz w:val="20"/>
          <w:szCs w:val="20"/>
          <w:lang w:val="es-ES"/>
          <w14:ligatures w14:val="standardContextual"/>
        </w:rPr>
        <w:t xml:space="preserve">La obligación de instalar un bien mueble en un inmueble –convirtiendo a aquel en un inmueble por adhesión o por destinación– </w:t>
      </w:r>
      <w:r w:rsidRPr="14E3E404">
        <w:rPr>
          <w:rFonts w:ascii="Verdana" w:eastAsia="Calibri" w:hAnsi="Verdana" w:cs="Arial"/>
          <w:i/>
          <w:iCs/>
          <w:color w:val="000000"/>
          <w:kern w:val="2"/>
          <w:sz w:val="20"/>
          <w:szCs w:val="20"/>
          <w:lang w:val="es-ES"/>
          <w14:ligatures w14:val="standardContextual"/>
        </w:rPr>
        <w:t>no</w:t>
      </w:r>
      <w:r w:rsidRPr="14E3E404">
        <w:rPr>
          <w:rFonts w:ascii="Verdana" w:eastAsia="Calibri" w:hAnsi="Verdana" w:cs="Arial"/>
          <w:color w:val="000000"/>
          <w:kern w:val="2"/>
          <w:sz w:val="20"/>
          <w:szCs w:val="20"/>
          <w:lang w:val="es-ES"/>
          <w14:ligatures w14:val="standardContextual"/>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–para lo cual un criterio puede ser cuál es la prestación que tiene el mayor valor–, </w:t>
      </w:r>
      <w:proofErr w:type="spellStart"/>
      <w:r w:rsidRPr="14E3E404">
        <w:rPr>
          <w:rFonts w:ascii="Verdana" w:eastAsia="Calibri" w:hAnsi="Verdana" w:cs="Arial"/>
          <w:color w:val="000000"/>
          <w:kern w:val="2"/>
          <w:sz w:val="20"/>
          <w:szCs w:val="20"/>
          <w:lang w:val="es-ES"/>
          <w14:ligatures w14:val="standardContextual"/>
        </w:rPr>
        <w:t>ii</w:t>
      </w:r>
      <w:proofErr w:type="spellEnd"/>
      <w:r w:rsidRPr="14E3E404">
        <w:rPr>
          <w:rFonts w:ascii="Verdana" w:eastAsia="Calibri" w:hAnsi="Verdana" w:cs="Arial"/>
          <w:color w:val="000000"/>
          <w:kern w:val="2"/>
          <w:sz w:val="20"/>
          <w:szCs w:val="20"/>
          <w:lang w:val="es-ES"/>
          <w14:ligatures w14:val="standardContextual"/>
        </w:rPr>
        <w:t xml:space="preserve">) la finalidad de las partes y </w:t>
      </w:r>
      <w:proofErr w:type="spellStart"/>
      <w:r w:rsidRPr="14E3E404">
        <w:rPr>
          <w:rFonts w:ascii="Verdana" w:eastAsia="Calibri" w:hAnsi="Verdana" w:cs="Arial"/>
          <w:color w:val="000000"/>
          <w:kern w:val="2"/>
          <w:sz w:val="20"/>
          <w:szCs w:val="20"/>
          <w:lang w:val="es-ES"/>
          <w14:ligatures w14:val="standardContextual"/>
        </w:rPr>
        <w:t>iii</w:t>
      </w:r>
      <w:proofErr w:type="spellEnd"/>
      <w:r w:rsidRPr="14E3E404">
        <w:rPr>
          <w:rFonts w:ascii="Verdana" w:eastAsia="Calibri" w:hAnsi="Verdana" w:cs="Arial"/>
          <w:color w:val="000000"/>
          <w:kern w:val="2"/>
          <w:sz w:val="20"/>
          <w:szCs w:val="20"/>
          <w:lang w:val="es-ES"/>
          <w14:ligatures w14:val="standardContextual"/>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considerando los datos técnicos y económicos del objeto contractual.</w:t>
      </w:r>
    </w:p>
    <w:p w14:paraId="4BAD96B5" w14:textId="77777777" w:rsidR="008F50DF" w:rsidRPr="008F50DF" w:rsidRDefault="008F50DF" w:rsidP="008F50DF">
      <w:pPr>
        <w:spacing w:after="0" w:line="240" w:lineRule="auto"/>
        <w:jc w:val="both"/>
        <w:rPr>
          <w:rFonts w:ascii="Verdana" w:eastAsia="Calibri" w:hAnsi="Verdana" w:cs="Arial"/>
          <w:color w:val="000000"/>
          <w:kern w:val="2"/>
          <w:sz w:val="20"/>
          <w:szCs w:val="20"/>
          <w:lang w:val="es-ES_tradnl"/>
          <w14:ligatures w14:val="standardContextual"/>
        </w:rPr>
      </w:pPr>
    </w:p>
    <w:p w14:paraId="5D7B8B13" w14:textId="77777777" w:rsidR="008F50DF" w:rsidRPr="008F50DF" w:rsidRDefault="008F50DF" w:rsidP="008F50DF">
      <w:pPr>
        <w:spacing w:after="0" w:line="240" w:lineRule="auto"/>
        <w:jc w:val="both"/>
        <w:rPr>
          <w:rFonts w:ascii="Verdana" w:eastAsia="Calibri" w:hAnsi="Verdana" w:cs="Arial"/>
          <w:b/>
          <w:bCs/>
          <w:color w:val="000000"/>
          <w:kern w:val="2"/>
          <w:lang w:val="es-ES_tradnl"/>
          <w14:ligatures w14:val="standardContextual"/>
        </w:rPr>
      </w:pPr>
      <w:r w:rsidRPr="008F50DF">
        <w:rPr>
          <w:rFonts w:ascii="Verdana" w:eastAsia="Calibri" w:hAnsi="Verdana" w:cs="Arial"/>
          <w:b/>
          <w:bCs/>
          <w:color w:val="000000"/>
          <w:kern w:val="2"/>
          <w:lang w:val="es-ES_tradnl"/>
          <w14:ligatures w14:val="standardContextual"/>
        </w:rPr>
        <w:t>INSTALACIÓN – Obra – Aplicación – Documentos tipo – Sector Educativo</w:t>
      </w:r>
    </w:p>
    <w:p w14:paraId="67933244" w14:textId="77777777" w:rsidR="008F50DF" w:rsidRPr="008F50DF" w:rsidRDefault="008F50DF" w:rsidP="008F50DF">
      <w:pPr>
        <w:spacing w:after="0" w:line="240" w:lineRule="auto"/>
        <w:jc w:val="both"/>
        <w:rPr>
          <w:rFonts w:ascii="Verdana" w:eastAsia="Calibri" w:hAnsi="Verdana" w:cs="Arial"/>
          <w:color w:val="000000"/>
          <w:kern w:val="2"/>
          <w:sz w:val="20"/>
          <w:szCs w:val="20"/>
          <w:lang w:val="es-ES_tradnl"/>
          <w14:ligatures w14:val="standardContextual"/>
        </w:rPr>
      </w:pPr>
    </w:p>
    <w:p w14:paraId="14FC36CB" w14:textId="77777777" w:rsidR="008F50DF" w:rsidRPr="008F50DF" w:rsidRDefault="008F50DF" w:rsidP="008F50DF">
      <w:pPr>
        <w:spacing w:after="0" w:line="240" w:lineRule="auto"/>
        <w:jc w:val="both"/>
        <w:rPr>
          <w:rFonts w:ascii="Verdana" w:eastAsia="Times New Roman" w:hAnsi="Verdana" w:cs="Times New Roman"/>
          <w:color w:val="000000"/>
          <w:sz w:val="20"/>
          <w:szCs w:val="20"/>
          <w:lang w:eastAsia="es-CO"/>
        </w:rPr>
      </w:pPr>
      <w:r w:rsidRPr="008F50DF">
        <w:rPr>
          <w:rFonts w:ascii="Verdana" w:eastAsia="Calibri" w:hAnsi="Verdana" w:cs="Arial"/>
          <w:sz w:val="20"/>
          <w:szCs w:val="20"/>
          <w:lang w:val="es-ES" w:eastAsia="es-ES_tradnl"/>
        </w:rPr>
        <w:t xml:space="preserve">En este contexto, </w:t>
      </w:r>
      <w:r w:rsidRPr="008F50DF">
        <w:rPr>
          <w:rFonts w:ascii="Verdana" w:eastAsia="Aptos" w:hAnsi="Verdana" w:cs="Arial"/>
          <w:kern w:val="2"/>
          <w:sz w:val="20"/>
          <w:szCs w:val="20"/>
          <w:lang w:eastAsia="es-ES_tradnl"/>
          <w14:ligatures w14:val="standardContextual"/>
        </w:rPr>
        <w:t xml:space="preserve">no es posible afirmar de manera categórica que el suministro e instalación de bienes muebles como </w:t>
      </w:r>
      <w:r w:rsidRPr="008F50DF">
        <w:rPr>
          <w:rFonts w:ascii="Verdana" w:eastAsia="Times New Roman" w:hAnsi="Verdana" w:cs="Times New Roman"/>
          <w:color w:val="000000"/>
          <w:sz w:val="20"/>
          <w:szCs w:val="20"/>
          <w:lang w:eastAsia="es-CO"/>
        </w:rPr>
        <w:t xml:space="preserve">mobiliario interno o externo, sistemas de aires acondicionadas o sistemas de ventilación o similar, y equipos especiales o electromecánicos y/o electrónicos y/o maquinarias u otros tipos de equipos sobre </w:t>
      </w:r>
      <w:r w:rsidRPr="008F50DF">
        <w:rPr>
          <w:rFonts w:ascii="Verdana" w:eastAsia="Aptos" w:hAnsi="Verdana" w:cs="Arial"/>
          <w:kern w:val="2"/>
          <w:sz w:val="20"/>
          <w:szCs w:val="20"/>
          <w:lang w:eastAsia="es-ES_tradnl"/>
          <w14:ligatures w14:val="standardContextual"/>
        </w:rPr>
        <w:t xml:space="preserve">un </w:t>
      </w:r>
      <w:r w:rsidRPr="008F50DF">
        <w:rPr>
          <w:rFonts w:ascii="Verdana" w:eastAsia="Aptos" w:hAnsi="Verdana" w:cs="Arial"/>
          <w:kern w:val="2"/>
          <w:sz w:val="20"/>
          <w:szCs w:val="20"/>
          <w:lang w:eastAsia="es-ES_tradnl"/>
          <w14:ligatures w14:val="standardContextual"/>
        </w:rPr>
        <w:lastRenderedPageBreak/>
        <w:t xml:space="preserve">inmueble que tiene la categoría de infraestructura educativa deba clasificarse, en todos los casos, como un contrato de obra pública para efecto de la utilización de los Documentos Tipo </w:t>
      </w:r>
      <w:r w:rsidRPr="008F50DF">
        <w:rPr>
          <w:rFonts w:ascii="Verdana" w:eastAsia="Times New Roman" w:hAnsi="Verdana" w:cs="Times New Roman"/>
          <w:color w:val="000000"/>
          <w:sz w:val="20"/>
          <w:szCs w:val="20"/>
          <w:lang w:eastAsia="es-CO"/>
        </w:rPr>
        <w:t>del Sector Educativo</w:t>
      </w:r>
      <w:r w:rsidRPr="008F50DF">
        <w:rPr>
          <w:rFonts w:ascii="Verdana" w:eastAsia="Aptos" w:hAnsi="Verdana" w:cs="Arial"/>
          <w:kern w:val="2"/>
          <w:sz w:val="20"/>
          <w:szCs w:val="20"/>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2ACEC64A" w14:textId="77777777" w:rsidR="008F50DF" w:rsidRPr="008F50DF" w:rsidRDefault="008F50DF" w:rsidP="008F50DF">
      <w:pPr>
        <w:spacing w:after="0" w:line="240" w:lineRule="auto"/>
        <w:jc w:val="both"/>
        <w:rPr>
          <w:rFonts w:ascii="Verdana" w:eastAsia="Calibri" w:hAnsi="Verdana" w:cs="Arial"/>
          <w:sz w:val="20"/>
          <w:szCs w:val="20"/>
          <w:lang w:eastAsia="es-ES_tradnl"/>
        </w:rPr>
      </w:pPr>
    </w:p>
    <w:p w14:paraId="5999D5BB" w14:textId="77777777" w:rsidR="008F50DF" w:rsidRPr="008F50DF" w:rsidRDefault="008F50DF" w:rsidP="008F50DF">
      <w:pPr>
        <w:spacing w:after="0" w:line="240" w:lineRule="auto"/>
        <w:jc w:val="both"/>
        <w:rPr>
          <w:rFonts w:ascii="Verdana" w:eastAsia="Calibri" w:hAnsi="Verdana" w:cs="Arial"/>
          <w:sz w:val="20"/>
          <w:szCs w:val="20"/>
          <w:lang w:eastAsia="es-ES_tradnl"/>
        </w:rPr>
      </w:pPr>
      <w:r w:rsidRPr="008F50DF">
        <w:rPr>
          <w:rFonts w:ascii="Verdana" w:eastAsia="Calibri" w:hAnsi="Verdana" w:cs="Arial"/>
          <w:sz w:val="20"/>
          <w:szCs w:val="20"/>
          <w:lang w:eastAsia="es-ES_tradnl"/>
        </w:rPr>
        <w:t>(…)</w:t>
      </w:r>
    </w:p>
    <w:p w14:paraId="7DA94065" w14:textId="77777777" w:rsidR="008F50DF" w:rsidRPr="008F50DF" w:rsidRDefault="008F50DF" w:rsidP="008F50DF">
      <w:pPr>
        <w:spacing w:after="0" w:line="240" w:lineRule="auto"/>
        <w:jc w:val="both"/>
        <w:rPr>
          <w:rFonts w:ascii="Verdana" w:eastAsia="Calibri" w:hAnsi="Verdana" w:cs="Arial"/>
          <w:sz w:val="20"/>
          <w:szCs w:val="20"/>
          <w:lang w:eastAsia="es-ES_tradnl"/>
        </w:rPr>
      </w:pPr>
    </w:p>
    <w:p w14:paraId="61185E3F" w14:textId="77777777" w:rsidR="008F50DF" w:rsidRPr="008F50DF" w:rsidRDefault="008F50DF" w:rsidP="008F50DF">
      <w:pPr>
        <w:spacing w:after="0" w:line="240" w:lineRule="auto"/>
        <w:jc w:val="both"/>
        <w:rPr>
          <w:rFonts w:ascii="Verdana" w:eastAsia="Calibri" w:hAnsi="Verdana" w:cs="Arial"/>
          <w:sz w:val="20"/>
          <w:szCs w:val="20"/>
          <w:lang w:eastAsia="es-ES_tradnl"/>
        </w:rPr>
      </w:pPr>
      <w:r w:rsidRPr="008F50DF">
        <w:rPr>
          <w:rFonts w:ascii="Verdana" w:eastAsia="Calibri" w:hAnsi="Verdana" w:cs="Arial"/>
          <w:sz w:val="20"/>
          <w:szCs w:val="20"/>
          <w:lang w:eastAsia="es-ES_tradnl"/>
        </w:rPr>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7EE484F4" w14:textId="77777777" w:rsidR="008F50DF" w:rsidRPr="008F50DF" w:rsidRDefault="008F50DF" w:rsidP="008F50DF">
      <w:pPr>
        <w:widowControl w:val="0"/>
        <w:autoSpaceDE w:val="0"/>
        <w:autoSpaceDN w:val="0"/>
        <w:spacing w:after="0" w:line="240" w:lineRule="auto"/>
        <w:jc w:val="both"/>
        <w:rPr>
          <w:rFonts w:ascii="Verdana" w:eastAsia="Calibri" w:hAnsi="Verdana" w:cs="Times New Roman"/>
          <w:b/>
          <w:bCs/>
          <w:lang w:val="es-ES"/>
        </w:rPr>
      </w:pPr>
    </w:p>
    <w:p w14:paraId="1FCD7E54" w14:textId="77777777" w:rsidR="008F50DF" w:rsidRPr="008F50DF" w:rsidRDefault="008F50DF" w:rsidP="008F50DF">
      <w:pPr>
        <w:spacing w:after="0" w:line="240" w:lineRule="auto"/>
        <w:jc w:val="both"/>
        <w:rPr>
          <w:rFonts w:ascii="Verdana" w:eastAsia="Calibri" w:hAnsi="Verdana" w:cs="Arial"/>
          <w:color w:val="000000"/>
          <w:kern w:val="2"/>
          <w:sz w:val="20"/>
          <w:szCs w:val="20"/>
          <w:lang w:val="es-ES_tradnl"/>
          <w14:ligatures w14:val="standardContextual"/>
        </w:rPr>
      </w:pPr>
    </w:p>
    <w:p w14:paraId="29740F65" w14:textId="77777777" w:rsidR="008F50DF" w:rsidRPr="008F50DF" w:rsidRDefault="008F50DF" w:rsidP="008F50DF">
      <w:pPr>
        <w:spacing w:line="278" w:lineRule="auto"/>
        <w:jc w:val="both"/>
        <w:rPr>
          <w:rFonts w:ascii="Arial" w:eastAsia="Calibri" w:hAnsi="Arial" w:cs="Arial"/>
          <w:color w:val="000000"/>
          <w:kern w:val="2"/>
          <w:sz w:val="20"/>
          <w:szCs w:val="20"/>
          <w:lang w:val="es-ES_tradnl"/>
          <w14:ligatures w14:val="standardContextual"/>
        </w:rPr>
      </w:pPr>
    </w:p>
    <w:p w14:paraId="647F55FA" w14:textId="77777777" w:rsidR="008F50DF" w:rsidRPr="008F50DF" w:rsidRDefault="008F50DF" w:rsidP="008F50DF">
      <w:pPr>
        <w:spacing w:after="0" w:line="240" w:lineRule="auto"/>
        <w:rPr>
          <w:rFonts w:ascii="Verdana" w:eastAsia="Geomanist Light" w:hAnsi="Verdana" w:cs="Arial"/>
          <w:color w:val="000000"/>
          <w:kern w:val="2"/>
          <w:sz w:val="24"/>
          <w:szCs w:val="24"/>
          <w14:ligatures w14:val="standardContextual"/>
        </w:rPr>
      </w:pPr>
    </w:p>
    <w:p w14:paraId="0412522F" w14:textId="77777777" w:rsidR="008F50DF" w:rsidRPr="008F50DF" w:rsidRDefault="008F50DF" w:rsidP="008F50DF">
      <w:pPr>
        <w:spacing w:after="0" w:line="240" w:lineRule="auto"/>
        <w:rPr>
          <w:rFonts w:ascii="Verdana" w:eastAsia="Geomanist Light" w:hAnsi="Verdana" w:cs="Arial"/>
          <w:color w:val="000000"/>
          <w:kern w:val="2"/>
          <w:sz w:val="24"/>
          <w:szCs w:val="24"/>
          <w14:ligatures w14:val="standardContextual"/>
        </w:rPr>
      </w:pPr>
    </w:p>
    <w:p w14:paraId="4DE779F0" w14:textId="77777777" w:rsidR="008F50DF" w:rsidRPr="008F50DF" w:rsidRDefault="008F50DF" w:rsidP="008F50DF">
      <w:pPr>
        <w:spacing w:after="0" w:line="240" w:lineRule="auto"/>
        <w:rPr>
          <w:rFonts w:ascii="Verdana" w:eastAsia="Geomanist Light" w:hAnsi="Verdana" w:cs="Arial"/>
          <w:color w:val="000000"/>
          <w:kern w:val="2"/>
          <w:sz w:val="24"/>
          <w:szCs w:val="24"/>
          <w14:ligatures w14:val="standardContextual"/>
        </w:rPr>
      </w:pPr>
    </w:p>
    <w:p w14:paraId="443DD41D"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12FF33E8"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6376F6D0"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65E777DB"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7BEDF4C8"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72D48FE5" w14:textId="77777777" w:rsid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24D49982" w14:textId="77777777" w:rsidR="00E620F1" w:rsidRDefault="00E620F1" w:rsidP="008F50DF">
      <w:pPr>
        <w:spacing w:line="278" w:lineRule="auto"/>
        <w:jc w:val="both"/>
        <w:rPr>
          <w:rFonts w:ascii="Arial" w:eastAsia="Calibri" w:hAnsi="Arial" w:cs="Arial"/>
          <w:b/>
          <w:bCs/>
          <w:color w:val="000000"/>
          <w:kern w:val="2"/>
          <w:sz w:val="24"/>
          <w:szCs w:val="24"/>
          <w14:ligatures w14:val="standardContextual"/>
        </w:rPr>
      </w:pPr>
    </w:p>
    <w:p w14:paraId="4506311F" w14:textId="77777777" w:rsidR="00E620F1" w:rsidRDefault="00E620F1" w:rsidP="008F50DF">
      <w:pPr>
        <w:spacing w:line="278" w:lineRule="auto"/>
        <w:jc w:val="both"/>
        <w:rPr>
          <w:rFonts w:ascii="Arial" w:eastAsia="Calibri" w:hAnsi="Arial" w:cs="Arial"/>
          <w:b/>
          <w:bCs/>
          <w:color w:val="000000"/>
          <w:kern w:val="2"/>
          <w:sz w:val="24"/>
          <w:szCs w:val="24"/>
          <w14:ligatures w14:val="standardContextual"/>
        </w:rPr>
      </w:pPr>
    </w:p>
    <w:p w14:paraId="5BD3B8AD" w14:textId="77777777" w:rsidR="00E620F1" w:rsidRPr="008F50DF" w:rsidRDefault="00E620F1" w:rsidP="008F50DF">
      <w:pPr>
        <w:spacing w:line="278" w:lineRule="auto"/>
        <w:jc w:val="both"/>
        <w:rPr>
          <w:rFonts w:ascii="Arial" w:eastAsia="Calibri" w:hAnsi="Arial" w:cs="Arial"/>
          <w:b/>
          <w:bCs/>
          <w:color w:val="000000"/>
          <w:kern w:val="2"/>
          <w:sz w:val="24"/>
          <w:szCs w:val="24"/>
          <w14:ligatures w14:val="standardContextual"/>
        </w:rPr>
      </w:pPr>
    </w:p>
    <w:p w14:paraId="5FA12C1E"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45265257" w14:textId="77777777" w:rsidR="008F50DF" w:rsidRPr="008F50DF" w:rsidRDefault="008F50DF" w:rsidP="008F50DF">
      <w:pPr>
        <w:spacing w:line="278" w:lineRule="auto"/>
        <w:jc w:val="both"/>
        <w:rPr>
          <w:rFonts w:ascii="Arial" w:eastAsia="Calibri" w:hAnsi="Arial" w:cs="Arial"/>
          <w:b/>
          <w:bCs/>
          <w:color w:val="000000"/>
          <w:kern w:val="2"/>
          <w:sz w:val="24"/>
          <w:szCs w:val="24"/>
          <w14:ligatures w14:val="standardContextual"/>
        </w:rPr>
      </w:pPr>
    </w:p>
    <w:p w14:paraId="5ABC9C30" w14:textId="78709E94" w:rsidR="008F50DF" w:rsidRDefault="008F50DF" w:rsidP="008F50DF">
      <w:pPr>
        <w:spacing w:after="0" w:line="240" w:lineRule="auto"/>
        <w:rPr>
          <w:rFonts w:ascii="Verdana" w:eastAsia="Aptos" w:hAnsi="Verdana" w:cs="Times New Roman"/>
          <w:kern w:val="2"/>
          <w:sz w:val="24"/>
          <w:szCs w:val="24"/>
          <w14:ligatures w14:val="standardContextual"/>
        </w:rPr>
      </w:pPr>
      <w:r w:rsidRPr="008F50DF">
        <w:rPr>
          <w:rFonts w:ascii="Verdana" w:eastAsia="Aptos" w:hAnsi="Verdana" w:cs="Times New Roman"/>
          <w:kern w:val="2"/>
          <w:sz w:val="24"/>
          <w:szCs w:val="24"/>
          <w14:ligatures w14:val="standardContextual"/>
        </w:rPr>
        <w:lastRenderedPageBreak/>
        <w:t xml:space="preserve">Bogotá D.C., </w:t>
      </w:r>
      <w:r w:rsidR="007A37E1">
        <w:rPr>
          <w:rFonts w:ascii="Verdana" w:eastAsia="Aptos" w:hAnsi="Verdana" w:cs="Times New Roman"/>
          <w:kern w:val="2"/>
          <w:sz w:val="24"/>
          <w:szCs w:val="24"/>
          <w14:ligatures w14:val="standardContextual"/>
        </w:rPr>
        <w:t>08 de abril de 2026</w:t>
      </w:r>
    </w:p>
    <w:p w14:paraId="44357FCF" w14:textId="77777777" w:rsidR="007A37E1" w:rsidRDefault="007A37E1" w:rsidP="008F50DF">
      <w:pPr>
        <w:spacing w:after="0" w:line="240" w:lineRule="auto"/>
        <w:rPr>
          <w:rFonts w:ascii="Verdana" w:eastAsia="Aptos" w:hAnsi="Verdana" w:cs="Times New Roman"/>
          <w:kern w:val="2"/>
          <w:sz w:val="24"/>
          <w:szCs w:val="24"/>
          <w14:ligatures w14:val="standardContextual"/>
        </w:rPr>
      </w:pPr>
    </w:p>
    <w:p w14:paraId="4C321BEA" w14:textId="3F7A1C86" w:rsidR="007A37E1" w:rsidRPr="008F50DF" w:rsidRDefault="007A37E1" w:rsidP="007A37E1">
      <w:pPr>
        <w:spacing w:after="0" w:line="240" w:lineRule="auto"/>
        <w:jc w:val="right"/>
        <w:rPr>
          <w:rFonts w:ascii="Verdana" w:eastAsia="Aptos" w:hAnsi="Verdana" w:cs="Times New Roman"/>
          <w:kern w:val="2"/>
          <w:sz w:val="24"/>
          <w:szCs w:val="24"/>
          <w14:ligatures w14:val="standardContextual"/>
        </w:rPr>
      </w:pPr>
    </w:p>
    <w:p w14:paraId="10C0D70D" w14:textId="4B794198" w:rsidR="008F50DF" w:rsidRPr="008F50DF" w:rsidRDefault="008F50DF" w:rsidP="008F50DF">
      <w:pPr>
        <w:spacing w:after="0" w:line="240" w:lineRule="auto"/>
        <w:rPr>
          <w:rFonts w:ascii="Verdana" w:eastAsia="Calibri" w:hAnsi="Verdana" w:cs="Arial"/>
          <w:lang w:val="es-ES" w:eastAsia="es-ES"/>
        </w:rPr>
      </w:pPr>
    </w:p>
    <w:p w14:paraId="5106B9A1" w14:textId="4AA51CC4" w:rsidR="008F50DF" w:rsidRPr="008F50DF" w:rsidRDefault="00F62DFB" w:rsidP="008F50DF">
      <w:pPr>
        <w:spacing w:after="0" w:line="240" w:lineRule="auto"/>
        <w:rPr>
          <w:rFonts w:ascii="Verdana" w:eastAsia="Calibri" w:hAnsi="Verdana" w:cs="Arial"/>
          <w:lang w:val="es-ES" w:eastAsia="es-ES"/>
        </w:rPr>
      </w:pPr>
      <w:r w:rsidRPr="007A37E1">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6A905021" wp14:editId="5B112AC9">
            <wp:simplePos x="0" y="0"/>
            <wp:positionH relativeFrom="margin">
              <wp:posOffset>2847340</wp:posOffset>
            </wp:positionH>
            <wp:positionV relativeFrom="paragraph">
              <wp:posOffset>7620</wp:posOffset>
            </wp:positionV>
            <wp:extent cx="2760980" cy="818515"/>
            <wp:effectExtent l="0" t="0" r="1270" b="635"/>
            <wp:wrapSquare wrapText="bothSides"/>
            <wp:docPr id="3858706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870670" name=""/>
                    <pic:cNvPicPr/>
                  </pic:nvPicPr>
                  <pic:blipFill>
                    <a:blip r:embed="rId10">
                      <a:extLst>
                        <a:ext uri="{28A0092B-C50C-407E-A947-70E740481C1C}">
                          <a14:useLocalDpi xmlns:a14="http://schemas.microsoft.com/office/drawing/2010/main" val="0"/>
                        </a:ext>
                      </a:extLst>
                    </a:blip>
                    <a:stretch>
                      <a:fillRect/>
                    </a:stretch>
                  </pic:blipFill>
                  <pic:spPr>
                    <a:xfrm>
                      <a:off x="0" y="0"/>
                      <a:ext cx="2760980" cy="818515"/>
                    </a:xfrm>
                    <a:prstGeom prst="rect">
                      <a:avLst/>
                    </a:prstGeom>
                  </pic:spPr>
                </pic:pic>
              </a:graphicData>
            </a:graphic>
            <wp14:sizeRelH relativeFrom="margin">
              <wp14:pctWidth>0</wp14:pctWidth>
            </wp14:sizeRelH>
            <wp14:sizeRelV relativeFrom="margin">
              <wp14:pctHeight>0</wp14:pctHeight>
            </wp14:sizeRelV>
          </wp:anchor>
        </w:drawing>
      </w:r>
      <w:r w:rsidR="008F50DF" w:rsidRPr="008F50DF">
        <w:rPr>
          <w:rFonts w:ascii="Verdana" w:eastAsia="Calibri" w:hAnsi="Verdana" w:cs="Arial"/>
          <w:lang w:val="es-ES" w:eastAsia="es-ES"/>
        </w:rPr>
        <w:t>Señora</w:t>
      </w:r>
    </w:p>
    <w:p w14:paraId="0A0C4044" w14:textId="77777777" w:rsidR="008F50DF" w:rsidRPr="008F50DF" w:rsidRDefault="008F50DF" w:rsidP="008F50DF">
      <w:pPr>
        <w:spacing w:after="0" w:line="240" w:lineRule="auto"/>
        <w:rPr>
          <w:rFonts w:ascii="Verdana" w:eastAsia="Aptos" w:hAnsi="Verdana" w:cs="Times New Roman"/>
          <w:b/>
          <w:bCs/>
          <w:kern w:val="2"/>
          <w14:ligatures w14:val="standardContextual"/>
        </w:rPr>
      </w:pPr>
      <w:r w:rsidRPr="008F50DF">
        <w:rPr>
          <w:rFonts w:ascii="Verdana" w:eastAsia="Aptos" w:hAnsi="Verdana" w:cs="Times New Roman"/>
          <w:b/>
          <w:bCs/>
          <w:kern w:val="2"/>
          <w14:ligatures w14:val="standardContextual"/>
        </w:rPr>
        <w:t>Anyeli Jaramillo Soto</w:t>
      </w:r>
    </w:p>
    <w:p w14:paraId="130A1DF6" w14:textId="77777777" w:rsidR="008F50DF" w:rsidRPr="008F50DF" w:rsidRDefault="008F50DF" w:rsidP="008F50DF">
      <w:pPr>
        <w:spacing w:after="0" w:line="240" w:lineRule="auto"/>
        <w:rPr>
          <w:rFonts w:ascii="Verdana" w:eastAsia="Aptos" w:hAnsi="Verdana" w:cs="Times New Roman"/>
          <w:lang w:eastAsia="es-ES_tradnl"/>
        </w:rPr>
      </w:pPr>
      <w:r w:rsidRPr="008F50DF">
        <w:rPr>
          <w:rFonts w:ascii="Verdana" w:eastAsia="Aptos" w:hAnsi="Verdana" w:cs="Times New Roman"/>
          <w:lang w:eastAsia="es-ES_tradnl"/>
        </w:rPr>
        <w:t xml:space="preserve">Secretaría de Infraestructura </w:t>
      </w:r>
    </w:p>
    <w:p w14:paraId="062C351F" w14:textId="77777777" w:rsidR="008F50DF" w:rsidRPr="008F50DF" w:rsidRDefault="008F50DF" w:rsidP="008F50DF">
      <w:pPr>
        <w:spacing w:after="0" w:line="240" w:lineRule="auto"/>
        <w:rPr>
          <w:rFonts w:ascii="Verdana" w:eastAsia="Calibri" w:hAnsi="Verdana" w:cs="Arial"/>
          <w:lang w:val="es-ES_tradnl" w:eastAsia="es-ES_tradnl"/>
        </w:rPr>
      </w:pPr>
      <w:r w:rsidRPr="008F50DF">
        <w:rPr>
          <w:rFonts w:ascii="Verdana" w:eastAsia="Calibri" w:hAnsi="Verdana" w:cs="Arial"/>
          <w:lang w:val="es-ES_tradnl" w:eastAsia="es-ES_tradnl"/>
        </w:rPr>
        <w:t>Gobernación de Risaralda</w:t>
      </w:r>
    </w:p>
    <w:p w14:paraId="68FE9610" w14:textId="77777777" w:rsidR="008F50DF" w:rsidRPr="008F50DF" w:rsidRDefault="008F50DF" w:rsidP="008F50DF">
      <w:pPr>
        <w:spacing w:after="0" w:line="240" w:lineRule="auto"/>
        <w:rPr>
          <w:rFonts w:ascii="Verdana" w:eastAsia="Calibri" w:hAnsi="Verdana" w:cs="Arial"/>
          <w:lang w:val="es-ES_tradnl" w:eastAsia="es-ES_tradnl"/>
        </w:rPr>
      </w:pPr>
      <w:r w:rsidRPr="008F50DF">
        <w:rPr>
          <w:rFonts w:ascii="Verdana" w:eastAsia="Calibri" w:hAnsi="Verdana" w:cs="Arial"/>
          <w:lang w:val="es-ES_tradnl" w:eastAsia="es-ES_tradnl"/>
        </w:rPr>
        <w:t>Pereira, Risaralda</w:t>
      </w:r>
    </w:p>
    <w:p w14:paraId="09CFDFAC" w14:textId="77777777" w:rsidR="008F50DF" w:rsidRPr="008F50DF" w:rsidRDefault="008F50DF" w:rsidP="008F50DF">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8F50DF" w:rsidRPr="008F50DF" w14:paraId="29DA4690" w14:textId="77777777">
        <w:trPr>
          <w:trHeight w:val="229"/>
        </w:trPr>
        <w:tc>
          <w:tcPr>
            <w:tcW w:w="2268" w:type="dxa"/>
          </w:tcPr>
          <w:p w14:paraId="06C486A1" w14:textId="77777777" w:rsidR="008F50DF" w:rsidRPr="008F50DF" w:rsidRDefault="008F50DF" w:rsidP="008F50DF">
            <w:pPr>
              <w:jc w:val="both"/>
              <w:rPr>
                <w:rFonts w:ascii="Verdana" w:eastAsia="Calibri" w:hAnsi="Verdana" w:cs="Arial"/>
                <w:b/>
                <w:bCs/>
                <w:lang w:val="es-ES_tradnl" w:eastAsia="es-ES_tradnl"/>
              </w:rPr>
            </w:pPr>
          </w:p>
        </w:tc>
        <w:tc>
          <w:tcPr>
            <w:tcW w:w="6100" w:type="dxa"/>
          </w:tcPr>
          <w:p w14:paraId="3C6D8A5B" w14:textId="77777777" w:rsidR="008F50DF" w:rsidRPr="008F50DF" w:rsidRDefault="008F50DF" w:rsidP="008F50DF">
            <w:pPr>
              <w:jc w:val="both"/>
              <w:rPr>
                <w:rFonts w:ascii="Verdana" w:eastAsia="Calibri" w:hAnsi="Verdana" w:cs="Arial"/>
                <w:b/>
                <w:bCs/>
                <w:lang w:val="es-ES" w:eastAsia="es-ES"/>
              </w:rPr>
            </w:pPr>
            <w:r w:rsidRPr="008F50DF">
              <w:rPr>
                <w:rFonts w:ascii="Verdana" w:eastAsia="Calibri" w:hAnsi="Verdana" w:cs="Arial"/>
                <w:b/>
                <w:bCs/>
                <w:lang w:val="es-ES" w:eastAsia="es-ES"/>
              </w:rPr>
              <w:t xml:space="preserve">Concepto </w:t>
            </w:r>
            <w:bookmarkStart w:id="1" w:name="OLE_LINK1"/>
            <w:r w:rsidRPr="008F50DF">
              <w:rPr>
                <w:rFonts w:ascii="Verdana" w:eastAsia="Calibri" w:hAnsi="Verdana" w:cs="Arial"/>
                <w:b/>
                <w:bCs/>
                <w:lang w:val="es-ES" w:eastAsia="es-ES"/>
              </w:rPr>
              <w:t>C-304 de 2026</w:t>
            </w:r>
            <w:bookmarkEnd w:id="1"/>
          </w:p>
          <w:p w14:paraId="5161A3EB" w14:textId="77777777" w:rsidR="008F50DF" w:rsidRPr="008F50DF" w:rsidRDefault="008F50DF" w:rsidP="008F50DF">
            <w:pPr>
              <w:jc w:val="both"/>
              <w:rPr>
                <w:rFonts w:ascii="Verdana" w:eastAsia="Calibri" w:hAnsi="Verdana" w:cs="Arial"/>
                <w:b/>
                <w:bCs/>
                <w:lang w:val="es-ES" w:eastAsia="es-ES"/>
              </w:rPr>
            </w:pPr>
          </w:p>
        </w:tc>
      </w:tr>
      <w:tr w:rsidR="008F50DF" w:rsidRPr="008F50DF" w14:paraId="3E847AAB" w14:textId="77777777">
        <w:trPr>
          <w:trHeight w:val="884"/>
        </w:trPr>
        <w:tc>
          <w:tcPr>
            <w:tcW w:w="2268" w:type="dxa"/>
          </w:tcPr>
          <w:p w14:paraId="35D1D423" w14:textId="77777777" w:rsidR="008F50DF" w:rsidRPr="008F50DF" w:rsidRDefault="008F50DF" w:rsidP="008F50DF">
            <w:pPr>
              <w:jc w:val="both"/>
              <w:rPr>
                <w:rFonts w:ascii="Verdana" w:eastAsia="Calibri" w:hAnsi="Verdana" w:cs="Arial"/>
                <w:lang w:val="es-ES_tradnl" w:eastAsia="es-ES_tradnl"/>
              </w:rPr>
            </w:pPr>
            <w:r w:rsidRPr="008F50DF">
              <w:rPr>
                <w:rFonts w:ascii="Verdana" w:eastAsia="Calibri" w:hAnsi="Verdana" w:cs="Arial"/>
                <w:b/>
                <w:lang w:val="es-ES_tradnl" w:eastAsia="es-ES_tradnl"/>
              </w:rPr>
              <w:t>Temas:</w:t>
            </w:r>
            <w:r w:rsidRPr="008F50DF">
              <w:rPr>
                <w:rFonts w:ascii="Verdana" w:eastAsia="Calibri" w:hAnsi="Verdana" w:cs="Arial"/>
                <w:lang w:val="es-ES_tradnl" w:eastAsia="es-ES_tradnl"/>
              </w:rPr>
              <w:t xml:space="preserve">                   </w:t>
            </w:r>
          </w:p>
        </w:tc>
        <w:tc>
          <w:tcPr>
            <w:tcW w:w="6100" w:type="dxa"/>
          </w:tcPr>
          <w:p w14:paraId="4DC403AD" w14:textId="77777777" w:rsidR="008F50DF" w:rsidRPr="008F50DF" w:rsidRDefault="008F50DF" w:rsidP="008F50DF">
            <w:pPr>
              <w:jc w:val="both"/>
              <w:rPr>
                <w:rFonts w:ascii="Verdana" w:eastAsia="Calibri" w:hAnsi="Verdana" w:cs="Arial"/>
                <w:color w:val="000000"/>
                <w:lang w:val="es-ES_tradnl"/>
              </w:rPr>
            </w:pPr>
            <w:r w:rsidRPr="008F50DF">
              <w:rPr>
                <w:rFonts w:ascii="Verdana" w:eastAsia="Calibri" w:hAnsi="Verdana" w:cs="Arial"/>
                <w:lang w:val="es-ES_tradnl"/>
              </w:rPr>
              <w:t>DOCUMENTOS TIPO – Fundamento normativo – Obligatoriedad / SECTOR SOCIAL</w:t>
            </w:r>
            <w:r w:rsidRPr="008F50DF">
              <w:rPr>
                <w:rFonts w:ascii="Verdana" w:eastAsia="Calibri" w:hAnsi="Verdana" w:cs="Times New Roman"/>
                <w:lang w:val="es-ES"/>
              </w:rPr>
              <w:t xml:space="preserve"> – Documentos tipo – Vigentes / DOCUMENTOS TIPO – Aplicación – Matriz de Experiencia / DOCUMENTOS TIPO – Sector educativo – Actividad – Suministro e instalación – Alcance / </w:t>
            </w:r>
            <w:r w:rsidRPr="008F50DF">
              <w:rPr>
                <w:rFonts w:ascii="Verdana" w:eastAsia="Calibri" w:hAnsi="Verdana" w:cs="Arial"/>
                <w:color w:val="000000"/>
                <w:lang w:val="es-ES_tradnl"/>
              </w:rPr>
              <w:t xml:space="preserve">INSTALACIÓN – Obra – Contrato mixto – Prestación principal / INSTALACIÓN – Obra – Aplicación – Documentos tipo – Sector Educativo </w:t>
            </w:r>
          </w:p>
          <w:p w14:paraId="73CDF031" w14:textId="77777777" w:rsidR="008F50DF" w:rsidRPr="008F50DF" w:rsidRDefault="008F50DF" w:rsidP="008F50DF">
            <w:pPr>
              <w:jc w:val="both"/>
              <w:rPr>
                <w:rFonts w:ascii="Verdana" w:eastAsia="Calibri" w:hAnsi="Verdana" w:cs="Arial"/>
                <w:bCs/>
                <w:lang w:eastAsia="es-ES"/>
              </w:rPr>
            </w:pPr>
          </w:p>
        </w:tc>
      </w:tr>
      <w:tr w:rsidR="008F50DF" w:rsidRPr="008F50DF" w14:paraId="610E516B" w14:textId="77777777">
        <w:tc>
          <w:tcPr>
            <w:tcW w:w="2268" w:type="dxa"/>
          </w:tcPr>
          <w:p w14:paraId="7B62B720" w14:textId="77777777" w:rsidR="008F50DF" w:rsidRPr="008F50DF" w:rsidRDefault="008F50DF" w:rsidP="008F50DF">
            <w:pPr>
              <w:jc w:val="both"/>
              <w:rPr>
                <w:rFonts w:ascii="Verdana" w:eastAsia="Calibri" w:hAnsi="Verdana" w:cs="Arial"/>
                <w:b/>
                <w:lang w:val="es-ES_tradnl" w:eastAsia="es-ES_tradnl"/>
              </w:rPr>
            </w:pPr>
            <w:r w:rsidRPr="008F50DF">
              <w:rPr>
                <w:rFonts w:ascii="Verdana" w:eastAsia="Calibri" w:hAnsi="Verdana" w:cs="Arial"/>
                <w:b/>
                <w:lang w:val="es-ES_tradnl" w:eastAsia="es-ES_tradnl"/>
              </w:rPr>
              <w:t>Radicación:</w:t>
            </w:r>
            <w:r w:rsidRPr="008F50DF">
              <w:rPr>
                <w:rFonts w:ascii="Verdana" w:eastAsia="Calibri" w:hAnsi="Verdana" w:cs="Arial"/>
                <w:lang w:val="es-ES_tradnl" w:eastAsia="es-ES_tradnl"/>
              </w:rPr>
              <w:t xml:space="preserve">               </w:t>
            </w:r>
          </w:p>
        </w:tc>
        <w:tc>
          <w:tcPr>
            <w:tcW w:w="6100" w:type="dxa"/>
          </w:tcPr>
          <w:p w14:paraId="151851FF" w14:textId="77777777" w:rsidR="008F50DF" w:rsidRPr="008F50DF" w:rsidRDefault="008F50DF" w:rsidP="008F50DF">
            <w:pPr>
              <w:ind w:left="3" w:hanging="3"/>
              <w:jc w:val="both"/>
              <w:rPr>
                <w:rFonts w:ascii="Verdana" w:eastAsia="Calibri" w:hAnsi="Verdana" w:cs="Arial"/>
                <w:lang w:val="es-ES_tradnl" w:eastAsia="es-ES_tradnl"/>
              </w:rPr>
            </w:pPr>
            <w:r w:rsidRPr="008F50DF">
              <w:rPr>
                <w:rFonts w:ascii="Verdana" w:eastAsia="Calibri" w:hAnsi="Verdana" w:cs="Arial"/>
                <w:lang w:val="es-ES_tradnl" w:eastAsia="es-ES_tradnl"/>
              </w:rPr>
              <w:t xml:space="preserve">Respuesta a consultas con radicados Nos. 1_2026_02_25_002611, </w:t>
            </w:r>
            <w:r w:rsidRPr="008F50DF">
              <w:rPr>
                <w:rFonts w:ascii="Verdana" w:eastAsia="Aptos" w:hAnsi="Verdana" w:cs="Times New Roman"/>
                <w:lang w:val="es-ES_tradnl"/>
              </w:rPr>
              <w:t xml:space="preserve">1_2026_02_26_002655, 1_2026_02_26_002658 y 1_2026_02_26_00266 </w:t>
            </w:r>
          </w:p>
        </w:tc>
      </w:tr>
    </w:tbl>
    <w:p w14:paraId="7D564F08" w14:textId="77777777" w:rsidR="008F50DF" w:rsidRPr="008F50DF" w:rsidRDefault="008F50DF" w:rsidP="008F50DF">
      <w:pPr>
        <w:spacing w:after="0" w:line="240" w:lineRule="auto"/>
        <w:jc w:val="both"/>
        <w:rPr>
          <w:rFonts w:ascii="Verdana" w:eastAsia="Calibri" w:hAnsi="Verdana" w:cs="Arial"/>
          <w:lang w:val="es-ES_tradnl" w:eastAsia="es-ES_tradnl"/>
        </w:rPr>
      </w:pPr>
    </w:p>
    <w:p w14:paraId="7322EBF3" w14:textId="77777777" w:rsidR="008F50DF" w:rsidRPr="008F50DF" w:rsidRDefault="008F50DF" w:rsidP="008F50DF">
      <w:pPr>
        <w:spacing w:after="0" w:line="276" w:lineRule="auto"/>
        <w:jc w:val="both"/>
        <w:rPr>
          <w:rFonts w:ascii="Verdana" w:eastAsia="Calibri" w:hAnsi="Verdana" w:cs="Arial"/>
          <w:lang w:val="es-ES" w:eastAsia="es-ES"/>
        </w:rPr>
      </w:pPr>
      <w:r w:rsidRPr="008F50DF">
        <w:rPr>
          <w:rFonts w:ascii="Verdana" w:eastAsia="Calibri" w:hAnsi="Verdana" w:cs="Arial"/>
          <w:lang w:val="es-ES" w:eastAsia="es-ES"/>
        </w:rPr>
        <w:t xml:space="preserve">Estimada señora </w:t>
      </w:r>
      <w:r w:rsidRPr="008F50DF">
        <w:rPr>
          <w:rFonts w:ascii="Verdana" w:eastAsia="Aptos" w:hAnsi="Verdana" w:cs="Times New Roman"/>
          <w:kern w:val="2"/>
          <w14:ligatures w14:val="standardContextual"/>
        </w:rPr>
        <w:t>Jaramillo Soto</w:t>
      </w:r>
      <w:r w:rsidRPr="008F50DF">
        <w:rPr>
          <w:rFonts w:ascii="Verdana" w:eastAsia="Calibri" w:hAnsi="Verdana" w:cs="Arial"/>
          <w:lang w:val="es-ES" w:eastAsia="es-ES"/>
        </w:rPr>
        <w:t xml:space="preserve">: </w:t>
      </w:r>
    </w:p>
    <w:p w14:paraId="1DC2C7D5" w14:textId="77777777" w:rsidR="008F50DF" w:rsidRPr="008F50DF" w:rsidRDefault="008F50DF" w:rsidP="008F50DF">
      <w:pPr>
        <w:tabs>
          <w:tab w:val="left" w:pos="3768"/>
        </w:tabs>
        <w:spacing w:after="0" w:line="276" w:lineRule="auto"/>
        <w:jc w:val="both"/>
        <w:rPr>
          <w:rFonts w:ascii="Verdana" w:eastAsia="Calibri" w:hAnsi="Verdana" w:cs="Arial"/>
          <w:lang w:val="es-ES" w:eastAsia="es-ES"/>
        </w:rPr>
      </w:pPr>
      <w:r w:rsidRPr="008F50DF">
        <w:rPr>
          <w:rFonts w:ascii="Verdana" w:eastAsia="Calibri" w:hAnsi="Verdana" w:cs="Arial"/>
          <w:lang w:val="es-ES" w:eastAsia="es-ES"/>
        </w:rPr>
        <w:tab/>
      </w:r>
    </w:p>
    <w:p w14:paraId="54790846" w14:textId="77777777" w:rsidR="008F50DF" w:rsidRPr="008F50DF" w:rsidRDefault="008F50DF" w:rsidP="008F50DF">
      <w:pPr>
        <w:spacing w:after="0" w:line="276" w:lineRule="auto"/>
        <w:jc w:val="both"/>
        <w:rPr>
          <w:rFonts w:ascii="Verdana" w:eastAsia="Calibri" w:hAnsi="Verdana" w:cs="Arial"/>
          <w:lang w:val="es-ES" w:eastAsia="es-ES"/>
        </w:rPr>
      </w:pPr>
      <w:r w:rsidRPr="008F50DF">
        <w:rPr>
          <w:rFonts w:ascii="Verdana" w:eastAsia="Calibri" w:hAnsi="Verdana" w:cs="Arial"/>
          <w:lang w:val="es-ES" w:eastAsia="es-ES"/>
        </w:rPr>
        <w:t>En ejercicio de la competencia otorgada por los artículos 3, numeral 5º, y 11, numeral 8º, del Decreto Ley 4170 de 2011,</w:t>
      </w:r>
      <w:r w:rsidRPr="008F50DF">
        <w:rPr>
          <w:rFonts w:ascii="Verdana" w:eastAsia="Arial MT" w:hAnsi="Verdana" w:cs="Arial MT"/>
          <w:lang w:val="es-ES" w:eastAsia="es-ES"/>
        </w:rPr>
        <w:t xml:space="preserve"> </w:t>
      </w:r>
      <w:r w:rsidRPr="008F50DF">
        <w:rPr>
          <w:rFonts w:ascii="Verdana" w:eastAsia="Calibri" w:hAnsi="Verdana" w:cs="Arial"/>
        </w:rPr>
        <w:t xml:space="preserve">así como lo establecido por la </w:t>
      </w:r>
      <w:r w:rsidRPr="008F50DF">
        <w:rPr>
          <w:rFonts w:ascii="Verdana" w:eastAsia="Aptos" w:hAnsi="Verdana" w:cs="Arial"/>
          <w:bCs/>
          <w:kern w:val="2"/>
          <w:lang w:eastAsia="es-ES" w:bidi="es-ES"/>
          <w14:ligatures w14:val="standardContextual"/>
        </w:rPr>
        <w:t>Resolución 469 de 2025 expedida por esta Entidad</w:t>
      </w:r>
      <w:r w:rsidRPr="008F50DF">
        <w:rPr>
          <w:rFonts w:ascii="Verdana" w:eastAsia="Calibri" w:hAnsi="Verdana" w:cs="Arial"/>
        </w:rPr>
        <w:t xml:space="preserve">, </w:t>
      </w:r>
      <w:r w:rsidRPr="008F50DF">
        <w:rPr>
          <w:rFonts w:ascii="Verdana" w:eastAsia="Calibri" w:hAnsi="Verdana" w:cs="Arial"/>
          <w:lang w:val="es-ES" w:eastAsia="es-ES"/>
        </w:rPr>
        <w:t xml:space="preserve">la Agencia Nacional de Contratación Pública – Colombia Compra Eficiente– responde sus solicitudes de consultas del 25 de febrero de 2026, en las cuales manifiesta lo siguiente: </w:t>
      </w:r>
    </w:p>
    <w:p w14:paraId="423F53B9" w14:textId="77777777" w:rsidR="008F50DF" w:rsidRPr="008F50DF" w:rsidRDefault="008F50DF" w:rsidP="008F50DF">
      <w:pPr>
        <w:shd w:val="clear" w:color="auto" w:fill="FFFFFF"/>
        <w:spacing w:after="0" w:line="240" w:lineRule="auto"/>
        <w:jc w:val="both"/>
        <w:rPr>
          <w:rFonts w:ascii="Calibri" w:eastAsia="Times New Roman" w:hAnsi="Calibri" w:cs="Calibri"/>
          <w:color w:val="242424"/>
          <w:lang w:eastAsia="es-MX"/>
        </w:rPr>
      </w:pPr>
      <w:r w:rsidRPr="008F50DF">
        <w:rPr>
          <w:rFonts w:ascii="Arial" w:eastAsia="Times New Roman" w:hAnsi="Arial" w:cs="Arial"/>
          <w:color w:val="242424"/>
          <w:sz w:val="24"/>
          <w:szCs w:val="24"/>
          <w:lang w:eastAsia="es-MX"/>
        </w:rPr>
        <w:t> </w:t>
      </w:r>
    </w:p>
    <w:p w14:paraId="127BC86F"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“Actualmente se adelanta la construcción de un SENA Étnico en el Municipio de Pueblo Rico – Risaralda, proyecto desarrollado Entre el Ministerio del Interior, la Gobernación de Risaralda, la Corporación Autónoma de Risaralda y el Servicio Nacional de Aprendizaje – SENA en el marco del respectivo convenio interadministrativo 2044 de 2021.</w:t>
      </w:r>
    </w:p>
    <w:p w14:paraId="31C51734"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lastRenderedPageBreak/>
        <w:t>En virtud de lo anterior, la Gobernación de Risaralda requiere adelantar el proceso de contratación para la dotación integral de los diferentes ambientes de formación. Cada aula cuenta con equipamiento específico y diferenciado, de acuerdo con la especialidad técnica o profesional que allí se impartirá. En consecuencia, el comité técnico del convenio, junto con el SENA, definió especificaciones técnicas particulares para cada ambiente, atendiendo las necesidades académicas concretas y las condiciones técnicas uniformes propias de cada línea de formación.</w:t>
      </w:r>
    </w:p>
    <w:p w14:paraId="7117E74D"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Teniendo en cuenta que actualmente se encuentran vigentes los Pliegos Tipo para infraestructura social en su versión 2, dentro de los cuales se contempla en la Matriz 1 – Experiencia para el proceso de selección abreviada de menor cuantía actividades asociadas a dotación de infraestructura educativa, surge la inquietud sobre su aplicabilidad obligatoria en el caso descrito. Específicamente, en la MATRIZ - EXPERIENCIA PARA PROYECTOS DE INFRAESTRUCTURA SOCIAL PARA EL SECTOR EDUCATIVO para las actividades de 1. OBRAS EN INFRAESTRUCTURA DE EDUCACIÓN se tiene la siguiente experiencia relacionada con la necesidad a contratar por la entidad:</w:t>
      </w:r>
    </w:p>
    <w:p w14:paraId="3D1164C4"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1.12. SUMINISTRO Y/O INSTALACIÓN DE DOTACIÓN Y/O DE MOBILIARIO INTERNO O EXTERNO PARA INFRAESTRUCTURA EDUCATIVA</w:t>
      </w:r>
    </w:p>
    <w:p w14:paraId="5F538D57"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1.14. SUMINISTRO Y/O INSTALACIÓN DE SISTEMAS DE AIRES ACONDICIONADOS O SISTEMAS DE VENTILACIÓN O SIMILARES PARA INFRAESTRUCTURA EDUCATIVA</w:t>
      </w:r>
    </w:p>
    <w:p w14:paraId="23623027"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1.16. SUMINISTRO E INSTALACIÓN DE EQUIPOS ESPECIALES Y/O ELECTROMECANICOS Y/O ELECTRONICOS Y/O MAQUINARIA U OTROS TIPOS DE EQUIPOS PARA EDIFICACIONES DE INFRAESTRUCTURA EDUCATIVA</w:t>
      </w:r>
    </w:p>
    <w:p w14:paraId="08DE1114"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El artículo 4 de la Ley 1882 de 2018, modificado por la Ley 2022 de 2020, establece la obligatoriedad para las entidades estatales de adoptar los documentos tipo expedidos por el Gobierno Nacional en los procesos de selección que correspondan a las tipologías definidas.</w:t>
      </w:r>
    </w:p>
    <w:p w14:paraId="4A41D5A0"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No obstante, en el caso concreto, el objeto contractual no corresponde a la construcción de infraestructura educativa, sino a la adquisición y dotación de bienes con características técnicas uniformes para cada ambiente de formación, lo que genera duda razonable frente a si dicho proceso se enmarca en el ámbito material de aplicación de los Pliegos Tipo de Infraestructura Educativa vigentes.</w:t>
      </w:r>
    </w:p>
    <w:p w14:paraId="5AAD3F27"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En ese orden, respetuosamente solicitamos orientación jurídica frente a la siguiente inquietud:</w:t>
      </w:r>
    </w:p>
    <w:p w14:paraId="435CA7D0" w14:textId="77777777" w:rsidR="008F50DF" w:rsidRPr="008F50DF" w:rsidRDefault="008F50DF" w:rsidP="008F50DF">
      <w:pPr>
        <w:shd w:val="clear" w:color="auto" w:fill="FFFFFF"/>
        <w:spacing w:after="0" w:line="240" w:lineRule="auto"/>
        <w:ind w:left="709" w:right="709"/>
        <w:jc w:val="both"/>
        <w:rPr>
          <w:rFonts w:ascii="Verdana" w:eastAsia="Times New Roman" w:hAnsi="Verdana" w:cs="Calibri"/>
          <w:color w:val="242424"/>
          <w:sz w:val="20"/>
          <w:szCs w:val="20"/>
          <w:lang w:eastAsia="es-MX"/>
        </w:rPr>
      </w:pPr>
      <w:r w:rsidRPr="008F50DF">
        <w:rPr>
          <w:rFonts w:ascii="Verdana" w:eastAsia="Times New Roman" w:hAnsi="Verdana" w:cs="Arial"/>
          <w:color w:val="242424"/>
          <w:sz w:val="20"/>
          <w:szCs w:val="20"/>
          <w:lang w:eastAsia="es-MX"/>
        </w:rPr>
        <w:t xml:space="preserve">¿Es obligatoria la aplicación de los Pliegos Tipo de Infraestructura Educativa para contratar la dotación del SENA Étnico, aun cuando las </w:t>
      </w:r>
      <w:r w:rsidRPr="008F50DF">
        <w:rPr>
          <w:rFonts w:ascii="Verdana" w:eastAsia="Times New Roman" w:hAnsi="Verdana" w:cs="Arial"/>
          <w:color w:val="242424"/>
          <w:sz w:val="20"/>
          <w:szCs w:val="20"/>
          <w:lang w:eastAsia="es-MX"/>
        </w:rPr>
        <w:lastRenderedPageBreak/>
        <w:t>características técnicas de cada una de las aulas son diferentes (cocina, construcción, TIC, eléctrica, entre otras) y corresponden a bienes de características técnicas uniformes?</w:t>
      </w:r>
      <w:r w:rsidRPr="008F50DF">
        <w:rPr>
          <w:rFonts w:ascii="Verdana" w:eastAsia="Century Gothic" w:hAnsi="Verdana" w:cs="Arial"/>
          <w:sz w:val="20"/>
          <w:szCs w:val="20"/>
          <w:lang w:eastAsia="es-MX"/>
        </w:rPr>
        <w:t xml:space="preserve">”. </w:t>
      </w:r>
    </w:p>
    <w:p w14:paraId="549EBEF0" w14:textId="77777777" w:rsidR="008F50DF" w:rsidRPr="008F50DF" w:rsidRDefault="008F50DF" w:rsidP="008F50DF">
      <w:pPr>
        <w:spacing w:after="0" w:line="240" w:lineRule="auto"/>
        <w:ind w:left="709" w:right="709"/>
        <w:jc w:val="both"/>
        <w:rPr>
          <w:rFonts w:ascii="Arial" w:eastAsia="Aptos" w:hAnsi="Arial" w:cs="Arial"/>
          <w:kern w:val="2"/>
          <w:sz w:val="21"/>
          <w:szCs w:val="21"/>
          <w14:ligatures w14:val="standardContextual"/>
        </w:rPr>
      </w:pPr>
    </w:p>
    <w:p w14:paraId="690FD800" w14:textId="77777777" w:rsidR="008F50DF" w:rsidRPr="008F50DF" w:rsidRDefault="008F50DF" w:rsidP="008F50DF">
      <w:pPr>
        <w:spacing w:after="120" w:line="276" w:lineRule="auto"/>
        <w:ind w:firstLine="709"/>
        <w:jc w:val="both"/>
        <w:rPr>
          <w:rFonts w:ascii="Verdana" w:eastAsia="Calibri" w:hAnsi="Verdana" w:cs="Arial"/>
          <w:color w:val="000000"/>
          <w:kern w:val="2"/>
          <w:lang w:val="es-ES" w:eastAsia="es-ES"/>
          <w14:ligatures w14:val="standardContextual"/>
        </w:rPr>
      </w:pPr>
      <w:r w:rsidRPr="008F50DF">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F50DF">
        <w:rPr>
          <w:rFonts w:ascii="Verdana" w:eastAsia="Calibri" w:hAnsi="Verdana" w:cs="Arial"/>
          <w:color w:val="000000"/>
          <w:kern w:val="2"/>
          <w:lang w:val="es-ES_tradnl" w:eastAsia="es-ES_tradnl"/>
          <w14:ligatures w14:val="standardContextual"/>
        </w:rPr>
        <w:tab/>
      </w:r>
    </w:p>
    <w:p w14:paraId="1FDE5789" w14:textId="77777777" w:rsidR="008F50DF" w:rsidRPr="008F50DF" w:rsidRDefault="008F50DF" w:rsidP="008F50DF">
      <w:pPr>
        <w:spacing w:after="0" w:line="276" w:lineRule="auto"/>
        <w:ind w:firstLine="709"/>
        <w:jc w:val="both"/>
        <w:rPr>
          <w:rFonts w:ascii="Verdana" w:eastAsia="Calibri" w:hAnsi="Verdana" w:cs="Arial"/>
          <w:color w:val="000000"/>
          <w:kern w:val="2"/>
          <w:lang w:val="es-ES" w:eastAsia="es-ES"/>
          <w14:ligatures w14:val="standardContextual"/>
        </w:rPr>
      </w:pPr>
      <w:r w:rsidRPr="008F50DF">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F50DF">
        <w:rPr>
          <w:rFonts w:ascii="Verdana" w:eastAsia="Calibri" w:hAnsi="Verdana" w:cs="Arial"/>
          <w:color w:val="7030A0"/>
          <w:kern w:val="2"/>
          <w:lang w:val="es-ES" w:eastAsia="es-ES"/>
          <w14:ligatures w14:val="standardContextual"/>
        </w:rPr>
        <w:t xml:space="preserve"> </w:t>
      </w:r>
      <w:r w:rsidRPr="008F50DF">
        <w:rPr>
          <w:rFonts w:ascii="Verdana" w:eastAsia="Calibri" w:hAnsi="Verdana" w:cs="Arial"/>
          <w:color w:val="000000"/>
          <w:kern w:val="2"/>
          <w:lang w:val="es-ES" w:eastAsia="es-ES"/>
          <w14:ligatures w14:val="standardContextual"/>
        </w:rPr>
        <w:t>problema</w:t>
      </w:r>
      <w:r w:rsidRPr="008F50DF">
        <w:rPr>
          <w:rFonts w:ascii="Verdana" w:eastAsia="Calibri" w:hAnsi="Verdana" w:cs="Arial"/>
          <w:color w:val="7030A0"/>
          <w:kern w:val="2"/>
          <w:lang w:val="es-ES" w:eastAsia="es-ES"/>
          <w14:ligatures w14:val="standardContextual"/>
        </w:rPr>
        <w:t xml:space="preserve"> </w:t>
      </w:r>
      <w:r w:rsidRPr="008F50DF">
        <w:rPr>
          <w:rFonts w:ascii="Verdana" w:eastAsia="Calibri" w:hAnsi="Verdana" w:cs="Arial"/>
          <w:color w:val="000000"/>
          <w:kern w:val="2"/>
          <w:lang w:val="es-ES" w:eastAsia="es-ES"/>
          <w14:ligatures w14:val="standardContextual"/>
        </w:rPr>
        <w:t>jurídico</w:t>
      </w:r>
      <w:r w:rsidRPr="008F50DF">
        <w:rPr>
          <w:rFonts w:ascii="Verdana" w:eastAsia="Calibri" w:hAnsi="Verdana" w:cs="Arial"/>
          <w:color w:val="7030A0"/>
          <w:kern w:val="2"/>
          <w:lang w:val="es-ES" w:eastAsia="es-ES"/>
          <w14:ligatures w14:val="standardContextual"/>
        </w:rPr>
        <w:t xml:space="preserve"> </w:t>
      </w:r>
      <w:r w:rsidRPr="008F50DF">
        <w:rPr>
          <w:rFonts w:ascii="Verdana" w:eastAsia="Calibri" w:hAnsi="Verdana" w:cs="Arial"/>
          <w:color w:val="000000"/>
          <w:kern w:val="2"/>
          <w:lang w:val="es-ES" w:eastAsia="es-ES"/>
          <w14:ligatures w14:val="standardContextual"/>
        </w:rPr>
        <w:t xml:space="preserve">de su consulta. </w:t>
      </w:r>
    </w:p>
    <w:p w14:paraId="2FD0ECF3" w14:textId="77777777" w:rsidR="008F50DF" w:rsidRPr="008F50DF" w:rsidRDefault="008F50DF" w:rsidP="008F50DF">
      <w:pPr>
        <w:spacing w:after="0" w:line="276" w:lineRule="auto"/>
        <w:jc w:val="both"/>
        <w:rPr>
          <w:rFonts w:ascii="Verdana" w:eastAsia="Calibri" w:hAnsi="Verdana" w:cs="Arial"/>
          <w:lang w:val="es-ES" w:eastAsia="es-ES"/>
        </w:rPr>
      </w:pPr>
    </w:p>
    <w:p w14:paraId="7D1EF95F" w14:textId="77777777" w:rsidR="008F50DF" w:rsidRPr="008F50DF" w:rsidRDefault="008F50DF" w:rsidP="008F50DF">
      <w:pPr>
        <w:numPr>
          <w:ilvl w:val="0"/>
          <w:numId w:val="17"/>
        </w:numPr>
        <w:tabs>
          <w:tab w:val="left" w:pos="142"/>
          <w:tab w:val="left" w:pos="284"/>
        </w:tabs>
        <w:spacing w:after="0" w:line="276" w:lineRule="auto"/>
        <w:jc w:val="both"/>
        <w:rPr>
          <w:rFonts w:ascii="Verdana" w:eastAsia="Century Gothic" w:hAnsi="Verdana" w:cs="Century Gothic"/>
          <w:b/>
          <w:bCs/>
        </w:rPr>
      </w:pPr>
      <w:r w:rsidRPr="008F50DF">
        <w:rPr>
          <w:rFonts w:ascii="Verdana" w:eastAsia="Century Gothic" w:hAnsi="Verdana" w:cs="Century Gothic"/>
          <w:b/>
          <w:bCs/>
        </w:rPr>
        <w:t>Problema planteado:</w:t>
      </w:r>
    </w:p>
    <w:p w14:paraId="28519C36" w14:textId="77777777" w:rsidR="008F50DF" w:rsidRPr="008F50DF" w:rsidRDefault="008F50DF" w:rsidP="008F50DF">
      <w:pPr>
        <w:tabs>
          <w:tab w:val="left" w:pos="426"/>
        </w:tabs>
        <w:spacing w:after="0" w:line="276" w:lineRule="auto"/>
        <w:jc w:val="both"/>
        <w:rPr>
          <w:rFonts w:ascii="Verdana" w:eastAsia="Century Gothic" w:hAnsi="Verdana" w:cs="Century Gothic"/>
          <w:lang w:val="es-ES"/>
        </w:rPr>
      </w:pPr>
    </w:p>
    <w:p w14:paraId="5DE29044" w14:textId="3DB90188" w:rsidR="008F50DF" w:rsidRPr="008F50DF" w:rsidRDefault="008F50DF" w:rsidP="008F50DF">
      <w:pPr>
        <w:spacing w:after="0" w:line="276" w:lineRule="auto"/>
        <w:jc w:val="both"/>
        <w:rPr>
          <w:rFonts w:ascii="Verdana" w:eastAsia="Calibri" w:hAnsi="Verdana" w:cs="Arial"/>
          <w:bCs/>
          <w:kern w:val="2"/>
          <w:lang w:val="es-ES_tradnl" w:eastAsia="es-ES_tradnl"/>
          <w14:ligatures w14:val="standardContextual"/>
        </w:rPr>
      </w:pPr>
      <w:r w:rsidRPr="008F50DF">
        <w:rPr>
          <w:rFonts w:ascii="Verdana" w:eastAsia="Century Gothic" w:hAnsi="Verdana" w:cs="Century Gothic"/>
        </w:rPr>
        <w:t xml:space="preserve">De acuerdo con el contenido de su solicitud, en relación con los Documentos Tipo del Sector Educativo, esta Agencia resolverá los siguientes problemas jurídicos: i) ¿Las actividades </w:t>
      </w:r>
      <w:r w:rsidRPr="008F50DF">
        <w:rPr>
          <w:rFonts w:ascii="Verdana" w:eastAsia="Times New Roman" w:hAnsi="Verdana" w:cs="Times New Roman"/>
          <w:color w:val="000000"/>
          <w:lang w:eastAsia="es-CO"/>
        </w:rPr>
        <w:t xml:space="preserve">1.12, 1.14 y 1.16 contenidas en la Matriz 1 – Experiencia aplican para adelantar un contrato que tiene por objeto la dotación de infraestructura educativa? y </w:t>
      </w:r>
      <w:proofErr w:type="spellStart"/>
      <w:r w:rsidRPr="008F50DF">
        <w:rPr>
          <w:rFonts w:ascii="Verdana" w:eastAsia="Times New Roman" w:hAnsi="Verdana" w:cs="Times New Roman"/>
          <w:color w:val="000000"/>
          <w:lang w:eastAsia="es-CO"/>
        </w:rPr>
        <w:t>ii</w:t>
      </w:r>
      <w:proofErr w:type="spellEnd"/>
      <w:r w:rsidRPr="008F50DF">
        <w:rPr>
          <w:rFonts w:ascii="Verdana" w:eastAsia="Times New Roman" w:hAnsi="Verdana" w:cs="Times New Roman"/>
          <w:color w:val="000000"/>
          <w:lang w:eastAsia="es-CO"/>
        </w:rPr>
        <w:t>)</w:t>
      </w:r>
      <w:r w:rsidR="007828D2">
        <w:rPr>
          <w:rFonts w:ascii="Verdana" w:eastAsia="Times New Roman" w:hAnsi="Verdana" w:cs="Times New Roman"/>
          <w:color w:val="000000"/>
          <w:lang w:eastAsia="es-CO"/>
        </w:rPr>
        <w:t xml:space="preserve"> </w:t>
      </w:r>
      <w:r w:rsidRPr="008F50DF">
        <w:rPr>
          <w:rFonts w:ascii="Verdana" w:eastAsia="Times New Roman" w:hAnsi="Verdana" w:cs="Times New Roman"/>
          <w:color w:val="000000"/>
          <w:lang w:eastAsia="es-CO"/>
        </w:rPr>
        <w:t>¿Toda instalación de cualquiera de los elementos contenidos en los numerales 1.12, 1.14 y 1.16 de la Matriz 1 – Experiencia, es constitutiva de un contrato de obra pública para efectos de la aplicación de los documentos tipo referidos?</w:t>
      </w:r>
    </w:p>
    <w:p w14:paraId="57C579F0" w14:textId="77777777" w:rsidR="008F50DF" w:rsidRPr="008F50DF" w:rsidRDefault="008F50DF" w:rsidP="008F50DF">
      <w:pPr>
        <w:spacing w:after="0" w:line="276" w:lineRule="auto"/>
        <w:jc w:val="both"/>
        <w:rPr>
          <w:rFonts w:ascii="Verdana" w:eastAsia="Century Gothic" w:hAnsi="Verdana" w:cs="Century Gothic"/>
          <w:lang w:val="es-ES_tradnl"/>
        </w:rPr>
      </w:pPr>
    </w:p>
    <w:p w14:paraId="4DE3C1FB" w14:textId="77777777" w:rsidR="008F50DF" w:rsidRPr="008F50DF" w:rsidRDefault="008F50DF" w:rsidP="008F50DF">
      <w:pPr>
        <w:tabs>
          <w:tab w:val="left" w:pos="142"/>
          <w:tab w:val="left" w:pos="284"/>
        </w:tabs>
        <w:spacing w:after="0" w:line="276" w:lineRule="auto"/>
        <w:contextualSpacing/>
        <w:jc w:val="both"/>
        <w:rPr>
          <w:rFonts w:ascii="Verdana" w:eastAsia="Century Gothic" w:hAnsi="Verdana" w:cs="Century Gothic"/>
          <w:b/>
          <w:bCs/>
          <w:lang w:val="es-ES"/>
        </w:rPr>
      </w:pPr>
      <w:r w:rsidRPr="008F50DF">
        <w:rPr>
          <w:rFonts w:ascii="Verdana" w:eastAsia="Century Gothic" w:hAnsi="Verdana" w:cs="Century Gothic"/>
          <w:b/>
          <w:bCs/>
          <w:lang w:val="es-ES"/>
        </w:rPr>
        <w:t>2. Respuestas:</w:t>
      </w:r>
    </w:p>
    <w:p w14:paraId="35959333" w14:textId="77777777" w:rsidR="008F50DF" w:rsidRPr="008F50DF" w:rsidRDefault="008F50DF" w:rsidP="008F50DF">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F50DF" w:rsidRPr="008F50DF" w14:paraId="676D7950"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463CDD46" w14:textId="77777777" w:rsidR="008F50DF" w:rsidRPr="008F50DF" w:rsidRDefault="008F50DF" w:rsidP="008F50DF">
            <w:pPr>
              <w:widowControl w:val="0"/>
              <w:autoSpaceDE w:val="0"/>
              <w:autoSpaceDN w:val="0"/>
              <w:spacing w:line="276" w:lineRule="auto"/>
              <w:jc w:val="both"/>
              <w:rPr>
                <w:rFonts w:ascii="Verdana" w:eastAsia="Calibri" w:hAnsi="Verdana" w:cs="Arial"/>
                <w:bCs/>
                <w:color w:val="000000"/>
              </w:rPr>
            </w:pPr>
            <w:r w:rsidRPr="008F50DF">
              <w:rPr>
                <w:rFonts w:ascii="Verdana" w:eastAsia="Calibri" w:hAnsi="Verdana" w:cs="Arial"/>
                <w:lang w:val="es-ES"/>
              </w:rPr>
              <w:lastRenderedPageBreak/>
              <w:t xml:space="preserve">i. </w:t>
            </w:r>
            <w:r w:rsidRPr="008F50DF">
              <w:rPr>
                <w:rFonts w:ascii="Verdana" w:eastAsia="Calibri" w:hAnsi="Verdana" w:cs="Times New Roman"/>
                <w:lang w:val="es-ES" w:eastAsia="es-MX"/>
              </w:rPr>
              <w:t xml:space="preserve">El artículo 8 de las Resoluciones 539, 540 y 541 del 21 de agosto de 2025, adoptan los Documentos Tipo complementarios para los procesos de infraestructura social relacionados con el sector educativo -según la modalidad que corresponda-. De acuerdo con el parágrafo segundo del artículo 9 de las citadas resoluciones, estos documentos aplican a los procesos contractuales que correspondan a las actividades definidas en la Matriz 1 – Experiencia del Sector Educativo. </w:t>
            </w:r>
          </w:p>
          <w:p w14:paraId="2801A6CA"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Calibri" w:hAnsi="Verdana" w:cs="Times New Roman"/>
                <w:lang w:val="es-ES" w:eastAsia="es-MX"/>
              </w:rPr>
              <w:tab/>
              <w:t xml:space="preserve">La Matriz 1 – Experiencia del Sector Educativo, </w:t>
            </w:r>
            <w:r w:rsidRPr="008F50DF">
              <w:rPr>
                <w:rFonts w:ascii="Verdana" w:eastAsia="Times New Roman" w:hAnsi="Verdana" w:cs="Times New Roman"/>
                <w:color w:val="000000"/>
                <w:lang w:eastAsia="es-CO"/>
              </w:rPr>
              <w:t>en la modalidad de licitación pública, selección abreviada de menor cuantía y mínima cuantía dispone de los siguientes cuatro (4) tipos de obras de infraestructura educativa:</w:t>
            </w:r>
            <w:r w:rsidRPr="008F50DF">
              <w:rPr>
                <w:rFonts w:ascii="Times New Roman" w:eastAsia="Arial" w:hAnsi="Times New Roman" w:cs="Aptos"/>
                <w:lang w:eastAsia="es-ES"/>
              </w:rPr>
              <w:t xml:space="preserve"> </w:t>
            </w:r>
            <w:r w:rsidRPr="008F50DF">
              <w:rPr>
                <w:rFonts w:ascii="Verdana" w:eastAsia="Arial" w:hAnsi="Verdana" w:cs="Aptos"/>
                <w:lang w:eastAsia="es-ES"/>
              </w:rPr>
              <w:t xml:space="preserve">“1. OBRAS EN INFRAESTRUCTURA DE EDUCACIÓN, 2. OBRAS EN INFRAESTRUCTURA RECREODEPORTIVA Y CULTURAL EN INFRAESTRUCTURA EDUCATIVA, 3. OBRAS EN VÍAS DE ACCESO O PARQUEADEROS O ZONAS DE CIRCULACIÓN (VEHICULAR O PEATONAL) O PLAZUELAS O PLAZAS O PLAZUELAS EN INFRAESTRUCTURA EDUCATIVA, y 4. OBRAS PARA ATENCIÓN, PREVENCIÓN O MITIGACIÓN DE EMERGENCIAS DIFERENTES A CONTRATACIÓN DIRECTA PARA EL SECTOR EDUCATIVO. Sobre los tipos de obras señaladas, la Matriz 1 – Experiencia contiene una serie de actividades donde la entidad debe encuadrar el objeto del proceso que pretende ejecutar. </w:t>
            </w:r>
          </w:p>
          <w:p w14:paraId="62685D7C"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ab/>
              <w:t xml:space="preserve">Concretamente, en su solicitud usted indaga sobre la aplicación de las actividades 1.12, 1.14 y 1.16 contenidas en la Matriz 1 – Experiencia para un contrato que tiene por objeto la dotación de infraestructura educativa. De esta forma, resulta pertinente establecer el alcance de las actividades mencionadas para determinar si estas se enmarcan o no en el proyecto que pretende contratar la entidad. </w:t>
            </w:r>
          </w:p>
          <w:p w14:paraId="58D75089" w14:textId="77777777" w:rsidR="008F50DF" w:rsidRPr="008F50DF" w:rsidRDefault="008F50DF" w:rsidP="008F50DF">
            <w:pPr>
              <w:spacing w:after="120" w:line="276" w:lineRule="auto"/>
              <w:ind w:firstLine="708"/>
              <w:jc w:val="both"/>
              <w:rPr>
                <w:rFonts w:ascii="Verdana" w:eastAsia="Aptos" w:hAnsi="Verdana" w:cs="Times New Roman"/>
                <w:lang w:eastAsia="es-CO"/>
              </w:rPr>
            </w:pPr>
            <w:r w:rsidRPr="008F50DF">
              <w:rPr>
                <w:rFonts w:ascii="Verdana" w:eastAsia="Times New Roman" w:hAnsi="Verdana" w:cs="Times New Roman"/>
                <w:color w:val="000000"/>
                <w:lang w:eastAsia="es-CO"/>
              </w:rPr>
              <w:t xml:space="preserve">Las actividades 1.12, 1.14 y 1.16 contenidas en el capítulo I “Obras en infraestructura educativa” de la Matriz 1 – Experiencia de los Documentos Tipo del Sector Educativo, </w:t>
            </w:r>
            <w:r w:rsidRPr="008F50DF">
              <w:rPr>
                <w:rFonts w:ascii="Verdana" w:eastAsia="Aptos" w:hAnsi="Verdana" w:cs="Times New Roman"/>
                <w:lang w:eastAsia="es-CO"/>
              </w:rPr>
              <w:t xml:space="preserve">aplican para los procesos que adelanten las entidades obligadas a utilizar los documentos tipo, cuando correspondan al </w:t>
            </w:r>
            <w:r w:rsidRPr="008F50DF">
              <w:rPr>
                <w:rFonts w:ascii="Verdana" w:eastAsia="Aptos" w:hAnsi="Verdana" w:cs="Times New Roman"/>
                <w:i/>
                <w:iCs/>
                <w:lang w:eastAsia="es-CO"/>
              </w:rPr>
              <w:t>suministro e instalación</w:t>
            </w:r>
            <w:r w:rsidRPr="008F50DF">
              <w:rPr>
                <w:rFonts w:ascii="Verdana" w:eastAsia="Aptos" w:hAnsi="Verdana" w:cs="Times New Roman"/>
                <w:lang w:eastAsia="es-CO"/>
              </w:rPr>
              <w:t xml:space="preserve"> de mobiliario interno o externo (1.12), sistemas de aire acondicionado, sistemas de ventilación o similares (1.14), y equipos especiales, electromecánicos y/o electrónicos, maquinarias u otros tipos de equipos (1.16) sobre infraestructura educativa.</w:t>
            </w:r>
          </w:p>
          <w:p w14:paraId="57398696"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lastRenderedPageBreak/>
              <w:tab/>
              <w:t xml:space="preserve">De esta forma, </w:t>
            </w:r>
            <w:r w:rsidRPr="008F50DF">
              <w:rPr>
                <w:rFonts w:ascii="Verdana" w:eastAsia="Times New Roman" w:hAnsi="Verdana" w:cs="Times New Roman"/>
                <w:i/>
                <w:iCs/>
                <w:color w:val="000000"/>
                <w:lang w:eastAsia="es-CO"/>
              </w:rPr>
              <w:t>la actividad de suministro está ligada a la actividad de instalación de los muebles mencionados que se encuentran en edificaciones que hacen parte de la infraestructura educativa.</w:t>
            </w:r>
            <w:r w:rsidRPr="008F50DF">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Educativo. Es decir que, si una entidad pretende adelantar un proceso que tenga por objeto el suministro de mobiliario interno o externo, el suministro de sistemas de aire acondicionado, sistemas de ventilación o similares, y el suministro de equipos especiales, electromecánicos y/o electrónicos, maquinarias u otros tipos de equipos sobre infraestructura educativa, no tendrá que aplicar los documentos tipo expedidos por esta Agencia en el sector educativo.</w:t>
            </w:r>
          </w:p>
          <w:p w14:paraId="54ED1B22"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ab/>
              <w:t>Ahora bien, si el objeto del proceso de selección implica la instalación de mobiliario interno o externo, sistemas de aire acondicionado, sistemas de ventilación o similares, y la instalación de equipos especiales, electromecánicos y/o electrónicos, maquinarias u otros tipos de equipos sobre infraestructura educativa, se deberán aplicar los documentos tipo del sector educativo expedidos por esta Agencia. En estos casos, la entidad que adelante el proceso también deberá contratar el suministro utilizando los documentos tipo referidos, ya que, como se indicó, las actividades 1.12, 1.14 y 1.16 contenidas en dichos documentos aplican para el suministro e instalación del mobiliario y los equipos mencionados.</w:t>
            </w:r>
          </w:p>
          <w:p w14:paraId="2736BDBF" w14:textId="77777777" w:rsidR="008F50DF" w:rsidRPr="008F50DF" w:rsidRDefault="008F50DF" w:rsidP="008F50DF">
            <w:pPr>
              <w:spacing w:line="276" w:lineRule="auto"/>
              <w:jc w:val="both"/>
              <w:rPr>
                <w:rFonts w:ascii="Verdana" w:eastAsia="Calibri" w:hAnsi="Verdana" w:cs="Arial"/>
                <w:color w:val="000000"/>
                <w:lang w:val="es-ES_tradnl"/>
              </w:rPr>
            </w:pPr>
            <w:r w:rsidRPr="008F50DF">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8F50DF">
              <w:rPr>
                <w:rFonts w:ascii="Verdana" w:eastAsia="Times New Roman" w:hAnsi="Verdana" w:cs="Times New Roman"/>
                <w:i/>
                <w:iCs/>
                <w:color w:val="000000"/>
                <w:lang w:eastAsia="es-CO"/>
              </w:rPr>
              <w:t>“(…) los procesos de obra pública de infraestructura social”</w:t>
            </w:r>
            <w:r w:rsidRPr="008F50DF">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8F50DF">
              <w:rPr>
                <w:rFonts w:ascii="Verdana" w:eastAsia="Calibri" w:hAnsi="Verdana" w:cs="Arial"/>
                <w:color w:val="000000"/>
                <w:lang w:val="es-ES_tradnl"/>
              </w:rPr>
              <w:t>los contratos “(…) que celebren las entidades estatales para la construcción, mantenimiento, instalación y, en general, para la realización de cualquier otro trabajo material sobre bienes inmuebles, cualquiera que sea la modalidad de ejecución y pago”</w:t>
            </w:r>
            <w:r w:rsidRPr="008F50DF">
              <w:rPr>
                <w:rFonts w:ascii="Verdana" w:eastAsia="Calibri" w:hAnsi="Verdana" w:cs="Arial"/>
                <w:color w:val="000000"/>
                <w:vertAlign w:val="superscript"/>
                <w:lang w:val="es-ES_tradnl"/>
              </w:rPr>
              <w:footnoteReference w:id="1"/>
            </w:r>
            <w:r w:rsidRPr="008F50DF">
              <w:rPr>
                <w:rFonts w:ascii="Verdana" w:eastAsia="Calibri" w:hAnsi="Verdana" w:cs="Arial"/>
                <w:color w:val="000000"/>
                <w:lang w:val="es-ES_tradnl"/>
              </w:rPr>
              <w:t xml:space="preserve">. </w:t>
            </w:r>
          </w:p>
          <w:p w14:paraId="7A1A0C6B" w14:textId="77777777" w:rsidR="008F50DF" w:rsidRPr="008F50DF" w:rsidRDefault="008F50DF" w:rsidP="008F50DF">
            <w:pPr>
              <w:spacing w:line="276" w:lineRule="auto"/>
              <w:jc w:val="both"/>
              <w:rPr>
                <w:rFonts w:ascii="Verdana" w:eastAsia="Times New Roman" w:hAnsi="Verdana" w:cs="Times New Roman"/>
                <w:color w:val="000000"/>
                <w:lang w:eastAsia="es-CO"/>
              </w:rPr>
            </w:pPr>
          </w:p>
          <w:p w14:paraId="545B6260" w14:textId="77777777" w:rsidR="008F50DF" w:rsidRPr="008F50DF" w:rsidRDefault="008F50DF" w:rsidP="008F50DF">
            <w:pPr>
              <w:spacing w:after="120" w:line="276" w:lineRule="auto"/>
              <w:jc w:val="both"/>
              <w:rPr>
                <w:rFonts w:ascii="Verdana" w:eastAsia="Calibri" w:hAnsi="Verdana" w:cs="Arial"/>
                <w:lang w:val="es-ES_tradnl"/>
              </w:rPr>
            </w:pPr>
            <w:proofErr w:type="spellStart"/>
            <w:r w:rsidRPr="008F50DF">
              <w:rPr>
                <w:rFonts w:ascii="Verdana" w:eastAsia="Times New Roman" w:hAnsi="Verdana" w:cs="Times New Roman"/>
                <w:color w:val="000000"/>
                <w:lang w:eastAsia="es-CO"/>
              </w:rPr>
              <w:lastRenderedPageBreak/>
              <w:t>iii</w:t>
            </w:r>
            <w:proofErr w:type="spellEnd"/>
            <w:r w:rsidRPr="008F50DF">
              <w:rPr>
                <w:rFonts w:ascii="Verdana" w:eastAsia="Times New Roman" w:hAnsi="Verdana" w:cs="Times New Roman"/>
                <w:color w:val="000000"/>
                <w:lang w:eastAsia="es-CO"/>
              </w:rPr>
              <w:t xml:space="preserve">. Las actividades 1.12, 1.14 y 1.16 contenidas en la Matriz 1 – Experiencia de los Documentos Tipo del Sector Educativo, </w:t>
            </w:r>
            <w:r w:rsidRPr="008F50DF">
              <w:rPr>
                <w:rFonts w:ascii="Verdana" w:eastAsia="Calibri" w:hAnsi="Verdana" w:cs="Arial"/>
                <w:lang w:val="es-ES"/>
              </w:rPr>
              <w:t xml:space="preserve">incluyen la instalación, la cual, como se indicó, es constitutiva del objeto de contrato de obra pública. </w:t>
            </w:r>
          </w:p>
          <w:p w14:paraId="50D9E04E"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t xml:space="preserve">Sin embargo, esto no quiere decir que </w:t>
            </w:r>
            <w:r w:rsidRPr="008F50DF">
              <w:rPr>
                <w:rFonts w:ascii="Verdana" w:eastAsia="Calibri" w:hAnsi="Verdana" w:cs="Arial"/>
                <w:i/>
                <w:iCs/>
                <w:lang w:val="es-ES_tradnl"/>
              </w:rPr>
              <w:t>toda</w:t>
            </w:r>
            <w:r w:rsidRPr="008F50DF">
              <w:rPr>
                <w:rFonts w:ascii="Verdana" w:eastAsia="Calibri" w:hAnsi="Verdana" w:cs="Arial"/>
                <w:lang w:val="es-ES_tradnl"/>
              </w:rPr>
              <w:t xml:space="preserve"> instalación que se pacte, como obligación a cargo del contratista, permita clasificar el negocio jurídico como un contrato de obra pública.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 </w:t>
            </w:r>
          </w:p>
          <w:p w14:paraId="517EEB99" w14:textId="77777777" w:rsidR="008F50DF" w:rsidRPr="008F50DF" w:rsidRDefault="008F50DF" w:rsidP="008F50DF">
            <w:pPr>
              <w:spacing w:after="120" w:line="276" w:lineRule="auto"/>
              <w:ind w:firstLine="709"/>
              <w:jc w:val="both"/>
              <w:rPr>
                <w:rFonts w:ascii="Verdana" w:eastAsia="Calibri" w:hAnsi="Verdana" w:cs="Arial"/>
                <w:lang w:val="es-ES"/>
              </w:rPr>
            </w:pPr>
            <w:r w:rsidRPr="008F50DF">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8F50DF">
              <w:rPr>
                <w:rFonts w:ascii="Verdana" w:eastAsia="Calibri" w:hAnsi="Verdana" w:cs="Arial"/>
                <w:i/>
                <w:lang w:val="es-ES"/>
              </w:rPr>
              <w:t>no</w:t>
            </w:r>
            <w:r w:rsidRPr="008F50DF">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8F50DF">
              <w:rPr>
                <w:rFonts w:ascii="Verdana" w:eastAsia="Calibri" w:hAnsi="Verdana" w:cs="Arial"/>
                <w:lang w:val="es-ES"/>
              </w:rPr>
              <w:t>ii</w:t>
            </w:r>
            <w:proofErr w:type="spellEnd"/>
            <w:r w:rsidRPr="008F50DF">
              <w:rPr>
                <w:rFonts w:ascii="Verdana" w:eastAsia="Calibri" w:hAnsi="Verdana" w:cs="Arial"/>
                <w:lang w:val="es-ES"/>
              </w:rPr>
              <w:t xml:space="preserve">) la finalidad de las partes y </w:t>
            </w:r>
            <w:proofErr w:type="spellStart"/>
            <w:r w:rsidRPr="008F50DF">
              <w:rPr>
                <w:rFonts w:ascii="Verdana" w:eastAsia="Calibri" w:hAnsi="Verdana" w:cs="Arial"/>
                <w:lang w:val="es-ES"/>
              </w:rPr>
              <w:t>iii</w:t>
            </w:r>
            <w:proofErr w:type="spellEnd"/>
            <w:r w:rsidRPr="008F50DF">
              <w:rPr>
                <w:rFonts w:ascii="Verdana" w:eastAsia="Calibri" w:hAnsi="Verdana" w:cs="Arial"/>
                <w:lang w:val="es-ES"/>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concreto, considerando los datos técnicos y económicos del objeto contractual.</w:t>
            </w:r>
          </w:p>
          <w:p w14:paraId="0D212F91"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Calibri" w:hAnsi="Verdana" w:cs="Arial"/>
                <w:lang w:val="es-ES" w:eastAsia="es-ES_tradnl"/>
              </w:rPr>
              <w:t xml:space="preserve">En este contexto, </w:t>
            </w:r>
            <w:r w:rsidRPr="008F50DF">
              <w:rPr>
                <w:rFonts w:ascii="Verdana" w:eastAsia="Aptos" w:hAnsi="Verdana" w:cs="Arial"/>
                <w:lang w:eastAsia="es-ES_tradnl"/>
              </w:rPr>
              <w:t xml:space="preserve">no es posible afirmar de manera categórica que el suministro e instalación de bienes muebles como </w:t>
            </w:r>
            <w:r w:rsidRPr="008F50DF">
              <w:rPr>
                <w:rFonts w:ascii="Verdana" w:eastAsia="Times New Roman" w:hAnsi="Verdana" w:cs="Times New Roman"/>
                <w:color w:val="000000"/>
                <w:lang w:eastAsia="es-CO"/>
              </w:rPr>
              <w:t xml:space="preserve">mobiliario interno o externo, sistemas de aires acondicionadas o sistemas de ventilación o similar, y equipos especiales o electromecánicos y/o electrónicos y/o maquinarias u otros tipos </w:t>
            </w:r>
            <w:r w:rsidRPr="008F50DF">
              <w:rPr>
                <w:rFonts w:ascii="Verdana" w:eastAsia="Times New Roman" w:hAnsi="Verdana" w:cs="Times New Roman"/>
                <w:color w:val="000000"/>
                <w:lang w:eastAsia="es-CO"/>
              </w:rPr>
              <w:lastRenderedPageBreak/>
              <w:t xml:space="preserve">de equipos sobre </w:t>
            </w:r>
            <w:r w:rsidRPr="008F50DF">
              <w:rPr>
                <w:rFonts w:ascii="Verdana" w:eastAsia="Aptos" w:hAnsi="Verdana" w:cs="Arial"/>
                <w:lang w:eastAsia="es-ES_tradnl"/>
              </w:rPr>
              <w:t xml:space="preserve">un inmueble que tiene la categoría de infraestructura educativa deba clasificarse, en todos los casos, como un contrato de obra pública para efecto de la utilización de los Documentos Tipo </w:t>
            </w:r>
            <w:r w:rsidRPr="008F50DF">
              <w:rPr>
                <w:rFonts w:ascii="Verdana" w:eastAsia="Times New Roman" w:hAnsi="Verdana" w:cs="Times New Roman"/>
                <w:color w:val="000000"/>
                <w:lang w:eastAsia="es-CO"/>
              </w:rPr>
              <w:t>del Sector Educativo</w:t>
            </w:r>
            <w:r w:rsidRPr="008F50DF">
              <w:rPr>
                <w:rFonts w:ascii="Verdana" w:eastAsia="Aptos" w:hAnsi="Verdana" w:cs="Arial"/>
                <w:lang w:eastAsia="es-ES_tradn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4D2A7F21"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eastAsia="es-ES_tradnl"/>
              </w:rPr>
              <w:t>Atendiendo a lo señalado por l</w:t>
            </w:r>
            <w:r w:rsidRPr="008F50DF">
              <w:rPr>
                <w:rFonts w:ascii="Verdana" w:eastAsia="Calibri" w:hAnsi="Verdana" w:cs="Arial"/>
                <w:lang w:val="es-ES_tradnl"/>
              </w:rPr>
              <w:t>a Sala de Consulta y Servicio Civil del Consejo de Estado,</w:t>
            </w:r>
            <w:r w:rsidRPr="008F50DF">
              <w:rPr>
                <w:rFonts w:ascii="Verdana" w:eastAsia="Calibri" w:hAnsi="Verdana" w:cs="Times New Roman"/>
                <w:color w:val="000000"/>
              </w:rPr>
              <w:t xml:space="preserve"> adhiriéndose al método de absorción para efectos de integrar el régimen jurídico aplicable,</w:t>
            </w:r>
            <w:r w:rsidRPr="008F50DF">
              <w:rPr>
                <w:rFonts w:ascii="Verdana" w:eastAsia="Calibri" w:hAnsi="Verdana" w:cs="Arial"/>
                <w:lang w:val="es-ES_tradnl"/>
              </w:rPr>
              <w:t xml:space="preserve"> se considera que en el caso referido es fundamental determinar la prestación principal para establecer dicho </w:t>
            </w:r>
            <w:r w:rsidRPr="008F50DF">
              <w:rPr>
                <w:rFonts w:ascii="Verdana" w:eastAsia="Calibri" w:hAnsi="Verdana" w:cs="Arial"/>
                <w:lang w:eastAsia="es-ES_tradnl"/>
              </w:rPr>
              <w:t>régimen</w:t>
            </w:r>
            <w:r w:rsidRPr="008F50DF">
              <w:rPr>
                <w:rFonts w:ascii="Verdana" w:eastAsia="Calibri" w:hAnsi="Verdana" w:cs="Arial"/>
                <w:lang w:val="es-ES_tradnl"/>
              </w:rPr>
              <w:t>.</w:t>
            </w:r>
            <w:r w:rsidRPr="008F50DF">
              <w:rPr>
                <w:rFonts w:ascii="Verdana" w:eastAsia="Calibri" w:hAnsi="Verdana" w:cs="Arial"/>
                <w:lang w:val="es-ES" w:eastAsia="es-ES_tradnl"/>
              </w:rPr>
              <w:t xml:space="preserve"> </w:t>
            </w:r>
          </w:p>
          <w:p w14:paraId="725BEA54"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 xml:space="preserve">Para tales efectos, la entidad estatal podría determinar </w:t>
            </w:r>
            <w:r w:rsidRPr="008F50DF">
              <w:rPr>
                <w:rFonts w:ascii="Verdana" w:eastAsia="Calibri" w:hAnsi="Verdana" w:cs="Arial"/>
                <w:color w:val="000000"/>
                <w:lang w:val="es-ES_tradnl"/>
              </w:rPr>
              <w:t>el régimen del contrato típico al que pertenece</w:t>
            </w:r>
            <w:r w:rsidRPr="008F50DF">
              <w:rPr>
                <w:rFonts w:ascii="Verdana" w:eastAsia="Calibri" w:hAnsi="Verdana" w:cs="Arial"/>
                <w:lang w:eastAsia="es-ES_tradnl"/>
              </w:rPr>
              <w:t xml:space="preserve"> atendiendo a cuál de las obligaciones - suministro o instalación-,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o el mobiliario. </w:t>
            </w:r>
          </w:p>
          <w:p w14:paraId="4B399472"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7B00C409" w14:textId="77777777" w:rsidR="008F50DF" w:rsidRPr="008F50DF" w:rsidRDefault="008F50DF" w:rsidP="008F50DF">
            <w:pPr>
              <w:spacing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Educativo expedidos por esta Agencia. </w:t>
            </w:r>
          </w:p>
        </w:tc>
      </w:tr>
    </w:tbl>
    <w:p w14:paraId="6DD3EF91" w14:textId="77777777" w:rsidR="008F50DF" w:rsidRPr="008F50DF" w:rsidRDefault="008F50DF" w:rsidP="008F50DF">
      <w:pPr>
        <w:tabs>
          <w:tab w:val="left" w:pos="142"/>
          <w:tab w:val="left" w:pos="284"/>
        </w:tabs>
        <w:spacing w:after="0" w:line="276" w:lineRule="auto"/>
        <w:jc w:val="both"/>
        <w:rPr>
          <w:rFonts w:ascii="Verdana" w:eastAsia="Century Gothic" w:hAnsi="Verdana" w:cs="Century Gothic"/>
          <w:b/>
          <w:bCs/>
          <w:lang w:val="es-ES"/>
        </w:rPr>
      </w:pPr>
    </w:p>
    <w:p w14:paraId="769A7107" w14:textId="77777777" w:rsidR="008F50DF" w:rsidRPr="008F50DF" w:rsidRDefault="008F50DF" w:rsidP="008F50DF">
      <w:pPr>
        <w:tabs>
          <w:tab w:val="left" w:pos="142"/>
          <w:tab w:val="left" w:pos="284"/>
        </w:tabs>
        <w:spacing w:after="0" w:line="276" w:lineRule="auto"/>
        <w:jc w:val="both"/>
        <w:rPr>
          <w:rFonts w:ascii="Verdana" w:eastAsia="Century Gothic" w:hAnsi="Verdana" w:cs="Century Gothic"/>
          <w:b/>
          <w:bCs/>
          <w:lang w:val="es-ES"/>
        </w:rPr>
      </w:pPr>
      <w:r w:rsidRPr="008F50DF">
        <w:rPr>
          <w:rFonts w:ascii="Verdana" w:eastAsia="Century Gothic" w:hAnsi="Verdana" w:cs="Century Gothic"/>
          <w:b/>
          <w:bCs/>
          <w:lang w:val="es-ES"/>
        </w:rPr>
        <w:t>3. Razones de la respuesta:</w:t>
      </w:r>
    </w:p>
    <w:p w14:paraId="1DEF145A" w14:textId="77777777" w:rsidR="008F50DF" w:rsidRPr="008F50DF" w:rsidRDefault="008F50DF" w:rsidP="008F50DF">
      <w:pPr>
        <w:spacing w:after="0" w:line="276" w:lineRule="auto"/>
        <w:jc w:val="both"/>
        <w:rPr>
          <w:rFonts w:ascii="Verdana" w:eastAsia="Calibri" w:hAnsi="Verdana" w:cs="Arial"/>
          <w:lang w:val="es-ES"/>
        </w:rPr>
      </w:pPr>
    </w:p>
    <w:p w14:paraId="77EC8F71" w14:textId="77777777" w:rsidR="008F50DF" w:rsidRPr="008F50DF" w:rsidRDefault="008F50DF" w:rsidP="008F50DF">
      <w:pPr>
        <w:spacing w:after="0" w:line="276" w:lineRule="auto"/>
        <w:jc w:val="both"/>
        <w:rPr>
          <w:rFonts w:ascii="Verdana" w:eastAsia="Calibri" w:hAnsi="Verdana" w:cs="Arial"/>
          <w:lang w:val="es-ES"/>
        </w:rPr>
      </w:pPr>
      <w:r w:rsidRPr="008F50DF">
        <w:rPr>
          <w:rFonts w:ascii="Verdana" w:eastAsia="Calibri" w:hAnsi="Verdana" w:cs="Arial"/>
          <w:lang w:val="es-ES"/>
        </w:rPr>
        <w:lastRenderedPageBreak/>
        <w:t xml:space="preserve">Lo anterior se sustenta en las siguientes consideraciones: </w:t>
      </w:r>
    </w:p>
    <w:p w14:paraId="4947DE95" w14:textId="77777777" w:rsidR="008F50DF" w:rsidRPr="008F50DF" w:rsidRDefault="008F50DF" w:rsidP="008F50DF">
      <w:pPr>
        <w:spacing w:after="0" w:line="276" w:lineRule="auto"/>
        <w:jc w:val="both"/>
        <w:rPr>
          <w:rFonts w:ascii="Verdana" w:eastAsia="Calibri" w:hAnsi="Verdana" w:cs="Arial"/>
          <w:lang w:val="es-ES"/>
        </w:rPr>
      </w:pPr>
    </w:p>
    <w:p w14:paraId="6532CFC5" w14:textId="77777777" w:rsidR="008F50DF" w:rsidRPr="008F50DF" w:rsidRDefault="008F50DF" w:rsidP="008F50DF">
      <w:pPr>
        <w:widowControl w:val="0"/>
        <w:autoSpaceDE w:val="0"/>
        <w:autoSpaceDN w:val="0"/>
        <w:spacing w:line="276" w:lineRule="auto"/>
        <w:jc w:val="both"/>
        <w:rPr>
          <w:rFonts w:ascii="Verdana" w:eastAsia="Aptos" w:hAnsi="Verdana" w:cs="Arial"/>
        </w:rPr>
      </w:pPr>
      <w:r w:rsidRPr="008F50DF">
        <w:rPr>
          <w:rFonts w:ascii="Verdana" w:eastAsia="Calibri" w:hAnsi="Verdana" w:cs="Arial"/>
          <w:lang w:val="es-ES"/>
        </w:rPr>
        <w:t xml:space="preserve">i. </w:t>
      </w:r>
      <w:r w:rsidRPr="008F50DF">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959AA01" w14:textId="77777777" w:rsidR="008F50DF" w:rsidRPr="008F50DF" w:rsidRDefault="008F50DF" w:rsidP="008F50DF">
      <w:pPr>
        <w:spacing w:after="120" w:line="276" w:lineRule="auto"/>
        <w:ind w:firstLine="708"/>
        <w:jc w:val="both"/>
        <w:rPr>
          <w:rFonts w:ascii="Verdana" w:eastAsia="Aptos" w:hAnsi="Verdana" w:cs="Arial"/>
        </w:rPr>
      </w:pPr>
      <w:r w:rsidRPr="008F50DF">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FDBE8B7"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Aptos" w:hAnsi="Verdana" w:cs="Arial"/>
        </w:rPr>
        <w:t xml:space="preserve">En el sector social, </w:t>
      </w:r>
      <w:r w:rsidRPr="008F50DF">
        <w:rPr>
          <w:rFonts w:ascii="Verdana" w:eastAsia="Calibri" w:hAnsi="Verdana" w:cs="Arial"/>
          <w:lang w:val="es-MX"/>
        </w:rPr>
        <w:t xml:space="preserve">la Agencia Nacional de Contratación Pública – Colombia Compra </w:t>
      </w:r>
      <w:r w:rsidRPr="008F50DF">
        <w:rPr>
          <w:rFonts w:ascii="Verdana" w:eastAsia="Calibri" w:hAnsi="Verdana" w:cs="Arial"/>
        </w:rPr>
        <w:t xml:space="preserve">Eficiente </w:t>
      </w:r>
      <w:r w:rsidRPr="008F50DF">
        <w:rPr>
          <w:rFonts w:ascii="Verdana" w:eastAsia="Times New Roman" w:hAnsi="Verdana" w:cs="Times New Roman"/>
          <w:color w:val="000000"/>
          <w:lang w:eastAsia="es-CO"/>
        </w:rPr>
        <w:t xml:space="preserve">en el segundo semestre del año 2025 adoptó las siguientes Resoluciones para </w:t>
      </w:r>
      <w:r w:rsidRPr="008F50DF">
        <w:rPr>
          <w:rFonts w:ascii="Verdana" w:eastAsia="Times New Roman" w:hAnsi="Verdana" w:cs="Times New Roman"/>
          <w:i/>
          <w:iCs/>
          <w:color w:val="000000"/>
          <w:lang w:eastAsia="es-CO"/>
        </w:rPr>
        <w:t>contratar obra pública</w:t>
      </w:r>
      <w:r w:rsidRPr="008F50DF">
        <w:rPr>
          <w:rFonts w:ascii="Verdana" w:eastAsia="Times New Roman" w:hAnsi="Verdana" w:cs="Times New Roman"/>
          <w:color w:val="000000"/>
          <w:lang w:eastAsia="es-CO"/>
        </w:rPr>
        <w:t xml:space="preserve"> y concurso de méritos:</w:t>
      </w:r>
    </w:p>
    <w:p w14:paraId="227B9417"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9ED0780"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 xml:space="preserve"> </w:t>
      </w:r>
      <w:proofErr w:type="spellStart"/>
      <w:r w:rsidRPr="008F50DF">
        <w:rPr>
          <w:rFonts w:ascii="Verdana" w:eastAsia="Times New Roman" w:hAnsi="Verdana" w:cs="Times New Roman"/>
          <w:color w:val="000000"/>
          <w:lang w:eastAsia="es-CO"/>
        </w:rPr>
        <w:t>ii</w:t>
      </w:r>
      <w:proofErr w:type="spellEnd"/>
      <w:r w:rsidRPr="008F50DF">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8F50DF">
        <w:rPr>
          <w:rFonts w:ascii="Verdana" w:eastAsia="Times New Roman" w:hAnsi="Verdana" w:cs="Times New Roman"/>
          <w:color w:val="000000"/>
          <w:lang w:eastAsia="es-CO"/>
        </w:rPr>
        <w:lastRenderedPageBreak/>
        <w:t>infraestructura social relacionados con los sectores educación, salud, cultura, recreación y deporte, institucional y vivienda".</w:t>
      </w:r>
    </w:p>
    <w:p w14:paraId="1545AED7"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proofErr w:type="spellStart"/>
      <w:r w:rsidRPr="008F50DF">
        <w:rPr>
          <w:rFonts w:ascii="Verdana" w:eastAsia="Times New Roman" w:hAnsi="Verdana" w:cs="Times New Roman"/>
          <w:color w:val="000000"/>
          <w:lang w:eastAsia="es-CO"/>
        </w:rPr>
        <w:t>iii</w:t>
      </w:r>
      <w:proofErr w:type="spellEnd"/>
      <w:r w:rsidRPr="008F50DF">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D5132F7"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proofErr w:type="spellStart"/>
      <w:r w:rsidRPr="008F50DF">
        <w:rPr>
          <w:rFonts w:ascii="Verdana" w:eastAsia="Times New Roman" w:hAnsi="Verdana" w:cs="Times New Roman"/>
          <w:color w:val="000000"/>
          <w:lang w:eastAsia="es-CO"/>
        </w:rPr>
        <w:t>iv</w:t>
      </w:r>
      <w:proofErr w:type="spellEnd"/>
      <w:r w:rsidRPr="008F50DF">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1F1D04CD"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8F50DF">
        <w:rPr>
          <w:rFonts w:ascii="Verdana" w:eastAsia="Aptos" w:hAnsi="Verdana" w:cs="Times New Roman"/>
          <w:kern w:val="2"/>
          <w14:ligatures w14:val="standardContextual"/>
        </w:rPr>
        <w:t xml:space="preserve"> </w:t>
      </w:r>
    </w:p>
    <w:p w14:paraId="374DE27F" w14:textId="77777777" w:rsidR="008F50DF" w:rsidRPr="008F50DF" w:rsidRDefault="008F50DF" w:rsidP="008F50DF">
      <w:pPr>
        <w:spacing w:after="120" w:line="276" w:lineRule="auto"/>
        <w:ind w:firstLine="708"/>
        <w:jc w:val="both"/>
        <w:textAlignment w:val="baseline"/>
        <w:rPr>
          <w:rFonts w:ascii="Verdana" w:eastAsia="Calibri" w:hAnsi="Verdana" w:cs="Arial"/>
        </w:rPr>
      </w:pPr>
      <w:r w:rsidRPr="008F50DF">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8F50DF">
        <w:rPr>
          <w:rFonts w:ascii="Verdana" w:eastAsia="Calibri" w:hAnsi="Verdana" w:cs="Arial"/>
          <w:vertAlign w:val="superscript"/>
        </w:rPr>
        <w:footnoteReference w:id="2"/>
      </w:r>
      <w:r w:rsidRPr="008F50DF">
        <w:rPr>
          <w:rFonts w:ascii="Verdana" w:eastAsia="Calibri" w:hAnsi="Verdana" w:cs="Arial"/>
        </w:rPr>
        <w:t>.</w:t>
      </w:r>
    </w:p>
    <w:p w14:paraId="41F6FA8D" w14:textId="77777777" w:rsidR="008F50DF" w:rsidRPr="008F50DF" w:rsidRDefault="008F50DF" w:rsidP="008F50DF">
      <w:pPr>
        <w:widowControl w:val="0"/>
        <w:autoSpaceDE w:val="0"/>
        <w:autoSpaceDN w:val="0"/>
        <w:spacing w:after="120" w:line="276" w:lineRule="auto"/>
        <w:ind w:firstLine="708"/>
        <w:jc w:val="both"/>
        <w:rPr>
          <w:rFonts w:ascii="Verdana" w:eastAsia="Calibri" w:hAnsi="Verdana" w:cs="Times New Roman"/>
          <w:lang w:val="es-ES"/>
        </w:rPr>
      </w:pPr>
      <w:r w:rsidRPr="008F50DF">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8F50DF">
        <w:rPr>
          <w:rFonts w:ascii="Verdana" w:eastAsia="Calibri" w:hAnsi="Verdana" w:cs="Times New Roman"/>
          <w:shd w:val="clear" w:color="auto" w:fill="E8E8E8"/>
          <w:lang w:val="es-ES"/>
        </w:rPr>
        <w:t>–[texto]–,</w:t>
      </w:r>
      <w:r w:rsidRPr="008F50DF">
        <w:rPr>
          <w:rFonts w:ascii="Verdana" w:eastAsia="Calibri" w:hAnsi="Verdana" w:cs="Times New Roman"/>
          <w:lang w:val="es-ES"/>
        </w:rPr>
        <w:t xml:space="preserve"> para lo cual deberán observarse las instrucciones contenidas en los mismos para su diligenciamiento.</w:t>
      </w:r>
    </w:p>
    <w:p w14:paraId="3AF6D9F3" w14:textId="77777777" w:rsidR="008F50DF" w:rsidRPr="008F50DF" w:rsidRDefault="008F50DF" w:rsidP="008F50DF">
      <w:pPr>
        <w:widowControl w:val="0"/>
        <w:autoSpaceDE w:val="0"/>
        <w:autoSpaceDN w:val="0"/>
        <w:spacing w:after="120" w:line="276" w:lineRule="auto"/>
        <w:ind w:firstLine="708"/>
        <w:jc w:val="both"/>
        <w:rPr>
          <w:rFonts w:ascii="Verdana" w:eastAsia="Calibri" w:hAnsi="Verdana" w:cs="Times New Roman"/>
          <w:lang w:val="es-ES"/>
        </w:rPr>
      </w:pPr>
      <w:r w:rsidRPr="008F50DF">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B141A3E" w14:textId="77777777" w:rsidR="008F50DF" w:rsidRPr="008F50DF" w:rsidRDefault="008F50DF" w:rsidP="008F50DF">
      <w:pPr>
        <w:widowControl w:val="0"/>
        <w:autoSpaceDE w:val="0"/>
        <w:autoSpaceDN w:val="0"/>
        <w:spacing w:after="120" w:line="276" w:lineRule="auto"/>
        <w:ind w:firstLine="708"/>
        <w:jc w:val="both"/>
        <w:rPr>
          <w:rFonts w:ascii="Verdana" w:eastAsia="Calibri" w:hAnsi="Verdana" w:cs="Times New Roman"/>
          <w:lang w:val="es-ES"/>
        </w:rPr>
      </w:pPr>
      <w:r w:rsidRPr="008F50DF">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w:t>
      </w:r>
      <w:r w:rsidRPr="008F50DF">
        <w:rPr>
          <w:rFonts w:ascii="Verdana" w:eastAsia="Calibri" w:hAnsi="Verdana" w:cs="Times New Roman"/>
          <w:lang w:val="es-ES"/>
        </w:rPr>
        <w:lastRenderedPageBreak/>
        <w:t>Agencia mediante las cuales se adoptan documentos tipo.</w:t>
      </w:r>
    </w:p>
    <w:p w14:paraId="3D3F83A2" w14:textId="77777777" w:rsidR="008F50DF" w:rsidRPr="008F50DF" w:rsidRDefault="008F50DF" w:rsidP="008F50DF">
      <w:pPr>
        <w:widowControl w:val="0"/>
        <w:autoSpaceDE w:val="0"/>
        <w:autoSpaceDN w:val="0"/>
        <w:spacing w:after="120" w:line="276" w:lineRule="auto"/>
        <w:ind w:firstLine="708"/>
        <w:jc w:val="both"/>
        <w:rPr>
          <w:rFonts w:ascii="Verdana" w:eastAsia="Calibri" w:hAnsi="Verdana" w:cs="Times New Roman"/>
          <w:lang w:val="es-ES"/>
        </w:rPr>
      </w:pPr>
      <w:r w:rsidRPr="008F50DF">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8A99FCA" w14:textId="77777777" w:rsidR="008F50DF" w:rsidRPr="008F50DF" w:rsidRDefault="008F50DF" w:rsidP="008F50DF">
      <w:pPr>
        <w:widowControl w:val="0"/>
        <w:autoSpaceDE w:val="0"/>
        <w:autoSpaceDN w:val="0"/>
        <w:spacing w:after="120" w:line="276" w:lineRule="auto"/>
        <w:ind w:firstLine="708"/>
        <w:jc w:val="both"/>
        <w:rPr>
          <w:rFonts w:ascii="Verdana" w:eastAsia="Calibri" w:hAnsi="Verdana" w:cs="Times New Roman"/>
          <w:lang w:val="es-ES"/>
        </w:rPr>
      </w:pPr>
      <w:r w:rsidRPr="008F50DF">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E63DC3B" w14:textId="77777777" w:rsidR="008F50DF" w:rsidRPr="008F50DF" w:rsidRDefault="008F50DF" w:rsidP="008F50DF">
      <w:pPr>
        <w:widowControl w:val="0"/>
        <w:autoSpaceDE w:val="0"/>
        <w:autoSpaceDN w:val="0"/>
        <w:spacing w:after="0" w:line="276" w:lineRule="auto"/>
        <w:ind w:firstLine="708"/>
        <w:jc w:val="both"/>
        <w:rPr>
          <w:rFonts w:ascii="Verdana" w:eastAsia="Calibri" w:hAnsi="Verdana" w:cs="Times New Roman"/>
          <w:lang w:val="es-ES"/>
        </w:rPr>
      </w:pPr>
      <w:r w:rsidRPr="008F50DF">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80480BA" w14:textId="77777777" w:rsidR="008F50DF" w:rsidRPr="008F50DF" w:rsidRDefault="008F50DF" w:rsidP="008F50DF">
      <w:pPr>
        <w:widowControl w:val="0"/>
        <w:autoSpaceDE w:val="0"/>
        <w:autoSpaceDN w:val="0"/>
        <w:spacing w:after="0" w:line="276" w:lineRule="auto"/>
        <w:ind w:firstLine="708"/>
        <w:jc w:val="both"/>
        <w:rPr>
          <w:rFonts w:ascii="Verdana" w:eastAsia="Calibri" w:hAnsi="Verdana" w:cs="Times New Roman"/>
          <w:lang w:val="es-ES"/>
        </w:rPr>
      </w:pPr>
    </w:p>
    <w:p w14:paraId="6FCB295F" w14:textId="77777777" w:rsidR="008F50DF" w:rsidRPr="008F50DF" w:rsidRDefault="008F50DF" w:rsidP="008F50DF">
      <w:pPr>
        <w:spacing w:after="120" w:line="276" w:lineRule="auto"/>
        <w:jc w:val="both"/>
        <w:rPr>
          <w:rFonts w:ascii="Verdana" w:eastAsia="Calibri" w:hAnsi="Verdana" w:cs="Times New Roman"/>
          <w:lang w:val="es-ES" w:eastAsia="es-MX"/>
        </w:rPr>
      </w:pPr>
      <w:proofErr w:type="spellStart"/>
      <w:r w:rsidRPr="008F50DF">
        <w:rPr>
          <w:rFonts w:ascii="Verdana" w:eastAsia="Calibri" w:hAnsi="Verdana" w:cs="Times New Roman"/>
          <w:lang w:val="es-ES"/>
        </w:rPr>
        <w:t>ii</w:t>
      </w:r>
      <w:proofErr w:type="spellEnd"/>
      <w:r w:rsidRPr="008F50DF">
        <w:rPr>
          <w:rFonts w:ascii="Verdana" w:eastAsia="Calibri" w:hAnsi="Verdana" w:cs="Times New Roman"/>
          <w:lang w:val="es-ES"/>
        </w:rPr>
        <w:t xml:space="preserve">. </w:t>
      </w:r>
      <w:r w:rsidRPr="008F50DF">
        <w:rPr>
          <w:rFonts w:ascii="Verdana" w:eastAsia="Calibri" w:hAnsi="Verdana" w:cs="Times New Roman"/>
          <w:lang w:val="es-ES" w:eastAsia="es-MX"/>
        </w:rPr>
        <w:t xml:space="preserve">El artículo 8 de las Resoluciones 539, 540 y 541 del 21 de agosto de 2025, adoptan los Documentos Tipo complementarios para los procesos de infraestructura social relacionados con el sector educativo -según la modalidad que corresponda-. De acuerdo con el parágrafo segundo del artículo 9 de las citadas resoluciones, estos documentos aplican a los procesos contractuales que correspondan a las actividades definidas en la Matriz 1 – Experiencia del Sector Educativo. </w:t>
      </w:r>
    </w:p>
    <w:p w14:paraId="5FFF1E7E" w14:textId="77777777" w:rsidR="008F50DF" w:rsidRPr="008F50DF" w:rsidRDefault="008F50DF" w:rsidP="008F50DF">
      <w:pPr>
        <w:spacing w:after="120" w:line="276" w:lineRule="auto"/>
        <w:jc w:val="both"/>
        <w:rPr>
          <w:rFonts w:ascii="Verdana" w:eastAsia="Arial" w:hAnsi="Verdana" w:cs="Aptos"/>
          <w:lang w:eastAsia="es-ES"/>
        </w:rPr>
      </w:pPr>
      <w:r w:rsidRPr="008F50DF">
        <w:rPr>
          <w:rFonts w:ascii="Verdana" w:eastAsia="Calibri" w:hAnsi="Verdana" w:cs="Times New Roman"/>
          <w:lang w:val="es-ES" w:eastAsia="es-MX"/>
        </w:rPr>
        <w:lastRenderedPageBreak/>
        <w:tab/>
        <w:t xml:space="preserve">La Matriz 1 – Experiencia del Sector Educativo, </w:t>
      </w:r>
      <w:r w:rsidRPr="008F50DF">
        <w:rPr>
          <w:rFonts w:ascii="Verdana" w:eastAsia="Times New Roman" w:hAnsi="Verdana" w:cs="Times New Roman"/>
          <w:color w:val="000000"/>
          <w:lang w:eastAsia="es-CO"/>
        </w:rPr>
        <w:t>en la modalidad de licitación pública, selección abreviada de menor cuantía y mínima cuantía dispone de los siguientes cuatro (4) tipos de obras de infraestructura educativa:</w:t>
      </w:r>
      <w:r w:rsidRPr="008F50DF">
        <w:rPr>
          <w:rFonts w:ascii="Times New Roman" w:eastAsia="Arial" w:hAnsi="Times New Roman" w:cs="Aptos"/>
          <w:lang w:eastAsia="es-ES"/>
        </w:rPr>
        <w:t xml:space="preserve"> </w:t>
      </w:r>
      <w:r w:rsidRPr="008F50DF">
        <w:rPr>
          <w:rFonts w:ascii="Verdana" w:eastAsia="Arial" w:hAnsi="Verdana" w:cs="Aptos"/>
          <w:lang w:eastAsia="es-ES"/>
        </w:rPr>
        <w:t xml:space="preserve">“1. OBRAS EN INFRAESTRUCTURA DE EDUCACIÓN, 2. OBRAS EN INFRAESTRUCTURA RECREODEPORTIVA Y CULTURAL EN INFRAESTRUCTURA EDUCATIVA, 3. OBRAS EN VÍAS DE ACCESO O PARQUEADEROS O ZONAS DE CIRCULACIÓN (VEHICULAR O PEATONAL) O PLAZUELAS O PLAZAS O PLAZUELAS EN INFRAESTRUCTURA EDUCATIVA, y 4. OBRAS PARA ATENCIÓN, PREVENCIÓN O MITIGACIÓN DE EMERGENCIAS DIFERENTES A CONTRATACIÓN DIRECTA PARA EL SECTOR EDUCATIVO. Sobre los tipos de obras señaladas, la Matriz 1 – Experiencia contiene una serie de actividades donde la entidad debe encuadrar el objeto del proceso que pretende ejecutar. Estas actividades se relacionan con proyectos de construcción, ampliación, reconstrucción, adecuación, conservación, intervención, remodelación, mantenimiento, mejoramiento, modificación, optimización, rehabilitación, remodelación, reposición y/o reparación y/o suministro, entre otras actividades, sobre infraestructura educativa. </w:t>
      </w:r>
    </w:p>
    <w:p w14:paraId="5941A0B6"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Arial" w:hAnsi="Verdana" w:cs="Aptos"/>
          <w:lang w:eastAsia="es-ES"/>
        </w:rPr>
        <w:tab/>
        <w:t>De esta forma, los tipos de obras señaladas y las actividades previstas en la Matriz 1</w:t>
      </w:r>
      <w:r w:rsidRPr="008F50DF">
        <w:rPr>
          <w:rFonts w:ascii="Verdana" w:eastAsia="Calibri" w:hAnsi="Verdana" w:cs="Times New Roman"/>
          <w:lang w:val="es-ES" w:eastAsia="es-MX"/>
        </w:rPr>
        <w:t xml:space="preserve">– Experiencia del Sector Educativo, </w:t>
      </w:r>
      <w:r w:rsidRPr="008F50DF">
        <w:rPr>
          <w:rFonts w:ascii="Verdana" w:eastAsia="Times New Roman" w:hAnsi="Verdana" w:cs="Times New Roman"/>
          <w:color w:val="000000"/>
          <w:lang w:eastAsia="es-CO"/>
        </w:rPr>
        <w:t>en la modalidad de licitación pública, selección abreviada de menor cuantía y mínima cuantía, recaen sobre infraestructura educativa. Esto es importante para precisar el ámbito de aplicación de los Documentos Tipo de este sector adoptados en de las Resoluciones 539, 540 y 541 de 2025.</w:t>
      </w:r>
    </w:p>
    <w:p w14:paraId="45BF5742"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ab/>
        <w:t xml:space="preserve">Concretamente, en su solicitud usted indaga sobre la aplicación de las actividades 1.12, 1.14 y 1.16 contenidas en la Matriz 1 – Experiencia para un contrato que tiene por objeto la dotación de infraestructura educativa. De esta forma, resulta pertinente establecer el alcance de las actividades mencionadas para determinar si estas se enmarcan o no en el proyecto que pretende contratar la entidad. </w:t>
      </w:r>
    </w:p>
    <w:p w14:paraId="58836374" w14:textId="77777777" w:rsidR="008F50DF" w:rsidRPr="008F50DF" w:rsidRDefault="008F50DF" w:rsidP="008F50DF">
      <w:pPr>
        <w:spacing w:after="0" w:line="276" w:lineRule="auto"/>
        <w:ind w:firstLine="708"/>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Las actividades 1.12, 1.14 y 1.16 se encuentran contenidas en el capítulo I “Obras en infraestructura educativa” de la Matriz 1 – Experiencia de los Documentos Tipo del Sector Educativo en las modalidades de licitación pública, selección abreviada de menor cuantía y mínima cuantía, de la siguiente forma:</w:t>
      </w:r>
    </w:p>
    <w:p w14:paraId="438B493C" w14:textId="77777777" w:rsidR="008F50DF" w:rsidRPr="008F50DF" w:rsidRDefault="008F50DF" w:rsidP="008F50DF">
      <w:pPr>
        <w:spacing w:after="0" w:line="240" w:lineRule="auto"/>
        <w:jc w:val="both"/>
        <w:rPr>
          <w:rFonts w:ascii="Verdana" w:eastAsia="Times New Roman" w:hAnsi="Verdana" w:cs="Times New Roman"/>
          <w:color w:val="000000"/>
          <w:lang w:eastAsia="es-CO"/>
        </w:rPr>
      </w:pPr>
    </w:p>
    <w:p w14:paraId="51855272" w14:textId="77777777" w:rsidR="008F50DF" w:rsidRPr="008F50DF" w:rsidRDefault="008F50DF" w:rsidP="008F50DF">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F50DF">
        <w:rPr>
          <w:rFonts w:ascii="Verdana" w:eastAsia="Times New Roman" w:hAnsi="Verdana" w:cs="Arial"/>
          <w:color w:val="242424"/>
          <w:sz w:val="21"/>
          <w:szCs w:val="21"/>
          <w:lang w:eastAsia="es-MX"/>
        </w:rPr>
        <w:lastRenderedPageBreak/>
        <w:t>“1.12. SUMINISTRO Y/O INSTALACIÓN DE DOTACIÓN Y/O DE MOBILIARIO INTERNO O EXTERNO PARA INFRAESTRUCTURA EDUCATIVA</w:t>
      </w:r>
    </w:p>
    <w:p w14:paraId="02B8BC7B"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1"/>
          <w:szCs w:val="21"/>
          <w:lang w:eastAsia="es-MX"/>
        </w:rPr>
      </w:pPr>
      <w:r w:rsidRPr="008F50DF">
        <w:rPr>
          <w:rFonts w:ascii="Verdana" w:eastAsia="Times New Roman" w:hAnsi="Verdana" w:cs="Arial"/>
          <w:color w:val="242424"/>
          <w:sz w:val="21"/>
          <w:szCs w:val="21"/>
          <w:lang w:eastAsia="es-MX"/>
        </w:rPr>
        <w:t>(…)</w:t>
      </w:r>
    </w:p>
    <w:p w14:paraId="04235EBA" w14:textId="77777777" w:rsidR="008F50DF" w:rsidRPr="008F50DF" w:rsidRDefault="008F50DF" w:rsidP="008F50DF">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F50DF">
        <w:rPr>
          <w:rFonts w:ascii="Verdana" w:eastAsia="Times New Roman" w:hAnsi="Verdana" w:cs="Arial"/>
          <w:color w:val="242424"/>
          <w:sz w:val="21"/>
          <w:szCs w:val="21"/>
          <w:lang w:eastAsia="es-MX"/>
        </w:rPr>
        <w:t>1.14. SUMINISTRO Y/O INSTALACIÓN DE SISTEMAS DE AIRES ACONDICIONADOS O SISTEMAS DE VENTILACIÓN O SIMILARES PARA INFRAESTRUCTURA EDUCATIVA</w:t>
      </w:r>
    </w:p>
    <w:p w14:paraId="5BF5C735" w14:textId="77777777" w:rsidR="008F50DF" w:rsidRPr="008F50DF" w:rsidRDefault="008F50DF" w:rsidP="008F50DF">
      <w:pPr>
        <w:shd w:val="clear" w:color="auto" w:fill="FFFFFF"/>
        <w:spacing w:after="120" w:line="240" w:lineRule="auto"/>
        <w:ind w:left="709" w:right="709"/>
        <w:jc w:val="both"/>
        <w:rPr>
          <w:rFonts w:ascii="Verdana" w:eastAsia="Times New Roman" w:hAnsi="Verdana" w:cs="Calibri"/>
          <w:color w:val="242424"/>
          <w:sz w:val="21"/>
          <w:szCs w:val="21"/>
          <w:lang w:eastAsia="es-MX"/>
        </w:rPr>
      </w:pPr>
      <w:r w:rsidRPr="008F50DF">
        <w:rPr>
          <w:rFonts w:ascii="Verdana" w:eastAsia="Times New Roman" w:hAnsi="Verdana" w:cs="Arial"/>
          <w:color w:val="242424"/>
          <w:sz w:val="21"/>
          <w:szCs w:val="21"/>
          <w:lang w:eastAsia="es-MX"/>
        </w:rPr>
        <w:t>(…)</w:t>
      </w:r>
    </w:p>
    <w:p w14:paraId="7EE83194" w14:textId="77777777" w:rsidR="008F50DF" w:rsidRPr="008F50DF" w:rsidRDefault="008F50DF" w:rsidP="008F50DF">
      <w:pPr>
        <w:shd w:val="clear" w:color="auto" w:fill="FFFFFF"/>
        <w:spacing w:after="0" w:line="240" w:lineRule="auto"/>
        <w:ind w:left="709" w:right="709"/>
        <w:jc w:val="both"/>
        <w:rPr>
          <w:rFonts w:ascii="Verdana" w:eastAsia="Times New Roman" w:hAnsi="Verdana" w:cs="Arial"/>
          <w:color w:val="242424"/>
          <w:sz w:val="21"/>
          <w:szCs w:val="21"/>
          <w:lang w:eastAsia="es-MX"/>
        </w:rPr>
      </w:pPr>
      <w:r w:rsidRPr="008F50DF">
        <w:rPr>
          <w:rFonts w:ascii="Verdana" w:eastAsia="Times New Roman" w:hAnsi="Verdana" w:cs="Arial"/>
          <w:color w:val="242424"/>
          <w:sz w:val="21"/>
          <w:szCs w:val="21"/>
          <w:lang w:eastAsia="es-MX"/>
        </w:rPr>
        <w:t>1.16. SUMINISTRO E INSTALACIÓN DE EQUIPOS ESPECIALES Y/O ELECTROMECANICOS Y/O ELECTRONICOS Y/O MAQUINARIA U OTROS TIPOS DE EQUIPOS PARA EDIFICACIONES DE INFRAESTRUCTURA EDUCATIVA”.</w:t>
      </w:r>
    </w:p>
    <w:p w14:paraId="2CC2FCEB" w14:textId="77777777" w:rsidR="008F50DF" w:rsidRPr="008F50DF" w:rsidRDefault="008F50DF" w:rsidP="008F50DF">
      <w:pPr>
        <w:spacing w:after="0" w:line="276" w:lineRule="auto"/>
        <w:jc w:val="both"/>
        <w:rPr>
          <w:rFonts w:ascii="Verdana" w:eastAsia="Times New Roman" w:hAnsi="Verdana" w:cs="Times New Roman"/>
          <w:color w:val="000000"/>
          <w:lang w:eastAsia="es-CO"/>
        </w:rPr>
      </w:pPr>
    </w:p>
    <w:p w14:paraId="4F6D8A7A" w14:textId="77777777" w:rsidR="008F50DF" w:rsidRPr="008F50DF" w:rsidRDefault="008F50DF" w:rsidP="008F50DF">
      <w:pPr>
        <w:spacing w:after="120" w:line="276" w:lineRule="auto"/>
        <w:jc w:val="both"/>
        <w:rPr>
          <w:rFonts w:ascii="Verdana" w:eastAsia="Aptos" w:hAnsi="Verdana" w:cs="Times New Roman"/>
          <w:kern w:val="2"/>
          <w:lang w:eastAsia="es-CO"/>
          <w14:ligatures w14:val="standardContextual"/>
        </w:rPr>
      </w:pPr>
      <w:r w:rsidRPr="008F50DF">
        <w:rPr>
          <w:rFonts w:ascii="Verdana" w:eastAsia="Aptos" w:hAnsi="Verdana" w:cs="Times New Roman"/>
          <w:kern w:val="2"/>
          <w:lang w:eastAsia="es-CO"/>
          <w14:ligatures w14:val="standardContextual"/>
        </w:rPr>
        <w:t xml:space="preserve">Como se aprecia, las actividades indicadas aplican para los procesos que adelanten las entidades obligadas a utilizar los documentos tipo, cuando correspondan al </w:t>
      </w:r>
      <w:r w:rsidRPr="008F50DF">
        <w:rPr>
          <w:rFonts w:ascii="Verdana" w:eastAsia="Aptos" w:hAnsi="Verdana" w:cs="Times New Roman"/>
          <w:i/>
          <w:iCs/>
          <w:kern w:val="2"/>
          <w:lang w:eastAsia="es-CO"/>
          <w14:ligatures w14:val="standardContextual"/>
        </w:rPr>
        <w:t>suministro e instalación</w:t>
      </w:r>
      <w:r w:rsidRPr="008F50DF">
        <w:rPr>
          <w:rFonts w:ascii="Verdana" w:eastAsia="Aptos" w:hAnsi="Verdana" w:cs="Times New Roman"/>
          <w:kern w:val="2"/>
          <w:lang w:eastAsia="es-CO"/>
          <w14:ligatures w14:val="standardContextual"/>
        </w:rPr>
        <w:t xml:space="preserve"> de mobiliario interno o externo (1.12), sistemas de aire acondicionado, sistemas de ventilación o similares (1.14), y equipos especiales, electromecánicos y/o electrónicos, maquinarias u otros tipos de equipos (1.16) sobre infraestructura educativa.</w:t>
      </w:r>
    </w:p>
    <w:p w14:paraId="3866529F"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ab/>
        <w:t>De esta forma, la actividad de suministro está ligada a la actividad de instalación de los muebles mencionados que se encuentran en edificaciones que hacen parte de la infraestructura educativa. Así, por sí sola, la actividad de suministro no requiere la aplicación de los documentos tipo expedidos por esta Agencia en el sector educativo. Es decir que, si una entidad pretende adelantar un proceso que tenga por objeto el suministro de mobiliario interno o externo, el suministro de sistemas de aire acondicionado, sistemas de ventilación o similares, y el suministro de equipos especiales, electromecánicos y/o electrónicos, maquinarias u otros tipos de equipos sobre infraestructura educativa, no tendrá que aplicar los documentos tipo expedidos por esta Agencia en el sector educativo.</w:t>
      </w:r>
    </w:p>
    <w:p w14:paraId="487C719B"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r w:rsidRPr="008F50DF">
        <w:rPr>
          <w:rFonts w:ascii="Verdana" w:eastAsia="Times New Roman" w:hAnsi="Verdana" w:cs="Times New Roman"/>
          <w:color w:val="000000"/>
          <w:lang w:eastAsia="es-CO"/>
        </w:rPr>
        <w:tab/>
        <w:t xml:space="preserve">Ahora bien, si el objeto del proceso de selección implica la instalación de mobiliario interno o externo, sistemas de aire acondicionado, sistemas de ventilación o similares, y la instalación de equipos especiales, electromecánicos y/o electrónicos, maquinarias u otros tipos de equipos sobre infraestructura educativa, se deberán aplicar los documentos tipo del sector educativo </w:t>
      </w:r>
      <w:r w:rsidRPr="008F50DF">
        <w:rPr>
          <w:rFonts w:ascii="Verdana" w:eastAsia="Times New Roman" w:hAnsi="Verdana" w:cs="Times New Roman"/>
          <w:color w:val="000000"/>
          <w:lang w:eastAsia="es-CO"/>
        </w:rPr>
        <w:lastRenderedPageBreak/>
        <w:t>expedidos por esta Agencia. En estos casos, la entidad que adelante el proceso también deberá contratar el suministro utilizando los documentos tipo referidos, ya que, como se indicó, las actividades 1.12, 1.14 y 1.16 contenidas en dichos documentos aplican para el suministro e instalación del mobiliario y los equipos mencionados.</w:t>
      </w:r>
    </w:p>
    <w:p w14:paraId="691F2AF6" w14:textId="77777777" w:rsidR="008F50DF" w:rsidRPr="008F50DF" w:rsidRDefault="008F50DF" w:rsidP="008F50DF">
      <w:pPr>
        <w:spacing w:after="0" w:line="276" w:lineRule="auto"/>
        <w:jc w:val="both"/>
        <w:rPr>
          <w:rFonts w:ascii="Verdana" w:eastAsia="Calibri" w:hAnsi="Verdana" w:cs="Arial"/>
          <w:color w:val="000000"/>
          <w:kern w:val="2"/>
          <w:lang w:val="es-ES_tradnl"/>
          <w14:ligatures w14:val="standardContextual"/>
        </w:rPr>
      </w:pPr>
      <w:r w:rsidRPr="008F50DF">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8F50DF">
        <w:rPr>
          <w:rFonts w:ascii="Verdana" w:eastAsia="Times New Roman" w:hAnsi="Verdana" w:cs="Times New Roman"/>
          <w:i/>
          <w:iCs/>
          <w:color w:val="000000"/>
          <w:lang w:eastAsia="es-CO"/>
        </w:rPr>
        <w:t>“(…) los procesos de obra pública de infraestructura social”</w:t>
      </w:r>
      <w:r w:rsidRPr="008F50DF">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8F50DF">
        <w:rPr>
          <w:rFonts w:ascii="Verdana" w:eastAsia="Calibri" w:hAnsi="Verdana" w:cs="Arial"/>
          <w:color w:val="000000"/>
          <w:kern w:val="2"/>
          <w:lang w:val="es-ES_tradnl"/>
          <w14:ligatures w14:val="standardContextual"/>
        </w:rPr>
        <w:t>los contratos “(…) que celebren las entidades estatales para la construcción, mantenimiento, instalación y, en general, para la realización de cualquier otro trabajo material sobre bienes inmuebles, cualquiera que sea la modalidad de ejecución y pago”</w:t>
      </w:r>
      <w:r w:rsidRPr="008F50DF">
        <w:rPr>
          <w:rFonts w:ascii="Verdana" w:eastAsia="Calibri" w:hAnsi="Verdana" w:cs="Arial"/>
          <w:color w:val="000000"/>
          <w:kern w:val="2"/>
          <w:vertAlign w:val="superscript"/>
          <w:lang w:val="es-ES_tradnl"/>
          <w14:ligatures w14:val="standardContextual"/>
        </w:rPr>
        <w:footnoteReference w:id="3"/>
      </w:r>
      <w:r w:rsidRPr="008F50DF">
        <w:rPr>
          <w:rFonts w:ascii="Verdana" w:eastAsia="Calibri" w:hAnsi="Verdana" w:cs="Arial"/>
          <w:color w:val="000000"/>
          <w:kern w:val="2"/>
          <w:lang w:val="es-ES_tradnl"/>
          <w14:ligatures w14:val="standardContextual"/>
        </w:rPr>
        <w:t xml:space="preserve">. </w:t>
      </w:r>
    </w:p>
    <w:p w14:paraId="6BC00F88" w14:textId="77777777" w:rsidR="008F50DF" w:rsidRPr="008F50DF" w:rsidRDefault="008F50DF" w:rsidP="008F50DF">
      <w:pPr>
        <w:spacing w:after="0" w:line="276" w:lineRule="auto"/>
        <w:jc w:val="both"/>
        <w:rPr>
          <w:rFonts w:ascii="Verdana" w:eastAsia="Times New Roman" w:hAnsi="Verdana" w:cs="Times New Roman"/>
          <w:color w:val="000000"/>
          <w:lang w:eastAsia="es-CO"/>
        </w:rPr>
      </w:pPr>
    </w:p>
    <w:p w14:paraId="4220D163" w14:textId="77777777" w:rsidR="008F50DF" w:rsidRPr="008F50DF" w:rsidRDefault="008F50DF" w:rsidP="008F50DF">
      <w:pPr>
        <w:spacing w:after="120" w:line="276" w:lineRule="auto"/>
        <w:jc w:val="both"/>
        <w:rPr>
          <w:rFonts w:ascii="Verdana" w:eastAsia="Times New Roman" w:hAnsi="Verdana" w:cs="Times New Roman"/>
          <w:color w:val="000000"/>
          <w:lang w:eastAsia="es-CO"/>
        </w:rPr>
      </w:pPr>
      <w:proofErr w:type="spellStart"/>
      <w:r w:rsidRPr="008F50DF">
        <w:rPr>
          <w:rFonts w:ascii="Verdana" w:eastAsia="Times New Roman" w:hAnsi="Verdana" w:cs="Times New Roman"/>
          <w:color w:val="000000"/>
          <w:lang w:eastAsia="es-CO"/>
        </w:rPr>
        <w:t>iii</w:t>
      </w:r>
      <w:proofErr w:type="spellEnd"/>
      <w:r w:rsidRPr="008F50DF">
        <w:rPr>
          <w:rFonts w:ascii="Verdana" w:eastAsia="Times New Roman" w:hAnsi="Verdana" w:cs="Times New Roman"/>
          <w:color w:val="000000"/>
          <w:lang w:eastAsia="es-CO"/>
        </w:rPr>
        <w:t xml:space="preserve">. Sin perjuicio de lo anterior, debe indicarse que para efectos de la aplicación de las actividades 1.12, 1.14 y 1.16 contenidas en la Matriz 1 – Experiencia de los Documentos Tipo del Sector Educativo, la entidad que adelanta el proceso de selección deberá determinar en cada caso, si este se enmarca o no en el ámbito de aplicación de esas actividades. </w:t>
      </w:r>
    </w:p>
    <w:p w14:paraId="000D9BE9" w14:textId="77777777" w:rsidR="008F50DF" w:rsidRPr="008F50DF" w:rsidRDefault="008F50DF" w:rsidP="008F50DF">
      <w:pPr>
        <w:spacing w:after="120" w:line="276" w:lineRule="auto"/>
        <w:ind w:firstLine="708"/>
        <w:jc w:val="both"/>
        <w:rPr>
          <w:rFonts w:ascii="Verdana" w:eastAsia="Calibri" w:hAnsi="Verdana" w:cs="Arial"/>
          <w:lang w:val="es-ES"/>
        </w:rPr>
      </w:pPr>
      <w:r w:rsidRPr="008F50DF">
        <w:rPr>
          <w:rFonts w:ascii="Verdana" w:eastAsia="Calibri" w:hAnsi="Verdana" w:cs="Arial"/>
          <w:lang w:val="es-ES"/>
        </w:rPr>
        <w:t xml:space="preserve">No obstante, teniendo en cuenta que las actividades señaladas incluyen la instalación, la cual, como se indicó, es constitutiva del objeto de contrato de obra pública, es importante hacer algunas precisiones en torno al alcance de este concepto. Como lo ha indicado la Sala de Consulta y Servicio Civil del Consejo de Estado, dentro del contrato de obra pública se considera incluido “[…], todo trabajo que tiene por objeto, crear, construir, conservar o modificar bienes inmuebles incorporándose a dicho concepto trabajos como la construcción, </w:t>
      </w:r>
      <w:r w:rsidRPr="008F50DF">
        <w:rPr>
          <w:rFonts w:ascii="Verdana" w:eastAsia="Calibri" w:hAnsi="Verdana" w:cs="Arial"/>
          <w:i/>
          <w:lang w:val="es-ES"/>
        </w:rPr>
        <w:t>instalación</w:t>
      </w:r>
      <w:r w:rsidRPr="008F50DF">
        <w:rPr>
          <w:rFonts w:ascii="Verdana" w:eastAsia="Calibri" w:hAnsi="Verdana" w:cs="Arial"/>
          <w:lang w:val="es-ES"/>
        </w:rPr>
        <w:t xml:space="preserve">, conservación, mantenimiento, reparación y demolición de los bienes inmuebles, así como la construcción, </w:t>
      </w:r>
      <w:r w:rsidRPr="008F50DF">
        <w:rPr>
          <w:rFonts w:ascii="Verdana" w:eastAsia="Calibri" w:hAnsi="Verdana" w:cs="Arial"/>
          <w:i/>
          <w:lang w:val="es-ES"/>
        </w:rPr>
        <w:t>instalación</w:t>
      </w:r>
      <w:r w:rsidRPr="008F50DF">
        <w:rPr>
          <w:rFonts w:ascii="Verdana" w:eastAsia="Calibri" w:hAnsi="Verdana" w:cs="Arial"/>
          <w:lang w:val="es-ES"/>
        </w:rPr>
        <w:t xml:space="preserve">, conservación, </w:t>
      </w:r>
      <w:r w:rsidRPr="008F50DF">
        <w:rPr>
          <w:rFonts w:ascii="Verdana" w:eastAsia="Calibri" w:hAnsi="Verdana" w:cs="Arial"/>
          <w:lang w:val="es-ES"/>
        </w:rPr>
        <w:lastRenderedPageBreak/>
        <w:t>mantenimiento, reparación y demolición de aquellos bienes destinados a un servicio público o al uso común”</w:t>
      </w:r>
      <w:r w:rsidRPr="008F50DF">
        <w:rPr>
          <w:rFonts w:ascii="Calibri" w:eastAsia="Calibri" w:hAnsi="Calibri" w:cs="Times New Roman"/>
          <w:vertAlign w:val="superscript"/>
        </w:rPr>
        <w:footnoteReference w:id="4"/>
      </w:r>
      <w:r w:rsidRPr="008F50DF">
        <w:rPr>
          <w:rFonts w:ascii="Verdana" w:eastAsia="Calibri" w:hAnsi="Verdana" w:cs="Arial"/>
          <w:lang w:val="es-ES"/>
        </w:rPr>
        <w:t xml:space="preserve"> (énfasis fuera de texto).</w:t>
      </w:r>
    </w:p>
    <w:p w14:paraId="2522DE10"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t>Según el Diccionario de la Lengua Española, “instalar” es “Poner o colocar en el lugar debido a alguien o algo”, así como “Colocar en un lugar o edificio los enseres y servicios que en él se hayan de utilizar; como en una fábrica, los conductos de agua, aparatos para la luz, etc.”</w:t>
      </w:r>
      <w:r w:rsidRPr="008F50DF">
        <w:rPr>
          <w:rFonts w:ascii="Calibri" w:eastAsia="Calibri" w:hAnsi="Calibri" w:cs="Times New Roman"/>
          <w:vertAlign w:val="superscript"/>
        </w:rPr>
        <w:footnoteReference w:id="5"/>
      </w:r>
      <w:r w:rsidRPr="008F50DF">
        <w:rPr>
          <w:rFonts w:ascii="Verdana" w:eastAsia="Calibri" w:hAnsi="Verdana" w:cs="Arial"/>
          <w:lang w:val="es-ES_tradnl"/>
        </w:rPr>
        <w:t>. Por tanto, la instalación de cosas –como redes, equipos u otros elementos– en los bienes inmuebles es, en principio, una actividad que ingresa dentro de los contratos de obra celebrados por las entidades estatales, pues comporta la realización de un trabajo material.</w:t>
      </w:r>
    </w:p>
    <w:p w14:paraId="45ADC9EE"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t xml:space="preserve">Sin embargo, esto no quiere decir que </w:t>
      </w:r>
      <w:r w:rsidRPr="008F50DF">
        <w:rPr>
          <w:rFonts w:ascii="Verdana" w:eastAsia="Calibri" w:hAnsi="Verdana" w:cs="Arial"/>
          <w:i/>
          <w:iCs/>
          <w:lang w:val="es-ES_tradnl"/>
        </w:rPr>
        <w:t>toda</w:t>
      </w:r>
      <w:r w:rsidRPr="008F50DF">
        <w:rPr>
          <w:rFonts w:ascii="Verdana" w:eastAsia="Calibri" w:hAnsi="Verdana" w:cs="Arial"/>
          <w:lang w:val="es-ES_tradnl"/>
        </w:rPr>
        <w:t xml:space="preserve"> instalación que se pacte, como obligación a cargo del contratista, permita clasificar el negocio jurídico como un contrato de obra pública. Así lo reconoció también la Sala de Consulta y Servicio Civil, indicando que “En la práctica se encuentran contratos para el suministro de equipos que involucran prestaciones adicionales relacionadas con su instalación, servicios de mantenimiento, y de capacitación tendientes a la entrega para la puesta en funcionamiento por parte de la entidad estatal”</w:t>
      </w:r>
      <w:r w:rsidRPr="008F50DF">
        <w:rPr>
          <w:rFonts w:ascii="Calibri" w:eastAsia="Calibri" w:hAnsi="Calibri" w:cs="Times New Roman"/>
          <w:vertAlign w:val="superscript"/>
        </w:rPr>
        <w:footnoteReference w:id="6"/>
      </w:r>
      <w:r w:rsidRPr="008F50DF">
        <w:rPr>
          <w:rFonts w:ascii="Verdana" w:eastAsia="Calibri" w:hAnsi="Verdana" w:cs="Arial"/>
          <w:lang w:val="es-ES_tradnl"/>
        </w:rPr>
        <w:t>, agregando que “En el caso citado, no existe un contrato de compraventa o suministro de bienes muebles, un contrato de obra y un contrato de prestación de servicios. Se trata de un solo contrato con una prestación principal y unas accesorias relacionadas directamente con el primero”</w:t>
      </w:r>
      <w:r w:rsidRPr="008F50DF">
        <w:rPr>
          <w:rFonts w:ascii="Calibri" w:eastAsia="Calibri" w:hAnsi="Calibri" w:cs="Times New Roman"/>
          <w:vertAlign w:val="superscript"/>
        </w:rPr>
        <w:footnoteReference w:id="7"/>
      </w:r>
      <w:r w:rsidRPr="008F50DF">
        <w:rPr>
          <w:rFonts w:ascii="Verdana" w:eastAsia="Calibri" w:hAnsi="Verdana" w:cs="Arial"/>
          <w:lang w:val="es-ES_tradnl"/>
        </w:rPr>
        <w:t>.</w:t>
      </w:r>
    </w:p>
    <w:p w14:paraId="372886D4"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t xml:space="preserve">En otras palabras, para la Sala, es posible que las entidades públicas, en ejercicio de su autonomía de la voluntad, celebren contratos estatales que involucren prestaciones mixtas, también denominados “contratos mixtos” –modalidad de contratos atípicos–, siempre que “las prestaciones correspondientes que pretendan fusionarse se encuentren directamente vinculadas entre sí, de tal manera que mantengan relaciones de complemento y </w:t>
      </w:r>
      <w:r w:rsidRPr="008F50DF">
        <w:rPr>
          <w:rFonts w:ascii="Verdana" w:eastAsia="Calibri" w:hAnsi="Verdana" w:cs="Arial"/>
          <w:lang w:val="es-ES_tradnl"/>
        </w:rPr>
        <w:lastRenderedPageBreak/>
        <w:t>que permitan predicar su tratamiento solo como una unidad funcional dirigida a la satisfacción de la necesidad de la entidad”</w:t>
      </w:r>
      <w:r w:rsidRPr="008F50DF">
        <w:rPr>
          <w:rFonts w:ascii="Calibri" w:eastAsia="Calibri" w:hAnsi="Calibri" w:cs="Times New Roman"/>
          <w:vertAlign w:val="superscript"/>
        </w:rPr>
        <w:footnoteReference w:id="8"/>
      </w:r>
      <w:r w:rsidRPr="008F50DF">
        <w:rPr>
          <w:rFonts w:ascii="Verdana" w:eastAsia="Calibri" w:hAnsi="Verdana" w:cs="Arial"/>
          <w:lang w:val="es-ES_tradnl"/>
        </w:rPr>
        <w:t xml:space="preserve">. </w:t>
      </w:r>
    </w:p>
    <w:p w14:paraId="28C944EA"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t xml:space="preserve">La Agencia Nacional de Contratación Pública – Colombia Compra Eficiente comparte la tesis de la Sala de Consulta y Servicio Civil, pues considera que aquella se sustenta en dos argumentos: primero, en que el artículo 32 de la Ley 80 de 1993 no establece un listado taxativo de contratos estatales, sino que afirma que también lo son los “derivados del ejercicio de la autonomía de la voluntad”; y segundo, en que el artículo 40 ratifica lo anterior, al señalar que “Las entidades podrán celebrar los contratos y acuerdos que permitan la autonomía de la voluntad y requieran el cumplimiento de los fines estatales”. En consecuencia, las entidades estatales pueden celebrar contratos atípicos mixtos, respetando los límites del principio de legalidad, una de cuyas expresiones es la tipificación de los contratos estatales. </w:t>
      </w:r>
    </w:p>
    <w:p w14:paraId="4C658CF0" w14:textId="77777777" w:rsidR="008F50DF" w:rsidRPr="008F50DF" w:rsidRDefault="008F50DF" w:rsidP="008F50DF">
      <w:pPr>
        <w:spacing w:after="120" w:line="276" w:lineRule="auto"/>
        <w:ind w:firstLine="709"/>
        <w:jc w:val="both"/>
        <w:rPr>
          <w:rFonts w:ascii="Verdana" w:eastAsia="Calibri" w:hAnsi="Verdana" w:cs="Arial"/>
        </w:rPr>
      </w:pPr>
      <w:r w:rsidRPr="008F50DF">
        <w:rPr>
          <w:rFonts w:ascii="Verdana" w:eastAsia="Calibri" w:hAnsi="Verdana" w:cs="Arial"/>
          <w:lang w:val="es-ES_tradnl"/>
        </w:rPr>
        <w:t>Expresado de otro modo, cuando el legislador haya establecido el contenido de un contrato, para tipificarlo y predicar, a partir de esta calificación, consecuencias jurídicas como la modalidad de selección aplicable, requisitos habilitantes o gravámenes tributarios, prevalece la caracterización establecida en la ley, en lugar de la definición convencional estipulada entre las partes. Sin embargo, esto no se opone, como se ha dicho, a que las entidades estatales y los particulares celebren contratos que mezclen elementos de distintas tipologías contractuales, como, por ejemplo, el suministro o la compraventa con la instalación, o el diseño con la construcción. En estos casos se perfeccionan contratos mixtos, denominados por la Sala de Consulta y Servicio Civil, “contratos atípicos con tipicidad social”, porque en ellos se “conjugan los elementos de diversos contratos típicos en un solo contrato el cual tomará la denominación de contrato mixto”</w:t>
      </w:r>
      <w:r w:rsidRPr="008F50DF">
        <w:rPr>
          <w:rFonts w:ascii="Calibri" w:eastAsia="Calibri" w:hAnsi="Calibri" w:cs="Times New Roman"/>
          <w:vertAlign w:val="superscript"/>
        </w:rPr>
        <w:footnoteReference w:id="9"/>
      </w:r>
      <w:r w:rsidRPr="008F50DF">
        <w:rPr>
          <w:rFonts w:ascii="Verdana" w:eastAsia="Calibri" w:hAnsi="Verdana" w:cs="Arial"/>
          <w:lang w:val="es-ES_tradnl"/>
        </w:rPr>
        <w:t>.</w:t>
      </w:r>
    </w:p>
    <w:p w14:paraId="6EDCBB69"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val="es-ES_tradnl"/>
        </w:rPr>
        <w:lastRenderedPageBreak/>
        <w:t>Esta idea, de cualquier manera, no deja de generar interrogantes en el caso concreto. ¿Cómo se puede determinar en un caso concreto si el contrato es típico o mixto?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w:t>
      </w:r>
      <w:r w:rsidRPr="008F50DF">
        <w:rPr>
          <w:rFonts w:ascii="Calibri" w:eastAsia="Calibri" w:hAnsi="Calibri" w:cs="Times New Roman"/>
          <w:vertAlign w:val="superscript"/>
        </w:rPr>
        <w:footnoteReference w:id="10"/>
      </w:r>
      <w:r w:rsidRPr="008F50DF">
        <w:rPr>
          <w:rFonts w:ascii="Verdana" w:eastAsia="Calibri" w:hAnsi="Verdana" w:cs="Arial"/>
          <w:lang w:val="es-ES_tradnl"/>
        </w:rPr>
        <w:t xml:space="preserve">. </w:t>
      </w:r>
    </w:p>
    <w:p w14:paraId="250E9E63" w14:textId="77777777" w:rsidR="008F50DF" w:rsidRPr="008F50DF" w:rsidRDefault="008F50DF" w:rsidP="008F50DF">
      <w:pPr>
        <w:spacing w:after="120" w:line="276" w:lineRule="auto"/>
        <w:ind w:firstLine="708"/>
        <w:jc w:val="both"/>
        <w:rPr>
          <w:rFonts w:ascii="Verdana" w:eastAsia="Calibri" w:hAnsi="Verdana" w:cs="Arial"/>
          <w:color w:val="000000"/>
          <w:lang w:val="es-ES_tradnl"/>
        </w:rPr>
      </w:pPr>
      <w:r w:rsidRPr="008F50DF">
        <w:rPr>
          <w:rFonts w:ascii="Verdana" w:eastAsia="Calibri" w:hAnsi="Verdana" w:cs="Arial"/>
          <w:color w:val="000000"/>
          <w:lang w:val="es-ES_tradnl"/>
        </w:rPr>
        <w:t xml:space="preserve">En similar sentido, de acuerdo con la jurisprudencia de la Sala de Casación Civil de la Corte Suprema de Justicia, el régimen contractual de los </w:t>
      </w:r>
      <w:r w:rsidRPr="008F50DF">
        <w:rPr>
          <w:rFonts w:ascii="Verdana" w:eastAsia="Calibri" w:hAnsi="Verdana" w:cs="Arial"/>
          <w:i/>
          <w:iCs/>
          <w:color w:val="000000"/>
          <w:lang w:val="es-ES_tradnl"/>
        </w:rPr>
        <w:t>contratos mixtos</w:t>
      </w:r>
      <w:r w:rsidRPr="008F50DF">
        <w:rPr>
          <w:rFonts w:ascii="Verdana" w:eastAsia="Calibri" w:hAnsi="Verdana" w:cs="Arial"/>
          <w:color w:val="000000"/>
          <w:lang w:val="es-ES_tradnl"/>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w:t>
      </w:r>
      <w:r w:rsidRPr="008F50DF">
        <w:rPr>
          <w:rFonts w:ascii="Calibri" w:eastAsia="Calibri" w:hAnsi="Calibri" w:cs="Times New Roman"/>
          <w:vertAlign w:val="superscript"/>
        </w:rPr>
        <w:footnoteReference w:id="11"/>
      </w:r>
      <w:r w:rsidRPr="008F50DF">
        <w:rPr>
          <w:rFonts w:ascii="Verdana" w:eastAsia="Calibri" w:hAnsi="Verdana" w:cs="Arial"/>
          <w:color w:val="000000"/>
          <w:lang w:val="es-ES_tradnl"/>
        </w:rPr>
        <w:t xml:space="preserve">. </w:t>
      </w:r>
    </w:p>
    <w:p w14:paraId="3CDEFD87" w14:textId="77777777" w:rsidR="008F50DF" w:rsidRPr="008F50DF" w:rsidRDefault="008F50DF" w:rsidP="008F50DF">
      <w:pPr>
        <w:spacing w:after="0" w:line="276" w:lineRule="auto"/>
        <w:ind w:firstLine="708"/>
        <w:jc w:val="both"/>
        <w:rPr>
          <w:rFonts w:ascii="Verdana" w:eastAsia="Calibri" w:hAnsi="Verdana" w:cs="Arial"/>
          <w:color w:val="000000"/>
          <w:lang w:val="es-ES_tradnl"/>
        </w:rPr>
      </w:pPr>
      <w:r w:rsidRPr="008F50DF">
        <w:rPr>
          <w:rFonts w:ascii="Verdana" w:eastAsia="Calibri" w:hAnsi="Verdana" w:cs="Arial"/>
          <w:color w:val="000000"/>
          <w:lang w:val="es-ES_tradnl"/>
        </w:rPr>
        <w:lastRenderedPageBreak/>
        <w:t>La jurisprudencia citada también explica los métodos de analogía y combinación. El primero alude a que el contrato atípico se rige por las normas que disciplinan la figura contractual típica más parecida. El segundo, por su parte, considera que, si un contrato comprende prestaciones de diferentes tipologías, deben aplicarse las normas correspondientes a cada figura. Para la Corte Suprema de Justicia, los criterios de absorción y combinación se reducen a la analogía</w:t>
      </w:r>
      <w:r w:rsidRPr="008F50DF">
        <w:rPr>
          <w:rFonts w:ascii="Calibri" w:eastAsia="Calibri" w:hAnsi="Calibri" w:cs="Times New Roman"/>
          <w:vertAlign w:val="superscript"/>
        </w:rPr>
        <w:footnoteReference w:id="12"/>
      </w:r>
      <w:r w:rsidRPr="008F50DF">
        <w:rPr>
          <w:rFonts w:ascii="Verdana" w:eastAsia="Calibri" w:hAnsi="Verdana" w:cs="Arial"/>
          <w:color w:val="000000"/>
          <w:lang w:val="es-ES_tradnl"/>
        </w:rPr>
        <w:t>. En todo caso, la doctrina advierte que:</w:t>
      </w:r>
    </w:p>
    <w:p w14:paraId="51B0FB69" w14:textId="77777777" w:rsidR="008F50DF" w:rsidRPr="008F50DF" w:rsidRDefault="008F50DF" w:rsidP="008F50DF">
      <w:pPr>
        <w:tabs>
          <w:tab w:val="left" w:pos="2208"/>
        </w:tabs>
        <w:spacing w:after="0" w:line="276" w:lineRule="auto"/>
        <w:ind w:firstLine="709"/>
        <w:jc w:val="both"/>
        <w:rPr>
          <w:rFonts w:ascii="Verdana" w:eastAsia="Calibri" w:hAnsi="Verdana" w:cs="Arial"/>
          <w:color w:val="000000"/>
          <w:lang w:val="es-ES_tradnl"/>
        </w:rPr>
      </w:pPr>
      <w:r w:rsidRPr="008F50DF">
        <w:rPr>
          <w:rFonts w:ascii="Verdana" w:eastAsia="Calibri" w:hAnsi="Verdana" w:cs="Arial"/>
          <w:color w:val="000000"/>
          <w:lang w:val="es-ES_tradnl"/>
        </w:rPr>
        <w:tab/>
      </w:r>
    </w:p>
    <w:p w14:paraId="0DA9BD0B" w14:textId="77777777" w:rsidR="008F50DF" w:rsidRPr="008F50DF" w:rsidRDefault="008F50DF" w:rsidP="008F50DF">
      <w:pPr>
        <w:spacing w:after="0" w:line="240" w:lineRule="auto"/>
        <w:ind w:left="709" w:right="709"/>
        <w:jc w:val="both"/>
        <w:rPr>
          <w:rFonts w:ascii="Verdana" w:eastAsia="Calibri" w:hAnsi="Verdana" w:cs="Arial"/>
          <w:color w:val="000000"/>
          <w:sz w:val="20"/>
          <w:szCs w:val="20"/>
        </w:rPr>
      </w:pPr>
      <w:r w:rsidRPr="008F50DF">
        <w:rPr>
          <w:rFonts w:ascii="Verdana" w:eastAsia="Calibri" w:hAnsi="Verdana" w:cs="Arial"/>
          <w:color w:val="000000"/>
          <w:sz w:val="20"/>
          <w:szCs w:val="20"/>
        </w:rPr>
        <w:t>[...] “la afinidad con otros tipos no excluye una relevancia original y autónoma del contrato”. Por tanto, se hace necesario auscultar también el interés y la intención de las partes en el contrato atípico.</w:t>
      </w:r>
      <w:r w:rsidRPr="008F50DF">
        <w:rPr>
          <w:rFonts w:ascii="Verdana" w:eastAsia="Calibri" w:hAnsi="Verdana" w:cs="Arial"/>
          <w:sz w:val="20"/>
          <w:szCs w:val="20"/>
        </w:rPr>
        <w:t xml:space="preserve"> </w:t>
      </w:r>
      <w:r w:rsidRPr="008F50DF">
        <w:rPr>
          <w:rFonts w:ascii="Verdana" w:eastAsia="Calibri" w:hAnsi="Verdana" w:cs="Arial"/>
          <w:color w:val="000000"/>
          <w:sz w:val="20"/>
          <w:szCs w:val="20"/>
        </w:rPr>
        <w:t>En últimas es la autonomía negocial la que da origen a los contratos innominados. La creación de un nuevo tipo contractual no es sino una adecuación progresiva del fenómeno de la autonomía negocial a los intereses específicos de los sujetos. La creación de un nuevo tipo contractual no es sino la adecuación progresiva del fenómeno de la autonomía negocial a los intereses específicos de los sujetos</w:t>
      </w:r>
      <w:r w:rsidRPr="008F50DF">
        <w:rPr>
          <w:rFonts w:ascii="Calibri" w:eastAsia="Calibri" w:hAnsi="Calibri" w:cs="Times New Roman"/>
          <w:vertAlign w:val="superscript"/>
        </w:rPr>
        <w:footnoteReference w:id="13"/>
      </w:r>
      <w:r w:rsidRPr="008F50DF">
        <w:rPr>
          <w:rFonts w:ascii="Verdana" w:eastAsia="Calibri" w:hAnsi="Verdana" w:cs="Arial"/>
          <w:color w:val="000000"/>
          <w:sz w:val="20"/>
          <w:szCs w:val="20"/>
        </w:rPr>
        <w:t>.</w:t>
      </w:r>
    </w:p>
    <w:p w14:paraId="43C616ED" w14:textId="77777777" w:rsidR="008F50DF" w:rsidRPr="008F50DF" w:rsidRDefault="008F50DF" w:rsidP="008F50DF">
      <w:pPr>
        <w:spacing w:after="0" w:line="240" w:lineRule="auto"/>
        <w:ind w:left="709" w:right="709"/>
        <w:jc w:val="both"/>
        <w:rPr>
          <w:rFonts w:ascii="Verdana" w:eastAsia="Calibri" w:hAnsi="Verdana" w:cs="Arial"/>
          <w:color w:val="000000"/>
          <w:sz w:val="20"/>
          <w:szCs w:val="20"/>
        </w:rPr>
      </w:pPr>
    </w:p>
    <w:p w14:paraId="216A6A53" w14:textId="77777777" w:rsidR="008F50DF" w:rsidRPr="008F50DF" w:rsidRDefault="008F50DF" w:rsidP="008F50DF">
      <w:pPr>
        <w:spacing w:after="120" w:line="276" w:lineRule="auto"/>
        <w:ind w:firstLine="709"/>
        <w:jc w:val="both"/>
        <w:rPr>
          <w:rFonts w:ascii="Verdana" w:eastAsia="Calibri" w:hAnsi="Verdana" w:cs="Arial"/>
          <w:lang w:val="es-ES"/>
        </w:rPr>
      </w:pPr>
      <w:r w:rsidRPr="008F50DF">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8F50DF">
        <w:rPr>
          <w:rFonts w:ascii="Verdana" w:eastAsia="Calibri" w:hAnsi="Verdana" w:cs="Arial"/>
          <w:i/>
          <w:lang w:val="es-ES"/>
        </w:rPr>
        <w:t>no</w:t>
      </w:r>
      <w:r w:rsidRPr="008F50DF">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8F50DF">
        <w:rPr>
          <w:rFonts w:ascii="Verdana" w:eastAsia="Calibri" w:hAnsi="Verdana" w:cs="Arial"/>
          <w:lang w:val="es-ES"/>
        </w:rPr>
        <w:t>ii</w:t>
      </w:r>
      <w:proofErr w:type="spellEnd"/>
      <w:r w:rsidRPr="008F50DF">
        <w:rPr>
          <w:rFonts w:ascii="Verdana" w:eastAsia="Calibri" w:hAnsi="Verdana" w:cs="Arial"/>
          <w:lang w:val="es-ES"/>
        </w:rPr>
        <w:t xml:space="preserve">) la finalidad de las partes y </w:t>
      </w:r>
      <w:proofErr w:type="spellStart"/>
      <w:r w:rsidRPr="008F50DF">
        <w:rPr>
          <w:rFonts w:ascii="Verdana" w:eastAsia="Calibri" w:hAnsi="Verdana" w:cs="Arial"/>
          <w:lang w:val="es-ES"/>
        </w:rPr>
        <w:t>iii</w:t>
      </w:r>
      <w:proofErr w:type="spellEnd"/>
      <w:r w:rsidRPr="008F50DF">
        <w:rPr>
          <w:rFonts w:ascii="Verdana" w:eastAsia="Calibri" w:hAnsi="Verdana" w:cs="Arial"/>
          <w:lang w:val="es-ES"/>
        </w:rPr>
        <w:t xml:space="preserve">) si se trata de prestaciones mixtas, “que las prestaciones correspondientes que pretendan fusionarse se encuentren directamente vinculadas entre sí, de tal manera que mantengan relaciones de </w:t>
      </w:r>
      <w:r w:rsidRPr="008F50DF">
        <w:rPr>
          <w:rFonts w:ascii="Verdana" w:eastAsia="Calibri" w:hAnsi="Verdana" w:cs="Arial"/>
          <w:lang w:val="es-ES"/>
        </w:rPr>
        <w:lastRenderedPageBreak/>
        <w:t>complemento y que permitan predicar su tratamiento solo como una unidad funcional dirigida a la satisfacción de la necesidad de la entidad”</w:t>
      </w:r>
      <w:r w:rsidRPr="008F50DF">
        <w:rPr>
          <w:rFonts w:ascii="Calibri" w:eastAsia="Calibri" w:hAnsi="Calibri" w:cs="Times New Roman"/>
          <w:vertAlign w:val="superscript"/>
        </w:rPr>
        <w:footnoteReference w:id="14"/>
      </w:r>
      <w:r w:rsidRPr="008F50DF">
        <w:rPr>
          <w:rFonts w:ascii="Verdana" w:eastAsia="Calibri" w:hAnsi="Verdana" w:cs="Arial"/>
          <w:lang w:val="es-ES"/>
        </w:rPr>
        <w:t>. Este es un análisis que, por tanto, debe realizarse en cada caso concreto, considerando los datos técnicos y económicos del objeto contractual.</w:t>
      </w:r>
    </w:p>
    <w:p w14:paraId="0A7DBF08" w14:textId="77777777" w:rsidR="008F50DF" w:rsidRPr="008F50DF" w:rsidRDefault="008F50DF" w:rsidP="008F50DF">
      <w:pPr>
        <w:spacing w:after="120" w:line="276" w:lineRule="auto"/>
        <w:ind w:firstLine="708"/>
        <w:jc w:val="both"/>
        <w:rPr>
          <w:rFonts w:ascii="Verdana" w:eastAsia="Times New Roman" w:hAnsi="Verdana" w:cs="Times New Roman"/>
          <w:color w:val="000000"/>
          <w:lang w:eastAsia="es-CO"/>
        </w:rPr>
      </w:pPr>
      <w:r w:rsidRPr="008F50DF">
        <w:rPr>
          <w:rFonts w:ascii="Verdana" w:eastAsia="Calibri" w:hAnsi="Verdana" w:cs="Arial"/>
          <w:lang w:val="es-ES" w:eastAsia="es-ES_tradnl"/>
        </w:rPr>
        <w:t xml:space="preserve">En este contexto, </w:t>
      </w:r>
      <w:r w:rsidRPr="008F50DF">
        <w:rPr>
          <w:rFonts w:ascii="Verdana" w:eastAsia="Aptos" w:hAnsi="Verdana" w:cs="Arial"/>
          <w:kern w:val="2"/>
          <w:lang w:eastAsia="es-ES_tradnl"/>
          <w14:ligatures w14:val="standardContextual"/>
        </w:rPr>
        <w:t xml:space="preserve">no es posible afirmar de manera categórica que el suministro e instalación de bienes muebles como </w:t>
      </w:r>
      <w:r w:rsidRPr="008F50DF">
        <w:rPr>
          <w:rFonts w:ascii="Verdana" w:eastAsia="Times New Roman" w:hAnsi="Verdana" w:cs="Times New Roman"/>
          <w:color w:val="000000"/>
          <w:lang w:eastAsia="es-CO"/>
        </w:rPr>
        <w:t xml:space="preserve">mobiliario interno o externo, sistemas de aires acondicionadas o sistemas de ventilación o similar, y equipos especiales o electromecánicos y/o electrónicos y/o maquinarias u otros tipos de equipos sobre </w:t>
      </w:r>
      <w:r w:rsidRPr="008F50DF">
        <w:rPr>
          <w:rFonts w:ascii="Verdana" w:eastAsia="Aptos" w:hAnsi="Verdana" w:cs="Arial"/>
          <w:kern w:val="2"/>
          <w:lang w:eastAsia="es-ES_tradnl"/>
          <w14:ligatures w14:val="standardContextual"/>
        </w:rPr>
        <w:t xml:space="preserve">un inmueble que tiene la categoría de infraestructura educativa deba clasificarse, en todos los casos, como un contrato de obra pública para efecto de la utilización de los Documentos Tipo </w:t>
      </w:r>
      <w:r w:rsidRPr="008F50DF">
        <w:rPr>
          <w:rFonts w:ascii="Verdana" w:eastAsia="Times New Roman" w:hAnsi="Verdana" w:cs="Times New Roman"/>
          <w:color w:val="000000"/>
          <w:lang w:eastAsia="es-CO"/>
        </w:rPr>
        <w:t>del Sector Educativo</w:t>
      </w:r>
      <w:r w:rsidRPr="008F50DF">
        <w:rPr>
          <w:rFonts w:ascii="Verdana" w:eastAsia="Aptos" w:hAnsi="Verdana" w:cs="Arial"/>
          <w:kern w:val="2"/>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15165752" w14:textId="77777777" w:rsidR="008F50DF" w:rsidRPr="008F50DF" w:rsidRDefault="008F50DF" w:rsidP="008F50DF">
      <w:pPr>
        <w:spacing w:after="120" w:line="276" w:lineRule="auto"/>
        <w:ind w:firstLine="709"/>
        <w:jc w:val="both"/>
        <w:rPr>
          <w:rFonts w:ascii="Verdana" w:eastAsia="Calibri" w:hAnsi="Verdana" w:cs="Arial"/>
          <w:lang w:val="es-ES_tradnl"/>
        </w:rPr>
      </w:pPr>
      <w:r w:rsidRPr="008F50DF">
        <w:rPr>
          <w:rFonts w:ascii="Verdana" w:eastAsia="Calibri" w:hAnsi="Verdana" w:cs="Arial"/>
          <w:lang w:eastAsia="es-ES_tradnl"/>
        </w:rPr>
        <w:t>Atendiendo a lo señalado por l</w:t>
      </w:r>
      <w:r w:rsidRPr="008F50DF">
        <w:rPr>
          <w:rFonts w:ascii="Verdana" w:eastAsia="Calibri" w:hAnsi="Verdana" w:cs="Arial"/>
          <w:lang w:val="es-ES_tradnl"/>
        </w:rPr>
        <w:t>a Sala de Consulta y Servicio Civil del Consejo de Estado,</w:t>
      </w:r>
      <w:r w:rsidRPr="008F50DF">
        <w:rPr>
          <w:rFonts w:ascii="Verdana" w:eastAsia="Calibri" w:hAnsi="Verdana" w:cs="Times New Roman"/>
          <w:color w:val="000000"/>
        </w:rPr>
        <w:t xml:space="preserve"> adhiriéndose al método de absorción para efectos de integrar el régimen jurídico aplicable,</w:t>
      </w:r>
      <w:r w:rsidRPr="008F50DF">
        <w:rPr>
          <w:rFonts w:ascii="Verdana" w:eastAsia="Calibri" w:hAnsi="Verdana" w:cs="Arial"/>
          <w:lang w:val="es-ES_tradnl"/>
        </w:rPr>
        <w:t xml:space="preserve"> se considera que en el caso referido es fundamental determinar la prestación principal para establecer dicho </w:t>
      </w:r>
      <w:r w:rsidRPr="008F50DF">
        <w:rPr>
          <w:rFonts w:ascii="Verdana" w:eastAsia="Calibri" w:hAnsi="Verdana" w:cs="Arial"/>
          <w:lang w:eastAsia="es-ES_tradnl"/>
        </w:rPr>
        <w:t>régimen</w:t>
      </w:r>
      <w:r w:rsidRPr="008F50DF">
        <w:rPr>
          <w:rFonts w:ascii="Verdana" w:eastAsia="Calibri" w:hAnsi="Verdana" w:cs="Arial"/>
          <w:lang w:val="es-ES_tradnl"/>
        </w:rPr>
        <w:t xml:space="preserve">, </w:t>
      </w:r>
      <w:r w:rsidRPr="008F50DF">
        <w:rPr>
          <w:rFonts w:ascii="Verdana" w:eastAsia="Calibri" w:hAnsi="Verdana" w:cs="Arial"/>
          <w:lang w:eastAsia="es-ES_tradnl"/>
        </w:rPr>
        <w:t xml:space="preserve">teniendo en cuenta que la tipología contractual </w:t>
      </w:r>
      <w:r w:rsidRPr="008F50DF">
        <w:rPr>
          <w:rFonts w:ascii="Verdana" w:eastAsia="Calibri" w:hAnsi="Verdana" w:cs="Arial"/>
          <w:lang w:val="es-ES" w:eastAsia="es-ES_tradnl"/>
        </w:rPr>
        <w:t xml:space="preserve">es importante para definir aspectos como la modalidad de selección que debe utilizar la entidad y los requisitos habilitantes o ponderables que deben incorporar en el pliego de condiciones para la selección objetiva de la mejor oferta. </w:t>
      </w:r>
    </w:p>
    <w:p w14:paraId="1520AE39"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 xml:space="preserve">Para tales efectos, la entidad estatal podría determinar </w:t>
      </w:r>
      <w:r w:rsidRPr="008F50DF">
        <w:rPr>
          <w:rFonts w:ascii="Verdana" w:eastAsia="Calibri" w:hAnsi="Verdana" w:cs="Arial"/>
          <w:color w:val="000000"/>
          <w:lang w:val="es-ES_tradnl"/>
        </w:rPr>
        <w:t>el régimen del contrato típico al que pertenece</w:t>
      </w:r>
      <w:r w:rsidRPr="008F50DF">
        <w:rPr>
          <w:rFonts w:ascii="Verdana" w:eastAsia="Calibri"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o el mobiliario. </w:t>
      </w:r>
    </w:p>
    <w:p w14:paraId="21C8747C"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lastRenderedPageBreak/>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de instalación supera significativamente, más del 50 % del presupuesto, o si dichas actividades constituyen la esencia del negocio jurídico, o confluyen ambos criterios, podría concluirse que se trata de un contrato de obra y no de un simple contrato de suministro o instalación. </w:t>
      </w:r>
    </w:p>
    <w:p w14:paraId="2229803B"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En contraste, si las labores de instalación son secundarias o accesorias, en su valor económico o en su complejidad técnica, y el elemento central del negocio jurídico es la entrega de los bienes muebles, la naturaleza del contrato correspondería a la de suministro. Esto podría suceder cuando la instalación se limita a ajustes menores, sin afectar la estructura o funcionamiento del inmueble.</w:t>
      </w:r>
    </w:p>
    <w:p w14:paraId="2D292057" w14:textId="77777777" w:rsidR="008F50DF" w:rsidRPr="008F50DF" w:rsidRDefault="008F50DF" w:rsidP="008F50DF">
      <w:pPr>
        <w:spacing w:after="12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En este análisis, es de especial relevancia que la entidad estatal analice escenarios en los cuales, aunque el valor de los bienes objeto de suministro supere el de las actividades de instalación, el alcance de las obras necesarias para adecuar o intervenir el inmueble es tan significativo que la esencia del contrato deja de ser la provisión de los bienes y pasa a ser la ejecución de la obra misma. 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1DCA7955" w14:textId="77777777" w:rsidR="008F50DF" w:rsidRPr="008F50DF" w:rsidRDefault="008F50DF" w:rsidP="008F50DF">
      <w:pPr>
        <w:spacing w:after="0" w:line="276" w:lineRule="auto"/>
        <w:ind w:firstLine="709"/>
        <w:jc w:val="both"/>
        <w:rPr>
          <w:rFonts w:ascii="Verdana" w:eastAsia="Calibri" w:hAnsi="Verdana" w:cs="Arial"/>
          <w:lang w:eastAsia="es-ES_tradnl"/>
        </w:rPr>
      </w:pPr>
      <w:r w:rsidRPr="008F50DF">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Educativo expedidos por esta Agencia. </w:t>
      </w:r>
    </w:p>
    <w:p w14:paraId="7B9D6F8B" w14:textId="77777777" w:rsidR="008F50DF" w:rsidRPr="008F50DF" w:rsidRDefault="008F50DF" w:rsidP="008F50DF">
      <w:pPr>
        <w:spacing w:after="0" w:line="276" w:lineRule="auto"/>
        <w:ind w:firstLine="709"/>
        <w:jc w:val="both"/>
        <w:rPr>
          <w:rFonts w:ascii="Verdana" w:eastAsia="Calibri" w:hAnsi="Verdana" w:cs="Arial"/>
          <w:lang w:eastAsia="es-ES_tradnl"/>
        </w:rPr>
      </w:pPr>
    </w:p>
    <w:p w14:paraId="61CD1424" w14:textId="77777777" w:rsidR="008F50DF" w:rsidRPr="008F50DF" w:rsidRDefault="008F50DF" w:rsidP="008F50DF">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8F50DF">
        <w:rPr>
          <w:rFonts w:ascii="Verdana" w:eastAsia="Calibri" w:hAnsi="Verdana" w:cs="Arial"/>
          <w:lang w:eastAsia="es-ES_tradnl"/>
        </w:rPr>
        <w:lastRenderedPageBreak/>
        <w:t>iv</w:t>
      </w:r>
      <w:proofErr w:type="spellEnd"/>
      <w:r w:rsidRPr="008F50DF">
        <w:rPr>
          <w:rFonts w:ascii="Verdana" w:eastAsia="Calibri" w:hAnsi="Verdana" w:cs="Arial"/>
          <w:lang w:eastAsia="es-ES_tradnl"/>
        </w:rPr>
        <w:t xml:space="preserve">. </w:t>
      </w:r>
      <w:r w:rsidRPr="008F50DF">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8F50DF">
        <w:rPr>
          <w:rFonts w:ascii="Verdana" w:eastAsia="Times New Roman" w:hAnsi="Verdana" w:cs="Arial"/>
          <w:kern w:val="2"/>
          <w:sz w:val="24"/>
          <w:szCs w:val="24"/>
          <w:shd w:val="clear" w:color="auto" w:fill="FFFFFF"/>
          <w:lang w:val="es-ES_tradnl" w:eastAsia="es-ES_tradnl"/>
          <w14:ligatures w14:val="standardContextual"/>
        </w:rPr>
        <w:t xml:space="preserve"> </w:t>
      </w:r>
    </w:p>
    <w:p w14:paraId="138A919B" w14:textId="77777777" w:rsidR="008F50DF" w:rsidRPr="008F50DF" w:rsidRDefault="008F50DF" w:rsidP="008F50DF">
      <w:pPr>
        <w:spacing w:after="120" w:line="276" w:lineRule="auto"/>
        <w:ind w:firstLine="708"/>
        <w:jc w:val="both"/>
        <w:rPr>
          <w:rFonts w:ascii="Verdana" w:eastAsia="Aptos" w:hAnsi="Verdana" w:cs="Times New Roman"/>
          <w:kern w:val="2"/>
          <w14:ligatures w14:val="standardContextual"/>
        </w:rPr>
      </w:pPr>
      <w:r w:rsidRPr="008F50DF">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00A9B2" w14:textId="77777777" w:rsidR="008F50DF" w:rsidRPr="008F50DF" w:rsidRDefault="008F50DF" w:rsidP="008F50DF">
      <w:pPr>
        <w:spacing w:after="0" w:line="276" w:lineRule="auto"/>
        <w:ind w:firstLine="708"/>
        <w:jc w:val="both"/>
        <w:rPr>
          <w:rFonts w:ascii="Verdana" w:eastAsia="Calibri" w:hAnsi="Verdana" w:cs="Arial"/>
          <w:bCs/>
          <w:color w:val="000000"/>
          <w:kern w:val="2"/>
          <w14:ligatures w14:val="standardContextual"/>
        </w:rPr>
      </w:pPr>
      <w:r w:rsidRPr="008F50DF">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27AE8F5" w14:textId="77777777" w:rsidR="008F50DF" w:rsidRPr="008F50DF" w:rsidRDefault="008F50DF" w:rsidP="008F50DF">
      <w:pPr>
        <w:spacing w:after="0" w:line="276" w:lineRule="auto"/>
        <w:jc w:val="both"/>
        <w:rPr>
          <w:rFonts w:ascii="Verdana" w:eastAsia="Calibri" w:hAnsi="Verdana" w:cs="Arial"/>
          <w:lang w:eastAsia="es-ES_tradnl"/>
        </w:rPr>
      </w:pPr>
    </w:p>
    <w:p w14:paraId="6047C9EE" w14:textId="77777777" w:rsidR="008F50DF" w:rsidRPr="008F50DF" w:rsidRDefault="008F50DF" w:rsidP="008F50DF">
      <w:pPr>
        <w:tabs>
          <w:tab w:val="left" w:pos="142"/>
          <w:tab w:val="left" w:pos="284"/>
        </w:tabs>
        <w:spacing w:after="0" w:line="276" w:lineRule="auto"/>
        <w:jc w:val="both"/>
        <w:rPr>
          <w:rFonts w:ascii="Verdana" w:eastAsia="Century Gothic" w:hAnsi="Verdana" w:cs="Century Gothic"/>
          <w:b/>
          <w:bCs/>
          <w:lang w:val="es-ES_tradnl"/>
        </w:rPr>
      </w:pPr>
      <w:r w:rsidRPr="008F50DF">
        <w:rPr>
          <w:rFonts w:ascii="Verdana" w:eastAsia="Century Gothic" w:hAnsi="Verdana" w:cs="Century Gothic"/>
          <w:b/>
          <w:bCs/>
          <w:lang w:val="es-ES_tradnl"/>
        </w:rPr>
        <w:t>4. Referencias normativas, jurisprudenciales y otras fuentes:</w:t>
      </w:r>
    </w:p>
    <w:p w14:paraId="3D1AA1E0" w14:textId="77777777" w:rsidR="008F50DF" w:rsidRPr="008F50DF" w:rsidRDefault="008F50DF" w:rsidP="008F50DF">
      <w:pPr>
        <w:spacing w:after="0"/>
        <w:ind w:left="-15840"/>
        <w:jc w:val="both"/>
        <w:rPr>
          <w:rFonts w:ascii="Verdana" w:eastAsia="Calibri" w:hAnsi="Verdana" w:cs="Arial"/>
          <w:b/>
          <w:bCs/>
        </w:rPr>
      </w:pPr>
      <w:r w:rsidRPr="008F50DF">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F50DF" w:rsidRPr="008F50DF" w14:paraId="055F838B"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41C0F63A" w14:textId="77777777" w:rsidR="008F50DF" w:rsidRPr="008F50DF" w:rsidRDefault="008F50DF" w:rsidP="008F50DF">
            <w:pPr>
              <w:contextualSpacing/>
              <w:jc w:val="both"/>
              <w:rPr>
                <w:rFonts w:ascii="Verdana" w:eastAsia="Calibri" w:hAnsi="Verdana" w:cs="Arial"/>
                <w:bCs/>
              </w:rPr>
            </w:pPr>
          </w:p>
          <w:p w14:paraId="22B2DF78" w14:textId="77777777" w:rsidR="008F50DF" w:rsidRPr="008F50DF" w:rsidRDefault="008F50DF" w:rsidP="008F50DF">
            <w:pPr>
              <w:widowControl w:val="0"/>
              <w:numPr>
                <w:ilvl w:val="0"/>
                <w:numId w:val="16"/>
              </w:numPr>
              <w:autoSpaceDE w:val="0"/>
              <w:autoSpaceDN w:val="0"/>
              <w:spacing w:line="276" w:lineRule="auto"/>
              <w:jc w:val="both"/>
              <w:rPr>
                <w:rFonts w:ascii="Verdana" w:eastAsia="Calibri" w:hAnsi="Verdana" w:cs="Arial"/>
                <w:lang w:val="es-ES_tradnl"/>
              </w:rPr>
            </w:pPr>
            <w:r w:rsidRPr="008F50DF">
              <w:rPr>
                <w:rFonts w:ascii="Verdana" w:eastAsia="Calibri" w:hAnsi="Verdana" w:cs="Arial"/>
                <w:lang w:val="es-ES_tradnl"/>
              </w:rPr>
              <w:t xml:space="preserve">Ley 2022 de 2020, artículo 1. </w:t>
            </w:r>
          </w:p>
          <w:p w14:paraId="4333D49D" w14:textId="77777777" w:rsidR="008F50DF" w:rsidRPr="008F50DF" w:rsidRDefault="008F50DF" w:rsidP="008F50DF">
            <w:pPr>
              <w:widowControl w:val="0"/>
              <w:numPr>
                <w:ilvl w:val="0"/>
                <w:numId w:val="16"/>
              </w:numPr>
              <w:autoSpaceDE w:val="0"/>
              <w:autoSpaceDN w:val="0"/>
              <w:spacing w:line="276" w:lineRule="auto"/>
              <w:jc w:val="both"/>
              <w:rPr>
                <w:rFonts w:ascii="Verdana" w:eastAsia="Calibri" w:hAnsi="Verdana" w:cs="Arial"/>
              </w:rPr>
            </w:pPr>
            <w:r w:rsidRPr="008F50DF">
              <w:rPr>
                <w:rFonts w:ascii="Verdana" w:eastAsia="Calibri" w:hAnsi="Verdana" w:cs="Arial"/>
              </w:rPr>
              <w:t>Ley 1150 de 2007, artículo 2.</w:t>
            </w:r>
          </w:p>
          <w:p w14:paraId="36705298" w14:textId="77777777" w:rsidR="008F50DF" w:rsidRPr="008F50DF" w:rsidRDefault="008F50DF" w:rsidP="008F50DF">
            <w:pPr>
              <w:widowControl w:val="0"/>
              <w:numPr>
                <w:ilvl w:val="0"/>
                <w:numId w:val="16"/>
              </w:numPr>
              <w:autoSpaceDE w:val="0"/>
              <w:autoSpaceDN w:val="0"/>
              <w:spacing w:line="276" w:lineRule="auto"/>
              <w:contextualSpacing/>
              <w:jc w:val="both"/>
              <w:rPr>
                <w:rFonts w:ascii="Verdana" w:eastAsia="Calibri" w:hAnsi="Verdana" w:cs="Arial"/>
              </w:rPr>
            </w:pPr>
            <w:r w:rsidRPr="008F50DF">
              <w:rPr>
                <w:rFonts w:ascii="Verdana" w:eastAsia="Calibri" w:hAnsi="Verdana" w:cs="Arial"/>
                <w:lang w:val="es-ES_tradnl"/>
              </w:rPr>
              <w:t xml:space="preserve">Documentos Tipo. Disponibles en: </w:t>
            </w:r>
            <w:hyperlink r:id="rId11" w:history="1">
              <w:r w:rsidRPr="008F50DF">
                <w:rPr>
                  <w:rFonts w:ascii="Verdana" w:eastAsia="Calibri" w:hAnsi="Verdana" w:cs="Arial"/>
                  <w:color w:val="0000FF"/>
                  <w:u w:val="single"/>
                  <w:lang w:val="es-ES_tradnl"/>
                </w:rPr>
                <w:t>https://www.colombiacompra.gov.co/documentos-tipo/documentos-tipo</w:t>
              </w:r>
            </w:hyperlink>
            <w:r w:rsidRPr="008F50DF">
              <w:rPr>
                <w:rFonts w:ascii="Verdana" w:eastAsia="Calibri" w:hAnsi="Verdana" w:cs="Arial"/>
                <w:lang w:val="es-ES_tradnl"/>
              </w:rPr>
              <w:t>.</w:t>
            </w:r>
          </w:p>
          <w:p w14:paraId="0E1D569B" w14:textId="77777777" w:rsidR="008F50DF" w:rsidRPr="008F50DF" w:rsidRDefault="008F50DF" w:rsidP="008F50DF">
            <w:pPr>
              <w:widowControl w:val="0"/>
              <w:numPr>
                <w:ilvl w:val="0"/>
                <w:numId w:val="16"/>
              </w:numPr>
              <w:autoSpaceDE w:val="0"/>
              <w:autoSpaceDN w:val="0"/>
              <w:spacing w:line="276" w:lineRule="auto"/>
              <w:jc w:val="both"/>
              <w:rPr>
                <w:rFonts w:ascii="Verdana" w:eastAsia="Calibri" w:hAnsi="Verdana" w:cs="Arial"/>
                <w:lang w:val="es-ES_tradnl"/>
              </w:rPr>
            </w:pPr>
            <w:r w:rsidRPr="008F50DF">
              <w:rPr>
                <w:rFonts w:ascii="Verdana" w:eastAsia="Calibri" w:hAnsi="Verdana" w:cs="Arial"/>
                <w:lang w:val="es-ES_tradnl"/>
              </w:rPr>
              <w:t>Consejo de Estado. Sala de Consulta y Servicio Civil. Concepto del 5 de septiembre de 2018. Consejero Ponente: Edgar González López. Radicación interna: 2386.</w:t>
            </w:r>
          </w:p>
          <w:p w14:paraId="1690336E" w14:textId="77777777" w:rsidR="008F50DF" w:rsidRPr="008F50DF" w:rsidRDefault="008F50DF" w:rsidP="008F50DF">
            <w:pPr>
              <w:widowControl w:val="0"/>
              <w:numPr>
                <w:ilvl w:val="0"/>
                <w:numId w:val="16"/>
              </w:numPr>
              <w:autoSpaceDE w:val="0"/>
              <w:autoSpaceDN w:val="0"/>
              <w:spacing w:line="276" w:lineRule="auto"/>
              <w:jc w:val="both"/>
              <w:rPr>
                <w:rFonts w:ascii="Verdana" w:eastAsia="Calibri" w:hAnsi="Verdana" w:cs="Arial"/>
                <w:lang w:val="es-ES_tradnl"/>
              </w:rPr>
            </w:pPr>
            <w:r w:rsidRPr="008F50DF">
              <w:rPr>
                <w:rFonts w:ascii="Verdana" w:eastAsia="Calibri" w:hAnsi="Verdana" w:cs="Arial"/>
                <w:lang w:val="es-ES_tradnl"/>
              </w:rPr>
              <w:t>RENGIFO GARCÍA, Ernesto. Interpretación del contrato atípico a la luz de la jurisprudencia colombiana. En: Los contratos en el derecho privado. Bogotá: Legis – Universidad del Rosario, 2009. p. 48.</w:t>
            </w:r>
          </w:p>
          <w:p w14:paraId="3511C280" w14:textId="77777777" w:rsidR="008F50DF" w:rsidRPr="008F50DF" w:rsidRDefault="008F50DF" w:rsidP="008F50DF">
            <w:pPr>
              <w:widowControl w:val="0"/>
              <w:numPr>
                <w:ilvl w:val="0"/>
                <w:numId w:val="16"/>
              </w:numPr>
              <w:autoSpaceDE w:val="0"/>
              <w:autoSpaceDN w:val="0"/>
              <w:spacing w:line="276" w:lineRule="auto"/>
              <w:jc w:val="both"/>
              <w:rPr>
                <w:rFonts w:ascii="Verdana" w:eastAsia="Calibri" w:hAnsi="Verdana" w:cs="Arial"/>
                <w:lang w:val="es-ES_tradnl"/>
              </w:rPr>
            </w:pPr>
            <w:r w:rsidRPr="008F50DF">
              <w:rPr>
                <w:rFonts w:ascii="Verdana" w:eastAsia="Calibri" w:hAnsi="Verdana" w:cs="Arial"/>
                <w:lang w:val="es-ES_tradnl"/>
              </w:rPr>
              <w:t>RENGIFO GARCÍA, Ernesto. Interpretación del contrato atípico a la luz de la jurisprudencia colombiana. En: Los contratos en el derecho privado. Bogotá: Legis – Universidad del Rosario, 2009. p. 48</w:t>
            </w:r>
          </w:p>
        </w:tc>
      </w:tr>
    </w:tbl>
    <w:p w14:paraId="3C461335" w14:textId="77777777" w:rsidR="008F50DF" w:rsidRPr="008F50DF" w:rsidRDefault="008F50DF" w:rsidP="008F50DF">
      <w:pPr>
        <w:tabs>
          <w:tab w:val="left" w:pos="142"/>
          <w:tab w:val="left" w:pos="284"/>
        </w:tabs>
        <w:spacing w:after="0" w:line="276" w:lineRule="auto"/>
        <w:jc w:val="both"/>
        <w:rPr>
          <w:rFonts w:ascii="Verdana" w:eastAsia="Calibri" w:hAnsi="Verdana" w:cs="Arial"/>
        </w:rPr>
      </w:pPr>
    </w:p>
    <w:p w14:paraId="675BBC6E" w14:textId="77777777" w:rsidR="008F50DF" w:rsidRPr="008F50DF" w:rsidRDefault="008F50DF" w:rsidP="008F50DF">
      <w:pPr>
        <w:tabs>
          <w:tab w:val="left" w:pos="142"/>
          <w:tab w:val="left" w:pos="284"/>
        </w:tabs>
        <w:spacing w:after="0" w:line="276" w:lineRule="auto"/>
        <w:jc w:val="both"/>
        <w:rPr>
          <w:rFonts w:ascii="Verdana" w:eastAsia="Century Gothic" w:hAnsi="Verdana" w:cs="Century Gothic"/>
          <w:b/>
          <w:bCs/>
          <w:lang w:val="es-ES"/>
        </w:rPr>
      </w:pPr>
      <w:r w:rsidRPr="008F50DF">
        <w:rPr>
          <w:rFonts w:ascii="Verdana" w:eastAsia="Calibri" w:hAnsi="Verdana" w:cs="Arial"/>
          <w:b/>
          <w:bCs/>
        </w:rPr>
        <w:t>5</w:t>
      </w:r>
      <w:r w:rsidRPr="008F50DF">
        <w:rPr>
          <w:rFonts w:ascii="Verdana" w:eastAsia="Calibri" w:hAnsi="Verdana" w:cs="Arial"/>
        </w:rPr>
        <w:t>.</w:t>
      </w:r>
      <w:r w:rsidRPr="008F50DF">
        <w:rPr>
          <w:rFonts w:ascii="Verdana" w:eastAsia="Century Gothic" w:hAnsi="Verdana" w:cs="Century Gothic"/>
          <w:b/>
          <w:bCs/>
          <w:lang w:val="es-ES"/>
        </w:rPr>
        <w:t>Doctrina de la Agencia Nacional de Contratación Pública:</w:t>
      </w:r>
    </w:p>
    <w:p w14:paraId="4558C28B" w14:textId="77777777" w:rsidR="008F50DF" w:rsidRPr="008F50DF" w:rsidRDefault="008F50DF" w:rsidP="008F50DF">
      <w:pPr>
        <w:spacing w:after="0" w:line="276" w:lineRule="auto"/>
        <w:jc w:val="both"/>
        <w:rPr>
          <w:rFonts w:ascii="Verdana" w:eastAsia="Calibri" w:hAnsi="Verdana" w:cs="Arial"/>
          <w:kern w:val="2"/>
          <w:shd w:val="clear" w:color="auto" w:fill="FFFFFF"/>
          <w:lang w:val="es-ES"/>
          <w14:ligatures w14:val="standardContextual"/>
        </w:rPr>
      </w:pPr>
    </w:p>
    <w:p w14:paraId="792C2EA0" w14:textId="77777777" w:rsidR="008F50DF" w:rsidRPr="008F50DF" w:rsidRDefault="008F50DF" w:rsidP="008F50DF">
      <w:pPr>
        <w:spacing w:after="0" w:line="276" w:lineRule="auto"/>
        <w:jc w:val="both"/>
        <w:rPr>
          <w:rFonts w:ascii="Verdana" w:eastAsia="Calibri" w:hAnsi="Verdana" w:cs="Arial"/>
          <w:kern w:val="2"/>
          <w:shd w:val="clear" w:color="auto" w:fill="FFFFFF"/>
          <w:lang w:val="es-ES"/>
          <w14:ligatures w14:val="standardContextual"/>
        </w:rPr>
      </w:pPr>
      <w:r w:rsidRPr="008F50DF">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8F50DF">
        <w:rPr>
          <w:rFonts w:ascii="Verdana" w:eastAsia="Calibri" w:hAnsi="Verdana" w:cs="Times New Roman"/>
          <w:kern w:val="2"/>
          <w14:ligatures w14:val="standardContextual"/>
        </w:rPr>
        <w:t xml:space="preserve"> </w:t>
      </w:r>
      <w:r w:rsidRPr="008F50DF">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8F50DF">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2F05B20D" w14:textId="77777777" w:rsidR="008F50DF" w:rsidRPr="008F50DF" w:rsidRDefault="008F50DF" w:rsidP="008F50DF">
      <w:pPr>
        <w:spacing w:after="0" w:line="276" w:lineRule="auto"/>
        <w:jc w:val="both"/>
        <w:rPr>
          <w:rFonts w:ascii="Verdana" w:eastAsia="Calibri" w:hAnsi="Verdana" w:cs="Arial"/>
          <w:kern w:val="2"/>
          <w:shd w:val="clear" w:color="auto" w:fill="FFFFFF"/>
          <w:lang w:val="es-ES"/>
          <w14:ligatures w14:val="standardContextual"/>
        </w:rPr>
      </w:pPr>
    </w:p>
    <w:p w14:paraId="088C755E" w14:textId="77777777" w:rsidR="008F50DF" w:rsidRPr="008F50DF" w:rsidRDefault="008F50DF" w:rsidP="008F50DF">
      <w:pPr>
        <w:spacing w:after="0" w:line="276" w:lineRule="auto"/>
        <w:jc w:val="both"/>
        <w:rPr>
          <w:rFonts w:ascii="Verdana" w:eastAsia="Calibri" w:hAnsi="Verdana" w:cs="Arial"/>
          <w:kern w:val="2"/>
          <w:shd w:val="clear" w:color="auto" w:fill="FFFFFF"/>
          <w:lang w:val="es-ES"/>
          <w14:ligatures w14:val="standardContextual"/>
        </w:rPr>
      </w:pPr>
      <w:r w:rsidRPr="008F50DF">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otros. Igualmente, la Subdirección se ha referido a los contratos Mixtos y objetos sociales con prestaciones mixtas en los conceptos con radicados 2201913000009572 y 2201913000009588 del 24 de diciembre de 2019, C-694 del 29 de diciembre de 2021, C-440 del 2 de septiembre de 2021, C–933 de 2022, C–484 del 09 de octubre de 2024, C-864 del 11 de agosto de 2025 y C-1580 del 24 de diciembre de 2025.  </w:t>
      </w:r>
    </w:p>
    <w:p w14:paraId="0F7F460F" w14:textId="77777777" w:rsidR="008F50DF" w:rsidRPr="008F50DF" w:rsidRDefault="008F50DF" w:rsidP="008F50DF">
      <w:pPr>
        <w:spacing w:after="0" w:line="240" w:lineRule="auto"/>
        <w:jc w:val="both"/>
        <w:rPr>
          <w:rFonts w:ascii="Verdana" w:eastAsia="Calibri" w:hAnsi="Verdana" w:cs="Arial"/>
          <w:color w:val="000000"/>
          <w:shd w:val="clear" w:color="auto" w:fill="FFFFFF"/>
        </w:rPr>
      </w:pPr>
    </w:p>
    <w:p w14:paraId="20AF55B0" w14:textId="77777777" w:rsidR="008F50DF" w:rsidRPr="008F50DF" w:rsidRDefault="008F50DF" w:rsidP="008F50DF">
      <w:pPr>
        <w:widowControl w:val="0"/>
        <w:autoSpaceDE w:val="0"/>
        <w:autoSpaceDN w:val="0"/>
        <w:spacing w:after="0" w:line="276" w:lineRule="auto"/>
        <w:jc w:val="both"/>
        <w:rPr>
          <w:rFonts w:ascii="Verdana" w:eastAsia="Calibri" w:hAnsi="Verdana" w:cs="Arial"/>
          <w:color w:val="0000FF"/>
          <w:u w:val="single"/>
          <w:shd w:val="clear" w:color="auto" w:fill="FFFFFF"/>
        </w:rPr>
      </w:pPr>
      <w:r w:rsidRPr="008F50DF">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F50DF">
          <w:rPr>
            <w:rFonts w:ascii="Verdana" w:eastAsia="Calibri" w:hAnsi="Verdana" w:cs="Arial"/>
            <w:color w:val="0000FF"/>
            <w:u w:val="single"/>
            <w:shd w:val="clear" w:color="auto" w:fill="FFFFFF"/>
          </w:rPr>
          <w:t>https://relatoria.colombiacompra.gov.co/</w:t>
        </w:r>
      </w:hyperlink>
      <w:r w:rsidRPr="008F50DF">
        <w:rPr>
          <w:rFonts w:ascii="Verdana" w:eastAsia="Calibri" w:hAnsi="Verdana" w:cs="Arial"/>
          <w:color w:val="0000FF"/>
          <w:u w:val="single"/>
          <w:shd w:val="clear" w:color="auto" w:fill="FFFFFF"/>
        </w:rPr>
        <w:t> .</w:t>
      </w:r>
    </w:p>
    <w:p w14:paraId="0177092C" w14:textId="77777777" w:rsidR="008F50DF" w:rsidRPr="008F50DF" w:rsidRDefault="008F50DF" w:rsidP="008F50DF">
      <w:pPr>
        <w:widowControl w:val="0"/>
        <w:autoSpaceDE w:val="0"/>
        <w:autoSpaceDN w:val="0"/>
        <w:spacing w:after="0" w:line="276" w:lineRule="auto"/>
        <w:jc w:val="both"/>
        <w:rPr>
          <w:rFonts w:ascii="Verdana" w:eastAsia="Calibri" w:hAnsi="Verdana" w:cs="Arial"/>
          <w:color w:val="0000FF"/>
          <w:u w:val="single"/>
          <w:shd w:val="clear" w:color="auto" w:fill="FFFFFF"/>
        </w:rPr>
      </w:pPr>
    </w:p>
    <w:p w14:paraId="4EA7945B" w14:textId="77777777" w:rsidR="008F50DF" w:rsidRPr="008F50DF" w:rsidRDefault="008F50DF" w:rsidP="008F50DF">
      <w:pPr>
        <w:spacing w:after="0" w:line="276" w:lineRule="auto"/>
        <w:jc w:val="both"/>
        <w:rPr>
          <w:rFonts w:ascii="Verdana" w:eastAsia="Aptos" w:hAnsi="Verdana" w:cs="Arial"/>
          <w:kern w:val="2"/>
          <w14:ligatures w14:val="standardContextual"/>
        </w:rPr>
      </w:pPr>
      <w:r w:rsidRPr="008F50DF">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8F50DF">
        <w:rPr>
          <w:rFonts w:ascii="Verdana" w:eastAsia="Aptos" w:hAnsi="Verdana" w:cs="Arial"/>
          <w:b/>
          <w:bCs/>
          <w:kern w:val="2"/>
          <w14:ligatures w14:val="standardContextual"/>
        </w:rPr>
        <w:t>Curso de Contratación Pública Sostenible y Socialmente Responsable</w:t>
      </w:r>
      <w:r w:rsidRPr="008F50DF">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8F50DF">
        <w:rPr>
          <w:rFonts w:ascii="Verdana" w:eastAsia="Aptos" w:hAnsi="Verdana" w:cs="Arial"/>
          <w:kern w:val="2"/>
          <w14:ligatures w14:val="standardContextual"/>
        </w:rPr>
        <w:br/>
      </w:r>
      <w:hyperlink r:id="rId13" w:tgtFrame="_new" w:history="1">
        <w:r w:rsidRPr="008F50DF">
          <w:rPr>
            <w:rFonts w:ascii="Verdana" w:eastAsia="Aptos" w:hAnsi="Verdana" w:cs="Arial"/>
            <w:color w:val="0000FF"/>
            <w:kern w:val="2"/>
            <w:u w:val="single"/>
            <w14:ligatures w14:val="standardContextual"/>
          </w:rPr>
          <w:t>https://formacionvirtual.colombiacompra.gov.co/mod/page/view.php?id=3718</w:t>
        </w:r>
      </w:hyperlink>
    </w:p>
    <w:p w14:paraId="0DF349D2" w14:textId="77777777" w:rsidR="008F50DF" w:rsidRPr="008F50DF" w:rsidRDefault="008F50DF" w:rsidP="008F50DF">
      <w:pPr>
        <w:spacing w:after="0" w:line="276" w:lineRule="auto"/>
        <w:jc w:val="both"/>
        <w:rPr>
          <w:rFonts w:ascii="Verdana" w:eastAsia="Aptos" w:hAnsi="Verdana" w:cs="Arial"/>
          <w:kern w:val="2"/>
          <w14:ligatures w14:val="standardContextual"/>
        </w:rPr>
      </w:pPr>
      <w:r w:rsidRPr="008F50DF">
        <w:rPr>
          <w:rFonts w:ascii="Verdana" w:eastAsia="Aptos" w:hAnsi="Verdana" w:cs="Arial"/>
          <w:kern w:val="2"/>
          <w14:ligatures w14:val="standardContextual"/>
        </w:rPr>
        <w:t xml:space="preserve">De otro lado, te contamos que esta Agencia ha da un paso decisivo en la estandarización y modernización del </w:t>
      </w:r>
      <w:r w:rsidRPr="008F50DF">
        <w:rPr>
          <w:rFonts w:ascii="Verdana" w:eastAsia="Aptos" w:hAnsi="Verdana" w:cs="Arial"/>
          <w:b/>
          <w:bCs/>
          <w:kern w:val="2"/>
          <w14:ligatures w14:val="standardContextual"/>
        </w:rPr>
        <w:t>sector  social</w:t>
      </w:r>
      <w:r w:rsidRPr="008F50DF">
        <w:rPr>
          <w:rFonts w:ascii="Verdana" w:eastAsia="Aptos" w:hAnsi="Verdana" w:cs="Arial"/>
          <w:kern w:val="2"/>
          <w14:ligatures w14:val="standardContextual"/>
        </w:rPr>
        <w:t xml:space="preserve"> con la expedición de las </w:t>
      </w:r>
      <w:r w:rsidRPr="008F50DF">
        <w:rPr>
          <w:rFonts w:ascii="Verdana" w:eastAsia="Aptos" w:hAnsi="Verdana" w:cs="Arial"/>
          <w:b/>
          <w:bCs/>
          <w:kern w:val="2"/>
          <w14:ligatures w14:val="standardContextual"/>
        </w:rPr>
        <w:t>Resoluciones 539, 540, 541, 952 y 953 de 2025</w:t>
      </w:r>
      <w:r w:rsidRPr="008F50DF">
        <w:rPr>
          <w:rFonts w:ascii="Verdana" w:eastAsia="Aptos" w:hAnsi="Verdana" w:cs="Arial"/>
          <w:kern w:val="2"/>
          <w14:ligatures w14:val="standardContextual"/>
        </w:rPr>
        <w:t xml:space="preserve">, </w:t>
      </w:r>
      <w:r w:rsidRPr="008F50DF">
        <w:rPr>
          <w:rFonts w:ascii="Verdana" w:eastAsia="Aptos" w:hAnsi="Verdana" w:cs="Arial"/>
          <w:b/>
          <w:bCs/>
          <w:kern w:val="2"/>
          <w14:ligatures w14:val="standardContextual"/>
        </w:rPr>
        <w:t>mediante las cuales adoptó Documentos Tipo</w:t>
      </w:r>
      <w:r w:rsidRPr="008F50DF">
        <w:rPr>
          <w:rFonts w:ascii="Verdana" w:eastAsia="Aptos" w:hAnsi="Verdana" w:cs="Arial"/>
          <w:kern w:val="2"/>
          <w14:ligatures w14:val="standardContextual"/>
        </w:rPr>
        <w:t xml:space="preserve"> para las modalidades de selección de</w:t>
      </w:r>
      <w:r w:rsidRPr="008F50DF">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8F50DF">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8F50DF">
          <w:rPr>
            <w:rFonts w:ascii="Verdana" w:eastAsia="Aptos" w:hAnsi="Verdana" w:cs="Arial"/>
            <w:color w:val="0000FF"/>
            <w:kern w:val="2"/>
            <w:u w:val="single"/>
            <w14:ligatures w14:val="standardContextual"/>
          </w:rPr>
          <w:t>https://www.colombiacompra.gov.co/normativa-y-relatoria/documentos-tipo</w:t>
        </w:r>
      </w:hyperlink>
    </w:p>
    <w:p w14:paraId="4963A54D" w14:textId="77777777" w:rsidR="008F50DF" w:rsidRPr="008F50DF" w:rsidRDefault="008F50DF" w:rsidP="008F50DF">
      <w:pPr>
        <w:spacing w:after="0" w:line="276" w:lineRule="auto"/>
        <w:jc w:val="both"/>
        <w:rPr>
          <w:rFonts w:ascii="Verdana" w:eastAsia="Aptos" w:hAnsi="Verdana" w:cs="Arial"/>
          <w:kern w:val="2"/>
          <w14:ligatures w14:val="standardContextual"/>
        </w:rPr>
      </w:pPr>
    </w:p>
    <w:p w14:paraId="0EC954AA" w14:textId="77777777" w:rsidR="008F50DF" w:rsidRPr="008F50DF" w:rsidRDefault="008F50DF" w:rsidP="008F50DF">
      <w:pPr>
        <w:spacing w:after="0" w:line="276" w:lineRule="auto"/>
        <w:jc w:val="both"/>
        <w:rPr>
          <w:rFonts w:ascii="Verdana" w:eastAsia="Aptos" w:hAnsi="Verdana" w:cs="Arial"/>
          <w:kern w:val="2"/>
          <w14:ligatures w14:val="standardContextual"/>
        </w:rPr>
      </w:pPr>
      <w:r w:rsidRPr="008F50DF">
        <w:rPr>
          <w:rFonts w:ascii="Verdana" w:eastAsia="Aptos" w:hAnsi="Verdana" w:cs="Arial"/>
          <w:kern w:val="2"/>
          <w14:ligatures w14:val="standardContextual"/>
        </w:rPr>
        <w:t xml:space="preserve">Si quieres conocer más sobre la aplicación de Documentos Tipo puedes consultar la última versión de la </w:t>
      </w:r>
      <w:r w:rsidRPr="008F50DF">
        <w:rPr>
          <w:rFonts w:ascii="Verdana" w:eastAsia="Aptos" w:hAnsi="Verdana" w:cs="Arial"/>
          <w:b/>
          <w:bCs/>
          <w:kern w:val="2"/>
          <w14:ligatures w14:val="standardContextual"/>
        </w:rPr>
        <w:t>Guía para la comprensión e implementación de los Documentos Tipo de obra pública de infraestructura de transporte</w:t>
      </w:r>
      <w:r w:rsidRPr="008F50DF">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F50DF">
        <w:rPr>
          <w:rFonts w:ascii="Verdana" w:eastAsia="Aptos" w:hAnsi="Verdana" w:cs="Arial"/>
          <w:kern w:val="2"/>
          <w14:ligatures w14:val="standardContextual"/>
        </w:rPr>
        <w:br/>
      </w:r>
      <w:hyperlink r:id="rId15" w:tgtFrame="_new" w:history="1">
        <w:r w:rsidRPr="008F50DF">
          <w:rPr>
            <w:rFonts w:ascii="Verdana" w:eastAsia="Aptos" w:hAnsi="Verdana" w:cs="Arial"/>
            <w:color w:val="0000FF"/>
            <w:kern w:val="2"/>
            <w:u w:val="single"/>
            <w14:ligatures w14:val="standardContextual"/>
          </w:rPr>
          <w:t>https://www.colombiacompra.gov.co/archivos/manual/guia-para-la-</w:t>
        </w:r>
        <w:r w:rsidRPr="008F50DF">
          <w:rPr>
            <w:rFonts w:ascii="Verdana" w:eastAsia="Aptos" w:hAnsi="Verdana" w:cs="Arial"/>
            <w:color w:val="0000FF"/>
            <w:kern w:val="2"/>
            <w:u w:val="single"/>
            <w14:ligatures w14:val="standardContextual"/>
          </w:rPr>
          <w:lastRenderedPageBreak/>
          <w:t>comprension-e-implementacion-de-los-documentos-tipo-de-obra-publica-de-infraestructura-de-transporte-bajo-las-diferentes-modalidades-de-contratacion-vigentes</w:t>
        </w:r>
      </w:hyperlink>
    </w:p>
    <w:p w14:paraId="5CC1C17E" w14:textId="77777777" w:rsidR="008F50DF" w:rsidRPr="008F50DF" w:rsidRDefault="008F50DF" w:rsidP="008F50DF">
      <w:pPr>
        <w:spacing w:after="0"/>
        <w:jc w:val="both"/>
        <w:rPr>
          <w:rFonts w:ascii="Verdana" w:eastAsia="Aptos" w:hAnsi="Verdana" w:cs="Times New Roman"/>
          <w:color w:val="212121"/>
        </w:rPr>
      </w:pPr>
    </w:p>
    <w:p w14:paraId="1028E069" w14:textId="77777777" w:rsidR="008F50DF" w:rsidRPr="008F50DF" w:rsidRDefault="008F50DF" w:rsidP="008F50DF">
      <w:pPr>
        <w:spacing w:after="0" w:line="240" w:lineRule="auto"/>
        <w:jc w:val="both"/>
        <w:rPr>
          <w:rFonts w:ascii="Verdana" w:eastAsia="Calibri" w:hAnsi="Verdana" w:cs="Times New Roman"/>
        </w:rPr>
      </w:pPr>
      <w:r w:rsidRPr="008F50DF">
        <w:rPr>
          <w:rFonts w:ascii="Verdana" w:eastAsia="Aptos" w:hAnsi="Verdana" w:cs="Times New Roman"/>
        </w:rPr>
        <w:t xml:space="preserve">Por último, lo invitamos a seguirnos en las redes sociales en las cuales se difunde información institucional: </w:t>
      </w:r>
    </w:p>
    <w:p w14:paraId="0B35C343" w14:textId="77777777" w:rsidR="008F50DF" w:rsidRPr="008F50DF" w:rsidRDefault="008F50DF" w:rsidP="008F50DF">
      <w:pPr>
        <w:spacing w:after="0" w:line="240" w:lineRule="auto"/>
        <w:jc w:val="both"/>
        <w:rPr>
          <w:rFonts w:ascii="Verdana" w:eastAsia="Aptos" w:hAnsi="Verdana" w:cs="Times New Roman"/>
        </w:rPr>
      </w:pPr>
    </w:p>
    <w:p w14:paraId="28908DC6" w14:textId="77777777" w:rsidR="008F50DF" w:rsidRPr="008F50DF" w:rsidRDefault="008F50DF" w:rsidP="008F50DF">
      <w:pPr>
        <w:spacing w:after="0" w:line="240" w:lineRule="auto"/>
        <w:jc w:val="both"/>
        <w:rPr>
          <w:rFonts w:ascii="Verdana" w:eastAsia="Aptos" w:hAnsi="Verdana" w:cs="Times New Roman"/>
        </w:rPr>
      </w:pPr>
      <w:r w:rsidRPr="008F50DF">
        <w:rPr>
          <w:rFonts w:ascii="Verdana" w:eastAsia="Aptos" w:hAnsi="Verdana" w:cs="Times New Roman"/>
        </w:rPr>
        <w:t xml:space="preserve">Twitter: </w:t>
      </w:r>
      <w:r w:rsidRPr="008F50DF">
        <w:rPr>
          <w:rFonts w:ascii="Verdana" w:eastAsia="Calibri" w:hAnsi="Verdana" w:cs="Times New Roman"/>
          <w:color w:val="156082"/>
          <w:u w:val="single"/>
        </w:rPr>
        <w:t>@colombiacompra</w:t>
      </w:r>
      <w:r w:rsidRPr="008F50DF">
        <w:rPr>
          <w:rFonts w:ascii="Verdana" w:eastAsia="Calibri" w:hAnsi="Verdana" w:cs="Times New Roman"/>
          <w:color w:val="156082"/>
        </w:rPr>
        <w:t xml:space="preserve"> </w:t>
      </w:r>
    </w:p>
    <w:p w14:paraId="4C9BB3C1" w14:textId="77777777" w:rsidR="008F50DF" w:rsidRPr="008F50DF" w:rsidRDefault="008F50DF" w:rsidP="008F50DF">
      <w:pPr>
        <w:spacing w:after="0" w:line="240" w:lineRule="auto"/>
        <w:jc w:val="both"/>
        <w:rPr>
          <w:rFonts w:ascii="Verdana" w:eastAsia="Aptos" w:hAnsi="Verdana" w:cs="Times New Roman"/>
        </w:rPr>
      </w:pPr>
      <w:r w:rsidRPr="008F50DF">
        <w:rPr>
          <w:rFonts w:ascii="Verdana" w:eastAsia="Aptos" w:hAnsi="Verdana" w:cs="Times New Roman"/>
        </w:rPr>
        <w:t xml:space="preserve">Facebook: </w:t>
      </w:r>
      <w:proofErr w:type="spellStart"/>
      <w:r w:rsidRPr="008F50DF">
        <w:rPr>
          <w:rFonts w:ascii="Verdana" w:eastAsia="Calibri" w:hAnsi="Verdana" w:cs="Times New Roman"/>
          <w:color w:val="156082"/>
          <w:u w:val="single"/>
        </w:rPr>
        <w:t>ColombiaCompraEficiente</w:t>
      </w:r>
      <w:proofErr w:type="spellEnd"/>
    </w:p>
    <w:p w14:paraId="0C4BD041" w14:textId="77777777" w:rsidR="008F50DF" w:rsidRPr="008F50DF" w:rsidRDefault="008F50DF" w:rsidP="008F50DF">
      <w:pPr>
        <w:spacing w:after="0" w:line="240" w:lineRule="auto"/>
        <w:jc w:val="both"/>
        <w:rPr>
          <w:rFonts w:ascii="Verdana" w:eastAsia="Aptos" w:hAnsi="Verdana" w:cs="Times New Roman"/>
        </w:rPr>
      </w:pPr>
      <w:r w:rsidRPr="008F50DF">
        <w:rPr>
          <w:rFonts w:ascii="Verdana" w:eastAsia="Aptos" w:hAnsi="Verdana" w:cs="Times New Roman"/>
        </w:rPr>
        <w:t xml:space="preserve">LinkedIn: </w:t>
      </w:r>
      <w:r w:rsidRPr="008F50DF">
        <w:rPr>
          <w:rFonts w:ascii="Verdana" w:eastAsia="Calibri" w:hAnsi="Verdana" w:cs="Times New Roman"/>
          <w:color w:val="156082"/>
          <w:u w:val="single"/>
        </w:rPr>
        <w:t>Agencia Nacional de Contratación Pública - Colombia Compra Eficiente</w:t>
      </w:r>
      <w:r w:rsidRPr="008F50DF">
        <w:rPr>
          <w:rFonts w:ascii="Verdana" w:eastAsia="Calibri" w:hAnsi="Verdana" w:cs="Times New Roman"/>
          <w:color w:val="156082"/>
        </w:rPr>
        <w:t xml:space="preserve"> </w:t>
      </w:r>
      <w:r w:rsidRPr="008F50DF">
        <w:rPr>
          <w:rFonts w:ascii="Verdana" w:eastAsia="Aptos" w:hAnsi="Verdana" w:cs="Times New Roman"/>
        </w:rPr>
        <w:t xml:space="preserve">Instagram: </w:t>
      </w:r>
      <w:r w:rsidRPr="008F50DF">
        <w:rPr>
          <w:rFonts w:ascii="Verdana" w:eastAsia="Calibri" w:hAnsi="Verdana" w:cs="Times New Roman"/>
          <w:color w:val="156082"/>
          <w:u w:val="single"/>
        </w:rPr>
        <w:t>@colombiacompraeficiente_cce</w:t>
      </w:r>
    </w:p>
    <w:p w14:paraId="5380F89F" w14:textId="77777777" w:rsidR="008F50DF" w:rsidRPr="008F50DF" w:rsidRDefault="008F50DF" w:rsidP="008F50DF">
      <w:pPr>
        <w:spacing w:after="0" w:line="276" w:lineRule="auto"/>
        <w:jc w:val="both"/>
        <w:rPr>
          <w:rFonts w:ascii="Verdana" w:eastAsia="Aptos" w:hAnsi="Verdana" w:cs="Times New Roman"/>
        </w:rPr>
      </w:pPr>
    </w:p>
    <w:p w14:paraId="15CECFA5" w14:textId="77777777" w:rsidR="008F50DF" w:rsidRPr="008F50DF" w:rsidRDefault="008F50DF" w:rsidP="008F50DF">
      <w:pPr>
        <w:spacing w:after="0" w:line="276" w:lineRule="auto"/>
        <w:jc w:val="both"/>
        <w:rPr>
          <w:rFonts w:ascii="Verdana" w:eastAsia="Calibri" w:hAnsi="Verdana" w:cs="Times New Roman"/>
          <w:bCs/>
          <w:lang w:val="es-ES_tradnl"/>
        </w:rPr>
      </w:pPr>
      <w:r w:rsidRPr="008F50D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A00A54A" w14:textId="77777777" w:rsidR="008F50DF" w:rsidRPr="008F50DF" w:rsidRDefault="008F50DF" w:rsidP="008F50DF">
      <w:pPr>
        <w:spacing w:after="0" w:line="276" w:lineRule="auto"/>
        <w:jc w:val="both"/>
        <w:rPr>
          <w:rFonts w:ascii="Verdana" w:eastAsia="Calibri" w:hAnsi="Verdana" w:cs="Times New Roman"/>
        </w:rPr>
      </w:pPr>
    </w:p>
    <w:p w14:paraId="45D1D223" w14:textId="77777777" w:rsidR="008F50DF" w:rsidRPr="008F50DF" w:rsidRDefault="008F50DF" w:rsidP="008F50DF">
      <w:pPr>
        <w:spacing w:after="0" w:line="276" w:lineRule="auto"/>
        <w:jc w:val="both"/>
        <w:rPr>
          <w:rFonts w:ascii="Verdana" w:eastAsia="Calibri" w:hAnsi="Verdana" w:cs="Times New Roman"/>
        </w:rPr>
      </w:pPr>
      <w:r w:rsidRPr="008F50DF">
        <w:rPr>
          <w:rFonts w:ascii="Verdana" w:eastAsia="Calibri" w:hAnsi="Verdana" w:cs="Times New Roman"/>
        </w:rPr>
        <w:t>Atentamente,</w:t>
      </w:r>
    </w:p>
    <w:p w14:paraId="1D7762C8" w14:textId="64AD9BE6" w:rsidR="008F50DF" w:rsidRPr="008F50DF" w:rsidRDefault="002A53D1" w:rsidP="008F50DF">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7342A57C" wp14:editId="5ED38B91">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8F50DF" w:rsidRPr="008F50DF" w14:paraId="34F94330" w14:textId="77777777" w:rsidTr="4669E175">
        <w:trPr>
          <w:trHeight w:val="323"/>
        </w:trPr>
        <w:tc>
          <w:tcPr>
            <w:tcW w:w="1041" w:type="dxa"/>
            <w:vAlign w:val="center"/>
            <w:hideMark/>
          </w:tcPr>
          <w:p w14:paraId="081552E0" w14:textId="77777777" w:rsidR="008F50DF" w:rsidRPr="008F50DF" w:rsidRDefault="008F50DF" w:rsidP="008F50DF">
            <w:pPr>
              <w:rPr>
                <w:rFonts w:ascii="Verdana" w:eastAsia="Calibri" w:hAnsi="Verdana" w:cs="Arial"/>
                <w:sz w:val="16"/>
                <w:szCs w:val="16"/>
                <w:lang w:val="es-ES_tradnl" w:eastAsia="es-ES"/>
              </w:rPr>
            </w:pPr>
            <w:r w:rsidRPr="008F50DF">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3519020A" w14:textId="77777777" w:rsidR="008F50DF" w:rsidRPr="008F50DF" w:rsidRDefault="008F50DF" w:rsidP="008F50DF">
            <w:pPr>
              <w:rPr>
                <w:rFonts w:ascii="Verdana" w:eastAsia="Arial" w:hAnsi="Verdana" w:cs="Arial"/>
                <w:sz w:val="16"/>
                <w:szCs w:val="16"/>
                <w:lang w:val="es-ES"/>
              </w:rPr>
            </w:pPr>
            <w:r w:rsidRPr="008F50DF">
              <w:rPr>
                <w:rFonts w:ascii="Verdana" w:eastAsia="Arial" w:hAnsi="Verdana" w:cs="Arial"/>
                <w:sz w:val="16"/>
                <w:szCs w:val="16"/>
                <w:lang w:val="es-ES"/>
              </w:rPr>
              <w:t xml:space="preserve">Carlos Mario Castrillón Endo </w:t>
            </w:r>
          </w:p>
          <w:p w14:paraId="1B7008FC" w14:textId="77777777" w:rsidR="008F50DF" w:rsidRPr="008F50DF" w:rsidRDefault="008F50DF" w:rsidP="008F50DF">
            <w:pPr>
              <w:rPr>
                <w:rFonts w:ascii="Verdana" w:eastAsia="Arial" w:hAnsi="Verdana" w:cs="Arial"/>
                <w:sz w:val="16"/>
                <w:szCs w:val="16"/>
                <w:lang w:val="es-ES_tradnl"/>
              </w:rPr>
            </w:pPr>
            <w:r w:rsidRPr="008F50DF">
              <w:rPr>
                <w:rFonts w:ascii="Verdana" w:eastAsia="Arial" w:hAnsi="Verdana" w:cs="Arial"/>
                <w:sz w:val="16"/>
                <w:szCs w:val="16"/>
                <w:lang w:val="es-ES_tradnl"/>
              </w:rPr>
              <w:t>Contratista de la Subdirección de Gestión Contractual</w:t>
            </w:r>
          </w:p>
          <w:p w14:paraId="34156CBC" w14:textId="77777777" w:rsidR="008F50DF" w:rsidRPr="008F50DF" w:rsidRDefault="008F50DF" w:rsidP="008F50DF">
            <w:pPr>
              <w:rPr>
                <w:rFonts w:ascii="Verdana" w:eastAsia="Arial" w:hAnsi="Verdana" w:cs="Arial"/>
                <w:sz w:val="16"/>
                <w:szCs w:val="16"/>
                <w:lang w:val="es-ES_tradnl"/>
              </w:rPr>
            </w:pPr>
          </w:p>
        </w:tc>
      </w:tr>
      <w:tr w:rsidR="008F50DF" w:rsidRPr="008F50DF" w14:paraId="5CAAE81F" w14:textId="77777777" w:rsidTr="4669E175">
        <w:trPr>
          <w:trHeight w:val="338"/>
        </w:trPr>
        <w:tc>
          <w:tcPr>
            <w:tcW w:w="1041" w:type="dxa"/>
            <w:vAlign w:val="center"/>
            <w:hideMark/>
          </w:tcPr>
          <w:p w14:paraId="59934893" w14:textId="77777777" w:rsidR="008F50DF" w:rsidRPr="008F50DF" w:rsidRDefault="008F50DF" w:rsidP="008F50DF">
            <w:pPr>
              <w:rPr>
                <w:rFonts w:ascii="Verdana" w:eastAsia="Calibri" w:hAnsi="Verdana" w:cs="Arial"/>
                <w:sz w:val="16"/>
                <w:szCs w:val="16"/>
                <w:lang w:val="es-ES_tradnl" w:eastAsia="es-ES"/>
              </w:rPr>
            </w:pPr>
            <w:r w:rsidRPr="008F50DF">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02541BD4" w14:textId="77777777" w:rsidR="008F50DF" w:rsidRPr="008F50DF" w:rsidRDefault="008F50DF" w:rsidP="4669E175">
            <w:pPr>
              <w:rPr>
                <w:rFonts w:ascii="Verdana" w:eastAsia="Arial" w:hAnsi="Verdana" w:cs="Arial"/>
                <w:sz w:val="16"/>
                <w:szCs w:val="16"/>
                <w:lang w:val="es-ES"/>
              </w:rPr>
            </w:pPr>
            <w:r w:rsidRPr="4669E175">
              <w:rPr>
                <w:rFonts w:ascii="Verdana" w:eastAsia="Arial" w:hAnsi="Verdana" w:cs="Arial"/>
                <w:sz w:val="16"/>
                <w:szCs w:val="16"/>
                <w:lang w:val="es-ES"/>
              </w:rPr>
              <w:t xml:space="preserve">Lida Milena </w:t>
            </w:r>
            <w:proofErr w:type="spellStart"/>
            <w:r w:rsidRPr="4669E175">
              <w:rPr>
                <w:rFonts w:ascii="Verdana" w:eastAsia="Arial" w:hAnsi="Verdana" w:cs="Arial"/>
                <w:sz w:val="16"/>
                <w:szCs w:val="16"/>
                <w:lang w:val="es-ES"/>
              </w:rPr>
              <w:t>Guanumen</w:t>
            </w:r>
            <w:proofErr w:type="spellEnd"/>
            <w:r w:rsidRPr="4669E175">
              <w:rPr>
                <w:rFonts w:ascii="Verdana" w:eastAsia="Arial" w:hAnsi="Verdana" w:cs="Arial"/>
                <w:sz w:val="16"/>
                <w:szCs w:val="16"/>
                <w:lang w:val="es-ES"/>
              </w:rPr>
              <w:t xml:space="preserve"> Pacheco</w:t>
            </w:r>
          </w:p>
          <w:p w14:paraId="6FBC411F" w14:textId="77777777" w:rsidR="008F50DF" w:rsidRPr="008F50DF" w:rsidRDefault="008F50DF" w:rsidP="008F50DF">
            <w:pPr>
              <w:rPr>
                <w:rFonts w:ascii="Verdana" w:eastAsia="Arial" w:hAnsi="Verdana" w:cs="Arial"/>
                <w:sz w:val="16"/>
                <w:szCs w:val="16"/>
                <w:lang w:val="es-ES"/>
              </w:rPr>
            </w:pPr>
            <w:r w:rsidRPr="008F50DF">
              <w:rPr>
                <w:rFonts w:ascii="Verdana" w:eastAsia="Arial" w:hAnsi="Verdana" w:cs="Arial"/>
                <w:sz w:val="16"/>
                <w:szCs w:val="16"/>
                <w:lang w:val="es-ES_tradnl"/>
              </w:rPr>
              <w:t>Contratista de la Subdirección de Gestión Contractual</w:t>
            </w:r>
          </w:p>
          <w:p w14:paraId="241B2971" w14:textId="77777777" w:rsidR="008F50DF" w:rsidRPr="008F50DF" w:rsidRDefault="008F50DF" w:rsidP="008F50DF">
            <w:pPr>
              <w:rPr>
                <w:rFonts w:ascii="Verdana" w:eastAsia="Arial" w:hAnsi="Verdana" w:cs="Arial"/>
                <w:sz w:val="16"/>
                <w:szCs w:val="16"/>
                <w:lang w:val="es-ES"/>
              </w:rPr>
            </w:pPr>
            <w:r w:rsidRPr="008F50DF">
              <w:rPr>
                <w:rFonts w:ascii="Verdana" w:eastAsia="Arial" w:hAnsi="Verdana" w:cs="Arial"/>
                <w:sz w:val="16"/>
                <w:szCs w:val="16"/>
                <w:lang w:val="es-ES"/>
              </w:rPr>
              <w:t>Juan David Cárdenas Cabeza</w:t>
            </w:r>
          </w:p>
          <w:p w14:paraId="4111A31A" w14:textId="77777777" w:rsidR="008F50DF" w:rsidRPr="008F50DF" w:rsidRDefault="008F50DF" w:rsidP="008F50DF">
            <w:pPr>
              <w:rPr>
                <w:rFonts w:ascii="Verdana" w:eastAsia="Arial" w:hAnsi="Verdana" w:cs="Arial"/>
                <w:sz w:val="16"/>
                <w:szCs w:val="16"/>
                <w:lang w:val="es-ES_tradnl"/>
              </w:rPr>
            </w:pPr>
            <w:r w:rsidRPr="008F50DF">
              <w:rPr>
                <w:rFonts w:ascii="Verdana" w:eastAsia="Arial" w:hAnsi="Verdana" w:cs="Arial"/>
                <w:sz w:val="16"/>
                <w:szCs w:val="16"/>
                <w:lang w:val="es-ES_tradnl"/>
              </w:rPr>
              <w:t>Contratista de la Subdirección de Gestión Contractual</w:t>
            </w:r>
          </w:p>
        </w:tc>
      </w:tr>
      <w:tr w:rsidR="008F50DF" w:rsidRPr="008F50DF" w14:paraId="71DFBE8D" w14:textId="77777777" w:rsidTr="4669E175">
        <w:trPr>
          <w:trHeight w:val="308"/>
        </w:trPr>
        <w:tc>
          <w:tcPr>
            <w:tcW w:w="1041" w:type="dxa"/>
            <w:vAlign w:val="center"/>
          </w:tcPr>
          <w:p w14:paraId="2397D8A3" w14:textId="77777777" w:rsidR="008F50DF" w:rsidRPr="008F50DF" w:rsidRDefault="008F50DF" w:rsidP="008F50DF">
            <w:pPr>
              <w:rPr>
                <w:rFonts w:ascii="Verdana" w:eastAsia="Calibri" w:hAnsi="Verdana" w:cs="Arial"/>
                <w:sz w:val="16"/>
                <w:szCs w:val="16"/>
                <w:lang w:val="es-ES_tradnl" w:eastAsia="es-ES"/>
              </w:rPr>
            </w:pPr>
            <w:r w:rsidRPr="008F50DF">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135EA3DC" w14:textId="77777777" w:rsidR="008F50DF" w:rsidRPr="008F50DF" w:rsidRDefault="008F50DF" w:rsidP="008F50DF">
            <w:pPr>
              <w:rPr>
                <w:rFonts w:ascii="Verdana" w:eastAsia="Calibri" w:hAnsi="Verdana" w:cs="Arial"/>
                <w:sz w:val="16"/>
                <w:szCs w:val="16"/>
                <w:lang w:val="es-ES" w:eastAsia="es-ES"/>
              </w:rPr>
            </w:pPr>
            <w:r w:rsidRPr="008F50DF">
              <w:rPr>
                <w:rFonts w:ascii="Verdana" w:eastAsia="Calibri" w:hAnsi="Verdana" w:cs="Arial"/>
                <w:sz w:val="16"/>
                <w:szCs w:val="16"/>
                <w:lang w:val="es-ES" w:eastAsia="es-ES"/>
              </w:rPr>
              <w:t>Carolina Quintero Gacharná</w:t>
            </w:r>
          </w:p>
          <w:p w14:paraId="30C0DCB4" w14:textId="77777777" w:rsidR="008F50DF" w:rsidRPr="008F50DF" w:rsidRDefault="008F50DF" w:rsidP="008F50DF">
            <w:pPr>
              <w:rPr>
                <w:rFonts w:ascii="Verdana" w:eastAsia="Calibri" w:hAnsi="Verdana" w:cs="Arial"/>
                <w:sz w:val="16"/>
                <w:szCs w:val="16"/>
                <w:lang w:val="es-ES_tradnl" w:eastAsia="es-ES"/>
              </w:rPr>
            </w:pPr>
            <w:r w:rsidRPr="008F50DF">
              <w:rPr>
                <w:rFonts w:ascii="Verdana" w:eastAsia="Calibri" w:hAnsi="Verdana" w:cs="Arial"/>
                <w:sz w:val="16"/>
                <w:szCs w:val="16"/>
                <w:lang w:val="es-ES_tradnl" w:eastAsia="es-ES"/>
              </w:rPr>
              <w:t>Subdirectora de Gestión Contractual ANCP – CCE</w:t>
            </w:r>
          </w:p>
        </w:tc>
      </w:tr>
    </w:tbl>
    <w:p w14:paraId="3D0C2400" w14:textId="77777777" w:rsidR="00624D56" w:rsidRPr="000E2B93" w:rsidRDefault="00624D56" w:rsidP="30821638">
      <w:pPr>
        <w:spacing w:after="0" w:line="240" w:lineRule="auto"/>
        <w:jc w:val="both"/>
        <w:textAlignment w:val="baseline"/>
        <w:rPr>
          <w:rFonts w:ascii="Verdana" w:eastAsia="Verdana" w:hAnsi="Verdana" w:cs="Verdana"/>
          <w:lang w:eastAsia="es-CO"/>
        </w:rPr>
      </w:pPr>
    </w:p>
    <w:p w14:paraId="69BC4D14" w14:textId="76CF382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719A2" w14:textId="77777777" w:rsidR="00EB3208" w:rsidRDefault="00EB3208" w:rsidP="004A1847">
      <w:pPr>
        <w:spacing w:after="0" w:line="240" w:lineRule="auto"/>
      </w:pPr>
      <w:r>
        <w:separator/>
      </w:r>
    </w:p>
  </w:endnote>
  <w:endnote w:type="continuationSeparator" w:id="0">
    <w:p w14:paraId="45C6855F" w14:textId="77777777" w:rsidR="00EB3208" w:rsidRDefault="00EB320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A51D40B" w14:textId="77777777" w:rsidR="001F2FFA" w:rsidRDefault="001F2FFA">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620F1"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E620F1">
      <w:rPr>
        <w:rFonts w:ascii="Verdana" w:eastAsia="Verdana" w:hAnsi="Verdana" w:cs="Verdana"/>
        <w:b/>
        <w:bCs/>
        <w:color w:val="000000"/>
        <w:sz w:val="18"/>
        <w:szCs w:val="18"/>
        <w:lang w:val="pt-BR" w:eastAsia="es-CO"/>
      </w:rPr>
      <w:t xml:space="preserve">Código: </w:t>
    </w:r>
    <w:r w:rsidRPr="00E620F1">
      <w:rPr>
        <w:rFonts w:ascii="Verdana" w:eastAsia="Verdana" w:hAnsi="Verdana" w:cs="Verdana"/>
        <w:color w:val="000000"/>
        <w:sz w:val="18"/>
        <w:szCs w:val="18"/>
        <w:lang w:val="pt-BR" w:eastAsia="es-CO"/>
      </w:rPr>
      <w:t xml:space="preserve">CCE-REC-FM-17 </w:t>
    </w:r>
    <w:r w:rsidRPr="00E620F1">
      <w:rPr>
        <w:rFonts w:ascii="Verdana" w:eastAsia="Verdana" w:hAnsi="Verdana" w:cs="Verdana"/>
        <w:b/>
        <w:bCs/>
        <w:color w:val="000000"/>
        <w:sz w:val="18"/>
        <w:szCs w:val="18"/>
        <w:lang w:val="pt-BR" w:eastAsia="es-CO"/>
      </w:rPr>
      <w:t xml:space="preserve">V: </w:t>
    </w:r>
    <w:r w:rsidRPr="00E620F1">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51E79" w14:textId="77777777" w:rsidR="00EB3208" w:rsidRDefault="00EB3208" w:rsidP="004A1847">
      <w:pPr>
        <w:spacing w:after="0" w:line="240" w:lineRule="auto"/>
      </w:pPr>
      <w:r>
        <w:separator/>
      </w:r>
    </w:p>
  </w:footnote>
  <w:footnote w:type="continuationSeparator" w:id="0">
    <w:p w14:paraId="708190A1" w14:textId="77777777" w:rsidR="00EB3208" w:rsidRDefault="00EB3208" w:rsidP="004A1847">
      <w:pPr>
        <w:spacing w:after="0" w:line="240" w:lineRule="auto"/>
      </w:pPr>
      <w:r>
        <w:continuationSeparator/>
      </w:r>
    </w:p>
  </w:footnote>
  <w:footnote w:id="1">
    <w:p w14:paraId="099E7CCE" w14:textId="77777777" w:rsidR="008F50DF" w:rsidRPr="00D615FB" w:rsidRDefault="008F50DF" w:rsidP="008F50DF">
      <w:pPr>
        <w:pStyle w:val="Textonotapie"/>
        <w:ind w:firstLine="708"/>
        <w:rPr>
          <w:rFonts w:ascii="Verdana" w:hAnsi="Verdana"/>
          <w:sz w:val="18"/>
          <w:szCs w:val="18"/>
        </w:rPr>
      </w:pPr>
      <w:r w:rsidRPr="00D615FB">
        <w:rPr>
          <w:rStyle w:val="Refdenotaalpie"/>
          <w:rFonts w:ascii="Verdana" w:hAnsi="Verdana"/>
          <w:sz w:val="18"/>
          <w:szCs w:val="18"/>
        </w:rPr>
        <w:footnoteRef/>
      </w:r>
      <w:r w:rsidRPr="00D615FB">
        <w:rPr>
          <w:rFonts w:ascii="Verdana" w:hAnsi="Verdana"/>
          <w:sz w:val="18"/>
          <w:szCs w:val="18"/>
        </w:rPr>
        <w:t xml:space="preserve"> </w:t>
      </w:r>
      <w:r w:rsidRPr="008F50DF">
        <w:rPr>
          <w:rFonts w:ascii="Verdana" w:eastAsia="Calibri" w:hAnsi="Verdana" w:cs="Arial"/>
          <w:color w:val="000000"/>
          <w:sz w:val="18"/>
          <w:szCs w:val="18"/>
          <w:lang w:val="es-ES_tradnl"/>
        </w:rPr>
        <w:t>Numeral 1 del artículo 32 de la Ley 80 de 1993.</w:t>
      </w:r>
    </w:p>
  </w:footnote>
  <w:footnote w:id="2">
    <w:p w14:paraId="2026A80E" w14:textId="77777777" w:rsidR="008F50DF" w:rsidRPr="00D615FB" w:rsidRDefault="008F50DF" w:rsidP="008F50DF">
      <w:pPr>
        <w:pStyle w:val="Textonotapie"/>
        <w:ind w:firstLine="708"/>
        <w:jc w:val="both"/>
        <w:rPr>
          <w:rFonts w:ascii="Verdana" w:hAnsi="Verdana"/>
          <w:sz w:val="18"/>
          <w:szCs w:val="18"/>
        </w:rPr>
      </w:pPr>
      <w:r w:rsidRPr="00D615FB">
        <w:rPr>
          <w:rStyle w:val="Refdenotaalpie"/>
          <w:rFonts w:ascii="Verdana" w:hAnsi="Verdana"/>
          <w:sz w:val="18"/>
          <w:szCs w:val="18"/>
        </w:rPr>
        <w:footnoteRef/>
      </w:r>
      <w:r w:rsidRPr="00D615FB">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0609E3ED" w14:textId="77777777" w:rsidR="008F50DF" w:rsidRPr="00D615FB" w:rsidRDefault="008F50DF" w:rsidP="008F50DF">
      <w:pPr>
        <w:pStyle w:val="Textonotapie"/>
        <w:ind w:firstLine="708"/>
        <w:jc w:val="both"/>
        <w:rPr>
          <w:rFonts w:ascii="Verdana" w:hAnsi="Verdana"/>
          <w:sz w:val="18"/>
          <w:szCs w:val="18"/>
        </w:rPr>
      </w:pPr>
    </w:p>
    <w:p w14:paraId="4479AF79" w14:textId="77777777" w:rsidR="008F50DF" w:rsidRPr="00D615FB" w:rsidRDefault="008F50DF" w:rsidP="008F50DF">
      <w:pPr>
        <w:pStyle w:val="Textonotapie"/>
        <w:ind w:firstLine="708"/>
        <w:jc w:val="both"/>
        <w:rPr>
          <w:rFonts w:ascii="Verdana" w:hAnsi="Verdana"/>
          <w:sz w:val="18"/>
          <w:szCs w:val="18"/>
        </w:rPr>
      </w:pPr>
      <w:r w:rsidRPr="00D615FB">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0B4D8D87" w14:textId="77777777" w:rsidR="008F50DF" w:rsidRPr="00D615FB" w:rsidRDefault="008F50DF" w:rsidP="008F50DF">
      <w:pPr>
        <w:pStyle w:val="Textonotapie"/>
        <w:ind w:firstLine="708"/>
        <w:jc w:val="both"/>
        <w:rPr>
          <w:rFonts w:ascii="Verdana" w:hAnsi="Verdana"/>
          <w:sz w:val="18"/>
          <w:szCs w:val="18"/>
        </w:rPr>
      </w:pPr>
    </w:p>
    <w:p w14:paraId="393B1BFB" w14:textId="77777777" w:rsidR="008F50DF" w:rsidRPr="00D615FB" w:rsidRDefault="008F50DF" w:rsidP="008F50DF">
      <w:pPr>
        <w:pStyle w:val="Textonotapie"/>
        <w:ind w:firstLine="708"/>
        <w:jc w:val="both"/>
        <w:rPr>
          <w:rFonts w:ascii="Verdana" w:hAnsi="Verdana"/>
          <w:sz w:val="18"/>
          <w:szCs w:val="18"/>
        </w:rPr>
      </w:pPr>
      <w:r w:rsidRPr="00D615FB">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BAD3EE8" w14:textId="77777777" w:rsidR="008F50DF" w:rsidRPr="00D615FB" w:rsidRDefault="008F50DF" w:rsidP="008F50DF">
      <w:pPr>
        <w:pStyle w:val="Textonotapie"/>
        <w:ind w:firstLine="708"/>
        <w:jc w:val="both"/>
        <w:rPr>
          <w:rFonts w:ascii="Verdana" w:hAnsi="Verdana"/>
          <w:sz w:val="18"/>
          <w:szCs w:val="18"/>
        </w:rPr>
      </w:pPr>
    </w:p>
    <w:p w14:paraId="30531224" w14:textId="77777777" w:rsidR="008F50DF" w:rsidRPr="00D615FB" w:rsidRDefault="008F50DF" w:rsidP="008F50DF">
      <w:pPr>
        <w:pStyle w:val="Textonotapie"/>
        <w:ind w:firstLine="708"/>
        <w:jc w:val="both"/>
        <w:rPr>
          <w:rFonts w:ascii="Verdana" w:hAnsi="Verdana"/>
          <w:sz w:val="18"/>
          <w:szCs w:val="18"/>
        </w:rPr>
      </w:pPr>
      <w:r w:rsidRPr="00D615FB">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7DEBA9F8" w14:textId="77777777" w:rsidR="008F50DF" w:rsidRPr="00D615FB" w:rsidRDefault="008F50DF" w:rsidP="008F50DF">
      <w:pPr>
        <w:pStyle w:val="Textonotapie"/>
        <w:ind w:firstLine="708"/>
        <w:jc w:val="both"/>
        <w:rPr>
          <w:rFonts w:ascii="Verdana" w:hAnsi="Verdana"/>
          <w:sz w:val="18"/>
          <w:szCs w:val="18"/>
        </w:rPr>
      </w:pPr>
    </w:p>
    <w:p w14:paraId="54E48674" w14:textId="77777777" w:rsidR="008F50DF" w:rsidRPr="00D615FB" w:rsidRDefault="008F50DF" w:rsidP="008F50DF">
      <w:pPr>
        <w:pStyle w:val="Textonotapie"/>
        <w:ind w:firstLine="708"/>
        <w:jc w:val="both"/>
        <w:rPr>
          <w:rFonts w:ascii="Verdana" w:hAnsi="Verdana"/>
          <w:sz w:val="18"/>
          <w:szCs w:val="18"/>
        </w:rPr>
      </w:pPr>
      <w:r w:rsidRPr="00D615FB">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5E06F79D" w14:textId="77777777" w:rsidR="008F50DF" w:rsidRPr="008F50DF" w:rsidRDefault="008F50DF" w:rsidP="008F50DF">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8F50DF">
        <w:rPr>
          <w:rFonts w:ascii="Verdana" w:eastAsia="Calibri" w:hAnsi="Verdana" w:cs="Arial"/>
          <w:color w:val="000000"/>
          <w:sz w:val="18"/>
          <w:szCs w:val="18"/>
          <w:lang w:val="es-ES_tradnl"/>
        </w:rPr>
        <w:t>Numeral 1 del artículo 32 de la Ley 80 de 1993.</w:t>
      </w:r>
    </w:p>
    <w:p w14:paraId="4C563C51" w14:textId="77777777" w:rsidR="008F50DF" w:rsidRPr="00D615FB" w:rsidRDefault="008F50DF" w:rsidP="008F50DF">
      <w:pPr>
        <w:pStyle w:val="Textonotapie"/>
        <w:ind w:firstLine="708"/>
        <w:rPr>
          <w:rFonts w:ascii="Verdana" w:hAnsi="Verdana"/>
          <w:sz w:val="18"/>
          <w:szCs w:val="18"/>
        </w:rPr>
      </w:pPr>
    </w:p>
  </w:footnote>
  <w:footnote w:id="4">
    <w:p w14:paraId="2354DA0D"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093DEA69" w14:textId="77777777" w:rsidR="008F50DF" w:rsidRPr="00D615FB" w:rsidRDefault="008F50DF" w:rsidP="008F50DF">
      <w:pPr>
        <w:pStyle w:val="Textonotapie"/>
        <w:ind w:firstLine="709"/>
        <w:jc w:val="both"/>
        <w:rPr>
          <w:rFonts w:ascii="Verdana" w:hAnsi="Verdana" w:cs="Arial"/>
          <w:sz w:val="18"/>
          <w:szCs w:val="18"/>
        </w:rPr>
      </w:pPr>
    </w:p>
  </w:footnote>
  <w:footnote w:id="5">
    <w:p w14:paraId="27566EC6" w14:textId="77777777" w:rsidR="008F50DF" w:rsidRPr="00D615FB" w:rsidRDefault="008F50DF" w:rsidP="008F50DF">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En: </w:t>
      </w:r>
      <w:hyperlink r:id="rId1" w:history="1">
        <w:r w:rsidRPr="00D615FB">
          <w:rPr>
            <w:rStyle w:val="Hipervnculo"/>
            <w:rFonts w:ascii="Verdana" w:hAnsi="Verdana" w:cs="Arial"/>
            <w:sz w:val="18"/>
            <w:szCs w:val="18"/>
            <w:lang w:val="es-ES"/>
          </w:rPr>
          <w:t>https://dle.rae.es/instalar?m=form</w:t>
        </w:r>
      </w:hyperlink>
    </w:p>
    <w:p w14:paraId="39E47759" w14:textId="77777777" w:rsidR="008F50DF" w:rsidRPr="00D615FB" w:rsidRDefault="008F50DF" w:rsidP="008F50DF">
      <w:pPr>
        <w:pStyle w:val="Textonotapie"/>
        <w:ind w:firstLine="709"/>
        <w:jc w:val="both"/>
        <w:rPr>
          <w:rFonts w:ascii="Verdana" w:hAnsi="Verdana" w:cs="Arial"/>
          <w:sz w:val="18"/>
          <w:szCs w:val="18"/>
          <w:lang w:val="es-ES"/>
        </w:rPr>
      </w:pPr>
    </w:p>
  </w:footnote>
  <w:footnote w:id="6">
    <w:p w14:paraId="0CC36DDF" w14:textId="77777777" w:rsidR="008F50DF" w:rsidRPr="00D615FB" w:rsidRDefault="008F50DF" w:rsidP="008F50DF">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w:t>
      </w:r>
    </w:p>
    <w:p w14:paraId="405AC400" w14:textId="77777777" w:rsidR="008F50DF" w:rsidRPr="00D615FB" w:rsidRDefault="008F50DF" w:rsidP="008F50DF">
      <w:pPr>
        <w:pStyle w:val="Textonotapie"/>
        <w:ind w:firstLine="709"/>
        <w:jc w:val="both"/>
        <w:rPr>
          <w:rFonts w:ascii="Verdana" w:hAnsi="Verdana" w:cs="Arial"/>
          <w:sz w:val="18"/>
          <w:szCs w:val="18"/>
          <w:lang w:val="es-ES"/>
        </w:rPr>
      </w:pPr>
    </w:p>
  </w:footnote>
  <w:footnote w:id="7">
    <w:p w14:paraId="751E127B" w14:textId="77777777" w:rsidR="008F50DF" w:rsidRDefault="008F50DF" w:rsidP="008F50DF">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Ibíd.</w:t>
      </w:r>
    </w:p>
    <w:p w14:paraId="1DB7FAC3" w14:textId="77777777" w:rsidR="008F50DF" w:rsidRPr="00D615FB" w:rsidRDefault="008F50DF" w:rsidP="008F50DF">
      <w:pPr>
        <w:pStyle w:val="Textonotapie"/>
        <w:ind w:firstLine="709"/>
        <w:jc w:val="both"/>
        <w:rPr>
          <w:rFonts w:ascii="Verdana" w:hAnsi="Verdana" w:cs="Arial"/>
          <w:sz w:val="18"/>
          <w:szCs w:val="18"/>
          <w:lang w:val="es-ES"/>
        </w:rPr>
      </w:pPr>
    </w:p>
  </w:footnote>
  <w:footnote w:id="8">
    <w:p w14:paraId="361BCAE8" w14:textId="77777777" w:rsidR="008F50DF" w:rsidRPr="00D615FB" w:rsidRDefault="008F50DF" w:rsidP="008F50DF">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lang w:val="es-ES"/>
        </w:rPr>
        <w:t>Ibíd.</w:t>
      </w:r>
    </w:p>
  </w:footnote>
  <w:footnote w:id="9">
    <w:p w14:paraId="6343E55E"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En similar sentido, </w:t>
      </w:r>
      <w:r w:rsidRPr="00D615FB">
        <w:rPr>
          <w:rFonts w:ascii="Verdana" w:hAnsi="Verdana" w:cs="Arial"/>
          <w:sz w:val="18"/>
          <w:szCs w:val="18"/>
        </w:rPr>
        <w:t>SUÁREZ BELTRÁN, Gonzalo. Estudios de derecho público contractual: Bogotá: Legis, 2014. p. 238. Al respecto, también se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w:t>
      </w:r>
    </w:p>
    <w:p w14:paraId="3EC3451A" w14:textId="77777777" w:rsidR="008F50DF" w:rsidRPr="00D615FB" w:rsidRDefault="008F50DF" w:rsidP="008F50DF">
      <w:pPr>
        <w:pStyle w:val="Textonotapie"/>
        <w:ind w:firstLine="709"/>
        <w:jc w:val="both"/>
        <w:rPr>
          <w:rFonts w:ascii="Verdana" w:hAnsi="Verdana" w:cs="Arial"/>
          <w:sz w:val="18"/>
          <w:szCs w:val="18"/>
          <w:lang w:val="es-ES"/>
        </w:rPr>
      </w:pPr>
    </w:p>
  </w:footnote>
  <w:footnote w:id="10">
    <w:p w14:paraId="643EDD3F"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5ABA9BD1" w14:textId="77777777" w:rsidR="008F50DF" w:rsidRPr="00D615FB" w:rsidRDefault="008F50DF" w:rsidP="008F50DF">
      <w:pPr>
        <w:pStyle w:val="Textonotapie"/>
        <w:ind w:firstLine="709"/>
        <w:jc w:val="both"/>
        <w:rPr>
          <w:rFonts w:ascii="Verdana" w:hAnsi="Verdana" w:cs="Arial"/>
          <w:sz w:val="18"/>
          <w:szCs w:val="18"/>
          <w:lang w:val="es-ES"/>
        </w:rPr>
      </w:pPr>
    </w:p>
  </w:footnote>
  <w:footnote w:id="11">
    <w:p w14:paraId="43F88A46"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CORTE SUPREMA DE JUSTICIA. Sala de Casación Civil. Sentencia del 5 de diciembre de 1956. M.P. Pablo Emilio Manotas. Decisión publicada en el Gaceta Judicial LXXXIV, No. 2177-2180. p. 317. Este criterio se adoptó explícitamente en el derogado artículo 3.3.1.1 del Decreto 734 de 2012. Concretamente, el inciso cuarto disponía que «En el caso de que el objeto contractual incluya los servicios de consultoría y otras obligaciones principales, como por ejemplo en el caso de ejecución de proyectos que incluyen diseño y construcción de la obra, la escogencia del contratista deberá adelantarse mediante licitación pública y selección abreviada, según corresponda de conformidad con lo señalado en la ley y en el presente decreto, sin perjuicio de lo previsto para la mínima cuantía. En todo caso, el equipo de profesionales y expertos propuestos deberá ser aprobado por la entidad».</w:t>
      </w:r>
    </w:p>
    <w:p w14:paraId="30DD881B" w14:textId="77777777" w:rsidR="008F50DF" w:rsidRPr="00D615FB" w:rsidRDefault="008F50DF" w:rsidP="008F50DF">
      <w:pPr>
        <w:pStyle w:val="Textonotapie"/>
        <w:ind w:firstLine="709"/>
        <w:jc w:val="both"/>
        <w:rPr>
          <w:rFonts w:ascii="Verdana" w:hAnsi="Verdana" w:cs="Arial"/>
          <w:sz w:val="18"/>
          <w:szCs w:val="18"/>
        </w:rPr>
      </w:pPr>
    </w:p>
  </w:footnote>
  <w:footnote w:id="12">
    <w:p w14:paraId="3DBB4422"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Por ello, explica que «[…] todos estos criterios de interpretación no son, en último análisis más que especificaciones del principio de la analogía, inspiradas en las peculiaridades de cada materia. De aquí, también, que el criterio de interpretación más serio, respecto del contrato innominado mixto, es, además de la aplicación directa de las reglas generales sobre los contratos, el de la aplicación analógica de las singulares relativas al contrato nominado dado, que se manifiesten como las más adecuadas al contrato mixto que se debe interpretar, y si éstas no existen, entonces recurrir a las de la analogía iuris» (</w:t>
      </w:r>
      <w:r w:rsidRPr="00D615FB">
        <w:rPr>
          <w:rFonts w:ascii="Verdana" w:hAnsi="Verdana" w:cs="Arial"/>
          <w:i/>
          <w:iCs/>
          <w:sz w:val="18"/>
          <w:szCs w:val="18"/>
        </w:rPr>
        <w:t>ibidem</w:t>
      </w:r>
      <w:r w:rsidRPr="00D615FB">
        <w:rPr>
          <w:rFonts w:ascii="Verdana" w:hAnsi="Verdana" w:cs="Arial"/>
          <w:sz w:val="18"/>
          <w:szCs w:val="18"/>
        </w:rPr>
        <w:t>).</w:t>
      </w:r>
    </w:p>
    <w:p w14:paraId="54319B66" w14:textId="77777777" w:rsidR="008F50DF" w:rsidRPr="00D615FB" w:rsidRDefault="008F50DF" w:rsidP="008F50DF">
      <w:pPr>
        <w:pStyle w:val="Textonotapie"/>
        <w:ind w:firstLine="709"/>
        <w:jc w:val="both"/>
        <w:rPr>
          <w:rFonts w:ascii="Verdana" w:hAnsi="Verdana" w:cs="Arial"/>
          <w:sz w:val="18"/>
          <w:szCs w:val="18"/>
        </w:rPr>
      </w:pPr>
    </w:p>
  </w:footnote>
  <w:footnote w:id="13">
    <w:p w14:paraId="0E238A19" w14:textId="77777777" w:rsidR="008F50DF" w:rsidRPr="00D615FB" w:rsidRDefault="008F50DF" w:rsidP="008F50DF">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RENGIFO GARCÍA, Ernesto. Interpretación del contrato atípico a la luz de la jurisprudencia colombiana. En: Los contratos en el derecho privado. Bogotá: Legis – Universidad del Rosario, 2009. p. 48. </w:t>
      </w:r>
    </w:p>
    <w:p w14:paraId="0475A618" w14:textId="77777777" w:rsidR="008F50DF" w:rsidRPr="00D615FB" w:rsidRDefault="008F50DF" w:rsidP="008F50DF">
      <w:pPr>
        <w:pStyle w:val="Textonotapie"/>
        <w:ind w:firstLine="709"/>
        <w:jc w:val="both"/>
        <w:rPr>
          <w:rFonts w:ascii="Verdana" w:hAnsi="Verdana" w:cs="Arial"/>
          <w:sz w:val="18"/>
          <w:szCs w:val="18"/>
        </w:rPr>
      </w:pPr>
    </w:p>
  </w:footnote>
  <w:footnote w:id="14">
    <w:p w14:paraId="3071A55C" w14:textId="77777777" w:rsidR="008F50DF" w:rsidRPr="00D615FB" w:rsidRDefault="008F50DF" w:rsidP="008F50DF">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E9C"/>
    <w:rsid w:val="00082362"/>
    <w:rsid w:val="00083D4E"/>
    <w:rsid w:val="000860E7"/>
    <w:rsid w:val="000A683E"/>
    <w:rsid w:val="000B19B9"/>
    <w:rsid w:val="000D0334"/>
    <w:rsid w:val="000D5DA7"/>
    <w:rsid w:val="000F17EF"/>
    <w:rsid w:val="000F6486"/>
    <w:rsid w:val="00116940"/>
    <w:rsid w:val="00125105"/>
    <w:rsid w:val="00127233"/>
    <w:rsid w:val="0015699B"/>
    <w:rsid w:val="001973C1"/>
    <w:rsid w:val="001A33BF"/>
    <w:rsid w:val="001B159D"/>
    <w:rsid w:val="001E4177"/>
    <w:rsid w:val="001F0B24"/>
    <w:rsid w:val="001F2FFA"/>
    <w:rsid w:val="001F7DC6"/>
    <w:rsid w:val="0022400B"/>
    <w:rsid w:val="00233A69"/>
    <w:rsid w:val="00237F79"/>
    <w:rsid w:val="002421BB"/>
    <w:rsid w:val="0025796E"/>
    <w:rsid w:val="002707A2"/>
    <w:rsid w:val="002951A0"/>
    <w:rsid w:val="002962BC"/>
    <w:rsid w:val="0029772E"/>
    <w:rsid w:val="002A093D"/>
    <w:rsid w:val="002A0DD0"/>
    <w:rsid w:val="002A49AC"/>
    <w:rsid w:val="002A53D1"/>
    <w:rsid w:val="002A64FD"/>
    <w:rsid w:val="002C4FF6"/>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5051"/>
    <w:rsid w:val="0042722E"/>
    <w:rsid w:val="0044528D"/>
    <w:rsid w:val="00466E39"/>
    <w:rsid w:val="004A1847"/>
    <w:rsid w:val="004A305D"/>
    <w:rsid w:val="004D7755"/>
    <w:rsid w:val="004E2536"/>
    <w:rsid w:val="004F21C4"/>
    <w:rsid w:val="004F685F"/>
    <w:rsid w:val="005566E8"/>
    <w:rsid w:val="00574867"/>
    <w:rsid w:val="00591460"/>
    <w:rsid w:val="005A65E0"/>
    <w:rsid w:val="005C3777"/>
    <w:rsid w:val="005C5CDC"/>
    <w:rsid w:val="005D476C"/>
    <w:rsid w:val="006200BF"/>
    <w:rsid w:val="006219F8"/>
    <w:rsid w:val="00624D56"/>
    <w:rsid w:val="006302F7"/>
    <w:rsid w:val="00646B9F"/>
    <w:rsid w:val="00665D70"/>
    <w:rsid w:val="006900D9"/>
    <w:rsid w:val="006D0669"/>
    <w:rsid w:val="006F7034"/>
    <w:rsid w:val="00706C16"/>
    <w:rsid w:val="007340C3"/>
    <w:rsid w:val="0075235A"/>
    <w:rsid w:val="00756841"/>
    <w:rsid w:val="007649AB"/>
    <w:rsid w:val="00771D0C"/>
    <w:rsid w:val="007828D2"/>
    <w:rsid w:val="007833AC"/>
    <w:rsid w:val="007877B3"/>
    <w:rsid w:val="007A37E1"/>
    <w:rsid w:val="007B268C"/>
    <w:rsid w:val="007B7171"/>
    <w:rsid w:val="007C0C0F"/>
    <w:rsid w:val="007C284E"/>
    <w:rsid w:val="007C3AF1"/>
    <w:rsid w:val="007C3DC2"/>
    <w:rsid w:val="007E5497"/>
    <w:rsid w:val="00806F5F"/>
    <w:rsid w:val="00820278"/>
    <w:rsid w:val="008258C9"/>
    <w:rsid w:val="00844AE9"/>
    <w:rsid w:val="00867F95"/>
    <w:rsid w:val="008843B6"/>
    <w:rsid w:val="00891928"/>
    <w:rsid w:val="008A446D"/>
    <w:rsid w:val="008B25F1"/>
    <w:rsid w:val="008D180B"/>
    <w:rsid w:val="008E1262"/>
    <w:rsid w:val="008F0EA7"/>
    <w:rsid w:val="008F50DF"/>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5DD2"/>
    <w:rsid w:val="00AB0ADB"/>
    <w:rsid w:val="00AF5B37"/>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56A0E"/>
    <w:rsid w:val="00C754BE"/>
    <w:rsid w:val="00C76B1C"/>
    <w:rsid w:val="00C925AC"/>
    <w:rsid w:val="00CB6357"/>
    <w:rsid w:val="00CC1B26"/>
    <w:rsid w:val="00CE1BE5"/>
    <w:rsid w:val="00D361FD"/>
    <w:rsid w:val="00D423A2"/>
    <w:rsid w:val="00D44E26"/>
    <w:rsid w:val="00D520D8"/>
    <w:rsid w:val="00D63AC2"/>
    <w:rsid w:val="00D7383B"/>
    <w:rsid w:val="00D7788A"/>
    <w:rsid w:val="00DA231B"/>
    <w:rsid w:val="00DC39FC"/>
    <w:rsid w:val="00DF5254"/>
    <w:rsid w:val="00E02524"/>
    <w:rsid w:val="00E138CB"/>
    <w:rsid w:val="00E16408"/>
    <w:rsid w:val="00E20894"/>
    <w:rsid w:val="00E245AB"/>
    <w:rsid w:val="00E2764C"/>
    <w:rsid w:val="00E27F2E"/>
    <w:rsid w:val="00E50AFE"/>
    <w:rsid w:val="00E620F1"/>
    <w:rsid w:val="00E75C92"/>
    <w:rsid w:val="00E771DC"/>
    <w:rsid w:val="00E8772A"/>
    <w:rsid w:val="00E90F6B"/>
    <w:rsid w:val="00E92C27"/>
    <w:rsid w:val="00EA0E3D"/>
    <w:rsid w:val="00EB3208"/>
    <w:rsid w:val="00EC38A7"/>
    <w:rsid w:val="00EE1AA8"/>
    <w:rsid w:val="00F23FEA"/>
    <w:rsid w:val="00F31EDC"/>
    <w:rsid w:val="00F3251F"/>
    <w:rsid w:val="00F462B3"/>
    <w:rsid w:val="00F5424E"/>
    <w:rsid w:val="00F5664F"/>
    <w:rsid w:val="00F62DFB"/>
    <w:rsid w:val="00F666C4"/>
    <w:rsid w:val="00F673C9"/>
    <w:rsid w:val="00F76AFC"/>
    <w:rsid w:val="00FA47C0"/>
    <w:rsid w:val="00FB5DD1"/>
    <w:rsid w:val="00FC2B5D"/>
    <w:rsid w:val="00FF1449"/>
    <w:rsid w:val="00FF7963"/>
    <w:rsid w:val="071B8F93"/>
    <w:rsid w:val="07C73DD1"/>
    <w:rsid w:val="09908A09"/>
    <w:rsid w:val="0EFE6349"/>
    <w:rsid w:val="0FF4CCA8"/>
    <w:rsid w:val="13CFC91B"/>
    <w:rsid w:val="14E3E404"/>
    <w:rsid w:val="19A2EC2C"/>
    <w:rsid w:val="21779BE6"/>
    <w:rsid w:val="2859CA1B"/>
    <w:rsid w:val="2C4D2425"/>
    <w:rsid w:val="2EE1E026"/>
    <w:rsid w:val="30821638"/>
    <w:rsid w:val="32A4F9CF"/>
    <w:rsid w:val="33A1FF93"/>
    <w:rsid w:val="356CEDFD"/>
    <w:rsid w:val="3C591AFD"/>
    <w:rsid w:val="42183F0A"/>
    <w:rsid w:val="4669E175"/>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23D180C-075B-445A-94B6-F355E08A5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F5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F50D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instalar?m=fo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DD721F-0B6E-4A73-9976-DCAF7A868B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27</Pages>
  <Words>8662</Words>
  <Characters>48594</Characters>
  <Application>Microsoft Office Word</Application>
  <DocSecurity>0</DocSecurity>
  <Lines>916</Lines>
  <Paragraphs>175</Paragraphs>
  <ScaleCrop>false</ScaleCrop>
  <Company/>
  <LinksUpToDate>false</LinksUpToDate>
  <CharactersWithSpaces>57081</CharactersWithSpaces>
  <SharedDoc>false</SharedDoc>
  <HLinks>
    <vt:vector size="36"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ariant>
        <vt:i4>7667809</vt:i4>
      </vt:variant>
      <vt:variant>
        <vt:i4>0</vt:i4>
      </vt:variant>
      <vt:variant>
        <vt:i4>0</vt:i4>
      </vt:variant>
      <vt:variant>
        <vt:i4>5</vt:i4>
      </vt:variant>
      <vt:variant>
        <vt:lpwstr>https://dle.rae.es/instalar?m=form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2023-01-11T03:18:00Z</cp:lastPrinted>
  <dcterms:created xsi:type="dcterms:W3CDTF">2026-04-06T15:19:00Z</dcterms:created>
  <dcterms:modified xsi:type="dcterms:W3CDTF">2026-04-09T14:02:00Z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