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53741" w14:textId="77777777" w:rsidR="00FD6EC2" w:rsidRPr="00B54378" w:rsidRDefault="00FD6EC2" w:rsidP="00FD6EC2">
      <w:pPr>
        <w:spacing w:after="0" w:line="240" w:lineRule="auto"/>
        <w:jc w:val="both"/>
        <w:rPr>
          <w:rFonts w:ascii="Verdana" w:eastAsia="Calibri" w:hAnsi="Verdana" w:cs="Arial"/>
          <w:b/>
          <w:bCs/>
        </w:rPr>
      </w:pPr>
      <w:bookmarkStart w:id="0" w:name="_Hlk143780582"/>
      <w:r w:rsidRPr="00B54378">
        <w:rPr>
          <w:rFonts w:ascii="Verdana" w:eastAsia="Calibri" w:hAnsi="Verdana" w:cs="Arial"/>
          <w:b/>
          <w:bCs/>
        </w:rPr>
        <w:t xml:space="preserve">CONTRATO DE PRESTACIÓN DE SERVICIOS – Concepto – Modalidad de selección – Características </w:t>
      </w:r>
    </w:p>
    <w:p w14:paraId="3B05AACE" w14:textId="77777777" w:rsidR="00FD6EC2" w:rsidRPr="00B54378" w:rsidRDefault="00FD6EC2" w:rsidP="00FD6EC2">
      <w:pPr>
        <w:spacing w:after="0" w:line="240" w:lineRule="auto"/>
        <w:rPr>
          <w:rFonts w:ascii="Verdana" w:eastAsia="Calibri" w:hAnsi="Verdana" w:cs="Arial"/>
        </w:rPr>
      </w:pPr>
    </w:p>
    <w:p w14:paraId="637673C8" w14:textId="77777777" w:rsidR="00FD6EC2" w:rsidRPr="00B54378" w:rsidRDefault="00FD6EC2" w:rsidP="00FD6EC2">
      <w:pPr>
        <w:spacing w:after="0" w:line="240" w:lineRule="auto"/>
        <w:jc w:val="both"/>
        <w:rPr>
          <w:rFonts w:ascii="Verdana" w:eastAsia="Calibri" w:hAnsi="Verdana" w:cs="Arial"/>
          <w:sz w:val="20"/>
          <w:szCs w:val="20"/>
        </w:rPr>
      </w:pPr>
      <w:r w:rsidRPr="00B54378">
        <w:rPr>
          <w:rFonts w:ascii="Verdana" w:hAnsi="Verdana" w:cs="Arial"/>
          <w:color w:val="000000" w:themeColor="text1"/>
          <w:sz w:val="20"/>
          <w:szCs w:val="20"/>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B54378">
        <w:rPr>
          <w:rFonts w:ascii="Verdana" w:eastAsia="Calibri" w:hAnsi="Verdana" w:cs="Arial"/>
          <w:color w:val="000000" w:themeColor="text1"/>
          <w:sz w:val="20"/>
          <w:szCs w:val="20"/>
          <w:lang w:val="es-ES_tradnl"/>
        </w:rPr>
        <w:t xml:space="preserve"> La celebración de dicho contrato debe efectuarse a través de la modalidad de contratación directa.</w:t>
      </w:r>
    </w:p>
    <w:p w14:paraId="52449C6B" w14:textId="77777777" w:rsidR="00FD6EC2" w:rsidRPr="00B54378" w:rsidRDefault="00FD6EC2" w:rsidP="00FD6EC2">
      <w:pPr>
        <w:spacing w:after="0" w:line="240" w:lineRule="auto"/>
        <w:rPr>
          <w:rFonts w:ascii="Verdana" w:eastAsia="Calibri" w:hAnsi="Verdana" w:cs="Arial"/>
          <w:sz w:val="20"/>
          <w:szCs w:val="20"/>
        </w:rPr>
      </w:pPr>
      <w:r w:rsidRPr="00B54378">
        <w:rPr>
          <w:rFonts w:ascii="Verdana" w:eastAsia="Calibri" w:hAnsi="Verdana" w:cs="Arial"/>
          <w:sz w:val="20"/>
          <w:szCs w:val="20"/>
        </w:rPr>
        <w:t>[…]</w:t>
      </w:r>
    </w:p>
    <w:p w14:paraId="2D3189C4" w14:textId="77777777" w:rsidR="00FD6EC2" w:rsidRPr="00B54378" w:rsidRDefault="00FD6EC2" w:rsidP="00FD6EC2">
      <w:pPr>
        <w:spacing w:after="0" w:line="240" w:lineRule="auto"/>
        <w:jc w:val="both"/>
        <w:rPr>
          <w:rFonts w:ascii="Verdana" w:eastAsia="Calibri" w:hAnsi="Verdana" w:cs="Arial"/>
          <w:sz w:val="20"/>
          <w:szCs w:val="20"/>
        </w:rPr>
      </w:pPr>
      <w:r w:rsidRPr="00B54378">
        <w:rPr>
          <w:rFonts w:ascii="Verdana" w:eastAsia="Calibri" w:hAnsi="Verdana" w:cs="Arial"/>
          <w:sz w:val="20"/>
          <w:szCs w:val="20"/>
        </w:rPr>
        <w:t>[…] de la Sentencia de Unificación Jurisprudencial del 9 de septiembre de 2021, proferida por el Consejo de Estado, es posible señalar las siguientes características del contrato de prestación de servicios: i)</w:t>
      </w:r>
      <w:r w:rsidRPr="00B54378">
        <w:rPr>
          <w:rFonts w:ascii="Verdana" w:hAnsi="Verdana" w:cs="Arial"/>
          <w:noProof/>
          <w:sz w:val="20"/>
          <w:szCs w:val="20"/>
          <w:lang w:val="es-ES_tradnl"/>
        </w:rPr>
        <w:t xml:space="preserve"> Solo puede celebrarse para realizar «actividades relacionadas con la administración o funcionamiento de la entidad» […]. ii) Respecto del tipo de personas que pueden ser contratadas, admite que se suscriba con personas naturales o jurídicas.iii) Si bien se celebran para obtener la prestación personal de un servicio, se diferencian del contrato de trabajo en que quien celebra el contrato de prestación de servicios debe mantener autonomía e independencia en la ejecución de la labor […]; iv)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vii) El contrato admite la inclusión de cláusulas excepcionales.viii) No es obligatoria la liquidación de estos contratos, como lo establece el artículo 217 del Decreto 019 de 2012, que modificó el artículo 60 de la Ley 80 de 1993. ix) Para su celebración el contratista no requiere estar inscrito en el Registro Único de Proponentes –RUP–, como lo señala el artículo 6 de la Ley 1150 de 2007. x) No es obligtoria la exigencia de garantías. xi) Como los demás contratos estatales, se trata de un contrato solemne que debe constar por escrito y debe ser publicado en el SECOP. xii)</w:t>
      </w:r>
      <w:r w:rsidRPr="00B54378">
        <w:rPr>
          <w:rFonts w:ascii="Verdana" w:hAnsi="Verdana" w:cs="Arial"/>
          <w:color w:val="000000" w:themeColor="text1"/>
          <w:sz w:val="20"/>
          <w:szCs w:val="20"/>
          <w:lang w:val="es-ES"/>
        </w:rPr>
        <w:t xml:space="preserve"> C</w:t>
      </w:r>
      <w:r w:rsidRPr="00B54378">
        <w:rPr>
          <w:rFonts w:ascii="Verdana" w:hAnsi="Verdana" w:cs="Arial"/>
          <w:color w:val="000000" w:themeColor="text1"/>
          <w:sz w:val="20"/>
          <w:szCs w:val="20"/>
          <w:lang w:val="es-MX"/>
        </w:rPr>
        <w:t xml:space="preserve">omo especies del género prestación de servicios, se incluyen </w:t>
      </w:r>
      <w:r w:rsidRPr="00B54378">
        <w:rPr>
          <w:rFonts w:ascii="Verdana" w:hAnsi="Verdana" w:cs="Arial"/>
          <w:color w:val="000000" w:themeColor="text1"/>
          <w:sz w:val="20"/>
          <w:szCs w:val="20"/>
          <w:lang w:val="es-ES_tradnl"/>
        </w:rPr>
        <w:t>los contratos de prestación de servicios profesionales, los contratos de prestación de servicios de apoyo a la gestión y los contratos de prestación de servicios artísticos que solo pueden encomendarse a determinadas personas naturales.</w:t>
      </w:r>
    </w:p>
    <w:p w14:paraId="607EF653" w14:textId="77777777" w:rsidR="00FD6EC2" w:rsidRPr="00B54378" w:rsidRDefault="00FD6EC2" w:rsidP="00FD6EC2">
      <w:pPr>
        <w:spacing w:after="0" w:line="240" w:lineRule="auto"/>
        <w:rPr>
          <w:rFonts w:ascii="Verdana" w:eastAsia="Geomanist Light" w:hAnsi="Verdana" w:cs="Arial"/>
          <w:sz w:val="20"/>
          <w:szCs w:val="20"/>
          <w:lang w:val="es-MX"/>
        </w:rPr>
      </w:pPr>
    </w:p>
    <w:p w14:paraId="01BCAAFE" w14:textId="77777777" w:rsidR="00FD6EC2" w:rsidRPr="00B54378" w:rsidRDefault="00FD6EC2" w:rsidP="00FD6EC2">
      <w:pPr>
        <w:spacing w:after="0" w:line="240" w:lineRule="auto"/>
        <w:jc w:val="both"/>
        <w:rPr>
          <w:rFonts w:ascii="Verdana" w:eastAsia="Geomanist Light" w:hAnsi="Verdana" w:cs="Arial"/>
          <w:b/>
          <w:bCs/>
          <w:lang w:val="es-MX"/>
        </w:rPr>
      </w:pPr>
      <w:r w:rsidRPr="00B54378">
        <w:rPr>
          <w:rFonts w:ascii="Verdana" w:eastAsia="Geomanist Light" w:hAnsi="Verdana" w:cs="Arial"/>
          <w:b/>
          <w:bCs/>
          <w:lang w:val="es-MX"/>
        </w:rPr>
        <w:t>CONTRATO DE PRESTACIÓN DE SERVICIOS – Factibilidad – Celebración – Mínima cuantía</w:t>
      </w:r>
    </w:p>
    <w:p w14:paraId="3DF887C6" w14:textId="77777777" w:rsidR="00FD6EC2" w:rsidRPr="00B54378" w:rsidRDefault="00FD6EC2" w:rsidP="00FD6EC2">
      <w:pPr>
        <w:spacing w:after="0" w:line="240" w:lineRule="auto"/>
        <w:rPr>
          <w:rFonts w:ascii="Verdana" w:eastAsia="Geomanist Light" w:hAnsi="Verdana" w:cs="Arial"/>
          <w:sz w:val="20"/>
          <w:szCs w:val="20"/>
          <w:lang w:val="es-MX"/>
        </w:rPr>
      </w:pPr>
    </w:p>
    <w:p w14:paraId="027D84F0" w14:textId="77777777" w:rsidR="00FD6EC2" w:rsidRPr="00B54378" w:rsidRDefault="00FD6EC2" w:rsidP="00FD6EC2">
      <w:pPr>
        <w:spacing w:after="0" w:line="240" w:lineRule="auto"/>
        <w:jc w:val="both"/>
        <w:rPr>
          <w:rFonts w:ascii="Verdana" w:eastAsia="Geomanist Light" w:hAnsi="Verdana" w:cs="Arial"/>
          <w:sz w:val="20"/>
          <w:szCs w:val="20"/>
          <w:lang w:val="es-MX"/>
        </w:rPr>
      </w:pPr>
      <w:r w:rsidRPr="00B54378">
        <w:rPr>
          <w:rFonts w:ascii="Verdana" w:eastAsia="Geomanist Light" w:hAnsi="Verdana" w:cs="Arial"/>
          <w:sz w:val="20"/>
          <w:szCs w:val="20"/>
          <w:lang w:val="es-MX"/>
        </w:rPr>
        <w:t xml:space="preserve">[…] dentro del marco legal dispuesto por el legislador en el artículo 2 de la Ley 1150 de 2011, las Entidades Estatales deben al momento de estructurar sus procesos de contratación, ceñirse a las situaciones fácticas y jurídicas allí dispuestas para aplicar una determinada modalidad de selección. En ese sentido, para la adquisición de prestación de servicios profesionales, de apoyo a la gestión o la ejecución de trabajos artísticos, las entidades deben adelantar el proceso de selección mediante la modalidad de </w:t>
      </w:r>
      <w:r w:rsidRPr="00B54378">
        <w:rPr>
          <w:rFonts w:ascii="Verdana" w:eastAsia="Geomanist Light" w:hAnsi="Verdana" w:cs="Arial"/>
          <w:sz w:val="20"/>
          <w:szCs w:val="20"/>
          <w:lang w:val="es-MX"/>
        </w:rPr>
        <w:lastRenderedPageBreak/>
        <w:t>contratación directa, sin distinción de la cuantía u objeto, pues esta es la forma señalada en el literal h), del numeral 4, del artículo 2 de la Ley 1150 de 2011.</w:t>
      </w:r>
    </w:p>
    <w:p w14:paraId="246192AD" w14:textId="77777777" w:rsidR="00FD6EC2" w:rsidRPr="00B54378" w:rsidRDefault="00FD6EC2" w:rsidP="00FD6EC2">
      <w:pPr>
        <w:spacing w:after="0" w:line="240" w:lineRule="auto"/>
        <w:jc w:val="both"/>
        <w:rPr>
          <w:rFonts w:ascii="Verdana" w:eastAsia="Geomanist Light" w:hAnsi="Verdana" w:cs="Arial"/>
          <w:sz w:val="20"/>
          <w:szCs w:val="20"/>
          <w:lang w:val="es-MX"/>
        </w:rPr>
      </w:pPr>
      <w:r w:rsidRPr="00B54378">
        <w:rPr>
          <w:rFonts w:ascii="Verdana" w:eastAsia="Geomanist Light" w:hAnsi="Verdana" w:cs="Arial"/>
          <w:sz w:val="20"/>
          <w:szCs w:val="20"/>
          <w:lang w:val="es-MX"/>
        </w:rPr>
        <w:t>La anterior precisión resulta relevante, puesto que, si bien la modalidad de selección de mínima cuantía dispuesta en el numeral 5 del artículo 2 ibidem, permite “la contratación cuyo valor no excede del [diez] 10 por ciento de la menor cuantía de la entidad independientemente de su objeto […]”, no puede entenderse como una legitimación para contratar cualquier bien, obra o servicio mediante esta bajo el supuesto de que se encausa en el factor determinante de la “cuantía”, pues como se indicó, las Entidades Estatales deben observar al momento de identificar la necesidad que pretenden satisfacer, las situaciones fácticas y jurídicas previamente dispuestas en la ley para adelantar un proceso de contratación a través de una determinada modalidad de selección.</w:t>
      </w:r>
    </w:p>
    <w:p w14:paraId="4E44C620" w14:textId="77777777" w:rsidR="00FD6EC2" w:rsidRPr="00B54378" w:rsidRDefault="00FD6EC2" w:rsidP="00FD6EC2">
      <w:pPr>
        <w:spacing w:after="0" w:line="240" w:lineRule="auto"/>
        <w:rPr>
          <w:rFonts w:ascii="Verdana" w:eastAsia="Geomanist Light" w:hAnsi="Verdana" w:cs="Arial"/>
          <w:sz w:val="20"/>
          <w:szCs w:val="20"/>
          <w:lang w:val="es-MX"/>
        </w:rPr>
      </w:pPr>
    </w:p>
    <w:p w14:paraId="3F718AD9" w14:textId="77777777" w:rsidR="00FD6EC2" w:rsidRPr="00B54378" w:rsidRDefault="00FD6EC2" w:rsidP="00FD6EC2">
      <w:pPr>
        <w:spacing w:after="0" w:line="240" w:lineRule="auto"/>
        <w:rPr>
          <w:rFonts w:ascii="Verdana" w:eastAsia="Geomanist Light" w:hAnsi="Verdana" w:cs="Arial"/>
          <w:sz w:val="20"/>
          <w:szCs w:val="20"/>
          <w:lang w:val="es-MX"/>
        </w:rPr>
      </w:pPr>
    </w:p>
    <w:p w14:paraId="01E87CC7" w14:textId="77777777" w:rsidR="00FD6EC2" w:rsidRPr="00B54378" w:rsidRDefault="00FD6EC2" w:rsidP="00FD6EC2">
      <w:pPr>
        <w:spacing w:after="0" w:line="240" w:lineRule="auto"/>
        <w:rPr>
          <w:rFonts w:ascii="Verdana" w:eastAsia="Geomanist Light" w:hAnsi="Verdana" w:cs="Arial"/>
          <w:sz w:val="20"/>
          <w:szCs w:val="20"/>
          <w:lang w:val="es-MX"/>
        </w:rPr>
      </w:pPr>
    </w:p>
    <w:p w14:paraId="4F079EE1" w14:textId="77777777" w:rsidR="00FD6EC2" w:rsidRPr="00B54378" w:rsidRDefault="00FD6EC2" w:rsidP="00FD6EC2">
      <w:pPr>
        <w:spacing w:after="0" w:line="240" w:lineRule="auto"/>
        <w:rPr>
          <w:rFonts w:ascii="Verdana" w:eastAsia="Geomanist Light" w:hAnsi="Verdana" w:cs="Arial"/>
          <w:sz w:val="20"/>
          <w:szCs w:val="20"/>
          <w:lang w:val="es-MX"/>
        </w:rPr>
      </w:pPr>
    </w:p>
    <w:p w14:paraId="72670D9B" w14:textId="77777777" w:rsidR="00FD6EC2" w:rsidRPr="00B54378" w:rsidRDefault="00FD6EC2" w:rsidP="00FD6EC2">
      <w:pPr>
        <w:spacing w:after="0" w:line="240" w:lineRule="auto"/>
        <w:rPr>
          <w:rFonts w:ascii="Verdana" w:eastAsia="Geomanist Light" w:hAnsi="Verdana" w:cs="Arial"/>
          <w:sz w:val="20"/>
          <w:szCs w:val="20"/>
          <w:lang w:val="es-MX"/>
        </w:rPr>
      </w:pPr>
    </w:p>
    <w:p w14:paraId="7681EB6A" w14:textId="77777777" w:rsidR="00FD6EC2" w:rsidRPr="00B54378" w:rsidRDefault="00FD6EC2" w:rsidP="00FD6EC2">
      <w:pPr>
        <w:spacing w:after="0" w:line="240" w:lineRule="auto"/>
        <w:rPr>
          <w:rFonts w:ascii="Verdana" w:eastAsia="Geomanist Light" w:hAnsi="Verdana" w:cs="Arial"/>
          <w:sz w:val="20"/>
          <w:szCs w:val="20"/>
          <w:lang w:val="es-MX"/>
        </w:rPr>
      </w:pPr>
    </w:p>
    <w:p w14:paraId="7131484D" w14:textId="77777777" w:rsidR="00FD6EC2" w:rsidRPr="00B54378" w:rsidRDefault="00FD6EC2" w:rsidP="00FD6EC2">
      <w:pPr>
        <w:spacing w:after="0" w:line="240" w:lineRule="auto"/>
        <w:rPr>
          <w:rFonts w:ascii="Verdana" w:eastAsia="Geomanist Light" w:hAnsi="Verdana" w:cs="Arial"/>
          <w:sz w:val="20"/>
          <w:szCs w:val="20"/>
          <w:lang w:val="es-MX"/>
        </w:rPr>
      </w:pPr>
    </w:p>
    <w:p w14:paraId="0AAFA97D" w14:textId="77777777" w:rsidR="00FD6EC2" w:rsidRPr="00B54378" w:rsidRDefault="00FD6EC2" w:rsidP="00FD6EC2">
      <w:pPr>
        <w:spacing w:after="0" w:line="240" w:lineRule="auto"/>
        <w:rPr>
          <w:rFonts w:ascii="Verdana" w:eastAsia="Geomanist Light" w:hAnsi="Verdana" w:cs="Arial"/>
          <w:sz w:val="20"/>
          <w:szCs w:val="20"/>
          <w:lang w:val="es-MX"/>
        </w:rPr>
      </w:pPr>
    </w:p>
    <w:p w14:paraId="1005C919" w14:textId="77777777" w:rsidR="00FD6EC2" w:rsidRPr="00B54378" w:rsidRDefault="00FD6EC2" w:rsidP="00FD6EC2">
      <w:pPr>
        <w:spacing w:after="0" w:line="240" w:lineRule="auto"/>
        <w:rPr>
          <w:rFonts w:ascii="Verdana" w:eastAsia="Geomanist Light" w:hAnsi="Verdana" w:cs="Arial"/>
          <w:sz w:val="20"/>
          <w:szCs w:val="20"/>
          <w:lang w:val="es-MX"/>
        </w:rPr>
      </w:pPr>
    </w:p>
    <w:p w14:paraId="49008FC2" w14:textId="77777777" w:rsidR="00FD6EC2" w:rsidRPr="00B54378" w:rsidRDefault="00FD6EC2" w:rsidP="00FD6EC2">
      <w:pPr>
        <w:spacing w:after="0" w:line="240" w:lineRule="auto"/>
        <w:rPr>
          <w:rFonts w:ascii="Verdana" w:eastAsia="Geomanist Light" w:hAnsi="Verdana" w:cs="Arial"/>
          <w:sz w:val="20"/>
          <w:szCs w:val="20"/>
          <w:lang w:val="es-MX"/>
        </w:rPr>
      </w:pPr>
    </w:p>
    <w:p w14:paraId="3597F0DA" w14:textId="77777777" w:rsidR="00FD6EC2" w:rsidRPr="00B54378" w:rsidRDefault="00FD6EC2" w:rsidP="00FD6EC2">
      <w:pPr>
        <w:spacing w:after="0" w:line="240" w:lineRule="auto"/>
        <w:rPr>
          <w:rFonts w:ascii="Verdana" w:eastAsia="Geomanist Light" w:hAnsi="Verdana" w:cs="Arial"/>
          <w:sz w:val="20"/>
          <w:szCs w:val="20"/>
          <w:lang w:val="es-MX"/>
        </w:rPr>
      </w:pPr>
    </w:p>
    <w:p w14:paraId="20FF99D6" w14:textId="77777777" w:rsidR="00FD6EC2" w:rsidRPr="00B54378" w:rsidRDefault="00FD6EC2" w:rsidP="00FD6EC2">
      <w:pPr>
        <w:spacing w:after="0" w:line="240" w:lineRule="auto"/>
        <w:rPr>
          <w:rFonts w:ascii="Verdana" w:eastAsia="Geomanist Light" w:hAnsi="Verdana" w:cs="Arial"/>
          <w:sz w:val="20"/>
          <w:szCs w:val="20"/>
          <w:lang w:val="es-MX"/>
        </w:rPr>
      </w:pPr>
    </w:p>
    <w:p w14:paraId="08BD7AE4" w14:textId="77777777" w:rsidR="00FD6EC2" w:rsidRPr="00B54378" w:rsidRDefault="00FD6EC2" w:rsidP="00FD6EC2">
      <w:pPr>
        <w:spacing w:after="0" w:line="240" w:lineRule="auto"/>
        <w:rPr>
          <w:rFonts w:ascii="Verdana" w:eastAsia="Geomanist Light" w:hAnsi="Verdana" w:cs="Arial"/>
          <w:sz w:val="20"/>
          <w:szCs w:val="20"/>
          <w:lang w:val="es-MX"/>
        </w:rPr>
      </w:pPr>
    </w:p>
    <w:p w14:paraId="68202FA1" w14:textId="77777777" w:rsidR="00FD6EC2" w:rsidRPr="00B54378" w:rsidRDefault="00FD6EC2" w:rsidP="00FD6EC2">
      <w:pPr>
        <w:spacing w:after="0" w:line="240" w:lineRule="auto"/>
        <w:rPr>
          <w:rFonts w:ascii="Verdana" w:eastAsia="Geomanist Light" w:hAnsi="Verdana" w:cs="Arial"/>
          <w:sz w:val="20"/>
          <w:szCs w:val="20"/>
          <w:lang w:val="es-MX"/>
        </w:rPr>
      </w:pPr>
    </w:p>
    <w:p w14:paraId="35D0132C" w14:textId="77777777" w:rsidR="00FD6EC2" w:rsidRPr="00B54378" w:rsidRDefault="00FD6EC2" w:rsidP="00FD6EC2">
      <w:pPr>
        <w:spacing w:after="0" w:line="240" w:lineRule="auto"/>
        <w:rPr>
          <w:rFonts w:ascii="Verdana" w:eastAsia="Geomanist Light" w:hAnsi="Verdana" w:cs="Arial"/>
          <w:sz w:val="20"/>
          <w:szCs w:val="20"/>
          <w:lang w:val="es-MX"/>
        </w:rPr>
      </w:pPr>
    </w:p>
    <w:p w14:paraId="0A7C571B" w14:textId="77777777" w:rsidR="00FD6EC2" w:rsidRPr="00B54378" w:rsidRDefault="00FD6EC2" w:rsidP="00FD6EC2">
      <w:pPr>
        <w:spacing w:after="0" w:line="240" w:lineRule="auto"/>
        <w:rPr>
          <w:rFonts w:ascii="Verdana" w:eastAsia="Geomanist Light" w:hAnsi="Verdana" w:cs="Arial"/>
          <w:sz w:val="20"/>
          <w:szCs w:val="20"/>
          <w:lang w:val="es-MX"/>
        </w:rPr>
      </w:pPr>
    </w:p>
    <w:p w14:paraId="5F264B4C" w14:textId="77777777" w:rsidR="00FD6EC2" w:rsidRPr="00B54378" w:rsidRDefault="00FD6EC2" w:rsidP="00FD6EC2">
      <w:pPr>
        <w:spacing w:after="0" w:line="240" w:lineRule="auto"/>
        <w:rPr>
          <w:rFonts w:ascii="Verdana" w:eastAsia="Geomanist Light" w:hAnsi="Verdana" w:cs="Arial"/>
          <w:sz w:val="20"/>
          <w:szCs w:val="20"/>
          <w:lang w:val="es-MX"/>
        </w:rPr>
      </w:pPr>
    </w:p>
    <w:p w14:paraId="5B238E0E" w14:textId="77777777" w:rsidR="00FD6EC2" w:rsidRPr="00B54378" w:rsidRDefault="00FD6EC2" w:rsidP="00FD6EC2">
      <w:pPr>
        <w:spacing w:after="0" w:line="240" w:lineRule="auto"/>
        <w:rPr>
          <w:rFonts w:ascii="Verdana" w:eastAsia="Geomanist Light" w:hAnsi="Verdana" w:cs="Arial"/>
          <w:sz w:val="20"/>
          <w:szCs w:val="20"/>
          <w:lang w:val="es-MX"/>
        </w:rPr>
      </w:pPr>
    </w:p>
    <w:p w14:paraId="7E0D9B0E" w14:textId="77777777" w:rsidR="00FD6EC2" w:rsidRPr="00B54378" w:rsidRDefault="00FD6EC2" w:rsidP="00FD6EC2">
      <w:pPr>
        <w:spacing w:after="0" w:line="240" w:lineRule="auto"/>
        <w:rPr>
          <w:rFonts w:ascii="Verdana" w:eastAsia="Geomanist Light" w:hAnsi="Verdana" w:cs="Arial"/>
          <w:sz w:val="20"/>
          <w:szCs w:val="20"/>
          <w:lang w:val="es-MX"/>
        </w:rPr>
      </w:pPr>
    </w:p>
    <w:p w14:paraId="6B025E78" w14:textId="77777777" w:rsidR="00FD6EC2" w:rsidRPr="00B54378" w:rsidRDefault="00FD6EC2" w:rsidP="00FD6EC2">
      <w:pPr>
        <w:spacing w:after="0" w:line="240" w:lineRule="auto"/>
        <w:rPr>
          <w:rFonts w:ascii="Verdana" w:eastAsia="Geomanist Light" w:hAnsi="Verdana" w:cs="Arial"/>
          <w:sz w:val="20"/>
          <w:szCs w:val="20"/>
          <w:lang w:val="es-MX"/>
        </w:rPr>
      </w:pPr>
    </w:p>
    <w:p w14:paraId="54EF217F" w14:textId="77777777" w:rsidR="00FD6EC2" w:rsidRPr="00B54378" w:rsidRDefault="00FD6EC2" w:rsidP="00FD6EC2">
      <w:pPr>
        <w:spacing w:after="0" w:line="240" w:lineRule="auto"/>
        <w:rPr>
          <w:rFonts w:ascii="Verdana" w:eastAsia="Geomanist Light" w:hAnsi="Verdana" w:cs="Arial"/>
          <w:sz w:val="20"/>
          <w:szCs w:val="20"/>
          <w:lang w:val="es-MX"/>
        </w:rPr>
      </w:pPr>
    </w:p>
    <w:p w14:paraId="74E4E15F" w14:textId="77777777" w:rsidR="00FD6EC2" w:rsidRPr="00B54378" w:rsidRDefault="00FD6EC2" w:rsidP="00FD6EC2">
      <w:pPr>
        <w:spacing w:after="0" w:line="240" w:lineRule="auto"/>
        <w:rPr>
          <w:rFonts w:ascii="Verdana" w:eastAsia="Geomanist Light" w:hAnsi="Verdana" w:cs="Arial"/>
          <w:sz w:val="20"/>
          <w:szCs w:val="20"/>
          <w:lang w:val="es-MX"/>
        </w:rPr>
      </w:pPr>
    </w:p>
    <w:p w14:paraId="0BA6EA5B" w14:textId="77777777" w:rsidR="00FD6EC2" w:rsidRPr="00B54378" w:rsidRDefault="00FD6EC2" w:rsidP="00FD6EC2">
      <w:pPr>
        <w:spacing w:after="0" w:line="240" w:lineRule="auto"/>
        <w:rPr>
          <w:rFonts w:ascii="Verdana" w:eastAsia="Geomanist Light" w:hAnsi="Verdana" w:cs="Arial"/>
          <w:sz w:val="20"/>
          <w:szCs w:val="20"/>
          <w:lang w:val="es-MX"/>
        </w:rPr>
      </w:pPr>
    </w:p>
    <w:p w14:paraId="1D796DD1" w14:textId="77777777" w:rsidR="00FD6EC2" w:rsidRPr="00B54378" w:rsidRDefault="00FD6EC2" w:rsidP="00FD6EC2">
      <w:pPr>
        <w:spacing w:after="0" w:line="240" w:lineRule="auto"/>
        <w:rPr>
          <w:rFonts w:ascii="Verdana" w:eastAsia="Geomanist Light" w:hAnsi="Verdana" w:cs="Arial"/>
          <w:sz w:val="20"/>
          <w:szCs w:val="20"/>
          <w:lang w:val="es-MX"/>
        </w:rPr>
      </w:pPr>
    </w:p>
    <w:p w14:paraId="5676ACB6" w14:textId="77777777" w:rsidR="00FD6EC2" w:rsidRPr="00B54378" w:rsidRDefault="00FD6EC2" w:rsidP="00FD6EC2">
      <w:pPr>
        <w:spacing w:after="0" w:line="240" w:lineRule="auto"/>
        <w:rPr>
          <w:rFonts w:ascii="Verdana" w:eastAsia="Geomanist Light" w:hAnsi="Verdana" w:cs="Arial"/>
          <w:sz w:val="20"/>
          <w:szCs w:val="20"/>
          <w:lang w:val="es-MX"/>
        </w:rPr>
      </w:pPr>
    </w:p>
    <w:p w14:paraId="21CCAE64" w14:textId="77777777" w:rsidR="00FD6EC2" w:rsidRPr="00B54378" w:rsidRDefault="00FD6EC2" w:rsidP="00FD6EC2">
      <w:pPr>
        <w:spacing w:after="0" w:line="240" w:lineRule="auto"/>
        <w:rPr>
          <w:rFonts w:ascii="Verdana" w:eastAsia="Geomanist Light" w:hAnsi="Verdana" w:cs="Arial"/>
          <w:sz w:val="20"/>
          <w:szCs w:val="20"/>
          <w:lang w:val="es-MX"/>
        </w:rPr>
      </w:pPr>
    </w:p>
    <w:p w14:paraId="444AF7DD" w14:textId="77777777" w:rsidR="00FD6EC2" w:rsidRPr="00B54378" w:rsidRDefault="00FD6EC2" w:rsidP="00FD6EC2">
      <w:pPr>
        <w:spacing w:after="0" w:line="240" w:lineRule="auto"/>
        <w:rPr>
          <w:rFonts w:ascii="Verdana" w:eastAsia="Geomanist Light" w:hAnsi="Verdana" w:cs="Arial"/>
          <w:sz w:val="20"/>
          <w:szCs w:val="20"/>
          <w:lang w:val="es-MX"/>
        </w:rPr>
      </w:pPr>
    </w:p>
    <w:p w14:paraId="0B13A258" w14:textId="77777777" w:rsidR="00FD6EC2" w:rsidRPr="00B54378" w:rsidRDefault="00FD6EC2" w:rsidP="00FD6EC2">
      <w:pPr>
        <w:spacing w:after="0" w:line="240" w:lineRule="auto"/>
        <w:rPr>
          <w:rFonts w:ascii="Verdana" w:eastAsia="Geomanist Light" w:hAnsi="Verdana" w:cs="Arial"/>
          <w:sz w:val="20"/>
          <w:szCs w:val="20"/>
          <w:lang w:val="es-MX"/>
        </w:rPr>
      </w:pPr>
    </w:p>
    <w:p w14:paraId="0B47C145" w14:textId="77777777" w:rsidR="00FD6EC2" w:rsidRPr="00B54378" w:rsidRDefault="00FD6EC2" w:rsidP="00FD6EC2">
      <w:pPr>
        <w:spacing w:after="0" w:line="240" w:lineRule="auto"/>
        <w:rPr>
          <w:rFonts w:ascii="Verdana" w:eastAsia="Geomanist Light" w:hAnsi="Verdana" w:cs="Arial"/>
          <w:sz w:val="20"/>
          <w:szCs w:val="20"/>
          <w:lang w:val="es-MX"/>
        </w:rPr>
      </w:pPr>
    </w:p>
    <w:p w14:paraId="5ACE297D" w14:textId="77777777" w:rsidR="00FD6EC2" w:rsidRPr="00B54378" w:rsidRDefault="00FD6EC2" w:rsidP="00FD6EC2">
      <w:pPr>
        <w:spacing w:after="0" w:line="240" w:lineRule="auto"/>
        <w:rPr>
          <w:rFonts w:ascii="Verdana" w:eastAsia="Geomanist Light" w:hAnsi="Verdana" w:cs="Arial"/>
          <w:sz w:val="20"/>
          <w:szCs w:val="20"/>
          <w:lang w:val="es-MX"/>
        </w:rPr>
      </w:pPr>
    </w:p>
    <w:p w14:paraId="321A8DCE" w14:textId="77777777" w:rsidR="00FD6EC2" w:rsidRPr="00B54378" w:rsidRDefault="00FD6EC2" w:rsidP="00FD6EC2">
      <w:pPr>
        <w:spacing w:after="0" w:line="240" w:lineRule="auto"/>
        <w:rPr>
          <w:rFonts w:ascii="Verdana" w:eastAsia="Geomanist Light" w:hAnsi="Verdana" w:cs="Arial"/>
          <w:sz w:val="20"/>
          <w:szCs w:val="20"/>
          <w:lang w:val="es-MX"/>
        </w:rPr>
      </w:pPr>
    </w:p>
    <w:p w14:paraId="3FBEF92B" w14:textId="77777777" w:rsidR="00FD6EC2" w:rsidRPr="00B54378" w:rsidRDefault="00FD6EC2" w:rsidP="00FD6EC2">
      <w:pPr>
        <w:spacing w:after="0" w:line="240" w:lineRule="auto"/>
        <w:rPr>
          <w:rFonts w:ascii="Verdana" w:eastAsia="Geomanist Light" w:hAnsi="Verdana" w:cs="Arial"/>
          <w:sz w:val="20"/>
          <w:szCs w:val="20"/>
          <w:lang w:val="es-MX"/>
        </w:rPr>
      </w:pPr>
    </w:p>
    <w:p w14:paraId="1C69BE97" w14:textId="77777777" w:rsidR="00FD6EC2" w:rsidRPr="00B54378" w:rsidRDefault="00FD6EC2" w:rsidP="00FD6EC2">
      <w:pPr>
        <w:spacing w:after="0" w:line="240" w:lineRule="auto"/>
        <w:rPr>
          <w:rFonts w:ascii="Verdana" w:eastAsia="Geomanist Light" w:hAnsi="Verdana" w:cs="Arial"/>
          <w:sz w:val="20"/>
          <w:szCs w:val="20"/>
          <w:lang w:val="es-MX"/>
        </w:rPr>
      </w:pPr>
    </w:p>
    <w:p w14:paraId="1FC163C6" w14:textId="77777777" w:rsidR="00FD6EC2" w:rsidRPr="00B54378" w:rsidRDefault="00FD6EC2" w:rsidP="00FD6EC2">
      <w:pPr>
        <w:spacing w:after="0" w:line="240" w:lineRule="auto"/>
        <w:rPr>
          <w:rFonts w:ascii="Verdana" w:eastAsia="Geomanist Light" w:hAnsi="Verdana" w:cs="Arial"/>
          <w:sz w:val="20"/>
          <w:szCs w:val="20"/>
          <w:lang w:val="es-MX"/>
        </w:rPr>
      </w:pPr>
    </w:p>
    <w:p w14:paraId="591D7041" w14:textId="45E0CB24" w:rsidR="00FD6EC2" w:rsidRPr="002C2C04" w:rsidRDefault="00FD6EC2" w:rsidP="00FD6EC2">
      <w:pPr>
        <w:spacing w:after="0" w:line="240" w:lineRule="auto"/>
        <w:jc w:val="both"/>
        <w:rPr>
          <w:rFonts w:ascii="Verdana" w:eastAsia="Calibri" w:hAnsi="Verdana" w:cs="Arial"/>
          <w:lang w:val="es-ES"/>
        </w:rPr>
      </w:pPr>
      <w:r w:rsidRPr="002C2C04">
        <w:rPr>
          <w:rFonts w:ascii="Verdana" w:eastAsia="Geomanist Light" w:hAnsi="Verdana" w:cs="Arial"/>
          <w:lang w:val="es-MX"/>
        </w:rPr>
        <w:lastRenderedPageBreak/>
        <w:t>Bogotá D.C.,</w:t>
      </w:r>
      <w:r w:rsidR="006B2806">
        <w:rPr>
          <w:rFonts w:ascii="Verdana" w:eastAsia="Geomanist Light" w:hAnsi="Verdana" w:cs="Arial"/>
          <w:lang w:val="es-MX"/>
        </w:rPr>
        <w:t xml:space="preserve"> 6 de abril de 2026</w:t>
      </w:r>
    </w:p>
    <w:p w14:paraId="596858D6" w14:textId="77777777" w:rsidR="00FD6EC2" w:rsidRDefault="00FD6EC2" w:rsidP="00FD6EC2">
      <w:pPr>
        <w:spacing w:after="0" w:line="240" w:lineRule="auto"/>
        <w:jc w:val="both"/>
        <w:rPr>
          <w:rFonts w:ascii="Verdana" w:eastAsia="Calibri" w:hAnsi="Verdana" w:cs="Arial"/>
          <w:lang w:val="es-ES"/>
        </w:rPr>
      </w:pPr>
    </w:p>
    <w:p w14:paraId="790FB33A" w14:textId="62DCFEC8" w:rsidR="006B2806" w:rsidRPr="002C2C04" w:rsidRDefault="006B2806" w:rsidP="006B2806">
      <w:pPr>
        <w:spacing w:after="0" w:line="240" w:lineRule="auto"/>
        <w:jc w:val="right"/>
        <w:rPr>
          <w:rFonts w:ascii="Verdana" w:eastAsia="Calibri" w:hAnsi="Verdana" w:cs="Arial"/>
          <w:lang w:val="es-ES"/>
        </w:rPr>
      </w:pPr>
      <w:r w:rsidRPr="006B2806">
        <w:rPr>
          <w:rFonts w:ascii="Verdana" w:eastAsia="Calibri" w:hAnsi="Verdana" w:cs="Arial"/>
          <w:noProof/>
          <w:lang w:val="es-ES"/>
        </w:rPr>
        <w:drawing>
          <wp:inline distT="0" distB="0" distL="0" distR="0" wp14:anchorId="53271A11" wp14:editId="1E1FEF18">
            <wp:extent cx="2724530" cy="724001"/>
            <wp:effectExtent l="0" t="0" r="0" b="0"/>
            <wp:docPr id="11761077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107748" name=""/>
                    <pic:cNvPicPr/>
                  </pic:nvPicPr>
                  <pic:blipFill>
                    <a:blip r:embed="rId10"/>
                    <a:stretch>
                      <a:fillRect/>
                    </a:stretch>
                  </pic:blipFill>
                  <pic:spPr>
                    <a:xfrm>
                      <a:off x="0" y="0"/>
                      <a:ext cx="2724530" cy="724001"/>
                    </a:xfrm>
                    <a:prstGeom prst="rect">
                      <a:avLst/>
                    </a:prstGeom>
                  </pic:spPr>
                </pic:pic>
              </a:graphicData>
            </a:graphic>
          </wp:inline>
        </w:drawing>
      </w:r>
    </w:p>
    <w:p w14:paraId="1324E0D0" w14:textId="77777777" w:rsidR="00FD6EC2" w:rsidRPr="002C2C04" w:rsidRDefault="00FD6EC2" w:rsidP="00FD6EC2">
      <w:pPr>
        <w:spacing w:after="0" w:line="240" w:lineRule="auto"/>
        <w:jc w:val="both"/>
        <w:rPr>
          <w:rFonts w:ascii="Verdana" w:eastAsia="Calibri" w:hAnsi="Verdana" w:cs="Arial"/>
          <w:lang w:val="es-ES"/>
        </w:rPr>
      </w:pPr>
    </w:p>
    <w:p w14:paraId="08D14197" w14:textId="77777777" w:rsidR="00FD6EC2" w:rsidRPr="002C2C04" w:rsidRDefault="00FD6EC2" w:rsidP="00FD6EC2">
      <w:pPr>
        <w:spacing w:after="0" w:line="240" w:lineRule="auto"/>
        <w:jc w:val="both"/>
        <w:rPr>
          <w:rFonts w:ascii="Verdana" w:eastAsia="Calibri" w:hAnsi="Verdana" w:cs="Arial"/>
          <w:lang w:val="es-ES" w:eastAsia="es-ES"/>
        </w:rPr>
      </w:pPr>
      <w:r w:rsidRPr="002C2C04">
        <w:rPr>
          <w:rFonts w:ascii="Verdana" w:eastAsia="Calibri" w:hAnsi="Verdana" w:cs="Arial"/>
          <w:lang w:val="es-ES" w:eastAsia="es-ES"/>
        </w:rPr>
        <w:t>Señora</w:t>
      </w:r>
    </w:p>
    <w:p w14:paraId="5ECDEFE8" w14:textId="77777777" w:rsidR="00FD6EC2" w:rsidRPr="002C2C04" w:rsidRDefault="00FD6EC2" w:rsidP="00FD6EC2">
      <w:pPr>
        <w:spacing w:after="0" w:line="240" w:lineRule="auto"/>
        <w:jc w:val="both"/>
        <w:rPr>
          <w:rFonts w:ascii="Verdana" w:eastAsia="Calibri" w:hAnsi="Verdana" w:cs="Arial"/>
          <w:b/>
          <w:lang w:val="es-ES_tradnl" w:eastAsia="es-ES_tradnl"/>
        </w:rPr>
      </w:pPr>
      <w:r w:rsidRPr="002C2C04">
        <w:rPr>
          <w:rFonts w:ascii="Verdana" w:eastAsia="Calibri" w:hAnsi="Verdana" w:cs="Arial"/>
          <w:b/>
          <w:lang w:val="es-ES_tradnl" w:eastAsia="es-ES_tradnl"/>
        </w:rPr>
        <w:t>Sofía Alar</w:t>
      </w:r>
    </w:p>
    <w:p w14:paraId="1D797E03" w14:textId="77777777" w:rsidR="00FD6EC2" w:rsidRPr="002C2C04" w:rsidRDefault="00FD6EC2" w:rsidP="00FD6EC2">
      <w:pPr>
        <w:spacing w:after="0" w:line="240" w:lineRule="auto"/>
        <w:jc w:val="both"/>
        <w:rPr>
          <w:rFonts w:ascii="Verdana" w:hAnsi="Verdana"/>
        </w:rPr>
      </w:pPr>
      <w:hyperlink r:id="rId11" w:history="1">
        <w:r w:rsidRPr="002C2C04">
          <w:rPr>
            <w:rStyle w:val="Hipervnculo"/>
            <w:rFonts w:ascii="Verdana" w:hAnsi="Verdana"/>
          </w:rPr>
          <w:t>alarsofia6@gmail.com</w:t>
        </w:r>
      </w:hyperlink>
    </w:p>
    <w:p w14:paraId="58E3EDB0" w14:textId="77777777" w:rsidR="00FD6EC2" w:rsidRPr="002C2C04" w:rsidRDefault="00FD6EC2" w:rsidP="00FD6EC2">
      <w:pPr>
        <w:spacing w:after="0" w:line="240" w:lineRule="auto"/>
        <w:jc w:val="both"/>
        <w:rPr>
          <w:rFonts w:ascii="Verdana" w:eastAsia="Calibri" w:hAnsi="Verdana" w:cs="Arial"/>
          <w:b/>
          <w:bCs/>
          <w:lang w:val="es-ES" w:eastAsia="es-ES"/>
        </w:rPr>
      </w:pPr>
      <w:r w:rsidRPr="002C2C04">
        <w:rPr>
          <w:rFonts w:ascii="Verdana" w:eastAsia="Calibri" w:hAnsi="Verdana" w:cs="Arial"/>
          <w:lang w:val="es-ES" w:eastAsia="es-ES"/>
        </w:rPr>
        <w:t>Algeciras, Huila</w:t>
      </w:r>
    </w:p>
    <w:p w14:paraId="3B226669" w14:textId="77777777" w:rsidR="00FD6EC2" w:rsidRPr="002C2C04" w:rsidRDefault="00FD6EC2" w:rsidP="00FD6EC2">
      <w:pPr>
        <w:spacing w:after="0" w:line="240" w:lineRule="auto"/>
        <w:jc w:val="both"/>
        <w:rPr>
          <w:rFonts w:ascii="Verdana" w:eastAsia="Calibri" w:hAnsi="Verdana" w:cs="Arial"/>
          <w:b/>
          <w:bCs/>
          <w:lang w:val="es-ES_tradnl" w:eastAsia="es-ES_tradnl"/>
        </w:rPr>
      </w:pPr>
    </w:p>
    <w:p w14:paraId="31BF8C15" w14:textId="77777777" w:rsidR="00FD6EC2" w:rsidRPr="00E54DB1" w:rsidRDefault="00FD6EC2" w:rsidP="00FD6EC2">
      <w:pPr>
        <w:spacing w:after="0" w:line="240" w:lineRule="auto"/>
        <w:jc w:val="both"/>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D6EC2" w:rsidRPr="002C2C04" w14:paraId="33D734B9" w14:textId="77777777" w:rsidTr="43002EB9">
        <w:trPr>
          <w:trHeight w:val="294"/>
        </w:trPr>
        <w:tc>
          <w:tcPr>
            <w:tcW w:w="2689" w:type="dxa"/>
          </w:tcPr>
          <w:p w14:paraId="1C6DD57A" w14:textId="77777777" w:rsidR="00FD6EC2" w:rsidRPr="001E7EFF" w:rsidRDefault="00FD6EC2" w:rsidP="0086292B">
            <w:pPr>
              <w:jc w:val="both"/>
              <w:rPr>
                <w:rFonts w:ascii="Verdana" w:eastAsia="Calibri" w:hAnsi="Verdana" w:cs="Arial"/>
                <w:b/>
                <w:bCs/>
                <w:lang w:val="es-ES_tradnl" w:eastAsia="es-ES_tradnl"/>
              </w:rPr>
            </w:pPr>
          </w:p>
        </w:tc>
        <w:tc>
          <w:tcPr>
            <w:tcW w:w="6100" w:type="dxa"/>
          </w:tcPr>
          <w:p w14:paraId="3CA3669D" w14:textId="1B7A4AA7" w:rsidR="00FD6EC2" w:rsidRPr="009472DB" w:rsidRDefault="00FD6EC2" w:rsidP="0086292B">
            <w:pPr>
              <w:jc w:val="both"/>
              <w:rPr>
                <w:rFonts w:ascii="Verdana" w:eastAsia="Calibri" w:hAnsi="Verdana" w:cs="Arial"/>
                <w:b/>
                <w:bCs/>
                <w:lang w:val="es-ES" w:eastAsia="es-ES"/>
              </w:rPr>
            </w:pPr>
            <w:r w:rsidRPr="43002EB9">
              <w:rPr>
                <w:rFonts w:ascii="Verdana" w:eastAsia="Calibri" w:hAnsi="Verdana" w:cs="Arial"/>
                <w:b/>
                <w:bCs/>
                <w:lang w:val="es-ES" w:eastAsia="es-ES"/>
              </w:rPr>
              <w:t>Concepto C-30</w:t>
            </w:r>
            <w:r w:rsidR="00B91A47">
              <w:rPr>
                <w:rFonts w:ascii="Verdana" w:eastAsia="Calibri" w:hAnsi="Verdana" w:cs="Arial"/>
                <w:b/>
                <w:bCs/>
                <w:lang w:val="es-ES" w:eastAsia="es-ES"/>
              </w:rPr>
              <w:t>4</w:t>
            </w:r>
            <w:r w:rsidR="00855259">
              <w:rPr>
                <w:rFonts w:ascii="Verdana" w:eastAsia="Calibri" w:hAnsi="Verdana" w:cs="Arial"/>
                <w:b/>
                <w:bCs/>
                <w:lang w:val="es-ES" w:eastAsia="es-ES"/>
              </w:rPr>
              <w:t>A</w:t>
            </w:r>
            <w:r w:rsidRPr="43002EB9">
              <w:rPr>
                <w:rFonts w:ascii="Verdana" w:eastAsia="Calibri" w:hAnsi="Verdana" w:cs="Arial"/>
                <w:b/>
                <w:bCs/>
                <w:lang w:val="es-ES" w:eastAsia="es-ES"/>
              </w:rPr>
              <w:t xml:space="preserve"> de 2026  </w:t>
            </w:r>
          </w:p>
          <w:p w14:paraId="63A45ED6" w14:textId="77777777" w:rsidR="00FD6EC2" w:rsidRPr="002C2C04" w:rsidRDefault="00FD6EC2" w:rsidP="0086292B">
            <w:pPr>
              <w:jc w:val="both"/>
              <w:rPr>
                <w:rFonts w:ascii="Verdana" w:eastAsia="Calibri" w:hAnsi="Verdana" w:cs="Arial"/>
                <w:b/>
                <w:bCs/>
                <w:lang w:val="es-ES" w:eastAsia="es-ES"/>
              </w:rPr>
            </w:pPr>
          </w:p>
        </w:tc>
      </w:tr>
      <w:tr w:rsidR="00FD6EC2" w:rsidRPr="002C2C04" w14:paraId="14C72C67" w14:textId="77777777" w:rsidTr="43002EB9">
        <w:trPr>
          <w:trHeight w:val="884"/>
        </w:trPr>
        <w:tc>
          <w:tcPr>
            <w:tcW w:w="2689" w:type="dxa"/>
          </w:tcPr>
          <w:p w14:paraId="620E7625" w14:textId="77777777" w:rsidR="00FD6EC2" w:rsidRPr="002C2C04" w:rsidRDefault="00FD6EC2" w:rsidP="0086292B">
            <w:pPr>
              <w:jc w:val="both"/>
              <w:rPr>
                <w:rFonts w:ascii="Verdana" w:eastAsia="Calibri" w:hAnsi="Verdana" w:cs="Arial"/>
                <w:lang w:val="es-ES_tradnl" w:eastAsia="es-ES_tradnl"/>
              </w:rPr>
            </w:pPr>
            <w:r w:rsidRPr="002C2C04">
              <w:rPr>
                <w:rFonts w:ascii="Verdana" w:eastAsia="Calibri" w:hAnsi="Verdana" w:cs="Arial"/>
                <w:b/>
                <w:lang w:val="es-ES_tradnl" w:eastAsia="es-ES_tradnl"/>
              </w:rPr>
              <w:t>Temas:</w:t>
            </w:r>
            <w:r w:rsidRPr="002C2C04">
              <w:rPr>
                <w:rFonts w:ascii="Verdana" w:eastAsia="Calibri" w:hAnsi="Verdana" w:cs="Arial"/>
                <w:lang w:val="es-ES_tradnl" w:eastAsia="es-ES_tradnl"/>
              </w:rPr>
              <w:t xml:space="preserve">                   </w:t>
            </w:r>
          </w:p>
        </w:tc>
        <w:tc>
          <w:tcPr>
            <w:tcW w:w="6100" w:type="dxa"/>
          </w:tcPr>
          <w:p w14:paraId="5FD75A95" w14:textId="77777777" w:rsidR="00FD6EC2" w:rsidRPr="009472DB" w:rsidRDefault="00FD6EC2" w:rsidP="0086292B">
            <w:pPr>
              <w:spacing w:line="240" w:lineRule="auto"/>
              <w:jc w:val="both"/>
              <w:rPr>
                <w:rFonts w:ascii="Verdana" w:eastAsia="Calibri" w:hAnsi="Verdana" w:cs="Arial"/>
                <w:lang w:val="es-ES" w:eastAsia="es-ES"/>
              </w:rPr>
            </w:pPr>
            <w:r w:rsidRPr="002C2C04">
              <w:rPr>
                <w:rFonts w:ascii="Verdana" w:eastAsia="Calibri" w:hAnsi="Verdana" w:cs="Arial"/>
                <w:lang w:val="es-ES" w:eastAsia="es-ES"/>
              </w:rPr>
              <w:t xml:space="preserve">CONTRATO DE PRESTACIÓN DE </w:t>
            </w:r>
            <w:r w:rsidRPr="00F906A4">
              <w:rPr>
                <w:rFonts w:ascii="Verdana" w:eastAsia="Calibri" w:hAnsi="Verdana" w:cs="Arial"/>
                <w:lang w:val="es-ES" w:eastAsia="es-ES"/>
              </w:rPr>
              <w:t>SERVICIOS – Concepto</w:t>
            </w:r>
            <w:r>
              <w:rPr>
                <w:rFonts w:ascii="Verdana" w:eastAsia="Calibri" w:hAnsi="Verdana" w:cs="Arial"/>
                <w:lang w:val="es-ES" w:eastAsia="es-ES"/>
              </w:rPr>
              <w:t xml:space="preserve"> </w:t>
            </w:r>
            <w:r w:rsidRPr="00F906A4">
              <w:rPr>
                <w:rFonts w:ascii="Verdana" w:eastAsia="Calibri" w:hAnsi="Verdana" w:cs="Arial"/>
                <w:lang w:val="es-ES" w:eastAsia="es-ES"/>
              </w:rPr>
              <w:t>– Características /</w:t>
            </w:r>
            <w:r w:rsidRPr="00E54DB1">
              <w:rPr>
                <w:rFonts w:ascii="Verdana" w:hAnsi="Verdana"/>
              </w:rPr>
              <w:t xml:space="preserve"> </w:t>
            </w:r>
            <w:r w:rsidRPr="002C2C04">
              <w:rPr>
                <w:rFonts w:ascii="Verdana" w:eastAsia="Calibri" w:hAnsi="Verdana" w:cs="Arial"/>
                <w:lang w:val="es-ES" w:eastAsia="es-ES"/>
              </w:rPr>
              <w:t xml:space="preserve">CONTRATO DE PRESTACIÓN DE </w:t>
            </w:r>
            <w:r w:rsidRPr="00F906A4">
              <w:rPr>
                <w:rFonts w:ascii="Verdana" w:eastAsia="Calibri" w:hAnsi="Verdana" w:cs="Arial"/>
                <w:lang w:val="es-ES" w:eastAsia="es-ES"/>
              </w:rPr>
              <w:t>SERVICIOS –</w:t>
            </w:r>
            <w:r>
              <w:rPr>
                <w:rFonts w:ascii="Verdana" w:eastAsia="Calibri" w:hAnsi="Verdana" w:cs="Arial"/>
                <w:lang w:val="es-ES" w:eastAsia="es-ES"/>
              </w:rPr>
              <w:t xml:space="preserve"> </w:t>
            </w:r>
            <w:r w:rsidRPr="00F906A4">
              <w:rPr>
                <w:rFonts w:ascii="Verdana" w:eastAsia="Calibri" w:hAnsi="Verdana" w:cs="Arial"/>
                <w:lang w:val="es-ES" w:eastAsia="es-ES"/>
              </w:rPr>
              <w:t xml:space="preserve">Modalidad de selección – </w:t>
            </w:r>
            <w:r>
              <w:rPr>
                <w:rFonts w:ascii="Verdana" w:eastAsia="Calibri" w:hAnsi="Verdana" w:cs="Arial"/>
                <w:lang w:val="es-ES" w:eastAsia="es-ES"/>
              </w:rPr>
              <w:t>Contratación Directa – Interpretación restrictiva</w:t>
            </w:r>
            <w:r w:rsidRPr="00F906A4">
              <w:rPr>
                <w:rFonts w:ascii="Verdana" w:eastAsia="Calibri" w:hAnsi="Verdana" w:cs="Arial"/>
                <w:lang w:val="es-ES" w:eastAsia="es-ES"/>
              </w:rPr>
              <w:t xml:space="preserve"> /</w:t>
            </w:r>
            <w:r w:rsidRPr="00E54DB1">
              <w:rPr>
                <w:rFonts w:ascii="Verdana" w:hAnsi="Verdana"/>
              </w:rPr>
              <w:t xml:space="preserve"> </w:t>
            </w:r>
            <w:r w:rsidRPr="002C2C04">
              <w:rPr>
                <w:rFonts w:ascii="Verdana" w:eastAsia="Calibri" w:hAnsi="Verdana" w:cs="Arial"/>
                <w:lang w:val="es-ES" w:eastAsia="es-ES"/>
              </w:rPr>
              <w:t xml:space="preserve">CONTRATO DE PRESTACIÓN DE </w:t>
            </w:r>
            <w:r w:rsidRPr="00F906A4">
              <w:rPr>
                <w:rFonts w:ascii="Verdana" w:eastAsia="Calibri" w:hAnsi="Verdana" w:cs="Arial"/>
                <w:lang w:val="es-ES" w:eastAsia="es-ES"/>
              </w:rPr>
              <w:t>SERVICIOS –</w:t>
            </w:r>
            <w:r>
              <w:rPr>
                <w:rFonts w:ascii="Verdana" w:eastAsia="Calibri" w:hAnsi="Verdana" w:cs="Arial"/>
                <w:lang w:val="es-ES" w:eastAsia="es-ES"/>
              </w:rPr>
              <w:t xml:space="preserve"> </w:t>
            </w:r>
            <w:r w:rsidRPr="00F906A4">
              <w:rPr>
                <w:rFonts w:ascii="Verdana" w:eastAsia="Calibri" w:hAnsi="Verdana" w:cs="Arial"/>
                <w:lang w:val="es-ES" w:eastAsia="es-ES"/>
              </w:rPr>
              <w:t xml:space="preserve">Modalidad de selección – </w:t>
            </w:r>
            <w:r>
              <w:rPr>
                <w:rFonts w:ascii="Verdana" w:eastAsia="Calibri" w:hAnsi="Verdana" w:cs="Arial"/>
                <w:lang w:val="es-ES" w:eastAsia="es-ES"/>
              </w:rPr>
              <w:t xml:space="preserve">Contratación Directa – Especies / </w:t>
            </w:r>
            <w:r w:rsidRPr="001E7EFF">
              <w:rPr>
                <w:rFonts w:ascii="Verdana" w:eastAsia="Calibri" w:hAnsi="Verdana" w:cs="Arial"/>
                <w:lang w:val="es-ES" w:eastAsia="es-ES"/>
              </w:rPr>
              <w:t>CONTRATO DE PRESTACIÓN DE SERVICIOS –</w:t>
            </w:r>
            <w:r>
              <w:rPr>
                <w:rFonts w:ascii="Verdana" w:eastAsia="Calibri" w:hAnsi="Verdana" w:cs="Arial"/>
                <w:lang w:val="es-ES" w:eastAsia="es-ES"/>
              </w:rPr>
              <w:t xml:space="preserve"> </w:t>
            </w:r>
            <w:r w:rsidRPr="001E7EFF">
              <w:rPr>
                <w:rFonts w:ascii="Verdana" w:eastAsia="Calibri" w:hAnsi="Verdana" w:cs="Arial"/>
                <w:lang w:val="es-ES" w:eastAsia="es-ES"/>
              </w:rPr>
              <w:t>Celebración – Mínima cuantía</w:t>
            </w:r>
            <w:r>
              <w:rPr>
                <w:rFonts w:ascii="Verdana" w:eastAsia="Calibri" w:hAnsi="Verdana" w:cs="Arial"/>
                <w:lang w:val="es-ES" w:eastAsia="es-ES"/>
              </w:rPr>
              <w:t xml:space="preserve"> - Procedencia</w:t>
            </w:r>
          </w:p>
          <w:p w14:paraId="63BAEA9B" w14:textId="77777777" w:rsidR="00FD6EC2" w:rsidRPr="009472DB" w:rsidRDefault="00FD6EC2" w:rsidP="0086292B">
            <w:pPr>
              <w:spacing w:line="240" w:lineRule="auto"/>
              <w:jc w:val="both"/>
              <w:rPr>
                <w:rFonts w:ascii="Verdana" w:eastAsia="Calibri" w:hAnsi="Verdana" w:cs="Arial"/>
                <w:lang w:val="es-ES" w:eastAsia="es-ES"/>
              </w:rPr>
            </w:pPr>
          </w:p>
        </w:tc>
      </w:tr>
      <w:tr w:rsidR="00FD6EC2" w:rsidRPr="002C2C04" w14:paraId="24396691" w14:textId="77777777" w:rsidTr="43002EB9">
        <w:tc>
          <w:tcPr>
            <w:tcW w:w="2689" w:type="dxa"/>
          </w:tcPr>
          <w:p w14:paraId="37FF3B11" w14:textId="77777777" w:rsidR="00FD6EC2" w:rsidRPr="002C2C04" w:rsidRDefault="00FD6EC2" w:rsidP="0086292B">
            <w:pPr>
              <w:jc w:val="both"/>
              <w:rPr>
                <w:rFonts w:ascii="Verdana" w:eastAsia="Calibri" w:hAnsi="Verdana" w:cs="Arial"/>
                <w:b/>
                <w:lang w:val="es-ES_tradnl" w:eastAsia="es-ES_tradnl"/>
              </w:rPr>
            </w:pPr>
            <w:r w:rsidRPr="002C2C04">
              <w:rPr>
                <w:rFonts w:ascii="Verdana" w:eastAsia="Calibri" w:hAnsi="Verdana" w:cs="Arial"/>
                <w:b/>
                <w:lang w:val="es-ES_tradnl" w:eastAsia="es-ES_tradnl"/>
              </w:rPr>
              <w:t>Radicación:</w:t>
            </w:r>
            <w:r w:rsidRPr="002C2C04">
              <w:rPr>
                <w:rFonts w:ascii="Verdana" w:eastAsia="Calibri" w:hAnsi="Verdana" w:cs="Arial"/>
                <w:lang w:val="es-ES_tradnl" w:eastAsia="es-ES_tradnl"/>
              </w:rPr>
              <w:t xml:space="preserve">               </w:t>
            </w:r>
          </w:p>
        </w:tc>
        <w:tc>
          <w:tcPr>
            <w:tcW w:w="6100" w:type="dxa"/>
          </w:tcPr>
          <w:p w14:paraId="5589D83C" w14:textId="77777777" w:rsidR="00FD6EC2" w:rsidRPr="00E54DB1" w:rsidRDefault="00FD6EC2" w:rsidP="0086292B">
            <w:pPr>
              <w:jc w:val="both"/>
              <w:rPr>
                <w:rFonts w:ascii="Verdana" w:eastAsia="Calibri" w:hAnsi="Verdana" w:cs="Arial"/>
                <w:lang w:val="es-ES_tradnl" w:eastAsia="es-ES_tradnl"/>
              </w:rPr>
            </w:pPr>
            <w:r w:rsidRPr="002C2C04">
              <w:rPr>
                <w:rFonts w:ascii="Verdana" w:eastAsia="Calibri" w:hAnsi="Verdana" w:cs="Arial"/>
                <w:lang w:val="es-ES_tradnl" w:eastAsia="es-ES_tradnl"/>
              </w:rPr>
              <w:t>Respuesta a consulta con radicado No. 1_2026_02_26_002694</w:t>
            </w:r>
          </w:p>
        </w:tc>
      </w:tr>
    </w:tbl>
    <w:p w14:paraId="49208A50" w14:textId="77777777" w:rsidR="00FD6EC2" w:rsidRPr="002C2C04" w:rsidRDefault="00FD6EC2" w:rsidP="00FD6EC2">
      <w:pPr>
        <w:spacing w:after="0" w:line="240" w:lineRule="auto"/>
        <w:jc w:val="both"/>
        <w:rPr>
          <w:rFonts w:ascii="Verdana" w:eastAsia="Calibri" w:hAnsi="Verdana" w:cs="Arial"/>
          <w:lang w:val="es-ES_tradnl" w:eastAsia="es-ES_tradnl"/>
        </w:rPr>
      </w:pPr>
    </w:p>
    <w:p w14:paraId="0066FD67" w14:textId="77777777" w:rsidR="00FD6EC2" w:rsidRPr="002C2C04" w:rsidRDefault="00FD6EC2" w:rsidP="00FD6EC2">
      <w:pPr>
        <w:spacing w:after="0" w:line="240" w:lineRule="auto"/>
        <w:jc w:val="both"/>
        <w:rPr>
          <w:rFonts w:ascii="Verdana" w:eastAsia="Calibri" w:hAnsi="Verdana" w:cs="Arial"/>
          <w:lang w:val="es-ES_tradnl" w:eastAsia="es-ES_tradnl"/>
        </w:rPr>
      </w:pPr>
    </w:p>
    <w:p w14:paraId="0A13FFD5" w14:textId="77777777" w:rsidR="00FD6EC2" w:rsidRPr="00B54378" w:rsidRDefault="00FD6EC2" w:rsidP="00FD6EC2">
      <w:pPr>
        <w:spacing w:after="0" w:line="276" w:lineRule="auto"/>
        <w:jc w:val="both"/>
        <w:rPr>
          <w:rFonts w:ascii="Verdana" w:eastAsia="Calibri" w:hAnsi="Verdana" w:cs="Arial"/>
          <w:lang w:val="es-ES" w:eastAsia="es-ES"/>
        </w:rPr>
      </w:pPr>
      <w:r w:rsidRPr="00B54378">
        <w:rPr>
          <w:rFonts w:ascii="Verdana" w:eastAsia="Calibri" w:hAnsi="Verdana" w:cs="Arial"/>
          <w:lang w:val="es-ES" w:eastAsia="es-ES"/>
        </w:rPr>
        <w:t>Estimada señora Alar:</w:t>
      </w:r>
    </w:p>
    <w:p w14:paraId="3C4A56B0" w14:textId="77777777" w:rsidR="00FD6EC2" w:rsidRPr="00B54378" w:rsidRDefault="00FD6EC2" w:rsidP="00FD6EC2">
      <w:pPr>
        <w:tabs>
          <w:tab w:val="left" w:pos="3768"/>
        </w:tabs>
        <w:spacing w:after="0" w:line="276" w:lineRule="auto"/>
        <w:jc w:val="both"/>
        <w:rPr>
          <w:rFonts w:ascii="Verdana" w:eastAsia="Calibri" w:hAnsi="Verdana" w:cs="Arial"/>
          <w:lang w:val="es-ES" w:eastAsia="es-ES"/>
        </w:rPr>
      </w:pPr>
      <w:r w:rsidRPr="00B54378">
        <w:rPr>
          <w:rFonts w:ascii="Verdana" w:eastAsia="Calibri" w:hAnsi="Verdana" w:cs="Arial"/>
          <w:lang w:val="es-ES" w:eastAsia="es-ES"/>
        </w:rPr>
        <w:tab/>
      </w:r>
    </w:p>
    <w:p w14:paraId="0AEC6AA9" w14:textId="77777777" w:rsidR="00FD6EC2" w:rsidRPr="00B54378" w:rsidRDefault="00FD6EC2" w:rsidP="00FD6EC2">
      <w:pPr>
        <w:spacing w:after="0" w:line="276" w:lineRule="auto"/>
        <w:jc w:val="both"/>
        <w:rPr>
          <w:rFonts w:ascii="Verdana" w:eastAsia="Calibri" w:hAnsi="Verdana" w:cs="Arial"/>
          <w:lang w:val="es-ES" w:eastAsia="es-ES"/>
        </w:rPr>
      </w:pPr>
      <w:r w:rsidRPr="00B54378">
        <w:rPr>
          <w:rFonts w:ascii="Verdana" w:eastAsia="Calibri" w:hAnsi="Verdana" w:cs="Arial"/>
          <w:lang w:val="es-ES" w:eastAsia="es-ES"/>
        </w:rPr>
        <w:t>En ejercicio de la competencia otorgada por los artículos 3, numeral 5º, y 11, numeral 8º, del Decreto Ley 4170 de 2011,</w:t>
      </w:r>
      <w:r w:rsidRPr="00B54378">
        <w:rPr>
          <w:rFonts w:ascii="Verdana" w:eastAsia="Arial MT" w:hAnsi="Verdana" w:cs="Arial MT"/>
          <w:lang w:val="es-ES" w:eastAsia="es-ES"/>
        </w:rPr>
        <w:t xml:space="preserve"> </w:t>
      </w:r>
      <w:r w:rsidRPr="00B54378">
        <w:rPr>
          <w:rFonts w:ascii="Verdana" w:hAnsi="Verdana" w:cs="Arial"/>
        </w:rPr>
        <w:t xml:space="preserve">así como lo establecido en el artículo 4 de la Resolución 1707 de 2018 expedida por esta Entidad, </w:t>
      </w:r>
      <w:r w:rsidRPr="00B54378">
        <w:rPr>
          <w:rFonts w:ascii="Verdana" w:eastAsia="Calibri" w:hAnsi="Verdana" w:cs="Arial"/>
          <w:lang w:val="es-ES" w:eastAsia="es-ES"/>
        </w:rPr>
        <w:t xml:space="preserve">la Agencia Nacional de Contratación Pública – Colombia Compra Eficiente– responde sus solicitudes de consultas del 26 de febrero de 2026, en la que realiza solicita lo siguiente: </w:t>
      </w:r>
    </w:p>
    <w:p w14:paraId="2AC47996" w14:textId="77777777" w:rsidR="00FD6EC2" w:rsidRPr="00B54378" w:rsidRDefault="00FD6EC2" w:rsidP="00FD6EC2">
      <w:pPr>
        <w:spacing w:after="0" w:line="276" w:lineRule="auto"/>
        <w:jc w:val="both"/>
        <w:rPr>
          <w:rFonts w:ascii="Verdana" w:eastAsia="Calibri" w:hAnsi="Verdana" w:cs="Arial"/>
          <w:lang w:val="es-ES" w:eastAsia="es-ES"/>
        </w:rPr>
      </w:pPr>
    </w:p>
    <w:p w14:paraId="4E793F11" w14:textId="77777777" w:rsidR="00FD6EC2" w:rsidRPr="00B54378" w:rsidRDefault="00FD6EC2" w:rsidP="00FD6EC2">
      <w:pPr>
        <w:spacing w:after="0" w:line="240" w:lineRule="auto"/>
        <w:ind w:left="709" w:right="709"/>
        <w:jc w:val="both"/>
        <w:rPr>
          <w:rFonts w:ascii="Verdana" w:eastAsia="Calibri" w:hAnsi="Verdana" w:cs="Arial"/>
          <w:sz w:val="20"/>
          <w:szCs w:val="20"/>
          <w:lang w:val="es-ES" w:eastAsia="es-ES"/>
        </w:rPr>
      </w:pPr>
      <w:r w:rsidRPr="00B54378">
        <w:rPr>
          <w:rFonts w:ascii="Verdana" w:eastAsia="Calibri" w:hAnsi="Verdana" w:cs="Arial"/>
          <w:sz w:val="20"/>
          <w:szCs w:val="20"/>
          <w:lang w:val="es-MX"/>
        </w:rPr>
        <w:t xml:space="preserve">“[…] Si bien, la modalidad de mínima cuantía establece que se realizará la contratación para adquirir bienes, obras o servicios, así como que esta modalidad se aplica sin importar el objeto contractual, garantizando celeridad y transparencia; respecto de ello solicito: se especifique que tipo </w:t>
      </w:r>
      <w:r w:rsidRPr="00B54378">
        <w:rPr>
          <w:rFonts w:ascii="Verdana" w:eastAsia="Calibri" w:hAnsi="Verdana" w:cs="Arial"/>
          <w:sz w:val="20"/>
          <w:szCs w:val="20"/>
          <w:lang w:val="es-MX"/>
        </w:rPr>
        <w:lastRenderedPageBreak/>
        <w:t>de prestaciones de servicios se pueden realizar bajo esta modalidad, por favor manifestar el caso específico en contrato de prestación profesionales y de apoyo a la gestión”. [sic]</w:t>
      </w:r>
    </w:p>
    <w:p w14:paraId="1C754545" w14:textId="77777777" w:rsidR="00FD6EC2" w:rsidRPr="00B54378" w:rsidRDefault="00FD6EC2" w:rsidP="00FD6EC2">
      <w:pPr>
        <w:tabs>
          <w:tab w:val="left" w:pos="142"/>
          <w:tab w:val="left" w:pos="284"/>
        </w:tabs>
        <w:spacing w:line="276" w:lineRule="auto"/>
        <w:contextualSpacing/>
        <w:jc w:val="both"/>
        <w:rPr>
          <w:rFonts w:ascii="Verdana" w:eastAsia="Century Gothic" w:hAnsi="Verdana" w:cs="Century Gothic"/>
          <w:b/>
          <w:bCs/>
          <w:lang w:val="es-ES"/>
        </w:rPr>
      </w:pPr>
    </w:p>
    <w:p w14:paraId="59EF3697" w14:textId="77777777" w:rsidR="00FD6EC2" w:rsidRPr="00B54378" w:rsidRDefault="00FD6EC2" w:rsidP="00FD6EC2">
      <w:pPr>
        <w:spacing w:after="120" w:line="276" w:lineRule="auto"/>
        <w:ind w:firstLine="709"/>
        <w:jc w:val="both"/>
        <w:rPr>
          <w:rFonts w:ascii="Verdana" w:eastAsia="Calibri" w:hAnsi="Verdana" w:cs="Arial"/>
          <w:szCs w:val="24"/>
          <w:lang w:val="es-ES_tradnl" w:eastAsia="es-ES_tradnl"/>
        </w:rPr>
      </w:pPr>
      <w:r w:rsidRPr="00B5437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B54378">
        <w:rPr>
          <w:rFonts w:ascii="Verdana" w:eastAsia="Calibri" w:hAnsi="Verdana" w:cs="Arial"/>
          <w:lang w:val="es-ES" w:eastAsia="es-ES"/>
        </w:rPr>
        <w:t xml:space="preserve">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54378">
        <w:rPr>
          <w:rFonts w:ascii="Verdana" w:eastAsia="Calibri" w:hAnsi="Verdana" w:cs="Arial"/>
          <w:szCs w:val="24"/>
          <w:lang w:val="es-ES_tradnl" w:eastAsia="es-ES_tradnl"/>
        </w:rPr>
        <w:tab/>
      </w:r>
    </w:p>
    <w:p w14:paraId="490E267B" w14:textId="77777777" w:rsidR="00FD6EC2" w:rsidRPr="00B54378" w:rsidRDefault="00FD6EC2" w:rsidP="00FD6EC2">
      <w:pPr>
        <w:spacing w:after="0" w:line="276" w:lineRule="auto"/>
        <w:ind w:firstLine="709"/>
        <w:jc w:val="both"/>
        <w:rPr>
          <w:rFonts w:ascii="Verdana" w:eastAsia="Calibri" w:hAnsi="Verdana" w:cs="Arial"/>
          <w:lang w:val="es-ES" w:eastAsia="es-ES"/>
        </w:rPr>
      </w:pPr>
      <w:r w:rsidRPr="00B5437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B54378">
        <w:rPr>
          <w:rFonts w:ascii="Verdana" w:eastAsia="Calibri" w:hAnsi="Verdana" w:cs="Arial"/>
          <w:lang w:val="es-ES" w:eastAsia="es-ES"/>
        </w:rPr>
        <w:t xml:space="preserve">ndo </w:t>
      </w:r>
      <w:r>
        <w:rPr>
          <w:rFonts w:ascii="Verdana" w:eastAsia="Calibri" w:hAnsi="Verdana" w:cs="Arial"/>
          <w:lang w:val="es-ES" w:eastAsia="es-ES"/>
        </w:rPr>
        <w:t>alg</w:t>
      </w:r>
      <w:r w:rsidRPr="00B54378">
        <w:rPr>
          <w:rFonts w:ascii="Verdana" w:eastAsia="Calibri" w:hAnsi="Verdana" w:cs="Arial"/>
          <w:lang w:val="es-ES" w:eastAsia="es-ES"/>
        </w:rPr>
        <w:t xml:space="preserve">unas consideraciones sobre las normas generales relacionadas con los problemas jurídicos de su consulta. </w:t>
      </w:r>
    </w:p>
    <w:p w14:paraId="3EE71E8A" w14:textId="77777777" w:rsidR="00FD6EC2" w:rsidRPr="00B54378" w:rsidRDefault="00FD6EC2" w:rsidP="00FD6EC2">
      <w:pPr>
        <w:spacing w:after="0" w:line="276" w:lineRule="auto"/>
        <w:ind w:firstLine="709"/>
        <w:jc w:val="both"/>
        <w:rPr>
          <w:rFonts w:ascii="Verdana" w:eastAsia="Calibri" w:hAnsi="Verdana" w:cs="Arial"/>
          <w:lang w:val="es-ES" w:eastAsia="es-ES"/>
        </w:rPr>
      </w:pPr>
    </w:p>
    <w:p w14:paraId="438B7684" w14:textId="77777777" w:rsidR="00FD6EC2" w:rsidRPr="00B54378" w:rsidRDefault="00FD6EC2" w:rsidP="00FD6EC2">
      <w:pPr>
        <w:widowControl w:val="0"/>
        <w:autoSpaceDE w:val="0"/>
        <w:autoSpaceDN w:val="0"/>
        <w:spacing w:after="0" w:line="276" w:lineRule="auto"/>
        <w:ind w:left="360" w:hanging="360"/>
        <w:jc w:val="both"/>
        <w:outlineLvl w:val="0"/>
        <w:rPr>
          <w:rFonts w:ascii="Verdana" w:eastAsia="Arial" w:hAnsi="Verdana" w:cs="Arial"/>
          <w:b/>
          <w:bCs/>
          <w:lang w:val="es-ES"/>
        </w:rPr>
      </w:pPr>
      <w:r w:rsidRPr="00B54378">
        <w:rPr>
          <w:rFonts w:ascii="Verdana" w:eastAsia="Arial" w:hAnsi="Verdana" w:cs="Arial"/>
          <w:b/>
          <w:bCs/>
          <w:lang w:val="es-ES"/>
        </w:rPr>
        <w:t>1. Problema planteado:</w:t>
      </w:r>
    </w:p>
    <w:p w14:paraId="584E6C62" w14:textId="77777777" w:rsidR="00FD6EC2" w:rsidRPr="00B54378" w:rsidRDefault="00FD6EC2" w:rsidP="00FD6EC2">
      <w:pPr>
        <w:tabs>
          <w:tab w:val="left" w:pos="426"/>
        </w:tabs>
        <w:spacing w:after="0" w:line="276" w:lineRule="auto"/>
        <w:jc w:val="both"/>
        <w:rPr>
          <w:rFonts w:ascii="Verdana" w:eastAsia="Century Gothic" w:hAnsi="Verdana" w:cs="Century Gothic"/>
          <w:lang w:val="es-ES"/>
        </w:rPr>
      </w:pPr>
    </w:p>
    <w:p w14:paraId="53A0E1EA" w14:textId="77777777" w:rsidR="00FD6EC2" w:rsidRPr="00B54378" w:rsidRDefault="00FD6EC2" w:rsidP="00FD6EC2">
      <w:pPr>
        <w:spacing w:after="0" w:line="276" w:lineRule="auto"/>
        <w:jc w:val="both"/>
        <w:rPr>
          <w:rFonts w:ascii="Verdana" w:eastAsia="Century Gothic" w:hAnsi="Verdana" w:cs="Century Gothic"/>
          <w:color w:val="7030A0"/>
        </w:rPr>
      </w:pPr>
      <w:r w:rsidRPr="00B54378">
        <w:rPr>
          <w:rFonts w:ascii="Verdana" w:eastAsia="Century Gothic" w:hAnsi="Verdana" w:cs="Century Gothic"/>
        </w:rPr>
        <w:t xml:space="preserve">De acuerdo con el contenido de su solicitud, le informamos que la misma será atendida desde el siguiente interrogante: </w:t>
      </w:r>
      <w:r>
        <w:rPr>
          <w:rFonts w:ascii="Verdana" w:eastAsia="Century Gothic" w:hAnsi="Verdana" w:cs="Century Gothic"/>
        </w:rPr>
        <w:t>i)</w:t>
      </w:r>
      <w:r w:rsidRPr="00872102">
        <w:rPr>
          <w:rFonts w:ascii="Verdana" w:eastAsia="Century Gothic" w:hAnsi="Verdana" w:cs="Century Gothic"/>
        </w:rPr>
        <w:t xml:space="preserve"> </w:t>
      </w:r>
      <w:r>
        <w:rPr>
          <w:rFonts w:ascii="Verdana" w:eastAsia="Century Gothic" w:hAnsi="Verdana" w:cs="Century Gothic"/>
        </w:rPr>
        <w:t xml:space="preserve">¿Todos los contratos de prestación de servicios se deben contratar mediante la modalidad de contratación directa? y; ii) </w:t>
      </w:r>
      <w:r w:rsidRPr="00B54378">
        <w:rPr>
          <w:rFonts w:ascii="Verdana" w:eastAsia="Century Gothic" w:hAnsi="Verdana" w:cs="Century Gothic"/>
        </w:rPr>
        <w:t>¿La prestación de servicios profesionales y de apoyo a la gestión, puede contratarse mediante la modalidad de selección de mínima cuantía?</w:t>
      </w:r>
      <w:r>
        <w:rPr>
          <w:rFonts w:ascii="Verdana" w:eastAsia="Century Gothic" w:hAnsi="Verdana" w:cs="Century Gothic"/>
        </w:rPr>
        <w:t xml:space="preserve"> </w:t>
      </w:r>
    </w:p>
    <w:p w14:paraId="5E07A094" w14:textId="77777777" w:rsidR="00FD6EC2" w:rsidRPr="00B54378" w:rsidRDefault="00FD6EC2" w:rsidP="00FD6EC2">
      <w:pPr>
        <w:spacing w:after="0" w:line="276" w:lineRule="auto"/>
        <w:jc w:val="both"/>
        <w:rPr>
          <w:rFonts w:ascii="Verdana" w:eastAsia="Calibri" w:hAnsi="Verdana" w:cs="Arial"/>
          <w:lang w:val="es-ES"/>
        </w:rPr>
      </w:pPr>
      <w:bookmarkStart w:id="1" w:name="_Hlk171070029"/>
    </w:p>
    <w:bookmarkEnd w:id="1"/>
    <w:p w14:paraId="65A82E0C" w14:textId="77777777" w:rsidR="00FD6EC2" w:rsidRPr="00B54378" w:rsidRDefault="00FD6EC2" w:rsidP="00FD6EC2">
      <w:pPr>
        <w:widowControl w:val="0"/>
        <w:autoSpaceDE w:val="0"/>
        <w:autoSpaceDN w:val="0"/>
        <w:spacing w:after="0" w:line="276" w:lineRule="auto"/>
        <w:jc w:val="both"/>
        <w:outlineLvl w:val="0"/>
        <w:rPr>
          <w:rFonts w:ascii="Verdana" w:eastAsia="Arial" w:hAnsi="Verdana" w:cs="Arial"/>
          <w:b/>
          <w:bCs/>
          <w:lang w:val="es-ES"/>
        </w:rPr>
      </w:pPr>
      <w:r w:rsidRPr="00B54378">
        <w:rPr>
          <w:rFonts w:ascii="Verdana" w:eastAsia="Arial" w:hAnsi="Verdana" w:cs="Arial"/>
          <w:b/>
          <w:bCs/>
          <w:lang w:val="es-ES"/>
        </w:rPr>
        <w:t>2. Respuesta:</w:t>
      </w:r>
    </w:p>
    <w:p w14:paraId="7FFB6BDB" w14:textId="77777777" w:rsidR="00FD6EC2" w:rsidRPr="00B54378" w:rsidRDefault="00FD6EC2" w:rsidP="00FD6EC2">
      <w:pPr>
        <w:spacing w:after="0" w:line="276" w:lineRule="auto"/>
        <w:rPr>
          <w:rFonts w:ascii="Verdana" w:hAnsi="Verdana"/>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D6EC2" w:rsidRPr="00B54378" w14:paraId="71EC4E37" w14:textId="77777777" w:rsidTr="0086292B">
        <w:tc>
          <w:tcPr>
            <w:tcW w:w="8828" w:type="dxa"/>
          </w:tcPr>
          <w:p w14:paraId="6B65A72B" w14:textId="77777777" w:rsidR="00FD6EC2" w:rsidRPr="00CE5CFC" w:rsidRDefault="00FD6EC2" w:rsidP="0086292B">
            <w:pPr>
              <w:pStyle w:val="NormalWeb"/>
              <w:spacing w:after="120" w:line="276" w:lineRule="auto"/>
              <w:jc w:val="both"/>
              <w:rPr>
                <w:rFonts w:ascii="Verdana" w:hAnsi="Verdana" w:cs="Segoe UI"/>
                <w:bCs/>
                <w:sz w:val="22"/>
                <w:szCs w:val="22"/>
              </w:rPr>
            </w:pPr>
            <w:bookmarkStart w:id="2" w:name="_Hlk171067516"/>
            <w:r w:rsidRPr="00CE5CFC">
              <w:rPr>
                <w:rFonts w:ascii="Verdana" w:hAnsi="Verdana" w:cs="Arial"/>
                <w:bCs/>
                <w:sz w:val="22"/>
                <w:szCs w:val="22"/>
              </w:rPr>
              <w:t xml:space="preserve">Frente a los problemas jurídicos planteados, </w:t>
            </w:r>
            <w:r w:rsidRPr="00CE5CFC">
              <w:rPr>
                <w:rFonts w:ascii="Verdana" w:eastAsia="Calibri" w:hAnsi="Verdana" w:cs="Arial"/>
                <w:bCs/>
                <w:color w:val="000000"/>
                <w:sz w:val="22"/>
                <w:szCs w:val="22"/>
              </w:rPr>
              <w:t xml:space="preserve">debe precisarse que, </w:t>
            </w:r>
            <w:r w:rsidRPr="00CE5CFC">
              <w:rPr>
                <w:rFonts w:ascii="Verdana" w:hAnsi="Verdana" w:cs="Segoe UI"/>
                <w:bCs/>
                <w:sz w:val="22"/>
                <w:szCs w:val="22"/>
              </w:rPr>
              <w:t xml:space="preserve">las Entidades Estatales, al momento de estructurar sus procesos de contratación, </w:t>
            </w:r>
            <w:r w:rsidRPr="00CE5CFC">
              <w:rPr>
                <w:rFonts w:ascii="Verdana" w:hAnsi="Verdana" w:cs="Segoe UI"/>
                <w:bCs/>
                <w:sz w:val="22"/>
                <w:szCs w:val="22"/>
              </w:rPr>
              <w:lastRenderedPageBreak/>
              <w:t xml:space="preserve">deben ceñirse a las situaciones fácticas y jurídicas definidas por el legislador en el artículo 2 de la Ley 1150 de 2007, a efectos de determinar la modalidad de selección procedente para la celebración de un contrato estatal, de acuerdo con su objeto y cuantía. En este contexto, resulta importante señalar que la </w:t>
            </w:r>
            <w:r w:rsidRPr="00CE5CFC">
              <w:rPr>
                <w:rStyle w:val="Fuerte"/>
                <w:rFonts w:ascii="Verdana" w:hAnsi="Verdana" w:cs="Segoe UI"/>
                <w:sz w:val="22"/>
                <w:szCs w:val="22"/>
              </w:rPr>
              <w:t>contratación directa</w:t>
            </w:r>
            <w:r w:rsidRPr="00CE5CFC">
              <w:rPr>
                <w:rFonts w:ascii="Verdana" w:hAnsi="Verdana" w:cs="Segoe UI"/>
                <w:bCs/>
                <w:sz w:val="22"/>
                <w:szCs w:val="22"/>
              </w:rPr>
              <w:t xml:space="preserve"> constituye una </w:t>
            </w:r>
            <w:r w:rsidRPr="00CE5CFC">
              <w:rPr>
                <w:rStyle w:val="Fuerte"/>
                <w:rFonts w:ascii="Verdana" w:hAnsi="Verdana" w:cs="Segoe UI"/>
                <w:sz w:val="22"/>
                <w:szCs w:val="22"/>
              </w:rPr>
              <w:t>excepción al principio de libre concurrencia y competencia</w:t>
            </w:r>
            <w:r w:rsidRPr="00CE5CFC">
              <w:rPr>
                <w:rFonts w:ascii="Verdana" w:hAnsi="Verdana" w:cs="Segoe UI"/>
                <w:bCs/>
                <w:sz w:val="22"/>
                <w:szCs w:val="22"/>
              </w:rPr>
              <w:t>, el cual rige los procesos de contratación estatal y garantiza que cualquier persona interesada en satisfacer la necesidad de una entidad pueda presentar una oferta.</w:t>
            </w:r>
          </w:p>
          <w:p w14:paraId="35CB0B24"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 xml:space="preserve">Al tratarse de una excepción a dichos principios, la contratación directa es de </w:t>
            </w:r>
            <w:r w:rsidRPr="00CE5CFC">
              <w:rPr>
                <w:rStyle w:val="Fuerte"/>
                <w:rFonts w:ascii="Verdana" w:hAnsi="Verdana" w:cs="Segoe UI"/>
                <w:sz w:val="22"/>
                <w:szCs w:val="22"/>
              </w:rPr>
              <w:t>aplicación restrictiva</w:t>
            </w:r>
            <w:r w:rsidRPr="00CE5CFC">
              <w:rPr>
                <w:rFonts w:ascii="Verdana" w:hAnsi="Verdana" w:cs="Segoe UI"/>
                <w:bCs/>
                <w:sz w:val="22"/>
                <w:szCs w:val="22"/>
              </w:rPr>
              <w:t>, es decir, únicamente procede en los eventos expresamente señalados por la ley. Principalmente, las causales para acudir a esta modalidad se encuentran previstas en el numeral 4 del artículo 2 de la Ley 1150 de 2007; no obstante, existen también otras disposiciones legales que autorizan la contratación directa en supuestos específicos.</w:t>
            </w:r>
          </w:p>
          <w:p w14:paraId="49773AEB"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 xml:space="preserve">En ese sentido, su aplicación no puede realizarse por fuera del contenido normativo ni extenderse más allá de lo expresamente dispuesto por el legislador dentro del ordenamiento jurídico de la contratación estatal. Así, </w:t>
            </w:r>
            <w:r>
              <w:rPr>
                <w:rFonts w:ascii="Verdana" w:hAnsi="Verdana" w:cs="Segoe UI"/>
                <w:bCs/>
                <w:sz w:val="22"/>
                <w:szCs w:val="22"/>
              </w:rPr>
              <w:t xml:space="preserve">respecto al primer problema jurídico, </w:t>
            </w:r>
            <w:r w:rsidRPr="00CE5CFC">
              <w:rPr>
                <w:rFonts w:ascii="Verdana" w:hAnsi="Verdana" w:cs="Segoe UI"/>
                <w:bCs/>
                <w:sz w:val="22"/>
                <w:szCs w:val="22"/>
              </w:rPr>
              <w:t xml:space="preserve">en virtud de la causal definida en el literal h) del citado numeral 4, la contratación directa procede específicamente para la celebración de </w:t>
            </w:r>
            <w:r w:rsidRPr="00CE5CFC">
              <w:rPr>
                <w:rStyle w:val="Fuerte"/>
                <w:rFonts w:ascii="Verdana" w:hAnsi="Verdana" w:cs="Segoe UI"/>
                <w:sz w:val="22"/>
                <w:szCs w:val="22"/>
              </w:rPr>
              <w:t>contratos de prestación de servicios profesionales, de apoyo a la gestión o para la ejecución de trabajos artísticos</w:t>
            </w:r>
            <w:r w:rsidRPr="00CE5CFC">
              <w:rPr>
                <w:rFonts w:ascii="Verdana" w:hAnsi="Verdana" w:cs="Segoe UI"/>
                <w:bCs/>
                <w:sz w:val="22"/>
                <w:szCs w:val="22"/>
              </w:rPr>
              <w:t>, sin distinción de la cuantía u objeto, en los términos previstos en dicha disposición.</w:t>
            </w:r>
          </w:p>
          <w:p w14:paraId="7E1C3736"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 xml:space="preserve">Esta precisión resulta relevante, pues en materia de selección de contratistas rige el </w:t>
            </w:r>
            <w:r w:rsidRPr="00CE5CFC">
              <w:rPr>
                <w:rStyle w:val="Fuerte"/>
                <w:rFonts w:ascii="Verdana" w:hAnsi="Verdana" w:cs="Segoe UI"/>
                <w:sz w:val="22"/>
                <w:szCs w:val="22"/>
              </w:rPr>
              <w:t>principio de legalidad</w:t>
            </w:r>
            <w:r w:rsidRPr="00CE5CFC">
              <w:rPr>
                <w:rFonts w:ascii="Verdana" w:hAnsi="Verdana" w:cs="Segoe UI"/>
                <w:bCs/>
                <w:sz w:val="22"/>
                <w:szCs w:val="22"/>
              </w:rPr>
              <w:t xml:space="preserve">, conforme al cual la entidad debe acudir exclusivamente a la modalidad establecida por el legislador, de acuerdo con las causales o eventos previstos para la procedencia de cada una. En consecuencia, la contratación de prestación de servicios solo podrá adelantarse de forma directa cuando estos correspondan a servicios </w:t>
            </w:r>
            <w:r w:rsidRPr="00CE5CFC">
              <w:rPr>
                <w:rStyle w:val="Fuerte"/>
                <w:rFonts w:ascii="Verdana" w:hAnsi="Verdana" w:cs="Segoe UI"/>
                <w:sz w:val="22"/>
                <w:szCs w:val="22"/>
              </w:rPr>
              <w:t>profesionales, de apoyo a la gestión o artísticos</w:t>
            </w:r>
            <w:r w:rsidRPr="00CE5CFC">
              <w:rPr>
                <w:rFonts w:ascii="Verdana" w:hAnsi="Verdana" w:cs="Segoe UI"/>
                <w:bCs/>
                <w:sz w:val="22"/>
                <w:szCs w:val="22"/>
              </w:rPr>
              <w:t>, en los términos autorizados por la ley.</w:t>
            </w:r>
          </w:p>
          <w:p w14:paraId="1B7F1DC3"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lastRenderedPageBreak/>
              <w:t>En armonía con lo anterior, se concluye que la contratación directa, como modalidad de selección prevista en la Ley, se encuentra condicionada a la aplicación estricta y restrictiva de sus causales, por lo que no es procedente realizar interpretaciones amplias o extensivas. Ello, en atención a que su finalidad es constituir una excepción a la libre concurrencia de oferentes y no un mecanismo para impedir o restringir la competencia, de conformidad con los principios que rigen la contratación estatal, la función administrativa y la gestión fiscal.</w:t>
            </w:r>
          </w:p>
          <w:p w14:paraId="76A58127"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Pr>
                <w:rFonts w:ascii="Verdana" w:hAnsi="Verdana" w:cs="Segoe UI"/>
                <w:bCs/>
                <w:sz w:val="22"/>
                <w:szCs w:val="22"/>
              </w:rPr>
              <w:t>Respecto al segundo problema jurídico</w:t>
            </w:r>
            <w:r w:rsidRPr="00CE5CFC">
              <w:rPr>
                <w:rFonts w:ascii="Verdana" w:hAnsi="Verdana" w:cs="Segoe UI"/>
                <w:bCs/>
                <w:sz w:val="22"/>
                <w:szCs w:val="22"/>
              </w:rPr>
              <w:t xml:space="preserve">, la modalidad de selección de </w:t>
            </w:r>
            <w:r w:rsidRPr="00CE5CFC">
              <w:rPr>
                <w:rStyle w:val="Fuerte"/>
                <w:rFonts w:ascii="Verdana" w:hAnsi="Verdana" w:cs="Segoe UI"/>
                <w:sz w:val="22"/>
                <w:szCs w:val="22"/>
              </w:rPr>
              <w:t>mínima cuantía</w:t>
            </w:r>
            <w:r w:rsidRPr="00CE5CFC">
              <w:rPr>
                <w:rFonts w:ascii="Verdana" w:hAnsi="Verdana" w:cs="Segoe UI"/>
                <w:bCs/>
                <w:sz w:val="22"/>
                <w:szCs w:val="22"/>
              </w:rPr>
              <w:t xml:space="preserve">, regulada en el numeral 5 del artículo 2 de la Ley 1150 de 2007, permite “la contratación cuyo valor no excede del diez por ciento (10 %) de la menor cuantía de la entidad, independientemente de su objeto”. En consecuencia, la procedencia de esta modalidad depende de un factor determinante: la </w:t>
            </w:r>
            <w:r w:rsidRPr="00CE5CFC">
              <w:rPr>
                <w:rStyle w:val="Fuerte"/>
                <w:rFonts w:ascii="Verdana" w:hAnsi="Verdana" w:cs="Segoe UI"/>
                <w:sz w:val="22"/>
                <w:szCs w:val="22"/>
              </w:rPr>
              <w:t>cuantía</w:t>
            </w:r>
            <w:r w:rsidRPr="00CE5CFC">
              <w:rPr>
                <w:rFonts w:ascii="Verdana" w:hAnsi="Verdana" w:cs="Segoe UI"/>
                <w:bCs/>
                <w:sz w:val="22"/>
                <w:szCs w:val="22"/>
              </w:rPr>
              <w:t xml:space="preserve"> del contrato que se pretende celebrar.</w:t>
            </w:r>
          </w:p>
          <w:p w14:paraId="4658A1AA"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De conformidad con lo expuesto, las Entidades Estatales deben observar, al momento de identificar la necesidad que buscan satisfacer, las situaciones fácticas y jurídicas previamente definidas por la ley para adelantar el proceso de contratación a través de la modalidad de selección correspondiente. En ese sentido, podrán contratar la adquisición de bienes, la ejecución de obras o la prestación de servicios mediante la modalidad de mínima cuantía, siempre que se cumpla el criterio de cuantía y que las normas que integran el Estatuto General de Contratación de la Administración Pública —Ley 80 de 1993, Ley 1150 de 2007, Decreto 1082 de 2015 y las demás que las modifiquen o complementen— no hayan asignado de manera expresa dichos objetos a una modalidad de selección diferente.</w:t>
            </w:r>
          </w:p>
          <w:p w14:paraId="513ED132" w14:textId="77777777" w:rsidR="00FD6EC2" w:rsidRPr="00B54378" w:rsidRDefault="00FD6EC2" w:rsidP="0086292B">
            <w:pPr>
              <w:spacing w:before="120" w:line="276" w:lineRule="auto"/>
              <w:ind w:firstLine="709"/>
              <w:jc w:val="both"/>
              <w:rPr>
                <w:rFonts w:ascii="Verdana" w:eastAsia="Calibri" w:hAnsi="Verdana" w:cs="Arial"/>
              </w:rPr>
            </w:pPr>
            <w:r w:rsidRPr="00B54378">
              <w:rPr>
                <w:rFonts w:ascii="Verdana" w:eastAsia="Calibri" w:hAnsi="Verdana" w:cs="Arial"/>
              </w:rPr>
              <w:t xml:space="preserve">Finalmente, debe advertirse que el análisis requerido para resolver problemas específicos en torno a la gestión contractual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w:t>
            </w:r>
            <w:r w:rsidRPr="00B54378">
              <w:rPr>
                <w:rFonts w:ascii="Verdana" w:eastAsia="Calibri" w:hAnsi="Verdana" w:cs="Arial"/>
              </w:rPr>
              <w:lastRenderedPageBreak/>
              <w:t xml:space="preserve">la decisión y, en caso de conflicto, a las autoridades judiciales, fiscales y disciplinarias.  </w:t>
            </w:r>
          </w:p>
        </w:tc>
      </w:tr>
      <w:bookmarkEnd w:id="2"/>
    </w:tbl>
    <w:p w14:paraId="11819922" w14:textId="77777777" w:rsidR="00FD6EC2" w:rsidRPr="00B54378" w:rsidRDefault="00FD6EC2" w:rsidP="00FD6EC2">
      <w:pPr>
        <w:tabs>
          <w:tab w:val="left" w:pos="142"/>
          <w:tab w:val="left" w:pos="967"/>
        </w:tabs>
        <w:spacing w:after="0" w:line="276" w:lineRule="auto"/>
        <w:jc w:val="both"/>
        <w:rPr>
          <w:rFonts w:ascii="Verdana" w:eastAsia="Century Gothic" w:hAnsi="Verdana" w:cs="Century Gothic"/>
          <w:b/>
          <w:bCs/>
          <w:lang w:val="es-ES"/>
        </w:rPr>
      </w:pPr>
    </w:p>
    <w:p w14:paraId="33DC5849" w14:textId="77777777" w:rsidR="00FD6EC2" w:rsidRPr="00B54378" w:rsidRDefault="00FD6EC2" w:rsidP="00FD6EC2">
      <w:pPr>
        <w:widowControl w:val="0"/>
        <w:autoSpaceDE w:val="0"/>
        <w:autoSpaceDN w:val="0"/>
        <w:spacing w:after="0" w:line="276" w:lineRule="auto"/>
        <w:ind w:left="360" w:hanging="360"/>
        <w:outlineLvl w:val="0"/>
        <w:rPr>
          <w:rFonts w:ascii="Verdana" w:eastAsia="Arial" w:hAnsi="Verdana" w:cs="Arial"/>
          <w:b/>
          <w:bCs/>
          <w:lang w:val="es-ES"/>
        </w:rPr>
      </w:pPr>
      <w:r w:rsidRPr="00B54378">
        <w:rPr>
          <w:rFonts w:ascii="Verdana" w:eastAsia="Arial" w:hAnsi="Verdana" w:cs="Arial"/>
          <w:b/>
          <w:bCs/>
          <w:lang w:val="es-ES"/>
        </w:rPr>
        <w:t>3. Razones de la respuesta</w:t>
      </w:r>
    </w:p>
    <w:p w14:paraId="2733C56F" w14:textId="77777777" w:rsidR="00FD6EC2" w:rsidRPr="00B54378" w:rsidRDefault="00FD6EC2" w:rsidP="00FD6EC2">
      <w:pPr>
        <w:spacing w:after="0" w:line="276" w:lineRule="auto"/>
        <w:jc w:val="both"/>
        <w:rPr>
          <w:rFonts w:ascii="Verdana" w:eastAsia="Calibri" w:hAnsi="Verdana" w:cs="Arial"/>
          <w:lang w:val="es-ES"/>
        </w:rPr>
      </w:pPr>
    </w:p>
    <w:p w14:paraId="0829EFCC" w14:textId="77777777" w:rsidR="00FD6EC2" w:rsidRPr="00B54378" w:rsidRDefault="00FD6EC2" w:rsidP="00FD6EC2">
      <w:pPr>
        <w:spacing w:after="0" w:line="276" w:lineRule="auto"/>
        <w:jc w:val="both"/>
        <w:rPr>
          <w:rFonts w:ascii="Verdana" w:eastAsia="Calibri" w:hAnsi="Verdana" w:cs="Arial"/>
          <w:lang w:val="es-ES"/>
        </w:rPr>
      </w:pPr>
      <w:r w:rsidRPr="00B54378">
        <w:rPr>
          <w:rFonts w:ascii="Verdana" w:eastAsia="Calibri" w:hAnsi="Verdana" w:cs="Arial"/>
          <w:lang w:val="es-ES"/>
        </w:rPr>
        <w:t xml:space="preserve">La respuesta anterior se sustenta en las siguientes consideraciones: </w:t>
      </w:r>
    </w:p>
    <w:p w14:paraId="4BE108A0" w14:textId="77777777" w:rsidR="00FD6EC2" w:rsidRPr="00B54378" w:rsidRDefault="00FD6EC2" w:rsidP="00FD6EC2">
      <w:pPr>
        <w:spacing w:after="0" w:line="276" w:lineRule="auto"/>
        <w:jc w:val="both"/>
        <w:rPr>
          <w:rFonts w:ascii="Verdana" w:eastAsia="Calibri" w:hAnsi="Verdana" w:cs="Arial"/>
          <w:lang w:val="es-ES"/>
        </w:rPr>
      </w:pPr>
    </w:p>
    <w:p w14:paraId="1314BFB7" w14:textId="77777777" w:rsidR="00FD6EC2" w:rsidRDefault="00FD6EC2" w:rsidP="00FD6EC2">
      <w:pPr>
        <w:tabs>
          <w:tab w:val="left" w:pos="0"/>
        </w:tabs>
        <w:spacing w:after="120" w:line="276" w:lineRule="auto"/>
        <w:jc w:val="both"/>
        <w:rPr>
          <w:rFonts w:ascii="Verdana" w:eastAsia="Calibri" w:hAnsi="Verdana" w:cs="Arial"/>
          <w:color w:val="000000" w:themeColor="text1"/>
          <w:lang w:val="es-ES_tradnl"/>
        </w:rPr>
      </w:pPr>
      <w:r w:rsidRPr="00B54378">
        <w:rPr>
          <w:rFonts w:ascii="Verdana" w:hAnsi="Verdana" w:cs="Arial"/>
          <w:color w:val="000000" w:themeColor="text1"/>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B54378">
        <w:rPr>
          <w:rFonts w:ascii="Verdana" w:eastAsia="Calibri" w:hAnsi="Verdana" w:cs="Arial"/>
          <w:color w:val="000000" w:themeColor="text1"/>
          <w:lang w:val="es-ES_tradnl"/>
        </w:rPr>
        <w:t xml:space="preserve"> </w:t>
      </w:r>
    </w:p>
    <w:p w14:paraId="1E0B7DF0" w14:textId="77777777" w:rsidR="00FD6EC2" w:rsidRPr="00B54378" w:rsidRDefault="00FD6EC2" w:rsidP="00FD6EC2">
      <w:pPr>
        <w:tabs>
          <w:tab w:val="left" w:pos="0"/>
        </w:tabs>
        <w:spacing w:after="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t xml:space="preserve">Ahora bien, respecto de la modalidad de selección del contratista debe señalarse que, de acuerdo </w:t>
      </w:r>
      <w:r w:rsidRPr="00B54378">
        <w:rPr>
          <w:rFonts w:ascii="Verdana" w:eastAsia="Calibri" w:hAnsi="Verdana" w:cs="Arial"/>
          <w:color w:val="000000" w:themeColor="text1"/>
          <w:lang w:val="es-ES_tradnl"/>
        </w:rPr>
        <w:t>el literal h), numeral 4º, del artículo 2 de la Ley 1150 de 2007</w:t>
      </w:r>
      <w:r>
        <w:rPr>
          <w:rFonts w:ascii="Verdana" w:eastAsia="Calibri" w:hAnsi="Verdana" w:cs="Arial"/>
          <w:color w:val="000000" w:themeColor="text1"/>
          <w:lang w:val="es-ES_tradnl"/>
        </w:rPr>
        <w:t xml:space="preserve"> señala que el contrato de prestación de servicios y profesionales, de apoyo a la gestión y de ejecución de trabajos artísticos </w:t>
      </w:r>
      <w:r w:rsidRPr="00B54378">
        <w:rPr>
          <w:rFonts w:ascii="Verdana" w:eastAsia="Calibri" w:hAnsi="Verdana" w:cs="Arial"/>
          <w:color w:val="000000" w:themeColor="text1"/>
          <w:lang w:val="es-ES_tradnl"/>
        </w:rPr>
        <w:t>debe efectuarse a través de la modalidad de contratación directa. Así</w:t>
      </w:r>
      <w:r>
        <w:rPr>
          <w:rFonts w:ascii="Verdana" w:eastAsia="Calibri" w:hAnsi="Verdana" w:cs="Arial"/>
          <w:color w:val="000000" w:themeColor="text1"/>
          <w:lang w:val="es-ES_tradnl"/>
        </w:rPr>
        <w:t>, el artículo antes citado expresamente</w:t>
      </w:r>
      <w:r w:rsidRPr="00B54378">
        <w:rPr>
          <w:rFonts w:ascii="Verdana" w:eastAsia="Calibri" w:hAnsi="Verdana" w:cs="Arial"/>
          <w:color w:val="000000" w:themeColor="text1"/>
          <w:lang w:val="es-ES_tradnl"/>
        </w:rPr>
        <w:t xml:space="preserve"> dispone:</w:t>
      </w:r>
    </w:p>
    <w:p w14:paraId="39EB2B57" w14:textId="77777777" w:rsidR="00FD6EC2" w:rsidRPr="00B54378" w:rsidRDefault="00FD6EC2" w:rsidP="00FD6EC2">
      <w:pPr>
        <w:spacing w:after="0" w:line="276" w:lineRule="auto"/>
        <w:ind w:right="709"/>
        <w:jc w:val="both"/>
        <w:rPr>
          <w:rFonts w:ascii="Verdana" w:eastAsia="Calibri" w:hAnsi="Verdana" w:cs="Arial"/>
          <w:color w:val="000000" w:themeColor="text1"/>
          <w:sz w:val="21"/>
          <w:szCs w:val="21"/>
          <w:lang w:val="es-ES_tradnl"/>
        </w:rPr>
      </w:pPr>
    </w:p>
    <w:p w14:paraId="0DEA8991" w14:textId="77777777" w:rsidR="00FD6EC2" w:rsidRPr="00B54378" w:rsidRDefault="00FD6EC2" w:rsidP="00FD6EC2">
      <w:pPr>
        <w:spacing w:after="0" w:line="240" w:lineRule="auto"/>
        <w:ind w:left="709" w:right="709"/>
        <w:contextualSpacing/>
        <w:jc w:val="both"/>
        <w:rPr>
          <w:rFonts w:ascii="Verdana" w:eastAsia="Calibri" w:hAnsi="Verdana" w:cs="Arial"/>
          <w:color w:val="000000" w:themeColor="text1"/>
          <w:sz w:val="20"/>
          <w:szCs w:val="20"/>
          <w:lang w:val="es-MX"/>
        </w:rPr>
      </w:pPr>
      <w:r w:rsidRPr="00B54378">
        <w:rPr>
          <w:rFonts w:ascii="Verdana" w:eastAsia="Calibri" w:hAnsi="Verdana" w:cs="Arial"/>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14:paraId="79AC34CC" w14:textId="77777777" w:rsidR="00FD6EC2" w:rsidRPr="00B54378" w:rsidRDefault="00FD6EC2" w:rsidP="00FD6EC2">
      <w:pPr>
        <w:spacing w:after="0" w:line="240" w:lineRule="auto"/>
        <w:ind w:left="709" w:right="709"/>
        <w:contextualSpacing/>
        <w:jc w:val="both"/>
        <w:rPr>
          <w:rFonts w:ascii="Verdana" w:eastAsia="Calibri" w:hAnsi="Verdana" w:cs="Arial"/>
          <w:color w:val="000000" w:themeColor="text1"/>
          <w:sz w:val="20"/>
          <w:szCs w:val="20"/>
          <w:lang w:val="es-MX"/>
        </w:rPr>
      </w:pPr>
      <w:r w:rsidRPr="00B54378">
        <w:rPr>
          <w:rFonts w:ascii="Verdana" w:eastAsia="Calibri" w:hAnsi="Verdana" w:cs="Arial"/>
          <w:color w:val="000000" w:themeColor="text1"/>
          <w:sz w:val="20"/>
          <w:szCs w:val="20"/>
          <w:lang w:val="es-MX"/>
        </w:rPr>
        <w:t>[…]</w:t>
      </w:r>
    </w:p>
    <w:p w14:paraId="5E726DFE" w14:textId="77777777" w:rsidR="00FD6EC2" w:rsidRPr="00B54378" w:rsidRDefault="00FD6EC2" w:rsidP="00FD6EC2">
      <w:pPr>
        <w:spacing w:after="0" w:line="240" w:lineRule="auto"/>
        <w:ind w:left="709" w:right="709"/>
        <w:contextualSpacing/>
        <w:jc w:val="both"/>
        <w:rPr>
          <w:rFonts w:ascii="Verdana" w:eastAsia="Calibri" w:hAnsi="Verdana" w:cs="Arial"/>
          <w:color w:val="000000" w:themeColor="text1"/>
          <w:sz w:val="20"/>
          <w:szCs w:val="20"/>
          <w:lang w:val="es-MX"/>
        </w:rPr>
      </w:pPr>
      <w:r w:rsidRPr="00B54378">
        <w:rPr>
          <w:rFonts w:ascii="Verdana" w:eastAsia="Calibri" w:hAnsi="Verdana" w:cs="Arial"/>
          <w:color w:val="000000" w:themeColor="text1"/>
          <w:sz w:val="20"/>
          <w:szCs w:val="20"/>
          <w:lang w:val="es-MX"/>
        </w:rPr>
        <w:t>4. Contratación directa. La modalidad de selección de contratación directa, solamente procederá en los siguientes casos:</w:t>
      </w:r>
    </w:p>
    <w:p w14:paraId="66F29B16" w14:textId="77777777" w:rsidR="00FD6EC2" w:rsidRPr="00B54378" w:rsidRDefault="00FD6EC2" w:rsidP="00FD6EC2">
      <w:pPr>
        <w:spacing w:after="0" w:line="240" w:lineRule="auto"/>
        <w:ind w:left="709" w:right="709"/>
        <w:contextualSpacing/>
        <w:jc w:val="both"/>
        <w:rPr>
          <w:rFonts w:ascii="Verdana" w:eastAsia="Calibri" w:hAnsi="Verdana" w:cs="Arial"/>
          <w:color w:val="000000" w:themeColor="text1"/>
          <w:sz w:val="20"/>
          <w:szCs w:val="20"/>
          <w:lang w:val="es-MX"/>
        </w:rPr>
      </w:pPr>
      <w:r w:rsidRPr="00B54378">
        <w:rPr>
          <w:rFonts w:ascii="Verdana" w:eastAsia="Calibri" w:hAnsi="Verdana" w:cs="Arial"/>
          <w:color w:val="000000" w:themeColor="text1"/>
          <w:sz w:val="20"/>
          <w:szCs w:val="20"/>
          <w:lang w:val="es-MX"/>
        </w:rPr>
        <w:t>[…]</w:t>
      </w:r>
    </w:p>
    <w:p w14:paraId="043497D4" w14:textId="77777777" w:rsidR="00FD6EC2" w:rsidRPr="00B54378" w:rsidRDefault="00FD6EC2" w:rsidP="00FD6EC2">
      <w:pPr>
        <w:spacing w:after="0" w:line="240" w:lineRule="auto"/>
        <w:ind w:left="709" w:right="709"/>
        <w:contextualSpacing/>
        <w:jc w:val="both"/>
        <w:rPr>
          <w:rFonts w:ascii="Verdana" w:eastAsia="Calibri" w:hAnsi="Verdana" w:cs="Arial"/>
          <w:color w:val="000000" w:themeColor="text1"/>
          <w:sz w:val="20"/>
          <w:szCs w:val="20"/>
          <w:lang w:val="es-MX"/>
        </w:rPr>
      </w:pPr>
      <w:r w:rsidRPr="00B54378">
        <w:rPr>
          <w:rFonts w:ascii="Verdana" w:eastAsia="Calibri" w:hAnsi="Verdana" w:cs="Arial"/>
          <w:color w:val="000000" w:themeColor="text1"/>
          <w:sz w:val="20"/>
          <w:szCs w:val="20"/>
          <w:lang w:val="es-MX"/>
        </w:rPr>
        <w:t xml:space="preserve">h) Para la </w:t>
      </w:r>
      <w:r w:rsidRPr="00CE5CFC">
        <w:rPr>
          <w:rFonts w:ascii="Verdana" w:eastAsia="Calibri" w:hAnsi="Verdana" w:cs="Arial"/>
          <w:i/>
          <w:iCs/>
          <w:color w:val="000000" w:themeColor="text1"/>
          <w:sz w:val="20"/>
          <w:szCs w:val="20"/>
          <w:u w:val="single"/>
          <w:lang w:val="es-MX"/>
        </w:rPr>
        <w:t>prestación de servicios profesionales y de apoyo a la gestión, o para la ejecución de trabajos artísticos que sólo puedan encomendarse a determinadas personas naturales</w:t>
      </w:r>
      <w:r w:rsidRPr="00B54378">
        <w:rPr>
          <w:rFonts w:ascii="Verdana" w:eastAsia="Calibri" w:hAnsi="Verdana" w:cs="Arial"/>
          <w:color w:val="000000" w:themeColor="text1"/>
          <w:sz w:val="20"/>
          <w:szCs w:val="20"/>
          <w:lang w:val="es-MX"/>
        </w:rPr>
        <w:t>”.</w:t>
      </w:r>
      <w:r>
        <w:rPr>
          <w:rFonts w:ascii="Verdana" w:eastAsia="Calibri" w:hAnsi="Verdana" w:cs="Arial"/>
          <w:color w:val="000000" w:themeColor="text1"/>
          <w:sz w:val="20"/>
          <w:szCs w:val="20"/>
          <w:lang w:val="es-MX"/>
        </w:rPr>
        <w:t xml:space="preserve"> [Énfasis fuera del texto orginal]</w:t>
      </w:r>
    </w:p>
    <w:p w14:paraId="70B144A7" w14:textId="77777777" w:rsidR="00FD6EC2" w:rsidRPr="00B54378" w:rsidRDefault="00FD6EC2" w:rsidP="00FD6EC2">
      <w:pPr>
        <w:tabs>
          <w:tab w:val="left" w:pos="0"/>
        </w:tabs>
        <w:spacing w:after="0" w:line="276" w:lineRule="auto"/>
        <w:contextualSpacing/>
        <w:jc w:val="both"/>
        <w:rPr>
          <w:rFonts w:ascii="Verdana" w:hAnsi="Verdana" w:cs="Arial"/>
          <w:noProof/>
          <w:lang w:val="es-ES_tradnl"/>
        </w:rPr>
      </w:pPr>
      <w:r w:rsidRPr="00B54378">
        <w:rPr>
          <w:rFonts w:ascii="Verdana" w:hAnsi="Verdana" w:cs="Arial"/>
          <w:noProof/>
          <w:lang w:val="es-ES_tradnl"/>
        </w:rPr>
        <w:tab/>
      </w:r>
    </w:p>
    <w:p w14:paraId="5BA3B40D" w14:textId="77777777" w:rsidR="00FD6EC2" w:rsidRPr="00B54378" w:rsidRDefault="00FD6EC2" w:rsidP="00FD6EC2">
      <w:pPr>
        <w:tabs>
          <w:tab w:val="left" w:pos="0"/>
        </w:tabs>
        <w:spacing w:after="0" w:line="276" w:lineRule="auto"/>
        <w:contextualSpacing/>
        <w:jc w:val="both"/>
        <w:rPr>
          <w:rFonts w:ascii="Verdana" w:hAnsi="Verdana" w:cs="Arial"/>
          <w:noProof/>
          <w:lang w:val="es-ES_tradnl"/>
        </w:rPr>
      </w:pPr>
      <w:r w:rsidRPr="00B54378">
        <w:rPr>
          <w:rFonts w:ascii="Verdana" w:hAnsi="Verdana" w:cs="Arial"/>
          <w:noProof/>
          <w:lang w:val="es-ES_tradnl"/>
        </w:rPr>
        <w:tab/>
      </w:r>
      <w:r>
        <w:rPr>
          <w:rFonts w:ascii="Verdana" w:hAnsi="Verdana" w:cs="Arial"/>
          <w:noProof/>
          <w:lang w:val="es-ES_tradnl"/>
        </w:rPr>
        <w:t>En concordancia con lo anterior</w:t>
      </w:r>
      <w:r w:rsidRPr="00B54378">
        <w:rPr>
          <w:rFonts w:ascii="Verdana" w:hAnsi="Verdana" w:cs="Arial"/>
          <w:noProof/>
          <w:lang w:val="es-ES_tradnl"/>
        </w:rPr>
        <w:t>, el artículo 2.2.1.2.1.4.9 del Decreto 1082 de 2015 reglamenta la contratación directa para los contratos de servicios profesionales y de apoyo a la gestión, o para la ejecución de trabajos artísticos que solo puedan encomendarse a determinadas personas naturales, en los siguientes términos:</w:t>
      </w:r>
    </w:p>
    <w:p w14:paraId="323F3A74" w14:textId="77777777" w:rsidR="00FD6EC2" w:rsidRPr="00B54378" w:rsidRDefault="00FD6EC2" w:rsidP="00FD6EC2">
      <w:pPr>
        <w:tabs>
          <w:tab w:val="left" w:pos="0"/>
        </w:tabs>
        <w:spacing w:after="0" w:line="276" w:lineRule="auto"/>
        <w:contextualSpacing/>
        <w:jc w:val="both"/>
        <w:rPr>
          <w:rFonts w:ascii="Verdana" w:hAnsi="Verdana" w:cs="Arial"/>
          <w:noProof/>
          <w:lang w:val="es-ES_tradnl"/>
        </w:rPr>
      </w:pPr>
    </w:p>
    <w:p w14:paraId="3EB244EA" w14:textId="77777777" w:rsidR="00FD6EC2" w:rsidRPr="00B54378" w:rsidRDefault="00FD6EC2" w:rsidP="00FD6EC2">
      <w:pPr>
        <w:spacing w:after="0" w:line="240" w:lineRule="auto"/>
        <w:ind w:left="709" w:right="709"/>
        <w:contextualSpacing/>
        <w:jc w:val="both"/>
        <w:rPr>
          <w:rFonts w:ascii="Verdana" w:hAnsi="Verdana" w:cs="Arial"/>
          <w:sz w:val="20"/>
          <w:szCs w:val="20"/>
          <w:lang w:val="es-MX"/>
        </w:rPr>
      </w:pPr>
      <w:r w:rsidRPr="00B54378">
        <w:rPr>
          <w:rFonts w:ascii="Verdana" w:hAnsi="Verdana" w:cs="Arial"/>
          <w:sz w:val="20"/>
          <w:szCs w:val="20"/>
          <w:lang w:val="es-MX"/>
        </w:rPr>
        <w:t xml:space="preserve">“Las Entidades Estatales </w:t>
      </w:r>
      <w:r w:rsidRPr="00B54378">
        <w:rPr>
          <w:rFonts w:ascii="Verdana" w:hAnsi="Verdana" w:cs="Arial"/>
          <w:i/>
          <w:iCs/>
          <w:sz w:val="20"/>
          <w:szCs w:val="20"/>
          <w:u w:val="single"/>
          <w:lang w:val="es-MX"/>
        </w:rPr>
        <w:t>pueden contratar bajo la modalidad de contratación directa la prestación de servicios profesionales y de apoyo a la gestión</w:t>
      </w:r>
      <w:r w:rsidRPr="00B54378">
        <w:rPr>
          <w:rFonts w:ascii="Verdana" w:hAnsi="Verdana" w:cs="Arial"/>
          <w:sz w:val="20"/>
          <w:szCs w:val="20"/>
          <w:lang w:val="es-MX"/>
        </w:rPr>
        <w:t xml:space="preserve">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80A9781" w14:textId="77777777" w:rsidR="00FD6EC2" w:rsidRPr="00B54378" w:rsidRDefault="00FD6EC2" w:rsidP="00FD6EC2">
      <w:pPr>
        <w:spacing w:after="0" w:line="240" w:lineRule="auto"/>
        <w:ind w:left="709" w:right="709"/>
        <w:contextualSpacing/>
        <w:jc w:val="both"/>
        <w:rPr>
          <w:rFonts w:ascii="Verdana" w:hAnsi="Verdana" w:cs="Arial"/>
          <w:sz w:val="20"/>
          <w:szCs w:val="20"/>
        </w:rPr>
      </w:pPr>
    </w:p>
    <w:p w14:paraId="2963092E" w14:textId="77777777" w:rsidR="00FD6EC2" w:rsidRPr="00B54378" w:rsidRDefault="00FD6EC2" w:rsidP="00FD6EC2">
      <w:pPr>
        <w:spacing w:after="0" w:line="240" w:lineRule="auto"/>
        <w:ind w:left="709" w:right="709"/>
        <w:contextualSpacing/>
        <w:jc w:val="both"/>
        <w:rPr>
          <w:rFonts w:ascii="Verdana" w:hAnsi="Verdana" w:cs="Arial"/>
          <w:sz w:val="20"/>
          <w:szCs w:val="20"/>
          <w:lang w:val="es-MX"/>
        </w:rPr>
      </w:pPr>
      <w:r w:rsidRPr="00B54378">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5763F0F7" w14:textId="77777777" w:rsidR="00FD6EC2" w:rsidRPr="00B54378" w:rsidRDefault="00FD6EC2" w:rsidP="00FD6EC2">
      <w:pPr>
        <w:spacing w:after="0" w:line="240" w:lineRule="auto"/>
        <w:ind w:left="709" w:right="709"/>
        <w:contextualSpacing/>
        <w:jc w:val="both"/>
        <w:rPr>
          <w:rFonts w:ascii="Verdana" w:hAnsi="Verdana" w:cs="Arial"/>
          <w:sz w:val="20"/>
          <w:szCs w:val="20"/>
          <w:lang w:val="es-MX"/>
        </w:rPr>
      </w:pPr>
    </w:p>
    <w:p w14:paraId="302029F8" w14:textId="77777777" w:rsidR="00FD6EC2" w:rsidRPr="00B54378" w:rsidRDefault="00FD6EC2" w:rsidP="00FD6EC2">
      <w:pPr>
        <w:spacing w:after="0" w:line="240" w:lineRule="auto"/>
        <w:ind w:left="709" w:right="709"/>
        <w:contextualSpacing/>
        <w:jc w:val="both"/>
        <w:rPr>
          <w:rFonts w:ascii="Verdana" w:hAnsi="Verdana" w:cs="Arial"/>
          <w:sz w:val="20"/>
          <w:szCs w:val="20"/>
          <w:lang w:val="es-MX"/>
        </w:rPr>
      </w:pPr>
      <w:r w:rsidRPr="00B54378">
        <w:rPr>
          <w:rFonts w:ascii="Verdana" w:hAnsi="Verdana" w:cs="Arial"/>
          <w:sz w:val="20"/>
          <w:szCs w:val="20"/>
          <w:lang w:val="es-MX"/>
        </w:rPr>
        <w:t>La Entidad Estatal, para la contratación de trabajos artísticos que solamente puedan en</w:t>
      </w:r>
      <w:r w:rsidRPr="00B54378">
        <w:rPr>
          <w:rFonts w:ascii="Verdana" w:hAnsi="Verdana" w:cs="Arial"/>
          <w:sz w:val="20"/>
          <w:szCs w:val="20"/>
          <w:lang w:val="es-MX"/>
        </w:rPr>
        <w:softHyphen/>
        <w:t>comendarse a determinadas personas naturales, debe justificar esta situación en los estudios y documentos previos”. [Énfasis fuera de texto]</w:t>
      </w:r>
    </w:p>
    <w:p w14:paraId="5CF6DAB2" w14:textId="77777777" w:rsidR="00FD6EC2" w:rsidRPr="00CE5CFC" w:rsidRDefault="00FD6EC2" w:rsidP="00FD6EC2">
      <w:pPr>
        <w:tabs>
          <w:tab w:val="left" w:pos="0"/>
        </w:tabs>
        <w:spacing w:after="0" w:line="276" w:lineRule="auto"/>
        <w:jc w:val="both"/>
        <w:rPr>
          <w:rFonts w:ascii="Verdana" w:hAnsi="Verdana" w:cs="Arial"/>
          <w:noProof/>
        </w:rPr>
      </w:pPr>
    </w:p>
    <w:p w14:paraId="0530C312" w14:textId="77777777" w:rsidR="00FD6EC2" w:rsidRPr="00B54378" w:rsidRDefault="00FD6EC2" w:rsidP="00FD6EC2">
      <w:pPr>
        <w:tabs>
          <w:tab w:val="left" w:pos="0"/>
        </w:tabs>
        <w:spacing w:after="120" w:line="276" w:lineRule="auto"/>
        <w:jc w:val="both"/>
        <w:rPr>
          <w:rFonts w:ascii="Verdana" w:hAnsi="Verdana" w:cs="Arial"/>
          <w:color w:val="000000" w:themeColor="text1"/>
          <w:lang w:val="es-ES_tradnl"/>
        </w:rPr>
      </w:pPr>
      <w:r w:rsidRPr="00B54378">
        <w:rPr>
          <w:rFonts w:ascii="Verdana" w:hAnsi="Verdana" w:cs="Arial"/>
          <w:color w:val="000000" w:themeColor="text1"/>
          <w:lang w:val="es-ES_tradnl"/>
        </w:rPr>
        <w:tab/>
        <w:t>A partir de las disposiciones citadas, así como de lo indicado en la Sentencia de Unificación Jurisprudencial del 9 de septiembre de 2021, emitida por el Consejo de Estado</w:t>
      </w:r>
      <w:r w:rsidRPr="00B54378">
        <w:rPr>
          <w:rFonts w:ascii="Verdana" w:hAnsi="Verdana" w:cs="Arial"/>
          <w:bCs/>
          <w:vertAlign w:val="superscript"/>
          <w:lang w:val="es-ES"/>
        </w:rPr>
        <w:footnoteReference w:id="1"/>
      </w:r>
      <w:r w:rsidRPr="00B54378">
        <w:rPr>
          <w:rFonts w:ascii="Verdana" w:hAnsi="Verdana" w:cs="Arial"/>
          <w:color w:val="000000" w:themeColor="text1"/>
          <w:lang w:val="es-ES_tradnl"/>
        </w:rPr>
        <w:t>, es posible señalar las siguientes características del contrato de prestación de servicios</w:t>
      </w:r>
      <w:r w:rsidRPr="00B54378">
        <w:rPr>
          <w:rFonts w:ascii="Verdana" w:hAnsi="Verdana" w:cs="Arial"/>
          <w:noProof/>
          <w:lang w:val="es-ES_tradnl"/>
        </w:rPr>
        <w:t>:</w:t>
      </w:r>
    </w:p>
    <w:p w14:paraId="3AB84C4D" w14:textId="77777777" w:rsidR="00FD6EC2" w:rsidRPr="00B54378" w:rsidRDefault="00FD6EC2" w:rsidP="00FD6EC2">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i) Solo puede celebrarse para realizar “actividades relacionadas con la administración o funcionamiento de la entidad”, es decir, que hagan parte de su giro ordinario o quehacer cotidiano</w:t>
      </w:r>
      <w:r w:rsidRPr="00B54378">
        <w:rPr>
          <w:rFonts w:ascii="Verdana" w:hAnsi="Verdana" w:cs="Arial"/>
          <w:noProof/>
          <w:vertAlign w:val="superscript"/>
          <w:lang w:val="es-ES_tradnl"/>
        </w:rPr>
        <w:footnoteReference w:id="2"/>
      </w:r>
      <w:r w:rsidRPr="00B54378">
        <w:rPr>
          <w:rFonts w:ascii="Verdana" w:hAnsi="Verdana" w:cs="Arial"/>
          <w:noProof/>
          <w:lang w:val="es-ES_tradnl"/>
        </w:rPr>
        <w:t>.</w:t>
      </w:r>
    </w:p>
    <w:p w14:paraId="4B53F9BE" w14:textId="77777777" w:rsidR="00FD6EC2" w:rsidRPr="00B54378" w:rsidRDefault="00FD6EC2" w:rsidP="00FD6EC2">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 xml:space="preserve">ii) Respecto del tipo de personas que pueden ser contratadas, admite que se suscriba con personas naturales o jurídicas. Sin embargo, cuando se celebre con aquellas, la entidad estatal debe justificar, en los estudios previos, que las actividades “no puedan realizarse con personal de planta o requieran conocimientos especializados”. </w:t>
      </w:r>
    </w:p>
    <w:p w14:paraId="6FA0CAB5" w14:textId="77777777" w:rsidR="00FD6EC2" w:rsidRDefault="00FD6EC2" w:rsidP="00FD6EC2">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lastRenderedPageBreak/>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B54378">
        <w:rPr>
          <w:rFonts w:ascii="Verdana" w:hAnsi="Verdana" w:cs="Arial"/>
          <w:i/>
          <w:noProof/>
          <w:lang w:val="es-ES_tradnl"/>
        </w:rPr>
        <w:t xml:space="preserve">subordinación </w:t>
      </w:r>
      <w:r w:rsidRPr="00B54378">
        <w:rPr>
          <w:rFonts w:ascii="Verdana" w:hAnsi="Verdana" w:cs="Arial"/>
          <w:iCs/>
          <w:noProof/>
          <w:lang w:val="es-ES_tradnl"/>
        </w:rPr>
        <w:t>ni</w:t>
      </w:r>
      <w:r w:rsidRPr="00B54378">
        <w:rPr>
          <w:rFonts w:ascii="Verdana" w:hAnsi="Verdana" w:cs="Arial"/>
          <w:i/>
          <w:noProof/>
          <w:lang w:val="es-ES_tradnl"/>
        </w:rPr>
        <w:t xml:space="preserve"> dependencia</w:t>
      </w:r>
      <w:r w:rsidRPr="00B54378">
        <w:rPr>
          <w:rFonts w:ascii="Verdana" w:hAnsi="Verdana" w:cs="Arial"/>
          <w:iCs/>
          <w:noProof/>
          <w:lang w:val="es-ES_tradnl"/>
        </w:rPr>
        <w:t>,</w:t>
      </w:r>
      <w:r w:rsidRPr="00B54378">
        <w:rPr>
          <w:rFonts w:ascii="Verdana" w:hAnsi="Verdana" w:cs="Arial"/>
          <w:noProof/>
          <w:lang w:val="es-ES_tradnl"/>
        </w:rPr>
        <w:t xml:space="preserve"> que es uno de los elementos constitutivos del vínculo laboral</w:t>
      </w:r>
      <w:r w:rsidRPr="00B54378">
        <w:rPr>
          <w:rFonts w:ascii="Verdana" w:hAnsi="Verdana" w:cs="Arial"/>
          <w:noProof/>
          <w:vertAlign w:val="superscript"/>
          <w:lang w:val="es-ES_tradnl"/>
        </w:rPr>
        <w:footnoteReference w:id="3"/>
      </w:r>
      <w:r w:rsidRPr="00B54378">
        <w:rPr>
          <w:rFonts w:ascii="Verdana" w:hAnsi="Verdana" w:cs="Arial"/>
          <w:noProof/>
          <w:lang w:val="es-ES_tradnl"/>
        </w:rPr>
        <w:t xml:space="preserve">. Por eso, el artículo 32, numeral 3º, de la Ley 80 de 1993 establece que “[e]n ningún caso estos contratos generan relación laboral ni prestaciones sociales”. </w:t>
      </w:r>
    </w:p>
    <w:p w14:paraId="068D760C" w14:textId="77777777" w:rsidR="00FD6EC2" w:rsidRPr="00B54378" w:rsidRDefault="00FD6EC2" w:rsidP="00FD6EC2">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E</w:t>
      </w:r>
      <w:r>
        <w:rPr>
          <w:rFonts w:ascii="Verdana" w:hAnsi="Verdana" w:cs="Arial"/>
          <w:noProof/>
          <w:lang w:val="es-ES_tradnl"/>
        </w:rPr>
        <w:t>l anterior</w:t>
      </w:r>
      <w:r w:rsidRPr="00B54378">
        <w:rPr>
          <w:rFonts w:ascii="Verdana" w:hAnsi="Verdana" w:cs="Arial"/>
          <w:noProof/>
          <w:lang w:val="es-ES_tradnl"/>
        </w:rPr>
        <w:t xml:space="preserve"> inciso, más que un enunciado que aluda al “ser”, se refiere al “deber ser”, pues debe interpretarse en el sentido de que los contratos de prestación de servicios profesionales</w:t>
      </w:r>
      <w:r>
        <w:rPr>
          <w:rFonts w:ascii="Verdana" w:hAnsi="Verdana" w:cs="Arial"/>
          <w:noProof/>
          <w:lang w:val="es-ES_tradnl"/>
        </w:rPr>
        <w:t xml:space="preserve"> y apoyo a la gestión</w:t>
      </w:r>
      <w:r w:rsidRPr="00B54378">
        <w:rPr>
          <w:rFonts w:ascii="Verdana" w:hAnsi="Verdana" w:cs="Arial"/>
          <w:noProof/>
          <w:lang w:val="es-ES_tradnl"/>
        </w:rPr>
        <w:t xml:space="preserve"> </w:t>
      </w:r>
      <w:r w:rsidRPr="00B54378">
        <w:rPr>
          <w:rFonts w:ascii="Verdana" w:hAnsi="Verdana" w:cs="Arial"/>
          <w:i/>
          <w:noProof/>
          <w:lang w:val="es-ES_tradnl"/>
        </w:rPr>
        <w:t>no pueden</w:t>
      </w:r>
      <w:r w:rsidRPr="00B54378">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B54378">
        <w:rPr>
          <w:rFonts w:ascii="Verdana" w:hAnsi="Verdana" w:cs="Arial"/>
          <w:noProof/>
          <w:vertAlign w:val="superscript"/>
          <w:lang w:val="es-ES_tradnl"/>
        </w:rPr>
        <w:footnoteReference w:id="4"/>
      </w:r>
      <w:r w:rsidRPr="00B54378">
        <w:rPr>
          <w:rFonts w:ascii="Verdana" w:hAnsi="Verdana" w:cs="Arial"/>
          <w:noProof/>
          <w:lang w:val="es-ES_tradnl"/>
        </w:rPr>
        <w:t xml:space="preserve">. </w:t>
      </w:r>
    </w:p>
    <w:p w14:paraId="7BF65A3C" w14:textId="77777777" w:rsidR="00FD6EC2" w:rsidRPr="00B54378" w:rsidRDefault="00FD6EC2" w:rsidP="00FD6EC2">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 xml:space="preserve">A pesar de este mandato deontológico, es posible que en la práctica se configure una relación laboral, pues el contrato de trabajo es </w:t>
      </w:r>
      <w:r w:rsidRPr="00B54378">
        <w:rPr>
          <w:rFonts w:ascii="Verdana" w:hAnsi="Verdana" w:cs="Arial"/>
          <w:i/>
          <w:iCs/>
          <w:noProof/>
          <w:lang w:val="es-ES_tradnl"/>
        </w:rPr>
        <w:t xml:space="preserve">de </w:t>
      </w:r>
      <w:r w:rsidRPr="00B54378">
        <w:rPr>
          <w:rFonts w:ascii="Verdana" w:hAnsi="Verdana" w:cs="Arial"/>
          <w:i/>
          <w:noProof/>
          <w:lang w:val="es-ES_tradnl"/>
        </w:rPr>
        <w:t>realidad</w:t>
      </w:r>
      <w:r w:rsidRPr="00B54378">
        <w:rPr>
          <w:rFonts w:ascii="Verdana" w:hAnsi="Verdana" w:cs="Arial"/>
          <w:noProof/>
          <w:lang w:val="es-ES_tradnl"/>
        </w:rPr>
        <w:t xml:space="preserve"> y para perfeccionarlo rige el principio de prevalencia de la realidad sobre las </w:t>
      </w:r>
      <w:r w:rsidRPr="00B54378">
        <w:rPr>
          <w:rFonts w:ascii="Verdana" w:hAnsi="Verdana" w:cs="Arial"/>
          <w:noProof/>
          <w:lang w:val="es-ES_tradnl"/>
        </w:rPr>
        <w:lastRenderedPageBreak/>
        <w:t xml:space="preserve">formalidades. En </w:t>
      </w:r>
      <w:r>
        <w:rPr>
          <w:rFonts w:ascii="Verdana" w:hAnsi="Verdana" w:cs="Arial"/>
          <w:noProof/>
          <w:lang w:val="es-ES_tradnl"/>
        </w:rPr>
        <w:t>consonancia con lo</w:t>
      </w:r>
      <w:r w:rsidRPr="00B54378">
        <w:rPr>
          <w:rFonts w:ascii="Verdana" w:hAnsi="Verdana" w:cs="Arial"/>
          <w:noProof/>
          <w:lang w:val="es-ES_tradnl"/>
        </w:rPr>
        <w:t xml:space="preserve"> anterior, la Corte Constitucional declaró la exequibilidad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B54378">
        <w:rPr>
          <w:rFonts w:ascii="Verdana" w:hAnsi="Verdana" w:cs="Arial"/>
          <w:noProof/>
          <w:vertAlign w:val="superscript"/>
          <w:lang w:val="es-ES_tradnl"/>
        </w:rPr>
        <w:footnoteReference w:id="5"/>
      </w:r>
      <w:r w:rsidRPr="00B54378">
        <w:rPr>
          <w:rFonts w:ascii="Verdana" w:hAnsi="Verdana" w:cs="Arial"/>
          <w:noProof/>
          <w:lang w:val="es-ES_tradnl"/>
        </w:rPr>
        <w:t>.</w:t>
      </w:r>
    </w:p>
    <w:p w14:paraId="34F0B29F" w14:textId="77777777" w:rsidR="00FD6EC2" w:rsidRDefault="00FD6EC2" w:rsidP="00FD6EC2">
      <w:pPr>
        <w:spacing w:before="120" w:after="120" w:line="276" w:lineRule="auto"/>
        <w:ind w:firstLine="709"/>
        <w:jc w:val="both"/>
        <w:rPr>
          <w:rFonts w:ascii="Verdana" w:hAnsi="Verdana" w:cs="Arial"/>
          <w:lang w:val="es-MX"/>
        </w:rPr>
      </w:pPr>
      <w:r w:rsidRPr="00B54378">
        <w:rPr>
          <w:rFonts w:ascii="Verdana" w:hAnsi="Verdana" w:cs="Arial"/>
          <w:noProof/>
          <w:lang w:val="es-ES_tradnl"/>
        </w:rPr>
        <w:t>iv) Deben ser temporales. La mencionada sentencia de unificaci</w:t>
      </w:r>
      <w:r>
        <w:rPr>
          <w:rFonts w:ascii="Verdana" w:hAnsi="Verdana" w:cs="Arial"/>
          <w:noProof/>
          <w:lang w:val="es-ES_tradnl"/>
        </w:rPr>
        <w:t>ó</w:t>
      </w:r>
      <w:r w:rsidRPr="00B54378">
        <w:rPr>
          <w:rFonts w:ascii="Verdana" w:hAnsi="Verdana" w:cs="Arial"/>
          <w:noProof/>
          <w:lang w:val="es-ES_tradnl"/>
        </w:rPr>
        <w:t>n jurisprudencial del Consejo de Estado,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lang w:val="es-MX"/>
        </w:rPr>
        <w:t xml:space="preserve"> </w:t>
      </w:r>
      <w:r w:rsidRPr="00B54378">
        <w:rPr>
          <w:rFonts w:ascii="Verdana" w:hAnsi="Verdana" w:cs="Arial"/>
          <w:lang w:val="es-MX"/>
        </w:rPr>
        <w:t xml:space="preserve">De igual manera, señaló que “no cabe su empleo para la cobertura indefinida de necesidades permanentes o recurrentes”. </w:t>
      </w:r>
    </w:p>
    <w:p w14:paraId="11015D4C" w14:textId="77777777" w:rsidR="00FD6EC2" w:rsidRPr="00B54378" w:rsidRDefault="00FD6EC2" w:rsidP="00FD6EC2">
      <w:pPr>
        <w:spacing w:after="0" w:line="276" w:lineRule="auto"/>
        <w:ind w:firstLine="709"/>
        <w:jc w:val="both"/>
        <w:rPr>
          <w:rFonts w:ascii="Verdana" w:hAnsi="Verdana" w:cs="Arial"/>
          <w:noProof/>
          <w:lang w:val="es-ES_tradnl"/>
        </w:rPr>
      </w:pPr>
      <w:r w:rsidRPr="00B54378">
        <w:rPr>
          <w:rFonts w:ascii="Verdana" w:hAnsi="Verdana" w:cs="Arial"/>
          <w:noProof/>
          <w:lang w:val="es-ES_tradnl"/>
        </w:rPr>
        <w:t>En sentido similar se manifestó la Corte Constitucional en la sentencia C-154 de 1997, expresando que:</w:t>
      </w:r>
    </w:p>
    <w:p w14:paraId="7C64F6C9" w14:textId="77777777" w:rsidR="00FD6EC2" w:rsidRPr="00B54378" w:rsidRDefault="00FD6EC2" w:rsidP="00FD6EC2">
      <w:pPr>
        <w:spacing w:after="0" w:line="276" w:lineRule="auto"/>
        <w:contextualSpacing/>
        <w:jc w:val="both"/>
        <w:rPr>
          <w:rFonts w:ascii="Verdana" w:hAnsi="Verdana" w:cs="Arial"/>
          <w:noProof/>
          <w:lang w:val="es-ES_tradnl"/>
        </w:rPr>
      </w:pPr>
    </w:p>
    <w:p w14:paraId="485C767A" w14:textId="77777777" w:rsidR="00FD6EC2" w:rsidRPr="00B54378" w:rsidRDefault="00FD6EC2" w:rsidP="00FD6EC2">
      <w:pPr>
        <w:spacing w:after="0" w:line="240" w:lineRule="auto"/>
        <w:ind w:left="709" w:right="709"/>
        <w:contextualSpacing/>
        <w:jc w:val="both"/>
        <w:rPr>
          <w:rFonts w:ascii="Verdana" w:hAnsi="Verdana" w:cs="Arial"/>
          <w:noProof/>
          <w:sz w:val="20"/>
          <w:szCs w:val="20"/>
          <w:lang w:val="es-ES_tradnl"/>
        </w:rPr>
      </w:pPr>
      <w:r w:rsidRPr="00B54378">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B54378">
        <w:rPr>
          <w:rFonts w:ascii="Verdana" w:hAnsi="Verdana" w:cs="Arial"/>
          <w:noProof/>
          <w:sz w:val="20"/>
          <w:szCs w:val="20"/>
          <w:vertAlign w:val="superscript"/>
          <w:lang w:val="es-ES_tradnl"/>
        </w:rPr>
        <w:footnoteReference w:id="6"/>
      </w:r>
      <w:r w:rsidRPr="00B54378">
        <w:rPr>
          <w:rFonts w:ascii="Verdana" w:hAnsi="Verdana" w:cs="Arial"/>
          <w:noProof/>
          <w:sz w:val="20"/>
          <w:szCs w:val="20"/>
          <w:lang w:val="es-ES_tradnl"/>
        </w:rPr>
        <w:t>.</w:t>
      </w:r>
    </w:p>
    <w:p w14:paraId="1E3A1118" w14:textId="77777777" w:rsidR="00FD6EC2" w:rsidRPr="00CE5CFC" w:rsidRDefault="00FD6EC2" w:rsidP="00FD6EC2">
      <w:pPr>
        <w:spacing w:after="0" w:line="276" w:lineRule="auto"/>
        <w:ind w:left="709" w:right="709"/>
        <w:contextualSpacing/>
        <w:jc w:val="both"/>
        <w:rPr>
          <w:rFonts w:ascii="Verdana" w:hAnsi="Verdana" w:cs="Arial"/>
          <w:noProof/>
          <w:lang w:val="es-ES_tradnl"/>
        </w:rPr>
      </w:pPr>
    </w:p>
    <w:p w14:paraId="34AE9957" w14:textId="77777777" w:rsidR="00FD6EC2" w:rsidRPr="00B54378" w:rsidRDefault="00FD6EC2" w:rsidP="00FD6EC2">
      <w:pPr>
        <w:spacing w:after="120" w:line="276" w:lineRule="auto"/>
        <w:ind w:firstLine="709"/>
        <w:jc w:val="both"/>
        <w:rPr>
          <w:rFonts w:ascii="Verdana" w:hAnsi="Verdana" w:cs="Arial"/>
          <w:noProof/>
          <w:lang w:val="es-ES_tradnl"/>
        </w:rPr>
      </w:pPr>
      <w:r w:rsidRPr="00B54378">
        <w:rPr>
          <w:rFonts w:ascii="Verdana" w:hAnsi="Verdana" w:cs="Arial"/>
          <w:noProof/>
          <w:lang w:val="es-ES_tradnl"/>
        </w:rPr>
        <w:t xml:space="preserve">v) Se celebran a través de la modalidad de contratación directa, independientemente de la cuantía y del tipo de servicio profesional, siempre que </w:t>
      </w:r>
      <w:r w:rsidRPr="00B54378">
        <w:rPr>
          <w:rFonts w:ascii="Verdana" w:hAnsi="Verdana" w:cs="Arial"/>
          <w:noProof/>
          <w:lang w:val="es-ES_tradnl"/>
        </w:rPr>
        <w:lastRenderedPageBreak/>
        <w:t>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B54378">
        <w:rPr>
          <w:rFonts w:ascii="Verdana" w:hAnsi="Verdana" w:cs="Arial"/>
          <w:noProof/>
          <w:vertAlign w:val="superscript"/>
          <w:lang w:val="es-ES_tradnl"/>
        </w:rPr>
        <w:footnoteReference w:id="7"/>
      </w:r>
      <w:r w:rsidRPr="00B54378">
        <w:rPr>
          <w:rFonts w:ascii="Verdana" w:hAnsi="Verdana" w:cs="Arial"/>
          <w:noProof/>
          <w:lang w:val="es-ES_tradnl"/>
        </w:rPr>
        <w:t>. Esto también se deriva d</w:t>
      </w:r>
      <w:r w:rsidRPr="00B54378">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293D6D5B" w14:textId="77777777" w:rsidR="00FD6EC2" w:rsidRPr="00B54378" w:rsidRDefault="00FD6EC2" w:rsidP="00FD6EC2">
      <w:pPr>
        <w:spacing w:after="120" w:line="276" w:lineRule="auto"/>
        <w:ind w:firstLine="709"/>
        <w:jc w:val="both"/>
        <w:rPr>
          <w:rFonts w:ascii="Verdana" w:hAnsi="Verdana" w:cs="Arial"/>
          <w:noProof/>
          <w:lang w:val="es-ES_tradnl"/>
        </w:rPr>
      </w:pPr>
      <w:r w:rsidRPr="00B54378">
        <w:rPr>
          <w:rFonts w:ascii="Verdana" w:hAnsi="Verdana" w:cs="Arial"/>
          <w:noProof/>
          <w:lang w:val="es-ES_tradnl"/>
        </w:rPr>
        <w:t>vi) Para su celebración no se requiere expedir un acto administrativo de justificación de la contratación directa</w:t>
      </w:r>
      <w:r w:rsidRPr="00B54378">
        <w:rPr>
          <w:rFonts w:ascii="Verdana" w:hAnsi="Verdana" w:cs="Arial"/>
          <w:noProof/>
          <w:vertAlign w:val="superscript"/>
          <w:lang w:val="es-ES_tradnl"/>
        </w:rPr>
        <w:footnoteReference w:id="8"/>
      </w:r>
      <w:r w:rsidRPr="00B54378">
        <w:rPr>
          <w:rFonts w:ascii="Verdana" w:hAnsi="Verdana" w:cs="Arial"/>
          <w:noProof/>
          <w:lang w:val="es-ES_tradnl"/>
        </w:rPr>
        <w:t>.</w:t>
      </w:r>
    </w:p>
    <w:p w14:paraId="3499123A" w14:textId="77777777" w:rsidR="00FD6EC2" w:rsidRPr="00B54378" w:rsidRDefault="00FD6EC2" w:rsidP="00FD6EC2">
      <w:pPr>
        <w:spacing w:after="120" w:line="276" w:lineRule="auto"/>
        <w:ind w:firstLine="709"/>
        <w:jc w:val="both"/>
        <w:rPr>
          <w:rFonts w:ascii="Verdana" w:hAnsi="Verdana" w:cs="Arial"/>
          <w:noProof/>
          <w:lang w:val="es-ES_tradnl"/>
        </w:rPr>
      </w:pPr>
      <w:r w:rsidRPr="00B54378">
        <w:rPr>
          <w:rFonts w:ascii="Verdana" w:hAnsi="Verdana" w:cs="Arial"/>
          <w:noProof/>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B54378">
        <w:rPr>
          <w:rFonts w:ascii="Verdana" w:hAnsi="Verdana" w:cs="Arial"/>
          <w:noProof/>
          <w:vertAlign w:val="superscript"/>
          <w:lang w:val="es-ES_tradnl"/>
        </w:rPr>
        <w:footnoteReference w:id="9"/>
      </w:r>
      <w:r w:rsidRPr="00B54378">
        <w:rPr>
          <w:rFonts w:ascii="Verdana" w:hAnsi="Verdana" w:cs="Arial"/>
          <w:noProof/>
          <w:lang w:val="es-ES_tradnl"/>
        </w:rPr>
        <w:t>.</w:t>
      </w:r>
    </w:p>
    <w:p w14:paraId="6F5D1090" w14:textId="77777777" w:rsidR="00FD6EC2" w:rsidRPr="00B54378" w:rsidRDefault="00FD6EC2" w:rsidP="00FD6EC2">
      <w:pPr>
        <w:spacing w:after="120" w:line="276" w:lineRule="auto"/>
        <w:ind w:firstLine="709"/>
        <w:jc w:val="both"/>
        <w:rPr>
          <w:rFonts w:ascii="Verdana" w:hAnsi="Verdana" w:cs="Arial"/>
          <w:noProof/>
          <w:lang w:val="es-ES_tradnl"/>
        </w:rPr>
      </w:pPr>
      <w:r w:rsidRPr="00B54378">
        <w:rPr>
          <w:rFonts w:ascii="Verdana" w:hAnsi="Verdana" w:cs="Arial"/>
          <w:noProof/>
          <w:lang w:val="es-ES_tradnl"/>
        </w:rPr>
        <w:lastRenderedPageBreak/>
        <w:t>viii) No es obligatoria la liquidación de estos contratos, como lo establece el artículo 217 del Decreto 019 de 2012, que modificó el artículo 60 de la Ley 80 de 1993</w:t>
      </w:r>
      <w:r w:rsidRPr="00B54378">
        <w:rPr>
          <w:rFonts w:ascii="Verdana" w:hAnsi="Verdana" w:cs="Arial"/>
          <w:noProof/>
          <w:vertAlign w:val="superscript"/>
          <w:lang w:val="es-ES_tradnl"/>
        </w:rPr>
        <w:footnoteReference w:id="10"/>
      </w:r>
      <w:r w:rsidRPr="00B54378">
        <w:rPr>
          <w:rFonts w:ascii="Verdana" w:hAnsi="Verdana" w:cs="Arial"/>
          <w:noProof/>
          <w:lang w:val="es-ES_tradnl"/>
        </w:rPr>
        <w:t>.</w:t>
      </w:r>
    </w:p>
    <w:p w14:paraId="605147D1" w14:textId="77777777" w:rsidR="00FD6EC2" w:rsidRPr="00B54378" w:rsidRDefault="00FD6EC2" w:rsidP="00FD6EC2">
      <w:pPr>
        <w:spacing w:after="120" w:line="276" w:lineRule="auto"/>
        <w:ind w:firstLine="709"/>
        <w:jc w:val="both"/>
        <w:rPr>
          <w:rFonts w:ascii="Verdana" w:hAnsi="Verdana" w:cs="Arial"/>
          <w:noProof/>
          <w:lang w:val="es-ES_tradnl"/>
        </w:rPr>
      </w:pPr>
      <w:r w:rsidRPr="00B54378">
        <w:rPr>
          <w:rFonts w:ascii="Verdana" w:hAnsi="Verdana" w:cs="Arial"/>
          <w:noProof/>
          <w:lang w:val="es-ES_tradnl"/>
        </w:rPr>
        <w:t>ix) Para su celebración el contratista no requiere estar inscrito en el Registro Único de Proponentes –RUP–, como lo señala el artículo 6 de la Ley 1150 de 2007</w:t>
      </w:r>
      <w:r w:rsidRPr="00B54378">
        <w:rPr>
          <w:rFonts w:ascii="Verdana" w:hAnsi="Verdana" w:cs="Arial"/>
          <w:noProof/>
          <w:vertAlign w:val="superscript"/>
          <w:lang w:val="es-ES_tradnl"/>
        </w:rPr>
        <w:footnoteReference w:id="11"/>
      </w:r>
      <w:r w:rsidRPr="00B54378">
        <w:rPr>
          <w:rFonts w:ascii="Verdana" w:hAnsi="Verdana" w:cs="Arial"/>
          <w:noProof/>
          <w:lang w:val="es-ES_tradnl"/>
        </w:rPr>
        <w:t>.</w:t>
      </w:r>
    </w:p>
    <w:p w14:paraId="293CFF29" w14:textId="77777777" w:rsidR="00FD6EC2" w:rsidRPr="00B54378" w:rsidRDefault="00FD6EC2" w:rsidP="00FD6EC2">
      <w:pPr>
        <w:spacing w:after="120" w:line="276" w:lineRule="auto"/>
        <w:ind w:firstLine="708"/>
        <w:jc w:val="both"/>
        <w:rPr>
          <w:rFonts w:ascii="Verdana" w:hAnsi="Verdana" w:cs="Arial"/>
          <w:noProof/>
          <w:lang w:val="es-ES_tradnl"/>
        </w:rPr>
      </w:pPr>
      <w:r w:rsidRPr="00B54378">
        <w:rPr>
          <w:rFonts w:ascii="Verdana" w:hAnsi="Verdana" w:cs="Arial"/>
          <w:noProof/>
          <w:lang w:val="es-ES_tradnl"/>
        </w:rPr>
        <w:t>x) No es obligtoria la exigencia de garantías</w:t>
      </w:r>
      <w:r w:rsidRPr="00B54378">
        <w:rPr>
          <w:rFonts w:ascii="Verdana" w:hAnsi="Verdana" w:cs="Arial"/>
          <w:noProof/>
          <w:vertAlign w:val="superscript"/>
          <w:lang w:val="es-ES_tradnl"/>
        </w:rPr>
        <w:footnoteReference w:id="12"/>
      </w:r>
      <w:r w:rsidRPr="00B54378">
        <w:rPr>
          <w:rFonts w:ascii="Verdana" w:hAnsi="Verdana" w:cs="Arial"/>
          <w:noProof/>
          <w:lang w:val="es-ES_tradnl"/>
        </w:rPr>
        <w:t>.</w:t>
      </w:r>
    </w:p>
    <w:p w14:paraId="24158064" w14:textId="77777777" w:rsidR="00FD6EC2" w:rsidRPr="00B54378" w:rsidRDefault="00FD6EC2" w:rsidP="00FD6EC2">
      <w:pPr>
        <w:spacing w:after="120" w:line="276" w:lineRule="auto"/>
        <w:ind w:firstLine="708"/>
        <w:jc w:val="both"/>
        <w:rPr>
          <w:rFonts w:ascii="Verdana" w:hAnsi="Verdana" w:cs="Arial"/>
          <w:noProof/>
          <w:lang w:val="es-ES"/>
        </w:rPr>
      </w:pPr>
      <w:r w:rsidRPr="00B54378">
        <w:rPr>
          <w:rFonts w:ascii="Verdana" w:hAnsi="Verdana" w:cs="Arial"/>
          <w:noProof/>
          <w:lang w:val="es-ES_tradnl"/>
        </w:rPr>
        <w:t>xi) Como los demás contratos estatales, se trata de un contrato solemne que debe constar por escrito y debe ser publicado en el SECOP.</w:t>
      </w:r>
    </w:p>
    <w:p w14:paraId="67EB5484" w14:textId="77777777" w:rsidR="00FD6EC2" w:rsidRDefault="00FD6EC2" w:rsidP="00FD6EC2">
      <w:pPr>
        <w:tabs>
          <w:tab w:val="left" w:pos="0"/>
        </w:tabs>
        <w:spacing w:after="120" w:line="276" w:lineRule="auto"/>
        <w:ind w:firstLine="709"/>
        <w:jc w:val="both"/>
        <w:rPr>
          <w:rFonts w:ascii="Verdana" w:hAnsi="Verdana" w:cs="Arial"/>
          <w:color w:val="000000" w:themeColor="text1"/>
          <w:lang w:val="es-ES_tradnl"/>
        </w:rPr>
      </w:pPr>
      <w:r w:rsidRPr="00B54378">
        <w:rPr>
          <w:rFonts w:ascii="Verdana" w:hAnsi="Verdana" w:cs="Arial"/>
          <w:color w:val="000000" w:themeColor="text1"/>
          <w:lang w:val="es-ES"/>
        </w:rPr>
        <w:t>xii) C</w:t>
      </w:r>
      <w:r w:rsidRPr="00B54378">
        <w:rPr>
          <w:rFonts w:ascii="Verdana" w:hAnsi="Verdana" w:cs="Arial"/>
          <w:color w:val="000000" w:themeColor="text1"/>
          <w:lang w:val="es-MX"/>
        </w:rPr>
        <w:t xml:space="preserve">omo especies del género </w:t>
      </w:r>
      <w:r w:rsidRPr="00B54378">
        <w:rPr>
          <w:rFonts w:ascii="Verdana" w:hAnsi="Verdana" w:cs="Arial"/>
          <w:iCs/>
          <w:color w:val="000000" w:themeColor="text1"/>
          <w:lang w:val="es-MX"/>
        </w:rPr>
        <w:t xml:space="preserve">prestación de servicios, se incluyen </w:t>
      </w:r>
      <w:r w:rsidRPr="00B54378">
        <w:rPr>
          <w:rFonts w:ascii="Verdana" w:hAnsi="Verdana" w:cs="Arial"/>
          <w:iCs/>
          <w:color w:val="000000" w:themeColor="text1"/>
          <w:lang w:val="es-ES_tradnl"/>
        </w:rPr>
        <w:t xml:space="preserve">los contratos de prestación de servicios profesionales, los contratos de prestación </w:t>
      </w:r>
      <w:r w:rsidRPr="00B54378">
        <w:rPr>
          <w:rFonts w:ascii="Verdana" w:hAnsi="Verdana" w:cs="Arial"/>
          <w:iCs/>
          <w:color w:val="000000" w:themeColor="text1"/>
          <w:lang w:val="es-ES_tradnl"/>
        </w:rPr>
        <w:lastRenderedPageBreak/>
        <w:t>de servicios de apoyo a la gestión y los contratos de prestación de servicios artísticos que solo pueden encomendarse a determinadas personas naturales</w:t>
      </w:r>
      <w:r w:rsidRPr="00B54378">
        <w:rPr>
          <w:rFonts w:ascii="Verdana" w:hAnsi="Verdana" w:cs="Arial"/>
          <w:color w:val="000000" w:themeColor="text1"/>
          <w:vertAlign w:val="superscript"/>
          <w:lang w:val="es-ES_tradnl"/>
        </w:rPr>
        <w:footnoteReference w:id="13"/>
      </w:r>
      <w:r w:rsidRPr="00B54378">
        <w:rPr>
          <w:rFonts w:ascii="Verdana" w:hAnsi="Verdana" w:cs="Arial"/>
          <w:color w:val="000000" w:themeColor="text1"/>
          <w:lang w:val="es-MX"/>
        </w:rPr>
        <w:t xml:space="preserve">. </w:t>
      </w:r>
      <w:r w:rsidRPr="00B54378">
        <w:rPr>
          <w:rFonts w:ascii="Verdana" w:hAnsi="Verdana" w:cs="Arial"/>
          <w:color w:val="000000" w:themeColor="text1"/>
          <w:lang w:val="es-ES_tradnl"/>
        </w:rPr>
        <w:t xml:space="preserve">La diferencia entre el contrato de prestación de servicios </w:t>
      </w:r>
      <w:r w:rsidRPr="00B54378">
        <w:rPr>
          <w:rFonts w:ascii="Verdana" w:hAnsi="Verdana" w:cs="Arial"/>
          <w:i/>
          <w:color w:val="000000" w:themeColor="text1"/>
          <w:lang w:val="es-ES_tradnl"/>
        </w:rPr>
        <w:t>profesionales</w:t>
      </w:r>
      <w:r w:rsidRPr="00B54378">
        <w:rPr>
          <w:rFonts w:ascii="Verdana" w:hAnsi="Verdana" w:cs="Arial"/>
          <w:color w:val="000000" w:themeColor="text1"/>
          <w:lang w:val="es-ES_tradnl"/>
        </w:rPr>
        <w:t xml:space="preserve"> con las otras dos especies del género en el cual se ubican, radica en su contenido intelectual intangible y, al mismo tiempo, en la formación profesional que se exige para desempeñar la labor. </w:t>
      </w:r>
    </w:p>
    <w:p w14:paraId="4A164423" w14:textId="77777777" w:rsidR="00FD6EC2" w:rsidRPr="00B54378" w:rsidRDefault="00FD6EC2" w:rsidP="00FD6EC2">
      <w:pPr>
        <w:tabs>
          <w:tab w:val="left" w:pos="0"/>
        </w:tabs>
        <w:spacing w:before="120" w:after="0" w:line="276" w:lineRule="auto"/>
        <w:ind w:firstLine="709"/>
        <w:jc w:val="both"/>
        <w:rPr>
          <w:rFonts w:ascii="Verdana" w:hAnsi="Verdana" w:cs="Arial"/>
          <w:color w:val="000000" w:themeColor="text1"/>
          <w:sz w:val="21"/>
          <w:szCs w:val="21"/>
          <w:lang w:val="es-MX"/>
        </w:rPr>
      </w:pPr>
      <w:r w:rsidRPr="00B54378">
        <w:rPr>
          <w:rFonts w:ascii="Verdana" w:hAnsi="Verdana" w:cs="Arial"/>
          <w:color w:val="000000" w:themeColor="text1"/>
          <w:lang w:val="es-ES_tradnl"/>
        </w:rPr>
        <w:t>Así lo consideró el Consejo de Estado en Sentencia de Unificación jurisprudencial del 2 de diciembre de 2013, al explicar que:</w:t>
      </w:r>
    </w:p>
    <w:p w14:paraId="5340DA0A" w14:textId="77777777" w:rsidR="00FD6EC2" w:rsidRPr="00B54378" w:rsidRDefault="00FD6EC2" w:rsidP="00FD6EC2">
      <w:pPr>
        <w:spacing w:after="0" w:line="276" w:lineRule="auto"/>
        <w:ind w:firstLine="709"/>
        <w:contextualSpacing/>
        <w:jc w:val="both"/>
        <w:rPr>
          <w:rFonts w:ascii="Verdana" w:hAnsi="Verdana" w:cs="Arial"/>
          <w:color w:val="000000" w:themeColor="text1"/>
          <w:lang w:val="es-ES_tradnl"/>
        </w:rPr>
      </w:pPr>
    </w:p>
    <w:p w14:paraId="79F99DFA" w14:textId="77777777" w:rsidR="00FD6EC2" w:rsidRPr="00B54378" w:rsidRDefault="00FD6EC2" w:rsidP="00FD6EC2">
      <w:pPr>
        <w:spacing w:after="0" w:line="240" w:lineRule="auto"/>
        <w:ind w:left="709" w:right="709"/>
        <w:contextualSpacing/>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B54378">
        <w:rPr>
          <w:rFonts w:ascii="Verdana" w:hAnsi="Verdana" w:cs="Arial"/>
          <w:color w:val="000000" w:themeColor="text1"/>
          <w:sz w:val="20"/>
          <w:szCs w:val="20"/>
          <w:vertAlign w:val="superscript"/>
          <w:lang w:val="es-ES_tradnl"/>
        </w:rPr>
        <w:footnoteReference w:id="14"/>
      </w:r>
      <w:r w:rsidRPr="00B54378">
        <w:rPr>
          <w:rFonts w:ascii="Verdana" w:hAnsi="Verdana" w:cs="Arial"/>
          <w:color w:val="000000" w:themeColor="text1"/>
          <w:sz w:val="20"/>
          <w:szCs w:val="20"/>
          <w:lang w:val="es-ES_tradnl"/>
        </w:rPr>
        <w:t>.</w:t>
      </w:r>
    </w:p>
    <w:p w14:paraId="782E72AF" w14:textId="77777777" w:rsidR="00FD6EC2" w:rsidRPr="00B54378" w:rsidRDefault="00FD6EC2" w:rsidP="00FD6EC2">
      <w:pPr>
        <w:spacing w:after="0" w:line="276" w:lineRule="auto"/>
        <w:ind w:firstLine="709"/>
        <w:jc w:val="both"/>
        <w:rPr>
          <w:rFonts w:ascii="Verdana" w:hAnsi="Verdana" w:cs="Arial"/>
          <w:color w:val="000000" w:themeColor="text1"/>
          <w:lang w:val="es-ES_tradnl"/>
        </w:rPr>
      </w:pPr>
    </w:p>
    <w:p w14:paraId="28F28EF3" w14:textId="77777777" w:rsidR="00FD6EC2" w:rsidRPr="00B54378" w:rsidRDefault="00FD6EC2" w:rsidP="00FD6EC2">
      <w:pPr>
        <w:spacing w:after="0" w:line="276" w:lineRule="auto"/>
        <w:ind w:firstLine="709"/>
        <w:jc w:val="both"/>
        <w:rPr>
          <w:rFonts w:ascii="Verdana" w:hAnsi="Verdana" w:cs="Arial"/>
          <w:color w:val="000000" w:themeColor="text1"/>
          <w:lang w:val="es-ES_tradnl"/>
        </w:rPr>
      </w:pPr>
      <w:r w:rsidRPr="00B54378">
        <w:rPr>
          <w:rFonts w:ascii="Verdana" w:hAnsi="Verdana" w:cs="Arial"/>
          <w:color w:val="000000" w:themeColor="text1"/>
          <w:lang w:val="es-ES_tradnl"/>
        </w:rPr>
        <w:t xml:space="preserve">Lo expuesto, según la jurisprudencia citada, se diferencia del objeto del </w:t>
      </w:r>
      <w:r w:rsidRPr="00B54378">
        <w:rPr>
          <w:rFonts w:ascii="Verdana" w:hAnsi="Verdana" w:cs="Arial"/>
          <w:i/>
          <w:iCs/>
          <w:color w:val="000000" w:themeColor="text1"/>
          <w:lang w:val="es-ES_tradnl"/>
        </w:rPr>
        <w:t>contrato de prestación de servicios de apoyo a la gestión</w:t>
      </w:r>
      <w:r w:rsidRPr="00B54378">
        <w:rPr>
          <w:rFonts w:ascii="Verdana" w:hAnsi="Verdana" w:cs="Arial"/>
          <w:color w:val="000000" w:themeColor="text1"/>
          <w:lang w:val="es-ES_tradnl"/>
        </w:rPr>
        <w:t>, en los siguientes aspectos:</w:t>
      </w:r>
    </w:p>
    <w:p w14:paraId="7C62BEFD" w14:textId="77777777" w:rsidR="00FD6EC2" w:rsidRPr="00B54378" w:rsidRDefault="00FD6EC2" w:rsidP="00FD6EC2">
      <w:pPr>
        <w:spacing w:after="0" w:line="276" w:lineRule="auto"/>
        <w:ind w:firstLine="709"/>
        <w:jc w:val="both"/>
        <w:rPr>
          <w:rFonts w:ascii="Verdana" w:hAnsi="Verdana" w:cs="Arial"/>
          <w:color w:val="000000" w:themeColor="text1"/>
          <w:lang w:val="es-ES_tradnl"/>
        </w:rPr>
      </w:pPr>
    </w:p>
    <w:p w14:paraId="7345F162"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 xml:space="preserve">“Su objeto contractual participa de las características encaminadas a desarrollar actividades identificables e intangibles. Hay lugar a su </w:t>
      </w:r>
      <w:r w:rsidRPr="00B54378">
        <w:rPr>
          <w:rFonts w:ascii="Verdana" w:hAnsi="Verdana" w:cs="Arial"/>
          <w:color w:val="000000" w:themeColor="text1"/>
          <w:sz w:val="20"/>
          <w:szCs w:val="20"/>
          <w:lang w:val="es-ES_tradnl"/>
        </w:rPr>
        <w:lastRenderedPageBreak/>
        <w:t>celebración en aquellos casos en donde las necesidades de la Administración no demanden la presencia de personal profesional.</w:t>
      </w:r>
    </w:p>
    <w:p w14:paraId="5D4A3802"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_tradnl"/>
        </w:rPr>
      </w:pPr>
    </w:p>
    <w:p w14:paraId="035384DD"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
        </w:rPr>
      </w:pPr>
      <w:r w:rsidRPr="7E28D449">
        <w:rPr>
          <w:rFonts w:ascii="Verdana" w:hAnsi="Verdana" w:cs="Arial"/>
          <w:color w:val="000000" w:themeColor="text1"/>
          <w:sz w:val="20"/>
          <w:szCs w:val="20"/>
          <w:lang w:val="es-ES"/>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361CC77C"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_tradnl"/>
        </w:rPr>
      </w:pPr>
    </w:p>
    <w:p w14:paraId="091DB88B"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B54378">
        <w:rPr>
          <w:rFonts w:ascii="Verdana" w:hAnsi="Verdana" w:cs="Arial"/>
          <w:color w:val="000000" w:themeColor="text1"/>
          <w:sz w:val="20"/>
          <w:szCs w:val="20"/>
          <w:vertAlign w:val="superscript"/>
          <w:lang w:val="es-ES_tradnl"/>
        </w:rPr>
        <w:footnoteReference w:id="15"/>
      </w:r>
      <w:r w:rsidRPr="00B54378">
        <w:rPr>
          <w:rFonts w:ascii="Verdana" w:hAnsi="Verdana" w:cs="Arial"/>
          <w:color w:val="000000" w:themeColor="text1"/>
          <w:sz w:val="20"/>
          <w:szCs w:val="20"/>
          <w:lang w:val="es-ES_tradnl"/>
        </w:rPr>
        <w:t>.</w:t>
      </w:r>
    </w:p>
    <w:p w14:paraId="543D6477" w14:textId="77777777" w:rsidR="00FD6EC2" w:rsidRPr="00987A31" w:rsidRDefault="00FD6EC2" w:rsidP="00FD6EC2">
      <w:pPr>
        <w:spacing w:after="0" w:line="276" w:lineRule="auto"/>
        <w:ind w:firstLine="709"/>
        <w:jc w:val="both"/>
        <w:rPr>
          <w:rFonts w:ascii="Verdana" w:hAnsi="Verdana" w:cs="Arial"/>
          <w:color w:val="000000" w:themeColor="text1"/>
          <w:lang w:val="es-ES_tradnl"/>
        </w:rPr>
      </w:pPr>
    </w:p>
    <w:p w14:paraId="52441D5E" w14:textId="77777777" w:rsidR="00FD6EC2" w:rsidRPr="009472DB" w:rsidRDefault="00FD6EC2" w:rsidP="00FD6EC2">
      <w:pPr>
        <w:spacing w:after="0" w:line="276" w:lineRule="auto"/>
        <w:ind w:firstLine="709"/>
        <w:jc w:val="both"/>
        <w:rPr>
          <w:rFonts w:ascii="Verdana" w:hAnsi="Verdana" w:cs="Arial"/>
          <w:color w:val="000000" w:themeColor="text1"/>
          <w:lang w:val="es-ES_tradnl"/>
        </w:rPr>
      </w:pPr>
      <w:r w:rsidRPr="00987A31">
        <w:rPr>
          <w:rFonts w:ascii="Verdana" w:hAnsi="Verdana" w:cs="Arial"/>
          <w:color w:val="000000" w:themeColor="text1"/>
          <w:lang w:val="es-ES_tradnl"/>
        </w:rPr>
        <w:t xml:space="preserve">En relación con el </w:t>
      </w:r>
      <w:r w:rsidRPr="00987A31">
        <w:rPr>
          <w:rFonts w:ascii="Verdana" w:hAnsi="Verdana" w:cs="Arial"/>
          <w:i/>
          <w:iCs/>
          <w:color w:val="000000" w:themeColor="text1"/>
          <w:lang w:val="es-ES_tradnl"/>
        </w:rPr>
        <w:t>contrato de prestación de servicios artísticos que solo pueden encomendarse a determinadas personas naturales</w:t>
      </w:r>
      <w:r w:rsidRPr="00192F32">
        <w:rPr>
          <w:rFonts w:ascii="Verdana" w:hAnsi="Verdana" w:cs="Arial"/>
          <w:color w:val="000000" w:themeColor="text1"/>
          <w:lang w:val="es-ES_tradnl"/>
        </w:rPr>
        <w:t>, señala la mencionada decisión judicial lo siguiente:</w:t>
      </w:r>
    </w:p>
    <w:p w14:paraId="1A278DD2" w14:textId="77777777" w:rsidR="00FD6EC2" w:rsidRPr="00CE5CFC" w:rsidRDefault="00FD6EC2" w:rsidP="00FD6EC2">
      <w:pPr>
        <w:spacing w:after="0" w:line="276" w:lineRule="auto"/>
        <w:ind w:left="709" w:right="709"/>
        <w:jc w:val="both"/>
        <w:rPr>
          <w:rFonts w:ascii="Verdana" w:hAnsi="Verdana" w:cs="Arial"/>
          <w:color w:val="000000" w:themeColor="text1"/>
          <w:lang w:val="es-ES_tradnl"/>
        </w:rPr>
      </w:pPr>
    </w:p>
    <w:p w14:paraId="7A786FA0"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B54378">
        <w:rPr>
          <w:rFonts w:ascii="Verdana" w:hAnsi="Verdana" w:cs="Arial"/>
          <w:color w:val="000000" w:themeColor="text1"/>
          <w:sz w:val="20"/>
          <w:szCs w:val="20"/>
          <w:vertAlign w:val="superscript"/>
          <w:lang w:val="es-ES_tradnl"/>
        </w:rPr>
        <w:footnoteReference w:id="16"/>
      </w:r>
      <w:r w:rsidRPr="00B54378">
        <w:rPr>
          <w:rFonts w:ascii="Verdana" w:hAnsi="Verdana" w:cs="Arial"/>
          <w:color w:val="000000" w:themeColor="text1"/>
          <w:sz w:val="20"/>
          <w:szCs w:val="20"/>
          <w:lang w:val="es-ES_tradnl"/>
        </w:rPr>
        <w:t>.</w:t>
      </w:r>
    </w:p>
    <w:p w14:paraId="795F521F" w14:textId="77777777" w:rsidR="00FD6EC2" w:rsidRPr="00B54378" w:rsidRDefault="00FD6EC2" w:rsidP="00FD6EC2">
      <w:pPr>
        <w:spacing w:after="0" w:line="240" w:lineRule="auto"/>
        <w:ind w:left="709" w:right="709"/>
        <w:jc w:val="both"/>
        <w:rPr>
          <w:rFonts w:ascii="Verdana" w:hAnsi="Verdana" w:cs="Arial"/>
          <w:color w:val="000000" w:themeColor="text1"/>
          <w:sz w:val="21"/>
          <w:szCs w:val="21"/>
          <w:lang w:val="es-ES_tradnl"/>
        </w:rPr>
      </w:pPr>
    </w:p>
    <w:p w14:paraId="58DE58FC" w14:textId="77777777" w:rsidR="00FD6EC2" w:rsidRPr="0053080A" w:rsidRDefault="00FD6EC2" w:rsidP="00FD6EC2">
      <w:pPr>
        <w:spacing w:after="120" w:line="276" w:lineRule="auto"/>
        <w:ind w:firstLine="709"/>
        <w:jc w:val="both"/>
        <w:rPr>
          <w:rFonts w:ascii="Verdana" w:hAnsi="Verdana" w:cs="Arial"/>
          <w:color w:val="000000" w:themeColor="text1"/>
          <w:lang w:val="es-MX"/>
        </w:rPr>
      </w:pPr>
      <w:r w:rsidRPr="0053080A">
        <w:rPr>
          <w:rFonts w:ascii="Verdana" w:hAnsi="Verdana" w:cs="Arial"/>
          <w:color w:val="000000" w:themeColor="text1"/>
          <w:lang w:val="es-ES_tradnl"/>
        </w:rPr>
        <w:t xml:space="preserve">En este sentido, el contrato de prestación de servicios </w:t>
      </w:r>
      <w:r w:rsidRPr="0053080A">
        <w:rPr>
          <w:rFonts w:ascii="Verdana" w:hAnsi="Verdana" w:cs="Arial"/>
          <w:i/>
          <w:iCs/>
          <w:color w:val="000000" w:themeColor="text1"/>
          <w:lang w:val="es-ES_tradnl"/>
        </w:rPr>
        <w:t>profesionales</w:t>
      </w:r>
      <w:r w:rsidRPr="00D61205">
        <w:rPr>
          <w:rFonts w:ascii="Verdana" w:hAnsi="Verdana" w:cs="Arial"/>
          <w:color w:val="000000" w:themeColor="text1"/>
          <w:lang w:val="es-ES_tradnl"/>
        </w:rPr>
        <w:t xml:space="preserve"> se </w:t>
      </w:r>
      <w:r w:rsidRPr="009472DB">
        <w:rPr>
          <w:rFonts w:ascii="Verdana" w:hAnsi="Verdana" w:cs="Arial"/>
          <w:color w:val="000000" w:themeColor="text1"/>
          <w:lang w:val="es-ES_tradnl"/>
        </w:rPr>
        <w:t xml:space="preserve">caracteriza porque su objeto guarda relación con el desarrollo de actividades que demandan competencias y habilidades profesionales o especializadas de la persona natural o jurídica a contratar, de manera que se trata de un </w:t>
      </w:r>
      <w:r w:rsidRPr="009472DB">
        <w:rPr>
          <w:rFonts w:ascii="Verdana" w:hAnsi="Verdana" w:cs="Arial"/>
          <w:i/>
          <w:iCs/>
          <w:color w:val="000000" w:themeColor="text1"/>
          <w:lang w:val="es-ES_tradnl"/>
        </w:rPr>
        <w:t>saber intelectivo cualificado.</w:t>
      </w:r>
      <w:r w:rsidRPr="0053080A">
        <w:rPr>
          <w:rFonts w:ascii="Verdana" w:hAnsi="Verdana" w:cs="Arial"/>
          <w:color w:val="000000" w:themeColor="text1"/>
          <w:lang w:val="es-ES_tradnl"/>
        </w:rPr>
        <w:t xml:space="preserve"> En cambio, los contratos de prestación de servicios de </w:t>
      </w:r>
      <w:r w:rsidRPr="0053080A">
        <w:rPr>
          <w:rFonts w:ascii="Verdana" w:hAnsi="Verdana" w:cs="Arial"/>
          <w:i/>
          <w:iCs/>
          <w:color w:val="000000" w:themeColor="text1"/>
          <w:lang w:val="es-ES_tradnl"/>
        </w:rPr>
        <w:t>apoyo a la gestión</w:t>
      </w:r>
      <w:r w:rsidRPr="0053080A">
        <w:rPr>
          <w:rFonts w:ascii="Verdana" w:hAnsi="Verdana" w:cs="Arial"/>
          <w:color w:val="000000" w:themeColor="text1"/>
          <w:lang w:val="es-ES_tradnl"/>
        </w:rPr>
        <w:t xml:space="preserve"> y de </w:t>
      </w:r>
      <w:r w:rsidRPr="0053080A">
        <w:rPr>
          <w:rFonts w:ascii="Verdana" w:hAnsi="Verdana" w:cs="Arial"/>
          <w:i/>
          <w:iCs/>
          <w:color w:val="000000" w:themeColor="text1"/>
          <w:lang w:val="es-ES_tradnl"/>
        </w:rPr>
        <w:t>servicios artísticos</w:t>
      </w:r>
      <w:r w:rsidRPr="0053080A">
        <w:rPr>
          <w:rFonts w:ascii="Verdana" w:hAnsi="Verdana" w:cs="Arial"/>
          <w:color w:val="000000" w:themeColor="text1"/>
          <w:lang w:val="es-ES_tradnl"/>
        </w:rPr>
        <w:t xml:space="preserve"> no involucran ese conocimiento profesional </w:t>
      </w:r>
      <w:r w:rsidRPr="0053080A">
        <w:rPr>
          <w:rFonts w:ascii="Verdana" w:hAnsi="Verdana" w:cs="Arial"/>
          <w:color w:val="000000" w:themeColor="text1"/>
          <w:lang w:val="es-MX"/>
        </w:rPr>
        <w:t xml:space="preserve">o especializados para su ejecución. En los contratos de apoyo a la gestión </w:t>
      </w:r>
      <w:r w:rsidRPr="0053080A">
        <w:rPr>
          <w:rFonts w:ascii="Verdana" w:hAnsi="Verdana" w:cs="Arial"/>
          <w:color w:val="000000" w:themeColor="text1"/>
          <w:lang w:val="es-ES_tradnl"/>
        </w:rPr>
        <w:t xml:space="preserve">el contratista desempeña un esfuerzo o actividad de apoyo, acompañamiento, o soporte, </w:t>
      </w:r>
      <w:r w:rsidRPr="0053080A">
        <w:rPr>
          <w:rFonts w:ascii="Verdana" w:hAnsi="Verdana" w:cs="Arial"/>
          <w:color w:val="000000" w:themeColor="text1"/>
          <w:lang w:val="es-MX"/>
        </w:rPr>
        <w:t xml:space="preserve">donde </w:t>
      </w:r>
      <w:r w:rsidRPr="0053080A">
        <w:rPr>
          <w:rFonts w:ascii="Verdana" w:hAnsi="Verdana" w:cs="Arial"/>
          <w:color w:val="000000" w:themeColor="text1"/>
          <w:lang w:val="es-ES_tradnl"/>
        </w:rPr>
        <w:t xml:space="preserve">“lo predominante es el actuar como ejecutor, con el propósito y finalidad de satisfacer necesidades de las entidades estatales en lo relacionado con la gestión administrativa o funcionamiento de la misma, por personas no profesionales y que no implican el ejercicio de funciones públicas administrativas”. Igualmente, en el contrato de prestación de servicios artísticos </w:t>
      </w:r>
      <w:r w:rsidRPr="0053080A">
        <w:rPr>
          <w:rFonts w:ascii="Verdana" w:hAnsi="Verdana" w:cs="Arial"/>
          <w:color w:val="000000" w:themeColor="text1"/>
          <w:lang w:val="es-ES_tradnl"/>
        </w:rPr>
        <w:lastRenderedPageBreak/>
        <w:t>lo prevalente es que la persona que lo ejecute se trate de un artista, es decir, “una persona reconocida como realizador o productor de arte, de obras de arte, ejecutor de trabajos artísticos</w:t>
      </w:r>
      <w:bookmarkStart w:id="3" w:name="_Hlk80118732"/>
      <w:r w:rsidRPr="0053080A">
        <w:rPr>
          <w:rFonts w:ascii="Verdana" w:hAnsi="Verdana" w:cs="Arial"/>
          <w:color w:val="000000" w:themeColor="text1"/>
          <w:lang w:val="es-ES_tradnl"/>
        </w:rPr>
        <w:t>”</w:t>
      </w:r>
      <w:bookmarkEnd w:id="3"/>
      <w:r w:rsidRPr="0053080A">
        <w:rPr>
          <w:rFonts w:ascii="Verdana" w:hAnsi="Verdana" w:cs="Arial"/>
          <w:color w:val="000000" w:themeColor="text1"/>
          <w:lang w:val="es-ES_tradnl"/>
        </w:rPr>
        <w:t>, para lo cual es indiferente el carácter de profesional.</w:t>
      </w:r>
    </w:p>
    <w:p w14:paraId="6508A0C6" w14:textId="77777777" w:rsidR="00FD6EC2" w:rsidRPr="00CE5CFC" w:rsidRDefault="00FD6EC2" w:rsidP="00FD6EC2">
      <w:pPr>
        <w:spacing w:after="120" w:line="276" w:lineRule="auto"/>
        <w:ind w:firstLine="708"/>
        <w:jc w:val="both"/>
        <w:rPr>
          <w:rFonts w:ascii="Verdana" w:hAnsi="Verdana" w:cs="Arial"/>
          <w:lang w:eastAsia="es-MX"/>
        </w:rPr>
      </w:pPr>
      <w:r w:rsidRPr="0053080A">
        <w:rPr>
          <w:rFonts w:ascii="Verdana" w:eastAsia="Calibri" w:hAnsi="Verdana" w:cs="Arial"/>
          <w:color w:val="000000"/>
        </w:rPr>
        <w:t>Ahora bien, con el fin de atender el objeto bajo consulta, las Entidades Estatales, al momento de estructurar sus procesos de contratación, deben ceñirse a las situaciones fácticas y jurídicas definidas por el legislador en el artículo 2 de la Ley 1150 de 2007, a efectos de determinar la modalidad de selección que procede para la celebración de un contrato estatal, de acuerdo con su objeto y cuantía. En este contexto, resulta importante señalar</w:t>
      </w:r>
      <w:bookmarkStart w:id="4" w:name="_Hlk102550058"/>
      <w:r w:rsidRPr="0053080A">
        <w:rPr>
          <w:rFonts w:ascii="Verdana" w:eastAsia="Calibri" w:hAnsi="Verdana" w:cs="Arial"/>
          <w:color w:val="000000"/>
        </w:rPr>
        <w:t xml:space="preserve"> que</w:t>
      </w:r>
      <w:r w:rsidRPr="00CE5CFC">
        <w:rPr>
          <w:rFonts w:ascii="Verdana" w:eastAsia="Arial" w:hAnsi="Verdana" w:cs="Arial"/>
        </w:rPr>
        <w:t xml:space="preserve"> la contratación directa constituye</w:t>
      </w:r>
      <w:r w:rsidRPr="00CE5CFC">
        <w:rPr>
          <w:rFonts w:ascii="Verdana" w:hAnsi="Verdana" w:cs="Arial"/>
          <w:lang w:eastAsia="es-MX"/>
        </w:rPr>
        <w:t xml:space="preserve"> una excepción al principio de libre concurrencia y competencia, el cual rige los procesos de contratación y garantiza que cualquier persona interesada en satisfacer la necesidad de una entidad pueda presentar una oferta. </w:t>
      </w:r>
      <w:bookmarkStart w:id="5" w:name="_Hlk101520178"/>
      <w:bookmarkStart w:id="6" w:name="_Hlk101520187"/>
    </w:p>
    <w:p w14:paraId="170CB4FB" w14:textId="77777777" w:rsidR="00FD6EC2" w:rsidRPr="00CE5CFC" w:rsidRDefault="00FD6EC2" w:rsidP="00FD6EC2">
      <w:pPr>
        <w:spacing w:after="120" w:line="276" w:lineRule="auto"/>
        <w:ind w:firstLine="708"/>
        <w:jc w:val="both"/>
        <w:rPr>
          <w:rFonts w:ascii="Verdana" w:eastAsia="Arial" w:hAnsi="Verdana" w:cs="Arial"/>
        </w:rPr>
      </w:pPr>
      <w:r w:rsidRPr="00CE5CFC">
        <w:rPr>
          <w:rFonts w:ascii="Verdana" w:hAnsi="Verdana" w:cs="Arial"/>
          <w:lang w:eastAsia="es-MX"/>
        </w:rPr>
        <w:t xml:space="preserve">Al tratarse de una excepción a los mencionados principios, la </w:t>
      </w:r>
      <w:r w:rsidRPr="00CE5CFC">
        <w:rPr>
          <w:rFonts w:ascii="Verdana" w:eastAsia="Arial" w:hAnsi="Verdana" w:cs="Arial"/>
        </w:rPr>
        <w:t xml:space="preserve">modalidad de contratación directa es de aplicación restrictiva, es decir, únicamente procede en los eventos expresamente señalados por la ley. Principalmente, las causales para acudir a esta modalidad se encuentran principalmente contenidas en el numeral 4 del artículo 2 de la Ley 1150 de 2007; no obstante, también se pueden encontrar en otras leyes eventos en los que se autorice la contratación bajo esta modalidad. </w:t>
      </w:r>
      <w:bookmarkEnd w:id="5"/>
    </w:p>
    <w:p w14:paraId="5D87CDFC" w14:textId="77777777" w:rsidR="00FD6EC2" w:rsidRPr="00CE5CFC" w:rsidRDefault="00FD6EC2" w:rsidP="00FD6EC2">
      <w:pPr>
        <w:spacing w:after="120" w:line="276" w:lineRule="auto"/>
        <w:ind w:firstLine="708"/>
        <w:jc w:val="both"/>
        <w:rPr>
          <w:rFonts w:ascii="Verdana" w:eastAsia="Arial" w:hAnsi="Verdana" w:cs="Arial"/>
        </w:rPr>
      </w:pPr>
      <w:r w:rsidRPr="00CE5CFC">
        <w:rPr>
          <w:rFonts w:ascii="Verdana" w:hAnsi="Verdana" w:cs="Arial"/>
          <w:lang w:eastAsia="es-MX"/>
        </w:rPr>
        <w:t>En ese sentido, su aplicación no puede efectuarse por fuera del contenido normativo, ni extenderse más allá de lo que la misma norma dispone dentro del contexto del ordenamiento jurídico de la contratación estatal.</w:t>
      </w:r>
      <w:bookmarkEnd w:id="4"/>
      <w:bookmarkEnd w:id="6"/>
      <w:r w:rsidRPr="0053080A">
        <w:rPr>
          <w:rFonts w:ascii="Verdana" w:eastAsia="Calibri" w:hAnsi="Verdana" w:cs="Arial"/>
          <w:color w:val="000000"/>
        </w:rPr>
        <w:t xml:space="preserve"> Así, en virtud de la causal definida en el literal h) la disposición señalada, la contratación directa procede específicamente para la celebración de contratos de prestación de servicios profesionales, de apoyo a la gestión o para la ejecución de trabajos artísticos,  sin distinción de la cuantía u objeto</w:t>
      </w:r>
      <w:r>
        <w:rPr>
          <w:rFonts w:ascii="Verdana" w:eastAsia="Calibri" w:hAnsi="Verdana" w:cs="Arial"/>
          <w:color w:val="000000"/>
        </w:rPr>
        <w:t>, en los términos previstos en dicha disposición</w:t>
      </w:r>
      <w:r w:rsidRPr="0053080A">
        <w:rPr>
          <w:rFonts w:ascii="Verdana" w:eastAsia="Calibri" w:hAnsi="Verdana" w:cs="Arial"/>
          <w:color w:val="000000"/>
        </w:rPr>
        <w:t>.</w:t>
      </w:r>
    </w:p>
    <w:p w14:paraId="3DF61D5B" w14:textId="77777777" w:rsidR="00FD6EC2" w:rsidRPr="00CE5CFC" w:rsidRDefault="00FD6EC2" w:rsidP="00FD6EC2">
      <w:pPr>
        <w:spacing w:after="120" w:line="276" w:lineRule="auto"/>
        <w:ind w:firstLine="708"/>
        <w:jc w:val="both"/>
        <w:rPr>
          <w:rFonts w:ascii="Verdana" w:hAnsi="Verdana" w:cs="Arial"/>
          <w:lang w:eastAsia="es-MX"/>
        </w:rPr>
      </w:pPr>
      <w:r w:rsidRPr="00CE5CFC">
        <w:rPr>
          <w:rFonts w:ascii="Verdana" w:hAnsi="Verdana" w:cs="Arial"/>
          <w:lang w:eastAsia="es-MX"/>
        </w:rPr>
        <w:t xml:space="preserve">La anterior precisión resulta relevante, puesto que, en materia de selección de contratistas rige el principio de legalidad, conforme al cual la entidad debe acudir exclusivamente a la modalidad establecida por el legislador, de acuerdo con las causales o eventos previstos para la procedencia de cada una. En consecuencia, la contratación de prestación de servicios solo podrá adelantarse de forma directa cuando estos correspondan a servicios </w:t>
      </w:r>
      <w:r w:rsidRPr="00CE5CFC">
        <w:rPr>
          <w:rFonts w:ascii="Verdana" w:hAnsi="Verdana" w:cs="Arial"/>
          <w:lang w:eastAsia="es-MX"/>
        </w:rPr>
        <w:lastRenderedPageBreak/>
        <w:t xml:space="preserve">profesionales, de apoyo a la gestión o </w:t>
      </w:r>
      <w:r>
        <w:rPr>
          <w:rFonts w:ascii="Verdana" w:hAnsi="Verdana" w:cs="Arial"/>
          <w:lang w:eastAsia="es-MX"/>
        </w:rPr>
        <w:t xml:space="preserve"> para la ejecución de trabajos </w:t>
      </w:r>
      <w:r w:rsidRPr="00CE5CFC">
        <w:rPr>
          <w:rFonts w:ascii="Verdana" w:hAnsi="Verdana" w:cs="Arial"/>
          <w:lang w:eastAsia="es-MX"/>
        </w:rPr>
        <w:t>artísticos, en los términos autorizados por la ley.</w:t>
      </w:r>
    </w:p>
    <w:p w14:paraId="25D0F99C" w14:textId="77777777" w:rsidR="00FD6EC2" w:rsidRPr="0053080A" w:rsidRDefault="00FD6EC2" w:rsidP="00FD6EC2">
      <w:pPr>
        <w:spacing w:after="120" w:line="276" w:lineRule="auto"/>
        <w:ind w:firstLine="708"/>
        <w:jc w:val="both"/>
        <w:rPr>
          <w:rFonts w:ascii="Verdana" w:eastAsia="Calibri" w:hAnsi="Verdana" w:cs="Arial"/>
          <w:color w:val="000000"/>
        </w:rPr>
      </w:pPr>
      <w:r w:rsidRPr="00CE5CFC">
        <w:rPr>
          <w:rFonts w:ascii="Verdana" w:hAnsi="Verdana" w:cs="Arial"/>
          <w:lang w:val="es-ES_tradnl"/>
        </w:rPr>
        <w:t xml:space="preserve">En armonía con lo anterior, se concluye que </w:t>
      </w:r>
      <w:r w:rsidRPr="00CE5CFC">
        <w:rPr>
          <w:rFonts w:ascii="Verdana" w:hAnsi="Verdana" w:cs="Arial"/>
        </w:rPr>
        <w:t>la contratación directa, como modalidad de selección regulada en la Ley, está condicionada a la aplicación de sus causales de forma estricta y restrictiva, por lo que no es posible realizar interpretaciones amplias y extensivas</w:t>
      </w:r>
      <w:r>
        <w:rPr>
          <w:rFonts w:ascii="Verdana" w:hAnsi="Verdana" w:cs="Arial"/>
        </w:rPr>
        <w:t>. Ello, en atención a que su</w:t>
      </w:r>
      <w:r w:rsidRPr="00CE5CFC">
        <w:rPr>
          <w:rFonts w:ascii="Verdana" w:hAnsi="Verdana" w:cs="Arial"/>
        </w:rPr>
        <w:t xml:space="preserve"> es que la contratación directa sea una excepción a la libre concurrencia de oferentes y no un fundamento para impedir o restringir la competencia, teniendo en cuenta el cumplimiento de los principios de la contratación estatal, de la función administrativa y de la gestión fiscal.</w:t>
      </w:r>
    </w:p>
    <w:p w14:paraId="5D04AF6F" w14:textId="77777777" w:rsidR="00FD6EC2" w:rsidRPr="0053080A" w:rsidRDefault="00FD6EC2" w:rsidP="00FD6EC2">
      <w:pPr>
        <w:spacing w:after="120" w:line="276" w:lineRule="auto"/>
        <w:ind w:firstLine="709"/>
        <w:jc w:val="both"/>
        <w:rPr>
          <w:rFonts w:ascii="Verdana" w:eastAsia="Calibri" w:hAnsi="Verdana" w:cs="Arial"/>
          <w:color w:val="000000"/>
        </w:rPr>
      </w:pPr>
      <w:r>
        <w:rPr>
          <w:rFonts w:ascii="Verdana" w:eastAsia="Calibri" w:hAnsi="Verdana" w:cs="Arial"/>
          <w:color w:val="000000"/>
        </w:rPr>
        <w:t>Por su parte</w:t>
      </w:r>
      <w:r w:rsidRPr="0053080A">
        <w:rPr>
          <w:rFonts w:ascii="Verdana" w:eastAsia="Calibri" w:hAnsi="Verdana" w:cs="Arial"/>
          <w:color w:val="000000"/>
        </w:rPr>
        <w:t xml:space="preserve">, la modalidad de selección de mínima cuantía </w:t>
      </w:r>
      <w:r>
        <w:rPr>
          <w:rFonts w:ascii="Verdana" w:eastAsia="Calibri" w:hAnsi="Verdana" w:cs="Arial"/>
          <w:color w:val="000000"/>
        </w:rPr>
        <w:t>,</w:t>
      </w:r>
      <w:r w:rsidRPr="00D61205">
        <w:rPr>
          <w:rFonts w:ascii="Verdana" w:eastAsia="Calibri" w:hAnsi="Verdana" w:cs="Arial"/>
          <w:color w:val="000000"/>
        </w:rPr>
        <w:t xml:space="preserve">dispuesta en el numeral 5 del artículo 2 ibidem, permite “la contratación cuyo valor no excede del </w:t>
      </w:r>
      <w:r w:rsidRPr="0053080A">
        <w:rPr>
          <w:rFonts w:ascii="Verdana" w:eastAsia="Calibri" w:hAnsi="Verdana" w:cs="Arial"/>
          <w:color w:val="000000"/>
        </w:rPr>
        <w:t>diez</w:t>
      </w:r>
      <w:r>
        <w:rPr>
          <w:rFonts w:ascii="Verdana" w:eastAsia="Calibri" w:hAnsi="Verdana" w:cs="Arial"/>
          <w:color w:val="000000"/>
        </w:rPr>
        <w:t xml:space="preserve"> </w:t>
      </w:r>
      <w:r w:rsidRPr="00D61205">
        <w:rPr>
          <w:rFonts w:ascii="Verdana" w:eastAsia="Calibri" w:hAnsi="Verdana" w:cs="Arial"/>
          <w:color w:val="000000"/>
        </w:rPr>
        <w:t xml:space="preserve">por ciento </w:t>
      </w:r>
      <w:r>
        <w:rPr>
          <w:rFonts w:ascii="Verdana" w:eastAsia="Calibri" w:hAnsi="Verdana" w:cs="Arial"/>
          <w:color w:val="000000"/>
        </w:rPr>
        <w:t>(</w:t>
      </w:r>
      <w:r w:rsidRPr="006E4191">
        <w:rPr>
          <w:rFonts w:ascii="Verdana" w:eastAsia="Calibri" w:hAnsi="Verdana" w:cs="Arial"/>
          <w:color w:val="000000"/>
        </w:rPr>
        <w:t>10</w:t>
      </w:r>
      <w:r>
        <w:rPr>
          <w:rFonts w:ascii="Verdana" w:eastAsia="Calibri" w:hAnsi="Verdana" w:cs="Arial"/>
          <w:color w:val="000000"/>
        </w:rPr>
        <w:t xml:space="preserve"> %) </w:t>
      </w:r>
      <w:r w:rsidRPr="00D61205">
        <w:rPr>
          <w:rFonts w:ascii="Verdana" w:eastAsia="Calibri" w:hAnsi="Verdana" w:cs="Arial"/>
          <w:color w:val="000000"/>
        </w:rPr>
        <w:t xml:space="preserve">de la menor cuantía de la entidad independientemente de su objeto […]”. </w:t>
      </w:r>
      <w:r>
        <w:rPr>
          <w:rFonts w:ascii="Verdana" w:eastAsia="Calibri" w:hAnsi="Verdana" w:cs="Arial"/>
          <w:color w:val="000000"/>
        </w:rPr>
        <w:t>En consecuencia</w:t>
      </w:r>
      <w:r w:rsidRPr="00D61205">
        <w:rPr>
          <w:rFonts w:ascii="Verdana" w:eastAsia="Calibri" w:hAnsi="Verdana" w:cs="Arial"/>
          <w:color w:val="000000"/>
        </w:rPr>
        <w:t xml:space="preserve">, la procedencia de esta modalidad de contratación dependerá de </w:t>
      </w:r>
      <w:r w:rsidRPr="004A6085">
        <w:rPr>
          <w:rFonts w:ascii="Verdana" w:eastAsia="Calibri" w:hAnsi="Verdana" w:cs="Arial"/>
          <w:color w:val="000000"/>
        </w:rPr>
        <w:t>un</w:t>
      </w:r>
      <w:r w:rsidRPr="0053080A">
        <w:rPr>
          <w:rFonts w:ascii="Verdana" w:eastAsia="Calibri" w:hAnsi="Verdana" w:cs="Arial"/>
          <w:color w:val="000000"/>
        </w:rPr>
        <w:t xml:space="preserve"> factor determinante, la “cuantía” del contrato que se pretende celebrar. </w:t>
      </w:r>
    </w:p>
    <w:p w14:paraId="17CB2665" w14:textId="77777777" w:rsidR="00FD6EC2" w:rsidRPr="0053080A" w:rsidRDefault="00FD6EC2" w:rsidP="00FD6EC2">
      <w:pPr>
        <w:spacing w:after="120" w:line="276" w:lineRule="auto"/>
        <w:ind w:firstLine="709"/>
        <w:jc w:val="both"/>
        <w:rPr>
          <w:rFonts w:ascii="Verdana" w:eastAsia="Calibri" w:hAnsi="Verdana" w:cs="Arial"/>
          <w:color w:val="000000"/>
        </w:rPr>
      </w:pPr>
      <w:r w:rsidRPr="0053080A">
        <w:rPr>
          <w:rFonts w:ascii="Verdana" w:eastAsia="Calibri" w:hAnsi="Verdana" w:cs="Arial"/>
          <w:color w:val="000000"/>
        </w:rPr>
        <w:t xml:space="preserve"> Conforme a lo expuesto, las Entidades Estatales deben observar al momento de identificar la necesidad que pretenden satisfacer, las situaciones fácticas y jurídicas previamente dispuestas en la ley para adelantar un proceso de contratación a través de una determinada modalidad de selección</w:t>
      </w:r>
      <w:r>
        <w:rPr>
          <w:rFonts w:ascii="Verdana" w:eastAsia="Calibri" w:hAnsi="Verdana" w:cs="Arial"/>
          <w:color w:val="000000"/>
        </w:rPr>
        <w:t xml:space="preserve"> correspondiente</w:t>
      </w:r>
      <w:r w:rsidRPr="004A6085">
        <w:rPr>
          <w:rFonts w:ascii="Verdana" w:eastAsia="Calibri" w:hAnsi="Verdana" w:cs="Arial"/>
          <w:color w:val="000000"/>
        </w:rPr>
        <w:t>.</w:t>
      </w:r>
      <w:r>
        <w:rPr>
          <w:rFonts w:ascii="Verdana" w:eastAsia="Calibri" w:hAnsi="Verdana" w:cs="Arial"/>
          <w:color w:val="000000"/>
        </w:rPr>
        <w:t xml:space="preserve"> </w:t>
      </w:r>
      <w:r w:rsidRPr="0053080A">
        <w:rPr>
          <w:rFonts w:ascii="Verdana" w:eastAsia="Calibri" w:hAnsi="Verdana" w:cs="Arial"/>
          <w:color w:val="000000"/>
        </w:rPr>
        <w:t>En ese sentido, las Entidades Estatales podrán contratar la prestación de bienes, obras o servicios mediante la modalidad de selección de mínima cuantía, siempre y cuando se encausen en el factor determinante de la cuantía y las normas que integran el Estatuto General de Contratación de la Administración Pública –Ley 80 de 1993, Ley 1150 de 2007, Decreto 1082 de 2015 y demás normas que lo modifiquen o complementen– no los hayan delimitado de manera concreta y especial, a otras modalidades de selección.</w:t>
      </w:r>
    </w:p>
    <w:p w14:paraId="678CA7D6" w14:textId="77777777" w:rsidR="00FD6EC2" w:rsidRPr="0053080A" w:rsidRDefault="00FD6EC2" w:rsidP="00FD6EC2">
      <w:pPr>
        <w:spacing w:after="120" w:line="276" w:lineRule="auto"/>
        <w:ind w:firstLine="709"/>
        <w:jc w:val="both"/>
        <w:rPr>
          <w:rFonts w:ascii="Verdana" w:eastAsia="Calibri" w:hAnsi="Verdana" w:cs="Arial"/>
        </w:rPr>
      </w:pPr>
      <w:r w:rsidRPr="0053080A">
        <w:rPr>
          <w:rFonts w:ascii="Verdana" w:eastAsia="Calibri" w:hAnsi="Verdana" w:cs="Arial"/>
          <w:color w:val="000000"/>
        </w:rPr>
        <w:t>Finalme</w:t>
      </w:r>
      <w:r w:rsidRPr="0053080A">
        <w:rPr>
          <w:rFonts w:ascii="Verdana" w:eastAsia="Calibri" w:hAnsi="Verdana" w:cs="Arial"/>
        </w:rPr>
        <w:t xml:space="preserve">nte, debe advertirse que el análisis requerido para resolver problemas específicos en torno a la gestión contractual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A0FB0F5" w14:textId="77777777" w:rsidR="00FD6EC2" w:rsidRPr="0053080A" w:rsidRDefault="00FD6EC2" w:rsidP="00FD6EC2">
      <w:pPr>
        <w:spacing w:after="0" w:line="276" w:lineRule="auto"/>
        <w:ind w:firstLine="709"/>
        <w:jc w:val="both"/>
        <w:rPr>
          <w:rFonts w:ascii="Verdana" w:eastAsia="Calibri" w:hAnsi="Verdana" w:cs="Arial"/>
        </w:rPr>
      </w:pPr>
      <w:r w:rsidRPr="0053080A">
        <w:rPr>
          <w:rFonts w:ascii="Verdana" w:eastAsia="Calibri" w:hAnsi="Verdana" w:cs="Arial"/>
        </w:rPr>
        <w:lastRenderedPageBreak/>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67047647" w14:textId="77777777" w:rsidR="00FD6EC2" w:rsidRPr="00AD24B9" w:rsidRDefault="00FD6EC2" w:rsidP="00FD6EC2">
      <w:pPr>
        <w:widowControl w:val="0"/>
        <w:autoSpaceDE w:val="0"/>
        <w:autoSpaceDN w:val="0"/>
        <w:spacing w:after="0" w:line="276" w:lineRule="auto"/>
        <w:contextualSpacing/>
        <w:jc w:val="both"/>
        <w:rPr>
          <w:rFonts w:ascii="Verdana" w:hAnsi="Verdana" w:cs="Arial"/>
        </w:rPr>
      </w:pPr>
    </w:p>
    <w:p w14:paraId="313A6260" w14:textId="77777777" w:rsidR="00FD6EC2" w:rsidRPr="00AD24B9" w:rsidRDefault="00FD6EC2" w:rsidP="00FD6EC2">
      <w:pPr>
        <w:widowControl w:val="0"/>
        <w:autoSpaceDE w:val="0"/>
        <w:autoSpaceDN w:val="0"/>
        <w:spacing w:before="1" w:after="0" w:line="276" w:lineRule="auto"/>
        <w:jc w:val="both"/>
        <w:outlineLvl w:val="0"/>
        <w:rPr>
          <w:rFonts w:ascii="Verdana" w:eastAsia="Arial" w:hAnsi="Verdana" w:cs="Arial"/>
          <w:b/>
          <w:bCs/>
          <w:lang w:val="es-ES"/>
        </w:rPr>
      </w:pPr>
      <w:r w:rsidRPr="00AD24B9">
        <w:rPr>
          <w:rFonts w:ascii="Verdana" w:eastAsia="Arial" w:hAnsi="Verdana" w:cs="Arial"/>
          <w:b/>
          <w:bCs/>
          <w:lang w:val="es-ES"/>
        </w:rPr>
        <w:t>4. Referencias normativas, jurisprudenciales y otras fuentes:</w:t>
      </w:r>
    </w:p>
    <w:p w14:paraId="27DCDBE3" w14:textId="77777777" w:rsidR="00FD6EC2" w:rsidRPr="00AD24B9" w:rsidRDefault="00FD6EC2" w:rsidP="00FD6EC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D6EC2" w:rsidRPr="00AD24B9" w14:paraId="2B09DF1D" w14:textId="77777777" w:rsidTr="0086292B">
        <w:trPr>
          <w:trHeight w:val="870"/>
        </w:trPr>
        <w:tc>
          <w:tcPr>
            <w:tcW w:w="8647" w:type="dxa"/>
          </w:tcPr>
          <w:p w14:paraId="5EEC533A" w14:textId="77777777" w:rsidR="00FD6EC2" w:rsidRPr="00AD24B9"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AD24B9">
              <w:rPr>
                <w:rFonts w:ascii="Verdana" w:eastAsia="Calibri" w:hAnsi="Verdana" w:cs="Arial"/>
                <w:lang w:val="es-ES"/>
              </w:rPr>
              <w:t>Ley 80 de 1993. Artículo 32, numeral 3</w:t>
            </w:r>
          </w:p>
          <w:p w14:paraId="2B41C804" w14:textId="77777777" w:rsidR="00FD6EC2" w:rsidRPr="00AD24B9"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AD24B9">
              <w:rPr>
                <w:rFonts w:ascii="Verdana" w:eastAsia="Aptos" w:hAnsi="Verdana" w:cs="Arial"/>
              </w:rPr>
              <w:t>Ley 1150 de 2007. Artículo 2, numeral 4, literal h y numeral 5.</w:t>
            </w:r>
          </w:p>
          <w:p w14:paraId="15A3032B" w14:textId="77777777" w:rsidR="00FD6EC2" w:rsidRPr="00AD24B9"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AD24B9">
              <w:rPr>
                <w:rFonts w:ascii="Verdana" w:eastAsia="Aptos" w:hAnsi="Verdana" w:cs="Arial"/>
              </w:rPr>
              <w:t xml:space="preserve">Decreto 1082 de 2015. Artículo 2.2.1.2.1.4.1 y </w:t>
            </w:r>
            <w:r w:rsidRPr="00AD24B9">
              <w:rPr>
                <w:rFonts w:ascii="Verdana" w:hAnsi="Verdana" w:cs="Arial"/>
                <w:noProof/>
                <w:lang w:val="es-ES_tradnl"/>
              </w:rPr>
              <w:t>2.2.1.2.1.4.9.</w:t>
            </w:r>
          </w:p>
          <w:p w14:paraId="29BD4790" w14:textId="77777777" w:rsidR="00FD6EC2" w:rsidRPr="00872102"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AD24B9">
              <w:rPr>
                <w:rFonts w:ascii="Verdana" w:eastAsia="Aptos" w:hAnsi="Verdana" w:cs="Arial"/>
              </w:rPr>
              <w:t>Corte Constitucional. Sentencia C-154 de 1997</w:t>
            </w:r>
            <w:r>
              <w:rPr>
                <w:rFonts w:ascii="Verdana" w:eastAsia="Aptos" w:hAnsi="Verdana" w:cs="Arial"/>
              </w:rPr>
              <w:t>.</w:t>
            </w:r>
          </w:p>
          <w:p w14:paraId="5D6F28F7" w14:textId="77777777" w:rsidR="00FD6EC2"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0C2DF1">
              <w:rPr>
                <w:rFonts w:ascii="Verdana" w:eastAsia="Aptos" w:hAnsi="Verdana" w:cs="Arial"/>
              </w:rPr>
              <w:t>Consejo de Estado. Sección Tercera. Subsección C. Sentencia de Unificación del 2 de diciembre de 2013. Exp. 41.719. C.P. Jaime Orlando Santofimio Gamboa.</w:t>
            </w:r>
          </w:p>
          <w:p w14:paraId="0C837AC7" w14:textId="77777777" w:rsidR="00FD6EC2" w:rsidRPr="00AD24B9"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872102">
              <w:rPr>
                <w:rFonts w:ascii="Verdana" w:eastAsia="Aptos" w:hAnsi="Verdana" w:cs="Arial"/>
              </w:rPr>
              <w:t>Consejo de Estado. Sección Segunda. Sentencia del 9 de septiembre de 2021. Expediente No. 05001-23-33-000-2013-01143-01(1317-16). M.P. Dra. Sandra Lisset Ibarra Vélez</w:t>
            </w:r>
            <w:r>
              <w:rPr>
                <w:rFonts w:ascii="Verdana" w:eastAsia="Aptos" w:hAnsi="Verdana" w:cs="Arial"/>
              </w:rPr>
              <w:t>.</w:t>
            </w:r>
          </w:p>
        </w:tc>
      </w:tr>
    </w:tbl>
    <w:p w14:paraId="34C12591" w14:textId="77777777" w:rsidR="00FD6EC2" w:rsidRPr="00AD24B9" w:rsidRDefault="00FD6EC2" w:rsidP="00FD6EC2">
      <w:pPr>
        <w:widowControl w:val="0"/>
        <w:autoSpaceDE w:val="0"/>
        <w:autoSpaceDN w:val="0"/>
        <w:spacing w:after="0" w:line="276" w:lineRule="auto"/>
        <w:jc w:val="both"/>
        <w:rPr>
          <w:rFonts w:ascii="Verdana" w:hAnsi="Verdana" w:cs="Arial"/>
        </w:rPr>
      </w:pPr>
    </w:p>
    <w:p w14:paraId="70CAF0D5" w14:textId="77777777" w:rsidR="00FD6EC2" w:rsidRPr="00AD24B9" w:rsidRDefault="00FD6EC2" w:rsidP="00FD6EC2">
      <w:pPr>
        <w:widowControl w:val="0"/>
        <w:autoSpaceDE w:val="0"/>
        <w:autoSpaceDN w:val="0"/>
        <w:spacing w:before="1" w:after="0" w:line="276" w:lineRule="auto"/>
        <w:jc w:val="both"/>
        <w:outlineLvl w:val="0"/>
        <w:rPr>
          <w:rFonts w:ascii="Verdana" w:eastAsia="Arial" w:hAnsi="Verdana" w:cs="Arial"/>
          <w:b/>
          <w:bCs/>
          <w:lang w:val="es-ES"/>
        </w:rPr>
      </w:pPr>
      <w:r w:rsidRPr="00AD24B9">
        <w:rPr>
          <w:rFonts w:ascii="Verdana" w:eastAsia="Arial" w:hAnsi="Verdana" w:cs="Arial"/>
          <w:b/>
          <w:bCs/>
          <w:lang w:val="es-ES"/>
        </w:rPr>
        <w:t>5. Doctrina de la Agencia Nacional de Contratación Pública:</w:t>
      </w:r>
    </w:p>
    <w:p w14:paraId="34860E52" w14:textId="77777777" w:rsidR="00FD6EC2" w:rsidRPr="009472DB" w:rsidRDefault="00FD6EC2" w:rsidP="00FD6EC2">
      <w:pPr>
        <w:widowControl w:val="0"/>
        <w:autoSpaceDE w:val="0"/>
        <w:autoSpaceDN w:val="0"/>
        <w:spacing w:after="0" w:line="276" w:lineRule="auto"/>
        <w:jc w:val="both"/>
        <w:rPr>
          <w:rFonts w:ascii="Verdana" w:hAnsi="Verdana" w:cs="Arial"/>
        </w:rPr>
      </w:pPr>
    </w:p>
    <w:p w14:paraId="15E02BD8" w14:textId="77777777" w:rsidR="00FD6EC2" w:rsidRPr="00AD24B9" w:rsidRDefault="00FD6EC2" w:rsidP="00FD6EC2">
      <w:pPr>
        <w:widowControl w:val="0"/>
        <w:autoSpaceDE w:val="0"/>
        <w:autoSpaceDN w:val="0"/>
        <w:spacing w:after="0" w:line="276" w:lineRule="auto"/>
        <w:jc w:val="both"/>
        <w:rPr>
          <w:rFonts w:ascii="Verdana" w:hAnsi="Verdana" w:cs="Arial"/>
          <w:shd w:val="clear" w:color="auto" w:fill="FFFFFF"/>
          <w:lang w:val="es-ES"/>
        </w:rPr>
      </w:pPr>
      <w:r w:rsidRPr="009472DB">
        <w:rPr>
          <w:rFonts w:ascii="Verdana" w:eastAsia="Aptos" w:hAnsi="Verdana" w:cs="Arial"/>
          <w:shd w:val="clear" w:color="auto" w:fill="FFFFFF"/>
          <w:lang w:val="es-ES"/>
        </w:rPr>
        <w:t xml:space="preserve">Sobre el </w:t>
      </w:r>
      <w:r w:rsidRPr="00872102">
        <w:rPr>
          <w:rFonts w:ascii="Verdana" w:eastAsia="Aptos" w:hAnsi="Verdana" w:cs="Arial"/>
          <w:shd w:val="clear" w:color="auto" w:fill="FFFFFF"/>
          <w:lang w:val="es-ES"/>
        </w:rPr>
        <w:t>marco jurídico del contrato de prestación de servicios profesionales, de apoyo a la gestión y para la ejecución de trabajos artísticos, esta Subdirección se ha referido en los Conceptos</w:t>
      </w:r>
      <w:r w:rsidRPr="00AD24B9">
        <w:rPr>
          <w:rFonts w:ascii="Verdana" w:eastAsia="Calibri" w:hAnsi="Verdana" w:cs="Arial"/>
          <w:lang w:val="es-ES_tradnl" w:eastAsia="es-MX"/>
        </w:rPr>
        <w:t xml:space="preserve"> C-004 del 12 de febrero de 2021, C-145 del 08 de abril de 2021, C-654 del 22 de noviembre de 2021, C-019 del 21 de febrero de 2022, C-181 del 8 de abril de 2022, C-491 del 01 de agosto de 2022</w:t>
      </w:r>
      <w:r w:rsidRPr="00AD24B9">
        <w:rPr>
          <w:rFonts w:ascii="Verdana" w:eastAsia="Aptos" w:hAnsi="Verdana" w:cs="Arial"/>
          <w:shd w:val="clear" w:color="auto" w:fill="FFFFFF"/>
          <w:lang w:val="es-ES"/>
        </w:rPr>
        <w:t>,</w:t>
      </w:r>
      <w:r w:rsidRPr="00AD24B9">
        <w:rPr>
          <w:rFonts w:ascii="Verdana" w:eastAsia="Calibri" w:hAnsi="Verdana" w:cs="Arial"/>
          <w:lang w:val="es-ES_tradnl" w:eastAsia="es-MX"/>
        </w:rPr>
        <w:t xml:space="preserve"> C-024 del 4 de marzo de 2022, C-102 del 4 de mayo de 2023, C-100 de 03 mayo de 2023, C-067 del 16 mayo de 2024, </w:t>
      </w:r>
      <w:r w:rsidRPr="00AD24B9">
        <w:rPr>
          <w:rFonts w:ascii="Verdana" w:eastAsia="Aptos" w:hAnsi="Verdana" w:cs="Arial"/>
          <w:shd w:val="clear" w:color="auto" w:fill="FFFFFF"/>
          <w:lang w:val="es-ES"/>
        </w:rPr>
        <w:t xml:space="preserve">C-054 del 24 de febrero de 2026, C-098 del 5 marzo de 2026, C-142 del 11 de marzo de 2026, C-151 del 12 de marzo de 2026 entre otros. </w:t>
      </w:r>
      <w:r w:rsidRPr="00AD24B9">
        <w:rPr>
          <w:rFonts w:ascii="Verdana" w:hAnsi="Verdana" w:cs="Arial"/>
          <w:shd w:val="clear" w:color="auto" w:fill="FFFFFF"/>
          <w:lang w:val="es-ES"/>
        </w:rPr>
        <w:t>Es</w:t>
      </w:r>
      <w:r w:rsidRPr="00AD24B9">
        <w:rPr>
          <w:rFonts w:ascii="Verdana" w:hAnsi="Verdana"/>
        </w:rPr>
        <w:t>tos y otros conceptos se encuentran disponibles para consulta en el Sistema de relatoría de la Agencia, al cual se puede acceder a través del siguiente enlace:</w:t>
      </w:r>
      <w:r w:rsidRPr="00AD24B9">
        <w:rPr>
          <w:rFonts w:ascii="Verdana" w:hAnsi="Verdana" w:cs="Arial"/>
          <w:shd w:val="clear" w:color="auto" w:fill="FFFFFF"/>
          <w:lang w:val="es-ES"/>
        </w:rPr>
        <w:t xml:space="preserve"> </w:t>
      </w:r>
      <w:hyperlink r:id="rId12" w:history="1">
        <w:r w:rsidRPr="00AD24B9">
          <w:rPr>
            <w:rFonts w:ascii="Verdana" w:hAnsi="Verdana" w:cs="Arial"/>
            <w:color w:val="467886" w:themeColor="hyperlink"/>
            <w:u w:val="single"/>
            <w:shd w:val="clear" w:color="auto" w:fill="FFFFFF"/>
            <w:lang w:val="es-ES"/>
          </w:rPr>
          <w:t>https://relatoria.colombiacompra.gov.co/busqueda/conceptos</w:t>
        </w:r>
      </w:hyperlink>
      <w:r w:rsidRPr="00AD24B9">
        <w:rPr>
          <w:rFonts w:ascii="Verdana" w:hAnsi="Verdana" w:cs="Arial"/>
          <w:color w:val="FF0000"/>
          <w:shd w:val="clear" w:color="auto" w:fill="FFFFFF"/>
          <w:lang w:val="es-ES"/>
        </w:rPr>
        <w:t>.</w:t>
      </w:r>
    </w:p>
    <w:p w14:paraId="53FEBEF5" w14:textId="77777777" w:rsidR="00FD6EC2" w:rsidRPr="00AD24B9" w:rsidRDefault="00FD6EC2" w:rsidP="00FD6EC2">
      <w:pPr>
        <w:spacing w:before="120" w:after="120" w:line="276" w:lineRule="auto"/>
        <w:ind w:firstLine="709"/>
        <w:jc w:val="both"/>
        <w:rPr>
          <w:rFonts w:ascii="Verdana" w:eastAsia="Aptos" w:hAnsi="Verdana" w:cs="Times New Roman"/>
        </w:rPr>
      </w:pPr>
      <w:r w:rsidRPr="00AD24B9">
        <w:rPr>
          <w:rFonts w:ascii="Verdana" w:eastAsia="Aptos" w:hAnsi="Verdana" w:cs="Times New Roman"/>
        </w:rPr>
        <w:t xml:space="preserve">La sostenibilidad no es una opción, es una obligación. Por ello, la Agencia Nacional de Contratación </w:t>
      </w:r>
      <w:r w:rsidRPr="009472DB">
        <w:rPr>
          <w:rFonts w:ascii="Verdana" w:eastAsia="Aptos" w:hAnsi="Verdana" w:cs="Times New Roman"/>
        </w:rPr>
        <w:t xml:space="preserve">Pública –Colombia Compra Eficiente– te invita a realizar el </w:t>
      </w:r>
      <w:r w:rsidRPr="009472DB">
        <w:rPr>
          <w:rFonts w:ascii="Verdana" w:eastAsia="Aptos" w:hAnsi="Verdana" w:cs="Times New Roman"/>
          <w:b/>
          <w:bCs/>
        </w:rPr>
        <w:t>Curso de Contratación Pública Sostenible y Socialmente Responsable</w:t>
      </w:r>
      <w:r w:rsidRPr="00AD24B9">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D24B9">
        <w:rPr>
          <w:rFonts w:ascii="Verdana" w:eastAsia="Aptos" w:hAnsi="Verdana" w:cs="Times New Roman"/>
        </w:rPr>
        <w:br/>
      </w:r>
      <w:hyperlink r:id="rId13" w:tgtFrame="_new" w:history="1">
        <w:r w:rsidRPr="00AD24B9">
          <w:rPr>
            <w:rFonts w:ascii="Verdana" w:eastAsia="Aptos" w:hAnsi="Verdana" w:cs="Times New Roman"/>
            <w:color w:val="0000FF"/>
            <w:u w:val="single"/>
          </w:rPr>
          <w:t>https://formacionvirtual.colombiacompra.gov.co/mod/page/view.php?id=3718</w:t>
        </w:r>
      </w:hyperlink>
    </w:p>
    <w:p w14:paraId="6EF08D66" w14:textId="77777777" w:rsidR="00FD6EC2" w:rsidRPr="00AD24B9" w:rsidRDefault="00FD6EC2" w:rsidP="00FD6EC2">
      <w:pPr>
        <w:spacing w:line="276" w:lineRule="auto"/>
        <w:ind w:firstLine="708"/>
        <w:jc w:val="both"/>
        <w:rPr>
          <w:rFonts w:ascii="Verdana" w:eastAsia="Aptos" w:hAnsi="Verdana" w:cs="Times New Roman"/>
        </w:rPr>
      </w:pPr>
      <w:r w:rsidRPr="00AD24B9">
        <w:rPr>
          <w:rFonts w:ascii="Verdana" w:eastAsia="Aptos" w:hAnsi="Verdana" w:cs="Times New Roman"/>
        </w:rPr>
        <w:t xml:space="preserve">De otro lado, te contamos que esta Agencia ha da un paso decisivo en la estandarización y modernización del </w:t>
      </w:r>
      <w:r w:rsidRPr="009472DB">
        <w:rPr>
          <w:rFonts w:ascii="Verdana" w:eastAsia="Aptos" w:hAnsi="Verdana" w:cs="Times New Roman"/>
          <w:b/>
          <w:bCs/>
        </w:rPr>
        <w:t>sector  social</w:t>
      </w:r>
      <w:r w:rsidRPr="009472DB">
        <w:rPr>
          <w:rFonts w:ascii="Verdana" w:eastAsia="Aptos" w:hAnsi="Verdana" w:cs="Times New Roman"/>
        </w:rPr>
        <w:t xml:space="preserve"> con la expedición de las </w:t>
      </w:r>
      <w:r w:rsidRPr="009472DB">
        <w:rPr>
          <w:rFonts w:ascii="Verdana" w:eastAsia="Aptos" w:hAnsi="Verdana" w:cs="Times New Roman"/>
          <w:b/>
          <w:bCs/>
        </w:rPr>
        <w:t>Resoluciones 539, 540, 541, 952 y 953 de 2025</w:t>
      </w:r>
      <w:r w:rsidRPr="00872102">
        <w:rPr>
          <w:rFonts w:ascii="Verdana" w:eastAsia="Aptos" w:hAnsi="Verdana" w:cs="Times New Roman"/>
        </w:rPr>
        <w:t xml:space="preserve">, </w:t>
      </w:r>
      <w:r w:rsidRPr="00872102">
        <w:rPr>
          <w:rFonts w:ascii="Verdana" w:eastAsia="Aptos" w:hAnsi="Verdana" w:cs="Times New Roman"/>
          <w:b/>
          <w:bCs/>
        </w:rPr>
        <w:t>mediante las cuales adoptó Documentos Tipo</w:t>
      </w:r>
      <w:r w:rsidRPr="00AD24B9">
        <w:rPr>
          <w:rFonts w:ascii="Verdana" w:eastAsia="Aptos" w:hAnsi="Verdana" w:cs="Times New Roman"/>
        </w:rPr>
        <w:t xml:space="preserve"> para las modalidades de selección de</w:t>
      </w:r>
      <w:r w:rsidRPr="00AD24B9">
        <w:rPr>
          <w:rFonts w:ascii="Verdana" w:eastAsia="Aptos" w:hAnsi="Verdana" w:cs="Times New Roman"/>
          <w:b/>
          <w:bCs/>
        </w:rPr>
        <w:t xml:space="preserve"> licitación pública (versión 2), selección abreviada de menor cuantía, mínima cuantía, consultoría e interventoría</w:t>
      </w:r>
      <w:r w:rsidRPr="00AD24B9">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AD24B9">
          <w:rPr>
            <w:rFonts w:ascii="Verdana" w:eastAsia="Aptos" w:hAnsi="Verdana" w:cs="Times New Roman"/>
            <w:color w:val="0000FF"/>
            <w:u w:val="single"/>
          </w:rPr>
          <w:t>https://www.colombiacompra.gov.co/normativa-y-relatoria/documentos-tipo</w:t>
        </w:r>
      </w:hyperlink>
    </w:p>
    <w:p w14:paraId="1D6D7E70" w14:textId="77777777" w:rsidR="00FD6EC2" w:rsidRPr="00AD24B9" w:rsidRDefault="00FD6EC2" w:rsidP="00FD6EC2">
      <w:pPr>
        <w:widowControl w:val="0"/>
        <w:autoSpaceDE w:val="0"/>
        <w:autoSpaceDN w:val="0"/>
        <w:spacing w:after="0" w:line="276" w:lineRule="auto"/>
        <w:ind w:firstLine="708"/>
        <w:jc w:val="both"/>
        <w:rPr>
          <w:rFonts w:ascii="Verdana" w:hAnsi="Verdana"/>
        </w:rPr>
      </w:pPr>
      <w:r w:rsidRPr="00AD24B9">
        <w:rPr>
          <w:rFonts w:ascii="Verdana" w:eastAsia="Aptos" w:hAnsi="Verdana" w:cs="Times New Roman"/>
        </w:rPr>
        <w:t xml:space="preserve">Si quieres conocer más sobre la aplicación de Documentos Tipo puedes consultar la última versión de la </w:t>
      </w:r>
      <w:r w:rsidRPr="009472DB">
        <w:rPr>
          <w:rFonts w:ascii="Verdana" w:eastAsia="Aptos" w:hAnsi="Verdana" w:cs="Times New Roman"/>
          <w:b/>
          <w:bCs/>
        </w:rPr>
        <w:t>Guía para la comprensión e implementación de los Documentos Tipo de obra pública de infraestructura de transporte</w:t>
      </w:r>
      <w:r w:rsidRPr="009472DB">
        <w:rPr>
          <w:rFonts w:ascii="Verdana" w:eastAsia="Aptos" w:hAnsi="Verdana" w:cs="Times New Roman"/>
        </w:rPr>
        <w:t xml:space="preserve">. En esta actualización </w:t>
      </w:r>
      <w:r w:rsidRPr="00872102">
        <w:rPr>
          <w:rFonts w:ascii="Verdana" w:eastAsia="Aptos" w:hAnsi="Verdana" w:cs="Times New Roman"/>
        </w:rPr>
        <w:t>se incorporaron orientaciones prácticas dirigidas a entidades públicas, proveedores, organismos de control y demás interesados, con el propósito de facilitar la adecuada implementación de estos instrumentos en los procesos contractuales. Además se incluyer</w:t>
      </w:r>
      <w:r w:rsidRPr="00AD24B9">
        <w:rPr>
          <w:rFonts w:ascii="Verdana" w:eastAsia="Aptos" w:hAnsi="Verdana" w:cs="Times New Roman"/>
        </w:rPr>
        <w:t>on lineamientos que orientan la implementación de los criterios ambientales y sociales incluidos en los documentos tipo: Consulta la guía aquí:</w:t>
      </w:r>
      <w:r w:rsidRPr="00AD24B9">
        <w:rPr>
          <w:rFonts w:ascii="Verdana" w:eastAsia="Aptos" w:hAnsi="Verdana" w:cs="Times New Roman"/>
        </w:rPr>
        <w:br/>
      </w:r>
      <w:hyperlink r:id="rId15" w:tgtFrame="_new" w:history="1">
        <w:r w:rsidRPr="00AD24B9">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0C98563F" w14:textId="77777777" w:rsidR="00FD6EC2" w:rsidRPr="00AD24B9" w:rsidRDefault="00FD6EC2" w:rsidP="00FD6EC2">
      <w:pPr>
        <w:widowControl w:val="0"/>
        <w:autoSpaceDE w:val="0"/>
        <w:autoSpaceDN w:val="0"/>
        <w:spacing w:after="0" w:line="276" w:lineRule="auto"/>
        <w:jc w:val="both"/>
        <w:rPr>
          <w:rFonts w:ascii="Verdana" w:hAnsi="Verdana" w:cs="Arial"/>
          <w:shd w:val="clear" w:color="auto" w:fill="FFFFFF"/>
          <w:lang w:val="es-ES"/>
        </w:rPr>
      </w:pPr>
    </w:p>
    <w:p w14:paraId="4B317445" w14:textId="77777777" w:rsidR="00FD6EC2" w:rsidRPr="009472DB" w:rsidRDefault="00FD6EC2" w:rsidP="00FD6EC2">
      <w:pPr>
        <w:spacing w:after="0" w:line="276" w:lineRule="auto"/>
        <w:jc w:val="both"/>
        <w:rPr>
          <w:rFonts w:ascii="Verdana" w:hAnsi="Verdana"/>
        </w:rPr>
      </w:pPr>
      <w:r w:rsidRPr="00AD24B9">
        <w:rPr>
          <w:rFonts w:ascii="Verdana" w:hAnsi="Verdana"/>
        </w:rPr>
        <w:t xml:space="preserve">Por último, lo invitamos a seguirnos en las redes sociales en las cuales se difunde información institucional: </w:t>
      </w:r>
    </w:p>
    <w:p w14:paraId="43465C8C" w14:textId="77777777" w:rsidR="00FD6EC2" w:rsidRPr="009472DB" w:rsidRDefault="00FD6EC2" w:rsidP="00FD6EC2">
      <w:pPr>
        <w:spacing w:after="0" w:line="276" w:lineRule="auto"/>
        <w:jc w:val="both"/>
        <w:rPr>
          <w:rFonts w:ascii="Verdana" w:hAnsi="Verdana"/>
        </w:rPr>
      </w:pPr>
    </w:p>
    <w:p w14:paraId="7D594CC2" w14:textId="77777777" w:rsidR="00FD6EC2" w:rsidRPr="00AD24B9" w:rsidRDefault="00FD6EC2" w:rsidP="00FD6EC2">
      <w:pPr>
        <w:spacing w:after="0" w:line="276" w:lineRule="auto"/>
        <w:jc w:val="both"/>
        <w:rPr>
          <w:rFonts w:ascii="Verdana" w:hAnsi="Verdana"/>
        </w:rPr>
      </w:pPr>
      <w:r w:rsidRPr="00AD24B9">
        <w:rPr>
          <w:rFonts w:ascii="Verdana" w:hAnsi="Verdana"/>
        </w:rPr>
        <w:t xml:space="preserve">Twitter: </w:t>
      </w:r>
      <w:r w:rsidRPr="00AD24B9">
        <w:rPr>
          <w:rFonts w:ascii="Verdana" w:hAnsi="Verdana"/>
          <w:color w:val="156082" w:themeColor="accent1"/>
          <w:u w:val="single"/>
        </w:rPr>
        <w:t>@colombiacompra</w:t>
      </w:r>
      <w:r w:rsidRPr="00AD24B9">
        <w:rPr>
          <w:rFonts w:ascii="Verdana" w:hAnsi="Verdana"/>
          <w:color w:val="156082" w:themeColor="accent1"/>
        </w:rPr>
        <w:t xml:space="preserve"> </w:t>
      </w:r>
    </w:p>
    <w:p w14:paraId="65E2AFE0" w14:textId="77777777" w:rsidR="00FD6EC2" w:rsidRPr="00AD24B9" w:rsidRDefault="00FD6EC2" w:rsidP="00FD6EC2">
      <w:pPr>
        <w:spacing w:after="0" w:line="276" w:lineRule="auto"/>
        <w:jc w:val="both"/>
        <w:rPr>
          <w:rFonts w:ascii="Verdana" w:hAnsi="Verdana"/>
        </w:rPr>
      </w:pPr>
      <w:r w:rsidRPr="00AD24B9">
        <w:rPr>
          <w:rFonts w:ascii="Verdana" w:hAnsi="Verdana"/>
        </w:rPr>
        <w:t xml:space="preserve">Facebook: </w:t>
      </w:r>
      <w:r w:rsidRPr="00AD24B9">
        <w:rPr>
          <w:rFonts w:ascii="Verdana" w:hAnsi="Verdana"/>
          <w:color w:val="156082" w:themeColor="accent1"/>
          <w:u w:val="single"/>
        </w:rPr>
        <w:t>ColombiaCompraEficiente</w:t>
      </w:r>
    </w:p>
    <w:p w14:paraId="448218E3" w14:textId="77777777" w:rsidR="00FD6EC2" w:rsidRPr="00AD24B9" w:rsidRDefault="00FD6EC2" w:rsidP="00FD6EC2">
      <w:pPr>
        <w:spacing w:after="0" w:line="276" w:lineRule="auto"/>
        <w:jc w:val="both"/>
        <w:rPr>
          <w:rFonts w:ascii="Verdana" w:hAnsi="Verdana"/>
        </w:rPr>
      </w:pPr>
      <w:r w:rsidRPr="00AD24B9">
        <w:rPr>
          <w:rFonts w:ascii="Verdana" w:hAnsi="Verdana"/>
        </w:rPr>
        <w:t xml:space="preserve">LinkedIn: </w:t>
      </w:r>
      <w:r w:rsidRPr="00AD24B9">
        <w:rPr>
          <w:rFonts w:ascii="Verdana" w:hAnsi="Verdana"/>
          <w:color w:val="156082" w:themeColor="accent1"/>
          <w:u w:val="single"/>
        </w:rPr>
        <w:t>Agencia Nacional de Contratación Pública - Colombia Compra Eficiente</w:t>
      </w:r>
      <w:r w:rsidRPr="00AD24B9">
        <w:rPr>
          <w:rFonts w:ascii="Verdana" w:hAnsi="Verdana"/>
          <w:color w:val="156082" w:themeColor="accent1"/>
        </w:rPr>
        <w:t xml:space="preserve"> </w:t>
      </w:r>
      <w:r w:rsidRPr="00AD24B9">
        <w:rPr>
          <w:rFonts w:ascii="Verdana" w:hAnsi="Verdana"/>
        </w:rPr>
        <w:t xml:space="preserve">Instagram: </w:t>
      </w:r>
      <w:r w:rsidRPr="00AD24B9">
        <w:rPr>
          <w:rFonts w:ascii="Verdana" w:hAnsi="Verdana"/>
          <w:color w:val="156082" w:themeColor="accent1"/>
          <w:u w:val="single"/>
        </w:rPr>
        <w:t>@colombiacompraeficiente_cce</w:t>
      </w:r>
    </w:p>
    <w:p w14:paraId="4E01A79D" w14:textId="77777777" w:rsidR="00FD6EC2" w:rsidRPr="00AD24B9" w:rsidRDefault="00FD6EC2" w:rsidP="00FD6EC2">
      <w:pPr>
        <w:widowControl w:val="0"/>
        <w:autoSpaceDE w:val="0"/>
        <w:autoSpaceDN w:val="0"/>
        <w:spacing w:after="0" w:line="276" w:lineRule="auto"/>
        <w:jc w:val="both"/>
        <w:rPr>
          <w:rFonts w:ascii="Verdana" w:hAnsi="Verdana" w:cs="Arial"/>
        </w:rPr>
      </w:pPr>
    </w:p>
    <w:p w14:paraId="30880223" w14:textId="77777777" w:rsidR="00FD6EC2" w:rsidRPr="00AD24B9" w:rsidRDefault="00FD6EC2" w:rsidP="00FD6EC2">
      <w:pPr>
        <w:widowControl w:val="0"/>
        <w:autoSpaceDE w:val="0"/>
        <w:autoSpaceDN w:val="0"/>
        <w:spacing w:after="0" w:line="276" w:lineRule="auto"/>
        <w:jc w:val="both"/>
        <w:rPr>
          <w:rFonts w:ascii="Verdana" w:hAnsi="Verdana" w:cs="Arial"/>
          <w:lang w:val="es-ES_tradnl"/>
        </w:rPr>
      </w:pPr>
      <w:r w:rsidRPr="00AD24B9">
        <w:rPr>
          <w:rFonts w:ascii="Verdana" w:hAnsi="Verdana" w:cs="Arial"/>
        </w:rPr>
        <w:t xml:space="preserve">Este concepto tiene el alcance previsto en el artículo 28 del Código de Procedimiento Administrativo y de lo Contencioso Administrativo </w:t>
      </w:r>
      <w:r w:rsidRPr="00AD24B9">
        <w:rPr>
          <w:rFonts w:ascii="Verdana" w:hAnsi="Verdana" w:cs="Arial"/>
          <w:lang w:val="es-ES_tradnl"/>
        </w:rPr>
        <w:t>y las expresiones aquí utilizadas con mayúscula inicial deben ser entendidas con el significado que les otorga el artículo 2.2.1.1.1.3.1. del Decreto 1082 de 2015.</w:t>
      </w:r>
    </w:p>
    <w:p w14:paraId="6CC6B2DB" w14:textId="77777777" w:rsidR="00FD6EC2" w:rsidRPr="00AD24B9" w:rsidRDefault="00FD6EC2" w:rsidP="00FD6EC2">
      <w:pPr>
        <w:widowControl w:val="0"/>
        <w:autoSpaceDE w:val="0"/>
        <w:autoSpaceDN w:val="0"/>
        <w:spacing w:after="0" w:line="276" w:lineRule="auto"/>
        <w:jc w:val="both"/>
        <w:rPr>
          <w:rFonts w:ascii="Verdana" w:hAnsi="Verdana" w:cs="Arial"/>
        </w:rPr>
      </w:pPr>
    </w:p>
    <w:p w14:paraId="1DC879F7" w14:textId="77777777" w:rsidR="00FD6EC2" w:rsidRPr="00AD24B9" w:rsidRDefault="00FD6EC2" w:rsidP="00FD6EC2">
      <w:pPr>
        <w:spacing w:after="0" w:line="276" w:lineRule="auto"/>
        <w:jc w:val="both"/>
        <w:rPr>
          <w:rFonts w:ascii="Verdana" w:hAnsi="Verdana" w:cs="Arial"/>
          <w:lang w:eastAsia="es-CO"/>
        </w:rPr>
      </w:pPr>
      <w:r w:rsidRPr="00AD24B9">
        <w:rPr>
          <w:rFonts w:ascii="Verdana" w:eastAsia="Times New Roman" w:hAnsi="Verdana" w:cs="Arial"/>
          <w:lang w:eastAsia="es-CO"/>
        </w:rPr>
        <w:t>Atentamente,</w:t>
      </w:r>
      <w:r w:rsidRPr="00AD24B9">
        <w:rPr>
          <w:rFonts w:ascii="Verdana" w:hAnsi="Verdana" w:cs="Arial"/>
          <w:lang w:eastAsia="es-CO"/>
        </w:rPr>
        <w:t xml:space="preserve"> </w:t>
      </w:r>
    </w:p>
    <w:p w14:paraId="2EFBBCB1" w14:textId="224EE2D3" w:rsidR="00FD6EC2" w:rsidRPr="00B54378" w:rsidRDefault="00860559" w:rsidP="00FD6EC2">
      <w:pPr>
        <w:spacing w:line="276" w:lineRule="auto"/>
        <w:jc w:val="center"/>
        <w:rPr>
          <w:rFonts w:ascii="Verdana" w:hAnsi="Verdana" w:cs="Arial"/>
          <w:lang w:val="es-ES_tradnl" w:eastAsia="es-CO"/>
        </w:rPr>
      </w:pPr>
      <w:r w:rsidRPr="00EC2F74">
        <w:rPr>
          <w:rFonts w:ascii="Century Gothic" w:hAnsi="Century Gothic"/>
          <w:noProof/>
          <w:lang w:val="es-ES"/>
        </w:rPr>
        <w:drawing>
          <wp:inline distT="0" distB="0" distL="0" distR="0" wp14:anchorId="47607AAA" wp14:editId="5B4EA692">
            <wp:extent cx="3439299" cy="1276710"/>
            <wp:effectExtent l="0" t="0" r="2540" b="635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466383" cy="1286764"/>
                    </a:xfrm>
                    <a:prstGeom prst="rect">
                      <a:avLst/>
                    </a:prstGeom>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FD6EC2" w:rsidRPr="00B54378" w14:paraId="096E4E26" w14:textId="77777777" w:rsidTr="0086292B">
        <w:trPr>
          <w:trHeight w:val="286"/>
        </w:trPr>
        <w:tc>
          <w:tcPr>
            <w:tcW w:w="901" w:type="dxa"/>
            <w:vAlign w:val="center"/>
            <w:hideMark/>
          </w:tcPr>
          <w:p w14:paraId="0A82A27A"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509FE36F"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Nasly Yeana Mosquera Rivas</w:t>
            </w:r>
          </w:p>
          <w:p w14:paraId="20E4ED3F"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Analista T2–06 de la Subdirección de Gestión Contractual</w:t>
            </w:r>
          </w:p>
        </w:tc>
      </w:tr>
      <w:tr w:rsidR="00FD6EC2" w:rsidRPr="00B54378" w14:paraId="0CE14548" w14:textId="77777777" w:rsidTr="0086292B">
        <w:trPr>
          <w:trHeight w:val="299"/>
        </w:trPr>
        <w:tc>
          <w:tcPr>
            <w:tcW w:w="901" w:type="dxa"/>
            <w:vAlign w:val="center"/>
          </w:tcPr>
          <w:p w14:paraId="67B8CD7C"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37B00B67"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Diana Lucía Saavedra Castañeda</w:t>
            </w:r>
          </w:p>
          <w:p w14:paraId="77B243D5"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Contratista de la Subdirección de Gestión Contractual</w:t>
            </w:r>
          </w:p>
        </w:tc>
      </w:tr>
      <w:tr w:rsidR="00FD6EC2" w:rsidRPr="00B54378" w14:paraId="4D1036D4" w14:textId="77777777" w:rsidTr="0086292B">
        <w:trPr>
          <w:trHeight w:val="272"/>
        </w:trPr>
        <w:tc>
          <w:tcPr>
            <w:tcW w:w="901" w:type="dxa"/>
            <w:vAlign w:val="center"/>
            <w:hideMark/>
          </w:tcPr>
          <w:p w14:paraId="392B9B38"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58EE98CC"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Carolina Quintero Gacharná</w:t>
            </w:r>
          </w:p>
          <w:p w14:paraId="5468A1B3"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Subdirectora de Gestión Contractual ANCP – CCE</w:t>
            </w:r>
          </w:p>
        </w:tc>
      </w:tr>
    </w:tbl>
    <w:p w14:paraId="021444F3" w14:textId="77777777" w:rsidR="00FD6EC2" w:rsidRPr="00B54378" w:rsidRDefault="00FD6EC2" w:rsidP="00FD6EC2">
      <w:pPr>
        <w:spacing w:after="0" w:line="240" w:lineRule="auto"/>
        <w:rPr>
          <w:rFonts w:ascii="Verdana" w:eastAsia="Times New Roman" w:hAnsi="Verdana" w:cs="Arial"/>
          <w:sz w:val="24"/>
          <w:szCs w:val="24"/>
          <w:lang w:eastAsia="es-ES"/>
        </w:rPr>
      </w:pPr>
    </w:p>
    <w:p w14:paraId="5EA5E143" w14:textId="77777777" w:rsidR="00FD6EC2" w:rsidRPr="00B54378" w:rsidRDefault="00FD6EC2" w:rsidP="00FD6EC2">
      <w:pPr>
        <w:rPr>
          <w:rFonts w:ascii="Verdana" w:hAnsi="Verdana"/>
        </w:rPr>
      </w:pPr>
    </w:p>
    <w:p w14:paraId="1CBFB005" w14:textId="77777777" w:rsidR="00FD6EC2" w:rsidRPr="00B54378" w:rsidRDefault="00FD6EC2" w:rsidP="00FD6EC2">
      <w:pPr>
        <w:spacing w:after="0"/>
        <w:jc w:val="both"/>
        <w:rPr>
          <w:rFonts w:ascii="Verdana" w:hAnsi="Verdana"/>
        </w:rPr>
      </w:pPr>
    </w:p>
    <w:p w14:paraId="00D070C9" w14:textId="77777777" w:rsidR="00FD6EC2" w:rsidRPr="00B54378" w:rsidRDefault="00FD6EC2" w:rsidP="00FD6EC2">
      <w:pPr>
        <w:spacing w:after="0" w:line="240" w:lineRule="auto"/>
        <w:jc w:val="both"/>
        <w:textAlignment w:val="baseline"/>
        <w:rPr>
          <w:rFonts w:ascii="Verdana" w:eastAsia="Verdana" w:hAnsi="Verdana" w:cs="Verdana"/>
          <w:lang w:eastAsia="es-CO"/>
        </w:rPr>
      </w:pPr>
    </w:p>
    <w:p w14:paraId="57836EA3" w14:textId="05EE9679" w:rsidR="00FD6EC2" w:rsidRPr="00B54378" w:rsidRDefault="00FD6EC2" w:rsidP="00FD6EC2">
      <w:pPr>
        <w:spacing w:after="0" w:line="240" w:lineRule="auto"/>
        <w:textAlignment w:val="baseline"/>
        <w:rPr>
          <w:rFonts w:ascii="Verdana" w:eastAsia="Verdana" w:hAnsi="Verdana" w:cs="Verdana"/>
          <w:lang w:eastAsia="es-CO"/>
        </w:rPr>
      </w:pPr>
      <w:r w:rsidRPr="00B54378">
        <w:rPr>
          <w:rFonts w:ascii="Verdana" w:eastAsia="Verdana" w:hAnsi="Verdana" w:cs="Verdana"/>
          <w:lang w:eastAsia="es-CO"/>
        </w:rPr>
        <w:t> </w:t>
      </w:r>
    </w:p>
    <w:bookmarkEnd w:id="0"/>
    <w:p w14:paraId="68385614" w14:textId="77777777" w:rsidR="00FD6EC2" w:rsidRPr="00B54378" w:rsidRDefault="00FD6EC2" w:rsidP="00FD6EC2">
      <w:pPr>
        <w:spacing w:after="0" w:line="240" w:lineRule="auto"/>
        <w:ind w:left="1080"/>
        <w:jc w:val="both"/>
        <w:textAlignment w:val="baseline"/>
        <w:rPr>
          <w:rFonts w:ascii="Verdana" w:eastAsia="Verdana" w:hAnsi="Verdana" w:cs="Verdana"/>
          <w:lang w:eastAsia="es-CO"/>
        </w:rPr>
      </w:pPr>
    </w:p>
    <w:p w14:paraId="481A4964" w14:textId="77777777" w:rsidR="00FD6EC2" w:rsidRDefault="00FD6EC2"/>
    <w:sectPr w:rsidR="00FD6EC2" w:rsidSect="00FD6EC2">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227E1" w14:textId="77777777" w:rsidR="00CF65B7" w:rsidRDefault="00CF65B7" w:rsidP="00FD6EC2">
      <w:pPr>
        <w:spacing w:after="0" w:line="240" w:lineRule="auto"/>
      </w:pPr>
      <w:r>
        <w:separator/>
      </w:r>
    </w:p>
  </w:endnote>
  <w:endnote w:type="continuationSeparator" w:id="0">
    <w:p w14:paraId="5EE90B10" w14:textId="77777777" w:rsidR="00CF65B7" w:rsidRDefault="00CF65B7" w:rsidP="00FD6E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90EFF" w14:textId="77777777" w:rsidR="00FD6EC2" w:rsidRDefault="00FD6EC2">
    <w:pPr>
      <w:pStyle w:val="Piedepgina"/>
    </w:pPr>
  </w:p>
  <w:p w14:paraId="0EE1280D" w14:textId="77777777" w:rsidR="00FD6EC2" w:rsidRPr="00174B77" w:rsidRDefault="00FD6EC2"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6ECA4546" w14:textId="77777777" w:rsidR="00FD6EC2" w:rsidRDefault="00FD6EC2"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60D0845D" w14:textId="77777777" w:rsidR="00FD6EC2" w:rsidRPr="00E41027" w:rsidRDefault="00FD6EC2"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3A72E064" w14:textId="77777777" w:rsidR="00FD6EC2" w:rsidRDefault="00FD6EC2"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691528" w14:textId="77777777" w:rsidR="00CF65B7" w:rsidRDefault="00CF65B7" w:rsidP="00FD6EC2">
      <w:pPr>
        <w:spacing w:after="0" w:line="240" w:lineRule="auto"/>
      </w:pPr>
      <w:r>
        <w:separator/>
      </w:r>
    </w:p>
  </w:footnote>
  <w:footnote w:type="continuationSeparator" w:id="0">
    <w:p w14:paraId="44DFF6D3" w14:textId="77777777" w:rsidR="00CF65B7" w:rsidRDefault="00CF65B7" w:rsidP="00FD6EC2">
      <w:pPr>
        <w:spacing w:after="0" w:line="240" w:lineRule="auto"/>
      </w:pPr>
      <w:r>
        <w:continuationSeparator/>
      </w:r>
    </w:p>
  </w:footnote>
  <w:footnote w:id="1">
    <w:p w14:paraId="1F52C553" w14:textId="77777777" w:rsidR="00FD6EC2" w:rsidRPr="00CE5CFC" w:rsidRDefault="00FD6EC2" w:rsidP="00FD6EC2">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Consejo de Estado. Sección Segunda. Sentencia del 9 de septiembre de 2021. Expediente No. 05001-23-33-000-2013-01143-01(1317-16). M.P. Dra. Sandra Lisset Ibarra Vélez.</w:t>
      </w:r>
    </w:p>
    <w:p w14:paraId="4568CEB4" w14:textId="77777777" w:rsidR="00FD6EC2" w:rsidRPr="00CE5CFC" w:rsidRDefault="00FD6EC2" w:rsidP="00FD6EC2">
      <w:pPr>
        <w:pStyle w:val="Textonotapie"/>
        <w:ind w:firstLine="709"/>
        <w:jc w:val="both"/>
        <w:rPr>
          <w:rFonts w:ascii="Verdana" w:hAnsi="Verdana" w:cs="Arial"/>
          <w:sz w:val="16"/>
          <w:szCs w:val="16"/>
        </w:rPr>
      </w:pPr>
    </w:p>
  </w:footnote>
  <w:footnote w:id="2">
    <w:p w14:paraId="60CEA927" w14:textId="77777777" w:rsidR="00FD6EC2" w:rsidRDefault="00FD6EC2" w:rsidP="00FD6EC2">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733C2E3B" w14:textId="77777777" w:rsidR="00FD6EC2" w:rsidRPr="00CE5CFC" w:rsidRDefault="00FD6EC2" w:rsidP="00FD6EC2">
      <w:pPr>
        <w:pStyle w:val="Textonotapie"/>
        <w:ind w:firstLine="709"/>
        <w:jc w:val="both"/>
        <w:rPr>
          <w:rFonts w:ascii="Verdana" w:hAnsi="Verdana" w:cs="Arial"/>
          <w:sz w:val="16"/>
          <w:szCs w:val="16"/>
          <w:lang w:val="es-ES_tradnl"/>
        </w:rPr>
      </w:pPr>
    </w:p>
  </w:footnote>
  <w:footnote w:id="3">
    <w:p w14:paraId="66C6914E"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6AC1518C" w14:textId="77777777" w:rsidR="00FD6EC2" w:rsidRPr="00CE5CFC" w:rsidRDefault="00FD6EC2" w:rsidP="00FD6EC2">
      <w:pPr>
        <w:pStyle w:val="Textonotapie"/>
        <w:ind w:firstLine="709"/>
        <w:jc w:val="both"/>
        <w:rPr>
          <w:rFonts w:ascii="Verdana" w:hAnsi="Verdana" w:cs="Arial"/>
          <w:sz w:val="16"/>
          <w:szCs w:val="16"/>
          <w:lang w:val="es-ES"/>
        </w:rPr>
      </w:pPr>
    </w:p>
  </w:footnote>
  <w:footnote w:id="4">
    <w:p w14:paraId="15625D80"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79A9B1B7" w14:textId="77777777" w:rsidR="00FD6EC2" w:rsidRPr="00CE5CFC" w:rsidRDefault="00FD6EC2" w:rsidP="00FD6EC2">
      <w:pPr>
        <w:pStyle w:val="Textonotapie"/>
        <w:ind w:firstLine="709"/>
        <w:jc w:val="both"/>
        <w:rPr>
          <w:rFonts w:ascii="Verdana" w:hAnsi="Verdana" w:cs="Arial"/>
          <w:sz w:val="16"/>
          <w:szCs w:val="16"/>
          <w:lang w:val="es-ES"/>
        </w:rPr>
      </w:pPr>
    </w:p>
    <w:p w14:paraId="7E13BED9"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568D9752" w14:textId="77777777" w:rsidR="00FD6EC2" w:rsidRPr="00CE5CFC" w:rsidRDefault="00FD6EC2" w:rsidP="00FD6EC2">
      <w:pPr>
        <w:pStyle w:val="Textonotapie"/>
        <w:ind w:firstLine="709"/>
        <w:jc w:val="both"/>
        <w:rPr>
          <w:rFonts w:ascii="Verdana" w:hAnsi="Verdana" w:cs="Arial"/>
          <w:sz w:val="16"/>
          <w:szCs w:val="16"/>
          <w:lang w:val="es-ES"/>
        </w:rPr>
      </w:pPr>
    </w:p>
    <w:p w14:paraId="10F314CF"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El Gobierno nacional reglamentará el mecanismo para realizar la mensualización de que trata el presente artículo.</w:t>
      </w:r>
    </w:p>
    <w:p w14:paraId="587211E1" w14:textId="77777777" w:rsidR="00FD6EC2" w:rsidRDefault="00FD6EC2" w:rsidP="00FD6EC2">
      <w:pPr>
        <w:pStyle w:val="Textonotapie"/>
        <w:ind w:firstLine="709"/>
        <w:jc w:val="both"/>
        <w:rPr>
          <w:rFonts w:ascii="Verdana" w:hAnsi="Verdana" w:cs="Arial"/>
          <w:sz w:val="16"/>
          <w:szCs w:val="16"/>
          <w:lang w:val="pt-BR"/>
        </w:rPr>
      </w:pPr>
      <w:r w:rsidRPr="00CE5CFC">
        <w:rPr>
          <w:rFonts w:ascii="Verdana" w:hAnsi="Verdana" w:cs="Arial"/>
          <w:sz w:val="16"/>
          <w:szCs w:val="16"/>
          <w:lang w:val="pt-BR"/>
        </w:rPr>
        <w:t>[…]”.</w:t>
      </w:r>
    </w:p>
    <w:p w14:paraId="2B24C5EC" w14:textId="77777777" w:rsidR="00FD6EC2" w:rsidRPr="00CE5CFC" w:rsidRDefault="00FD6EC2" w:rsidP="00FD6EC2">
      <w:pPr>
        <w:pStyle w:val="Textonotapie"/>
        <w:ind w:firstLine="709"/>
        <w:jc w:val="both"/>
        <w:rPr>
          <w:rFonts w:ascii="Verdana" w:hAnsi="Verdana" w:cs="Arial"/>
          <w:sz w:val="16"/>
          <w:szCs w:val="16"/>
          <w:lang w:val="pt-BR"/>
        </w:rPr>
      </w:pPr>
    </w:p>
  </w:footnote>
  <w:footnote w:id="5">
    <w:p w14:paraId="3CC9B8C4"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lang w:val="pt-BR"/>
        </w:rPr>
        <w:t xml:space="preserve"> Corte Constitucional. Sentencia C-154 de 1997. </w:t>
      </w:r>
      <w:r w:rsidRPr="00CE5CFC">
        <w:rPr>
          <w:rFonts w:ascii="Verdana" w:hAnsi="Verdana" w:cs="Arial"/>
          <w:sz w:val="16"/>
          <w:szCs w:val="16"/>
          <w:lang w:val="es-ES"/>
        </w:rPr>
        <w:t>MP: Hernando Herrera Vergara.</w:t>
      </w:r>
    </w:p>
  </w:footnote>
  <w:footnote w:id="6">
    <w:p w14:paraId="21C1FC5D" w14:textId="77777777" w:rsidR="00FD6EC2" w:rsidRPr="00CE5CFC" w:rsidRDefault="00FD6EC2" w:rsidP="00FD6EC2">
      <w:pPr>
        <w:pStyle w:val="Textonotapie"/>
        <w:ind w:firstLine="709"/>
        <w:jc w:val="both"/>
        <w:rPr>
          <w:rFonts w:ascii="Verdana" w:hAnsi="Verdana" w:cs="Arial"/>
          <w:sz w:val="16"/>
          <w:szCs w:val="16"/>
        </w:rPr>
      </w:pPr>
    </w:p>
    <w:p w14:paraId="29FB485D"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Ibíd.</w:t>
      </w:r>
    </w:p>
    <w:p w14:paraId="2813E3B0" w14:textId="77777777" w:rsidR="00FD6EC2" w:rsidRPr="00CE5CFC" w:rsidRDefault="00FD6EC2" w:rsidP="00FD6EC2">
      <w:pPr>
        <w:pStyle w:val="Textonotapie"/>
        <w:ind w:firstLine="709"/>
        <w:jc w:val="both"/>
        <w:rPr>
          <w:rFonts w:ascii="Verdana" w:hAnsi="Verdana" w:cs="Arial"/>
          <w:sz w:val="16"/>
          <w:szCs w:val="16"/>
          <w:lang w:val="es-ES"/>
        </w:rPr>
      </w:pPr>
    </w:p>
  </w:footnote>
  <w:footnote w:id="7">
    <w:p w14:paraId="1E12B0DB" w14:textId="77777777" w:rsidR="00FD6EC2" w:rsidRPr="00CE5CFC" w:rsidRDefault="00FD6EC2" w:rsidP="00FD6EC2">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r w:rsidRPr="00CE5CFC">
        <w:rPr>
          <w:rFonts w:ascii="Verdana" w:hAnsi="Verdana" w:cs="Arial"/>
          <w:sz w:val="16"/>
          <w:szCs w:val="16"/>
        </w:rPr>
        <w:t xml:space="preserve"> </w:t>
      </w:r>
    </w:p>
    <w:p w14:paraId="4E1773D6" w14:textId="77777777" w:rsidR="00FD6EC2" w:rsidRPr="00CE5CFC" w:rsidRDefault="00FD6EC2" w:rsidP="00FD6EC2">
      <w:pPr>
        <w:pStyle w:val="Textonotapie"/>
        <w:ind w:firstLine="709"/>
        <w:jc w:val="both"/>
        <w:rPr>
          <w:rFonts w:ascii="Verdana" w:hAnsi="Verdana" w:cs="Arial"/>
          <w:sz w:val="16"/>
          <w:szCs w:val="16"/>
        </w:rPr>
      </w:pPr>
    </w:p>
    <w:p w14:paraId="74C3AE02"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1F777B1" w14:textId="77777777" w:rsidR="00FD6EC2" w:rsidRPr="00CE5CFC" w:rsidRDefault="00FD6EC2" w:rsidP="00FD6EC2">
      <w:pPr>
        <w:pStyle w:val="Textonotapie"/>
        <w:ind w:firstLine="709"/>
        <w:jc w:val="both"/>
        <w:rPr>
          <w:rFonts w:ascii="Verdana" w:hAnsi="Verdana" w:cs="Arial"/>
          <w:sz w:val="16"/>
          <w:szCs w:val="16"/>
          <w:lang w:val="es-ES"/>
        </w:rPr>
      </w:pPr>
    </w:p>
    <w:p w14:paraId="5DB7899B"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6526E403" w14:textId="77777777" w:rsidR="00FD6EC2" w:rsidRPr="00CE5CFC" w:rsidRDefault="00FD6EC2" w:rsidP="00FD6EC2">
      <w:pPr>
        <w:pStyle w:val="Textonotapie"/>
        <w:ind w:firstLine="709"/>
        <w:jc w:val="both"/>
        <w:rPr>
          <w:rFonts w:ascii="Verdana" w:hAnsi="Verdana" w:cs="Arial"/>
          <w:sz w:val="16"/>
          <w:szCs w:val="16"/>
          <w:lang w:val="es-ES"/>
        </w:rPr>
      </w:pPr>
    </w:p>
    <w:p w14:paraId="200625BA"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26E213DC" w14:textId="77777777" w:rsidR="00FD6EC2" w:rsidRPr="00CE5CFC" w:rsidRDefault="00FD6EC2" w:rsidP="00FD6EC2">
      <w:pPr>
        <w:pStyle w:val="Textonotapie"/>
        <w:ind w:firstLine="709"/>
        <w:jc w:val="both"/>
        <w:rPr>
          <w:rFonts w:ascii="Verdana" w:hAnsi="Verdana" w:cs="Arial"/>
          <w:sz w:val="16"/>
          <w:szCs w:val="16"/>
          <w:lang w:val="es-ES"/>
        </w:rPr>
      </w:pPr>
    </w:p>
  </w:footnote>
  <w:footnote w:id="8">
    <w:p w14:paraId="4A2096BE"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5F43DD39"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1. La causal que invoca para contratar directamente.</w:t>
      </w:r>
    </w:p>
    <w:p w14:paraId="498ACA9E"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2. El objeto del contrato.</w:t>
      </w:r>
    </w:p>
    <w:p w14:paraId="6C8BF35A"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3. El presupuesto para la contratación y las condiciones que exigirá al contratista.</w:t>
      </w:r>
    </w:p>
    <w:p w14:paraId="5003A95F"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4. El lugar en el cual los interesados pueden consultar los estudios y documentos previos.</w:t>
      </w:r>
    </w:p>
    <w:p w14:paraId="37858E15" w14:textId="77777777" w:rsidR="00FD6EC2" w:rsidRPr="00CE5CFC" w:rsidRDefault="00FD6EC2" w:rsidP="00FD6EC2">
      <w:pPr>
        <w:pStyle w:val="Textonotapie"/>
        <w:ind w:firstLine="709"/>
        <w:jc w:val="both"/>
        <w:rPr>
          <w:rFonts w:ascii="Verdana" w:hAnsi="Verdana" w:cs="Arial"/>
          <w:sz w:val="16"/>
          <w:szCs w:val="16"/>
          <w:lang w:val="es-ES"/>
        </w:rPr>
      </w:pPr>
    </w:p>
    <w:p w14:paraId="19A89D0A"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9">
    <w:p w14:paraId="749D4133" w14:textId="77777777" w:rsidR="00FD6EC2" w:rsidRPr="00CE5CFC" w:rsidRDefault="00FD6EC2" w:rsidP="00FD6EC2">
      <w:pPr>
        <w:pStyle w:val="Textonotapie"/>
        <w:ind w:firstLine="709"/>
        <w:jc w:val="both"/>
        <w:rPr>
          <w:rFonts w:ascii="Verdana" w:hAnsi="Verdana" w:cs="Arial"/>
          <w:sz w:val="16"/>
          <w:szCs w:val="16"/>
        </w:rPr>
      </w:pPr>
    </w:p>
    <w:p w14:paraId="4FDB470D"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 xml:space="preserve">La norma expresa: “Art. 14. </w:t>
      </w:r>
      <w:r w:rsidRPr="00CE5CFC">
        <w:rPr>
          <w:rFonts w:ascii="Verdana" w:hAnsi="Verdana" w:cs="Arial"/>
          <w:sz w:val="16"/>
          <w:szCs w:val="16"/>
        </w:rPr>
        <w:t>P</w:t>
      </w:r>
      <w:r w:rsidRPr="00CE5CFC">
        <w:rPr>
          <w:rFonts w:ascii="Verdana" w:hAnsi="Verdana" w:cs="Arial"/>
          <w:sz w:val="16"/>
          <w:szCs w:val="16"/>
          <w:lang w:val="es-ES"/>
        </w:rPr>
        <w:t>ara el cumplimiento de los fines de la contratación, las entidades estatales al celebrar un contrato:</w:t>
      </w:r>
    </w:p>
    <w:p w14:paraId="2A418B93"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w:t>
      </w:r>
    </w:p>
    <w:p w14:paraId="2F9455AE"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68A7AE6E" w14:textId="77777777" w:rsidR="00FD6EC2" w:rsidRPr="00CE5CFC" w:rsidRDefault="00FD6EC2" w:rsidP="00FD6EC2">
      <w:pPr>
        <w:pStyle w:val="Textonotapie"/>
        <w:ind w:firstLine="709"/>
        <w:jc w:val="both"/>
        <w:rPr>
          <w:rFonts w:ascii="Verdana" w:hAnsi="Verdana" w:cs="Arial"/>
          <w:sz w:val="16"/>
          <w:szCs w:val="16"/>
          <w:lang w:val="es-ES"/>
        </w:rPr>
      </w:pPr>
    </w:p>
    <w:p w14:paraId="03DB90F9"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Las entidades estatales podrán pactar estas cláusulas en los contratos de suministro y de prestación de servicios.</w:t>
      </w:r>
    </w:p>
    <w:p w14:paraId="19556039"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w:t>
      </w:r>
    </w:p>
    <w:p w14:paraId="7B593449" w14:textId="77777777" w:rsidR="00FD6EC2" w:rsidRPr="00CE5CFC" w:rsidRDefault="00FD6EC2" w:rsidP="00FD6EC2">
      <w:pPr>
        <w:pStyle w:val="Textonotapie"/>
        <w:ind w:firstLine="709"/>
        <w:jc w:val="both"/>
        <w:rPr>
          <w:rFonts w:ascii="Verdana" w:hAnsi="Verdana" w:cs="Arial"/>
          <w:sz w:val="16"/>
          <w:szCs w:val="16"/>
          <w:lang w:val="es-ES"/>
        </w:rPr>
      </w:pPr>
    </w:p>
  </w:footnote>
  <w:footnote w:id="10">
    <w:p w14:paraId="2837BC99"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7D4AF898" w14:textId="77777777" w:rsidR="00FD6EC2" w:rsidRPr="00CE5CFC" w:rsidRDefault="00FD6EC2" w:rsidP="00FD6EC2">
      <w:pPr>
        <w:pStyle w:val="Textonotapie"/>
        <w:ind w:firstLine="709"/>
        <w:jc w:val="both"/>
        <w:rPr>
          <w:rFonts w:ascii="Verdana" w:hAnsi="Verdana" w:cs="Arial"/>
          <w:sz w:val="16"/>
          <w:szCs w:val="16"/>
          <w:lang w:val="es-ES"/>
        </w:rPr>
      </w:pPr>
    </w:p>
  </w:footnote>
  <w:footnote w:id="11">
    <w:p w14:paraId="402FD635" w14:textId="77777777" w:rsidR="00FD6EC2" w:rsidRPr="00CE5CFC" w:rsidRDefault="00FD6EC2" w:rsidP="00FD6EC2">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63973D1" w14:textId="77777777" w:rsidR="00FD6EC2" w:rsidRPr="00CE5CFC" w:rsidRDefault="00FD6EC2" w:rsidP="00FD6EC2">
      <w:pPr>
        <w:pStyle w:val="Textonotapie"/>
        <w:ind w:firstLine="709"/>
        <w:jc w:val="both"/>
        <w:rPr>
          <w:rFonts w:ascii="Verdana" w:hAnsi="Verdana" w:cs="Arial"/>
          <w:sz w:val="16"/>
          <w:szCs w:val="16"/>
        </w:rPr>
      </w:pPr>
    </w:p>
    <w:p w14:paraId="651CD41E" w14:textId="77777777" w:rsidR="00FD6EC2" w:rsidRPr="00CE5CFC" w:rsidRDefault="00FD6EC2" w:rsidP="00FD6EC2">
      <w:pPr>
        <w:pStyle w:val="Textonotapie"/>
        <w:ind w:firstLine="709"/>
        <w:jc w:val="both"/>
        <w:rPr>
          <w:rFonts w:ascii="Verdana" w:hAnsi="Verdana" w:cs="Arial"/>
          <w:sz w:val="16"/>
          <w:szCs w:val="16"/>
        </w:rPr>
      </w:pPr>
      <w:r w:rsidRPr="00CE5CFC">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1E026FC6" w14:textId="77777777" w:rsidR="00FD6EC2" w:rsidRPr="00CE5CFC" w:rsidRDefault="00FD6EC2" w:rsidP="00FD6EC2">
      <w:pPr>
        <w:pStyle w:val="Textonotapie"/>
        <w:ind w:firstLine="709"/>
        <w:jc w:val="both"/>
        <w:rPr>
          <w:rFonts w:ascii="Verdana" w:hAnsi="Verdana" w:cs="Arial"/>
          <w:sz w:val="16"/>
          <w:szCs w:val="16"/>
        </w:rPr>
      </w:pPr>
      <w:r w:rsidRPr="00CE5CFC">
        <w:rPr>
          <w:rFonts w:ascii="Verdana" w:hAnsi="Verdana" w:cs="Arial"/>
          <w:sz w:val="16"/>
          <w:szCs w:val="16"/>
        </w:rPr>
        <w:t>[…]”.</w:t>
      </w:r>
    </w:p>
    <w:p w14:paraId="5E86AF7B" w14:textId="77777777" w:rsidR="00FD6EC2" w:rsidRPr="00CE5CFC" w:rsidRDefault="00FD6EC2" w:rsidP="00FD6EC2">
      <w:pPr>
        <w:pStyle w:val="Textonotapie"/>
        <w:ind w:firstLine="709"/>
        <w:jc w:val="both"/>
        <w:rPr>
          <w:rFonts w:ascii="Verdana" w:hAnsi="Verdana" w:cs="Arial"/>
          <w:sz w:val="16"/>
          <w:szCs w:val="16"/>
          <w:lang w:val="es-ES"/>
        </w:rPr>
      </w:pPr>
    </w:p>
  </w:footnote>
  <w:footnote w:id="12">
    <w:p w14:paraId="7006F67F"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562B46CB" w14:textId="77777777" w:rsidR="00FD6EC2" w:rsidRPr="00CE5CFC" w:rsidRDefault="00FD6EC2" w:rsidP="00FD6EC2">
      <w:pPr>
        <w:pStyle w:val="Textonotapie"/>
        <w:ind w:firstLine="709"/>
        <w:jc w:val="both"/>
        <w:rPr>
          <w:rFonts w:ascii="Verdana" w:hAnsi="Verdana" w:cs="Arial"/>
          <w:sz w:val="16"/>
          <w:szCs w:val="16"/>
          <w:lang w:val="es-ES"/>
        </w:rPr>
      </w:pPr>
    </w:p>
  </w:footnote>
  <w:footnote w:id="13">
    <w:p w14:paraId="5547BFDF"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C98BDF5"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p>
    <w:p w14:paraId="4ABC21B7" w14:textId="77777777" w:rsidR="00FD6EC2" w:rsidRDefault="00FD6EC2" w:rsidP="00FD6EC2">
      <w:pPr>
        <w:pStyle w:val="Textonotapie"/>
        <w:ind w:firstLine="709"/>
        <w:jc w:val="both"/>
        <w:rPr>
          <w:rFonts w:ascii="Verdana" w:hAnsi="Verdana" w:cs="Arial"/>
          <w:color w:val="000000" w:themeColor="text1"/>
          <w:sz w:val="16"/>
          <w:szCs w:val="16"/>
          <w:lang w:val="es-ES"/>
        </w:rPr>
      </w:pPr>
      <w:r w:rsidRPr="00CE5CFC">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E664EC9"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p>
    <w:p w14:paraId="25E93EAD"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r w:rsidRPr="00CE5CFC">
        <w:rPr>
          <w:rFonts w:ascii="Verdana" w:hAnsi="Verdana" w:cs="Arial"/>
          <w:color w:val="000000" w:themeColor="text1"/>
          <w:sz w:val="16"/>
          <w:szCs w:val="16"/>
          <w:lang w:val="es-ES"/>
        </w:rPr>
        <w:t>La Entidad Estatal, para la contratación de trabajos artísticos que solamente puedan en</w:t>
      </w:r>
      <w:r w:rsidRPr="00CE5CFC">
        <w:rPr>
          <w:rFonts w:ascii="Verdana" w:hAnsi="Verdana" w:cs="Arial"/>
          <w:color w:val="000000" w:themeColor="text1"/>
          <w:sz w:val="16"/>
          <w:szCs w:val="16"/>
          <w:lang w:val="es-ES"/>
        </w:rPr>
        <w:softHyphen/>
        <w:t>comendarse a determinadas personas naturales, debe justificar esta situación en los estudios y documentos previos”.</w:t>
      </w:r>
    </w:p>
    <w:p w14:paraId="00163B88"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p>
  </w:footnote>
  <w:footnote w:id="14">
    <w:p w14:paraId="6FF68B39"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6047FA19"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p>
  </w:footnote>
  <w:footnote w:id="15">
    <w:p w14:paraId="44528A64"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i/>
          <w:iCs/>
          <w:color w:val="000000" w:themeColor="text1"/>
          <w:sz w:val="16"/>
          <w:szCs w:val="16"/>
          <w:lang w:val="es-ES"/>
        </w:rPr>
        <w:t>Ibíd</w:t>
      </w:r>
      <w:r w:rsidRPr="00CE5CFC">
        <w:rPr>
          <w:rFonts w:ascii="Verdana" w:hAnsi="Verdana" w:cs="Arial"/>
          <w:color w:val="000000" w:themeColor="text1"/>
          <w:sz w:val="16"/>
          <w:szCs w:val="16"/>
          <w:lang w:val="es-ES"/>
        </w:rPr>
        <w:t>.</w:t>
      </w:r>
    </w:p>
    <w:p w14:paraId="2D93FB17"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p>
  </w:footnote>
  <w:footnote w:id="16">
    <w:p w14:paraId="21147640"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i/>
          <w:iCs/>
          <w:color w:val="000000" w:themeColor="text1"/>
          <w:sz w:val="16"/>
          <w:szCs w:val="16"/>
          <w:lang w:val="es-ES"/>
        </w:rPr>
        <w:t>Ibíd</w:t>
      </w:r>
      <w:r w:rsidRPr="00CE5CFC">
        <w:rPr>
          <w:rFonts w:ascii="Verdana" w:hAnsi="Verdana" w:cs="Arial"/>
          <w:color w:val="000000" w:themeColor="text1"/>
          <w:sz w:val="16"/>
          <w:szCs w:val="16"/>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94760" w14:textId="77777777" w:rsidR="00FD6EC2" w:rsidRDefault="00FD6EC2"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E4D3037" wp14:editId="123F74B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76D55F1" wp14:editId="2886C0A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403E459" w14:textId="77777777" w:rsidR="00FD6EC2" w:rsidRDefault="00FD6EC2">
    <w:pPr>
      <w:pStyle w:val="Encabezado"/>
    </w:pPr>
  </w:p>
  <w:p w14:paraId="045C0633" w14:textId="77777777" w:rsidR="00FD6EC2" w:rsidRPr="004A305D" w:rsidRDefault="00FD6EC2" w:rsidP="00B01B1A">
    <w:pPr>
      <w:spacing w:after="0" w:line="120" w:lineRule="auto"/>
      <w:rPr>
        <w:rFonts w:ascii="Century Gothic" w:eastAsia="Geo" w:hAnsi="Century Gothic" w:cs="Geo"/>
        <w:sz w:val="16"/>
        <w:szCs w:val="16"/>
        <w:lang w:eastAsia="es-CO"/>
      </w:rPr>
    </w:pPr>
  </w:p>
  <w:p w14:paraId="59667A2A" w14:textId="77777777" w:rsidR="00FD6EC2" w:rsidRDefault="00FD6EC2" w:rsidP="00844AE9">
    <w:pPr>
      <w:spacing w:after="0" w:line="240" w:lineRule="auto"/>
      <w:rPr>
        <w:rFonts w:ascii="Verdana" w:hAnsi="Verdana"/>
        <w:sz w:val="24"/>
        <w:szCs w:val="24"/>
      </w:rPr>
    </w:pPr>
  </w:p>
  <w:p w14:paraId="4B697A78" w14:textId="77777777" w:rsidR="00FD6EC2" w:rsidRPr="00C925AC" w:rsidRDefault="00FD6EC2" w:rsidP="00844AE9">
    <w:pPr>
      <w:spacing w:after="0" w:line="240" w:lineRule="auto"/>
      <w:rPr>
        <w:rFonts w:ascii="Verdana" w:hAnsi="Verdana"/>
        <w:sz w:val="24"/>
        <w:szCs w:val="24"/>
      </w:rPr>
    </w:pPr>
  </w:p>
  <w:p w14:paraId="288C25F0" w14:textId="77777777" w:rsidR="00FD6EC2" w:rsidRPr="00C925AC" w:rsidRDefault="00FD6EC2"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235242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EC2"/>
    <w:rsid w:val="0016382F"/>
    <w:rsid w:val="00335ED6"/>
    <w:rsid w:val="004361E6"/>
    <w:rsid w:val="0055766B"/>
    <w:rsid w:val="005A4082"/>
    <w:rsid w:val="006B2806"/>
    <w:rsid w:val="00740142"/>
    <w:rsid w:val="00855259"/>
    <w:rsid w:val="00860559"/>
    <w:rsid w:val="00A4743A"/>
    <w:rsid w:val="00A5705C"/>
    <w:rsid w:val="00B91A47"/>
    <w:rsid w:val="00CF65B7"/>
    <w:rsid w:val="00FD6EC2"/>
    <w:rsid w:val="43002EB9"/>
    <w:rsid w:val="63EF0A1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7B565"/>
  <w15:chartTrackingRefBased/>
  <w15:docId w15:val="{AB173901-74E7-4FF7-B25D-8437CC39C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6EC2"/>
    <w:pPr>
      <w:spacing w:line="259" w:lineRule="auto"/>
    </w:pPr>
    <w:rPr>
      <w:kern w:val="0"/>
      <w:sz w:val="22"/>
      <w:szCs w:val="22"/>
      <w14:ligatures w14:val="none"/>
    </w:rPr>
  </w:style>
  <w:style w:type="paragraph" w:styleId="Ttulo1">
    <w:name w:val="heading 1"/>
    <w:basedOn w:val="Normal"/>
    <w:next w:val="Normal"/>
    <w:link w:val="Ttulo1Car"/>
    <w:uiPriority w:val="9"/>
    <w:qFormat/>
    <w:rsid w:val="00FD6E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D6E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D6EC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D6EC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D6EC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D6EC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D6EC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D6EC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D6EC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D6EC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D6EC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D6EC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D6EC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D6EC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D6EC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D6EC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D6EC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D6EC2"/>
    <w:rPr>
      <w:rFonts w:eastAsiaTheme="majorEastAsia" w:cstheme="majorBidi"/>
      <w:color w:val="272727" w:themeColor="text1" w:themeTint="D8"/>
    </w:rPr>
  </w:style>
  <w:style w:type="paragraph" w:styleId="Ttulo">
    <w:name w:val="Title"/>
    <w:basedOn w:val="Normal"/>
    <w:next w:val="Normal"/>
    <w:link w:val="TtuloCar"/>
    <w:uiPriority w:val="10"/>
    <w:qFormat/>
    <w:rsid w:val="00FD6E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D6EC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D6EC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D6EC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D6EC2"/>
    <w:pPr>
      <w:spacing w:before="160"/>
      <w:jc w:val="center"/>
    </w:pPr>
    <w:rPr>
      <w:i/>
      <w:iCs/>
      <w:color w:val="404040" w:themeColor="text1" w:themeTint="BF"/>
    </w:rPr>
  </w:style>
  <w:style w:type="character" w:customStyle="1" w:styleId="CitaCar">
    <w:name w:val="Cita Car"/>
    <w:basedOn w:val="Fuentedeprrafopredeter"/>
    <w:link w:val="Cita"/>
    <w:uiPriority w:val="29"/>
    <w:rsid w:val="00FD6EC2"/>
    <w:rPr>
      <w:i/>
      <w:iCs/>
      <w:color w:val="404040" w:themeColor="text1" w:themeTint="BF"/>
    </w:rPr>
  </w:style>
  <w:style w:type="paragraph" w:styleId="Prrafodelista">
    <w:name w:val="List Paragraph"/>
    <w:basedOn w:val="Normal"/>
    <w:uiPriority w:val="34"/>
    <w:qFormat/>
    <w:rsid w:val="00FD6EC2"/>
    <w:pPr>
      <w:ind w:left="720"/>
      <w:contextualSpacing/>
    </w:pPr>
  </w:style>
  <w:style w:type="character" w:styleId="nfasisintenso">
    <w:name w:val="Intense Emphasis"/>
    <w:basedOn w:val="Fuentedeprrafopredeter"/>
    <w:uiPriority w:val="21"/>
    <w:qFormat/>
    <w:rsid w:val="00FD6EC2"/>
    <w:rPr>
      <w:i/>
      <w:iCs/>
      <w:color w:val="0F4761" w:themeColor="accent1" w:themeShade="BF"/>
    </w:rPr>
  </w:style>
  <w:style w:type="paragraph" w:styleId="Citadestacada">
    <w:name w:val="Intense Quote"/>
    <w:basedOn w:val="Normal"/>
    <w:next w:val="Normal"/>
    <w:link w:val="CitadestacadaCar"/>
    <w:uiPriority w:val="30"/>
    <w:qFormat/>
    <w:rsid w:val="00FD6E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D6EC2"/>
    <w:rPr>
      <w:i/>
      <w:iCs/>
      <w:color w:val="0F4761" w:themeColor="accent1" w:themeShade="BF"/>
    </w:rPr>
  </w:style>
  <w:style w:type="character" w:styleId="Referenciaintensa">
    <w:name w:val="Intense Reference"/>
    <w:basedOn w:val="Fuentedeprrafopredeter"/>
    <w:uiPriority w:val="32"/>
    <w:qFormat/>
    <w:rsid w:val="00FD6EC2"/>
    <w:rPr>
      <w:b/>
      <w:bCs/>
      <w:smallCaps/>
      <w:color w:val="0F4761" w:themeColor="accent1" w:themeShade="BF"/>
      <w:spacing w:val="5"/>
    </w:rPr>
  </w:style>
  <w:style w:type="paragraph" w:styleId="Encabezado">
    <w:name w:val="header"/>
    <w:basedOn w:val="Normal"/>
    <w:link w:val="EncabezadoCar"/>
    <w:uiPriority w:val="99"/>
    <w:unhideWhenUsed/>
    <w:rsid w:val="00FD6EC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D6EC2"/>
    <w:rPr>
      <w:kern w:val="0"/>
      <w:sz w:val="22"/>
      <w:szCs w:val="22"/>
      <w14:ligatures w14:val="none"/>
    </w:rPr>
  </w:style>
  <w:style w:type="paragraph" w:styleId="Piedepgina">
    <w:name w:val="footer"/>
    <w:basedOn w:val="Normal"/>
    <w:link w:val="PiedepginaCar"/>
    <w:uiPriority w:val="99"/>
    <w:unhideWhenUsed/>
    <w:rsid w:val="00FD6EC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D6EC2"/>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D6EC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FD6EC2"/>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FD6EC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D6EC2"/>
    <w:rPr>
      <w:vertAlign w:val="superscript"/>
    </w:rPr>
  </w:style>
  <w:style w:type="table" w:styleId="Tablaconcuadrcula">
    <w:name w:val="Table Grid"/>
    <w:basedOn w:val="Tablanormal"/>
    <w:uiPriority w:val="39"/>
    <w:qFormat/>
    <w:rsid w:val="00FD6EC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D6EC2"/>
    <w:rPr>
      <w:color w:val="0000FF"/>
      <w:u w:val="single"/>
    </w:rPr>
  </w:style>
  <w:style w:type="paragraph" w:styleId="NormalWeb">
    <w:name w:val="Normal (Web)"/>
    <w:basedOn w:val="Normal"/>
    <w:uiPriority w:val="99"/>
    <w:semiHidden/>
    <w:unhideWhenUsed/>
    <w:rsid w:val="00FD6EC2"/>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FD6EC2"/>
    <w:pPr>
      <w:spacing w:line="240" w:lineRule="exact"/>
    </w:pPr>
    <w:rPr>
      <w:kern w:val="2"/>
      <w:sz w:val="24"/>
      <w:szCs w:val="24"/>
      <w:vertAlign w:val="superscript"/>
      <w14:ligatures w14:val="standardContextual"/>
    </w:rPr>
  </w:style>
  <w:style w:type="table" w:customStyle="1" w:styleId="Tablaconcuadrcula11">
    <w:name w:val="Tabla con cuadrícula11"/>
    <w:basedOn w:val="Tablanormal"/>
    <w:next w:val="Tablaconcuadrcula"/>
    <w:uiPriority w:val="59"/>
    <w:qFormat/>
    <w:rsid w:val="00FD6EC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FD6E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arsofia6@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512EA1-53C2-4370-96B2-EC8A7B5068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0D364B-3E3D-432D-BE00-0A36D327210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68913858-09D7-4EFE-AC02-3906F52520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5566</Words>
  <Characters>30616</Characters>
  <Application>Microsoft Office Word</Application>
  <DocSecurity>0</DocSecurity>
  <Lines>255</Lines>
  <Paragraphs>72</Paragraphs>
  <ScaleCrop>false</ScaleCrop>
  <Company/>
  <LinksUpToDate>false</LinksUpToDate>
  <CharactersWithSpaces>36110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Andreina Cerpa Muñoz</cp:lastModifiedBy>
  <cp:revision>6</cp:revision>
  <dcterms:created xsi:type="dcterms:W3CDTF">2026-04-06T18:25:00Z</dcterms:created>
  <dcterms:modified xsi:type="dcterms:W3CDTF">2026-06-05T14:52:00Z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