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F0778" w14:textId="77777777" w:rsidR="00A6187B" w:rsidRPr="00A6187B" w:rsidRDefault="00A6187B" w:rsidP="00300FD9">
      <w:pPr>
        <w:spacing w:after="0" w:line="240" w:lineRule="auto"/>
        <w:jc w:val="both"/>
        <w:rPr>
          <w:rFonts w:ascii="Verdana" w:hAnsi="Verdana" w:cs="Arial"/>
          <w:b/>
          <w:lang w:val="es-MX" w:eastAsia="es-ES"/>
        </w:rPr>
      </w:pPr>
      <w:bookmarkStart w:id="0" w:name="_Hlk214366482"/>
      <w:bookmarkStart w:id="1" w:name="_Hlk143780582"/>
      <w:r w:rsidRPr="00A6187B">
        <w:rPr>
          <w:rFonts w:ascii="Verdana" w:hAnsi="Verdana" w:cs="Arial"/>
          <w:b/>
          <w:lang w:val="es-MX" w:eastAsia="es-ES"/>
        </w:rPr>
        <w:t xml:space="preserve">ARREGLO DIRECTO EN LA CONTRATACIÓN ESTATAL – Principio - Concepto – Alcances – Manifestaciones </w:t>
      </w:r>
    </w:p>
    <w:p w14:paraId="40B0A90F" w14:textId="77777777" w:rsidR="00A6187B" w:rsidRDefault="00A6187B" w:rsidP="00300FD9">
      <w:pPr>
        <w:spacing w:after="0" w:line="240" w:lineRule="auto"/>
        <w:jc w:val="both"/>
        <w:rPr>
          <w:rFonts w:ascii="Verdana" w:hAnsi="Verdana" w:cs="Arial"/>
          <w:b/>
          <w:lang w:val="es-MX" w:eastAsia="es-ES"/>
        </w:rPr>
      </w:pPr>
    </w:p>
    <w:p w14:paraId="0D9EFDAC" w14:textId="77777777" w:rsidR="00A6187B" w:rsidRPr="00A6187B" w:rsidRDefault="00A6187B" w:rsidP="00A6187B">
      <w:pPr>
        <w:shd w:val="clear" w:color="auto" w:fill="FFFFFF"/>
        <w:spacing w:after="0" w:line="240" w:lineRule="auto"/>
        <w:jc w:val="both"/>
        <w:rPr>
          <w:rFonts w:ascii="Verdana" w:eastAsia="Times New Roman" w:hAnsi="Verdana" w:cs="Arial"/>
          <w:sz w:val="20"/>
          <w:szCs w:val="20"/>
          <w:lang w:eastAsia="es-ES_tradnl"/>
        </w:rPr>
      </w:pPr>
      <w:r w:rsidRPr="00A6187B">
        <w:rPr>
          <w:rFonts w:ascii="Verdana" w:eastAsia="Times New Roman" w:hAnsi="Verdana" w:cs="Arial"/>
          <w:sz w:val="20"/>
          <w:szCs w:val="20"/>
          <w:lang w:eastAsia="es-ES_tradnl"/>
        </w:rPr>
        <w:t xml:space="preserve">Las normas mencionadas del EGCAP a título de ejemplo y los citados mecanismos autocompositivos consagrados en la ley evidencian la intención del legislador de promover la solución de controversias directamente por las partes del contrato, sin necesidad de la intervención del aparato jurisdiccional. Esto implicaría no solo la optimización en el gasto de los recursos públicos derivada de la mayor agilidad y celeridad que caracteriza los mecanismos alternativos de solución de conflictos -MASC- sino una mayor descongestión del sistema judicial. </w:t>
      </w:r>
    </w:p>
    <w:p w14:paraId="25EF2EB7" w14:textId="77777777" w:rsidR="00A6187B" w:rsidRDefault="00A6187B" w:rsidP="00A6187B">
      <w:pPr>
        <w:spacing w:after="0" w:line="240" w:lineRule="auto"/>
        <w:jc w:val="both"/>
        <w:rPr>
          <w:rFonts w:ascii="Verdana" w:eastAsia="Times New Roman" w:hAnsi="Verdana" w:cs="Arial"/>
          <w:sz w:val="20"/>
          <w:szCs w:val="20"/>
          <w:lang w:eastAsia="es-ES_tradnl"/>
        </w:rPr>
      </w:pPr>
    </w:p>
    <w:p w14:paraId="15508FAD" w14:textId="4DE56D2B" w:rsidR="00A6187B" w:rsidRDefault="00A6187B" w:rsidP="00A6187B">
      <w:pPr>
        <w:spacing w:after="0" w:line="240" w:lineRule="auto"/>
        <w:jc w:val="both"/>
        <w:rPr>
          <w:rFonts w:ascii="Verdana" w:eastAsia="Times New Roman" w:hAnsi="Verdana" w:cs="Arial"/>
          <w:sz w:val="20"/>
          <w:szCs w:val="20"/>
          <w:lang w:eastAsia="es-ES_tradnl"/>
        </w:rPr>
      </w:pPr>
      <w:r w:rsidRPr="00A6187B">
        <w:rPr>
          <w:rFonts w:ascii="Verdana" w:eastAsia="Times New Roman" w:hAnsi="Verdana" w:cs="Arial"/>
          <w:sz w:val="20"/>
          <w:szCs w:val="20"/>
          <w:lang w:eastAsia="es-ES_tradnl"/>
        </w:rPr>
        <w:t>De lo anterior surge la noción del principio de arreglo directo de controversias, conforme al cual, durante el desarrollo de todo el proceso contractual, esto es, en sus etapas preparativas, de ejecución y liquidación, los distintos partícipes –oferentes o contratantes, según el caso– deberán preferir, siempre que ello sea posible, las fórmulas e instrumentos que el ordenamiento jurídico ha dispuesto para que solucionen directamente sus discrepancias. El adjetivo “directo” atribuible al arreglo, se refiere a que la controversia debería solucionarse entre las partes directamente involucradas o interesadas en la solución, o, dicho de otra manera, las que podrían resultar directa y principalmente afectadas por la solución lograda.</w:t>
      </w:r>
      <w:r w:rsidRPr="00A6187B">
        <w:rPr>
          <w:rFonts w:ascii="Verdana" w:eastAsia="Times New Roman" w:hAnsi="Verdana" w:cs="Arial"/>
          <w:sz w:val="20"/>
          <w:szCs w:val="20"/>
          <w:lang w:eastAsia="es-ES_tradnl"/>
        </w:rPr>
        <w:t xml:space="preserve"> </w:t>
      </w:r>
      <w:r w:rsidRPr="00A6187B">
        <w:rPr>
          <w:rFonts w:ascii="Verdana" w:eastAsia="Times New Roman" w:hAnsi="Verdana" w:cs="Arial"/>
          <w:sz w:val="20"/>
          <w:szCs w:val="20"/>
          <w:lang w:eastAsia="es-ES_tradnl"/>
        </w:rPr>
        <w:t>Este principio ha sido reconocido por la jurisprudencia de la Corte Constitucional</w:t>
      </w:r>
      <w:r w:rsidR="00134ED7">
        <w:rPr>
          <w:rFonts w:ascii="Verdana" w:eastAsia="Times New Roman" w:hAnsi="Verdana" w:cs="Arial"/>
          <w:sz w:val="20"/>
          <w:szCs w:val="20"/>
          <w:lang w:eastAsia="es-ES_tradnl"/>
        </w:rPr>
        <w:t>.</w:t>
      </w:r>
    </w:p>
    <w:p w14:paraId="2B9677C6" w14:textId="77777777" w:rsidR="00134ED7" w:rsidRDefault="00134ED7" w:rsidP="00A6187B">
      <w:pPr>
        <w:spacing w:after="0" w:line="240" w:lineRule="auto"/>
        <w:jc w:val="both"/>
        <w:rPr>
          <w:rFonts w:ascii="Verdana" w:eastAsia="Times New Roman" w:hAnsi="Verdana" w:cs="Arial"/>
          <w:sz w:val="20"/>
          <w:szCs w:val="20"/>
          <w:lang w:eastAsia="es-ES_tradnl"/>
        </w:rPr>
      </w:pPr>
    </w:p>
    <w:p w14:paraId="5F7BECB4" w14:textId="4697FD85" w:rsidR="00134ED7" w:rsidRDefault="00134ED7" w:rsidP="00A6187B">
      <w:pPr>
        <w:spacing w:after="0" w:line="240" w:lineRule="auto"/>
        <w:jc w:val="both"/>
        <w:rPr>
          <w:rFonts w:ascii="Verdana" w:eastAsia="Times New Roman" w:hAnsi="Verdana" w:cs="Arial"/>
          <w:sz w:val="20"/>
          <w:szCs w:val="20"/>
          <w:lang w:eastAsia="es-ES_tradnl"/>
        </w:rPr>
      </w:pPr>
      <w:r>
        <w:rPr>
          <w:rFonts w:ascii="Verdana" w:eastAsia="Times New Roman" w:hAnsi="Verdana" w:cs="Arial"/>
          <w:sz w:val="20"/>
          <w:szCs w:val="20"/>
          <w:lang w:eastAsia="es-ES_tradnl"/>
        </w:rPr>
        <w:t xml:space="preserve">[…] </w:t>
      </w:r>
    </w:p>
    <w:p w14:paraId="3BB2C738" w14:textId="77777777" w:rsidR="00134ED7" w:rsidRDefault="00134ED7" w:rsidP="00A6187B">
      <w:pPr>
        <w:spacing w:after="0" w:line="240" w:lineRule="auto"/>
        <w:jc w:val="both"/>
        <w:rPr>
          <w:rFonts w:ascii="Verdana" w:eastAsia="Times New Roman" w:hAnsi="Verdana" w:cs="Arial"/>
          <w:sz w:val="20"/>
          <w:szCs w:val="20"/>
          <w:lang w:eastAsia="es-ES_tradnl"/>
        </w:rPr>
      </w:pPr>
    </w:p>
    <w:p w14:paraId="6BBF1023" w14:textId="7DEA8C9B" w:rsidR="00134ED7" w:rsidRDefault="00134ED7" w:rsidP="00134ED7">
      <w:pPr>
        <w:shd w:val="clear" w:color="auto" w:fill="FFFFFF"/>
        <w:spacing w:after="0" w:line="240" w:lineRule="auto"/>
        <w:jc w:val="both"/>
        <w:rPr>
          <w:rFonts w:ascii="Verdana" w:eastAsia="Times New Roman" w:hAnsi="Verdana" w:cs="Arial"/>
          <w:sz w:val="20"/>
          <w:szCs w:val="20"/>
          <w:lang w:eastAsia="es-ES_tradnl"/>
        </w:rPr>
      </w:pPr>
      <w:r w:rsidRPr="00134ED7">
        <w:rPr>
          <w:rFonts w:ascii="Verdana" w:eastAsia="Times New Roman" w:hAnsi="Verdana" w:cs="Arial"/>
          <w:sz w:val="20"/>
          <w:szCs w:val="20"/>
          <w:lang w:eastAsia="es-ES_tradnl"/>
        </w:rPr>
        <w:t xml:space="preserve">En tal sentido, el arreglo directo de las controversias surgidas dentro del contexto de la contratación estatal, más que una simple opción para las entidades públicas y contratistas, resulta ser un deber que tanto aquellas como estos deben cumplir al momento de saldar sus diferencias. </w:t>
      </w:r>
    </w:p>
    <w:p w14:paraId="3D62447F" w14:textId="77777777" w:rsidR="00134ED7" w:rsidRDefault="00134ED7" w:rsidP="00134ED7">
      <w:pPr>
        <w:shd w:val="clear" w:color="auto" w:fill="FFFFFF"/>
        <w:spacing w:after="0" w:line="240" w:lineRule="auto"/>
        <w:jc w:val="both"/>
        <w:rPr>
          <w:rFonts w:ascii="Verdana" w:eastAsia="Times New Roman" w:hAnsi="Verdana" w:cs="Arial"/>
          <w:sz w:val="20"/>
          <w:szCs w:val="20"/>
          <w:lang w:eastAsia="es-ES_tradnl"/>
        </w:rPr>
      </w:pPr>
    </w:p>
    <w:p w14:paraId="64F18C67" w14:textId="77777777" w:rsidR="00134ED7" w:rsidRDefault="00134ED7" w:rsidP="00134ED7">
      <w:pPr>
        <w:shd w:val="clear" w:color="auto" w:fill="FFFFFF"/>
        <w:spacing w:after="0" w:line="240" w:lineRule="auto"/>
        <w:jc w:val="both"/>
        <w:rPr>
          <w:rFonts w:ascii="Verdana" w:eastAsia="Times New Roman" w:hAnsi="Verdana" w:cs="Arial"/>
          <w:sz w:val="20"/>
          <w:szCs w:val="20"/>
          <w:lang w:eastAsia="es-ES_tradnl"/>
        </w:rPr>
      </w:pPr>
      <w:r>
        <w:rPr>
          <w:rFonts w:ascii="Verdana" w:eastAsia="Times New Roman" w:hAnsi="Verdana" w:cs="Arial"/>
          <w:sz w:val="20"/>
          <w:szCs w:val="20"/>
          <w:lang w:eastAsia="es-ES_tradnl"/>
        </w:rPr>
        <w:t xml:space="preserve">[…] </w:t>
      </w:r>
    </w:p>
    <w:p w14:paraId="3629CD9E" w14:textId="77777777" w:rsidR="00134ED7" w:rsidRDefault="00134ED7" w:rsidP="00134ED7">
      <w:pPr>
        <w:shd w:val="clear" w:color="auto" w:fill="FFFFFF"/>
        <w:spacing w:after="0" w:line="240" w:lineRule="auto"/>
        <w:jc w:val="both"/>
        <w:rPr>
          <w:rFonts w:ascii="Verdana" w:eastAsia="Times New Roman" w:hAnsi="Verdana" w:cs="Arial"/>
          <w:sz w:val="20"/>
          <w:szCs w:val="20"/>
          <w:lang w:eastAsia="es-ES_tradnl"/>
        </w:rPr>
      </w:pPr>
    </w:p>
    <w:p w14:paraId="2832C535" w14:textId="21A4464D" w:rsidR="00134ED7" w:rsidRDefault="00134ED7" w:rsidP="00134ED7">
      <w:pPr>
        <w:shd w:val="clear" w:color="auto" w:fill="FFFFFF"/>
        <w:spacing w:after="0" w:line="240" w:lineRule="auto"/>
        <w:jc w:val="both"/>
        <w:rPr>
          <w:rFonts w:ascii="Verdana" w:eastAsia="Times New Roman" w:hAnsi="Verdana" w:cs="Arial"/>
          <w:sz w:val="20"/>
          <w:szCs w:val="20"/>
          <w:lang w:eastAsia="es-ES_tradnl"/>
        </w:rPr>
      </w:pPr>
      <w:r w:rsidRPr="00134ED7">
        <w:rPr>
          <w:rFonts w:ascii="Verdana" w:eastAsia="Times New Roman" w:hAnsi="Verdana" w:cs="Arial"/>
          <w:sz w:val="20"/>
          <w:szCs w:val="20"/>
          <w:lang w:eastAsia="es-ES_tradnl"/>
        </w:rPr>
        <w:t xml:space="preserve">Lo anterior, empero, debe comprenderse en el sentido que el deber de las entidades públicas y contratistas se limita al intento real de solucionar sus controversias de manera directa, mas no a la solución efectiva. En otros términos, no es obligación de las entidades y contratistas el lograr un acuerdo o solución a sus divergencias, por cuanto este tipo de mecanismos están dotados de un importante sustrato voluntarista que permite que las partes involucradas, bien logren la solución pretendida o, por el contrario, decidan no hacerlo, siempre, eso sí, dejando a salvo la garantía de los principios que rigen la función administrativa y que limitan, por ende, el ejercicio de la autonomía de la voluntad. </w:t>
      </w:r>
    </w:p>
    <w:p w14:paraId="06A74963" w14:textId="77777777" w:rsidR="00134ED7" w:rsidRDefault="00134ED7" w:rsidP="00134ED7">
      <w:pPr>
        <w:shd w:val="clear" w:color="auto" w:fill="FFFFFF"/>
        <w:spacing w:after="0" w:line="240" w:lineRule="auto"/>
        <w:jc w:val="both"/>
        <w:rPr>
          <w:rFonts w:ascii="Verdana" w:eastAsia="Times New Roman" w:hAnsi="Verdana" w:cs="Arial"/>
          <w:sz w:val="20"/>
          <w:szCs w:val="20"/>
          <w:lang w:eastAsia="es-ES_tradnl"/>
        </w:rPr>
      </w:pPr>
    </w:p>
    <w:p w14:paraId="3B6FB9B3" w14:textId="0DEF1AEC" w:rsidR="00134ED7" w:rsidRDefault="00134ED7" w:rsidP="00134ED7">
      <w:pPr>
        <w:shd w:val="clear" w:color="auto" w:fill="FFFFFF"/>
        <w:spacing w:after="0" w:line="240" w:lineRule="auto"/>
        <w:jc w:val="both"/>
        <w:rPr>
          <w:rFonts w:ascii="Verdana" w:eastAsia="Times New Roman" w:hAnsi="Verdana" w:cs="Arial"/>
          <w:sz w:val="20"/>
          <w:szCs w:val="20"/>
          <w:lang w:eastAsia="es-ES_tradnl"/>
        </w:rPr>
      </w:pPr>
      <w:r>
        <w:rPr>
          <w:rFonts w:ascii="Verdana" w:eastAsia="Times New Roman" w:hAnsi="Verdana" w:cs="Arial"/>
          <w:sz w:val="20"/>
          <w:szCs w:val="20"/>
          <w:lang w:eastAsia="es-ES_tradnl"/>
        </w:rPr>
        <w:t xml:space="preserve">[…] </w:t>
      </w:r>
    </w:p>
    <w:p w14:paraId="79C80E41" w14:textId="77777777" w:rsidR="00134ED7" w:rsidRDefault="00134ED7" w:rsidP="00134ED7">
      <w:pPr>
        <w:shd w:val="clear" w:color="auto" w:fill="FFFFFF"/>
        <w:spacing w:after="0" w:line="240" w:lineRule="auto"/>
        <w:jc w:val="both"/>
        <w:rPr>
          <w:rFonts w:ascii="Verdana" w:eastAsia="Times New Roman" w:hAnsi="Verdana" w:cs="Arial"/>
          <w:sz w:val="20"/>
          <w:szCs w:val="20"/>
          <w:lang w:eastAsia="es-ES_tradnl"/>
        </w:rPr>
      </w:pPr>
    </w:p>
    <w:p w14:paraId="128A25D6" w14:textId="4CAB49A7" w:rsidR="00134ED7" w:rsidRDefault="00134ED7" w:rsidP="00134ED7">
      <w:pPr>
        <w:shd w:val="clear" w:color="auto" w:fill="FFFFFF"/>
        <w:spacing w:after="0" w:line="240" w:lineRule="auto"/>
        <w:jc w:val="both"/>
        <w:rPr>
          <w:rFonts w:ascii="Verdana" w:eastAsia="Times New Roman" w:hAnsi="Verdana" w:cs="Arial"/>
          <w:sz w:val="20"/>
          <w:szCs w:val="20"/>
          <w:lang w:eastAsia="es-ES_tradnl"/>
        </w:rPr>
      </w:pPr>
      <w:r w:rsidRPr="00134ED7">
        <w:rPr>
          <w:rFonts w:ascii="Verdana" w:eastAsia="Times New Roman" w:hAnsi="Verdana" w:cs="Arial"/>
          <w:sz w:val="20"/>
          <w:szCs w:val="20"/>
          <w:lang w:eastAsia="es-ES_tradnl"/>
        </w:rPr>
        <w:t xml:space="preserve">Dentro de las modalidades que el ordenamiento normativo permite como fórmulas de arreglo directo controversias, se destacan, al arreglo directo “propiamente dicho”. Junto a estas, la conciliación extrajudicial y judicial también podría considerarse como formas </w:t>
      </w:r>
      <w:r w:rsidRPr="00134ED7">
        <w:rPr>
          <w:rFonts w:ascii="Verdana" w:eastAsia="Times New Roman" w:hAnsi="Verdana" w:cs="Arial"/>
          <w:sz w:val="20"/>
          <w:szCs w:val="20"/>
          <w:lang w:eastAsia="es-ES_tradnl"/>
        </w:rPr>
        <w:lastRenderedPageBreak/>
        <w:t>aplicativas del principio de arreglo directo de controversias, sin perjuicio que dentro de ellas se haga necesaria la participación de un tercero neutral y distinto a las partes directamente interesadas, siendo a estas últimas a quienes corresponde la configuración y logro del eventual acuerdo</w:t>
      </w:r>
      <w:r>
        <w:rPr>
          <w:rFonts w:ascii="Verdana" w:eastAsia="Times New Roman" w:hAnsi="Verdana" w:cs="Arial"/>
          <w:sz w:val="20"/>
          <w:szCs w:val="20"/>
          <w:lang w:eastAsia="es-ES_tradnl"/>
        </w:rPr>
        <w:t>.</w:t>
      </w:r>
    </w:p>
    <w:p w14:paraId="35394143" w14:textId="77777777" w:rsidR="00134ED7" w:rsidRDefault="00134ED7" w:rsidP="00134ED7">
      <w:pPr>
        <w:shd w:val="clear" w:color="auto" w:fill="FFFFFF"/>
        <w:spacing w:after="0" w:line="240" w:lineRule="auto"/>
        <w:jc w:val="both"/>
        <w:rPr>
          <w:rFonts w:ascii="Verdana" w:eastAsia="Times New Roman" w:hAnsi="Verdana" w:cs="Arial"/>
          <w:sz w:val="20"/>
          <w:szCs w:val="20"/>
          <w:lang w:eastAsia="es-ES_tradnl"/>
        </w:rPr>
      </w:pPr>
    </w:p>
    <w:p w14:paraId="64EBA1DE" w14:textId="41C3F595" w:rsidR="00134ED7" w:rsidRPr="00134ED7" w:rsidRDefault="00134ED7" w:rsidP="00134ED7">
      <w:pPr>
        <w:shd w:val="clear" w:color="auto" w:fill="FFFFFF"/>
        <w:spacing w:after="0" w:line="240" w:lineRule="auto"/>
        <w:jc w:val="both"/>
        <w:rPr>
          <w:rFonts w:ascii="Verdana" w:eastAsia="Times New Roman" w:hAnsi="Verdana" w:cs="Arial"/>
          <w:sz w:val="20"/>
          <w:szCs w:val="20"/>
          <w:lang w:eastAsia="es-ES_tradnl"/>
        </w:rPr>
      </w:pPr>
      <w:r w:rsidRPr="00134ED7">
        <w:rPr>
          <w:rFonts w:ascii="Verdana" w:eastAsia="Times New Roman" w:hAnsi="Verdana" w:cs="Arial"/>
          <w:sz w:val="20"/>
          <w:szCs w:val="20"/>
          <w:lang w:eastAsia="es-ES_tradnl"/>
        </w:rPr>
        <w:t xml:space="preserve">El arreglo directo propiamente dicho, es una metodología para la solución de controversias que implica la participación de la entidad estatal y el contratista o contratistas directamente interesados en la resolución del conflicto. Lo anterior implicará, como mínimo, un espacio y tiempo suficiente para que entre unos y otros se logre el establecimiento del objeto de la controversia, así como la negociación de </w:t>
      </w:r>
      <w:proofErr w:type="gramStart"/>
      <w:r w:rsidRPr="00134ED7">
        <w:rPr>
          <w:rFonts w:ascii="Verdana" w:eastAsia="Times New Roman" w:hAnsi="Verdana" w:cs="Arial"/>
          <w:sz w:val="20"/>
          <w:szCs w:val="20"/>
          <w:lang w:eastAsia="es-ES_tradnl"/>
        </w:rPr>
        <w:t>la misma</w:t>
      </w:r>
      <w:proofErr w:type="gramEnd"/>
      <w:r w:rsidRPr="00134ED7">
        <w:rPr>
          <w:rFonts w:ascii="Verdana" w:eastAsia="Times New Roman" w:hAnsi="Verdana" w:cs="Arial"/>
          <w:sz w:val="20"/>
          <w:szCs w:val="20"/>
          <w:lang w:eastAsia="es-ES_tradnl"/>
        </w:rPr>
        <w:t>. Ante la inexistencia de un procedimiento específico para llevar a cabo el arreglo directo, corresponderá a la entidad estatal, bien a través de sus manuales de contratación o por medio del clausulado del respectivo pliego de condiciones o documento equivalente o, inclusive, dentro del mismo contrato, determinar las pautas mínimas para que, ante el surgimiento de la controversia, las partes puedan arreglarlas directamente.</w:t>
      </w:r>
    </w:p>
    <w:p w14:paraId="6CB633D9" w14:textId="77777777" w:rsidR="00134ED7" w:rsidRPr="00134ED7" w:rsidRDefault="00134ED7" w:rsidP="00A6187B">
      <w:pPr>
        <w:spacing w:after="0" w:line="240" w:lineRule="auto"/>
        <w:jc w:val="both"/>
        <w:rPr>
          <w:rFonts w:ascii="Verdana" w:hAnsi="Verdana" w:cs="Arial"/>
          <w:b/>
          <w:sz w:val="20"/>
          <w:szCs w:val="20"/>
          <w:lang w:eastAsia="es-ES"/>
        </w:rPr>
      </w:pPr>
    </w:p>
    <w:p w14:paraId="7B41D49A" w14:textId="217C5930" w:rsidR="00A6187B" w:rsidRDefault="00A6187B" w:rsidP="00300FD9">
      <w:pPr>
        <w:spacing w:after="0" w:line="240" w:lineRule="auto"/>
        <w:jc w:val="both"/>
        <w:rPr>
          <w:rFonts w:ascii="Verdana" w:eastAsia="Calibri" w:hAnsi="Verdana" w:cs="Arial"/>
          <w:b/>
          <w:lang w:val="es-ES" w:eastAsia="es-ES"/>
        </w:rPr>
      </w:pPr>
      <w:r w:rsidRPr="00A6187B">
        <w:rPr>
          <w:rFonts w:ascii="Verdana" w:eastAsia="Calibri" w:hAnsi="Verdana" w:cs="Arial"/>
          <w:b/>
          <w:lang w:val="es-ES" w:eastAsia="es-ES"/>
        </w:rPr>
        <w:t xml:space="preserve">CLÁUSULAS EXCEPCIONALES – Multas – Cláusula penal – Imposición unilateral – Diferencias – Límite temporal </w:t>
      </w:r>
    </w:p>
    <w:p w14:paraId="514D79CA" w14:textId="77777777" w:rsidR="00134ED7" w:rsidRDefault="00134ED7" w:rsidP="00300FD9">
      <w:pPr>
        <w:spacing w:after="0" w:line="240" w:lineRule="auto"/>
        <w:jc w:val="both"/>
        <w:rPr>
          <w:rFonts w:ascii="Verdana" w:eastAsia="Calibri" w:hAnsi="Verdana" w:cs="Arial"/>
          <w:b/>
          <w:lang w:val="es-ES" w:eastAsia="es-ES"/>
        </w:rPr>
      </w:pPr>
    </w:p>
    <w:p w14:paraId="300C9A2C" w14:textId="3743AC60" w:rsidR="00134ED7" w:rsidRDefault="00134ED7" w:rsidP="00300FD9">
      <w:pPr>
        <w:spacing w:after="0" w:line="240" w:lineRule="auto"/>
        <w:jc w:val="both"/>
        <w:rPr>
          <w:rFonts w:ascii="Verdana" w:eastAsia="Calibri" w:hAnsi="Verdana" w:cs="Arial"/>
          <w:bCs/>
          <w:sz w:val="20"/>
          <w:szCs w:val="20"/>
          <w:lang w:val="es-ES" w:eastAsia="es-ES"/>
        </w:rPr>
      </w:pPr>
      <w:r w:rsidRPr="00134ED7">
        <w:rPr>
          <w:rFonts w:ascii="Verdana" w:eastAsia="Calibri" w:hAnsi="Verdana" w:cs="Arial"/>
          <w:bCs/>
          <w:sz w:val="20"/>
          <w:szCs w:val="20"/>
          <w:lang w:val="es-ES" w:eastAsia="es-ES"/>
        </w:rPr>
        <w:t>En lo que respecta a la imposición unilateral de la multa o la cláusula penal, debe indicarse que estas cuentan con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en uno u otro caso se hayan pactado en el contrato</w:t>
      </w:r>
      <w:r>
        <w:rPr>
          <w:rFonts w:ascii="Verdana" w:eastAsia="Calibri" w:hAnsi="Verdana" w:cs="Arial"/>
          <w:bCs/>
          <w:sz w:val="20"/>
          <w:szCs w:val="20"/>
          <w:lang w:val="es-ES" w:eastAsia="es-ES"/>
        </w:rPr>
        <w:t>.</w:t>
      </w:r>
    </w:p>
    <w:p w14:paraId="29AC1D57" w14:textId="77777777" w:rsidR="00134ED7" w:rsidRDefault="00134ED7" w:rsidP="00300FD9">
      <w:pPr>
        <w:spacing w:after="0" w:line="240" w:lineRule="auto"/>
        <w:jc w:val="both"/>
        <w:rPr>
          <w:rFonts w:ascii="Verdana" w:eastAsia="Calibri" w:hAnsi="Verdana" w:cs="Arial"/>
          <w:bCs/>
          <w:sz w:val="20"/>
          <w:szCs w:val="20"/>
          <w:lang w:val="es-ES" w:eastAsia="es-ES"/>
        </w:rPr>
      </w:pPr>
    </w:p>
    <w:p w14:paraId="1888EAAC" w14:textId="44E6CE1E" w:rsidR="00134ED7" w:rsidRDefault="00134ED7" w:rsidP="00300FD9">
      <w:pPr>
        <w:spacing w:after="0" w:line="240" w:lineRule="auto"/>
        <w:jc w:val="both"/>
        <w:rPr>
          <w:rFonts w:ascii="Verdana" w:eastAsia="Calibri" w:hAnsi="Verdana" w:cs="Arial"/>
          <w:bCs/>
          <w:sz w:val="20"/>
          <w:szCs w:val="20"/>
          <w:lang w:val="es-ES" w:eastAsia="es-ES"/>
        </w:rPr>
      </w:pPr>
      <w:r>
        <w:rPr>
          <w:rFonts w:ascii="Verdana" w:eastAsia="Calibri" w:hAnsi="Verdana" w:cs="Arial"/>
          <w:bCs/>
          <w:sz w:val="20"/>
          <w:szCs w:val="20"/>
          <w:lang w:val="es-ES" w:eastAsia="es-ES"/>
        </w:rPr>
        <w:t>[…]</w:t>
      </w:r>
    </w:p>
    <w:p w14:paraId="37325F0C" w14:textId="77777777" w:rsidR="00134ED7" w:rsidRPr="00134ED7" w:rsidRDefault="00134ED7" w:rsidP="00134ED7">
      <w:pPr>
        <w:spacing w:after="0" w:line="240" w:lineRule="auto"/>
        <w:jc w:val="both"/>
        <w:rPr>
          <w:rFonts w:ascii="Verdana" w:eastAsia="Calibri" w:hAnsi="Verdana" w:cs="Arial"/>
          <w:bCs/>
          <w:sz w:val="20"/>
          <w:szCs w:val="20"/>
          <w:lang w:val="es-ES" w:eastAsia="es-ES"/>
        </w:rPr>
      </w:pPr>
    </w:p>
    <w:p w14:paraId="25D804DC" w14:textId="05CBDE2E" w:rsidR="00134ED7" w:rsidRPr="00134ED7" w:rsidRDefault="00134ED7" w:rsidP="00134ED7">
      <w:pPr>
        <w:shd w:val="clear" w:color="auto" w:fill="FFFFFF"/>
        <w:spacing w:after="0" w:line="240" w:lineRule="auto"/>
        <w:jc w:val="both"/>
        <w:rPr>
          <w:rFonts w:ascii="Verdana" w:eastAsia="Times New Roman" w:hAnsi="Verdana" w:cs="Arial"/>
          <w:sz w:val="20"/>
          <w:szCs w:val="20"/>
          <w:lang w:val="es-ES_tradnl" w:eastAsia="es-ES_tradnl"/>
        </w:rPr>
      </w:pPr>
      <w:r>
        <w:rPr>
          <w:rFonts w:ascii="Verdana" w:eastAsia="Times New Roman" w:hAnsi="Verdana" w:cs="Arial"/>
          <w:iCs/>
          <w:sz w:val="20"/>
          <w:szCs w:val="20"/>
          <w:lang w:val="es-ES_tradnl" w:eastAsia="es-ES_tradnl"/>
        </w:rPr>
        <w:t xml:space="preserve">[…] </w:t>
      </w:r>
      <w:r w:rsidRPr="00134ED7">
        <w:rPr>
          <w:rFonts w:ascii="Verdana" w:eastAsia="Times New Roman" w:hAnsi="Verdana" w:cs="Arial"/>
          <w:iCs/>
          <w:sz w:val="20"/>
          <w:szCs w:val="20"/>
          <w:lang w:val="es-ES_tradnl" w:eastAsia="es-ES_tradnl"/>
        </w:rPr>
        <w:t>en relación con las diferencias entre las multas y la cláusula penal, esto es: “[a]</w:t>
      </w:r>
      <w:proofErr w:type="spellStart"/>
      <w:r w:rsidRPr="00134ED7">
        <w:rPr>
          <w:rFonts w:ascii="Verdana" w:eastAsia="Times New Roman" w:hAnsi="Verdana" w:cs="Arial"/>
          <w:iCs/>
          <w:sz w:val="20"/>
          <w:szCs w:val="20"/>
          <w:lang w:val="es-ES_tradnl" w:eastAsia="es-ES_tradnl"/>
        </w:rPr>
        <w:t>unque</w:t>
      </w:r>
      <w:proofErr w:type="spellEnd"/>
      <w:r w:rsidRPr="00134ED7">
        <w:rPr>
          <w:rFonts w:ascii="Verdana" w:eastAsia="Times New Roman" w:hAnsi="Verdana" w:cs="Arial"/>
          <w:iCs/>
          <w:sz w:val="20"/>
          <w:szCs w:val="20"/>
          <w:lang w:val="es-ES_tradnl" w:eastAsia="es-ES_tradnl"/>
        </w:rPr>
        <w:t xml:space="preserve"> las multas y la cláusula penal pecuniaria tienen una finalidad común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 </w:t>
      </w:r>
    </w:p>
    <w:p w14:paraId="7F1A7285" w14:textId="77777777" w:rsidR="00134ED7" w:rsidRDefault="00134ED7" w:rsidP="00134ED7">
      <w:pPr>
        <w:shd w:val="clear" w:color="auto" w:fill="FFFFFF"/>
        <w:spacing w:after="0" w:line="240" w:lineRule="auto"/>
        <w:jc w:val="both"/>
        <w:rPr>
          <w:rFonts w:ascii="Verdana" w:eastAsia="Calibri" w:hAnsi="Verdana"/>
          <w:sz w:val="20"/>
          <w:szCs w:val="20"/>
          <w:lang w:val="es-ES"/>
        </w:rPr>
      </w:pPr>
    </w:p>
    <w:p w14:paraId="6B3F2B62" w14:textId="5380611D" w:rsidR="00134ED7" w:rsidRDefault="00134ED7" w:rsidP="00134ED7">
      <w:pPr>
        <w:shd w:val="clear" w:color="auto" w:fill="FFFFFF"/>
        <w:spacing w:after="0" w:line="240" w:lineRule="auto"/>
        <w:jc w:val="both"/>
        <w:rPr>
          <w:rFonts w:ascii="Verdana" w:eastAsia="Calibri" w:hAnsi="Verdana"/>
          <w:sz w:val="20"/>
          <w:szCs w:val="20"/>
          <w:lang w:val="es-ES"/>
        </w:rPr>
      </w:pPr>
      <w:r w:rsidRPr="00134ED7">
        <w:rPr>
          <w:rFonts w:ascii="Verdana" w:eastAsia="Calibri" w:hAnsi="Verdana"/>
          <w:sz w:val="20"/>
          <w:szCs w:val="20"/>
          <w:lang w:val="es-ES"/>
        </w:rPr>
        <w:t xml:space="preserve">De esta forma, debe precisarse que el proceso de imposición de multas en el marco del ejercicio de las facultades exorbitantes de la Administración observa un límite temporal a la luz de lo indicado en el artículo 17 de la Ley 1150 de 2007. Norma que, según se desprende de su literalidad, señala que la entidad puede imponer las multas y la cláusula penal pactadas en el contrato, mientras esté pendiente la ejecución de las obligaciones del contratista, lo cual, define el límite temporal para hacerlo. De hecho, no condicionó la aplicación de estas sanciones al plazo de ejecución del contrato, y esto tiene sentido si se armoniza con la finalidad de la multa o de la cláusula penal y los fines de la contratación estatal. </w:t>
      </w:r>
    </w:p>
    <w:p w14:paraId="2686CF68" w14:textId="77777777" w:rsidR="000D19D0" w:rsidRDefault="000D19D0" w:rsidP="000D19D0">
      <w:pPr>
        <w:shd w:val="clear" w:color="auto" w:fill="FFFFFF"/>
        <w:spacing w:after="0" w:line="240" w:lineRule="auto"/>
        <w:jc w:val="both"/>
        <w:rPr>
          <w:rFonts w:ascii="Verdana" w:eastAsia="Calibri" w:hAnsi="Verdana"/>
          <w:sz w:val="20"/>
          <w:szCs w:val="20"/>
          <w:lang w:val="es-ES"/>
        </w:rPr>
      </w:pPr>
      <w:r w:rsidRPr="000D19D0">
        <w:rPr>
          <w:rFonts w:ascii="Verdana" w:eastAsia="Calibri" w:hAnsi="Verdana"/>
          <w:sz w:val="20"/>
          <w:szCs w:val="20"/>
          <w:lang w:val="es-ES"/>
        </w:rPr>
        <w:t>En primer lugar, existen obligaciones cuyo cumplimiento solo puede verificarse después del plazo pactado para la ejecución y en caso de no cumplir en las condiciones acordadas, la entidad tiene la facultad para conminar al contratista incumplido. En segundo lugar, si vencido el plazo de ejecución el contratista no cumple, la obligación no se extingue, pues de acuerdo con el artículo 1625 del Código Civil el vencimiento del plazo contractual no es un modo de extinguir las obligaciones, salvo pacto en ese sentido. Por tanto, la obligación continuará pendiente y el contratista estará en mora de cumplir por no haberlo hecho en el plazo acordado. Esto indica que lo que terminó fue el plazo de ejecución, pero la obligación todavía está pendiente de cumplimiento y el contratista podría hacerlo tardíamente con las consecuencias gravosas que esto implica. No obstante, la entidad deberá determinar si, inclusive, con el cumplimiento tardío aún se satisface el interés público.</w:t>
      </w:r>
    </w:p>
    <w:p w14:paraId="39C5C614" w14:textId="77777777" w:rsidR="000D19D0" w:rsidRDefault="000D19D0" w:rsidP="000D19D0">
      <w:pPr>
        <w:shd w:val="clear" w:color="auto" w:fill="FFFFFF"/>
        <w:spacing w:after="0" w:line="240" w:lineRule="auto"/>
        <w:jc w:val="both"/>
        <w:rPr>
          <w:rFonts w:ascii="Verdana" w:eastAsia="Calibri" w:hAnsi="Verdana"/>
          <w:sz w:val="20"/>
          <w:szCs w:val="20"/>
          <w:lang w:val="es-ES"/>
        </w:rPr>
      </w:pPr>
    </w:p>
    <w:p w14:paraId="61995E56" w14:textId="0F24EF3D" w:rsidR="000D19D0" w:rsidRPr="000D19D0" w:rsidRDefault="000D19D0" w:rsidP="000D19D0">
      <w:pPr>
        <w:shd w:val="clear" w:color="auto" w:fill="FFFFFF"/>
        <w:spacing w:after="0" w:line="240" w:lineRule="auto"/>
        <w:jc w:val="both"/>
        <w:rPr>
          <w:rFonts w:ascii="Verdana" w:eastAsia="Times New Roman" w:hAnsi="Verdana" w:cs="Arial"/>
          <w:sz w:val="20"/>
          <w:szCs w:val="20"/>
          <w:lang w:val="es-ES" w:eastAsia="es-ES_tradnl"/>
        </w:rPr>
      </w:pPr>
      <w:r w:rsidRPr="000D19D0">
        <w:rPr>
          <w:rFonts w:ascii="Verdana" w:eastAsia="Times New Roman" w:hAnsi="Verdana" w:cs="Arial"/>
          <w:sz w:val="20"/>
          <w:szCs w:val="20"/>
          <w:lang w:val="es-ES" w:eastAsia="es-ES_tradnl"/>
        </w:rPr>
        <w:t>En línea con lo anterior, puede colegirse entonces, que el artículo 17 de la Ley 1150 de 2007 no condicionó la imposición de las multas y la cláusula penal al plazo del contrato, y por el contrario, de manera expresa indicó que estas proceden “(…) mientras se halle pendiente la ejecución de las obligaciones a cargo del contratista (…)”, la Administración podrá imponer las multas y hacer efectiva la cláusula penal inclusive después de vencido su plazo de ejecución, siempre que las obligaciones estén pendientes de cumplirse.</w:t>
      </w:r>
    </w:p>
    <w:p w14:paraId="507EAB84" w14:textId="77777777" w:rsidR="000D19D0" w:rsidRPr="00134ED7" w:rsidRDefault="000D19D0" w:rsidP="00134ED7">
      <w:pPr>
        <w:shd w:val="clear" w:color="auto" w:fill="FFFFFF"/>
        <w:spacing w:after="0" w:line="240" w:lineRule="auto"/>
        <w:jc w:val="both"/>
        <w:rPr>
          <w:rFonts w:ascii="Verdana" w:eastAsia="Calibri" w:hAnsi="Verdana"/>
          <w:sz w:val="20"/>
          <w:szCs w:val="20"/>
          <w:lang w:val="es-ES"/>
        </w:rPr>
      </w:pPr>
    </w:p>
    <w:p w14:paraId="04E40222" w14:textId="77777777" w:rsidR="00A6187B" w:rsidRPr="00A6187B" w:rsidRDefault="00A6187B" w:rsidP="00300FD9">
      <w:pPr>
        <w:spacing w:after="0" w:line="240" w:lineRule="auto"/>
        <w:jc w:val="both"/>
        <w:rPr>
          <w:rFonts w:ascii="Verdana" w:eastAsia="Calibri" w:hAnsi="Verdana" w:cs="Arial"/>
          <w:b/>
          <w:lang w:val="es-ES" w:eastAsia="es-ES"/>
        </w:rPr>
      </w:pPr>
      <w:r w:rsidRPr="00A6187B">
        <w:rPr>
          <w:rFonts w:ascii="Verdana" w:eastAsia="Calibri" w:hAnsi="Verdana" w:cs="Arial"/>
          <w:b/>
          <w:lang w:val="es-ES" w:eastAsia="es-ES"/>
        </w:rPr>
        <w:t xml:space="preserve">PROCEDIMIENTO SANCIONATORIO CONTRACTUAL – Etapas – trámite </w:t>
      </w:r>
    </w:p>
    <w:p w14:paraId="22202B4D" w14:textId="77777777" w:rsidR="00A6187B" w:rsidRPr="00A6187B" w:rsidRDefault="00A6187B" w:rsidP="00300FD9">
      <w:pPr>
        <w:spacing w:after="0" w:line="240" w:lineRule="auto"/>
        <w:jc w:val="both"/>
        <w:rPr>
          <w:rFonts w:ascii="Verdana" w:eastAsia="Calibri" w:hAnsi="Verdana" w:cs="Arial"/>
          <w:b/>
          <w:lang w:val="es-ES" w:eastAsia="es-ES"/>
        </w:rPr>
      </w:pPr>
    </w:p>
    <w:p w14:paraId="3657EE9F" w14:textId="3DCB0C49" w:rsidR="000D19D0" w:rsidRDefault="000D19D0" w:rsidP="000D19D0">
      <w:pPr>
        <w:shd w:val="clear" w:color="auto" w:fill="FFFFFF"/>
        <w:spacing w:after="0" w:line="240" w:lineRule="auto"/>
        <w:jc w:val="both"/>
        <w:rPr>
          <w:rFonts w:ascii="Verdana" w:eastAsia="Calibri" w:hAnsi="Verdana" w:cs="Arial"/>
          <w:sz w:val="20"/>
          <w:szCs w:val="20"/>
        </w:rPr>
      </w:pPr>
      <w:r>
        <w:rPr>
          <w:rFonts w:ascii="Verdana" w:eastAsia="Calibri" w:hAnsi="Verdana"/>
          <w:sz w:val="20"/>
          <w:szCs w:val="20"/>
          <w:lang w:val="es-ES"/>
        </w:rPr>
        <w:t>[…]</w:t>
      </w:r>
      <w:r w:rsidRPr="000D19D0">
        <w:rPr>
          <w:rFonts w:ascii="Verdana" w:eastAsia="Calibri" w:hAnsi="Verdana"/>
          <w:sz w:val="20"/>
          <w:szCs w:val="20"/>
          <w:lang w:val="es-ES"/>
        </w:rPr>
        <w:t xml:space="preserve"> sin perjuicio de lo señalado respecto del límite temporal para la imposición de las multas y la cláusula penal, debe indicarse que, de acuerdo con el artículo 86 de la Ley 1474 de 2011, a las Entidades Estatales les corresponde adelantar el procedimiento administrativo sancionatorio de forma expedita. </w:t>
      </w:r>
      <w:r w:rsidRPr="000D19D0">
        <w:rPr>
          <w:rFonts w:ascii="Verdana" w:eastAsia="Calibri" w:hAnsi="Verdana" w:cs="Arial"/>
          <w:sz w:val="20"/>
          <w:szCs w:val="20"/>
        </w:rPr>
        <w:t>De hecho, el literal a) del artículo 86 de la Ley 1474 de 2011 –Estatuto Anticorrupción– dispone que “Evidenciado un posible incumplimiento de las obligaciones a cargo del contratista, la entidad pública lo citará a audiencia para debatir lo ocurrido (…)”, la cual “(…) podrá tener lugar a la mayor brevedad posible, atendida la naturaleza del contrato y la periodicidad establecida para el cumplimiento de las obligaciones contractuales (…)”. Estas reglas marcan el inicio del plazo de caducidad de la potestad sancionadora del Estado, el cual comienza a contarse desde la ocurrencia del presunto incumplimiento contractual en cualquiera de las tres (3) modalidades consagradas en el artículo 1613 del Código Civi</w:t>
      </w:r>
      <w:r>
        <w:rPr>
          <w:rFonts w:ascii="Verdana" w:eastAsia="Calibri" w:hAnsi="Verdana" w:cs="Arial"/>
          <w:sz w:val="20"/>
          <w:szCs w:val="20"/>
        </w:rPr>
        <w:t>l</w:t>
      </w:r>
      <w:r>
        <w:rPr>
          <w:rFonts w:ascii="Verdana" w:hAnsi="Verdana" w:cs="Arial"/>
          <w:sz w:val="20"/>
          <w:szCs w:val="20"/>
          <w:vertAlign w:val="superscript"/>
        </w:rPr>
        <w:t>.</w:t>
      </w:r>
      <w:r w:rsidRPr="000D19D0">
        <w:rPr>
          <w:rFonts w:ascii="Verdana" w:eastAsia="Calibri" w:hAnsi="Verdana" w:cs="Arial"/>
          <w:sz w:val="20"/>
          <w:szCs w:val="20"/>
        </w:rPr>
        <w:t xml:space="preserve"> En cada una de estas situaciones, dependiendo de las particularidades del caso concreto, la entidad determinará si el incumplimiento tiene naturaleza continuada o no, citando la audiencia a la mayor brevedad con el fin de expedir y notificar la decisión en el plazo perentorio e improrrogable del artículo 52 de la Ley 1437 de 2011.</w:t>
      </w:r>
    </w:p>
    <w:p w14:paraId="45274C0B" w14:textId="77777777" w:rsidR="000D19D0" w:rsidRDefault="000D19D0" w:rsidP="000D19D0">
      <w:pPr>
        <w:shd w:val="clear" w:color="auto" w:fill="FFFFFF"/>
        <w:spacing w:after="0" w:line="240" w:lineRule="auto"/>
        <w:jc w:val="both"/>
        <w:rPr>
          <w:rFonts w:ascii="Verdana" w:eastAsia="Times New Roman" w:hAnsi="Verdana" w:cs="Arial"/>
          <w:sz w:val="20"/>
          <w:szCs w:val="20"/>
          <w:lang w:eastAsia="es-ES_tradnl"/>
        </w:rPr>
      </w:pPr>
    </w:p>
    <w:p w14:paraId="666A1357" w14:textId="072C2F82" w:rsidR="000D19D0" w:rsidRPr="000D19D0" w:rsidRDefault="000D19D0" w:rsidP="000D19D0">
      <w:pPr>
        <w:shd w:val="clear" w:color="auto" w:fill="FFFFFF"/>
        <w:spacing w:after="0" w:line="240" w:lineRule="auto"/>
        <w:jc w:val="both"/>
        <w:rPr>
          <w:rFonts w:ascii="Verdana" w:eastAsia="Calibri" w:hAnsi="Verdana" w:cs="Arial"/>
          <w:sz w:val="20"/>
          <w:szCs w:val="20"/>
        </w:rPr>
      </w:pPr>
      <w:r w:rsidRPr="000D19D0">
        <w:rPr>
          <w:rFonts w:ascii="Verdana" w:eastAsia="Calibri" w:hAnsi="Verdana" w:cs="Arial"/>
          <w:sz w:val="20"/>
          <w:szCs w:val="20"/>
        </w:rPr>
        <w:t>De esta manera, el vencimiento del plazo pactado en los contratos estatales no impide que la entidad reciba las tareas realizadas fuera de este término ni equivale a la imposibilidad de que el contratista realice prestaciones extemporáneas. De hecho, mientras el contrato esté vigente la entidad puede emplear los medios necesarios para exigir su cumplimiento. Así las cosas, el vencimiento del plazo para el cumplimiento de las obligaciones de tracto sucesivo, por naturaleza suspensivo, no conlleva su extinción, pues tal como se desprende de las consideraciones de orden normativo, jurisprudencial y doctrinario, el vencimiento del plazo suspensivo, en realidad, implica que la obligación se hace exigible en su totalidad a partir de ese mismo instante. Lo anterior, sin perjuicio de que la entidad también pueda hacer uso de sus potestades, como la imposición unilateral de la cláusula penal pecuniaria.</w:t>
      </w:r>
    </w:p>
    <w:p w14:paraId="28181068" w14:textId="77777777" w:rsidR="000D19D0" w:rsidRPr="000D19D0" w:rsidRDefault="000D19D0" w:rsidP="00300FD9">
      <w:pPr>
        <w:spacing w:after="0" w:line="240" w:lineRule="auto"/>
        <w:jc w:val="both"/>
        <w:rPr>
          <w:rFonts w:ascii="Verdana" w:eastAsia="Calibri" w:hAnsi="Verdana" w:cs="Arial"/>
          <w:b/>
          <w:lang w:eastAsia="es-ES"/>
        </w:rPr>
      </w:pPr>
    </w:p>
    <w:p w14:paraId="27988C31" w14:textId="39C56019" w:rsidR="00A6187B" w:rsidRPr="00A6187B" w:rsidRDefault="00A6187B" w:rsidP="00300FD9">
      <w:pPr>
        <w:spacing w:after="0" w:line="240" w:lineRule="auto"/>
        <w:jc w:val="both"/>
        <w:rPr>
          <w:rFonts w:ascii="Verdana" w:eastAsia="Calibri" w:hAnsi="Verdana" w:cs="Arial"/>
          <w:b/>
          <w:lang w:eastAsia="es-ES"/>
        </w:rPr>
      </w:pPr>
      <w:r w:rsidRPr="00A6187B">
        <w:rPr>
          <w:rFonts w:ascii="Verdana" w:eastAsia="Calibri" w:hAnsi="Verdana" w:cs="Arial"/>
          <w:b/>
          <w:lang w:val="es-ES" w:eastAsia="es-ES"/>
        </w:rPr>
        <w:t>PROCEDIMIENTO SANCIONATORIO CONTRACTUAL – Literal d artículo 86 Ley 1474 de 2011 – Terminación del proceso administrativo sancionatorio de carácter contractual – Decisión discrecional</w:t>
      </w:r>
    </w:p>
    <w:p w14:paraId="2CD28FC0" w14:textId="77777777" w:rsidR="00A6187B" w:rsidRPr="00A6187B" w:rsidRDefault="00A6187B" w:rsidP="00300FD9">
      <w:pPr>
        <w:spacing w:after="0" w:line="240" w:lineRule="auto"/>
        <w:jc w:val="both"/>
        <w:rPr>
          <w:rFonts w:ascii="Verdana" w:eastAsia="Calibri" w:hAnsi="Verdana" w:cs="Arial"/>
          <w:b/>
          <w:lang w:eastAsia="es-ES"/>
        </w:rPr>
      </w:pPr>
    </w:p>
    <w:p w14:paraId="06B3D101" w14:textId="77777777" w:rsidR="000D19D0" w:rsidRPr="000D19D0" w:rsidRDefault="000D19D0" w:rsidP="000D19D0">
      <w:pPr>
        <w:shd w:val="clear" w:color="auto" w:fill="FFFFFF"/>
        <w:spacing w:after="0" w:line="240" w:lineRule="auto"/>
        <w:jc w:val="both"/>
        <w:rPr>
          <w:rFonts w:ascii="Verdana" w:eastAsia="Calibri" w:hAnsi="Verdana" w:cs="Arial"/>
          <w:sz w:val="20"/>
          <w:szCs w:val="20"/>
        </w:rPr>
      </w:pPr>
      <w:r w:rsidRPr="000D19D0">
        <w:rPr>
          <w:rFonts w:ascii="Verdana" w:hAnsi="Verdana" w:cs="Arial"/>
          <w:color w:val="000000" w:themeColor="text1"/>
          <w:sz w:val="20"/>
          <w:szCs w:val="20"/>
        </w:rPr>
        <w:t>El literal d) del artículo 86 de la Ley 1474 de 2011 establece la posibilidad de terminar el procedimiento administrativo sancionatorio contractual frente al cumplimiento de las obligaciones. Frente a esta hipótesis, dispone que “(…) La entidad podrá dar por terminado el procedimiento en cualquier momento, si por algún medio tiene conocimiento de la cesación de situación de incumplimiento”.</w:t>
      </w:r>
    </w:p>
    <w:p w14:paraId="2D398700" w14:textId="77777777" w:rsidR="000D19D0" w:rsidRDefault="000D19D0" w:rsidP="000D19D0">
      <w:pPr>
        <w:spacing w:after="0" w:line="240" w:lineRule="auto"/>
        <w:ind w:right="142"/>
        <w:jc w:val="both"/>
        <w:rPr>
          <w:rFonts w:ascii="Verdana" w:hAnsi="Verdana" w:cs="Arial"/>
          <w:color w:val="000000" w:themeColor="text1"/>
          <w:sz w:val="20"/>
          <w:szCs w:val="20"/>
          <w:lang w:val="es-ES"/>
        </w:rPr>
      </w:pPr>
    </w:p>
    <w:p w14:paraId="3B65B4EF" w14:textId="1B521989" w:rsidR="00065A4E" w:rsidRDefault="000D19D0" w:rsidP="00065A4E">
      <w:pPr>
        <w:spacing w:after="0" w:line="240" w:lineRule="auto"/>
        <w:ind w:right="142"/>
        <w:jc w:val="both"/>
        <w:rPr>
          <w:rFonts w:ascii="Verdana" w:hAnsi="Verdana" w:cs="Arial"/>
          <w:color w:val="000000" w:themeColor="text1"/>
          <w:sz w:val="20"/>
          <w:szCs w:val="20"/>
          <w:lang w:val="es-ES"/>
        </w:rPr>
      </w:pPr>
      <w:r w:rsidRPr="000D19D0">
        <w:rPr>
          <w:rFonts w:ascii="Verdana" w:hAnsi="Verdana" w:cs="Arial"/>
          <w:color w:val="000000" w:themeColor="text1"/>
          <w:sz w:val="20"/>
          <w:szCs w:val="20"/>
          <w:lang w:val="es-ES"/>
        </w:rPr>
        <w:t xml:space="preserve">En relación con este literal, es necesario realizar algunas precisiones: </w:t>
      </w:r>
      <w:r w:rsidRPr="000D19D0">
        <w:rPr>
          <w:rFonts w:ascii="Verdana" w:hAnsi="Verdana" w:cs="Arial"/>
          <w:i/>
          <w:color w:val="000000" w:themeColor="text1"/>
          <w:sz w:val="20"/>
          <w:szCs w:val="20"/>
          <w:lang w:val="es-ES"/>
        </w:rPr>
        <w:t>i)</w:t>
      </w:r>
      <w:r w:rsidRPr="000D19D0">
        <w:rPr>
          <w:rFonts w:ascii="Verdana" w:hAnsi="Verdana" w:cs="Arial"/>
          <w:color w:val="000000" w:themeColor="text1"/>
          <w:sz w:val="20"/>
          <w:szCs w:val="20"/>
          <w:lang w:val="es-ES"/>
        </w:rPr>
        <w:t xml:space="preserve"> esta norma regula la forma como debe actuar la entidad cuando cesa la situación de incumplimiento </w:t>
      </w:r>
      <w:r w:rsidRPr="000D19D0">
        <w:rPr>
          <w:rFonts w:ascii="Verdana" w:hAnsi="Verdana" w:cs="Arial"/>
          <w:i/>
          <w:color w:val="000000" w:themeColor="text1"/>
          <w:sz w:val="20"/>
          <w:szCs w:val="20"/>
          <w:lang w:val="es-ES"/>
        </w:rPr>
        <w:t>durante el trámite del procedimiento administrativo sancionatorio</w:t>
      </w:r>
      <w:r w:rsidRPr="000D19D0">
        <w:rPr>
          <w:rFonts w:ascii="Verdana" w:hAnsi="Verdana" w:cs="Arial"/>
          <w:color w:val="000000" w:themeColor="text1"/>
          <w:sz w:val="20"/>
          <w:szCs w:val="20"/>
          <w:lang w:val="es-ES"/>
        </w:rPr>
        <w:t xml:space="preserve">, esto es, una vez iniciado. </w:t>
      </w:r>
    </w:p>
    <w:p w14:paraId="5020D5A4" w14:textId="77777777" w:rsidR="00065A4E" w:rsidRDefault="00065A4E" w:rsidP="00065A4E">
      <w:pPr>
        <w:spacing w:after="0" w:line="240" w:lineRule="auto"/>
        <w:ind w:right="142"/>
        <w:jc w:val="both"/>
        <w:rPr>
          <w:rFonts w:ascii="Verdana" w:hAnsi="Verdana" w:cs="Arial"/>
          <w:color w:val="000000" w:themeColor="text1"/>
          <w:sz w:val="20"/>
          <w:szCs w:val="20"/>
          <w:lang w:val="es-ES"/>
        </w:rPr>
      </w:pPr>
    </w:p>
    <w:p w14:paraId="19DFDA0B" w14:textId="28BE0E8B" w:rsidR="00065A4E" w:rsidRPr="000D19D0" w:rsidRDefault="00065A4E" w:rsidP="00065A4E">
      <w:pPr>
        <w:spacing w:after="0" w:line="240" w:lineRule="auto"/>
        <w:ind w:right="142"/>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w:t>
      </w:r>
    </w:p>
    <w:p w14:paraId="1E3F56C2" w14:textId="77777777" w:rsidR="00065A4E" w:rsidRDefault="00065A4E" w:rsidP="00065A4E">
      <w:pPr>
        <w:spacing w:after="0" w:line="240" w:lineRule="auto"/>
        <w:ind w:right="142"/>
        <w:jc w:val="both"/>
        <w:rPr>
          <w:rFonts w:ascii="Verdana" w:hAnsi="Verdana" w:cs="Arial"/>
          <w:color w:val="000000" w:themeColor="text1"/>
          <w:sz w:val="20"/>
          <w:szCs w:val="20"/>
          <w:lang w:val="es-ES"/>
        </w:rPr>
      </w:pPr>
    </w:p>
    <w:p w14:paraId="36368AD1" w14:textId="1E40A1A5" w:rsidR="000D19D0" w:rsidRPr="000D19D0" w:rsidRDefault="00065A4E" w:rsidP="00065A4E">
      <w:pPr>
        <w:spacing w:after="0" w:line="240" w:lineRule="auto"/>
        <w:ind w:right="142"/>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 xml:space="preserve">[…] </w:t>
      </w:r>
      <w:r w:rsidR="000D19D0" w:rsidRPr="000D19D0">
        <w:rPr>
          <w:rFonts w:ascii="Verdana" w:hAnsi="Verdana" w:cs="Arial"/>
          <w:color w:val="000000" w:themeColor="text1"/>
          <w:sz w:val="20"/>
          <w:szCs w:val="20"/>
          <w:lang w:val="es-ES"/>
        </w:rPr>
        <w:t xml:space="preserve">la potestad otorgada a la entidad para terminarlo, con fundamento en dicha circunstancia, </w:t>
      </w:r>
      <w:r w:rsidR="000D19D0" w:rsidRPr="000D19D0">
        <w:rPr>
          <w:rFonts w:ascii="Verdana" w:hAnsi="Verdana" w:cs="Arial"/>
          <w:i/>
          <w:color w:val="000000" w:themeColor="text1"/>
          <w:sz w:val="20"/>
          <w:szCs w:val="20"/>
          <w:lang w:val="es-ES"/>
        </w:rPr>
        <w:t>es una decisión discrecional</w:t>
      </w:r>
      <w:r w:rsidR="000D19D0" w:rsidRPr="000D19D0">
        <w:rPr>
          <w:rFonts w:ascii="Verdana" w:hAnsi="Verdana" w:cs="Arial"/>
          <w:color w:val="000000" w:themeColor="text1"/>
          <w:sz w:val="20"/>
          <w:szCs w:val="20"/>
          <w:lang w:val="es-ES"/>
        </w:rPr>
        <w:t xml:space="preserve">. Esto es evidente en la norma, toda vez que utiliza el término común con el que se otorgan potestades discrecionales: </w:t>
      </w:r>
      <w:r w:rsidR="000D19D0" w:rsidRPr="000D19D0">
        <w:rPr>
          <w:rFonts w:ascii="Verdana" w:hAnsi="Verdana" w:cs="Arial"/>
          <w:i/>
          <w:color w:val="000000" w:themeColor="text1"/>
          <w:sz w:val="20"/>
          <w:szCs w:val="20"/>
          <w:lang w:val="es-ES"/>
        </w:rPr>
        <w:t xml:space="preserve">podrá. </w:t>
      </w:r>
      <w:r w:rsidR="000D19D0" w:rsidRPr="000D19D0">
        <w:rPr>
          <w:rFonts w:ascii="Verdana" w:hAnsi="Verdana" w:cs="Arial"/>
          <w:color w:val="000000" w:themeColor="text1"/>
          <w:sz w:val="20"/>
          <w:szCs w:val="20"/>
          <w:lang w:val="es-ES"/>
        </w:rPr>
        <w:t>En tal sentido, se puede decidir sobre la conveniencia o no de terminar el procedimiento, al advertirse que cesa la situación de incumplimiento, de manera que no es un deber hacerlo.</w:t>
      </w:r>
    </w:p>
    <w:p w14:paraId="38FBE198" w14:textId="77777777" w:rsidR="00065A4E" w:rsidRDefault="00065A4E" w:rsidP="00065A4E">
      <w:pPr>
        <w:spacing w:after="0" w:line="240" w:lineRule="auto"/>
        <w:ind w:right="142"/>
        <w:jc w:val="both"/>
        <w:rPr>
          <w:rFonts w:ascii="Verdana" w:hAnsi="Verdana" w:cs="Arial"/>
          <w:color w:val="000000" w:themeColor="text1"/>
          <w:sz w:val="20"/>
          <w:szCs w:val="20"/>
          <w:lang w:val="es-ES"/>
        </w:rPr>
      </w:pPr>
    </w:p>
    <w:p w14:paraId="65783556" w14:textId="71468226" w:rsidR="000D19D0" w:rsidRPr="000D19D0" w:rsidRDefault="000D19D0" w:rsidP="00065A4E">
      <w:pPr>
        <w:spacing w:after="0" w:line="240" w:lineRule="auto"/>
        <w:ind w:right="142"/>
        <w:jc w:val="both"/>
        <w:rPr>
          <w:rFonts w:ascii="Verdana" w:hAnsi="Verdana" w:cs="Arial"/>
          <w:color w:val="000000" w:themeColor="text1"/>
          <w:sz w:val="20"/>
          <w:szCs w:val="20"/>
          <w:lang w:val="es-ES"/>
        </w:rPr>
      </w:pPr>
      <w:r w:rsidRPr="000D19D0">
        <w:rPr>
          <w:rFonts w:ascii="Verdana" w:hAnsi="Verdana" w:cs="Arial"/>
          <w:color w:val="000000" w:themeColor="text1"/>
          <w:sz w:val="20"/>
          <w:szCs w:val="20"/>
          <w:lang w:val="es-ES"/>
        </w:rPr>
        <w:t>El presupuesto para que se active la potestad discrecional consiste en que la entidad conozca la “</w:t>
      </w:r>
      <w:r w:rsidRPr="000D19D0">
        <w:rPr>
          <w:rFonts w:ascii="Verdana" w:hAnsi="Verdana" w:cs="Arial"/>
          <w:i/>
          <w:color w:val="000000" w:themeColor="text1"/>
          <w:sz w:val="20"/>
          <w:szCs w:val="20"/>
          <w:lang w:val="es-ES"/>
        </w:rPr>
        <w:t>cesación de la situación de incumplimiento</w:t>
      </w:r>
      <w:r w:rsidRPr="000D19D0">
        <w:rPr>
          <w:rFonts w:ascii="Verdana" w:hAnsi="Verdana" w:cs="Arial"/>
          <w:color w:val="000000" w:themeColor="text1"/>
          <w:sz w:val="20"/>
          <w:szCs w:val="20"/>
          <w:lang w:val="es-ES"/>
        </w:rPr>
        <w:t xml:space="preserve">”. Esta circunstancia también debe valorarla la entidad; pues solo en tal caso se activa la potestad conferida. Además, la cesación del incumplimiento podría ser frente a algunos de los incumplimientos por los cuales se adelanta el procedimiento sancionatorio; en tal caso, la entidad podrá terminarlo </w:t>
      </w:r>
      <w:r w:rsidRPr="000D19D0">
        <w:rPr>
          <w:rFonts w:ascii="Verdana" w:hAnsi="Verdana" w:cs="Arial"/>
          <w:i/>
          <w:color w:val="000000" w:themeColor="text1"/>
          <w:sz w:val="20"/>
          <w:szCs w:val="20"/>
          <w:lang w:val="es-ES"/>
        </w:rPr>
        <w:t>parcialmente</w:t>
      </w:r>
      <w:r w:rsidRPr="000D19D0">
        <w:rPr>
          <w:rFonts w:ascii="Verdana" w:hAnsi="Verdana" w:cs="Arial"/>
          <w:color w:val="000000" w:themeColor="text1"/>
          <w:sz w:val="20"/>
          <w:szCs w:val="20"/>
          <w:lang w:val="es-ES"/>
        </w:rPr>
        <w:t xml:space="preserve">, esto es, frente a algunos de los supuestos de incumplimiento, pudiendo continuar con los demás. En todo caso, las posibilidades anteriores siguen siendo facultades discrecionales. </w:t>
      </w:r>
    </w:p>
    <w:p w14:paraId="6AB13366" w14:textId="77777777" w:rsidR="00065A4E" w:rsidRDefault="00065A4E" w:rsidP="000D19D0">
      <w:pPr>
        <w:spacing w:after="0" w:line="240" w:lineRule="auto"/>
        <w:ind w:right="142"/>
        <w:jc w:val="both"/>
        <w:rPr>
          <w:rFonts w:ascii="Verdana" w:hAnsi="Verdana" w:cs="Arial"/>
          <w:iCs/>
          <w:color w:val="000000" w:themeColor="text1"/>
          <w:sz w:val="20"/>
          <w:szCs w:val="20"/>
          <w:lang w:val="es-ES_tradnl"/>
        </w:rPr>
      </w:pPr>
    </w:p>
    <w:p w14:paraId="4FA31409" w14:textId="2072AF06" w:rsidR="000D19D0" w:rsidRPr="000D19D0" w:rsidRDefault="000D19D0" w:rsidP="000D19D0">
      <w:pPr>
        <w:spacing w:after="0" w:line="240" w:lineRule="auto"/>
        <w:ind w:right="142"/>
        <w:jc w:val="both"/>
        <w:rPr>
          <w:rFonts w:ascii="Verdana" w:hAnsi="Verdana" w:cs="Arial"/>
          <w:iCs/>
          <w:color w:val="000000" w:themeColor="text1"/>
          <w:sz w:val="20"/>
          <w:szCs w:val="20"/>
          <w:lang w:val="es-ES_tradnl"/>
        </w:rPr>
      </w:pPr>
      <w:r w:rsidRPr="000D19D0">
        <w:rPr>
          <w:rFonts w:ascii="Verdana" w:hAnsi="Verdana" w:cs="Arial"/>
          <w:iCs/>
          <w:color w:val="000000" w:themeColor="text1"/>
          <w:sz w:val="20"/>
          <w:szCs w:val="20"/>
          <w:lang w:val="es-ES_tradnl"/>
        </w:rPr>
        <w:t xml:space="preserve">También cabe resaltar que la posibilidad de terminar el procedimiento aplica en los casos en que efectivamente cese la situación de incumplimiento, pues, atendiendo a las prestaciones de ciertos contratos, existen obligaciones que deben cumplirse en determinado momento, atendiendo a la finalidad con que se haya celebrado el negocio jurídico, pues la ejecución de prestaciones tardías, en ciertos contratos, podría no reportarle utilidad a la entidad, por lo que dichos “cumplimientos” tardíos en realidad no implicarían que el contratista cese en la situación de incumplimiento. Esto sucedería, por ejemplo, si un contratista se compromete a entregar algunos refrigerios para un evento que se realizará el 30 de agosto, incumpliendo dicha obligación, por lo cual la entidad inicia un procedimiento sancionatorio y, durante su trámite, el contratista entrega los refrigerios, por ejemplo, el 2 de septiembre, cuando la entidad ya no los necesita. </w:t>
      </w:r>
    </w:p>
    <w:p w14:paraId="2DD28D22" w14:textId="77777777" w:rsidR="00065A4E" w:rsidRDefault="00065A4E" w:rsidP="000D19D0">
      <w:pPr>
        <w:spacing w:after="0" w:line="240" w:lineRule="auto"/>
        <w:ind w:right="142"/>
        <w:jc w:val="both"/>
        <w:rPr>
          <w:rFonts w:ascii="Verdana" w:hAnsi="Verdana" w:cs="Arial"/>
          <w:iCs/>
          <w:color w:val="000000" w:themeColor="text1"/>
          <w:sz w:val="20"/>
          <w:szCs w:val="20"/>
          <w:lang w:val="es-ES_tradnl"/>
        </w:rPr>
      </w:pPr>
    </w:p>
    <w:p w14:paraId="3E447769" w14:textId="4701DEF1" w:rsidR="000D19D0" w:rsidRPr="000D19D0" w:rsidRDefault="000D19D0" w:rsidP="000D19D0">
      <w:pPr>
        <w:spacing w:after="0" w:line="240" w:lineRule="auto"/>
        <w:ind w:right="142"/>
        <w:jc w:val="both"/>
        <w:rPr>
          <w:rFonts w:ascii="Verdana" w:hAnsi="Verdana" w:cs="Arial"/>
          <w:color w:val="000000" w:themeColor="text1"/>
          <w:sz w:val="20"/>
          <w:szCs w:val="20"/>
          <w:lang w:val="es-ES"/>
        </w:rPr>
      </w:pPr>
      <w:r w:rsidRPr="000D19D0">
        <w:rPr>
          <w:rFonts w:ascii="Verdana" w:hAnsi="Verdana" w:cs="Arial"/>
          <w:color w:val="000000" w:themeColor="text1"/>
          <w:sz w:val="20"/>
          <w:szCs w:val="20"/>
          <w:lang w:val="es-ES"/>
        </w:rPr>
        <w:t xml:space="preserve">Finalmente, la potestad discrecional comentada aplica en los supuestos en que la entidad, </w:t>
      </w:r>
      <w:r w:rsidRPr="000D19D0">
        <w:rPr>
          <w:rFonts w:ascii="Verdana" w:hAnsi="Verdana" w:cs="Arial"/>
          <w:i/>
          <w:color w:val="000000" w:themeColor="text1"/>
          <w:sz w:val="20"/>
          <w:szCs w:val="20"/>
          <w:lang w:val="es-ES"/>
        </w:rPr>
        <w:t>por cualquier medio</w:t>
      </w:r>
      <w:r w:rsidRPr="000D19D0">
        <w:rPr>
          <w:rFonts w:ascii="Verdana" w:hAnsi="Verdana" w:cs="Arial"/>
          <w:color w:val="000000" w:themeColor="text1"/>
          <w:sz w:val="20"/>
          <w:szCs w:val="20"/>
          <w:lang w:val="es-ES"/>
        </w:rPr>
        <w:t>, tenga conocimiento de la cesación de la situación de incumplimiento; conocimiento al que puede llegar por sus actuaciones oficiosas o por advertencia de cualquier interesado.</w:t>
      </w:r>
    </w:p>
    <w:p w14:paraId="3651321E" w14:textId="77777777" w:rsidR="00065A4E" w:rsidRDefault="00065A4E" w:rsidP="00065A4E">
      <w:pPr>
        <w:spacing w:after="0" w:line="240" w:lineRule="auto"/>
        <w:ind w:right="142"/>
        <w:jc w:val="both"/>
        <w:rPr>
          <w:rFonts w:ascii="Verdana" w:hAnsi="Verdana" w:cs="Arial"/>
          <w:color w:val="000000" w:themeColor="text1"/>
          <w:sz w:val="20"/>
          <w:szCs w:val="20"/>
          <w:lang w:val="es-ES"/>
        </w:rPr>
      </w:pPr>
    </w:p>
    <w:p w14:paraId="63A5BE53" w14:textId="017D1311" w:rsidR="000D19D0" w:rsidRPr="000D19D0" w:rsidRDefault="000D19D0" w:rsidP="00065A4E">
      <w:pPr>
        <w:spacing w:after="0" w:line="240" w:lineRule="auto"/>
        <w:ind w:right="142"/>
        <w:jc w:val="both"/>
        <w:rPr>
          <w:rFonts w:ascii="Verdana" w:hAnsi="Verdana" w:cs="Arial"/>
          <w:color w:val="000000" w:themeColor="text1"/>
          <w:sz w:val="20"/>
          <w:szCs w:val="20"/>
          <w:lang w:val="es-ES"/>
        </w:rPr>
      </w:pPr>
      <w:r w:rsidRPr="000D19D0">
        <w:rPr>
          <w:rFonts w:ascii="Verdana" w:hAnsi="Verdana" w:cs="Arial"/>
          <w:color w:val="000000" w:themeColor="text1"/>
          <w:sz w:val="20"/>
          <w:szCs w:val="20"/>
          <w:lang w:val="es-ES"/>
        </w:rPr>
        <w:t xml:space="preserve">Con fundamento en lo anterior, es importante advertir que, si la entidad estatal contratante y el contratista formalizan un arreglo directo, en ella se definirán las pautas mínimas, cláusulas y determinaciones necesarias con el fin de solucionar de manera directa las controversias. De tal manera que será la entidad contratante, dentro de la potestad reconocida en el literal d) del artículo 86 de la Ley 1474 de 2011 si decide archivar o cerrar el procedimiento administrativo sancionatorio de carácter contractual si por cualquier medio tiene conocimiento de la cesación de incumplimiento, o si considera que, en virtud de los hechos presuntamente incumplidos, se mantenga el proceso sancionatorio de carácter contractual o se inicie un nuevo procedimiento. </w:t>
      </w:r>
    </w:p>
    <w:p w14:paraId="3C21199A" w14:textId="77777777" w:rsidR="00A6187B" w:rsidRDefault="00A6187B" w:rsidP="00300FD9">
      <w:pPr>
        <w:spacing w:after="0" w:line="240" w:lineRule="auto"/>
        <w:jc w:val="both"/>
        <w:rPr>
          <w:rFonts w:ascii="Verdana" w:eastAsia="Calibri" w:hAnsi="Verdana" w:cs="Arial"/>
          <w:lang w:eastAsia="es-ES"/>
        </w:rPr>
      </w:pPr>
    </w:p>
    <w:p w14:paraId="1A0B3CDB" w14:textId="77777777" w:rsidR="00A6187B" w:rsidRDefault="00A6187B" w:rsidP="00300FD9">
      <w:pPr>
        <w:spacing w:after="0" w:line="240" w:lineRule="auto"/>
        <w:jc w:val="both"/>
        <w:rPr>
          <w:rFonts w:ascii="Verdana" w:eastAsia="Calibri" w:hAnsi="Verdana" w:cs="Arial"/>
          <w:lang w:eastAsia="es-ES"/>
        </w:rPr>
      </w:pPr>
    </w:p>
    <w:p w14:paraId="414AD739" w14:textId="77777777" w:rsidR="00A6187B" w:rsidRDefault="00A6187B" w:rsidP="00300FD9">
      <w:pPr>
        <w:spacing w:after="0" w:line="240" w:lineRule="auto"/>
        <w:jc w:val="both"/>
        <w:rPr>
          <w:rFonts w:ascii="Verdana" w:eastAsia="Calibri" w:hAnsi="Verdana" w:cs="Arial"/>
          <w:lang w:eastAsia="es-ES"/>
        </w:rPr>
      </w:pPr>
    </w:p>
    <w:p w14:paraId="0B261C14" w14:textId="77777777" w:rsidR="00A6187B" w:rsidRDefault="00A6187B" w:rsidP="00300FD9">
      <w:pPr>
        <w:spacing w:after="0" w:line="240" w:lineRule="auto"/>
        <w:jc w:val="both"/>
        <w:rPr>
          <w:rFonts w:ascii="Verdana" w:eastAsia="Calibri" w:hAnsi="Verdana" w:cs="Arial"/>
          <w:lang w:eastAsia="es-ES"/>
        </w:rPr>
      </w:pPr>
    </w:p>
    <w:p w14:paraId="0E3C958A" w14:textId="77777777" w:rsidR="00A6187B" w:rsidRDefault="00A6187B" w:rsidP="00300FD9">
      <w:pPr>
        <w:spacing w:after="0" w:line="240" w:lineRule="auto"/>
        <w:jc w:val="both"/>
        <w:rPr>
          <w:rFonts w:ascii="Verdana" w:eastAsia="Calibri" w:hAnsi="Verdana" w:cs="Arial"/>
          <w:lang w:eastAsia="es-ES"/>
        </w:rPr>
      </w:pPr>
    </w:p>
    <w:p w14:paraId="7FB4CFE3" w14:textId="77777777" w:rsidR="00A6187B" w:rsidRDefault="00A6187B" w:rsidP="00300FD9">
      <w:pPr>
        <w:spacing w:after="0" w:line="240" w:lineRule="auto"/>
        <w:jc w:val="both"/>
        <w:rPr>
          <w:rFonts w:ascii="Verdana" w:eastAsia="Calibri" w:hAnsi="Verdana" w:cs="Arial"/>
          <w:lang w:eastAsia="es-ES"/>
        </w:rPr>
      </w:pPr>
    </w:p>
    <w:p w14:paraId="2AA79555" w14:textId="77777777" w:rsidR="00A6187B" w:rsidRDefault="00A6187B" w:rsidP="00300FD9">
      <w:pPr>
        <w:spacing w:after="0" w:line="240" w:lineRule="auto"/>
        <w:jc w:val="both"/>
        <w:rPr>
          <w:rFonts w:ascii="Verdana" w:eastAsia="Calibri" w:hAnsi="Verdana" w:cs="Arial"/>
          <w:lang w:eastAsia="es-ES"/>
        </w:rPr>
      </w:pPr>
    </w:p>
    <w:p w14:paraId="1F1C58BD" w14:textId="77777777" w:rsidR="00A6187B" w:rsidRDefault="00A6187B" w:rsidP="00300FD9">
      <w:pPr>
        <w:spacing w:after="0" w:line="240" w:lineRule="auto"/>
        <w:jc w:val="both"/>
        <w:rPr>
          <w:rFonts w:ascii="Verdana" w:eastAsia="Calibri" w:hAnsi="Verdana" w:cs="Arial"/>
          <w:lang w:eastAsia="es-ES"/>
        </w:rPr>
      </w:pPr>
    </w:p>
    <w:p w14:paraId="11BA5A87" w14:textId="77777777" w:rsidR="00A6187B" w:rsidRDefault="00A6187B" w:rsidP="00300FD9">
      <w:pPr>
        <w:spacing w:after="0" w:line="240" w:lineRule="auto"/>
        <w:jc w:val="both"/>
        <w:rPr>
          <w:rFonts w:ascii="Verdana" w:eastAsia="Calibri" w:hAnsi="Verdana" w:cs="Arial"/>
          <w:lang w:eastAsia="es-ES"/>
        </w:rPr>
      </w:pPr>
    </w:p>
    <w:p w14:paraId="66C385BA" w14:textId="77777777" w:rsidR="00065A4E" w:rsidRDefault="00065A4E" w:rsidP="00300FD9">
      <w:pPr>
        <w:spacing w:after="0" w:line="240" w:lineRule="auto"/>
        <w:jc w:val="both"/>
        <w:rPr>
          <w:rFonts w:ascii="Verdana" w:eastAsia="Calibri" w:hAnsi="Verdana" w:cs="Arial"/>
          <w:lang w:eastAsia="es-ES"/>
        </w:rPr>
      </w:pPr>
    </w:p>
    <w:p w14:paraId="4DB80EC4" w14:textId="77777777" w:rsidR="00065A4E" w:rsidRDefault="00065A4E" w:rsidP="00300FD9">
      <w:pPr>
        <w:spacing w:after="0" w:line="240" w:lineRule="auto"/>
        <w:jc w:val="both"/>
        <w:rPr>
          <w:rFonts w:ascii="Verdana" w:eastAsia="Calibri" w:hAnsi="Verdana" w:cs="Arial"/>
          <w:lang w:eastAsia="es-ES"/>
        </w:rPr>
      </w:pPr>
    </w:p>
    <w:p w14:paraId="1774ED84" w14:textId="77777777" w:rsidR="00065A4E" w:rsidRDefault="00065A4E" w:rsidP="00300FD9">
      <w:pPr>
        <w:spacing w:after="0" w:line="240" w:lineRule="auto"/>
        <w:jc w:val="both"/>
        <w:rPr>
          <w:rFonts w:ascii="Verdana" w:eastAsia="Calibri" w:hAnsi="Verdana" w:cs="Arial"/>
          <w:lang w:eastAsia="es-ES"/>
        </w:rPr>
      </w:pPr>
    </w:p>
    <w:p w14:paraId="5AF87A5A" w14:textId="77777777" w:rsidR="00065A4E" w:rsidRDefault="00065A4E" w:rsidP="00300FD9">
      <w:pPr>
        <w:spacing w:after="0" w:line="240" w:lineRule="auto"/>
        <w:jc w:val="both"/>
        <w:rPr>
          <w:rFonts w:ascii="Verdana" w:eastAsia="Calibri" w:hAnsi="Verdana" w:cs="Arial"/>
          <w:lang w:eastAsia="es-ES"/>
        </w:rPr>
      </w:pPr>
    </w:p>
    <w:p w14:paraId="456635FD" w14:textId="77777777" w:rsidR="00065A4E" w:rsidRDefault="00065A4E" w:rsidP="00300FD9">
      <w:pPr>
        <w:spacing w:after="0" w:line="240" w:lineRule="auto"/>
        <w:jc w:val="both"/>
        <w:rPr>
          <w:rFonts w:ascii="Verdana" w:eastAsia="Calibri" w:hAnsi="Verdana" w:cs="Arial"/>
          <w:lang w:eastAsia="es-ES"/>
        </w:rPr>
      </w:pPr>
    </w:p>
    <w:p w14:paraId="0251D269" w14:textId="77777777" w:rsidR="00065A4E" w:rsidRDefault="00065A4E" w:rsidP="00300FD9">
      <w:pPr>
        <w:spacing w:after="0" w:line="240" w:lineRule="auto"/>
        <w:jc w:val="both"/>
        <w:rPr>
          <w:rFonts w:ascii="Verdana" w:eastAsia="Calibri" w:hAnsi="Verdana" w:cs="Arial"/>
          <w:lang w:eastAsia="es-ES"/>
        </w:rPr>
      </w:pPr>
    </w:p>
    <w:p w14:paraId="14046868" w14:textId="77777777" w:rsidR="00065A4E" w:rsidRDefault="00065A4E" w:rsidP="00300FD9">
      <w:pPr>
        <w:spacing w:after="0" w:line="240" w:lineRule="auto"/>
        <w:jc w:val="both"/>
        <w:rPr>
          <w:rFonts w:ascii="Verdana" w:eastAsia="Calibri" w:hAnsi="Verdana" w:cs="Arial"/>
          <w:lang w:eastAsia="es-ES"/>
        </w:rPr>
      </w:pPr>
    </w:p>
    <w:p w14:paraId="3887B61B" w14:textId="77777777" w:rsidR="00065A4E" w:rsidRDefault="00065A4E" w:rsidP="00300FD9">
      <w:pPr>
        <w:spacing w:after="0" w:line="240" w:lineRule="auto"/>
        <w:jc w:val="both"/>
        <w:rPr>
          <w:rFonts w:ascii="Verdana" w:eastAsia="Calibri" w:hAnsi="Verdana" w:cs="Arial"/>
          <w:lang w:eastAsia="es-ES"/>
        </w:rPr>
      </w:pPr>
    </w:p>
    <w:p w14:paraId="4DB7858F" w14:textId="77777777" w:rsidR="00065A4E" w:rsidRDefault="00065A4E" w:rsidP="00300FD9">
      <w:pPr>
        <w:spacing w:after="0" w:line="240" w:lineRule="auto"/>
        <w:jc w:val="both"/>
        <w:rPr>
          <w:rFonts w:ascii="Verdana" w:eastAsia="Calibri" w:hAnsi="Verdana" w:cs="Arial"/>
          <w:lang w:eastAsia="es-ES"/>
        </w:rPr>
      </w:pPr>
    </w:p>
    <w:p w14:paraId="48E1C108" w14:textId="77777777" w:rsidR="00065A4E" w:rsidRDefault="00065A4E" w:rsidP="00300FD9">
      <w:pPr>
        <w:spacing w:after="0" w:line="240" w:lineRule="auto"/>
        <w:jc w:val="both"/>
        <w:rPr>
          <w:rFonts w:ascii="Verdana" w:eastAsia="Calibri" w:hAnsi="Verdana" w:cs="Arial"/>
          <w:lang w:eastAsia="es-ES"/>
        </w:rPr>
      </w:pPr>
    </w:p>
    <w:p w14:paraId="68537B5C" w14:textId="77777777" w:rsidR="00065A4E" w:rsidRDefault="00065A4E" w:rsidP="00300FD9">
      <w:pPr>
        <w:spacing w:after="0" w:line="240" w:lineRule="auto"/>
        <w:jc w:val="both"/>
        <w:rPr>
          <w:rFonts w:ascii="Verdana" w:eastAsia="Calibri" w:hAnsi="Verdana" w:cs="Arial"/>
          <w:lang w:eastAsia="es-ES"/>
        </w:rPr>
      </w:pPr>
    </w:p>
    <w:p w14:paraId="1B0727AB" w14:textId="77777777" w:rsidR="00065A4E" w:rsidRDefault="00065A4E" w:rsidP="00300FD9">
      <w:pPr>
        <w:spacing w:after="0" w:line="240" w:lineRule="auto"/>
        <w:jc w:val="both"/>
        <w:rPr>
          <w:rFonts w:ascii="Verdana" w:eastAsia="Calibri" w:hAnsi="Verdana" w:cs="Arial"/>
          <w:lang w:eastAsia="es-ES"/>
        </w:rPr>
      </w:pPr>
    </w:p>
    <w:p w14:paraId="01A083CD" w14:textId="77777777" w:rsidR="00A6187B" w:rsidRDefault="00A6187B" w:rsidP="00300FD9">
      <w:pPr>
        <w:spacing w:after="0" w:line="240" w:lineRule="auto"/>
        <w:jc w:val="both"/>
        <w:rPr>
          <w:rFonts w:ascii="Verdana" w:eastAsia="Calibri" w:hAnsi="Verdana" w:cs="Arial"/>
          <w:lang w:eastAsia="es-ES"/>
        </w:rPr>
      </w:pPr>
    </w:p>
    <w:p w14:paraId="6E1E9266" w14:textId="77777777" w:rsidR="00A6187B" w:rsidRDefault="00A6187B" w:rsidP="00300FD9">
      <w:pPr>
        <w:spacing w:after="0" w:line="240" w:lineRule="auto"/>
        <w:jc w:val="both"/>
        <w:rPr>
          <w:rFonts w:ascii="Verdana" w:eastAsia="Calibri" w:hAnsi="Verdana" w:cs="Arial"/>
          <w:lang w:eastAsia="es-ES"/>
        </w:rPr>
      </w:pPr>
    </w:p>
    <w:p w14:paraId="57FA56C5" w14:textId="05ECF278" w:rsidR="00300FD9" w:rsidRDefault="00300FD9" w:rsidP="00300FD9">
      <w:pPr>
        <w:spacing w:after="0" w:line="240" w:lineRule="auto"/>
        <w:jc w:val="both"/>
        <w:rPr>
          <w:rFonts w:ascii="Verdana" w:eastAsia="Calibri" w:hAnsi="Verdana" w:cs="Arial"/>
          <w:lang w:eastAsia="es-ES"/>
        </w:rPr>
      </w:pPr>
      <w:r w:rsidRPr="007E27D9">
        <w:rPr>
          <w:rFonts w:ascii="Verdana" w:eastAsia="Calibri" w:hAnsi="Verdana" w:cs="Arial"/>
          <w:lang w:eastAsia="es-ES"/>
        </w:rPr>
        <w:t xml:space="preserve">Bogotá D.C., </w:t>
      </w:r>
      <w:r w:rsidR="00A6187B">
        <w:rPr>
          <w:rFonts w:ascii="Verdana" w:eastAsia="Calibri" w:hAnsi="Verdana" w:cs="Arial"/>
          <w:lang w:eastAsia="es-ES"/>
        </w:rPr>
        <w:t xml:space="preserve">9 de abril de 2026 </w:t>
      </w:r>
    </w:p>
    <w:p w14:paraId="5A13F2CA" w14:textId="77777777" w:rsidR="00A6187B" w:rsidRDefault="00A6187B" w:rsidP="00A6187B">
      <w:pPr>
        <w:spacing w:after="0" w:line="240" w:lineRule="auto"/>
        <w:jc w:val="right"/>
        <w:rPr>
          <w:rFonts w:ascii="Verdana" w:eastAsia="Calibri" w:hAnsi="Verdana" w:cs="Arial"/>
          <w:lang w:eastAsia="es-ES"/>
        </w:rPr>
      </w:pPr>
      <w:r w:rsidRPr="00A6187B">
        <w:rPr>
          <w:rFonts w:ascii="Verdana" w:eastAsia="Calibri" w:hAnsi="Verdana" w:cs="Arial"/>
          <w:lang w:eastAsia="es-ES"/>
        </w:rPr>
        <w:drawing>
          <wp:inline distT="0" distB="0" distL="0" distR="0" wp14:anchorId="3B8EB653" wp14:editId="0C080595">
            <wp:extent cx="1921510" cy="492981"/>
            <wp:effectExtent l="0" t="0" r="2540" b="2540"/>
            <wp:docPr id="7369220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922020" name=""/>
                    <pic:cNvPicPr/>
                  </pic:nvPicPr>
                  <pic:blipFill>
                    <a:blip r:embed="rId10"/>
                    <a:stretch>
                      <a:fillRect/>
                    </a:stretch>
                  </pic:blipFill>
                  <pic:spPr>
                    <a:xfrm>
                      <a:off x="0" y="0"/>
                      <a:ext cx="1946720" cy="499449"/>
                    </a:xfrm>
                    <a:prstGeom prst="rect">
                      <a:avLst/>
                    </a:prstGeom>
                  </pic:spPr>
                </pic:pic>
              </a:graphicData>
            </a:graphic>
          </wp:inline>
        </w:drawing>
      </w:r>
    </w:p>
    <w:p w14:paraId="521C76A9" w14:textId="44ED2E3F" w:rsidR="00300FD9" w:rsidRPr="00A6187B" w:rsidRDefault="00300FD9" w:rsidP="00A6187B">
      <w:pPr>
        <w:spacing w:after="0" w:line="240" w:lineRule="auto"/>
        <w:rPr>
          <w:rFonts w:ascii="Verdana" w:eastAsia="Calibri" w:hAnsi="Verdana" w:cs="Arial"/>
          <w:lang w:eastAsia="es-ES"/>
        </w:rPr>
      </w:pPr>
      <w:r>
        <w:rPr>
          <w:rFonts w:ascii="Verdana" w:eastAsia="Calibri" w:hAnsi="Verdana" w:cs="Arial"/>
          <w:b/>
          <w:bCs/>
          <w:lang w:eastAsia="es-ES"/>
        </w:rPr>
        <w:t xml:space="preserve">Señor </w:t>
      </w:r>
    </w:p>
    <w:p w14:paraId="290110C8" w14:textId="77777777" w:rsidR="00300FD9" w:rsidRDefault="00300FD9" w:rsidP="00300FD9">
      <w:pPr>
        <w:spacing w:after="0" w:line="240" w:lineRule="auto"/>
        <w:jc w:val="both"/>
        <w:rPr>
          <w:rFonts w:ascii="Verdana" w:eastAsia="Calibri" w:hAnsi="Verdana" w:cs="Arial"/>
          <w:b/>
          <w:bCs/>
          <w:lang w:eastAsia="es-ES"/>
        </w:rPr>
      </w:pPr>
      <w:r w:rsidRPr="00D92209">
        <w:rPr>
          <w:rFonts w:ascii="Verdana" w:eastAsia="Calibri" w:hAnsi="Verdana" w:cs="Arial"/>
          <w:b/>
          <w:bCs/>
          <w:lang w:eastAsia="es-ES"/>
        </w:rPr>
        <w:t>Ludwig Fabián</w:t>
      </w:r>
      <w:r>
        <w:rPr>
          <w:rFonts w:ascii="Verdana" w:eastAsia="Calibri" w:hAnsi="Verdana" w:cs="Arial"/>
          <w:b/>
          <w:bCs/>
          <w:lang w:eastAsia="es-ES"/>
        </w:rPr>
        <w:t xml:space="preserve"> </w:t>
      </w:r>
      <w:r w:rsidRPr="00D92209">
        <w:rPr>
          <w:rFonts w:ascii="Verdana" w:eastAsia="Calibri" w:hAnsi="Verdana" w:cs="Arial"/>
          <w:b/>
          <w:bCs/>
          <w:lang w:eastAsia="es-ES"/>
        </w:rPr>
        <w:t>Abril Granados</w:t>
      </w:r>
    </w:p>
    <w:p w14:paraId="28ED84E6" w14:textId="77777777" w:rsidR="00300FD9" w:rsidRPr="00D92209" w:rsidRDefault="00300FD9" w:rsidP="00300FD9">
      <w:pPr>
        <w:spacing w:after="0" w:line="240" w:lineRule="auto"/>
        <w:jc w:val="both"/>
        <w:rPr>
          <w:rFonts w:ascii="Verdana" w:hAnsi="Verdana"/>
          <w:b/>
          <w:bCs/>
        </w:rPr>
      </w:pPr>
      <w:hyperlink r:id="rId11" w:history="1">
        <w:r w:rsidRPr="00D92209">
          <w:rPr>
            <w:rStyle w:val="Hipervnculo"/>
            <w:rFonts w:ascii="Verdana" w:hAnsi="Verdana"/>
            <w:b/>
            <w:bCs/>
          </w:rPr>
          <w:t>lfagabogado@gmail.com</w:t>
        </w:r>
      </w:hyperlink>
    </w:p>
    <w:p w14:paraId="3B1046E5" w14:textId="77777777" w:rsidR="00300FD9" w:rsidRPr="00D92209" w:rsidRDefault="00300FD9" w:rsidP="00300FD9">
      <w:pPr>
        <w:spacing w:after="0" w:line="240" w:lineRule="auto"/>
        <w:jc w:val="both"/>
        <w:rPr>
          <w:rFonts w:ascii="Verdana" w:hAnsi="Verdana"/>
        </w:rPr>
      </w:pPr>
      <w:r w:rsidRPr="00D92209">
        <w:rPr>
          <w:rFonts w:ascii="Verdana" w:hAnsi="Verdana"/>
        </w:rPr>
        <w:t xml:space="preserve">Ciudad  </w:t>
      </w:r>
    </w:p>
    <w:p w14:paraId="7A7C82C6" w14:textId="77777777" w:rsidR="00300FD9" w:rsidRPr="00D062B3" w:rsidRDefault="00300FD9" w:rsidP="00300FD9">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300FD9" w:rsidRPr="005644FE" w14:paraId="644C0387" w14:textId="77777777" w:rsidTr="00E13F20">
        <w:trPr>
          <w:trHeight w:val="162"/>
        </w:trPr>
        <w:tc>
          <w:tcPr>
            <w:tcW w:w="3119" w:type="dxa"/>
          </w:tcPr>
          <w:p w14:paraId="15B1DFFE" w14:textId="77777777" w:rsidR="00300FD9" w:rsidRPr="00D062B3" w:rsidRDefault="00300FD9" w:rsidP="00E13F20">
            <w:pPr>
              <w:jc w:val="both"/>
              <w:rPr>
                <w:rFonts w:ascii="Verdana" w:eastAsia="Calibri" w:hAnsi="Verdana" w:cs="Arial"/>
                <w:b/>
                <w:bCs/>
                <w:color w:val="7030A0"/>
                <w:lang w:eastAsia="es-ES_tradnl"/>
              </w:rPr>
            </w:pPr>
          </w:p>
        </w:tc>
        <w:tc>
          <w:tcPr>
            <w:tcW w:w="5670" w:type="dxa"/>
          </w:tcPr>
          <w:p w14:paraId="63EAC2B4" w14:textId="77777777" w:rsidR="00300FD9" w:rsidRPr="005644FE" w:rsidRDefault="00300FD9" w:rsidP="00E13F20">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313 de 2026</w:t>
            </w:r>
          </w:p>
          <w:p w14:paraId="403C4C68" w14:textId="77777777" w:rsidR="00300FD9" w:rsidRPr="005644FE" w:rsidRDefault="00300FD9" w:rsidP="00E13F20">
            <w:pPr>
              <w:jc w:val="both"/>
              <w:rPr>
                <w:rFonts w:ascii="Verdana" w:eastAsia="Calibri" w:hAnsi="Verdana" w:cs="Arial"/>
                <w:b/>
                <w:bCs/>
                <w:color w:val="7030A0"/>
                <w:lang w:eastAsia="es-ES"/>
              </w:rPr>
            </w:pPr>
          </w:p>
        </w:tc>
      </w:tr>
      <w:tr w:rsidR="00300FD9" w:rsidRPr="005644FE" w14:paraId="5898D7CE" w14:textId="77777777" w:rsidTr="00E13F20">
        <w:trPr>
          <w:trHeight w:val="884"/>
        </w:trPr>
        <w:tc>
          <w:tcPr>
            <w:tcW w:w="3119" w:type="dxa"/>
          </w:tcPr>
          <w:p w14:paraId="53303266" w14:textId="77777777" w:rsidR="00300FD9" w:rsidRPr="005644FE" w:rsidRDefault="00300FD9" w:rsidP="00E13F20">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7B0A6385" w14:textId="77777777" w:rsidR="00300FD9" w:rsidRPr="00E65C5F" w:rsidRDefault="00300FD9" w:rsidP="00E13F20">
            <w:pPr>
              <w:tabs>
                <w:tab w:val="left" w:pos="980"/>
              </w:tabs>
              <w:spacing w:line="276" w:lineRule="auto"/>
              <w:jc w:val="both"/>
              <w:rPr>
                <w:rFonts w:ascii="Verdana" w:hAnsi="Verdana" w:cs="Arial"/>
                <w:color w:val="000000" w:themeColor="text1"/>
              </w:rPr>
            </w:pPr>
            <w:r w:rsidRPr="00EF4469">
              <w:rPr>
                <w:rFonts w:ascii="Verdana" w:hAnsi="Verdana" w:cs="Arial"/>
                <w:bCs/>
                <w:lang w:val="es-MX" w:eastAsia="es-ES"/>
              </w:rPr>
              <w:t>ARREGLO DIRECTO EN LA CONTRATACIÓN ESTATAL – Principio - Concepto – Alcances – Manifestaciones</w:t>
            </w:r>
            <w:r>
              <w:rPr>
                <w:rFonts w:ascii="Verdana" w:hAnsi="Verdana" w:cs="Arial"/>
                <w:bCs/>
                <w:lang w:val="es-MX" w:eastAsia="es-ES"/>
              </w:rPr>
              <w:t xml:space="preserve"> /</w:t>
            </w:r>
            <w:r w:rsidRPr="00334B90">
              <w:rPr>
                <w:rFonts w:ascii="Verdana" w:eastAsia="Calibri" w:hAnsi="Verdana" w:cs="Arial"/>
                <w:lang w:val="es-ES" w:eastAsia="es-ES"/>
              </w:rPr>
              <w:t xml:space="preserve"> CLÁUSULAS EXCEPCIONALES – Multas – Cláusula penal – Imposición unilateral </w:t>
            </w:r>
            <w:r>
              <w:rPr>
                <w:rFonts w:ascii="Verdana" w:eastAsia="Calibri" w:hAnsi="Verdana" w:cs="Arial"/>
                <w:lang w:val="es-ES" w:eastAsia="es-ES"/>
              </w:rPr>
              <w:t xml:space="preserve">– Diferencias – Límite temporal </w:t>
            </w:r>
            <w:r w:rsidRPr="00334B90">
              <w:rPr>
                <w:rFonts w:ascii="Verdana" w:eastAsia="Calibri" w:hAnsi="Verdana" w:cs="Arial"/>
                <w:lang w:val="es-ES" w:eastAsia="es-ES"/>
              </w:rPr>
              <w:t xml:space="preserve">/ PROCEDIMIENTO SANCIONATORIO CONTRACTUAL – Etapas – trámite / PROCEDIMIENTO SANCIONATORIO CONTRACTUAL </w:t>
            </w:r>
            <w:r>
              <w:rPr>
                <w:rFonts w:ascii="Verdana" w:eastAsia="Calibri" w:hAnsi="Verdana" w:cs="Arial"/>
                <w:lang w:val="es-ES" w:eastAsia="es-ES"/>
              </w:rPr>
              <w:t xml:space="preserve">– Literal d artículo 86 Ley 1474 de 2011 – Terminación del proceso administrativo sancionatorio de carácter contractual – Decisión discrecional </w:t>
            </w:r>
          </w:p>
        </w:tc>
      </w:tr>
      <w:tr w:rsidR="00300FD9" w:rsidRPr="005644FE" w14:paraId="118B4A3F" w14:textId="77777777" w:rsidTr="00E13F20">
        <w:tc>
          <w:tcPr>
            <w:tcW w:w="3119" w:type="dxa"/>
          </w:tcPr>
          <w:p w14:paraId="7A9BE8A7" w14:textId="77777777" w:rsidR="00300FD9" w:rsidRPr="005644FE" w:rsidRDefault="00300FD9" w:rsidP="00E13F20">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4A39414F" w14:textId="77777777" w:rsidR="00300FD9" w:rsidRPr="00F04657" w:rsidRDefault="00300FD9" w:rsidP="00E13F20">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D92209">
              <w:rPr>
                <w:rFonts w:ascii="Verdana" w:eastAsia="Calibri" w:hAnsi="Verdana" w:cs="Arial"/>
                <w:lang w:eastAsia="es-ES_tradnl"/>
              </w:rPr>
              <w:t>1_2026_02_26_002711</w:t>
            </w:r>
          </w:p>
        </w:tc>
      </w:tr>
    </w:tbl>
    <w:p w14:paraId="27ABFE7F" w14:textId="77777777" w:rsidR="00300FD9" w:rsidRPr="005644FE" w:rsidRDefault="00300FD9" w:rsidP="00300FD9">
      <w:pPr>
        <w:spacing w:after="0" w:line="276" w:lineRule="auto"/>
        <w:jc w:val="both"/>
        <w:rPr>
          <w:rFonts w:ascii="Verdana" w:eastAsia="Calibri" w:hAnsi="Verdana" w:cs="Arial"/>
          <w:lang w:eastAsia="es-ES_tradnl"/>
        </w:rPr>
      </w:pPr>
    </w:p>
    <w:p w14:paraId="0C4F1D0A" w14:textId="77777777" w:rsidR="00300FD9" w:rsidRPr="005644FE" w:rsidRDefault="00300FD9" w:rsidP="00300FD9">
      <w:pPr>
        <w:spacing w:after="0" w:line="276" w:lineRule="auto"/>
        <w:jc w:val="both"/>
        <w:rPr>
          <w:rFonts w:ascii="Verdana" w:eastAsia="Calibri" w:hAnsi="Verdana" w:cs="Arial"/>
          <w:lang w:eastAsia="es-ES"/>
        </w:rPr>
      </w:pPr>
      <w:r>
        <w:rPr>
          <w:rFonts w:ascii="Verdana" w:eastAsia="Calibri" w:hAnsi="Verdana" w:cs="Arial"/>
          <w:lang w:eastAsia="es-ES"/>
        </w:rPr>
        <w:t>Estimado señor Abril:</w:t>
      </w:r>
    </w:p>
    <w:p w14:paraId="5219C65F" w14:textId="77777777" w:rsidR="00300FD9" w:rsidRPr="00E02524" w:rsidRDefault="00300FD9" w:rsidP="00300FD9">
      <w:pPr>
        <w:spacing w:after="0"/>
        <w:jc w:val="both"/>
        <w:rPr>
          <w:rFonts w:ascii="Verdana" w:hAnsi="Verdana"/>
          <w:lang w:val="es-MX"/>
        </w:rPr>
      </w:pPr>
    </w:p>
    <w:p w14:paraId="41DC1E20" w14:textId="77777777" w:rsidR="00300FD9" w:rsidRDefault="00300FD9" w:rsidP="00300FD9">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 xml:space="preserve">26 de febrero de 2026, </w:t>
      </w:r>
      <w:r w:rsidRPr="005644FE">
        <w:rPr>
          <w:rFonts w:ascii="Verdana" w:eastAsia="Calibri" w:hAnsi="Verdana" w:cs="Arial"/>
          <w:lang w:eastAsia="es-ES"/>
        </w:rPr>
        <w:t>en la cual manifiesta lo siguiente:</w:t>
      </w:r>
    </w:p>
    <w:p w14:paraId="347C95E1" w14:textId="77777777" w:rsidR="00300FD9" w:rsidRDefault="00300FD9" w:rsidP="00300FD9">
      <w:pPr>
        <w:spacing w:after="0"/>
        <w:jc w:val="both"/>
        <w:rPr>
          <w:rFonts w:ascii="Verdana" w:hAnsi="Verdana"/>
        </w:rPr>
      </w:pPr>
      <w:r w:rsidRPr="00E02524">
        <w:rPr>
          <w:rFonts w:ascii="Verdana" w:hAnsi="Verdana"/>
        </w:rPr>
        <w:t xml:space="preserve">PETICIÓN REALIZADA </w:t>
      </w:r>
    </w:p>
    <w:p w14:paraId="2A8EB3ED" w14:textId="77777777" w:rsidR="00300FD9" w:rsidRPr="008E5B36" w:rsidRDefault="00300FD9" w:rsidP="00300FD9">
      <w:pPr>
        <w:spacing w:after="0" w:line="240" w:lineRule="auto"/>
        <w:jc w:val="both"/>
        <w:rPr>
          <w:rFonts w:ascii="Verdana" w:hAnsi="Verdana"/>
        </w:rPr>
      </w:pPr>
    </w:p>
    <w:p w14:paraId="3F99671C" w14:textId="77777777" w:rsidR="00300FD9" w:rsidRPr="00D062B3" w:rsidRDefault="00300FD9" w:rsidP="00300FD9">
      <w:pPr>
        <w:spacing w:after="0" w:line="240" w:lineRule="auto"/>
        <w:ind w:left="567" w:right="616"/>
        <w:jc w:val="both"/>
        <w:rPr>
          <w:rFonts w:ascii="Verdana" w:hAnsi="Verdana"/>
          <w:sz w:val="20"/>
          <w:szCs w:val="20"/>
        </w:rPr>
      </w:pPr>
      <w:r>
        <w:rPr>
          <w:rFonts w:ascii="Verdana" w:hAnsi="Verdana"/>
          <w:sz w:val="20"/>
          <w:szCs w:val="20"/>
        </w:rPr>
        <w:t xml:space="preserve">“(…) </w:t>
      </w:r>
      <w:r w:rsidRPr="00D92209">
        <w:rPr>
          <w:rFonts w:ascii="Verdana" w:hAnsi="Verdana"/>
          <w:sz w:val="20"/>
          <w:szCs w:val="20"/>
        </w:rPr>
        <w:t xml:space="preserve">El plazo de ejecución de un contrato de obra culminó, se inició el proceso administrativo sancionatorio del artículo 86 en aplicación de la </w:t>
      </w:r>
      <w:proofErr w:type="spellStart"/>
      <w:r w:rsidRPr="00D92209">
        <w:rPr>
          <w:rFonts w:ascii="Verdana" w:hAnsi="Verdana"/>
          <w:sz w:val="20"/>
          <w:szCs w:val="20"/>
        </w:rPr>
        <w:t>clausula</w:t>
      </w:r>
      <w:proofErr w:type="spellEnd"/>
      <w:r w:rsidRPr="00D92209">
        <w:rPr>
          <w:rFonts w:ascii="Verdana" w:hAnsi="Verdana"/>
          <w:sz w:val="20"/>
          <w:szCs w:val="20"/>
        </w:rPr>
        <w:t xml:space="preserve"> </w:t>
      </w:r>
      <w:r>
        <w:rPr>
          <w:rFonts w:ascii="Verdana" w:hAnsi="Verdana"/>
          <w:sz w:val="20"/>
          <w:szCs w:val="20"/>
        </w:rPr>
        <w:t xml:space="preserve">(sic) </w:t>
      </w:r>
      <w:r w:rsidRPr="00D92209">
        <w:rPr>
          <w:rFonts w:ascii="Verdana" w:hAnsi="Verdana"/>
          <w:sz w:val="20"/>
          <w:szCs w:val="20"/>
        </w:rPr>
        <w:t xml:space="preserve">penal, sin embargo, el contratista solicita hacer la entrega en vigencia del contrato, en atención a un arreglo directo propuesto. En caso de que se conceda recibir actividades en vigencia del contrato y fuera del plazo de ejecución, si cumplen 1. se debe archivar y cesar el procedimiento, hasta que se verifique el cumplimiento, o se impone la multa a pesar de que cumpla? 2. en caso de que incumpla, en la vigencia del contrato, se debe multar por la no ejecución de actividades totales o lo que no se </w:t>
      </w:r>
      <w:proofErr w:type="spellStart"/>
      <w:r w:rsidRPr="00D92209">
        <w:rPr>
          <w:rFonts w:ascii="Verdana" w:hAnsi="Verdana"/>
          <w:sz w:val="20"/>
          <w:szCs w:val="20"/>
        </w:rPr>
        <w:t>ejecuto</w:t>
      </w:r>
      <w:proofErr w:type="spellEnd"/>
      <w:r w:rsidRPr="00D92209">
        <w:rPr>
          <w:rFonts w:ascii="Verdana" w:hAnsi="Verdana"/>
          <w:sz w:val="20"/>
          <w:szCs w:val="20"/>
        </w:rPr>
        <w:t xml:space="preserve"> </w:t>
      </w:r>
      <w:r>
        <w:rPr>
          <w:rFonts w:ascii="Verdana" w:hAnsi="Verdana"/>
          <w:sz w:val="20"/>
          <w:szCs w:val="20"/>
        </w:rPr>
        <w:t xml:space="preserve">(sic) </w:t>
      </w:r>
      <w:r w:rsidRPr="00D92209">
        <w:rPr>
          <w:rFonts w:ascii="Verdana" w:hAnsi="Verdana"/>
          <w:sz w:val="20"/>
          <w:szCs w:val="20"/>
        </w:rPr>
        <w:t xml:space="preserve">en el plazo del contrato o en la vigencia del contrato? quedo atento a la respuesta. Gracias. </w:t>
      </w:r>
      <w:r w:rsidRPr="00D062B3">
        <w:rPr>
          <w:rFonts w:ascii="Verdana" w:hAnsi="Verdana"/>
          <w:sz w:val="20"/>
          <w:szCs w:val="20"/>
        </w:rPr>
        <w:t>(…)”.</w:t>
      </w:r>
    </w:p>
    <w:p w14:paraId="7B15791B" w14:textId="77777777" w:rsidR="00300FD9" w:rsidRPr="00763B14" w:rsidRDefault="00300FD9" w:rsidP="00300FD9">
      <w:pPr>
        <w:spacing w:after="0" w:line="240" w:lineRule="auto"/>
        <w:ind w:left="567" w:right="758"/>
        <w:jc w:val="both"/>
        <w:rPr>
          <w:rFonts w:ascii="Verdana" w:hAnsi="Verdana"/>
          <w:sz w:val="20"/>
          <w:szCs w:val="20"/>
        </w:rPr>
      </w:pPr>
    </w:p>
    <w:p w14:paraId="01D3FC25" w14:textId="77777777" w:rsidR="00300FD9" w:rsidRPr="00F64722" w:rsidRDefault="00300FD9" w:rsidP="00300FD9">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C7CCA51" w14:textId="77777777" w:rsidR="00300FD9" w:rsidRPr="003A2EF9" w:rsidRDefault="00300FD9" w:rsidP="00300FD9">
      <w:pPr>
        <w:spacing w:after="0" w:line="276" w:lineRule="auto"/>
        <w:ind w:firstLine="709"/>
        <w:jc w:val="both"/>
        <w:rPr>
          <w:rFonts w:ascii="Verdana" w:eastAsia="Calibri" w:hAnsi="Verdana" w:cs="Arial"/>
          <w:lang w:eastAsia="es-ES"/>
        </w:rPr>
      </w:pPr>
      <w:r w:rsidRPr="003A2EF9">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 los problemas jurídicos de su consulta.</w:t>
      </w:r>
      <w:r w:rsidRPr="003A2EF9">
        <w:rPr>
          <w:rFonts w:ascii="Verdana" w:eastAsia="Calibri" w:hAnsi="Verdana" w:cs="Arial"/>
          <w:lang w:eastAsia="es-ES"/>
        </w:rPr>
        <w:t xml:space="preserve">  </w:t>
      </w:r>
    </w:p>
    <w:p w14:paraId="1A6A6C15" w14:textId="77777777" w:rsidR="00300FD9" w:rsidRPr="003A2EF9" w:rsidRDefault="00300FD9" w:rsidP="00A6187B">
      <w:pPr>
        <w:spacing w:after="0" w:line="240" w:lineRule="auto"/>
        <w:ind w:firstLine="709"/>
        <w:jc w:val="both"/>
        <w:rPr>
          <w:rFonts w:ascii="Verdana" w:eastAsia="Calibri" w:hAnsi="Verdana" w:cs="Arial"/>
          <w:lang w:eastAsia="es-ES"/>
        </w:rPr>
      </w:pPr>
    </w:p>
    <w:p w14:paraId="7FC12642" w14:textId="77777777" w:rsidR="00300FD9" w:rsidRPr="003A2EF9" w:rsidRDefault="00300FD9" w:rsidP="00300FD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3A2EF9">
        <w:rPr>
          <w:rFonts w:ascii="Verdana" w:eastAsia="Century Gothic" w:hAnsi="Verdana" w:cs="Century Gothic"/>
          <w:b/>
          <w:bCs/>
        </w:rPr>
        <w:t>Problema planteado:</w:t>
      </w:r>
    </w:p>
    <w:p w14:paraId="2FE5C0DE" w14:textId="77777777" w:rsidR="00300FD9" w:rsidRPr="003A2EF9" w:rsidRDefault="00300FD9" w:rsidP="00300FD9">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1C24C71D" w14:textId="77777777" w:rsidR="00300FD9" w:rsidRPr="00763B14" w:rsidRDefault="00300FD9" w:rsidP="00300FD9">
      <w:pPr>
        <w:spacing w:after="0" w:line="276" w:lineRule="auto"/>
        <w:jc w:val="both"/>
        <w:rPr>
          <w:rFonts w:ascii="Verdana" w:hAnsi="Verdana"/>
          <w:sz w:val="20"/>
          <w:szCs w:val="20"/>
        </w:rPr>
      </w:pPr>
      <w:r w:rsidRPr="003A2EF9">
        <w:rPr>
          <w:rFonts w:ascii="Verdana" w:eastAsia="Calibri" w:hAnsi="Verdana" w:cs="Arial"/>
          <w:color w:val="000000"/>
          <w:lang w:eastAsia="es-ES"/>
        </w:rPr>
        <w:t xml:space="preserve">De acuerdo con el contenido de su solicitud, esta Agencia resolverá el siguiente problema jurídico: i) ¿Si las partes dentro de un contrato estatal celebran un arreglo directo para el cumplimiento de las obligaciones por parte del contratista, y estando en curso un proceso administrativo sancionatorio de carácter contractual, éste debe ser archivado? ¿Si el contratista no cumple con sus obligaciones a pesar del arreglo directo, la entidad contratante puede iniciar un nuevo proceso administrativo para multar? </w:t>
      </w:r>
    </w:p>
    <w:p w14:paraId="49F75B6E" w14:textId="77777777" w:rsidR="00300FD9" w:rsidRDefault="00300FD9" w:rsidP="00300FD9">
      <w:pPr>
        <w:spacing w:after="0" w:line="240" w:lineRule="auto"/>
        <w:jc w:val="both"/>
        <w:rPr>
          <w:rFonts w:ascii="Verdana" w:eastAsia="Century Gothic" w:hAnsi="Verdana" w:cs="Century Gothic"/>
          <w:b/>
          <w:bCs/>
        </w:rPr>
      </w:pPr>
    </w:p>
    <w:p w14:paraId="317B7822" w14:textId="77777777" w:rsidR="00300FD9" w:rsidRPr="005644FE" w:rsidRDefault="00300FD9" w:rsidP="00300FD9">
      <w:pPr>
        <w:spacing w:after="120" w:line="276" w:lineRule="auto"/>
        <w:jc w:val="both"/>
        <w:rPr>
          <w:rFonts w:ascii="Verdana" w:eastAsia="Century Gothic" w:hAnsi="Verdana" w:cs="Century Gothic"/>
          <w:b/>
          <w:bCs/>
        </w:rPr>
      </w:pPr>
      <w:r w:rsidRPr="00B33011">
        <w:rPr>
          <w:rFonts w:ascii="Verdana" w:eastAsia="Century Gothic" w:hAnsi="Verdana" w:cs="Century Gothic"/>
          <w:b/>
          <w:bCs/>
        </w:rPr>
        <w:t>2. Respuesta:</w:t>
      </w:r>
    </w:p>
    <w:tbl>
      <w:tblPr>
        <w:tblStyle w:val="Tablaconcuadrcula"/>
        <w:tblW w:w="0" w:type="auto"/>
        <w:tblLook w:val="04A0" w:firstRow="1" w:lastRow="0" w:firstColumn="1" w:lastColumn="0" w:noHBand="0" w:noVBand="1"/>
      </w:tblPr>
      <w:tblGrid>
        <w:gridCol w:w="8828"/>
      </w:tblGrid>
      <w:tr w:rsidR="00300FD9" w:rsidRPr="005644FE" w14:paraId="524B576E" w14:textId="77777777" w:rsidTr="00E13F20">
        <w:tc>
          <w:tcPr>
            <w:tcW w:w="8828" w:type="dxa"/>
          </w:tcPr>
          <w:p w14:paraId="68BC7CC7" w14:textId="77777777" w:rsidR="00300FD9" w:rsidRDefault="00300FD9" w:rsidP="00E13F20">
            <w:pPr>
              <w:shd w:val="clear" w:color="auto" w:fill="FFFFFF"/>
              <w:spacing w:after="120" w:line="276" w:lineRule="auto"/>
              <w:jc w:val="both"/>
              <w:rPr>
                <w:rFonts w:ascii="Verdana" w:eastAsia="Times New Roman" w:hAnsi="Verdana" w:cs="Arial"/>
                <w:lang w:eastAsia="es-ES_tradnl"/>
              </w:rPr>
            </w:pPr>
            <w:r>
              <w:rPr>
                <w:rFonts w:ascii="Verdana" w:hAnsi="Verdana" w:cs="Arial"/>
                <w:bCs/>
                <w:color w:val="000000" w:themeColor="text1"/>
                <w:lang w:val="es-MX" w:eastAsia="x-none"/>
              </w:rPr>
              <w:t xml:space="preserve">i) </w:t>
            </w:r>
            <w:r>
              <w:rPr>
                <w:rFonts w:ascii="Verdana" w:eastAsia="Times New Roman" w:hAnsi="Verdana" w:cs="Arial"/>
                <w:lang w:eastAsia="es-ES_tradnl"/>
              </w:rPr>
              <w:t>El</w:t>
            </w:r>
            <w:r w:rsidRPr="00C829ED">
              <w:rPr>
                <w:rFonts w:ascii="Verdana" w:eastAsia="Times New Roman" w:hAnsi="Verdana" w:cs="Arial"/>
                <w:lang w:eastAsia="es-ES_tradnl"/>
              </w:rPr>
              <w:t xml:space="preserve"> arreglo directo propiamente dicho, es una metodología para la solución de controversias que implica la participación de la entidad estatal y el contratista o contratistas directamente interesados en la resolución del conflicto. Lo anterior implicará, como mínimo, un espacio y tiempo suficiente para que entre unos y otros se logre el establecimiento del objeto de la controversia, así como la negociación de </w:t>
            </w:r>
            <w:proofErr w:type="gramStart"/>
            <w:r w:rsidRPr="00C829ED">
              <w:rPr>
                <w:rFonts w:ascii="Verdana" w:eastAsia="Times New Roman" w:hAnsi="Verdana" w:cs="Arial"/>
                <w:lang w:eastAsia="es-ES_tradnl"/>
              </w:rPr>
              <w:t>la misma</w:t>
            </w:r>
            <w:proofErr w:type="gramEnd"/>
            <w:r w:rsidRPr="00C829ED">
              <w:rPr>
                <w:rFonts w:ascii="Verdana" w:eastAsia="Times New Roman" w:hAnsi="Verdana" w:cs="Arial"/>
                <w:lang w:eastAsia="es-ES_tradnl"/>
              </w:rPr>
              <w:t xml:space="preserve">. Ante la inexistencia de un procedimiento específico para llevar a cabo el arreglo directo, corresponderá a la entidad estatal, bien a través de sus manuales de contratación o por medio del clausulado del respectivo pliego de condiciones o documento equivalente o, inclusive, dentro del mismo contrato, determinar las pautas mínimas para que, ante el surgimiento de la controversia, las partes puedan arreglarlas directamente. Dicho procedimiento deberá, en todo caso, ser respetuoso de los principios del debido proceso, legalidad, eficacia, celeridad y los demás que rijan el actuar de las entidades públicas, así como atender a las normas generales del procedimiento administrativo establecidas en la Ley 1437 de 2011, siempre que ellas resulten aplicables de acuerdo con la naturaleza del arreglo directo. </w:t>
            </w:r>
          </w:p>
          <w:p w14:paraId="220BC2A0" w14:textId="77777777" w:rsidR="00300FD9" w:rsidRDefault="00300FD9" w:rsidP="00E13F20">
            <w:pPr>
              <w:shd w:val="clear" w:color="auto" w:fill="FFFFFF"/>
              <w:spacing w:after="120" w:line="276" w:lineRule="auto"/>
              <w:ind w:firstLine="709"/>
              <w:jc w:val="both"/>
              <w:rPr>
                <w:rFonts w:ascii="Verdana" w:eastAsia="Calibri" w:hAnsi="Verdana" w:cs="Arial"/>
                <w:lang w:val="es-ES"/>
              </w:rPr>
            </w:pPr>
            <w:r>
              <w:rPr>
                <w:rFonts w:ascii="Verdana" w:eastAsia="Calibri" w:hAnsi="Verdana" w:cs="Arial"/>
                <w:lang w:val="es-ES"/>
              </w:rPr>
              <w:t>Respecto de</w:t>
            </w:r>
            <w:r w:rsidRPr="00CB6395">
              <w:rPr>
                <w:rFonts w:ascii="Verdana" w:eastAsia="Calibri" w:hAnsi="Verdana" w:cs="Arial"/>
                <w:lang w:val="es-ES"/>
              </w:rPr>
              <w:t xml:space="preserve"> la imposición unilateral de la multa o la cláusula penal, debe indicarse que estas cuentan con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en uno u otro caso se hayan pactado en el contrato. No obstante, cumplido el requisito del pacto en el contrato, las Entidades Estatales sometidas al EGCAP –Leyes 80 de 1993 y 1150 de 2007, y sus modificaciones–, por ministerio de la ley –artículo 17 de la Ley 1150 de 2007–, se entienden investidas de la prerrogativa de imposición unilateral. En efecto, tratándose de las multas, en cumplimiento del principio de tipicidad, las partes deben determinar en forma pormenorizada las acciones u omisiones objeto de sanción y el monto de la sanción a imponer, el cual, en todo caso, debe atender los criterios de proporcionalidad y razonabilidad.</w:t>
            </w:r>
          </w:p>
          <w:p w14:paraId="38362FEB" w14:textId="77777777" w:rsidR="00300FD9" w:rsidRDefault="00300FD9" w:rsidP="00E13F20">
            <w:pPr>
              <w:shd w:val="clear" w:color="auto" w:fill="FFFFFF"/>
              <w:spacing w:after="120" w:line="276" w:lineRule="auto"/>
              <w:ind w:firstLine="708"/>
              <w:jc w:val="both"/>
              <w:rPr>
                <w:rFonts w:ascii="Verdana" w:eastAsia="Times New Roman" w:hAnsi="Verdana" w:cs="Arial"/>
                <w:lang w:val="es-ES_tradnl" w:eastAsia="es-ES_tradnl"/>
              </w:rPr>
            </w:pPr>
            <w:r w:rsidRPr="00CB6395">
              <w:rPr>
                <w:rFonts w:ascii="Verdana" w:eastAsia="Calibri" w:hAnsi="Verdana"/>
                <w:lang w:val="es-ES"/>
              </w:rPr>
              <w:t xml:space="preserve">En ese sentido, </w:t>
            </w:r>
            <w:r w:rsidRPr="00CB6395">
              <w:rPr>
                <w:rFonts w:ascii="Verdana" w:eastAsia="Times New Roman" w:hAnsi="Verdana" w:cs="Arial"/>
                <w:iCs/>
                <w:lang w:val="es-ES_tradnl" w:eastAsia="es-ES_tradnl"/>
              </w:rPr>
              <w:t>el artículo 17 de la Ley 1150 de 2007, además de autorizar la imposición unilateral de multas, también precisa que la declaración de incumplimiento tiene como propósito “hacer efectiva la cláusula penal pecuniaria incluida en el contrato”. En este punto, conviene resaltar lo dicho por la Sección Tercera del Consejo de Estado, en relación con las diferencias entre las multas y la cláusula penal, esto es: “[a]</w:t>
            </w:r>
            <w:proofErr w:type="spellStart"/>
            <w:r w:rsidRPr="00CB6395">
              <w:rPr>
                <w:rFonts w:ascii="Verdana" w:eastAsia="Times New Roman" w:hAnsi="Verdana" w:cs="Arial"/>
                <w:iCs/>
                <w:lang w:val="es-ES_tradnl" w:eastAsia="es-ES_tradnl"/>
              </w:rPr>
              <w:t>unque</w:t>
            </w:r>
            <w:proofErr w:type="spellEnd"/>
            <w:r w:rsidRPr="00CB6395">
              <w:rPr>
                <w:rFonts w:ascii="Verdana" w:eastAsia="Times New Roman" w:hAnsi="Verdana" w:cs="Arial"/>
                <w:iCs/>
                <w:lang w:val="es-ES_tradnl" w:eastAsia="es-ES_tradnl"/>
              </w:rPr>
              <w:t xml:space="preserve"> las multas y la cláusula penal pecuniaria tienen una finalidad común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 </w:t>
            </w:r>
          </w:p>
          <w:p w14:paraId="11D92244" w14:textId="77777777" w:rsidR="00300FD9" w:rsidRDefault="00300FD9" w:rsidP="00E13F20">
            <w:pPr>
              <w:shd w:val="clear" w:color="auto" w:fill="FFFFFF"/>
              <w:spacing w:after="120" w:line="276" w:lineRule="auto"/>
              <w:ind w:firstLine="709"/>
              <w:jc w:val="both"/>
              <w:rPr>
                <w:rFonts w:ascii="Verdana" w:eastAsia="Calibri" w:hAnsi="Verdana"/>
                <w:lang w:val="es-ES"/>
              </w:rPr>
            </w:pPr>
            <w:r w:rsidRPr="00CB6395">
              <w:rPr>
                <w:rFonts w:ascii="Verdana" w:eastAsia="Calibri" w:hAnsi="Verdana"/>
                <w:lang w:val="es-ES"/>
              </w:rPr>
              <w:t xml:space="preserve">De esta forma, debe precisarse que el proceso de imposición de multas en el marco del ejercicio de las facultades exorbitantes de la Administración observa un límite temporal a la luz de lo indicado en el artículo 17 de la Ley 1150 de 2007. Norma que, según se desprende de su literalidad, señala que la entidad puede imponer las multas y la cláusula penal pactadas en el contrato, mientras esté pendiente la ejecución de las obligaciones del contratista, lo cual, define el límite temporal para hacerlo. De hecho, no condicionó la aplicación de estas sanciones al plazo de ejecución del contrato, y esto tiene sentido si se armoniza con la finalidad de la multa o de la cláusula penal y los fines de la contratación estatal. </w:t>
            </w:r>
          </w:p>
          <w:p w14:paraId="520440A7" w14:textId="77777777" w:rsidR="00300FD9" w:rsidRDefault="00300FD9" w:rsidP="00E13F20">
            <w:pPr>
              <w:shd w:val="clear" w:color="auto" w:fill="FFFFFF"/>
              <w:spacing w:after="120" w:line="276" w:lineRule="auto"/>
              <w:ind w:firstLine="709"/>
              <w:jc w:val="both"/>
              <w:rPr>
                <w:rFonts w:ascii="Verdana" w:eastAsia="Times New Roman" w:hAnsi="Verdana" w:cs="Arial"/>
                <w:lang w:eastAsia="es-ES_tradnl"/>
              </w:rPr>
            </w:pPr>
            <w:r w:rsidRPr="00CB6395">
              <w:rPr>
                <w:rFonts w:ascii="Verdana" w:eastAsia="Calibri" w:hAnsi="Verdana"/>
                <w:lang w:val="es-ES"/>
              </w:rPr>
              <w:t xml:space="preserve">Finalmente, y sin perjuicio de lo señalado respecto del límite temporal para la imposición de las multas y la cláusula penal, debe indicarse que, de acuerdo con el artículo 86 de la Ley 1474 de 2011, a las Entidades Estatales les corresponde adelantar el procedimiento administrativo sancionatorio de forma expedita. </w:t>
            </w:r>
          </w:p>
          <w:p w14:paraId="0831181E" w14:textId="77777777" w:rsidR="00300FD9" w:rsidRDefault="00300FD9" w:rsidP="00E13F20">
            <w:pPr>
              <w:shd w:val="clear" w:color="auto" w:fill="FFFFFF"/>
              <w:spacing w:after="120" w:line="276" w:lineRule="auto"/>
              <w:ind w:firstLine="709"/>
              <w:jc w:val="both"/>
              <w:rPr>
                <w:rFonts w:ascii="Verdana" w:eastAsia="Calibri" w:hAnsi="Verdana" w:cs="Arial"/>
              </w:rPr>
            </w:pPr>
            <w:r w:rsidRPr="00C72158">
              <w:rPr>
                <w:rFonts w:ascii="Verdana" w:eastAsia="Calibri" w:hAnsi="Verdana" w:cs="Arial"/>
              </w:rPr>
              <w:t>De esta manera, el vencimiento del plazo pactado en los contratos estatales no impide que la entidad reciba las tareas realizadas fuera de este término ni equivale a la imposibilidad de que el contratista realice prestaciones extemporáneas. De hecho, mientras el contrato esté vigente la entidad puede emplear los medios necesarios para exigir su cumplimiento. Así las cosas, el vencimiento del plazo para el cumplimiento de las obligaciones de tracto sucesivo, por naturaleza suspensivo, no conlleva su extinción, pues tal como se desprende de las consideraciones de orden normativo, jurisprudencial y doctrinario, el vencimiento del plazo suspensivo, en realidad, implica que la obligación se hace exigible en su totalidad a partir de ese mismo instante. Lo anterior, sin perjuicio de que la entidad también pueda hacer uso de sus potestades, como la imposición unilateral de la cláusula penal pecuniaria</w:t>
            </w:r>
            <w:r>
              <w:rPr>
                <w:rFonts w:ascii="Verdana" w:eastAsia="Calibri" w:hAnsi="Verdana" w:cs="Arial"/>
              </w:rPr>
              <w:t>.</w:t>
            </w:r>
          </w:p>
          <w:p w14:paraId="5E76FB62" w14:textId="77777777" w:rsidR="00300FD9" w:rsidRDefault="00300FD9" w:rsidP="00E13F20">
            <w:pPr>
              <w:shd w:val="clear" w:color="auto" w:fill="FFFFFF"/>
              <w:spacing w:after="120" w:line="276" w:lineRule="auto"/>
              <w:ind w:firstLine="709"/>
              <w:jc w:val="both"/>
              <w:rPr>
                <w:rFonts w:ascii="Verdana" w:hAnsi="Verdana" w:cs="Arial"/>
                <w:i/>
                <w:color w:val="000000" w:themeColor="text1"/>
                <w:lang w:val="es-ES"/>
              </w:rPr>
            </w:pPr>
            <w:r>
              <w:rPr>
                <w:rFonts w:ascii="Verdana" w:hAnsi="Verdana" w:cs="Arial"/>
                <w:color w:val="000000" w:themeColor="text1"/>
              </w:rPr>
              <w:t xml:space="preserve">Ahora bien, el </w:t>
            </w:r>
            <w:r w:rsidRPr="002545B6">
              <w:rPr>
                <w:rFonts w:ascii="Verdana" w:hAnsi="Verdana" w:cs="Arial"/>
                <w:color w:val="000000" w:themeColor="text1"/>
              </w:rPr>
              <w:t xml:space="preserve">literal d) del artículo 86 de la Ley 1474 de 2011 establece la posibilidad de terminar el procedimiento administrativo sancionatorio contractual </w:t>
            </w:r>
            <w:r>
              <w:rPr>
                <w:rFonts w:ascii="Verdana" w:hAnsi="Verdana" w:cs="Arial"/>
                <w:color w:val="000000" w:themeColor="text1"/>
              </w:rPr>
              <w:t xml:space="preserve">frente al cumplimiento de las obligaciones. Frente a esta hipótesis, dispone que “(…) </w:t>
            </w:r>
            <w:r w:rsidRPr="002545B6">
              <w:rPr>
                <w:rFonts w:ascii="Verdana" w:hAnsi="Verdana" w:cs="Arial"/>
                <w:color w:val="000000" w:themeColor="text1"/>
              </w:rPr>
              <w:t>La entidad podrá dar por terminado el procedimiento en cualquier momento, si por algún medio tiene conocimiento de la cesación de situación de incumplimiento</w:t>
            </w:r>
            <w:r>
              <w:rPr>
                <w:rFonts w:ascii="Verdana" w:hAnsi="Verdana" w:cs="Arial"/>
                <w:color w:val="000000" w:themeColor="text1"/>
              </w:rPr>
              <w:t xml:space="preserve">”, por lo tanto, </w:t>
            </w:r>
            <w:r w:rsidRPr="419AE83B">
              <w:rPr>
                <w:rFonts w:ascii="Verdana" w:hAnsi="Verdana" w:cs="Arial"/>
                <w:color w:val="000000" w:themeColor="text1"/>
                <w:lang w:val="es-ES"/>
              </w:rPr>
              <w:t xml:space="preserve">la potestad otorgada a la entidad para terminarlo, con fundamento en dicha circunstancia, </w:t>
            </w:r>
            <w:r w:rsidRPr="419AE83B">
              <w:rPr>
                <w:rFonts w:ascii="Verdana" w:hAnsi="Verdana" w:cs="Arial"/>
                <w:i/>
                <w:color w:val="000000" w:themeColor="text1"/>
                <w:lang w:val="es-ES"/>
              </w:rPr>
              <w:t>es una decisión discrecional</w:t>
            </w:r>
            <w:r>
              <w:rPr>
                <w:rFonts w:ascii="Verdana" w:hAnsi="Verdana" w:cs="Arial"/>
                <w:i/>
                <w:color w:val="000000" w:themeColor="text1"/>
                <w:lang w:val="es-ES"/>
              </w:rPr>
              <w:t>.</w:t>
            </w:r>
          </w:p>
          <w:p w14:paraId="1596B931" w14:textId="77777777" w:rsidR="00300FD9" w:rsidRPr="007F7A48" w:rsidRDefault="00300FD9" w:rsidP="00E13F20">
            <w:pPr>
              <w:spacing w:after="120" w:line="276" w:lineRule="auto"/>
              <w:ind w:right="142" w:firstLine="709"/>
              <w:jc w:val="both"/>
              <w:rPr>
                <w:rFonts w:ascii="Verdana" w:hAnsi="Verdana" w:cs="Arial"/>
                <w:color w:val="000000" w:themeColor="text1"/>
                <w:lang w:val="es-ES"/>
              </w:rPr>
            </w:pPr>
            <w:r>
              <w:rPr>
                <w:rFonts w:ascii="Verdana" w:hAnsi="Verdana" w:cs="Arial"/>
                <w:color w:val="000000" w:themeColor="text1"/>
                <w:lang w:val="es-ES"/>
              </w:rPr>
              <w:t xml:space="preserve">Con fundamento en lo anterior, es importante advertir que, si la entidad estatal contratante y el contratista formalizan un arreglo directo, en ella se definirán las pautas mínimas, cláusulas y determinaciones necesarias con el fin de solucionar de manera directa las controversias. De tal manera que será la entidad contratante, dentro de la potestad reconocida en el literal d) del artículo 86 de la Ley 1474 de 2011 si decide archivar o cerrar el procedimiento administrativo sancionatorio de carácter contractual si por cualquier medio tiene conocimiento de la cesación de incumplimiento, o si considera que, en virtud de los hechos presuntamente incumplidos, se mantenga el proceso sancionatorio de carácter contractual o se inicie un nuevo procedimiento. </w:t>
            </w:r>
          </w:p>
        </w:tc>
      </w:tr>
    </w:tbl>
    <w:p w14:paraId="2F65ED81" w14:textId="77777777" w:rsidR="00300FD9" w:rsidRDefault="00300FD9" w:rsidP="00300FD9">
      <w:pPr>
        <w:tabs>
          <w:tab w:val="left" w:pos="142"/>
          <w:tab w:val="left" w:pos="284"/>
        </w:tabs>
        <w:spacing w:after="0" w:line="276" w:lineRule="auto"/>
        <w:jc w:val="both"/>
        <w:rPr>
          <w:rFonts w:ascii="Verdana" w:eastAsia="Century Gothic" w:hAnsi="Verdana" w:cs="Century Gothic"/>
          <w:b/>
          <w:bCs/>
        </w:rPr>
      </w:pPr>
    </w:p>
    <w:p w14:paraId="74553FD5" w14:textId="77777777" w:rsidR="00300FD9" w:rsidRPr="005644FE" w:rsidRDefault="00300FD9" w:rsidP="00300FD9">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057EC3A5" w14:textId="77777777" w:rsidR="00300FD9" w:rsidRPr="005644FE" w:rsidRDefault="00300FD9" w:rsidP="00300FD9">
      <w:pPr>
        <w:pStyle w:val="Prrafodelista"/>
        <w:tabs>
          <w:tab w:val="left" w:pos="142"/>
          <w:tab w:val="left" w:pos="284"/>
        </w:tabs>
        <w:spacing w:after="0" w:line="240" w:lineRule="auto"/>
        <w:ind w:left="0"/>
        <w:contextualSpacing w:val="0"/>
        <w:jc w:val="both"/>
        <w:rPr>
          <w:rFonts w:ascii="Verdana" w:eastAsia="Calibri" w:hAnsi="Verdana" w:cs="Arial"/>
        </w:rPr>
      </w:pPr>
    </w:p>
    <w:p w14:paraId="6B244EC1" w14:textId="77777777" w:rsidR="00300FD9" w:rsidRDefault="00300FD9" w:rsidP="00300FD9">
      <w:pPr>
        <w:tabs>
          <w:tab w:val="left" w:pos="142"/>
          <w:tab w:val="left" w:pos="284"/>
          <w:tab w:val="left" w:pos="6975"/>
        </w:tabs>
        <w:spacing w:after="0" w:line="276" w:lineRule="auto"/>
        <w:jc w:val="both"/>
        <w:rPr>
          <w:rFonts w:ascii="Verdana" w:eastAsia="Calibri" w:hAnsi="Verdana" w:cs="Arial"/>
        </w:rPr>
      </w:pPr>
      <w:bookmarkStart w:id="2" w:name="_Hlk204854194"/>
      <w:r w:rsidRPr="005644FE">
        <w:rPr>
          <w:rFonts w:ascii="Verdana" w:eastAsia="Calibri" w:hAnsi="Verdana" w:cs="Arial"/>
        </w:rPr>
        <w:t>Lo anterior se sustenta en las siguientes consideraciones:</w:t>
      </w:r>
      <w:r>
        <w:rPr>
          <w:rFonts w:ascii="Verdana" w:eastAsia="Calibri" w:hAnsi="Verdana" w:cs="Arial"/>
        </w:rPr>
        <w:tab/>
      </w:r>
    </w:p>
    <w:p w14:paraId="6AEE3CB2" w14:textId="77777777" w:rsidR="00300FD9" w:rsidRDefault="00300FD9" w:rsidP="00300FD9">
      <w:pPr>
        <w:tabs>
          <w:tab w:val="left" w:pos="142"/>
          <w:tab w:val="left" w:pos="284"/>
          <w:tab w:val="left" w:pos="6975"/>
        </w:tabs>
        <w:spacing w:after="0" w:line="240" w:lineRule="auto"/>
        <w:jc w:val="both"/>
        <w:rPr>
          <w:rFonts w:ascii="Verdana" w:eastAsia="Calibri" w:hAnsi="Verdana" w:cs="Arial"/>
        </w:rPr>
      </w:pPr>
    </w:p>
    <w:p w14:paraId="509B58CC" w14:textId="77777777" w:rsidR="00300FD9" w:rsidRPr="00E51636" w:rsidRDefault="00300FD9" w:rsidP="00300FD9">
      <w:pPr>
        <w:pStyle w:val="NormalWeb"/>
        <w:shd w:val="clear" w:color="auto" w:fill="FFFFFF"/>
        <w:spacing w:before="0" w:beforeAutospacing="0" w:after="120" w:afterAutospacing="0" w:line="276" w:lineRule="auto"/>
        <w:jc w:val="both"/>
        <w:rPr>
          <w:rFonts w:ascii="Verdana" w:hAnsi="Verdana" w:cs="Arial"/>
          <w:sz w:val="22"/>
          <w:szCs w:val="22"/>
          <w:lang w:eastAsia="es-ES_tradnl"/>
        </w:rPr>
      </w:pPr>
      <w:r>
        <w:rPr>
          <w:rFonts w:ascii="Verdana" w:hAnsi="Verdana" w:cs="Arial"/>
          <w:color w:val="000000"/>
          <w:bdr w:val="none" w:sz="0" w:space="0" w:color="auto" w:frame="1"/>
          <w:shd w:val="clear" w:color="auto" w:fill="FFFFFF"/>
          <w:lang w:eastAsia="es-ES_tradnl"/>
        </w:rPr>
        <w:t xml:space="preserve">i) </w:t>
      </w:r>
      <w:r w:rsidRPr="00E51636">
        <w:rPr>
          <w:rFonts w:ascii="Verdana" w:hAnsi="Verdana" w:cs="Arial"/>
          <w:sz w:val="22"/>
          <w:szCs w:val="22"/>
          <w:lang w:eastAsia="es-ES_tradnl"/>
        </w:rPr>
        <w:t>La Ley 80 de 1993 marcó un hito en la solución de controversias surgidas de la celebración, ejecución o liquidación del contrato estatal. A lo largo de su articulado, pretendió dotar al sistema de compra pública con las herramientas e instrumentos necesarios y suficientes para garantizar un escenario que permitiera una pronta, célere y eficiente solución de controversias. En esta medida, brindó espacios, oportunidades y alternativas diferentes a las tradicionales fórmulas jurisdiccionales o contenciosas.</w:t>
      </w:r>
    </w:p>
    <w:p w14:paraId="72AA65BE" w14:textId="77777777" w:rsidR="00300FD9" w:rsidRPr="00C829ED" w:rsidRDefault="00300FD9" w:rsidP="00300FD9">
      <w:pPr>
        <w:shd w:val="clear" w:color="auto" w:fill="FFFFFF"/>
        <w:spacing w:after="120" w:line="276" w:lineRule="auto"/>
        <w:ind w:firstLine="709"/>
        <w:jc w:val="both"/>
        <w:rPr>
          <w:rFonts w:ascii="Verdana" w:eastAsia="Times New Roman" w:hAnsi="Verdana" w:cs="Arial"/>
          <w:lang w:eastAsia="es-ES_tradnl"/>
        </w:rPr>
      </w:pPr>
      <w:r w:rsidRPr="00C829ED">
        <w:rPr>
          <w:rFonts w:ascii="Verdana" w:eastAsia="Times New Roman" w:hAnsi="Verdana" w:cs="Arial"/>
          <w:lang w:eastAsia="es-ES_tradnl"/>
        </w:rPr>
        <w:t>Lo anterior con fundamento en las tesis modernas que buscan descongestionar los despachos judiciales de todas aquellas materias respecto de los cuales las propias partes pueden arreglar directamente sus diferencias o sus conflictos. Por ello, como efecto trascendental del postulado de la autonomía de la voluntad, el cual caracteriza al contrato estatal</w:t>
      </w:r>
      <w:r w:rsidRPr="00E51636">
        <w:rPr>
          <w:rFonts w:ascii="Verdana" w:eastAsia="Times New Roman" w:hAnsi="Verdana" w:cs="Arial"/>
          <w:vertAlign w:val="superscript"/>
          <w:lang w:eastAsia="es-ES_tradnl"/>
        </w:rPr>
        <w:footnoteReference w:id="1"/>
      </w:r>
      <w:r w:rsidRPr="00C829ED">
        <w:rPr>
          <w:rFonts w:ascii="Verdana" w:eastAsia="Times New Roman" w:hAnsi="Verdana" w:cs="Arial"/>
          <w:lang w:eastAsia="es-ES_tradnl"/>
        </w:rPr>
        <w:t>, el EGCAP consagró una serie de mecanismos ágiles, sencillos, claros que se orientan a que las partes contratantes solucionen directamente tanto los problemas como las diferencias y discrepancias surgidas de la actividad contractual, evitando, en lo posible, las vías judiciales</w:t>
      </w:r>
      <w:r w:rsidRPr="00E51636">
        <w:rPr>
          <w:rFonts w:ascii="Verdana" w:eastAsia="Calibri" w:hAnsi="Verdana" w:cs="Arial"/>
          <w:vertAlign w:val="superscript"/>
          <w:lang w:eastAsia="es-CO"/>
        </w:rPr>
        <w:footnoteReference w:id="2"/>
      </w:r>
      <w:r w:rsidRPr="00C829ED">
        <w:rPr>
          <w:rFonts w:ascii="Verdana" w:eastAsia="Calibri" w:hAnsi="Verdana" w:cs="Arial"/>
          <w:lang w:eastAsia="es-CO"/>
        </w:rPr>
        <w:t>.</w:t>
      </w:r>
      <w:r w:rsidRPr="00C829ED">
        <w:rPr>
          <w:rFonts w:ascii="Verdana" w:eastAsia="Times New Roman" w:hAnsi="Verdana" w:cs="Arial"/>
          <w:lang w:eastAsia="es-ES_tradnl"/>
        </w:rPr>
        <w:t xml:space="preserve"> Estos mecanismos están desarrollados en la Ley 80 de 1993 para la transparencia, la celeridad, la agilidad, los menores costos y la justicia contractual.</w:t>
      </w:r>
    </w:p>
    <w:p w14:paraId="0E0E2FD9" w14:textId="77777777" w:rsidR="00300FD9" w:rsidRPr="00C829ED" w:rsidRDefault="00300FD9" w:rsidP="00300FD9">
      <w:pPr>
        <w:shd w:val="clear" w:color="auto" w:fill="FFFFFF"/>
        <w:spacing w:after="120" w:line="276" w:lineRule="auto"/>
        <w:ind w:firstLine="708"/>
        <w:jc w:val="both"/>
        <w:rPr>
          <w:rFonts w:ascii="Verdana" w:eastAsia="Times New Roman" w:hAnsi="Verdana" w:cs="Arial"/>
          <w:lang w:eastAsia="es-ES_tradnl"/>
        </w:rPr>
      </w:pPr>
      <w:r w:rsidRPr="00C829ED">
        <w:rPr>
          <w:rFonts w:ascii="Verdana" w:eastAsia="Times New Roman" w:hAnsi="Verdana" w:cs="Arial"/>
          <w:lang w:eastAsia="es-ES_tradnl"/>
        </w:rPr>
        <w:t xml:space="preserve">Es así como el numeral 5 del artículo 25 de la Ley 80 de 1993, en desarrollo del principio de economía, establece que se deberán adoptar procedimientos que garanticen una pronta solución de las diferencias y controversias que se presenten con motivo de la celebración y ejecución del contrato estatal. Igualmente, el numeral 9 del artículo 4 </w:t>
      </w:r>
      <w:r w:rsidRPr="00C829ED">
        <w:rPr>
          <w:rFonts w:ascii="Verdana" w:eastAsia="Times New Roman" w:hAnsi="Verdana" w:cs="Arial"/>
          <w:i/>
          <w:iCs/>
          <w:lang w:eastAsia="es-ES_tradnl"/>
        </w:rPr>
        <w:t>ibidem</w:t>
      </w:r>
      <w:r w:rsidRPr="00C829ED">
        <w:rPr>
          <w:rFonts w:ascii="Verdana" w:eastAsia="Times New Roman" w:hAnsi="Verdana" w:cs="Arial"/>
          <w:lang w:eastAsia="es-ES_tradnl"/>
        </w:rPr>
        <w:t>, obliga a las entidades estatales a corregir los desajustes que pudieren presentarse y que afecten o generen mayor onerosidad al contratista y, la vez, permite el acuerdo de mecanismos y procedimientos pertinentes para precaver o solucionar rápida y eficazmente las diferencias o situaciones litigiosas. En similar sentido, el inciso primero del artículo 27 del EGCAP dispone que ante la afectación del equilibrio de la ecuación contractual por causas no imputables a quien resulte afectado por él, las partes adoptarán, en el menor tiempo posible, las medidas necesarias para su restablecimiento. De otro lado, si en la ejecución o desarrollo del contrato o a su terminación e incluso en la etapa de liquidación se presentan conflictos o divergencias, prioritariamente las partes son quienes pueden solucionarlos directamente a través de mecanismos contemplados en diferentes normas legales tales como la transacción</w:t>
      </w:r>
      <w:r w:rsidRPr="00E51636">
        <w:rPr>
          <w:rFonts w:ascii="Verdana" w:eastAsia="Times New Roman" w:hAnsi="Verdana" w:cs="Arial"/>
          <w:vertAlign w:val="superscript"/>
          <w:lang w:eastAsia="es-ES_tradnl"/>
        </w:rPr>
        <w:footnoteReference w:id="3"/>
      </w:r>
      <w:r w:rsidRPr="00C829ED">
        <w:rPr>
          <w:rFonts w:ascii="Verdana" w:eastAsia="Times New Roman" w:hAnsi="Verdana" w:cs="Arial"/>
          <w:lang w:eastAsia="es-ES_tradnl"/>
        </w:rPr>
        <w:t xml:space="preserve"> y la conciliación</w:t>
      </w:r>
      <w:r w:rsidRPr="00E51636">
        <w:rPr>
          <w:rFonts w:ascii="Verdana" w:eastAsia="Times New Roman" w:hAnsi="Verdana" w:cs="Arial"/>
          <w:vertAlign w:val="superscript"/>
          <w:lang w:eastAsia="es-ES_tradnl"/>
        </w:rPr>
        <w:footnoteReference w:id="4"/>
      </w:r>
      <w:r w:rsidRPr="00C829ED">
        <w:rPr>
          <w:rFonts w:ascii="Verdana" w:eastAsia="Times New Roman" w:hAnsi="Verdana" w:cs="Arial"/>
          <w:lang w:eastAsia="es-ES_tradnl"/>
        </w:rPr>
        <w:t>.</w:t>
      </w:r>
    </w:p>
    <w:p w14:paraId="514E5B31" w14:textId="77777777" w:rsidR="00300FD9" w:rsidRPr="00C829ED" w:rsidRDefault="00300FD9" w:rsidP="00300FD9">
      <w:pPr>
        <w:shd w:val="clear" w:color="auto" w:fill="FFFFFF"/>
        <w:spacing w:after="120" w:line="276" w:lineRule="auto"/>
        <w:ind w:firstLine="708"/>
        <w:jc w:val="both"/>
        <w:rPr>
          <w:rFonts w:ascii="Verdana" w:eastAsia="Times New Roman" w:hAnsi="Verdana" w:cs="Arial"/>
          <w:lang w:eastAsia="es-ES_tradnl"/>
        </w:rPr>
      </w:pPr>
      <w:r w:rsidRPr="00C829ED">
        <w:rPr>
          <w:rFonts w:ascii="Verdana" w:eastAsia="Times New Roman" w:hAnsi="Verdana" w:cs="Arial"/>
          <w:lang w:eastAsia="es-ES_tradnl"/>
        </w:rPr>
        <w:t xml:space="preserve">Las normas mencionadas del EGCAP a título de ejemplo y los citados mecanismos autocompositivos consagrados en la ley evidencian la intención del legislador de promover la solución de controversias directamente por las partes del contrato, sin necesidad de la intervención del aparato jurisdiccional. Esto implicaría no solo la optimización en el gasto de los recursos públicos derivada de la mayor agilidad y celeridad que caracteriza los mecanismos alternativos de solución de conflictos -MASC- sino una mayor descongestión del sistema judicial. </w:t>
      </w:r>
    </w:p>
    <w:p w14:paraId="460D4BF4" w14:textId="77777777" w:rsidR="00300FD9" w:rsidRPr="00C829ED" w:rsidRDefault="00300FD9" w:rsidP="00300FD9">
      <w:pPr>
        <w:shd w:val="clear" w:color="auto" w:fill="FFFFFF"/>
        <w:spacing w:after="120" w:line="276" w:lineRule="auto"/>
        <w:ind w:firstLine="708"/>
        <w:jc w:val="both"/>
        <w:rPr>
          <w:rFonts w:ascii="Verdana" w:eastAsia="Times New Roman" w:hAnsi="Verdana" w:cs="Arial"/>
          <w:lang w:eastAsia="es-ES_tradnl"/>
        </w:rPr>
      </w:pPr>
      <w:r w:rsidRPr="00C829ED">
        <w:rPr>
          <w:rFonts w:ascii="Verdana" w:eastAsia="Times New Roman" w:hAnsi="Verdana" w:cs="Arial"/>
          <w:lang w:eastAsia="es-ES_tradnl"/>
        </w:rPr>
        <w:t xml:space="preserve">De lo anterior surge la noción del principio de arreglo directo de controversias, conforme al cual, durante el desarrollo de todo el proceso contractual, esto es, en sus etapas preparativas, de ejecución y liquidación, los distintos partícipes –oferentes o contratantes, según el caso– deberán preferir, siempre que ello sea posible, las fórmulas e instrumentos que el ordenamiento jurídico ha dispuesto para que solucionen directamente sus discrepancias. El adjetivo </w:t>
      </w:r>
      <w:r>
        <w:rPr>
          <w:rFonts w:ascii="Verdana" w:eastAsia="Times New Roman" w:hAnsi="Verdana" w:cs="Arial"/>
          <w:lang w:eastAsia="es-ES_tradnl"/>
        </w:rPr>
        <w:t>“</w:t>
      </w:r>
      <w:r w:rsidRPr="00C829ED">
        <w:rPr>
          <w:rFonts w:ascii="Verdana" w:eastAsia="Times New Roman" w:hAnsi="Verdana" w:cs="Arial"/>
          <w:lang w:eastAsia="es-ES_tradnl"/>
        </w:rPr>
        <w:t>directo</w:t>
      </w:r>
      <w:r>
        <w:rPr>
          <w:rFonts w:ascii="Verdana" w:eastAsia="Times New Roman" w:hAnsi="Verdana" w:cs="Arial"/>
          <w:lang w:eastAsia="es-ES_tradnl"/>
        </w:rPr>
        <w:t>” atribuible al arreglo, se refiere</w:t>
      </w:r>
      <w:r w:rsidRPr="00C829ED">
        <w:rPr>
          <w:rFonts w:ascii="Verdana" w:eastAsia="Times New Roman" w:hAnsi="Verdana" w:cs="Arial"/>
          <w:lang w:eastAsia="es-ES_tradnl"/>
        </w:rPr>
        <w:t xml:space="preserve"> a que la controversia debería </w:t>
      </w:r>
      <w:r>
        <w:rPr>
          <w:rFonts w:ascii="Verdana" w:eastAsia="Times New Roman" w:hAnsi="Verdana" w:cs="Arial"/>
          <w:lang w:eastAsia="es-ES_tradnl"/>
        </w:rPr>
        <w:t xml:space="preserve">solucionarse </w:t>
      </w:r>
      <w:r w:rsidRPr="00C829ED">
        <w:rPr>
          <w:rFonts w:ascii="Verdana" w:eastAsia="Times New Roman" w:hAnsi="Verdana" w:cs="Arial"/>
          <w:lang w:eastAsia="es-ES_tradnl"/>
        </w:rPr>
        <w:t>entre las partes directamente involucradas o interesadas en la solución, o, dicho de otra manera, las que podrían resultar directa y principalmente afectadas por la solución lograda. Este principio</w:t>
      </w:r>
      <w:r w:rsidRPr="00E51636">
        <w:rPr>
          <w:rFonts w:ascii="Verdana" w:eastAsia="Times New Roman" w:hAnsi="Verdana" w:cs="Arial"/>
          <w:vertAlign w:val="superscript"/>
          <w:lang w:eastAsia="es-ES_tradnl"/>
        </w:rPr>
        <w:footnoteReference w:id="5"/>
      </w:r>
      <w:r w:rsidRPr="00C829ED">
        <w:rPr>
          <w:rFonts w:ascii="Verdana" w:eastAsia="Times New Roman" w:hAnsi="Verdana" w:cs="Arial"/>
          <w:lang w:eastAsia="es-ES_tradnl"/>
        </w:rPr>
        <w:t xml:space="preserve"> ha sido reconocido por la jurisprudencia de la Corte Constitucional en los siguientes términos: </w:t>
      </w:r>
    </w:p>
    <w:p w14:paraId="0727B1BA" w14:textId="77777777" w:rsidR="00300FD9" w:rsidRPr="00625848" w:rsidRDefault="00300FD9" w:rsidP="00300FD9">
      <w:pPr>
        <w:shd w:val="clear" w:color="auto" w:fill="FFFFFF"/>
        <w:spacing w:after="0" w:line="240" w:lineRule="auto"/>
        <w:ind w:left="709" w:right="709"/>
        <w:jc w:val="both"/>
        <w:rPr>
          <w:rFonts w:ascii="Verdana" w:eastAsia="Times New Roman" w:hAnsi="Verdana" w:cs="Arial"/>
          <w:sz w:val="20"/>
          <w:szCs w:val="20"/>
          <w:lang w:eastAsia="es-ES_tradnl"/>
        </w:rPr>
      </w:pPr>
      <w:r w:rsidRPr="00625848">
        <w:rPr>
          <w:rFonts w:ascii="Verdana" w:eastAsia="Times New Roman" w:hAnsi="Verdana" w:cs="Arial"/>
          <w:sz w:val="20"/>
          <w:szCs w:val="20"/>
          <w:lang w:eastAsia="es-ES_tradnl"/>
        </w:rPr>
        <w:t xml:space="preserve">“El principio de arreglo directo constituye uno de los pilares fundamentales bajo los cuales se edifica el Estatuto de la Contratación Estatal o Administrativa. Su propósito consiste en someter las controversias o divergencias que se presentan en la ejecución y desarrollo de la actividad contractual a la solución de manera rápida, inmediatez y directa de las partes. </w:t>
      </w:r>
    </w:p>
    <w:p w14:paraId="18D9D722" w14:textId="77777777" w:rsidR="00300FD9" w:rsidRPr="00625848" w:rsidRDefault="00300FD9" w:rsidP="00300FD9">
      <w:pPr>
        <w:shd w:val="clear" w:color="auto" w:fill="FFFFFF"/>
        <w:spacing w:after="0" w:line="240" w:lineRule="auto"/>
        <w:ind w:left="709" w:right="709"/>
        <w:jc w:val="both"/>
        <w:rPr>
          <w:rFonts w:ascii="Verdana" w:eastAsia="Times New Roman" w:hAnsi="Verdana" w:cs="Arial"/>
          <w:sz w:val="20"/>
          <w:szCs w:val="20"/>
          <w:lang w:eastAsia="es-ES_tradnl"/>
        </w:rPr>
      </w:pPr>
    </w:p>
    <w:p w14:paraId="781EED6B" w14:textId="77777777" w:rsidR="00300FD9" w:rsidRPr="00625848" w:rsidRDefault="00300FD9" w:rsidP="00300FD9">
      <w:pPr>
        <w:spacing w:after="0" w:line="240" w:lineRule="auto"/>
        <w:ind w:left="709" w:right="709"/>
        <w:jc w:val="both"/>
        <w:rPr>
          <w:rFonts w:ascii="Verdana" w:eastAsia="Times New Roman" w:hAnsi="Verdana" w:cs="Arial"/>
          <w:sz w:val="20"/>
          <w:szCs w:val="20"/>
          <w:lang w:eastAsia="es-ES_tradnl"/>
        </w:rPr>
      </w:pPr>
      <w:r w:rsidRPr="00625848">
        <w:rPr>
          <w:rFonts w:ascii="Verdana" w:eastAsia="Times New Roman" w:hAnsi="Verdana" w:cs="Arial"/>
          <w:sz w:val="20"/>
          <w:szCs w:val="20"/>
          <w:lang w:eastAsia="es-ES_tradnl"/>
        </w:rPr>
        <w:t xml:space="preserve">[…] El estatuto […] relaciona el principio del arreglo directo con los principios de economía y de garantía del patrimonio económico de los contratistas. En relación con el primero de ellos, al reconocer que la adopción de mecanismos para consolidar la pronta solución de </w:t>
      </w:r>
      <w:proofErr w:type="gramStart"/>
      <w:r w:rsidRPr="00625848">
        <w:rPr>
          <w:rFonts w:ascii="Verdana" w:eastAsia="Times New Roman" w:hAnsi="Verdana" w:cs="Arial"/>
          <w:sz w:val="20"/>
          <w:szCs w:val="20"/>
          <w:lang w:eastAsia="es-ES_tradnl"/>
        </w:rPr>
        <w:t>controversias,</w:t>
      </w:r>
      <w:proofErr w:type="gramEnd"/>
      <w:r w:rsidRPr="00625848">
        <w:rPr>
          <w:rFonts w:ascii="Verdana" w:eastAsia="Times New Roman" w:hAnsi="Verdana" w:cs="Arial"/>
          <w:sz w:val="20"/>
          <w:szCs w:val="20"/>
          <w:lang w:eastAsia="es-ES_tradnl"/>
        </w:rPr>
        <w:t xml:space="preserve"> permite indirectamente velar por una recta y prudente administración de los recursos públicos y evitar el riesgo que envuelve una solución procesal, especialmente, como lo reconoce la doctrina, por las demoras que ella comporta y “por el peligro de la equivocación conceptual o de error en la valoración de la prueba”. Y frente al segundo, al disponer que uno de los mecanismos para preservar el equilibro de la ecuación económica financiera, es a través de la adopción de herramientas legales y contractuales que hagan efectivas las medidas necesarias para salvaguardar el restablecimiento de las partes, en el menor tiempo posible.</w:t>
      </w:r>
    </w:p>
    <w:p w14:paraId="5587194E" w14:textId="77777777" w:rsidR="00300FD9" w:rsidRPr="00625848" w:rsidRDefault="00300FD9" w:rsidP="00300FD9">
      <w:pPr>
        <w:spacing w:after="0" w:line="240" w:lineRule="auto"/>
        <w:ind w:left="709" w:right="709"/>
        <w:jc w:val="both"/>
        <w:rPr>
          <w:rFonts w:ascii="Verdana" w:eastAsia="Times New Roman" w:hAnsi="Verdana" w:cs="Arial"/>
          <w:b/>
          <w:bCs/>
          <w:sz w:val="20"/>
          <w:szCs w:val="20"/>
          <w:lang w:eastAsia="es-ES_tradnl"/>
        </w:rPr>
      </w:pPr>
    </w:p>
    <w:p w14:paraId="3AE2B3DB" w14:textId="77777777" w:rsidR="00300FD9" w:rsidRPr="00625848" w:rsidRDefault="00300FD9" w:rsidP="00300FD9">
      <w:pPr>
        <w:spacing w:after="0" w:line="240" w:lineRule="auto"/>
        <w:ind w:left="708" w:right="709"/>
        <w:jc w:val="both"/>
        <w:rPr>
          <w:rFonts w:ascii="Verdana" w:eastAsia="Times New Roman" w:hAnsi="Verdana" w:cs="Arial"/>
          <w:b/>
          <w:bCs/>
          <w:sz w:val="20"/>
          <w:szCs w:val="20"/>
          <w:lang w:eastAsia="es-ES_tradnl"/>
        </w:rPr>
      </w:pPr>
      <w:r w:rsidRPr="00625848">
        <w:rPr>
          <w:rFonts w:ascii="Verdana" w:eastAsia="Times New Roman" w:hAnsi="Verdana" w:cs="Arial"/>
          <w:sz w:val="20"/>
          <w:szCs w:val="20"/>
          <w:lang w:eastAsia="es-ES_tradnl"/>
        </w:rPr>
        <w:t>Así las cosas, la exigencia de acceder a una solución rápida y ágil de las controversias que se derivan de la ejecución de un contrato estatal, no corresponde a un simple deber social carente de un vínculo personal que lo haga exigible, pues en realidad se trata de un derecho de los contratistas como de una obligación de las entidades estatales destinado a perpetrar el logro de algunos de los fines reconocidos en la Constitución, entre ellos, se destacan, velar por la eficacia, celeridad, responsabilidad y economía en la prestación y suministro de los bienes y servicios que se le encomiendan a la administración público”</w:t>
      </w:r>
      <w:r w:rsidRPr="00625848">
        <w:rPr>
          <w:rFonts w:ascii="Verdana" w:eastAsia="Times New Roman" w:hAnsi="Verdana" w:cs="Arial"/>
          <w:sz w:val="20"/>
          <w:szCs w:val="20"/>
          <w:vertAlign w:val="superscript"/>
          <w:lang w:eastAsia="es-ES_tradnl"/>
        </w:rPr>
        <w:footnoteReference w:id="6"/>
      </w:r>
      <w:r>
        <w:rPr>
          <w:rFonts w:ascii="Verdana" w:eastAsia="Times New Roman" w:hAnsi="Verdana" w:cs="Arial"/>
          <w:sz w:val="20"/>
          <w:szCs w:val="20"/>
          <w:lang w:eastAsia="es-ES_tradnl"/>
        </w:rPr>
        <w:t>.</w:t>
      </w:r>
    </w:p>
    <w:p w14:paraId="261AAF54" w14:textId="77777777" w:rsidR="00300FD9" w:rsidRPr="00C829ED" w:rsidRDefault="00300FD9" w:rsidP="00300FD9">
      <w:pPr>
        <w:shd w:val="clear" w:color="auto" w:fill="FFFFFF"/>
        <w:spacing w:after="0" w:line="276" w:lineRule="auto"/>
        <w:ind w:firstLine="708"/>
        <w:jc w:val="both"/>
        <w:rPr>
          <w:rFonts w:ascii="Verdana" w:eastAsia="Times New Roman" w:hAnsi="Verdana" w:cs="Arial"/>
          <w:lang w:eastAsia="es-ES_tradnl"/>
        </w:rPr>
      </w:pPr>
    </w:p>
    <w:p w14:paraId="68C4EA07" w14:textId="77777777" w:rsidR="00300FD9" w:rsidRPr="00C829ED" w:rsidRDefault="00300FD9" w:rsidP="00300FD9">
      <w:pPr>
        <w:shd w:val="clear" w:color="auto" w:fill="FFFFFF"/>
        <w:spacing w:after="120" w:line="276" w:lineRule="auto"/>
        <w:ind w:firstLine="709"/>
        <w:jc w:val="both"/>
        <w:rPr>
          <w:rFonts w:ascii="Verdana" w:eastAsia="Times New Roman" w:hAnsi="Verdana" w:cs="Arial"/>
          <w:lang w:eastAsia="es-ES_tradnl"/>
        </w:rPr>
      </w:pPr>
      <w:r w:rsidRPr="00C829ED">
        <w:rPr>
          <w:rFonts w:ascii="Verdana" w:eastAsia="Times New Roman" w:hAnsi="Verdana" w:cs="Arial"/>
          <w:lang w:eastAsia="es-ES_tradnl"/>
        </w:rPr>
        <w:t xml:space="preserve">En tal sentido, el arreglo directo de las controversias surgidas dentro del contexto de la contratación estatal, más que una simple opción para las entidades públicas y contratistas, resulta ser un deber que tanto aquellas como estos deben cumplir al momento de saldar sus diferencias. Así, dicho deber no se limita a la simple formalización de un procedimiento o al establecimiento de trámites vacuos que solo pretenden un arreglo en apariencia, sino que debe estar animado de una real intención de los participantes de solucionar directamente sus controversias y de precaver eventuales litigios. </w:t>
      </w:r>
    </w:p>
    <w:p w14:paraId="6552F771" w14:textId="77777777" w:rsidR="00300FD9" w:rsidRPr="00C829ED" w:rsidRDefault="00300FD9" w:rsidP="00300FD9">
      <w:pPr>
        <w:shd w:val="clear" w:color="auto" w:fill="FFFFFF"/>
        <w:spacing w:after="120" w:line="276" w:lineRule="auto"/>
        <w:ind w:firstLine="709"/>
        <w:jc w:val="both"/>
        <w:rPr>
          <w:rFonts w:ascii="Verdana" w:eastAsia="Times New Roman" w:hAnsi="Verdana" w:cs="Arial"/>
          <w:lang w:eastAsia="es-ES_tradnl"/>
        </w:rPr>
      </w:pPr>
      <w:r w:rsidRPr="00C829ED">
        <w:rPr>
          <w:rFonts w:ascii="Verdana" w:eastAsia="Times New Roman" w:hAnsi="Verdana" w:cs="Arial"/>
          <w:lang w:eastAsia="es-ES_tradnl"/>
        </w:rPr>
        <w:t xml:space="preserve">Lo anterior, empero, debe comprenderse en el sentido que el deber de las entidades públicas y contratistas se limita al intento real de solucionar sus controversias de manera directa, mas no a la solución efectiva. En otros términos, no es obligación de las entidades y contratistas el lograr un acuerdo o solución a sus divergencias, por cuanto este tipo de mecanismos están dotados de un importante sustrato voluntarista que permite que las partes involucradas, bien logren la solución pretendida o, por el contrario, decidan no hacerlo, siempre, eso sí, dejando a salvo la garantía de los principios que rigen la función administrativa y que limitan, por ende, el ejercicio de la autonomía de la voluntad. </w:t>
      </w:r>
    </w:p>
    <w:p w14:paraId="3AEB8F48" w14:textId="77777777" w:rsidR="00300FD9" w:rsidRPr="00C829ED" w:rsidRDefault="00300FD9" w:rsidP="00300FD9">
      <w:pPr>
        <w:shd w:val="clear" w:color="auto" w:fill="FFFFFF"/>
        <w:spacing w:after="120" w:line="276" w:lineRule="auto"/>
        <w:ind w:firstLine="709"/>
        <w:jc w:val="both"/>
        <w:rPr>
          <w:rFonts w:ascii="Verdana" w:eastAsia="Times New Roman" w:hAnsi="Verdana" w:cs="Arial"/>
          <w:lang w:eastAsia="es-ES_tradnl"/>
        </w:rPr>
      </w:pPr>
      <w:r w:rsidRPr="00C829ED">
        <w:rPr>
          <w:rFonts w:ascii="Verdana" w:eastAsia="Times New Roman" w:hAnsi="Verdana" w:cs="Arial"/>
          <w:lang w:eastAsia="es-ES_tradnl"/>
        </w:rPr>
        <w:t xml:space="preserve">Ahora bien, debe recordarse que los Mecanismos Alternativos de Solución de Controversias no se limitan a formas de arreglo directo, pues existen fórmulas </w:t>
      </w:r>
      <w:proofErr w:type="spellStart"/>
      <w:r w:rsidRPr="00C829ED">
        <w:rPr>
          <w:rFonts w:ascii="Verdana" w:eastAsia="Times New Roman" w:hAnsi="Verdana" w:cs="Arial"/>
          <w:lang w:eastAsia="es-ES_tradnl"/>
        </w:rPr>
        <w:t>heterocompositivas</w:t>
      </w:r>
      <w:proofErr w:type="spellEnd"/>
      <w:r w:rsidRPr="00C829ED">
        <w:rPr>
          <w:rFonts w:ascii="Verdana" w:eastAsia="Times New Roman" w:hAnsi="Verdana" w:cs="Arial"/>
          <w:lang w:eastAsia="es-ES_tradnl"/>
        </w:rPr>
        <w:t xml:space="preserve">, también alternativas al proceso judicial, que implican la participación de terceros distintos a las partes directamente involucradas a los que se les dota de cierto poder decisorio, tal y como sucede, por ejemplo, con el proceso arbitral. </w:t>
      </w:r>
    </w:p>
    <w:p w14:paraId="79E47FD7" w14:textId="77777777" w:rsidR="00300FD9" w:rsidRPr="00C829ED" w:rsidRDefault="00300FD9" w:rsidP="00300FD9">
      <w:pPr>
        <w:shd w:val="clear" w:color="auto" w:fill="FFFFFF"/>
        <w:spacing w:after="120" w:line="276" w:lineRule="auto"/>
        <w:ind w:firstLine="709"/>
        <w:jc w:val="both"/>
        <w:rPr>
          <w:rFonts w:ascii="Verdana" w:eastAsia="Times New Roman" w:hAnsi="Verdana" w:cs="Arial"/>
          <w:lang w:eastAsia="es-ES_tradnl"/>
        </w:rPr>
      </w:pPr>
      <w:r w:rsidRPr="00C829ED">
        <w:rPr>
          <w:rFonts w:ascii="Verdana" w:eastAsia="Times New Roman" w:hAnsi="Verdana" w:cs="Arial"/>
          <w:lang w:eastAsia="es-ES_tradnl"/>
        </w:rPr>
        <w:t xml:space="preserve">Dentro de las modalidades que el ordenamiento normativo permite como fórmulas de arreglo directo controversias, se destacan, al arreglo directo </w:t>
      </w:r>
      <w:r>
        <w:rPr>
          <w:rFonts w:ascii="Verdana" w:eastAsia="Times New Roman" w:hAnsi="Verdana" w:cs="Arial"/>
          <w:lang w:eastAsia="es-ES_tradnl"/>
        </w:rPr>
        <w:t>“</w:t>
      </w:r>
      <w:r w:rsidRPr="00C829ED">
        <w:rPr>
          <w:rFonts w:ascii="Verdana" w:eastAsia="Times New Roman" w:hAnsi="Verdana" w:cs="Arial"/>
          <w:lang w:eastAsia="es-ES_tradnl"/>
        </w:rPr>
        <w:t>propiamente dicho</w:t>
      </w:r>
      <w:r>
        <w:rPr>
          <w:rFonts w:ascii="Verdana" w:eastAsia="Times New Roman" w:hAnsi="Verdana" w:cs="Arial"/>
          <w:lang w:eastAsia="es-ES_tradnl"/>
        </w:rPr>
        <w:t>”</w:t>
      </w:r>
      <w:r w:rsidRPr="00C829ED">
        <w:rPr>
          <w:rFonts w:ascii="Verdana" w:eastAsia="Times New Roman" w:hAnsi="Verdana" w:cs="Arial"/>
          <w:lang w:eastAsia="es-ES_tradnl"/>
        </w:rPr>
        <w:t xml:space="preserve">. Junto a estas, la conciliación extrajudicial y judicial también podría </w:t>
      </w:r>
      <w:r>
        <w:rPr>
          <w:rFonts w:ascii="Verdana" w:eastAsia="Times New Roman" w:hAnsi="Verdana" w:cs="Arial"/>
          <w:lang w:eastAsia="es-ES_tradnl"/>
        </w:rPr>
        <w:t xml:space="preserve">considerarse como formas </w:t>
      </w:r>
      <w:r w:rsidRPr="00C829ED">
        <w:rPr>
          <w:rFonts w:ascii="Verdana" w:eastAsia="Times New Roman" w:hAnsi="Verdana" w:cs="Arial"/>
          <w:lang w:eastAsia="es-ES_tradnl"/>
        </w:rPr>
        <w:t>aplicativa</w:t>
      </w:r>
      <w:r>
        <w:rPr>
          <w:rFonts w:ascii="Verdana" w:eastAsia="Times New Roman" w:hAnsi="Verdana" w:cs="Arial"/>
          <w:lang w:eastAsia="es-ES_tradnl"/>
        </w:rPr>
        <w:t>s</w:t>
      </w:r>
      <w:r w:rsidRPr="00C829ED">
        <w:rPr>
          <w:rFonts w:ascii="Verdana" w:eastAsia="Times New Roman" w:hAnsi="Verdana" w:cs="Arial"/>
          <w:lang w:eastAsia="es-ES_tradnl"/>
        </w:rPr>
        <w:t xml:space="preserve"> del principio de arreglo directo de controversias, sin perjuicio que dentro de ella</w:t>
      </w:r>
      <w:r>
        <w:rPr>
          <w:rFonts w:ascii="Verdana" w:eastAsia="Times New Roman" w:hAnsi="Verdana" w:cs="Arial"/>
          <w:lang w:eastAsia="es-ES_tradnl"/>
        </w:rPr>
        <w:t>s</w:t>
      </w:r>
      <w:r w:rsidRPr="00C829ED">
        <w:rPr>
          <w:rFonts w:ascii="Verdana" w:eastAsia="Times New Roman" w:hAnsi="Verdana" w:cs="Arial"/>
          <w:lang w:eastAsia="es-ES_tradnl"/>
        </w:rPr>
        <w:t xml:space="preserve"> se haga necesaria la participación de un tercero neutral y distinto a las partes directamente interesadas, siendo a estas últimas a quienes corresponde la configuración y logro del eventual acuerdo</w:t>
      </w:r>
      <w:r w:rsidRPr="00E51636">
        <w:rPr>
          <w:rFonts w:ascii="Verdana" w:eastAsia="Times New Roman" w:hAnsi="Verdana" w:cs="Arial"/>
          <w:vertAlign w:val="superscript"/>
          <w:lang w:eastAsia="es-ES_tradnl"/>
        </w:rPr>
        <w:footnoteReference w:id="7"/>
      </w:r>
      <w:r w:rsidRPr="00C829ED">
        <w:rPr>
          <w:rFonts w:ascii="Verdana" w:eastAsia="Times New Roman" w:hAnsi="Verdana" w:cs="Arial"/>
          <w:lang w:eastAsia="es-ES_tradnl"/>
        </w:rPr>
        <w:t xml:space="preserve">. </w:t>
      </w:r>
    </w:p>
    <w:p w14:paraId="4E094E45" w14:textId="77777777" w:rsidR="00300FD9" w:rsidRPr="00C829ED" w:rsidRDefault="00300FD9" w:rsidP="00300FD9">
      <w:pPr>
        <w:shd w:val="clear" w:color="auto" w:fill="FFFFFF"/>
        <w:spacing w:after="120" w:line="276" w:lineRule="auto"/>
        <w:ind w:firstLine="709"/>
        <w:jc w:val="both"/>
        <w:rPr>
          <w:rFonts w:ascii="Verdana" w:eastAsia="Times New Roman" w:hAnsi="Verdana" w:cs="Arial"/>
          <w:lang w:eastAsia="es-ES_tradnl"/>
        </w:rPr>
      </w:pPr>
      <w:r>
        <w:rPr>
          <w:rFonts w:ascii="Verdana" w:eastAsia="Times New Roman" w:hAnsi="Verdana" w:cs="Arial"/>
          <w:lang w:eastAsia="es-ES_tradnl"/>
        </w:rPr>
        <w:t>El</w:t>
      </w:r>
      <w:r w:rsidRPr="00C829ED">
        <w:rPr>
          <w:rFonts w:ascii="Verdana" w:eastAsia="Times New Roman" w:hAnsi="Verdana" w:cs="Arial"/>
          <w:lang w:eastAsia="es-ES_tradnl"/>
        </w:rPr>
        <w:t xml:space="preserve"> arreglo directo propiamente dicho, es una metodología para la solución de controversias que implica la participación de la entidad estatal y el contratista o contratistas directamente interesados en la resolución del conflicto. Lo anterior implicará, como mínimo, un espacio y tiempo suficiente para que entre unos y otros se logre el establecimiento del objeto de la controversia, así como la negociación de </w:t>
      </w:r>
      <w:proofErr w:type="gramStart"/>
      <w:r w:rsidRPr="00C829ED">
        <w:rPr>
          <w:rFonts w:ascii="Verdana" w:eastAsia="Times New Roman" w:hAnsi="Verdana" w:cs="Arial"/>
          <w:lang w:eastAsia="es-ES_tradnl"/>
        </w:rPr>
        <w:t>la misma</w:t>
      </w:r>
      <w:proofErr w:type="gramEnd"/>
      <w:r w:rsidRPr="00C829ED">
        <w:rPr>
          <w:rFonts w:ascii="Verdana" w:eastAsia="Times New Roman" w:hAnsi="Verdana" w:cs="Arial"/>
          <w:lang w:eastAsia="es-ES_tradnl"/>
        </w:rPr>
        <w:t xml:space="preserve">. Ante la inexistencia de un procedimiento específico para llevar a cabo el arreglo directo, corresponderá a la entidad estatal, bien a través de sus manuales de contratación o por medio del clausulado del respectivo pliego de condiciones o documento equivalente o, inclusive, dentro del mismo contrato, determinar las pautas mínimas para que, ante el surgimiento de la controversia, las partes puedan arreglarlas directamente. Dicho procedimiento deberá, en todo caso, ser respetuoso de los principios del debido proceso, legalidad, eficacia, celeridad y los demás que rijan el actuar de las entidades públicas, así como atender a las normas generales del procedimiento administrativo establecidas en la Ley 1437 de 2011, siempre que ellas resulten aplicables de acuerdo con la naturaleza del arreglo directo. </w:t>
      </w:r>
    </w:p>
    <w:p w14:paraId="560C8DF3" w14:textId="77777777" w:rsidR="00300FD9" w:rsidRPr="00C829ED" w:rsidRDefault="00300FD9" w:rsidP="00300FD9">
      <w:pPr>
        <w:shd w:val="clear" w:color="auto" w:fill="FFFFFF"/>
        <w:spacing w:after="120" w:line="276" w:lineRule="auto"/>
        <w:ind w:firstLine="709"/>
        <w:jc w:val="both"/>
        <w:rPr>
          <w:rFonts w:ascii="Verdana" w:eastAsia="Times New Roman" w:hAnsi="Verdana" w:cs="Arial"/>
          <w:lang w:eastAsia="es-ES_tradnl"/>
        </w:rPr>
      </w:pPr>
      <w:r w:rsidRPr="00C829ED">
        <w:rPr>
          <w:rFonts w:ascii="Verdana" w:eastAsia="Times New Roman" w:hAnsi="Verdana" w:cs="Arial"/>
          <w:lang w:eastAsia="es-ES_tradnl"/>
        </w:rPr>
        <w:t>Es posible que luego de surtidas las etapas de negociación o conversaciones entre las partes interesadas surja un acuerdo que</w:t>
      </w:r>
      <w:r>
        <w:rPr>
          <w:rFonts w:ascii="Verdana" w:eastAsia="Times New Roman" w:hAnsi="Verdana" w:cs="Arial"/>
          <w:lang w:eastAsia="es-ES_tradnl"/>
        </w:rPr>
        <w:t xml:space="preserve"> ponga fin a la </w:t>
      </w:r>
      <w:r w:rsidRPr="00C829ED">
        <w:rPr>
          <w:rFonts w:ascii="Verdana" w:eastAsia="Times New Roman" w:hAnsi="Verdana" w:cs="Arial"/>
          <w:lang w:eastAsia="es-ES_tradnl"/>
        </w:rPr>
        <w:t>controversia, frente a lo cual aquellas podrán suscribir, de resultar necesario o exigible, los documentos en los que se incluyan las condiciones de tal acuerdo, que a su turno podrán constituirse en títulos ejecutivos exigibles, según cumplan o no con los req</w:t>
      </w:r>
      <w:r>
        <w:rPr>
          <w:rFonts w:ascii="Verdana" w:eastAsia="Times New Roman" w:hAnsi="Verdana" w:cs="Arial"/>
          <w:lang w:eastAsia="es-ES_tradnl"/>
        </w:rPr>
        <w:t xml:space="preserve">uisitos para su configuración. </w:t>
      </w:r>
      <w:r w:rsidRPr="00C829ED">
        <w:rPr>
          <w:rFonts w:ascii="Verdana" w:eastAsia="Times New Roman" w:hAnsi="Verdana" w:cs="Arial"/>
          <w:lang w:eastAsia="es-ES_tradnl"/>
        </w:rPr>
        <w:t xml:space="preserve">De la forma que acoja el acuerdo al que lleguen las partes, luego de haberse surtido el procedimiento de arreglo directo, podrá surgir la suscripción de un contrato de transacción, siempre que los elementos constitutivos de este último se entiendan cumplidos, para lo cual será necesario tener en cuenta lo que se explicará a continuación. </w:t>
      </w:r>
    </w:p>
    <w:p w14:paraId="3AAE77CC" w14:textId="77777777" w:rsidR="00300FD9" w:rsidRPr="00C829ED" w:rsidRDefault="00300FD9" w:rsidP="00300FD9">
      <w:pPr>
        <w:shd w:val="clear" w:color="auto" w:fill="FFFFFF"/>
        <w:spacing w:after="120" w:line="276" w:lineRule="auto"/>
        <w:ind w:firstLine="708"/>
        <w:jc w:val="both"/>
        <w:rPr>
          <w:rFonts w:ascii="Verdana" w:eastAsia="Times New Roman" w:hAnsi="Verdana" w:cs="Arial"/>
          <w:lang w:eastAsia="es-ES_tradnl"/>
        </w:rPr>
      </w:pPr>
      <w:r w:rsidRPr="00C829ED">
        <w:rPr>
          <w:rFonts w:ascii="Verdana" w:eastAsia="Times New Roman" w:hAnsi="Verdana" w:cs="Arial"/>
          <w:lang w:eastAsia="es-ES_tradnl"/>
        </w:rPr>
        <w:t xml:space="preserve">En todo caso, nada obsta para que, cuando las partes así lo consideren, los acuerdos logrados puedan ser revisados o modificados por las mismas, siempre y cuando, se itera, esto no se erija en imposición de una de las partes hacia la otra, sino que sea el producto de una nueva negociación directa entre las mismas. Por lo demás, frente al contrato de transacción, como forma autocompositiva para la solución alternativa de conflictos contractuales, esta Agencia ha tenido la oportunidad de referirse a la </w:t>
      </w:r>
      <w:r>
        <w:rPr>
          <w:rFonts w:ascii="Verdana" w:eastAsia="Times New Roman" w:hAnsi="Verdana" w:cs="Arial"/>
          <w:lang w:eastAsia="es-ES_tradnl"/>
        </w:rPr>
        <w:t>misma en los Conceptos C- 494 del 17 de septiembre de 2021 y C- 142 del 2 de julio de 2024</w:t>
      </w:r>
      <w:r w:rsidRPr="00C829ED">
        <w:rPr>
          <w:rFonts w:ascii="Verdana" w:eastAsia="Times New Roman" w:hAnsi="Verdana" w:cs="Arial"/>
          <w:lang w:eastAsia="es-ES_tradnl"/>
        </w:rPr>
        <w:t xml:space="preserve">. </w:t>
      </w:r>
    </w:p>
    <w:p w14:paraId="5236A2C0" w14:textId="77777777" w:rsidR="00300FD9" w:rsidRDefault="00300FD9" w:rsidP="00300FD9">
      <w:pPr>
        <w:shd w:val="clear" w:color="auto" w:fill="FFFFFF"/>
        <w:spacing w:after="120" w:line="276" w:lineRule="auto"/>
        <w:ind w:firstLine="708"/>
        <w:jc w:val="both"/>
        <w:rPr>
          <w:rFonts w:ascii="Verdana" w:eastAsia="Times New Roman" w:hAnsi="Verdana" w:cs="Arial"/>
          <w:lang w:eastAsia="es-ES_tradnl"/>
        </w:rPr>
      </w:pPr>
      <w:r w:rsidRPr="00C829ED">
        <w:rPr>
          <w:rFonts w:ascii="Verdana" w:eastAsia="Times New Roman" w:hAnsi="Verdana" w:cs="Arial"/>
          <w:lang w:eastAsia="es-ES_tradnl"/>
        </w:rPr>
        <w:t>Por último, vale la pena aclarar que tanto el procedimiento de arreglo directo como la suscripción de los acuerdos que de él surjan, serán adelantados y celebrados por el o los funcionarios que resulten competentes dentro de la entidad pública involucrada, atendiendo a las reglas que</w:t>
      </w:r>
      <w:r>
        <w:rPr>
          <w:rFonts w:ascii="Verdana" w:eastAsia="Times New Roman" w:hAnsi="Verdana" w:cs="Arial"/>
          <w:lang w:eastAsia="es-ES_tradnl"/>
        </w:rPr>
        <w:t>,</w:t>
      </w:r>
      <w:r w:rsidRPr="00C829ED">
        <w:rPr>
          <w:rFonts w:ascii="Verdana" w:eastAsia="Times New Roman" w:hAnsi="Verdana" w:cs="Arial"/>
          <w:lang w:eastAsia="es-ES_tradnl"/>
        </w:rPr>
        <w:t xml:space="preserve"> sobre competencia y delegación y desconcentración de </w:t>
      </w:r>
      <w:proofErr w:type="gramStart"/>
      <w:r w:rsidRPr="00C829ED">
        <w:rPr>
          <w:rFonts w:ascii="Verdana" w:eastAsia="Times New Roman" w:hAnsi="Verdana" w:cs="Arial"/>
          <w:lang w:eastAsia="es-ES_tradnl"/>
        </w:rPr>
        <w:t>las mismas</w:t>
      </w:r>
      <w:proofErr w:type="gramEnd"/>
      <w:r w:rsidRPr="00C829ED">
        <w:rPr>
          <w:rFonts w:ascii="Verdana" w:eastAsia="Times New Roman" w:hAnsi="Verdana" w:cs="Arial"/>
          <w:lang w:eastAsia="es-ES_tradnl"/>
        </w:rPr>
        <w:t>, trae el EGC</w:t>
      </w:r>
      <w:r>
        <w:rPr>
          <w:rFonts w:ascii="Verdana" w:eastAsia="Times New Roman" w:hAnsi="Verdana" w:cs="Arial"/>
          <w:lang w:eastAsia="es-ES_tradnl"/>
        </w:rPr>
        <w:t>A</w:t>
      </w:r>
      <w:r w:rsidRPr="00C829ED">
        <w:rPr>
          <w:rFonts w:ascii="Verdana" w:eastAsia="Times New Roman" w:hAnsi="Verdana" w:cs="Arial"/>
          <w:lang w:eastAsia="es-ES_tradnl"/>
        </w:rPr>
        <w:t xml:space="preserve">P. Ante esto, tales funcionarios se encuentran sometidos al régimen de inhabilidades, incompatibilidades y conflicto de intereses previsto en el ordenamiento normativo, según lo cual, cuando el interés general, propio de la función pública, entre en conflicto con </w:t>
      </w:r>
      <w:r>
        <w:rPr>
          <w:rFonts w:ascii="Verdana" w:eastAsia="Times New Roman" w:hAnsi="Verdana" w:cs="Arial"/>
          <w:lang w:eastAsia="es-ES_tradnl"/>
        </w:rPr>
        <w:t>el</w:t>
      </w:r>
      <w:r w:rsidRPr="00C829ED">
        <w:rPr>
          <w:rFonts w:ascii="Verdana" w:eastAsia="Times New Roman" w:hAnsi="Verdana" w:cs="Arial"/>
          <w:lang w:eastAsia="es-ES_tradnl"/>
        </w:rPr>
        <w:t xml:space="preserve"> interés particular y directo del servidor público, este deberá declararse impedido, así como atender a los impedimentos consagrados en la normativa especial del EGC</w:t>
      </w:r>
      <w:r>
        <w:rPr>
          <w:rFonts w:ascii="Verdana" w:eastAsia="Times New Roman" w:hAnsi="Verdana" w:cs="Arial"/>
          <w:lang w:eastAsia="es-ES_tradnl"/>
        </w:rPr>
        <w:t>A</w:t>
      </w:r>
      <w:r w:rsidRPr="00C829ED">
        <w:rPr>
          <w:rFonts w:ascii="Verdana" w:eastAsia="Times New Roman" w:hAnsi="Verdana" w:cs="Arial"/>
          <w:lang w:eastAsia="es-ES_tradnl"/>
        </w:rPr>
        <w:t>P , en la Ley 1474 de 2011 y en el artículo 11 de la Ley 1437 de 2011</w:t>
      </w:r>
      <w:r>
        <w:rPr>
          <w:rStyle w:val="Refdenotaalpie"/>
          <w:rFonts w:ascii="Verdana" w:eastAsia="Times New Roman" w:hAnsi="Verdana" w:cs="Arial"/>
          <w:lang w:eastAsia="es-ES_tradnl"/>
        </w:rPr>
        <w:footnoteReference w:id="8"/>
      </w:r>
      <w:r w:rsidRPr="00C829ED">
        <w:rPr>
          <w:rFonts w:ascii="Verdana" w:eastAsia="Times New Roman" w:hAnsi="Verdana" w:cs="Arial"/>
          <w:lang w:eastAsia="es-ES_tradnl"/>
        </w:rPr>
        <w:t>, aplicables por virtud de lo establecido en el inciso final del artículo 2 del Código de Procedimiento Administrativo y de lo Contencioso Administrativo</w:t>
      </w:r>
      <w:r w:rsidRPr="00E51636">
        <w:rPr>
          <w:rFonts w:ascii="Verdana" w:eastAsia="Times New Roman" w:hAnsi="Verdana" w:cs="Arial"/>
          <w:vertAlign w:val="superscript"/>
          <w:lang w:eastAsia="es-ES_tradnl"/>
        </w:rPr>
        <w:footnoteReference w:id="9"/>
      </w:r>
      <w:r w:rsidRPr="00C829ED">
        <w:rPr>
          <w:rFonts w:ascii="Verdana" w:eastAsia="Times New Roman" w:hAnsi="Verdana" w:cs="Arial"/>
          <w:lang w:eastAsia="es-ES_tradnl"/>
        </w:rPr>
        <w:t xml:space="preserve">. </w:t>
      </w:r>
    </w:p>
    <w:p w14:paraId="150E9132" w14:textId="77777777" w:rsidR="00300FD9" w:rsidRDefault="00300FD9" w:rsidP="00300FD9">
      <w:pPr>
        <w:shd w:val="clear" w:color="auto" w:fill="FFFFFF"/>
        <w:spacing w:after="120" w:line="276" w:lineRule="auto"/>
        <w:ind w:firstLine="708"/>
        <w:jc w:val="both"/>
        <w:rPr>
          <w:rFonts w:ascii="Verdana" w:eastAsia="Times New Roman" w:hAnsi="Verdana" w:cs="Arial"/>
          <w:lang w:val="es-ES" w:eastAsia="es-ES_tradnl"/>
        </w:rPr>
      </w:pPr>
      <w:r>
        <w:rPr>
          <w:rFonts w:ascii="Verdana" w:eastAsia="Times New Roman" w:hAnsi="Verdana" w:cs="Arial"/>
          <w:lang w:eastAsia="es-ES_tradnl"/>
        </w:rPr>
        <w:t xml:space="preserve">Ahora bien, </w:t>
      </w:r>
      <w:r>
        <w:rPr>
          <w:rFonts w:ascii="Verdana" w:eastAsia="Calibri" w:hAnsi="Verdana" w:cs="Arial"/>
          <w:lang w:val="es-ES"/>
        </w:rPr>
        <w:t>d</w:t>
      </w:r>
      <w:r w:rsidRPr="00CB6395">
        <w:rPr>
          <w:rFonts w:ascii="Verdana" w:eastAsia="Calibri" w:hAnsi="Verdana" w:cs="Arial"/>
          <w:lang w:val="es-ES"/>
        </w:rPr>
        <w:t xml:space="preserve">urante la ejecución de los contratos, las Entidades Estatales sometidas al EGCAP usualmente cuentan con distintas potestades exorbitantes o excepcionales y otras unilaterales, con base en las cuales ejercen la dirección general del contrato y realizan las actividades propias de vigilancia y control. Entre dichas potestades se encuentran: i) las cláusulas excepcionales del artículo 14 de la Ley 80 de 1993, concepto que –además del sometimiento a las leyes nacionales– incluye la terminación unilateral, la interpretación unilateral, la modificación unilateral, la caducidad y la reversión. Dichas prerrogativas se desarrollan en los artículos 15 a 19 </w:t>
      </w:r>
      <w:r w:rsidRPr="00CB6395">
        <w:rPr>
          <w:rFonts w:ascii="Verdana" w:eastAsia="Calibri" w:hAnsi="Verdana" w:cs="Arial"/>
          <w:i/>
          <w:iCs/>
          <w:lang w:val="es-ES"/>
        </w:rPr>
        <w:t>ibidem</w:t>
      </w:r>
      <w:r w:rsidRPr="00CB6395">
        <w:rPr>
          <w:rFonts w:ascii="Verdana" w:eastAsia="Calibri" w:hAnsi="Verdana" w:cs="Arial"/>
          <w:lang w:val="es-ES"/>
        </w:rPr>
        <w:t xml:space="preserve">. </w:t>
      </w:r>
      <w:proofErr w:type="spellStart"/>
      <w:r w:rsidRPr="00CB6395">
        <w:rPr>
          <w:rFonts w:ascii="Verdana" w:eastAsia="Calibri" w:hAnsi="Verdana" w:cs="Arial"/>
          <w:lang w:val="es-ES"/>
        </w:rPr>
        <w:t>ii</w:t>
      </w:r>
      <w:proofErr w:type="spellEnd"/>
      <w:r w:rsidRPr="00CB6395">
        <w:rPr>
          <w:rFonts w:ascii="Verdana" w:eastAsia="Calibri" w:hAnsi="Verdana" w:cs="Arial"/>
          <w:lang w:val="es-ES"/>
        </w:rPr>
        <w:t xml:space="preserve">) Otras disposiciones también establecen algunas potestades, como la liquidación unilateral y la declaratoria unilateral del siniestro –artículos 7 y 11 de la Ley 1150 de 2007–. Dentro de las potestades unilaterales también se encuentra </w:t>
      </w:r>
      <w:proofErr w:type="spellStart"/>
      <w:r w:rsidRPr="00CB6395">
        <w:rPr>
          <w:rFonts w:ascii="Verdana" w:eastAsia="Calibri" w:hAnsi="Verdana" w:cs="Arial"/>
          <w:lang w:val="es-ES"/>
        </w:rPr>
        <w:t>iii</w:t>
      </w:r>
      <w:proofErr w:type="spellEnd"/>
      <w:r w:rsidRPr="00CB6395">
        <w:rPr>
          <w:rFonts w:ascii="Verdana" w:eastAsia="Calibri" w:hAnsi="Verdana" w:cs="Arial"/>
          <w:lang w:val="es-ES"/>
        </w:rPr>
        <w:t>) la imposición unilateral de las cláusulas penales y de multas –artículo 17 de la Ley 1150 de 2007–.</w:t>
      </w:r>
    </w:p>
    <w:p w14:paraId="6AE4DECA" w14:textId="77777777" w:rsidR="00300FD9" w:rsidRDefault="00300FD9" w:rsidP="00300FD9">
      <w:pPr>
        <w:shd w:val="clear" w:color="auto" w:fill="FFFFFF"/>
        <w:spacing w:after="120" w:line="276" w:lineRule="auto"/>
        <w:ind w:firstLine="708"/>
        <w:jc w:val="both"/>
        <w:rPr>
          <w:rFonts w:ascii="Verdana" w:eastAsia="Calibri" w:hAnsi="Verdana" w:cs="Arial"/>
          <w:lang w:val="es-ES"/>
        </w:rPr>
      </w:pPr>
      <w:r w:rsidRPr="00CB6395">
        <w:rPr>
          <w:rFonts w:ascii="Verdana" w:eastAsia="Calibri" w:hAnsi="Verdana" w:cs="Arial"/>
          <w:lang w:val="es-ES"/>
        </w:rPr>
        <w:t>En lo que respecta a la imposición unilateral de la multa o la cláusula penal, debe indicarse que estas cuentan con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en uno u otro caso se hayan pactado en el contrato</w:t>
      </w:r>
      <w:r w:rsidRPr="00CB6395">
        <w:rPr>
          <w:rFonts w:ascii="Verdana" w:eastAsia="Times New Roman" w:hAnsi="Verdana" w:cs="Arial"/>
          <w:vertAlign w:val="superscript"/>
          <w:lang w:eastAsia="es-ES_tradnl"/>
        </w:rPr>
        <w:footnoteReference w:id="10"/>
      </w:r>
      <w:r w:rsidRPr="00CB6395">
        <w:rPr>
          <w:rFonts w:ascii="Verdana" w:eastAsia="Calibri" w:hAnsi="Verdana" w:cs="Arial"/>
          <w:lang w:val="es-ES"/>
        </w:rPr>
        <w:t>. No obstante, cumplido el requisito del pacto en el contrato, las Entidades Estatales sometidas al EGCAP –Leyes 80 de 1993 y 1150 de 2007, y sus modificaciones–, por ministerio de la ley –artículo 17 de la Ley 1150 de 2007–, se entienden investidas de la prerrogativa de imposición unilateral. En efecto, tratándose de las multas, en cumplimiento del principio de tipicidad, las partes deben determinar en forma pormenorizada las acciones u omisiones objeto de sanción y el monto de la sanción a imponer, el cual, en todo caso, debe atender los criterios de proporcionalidad y razonabilidad.</w:t>
      </w:r>
    </w:p>
    <w:p w14:paraId="6943CAFD" w14:textId="77777777" w:rsidR="00300FD9" w:rsidRDefault="00300FD9" w:rsidP="00300FD9">
      <w:pPr>
        <w:spacing w:before="120" w:after="0" w:line="276" w:lineRule="auto"/>
        <w:ind w:right="142" w:firstLine="709"/>
        <w:jc w:val="both"/>
        <w:rPr>
          <w:rFonts w:ascii="Verdana" w:hAnsi="Verdana" w:cs="Arial"/>
          <w:iCs/>
          <w:color w:val="000000" w:themeColor="text1"/>
        </w:rPr>
      </w:pPr>
      <w:r w:rsidRPr="003423DC">
        <w:rPr>
          <w:rFonts w:ascii="Verdana" w:hAnsi="Verdana" w:cs="Arial"/>
          <w:iCs/>
          <w:color w:val="000000" w:themeColor="text1"/>
        </w:rPr>
        <w:t xml:space="preserve">En esa línea se pronunció la Sección Tercera del Consejo de Estado, </w:t>
      </w:r>
      <w:r>
        <w:rPr>
          <w:rFonts w:ascii="Verdana" w:hAnsi="Verdana" w:cs="Arial"/>
          <w:iCs/>
          <w:color w:val="000000" w:themeColor="text1"/>
        </w:rPr>
        <w:t>al sostener que:</w:t>
      </w:r>
    </w:p>
    <w:p w14:paraId="68CF436B" w14:textId="77777777" w:rsidR="00300FD9" w:rsidRPr="00832703" w:rsidRDefault="00300FD9" w:rsidP="00300FD9">
      <w:pPr>
        <w:spacing w:after="0" w:line="240" w:lineRule="auto"/>
        <w:ind w:right="142" w:firstLine="709"/>
        <w:jc w:val="both"/>
        <w:rPr>
          <w:rFonts w:ascii="Verdana" w:hAnsi="Verdana" w:cs="Arial"/>
          <w:iCs/>
          <w:color w:val="000000" w:themeColor="text1"/>
        </w:rPr>
      </w:pPr>
    </w:p>
    <w:p w14:paraId="725A5535" w14:textId="77777777" w:rsidR="00300FD9" w:rsidRDefault="00300FD9" w:rsidP="00300FD9">
      <w:pPr>
        <w:pStyle w:val="Prrafodelista"/>
        <w:spacing w:after="0" w:line="240" w:lineRule="auto"/>
        <w:ind w:left="709" w:right="760"/>
        <w:jc w:val="both"/>
        <w:rPr>
          <w:rFonts w:ascii="Verdana" w:hAnsi="Verdana" w:cs="Arial"/>
          <w:iCs/>
          <w:color w:val="000000" w:themeColor="text1"/>
          <w:sz w:val="20"/>
          <w:szCs w:val="20"/>
        </w:rPr>
      </w:pPr>
      <w:r w:rsidRPr="00816FA4">
        <w:rPr>
          <w:rFonts w:ascii="Verdana" w:hAnsi="Verdana" w:cs="Arial"/>
          <w:iCs/>
          <w:color w:val="000000" w:themeColor="text1"/>
          <w:sz w:val="20"/>
          <w:szCs w:val="20"/>
        </w:rPr>
        <w:t>“De otro lado, según se ha expuesto, otras sanciones contractuales, como la multa y la cláusula penal, mantienen la libertad de pacto, es decir, que la ley no determina las conductas que las originan, y las partes pueden hacerlo con gran libertad -pero tampoco arbitrariamente-. Pese a este relajamiento del principio de legalidad fuerte, en todo caso se conserva el principio de tipicidad, según el cual las partes del negocio deben describir la conducta prohibida en la cláusula contractual. Además, también se mantiene el principio que impone que la conducta reprochable se establezca de manera previa a su realización –lex previa–, para evitar la arbitrariedad y el abuso de poder”</w:t>
      </w:r>
      <w:r>
        <w:rPr>
          <w:rStyle w:val="Refdenotaalpie"/>
          <w:rFonts w:ascii="Verdana" w:hAnsi="Verdana" w:cs="Arial"/>
          <w:iCs/>
          <w:color w:val="000000" w:themeColor="text1"/>
          <w:sz w:val="20"/>
          <w:szCs w:val="20"/>
        </w:rPr>
        <w:footnoteReference w:id="11"/>
      </w:r>
      <w:r w:rsidRPr="00816FA4">
        <w:rPr>
          <w:rFonts w:ascii="Verdana" w:hAnsi="Verdana" w:cs="Arial"/>
          <w:iCs/>
          <w:color w:val="000000" w:themeColor="text1"/>
          <w:sz w:val="20"/>
          <w:szCs w:val="20"/>
        </w:rPr>
        <w:t xml:space="preserve">. </w:t>
      </w:r>
    </w:p>
    <w:p w14:paraId="0E83BD54" w14:textId="77777777" w:rsidR="00300FD9" w:rsidRPr="00832703" w:rsidRDefault="00300FD9" w:rsidP="00300FD9">
      <w:pPr>
        <w:pStyle w:val="Prrafodelista"/>
        <w:spacing w:after="0" w:line="240" w:lineRule="auto"/>
        <w:ind w:left="709" w:right="760"/>
        <w:jc w:val="both"/>
        <w:rPr>
          <w:rFonts w:ascii="Verdana" w:hAnsi="Verdana" w:cs="Arial"/>
          <w:iCs/>
          <w:color w:val="000000" w:themeColor="text1"/>
          <w:sz w:val="20"/>
          <w:szCs w:val="20"/>
        </w:rPr>
      </w:pPr>
    </w:p>
    <w:p w14:paraId="6F0308B8" w14:textId="77777777" w:rsidR="00300FD9" w:rsidRPr="003423DC" w:rsidRDefault="00300FD9" w:rsidP="00300FD9">
      <w:pPr>
        <w:spacing w:after="0" w:line="276" w:lineRule="auto"/>
        <w:ind w:right="142" w:firstLine="708"/>
        <w:jc w:val="both"/>
        <w:rPr>
          <w:rFonts w:ascii="Verdana" w:hAnsi="Verdana" w:cs="Arial"/>
          <w:iCs/>
          <w:color w:val="000000" w:themeColor="text1"/>
        </w:rPr>
      </w:pPr>
      <w:r w:rsidRPr="003423DC">
        <w:rPr>
          <w:rFonts w:ascii="Verdana" w:hAnsi="Verdana" w:cs="Arial"/>
          <w:iCs/>
          <w:color w:val="000000" w:themeColor="text1"/>
        </w:rPr>
        <w:t xml:space="preserve">De igual forma, en la sentencia del 23 de junio de 2010, expediente 16.367 y ponencia de Enrique Gil Botero, la Sección Tercera del Consejo de Estado indicó que </w:t>
      </w:r>
      <w:r>
        <w:rPr>
          <w:rFonts w:ascii="Verdana" w:hAnsi="Verdana" w:cs="Arial"/>
          <w:iCs/>
          <w:color w:val="000000" w:themeColor="text1"/>
        </w:rPr>
        <w:t>“</w:t>
      </w:r>
      <w:r w:rsidRPr="003423DC">
        <w:rPr>
          <w:rFonts w:ascii="Verdana" w:hAnsi="Verdana" w:cs="Arial"/>
          <w:iCs/>
          <w:color w:val="000000" w:themeColor="text1"/>
        </w:rPr>
        <w:t>el núcleo mínimo de este derecho exige que una norma –legal o contractual– contemple la falta y la sanción. Si ni siquiera lo hace el contrato, la administración no puede imponer sanciones, so pena de violar el debido proceso</w:t>
      </w:r>
      <w:r>
        <w:rPr>
          <w:rFonts w:ascii="Verdana" w:hAnsi="Verdana" w:cs="Arial"/>
          <w:iCs/>
          <w:color w:val="000000" w:themeColor="text1"/>
        </w:rPr>
        <w:t>”</w:t>
      </w:r>
      <w:r w:rsidRPr="003423DC">
        <w:rPr>
          <w:rFonts w:ascii="Verdana" w:hAnsi="Verdana" w:cs="Arial"/>
          <w:iCs/>
          <w:color w:val="000000" w:themeColor="text1"/>
        </w:rPr>
        <w:t>. As</w:t>
      </w:r>
      <w:r>
        <w:rPr>
          <w:rFonts w:ascii="Verdana" w:hAnsi="Verdana" w:cs="Arial"/>
          <w:iCs/>
          <w:color w:val="000000" w:themeColor="text1"/>
        </w:rPr>
        <w:t>i</w:t>
      </w:r>
      <w:r w:rsidRPr="003423DC">
        <w:rPr>
          <w:rFonts w:ascii="Verdana" w:hAnsi="Verdana" w:cs="Arial"/>
          <w:iCs/>
          <w:color w:val="000000" w:themeColor="text1"/>
        </w:rPr>
        <w:t xml:space="preserve">mismo, frente al tema </w:t>
      </w:r>
      <w:r w:rsidRPr="003423DC">
        <w:rPr>
          <w:rFonts w:ascii="Verdana" w:hAnsi="Verdana" w:cs="Arial"/>
          <w:i/>
          <w:color w:val="000000" w:themeColor="text1"/>
        </w:rPr>
        <w:t xml:space="preserve">sub examine, </w:t>
      </w:r>
      <w:r w:rsidRPr="003423DC">
        <w:rPr>
          <w:rFonts w:ascii="Verdana" w:hAnsi="Verdana" w:cs="Arial"/>
          <w:iCs/>
          <w:color w:val="000000" w:themeColor="text1"/>
        </w:rPr>
        <w:t xml:space="preserve">el máximo Tribunal de lo Contencioso Administrativo, en sentencia del 13 de noviembre de 2008, indicó </w:t>
      </w:r>
      <w:proofErr w:type="gramStart"/>
      <w:r w:rsidRPr="003423DC">
        <w:rPr>
          <w:rFonts w:ascii="Verdana" w:hAnsi="Verdana" w:cs="Arial"/>
          <w:i/>
          <w:color w:val="000000" w:themeColor="text1"/>
        </w:rPr>
        <w:t>in extenso</w:t>
      </w:r>
      <w:proofErr w:type="gramEnd"/>
      <w:r w:rsidRPr="003423DC">
        <w:rPr>
          <w:rFonts w:ascii="Verdana" w:hAnsi="Verdana" w:cs="Arial"/>
          <w:i/>
          <w:color w:val="000000" w:themeColor="text1"/>
        </w:rPr>
        <w:t xml:space="preserve"> </w:t>
      </w:r>
      <w:r w:rsidRPr="003423DC">
        <w:rPr>
          <w:rFonts w:ascii="Verdana" w:hAnsi="Verdana" w:cs="Arial"/>
          <w:iCs/>
          <w:color w:val="000000" w:themeColor="text1"/>
        </w:rPr>
        <w:t>lo siguiente:</w:t>
      </w:r>
    </w:p>
    <w:p w14:paraId="62726670" w14:textId="77777777" w:rsidR="00300FD9" w:rsidRPr="003423DC" w:rsidRDefault="00300FD9" w:rsidP="00300FD9">
      <w:pPr>
        <w:pStyle w:val="Prrafodelista"/>
        <w:spacing w:line="276" w:lineRule="auto"/>
        <w:ind w:right="-425"/>
        <w:jc w:val="both"/>
        <w:rPr>
          <w:rFonts w:ascii="Verdana" w:hAnsi="Verdana" w:cs="Arial"/>
          <w:iCs/>
          <w:color w:val="000000" w:themeColor="text1"/>
        </w:rPr>
      </w:pPr>
    </w:p>
    <w:p w14:paraId="59D0D098" w14:textId="77777777" w:rsidR="00300FD9" w:rsidRDefault="00300FD9" w:rsidP="00300FD9">
      <w:pPr>
        <w:pStyle w:val="Prrafodelista"/>
        <w:spacing w:after="0" w:line="240" w:lineRule="auto"/>
        <w:ind w:left="709" w:right="760"/>
        <w:jc w:val="both"/>
        <w:rPr>
          <w:rFonts w:ascii="Verdana" w:hAnsi="Verdana" w:cs="Arial"/>
          <w:iCs/>
          <w:color w:val="000000" w:themeColor="text1"/>
          <w:sz w:val="20"/>
          <w:szCs w:val="20"/>
        </w:rPr>
      </w:pPr>
      <w:r>
        <w:rPr>
          <w:rFonts w:ascii="Verdana" w:hAnsi="Verdana" w:cs="Arial"/>
          <w:iCs/>
          <w:color w:val="000000" w:themeColor="text1"/>
          <w:sz w:val="20"/>
          <w:szCs w:val="20"/>
        </w:rPr>
        <w:t>“</w:t>
      </w:r>
      <w:r w:rsidRPr="00816FA4">
        <w:rPr>
          <w:rFonts w:ascii="Verdana" w:hAnsi="Verdana" w:cs="Arial"/>
          <w:iCs/>
          <w:color w:val="000000" w:themeColor="text1"/>
          <w:sz w:val="20"/>
          <w:szCs w:val="20"/>
        </w:rPr>
        <w:t>La otra, la débil, donde se enmarcan la mayoría de las sanciones contractuales, hace relación a que lo determinante no es que una Ley sea quien contemple las faltas y las sanciones, sino que sea una norma –por ejemplo, un reglamento- quien en forma previa y clara las estipule. A este grupo pertenecen buena parte de las sanciones administrativas, como las educativas, las cuales no están consagradas en una ley expedida por el legislador o por el ejecutivo al amparo de facultades extraordinarias, sino en simples reglamentos administrativos internos.</w:t>
      </w:r>
    </w:p>
    <w:p w14:paraId="3ADF455D" w14:textId="77777777" w:rsidR="00300FD9" w:rsidRPr="00816FA4" w:rsidRDefault="00300FD9" w:rsidP="00300FD9">
      <w:pPr>
        <w:pStyle w:val="Prrafodelista"/>
        <w:spacing w:after="0" w:line="240" w:lineRule="auto"/>
        <w:ind w:left="709" w:right="760"/>
        <w:jc w:val="both"/>
        <w:rPr>
          <w:rFonts w:ascii="Verdana" w:hAnsi="Verdana" w:cs="Arial"/>
          <w:iCs/>
          <w:color w:val="000000" w:themeColor="text1"/>
          <w:sz w:val="12"/>
          <w:szCs w:val="12"/>
        </w:rPr>
      </w:pPr>
    </w:p>
    <w:p w14:paraId="2274DB13" w14:textId="77777777" w:rsidR="00300FD9" w:rsidRDefault="00300FD9" w:rsidP="00300FD9">
      <w:pPr>
        <w:pStyle w:val="Prrafodelista"/>
        <w:spacing w:after="0" w:line="240" w:lineRule="auto"/>
        <w:ind w:left="709" w:right="760"/>
        <w:jc w:val="both"/>
        <w:rPr>
          <w:rFonts w:ascii="Verdana" w:hAnsi="Verdana" w:cs="Arial"/>
          <w:iCs/>
          <w:color w:val="000000" w:themeColor="text1"/>
          <w:sz w:val="20"/>
          <w:szCs w:val="20"/>
        </w:rPr>
      </w:pPr>
      <w:r w:rsidRPr="00816FA4">
        <w:rPr>
          <w:rFonts w:ascii="Verdana" w:hAnsi="Verdana" w:cs="Arial"/>
          <w:iCs/>
          <w:color w:val="000000" w:themeColor="text1"/>
          <w:sz w:val="20"/>
          <w:szCs w:val="20"/>
        </w:rPr>
        <w:t>Algunas de las sanciones contractuales podrían enmarcarse en esta clasificación, pues es claro que la ley –bien la que expide el Congreso o bien los decretos con fuerza de ley– no las contempla de manera directa –salvo excepciones–. Tal es el caso de las multas y de la cláusula penal pecuniaria, que están autorizadas por la ley, pero no previstas en ella, sino en cada contrato, en caso de que las partes las pacten.</w:t>
      </w:r>
    </w:p>
    <w:p w14:paraId="78053D05" w14:textId="77777777" w:rsidR="00300FD9" w:rsidRPr="00816FA4" w:rsidRDefault="00300FD9" w:rsidP="00300FD9">
      <w:pPr>
        <w:pStyle w:val="Prrafodelista"/>
        <w:spacing w:after="0" w:line="240" w:lineRule="auto"/>
        <w:ind w:left="709" w:right="760"/>
        <w:jc w:val="both"/>
        <w:rPr>
          <w:rFonts w:ascii="Verdana" w:hAnsi="Verdana" w:cs="Arial"/>
          <w:iCs/>
          <w:color w:val="000000" w:themeColor="text1"/>
          <w:sz w:val="12"/>
          <w:szCs w:val="12"/>
        </w:rPr>
      </w:pPr>
    </w:p>
    <w:p w14:paraId="7C02CFD7" w14:textId="77777777" w:rsidR="00300FD9" w:rsidRDefault="00300FD9" w:rsidP="00300FD9">
      <w:pPr>
        <w:pStyle w:val="Prrafodelista"/>
        <w:spacing w:after="0" w:line="240" w:lineRule="auto"/>
        <w:ind w:left="709" w:right="760"/>
        <w:jc w:val="both"/>
        <w:rPr>
          <w:rFonts w:ascii="Verdana" w:hAnsi="Verdana" w:cs="Arial"/>
          <w:iCs/>
          <w:color w:val="000000" w:themeColor="text1"/>
          <w:sz w:val="20"/>
          <w:szCs w:val="20"/>
        </w:rPr>
      </w:pPr>
      <w:r w:rsidRPr="00816FA4">
        <w:rPr>
          <w:rFonts w:ascii="Verdana" w:hAnsi="Verdana" w:cs="Arial"/>
          <w:iCs/>
          <w:color w:val="000000" w:themeColor="text1"/>
          <w:sz w:val="20"/>
          <w:szCs w:val="20"/>
        </w:rPr>
        <w:t xml:space="preserve">Obsérvese cómo el </w:t>
      </w:r>
      <w:r>
        <w:rPr>
          <w:rFonts w:ascii="Verdana" w:hAnsi="Verdana" w:cs="Arial"/>
          <w:iCs/>
          <w:color w:val="000000" w:themeColor="text1"/>
          <w:sz w:val="20"/>
          <w:szCs w:val="20"/>
        </w:rPr>
        <w:t>‘</w:t>
      </w:r>
      <w:r w:rsidRPr="00816FA4">
        <w:rPr>
          <w:rFonts w:ascii="Verdana" w:hAnsi="Verdana" w:cs="Arial"/>
          <w:iCs/>
          <w:color w:val="000000" w:themeColor="text1"/>
          <w:sz w:val="20"/>
          <w:szCs w:val="20"/>
        </w:rPr>
        <w:t>principio de legalidad</w:t>
      </w:r>
      <w:r>
        <w:rPr>
          <w:rFonts w:ascii="Verdana" w:hAnsi="Verdana" w:cs="Arial"/>
          <w:iCs/>
          <w:color w:val="000000" w:themeColor="text1"/>
          <w:sz w:val="20"/>
          <w:szCs w:val="20"/>
        </w:rPr>
        <w:t>’</w:t>
      </w:r>
      <w:r w:rsidRPr="00816FA4">
        <w:rPr>
          <w:rFonts w:ascii="Verdana" w:hAnsi="Verdana" w:cs="Arial"/>
          <w:iCs/>
          <w:color w:val="000000" w:themeColor="text1"/>
          <w:sz w:val="20"/>
          <w:szCs w:val="20"/>
        </w:rPr>
        <w:t xml:space="preserve"> –es decir, la predeterminación de las conductas en la Ley–, en materia contractual se reduce a la simple “tipicidad” de la conducta –es decir, a la descripción y especificación normativa del comportamiento prohibido–, pues lo determinante no es que la Ley contemple la falta y la sanción, sino que estén previamente definidas en cualquier norma, sin que importe que sea o no una ley quien lo haga.</w:t>
      </w:r>
    </w:p>
    <w:p w14:paraId="12EC6205" w14:textId="77777777" w:rsidR="00300FD9" w:rsidRPr="00816FA4" w:rsidRDefault="00300FD9" w:rsidP="00300FD9">
      <w:pPr>
        <w:pStyle w:val="Prrafodelista"/>
        <w:spacing w:after="0" w:line="240" w:lineRule="auto"/>
        <w:ind w:left="709" w:right="760"/>
        <w:jc w:val="both"/>
        <w:rPr>
          <w:rFonts w:ascii="Verdana" w:hAnsi="Verdana" w:cs="Arial"/>
          <w:iCs/>
          <w:color w:val="000000" w:themeColor="text1"/>
          <w:sz w:val="12"/>
          <w:szCs w:val="12"/>
        </w:rPr>
      </w:pPr>
    </w:p>
    <w:p w14:paraId="1179177C" w14:textId="77777777" w:rsidR="00300FD9" w:rsidRDefault="00300FD9" w:rsidP="00300FD9">
      <w:pPr>
        <w:pStyle w:val="Prrafodelista"/>
        <w:spacing w:after="0" w:line="240" w:lineRule="auto"/>
        <w:ind w:left="709" w:right="760"/>
        <w:jc w:val="both"/>
        <w:rPr>
          <w:rFonts w:ascii="Verdana" w:hAnsi="Verdana" w:cs="Arial"/>
          <w:iCs/>
          <w:color w:val="000000" w:themeColor="text1"/>
          <w:sz w:val="20"/>
          <w:szCs w:val="20"/>
        </w:rPr>
      </w:pPr>
      <w:r w:rsidRPr="00816FA4">
        <w:rPr>
          <w:rFonts w:ascii="Verdana" w:hAnsi="Verdana" w:cs="Arial"/>
          <w:iCs/>
          <w:color w:val="000000" w:themeColor="text1"/>
          <w:sz w:val="20"/>
          <w:szCs w:val="20"/>
        </w:rPr>
        <w:t>Por tanto, en materia contractual opera una especie de combinación entre el principio de legalidad y el de la autonomía de la voluntad: el primero exige que las conductas reprochables entre las partes del contrato se contemplen previamente, con su correspondiente sanción, y el segundo permite que sean las partes –no la ley; pero autorizadas por ella– quienes definan esas conductas y la sanción. Se trata, no cabe duda, de un supuesto de ius puniendi sui generis al que regula el art. 29 CP., en lo que respecta, por lo menos, a la legalidad”</w:t>
      </w:r>
      <w:r w:rsidRPr="00816FA4">
        <w:rPr>
          <w:rStyle w:val="Refdenotaalpie"/>
          <w:rFonts w:ascii="Verdana" w:hAnsi="Verdana" w:cs="Arial"/>
          <w:iCs/>
          <w:color w:val="000000" w:themeColor="text1"/>
          <w:sz w:val="20"/>
          <w:szCs w:val="20"/>
        </w:rPr>
        <w:footnoteReference w:id="12"/>
      </w:r>
      <w:r w:rsidRPr="00816FA4">
        <w:rPr>
          <w:rFonts w:ascii="Verdana" w:hAnsi="Verdana" w:cs="Arial"/>
          <w:iCs/>
          <w:color w:val="000000" w:themeColor="text1"/>
          <w:sz w:val="20"/>
          <w:szCs w:val="20"/>
        </w:rPr>
        <w:t>.</w:t>
      </w:r>
    </w:p>
    <w:p w14:paraId="6D86B654" w14:textId="77777777" w:rsidR="00300FD9" w:rsidRPr="00832703" w:rsidRDefault="00300FD9" w:rsidP="00300FD9">
      <w:pPr>
        <w:pStyle w:val="Prrafodelista"/>
        <w:spacing w:after="0" w:line="240" w:lineRule="auto"/>
        <w:ind w:left="709" w:right="760"/>
        <w:jc w:val="both"/>
        <w:rPr>
          <w:rFonts w:ascii="Verdana" w:hAnsi="Verdana" w:cs="Arial"/>
          <w:iCs/>
          <w:color w:val="000000" w:themeColor="text1"/>
          <w:sz w:val="20"/>
          <w:szCs w:val="20"/>
        </w:rPr>
      </w:pPr>
    </w:p>
    <w:p w14:paraId="640D9CE4" w14:textId="77777777" w:rsidR="00300FD9" w:rsidRDefault="00300FD9" w:rsidP="00300FD9">
      <w:pPr>
        <w:shd w:val="clear" w:color="auto" w:fill="FFFFFF"/>
        <w:spacing w:after="120" w:line="276" w:lineRule="auto"/>
        <w:ind w:firstLine="708"/>
        <w:jc w:val="both"/>
        <w:rPr>
          <w:rFonts w:ascii="Verdana" w:eastAsia="Times New Roman" w:hAnsi="Verdana" w:cs="Arial"/>
          <w:lang w:val="es-ES_tradnl" w:eastAsia="es-ES_tradnl"/>
        </w:rPr>
      </w:pPr>
      <w:r w:rsidRPr="00CB6395">
        <w:rPr>
          <w:rFonts w:ascii="Verdana" w:eastAsia="Calibri" w:hAnsi="Verdana"/>
          <w:lang w:val="es-ES"/>
        </w:rPr>
        <w:t xml:space="preserve">En ese sentido, </w:t>
      </w:r>
      <w:r w:rsidRPr="00CB6395">
        <w:rPr>
          <w:rFonts w:ascii="Verdana" w:eastAsia="Times New Roman" w:hAnsi="Verdana" w:cs="Arial"/>
          <w:iCs/>
          <w:lang w:val="es-ES_tradnl" w:eastAsia="es-ES_tradnl"/>
        </w:rPr>
        <w:t>el artículo 17 de la Ley 1150 de 2007, además de autorizar la imposición unilateral de multas, también precisa que la declaración de incumplimiento tiene como propósito “hacer efectiva la cláusula penal pecuniaria incluida en el contrato”. En este punto, conviene resaltar lo dicho por la Sección Tercera del Consejo de Estado</w:t>
      </w:r>
      <w:r w:rsidRPr="00CB6395">
        <w:rPr>
          <w:rFonts w:ascii="Verdana" w:hAnsi="Verdana"/>
          <w:vertAlign w:val="superscript"/>
          <w:lang w:eastAsia="es-ES_tradnl"/>
        </w:rPr>
        <w:footnoteReference w:id="13"/>
      </w:r>
      <w:r w:rsidRPr="00CB6395">
        <w:rPr>
          <w:rFonts w:ascii="Verdana" w:eastAsia="Times New Roman" w:hAnsi="Verdana" w:cs="Arial"/>
          <w:iCs/>
          <w:lang w:val="es-ES_tradnl" w:eastAsia="es-ES_tradnl"/>
        </w:rPr>
        <w:t>, en relación con las diferencias entre las multas y la cláusula penal, esto es: “[a]</w:t>
      </w:r>
      <w:proofErr w:type="spellStart"/>
      <w:r w:rsidRPr="00CB6395">
        <w:rPr>
          <w:rFonts w:ascii="Verdana" w:eastAsia="Times New Roman" w:hAnsi="Verdana" w:cs="Arial"/>
          <w:iCs/>
          <w:lang w:val="es-ES_tradnl" w:eastAsia="es-ES_tradnl"/>
        </w:rPr>
        <w:t>unque</w:t>
      </w:r>
      <w:proofErr w:type="spellEnd"/>
      <w:r w:rsidRPr="00CB6395">
        <w:rPr>
          <w:rFonts w:ascii="Verdana" w:eastAsia="Times New Roman" w:hAnsi="Verdana" w:cs="Arial"/>
          <w:iCs/>
          <w:lang w:val="es-ES_tradnl" w:eastAsia="es-ES_tradnl"/>
        </w:rPr>
        <w:t xml:space="preserve"> las multas y la cláusula penal pecuniaria tienen una finalidad común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w:t>
      </w:r>
      <w:r w:rsidRPr="00CB6395">
        <w:rPr>
          <w:rFonts w:ascii="Verdana" w:hAnsi="Verdana"/>
          <w:vertAlign w:val="superscript"/>
          <w:lang w:eastAsia="es-ES_tradnl"/>
        </w:rPr>
        <w:footnoteReference w:id="14"/>
      </w:r>
      <w:r w:rsidRPr="00CB6395">
        <w:rPr>
          <w:rFonts w:ascii="Verdana" w:eastAsia="Times New Roman" w:hAnsi="Verdana" w:cs="Arial"/>
          <w:iCs/>
          <w:lang w:val="es-ES_tradnl" w:eastAsia="es-ES_tradnl"/>
        </w:rPr>
        <w:t xml:space="preserve">. </w:t>
      </w:r>
    </w:p>
    <w:p w14:paraId="7948B1B7" w14:textId="77777777" w:rsidR="00300FD9" w:rsidRDefault="00300FD9" w:rsidP="00300FD9">
      <w:pPr>
        <w:shd w:val="clear" w:color="auto" w:fill="FFFFFF"/>
        <w:spacing w:after="120" w:line="276" w:lineRule="auto"/>
        <w:ind w:firstLine="709"/>
        <w:jc w:val="both"/>
        <w:rPr>
          <w:rFonts w:ascii="Verdana" w:eastAsia="Calibri" w:hAnsi="Verdana"/>
          <w:lang w:val="es-ES"/>
        </w:rPr>
      </w:pPr>
      <w:r w:rsidRPr="00CB6395">
        <w:rPr>
          <w:rFonts w:ascii="Verdana" w:eastAsia="Calibri" w:hAnsi="Verdana"/>
          <w:lang w:val="es-ES"/>
        </w:rPr>
        <w:t xml:space="preserve">De esta forma, debe precisarse que el proceso de imposición de multas en el marco del ejercicio de las facultades exorbitantes de la Administración observa un límite temporal a la luz de lo indicado en el artículo 17 de la Ley 1150 de 2007. Norma que, según se desprende de su literalidad, señala que la entidad puede imponer las multas y la cláusula penal pactadas en el contrato, mientras esté pendiente la ejecución de las obligaciones del contratista, lo cual, define el límite temporal para hacerlo. De hecho, no condicionó la aplicación de estas sanciones al plazo de ejecución del contrato, y esto tiene sentido si se armoniza con la finalidad de la multa o de la cláusula penal y los fines de la contratación estatal. </w:t>
      </w:r>
    </w:p>
    <w:p w14:paraId="74D69FFB" w14:textId="77777777" w:rsidR="00300FD9" w:rsidRDefault="00300FD9" w:rsidP="00300FD9">
      <w:pPr>
        <w:shd w:val="clear" w:color="auto" w:fill="FFFFFF"/>
        <w:spacing w:after="120" w:line="276" w:lineRule="auto"/>
        <w:ind w:firstLine="709"/>
        <w:jc w:val="both"/>
        <w:rPr>
          <w:rFonts w:ascii="Verdana" w:eastAsia="Times New Roman" w:hAnsi="Verdana" w:cs="Arial"/>
          <w:lang w:val="es-ES" w:eastAsia="es-ES_tradnl"/>
        </w:rPr>
      </w:pPr>
      <w:r w:rsidRPr="00CB6395">
        <w:rPr>
          <w:rFonts w:ascii="Verdana" w:eastAsia="Calibri" w:hAnsi="Verdana"/>
          <w:lang w:val="es-ES"/>
        </w:rPr>
        <w:t>En primer lugar, existen obligaciones cuyo cumplimiento solo puede verificarse después del plazo pactado para la ejecución y en caso de no cumplir en las condiciones acordadas</w:t>
      </w:r>
      <w:r>
        <w:rPr>
          <w:rFonts w:ascii="Verdana" w:eastAsia="Calibri" w:hAnsi="Verdana"/>
          <w:lang w:val="es-ES"/>
        </w:rPr>
        <w:t>,</w:t>
      </w:r>
      <w:r w:rsidRPr="00CB6395">
        <w:rPr>
          <w:rFonts w:ascii="Verdana" w:eastAsia="Calibri" w:hAnsi="Verdana"/>
          <w:lang w:val="es-ES"/>
        </w:rPr>
        <w:t xml:space="preserve"> la entidad tiene la facultad para conminar al contratista incumplido. En segundo lugar, si vencido el plazo de ejecución el contratista no cumple, la obligación no se extingue, pues de acuerdo con el artículo 1625 del Código Civil el vencimiento del plazo contractual no es un modo de extinguir las obligaciones, salvo pacto en ese sentido. Por tanto, la obligación continuará pendiente y el contratista estará en mora de cumplir por no haberlo hecho en el plazo acordado. Esto indica que lo que terminó fue el plazo de ejecución, pero la obligación todavía está pendiente de cumplimiento y el contratista podría hacerlo tardíamente con las consecuencias gravosas que esto implica. No obstante, la entidad deberá determinar si, inclusive, con el cumplimiento tardío aún se satisface el interés público.</w:t>
      </w:r>
    </w:p>
    <w:p w14:paraId="68C44C9A" w14:textId="77777777" w:rsidR="00300FD9" w:rsidRDefault="00300FD9" w:rsidP="00300FD9">
      <w:pPr>
        <w:shd w:val="clear" w:color="auto" w:fill="FFFFFF"/>
        <w:spacing w:after="120" w:line="276" w:lineRule="auto"/>
        <w:ind w:firstLine="709"/>
        <w:jc w:val="both"/>
        <w:rPr>
          <w:rFonts w:ascii="Verdana" w:eastAsia="Times New Roman" w:hAnsi="Verdana" w:cs="Arial"/>
          <w:lang w:val="es-ES" w:eastAsia="es-ES_tradnl"/>
        </w:rPr>
      </w:pPr>
      <w:r w:rsidRPr="00CB6395">
        <w:rPr>
          <w:rFonts w:ascii="Verdana" w:eastAsia="Calibri" w:hAnsi="Verdana"/>
          <w:lang w:val="es-ES"/>
        </w:rPr>
        <w:t>En línea con lo anterior, puede colegirse entonces, que el artículo 17 de la Ley 1150 de 2007 no condicionó la imposición de las multas y la cláusula penal al plazo del contrato, y por el contrario, de manera expresa indicó que estas proceden “</w:t>
      </w:r>
      <w:r>
        <w:rPr>
          <w:rFonts w:ascii="Verdana" w:eastAsia="Calibri" w:hAnsi="Verdana"/>
          <w:lang w:val="es-ES"/>
        </w:rPr>
        <w:t xml:space="preserve">(…) </w:t>
      </w:r>
      <w:r w:rsidRPr="00CB6395">
        <w:rPr>
          <w:rFonts w:ascii="Verdana" w:eastAsia="Calibri" w:hAnsi="Verdana"/>
          <w:lang w:val="es-ES"/>
        </w:rPr>
        <w:t xml:space="preserve">mientras se halle pendiente la ejecución de las obligaciones a cargo del contratista </w:t>
      </w:r>
      <w:r>
        <w:rPr>
          <w:rFonts w:ascii="Verdana" w:eastAsia="Calibri" w:hAnsi="Verdana"/>
          <w:lang w:val="es-ES"/>
        </w:rPr>
        <w:t>(…)”</w:t>
      </w:r>
      <w:r w:rsidRPr="00CB6395">
        <w:rPr>
          <w:rFonts w:ascii="Verdana" w:eastAsia="Calibri" w:hAnsi="Verdana"/>
          <w:lang w:val="es-ES"/>
        </w:rPr>
        <w:t>, la Administración podrá imponer las multas y hacer efectiva la cláusula penal inclusive después de vencido su plazo de ejecución, siempre que las obligaciones estén pendientes de cumplirse. De esta manera, la entidad podrá hacer uso de estas facultades para procurar el cumplimiento de las obligaciones a cargo del contratista, precisamente cuando advierta su incumplimiento y con la finalidad de sancionar el incumplimiento, incluso después de la liquidación del contrato, pues con esta tan sólo se definió la situación en la que quedan los contratantes, luego de la ejecución del contrato, y en la respectiva acta de liquidación se pueden consagrar salvedades, en el sentido de disponer cuánto se adeudan las partes, de qué manera y en qué plazos se han de efectuar los pagos pendientes y las condiciones para el establecimiento del respectivo paz y salvo, por lo que después de la liquidación, si en ella se consignaron las respectivas salvedades o aclaraciones en donde de forma clara y concreta se relacionen las obligaciones</w:t>
      </w:r>
      <w:r w:rsidRPr="00CB6395">
        <w:t xml:space="preserve"> </w:t>
      </w:r>
      <w:r w:rsidRPr="00CB6395">
        <w:rPr>
          <w:rFonts w:ascii="Verdana" w:eastAsia="Calibri" w:hAnsi="Verdana"/>
          <w:lang w:val="es-ES"/>
        </w:rPr>
        <w:t>que, a su juicio, quedaron pendientes durante la ejecución del contrato.</w:t>
      </w:r>
    </w:p>
    <w:p w14:paraId="4DBBA9DA" w14:textId="77777777" w:rsidR="00300FD9" w:rsidRDefault="00300FD9" w:rsidP="00300FD9">
      <w:pPr>
        <w:shd w:val="clear" w:color="auto" w:fill="FFFFFF"/>
        <w:spacing w:after="120" w:line="276" w:lineRule="auto"/>
        <w:ind w:firstLine="709"/>
        <w:jc w:val="both"/>
        <w:rPr>
          <w:rFonts w:ascii="Verdana" w:eastAsia="Times New Roman" w:hAnsi="Verdana" w:cs="Arial"/>
          <w:lang w:eastAsia="es-ES_tradnl"/>
        </w:rPr>
      </w:pPr>
      <w:r w:rsidRPr="00CB6395">
        <w:rPr>
          <w:rFonts w:ascii="Verdana" w:eastAsia="Calibri" w:hAnsi="Verdana"/>
          <w:lang w:val="es-ES"/>
        </w:rPr>
        <w:t xml:space="preserve">Finalmente, y sin perjuicio de lo señalado respecto del límite temporal para la imposición de las multas y la cláusula penal, debe indicarse que, de acuerdo con el artículo 86 de la Ley 1474 de 2011, a las Entidades Estatales les corresponde adelantar el procedimiento administrativo sancionatorio de forma expedita. </w:t>
      </w:r>
      <w:r w:rsidRPr="00CB6395">
        <w:rPr>
          <w:rFonts w:ascii="Verdana" w:eastAsia="Calibri" w:hAnsi="Verdana" w:cs="Arial"/>
        </w:rPr>
        <w:t xml:space="preserve">De hecho, el literal a) del artículo 86 de la Ley 1474 de 2011 –Estatuto Anticorrupción– dispone que “Evidenciado un posible incumplimiento de las obligaciones a cargo del contratista, la entidad pública lo citará a audiencia para debatir lo ocurrido </w:t>
      </w:r>
      <w:r>
        <w:rPr>
          <w:rFonts w:ascii="Verdana" w:eastAsia="Calibri" w:hAnsi="Verdana" w:cs="Arial"/>
        </w:rPr>
        <w:t>(…)</w:t>
      </w:r>
      <w:r w:rsidRPr="00CB6395">
        <w:rPr>
          <w:rFonts w:ascii="Verdana" w:eastAsia="Calibri" w:hAnsi="Verdana" w:cs="Arial"/>
        </w:rPr>
        <w:t>”, la cual “</w:t>
      </w:r>
      <w:r>
        <w:rPr>
          <w:rFonts w:ascii="Verdana" w:eastAsia="Calibri" w:hAnsi="Verdana" w:cs="Arial"/>
        </w:rPr>
        <w:t xml:space="preserve">(…) </w:t>
      </w:r>
      <w:r w:rsidRPr="00CB6395">
        <w:rPr>
          <w:rFonts w:ascii="Verdana" w:eastAsia="Calibri" w:hAnsi="Verdana" w:cs="Arial"/>
        </w:rPr>
        <w:t xml:space="preserve">podrá tener lugar a la mayor brevedad posible, atendida la naturaleza del contrato y la periodicidad establecida para el cumplimiento de las obligaciones contractuales </w:t>
      </w:r>
      <w:r>
        <w:rPr>
          <w:rFonts w:ascii="Verdana" w:eastAsia="Calibri" w:hAnsi="Verdana" w:cs="Arial"/>
        </w:rPr>
        <w:t>(…)</w:t>
      </w:r>
      <w:r w:rsidRPr="00CB6395">
        <w:rPr>
          <w:rFonts w:ascii="Verdana" w:eastAsia="Calibri" w:hAnsi="Verdana" w:cs="Arial"/>
        </w:rPr>
        <w:t>”. Estas reglas marcan el inicio del plazo de caducidad de la potestad sancionadora del Estado, el cual comienza a contarse desde la ocurrencia del presunto incumplimiento contractual en cualquiera de las tres (3) modalidades consagradas en el artículo 1613 del Código Civil</w:t>
      </w:r>
      <w:r w:rsidRPr="00CB6395">
        <w:rPr>
          <w:rFonts w:cs="Arial"/>
          <w:vertAlign w:val="superscript"/>
        </w:rPr>
        <w:footnoteReference w:id="15"/>
      </w:r>
      <w:r w:rsidRPr="00CB6395">
        <w:rPr>
          <w:rFonts w:ascii="Verdana" w:eastAsia="Calibri" w:hAnsi="Verdana" w:cs="Arial"/>
        </w:rPr>
        <w:t>. En cada una de estas situaciones, dependiendo de las particularidades del caso concreto, la entidad determinará si el incumplimiento tiene naturaleza continuada o no, citando la audiencia a la mayor brevedad con el fin de expedir y notificar la decisión en el plazo perentorio e improrrogable del artículo 52 de la Ley 1437 de 2011</w:t>
      </w:r>
      <w:r w:rsidRPr="00CB6395">
        <w:rPr>
          <w:rFonts w:ascii="Verdana" w:eastAsia="Calibri" w:hAnsi="Verdana" w:cs="Arial"/>
          <w:vertAlign w:val="superscript"/>
        </w:rPr>
        <w:footnoteReference w:id="16"/>
      </w:r>
      <w:r w:rsidRPr="00CB6395">
        <w:rPr>
          <w:rFonts w:ascii="Verdana" w:eastAsia="Calibri" w:hAnsi="Verdana" w:cs="Arial"/>
        </w:rPr>
        <w:t>.</w:t>
      </w:r>
    </w:p>
    <w:p w14:paraId="336FFE57" w14:textId="77777777" w:rsidR="00300FD9" w:rsidRDefault="00300FD9" w:rsidP="00300FD9">
      <w:pPr>
        <w:shd w:val="clear" w:color="auto" w:fill="FFFFFF"/>
        <w:spacing w:after="120" w:line="276" w:lineRule="auto"/>
        <w:ind w:firstLine="709"/>
        <w:jc w:val="both"/>
        <w:rPr>
          <w:rFonts w:ascii="Verdana" w:eastAsia="Calibri" w:hAnsi="Verdana" w:cs="Arial"/>
        </w:rPr>
      </w:pPr>
      <w:r w:rsidRPr="00C72158">
        <w:rPr>
          <w:rFonts w:ascii="Verdana" w:eastAsia="Calibri" w:hAnsi="Verdana" w:cs="Arial"/>
        </w:rPr>
        <w:t>De esta manera, el vencimiento del plazo pactado en los contratos estatales no impide que la entidad reciba las tareas realizadas fuera de este término ni equivale a la imposibilidad de que el contratista realice prestaciones extemporáneas. De hecho, mientras el contrato esté vigente la entidad puede emplear los medios necesarios para exigir su cumplimiento. Así las cosas, el vencimiento del plazo para el cumplimiento de las obligaciones de tracto sucesivo, por naturaleza suspensivo, no conlleva su extinción, pues tal como se desprende de las consideraciones de orden normativo, jurisprudencial y doctrinario, el vencimiento del plazo suspensivo, en realidad, implica que la obligación se hace exigible en su totalidad a partir de ese mismo instante. Lo anterior, sin perjuicio de que la entidad también pueda hacer uso de sus potestades, como la imposición unilateral de la cláusula penal pecuniaria</w:t>
      </w:r>
      <w:r>
        <w:rPr>
          <w:rFonts w:ascii="Verdana" w:eastAsia="Calibri" w:hAnsi="Verdana" w:cs="Arial"/>
        </w:rPr>
        <w:t>.</w:t>
      </w:r>
    </w:p>
    <w:p w14:paraId="6A7D29E4" w14:textId="77777777" w:rsidR="00300FD9" w:rsidRPr="00832703" w:rsidRDefault="00300FD9" w:rsidP="00300FD9">
      <w:pPr>
        <w:shd w:val="clear" w:color="auto" w:fill="FFFFFF"/>
        <w:spacing w:after="120" w:line="276" w:lineRule="auto"/>
        <w:ind w:firstLine="709"/>
        <w:jc w:val="both"/>
        <w:rPr>
          <w:rFonts w:ascii="Verdana" w:eastAsia="Calibri" w:hAnsi="Verdana" w:cs="Arial"/>
        </w:rPr>
      </w:pPr>
      <w:r>
        <w:rPr>
          <w:rFonts w:ascii="Verdana" w:hAnsi="Verdana" w:cs="Arial"/>
          <w:color w:val="000000" w:themeColor="text1"/>
        </w:rPr>
        <w:t xml:space="preserve">El </w:t>
      </w:r>
      <w:r w:rsidRPr="002545B6">
        <w:rPr>
          <w:rFonts w:ascii="Verdana" w:hAnsi="Verdana" w:cs="Arial"/>
          <w:color w:val="000000" w:themeColor="text1"/>
        </w:rPr>
        <w:t xml:space="preserve">literal d) del artículo 86 de la Ley 1474 de 2011 establece la posibilidad de terminar el procedimiento administrativo sancionatorio contractual </w:t>
      </w:r>
      <w:r>
        <w:rPr>
          <w:rFonts w:ascii="Verdana" w:hAnsi="Verdana" w:cs="Arial"/>
          <w:color w:val="000000" w:themeColor="text1"/>
        </w:rPr>
        <w:t xml:space="preserve">frente al cumplimiento de las obligaciones. Frente a esta hipótesis, dispone que “(…) </w:t>
      </w:r>
      <w:r w:rsidRPr="002545B6">
        <w:rPr>
          <w:rFonts w:ascii="Verdana" w:hAnsi="Verdana" w:cs="Arial"/>
          <w:color w:val="000000" w:themeColor="text1"/>
        </w:rPr>
        <w:t>La entidad podrá dar por terminado el procedimiento en cualquier momento, si por algún medio tiene conocimiento de la cesación de situación de incumplimiento</w:t>
      </w:r>
      <w:r>
        <w:rPr>
          <w:rFonts w:ascii="Verdana" w:hAnsi="Verdana" w:cs="Arial"/>
          <w:color w:val="000000" w:themeColor="text1"/>
        </w:rPr>
        <w:t>”.</w:t>
      </w:r>
    </w:p>
    <w:p w14:paraId="5EBD0B4F" w14:textId="77777777" w:rsidR="00300FD9" w:rsidRDefault="00300FD9" w:rsidP="00300FD9">
      <w:pPr>
        <w:spacing w:after="120" w:line="276" w:lineRule="auto"/>
        <w:ind w:right="142" w:firstLine="708"/>
        <w:jc w:val="both"/>
        <w:rPr>
          <w:rFonts w:ascii="Verdana" w:hAnsi="Verdana" w:cs="Arial"/>
          <w:color w:val="000000" w:themeColor="text1"/>
          <w:lang w:val="es-ES"/>
        </w:rPr>
      </w:pPr>
      <w:r w:rsidRPr="419AE83B">
        <w:rPr>
          <w:rFonts w:ascii="Verdana" w:hAnsi="Verdana" w:cs="Arial"/>
          <w:color w:val="000000" w:themeColor="text1"/>
          <w:lang w:val="es-ES"/>
        </w:rPr>
        <w:t xml:space="preserve">En relación con este literal, es necesario realizar algunas precisiones: </w:t>
      </w:r>
      <w:r w:rsidRPr="419AE83B">
        <w:rPr>
          <w:rFonts w:ascii="Verdana" w:hAnsi="Verdana" w:cs="Arial"/>
          <w:i/>
          <w:color w:val="000000" w:themeColor="text1"/>
          <w:lang w:val="es-ES"/>
        </w:rPr>
        <w:t>i)</w:t>
      </w:r>
      <w:r w:rsidRPr="419AE83B">
        <w:rPr>
          <w:rFonts w:ascii="Verdana" w:hAnsi="Verdana" w:cs="Arial"/>
          <w:color w:val="000000" w:themeColor="text1"/>
          <w:lang w:val="es-ES"/>
        </w:rPr>
        <w:t xml:space="preserve"> esta norma regula la forma como debe actuar la entidad cuando cesa la situación de incumplimiento </w:t>
      </w:r>
      <w:r w:rsidRPr="419AE83B">
        <w:rPr>
          <w:rFonts w:ascii="Verdana" w:hAnsi="Verdana" w:cs="Arial"/>
          <w:i/>
          <w:color w:val="000000" w:themeColor="text1"/>
          <w:lang w:val="es-ES"/>
        </w:rPr>
        <w:t>durante el trámite del procedimiento administrativo sancionatorio</w:t>
      </w:r>
      <w:r w:rsidRPr="419AE83B">
        <w:rPr>
          <w:rFonts w:ascii="Verdana" w:hAnsi="Verdana" w:cs="Arial"/>
          <w:color w:val="000000" w:themeColor="text1"/>
          <w:lang w:val="es-ES"/>
        </w:rPr>
        <w:t xml:space="preserve">, esto es, una vez iniciado. Así, es ajeno a la norma anterior la definición de cómo debe actuar la entidad cuando la cesación de la situación de incumplimiento se da con anterioridad, es decir, cuando pese a un incumplimiento previo, el contratista cumple sus obligaciones, dejando de quedar pendiente el cumplimiento antes de que se inicie el procedimiento sancionatorio. </w:t>
      </w:r>
    </w:p>
    <w:p w14:paraId="1567BCBB" w14:textId="77777777" w:rsidR="00300FD9" w:rsidRPr="002545B6" w:rsidRDefault="00300FD9" w:rsidP="00300FD9">
      <w:pPr>
        <w:spacing w:after="120" w:line="276" w:lineRule="auto"/>
        <w:ind w:right="142" w:firstLine="708"/>
        <w:jc w:val="both"/>
        <w:rPr>
          <w:rFonts w:ascii="Verdana" w:hAnsi="Verdana" w:cs="Arial"/>
          <w:iCs/>
          <w:color w:val="000000" w:themeColor="text1"/>
          <w:lang w:val="es-ES_tradnl"/>
        </w:rPr>
      </w:pPr>
      <w:r>
        <w:rPr>
          <w:rFonts w:ascii="Verdana" w:hAnsi="Verdana" w:cs="Arial"/>
          <w:iCs/>
          <w:color w:val="000000" w:themeColor="text1"/>
          <w:lang w:val="es-ES_tradnl"/>
        </w:rPr>
        <w:t>E</w:t>
      </w:r>
      <w:r w:rsidRPr="002545B6">
        <w:rPr>
          <w:rFonts w:ascii="Verdana" w:hAnsi="Verdana" w:cs="Arial"/>
          <w:iCs/>
          <w:color w:val="000000" w:themeColor="text1"/>
          <w:lang w:val="es-ES_tradnl"/>
        </w:rPr>
        <w:t xml:space="preserve">n </w:t>
      </w:r>
      <w:r>
        <w:rPr>
          <w:rFonts w:ascii="Verdana" w:hAnsi="Verdana" w:cs="Arial"/>
          <w:iCs/>
          <w:color w:val="000000" w:themeColor="text1"/>
          <w:lang w:val="es-ES_tradnl"/>
        </w:rPr>
        <w:t>este último</w:t>
      </w:r>
      <w:r w:rsidRPr="002545B6">
        <w:rPr>
          <w:rFonts w:ascii="Verdana" w:hAnsi="Verdana" w:cs="Arial"/>
          <w:iCs/>
          <w:color w:val="000000" w:themeColor="text1"/>
          <w:lang w:val="es-ES_tradnl"/>
        </w:rPr>
        <w:t xml:space="preserve"> caso la entidad no podrá iniciarlo, toda vez que como lo establece el artículo 17 de la Ley 1150 de 2007, este procedimiento, tendiente a la imposición unilateral de cláusulas penales o de multas</w:t>
      </w:r>
      <w:r>
        <w:rPr>
          <w:rFonts w:ascii="Verdana" w:hAnsi="Verdana" w:cs="Arial"/>
          <w:iCs/>
          <w:color w:val="000000" w:themeColor="text1"/>
          <w:lang w:val="es-ES_tradnl"/>
        </w:rPr>
        <w:t>,</w:t>
      </w:r>
      <w:r w:rsidRPr="002545B6">
        <w:rPr>
          <w:rFonts w:ascii="Verdana" w:hAnsi="Verdana" w:cs="Arial"/>
          <w:iCs/>
          <w:color w:val="000000" w:themeColor="text1"/>
          <w:lang w:val="es-ES_tradnl"/>
        </w:rPr>
        <w:t xml:space="preserve"> procede </w:t>
      </w:r>
      <w:r>
        <w:rPr>
          <w:rFonts w:ascii="Verdana" w:hAnsi="Verdana" w:cs="Arial"/>
          <w:iCs/>
          <w:color w:val="000000" w:themeColor="text1"/>
          <w:lang w:val="es-ES_tradnl"/>
        </w:rPr>
        <w:t>“(…)</w:t>
      </w:r>
      <w:r w:rsidRPr="002545B6">
        <w:rPr>
          <w:rFonts w:ascii="Verdana" w:hAnsi="Verdana" w:cs="Arial"/>
          <w:iCs/>
          <w:color w:val="000000" w:themeColor="text1"/>
          <w:lang w:val="es-ES_tradnl"/>
        </w:rPr>
        <w:t xml:space="preserve"> sólo mientras se halle pendiente la ejecución de las obligaciones a cargo del contratista </w:t>
      </w:r>
      <w:r>
        <w:rPr>
          <w:rFonts w:ascii="Verdana" w:hAnsi="Verdana" w:cs="Arial"/>
          <w:iCs/>
          <w:color w:val="000000" w:themeColor="text1"/>
          <w:lang w:val="es-ES_tradnl"/>
        </w:rPr>
        <w:t>(…)”</w:t>
      </w:r>
      <w:r w:rsidRPr="002545B6">
        <w:rPr>
          <w:rFonts w:ascii="Verdana" w:hAnsi="Verdana" w:cs="Arial"/>
          <w:iCs/>
          <w:color w:val="000000" w:themeColor="text1"/>
          <w:lang w:val="es-ES_tradnl"/>
        </w:rPr>
        <w:t>. Sin perjuicio de lo anterior, iniciado el procedimiento sancionatorio, por estar el contratista incumpliendo las obligaciones, si esta situación cesa durante el trámite, esto es, después de iniciado, la entidad, discrecionalmente, puede terminarlo o continuarlo, como lo dispone el literal d) artículo 86 de la Ley 1474 de 2011.</w:t>
      </w:r>
    </w:p>
    <w:p w14:paraId="47BFFC0B" w14:textId="77777777" w:rsidR="00300FD9" w:rsidRDefault="00300FD9" w:rsidP="00300FD9">
      <w:pPr>
        <w:spacing w:after="120" w:line="276" w:lineRule="auto"/>
        <w:ind w:right="142" w:firstLine="708"/>
        <w:jc w:val="both"/>
        <w:rPr>
          <w:rFonts w:ascii="Verdana" w:hAnsi="Verdana" w:cs="Arial"/>
          <w:color w:val="000000" w:themeColor="text1"/>
          <w:lang w:val="es-ES"/>
        </w:rPr>
      </w:pPr>
      <w:r w:rsidRPr="419AE83B">
        <w:rPr>
          <w:rFonts w:ascii="Verdana" w:hAnsi="Verdana" w:cs="Arial"/>
          <w:color w:val="000000" w:themeColor="text1"/>
          <w:lang w:val="es-ES"/>
        </w:rPr>
        <w:t xml:space="preserve">Aclarado que la norma se refiere a la cesación del incumplimiento una vez iniciado el procedimiento sancionatorio, se debe destacar que la potestad otorgada a la entidad para terminarlo, con fundamento en dicha circunstancia, </w:t>
      </w:r>
      <w:r w:rsidRPr="419AE83B">
        <w:rPr>
          <w:rFonts w:ascii="Verdana" w:hAnsi="Verdana" w:cs="Arial"/>
          <w:i/>
          <w:color w:val="000000" w:themeColor="text1"/>
          <w:lang w:val="es-ES"/>
        </w:rPr>
        <w:t>es una decisión discrecional</w:t>
      </w:r>
      <w:r w:rsidRPr="419AE83B">
        <w:rPr>
          <w:rStyle w:val="Refdenotaalpie"/>
          <w:rFonts w:ascii="Verdana" w:hAnsi="Verdana" w:cs="Arial"/>
          <w:color w:val="000000" w:themeColor="text1"/>
          <w:lang w:val="es-ES"/>
        </w:rPr>
        <w:footnoteReference w:id="17"/>
      </w:r>
      <w:r w:rsidRPr="419AE83B">
        <w:rPr>
          <w:rFonts w:ascii="Verdana" w:hAnsi="Verdana" w:cs="Arial"/>
          <w:color w:val="000000" w:themeColor="text1"/>
          <w:lang w:val="es-ES"/>
        </w:rPr>
        <w:t xml:space="preserve">. Esto es evidente en la norma, toda vez que utiliza el término común con el que se otorgan potestades discrecionales: </w:t>
      </w:r>
      <w:r w:rsidRPr="419AE83B">
        <w:rPr>
          <w:rFonts w:ascii="Verdana" w:hAnsi="Verdana" w:cs="Arial"/>
          <w:i/>
          <w:color w:val="000000" w:themeColor="text1"/>
          <w:lang w:val="es-ES"/>
        </w:rPr>
        <w:t xml:space="preserve">podrá. </w:t>
      </w:r>
      <w:r w:rsidRPr="419AE83B">
        <w:rPr>
          <w:rFonts w:ascii="Verdana" w:hAnsi="Verdana" w:cs="Arial"/>
          <w:color w:val="000000" w:themeColor="text1"/>
          <w:lang w:val="es-ES"/>
        </w:rPr>
        <w:t>En tal sentido, se puede decidir sobre la conveniencia o no de terminar el procedimiento, al advertirse que cesa la situación de incumplimiento, de manera que no es un deber hacerlo.</w:t>
      </w:r>
    </w:p>
    <w:p w14:paraId="2B350EFC" w14:textId="77777777" w:rsidR="00300FD9" w:rsidRPr="002545B6" w:rsidRDefault="00300FD9" w:rsidP="00300FD9">
      <w:pPr>
        <w:spacing w:after="120" w:line="276" w:lineRule="auto"/>
        <w:ind w:right="142" w:firstLine="709"/>
        <w:jc w:val="both"/>
        <w:rPr>
          <w:rFonts w:ascii="Verdana" w:hAnsi="Verdana" w:cs="Arial"/>
          <w:color w:val="000000" w:themeColor="text1"/>
          <w:lang w:val="es-ES"/>
        </w:rPr>
      </w:pPr>
      <w:r w:rsidRPr="419AE83B">
        <w:rPr>
          <w:rFonts w:ascii="Verdana" w:hAnsi="Verdana" w:cs="Arial"/>
          <w:color w:val="000000" w:themeColor="text1"/>
          <w:lang w:val="es-ES"/>
        </w:rPr>
        <w:t>El presupuesto para que se active la potestad discrecional consiste en que la entidad conozca la “</w:t>
      </w:r>
      <w:r w:rsidRPr="419AE83B">
        <w:rPr>
          <w:rFonts w:ascii="Verdana" w:hAnsi="Verdana" w:cs="Arial"/>
          <w:i/>
          <w:color w:val="000000" w:themeColor="text1"/>
          <w:lang w:val="es-ES"/>
        </w:rPr>
        <w:t>cesación de la situación de incumplimiento</w:t>
      </w:r>
      <w:r w:rsidRPr="419AE83B">
        <w:rPr>
          <w:rFonts w:ascii="Verdana" w:hAnsi="Verdana" w:cs="Arial"/>
          <w:color w:val="000000" w:themeColor="text1"/>
          <w:lang w:val="es-ES"/>
        </w:rPr>
        <w:t xml:space="preserve">”. Esta circunstancia también debe valorarla la entidad; pues solo en tal caso se activa la potestad conferida. Además, la cesación del incumplimiento podría ser frente a algunos de los incumplimientos por los cuales se adelanta el procedimiento sancionatorio; en tal caso, la entidad podrá terminarlo </w:t>
      </w:r>
      <w:r w:rsidRPr="419AE83B">
        <w:rPr>
          <w:rFonts w:ascii="Verdana" w:hAnsi="Verdana" w:cs="Arial"/>
          <w:i/>
          <w:color w:val="000000" w:themeColor="text1"/>
          <w:lang w:val="es-ES"/>
        </w:rPr>
        <w:t>parcialmente</w:t>
      </w:r>
      <w:r w:rsidRPr="419AE83B">
        <w:rPr>
          <w:rFonts w:ascii="Verdana" w:hAnsi="Verdana" w:cs="Arial"/>
          <w:color w:val="000000" w:themeColor="text1"/>
          <w:lang w:val="es-ES"/>
        </w:rPr>
        <w:t xml:space="preserve">, esto es, frente a algunos de los supuestos de incumplimiento, pudiendo continuar con los demás. En todo caso, las posibilidades anteriores siguen siendo facultades discrecionales. </w:t>
      </w:r>
    </w:p>
    <w:p w14:paraId="2D8C9CFC" w14:textId="77777777" w:rsidR="00300FD9" w:rsidRPr="002545B6" w:rsidRDefault="00300FD9" w:rsidP="00300FD9">
      <w:pPr>
        <w:spacing w:after="120" w:line="276" w:lineRule="auto"/>
        <w:ind w:right="142"/>
        <w:jc w:val="both"/>
        <w:rPr>
          <w:rFonts w:ascii="Verdana" w:hAnsi="Verdana" w:cs="Arial"/>
          <w:iCs/>
          <w:color w:val="000000" w:themeColor="text1"/>
          <w:lang w:val="es-ES_tradnl"/>
        </w:rPr>
      </w:pPr>
      <w:r w:rsidRPr="002545B6">
        <w:rPr>
          <w:rFonts w:ascii="Verdana" w:hAnsi="Verdana" w:cs="Arial"/>
          <w:iCs/>
          <w:color w:val="000000" w:themeColor="text1"/>
          <w:lang w:val="es-ES_tradnl"/>
        </w:rPr>
        <w:tab/>
        <w:t xml:space="preserve">También cabe resaltar que la posibilidad de terminar el procedimiento aplica en los casos en que efectivamente cese la situación de incumplimiento, pues, atendiendo a las prestaciones de ciertos contratos, existen obligaciones que deben cumplirse en determinado momento, atendiendo a la finalidad con que se haya celebrado el negocio jurídico, pues la ejecución de prestaciones tardías, en ciertos contratos, podría no reportarle utilidad a la entidad, por lo que dichos </w:t>
      </w:r>
      <w:r>
        <w:rPr>
          <w:rFonts w:ascii="Verdana" w:hAnsi="Verdana" w:cs="Arial"/>
          <w:iCs/>
          <w:color w:val="000000" w:themeColor="text1"/>
          <w:lang w:val="es-ES_tradnl"/>
        </w:rPr>
        <w:t>“</w:t>
      </w:r>
      <w:r w:rsidRPr="002545B6">
        <w:rPr>
          <w:rFonts w:ascii="Verdana" w:hAnsi="Verdana" w:cs="Arial"/>
          <w:iCs/>
          <w:color w:val="000000" w:themeColor="text1"/>
          <w:lang w:val="es-ES_tradnl"/>
        </w:rPr>
        <w:t>cumplimientos</w:t>
      </w:r>
      <w:r>
        <w:rPr>
          <w:rFonts w:ascii="Verdana" w:hAnsi="Verdana" w:cs="Arial"/>
          <w:iCs/>
          <w:color w:val="000000" w:themeColor="text1"/>
          <w:lang w:val="es-ES_tradnl"/>
        </w:rPr>
        <w:t>”</w:t>
      </w:r>
      <w:r w:rsidRPr="002545B6">
        <w:rPr>
          <w:rFonts w:ascii="Verdana" w:hAnsi="Verdana" w:cs="Arial"/>
          <w:iCs/>
          <w:color w:val="000000" w:themeColor="text1"/>
          <w:lang w:val="es-ES_tradnl"/>
        </w:rPr>
        <w:t xml:space="preserve"> tardíos en realidad no implicarían que el contratista cese en la situación de incumplimiento. Esto sucedería, por ejemplo, si un contratista se compromete a entregar algunos refrigerios para un evento que se realizará el 30 de agosto, incumpliendo dicha obligación, por lo cual la entidad inicia un procedimiento sancionatorio y, durante su trámite, el contratista entrega los refrigerios, por ejemplo, el 2 de septiembre, cuando la entidad ya no los necesita. </w:t>
      </w:r>
    </w:p>
    <w:p w14:paraId="066F354F" w14:textId="77777777" w:rsidR="00300FD9" w:rsidRDefault="00300FD9" w:rsidP="00300FD9">
      <w:pPr>
        <w:spacing w:after="120" w:line="276" w:lineRule="auto"/>
        <w:ind w:right="142"/>
        <w:jc w:val="both"/>
        <w:rPr>
          <w:rFonts w:ascii="Verdana" w:hAnsi="Verdana" w:cs="Arial"/>
          <w:color w:val="000000" w:themeColor="text1"/>
          <w:lang w:val="es-ES"/>
        </w:rPr>
      </w:pPr>
      <w:r w:rsidRPr="002545B6">
        <w:rPr>
          <w:rFonts w:ascii="Verdana" w:hAnsi="Verdana" w:cs="Arial"/>
          <w:iCs/>
          <w:color w:val="000000" w:themeColor="text1"/>
          <w:lang w:val="es-ES_tradnl"/>
        </w:rPr>
        <w:tab/>
      </w:r>
      <w:r w:rsidRPr="419AE83B">
        <w:rPr>
          <w:rFonts w:ascii="Verdana" w:hAnsi="Verdana" w:cs="Arial"/>
          <w:color w:val="000000" w:themeColor="text1"/>
          <w:lang w:val="es-ES"/>
        </w:rPr>
        <w:t xml:space="preserve">Finalmente, la potestad discrecional comentada aplica en los supuestos en que la entidad, </w:t>
      </w:r>
      <w:r w:rsidRPr="419AE83B">
        <w:rPr>
          <w:rFonts w:ascii="Verdana" w:hAnsi="Verdana" w:cs="Arial"/>
          <w:i/>
          <w:color w:val="000000" w:themeColor="text1"/>
          <w:lang w:val="es-ES"/>
        </w:rPr>
        <w:t>por cualquier medio</w:t>
      </w:r>
      <w:r w:rsidRPr="419AE83B">
        <w:rPr>
          <w:rFonts w:ascii="Verdana" w:hAnsi="Verdana" w:cs="Arial"/>
          <w:color w:val="000000" w:themeColor="text1"/>
          <w:lang w:val="es-ES"/>
        </w:rPr>
        <w:t>, tenga conocimiento de la cesación de la situación de incumplimiento; conocimiento al que puede llegar por sus actuaciones oficiosas o por advertencia de cualquier interesado</w:t>
      </w:r>
      <w:r>
        <w:rPr>
          <w:rFonts w:ascii="Verdana" w:hAnsi="Verdana" w:cs="Arial"/>
          <w:color w:val="000000" w:themeColor="text1"/>
          <w:lang w:val="es-ES"/>
        </w:rPr>
        <w:t>.</w:t>
      </w:r>
    </w:p>
    <w:p w14:paraId="735CCF4B" w14:textId="77777777" w:rsidR="00300FD9" w:rsidRDefault="00300FD9" w:rsidP="00300FD9">
      <w:pPr>
        <w:spacing w:after="120" w:line="276" w:lineRule="auto"/>
        <w:ind w:right="142" w:firstLine="709"/>
        <w:jc w:val="both"/>
        <w:rPr>
          <w:rFonts w:ascii="Verdana" w:hAnsi="Verdana" w:cs="Arial"/>
          <w:color w:val="000000" w:themeColor="text1"/>
          <w:lang w:val="es-ES"/>
        </w:rPr>
      </w:pPr>
      <w:r>
        <w:rPr>
          <w:rFonts w:ascii="Verdana" w:hAnsi="Verdana" w:cs="Arial"/>
          <w:color w:val="000000" w:themeColor="text1"/>
          <w:lang w:val="es-ES"/>
        </w:rPr>
        <w:t xml:space="preserve">Con fundamento en lo anterior, es importante advertir que, si la entidad estatal contratante y el contratista formalizan un arreglo directo, en ella se definirán las pautas mínimas, cláusulas y determinaciones necesarias con el fin de solucionar de manera directa las controversias. De tal manera que será la entidad contratante, dentro de la potestad reconocida en el literal d) del artículo 86 de la Ley 1474 de 2011 si decide archivar o cerrar el procedimiento administrativo sancionatorio de carácter contractual si por cualquier medio tiene conocimiento de la cesación de incumplimiento, o si considera que, en virtud de los hechos presuntamente incumplidos, se mantenga el proceso sancionatorio de carácter contractual o se inicie un nuevo procedimiento. </w:t>
      </w:r>
    </w:p>
    <w:p w14:paraId="4A8967E8" w14:textId="77777777" w:rsidR="00300FD9" w:rsidRPr="009F6483" w:rsidRDefault="00300FD9" w:rsidP="00300FD9">
      <w:pPr>
        <w:spacing w:after="120" w:line="276" w:lineRule="auto"/>
        <w:jc w:val="both"/>
        <w:rPr>
          <w:rFonts w:ascii="Verdana" w:hAnsi="Verdana" w:cs="Arial"/>
          <w:lang w:eastAsia="es-ES_tradnl" w:bidi="es-ES"/>
        </w:rPr>
      </w:pPr>
      <w:proofErr w:type="spellStart"/>
      <w:r>
        <w:rPr>
          <w:rFonts w:ascii="Verdana" w:hAnsi="Verdana" w:cs="Arial"/>
          <w:color w:val="000000" w:themeColor="text1"/>
          <w:lang w:val="es-ES"/>
        </w:rPr>
        <w:t>ii</w:t>
      </w:r>
      <w:proofErr w:type="spellEnd"/>
      <w:r>
        <w:rPr>
          <w:rFonts w:ascii="Verdana" w:hAnsi="Verdana" w:cs="Arial"/>
          <w:color w:val="000000" w:themeColor="text1"/>
          <w:lang w:val="es-ES"/>
        </w:rPr>
        <w:t xml:space="preserve">) </w:t>
      </w:r>
      <w:r>
        <w:rPr>
          <w:rFonts w:ascii="Verdana" w:eastAsia="Times New Roman" w:hAnsi="Verdana" w:cs="Arial"/>
          <w:lang w:eastAsia="es-ES_tradnl" w:bidi="es-ES"/>
        </w:rPr>
        <w:t>L</w:t>
      </w:r>
      <w:r w:rsidRPr="009F6483">
        <w:rPr>
          <w:rFonts w:ascii="Verdana" w:eastAsia="Times New Roman" w:hAnsi="Verdana" w:cs="Arial"/>
          <w:lang w:eastAsia="es-ES_tradnl" w:bidi="es-ES"/>
        </w:rPr>
        <w:t>as multas se erigen como un instrumento puesto a disposición de las diferentes entidades estatales para que éstas</w:t>
      </w:r>
      <w:r>
        <w:rPr>
          <w:rFonts w:ascii="Verdana" w:eastAsia="Times New Roman" w:hAnsi="Verdana" w:cs="Arial"/>
          <w:lang w:eastAsia="es-ES_tradnl" w:bidi="es-ES"/>
        </w:rPr>
        <w:t>, previo acuerdo entre las partes,</w:t>
      </w:r>
      <w:r w:rsidRPr="009F6483">
        <w:rPr>
          <w:rFonts w:ascii="Verdana" w:eastAsia="Times New Roman" w:hAnsi="Verdana" w:cs="Arial"/>
          <w:lang w:eastAsia="es-ES_tradnl" w:bidi="es-ES"/>
        </w:rPr>
        <w:t xml:space="preserve"> conminen o apremien al colaborador de la Administración, con el objetivo de que ajuste su conducta a las prescripciones del contrato. Es decir, en últimas, es una medida de persuasión utilizada por las entidades para recordarle al contratista la necesidad de cumplir bien y oportunamente con las prestaciones que tiene a su cargo.</w:t>
      </w:r>
      <w:r w:rsidRPr="009F6483">
        <w:rPr>
          <w:rFonts w:ascii="Verdana" w:hAnsi="Verdana" w:cs="Arial"/>
          <w:lang w:eastAsia="es-ES_tradnl" w:bidi="es-ES"/>
        </w:rPr>
        <w:t xml:space="preserve"> </w:t>
      </w:r>
    </w:p>
    <w:p w14:paraId="14640C45" w14:textId="77777777" w:rsidR="00300FD9" w:rsidRPr="009F6483" w:rsidRDefault="00300FD9" w:rsidP="00300FD9">
      <w:pPr>
        <w:spacing w:after="120" w:line="276" w:lineRule="auto"/>
        <w:ind w:firstLine="709"/>
        <w:jc w:val="both"/>
        <w:rPr>
          <w:rFonts w:ascii="Verdana" w:eastAsia="Times New Roman" w:hAnsi="Verdana" w:cs="Arial"/>
          <w:lang w:eastAsia="es-ES_tradnl" w:bidi="es-ES"/>
        </w:rPr>
      </w:pPr>
      <w:r>
        <w:rPr>
          <w:rFonts w:ascii="Verdana" w:hAnsi="Verdana" w:cs="Arial"/>
          <w:color w:val="000000" w:themeColor="text1"/>
          <w:lang w:val="es-ES"/>
        </w:rPr>
        <w:t xml:space="preserve">    </w:t>
      </w:r>
      <w:r w:rsidRPr="009F6483">
        <w:rPr>
          <w:rFonts w:ascii="Verdana" w:eastAsia="Times New Roman" w:hAnsi="Verdana" w:cs="Arial"/>
          <w:lang w:eastAsia="es-ES_tradnl" w:bidi="es-ES"/>
        </w:rPr>
        <w:t xml:space="preserve">Al respecto, el Consejo de Estado ha reiterado que la finalidad de la multa es de “constreñimiento, coerción o coacción para presionar, compeler o apremiar en forma legítima al contratista a dar cumplimiento al contrato” y no tiene por objeto indemnizar sino sancionar: </w:t>
      </w:r>
    </w:p>
    <w:p w14:paraId="5D377680" w14:textId="77777777" w:rsidR="00300FD9" w:rsidRPr="009F6483" w:rsidRDefault="00300FD9" w:rsidP="00300FD9">
      <w:pPr>
        <w:spacing w:after="0" w:line="240" w:lineRule="auto"/>
        <w:ind w:left="709" w:right="618"/>
        <w:jc w:val="both"/>
        <w:rPr>
          <w:rFonts w:ascii="Verdana" w:hAnsi="Verdana" w:cs="Arial"/>
          <w:iCs/>
          <w:sz w:val="20"/>
          <w:szCs w:val="20"/>
          <w:lang w:val="es-ES_tradnl"/>
        </w:rPr>
      </w:pPr>
      <w:r w:rsidRPr="009F6483">
        <w:rPr>
          <w:rFonts w:ascii="Verdana" w:hAnsi="Verdana" w:cs="Arial"/>
          <w:iCs/>
          <w:sz w:val="20"/>
          <w:szCs w:val="20"/>
          <w:lang w:val="es-ES_tradnl"/>
        </w:rPr>
        <w:t>“las multas cumplen una función sancionatoria y no indemnizatoria, pues no tienen como propósito reparar los perjuicios sufridos por la entidad ante el incumplimiento. Son medidas disuasorias destinadas a superar la infracción de las obligaciones contractuales y, por tanto, su función principal es apremiar al contratista para que dé cumplimiento a las mismas, dado que cuando a un contratista se le aplica una multa por incurrir en mora en el cumplimiento de su obligación o por cumplirla defectuosamente, las reglas de la experiencia indican que al ejercerse este medio de presión adecuará su conducta a los términos del contrato para evitar que en lo sucesivo ello vuelva a ocurrir, con mayor razón cuando la infracción contractual reiterada y la consiguiente imposición de multas genera inhabilidad para contratar con el Estado</w:t>
      </w:r>
      <w:r w:rsidRPr="009F6483">
        <w:rPr>
          <w:rFonts w:ascii="Verdana" w:hAnsi="Verdana" w:cs="Arial"/>
          <w:iCs/>
          <w:sz w:val="20"/>
          <w:szCs w:val="20"/>
          <w:vertAlign w:val="superscript"/>
          <w:lang w:val="es-ES_tradnl"/>
        </w:rPr>
        <w:footnoteReference w:id="18"/>
      </w:r>
      <w:r w:rsidRPr="009F6483">
        <w:rPr>
          <w:rFonts w:ascii="Verdana" w:hAnsi="Verdana" w:cs="Arial"/>
          <w:iCs/>
          <w:sz w:val="20"/>
          <w:szCs w:val="20"/>
          <w:lang w:val="es-ES_tradnl"/>
        </w:rPr>
        <w:t>”</w:t>
      </w:r>
      <w:r>
        <w:rPr>
          <w:rFonts w:ascii="Verdana" w:hAnsi="Verdana" w:cs="Arial"/>
          <w:iCs/>
          <w:sz w:val="20"/>
          <w:szCs w:val="20"/>
          <w:lang w:val="es-ES_tradnl"/>
        </w:rPr>
        <w:t>.</w:t>
      </w:r>
    </w:p>
    <w:p w14:paraId="33C9F89F" w14:textId="77777777" w:rsidR="00300FD9" w:rsidRDefault="00300FD9" w:rsidP="00300FD9">
      <w:pPr>
        <w:spacing w:after="0" w:line="276" w:lineRule="auto"/>
        <w:rPr>
          <w:rFonts w:ascii="Verdana" w:eastAsia="Times New Roman" w:hAnsi="Verdana" w:cs="Arial"/>
          <w:lang w:val="es-ES_tradnl" w:eastAsia="es-ES_tradnl" w:bidi="es-ES"/>
        </w:rPr>
      </w:pPr>
    </w:p>
    <w:p w14:paraId="6653C9B8" w14:textId="77777777" w:rsidR="00300FD9" w:rsidRDefault="00300FD9" w:rsidP="00300FD9">
      <w:pPr>
        <w:spacing w:after="120" w:line="276" w:lineRule="auto"/>
        <w:ind w:firstLine="708"/>
        <w:jc w:val="both"/>
        <w:rPr>
          <w:rFonts w:ascii="Verdana" w:eastAsia="Calibri" w:hAnsi="Verdana" w:cs="Arial"/>
          <w:bCs/>
          <w:color w:val="000000" w:themeColor="text1"/>
        </w:rPr>
      </w:pPr>
      <w:r w:rsidRPr="00AC09A9">
        <w:rPr>
          <w:rFonts w:ascii="Verdana" w:eastAsia="Calibri" w:hAnsi="Verdana" w:cs="Arial"/>
          <w:bCs/>
          <w:color w:val="000000" w:themeColor="text1"/>
        </w:rPr>
        <w:t>En este sentido, la cláusula que pacta las multas es una estipulación accidental en los contratos estatales</w:t>
      </w:r>
      <w:r w:rsidRPr="00AC09A9">
        <w:rPr>
          <w:rFonts w:ascii="Verdana" w:eastAsia="Calibri" w:hAnsi="Verdana" w:cs="Arial"/>
          <w:bCs/>
          <w:color w:val="000000" w:themeColor="text1"/>
          <w:vertAlign w:val="superscript"/>
        </w:rPr>
        <w:footnoteReference w:id="19"/>
      </w:r>
      <w:r w:rsidRPr="00AC09A9">
        <w:rPr>
          <w:rFonts w:ascii="Verdana" w:eastAsia="Calibri" w:hAnsi="Verdana" w:cs="Arial"/>
          <w:bCs/>
          <w:color w:val="000000" w:themeColor="text1"/>
        </w:rPr>
        <w:t xml:space="preserve"> derivada del ejercicio de la autonomía de la voluntad, incluida con el propósito de facultar a la Administración para apremiar al contratista con el fin de asegurar su cumplimiento, la cual debe determinar las acciones u omisiones objeto de sanción y el monto de la sanción a imponer, acorde con los criterios de proporcionalidad y razonabilidad.</w:t>
      </w:r>
    </w:p>
    <w:p w14:paraId="376E8F81" w14:textId="77777777" w:rsidR="00300FD9" w:rsidRPr="00AC09A9" w:rsidRDefault="00300FD9" w:rsidP="00300FD9">
      <w:pPr>
        <w:spacing w:after="120" w:line="276" w:lineRule="auto"/>
        <w:ind w:firstLine="709"/>
        <w:jc w:val="both"/>
        <w:rPr>
          <w:rFonts w:ascii="Verdana" w:hAnsi="Verdana" w:cs="Arial"/>
          <w:color w:val="000000" w:themeColor="text1"/>
        </w:rPr>
      </w:pPr>
      <w:r>
        <w:rPr>
          <w:rFonts w:ascii="Verdana" w:eastAsia="Calibri" w:hAnsi="Verdana" w:cs="Arial"/>
          <w:bCs/>
          <w:color w:val="000000" w:themeColor="text1"/>
        </w:rPr>
        <w:t xml:space="preserve">Por su parte, la cláusula penal </w:t>
      </w:r>
      <w:r w:rsidRPr="00DA39DF">
        <w:rPr>
          <w:rFonts w:ascii="Verdana" w:eastAsia="Calibri" w:hAnsi="Verdana" w:cs="Arial"/>
          <w:bCs/>
          <w:color w:val="000000" w:themeColor="text1"/>
        </w:rPr>
        <w:t xml:space="preserve">es </w:t>
      </w:r>
      <w:r>
        <w:rPr>
          <w:rFonts w:ascii="Verdana" w:eastAsia="Calibri" w:hAnsi="Verdana" w:cs="Arial"/>
          <w:bCs/>
          <w:color w:val="000000" w:themeColor="text1"/>
        </w:rPr>
        <w:t xml:space="preserve">considerada como </w:t>
      </w:r>
      <w:r w:rsidRPr="00DA39DF">
        <w:rPr>
          <w:rFonts w:ascii="Verdana" w:eastAsia="Calibri" w:hAnsi="Verdana" w:cs="Arial"/>
          <w:bCs/>
          <w:color w:val="000000" w:themeColor="text1"/>
        </w:rPr>
        <w:t xml:space="preserve">una tasación anticipada y definitiva de perjuicios, </w:t>
      </w:r>
      <w:r>
        <w:rPr>
          <w:rFonts w:ascii="Verdana" w:eastAsia="Calibri" w:hAnsi="Verdana" w:cs="Arial"/>
          <w:bCs/>
          <w:color w:val="000000" w:themeColor="text1"/>
        </w:rPr>
        <w:t>la cual puede ser acordada entre las partes del contrato estatal por el incumplimiento definitivo del contrato. En este contexto, será la entidad contratante en virtud del presunto incumplimiento del arreglo directo por parte del contratista quien defina si deberá iniciar el procedimiento administrativo sancionatorio de carácter contractual bien sea bajo la aplicación de una multa o de la efectividad de la cláusula penal, por cuanto, según lo dispuesto en el artículo 17 de la Ley 1150 de 2007, podrá imponerse la multa o la cláusula penal mientras</w:t>
      </w:r>
      <w:r w:rsidRPr="00CB6395">
        <w:rPr>
          <w:rFonts w:ascii="Verdana" w:eastAsia="Calibri" w:hAnsi="Verdana"/>
          <w:lang w:val="es-ES"/>
        </w:rPr>
        <w:t xml:space="preserve"> esté pendiente la ejecución de las obligaciones del contratista, lo cual, define el límite temporal para hacerlo.</w:t>
      </w:r>
    </w:p>
    <w:p w14:paraId="278424C7" w14:textId="77777777" w:rsidR="00300FD9" w:rsidRPr="00BA5429" w:rsidRDefault="00300FD9" w:rsidP="00300FD9">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383A2C3" w14:textId="77777777" w:rsidR="00300FD9" w:rsidRPr="00BA5429" w:rsidRDefault="00300FD9" w:rsidP="00300FD9">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lang w:val="es-ES" w:eastAsia="es-ES"/>
        </w:rPr>
        <w:tab/>
        <w:t>Dentro de este tema</w:t>
      </w:r>
      <w:r w:rsidRPr="00E51636">
        <w:rPr>
          <w:rFonts w:ascii="Verdana" w:eastAsia="Times New Roman" w:hAnsi="Verdana" w:cs="Arial"/>
          <w:color w:val="000000"/>
          <w:lang w:val="es-ES" w:eastAsia="es-ES"/>
        </w:rPr>
        <w:t xml:space="preserve">,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3C07DCB8" w14:textId="77777777" w:rsidR="00300FD9" w:rsidRDefault="00300FD9" w:rsidP="00300FD9">
      <w:pPr>
        <w:spacing w:after="0" w:line="276" w:lineRule="auto"/>
        <w:jc w:val="both"/>
        <w:rPr>
          <w:rFonts w:ascii="Verdana" w:eastAsia="Century Gothic" w:hAnsi="Verdana" w:cs="Century Gothic"/>
          <w:b/>
          <w:bCs/>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
    </w:p>
    <w:p w14:paraId="14AB5C6F" w14:textId="77777777" w:rsidR="00300FD9" w:rsidRPr="000B6E79" w:rsidRDefault="00300FD9" w:rsidP="00300FD9">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00FD9" w:rsidRPr="002D2C18" w14:paraId="23B033AA" w14:textId="77777777" w:rsidTr="00E13F20">
        <w:trPr>
          <w:trHeight w:val="56"/>
          <w:jc w:val="center"/>
        </w:trPr>
        <w:tc>
          <w:tcPr>
            <w:tcW w:w="8647" w:type="dxa"/>
          </w:tcPr>
          <w:p w14:paraId="0D05BCC8" w14:textId="77777777" w:rsidR="00300FD9" w:rsidRPr="00920166" w:rsidRDefault="00300FD9" w:rsidP="00300FD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Código Civil. Artículos 1501, 1613, 1625. </w:t>
            </w:r>
          </w:p>
          <w:p w14:paraId="30280FD0" w14:textId="77777777" w:rsidR="00300FD9" w:rsidRDefault="00300FD9" w:rsidP="00300FD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80 de 1993. Artículos 4 numeral 9, 14, 25 numeral 5, 27, 32, 40.</w:t>
            </w:r>
          </w:p>
          <w:p w14:paraId="0BF35929" w14:textId="77777777" w:rsidR="00300FD9" w:rsidRDefault="00300FD9" w:rsidP="00300FD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Ley 1150 de 2007. Artículos 7, 11, 17. </w:t>
            </w:r>
          </w:p>
          <w:p w14:paraId="11B02F06" w14:textId="77777777" w:rsidR="00300FD9" w:rsidRDefault="00300FD9" w:rsidP="00300FD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Ley 1474 de 2011. Artículo 86. </w:t>
            </w:r>
          </w:p>
          <w:p w14:paraId="2F08A457" w14:textId="77777777" w:rsidR="00300FD9" w:rsidRDefault="00300FD9" w:rsidP="00300FD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Ley 1437 de 2011. Artículo 52. </w:t>
            </w:r>
          </w:p>
          <w:p w14:paraId="7995690E" w14:textId="77777777" w:rsidR="00300FD9" w:rsidRDefault="00300FD9" w:rsidP="00300FD9">
            <w:pPr>
              <w:pStyle w:val="Prrafodelista"/>
              <w:numPr>
                <w:ilvl w:val="0"/>
                <w:numId w:val="17"/>
              </w:numPr>
              <w:spacing w:after="120" w:line="276" w:lineRule="auto"/>
              <w:jc w:val="both"/>
              <w:rPr>
                <w:rFonts w:ascii="Verdana" w:hAnsi="Verdana" w:cs="Arial"/>
                <w:lang w:eastAsia="es-ES"/>
              </w:rPr>
            </w:pPr>
            <w:r w:rsidRPr="00920166">
              <w:rPr>
                <w:rFonts w:ascii="Verdana" w:hAnsi="Verdana" w:cs="Arial"/>
                <w:lang w:eastAsia="es-ES"/>
              </w:rPr>
              <w:t>Consejo de Estado. Sala de Consulta y Servicio Civil, Concepto de 12 de diciembre de 2017, Rad. 2338, C.P. Oscar Darío Amaya Navas.</w:t>
            </w:r>
          </w:p>
          <w:p w14:paraId="73EC3AEA" w14:textId="77777777" w:rsidR="00300FD9" w:rsidRDefault="00300FD9" w:rsidP="00300FD9">
            <w:pPr>
              <w:pStyle w:val="Prrafodelista"/>
              <w:numPr>
                <w:ilvl w:val="0"/>
                <w:numId w:val="17"/>
              </w:numPr>
              <w:spacing w:after="120" w:line="276" w:lineRule="auto"/>
              <w:jc w:val="both"/>
              <w:rPr>
                <w:rFonts w:ascii="Verdana" w:hAnsi="Verdana" w:cs="Arial"/>
                <w:lang w:eastAsia="es-ES"/>
              </w:rPr>
            </w:pPr>
            <w:r w:rsidRPr="00920166">
              <w:rPr>
                <w:rFonts w:ascii="Verdana" w:hAnsi="Verdana" w:cs="Arial"/>
                <w:lang w:eastAsia="es-ES"/>
              </w:rPr>
              <w:t xml:space="preserve">Consejo de Estado. Sala de lo Contencioso Administrativo. Sección Tercera. Sentencia del 15 de noviembre de 2011, expediente 20.916. C.P: Olga Mélida Valle de </w:t>
            </w:r>
            <w:proofErr w:type="spellStart"/>
            <w:r w:rsidRPr="00920166">
              <w:rPr>
                <w:rFonts w:ascii="Verdana" w:hAnsi="Verdana" w:cs="Arial"/>
                <w:lang w:eastAsia="es-ES"/>
              </w:rPr>
              <w:t>De</w:t>
            </w:r>
            <w:proofErr w:type="spellEnd"/>
            <w:r w:rsidRPr="00920166">
              <w:rPr>
                <w:rFonts w:ascii="Verdana" w:hAnsi="Verdana" w:cs="Arial"/>
                <w:lang w:eastAsia="es-ES"/>
              </w:rPr>
              <w:t xml:space="preserve"> La Hoz</w:t>
            </w:r>
            <w:r>
              <w:rPr>
                <w:rFonts w:ascii="Verdana" w:hAnsi="Verdana" w:cs="Arial"/>
                <w:lang w:eastAsia="es-ES"/>
              </w:rPr>
              <w:t>.</w:t>
            </w:r>
          </w:p>
          <w:p w14:paraId="489D1486" w14:textId="77777777" w:rsidR="00300FD9" w:rsidRDefault="00300FD9" w:rsidP="00300FD9">
            <w:pPr>
              <w:pStyle w:val="Prrafodelista"/>
              <w:numPr>
                <w:ilvl w:val="0"/>
                <w:numId w:val="17"/>
              </w:numPr>
              <w:spacing w:after="120" w:line="276" w:lineRule="auto"/>
              <w:jc w:val="both"/>
              <w:rPr>
                <w:rFonts w:ascii="Verdana" w:hAnsi="Verdana" w:cs="Arial"/>
                <w:lang w:eastAsia="es-ES"/>
              </w:rPr>
            </w:pPr>
            <w:r w:rsidRPr="00920166">
              <w:rPr>
                <w:rFonts w:ascii="Verdana" w:hAnsi="Verdana" w:cs="Arial"/>
                <w:lang w:eastAsia="es-ES"/>
              </w:rPr>
              <w:t>Consejo de Estado. Sala de lo Contencioso Administrativo. Sección Tercera.  Sentencia del 13 de noviembre de 2008, expediente 17.009. C.P: Enrique Gil Botero.</w:t>
            </w:r>
          </w:p>
          <w:p w14:paraId="4D2939B6" w14:textId="77777777" w:rsidR="00300FD9" w:rsidRDefault="00300FD9" w:rsidP="00300FD9">
            <w:pPr>
              <w:pStyle w:val="Prrafodelista"/>
              <w:numPr>
                <w:ilvl w:val="0"/>
                <w:numId w:val="17"/>
              </w:numPr>
              <w:spacing w:after="120" w:line="276" w:lineRule="auto"/>
              <w:jc w:val="both"/>
              <w:rPr>
                <w:rFonts w:ascii="Verdana" w:hAnsi="Verdana" w:cs="Arial"/>
                <w:lang w:eastAsia="es-ES"/>
              </w:rPr>
            </w:pPr>
            <w:r w:rsidRPr="00920166">
              <w:rPr>
                <w:rFonts w:ascii="Verdana" w:hAnsi="Verdana" w:cs="Arial"/>
                <w:lang w:eastAsia="es-ES"/>
              </w:rPr>
              <w:t>Consejo de Estado. Sala de Consulta y Servicio Civil. Concepto del 10 de octubre de 2013. Rad. 2157. C.P. Alvaro Namén Vargas.</w:t>
            </w:r>
          </w:p>
          <w:p w14:paraId="4197DD93" w14:textId="77777777" w:rsidR="00300FD9" w:rsidRDefault="00300FD9" w:rsidP="00300FD9">
            <w:pPr>
              <w:pStyle w:val="Prrafodelista"/>
              <w:numPr>
                <w:ilvl w:val="0"/>
                <w:numId w:val="17"/>
              </w:numPr>
              <w:spacing w:after="120" w:line="276" w:lineRule="auto"/>
              <w:jc w:val="both"/>
              <w:rPr>
                <w:rFonts w:ascii="Verdana" w:hAnsi="Verdana" w:cs="Arial"/>
                <w:lang w:eastAsia="es-ES"/>
              </w:rPr>
            </w:pPr>
            <w:r w:rsidRPr="00920166">
              <w:rPr>
                <w:rFonts w:ascii="Verdana" w:hAnsi="Verdana" w:cs="Arial"/>
                <w:lang w:eastAsia="es-ES"/>
              </w:rPr>
              <w:t>Corte Constitucional. Sentencia T-017 de 20 de enero de 2005. M.P. Rodrigo Escobar Gil</w:t>
            </w:r>
            <w:r>
              <w:rPr>
                <w:rFonts w:ascii="Verdana" w:hAnsi="Verdana" w:cs="Arial"/>
                <w:lang w:eastAsia="es-ES"/>
              </w:rPr>
              <w:t>.</w:t>
            </w:r>
          </w:p>
          <w:p w14:paraId="7A1C1DCD" w14:textId="77777777" w:rsidR="00300FD9" w:rsidRPr="00920166" w:rsidRDefault="00300FD9" w:rsidP="00300FD9">
            <w:pPr>
              <w:pStyle w:val="Prrafodelista"/>
              <w:numPr>
                <w:ilvl w:val="0"/>
                <w:numId w:val="17"/>
              </w:numPr>
              <w:spacing w:after="120" w:line="276" w:lineRule="auto"/>
              <w:jc w:val="both"/>
              <w:rPr>
                <w:rFonts w:ascii="Verdana" w:hAnsi="Verdana" w:cs="Arial"/>
                <w:lang w:eastAsia="es-ES"/>
              </w:rPr>
            </w:pPr>
            <w:r w:rsidRPr="00920166">
              <w:rPr>
                <w:rFonts w:ascii="Verdana" w:hAnsi="Verdana" w:cs="Arial"/>
                <w:lang w:eastAsia="es-ES"/>
              </w:rPr>
              <w:t xml:space="preserve">GARCÍA DE ENTERRÍA, Eduardo y FERNÁNDEZ, Tomás-Ramón. Curso de Derecho Administrativo. Tomo I. Séptima edición, Madrid: ed. </w:t>
            </w:r>
            <w:proofErr w:type="spellStart"/>
            <w:r w:rsidRPr="00920166">
              <w:rPr>
                <w:rFonts w:ascii="Verdana" w:hAnsi="Verdana" w:cs="Arial"/>
                <w:lang w:eastAsia="es-ES"/>
              </w:rPr>
              <w:t>Civitas</w:t>
            </w:r>
            <w:proofErr w:type="spellEnd"/>
            <w:r w:rsidRPr="00920166">
              <w:rPr>
                <w:rFonts w:ascii="Verdana" w:hAnsi="Verdana" w:cs="Arial"/>
                <w:lang w:eastAsia="es-ES"/>
              </w:rPr>
              <w:t>, 1995</w:t>
            </w:r>
            <w:r>
              <w:rPr>
                <w:rFonts w:ascii="Verdana" w:hAnsi="Verdana" w:cs="Arial"/>
                <w:lang w:eastAsia="es-ES"/>
              </w:rPr>
              <w:t>.</w:t>
            </w:r>
          </w:p>
        </w:tc>
      </w:tr>
    </w:tbl>
    <w:p w14:paraId="39BAD3B4" w14:textId="77777777" w:rsidR="00300FD9" w:rsidRDefault="00300FD9" w:rsidP="00300FD9">
      <w:pPr>
        <w:tabs>
          <w:tab w:val="left" w:pos="142"/>
          <w:tab w:val="left" w:pos="284"/>
          <w:tab w:val="left" w:pos="3828"/>
        </w:tabs>
        <w:spacing w:after="0" w:line="276" w:lineRule="auto"/>
        <w:jc w:val="both"/>
        <w:rPr>
          <w:rFonts w:ascii="Verdana" w:eastAsia="Century Gothic" w:hAnsi="Verdana" w:cs="Century Gothic"/>
          <w:b/>
          <w:bCs/>
        </w:rPr>
      </w:pPr>
    </w:p>
    <w:p w14:paraId="4F587D27" w14:textId="77777777" w:rsidR="00300FD9" w:rsidRPr="0091091D" w:rsidRDefault="00300FD9" w:rsidP="00300FD9">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10C61611" w14:textId="77777777" w:rsidR="00300FD9" w:rsidRPr="00E5454F" w:rsidRDefault="00300FD9" w:rsidP="00300FD9">
      <w:pPr>
        <w:widowControl w:val="0"/>
        <w:autoSpaceDE w:val="0"/>
        <w:autoSpaceDN w:val="0"/>
        <w:spacing w:after="0" w:line="240" w:lineRule="auto"/>
        <w:jc w:val="both"/>
        <w:rPr>
          <w:rStyle w:val="normaltextrun"/>
          <w:rFonts w:ascii="Verdana" w:hAnsi="Verdana" w:cs="Arial"/>
          <w:shd w:val="clear" w:color="auto" w:fill="FFFFFF"/>
        </w:rPr>
      </w:pPr>
    </w:p>
    <w:p w14:paraId="1A4935F0" w14:textId="77777777" w:rsidR="00300FD9" w:rsidRPr="00A54323" w:rsidRDefault="00300FD9" w:rsidP="00300FD9">
      <w:pPr>
        <w:widowControl w:val="0"/>
        <w:autoSpaceDE w:val="0"/>
        <w:autoSpaceDN w:val="0"/>
        <w:spacing w:after="120" w:line="276" w:lineRule="auto"/>
        <w:jc w:val="both"/>
        <w:rPr>
          <w:rFonts w:ascii="Verdana" w:hAnsi="Verdana" w:cs="Arial"/>
          <w:shd w:val="clear" w:color="auto" w:fill="FFFFFF"/>
          <w:lang w:val="es-ES"/>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sobre</w:t>
      </w:r>
      <w:r>
        <w:rPr>
          <w:rFonts w:ascii="Verdana" w:hAnsi="Verdana" w:cs="Arial"/>
          <w:shd w:val="clear" w:color="auto" w:fill="FFFFFF"/>
        </w:rPr>
        <w:t xml:space="preserve"> </w:t>
      </w:r>
      <w:r>
        <w:rPr>
          <w:rFonts w:ascii="Verdana" w:eastAsia="Aptos" w:hAnsi="Verdana" w:cs="Arial"/>
          <w:shd w:val="clear" w:color="auto" w:fill="FFFFFF"/>
          <w:lang w:val="es-ES"/>
        </w:rPr>
        <w:t xml:space="preserve">el principio de arreglo directo en los conceptos C-494 del 17 de septiembre de 2021, C-400 del 28 de septiembre de 2023, C-142 del 2 de julio de 2024, C-889 del 15 de agosto de 2025, entre otros. Por su parte, sobre la potestad sancionatoria en materia contractual, la Subdirección se ha pronunciado en los conceptos </w:t>
      </w:r>
      <w:r w:rsidRPr="00CB6395">
        <w:rPr>
          <w:rFonts w:ascii="Verdana" w:hAnsi="Verdana" w:cs="Arial"/>
          <w:shd w:val="clear" w:color="auto" w:fill="FFFFFF"/>
          <w:lang w:val="es-ES"/>
        </w:rPr>
        <w:t>C-147 del 17 de marzo de 2020, C-219 del 29 de abril de 2020, C-434 del 29 de julio de 2020, C-569 del 31 de agosto de 2020, C-641 del 4 de noviembre de 2020, C-060 del 8 de marzo de 2021, C-528 del 5 de abril de 2021, C-420 del 25 de agosto de 2022, C- 720 del 25 de enero de 2022, C-125 del 24 de marzo de 2022, C-193 del 12 de abril de 2022 y C-085 del 29 de abril de 2022, C-866 del 20 de diciembre de 2022, C-034 de 09 de marzo de 2023, C-140 del 13 de junio de 2023, C-227 de 7 de julio de 2023, el C-329 del 07 de septiembre de 2023</w:t>
      </w:r>
      <w:r>
        <w:rPr>
          <w:rFonts w:ascii="Verdana" w:hAnsi="Verdana" w:cs="Arial"/>
          <w:shd w:val="clear" w:color="auto" w:fill="FFFFFF"/>
          <w:lang w:val="es-ES"/>
        </w:rPr>
        <w:t xml:space="preserve">, C-200 del 22 de julio de 2024, </w:t>
      </w:r>
      <w:r>
        <w:rPr>
          <w:rFonts w:ascii="Verdana" w:eastAsia="Century Gothic" w:hAnsi="Verdana" w:cs="Century Gothic"/>
        </w:rPr>
        <w:t>C-298 de 10 de marzo de 2026, C-277 del 13 de marzo de 2026, entre otros</w:t>
      </w:r>
      <w:r w:rsidRPr="00480A95">
        <w:rPr>
          <w:rFonts w:ascii="Verdana" w:hAnsi="Verdana" w:cs="Arial"/>
          <w:shd w:val="clear" w:color="auto" w:fill="FFFFFF"/>
          <w:lang w:val="es-ES"/>
        </w:rPr>
        <w:t>.</w:t>
      </w:r>
      <w:r>
        <w:rPr>
          <w:rFonts w:ascii="Verdana" w:hAnsi="Verdana" w:cs="Arial"/>
          <w:shd w:val="clear" w:color="auto" w:fill="FFFFFF"/>
          <w:lang w:val="es-ES"/>
        </w:rPr>
        <w:t xml:space="preserve"> </w:t>
      </w:r>
      <w:r w:rsidRPr="001450CA">
        <w:rPr>
          <w:rFonts w:ascii="Verdana" w:hAnsi="Verdana" w:cs="Arial"/>
        </w:rPr>
        <w:t xml:space="preserve">Estos y otros </w:t>
      </w:r>
      <w:r w:rsidRPr="001450CA">
        <w:rPr>
          <w:rFonts w:ascii="Verdana" w:hAnsi="Verdana"/>
        </w:rPr>
        <w:t>conceptos se encuentran disponibles para consulta en el Sistema de relatoría de la Agencia, al cual se puede acceder a través del siguiente</w:t>
      </w:r>
      <w:r w:rsidRPr="00104DE4">
        <w:rPr>
          <w:rFonts w:ascii="Verdana" w:hAnsi="Verdana"/>
        </w:rPr>
        <w:t xml:space="preserve"> enlace:</w:t>
      </w:r>
      <w:r w:rsidRPr="00104DE4">
        <w:rPr>
          <w:rFonts w:ascii="Verdana" w:hAnsi="Verdana" w:cs="Arial"/>
          <w:shd w:val="clear" w:color="auto" w:fill="FFFFFF"/>
        </w:rPr>
        <w:t xml:space="preserve"> </w:t>
      </w:r>
      <w:hyperlink r:id="rId12" w:history="1">
        <w:r w:rsidRPr="00104DE4">
          <w:rPr>
            <w:rFonts w:ascii="Verdana" w:hAnsi="Verdana" w:cs="Arial"/>
            <w:color w:val="0563C1" w:themeColor="hyperlink"/>
            <w:u w:val="single"/>
            <w:shd w:val="clear" w:color="auto" w:fill="FFFFFF"/>
          </w:rPr>
          <w:t>https://relatoria.colombiacompra.gov.co/busqueda/conceptos</w:t>
        </w:r>
      </w:hyperlink>
      <w:r w:rsidRPr="00104DE4">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05A6EEAA" w14:textId="77777777" w:rsidR="00300FD9" w:rsidRPr="009A385A" w:rsidRDefault="00300FD9" w:rsidP="00300FD9">
      <w:pPr>
        <w:spacing w:after="12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701EA541" w14:textId="77777777" w:rsidR="00300FD9" w:rsidRDefault="00300FD9" w:rsidP="00300FD9">
      <w:pPr>
        <w:spacing w:after="12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62B6A2FA" w14:textId="77777777" w:rsidR="00300FD9" w:rsidRDefault="00300FD9" w:rsidP="00300FD9">
      <w:pPr>
        <w:spacing w:after="12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3972E1C" w14:textId="77777777" w:rsidR="00300FD9" w:rsidRPr="0043234D" w:rsidRDefault="00300FD9" w:rsidP="00300FD9">
      <w:pPr>
        <w:widowControl w:val="0"/>
        <w:autoSpaceDE w:val="0"/>
        <w:autoSpaceDN w:val="0"/>
        <w:spacing w:after="120" w:line="276" w:lineRule="auto"/>
        <w:jc w:val="both"/>
        <w:rPr>
          <w:rFonts w:ascii="Verdana" w:hAnsi="Verdana" w:cs="Arial"/>
          <w:highlight w:val="yellow"/>
          <w:shd w:val="clear" w:color="auto" w:fill="FFFFFF"/>
          <w:lang w:val="es-MX"/>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29D0A11E" w14:textId="77777777" w:rsidR="00300FD9" w:rsidRPr="00116940" w:rsidRDefault="00300FD9" w:rsidP="00300FD9">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3C1D789" w14:textId="77777777" w:rsidR="00300FD9" w:rsidRPr="00116940" w:rsidRDefault="00300FD9" w:rsidP="00300FD9">
      <w:pPr>
        <w:pStyle w:val="Prrafodelista"/>
        <w:numPr>
          <w:ilvl w:val="0"/>
          <w:numId w:val="15"/>
        </w:numPr>
        <w:spacing w:after="0" w:line="276" w:lineRule="auto"/>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7E76823A" w14:textId="77777777" w:rsidR="00300FD9" w:rsidRPr="00116940" w:rsidRDefault="00300FD9" w:rsidP="00300FD9">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236ED4A5" w14:textId="77777777" w:rsidR="00300FD9" w:rsidRPr="00116940" w:rsidRDefault="00300FD9" w:rsidP="00300FD9">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6DE0953B" w14:textId="77777777" w:rsidR="00300FD9" w:rsidRPr="00116940" w:rsidRDefault="00300FD9" w:rsidP="00300FD9">
      <w:pPr>
        <w:spacing w:after="0" w:line="240" w:lineRule="auto"/>
        <w:ind w:left="720"/>
        <w:jc w:val="both"/>
        <w:rPr>
          <w:rFonts w:ascii="Verdana" w:hAnsi="Verdana"/>
        </w:rPr>
      </w:pPr>
    </w:p>
    <w:p w14:paraId="5BC9E9B9" w14:textId="77777777" w:rsidR="00300FD9" w:rsidRDefault="00300FD9" w:rsidP="00300FD9">
      <w:pPr>
        <w:spacing w:after="12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8" w:history="1">
        <w:r w:rsidRPr="00A83E37">
          <w:rPr>
            <w:rStyle w:val="Hipervnculo"/>
            <w:rFonts w:ascii="Verdana" w:eastAsia="Verdana" w:hAnsi="Verdana" w:cs="Verdana"/>
            <w:lang w:val="es-MX"/>
          </w:rPr>
          <w:t>https://forms.office.com/r/pPHyWVs2SZ</w:t>
        </w:r>
      </w:hyperlink>
      <w:r w:rsidRPr="007E27D9">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6C18509F" w14:textId="77777777" w:rsidR="00300FD9" w:rsidRPr="00116940" w:rsidRDefault="00300FD9" w:rsidP="00300FD9">
      <w:pPr>
        <w:spacing w:after="12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BD9CB9C" w14:textId="77777777" w:rsidR="00300FD9" w:rsidRPr="00116940" w:rsidRDefault="00300FD9" w:rsidP="00300FD9">
      <w:pPr>
        <w:spacing w:after="12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6D651695" w14:textId="77777777" w:rsidR="00300FD9" w:rsidRPr="00116940" w:rsidRDefault="00300FD9" w:rsidP="00300FD9">
      <w:pPr>
        <w:spacing w:after="12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A203628" w14:textId="77777777" w:rsidR="00300FD9" w:rsidRPr="00116940" w:rsidRDefault="00300FD9" w:rsidP="00300FD9">
      <w:pPr>
        <w:spacing w:after="12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0CA8941" w14:textId="77777777" w:rsidR="00300FD9" w:rsidRDefault="00300FD9" w:rsidP="00300FD9">
      <w:pPr>
        <w:spacing w:after="0" w:line="276" w:lineRule="auto"/>
        <w:jc w:val="both"/>
        <w:rPr>
          <w:rFonts w:ascii="Verdana" w:hAnsi="Verdana"/>
          <w:lang w:val="es-MX"/>
        </w:rPr>
      </w:pPr>
    </w:p>
    <w:p w14:paraId="3D0F0FF2" w14:textId="4C3759B8" w:rsidR="00A6187B" w:rsidRDefault="00300FD9" w:rsidP="00300FD9">
      <w:pPr>
        <w:spacing w:after="0" w:line="276" w:lineRule="auto"/>
        <w:jc w:val="both"/>
        <w:rPr>
          <w:rFonts w:ascii="Verdana" w:hAnsi="Verdana"/>
          <w:lang w:val="es-MX"/>
        </w:rPr>
      </w:pPr>
      <w:r w:rsidRPr="00E02524">
        <w:rPr>
          <w:rFonts w:ascii="Verdana" w:hAnsi="Verdana"/>
          <w:lang w:val="es-MX"/>
        </w:rPr>
        <w:t>Cordialmente,</w:t>
      </w:r>
    </w:p>
    <w:p w14:paraId="44F32C3E" w14:textId="76B9AD39" w:rsidR="00300FD9" w:rsidRPr="00A6187B" w:rsidRDefault="00A6187B" w:rsidP="00A6187B">
      <w:pPr>
        <w:spacing w:after="0" w:line="276" w:lineRule="auto"/>
        <w:jc w:val="center"/>
        <w:rPr>
          <w:rFonts w:ascii="Verdana" w:hAnsi="Verdana"/>
          <w:lang w:val="es-MX"/>
        </w:rPr>
      </w:pPr>
      <w:r w:rsidRPr="0065791A">
        <w:rPr>
          <w:rFonts w:ascii="Century Gothic" w:hAnsi="Century Gothic"/>
          <w:noProof/>
        </w:rPr>
        <w:drawing>
          <wp:inline distT="0" distB="0" distL="0" distR="0" wp14:anchorId="501D0C20" wp14:editId="0566F82D">
            <wp:extent cx="3315694" cy="1562204"/>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9"/>
                    <a:stretch>
                      <a:fillRect/>
                    </a:stretch>
                  </pic:blipFill>
                  <pic:spPr>
                    <a:xfrm>
                      <a:off x="0" y="0"/>
                      <a:ext cx="3343783" cy="1575438"/>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300FD9" w:rsidRPr="005644FE" w14:paraId="04B8933A" w14:textId="77777777" w:rsidTr="00E13F20">
        <w:trPr>
          <w:trHeight w:val="288"/>
        </w:trPr>
        <w:tc>
          <w:tcPr>
            <w:tcW w:w="893" w:type="dxa"/>
            <w:vAlign w:val="center"/>
            <w:hideMark/>
          </w:tcPr>
          <w:p w14:paraId="3FF52B61" w14:textId="77777777" w:rsidR="00300FD9" w:rsidRPr="005644FE" w:rsidRDefault="00300FD9" w:rsidP="00E13F20">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3B8DEE72" w14:textId="77777777" w:rsidR="00300FD9" w:rsidRPr="005644FE" w:rsidRDefault="00300FD9" w:rsidP="00E13F20">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4F016CD2" w14:textId="77777777" w:rsidR="00300FD9" w:rsidRPr="005644FE" w:rsidRDefault="00300FD9" w:rsidP="00E13F20">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300FD9" w:rsidRPr="005644FE" w14:paraId="6B88D3BB" w14:textId="77777777" w:rsidTr="00E13F20">
        <w:trPr>
          <w:trHeight w:val="330"/>
        </w:trPr>
        <w:tc>
          <w:tcPr>
            <w:tcW w:w="893" w:type="dxa"/>
            <w:vAlign w:val="center"/>
            <w:hideMark/>
          </w:tcPr>
          <w:p w14:paraId="37F4D0DE" w14:textId="77777777" w:rsidR="00300FD9" w:rsidRPr="005644FE" w:rsidRDefault="00300FD9" w:rsidP="00E13F20">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45FDA259" w14:textId="77777777" w:rsidR="00300FD9" w:rsidRPr="0043234D" w:rsidRDefault="00300FD9" w:rsidP="00E13F20">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 xml:space="preserve">Adriana </w:t>
            </w:r>
            <w:proofErr w:type="spellStart"/>
            <w:r>
              <w:rPr>
                <w:rStyle w:val="normaltextrun"/>
                <w:rFonts w:ascii="Verdana" w:hAnsi="Verdana"/>
                <w:sz w:val="16"/>
                <w:szCs w:val="16"/>
              </w:rPr>
              <w:t>Katerine</w:t>
            </w:r>
            <w:proofErr w:type="spellEnd"/>
            <w:r>
              <w:rPr>
                <w:rStyle w:val="normaltextrun"/>
                <w:rFonts w:ascii="Verdana" w:hAnsi="Verdana"/>
                <w:sz w:val="16"/>
                <w:szCs w:val="16"/>
              </w:rPr>
              <w:t xml:space="preserve"> López Rodríguez </w:t>
            </w:r>
          </w:p>
          <w:p w14:paraId="2E4A1809" w14:textId="77777777" w:rsidR="00300FD9" w:rsidRPr="005644FE" w:rsidRDefault="00300FD9" w:rsidP="00E13F20">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300FD9" w:rsidRPr="005644FE" w14:paraId="5BBDBD15" w14:textId="77777777" w:rsidTr="00E13F20">
        <w:trPr>
          <w:trHeight w:val="300"/>
        </w:trPr>
        <w:tc>
          <w:tcPr>
            <w:tcW w:w="893" w:type="dxa"/>
            <w:vAlign w:val="center"/>
          </w:tcPr>
          <w:p w14:paraId="7B2F8B31" w14:textId="77777777" w:rsidR="00300FD9" w:rsidRPr="005644FE" w:rsidRDefault="00300FD9" w:rsidP="00E13F20">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69FBC41E" w14:textId="77777777" w:rsidR="00300FD9" w:rsidRPr="005644FE" w:rsidRDefault="00300FD9" w:rsidP="00E13F20">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7A9FB3B2" w14:textId="77777777" w:rsidR="00300FD9" w:rsidRPr="005644FE" w:rsidRDefault="00300FD9" w:rsidP="00E13F20">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F293BF4" w14:textId="13DB16B1" w:rsidR="00127233" w:rsidRPr="009F2B80" w:rsidRDefault="00127233" w:rsidP="009F2B80"/>
    <w:sectPr w:rsidR="00127233" w:rsidRPr="009F2B80"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94AB3" w14:textId="77777777" w:rsidR="00F47767" w:rsidRDefault="00F47767" w:rsidP="004A1847">
      <w:pPr>
        <w:spacing w:after="0" w:line="240" w:lineRule="auto"/>
      </w:pPr>
      <w:r>
        <w:separator/>
      </w:r>
    </w:p>
  </w:endnote>
  <w:endnote w:type="continuationSeparator" w:id="0">
    <w:p w14:paraId="3BFE97AF" w14:textId="77777777" w:rsidR="00F47767" w:rsidRDefault="00F4776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220F1" w14:textId="77777777" w:rsidR="00F47767" w:rsidRDefault="00F47767" w:rsidP="004A1847">
      <w:pPr>
        <w:spacing w:after="0" w:line="240" w:lineRule="auto"/>
      </w:pPr>
      <w:r>
        <w:separator/>
      </w:r>
    </w:p>
  </w:footnote>
  <w:footnote w:type="continuationSeparator" w:id="0">
    <w:p w14:paraId="7D46CA4B" w14:textId="77777777" w:rsidR="00F47767" w:rsidRDefault="00F47767" w:rsidP="004A1847">
      <w:pPr>
        <w:spacing w:after="0" w:line="240" w:lineRule="auto"/>
      </w:pPr>
      <w:r>
        <w:continuationSeparator/>
      </w:r>
    </w:p>
  </w:footnote>
  <w:footnote w:id="1">
    <w:p w14:paraId="6076E0FD" w14:textId="77777777" w:rsidR="00300FD9" w:rsidRDefault="00300FD9" w:rsidP="00300FD9">
      <w:pPr>
        <w:pStyle w:val="Textonotapie"/>
        <w:ind w:firstLine="709"/>
        <w:rPr>
          <w:rFonts w:ascii="Verdana" w:hAnsi="Verdana" w:cs="Arial"/>
          <w:sz w:val="16"/>
          <w:szCs w:val="16"/>
          <w:lang w:eastAsia="es-ES_tradnl"/>
        </w:rPr>
      </w:pPr>
      <w:r w:rsidRPr="00625848">
        <w:rPr>
          <w:rStyle w:val="Refdenotaalpie"/>
          <w:rFonts w:ascii="Verdana" w:hAnsi="Verdana" w:cs="Arial"/>
          <w:sz w:val="16"/>
          <w:szCs w:val="16"/>
        </w:rPr>
        <w:footnoteRef/>
      </w:r>
      <w:r w:rsidRPr="00625848">
        <w:rPr>
          <w:rFonts w:ascii="Verdana" w:hAnsi="Verdana" w:cs="Arial"/>
          <w:sz w:val="16"/>
          <w:szCs w:val="16"/>
        </w:rPr>
        <w:t xml:space="preserve"> </w:t>
      </w:r>
      <w:r w:rsidRPr="00625848">
        <w:rPr>
          <w:rFonts w:ascii="Verdana" w:hAnsi="Verdana" w:cs="Arial"/>
          <w:sz w:val="16"/>
          <w:szCs w:val="16"/>
          <w:lang w:eastAsia="es-ES_tradnl"/>
        </w:rPr>
        <w:t>Artículos 32 y 40 de la Ley 80 de 1993.</w:t>
      </w:r>
    </w:p>
    <w:p w14:paraId="4BA22F4A" w14:textId="77777777" w:rsidR="00300FD9" w:rsidRPr="00625848" w:rsidRDefault="00300FD9" w:rsidP="00300FD9">
      <w:pPr>
        <w:pStyle w:val="Textonotapie"/>
        <w:ind w:firstLine="709"/>
        <w:rPr>
          <w:rFonts w:ascii="Verdana" w:hAnsi="Verdana" w:cs="Arial"/>
          <w:sz w:val="16"/>
          <w:szCs w:val="16"/>
        </w:rPr>
      </w:pPr>
    </w:p>
  </w:footnote>
  <w:footnote w:id="2">
    <w:p w14:paraId="27FCFA82" w14:textId="77777777" w:rsidR="00300FD9" w:rsidRPr="00625848" w:rsidRDefault="00300FD9" w:rsidP="00300FD9">
      <w:pPr>
        <w:pStyle w:val="Textonotapie"/>
        <w:ind w:firstLine="709"/>
        <w:jc w:val="both"/>
        <w:rPr>
          <w:rFonts w:ascii="Verdana" w:hAnsi="Verdana" w:cs="Arial"/>
          <w:sz w:val="16"/>
          <w:szCs w:val="16"/>
        </w:rPr>
      </w:pPr>
      <w:r w:rsidRPr="00625848">
        <w:rPr>
          <w:rStyle w:val="Refdenotaalpie"/>
          <w:rFonts w:ascii="Verdana" w:hAnsi="Verdana" w:cs="Arial"/>
          <w:sz w:val="16"/>
          <w:szCs w:val="16"/>
        </w:rPr>
        <w:footnoteRef/>
      </w:r>
      <w:r w:rsidRPr="00625848">
        <w:rPr>
          <w:rFonts w:ascii="Verdana" w:hAnsi="Verdana" w:cs="Arial"/>
          <w:sz w:val="16"/>
          <w:szCs w:val="16"/>
        </w:rPr>
        <w:t xml:space="preserve"> GACETA DEL CONGRESO No. 75 del 23 de septiembre de 1992. Exposición de motivos de la Ley 80 de 1993.</w:t>
      </w:r>
    </w:p>
  </w:footnote>
  <w:footnote w:id="3">
    <w:p w14:paraId="2F2311CA" w14:textId="77777777" w:rsidR="00300FD9" w:rsidRDefault="00300FD9" w:rsidP="00300FD9">
      <w:pPr>
        <w:pStyle w:val="Textonotapie"/>
        <w:ind w:firstLine="709"/>
        <w:jc w:val="both"/>
        <w:rPr>
          <w:rFonts w:ascii="Verdana" w:hAnsi="Verdana" w:cs="Arial"/>
          <w:sz w:val="16"/>
          <w:szCs w:val="16"/>
        </w:rPr>
      </w:pPr>
      <w:r w:rsidRPr="00625848">
        <w:rPr>
          <w:rStyle w:val="Refdenotaalpie"/>
          <w:rFonts w:ascii="Verdana" w:hAnsi="Verdana" w:cs="Arial"/>
          <w:sz w:val="16"/>
          <w:szCs w:val="16"/>
        </w:rPr>
        <w:footnoteRef/>
      </w:r>
      <w:r w:rsidRPr="00625848">
        <w:rPr>
          <w:rFonts w:ascii="Verdana" w:hAnsi="Verdana" w:cs="Arial"/>
          <w:sz w:val="16"/>
          <w:szCs w:val="16"/>
        </w:rPr>
        <w:t xml:space="preserve"> La transacción, como se explicará más adelante, es un contrato y a la vez un mecanismo de solución de conflictos que carece de regulación en el Estatuto General de Contratación de la Administración Pública, razón por la cual es menester acudir a la definición que de este consagra el Código Civil. El artículo 2469 del citado Código, aplicable a los contratos estatales, lo define como un contrato en el que las partes terminan extrajudicialmente un litigio pendiente o precaven uno eventual. De manera que a través de este negocio jurídico las partes inmersas en un conflicto presente o futuro convienen en solucionarlo o evitarlo haciéndose concesiones entre ellas y de forma definitiva como quiera que en los términos de los artículos 1625 y 2483 </w:t>
      </w:r>
      <w:proofErr w:type="spellStart"/>
      <w:r w:rsidRPr="00625848">
        <w:rPr>
          <w:rFonts w:ascii="Verdana" w:hAnsi="Verdana" w:cs="Arial"/>
          <w:i/>
          <w:iCs/>
          <w:sz w:val="16"/>
          <w:szCs w:val="16"/>
        </w:rPr>
        <w:t>ibídem</w:t>
      </w:r>
      <w:proofErr w:type="spellEnd"/>
      <w:r w:rsidRPr="00625848">
        <w:rPr>
          <w:rFonts w:ascii="Verdana" w:hAnsi="Verdana" w:cs="Arial"/>
          <w:sz w:val="16"/>
          <w:szCs w:val="16"/>
        </w:rPr>
        <w:t xml:space="preserve"> es una forma de extinción de las obligaciones y produce los efectos de la cosa juzgada.</w:t>
      </w:r>
    </w:p>
    <w:p w14:paraId="6F6E2D93" w14:textId="77777777" w:rsidR="00300FD9" w:rsidRPr="00625848" w:rsidRDefault="00300FD9" w:rsidP="00300FD9">
      <w:pPr>
        <w:pStyle w:val="Textonotapie"/>
        <w:ind w:firstLine="709"/>
        <w:jc w:val="both"/>
        <w:rPr>
          <w:rFonts w:ascii="Verdana" w:hAnsi="Verdana" w:cs="Arial"/>
          <w:sz w:val="16"/>
          <w:szCs w:val="16"/>
        </w:rPr>
      </w:pPr>
    </w:p>
  </w:footnote>
  <w:footnote w:id="4">
    <w:p w14:paraId="70D74D45" w14:textId="77777777" w:rsidR="00300FD9" w:rsidRDefault="00300FD9" w:rsidP="00300FD9">
      <w:pPr>
        <w:pStyle w:val="Textonotapie"/>
        <w:ind w:firstLine="709"/>
        <w:jc w:val="both"/>
        <w:rPr>
          <w:rFonts w:ascii="Verdana" w:hAnsi="Verdana" w:cs="Arial"/>
          <w:sz w:val="16"/>
          <w:szCs w:val="16"/>
        </w:rPr>
      </w:pPr>
      <w:r w:rsidRPr="00625848">
        <w:rPr>
          <w:rStyle w:val="Refdenotaalpie"/>
          <w:rFonts w:ascii="Verdana" w:hAnsi="Verdana" w:cs="Arial"/>
          <w:sz w:val="16"/>
          <w:szCs w:val="16"/>
        </w:rPr>
        <w:footnoteRef/>
      </w:r>
      <w:r w:rsidRPr="00625848">
        <w:rPr>
          <w:rFonts w:ascii="Verdana" w:hAnsi="Verdana" w:cs="Arial"/>
          <w:sz w:val="16"/>
          <w:szCs w:val="16"/>
        </w:rPr>
        <w:t xml:space="preserve"> Según el artículo 64 de la Ley 446 de 1998, la conciliación es un mecanismo de resolución de conflictos a través del cual, dos o más personas gestionan por sí mismas la solución de sus diferencias, con la ayuda de un tercero neutral y calificado, denominado conciliador. Son conciliables todos los asuntos susceptibles de transacción, desistimiento y aquellos que expresamente determine la ley (artículo 65 Ley 446 de 1998 y 19 de la Ley 640 de 2001). El acuerdo conciliatorio hace tránsito a cosa juzgada y el acta de conciliación presta mérito ejecutivo (artículo 66 Ley 446 de 1998). De conformidad con el artículo 70 de la Ley 446 de 1998 pueden conciliar, total o parcialmente en las etapas prejudicial o judicial, las personas de derecho público, a través de sus representantes legales o por conducto de apoderado, sobre conflictos de carácter particular y contenido económico de que conozca o pueda conocer la Jurisdicción de lo Contencioso Administrativo mediante el medio de control de controversias contractuales (artículo 141 de la Ley 1437 de 2011).</w:t>
      </w:r>
    </w:p>
    <w:p w14:paraId="0EBC4D6D" w14:textId="77777777" w:rsidR="00300FD9" w:rsidRPr="00625848" w:rsidRDefault="00300FD9" w:rsidP="00300FD9">
      <w:pPr>
        <w:pStyle w:val="Textonotapie"/>
        <w:ind w:firstLine="709"/>
        <w:jc w:val="both"/>
        <w:rPr>
          <w:rFonts w:ascii="Verdana" w:hAnsi="Verdana" w:cs="Arial"/>
          <w:sz w:val="16"/>
          <w:szCs w:val="16"/>
        </w:rPr>
      </w:pPr>
    </w:p>
  </w:footnote>
  <w:footnote w:id="5">
    <w:p w14:paraId="68F2FDBA" w14:textId="77777777" w:rsidR="00300FD9" w:rsidRPr="00625848" w:rsidRDefault="00300FD9" w:rsidP="00300FD9">
      <w:pPr>
        <w:pStyle w:val="Textonotapie"/>
        <w:ind w:firstLine="709"/>
        <w:jc w:val="both"/>
        <w:rPr>
          <w:rFonts w:ascii="Verdana" w:hAnsi="Verdana" w:cs="Arial"/>
          <w:sz w:val="16"/>
          <w:szCs w:val="16"/>
          <w:lang w:val="es-ES"/>
        </w:rPr>
      </w:pPr>
      <w:r w:rsidRPr="00625848">
        <w:rPr>
          <w:rStyle w:val="Refdenotaalpie"/>
          <w:rFonts w:ascii="Verdana" w:hAnsi="Verdana" w:cs="Arial"/>
          <w:sz w:val="16"/>
          <w:szCs w:val="16"/>
        </w:rPr>
        <w:footnoteRef/>
      </w:r>
      <w:r w:rsidRPr="00625848">
        <w:rPr>
          <w:rFonts w:ascii="Verdana" w:hAnsi="Verdana" w:cs="Arial"/>
          <w:sz w:val="16"/>
          <w:szCs w:val="16"/>
        </w:rPr>
        <w:t xml:space="preserve"> </w:t>
      </w:r>
      <w:r w:rsidRPr="00625848">
        <w:rPr>
          <w:rFonts w:ascii="Verdana" w:hAnsi="Verdana" w:cs="Arial"/>
          <w:sz w:val="16"/>
          <w:szCs w:val="16"/>
          <w:lang w:val="es-ES"/>
        </w:rPr>
        <w:t xml:space="preserve">Que en realidad podría ser visto como un conjunto de reglas derivadas de principios rectores de la contratación pública y, en general, de la función administrativa, tales como la eficacia, la celeridad, la economía, entre otros.  </w:t>
      </w:r>
    </w:p>
  </w:footnote>
  <w:footnote w:id="6">
    <w:p w14:paraId="4CFCAC13" w14:textId="77777777" w:rsidR="00300FD9" w:rsidRPr="00625848" w:rsidRDefault="00300FD9" w:rsidP="00300FD9">
      <w:pPr>
        <w:pStyle w:val="Textonotapie"/>
        <w:ind w:firstLine="709"/>
        <w:jc w:val="both"/>
        <w:rPr>
          <w:rFonts w:ascii="Verdana" w:hAnsi="Verdana" w:cs="Arial"/>
          <w:sz w:val="16"/>
          <w:szCs w:val="16"/>
        </w:rPr>
      </w:pPr>
      <w:r w:rsidRPr="00625848">
        <w:rPr>
          <w:rStyle w:val="Refdenotaalpie"/>
          <w:rFonts w:ascii="Verdana" w:hAnsi="Verdana" w:cs="Arial"/>
          <w:sz w:val="16"/>
          <w:szCs w:val="16"/>
        </w:rPr>
        <w:footnoteRef/>
      </w:r>
      <w:r w:rsidRPr="00625848">
        <w:rPr>
          <w:rFonts w:ascii="Verdana" w:hAnsi="Verdana" w:cs="Arial"/>
          <w:sz w:val="16"/>
          <w:szCs w:val="16"/>
        </w:rPr>
        <w:t xml:space="preserve"> C</w:t>
      </w:r>
      <w:r>
        <w:rPr>
          <w:rFonts w:ascii="Verdana" w:hAnsi="Verdana" w:cs="Arial"/>
          <w:sz w:val="16"/>
          <w:szCs w:val="16"/>
        </w:rPr>
        <w:t>orte Constitucional</w:t>
      </w:r>
      <w:r w:rsidRPr="00625848">
        <w:rPr>
          <w:rFonts w:ascii="Verdana" w:hAnsi="Verdana" w:cs="Arial"/>
          <w:sz w:val="16"/>
          <w:szCs w:val="16"/>
        </w:rPr>
        <w:t xml:space="preserve">. Sentencia T-017 de 20 de enero de 2005. M.P. Rodrigo Escobar Gil. En similar sentido, </w:t>
      </w:r>
      <w:r>
        <w:rPr>
          <w:rFonts w:ascii="Verdana" w:hAnsi="Verdana" w:cs="Arial"/>
          <w:sz w:val="16"/>
          <w:szCs w:val="16"/>
        </w:rPr>
        <w:t>Consejo de Estado</w:t>
      </w:r>
      <w:r w:rsidRPr="00625848">
        <w:rPr>
          <w:rFonts w:ascii="Verdana" w:hAnsi="Verdana" w:cs="Arial"/>
          <w:sz w:val="16"/>
          <w:szCs w:val="16"/>
        </w:rPr>
        <w:t>. Sala de Consulta y Servicio Civil, Concepto de 12 de diciembre de 2017, Rad. 2338, C.P. Oscar Darío Amaya Navas.</w:t>
      </w:r>
    </w:p>
  </w:footnote>
  <w:footnote w:id="7">
    <w:p w14:paraId="14623723" w14:textId="77777777" w:rsidR="00300FD9" w:rsidRPr="00625848" w:rsidRDefault="00300FD9" w:rsidP="00300FD9">
      <w:pPr>
        <w:pStyle w:val="Textonotapie"/>
        <w:ind w:firstLine="708"/>
        <w:jc w:val="both"/>
        <w:rPr>
          <w:rFonts w:ascii="Verdana" w:hAnsi="Verdana" w:cs="Arial"/>
          <w:sz w:val="16"/>
          <w:szCs w:val="16"/>
          <w:lang w:val="es-ES"/>
        </w:rPr>
      </w:pPr>
      <w:r w:rsidRPr="00625848">
        <w:rPr>
          <w:rStyle w:val="Refdenotaalpie"/>
          <w:rFonts w:ascii="Verdana" w:hAnsi="Verdana" w:cs="Arial"/>
          <w:sz w:val="16"/>
          <w:szCs w:val="16"/>
        </w:rPr>
        <w:footnoteRef/>
      </w:r>
      <w:r w:rsidRPr="00625848">
        <w:rPr>
          <w:rFonts w:ascii="Verdana" w:hAnsi="Verdana" w:cs="Arial"/>
          <w:sz w:val="16"/>
          <w:szCs w:val="16"/>
        </w:rPr>
        <w:t xml:space="preserve"> Respecto a la conciliación </w:t>
      </w:r>
      <w:proofErr w:type="gramStart"/>
      <w:r w:rsidRPr="00625848">
        <w:rPr>
          <w:rFonts w:ascii="Verdana" w:hAnsi="Verdana" w:cs="Arial"/>
          <w:sz w:val="16"/>
          <w:szCs w:val="16"/>
        </w:rPr>
        <w:t>extra judicial</w:t>
      </w:r>
      <w:proofErr w:type="gramEnd"/>
      <w:r w:rsidRPr="00625848">
        <w:rPr>
          <w:rFonts w:ascii="Verdana" w:hAnsi="Verdana" w:cs="Arial"/>
          <w:sz w:val="16"/>
          <w:szCs w:val="16"/>
        </w:rPr>
        <w:t xml:space="preserve"> y judicial, ver las leyes 446 de 1998, 640 de 2001 y Ley 2220 de 2022 “Por medio del cual se expide el Estatuto de Conciliación y se dictan otras disposiciones”. Al respecto, del precitado Estatuto de Conciliación se destaca el principio de autocomposición, que es definido en el artículo 4 así: “[…] </w:t>
      </w:r>
      <w:r w:rsidRPr="00625848">
        <w:rPr>
          <w:rFonts w:ascii="Verdana" w:hAnsi="Verdana" w:cs="Arial"/>
          <w:bCs/>
          <w:sz w:val="16"/>
          <w:szCs w:val="16"/>
          <w:lang w:val="es-CO"/>
        </w:rPr>
        <w:t>1. Autocomposición.</w:t>
      </w:r>
      <w:r w:rsidRPr="00625848">
        <w:rPr>
          <w:rFonts w:ascii="Verdana" w:hAnsi="Verdana" w:cs="Arial"/>
          <w:sz w:val="16"/>
          <w:szCs w:val="16"/>
          <w:lang w:val="es-CO"/>
        </w:rPr>
        <w:t> Son las propias partes confrontadas las que resuelven su conflicto, desavenencias o diferencias en ejercicio de la autonomía de la voluntad, asistidos por un tercero neutral e imparcial que promueve y facilita el diálogo y la búsqueda de soluciones al conflicto y negociación entre ellas y que puede proponer fórmulas de solución que las partes pueden o no aceptar según su voluntad. Los interesados gozan de la facultad de definir el centro de conciliación donde se llevará a cabo la conciliación, elegir el conciliador”. </w:t>
      </w:r>
    </w:p>
  </w:footnote>
  <w:footnote w:id="8">
    <w:p w14:paraId="16E9F237" w14:textId="77777777" w:rsidR="00300FD9" w:rsidRPr="00300FD9" w:rsidRDefault="00300FD9" w:rsidP="00300FD9">
      <w:pPr>
        <w:pStyle w:val="NormalWeb"/>
        <w:spacing w:before="0" w:beforeAutospacing="0" w:after="0" w:afterAutospacing="0"/>
        <w:ind w:firstLine="708"/>
        <w:jc w:val="both"/>
        <w:rPr>
          <w:rFonts w:ascii="Verdana" w:hAnsi="Verdana" w:cs="Arial"/>
          <w:color w:val="000000"/>
          <w:sz w:val="16"/>
          <w:szCs w:val="16"/>
        </w:rPr>
      </w:pPr>
      <w:r w:rsidRPr="00300FD9">
        <w:rPr>
          <w:rStyle w:val="Refdenotaalpie"/>
          <w:rFonts w:ascii="Verdana" w:hAnsi="Verdana"/>
          <w:sz w:val="16"/>
          <w:szCs w:val="16"/>
        </w:rPr>
        <w:footnoteRef/>
      </w:r>
      <w:r w:rsidRPr="00300FD9">
        <w:rPr>
          <w:rFonts w:ascii="Verdana" w:hAnsi="Verdana"/>
          <w:sz w:val="16"/>
          <w:szCs w:val="16"/>
        </w:rPr>
        <w:t xml:space="preserve"> </w:t>
      </w:r>
      <w:r w:rsidRPr="00300FD9">
        <w:rPr>
          <w:rFonts w:ascii="Verdana" w:hAnsi="Verdana" w:cs="Arial"/>
          <w:bCs/>
          <w:color w:val="000000"/>
          <w:sz w:val="16"/>
          <w:szCs w:val="16"/>
        </w:rPr>
        <w:t xml:space="preserve">Artículo 11. </w:t>
      </w:r>
      <w:r w:rsidRPr="00300FD9">
        <w:rPr>
          <w:rFonts w:ascii="Verdana" w:hAnsi="Verdana" w:cs="Arial"/>
          <w:bCs/>
          <w:i/>
          <w:iCs/>
          <w:color w:val="000000"/>
          <w:sz w:val="16"/>
          <w:szCs w:val="16"/>
        </w:rPr>
        <w:t>Conflictos de interés y causales de impedimento y recusación</w:t>
      </w:r>
      <w:r w:rsidRPr="00300FD9">
        <w:rPr>
          <w:rFonts w:ascii="Verdana" w:hAnsi="Verdana" w:cs="Arial"/>
          <w:i/>
          <w:iCs/>
          <w:color w:val="000000"/>
          <w:sz w:val="16"/>
          <w:szCs w:val="16"/>
        </w:rPr>
        <w:t>. </w:t>
      </w:r>
      <w:r w:rsidRPr="00300FD9">
        <w:rPr>
          <w:rFonts w:ascii="Verdana" w:hAnsi="Verdana" w:cs="Arial"/>
          <w:color w:val="000000"/>
          <w:sz w:val="16"/>
          <w:szCs w:val="16"/>
        </w:rPr>
        <w:t>Cuando el interés general propio de la función pública entre en conflicto con el interés particular y directo del servidor público, este deberá declararse impedido. Todo servidor público que deba adelantar o sustanciar actuaciones administrativas, realizar investigaciones, practicar pruebas o pronunciar decisiones definitivas podrá ser recusado si no manifiesta su impedimento por: </w:t>
      </w:r>
    </w:p>
    <w:p w14:paraId="27FDD9CF" w14:textId="77777777" w:rsidR="00300FD9" w:rsidRPr="00300FD9" w:rsidRDefault="00300FD9" w:rsidP="00300FD9">
      <w:pPr>
        <w:spacing w:after="0" w:line="240" w:lineRule="auto"/>
        <w:ind w:firstLine="708"/>
        <w:jc w:val="both"/>
        <w:rPr>
          <w:rFonts w:ascii="Verdana" w:eastAsia="Times New Roman" w:hAnsi="Verdana" w:cs="Arial"/>
          <w:color w:val="000000"/>
          <w:sz w:val="16"/>
          <w:szCs w:val="16"/>
        </w:rPr>
      </w:pPr>
      <w:r w:rsidRPr="00300FD9">
        <w:rPr>
          <w:rFonts w:ascii="Verdana" w:eastAsia="Times New Roman" w:hAnsi="Verdana" w:cs="Arial"/>
          <w:color w:val="000000"/>
          <w:sz w:val="16"/>
          <w:szCs w:val="16"/>
        </w:rPr>
        <w:t>1. Tener interés particular y directo en la regulación, gestión, control o decisión del asunto, o tenerlo su cónyuge, compañero o compañera permanente, o alguno de sus parientes dentro del cuarto grado de consanguinidad, segundo de afinidad o primero civil, o su socio o socios de hecho o de derecho. </w:t>
      </w:r>
    </w:p>
    <w:p w14:paraId="5099AC05" w14:textId="77777777" w:rsidR="00300FD9" w:rsidRPr="00300FD9" w:rsidRDefault="00300FD9" w:rsidP="00300FD9">
      <w:pPr>
        <w:spacing w:after="0" w:line="240" w:lineRule="auto"/>
        <w:ind w:firstLine="708"/>
        <w:jc w:val="both"/>
        <w:rPr>
          <w:rFonts w:ascii="Verdana" w:eastAsia="Times New Roman" w:hAnsi="Verdana" w:cs="Arial"/>
          <w:color w:val="000000"/>
          <w:sz w:val="16"/>
          <w:szCs w:val="16"/>
        </w:rPr>
      </w:pPr>
      <w:r w:rsidRPr="00300FD9">
        <w:rPr>
          <w:rFonts w:ascii="Verdana" w:eastAsia="Times New Roman" w:hAnsi="Verdana" w:cs="Arial"/>
          <w:color w:val="000000"/>
          <w:sz w:val="16"/>
          <w:szCs w:val="16"/>
        </w:rPr>
        <w:t>2. Haber conocido del asunto, en oportunidad anterior, el servidor, su cónyuge, compañero permanente o alguno de sus parientes indicados en el numeral precedente. </w:t>
      </w:r>
    </w:p>
    <w:p w14:paraId="32692325" w14:textId="77777777" w:rsidR="00300FD9" w:rsidRPr="00300FD9" w:rsidRDefault="00300FD9" w:rsidP="00300FD9">
      <w:pPr>
        <w:spacing w:after="0" w:line="240" w:lineRule="auto"/>
        <w:ind w:firstLine="708"/>
        <w:jc w:val="both"/>
        <w:rPr>
          <w:rFonts w:ascii="Verdana" w:eastAsia="Times New Roman" w:hAnsi="Verdana" w:cs="Arial"/>
          <w:color w:val="000000"/>
          <w:sz w:val="16"/>
          <w:szCs w:val="16"/>
        </w:rPr>
      </w:pPr>
      <w:r w:rsidRPr="00300FD9">
        <w:rPr>
          <w:rFonts w:ascii="Verdana" w:eastAsia="Times New Roman" w:hAnsi="Verdana" w:cs="Arial"/>
          <w:color w:val="000000"/>
          <w:sz w:val="16"/>
          <w:szCs w:val="16"/>
        </w:rPr>
        <w:t>3. Ser el servidor, su cónyuge, compañero permanente o alguno de sus parientes arriba indicados, curador o tutor de persona interesada en el asunto. </w:t>
      </w:r>
    </w:p>
    <w:p w14:paraId="0676086E" w14:textId="77777777" w:rsidR="00300FD9" w:rsidRPr="00300FD9" w:rsidRDefault="00300FD9" w:rsidP="00300FD9">
      <w:pPr>
        <w:spacing w:after="0" w:line="240" w:lineRule="auto"/>
        <w:ind w:firstLine="708"/>
        <w:jc w:val="both"/>
        <w:rPr>
          <w:rFonts w:ascii="Verdana" w:eastAsia="Times New Roman" w:hAnsi="Verdana" w:cs="Arial"/>
          <w:color w:val="000000"/>
          <w:sz w:val="16"/>
          <w:szCs w:val="16"/>
        </w:rPr>
      </w:pPr>
      <w:r w:rsidRPr="00300FD9">
        <w:rPr>
          <w:rFonts w:ascii="Verdana" w:eastAsia="Times New Roman" w:hAnsi="Verdana" w:cs="Arial"/>
          <w:color w:val="000000"/>
          <w:sz w:val="16"/>
          <w:szCs w:val="16"/>
        </w:rPr>
        <w:t>4. Ser alguno de los interesados en la actuación administrativa: representante, apoderado, dependiente, mandatario o administrador de los negocios del servidor público. </w:t>
      </w:r>
    </w:p>
    <w:p w14:paraId="792E0A19" w14:textId="77777777" w:rsidR="00300FD9" w:rsidRPr="00300FD9" w:rsidRDefault="00300FD9" w:rsidP="00300FD9">
      <w:pPr>
        <w:spacing w:after="0" w:line="240" w:lineRule="auto"/>
        <w:ind w:firstLine="708"/>
        <w:jc w:val="both"/>
        <w:rPr>
          <w:rFonts w:ascii="Verdana" w:eastAsia="Times New Roman" w:hAnsi="Verdana" w:cs="Arial"/>
          <w:color w:val="000000"/>
          <w:sz w:val="16"/>
          <w:szCs w:val="16"/>
        </w:rPr>
      </w:pPr>
      <w:r w:rsidRPr="00300FD9">
        <w:rPr>
          <w:rFonts w:ascii="Verdana" w:eastAsia="Times New Roman" w:hAnsi="Verdana" w:cs="Arial"/>
          <w:color w:val="000000"/>
          <w:sz w:val="16"/>
          <w:szCs w:val="16"/>
        </w:rPr>
        <w:t>5. Existir litigio o controversia ante autoridades administrativas o jurisdiccionales entre el servidor, su cónyuge, compañero permanente, o alguno de sus parientes indicados en el numeral 1, y cualquiera de los interesados en la actuación, su representante o apoderado. </w:t>
      </w:r>
    </w:p>
    <w:p w14:paraId="76464C60" w14:textId="77777777" w:rsidR="00300FD9" w:rsidRPr="00300FD9" w:rsidRDefault="00300FD9" w:rsidP="00300FD9">
      <w:pPr>
        <w:spacing w:after="0" w:line="240" w:lineRule="auto"/>
        <w:ind w:firstLine="708"/>
        <w:jc w:val="both"/>
        <w:rPr>
          <w:rFonts w:ascii="Verdana" w:eastAsia="Times New Roman" w:hAnsi="Verdana" w:cs="Arial"/>
          <w:color w:val="000000"/>
          <w:sz w:val="16"/>
          <w:szCs w:val="16"/>
        </w:rPr>
      </w:pPr>
      <w:r w:rsidRPr="00300FD9">
        <w:rPr>
          <w:rFonts w:ascii="Verdana" w:eastAsia="Times New Roman" w:hAnsi="Verdana" w:cs="Arial"/>
          <w:color w:val="000000"/>
          <w:sz w:val="16"/>
          <w:szCs w:val="16"/>
        </w:rPr>
        <w:t>6. Haber formulado alguno de los interesados en la actuación, su representante o apoderado, denuncia penal contra el servidor, su cónyuge, compañero permanente, o pariente hasta el segundo grado de consanguinidad, segundo de afinidad o primero civil, antes de iniciarse la actuación administrativa; o después, siempre que la denuncia se refiera a hechos ajenos a la actuación y que el denunciado se halle vinculado a la investigación penal. </w:t>
      </w:r>
    </w:p>
    <w:p w14:paraId="01ED0347" w14:textId="77777777" w:rsidR="00300FD9" w:rsidRPr="00300FD9" w:rsidRDefault="00300FD9" w:rsidP="00300FD9">
      <w:pPr>
        <w:rPr>
          <w:rFonts w:ascii="Verdana" w:eastAsia="Calibri" w:hAnsi="Verdana" w:cs="Times New Roman"/>
          <w:sz w:val="16"/>
          <w:szCs w:val="16"/>
        </w:rPr>
      </w:pPr>
      <w:r w:rsidRPr="00300FD9">
        <w:rPr>
          <w:rFonts w:ascii="Verdana" w:eastAsia="Times New Roman" w:hAnsi="Verdana" w:cs="Arial"/>
          <w:color w:val="000000"/>
          <w:sz w:val="16"/>
          <w:szCs w:val="16"/>
        </w:rPr>
        <w:t>[…]</w:t>
      </w:r>
    </w:p>
  </w:footnote>
  <w:footnote w:id="9">
    <w:p w14:paraId="7CA36CC4" w14:textId="77777777" w:rsidR="00300FD9" w:rsidRPr="00300FD9" w:rsidRDefault="00300FD9" w:rsidP="00300FD9">
      <w:pPr>
        <w:spacing w:after="0" w:line="240" w:lineRule="auto"/>
        <w:ind w:firstLine="708"/>
        <w:jc w:val="both"/>
        <w:rPr>
          <w:rFonts w:ascii="Verdana" w:hAnsi="Verdana" w:cs="Arial"/>
          <w:color w:val="000000" w:themeColor="text1"/>
          <w:sz w:val="16"/>
          <w:szCs w:val="16"/>
          <w:lang w:eastAsia="es-ES_tradnl"/>
        </w:rPr>
      </w:pPr>
      <w:r w:rsidRPr="00300FD9">
        <w:rPr>
          <w:rStyle w:val="Refdenotaalpie"/>
          <w:rFonts w:ascii="Verdana" w:hAnsi="Verdana" w:cs="Arial"/>
          <w:color w:val="000000" w:themeColor="text1"/>
          <w:sz w:val="16"/>
          <w:szCs w:val="16"/>
        </w:rPr>
        <w:footnoteRef/>
      </w:r>
      <w:r w:rsidRPr="00300FD9">
        <w:rPr>
          <w:rFonts w:ascii="Verdana" w:hAnsi="Verdana" w:cs="Arial"/>
          <w:color w:val="000000" w:themeColor="text1"/>
          <w:sz w:val="16"/>
          <w:szCs w:val="16"/>
        </w:rPr>
        <w:t xml:space="preserve"> </w:t>
      </w:r>
      <w:bookmarkStart w:id="3" w:name="2"/>
      <w:r w:rsidRPr="00300FD9">
        <w:rPr>
          <w:rFonts w:ascii="Verdana" w:hAnsi="Verdana" w:cs="Arial"/>
          <w:color w:val="000000" w:themeColor="text1"/>
          <w:sz w:val="16"/>
          <w:szCs w:val="16"/>
          <w:lang w:eastAsia="es-ES_tradnl"/>
        </w:rPr>
        <w:t>ARTÍCULO 2o. ÁMBITO DE APLICACIÓN.</w:t>
      </w:r>
      <w:bookmarkEnd w:id="3"/>
      <w:r w:rsidRPr="00300FD9">
        <w:rPr>
          <w:rFonts w:ascii="Verdana" w:hAnsi="Verdana" w:cs="Arial"/>
          <w:color w:val="000000" w:themeColor="text1"/>
          <w:sz w:val="16"/>
          <w:szCs w:val="16"/>
          <w:lang w:eastAsia="es-ES_tradnl"/>
        </w:rPr>
        <w:t xml:space="preserve"> Las normas de esta Parte Primera del Código se aplican a todos los organismos y </w:t>
      </w:r>
      <w:r w:rsidRPr="00300FD9">
        <w:rPr>
          <w:rFonts w:ascii="Verdana" w:eastAsia="Times New Roman" w:hAnsi="Verdana" w:cs="Arial"/>
          <w:color w:val="000000" w:themeColor="text1"/>
          <w:sz w:val="16"/>
          <w:szCs w:val="16"/>
          <w:lang w:eastAsia="es-ES_tradnl"/>
        </w:rPr>
        <w:t>entidades</w:t>
      </w:r>
      <w:r w:rsidRPr="00300FD9">
        <w:rPr>
          <w:rFonts w:ascii="Verdana" w:hAnsi="Verdana" w:cs="Arial"/>
          <w:color w:val="000000" w:themeColor="text1"/>
          <w:sz w:val="16"/>
          <w:szCs w:val="16"/>
          <w:lang w:eastAsia="es-ES_tradnl"/>
        </w:rPr>
        <w:t xml:space="preserve"> que conforman las ramas del poder público en sus distintos órdenes, sectores y niveles, a los órganos autónomos e independientes del Estado y a los particulares, cuando cumplan funciones administrativas. A todos ellos se les dará el nombre de autoridades. </w:t>
      </w:r>
    </w:p>
    <w:p w14:paraId="2490A154" w14:textId="77777777" w:rsidR="00300FD9" w:rsidRPr="00300FD9" w:rsidRDefault="00300FD9" w:rsidP="00300FD9">
      <w:pPr>
        <w:spacing w:after="0" w:line="240" w:lineRule="auto"/>
        <w:ind w:firstLine="708"/>
        <w:jc w:val="both"/>
        <w:rPr>
          <w:rFonts w:ascii="Verdana" w:eastAsia="Times New Roman" w:hAnsi="Verdana" w:cs="Arial"/>
          <w:color w:val="000000" w:themeColor="text1"/>
          <w:sz w:val="16"/>
          <w:szCs w:val="16"/>
          <w:lang w:eastAsia="es-ES_tradnl"/>
        </w:rPr>
      </w:pPr>
      <w:r w:rsidRPr="00300FD9">
        <w:rPr>
          <w:rFonts w:ascii="Verdana" w:eastAsia="Times New Roman" w:hAnsi="Verdana" w:cs="Arial"/>
          <w:color w:val="000000" w:themeColor="text1"/>
          <w:sz w:val="16"/>
          <w:szCs w:val="16"/>
          <w:lang w:eastAsia="es-ES_tradnl"/>
        </w:rPr>
        <w:t>Las disposiciones de esta Parte Primera no se aplicarán en los procedimientos militares o de policía que por su naturaleza requieran decisiones de aplicación inmediata, para evitar o remediar perturbaciones de orden público en los aspectos de defensa nacional, seguridad, tranquilidad, salubridad, y circulación de personas y cosas. Tampoco se aplicarán para ejercer la facultad de libre nombramiento y remoción. </w:t>
      </w:r>
    </w:p>
    <w:p w14:paraId="5B89E350" w14:textId="77777777" w:rsidR="00300FD9" w:rsidRPr="00300FD9" w:rsidRDefault="00300FD9" w:rsidP="00300FD9">
      <w:pPr>
        <w:spacing w:after="0" w:line="240" w:lineRule="auto"/>
        <w:ind w:firstLine="708"/>
        <w:jc w:val="both"/>
        <w:rPr>
          <w:rFonts w:ascii="Verdana" w:eastAsia="Times New Roman" w:hAnsi="Verdana" w:cs="Arial"/>
          <w:color w:val="000000" w:themeColor="text1"/>
          <w:sz w:val="16"/>
          <w:szCs w:val="16"/>
          <w:lang w:eastAsia="es-ES_tradnl"/>
        </w:rPr>
      </w:pPr>
      <w:r w:rsidRPr="00300FD9">
        <w:rPr>
          <w:rFonts w:ascii="Verdana" w:eastAsia="Times New Roman" w:hAnsi="Verdana" w:cs="Arial"/>
          <w:color w:val="000000" w:themeColor="text1"/>
          <w:sz w:val="16"/>
          <w:szCs w:val="16"/>
          <w:lang w:eastAsia="es-ES_tradnl"/>
        </w:rPr>
        <w:t>Las autoridades sujetarán sus actuaciones a los procedimientos que se establecen en este Código, sin perjuicio de los procedimientos regulados en leyes especiales. En lo no previsto en los mismos se aplicarán las disposiciones de este Código</w:t>
      </w:r>
    </w:p>
    <w:p w14:paraId="53E25F0F" w14:textId="77777777" w:rsidR="00300FD9" w:rsidRPr="00300FD9" w:rsidRDefault="00300FD9" w:rsidP="00300FD9">
      <w:pPr>
        <w:pStyle w:val="Textonotapie"/>
        <w:jc w:val="both"/>
        <w:rPr>
          <w:rFonts w:ascii="Arial" w:hAnsi="Arial" w:cs="Arial"/>
          <w:color w:val="000000" w:themeColor="text1"/>
          <w:sz w:val="16"/>
          <w:szCs w:val="16"/>
          <w:lang w:val="es-CO"/>
        </w:rPr>
      </w:pPr>
    </w:p>
  </w:footnote>
  <w:footnote w:id="10">
    <w:p w14:paraId="2E65AAFA" w14:textId="77777777" w:rsidR="00300FD9" w:rsidRPr="00DD2FF9" w:rsidRDefault="00300FD9" w:rsidP="00300FD9">
      <w:pPr>
        <w:pStyle w:val="Textonotapie"/>
        <w:ind w:firstLine="709"/>
        <w:jc w:val="both"/>
        <w:rPr>
          <w:rFonts w:ascii="Verdana" w:hAnsi="Verdana" w:cs="Arial"/>
          <w:iCs/>
          <w:sz w:val="16"/>
          <w:szCs w:val="16"/>
        </w:rPr>
      </w:pPr>
      <w:r w:rsidRPr="00DD2FF9">
        <w:rPr>
          <w:rStyle w:val="Refdenotaalpie"/>
          <w:rFonts w:ascii="Verdana" w:hAnsi="Verdana" w:cs="Arial"/>
          <w:sz w:val="16"/>
          <w:szCs w:val="16"/>
        </w:rPr>
        <w:footnoteRef/>
      </w:r>
      <w:r w:rsidRPr="00DD2FF9">
        <w:rPr>
          <w:rFonts w:ascii="Verdana" w:hAnsi="Verdana" w:cs="Arial"/>
          <w:iCs/>
          <w:sz w:val="16"/>
          <w:szCs w:val="16"/>
        </w:rPr>
        <w:t xml:space="preserve"> Motivo por el cual son típicas cláusulas accidentales dentro de los contratos estatales, en los términos del artículo 1501 del Código Civil.</w:t>
      </w:r>
    </w:p>
    <w:p w14:paraId="0D5CFB36" w14:textId="77777777" w:rsidR="00300FD9" w:rsidRPr="00DD2FF9" w:rsidRDefault="00300FD9" w:rsidP="00300FD9">
      <w:pPr>
        <w:pStyle w:val="Textonotapie"/>
        <w:ind w:firstLine="709"/>
        <w:jc w:val="both"/>
        <w:rPr>
          <w:rFonts w:ascii="Verdana" w:hAnsi="Verdana" w:cs="Arial"/>
          <w:sz w:val="16"/>
          <w:szCs w:val="16"/>
        </w:rPr>
      </w:pPr>
    </w:p>
  </w:footnote>
  <w:footnote w:id="11">
    <w:p w14:paraId="431DF78C" w14:textId="77777777" w:rsidR="00300FD9" w:rsidRPr="00BC151B" w:rsidRDefault="00300FD9" w:rsidP="00300FD9">
      <w:pPr>
        <w:pStyle w:val="Textonotapie"/>
        <w:ind w:firstLine="709"/>
        <w:jc w:val="both"/>
        <w:rPr>
          <w:rFonts w:ascii="Verdana" w:hAnsi="Verdana"/>
          <w:sz w:val="16"/>
          <w:szCs w:val="16"/>
          <w:lang w:val="es-CO"/>
        </w:rPr>
      </w:pPr>
      <w:r w:rsidRPr="00BC151B">
        <w:rPr>
          <w:rStyle w:val="Refdenotaalpie"/>
          <w:rFonts w:ascii="Verdana" w:hAnsi="Verdana"/>
          <w:sz w:val="16"/>
          <w:szCs w:val="16"/>
        </w:rPr>
        <w:footnoteRef/>
      </w:r>
      <w:r w:rsidRPr="00BC151B">
        <w:rPr>
          <w:rFonts w:ascii="Verdana" w:hAnsi="Verdana"/>
          <w:sz w:val="16"/>
          <w:szCs w:val="16"/>
        </w:rPr>
        <w:t xml:space="preserve"> </w:t>
      </w:r>
      <w:r w:rsidRPr="00BC151B">
        <w:rPr>
          <w:rFonts w:ascii="Verdana" w:hAnsi="Verdana"/>
          <w:sz w:val="16"/>
          <w:szCs w:val="16"/>
          <w:lang w:val="es-ES"/>
        </w:rPr>
        <w:t xml:space="preserve">Consejo de Estado. Sala de lo Contencioso Administrativo. Sección Tercera. Sentencia del 15 de noviembre de 2011, expediente 20.916. C.P: Olga Mélida Valle de </w:t>
      </w:r>
      <w:proofErr w:type="spellStart"/>
      <w:r w:rsidRPr="00BC151B">
        <w:rPr>
          <w:rFonts w:ascii="Verdana" w:hAnsi="Verdana"/>
          <w:sz w:val="16"/>
          <w:szCs w:val="16"/>
          <w:lang w:val="es-ES"/>
        </w:rPr>
        <w:t>De</w:t>
      </w:r>
      <w:proofErr w:type="spellEnd"/>
      <w:r w:rsidRPr="00BC151B">
        <w:rPr>
          <w:rFonts w:ascii="Verdana" w:hAnsi="Verdana"/>
          <w:sz w:val="16"/>
          <w:szCs w:val="16"/>
          <w:lang w:val="es-ES"/>
        </w:rPr>
        <w:t xml:space="preserve"> La Hoz:</w:t>
      </w:r>
    </w:p>
  </w:footnote>
  <w:footnote w:id="12">
    <w:p w14:paraId="6FAE80C9" w14:textId="77777777" w:rsidR="00300FD9" w:rsidRDefault="00300FD9" w:rsidP="00300FD9">
      <w:pPr>
        <w:pStyle w:val="Textonotapie"/>
        <w:ind w:firstLine="708"/>
        <w:jc w:val="both"/>
        <w:rPr>
          <w:rFonts w:ascii="Verdana" w:hAnsi="Verdana" w:cs="Arial"/>
          <w:color w:val="000000" w:themeColor="text1"/>
          <w:sz w:val="16"/>
          <w:szCs w:val="16"/>
        </w:rPr>
      </w:pPr>
      <w:r w:rsidRPr="00FC7705">
        <w:rPr>
          <w:rStyle w:val="Refdenotaalpie"/>
          <w:rFonts w:ascii="Verdana" w:hAnsi="Verdana" w:cs="Arial"/>
          <w:color w:val="000000" w:themeColor="text1"/>
          <w:sz w:val="16"/>
          <w:szCs w:val="16"/>
        </w:rPr>
        <w:footnoteRef/>
      </w:r>
      <w:r w:rsidRPr="00FC7705">
        <w:rPr>
          <w:rFonts w:ascii="Verdana" w:hAnsi="Verdana" w:cs="Arial"/>
          <w:color w:val="000000" w:themeColor="text1"/>
          <w:sz w:val="16"/>
          <w:szCs w:val="16"/>
        </w:rPr>
        <w:t xml:space="preserve"> Consejo </w:t>
      </w:r>
      <w:r>
        <w:rPr>
          <w:rFonts w:ascii="Verdana" w:hAnsi="Verdana" w:cs="Arial"/>
          <w:color w:val="000000" w:themeColor="text1"/>
          <w:sz w:val="16"/>
          <w:szCs w:val="16"/>
        </w:rPr>
        <w:t>d</w:t>
      </w:r>
      <w:r w:rsidRPr="00FC7705">
        <w:rPr>
          <w:rFonts w:ascii="Verdana" w:hAnsi="Verdana" w:cs="Arial"/>
          <w:color w:val="000000" w:themeColor="text1"/>
          <w:sz w:val="16"/>
          <w:szCs w:val="16"/>
        </w:rPr>
        <w:t xml:space="preserve">e Estado. </w:t>
      </w:r>
      <w:r>
        <w:rPr>
          <w:rFonts w:ascii="Verdana" w:hAnsi="Verdana" w:cs="Arial"/>
          <w:color w:val="000000" w:themeColor="text1"/>
          <w:sz w:val="16"/>
          <w:szCs w:val="16"/>
        </w:rPr>
        <w:t xml:space="preserve">Sala de lo Contencioso Administrativo. </w:t>
      </w:r>
      <w:r w:rsidRPr="00FC7705">
        <w:rPr>
          <w:rFonts w:ascii="Verdana" w:hAnsi="Verdana" w:cs="Arial"/>
          <w:color w:val="000000" w:themeColor="text1"/>
          <w:sz w:val="16"/>
          <w:szCs w:val="16"/>
        </w:rPr>
        <w:t xml:space="preserve">Sección Tercera. </w:t>
      </w:r>
      <w:r w:rsidRPr="00FC7705">
        <w:rPr>
          <w:rFonts w:ascii="Verdana" w:hAnsi="Verdana" w:cs="Arial"/>
          <w:color w:val="000000" w:themeColor="text1"/>
          <w:sz w:val="16"/>
          <w:szCs w:val="16"/>
          <w:vertAlign w:val="superscript"/>
        </w:rPr>
        <w:t xml:space="preserve"> </w:t>
      </w:r>
      <w:r w:rsidRPr="00FC7705">
        <w:rPr>
          <w:rFonts w:ascii="Verdana" w:hAnsi="Verdana" w:cs="Arial"/>
          <w:color w:val="000000" w:themeColor="text1"/>
          <w:sz w:val="16"/>
          <w:szCs w:val="16"/>
        </w:rPr>
        <w:t>Sentencia del 13 de noviembre de 2008, expediente 17.009</w:t>
      </w:r>
      <w:r>
        <w:rPr>
          <w:rFonts w:ascii="Verdana" w:hAnsi="Verdana" w:cs="Arial"/>
          <w:color w:val="000000" w:themeColor="text1"/>
          <w:sz w:val="16"/>
          <w:szCs w:val="16"/>
        </w:rPr>
        <w:t>.</w:t>
      </w:r>
      <w:r w:rsidRPr="00FC7705">
        <w:rPr>
          <w:rFonts w:ascii="Verdana" w:hAnsi="Verdana" w:cs="Arial"/>
          <w:color w:val="000000" w:themeColor="text1"/>
          <w:sz w:val="16"/>
          <w:szCs w:val="16"/>
        </w:rPr>
        <w:t xml:space="preserve"> C.P</w:t>
      </w:r>
      <w:r>
        <w:rPr>
          <w:rFonts w:ascii="Verdana" w:hAnsi="Verdana" w:cs="Arial"/>
          <w:color w:val="000000" w:themeColor="text1"/>
          <w:sz w:val="16"/>
          <w:szCs w:val="16"/>
        </w:rPr>
        <w:t>:</w:t>
      </w:r>
      <w:r w:rsidRPr="00FC7705">
        <w:rPr>
          <w:rFonts w:ascii="Verdana" w:hAnsi="Verdana" w:cs="Arial"/>
          <w:color w:val="000000" w:themeColor="text1"/>
          <w:sz w:val="16"/>
          <w:szCs w:val="16"/>
        </w:rPr>
        <w:t xml:space="preserve"> Enrique Gil Botero.</w:t>
      </w:r>
    </w:p>
    <w:p w14:paraId="148F9170" w14:textId="77777777" w:rsidR="00300FD9" w:rsidRPr="00FC7705" w:rsidRDefault="00300FD9" w:rsidP="00300FD9">
      <w:pPr>
        <w:pStyle w:val="Textonotapie"/>
        <w:ind w:firstLine="708"/>
        <w:jc w:val="both"/>
        <w:rPr>
          <w:rFonts w:ascii="Verdana" w:hAnsi="Verdana" w:cs="Arial"/>
          <w:color w:val="000000" w:themeColor="text1"/>
          <w:sz w:val="16"/>
          <w:szCs w:val="16"/>
        </w:rPr>
      </w:pPr>
    </w:p>
  </w:footnote>
  <w:footnote w:id="13">
    <w:p w14:paraId="62CB373F" w14:textId="77777777" w:rsidR="00300FD9" w:rsidRDefault="00300FD9" w:rsidP="00300FD9">
      <w:pPr>
        <w:pStyle w:val="Textonotapie"/>
        <w:ind w:firstLine="709"/>
        <w:jc w:val="both"/>
        <w:rPr>
          <w:rFonts w:ascii="Verdana" w:hAnsi="Verdana" w:cs="Arial"/>
          <w:sz w:val="16"/>
          <w:szCs w:val="16"/>
        </w:rPr>
      </w:pPr>
      <w:r w:rsidRPr="00DD2FF9">
        <w:rPr>
          <w:rStyle w:val="Refdenotaalpie"/>
          <w:rFonts w:ascii="Verdana" w:hAnsi="Verdana" w:cs="Arial"/>
          <w:sz w:val="16"/>
          <w:szCs w:val="16"/>
        </w:rPr>
        <w:footnoteRef/>
      </w:r>
      <w:r w:rsidRPr="00DD2FF9">
        <w:rPr>
          <w:rFonts w:ascii="Verdana" w:hAnsi="Verdana" w:cs="Arial"/>
          <w:sz w:val="16"/>
          <w:szCs w:val="16"/>
          <w:vertAlign w:val="superscript"/>
        </w:rPr>
        <w:t xml:space="preserve"> </w:t>
      </w:r>
      <w:r>
        <w:rPr>
          <w:rFonts w:ascii="Verdana" w:hAnsi="Verdana" w:cs="Arial"/>
          <w:sz w:val="16"/>
          <w:szCs w:val="16"/>
        </w:rPr>
        <w:t>Ibidem</w:t>
      </w:r>
      <w:r w:rsidRPr="00DD2FF9">
        <w:rPr>
          <w:rFonts w:ascii="Verdana" w:hAnsi="Verdana" w:cs="Arial"/>
          <w:sz w:val="16"/>
          <w:szCs w:val="16"/>
        </w:rPr>
        <w:t>.</w:t>
      </w:r>
    </w:p>
    <w:p w14:paraId="3F10605F" w14:textId="77777777" w:rsidR="00300FD9" w:rsidRPr="00DD2FF9" w:rsidRDefault="00300FD9" w:rsidP="00300FD9">
      <w:pPr>
        <w:pStyle w:val="Textonotapie"/>
        <w:ind w:firstLine="709"/>
        <w:jc w:val="both"/>
        <w:rPr>
          <w:rFonts w:ascii="Verdana" w:hAnsi="Verdana" w:cs="Arial"/>
          <w:sz w:val="16"/>
          <w:szCs w:val="16"/>
        </w:rPr>
      </w:pPr>
    </w:p>
  </w:footnote>
  <w:footnote w:id="14">
    <w:p w14:paraId="2913699E" w14:textId="77777777" w:rsidR="00300FD9" w:rsidRPr="00DD2FF9" w:rsidRDefault="00300FD9" w:rsidP="00300FD9">
      <w:pPr>
        <w:pStyle w:val="Textonotapie"/>
        <w:ind w:firstLine="709"/>
        <w:jc w:val="both"/>
        <w:rPr>
          <w:rFonts w:ascii="Verdana" w:hAnsi="Verdana" w:cs="Arial"/>
          <w:sz w:val="16"/>
          <w:szCs w:val="16"/>
        </w:rPr>
      </w:pPr>
      <w:r w:rsidRPr="00DD2FF9">
        <w:rPr>
          <w:rStyle w:val="Refdenotaalpie"/>
          <w:rFonts w:ascii="Verdana" w:hAnsi="Verdana" w:cs="Arial"/>
          <w:sz w:val="16"/>
          <w:szCs w:val="16"/>
        </w:rPr>
        <w:footnoteRef/>
      </w:r>
      <w:r w:rsidRPr="00DD2FF9">
        <w:rPr>
          <w:rFonts w:ascii="Verdana" w:hAnsi="Verdana" w:cs="Arial"/>
          <w:sz w:val="16"/>
          <w:szCs w:val="16"/>
        </w:rPr>
        <w:t xml:space="preserve"> Ibidem.</w:t>
      </w:r>
    </w:p>
    <w:p w14:paraId="68C7A44B" w14:textId="77777777" w:rsidR="00300FD9" w:rsidRPr="00F15372" w:rsidRDefault="00300FD9" w:rsidP="00300FD9">
      <w:pPr>
        <w:pStyle w:val="Textonotapie"/>
        <w:ind w:firstLine="709"/>
        <w:jc w:val="both"/>
        <w:rPr>
          <w:rFonts w:ascii="Verdana" w:hAnsi="Verdana" w:cs="Arial"/>
          <w:sz w:val="18"/>
          <w:szCs w:val="18"/>
        </w:rPr>
      </w:pPr>
    </w:p>
    <w:p w14:paraId="4DF6BF8A" w14:textId="77777777" w:rsidR="00300FD9" w:rsidRPr="00F15372" w:rsidRDefault="00300FD9" w:rsidP="00300FD9">
      <w:pPr>
        <w:pStyle w:val="Textonotapie"/>
        <w:ind w:firstLine="709"/>
        <w:jc w:val="both"/>
        <w:rPr>
          <w:rFonts w:ascii="Verdana" w:hAnsi="Verdana" w:cs="Arial"/>
          <w:sz w:val="18"/>
          <w:szCs w:val="18"/>
        </w:rPr>
      </w:pPr>
    </w:p>
  </w:footnote>
  <w:footnote w:id="15">
    <w:p w14:paraId="0E1EF95D" w14:textId="77777777" w:rsidR="00300FD9" w:rsidRPr="00BC151B" w:rsidRDefault="00300FD9" w:rsidP="00300FD9">
      <w:pPr>
        <w:pStyle w:val="Textonotapie"/>
        <w:ind w:firstLine="708"/>
        <w:jc w:val="both"/>
        <w:rPr>
          <w:rFonts w:ascii="Verdana" w:hAnsi="Verdana" w:cs="Arial"/>
          <w:sz w:val="16"/>
          <w:szCs w:val="16"/>
        </w:rPr>
      </w:pPr>
      <w:r w:rsidRPr="00BC151B">
        <w:rPr>
          <w:rStyle w:val="Refdenotaalpie"/>
          <w:rFonts w:ascii="Verdana" w:hAnsi="Verdana" w:cs="Arial"/>
          <w:sz w:val="16"/>
          <w:szCs w:val="16"/>
        </w:rPr>
        <w:footnoteRef/>
      </w:r>
      <w:r w:rsidRPr="00BC151B">
        <w:rPr>
          <w:rFonts w:ascii="Verdana" w:hAnsi="Verdana" w:cs="Arial"/>
          <w:sz w:val="16"/>
          <w:szCs w:val="16"/>
        </w:rPr>
        <w:t xml:space="preserve"> El artículo 1613 del Código Civil dispone que “La indemnización de perjuicios comprende el daño emergente y lucro cesante, ya provenga de </w:t>
      </w:r>
      <w:r w:rsidRPr="00BC151B">
        <w:rPr>
          <w:rFonts w:ascii="Verdana" w:hAnsi="Verdana" w:cs="Arial"/>
          <w:i/>
          <w:iCs/>
          <w:sz w:val="16"/>
          <w:szCs w:val="16"/>
        </w:rPr>
        <w:t>no haberse cumplido la obligación, o de haberse cumplido imperfectamente, o de haberse retardado el cumplimiento</w:t>
      </w:r>
      <w:r w:rsidRPr="00BC151B">
        <w:rPr>
          <w:rFonts w:ascii="Verdana" w:hAnsi="Verdana" w:cs="Arial"/>
          <w:sz w:val="16"/>
          <w:szCs w:val="16"/>
        </w:rPr>
        <w:t>.</w:t>
      </w:r>
    </w:p>
    <w:p w14:paraId="55510B4C" w14:textId="77777777" w:rsidR="00300FD9" w:rsidRPr="00BC151B" w:rsidRDefault="00300FD9" w:rsidP="00300FD9">
      <w:pPr>
        <w:pStyle w:val="Textonotapie"/>
        <w:ind w:firstLine="708"/>
        <w:jc w:val="both"/>
        <w:rPr>
          <w:rFonts w:ascii="Verdana" w:hAnsi="Verdana" w:cs="Arial"/>
          <w:sz w:val="16"/>
          <w:szCs w:val="16"/>
        </w:rPr>
      </w:pPr>
      <w:r w:rsidRPr="00BC151B">
        <w:rPr>
          <w:rFonts w:ascii="Verdana" w:hAnsi="Verdana" w:cs="Arial"/>
          <w:sz w:val="16"/>
          <w:szCs w:val="16"/>
        </w:rPr>
        <w:t>“</w:t>
      </w:r>
      <w:proofErr w:type="spellStart"/>
      <w:r w:rsidRPr="00BC151B">
        <w:rPr>
          <w:rFonts w:ascii="Verdana" w:hAnsi="Verdana" w:cs="Arial"/>
          <w:sz w:val="16"/>
          <w:szCs w:val="16"/>
        </w:rPr>
        <w:t>Exceptúanse</w:t>
      </w:r>
      <w:proofErr w:type="spellEnd"/>
      <w:r w:rsidRPr="00BC151B">
        <w:rPr>
          <w:rFonts w:ascii="Verdana" w:hAnsi="Verdana" w:cs="Arial"/>
          <w:sz w:val="16"/>
          <w:szCs w:val="16"/>
        </w:rPr>
        <w:t xml:space="preserve"> los casos en que la ley la limita expresamente al daño emergente” (Cursiva fuera de texto).</w:t>
      </w:r>
    </w:p>
  </w:footnote>
  <w:footnote w:id="16">
    <w:p w14:paraId="212B4A63" w14:textId="77777777" w:rsidR="00300FD9" w:rsidRDefault="00300FD9" w:rsidP="00300FD9">
      <w:pPr>
        <w:pStyle w:val="NormalWeb"/>
        <w:spacing w:before="0" w:beforeAutospacing="0" w:after="0" w:afterAutospacing="0"/>
        <w:ind w:firstLine="708"/>
        <w:jc w:val="both"/>
        <w:rPr>
          <w:rFonts w:ascii="Verdana" w:hAnsi="Verdana" w:cs="Arial"/>
          <w:sz w:val="16"/>
          <w:szCs w:val="16"/>
        </w:rPr>
      </w:pPr>
      <w:r w:rsidRPr="00BC151B">
        <w:rPr>
          <w:rStyle w:val="Refdenotaalpie"/>
          <w:rFonts w:ascii="Verdana" w:eastAsiaTheme="majorEastAsia" w:hAnsi="Verdana" w:cs="Arial"/>
          <w:sz w:val="16"/>
          <w:szCs w:val="16"/>
        </w:rPr>
        <w:footnoteRef/>
      </w:r>
      <w:r w:rsidRPr="00BC151B">
        <w:rPr>
          <w:rFonts w:ascii="Verdana" w:hAnsi="Verdana" w:cs="Arial"/>
          <w:sz w:val="16"/>
          <w:szCs w:val="16"/>
        </w:rPr>
        <w:t xml:space="preserve"> </w:t>
      </w:r>
      <w:bookmarkStart w:id="4" w:name="52"/>
      <w:r w:rsidRPr="00BC151B">
        <w:rPr>
          <w:rFonts w:ascii="Verdana" w:hAnsi="Verdana" w:cs="Arial"/>
          <w:sz w:val="16"/>
          <w:szCs w:val="16"/>
        </w:rPr>
        <w:t>“Artículo 52. Caducidad de la facultad sancionatoria. </w:t>
      </w:r>
      <w:bookmarkEnd w:id="4"/>
      <w:r w:rsidRPr="00BC151B">
        <w:rPr>
          <w:rFonts w:ascii="Verdana" w:hAnsi="Verdana" w:cs="Arial"/>
          <w:sz w:val="16"/>
          <w:szCs w:val="16"/>
        </w:rPr>
        <w:t xml:space="preserve">Salvo lo dispuesto en leyes especiales, la facultad que tienen las autoridades para imponer </w:t>
      </w:r>
      <w:proofErr w:type="gramStart"/>
      <w:r w:rsidRPr="00BC151B">
        <w:rPr>
          <w:rFonts w:ascii="Verdana" w:hAnsi="Verdana" w:cs="Arial"/>
          <w:sz w:val="16"/>
          <w:szCs w:val="16"/>
        </w:rPr>
        <w:t>sanciones caduca</w:t>
      </w:r>
      <w:proofErr w:type="gramEnd"/>
      <w:r w:rsidRPr="00BC151B">
        <w:rPr>
          <w:rFonts w:ascii="Verdana" w:hAnsi="Verdana" w:cs="Arial"/>
          <w:sz w:val="16"/>
          <w:szCs w:val="16"/>
        </w:rPr>
        <w:t xml:space="preserve"> a los tres (3) años de ocurrido el hecho, la conducta u omisión que pudiere ocasionarlas, término dentro del cual el acto administrativo que impone la sanción debe haber sido expedido y notificado. Dicho acto sancionatorio es diferente de los actos que resuelven los recursos, los cuales deberán ser decididos, so pena de pérdida de competencia, en un término de un (1) año contado a partir de su debida y oportuna interposición. Si los recursos no se deciden en el término fijado en esta disposición, se entenderán fallados a favor del recurrente, sin perjuicio de la responsabilidad patrimonial y disciplinaria que tal abstención genere para el funcionario encargado de resolver.</w:t>
      </w:r>
    </w:p>
    <w:p w14:paraId="14D18166" w14:textId="77777777" w:rsidR="00300FD9" w:rsidRPr="00BC151B" w:rsidRDefault="00300FD9" w:rsidP="00300FD9">
      <w:pPr>
        <w:pStyle w:val="NormalWeb"/>
        <w:spacing w:before="0" w:beforeAutospacing="0" w:after="0" w:afterAutospacing="0"/>
        <w:ind w:firstLine="708"/>
        <w:jc w:val="both"/>
        <w:rPr>
          <w:rFonts w:ascii="Verdana" w:hAnsi="Verdana" w:cs="Arial"/>
          <w:sz w:val="16"/>
          <w:szCs w:val="16"/>
        </w:rPr>
      </w:pPr>
      <w:r w:rsidRPr="00BC151B">
        <w:rPr>
          <w:rFonts w:ascii="Verdana" w:hAnsi="Verdana" w:cs="Arial"/>
          <w:sz w:val="16"/>
          <w:szCs w:val="16"/>
        </w:rPr>
        <w:t>Cuando se trate de un hecho o conducta continuada, este término se contará desde el día siguiente a aquel en que cesó la infracción y/o la ejecución.</w:t>
      </w:r>
    </w:p>
    <w:p w14:paraId="445DD9D5" w14:textId="77777777" w:rsidR="00300FD9" w:rsidRPr="00BC151B" w:rsidRDefault="00300FD9" w:rsidP="00300FD9">
      <w:pPr>
        <w:spacing w:after="0" w:line="240" w:lineRule="auto"/>
        <w:ind w:firstLine="708"/>
        <w:jc w:val="both"/>
        <w:rPr>
          <w:rFonts w:ascii="Verdana" w:eastAsia="Times New Roman" w:hAnsi="Verdana" w:cs="Arial"/>
          <w:sz w:val="16"/>
          <w:szCs w:val="16"/>
        </w:rPr>
      </w:pPr>
      <w:r w:rsidRPr="00BC151B">
        <w:rPr>
          <w:rFonts w:ascii="Verdana" w:eastAsia="Times New Roman" w:hAnsi="Verdana" w:cs="Arial"/>
          <w:sz w:val="16"/>
          <w:szCs w:val="16"/>
        </w:rPr>
        <w:t>La sanción decretada por acto administrativo prescribirá al cabo de cinco (5) años contados a partir de la fecha de la ejecutoria</w:t>
      </w:r>
      <w:r w:rsidRPr="00BC151B">
        <w:rPr>
          <w:rFonts w:ascii="Verdana" w:hAnsi="Verdana" w:cs="Arial"/>
          <w:sz w:val="16"/>
          <w:szCs w:val="16"/>
        </w:rPr>
        <w:t>”</w:t>
      </w:r>
      <w:r w:rsidRPr="00BC151B">
        <w:rPr>
          <w:rFonts w:ascii="Verdana" w:eastAsia="Times New Roman" w:hAnsi="Verdana" w:cs="Arial"/>
          <w:sz w:val="16"/>
          <w:szCs w:val="16"/>
        </w:rPr>
        <w:t>.</w:t>
      </w:r>
    </w:p>
    <w:p w14:paraId="5F7A878F" w14:textId="77777777" w:rsidR="00300FD9" w:rsidRPr="00BC151B" w:rsidRDefault="00300FD9" w:rsidP="00300FD9">
      <w:pPr>
        <w:pStyle w:val="Textonotapie"/>
        <w:jc w:val="both"/>
        <w:rPr>
          <w:rFonts w:ascii="Verdana" w:hAnsi="Verdana" w:cs="Arial"/>
          <w:sz w:val="16"/>
          <w:szCs w:val="16"/>
          <w:lang w:val="es-CO"/>
        </w:rPr>
      </w:pPr>
    </w:p>
  </w:footnote>
  <w:footnote w:id="17">
    <w:p w14:paraId="7AAF6837" w14:textId="77777777" w:rsidR="00300FD9" w:rsidRPr="00300FD9" w:rsidRDefault="00300FD9" w:rsidP="00300FD9">
      <w:pPr>
        <w:shd w:val="clear" w:color="auto" w:fill="FFFFFF"/>
        <w:spacing w:after="0" w:line="240" w:lineRule="auto"/>
        <w:ind w:firstLine="708"/>
        <w:jc w:val="both"/>
        <w:rPr>
          <w:rFonts w:ascii="Verdana" w:eastAsia="Times New Roman" w:hAnsi="Verdana" w:cs="Arial"/>
          <w:sz w:val="16"/>
          <w:szCs w:val="16"/>
        </w:rPr>
      </w:pPr>
      <w:r w:rsidRPr="00BC151B">
        <w:rPr>
          <w:rStyle w:val="Refdenotaalpie"/>
          <w:rFonts w:ascii="Verdana" w:hAnsi="Verdana" w:cs="Arial"/>
          <w:sz w:val="16"/>
          <w:szCs w:val="16"/>
        </w:rPr>
        <w:footnoteRef/>
      </w:r>
      <w:r w:rsidRPr="00BC151B">
        <w:rPr>
          <w:rFonts w:ascii="Verdana" w:hAnsi="Verdana" w:cs="Arial"/>
          <w:sz w:val="16"/>
          <w:szCs w:val="16"/>
        </w:rPr>
        <w:t xml:space="preserve"> “</w:t>
      </w:r>
      <w:r w:rsidRPr="00300FD9">
        <w:rPr>
          <w:rFonts w:ascii="Verdana" w:eastAsia="Times New Roman" w:hAnsi="Verdana" w:cs="Arial"/>
          <w:sz w:val="16"/>
          <w:szCs w:val="16"/>
        </w:rPr>
        <w:t xml:space="preserve">La discrecionalidad es esencialmente una libertad de elección entre alternativas igualmente justas o, si se prefiere, entre indiferentes jurídicos, porque la decisión se fundamenta en criterios extrajurídicos (de oportunidad, económicos, etc.) no incluidos en la ley y remitidos al juicio subjetivo de la Administración”. (GARCÍA DE ENTERRÍA, Eduardo y FERNÁNDEZ, Tomás-Ramón. Curso de Derecho Administrativo. Tomo I. Séptima edición, Madrid: ed. </w:t>
      </w:r>
      <w:proofErr w:type="spellStart"/>
      <w:r w:rsidRPr="00300FD9">
        <w:rPr>
          <w:rFonts w:ascii="Verdana" w:eastAsia="Times New Roman" w:hAnsi="Verdana" w:cs="Arial"/>
          <w:sz w:val="16"/>
          <w:szCs w:val="16"/>
        </w:rPr>
        <w:t>Civitas</w:t>
      </w:r>
      <w:proofErr w:type="spellEnd"/>
      <w:r w:rsidRPr="00300FD9">
        <w:rPr>
          <w:rFonts w:ascii="Verdana" w:eastAsia="Times New Roman" w:hAnsi="Verdana" w:cs="Arial"/>
          <w:sz w:val="16"/>
          <w:szCs w:val="16"/>
        </w:rPr>
        <w:t xml:space="preserve">, 1995. P. 447). </w:t>
      </w:r>
    </w:p>
  </w:footnote>
  <w:footnote w:id="18">
    <w:p w14:paraId="363DFC12" w14:textId="77777777" w:rsidR="00300FD9" w:rsidRDefault="00300FD9" w:rsidP="00300FD9">
      <w:pPr>
        <w:pStyle w:val="Textonotapie"/>
        <w:ind w:firstLine="709"/>
        <w:jc w:val="both"/>
        <w:rPr>
          <w:rFonts w:ascii="Verdana" w:hAnsi="Verdana" w:cs="Arial"/>
          <w:color w:val="000000" w:themeColor="text1"/>
          <w:sz w:val="16"/>
          <w:szCs w:val="16"/>
        </w:rPr>
      </w:pPr>
      <w:r w:rsidRPr="00253259">
        <w:rPr>
          <w:rStyle w:val="Refdenotaalpie"/>
          <w:rFonts w:ascii="Verdana" w:hAnsi="Verdana"/>
          <w:sz w:val="16"/>
          <w:szCs w:val="16"/>
        </w:rPr>
        <w:footnoteRef/>
      </w:r>
      <w:r w:rsidRPr="00253259">
        <w:rPr>
          <w:rFonts w:ascii="Verdana" w:hAnsi="Verdana"/>
          <w:sz w:val="16"/>
          <w:szCs w:val="16"/>
        </w:rPr>
        <w:t xml:space="preserve"> </w:t>
      </w:r>
      <w:r w:rsidRPr="00253259">
        <w:rPr>
          <w:rFonts w:ascii="Verdana" w:hAnsi="Verdana" w:cs="Arial"/>
          <w:color w:val="000000" w:themeColor="text1"/>
          <w:sz w:val="16"/>
          <w:szCs w:val="16"/>
        </w:rPr>
        <w:t xml:space="preserve">Consejo </w:t>
      </w:r>
      <w:r>
        <w:rPr>
          <w:rFonts w:ascii="Verdana" w:hAnsi="Verdana" w:cs="Arial"/>
          <w:color w:val="000000" w:themeColor="text1"/>
          <w:sz w:val="16"/>
          <w:szCs w:val="16"/>
        </w:rPr>
        <w:t>d</w:t>
      </w:r>
      <w:r w:rsidRPr="00253259">
        <w:rPr>
          <w:rFonts w:ascii="Verdana" w:hAnsi="Verdana" w:cs="Arial"/>
          <w:color w:val="000000" w:themeColor="text1"/>
          <w:sz w:val="16"/>
          <w:szCs w:val="16"/>
        </w:rPr>
        <w:t>e Estado. Sala de Consulta y Servicio Civil. Concepto del 10 de octubre de 2013. Rad. 2157. C.P. Alvaro Namén Vargas.</w:t>
      </w:r>
    </w:p>
    <w:p w14:paraId="02FBFC36" w14:textId="77777777" w:rsidR="00300FD9" w:rsidRPr="00253259" w:rsidRDefault="00300FD9" w:rsidP="00300FD9">
      <w:pPr>
        <w:pStyle w:val="Textonotapie"/>
        <w:ind w:firstLine="709"/>
        <w:jc w:val="both"/>
        <w:rPr>
          <w:rFonts w:ascii="Verdana" w:hAnsi="Verdana"/>
          <w:sz w:val="16"/>
          <w:szCs w:val="16"/>
          <w:lang w:val="es-CO"/>
        </w:rPr>
      </w:pPr>
    </w:p>
  </w:footnote>
  <w:footnote w:id="19">
    <w:p w14:paraId="1807438A" w14:textId="77777777" w:rsidR="00300FD9" w:rsidRPr="00253259" w:rsidRDefault="00300FD9" w:rsidP="00300FD9">
      <w:pPr>
        <w:pStyle w:val="Textonotapie"/>
        <w:ind w:firstLine="709"/>
        <w:rPr>
          <w:rFonts w:ascii="Verdana" w:hAnsi="Verdana"/>
          <w:sz w:val="16"/>
          <w:szCs w:val="16"/>
          <w:lang w:val="es-CO"/>
        </w:rPr>
      </w:pPr>
      <w:r w:rsidRPr="00253259">
        <w:rPr>
          <w:rStyle w:val="Refdenotaalpie"/>
          <w:rFonts w:ascii="Verdana" w:hAnsi="Verdana"/>
          <w:sz w:val="16"/>
          <w:szCs w:val="16"/>
        </w:rPr>
        <w:footnoteRef/>
      </w:r>
      <w:r w:rsidRPr="00253259">
        <w:rPr>
          <w:rFonts w:ascii="Verdana" w:hAnsi="Verdana"/>
          <w:sz w:val="16"/>
          <w:szCs w:val="16"/>
        </w:rPr>
        <w:t xml:space="preserve"> </w:t>
      </w:r>
      <w:r w:rsidRPr="00253259">
        <w:rPr>
          <w:rFonts w:ascii="Verdana" w:hAnsi="Verdana"/>
          <w:sz w:val="16"/>
          <w:szCs w:val="16"/>
          <w:lang w:val="es-CO"/>
        </w:rPr>
        <w:t>E</w:t>
      </w:r>
      <w:r w:rsidRPr="00D63525">
        <w:rPr>
          <w:rFonts w:ascii="Verdana" w:hAnsi="Verdana"/>
          <w:sz w:val="16"/>
          <w:szCs w:val="16"/>
          <w:lang w:val="es-CO"/>
        </w:rPr>
        <w:t>n los términos del artículo 1501 del Código Civil</w:t>
      </w:r>
      <w:r>
        <w:rPr>
          <w:rFonts w:ascii="Verdana" w:hAnsi="Verdana"/>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865AFA"/>
    <w:multiLevelType w:val="hybridMultilevel"/>
    <w:tmpl w:val="F8AC60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5175035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5A4E"/>
    <w:rsid w:val="00082362"/>
    <w:rsid w:val="000A683E"/>
    <w:rsid w:val="000B19B9"/>
    <w:rsid w:val="000D0334"/>
    <w:rsid w:val="000D19D0"/>
    <w:rsid w:val="000D5DA7"/>
    <w:rsid w:val="000F6486"/>
    <w:rsid w:val="00116940"/>
    <w:rsid w:val="00125105"/>
    <w:rsid w:val="00127233"/>
    <w:rsid w:val="00134ED7"/>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0FD9"/>
    <w:rsid w:val="0030657A"/>
    <w:rsid w:val="00315A30"/>
    <w:rsid w:val="00322A85"/>
    <w:rsid w:val="00324168"/>
    <w:rsid w:val="00330834"/>
    <w:rsid w:val="003448F4"/>
    <w:rsid w:val="00374F5E"/>
    <w:rsid w:val="00376A45"/>
    <w:rsid w:val="00377E3E"/>
    <w:rsid w:val="003A3876"/>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809C0"/>
    <w:rsid w:val="00591460"/>
    <w:rsid w:val="005A65E0"/>
    <w:rsid w:val="005C3777"/>
    <w:rsid w:val="005C5CDC"/>
    <w:rsid w:val="005D476C"/>
    <w:rsid w:val="006200BF"/>
    <w:rsid w:val="006219F8"/>
    <w:rsid w:val="006302F7"/>
    <w:rsid w:val="00646B9F"/>
    <w:rsid w:val="00665D70"/>
    <w:rsid w:val="006900D9"/>
    <w:rsid w:val="00706C16"/>
    <w:rsid w:val="007340C3"/>
    <w:rsid w:val="00746504"/>
    <w:rsid w:val="0075235A"/>
    <w:rsid w:val="00756841"/>
    <w:rsid w:val="007649AB"/>
    <w:rsid w:val="00766794"/>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2B80"/>
    <w:rsid w:val="009F3A13"/>
    <w:rsid w:val="00A122D3"/>
    <w:rsid w:val="00A14468"/>
    <w:rsid w:val="00A17F13"/>
    <w:rsid w:val="00A20739"/>
    <w:rsid w:val="00A23AF9"/>
    <w:rsid w:val="00A33C78"/>
    <w:rsid w:val="00A6187B"/>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47767"/>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00FD9"/>
    <w:rPr>
      <w:rFonts w:ascii="Geomanist Light" w:hAnsi="Geomanist Light"/>
      <w:lang w:val="es-ES"/>
    </w:rPr>
  </w:style>
  <w:style w:type="paragraph" w:customStyle="1" w:styleId="Appelnotedebasde">
    <w:name w:val="Appel note de bas de..."/>
    <w:basedOn w:val="Normal"/>
    <w:link w:val="Refdenotaalpie"/>
    <w:uiPriority w:val="99"/>
    <w:rsid w:val="00300FD9"/>
    <w:pPr>
      <w:spacing w:line="240" w:lineRule="exact"/>
    </w:pPr>
    <w:rPr>
      <w:vertAlign w:val="superscript"/>
    </w:rPr>
  </w:style>
  <w:style w:type="character" w:customStyle="1" w:styleId="NormalWebCar">
    <w:name w:val="Normal (Web) Car"/>
    <w:link w:val="NormalWeb"/>
    <w:uiPriority w:val="99"/>
    <w:locked/>
    <w:rsid w:val="00300FD9"/>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fagabogado@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67E06A4-C9D9-48D3-B245-036ABC26E3CC}"/>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20</TotalTime>
  <Pages>28</Pages>
  <Words>9748</Words>
  <Characters>53617</Characters>
  <Application>Microsoft Office Word</Application>
  <DocSecurity>0</DocSecurity>
  <Lines>446</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3</cp:revision>
  <cp:lastPrinted>2023-01-10T21:18:00Z</cp:lastPrinted>
  <dcterms:created xsi:type="dcterms:W3CDTF">2026-04-09T15:10:00Z</dcterms:created>
  <dcterms:modified xsi:type="dcterms:W3CDTF">2026-04-10T12:36:00Z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