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E3A16" w14:textId="77777777" w:rsidR="00AA1EFC" w:rsidRDefault="00AA1EFC" w:rsidP="00AA1EFC">
      <w:pPr>
        <w:spacing w:after="0" w:line="240" w:lineRule="auto"/>
        <w:jc w:val="both"/>
        <w:rPr>
          <w:rFonts w:ascii="Verdana" w:hAnsi="Verdana" w:cs="Arial"/>
          <w:b/>
          <w:bCs/>
          <w:color w:val="000000" w:themeColor="text1"/>
        </w:rPr>
      </w:pPr>
      <w:bookmarkStart w:id="0" w:name="_Hlk143780582"/>
      <w:r w:rsidRPr="00D721C1">
        <w:rPr>
          <w:rFonts w:ascii="Verdana" w:hAnsi="Verdana" w:cs="Arial"/>
          <w:b/>
          <w:bCs/>
          <w:color w:val="000000" w:themeColor="text1"/>
        </w:rPr>
        <w:t xml:space="preserve">REQUISITOS DE PERFECCIONAMIENTO DEL CONTRATO – Alcance </w:t>
      </w:r>
    </w:p>
    <w:p w14:paraId="2EB7579A" w14:textId="77777777" w:rsidR="00AA1EFC" w:rsidRDefault="00AA1EFC" w:rsidP="00AA1EFC">
      <w:pPr>
        <w:spacing w:after="0" w:line="240" w:lineRule="auto"/>
        <w:jc w:val="both"/>
        <w:rPr>
          <w:rFonts w:ascii="Verdana" w:hAnsi="Verdana" w:cs="Arial"/>
          <w:b/>
          <w:bCs/>
          <w:color w:val="000000" w:themeColor="text1"/>
        </w:rPr>
      </w:pPr>
    </w:p>
    <w:p w14:paraId="4AA88137" w14:textId="77777777" w:rsidR="00AA1EFC" w:rsidRPr="00D32259" w:rsidRDefault="00AA1EFC" w:rsidP="00AA1EFC">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 xml:space="preserve">Los </w:t>
      </w:r>
      <w:r w:rsidRPr="00D721C1">
        <w:rPr>
          <w:rFonts w:ascii="Verdana" w:eastAsia="Calibri" w:hAnsi="Verdana" w:cs="Arial"/>
          <w:i/>
          <w:iCs/>
          <w:color w:val="000000"/>
          <w:sz w:val="20"/>
          <w:szCs w:val="20"/>
          <w:lang w:val="es-ES" w:eastAsia="en-GB"/>
        </w:rPr>
        <w:t>requisitos de perfeccionamiento</w:t>
      </w:r>
      <w:r w:rsidRPr="00D721C1">
        <w:rPr>
          <w:rFonts w:ascii="Verdana" w:eastAsia="Calibri" w:hAnsi="Verdana" w:cs="Arial"/>
          <w:color w:val="000000"/>
          <w:sz w:val="20"/>
          <w:szCs w:val="20"/>
          <w:lang w:val="es-ES" w:eastAsia="en-GB"/>
        </w:rPr>
        <w:t xml:space="preserve"> del contrato estatal son mandatos normativos que determinan cuándo se entiende celebrado. Es decir, se trata de prescripciones que establecen en qué momento existe el contrato. </w:t>
      </w:r>
    </w:p>
    <w:p w14:paraId="3D7205C1" w14:textId="77777777" w:rsidR="00AA1EFC" w:rsidRDefault="00AA1EFC" w:rsidP="00AA1EFC">
      <w:pPr>
        <w:spacing w:after="0" w:line="240" w:lineRule="auto"/>
        <w:jc w:val="both"/>
        <w:rPr>
          <w:rFonts w:ascii="Verdana" w:hAnsi="Verdana" w:cs="Arial"/>
          <w:b/>
          <w:bCs/>
          <w:color w:val="000000" w:themeColor="text1"/>
        </w:rPr>
      </w:pPr>
    </w:p>
    <w:p w14:paraId="5A5390BB" w14:textId="77777777" w:rsidR="00AA1EFC" w:rsidRDefault="00AA1EFC" w:rsidP="00AA1EF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ELEMENTOS DEL CONTRATO – Esencia - Naturaleza – Accidentales </w:t>
      </w:r>
    </w:p>
    <w:p w14:paraId="52E44B0C" w14:textId="77777777" w:rsidR="00AA1EFC" w:rsidRDefault="00AA1EFC" w:rsidP="00AA1EFC">
      <w:pPr>
        <w:spacing w:after="0" w:line="240" w:lineRule="auto"/>
        <w:jc w:val="both"/>
        <w:rPr>
          <w:rFonts w:ascii="Verdana" w:hAnsi="Verdana" w:cs="Arial"/>
          <w:b/>
          <w:bCs/>
          <w:color w:val="000000" w:themeColor="text1"/>
        </w:rPr>
      </w:pPr>
    </w:p>
    <w:p w14:paraId="1B1FE188" w14:textId="77777777" w:rsidR="00AA1EFC" w:rsidRDefault="00AA1EFC" w:rsidP="00AA1EFC">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sz w:val="20"/>
          <w:szCs w:val="20"/>
          <w:lang w:val="es-ES" w:eastAsia="en-GB"/>
        </w:rPr>
        <w:t xml:space="preserve">Según el artículo 1.501 del Código Civil, todo contrato se caracteriza por tener tres elementos: los de la esencia, los de la naturaleza y los accidentales. </w:t>
      </w:r>
    </w:p>
    <w:p w14:paraId="311BCD8A" w14:textId="77777777" w:rsidR="00AA1EFC" w:rsidRDefault="00AA1EFC" w:rsidP="00AA1EFC">
      <w:pPr>
        <w:spacing w:after="0" w:line="240" w:lineRule="auto"/>
        <w:jc w:val="both"/>
        <w:rPr>
          <w:rFonts w:ascii="Verdana" w:eastAsia="Calibri" w:hAnsi="Verdana" w:cs="Arial"/>
          <w:color w:val="000000"/>
          <w:sz w:val="20"/>
          <w:szCs w:val="20"/>
          <w:lang w:val="es-ES" w:eastAsia="en-GB"/>
        </w:rPr>
      </w:pPr>
    </w:p>
    <w:p w14:paraId="12A8E447" w14:textId="77777777" w:rsidR="00AA1EFC" w:rsidRPr="00D32259" w:rsidRDefault="00AA1EFC" w:rsidP="00AA1EFC">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 Los requisitos de perfeccionamiento del contrato estatal ingresan dentro de los elementos de la esencia.</w:t>
      </w:r>
    </w:p>
    <w:p w14:paraId="744A33A8" w14:textId="77777777" w:rsidR="00AA1EFC" w:rsidRPr="00F60827" w:rsidRDefault="00AA1EFC" w:rsidP="00AA1EFC">
      <w:pPr>
        <w:spacing w:after="0"/>
        <w:rPr>
          <w:rFonts w:ascii="Verdana" w:hAnsi="Verdana"/>
        </w:rPr>
      </w:pPr>
    </w:p>
    <w:p w14:paraId="5DACB941" w14:textId="77777777" w:rsidR="00AA1EFC" w:rsidRPr="00F60827" w:rsidRDefault="00AA1EFC" w:rsidP="00AA1EFC">
      <w:pPr>
        <w:spacing w:after="0" w:line="240" w:lineRule="auto"/>
        <w:jc w:val="both"/>
        <w:rPr>
          <w:rFonts w:ascii="Verdana" w:hAnsi="Verdana" w:cs="Arial"/>
          <w:b/>
          <w:bCs/>
        </w:rPr>
      </w:pPr>
      <w:r w:rsidRPr="00F60827">
        <w:rPr>
          <w:rFonts w:ascii="Verdana" w:hAnsi="Verdana" w:cs="Arial"/>
          <w:b/>
          <w:bCs/>
        </w:rPr>
        <w:t>CONTRATO ESTATAL – Requisitos de perfeccionamiento y de ejecución – Ley 80 de 1993 artículo 41</w:t>
      </w:r>
    </w:p>
    <w:p w14:paraId="464BCAF4" w14:textId="77777777" w:rsidR="00AA1EFC" w:rsidRPr="00F60827" w:rsidRDefault="00AA1EFC" w:rsidP="00AA1EFC">
      <w:pPr>
        <w:spacing w:after="0" w:line="240" w:lineRule="auto"/>
        <w:jc w:val="both"/>
        <w:rPr>
          <w:rFonts w:ascii="Verdana" w:hAnsi="Verdana" w:cs="Arial"/>
          <w:b/>
          <w:bCs/>
        </w:rPr>
      </w:pPr>
    </w:p>
    <w:p w14:paraId="64B5D266" w14:textId="77777777" w:rsidR="00AA1EFC" w:rsidRPr="00126C29" w:rsidRDefault="00AA1EFC" w:rsidP="00AA1EFC">
      <w:pPr>
        <w:spacing w:after="0" w:line="240" w:lineRule="auto"/>
        <w:jc w:val="both"/>
        <w:rPr>
          <w:rFonts w:ascii="Verdana" w:eastAsia="Calibri" w:hAnsi="Verdana" w:cs="Arial"/>
          <w:sz w:val="20"/>
          <w:szCs w:val="20"/>
          <w:lang w:val="es-ES" w:eastAsia="en-GB"/>
        </w:rPr>
      </w:pPr>
      <w:r w:rsidRPr="00126C29">
        <w:rPr>
          <w:rFonts w:ascii="Verdana" w:eastAsia="Calibri" w:hAnsi="Verdana" w:cs="Arial"/>
          <w:sz w:val="20"/>
          <w:szCs w:val="20"/>
          <w:lang w:val="es-ES" w:eastAsia="en-GB"/>
        </w:rPr>
        <w:t xml:space="preserve">[…]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w:t>
      </w:r>
    </w:p>
    <w:p w14:paraId="2E557224" w14:textId="77777777" w:rsidR="00AA1EFC" w:rsidRPr="00126C29" w:rsidRDefault="00AA1EFC" w:rsidP="00AA1EFC">
      <w:pPr>
        <w:spacing w:after="0" w:line="240" w:lineRule="auto"/>
        <w:jc w:val="both"/>
        <w:rPr>
          <w:rFonts w:ascii="Verdana" w:eastAsia="Calibri" w:hAnsi="Verdana" w:cs="Arial"/>
          <w:sz w:val="20"/>
          <w:szCs w:val="20"/>
          <w:lang w:val="es-ES" w:eastAsia="en-GB"/>
        </w:rPr>
      </w:pPr>
    </w:p>
    <w:p w14:paraId="1F0895D0" w14:textId="77777777" w:rsidR="00AA1EFC" w:rsidRPr="00126C29" w:rsidRDefault="00AA1EFC" w:rsidP="00AA1EFC">
      <w:pPr>
        <w:spacing w:after="0" w:line="240" w:lineRule="auto"/>
        <w:jc w:val="both"/>
        <w:rPr>
          <w:rFonts w:ascii="Verdana" w:hAnsi="Verdana" w:cs="Arial"/>
          <w:b/>
          <w:bCs/>
        </w:rPr>
      </w:pPr>
      <w:r w:rsidRPr="00126C29">
        <w:rPr>
          <w:rFonts w:ascii="Verdana" w:eastAsia="Calibri" w:hAnsi="Verdana" w:cs="Arial"/>
          <w:sz w:val="20"/>
          <w:szCs w:val="20"/>
          <w:lang w:val="es-ES" w:eastAsia="en-GB"/>
        </w:rPr>
        <w:t xml:space="preserve">Tal circunstancia le ha permitido a la doctrina concluir que el contrato estatal regulado en el EGCAP es “(…) principalmente, </w:t>
      </w:r>
      <w:r w:rsidRPr="00126C29">
        <w:rPr>
          <w:rFonts w:ascii="Verdana" w:eastAsia="Calibri" w:hAnsi="Verdana" w:cs="Arial"/>
          <w:i/>
          <w:iCs/>
          <w:sz w:val="20"/>
          <w:szCs w:val="20"/>
          <w:lang w:val="es-ES" w:eastAsia="en-GB"/>
        </w:rPr>
        <w:t>solemne,</w:t>
      </w:r>
      <w:r w:rsidRPr="00126C29">
        <w:rPr>
          <w:rFonts w:ascii="Verdana" w:eastAsia="Calibri" w:hAnsi="Verdana" w:cs="Arial"/>
          <w:sz w:val="20"/>
          <w:szCs w:val="20"/>
          <w:lang w:val="es-ES" w:eastAsia="en-GB"/>
        </w:rPr>
        <w:t xml:space="preserve"> ya que la manifestación de voluntad, si no se expresa bajo la forma </w:t>
      </w:r>
      <w:r w:rsidRPr="00126C29">
        <w:rPr>
          <w:rFonts w:ascii="Verdana" w:eastAsia="Calibri" w:hAnsi="Verdana" w:cs="Arial"/>
          <w:i/>
          <w:iCs/>
          <w:sz w:val="20"/>
          <w:szCs w:val="20"/>
          <w:lang w:val="es-ES" w:eastAsia="en-GB"/>
        </w:rPr>
        <w:t xml:space="preserve">ad </w:t>
      </w:r>
      <w:proofErr w:type="spellStart"/>
      <w:r w:rsidRPr="00126C29">
        <w:rPr>
          <w:rFonts w:ascii="Verdana" w:eastAsia="Calibri" w:hAnsi="Verdana" w:cs="Arial"/>
          <w:i/>
          <w:iCs/>
          <w:sz w:val="20"/>
          <w:szCs w:val="20"/>
          <w:lang w:val="es-ES" w:eastAsia="en-GB"/>
        </w:rPr>
        <w:t>solemnitatem</w:t>
      </w:r>
      <w:proofErr w:type="spellEnd"/>
      <w:r w:rsidRPr="00126C29">
        <w:rPr>
          <w:rFonts w:ascii="Verdana" w:eastAsia="Calibri" w:hAnsi="Verdana" w:cs="Arial"/>
          <w:sz w:val="20"/>
          <w:szCs w:val="20"/>
          <w:lang w:val="es-ES" w:eastAsia="en-GB"/>
        </w:rPr>
        <w:t xml:space="preserve"> o </w:t>
      </w:r>
      <w:r w:rsidRPr="00126C29">
        <w:rPr>
          <w:rFonts w:ascii="Verdana" w:eastAsia="Calibri" w:hAnsi="Verdana" w:cs="Arial"/>
          <w:i/>
          <w:iCs/>
          <w:sz w:val="20"/>
          <w:szCs w:val="20"/>
          <w:lang w:val="es-ES" w:eastAsia="en-GB"/>
        </w:rPr>
        <w:t xml:space="preserve">ad </w:t>
      </w:r>
      <w:proofErr w:type="spellStart"/>
      <w:r w:rsidRPr="00126C29">
        <w:rPr>
          <w:rFonts w:ascii="Verdana" w:eastAsia="Calibri" w:hAnsi="Verdana" w:cs="Arial"/>
          <w:i/>
          <w:iCs/>
          <w:sz w:val="20"/>
          <w:szCs w:val="20"/>
          <w:lang w:val="es-ES" w:eastAsia="en-GB"/>
        </w:rPr>
        <w:t>substantiam</w:t>
      </w:r>
      <w:proofErr w:type="spellEnd"/>
      <w:r w:rsidRPr="00126C29">
        <w:rPr>
          <w:rFonts w:ascii="Verdana" w:eastAsia="Calibri" w:hAnsi="Verdana" w:cs="Arial"/>
          <w:i/>
          <w:iCs/>
          <w:sz w:val="20"/>
          <w:szCs w:val="20"/>
          <w:lang w:val="es-ES" w:eastAsia="en-GB"/>
        </w:rPr>
        <w:t xml:space="preserve"> </w:t>
      </w:r>
      <w:proofErr w:type="spellStart"/>
      <w:r w:rsidRPr="00126C29">
        <w:rPr>
          <w:rFonts w:ascii="Verdana" w:eastAsia="Calibri" w:hAnsi="Verdana" w:cs="Arial"/>
          <w:i/>
          <w:iCs/>
          <w:sz w:val="20"/>
          <w:szCs w:val="20"/>
          <w:lang w:val="es-ES" w:eastAsia="en-GB"/>
        </w:rPr>
        <w:t>actus</w:t>
      </w:r>
      <w:proofErr w:type="spellEnd"/>
      <w:r w:rsidRPr="00126C29">
        <w:rPr>
          <w:rFonts w:ascii="Verdana" w:eastAsia="Calibri" w:hAnsi="Verdana" w:cs="Arial"/>
          <w:sz w:val="20"/>
          <w:szCs w:val="20"/>
          <w:lang w:val="es-ES" w:eastAsia="en-GB"/>
        </w:rPr>
        <w:t xml:space="preserve"> exigida por la ley, es inexistente, es decir, se entiende que el contrato jamás ha sido creado para el mundo jurídico”. </w:t>
      </w:r>
    </w:p>
    <w:p w14:paraId="27681206" w14:textId="77777777" w:rsidR="00AA1EFC" w:rsidRPr="00126C29" w:rsidRDefault="00AA1EFC" w:rsidP="00AA1EFC">
      <w:pPr>
        <w:spacing w:after="0" w:line="240" w:lineRule="auto"/>
        <w:jc w:val="both"/>
        <w:rPr>
          <w:rFonts w:ascii="Verdana" w:hAnsi="Verdana" w:cs="Arial"/>
          <w:b/>
          <w:bCs/>
        </w:rPr>
      </w:pPr>
    </w:p>
    <w:p w14:paraId="5E883244" w14:textId="77777777" w:rsidR="00AA1EFC" w:rsidRPr="00126C29" w:rsidRDefault="00AA1EFC" w:rsidP="00AA1EFC">
      <w:pPr>
        <w:spacing w:after="120" w:line="276" w:lineRule="auto"/>
        <w:jc w:val="both"/>
        <w:rPr>
          <w:rFonts w:ascii="Verdana" w:eastAsia="Calibri" w:hAnsi="Verdana" w:cs="Arial"/>
          <w:sz w:val="20"/>
          <w:szCs w:val="20"/>
          <w:lang w:val="es-ES" w:eastAsia="en-GB"/>
        </w:rPr>
      </w:pPr>
      <w:r w:rsidRPr="00126C29">
        <w:rPr>
          <w:rFonts w:ascii="Verdana" w:eastAsia="Calibri" w:hAnsi="Verdana" w:cs="Arial"/>
          <w:sz w:val="20"/>
          <w:szCs w:val="20"/>
          <w:lang w:val="es-ES" w:eastAsia="en-GB"/>
        </w:rPr>
        <w:t>[…]</w:t>
      </w:r>
    </w:p>
    <w:p w14:paraId="29FD3C7C" w14:textId="77777777" w:rsidR="00AA1EFC" w:rsidRDefault="00AA1EFC" w:rsidP="00AA1EFC">
      <w:pPr>
        <w:spacing w:after="0"/>
        <w:rPr>
          <w:rFonts w:ascii="Verdana" w:hAnsi="Verdana"/>
        </w:rPr>
      </w:pPr>
    </w:p>
    <w:p w14:paraId="73063C75" w14:textId="77777777" w:rsidR="00AA1EFC" w:rsidRPr="00391149" w:rsidRDefault="00AA1EFC" w:rsidP="00AA1EFC">
      <w:pPr>
        <w:spacing w:after="0" w:line="240" w:lineRule="auto"/>
        <w:jc w:val="both"/>
        <w:rPr>
          <w:rFonts w:ascii="Verdana" w:hAnsi="Verdana" w:cs="Arial"/>
          <w:b/>
          <w:bCs/>
        </w:rPr>
      </w:pPr>
      <w:r w:rsidRPr="00391149">
        <w:rPr>
          <w:rFonts w:ascii="Verdana" w:hAnsi="Verdana" w:cs="Arial"/>
          <w:b/>
          <w:bCs/>
        </w:rPr>
        <w:t xml:space="preserve">REQUISITOS DE EJECUCIÓN DEL CONTRATO ESTATAL – Naturaleza </w:t>
      </w:r>
    </w:p>
    <w:p w14:paraId="514A456C" w14:textId="77777777" w:rsidR="00AA1EFC" w:rsidRPr="00391149" w:rsidRDefault="00AA1EFC" w:rsidP="00AA1EFC">
      <w:pPr>
        <w:spacing w:after="0" w:line="240" w:lineRule="auto"/>
        <w:jc w:val="both"/>
        <w:rPr>
          <w:rFonts w:ascii="Verdana" w:hAnsi="Verdana" w:cs="Arial"/>
          <w:b/>
          <w:bCs/>
        </w:rPr>
      </w:pPr>
    </w:p>
    <w:p w14:paraId="29560FE3" w14:textId="77777777" w:rsidR="00AA1EFC" w:rsidRPr="00391149" w:rsidRDefault="00AA1EFC" w:rsidP="00AA1EFC">
      <w:pPr>
        <w:spacing w:after="0" w:line="240" w:lineRule="auto"/>
        <w:jc w:val="both"/>
        <w:rPr>
          <w:rFonts w:ascii="Verdana" w:eastAsia="Calibri" w:hAnsi="Verdana" w:cs="Arial"/>
          <w:sz w:val="20"/>
          <w:szCs w:val="20"/>
          <w:lang w:val="es-ES" w:eastAsia="en-GB"/>
        </w:rPr>
      </w:pPr>
      <w:r w:rsidRPr="00391149">
        <w:rPr>
          <w:rFonts w:ascii="Verdana" w:eastAsia="Calibri" w:hAnsi="Verdana" w:cs="Arial"/>
          <w:sz w:val="20"/>
          <w:szCs w:val="20"/>
          <w:lang w:val="es-ES" w:eastAsia="en-GB"/>
        </w:rPr>
        <w:t xml:space="preserve">[…] los requisitos legales de ejecución son: i) la aprobación de las garantías exigidas en el contrato, </w:t>
      </w:r>
      <w:proofErr w:type="spellStart"/>
      <w:r w:rsidRPr="00391149">
        <w:rPr>
          <w:rFonts w:ascii="Verdana" w:eastAsia="Calibri" w:hAnsi="Verdana" w:cs="Arial"/>
          <w:sz w:val="20"/>
          <w:szCs w:val="20"/>
          <w:lang w:val="es-ES" w:eastAsia="en-GB"/>
        </w:rPr>
        <w:t>ii</w:t>
      </w:r>
      <w:proofErr w:type="spellEnd"/>
      <w:r w:rsidRPr="00391149">
        <w:rPr>
          <w:rFonts w:ascii="Verdana" w:eastAsia="Calibri" w:hAnsi="Verdana" w:cs="Arial"/>
          <w:sz w:val="20"/>
          <w:szCs w:val="20"/>
          <w:lang w:val="es-ES" w:eastAsia="en-GB"/>
        </w:rPr>
        <w:t xml:space="preserve">) la existencia de la apropiación presupuestal correspondiente y </w:t>
      </w:r>
      <w:proofErr w:type="spellStart"/>
      <w:r w:rsidRPr="00391149">
        <w:rPr>
          <w:rFonts w:ascii="Verdana" w:eastAsia="Calibri" w:hAnsi="Verdana" w:cs="Arial"/>
          <w:sz w:val="20"/>
          <w:szCs w:val="20"/>
          <w:lang w:val="es-ES" w:eastAsia="en-GB"/>
        </w:rPr>
        <w:t>iii</w:t>
      </w:r>
      <w:proofErr w:type="spellEnd"/>
      <w:r w:rsidRPr="00391149">
        <w:rPr>
          <w:rFonts w:ascii="Verdana" w:eastAsia="Calibri" w:hAnsi="Verdana" w:cs="Arial"/>
          <w:sz w:val="20"/>
          <w:szCs w:val="20"/>
          <w:lang w:val="es-ES" w:eastAsia="en-GB"/>
        </w:rPr>
        <w:t xml:space="preserve">) la acreditación del cumplimiento de las obligaciones con el Sistema de Seguridad Social Integral. </w:t>
      </w:r>
    </w:p>
    <w:p w14:paraId="65AC2E29" w14:textId="77777777" w:rsidR="00AA1EFC" w:rsidRPr="00391149" w:rsidRDefault="00AA1EFC" w:rsidP="00AA1EFC">
      <w:pPr>
        <w:spacing w:after="0" w:line="240" w:lineRule="auto"/>
        <w:jc w:val="both"/>
        <w:rPr>
          <w:rFonts w:ascii="Verdana" w:eastAsia="Calibri" w:hAnsi="Verdana" w:cs="Arial"/>
          <w:sz w:val="20"/>
          <w:szCs w:val="20"/>
          <w:lang w:val="es-ES" w:eastAsia="en-GB"/>
        </w:rPr>
      </w:pPr>
    </w:p>
    <w:p w14:paraId="1973CBAA" w14:textId="77777777" w:rsidR="00AA1EFC" w:rsidRPr="00391149" w:rsidRDefault="00AA1EFC" w:rsidP="00AA1EFC">
      <w:pPr>
        <w:spacing w:after="0" w:line="240" w:lineRule="auto"/>
        <w:jc w:val="both"/>
        <w:rPr>
          <w:rFonts w:ascii="Verdana" w:eastAsia="Calibri" w:hAnsi="Verdana" w:cs="Arial"/>
          <w:sz w:val="20"/>
          <w:szCs w:val="20"/>
          <w:lang w:val="es-ES" w:eastAsia="en-GB"/>
        </w:rPr>
      </w:pPr>
      <w:r w:rsidRPr="00391149">
        <w:rPr>
          <w:rFonts w:ascii="Verdana" w:eastAsia="Calibri" w:hAnsi="Verdana" w:cs="Arial"/>
          <w:sz w:val="20"/>
          <w:szCs w:val="20"/>
          <w:lang w:val="es-ES" w:eastAsia="en-GB"/>
        </w:rPr>
        <w:lastRenderedPageBreak/>
        <w:t>Lo que tienen en común tales requisitos es que deben cumplirse para que inicie el contrato, sin que por ello puedan considerarse elementos de la esencia –de perfeccionamiento– del negocio jurídico, ni de validez del mismo.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0A58FA66" w14:textId="77777777" w:rsidR="00AA1EFC" w:rsidRPr="00391149" w:rsidRDefault="00AA1EFC" w:rsidP="00AA1EFC">
      <w:pPr>
        <w:spacing w:after="0"/>
        <w:rPr>
          <w:rFonts w:ascii="Verdana" w:hAnsi="Verdana"/>
          <w:lang w:val="es-ES"/>
        </w:rPr>
      </w:pPr>
    </w:p>
    <w:p w14:paraId="128AD307" w14:textId="77777777" w:rsidR="00AA1EFC" w:rsidRPr="00391149" w:rsidRDefault="00AA1EFC" w:rsidP="00AA1EFC">
      <w:pPr>
        <w:spacing w:after="0" w:line="240" w:lineRule="auto"/>
        <w:jc w:val="both"/>
        <w:rPr>
          <w:rFonts w:ascii="Verdana" w:hAnsi="Verdana" w:cs="Arial"/>
          <w:b/>
          <w:bCs/>
        </w:rPr>
      </w:pPr>
      <w:r>
        <w:rPr>
          <w:rFonts w:ascii="Verdana" w:hAnsi="Verdana" w:cs="Arial"/>
          <w:b/>
          <w:bCs/>
        </w:rPr>
        <w:t>APROBACIÓN DE GARANTIAS - R</w:t>
      </w:r>
      <w:r w:rsidRPr="00391149">
        <w:rPr>
          <w:rFonts w:ascii="Verdana" w:hAnsi="Verdana" w:cs="Arial"/>
          <w:b/>
          <w:bCs/>
        </w:rPr>
        <w:t xml:space="preserve">equisitos de ejecución del contrato estatal – </w:t>
      </w:r>
      <w:r>
        <w:rPr>
          <w:rFonts w:ascii="Verdana" w:hAnsi="Verdana" w:cs="Arial"/>
          <w:b/>
          <w:bCs/>
        </w:rPr>
        <w:t>Requisitos legales – Normatividad</w:t>
      </w:r>
    </w:p>
    <w:p w14:paraId="72CE8151" w14:textId="77777777" w:rsidR="00AA1EFC" w:rsidRDefault="00AA1EFC" w:rsidP="00AA1EFC">
      <w:pPr>
        <w:spacing w:after="0"/>
        <w:rPr>
          <w:rFonts w:ascii="Verdana" w:hAnsi="Verdana"/>
        </w:rPr>
      </w:pPr>
    </w:p>
    <w:p w14:paraId="7743EF18" w14:textId="77777777" w:rsidR="00AA1EFC" w:rsidRPr="00386A41" w:rsidRDefault="00AA1EFC" w:rsidP="00AA1EFC">
      <w:pPr>
        <w:spacing w:after="120" w:line="276" w:lineRule="auto"/>
        <w:jc w:val="both"/>
        <w:rPr>
          <w:rFonts w:ascii="Verdana" w:hAnsi="Verdana" w:cs="Arial"/>
          <w:color w:val="000000" w:themeColor="text1"/>
          <w:sz w:val="20"/>
          <w:szCs w:val="20"/>
          <w:lang w:eastAsia="es-CO"/>
        </w:rPr>
      </w:pPr>
      <w:r w:rsidRPr="00386A41">
        <w:rPr>
          <w:rFonts w:ascii="Verdana" w:eastAsia="Calibri" w:hAnsi="Verdana" w:cs="Arial"/>
          <w:sz w:val="20"/>
          <w:szCs w:val="20"/>
          <w:lang w:val="es-ES"/>
        </w:rPr>
        <w:t xml:space="preserve">En relación con los requisitos legales de ejecución, en primer lugar, se tiene como uno de ellos, la aprobación de las garantías exigidas en el contrato, </w:t>
      </w:r>
      <w:r w:rsidRPr="00386A41">
        <w:rPr>
          <w:rFonts w:ascii="Verdana" w:eastAsia="Calibri" w:hAnsi="Verdana" w:cs="Arial"/>
          <w:sz w:val="20"/>
          <w:szCs w:val="20"/>
          <w:lang w:val="es-ES_tradnl"/>
        </w:rPr>
        <w:t>el segundo inciso del artículo 41 de la Ley 80 de 1993</w:t>
      </w:r>
      <w:r w:rsidRPr="00386A41">
        <w:rPr>
          <w:rFonts w:ascii="Verdana" w:eastAsia="Calibri" w:hAnsi="Verdana" w:cs="Arial"/>
          <w:sz w:val="20"/>
          <w:szCs w:val="20"/>
        </w:rPr>
        <w:t>, modificado por el artículo 23 de la Ley 1150 de 2007</w:t>
      </w:r>
      <w:r w:rsidRPr="00386A41">
        <w:rPr>
          <w:rFonts w:ascii="Verdana" w:eastAsia="Calibri" w:hAnsi="Verdana" w:cs="Arial"/>
          <w:sz w:val="20"/>
          <w:szCs w:val="20"/>
          <w:lang w:val="es-ES_tradnl"/>
        </w:rPr>
        <w:t xml:space="preserve"> </w:t>
      </w:r>
      <w:r w:rsidRPr="00386A41">
        <w:rPr>
          <w:rFonts w:ascii="Verdana" w:hAnsi="Verdana" w:cs="Arial"/>
          <w:color w:val="000000" w:themeColor="text1"/>
          <w:sz w:val="20"/>
          <w:szCs w:val="20"/>
          <w:lang w:val="es-MX"/>
        </w:rPr>
        <w:t>establece que “P</w:t>
      </w:r>
      <w:r w:rsidRPr="00386A41">
        <w:rPr>
          <w:rFonts w:ascii="Verdana" w:hAnsi="Verdana" w:cs="Arial"/>
          <w:color w:val="000000" w:themeColor="text1"/>
          <w:sz w:val="20"/>
          <w:szCs w:val="20"/>
          <w:lang w:eastAsia="es-CO"/>
        </w:rPr>
        <w:t>ara la ejecución se requerirá de la aprobación de la garantía”, lo que se traduce en que, sin perjuicio del perfeccionamiento del contrato, no podrá ejecutarse sin que se hayan aprobado las garantías por parte de la entidad estatal contratante en caso que se hayan solicitado.</w:t>
      </w:r>
    </w:p>
    <w:p w14:paraId="04385080" w14:textId="77777777" w:rsidR="00AA1EFC" w:rsidRDefault="00AA1EFC" w:rsidP="00AA1EFC">
      <w:pPr>
        <w:spacing w:after="120" w:line="276" w:lineRule="auto"/>
        <w:jc w:val="both"/>
        <w:rPr>
          <w:rFonts w:ascii="Verdana" w:hAnsi="Verdana"/>
        </w:rPr>
      </w:pPr>
      <w:r w:rsidRPr="00386A41">
        <w:rPr>
          <w:rFonts w:ascii="Verdana" w:hAnsi="Verdana" w:cs="Arial"/>
          <w:color w:val="000000" w:themeColor="text1"/>
          <w:sz w:val="20"/>
          <w:szCs w:val="20"/>
          <w:lang w:eastAsia="es-CO"/>
        </w:rPr>
        <w:t xml:space="preserve">De esta manera, para proceder con el inicio del contrato, el contratista debe cumplir con la obligación de constituir las garantías solicitadas.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w:t>
      </w:r>
    </w:p>
    <w:p w14:paraId="7F74FDD0" w14:textId="77777777" w:rsidR="00AA1EFC" w:rsidRDefault="00AA1EFC" w:rsidP="00AA1EFC">
      <w:pPr>
        <w:spacing w:after="0"/>
        <w:rPr>
          <w:rFonts w:ascii="Verdana" w:hAnsi="Verdana"/>
        </w:rPr>
      </w:pPr>
    </w:p>
    <w:p w14:paraId="463A010F" w14:textId="77777777" w:rsidR="00AA1EFC" w:rsidRPr="00391149" w:rsidRDefault="00AA1EFC" w:rsidP="00AA1EFC">
      <w:pPr>
        <w:spacing w:after="0" w:line="240" w:lineRule="auto"/>
        <w:jc w:val="both"/>
        <w:rPr>
          <w:rFonts w:ascii="Verdana" w:hAnsi="Verdana" w:cs="Arial"/>
          <w:b/>
          <w:bCs/>
        </w:rPr>
      </w:pPr>
      <w:r>
        <w:rPr>
          <w:rFonts w:ascii="Verdana" w:hAnsi="Verdana" w:cs="Arial"/>
          <w:b/>
          <w:bCs/>
        </w:rPr>
        <w:t>APROBACIÓN DE GARANTIAS - R</w:t>
      </w:r>
      <w:r w:rsidRPr="00391149">
        <w:rPr>
          <w:rFonts w:ascii="Verdana" w:hAnsi="Verdana" w:cs="Arial"/>
          <w:b/>
          <w:bCs/>
        </w:rPr>
        <w:t xml:space="preserve">equisitos de ejecución del contrato estatal – </w:t>
      </w:r>
      <w:r>
        <w:rPr>
          <w:rFonts w:ascii="Verdana" w:hAnsi="Verdana" w:cs="Arial"/>
          <w:b/>
          <w:bCs/>
        </w:rPr>
        <w:t xml:space="preserve">Requisitos legales </w:t>
      </w:r>
      <w:r w:rsidRPr="00391149">
        <w:rPr>
          <w:rFonts w:ascii="Verdana" w:hAnsi="Verdana" w:cs="Arial"/>
          <w:b/>
          <w:bCs/>
        </w:rPr>
        <w:t>de ejecución del contrato estatal</w:t>
      </w:r>
      <w:r>
        <w:rPr>
          <w:rFonts w:ascii="Verdana" w:hAnsi="Verdana" w:cs="Arial"/>
          <w:b/>
          <w:bCs/>
        </w:rPr>
        <w:t xml:space="preserve"> – Procedimiento</w:t>
      </w:r>
    </w:p>
    <w:p w14:paraId="3A4776E3" w14:textId="77777777" w:rsidR="00AA1EFC" w:rsidRDefault="00AA1EFC" w:rsidP="00AA1EFC">
      <w:pPr>
        <w:spacing w:after="0"/>
        <w:rPr>
          <w:rFonts w:ascii="Verdana" w:hAnsi="Verdana"/>
        </w:rPr>
      </w:pPr>
    </w:p>
    <w:p w14:paraId="62A8C585" w14:textId="77777777" w:rsidR="00AA1EFC" w:rsidRPr="002A441E" w:rsidRDefault="00AA1EFC" w:rsidP="00AA1EFC">
      <w:pPr>
        <w:spacing w:afterLines="120" w:after="288" w:line="276" w:lineRule="auto"/>
        <w:contextualSpacing/>
        <w:jc w:val="both"/>
        <w:rPr>
          <w:rFonts w:ascii="Verdana" w:eastAsia="Calibri" w:hAnsi="Verdana" w:cs="Arial"/>
          <w:sz w:val="20"/>
          <w:szCs w:val="20"/>
          <w:lang w:eastAsia="es-ES"/>
        </w:rPr>
      </w:pPr>
      <w:r w:rsidRPr="002A441E">
        <w:rPr>
          <w:rFonts w:ascii="Verdana" w:eastAsia="Calibri" w:hAnsi="Verdana" w:cs="Arial"/>
          <w:sz w:val="20"/>
          <w:szCs w:val="20"/>
          <w:lang w:eastAsia="es-ES"/>
        </w:rPr>
        <w:t xml:space="preserve">De acuerdo con lo anterior, las entidades públicas deberán acudir a los mecanismos de verificación en línea que se encuentran previstos en esa circular, con el propósito de verificar la validez, idoneidad y suficiencia de los documentos que se entregan como soporte de las garantías que amparan los contratos estatales. Esta verificación deberá realizarse de manera previa a que las entidades públicas aprueben o rechacen las garantías y deberá dejarse constancia expresa en el expediente contractual de la consulta realizada. </w:t>
      </w:r>
    </w:p>
    <w:p w14:paraId="7FAE5E19" w14:textId="77777777" w:rsidR="00AA1EFC" w:rsidRPr="002A441E" w:rsidRDefault="00AA1EFC" w:rsidP="00AA1EFC">
      <w:pPr>
        <w:spacing w:afterLines="120" w:after="288" w:line="276" w:lineRule="auto"/>
        <w:ind w:firstLine="708"/>
        <w:contextualSpacing/>
        <w:jc w:val="both"/>
        <w:rPr>
          <w:rFonts w:ascii="Verdana" w:eastAsia="Calibri" w:hAnsi="Verdana" w:cs="Arial"/>
          <w:sz w:val="20"/>
          <w:szCs w:val="20"/>
          <w:lang w:eastAsia="es-ES"/>
        </w:rPr>
      </w:pPr>
    </w:p>
    <w:p w14:paraId="5F5CDCAA" w14:textId="77777777" w:rsidR="00AA1EFC" w:rsidRPr="002A441E" w:rsidRDefault="00AA1EFC" w:rsidP="00AA1EFC">
      <w:pPr>
        <w:spacing w:afterLines="120" w:after="288" w:line="276" w:lineRule="auto"/>
        <w:contextualSpacing/>
        <w:jc w:val="both"/>
        <w:rPr>
          <w:sz w:val="20"/>
          <w:szCs w:val="20"/>
        </w:rPr>
      </w:pPr>
      <w:r w:rsidRPr="002A441E">
        <w:rPr>
          <w:rFonts w:ascii="Verdana" w:eastAsia="Calibri" w:hAnsi="Verdana" w:cs="Arial"/>
          <w:sz w:val="20"/>
          <w:szCs w:val="20"/>
          <w:lang w:eastAsia="es-ES"/>
        </w:rPr>
        <w:lastRenderedPageBreak/>
        <w:t>El proceso mediante el cual los contratistas presentan estas garantías a la entidad estatal para su verificación y su consecuente aprobación o rechazo es realizado a través del SECOP II, tratándose de entidades que llevan su gestión contractual por medio de dicha plataforma. Para tales efectos, el capítulo «4. Requisitos de ejecución del contrato» de la «</w:t>
      </w:r>
      <w:r w:rsidRPr="002A441E">
        <w:rPr>
          <w:sz w:val="20"/>
          <w:szCs w:val="20"/>
        </w:rPr>
        <w:t xml:space="preserve"> </w:t>
      </w:r>
      <w:r w:rsidRPr="002A441E">
        <w:rPr>
          <w:rFonts w:ascii="Verdana" w:eastAsia="Calibri" w:hAnsi="Verdana" w:cs="Arial"/>
          <w:sz w:val="20"/>
          <w:szCs w:val="20"/>
          <w:lang w:eastAsia="es-ES"/>
        </w:rPr>
        <w:t>SECOP II - Gestión contractual para Entidades Estatales » detalla el procedimiento a seguir por parte de la entidad contratante para aprobar a través del SECOP II las garantías presentadas por el contratista. Si bien estos instrumentos solo se refieren a aspectos propios del uso del SECOP II como herramienta tecnológica para la gestión contractual, las indicaciones brindadas respecto de los procesos de presentación y aprobación de garantías constituyen insumos de valiosa importancia dado el carácter transaccional de dicha plataforma. En este sentido, una vez verificada la validez de las garantías y determinado el cumplimiento de estas con sujeción al contrato, la entidad debe aprobarlas a través del SECOP II, cuando aplique.</w:t>
      </w:r>
    </w:p>
    <w:p w14:paraId="088A6211" w14:textId="77777777" w:rsidR="00AA1EFC" w:rsidRPr="002A441E" w:rsidRDefault="00AA1EFC" w:rsidP="00AA1EFC">
      <w:pPr>
        <w:spacing w:afterLines="120" w:after="288" w:line="276" w:lineRule="auto"/>
        <w:ind w:firstLine="708"/>
        <w:contextualSpacing/>
        <w:jc w:val="both"/>
        <w:rPr>
          <w:sz w:val="20"/>
          <w:szCs w:val="20"/>
        </w:rPr>
      </w:pPr>
    </w:p>
    <w:p w14:paraId="3FE0E6C4" w14:textId="77777777" w:rsidR="00AA1EFC" w:rsidRPr="002A441E" w:rsidRDefault="00AA1EFC" w:rsidP="00AA1EFC">
      <w:pPr>
        <w:spacing w:afterLines="120" w:after="288" w:line="276" w:lineRule="auto"/>
        <w:contextualSpacing/>
        <w:jc w:val="both"/>
        <w:rPr>
          <w:rFonts w:ascii="Verdana" w:eastAsia="Calibri" w:hAnsi="Verdana" w:cs="Arial"/>
          <w:sz w:val="20"/>
          <w:szCs w:val="20"/>
          <w:lang w:eastAsia="es-ES"/>
        </w:rPr>
      </w:pPr>
      <w:r w:rsidRPr="002A441E">
        <w:rPr>
          <w:rFonts w:ascii="Verdana" w:eastAsia="Calibri" w:hAnsi="Verdana" w:cs="Arial"/>
          <w:sz w:val="20"/>
          <w:szCs w:val="20"/>
          <w:lang w:eastAsia="es-ES"/>
        </w:rPr>
        <w:t>De este modo, con la aprobación de las garantías la entidad estatal estará acreditando el cumplimiento de la obligación del artículo 7 de la Ley 1150 de 2007, y entonces el contrato podrá ser ejecutado, siempre que se cumplan los demás requisitos de ejecución que establece el artículo 41 de la Ley 80 de 1993.</w:t>
      </w:r>
    </w:p>
    <w:p w14:paraId="3201B6B5" w14:textId="77777777" w:rsidR="00AA1EFC" w:rsidRPr="00E67B96" w:rsidRDefault="00AA1EFC" w:rsidP="00AA1EFC">
      <w:pPr>
        <w:spacing w:afterLines="120" w:after="288" w:line="276" w:lineRule="auto"/>
        <w:ind w:firstLine="708"/>
        <w:contextualSpacing/>
        <w:jc w:val="both"/>
        <w:rPr>
          <w:rFonts w:ascii="Verdana" w:eastAsia="Calibri" w:hAnsi="Verdana" w:cs="Arial"/>
          <w:b/>
          <w:bCs/>
          <w:lang w:eastAsia="es-ES"/>
        </w:rPr>
      </w:pPr>
    </w:p>
    <w:p w14:paraId="06CB1EDD" w14:textId="77777777" w:rsidR="00AA1EFC" w:rsidRDefault="00AA1EFC" w:rsidP="00AA1EFC">
      <w:pPr>
        <w:spacing w:afterLines="120" w:after="288" w:line="276" w:lineRule="auto"/>
        <w:ind w:firstLine="708"/>
        <w:contextualSpacing/>
        <w:jc w:val="both"/>
        <w:rPr>
          <w:rFonts w:ascii="Verdana" w:eastAsia="Calibri" w:hAnsi="Verdana" w:cs="Arial"/>
          <w:b/>
          <w:bCs/>
          <w:lang w:eastAsia="es-ES"/>
        </w:rPr>
      </w:pPr>
    </w:p>
    <w:p w14:paraId="396BC759" w14:textId="77777777" w:rsidR="00AA1EFC" w:rsidRDefault="00AA1EFC" w:rsidP="00AA1EFC">
      <w:pPr>
        <w:spacing w:afterLines="120" w:after="288" w:line="276" w:lineRule="auto"/>
        <w:ind w:firstLine="708"/>
        <w:contextualSpacing/>
        <w:jc w:val="both"/>
        <w:rPr>
          <w:rFonts w:ascii="Verdana" w:eastAsia="Calibri" w:hAnsi="Verdana" w:cs="Arial"/>
          <w:b/>
          <w:bCs/>
          <w:lang w:eastAsia="es-ES"/>
        </w:rPr>
      </w:pPr>
    </w:p>
    <w:p w14:paraId="76CB6A9C" w14:textId="77777777" w:rsidR="00AA1EFC" w:rsidRDefault="00AA1EFC" w:rsidP="00AA1EFC">
      <w:pPr>
        <w:spacing w:afterLines="120" w:after="288" w:line="276" w:lineRule="auto"/>
        <w:ind w:firstLine="708"/>
        <w:contextualSpacing/>
        <w:jc w:val="both"/>
        <w:rPr>
          <w:rFonts w:ascii="Verdana" w:eastAsia="Calibri" w:hAnsi="Verdana" w:cs="Arial"/>
          <w:b/>
          <w:bCs/>
          <w:lang w:eastAsia="es-ES"/>
        </w:rPr>
      </w:pPr>
    </w:p>
    <w:p w14:paraId="74C5D53C" w14:textId="77777777" w:rsidR="00AA1EFC" w:rsidRDefault="00AA1EFC" w:rsidP="00AA1EFC">
      <w:pPr>
        <w:spacing w:afterLines="120" w:after="288" w:line="276" w:lineRule="auto"/>
        <w:ind w:firstLine="708"/>
        <w:contextualSpacing/>
        <w:jc w:val="both"/>
        <w:rPr>
          <w:rFonts w:ascii="Verdana" w:eastAsia="Calibri" w:hAnsi="Verdana" w:cs="Arial"/>
          <w:b/>
          <w:bCs/>
          <w:lang w:eastAsia="es-ES"/>
        </w:rPr>
      </w:pPr>
    </w:p>
    <w:p w14:paraId="649254A8" w14:textId="77777777" w:rsidR="00AA1EFC" w:rsidRDefault="00AA1EFC" w:rsidP="00AA1EFC">
      <w:pPr>
        <w:spacing w:afterLines="120" w:after="288" w:line="276" w:lineRule="auto"/>
        <w:ind w:firstLine="708"/>
        <w:contextualSpacing/>
        <w:jc w:val="both"/>
        <w:rPr>
          <w:rFonts w:ascii="Verdana" w:eastAsia="Calibri" w:hAnsi="Verdana" w:cs="Arial"/>
          <w:b/>
          <w:bCs/>
          <w:lang w:eastAsia="es-ES"/>
        </w:rPr>
      </w:pPr>
    </w:p>
    <w:p w14:paraId="5CC6A698" w14:textId="77777777" w:rsidR="00AA1EFC" w:rsidRDefault="00AA1EFC" w:rsidP="00AA1EFC">
      <w:pPr>
        <w:spacing w:afterLines="120" w:after="288" w:line="276" w:lineRule="auto"/>
        <w:ind w:firstLine="708"/>
        <w:contextualSpacing/>
        <w:jc w:val="both"/>
        <w:rPr>
          <w:rFonts w:ascii="Verdana" w:eastAsia="Calibri" w:hAnsi="Verdana" w:cs="Arial"/>
          <w:b/>
          <w:bCs/>
          <w:lang w:eastAsia="es-ES"/>
        </w:rPr>
      </w:pPr>
    </w:p>
    <w:p w14:paraId="7D4740C3" w14:textId="77777777" w:rsidR="00AA1EFC" w:rsidRDefault="00AA1EFC" w:rsidP="004E5589">
      <w:pPr>
        <w:spacing w:after="0"/>
        <w:rPr>
          <w:rFonts w:ascii="Verdana" w:hAnsi="Verdana"/>
        </w:rPr>
      </w:pPr>
    </w:p>
    <w:p w14:paraId="74DE7D32" w14:textId="77777777" w:rsidR="00AA1EFC" w:rsidRDefault="00AA1EFC" w:rsidP="004E5589">
      <w:pPr>
        <w:spacing w:after="0"/>
        <w:rPr>
          <w:rFonts w:ascii="Verdana" w:hAnsi="Verdana"/>
        </w:rPr>
      </w:pPr>
    </w:p>
    <w:p w14:paraId="42DE029E" w14:textId="77777777" w:rsidR="00AA1EFC" w:rsidRDefault="00AA1EFC" w:rsidP="004E5589">
      <w:pPr>
        <w:spacing w:after="0"/>
        <w:rPr>
          <w:rFonts w:ascii="Verdana" w:hAnsi="Verdana"/>
        </w:rPr>
      </w:pPr>
    </w:p>
    <w:p w14:paraId="4B311BAF" w14:textId="77777777" w:rsidR="00AA1EFC" w:rsidRDefault="00AA1EFC" w:rsidP="004E5589">
      <w:pPr>
        <w:spacing w:after="0"/>
        <w:rPr>
          <w:rFonts w:ascii="Verdana" w:hAnsi="Verdana"/>
        </w:rPr>
      </w:pPr>
    </w:p>
    <w:p w14:paraId="333C3E16" w14:textId="77777777" w:rsidR="00AA1EFC" w:rsidRDefault="00AA1EFC" w:rsidP="004E5589">
      <w:pPr>
        <w:spacing w:after="0"/>
        <w:rPr>
          <w:rFonts w:ascii="Verdana" w:hAnsi="Verdana"/>
        </w:rPr>
      </w:pPr>
    </w:p>
    <w:p w14:paraId="4CC2EEBB" w14:textId="77777777" w:rsidR="00AA1EFC" w:rsidRDefault="00AA1EFC" w:rsidP="004E5589">
      <w:pPr>
        <w:spacing w:after="0"/>
        <w:rPr>
          <w:rFonts w:ascii="Verdana" w:hAnsi="Verdana"/>
        </w:rPr>
      </w:pPr>
    </w:p>
    <w:p w14:paraId="4A7043A5" w14:textId="77777777" w:rsidR="00AA1EFC" w:rsidRDefault="00AA1EFC" w:rsidP="004E5589">
      <w:pPr>
        <w:spacing w:after="0"/>
        <w:rPr>
          <w:rFonts w:ascii="Verdana" w:hAnsi="Verdana"/>
        </w:rPr>
      </w:pPr>
    </w:p>
    <w:p w14:paraId="5D47406E" w14:textId="77777777" w:rsidR="00AA1EFC" w:rsidRDefault="00AA1EFC" w:rsidP="004E5589">
      <w:pPr>
        <w:spacing w:after="0"/>
        <w:rPr>
          <w:rFonts w:ascii="Verdana" w:hAnsi="Verdana"/>
        </w:rPr>
      </w:pPr>
    </w:p>
    <w:p w14:paraId="673DE429" w14:textId="77777777" w:rsidR="00AA1EFC" w:rsidRDefault="00AA1EFC" w:rsidP="004E5589">
      <w:pPr>
        <w:spacing w:after="0"/>
        <w:rPr>
          <w:rFonts w:ascii="Verdana" w:hAnsi="Verdana"/>
        </w:rPr>
      </w:pPr>
    </w:p>
    <w:p w14:paraId="20C33B8E" w14:textId="77777777" w:rsidR="00AA1EFC" w:rsidRDefault="00AA1EFC" w:rsidP="004E5589">
      <w:pPr>
        <w:spacing w:after="0"/>
        <w:rPr>
          <w:rFonts w:ascii="Verdana" w:hAnsi="Verdana"/>
        </w:rPr>
      </w:pPr>
    </w:p>
    <w:p w14:paraId="66644CBC" w14:textId="77777777" w:rsidR="00AA1EFC" w:rsidRDefault="00AA1EFC" w:rsidP="004E5589">
      <w:pPr>
        <w:spacing w:after="0"/>
        <w:rPr>
          <w:rFonts w:ascii="Verdana" w:hAnsi="Verdana"/>
        </w:rPr>
      </w:pPr>
    </w:p>
    <w:p w14:paraId="39703412" w14:textId="77777777" w:rsidR="00AA1EFC" w:rsidRDefault="00AA1EFC" w:rsidP="004E5589">
      <w:pPr>
        <w:spacing w:after="0"/>
        <w:rPr>
          <w:rFonts w:ascii="Verdana" w:hAnsi="Verdana"/>
        </w:rPr>
      </w:pPr>
    </w:p>
    <w:p w14:paraId="79485371" w14:textId="77777777" w:rsidR="00AA1EFC" w:rsidRDefault="00AA1EFC" w:rsidP="004E5589">
      <w:pPr>
        <w:spacing w:after="0"/>
        <w:rPr>
          <w:rFonts w:ascii="Verdana" w:hAnsi="Verdana"/>
        </w:rPr>
      </w:pPr>
    </w:p>
    <w:p w14:paraId="72F3882F" w14:textId="77777777" w:rsidR="00AA1EFC" w:rsidRDefault="00AA1EFC" w:rsidP="004E5589">
      <w:pPr>
        <w:spacing w:after="0"/>
        <w:rPr>
          <w:rFonts w:ascii="Verdana" w:hAnsi="Verdana"/>
        </w:rPr>
      </w:pPr>
    </w:p>
    <w:p w14:paraId="7984FA2A" w14:textId="3DC47B3D" w:rsidR="004E5589" w:rsidRDefault="0084212F" w:rsidP="004E5589">
      <w:pPr>
        <w:spacing w:after="0"/>
        <w:rPr>
          <w:rFonts w:ascii="Verdana" w:hAnsi="Verdana"/>
        </w:rPr>
      </w:pPr>
      <w:r w:rsidRPr="0084212F">
        <w:rPr>
          <w:rFonts w:ascii="Verdana" w:hAnsi="Verdana"/>
        </w:rPr>
        <w:lastRenderedPageBreak/>
        <w:drawing>
          <wp:anchor distT="0" distB="0" distL="114300" distR="114300" simplePos="0" relativeHeight="251658240" behindDoc="0" locked="0" layoutInCell="1" allowOverlap="1" wp14:anchorId="09675E6A" wp14:editId="4C34D695">
            <wp:simplePos x="0" y="0"/>
            <wp:positionH relativeFrom="margin">
              <wp:posOffset>3139440</wp:posOffset>
            </wp:positionH>
            <wp:positionV relativeFrom="margin">
              <wp:posOffset>-293370</wp:posOffset>
            </wp:positionV>
            <wp:extent cx="2933700" cy="983615"/>
            <wp:effectExtent l="0" t="0" r="0" b="6985"/>
            <wp:wrapSquare wrapText="bothSides"/>
            <wp:docPr id="9671619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161988" name=""/>
                    <pic:cNvPicPr/>
                  </pic:nvPicPr>
                  <pic:blipFill>
                    <a:blip r:embed="rId10">
                      <a:extLst>
                        <a:ext uri="{28A0092B-C50C-407E-A947-70E740481C1C}">
                          <a14:useLocalDpi xmlns:a14="http://schemas.microsoft.com/office/drawing/2010/main" val="0"/>
                        </a:ext>
                      </a:extLst>
                    </a:blip>
                    <a:stretch>
                      <a:fillRect/>
                    </a:stretch>
                  </pic:blipFill>
                  <pic:spPr>
                    <a:xfrm>
                      <a:off x="0" y="0"/>
                      <a:ext cx="2933700" cy="983615"/>
                    </a:xfrm>
                    <a:prstGeom prst="rect">
                      <a:avLst/>
                    </a:prstGeom>
                  </pic:spPr>
                </pic:pic>
              </a:graphicData>
            </a:graphic>
            <wp14:sizeRelH relativeFrom="margin">
              <wp14:pctWidth>0</wp14:pctWidth>
            </wp14:sizeRelH>
            <wp14:sizeRelV relativeFrom="margin">
              <wp14:pctHeight>0</wp14:pctHeight>
            </wp14:sizeRelV>
          </wp:anchor>
        </w:drawing>
      </w:r>
      <w:r w:rsidR="00686AE1" w:rsidRPr="00686AE1">
        <w:rPr>
          <w:rFonts w:ascii="Verdana" w:hAnsi="Verdana"/>
        </w:rPr>
        <w:t>Bogotá D.C, 10 Abril 2026</w:t>
      </w:r>
    </w:p>
    <w:p w14:paraId="560FC437" w14:textId="41C85728" w:rsidR="00686AE1" w:rsidRPr="0003440D" w:rsidRDefault="00686AE1" w:rsidP="004E5589">
      <w:pPr>
        <w:spacing w:after="0"/>
        <w:rPr>
          <w:rFonts w:ascii="Verdana" w:hAnsi="Verdana"/>
        </w:rPr>
      </w:pPr>
    </w:p>
    <w:p w14:paraId="7D7E0DDF" w14:textId="77777777" w:rsidR="004E5589" w:rsidRPr="00CF5D86" w:rsidRDefault="004E5589" w:rsidP="004E5589">
      <w:pPr>
        <w:spacing w:after="0" w:line="276" w:lineRule="auto"/>
        <w:rPr>
          <w:rFonts w:ascii="Verdana" w:eastAsia="Calibri" w:hAnsi="Verdana" w:cs="Arial"/>
          <w:lang w:val="es-ES" w:eastAsia="es-ES"/>
        </w:rPr>
      </w:pPr>
      <w:r w:rsidRPr="00CF5D86">
        <w:rPr>
          <w:rFonts w:ascii="Verdana" w:eastAsia="Calibri" w:hAnsi="Verdana" w:cs="Arial"/>
          <w:lang w:val="es-ES" w:eastAsia="es-ES"/>
        </w:rPr>
        <w:t>Señor</w:t>
      </w:r>
    </w:p>
    <w:p w14:paraId="67E72483" w14:textId="77777777" w:rsidR="004E5589" w:rsidRPr="00CF5D86" w:rsidRDefault="004E5589" w:rsidP="004E5589">
      <w:pPr>
        <w:spacing w:after="0" w:line="276" w:lineRule="auto"/>
        <w:rPr>
          <w:rFonts w:ascii="Verdana" w:eastAsia="Calibri" w:hAnsi="Verdana" w:cs="Arial"/>
          <w:b/>
          <w:bCs/>
          <w:lang w:eastAsia="es-ES"/>
        </w:rPr>
      </w:pPr>
      <w:r w:rsidRPr="00CF5D86">
        <w:rPr>
          <w:rFonts w:ascii="Verdana" w:eastAsia="Calibri" w:hAnsi="Verdana" w:cs="Arial"/>
          <w:b/>
          <w:bCs/>
          <w:lang w:eastAsia="es-ES"/>
        </w:rPr>
        <w:t>Jonattan Alfredo Ardila Landazuri</w:t>
      </w:r>
    </w:p>
    <w:p w14:paraId="2970A336" w14:textId="77777777" w:rsidR="004E5589" w:rsidRDefault="004E5589" w:rsidP="004E5589">
      <w:pPr>
        <w:spacing w:after="0" w:line="276" w:lineRule="auto"/>
        <w:rPr>
          <w:rFonts w:ascii="Verdana" w:eastAsia="Calibri" w:hAnsi="Verdana" w:cs="Arial"/>
          <w:lang w:eastAsia="es-ES"/>
        </w:rPr>
      </w:pPr>
      <w:r w:rsidRPr="00CF5D86">
        <w:rPr>
          <w:rFonts w:ascii="Verdana" w:eastAsia="Calibri" w:hAnsi="Verdana" w:cs="Arial"/>
          <w:lang w:eastAsia="es-ES"/>
        </w:rPr>
        <w:t xml:space="preserve">Contratista </w:t>
      </w:r>
      <w:r>
        <w:rPr>
          <w:rFonts w:ascii="Verdana" w:eastAsia="Calibri" w:hAnsi="Verdana" w:cs="Arial"/>
          <w:lang w:eastAsia="es-ES"/>
        </w:rPr>
        <w:t xml:space="preserve">- </w:t>
      </w:r>
      <w:r w:rsidRPr="00CF5D86">
        <w:rPr>
          <w:rFonts w:ascii="Verdana" w:eastAsia="Calibri" w:hAnsi="Verdana" w:cs="Arial"/>
          <w:lang w:eastAsia="es-ES"/>
        </w:rPr>
        <w:t xml:space="preserve">Centro Agroindustrial Y Pesquero De La Costa Pacífica </w:t>
      </w:r>
    </w:p>
    <w:p w14:paraId="61321E7D" w14:textId="77777777" w:rsidR="004E5589" w:rsidRPr="00CF5D86" w:rsidRDefault="004E5589" w:rsidP="004E5589">
      <w:pPr>
        <w:spacing w:after="0" w:line="276" w:lineRule="auto"/>
        <w:rPr>
          <w:rFonts w:ascii="Verdana" w:eastAsia="Calibri" w:hAnsi="Verdana" w:cs="Arial"/>
          <w:lang w:eastAsia="es-ES"/>
        </w:rPr>
      </w:pPr>
      <w:r>
        <w:rPr>
          <w:rFonts w:ascii="Verdana" w:eastAsia="Calibri" w:hAnsi="Verdana" w:cs="Arial"/>
          <w:lang w:eastAsia="es-ES"/>
        </w:rPr>
        <w:t>Servicio Nacional de Aprendizaje</w:t>
      </w:r>
    </w:p>
    <w:p w14:paraId="5AC89360" w14:textId="77777777" w:rsidR="004E5589" w:rsidRPr="00CF5D86" w:rsidRDefault="004E5589" w:rsidP="004E5589">
      <w:pPr>
        <w:spacing w:after="0" w:line="276" w:lineRule="auto"/>
        <w:rPr>
          <w:rFonts w:ascii="Verdana" w:hAnsi="Verdana"/>
        </w:rPr>
      </w:pPr>
      <w:hyperlink r:id="rId11" w:history="1">
        <w:r w:rsidRPr="00CF5D86">
          <w:rPr>
            <w:rStyle w:val="Hipervnculo"/>
            <w:rFonts w:ascii="Verdana" w:hAnsi="Verdana"/>
          </w:rPr>
          <w:t>jardilal@sena.edu.co</w:t>
        </w:r>
      </w:hyperlink>
      <w:r w:rsidRPr="00CF5D86">
        <w:rPr>
          <w:rFonts w:ascii="Verdana" w:hAnsi="Verdana"/>
        </w:rPr>
        <w:t xml:space="preserve"> </w:t>
      </w:r>
    </w:p>
    <w:p w14:paraId="5BCAAE47" w14:textId="77777777" w:rsidR="004E5589" w:rsidRPr="00CF5D86" w:rsidRDefault="004E5589" w:rsidP="004E5589">
      <w:pPr>
        <w:spacing w:after="0" w:line="276" w:lineRule="auto"/>
        <w:rPr>
          <w:rFonts w:ascii="Verdana" w:eastAsia="Calibri" w:hAnsi="Verdana" w:cs="Arial"/>
          <w:lang w:val="es-ES" w:eastAsia="es-ES"/>
        </w:rPr>
      </w:pPr>
      <w:r>
        <w:rPr>
          <w:rFonts w:ascii="Verdana" w:eastAsia="Calibri" w:hAnsi="Verdana" w:cs="Arial"/>
          <w:lang w:val="es-ES" w:eastAsia="es-ES"/>
        </w:rPr>
        <w:t>Tumaco</w:t>
      </w:r>
      <w:r w:rsidRPr="00CF5D86">
        <w:rPr>
          <w:rFonts w:ascii="Verdana" w:eastAsia="Calibri" w:hAnsi="Verdana" w:cs="Arial"/>
          <w:lang w:val="es-ES" w:eastAsia="es-ES"/>
        </w:rPr>
        <w:t xml:space="preserve">, </w:t>
      </w:r>
      <w:r>
        <w:rPr>
          <w:rFonts w:ascii="Verdana" w:eastAsia="Calibri" w:hAnsi="Verdana" w:cs="Arial"/>
          <w:lang w:val="es-ES" w:eastAsia="es-ES"/>
        </w:rPr>
        <w:t>Nariño</w:t>
      </w:r>
    </w:p>
    <w:p w14:paraId="098CC2EC" w14:textId="77777777" w:rsidR="004E5589" w:rsidRPr="007E53B7" w:rsidRDefault="004E5589" w:rsidP="004E5589">
      <w:pPr>
        <w:spacing w:after="0" w:line="276" w:lineRule="auto"/>
        <w:rPr>
          <w:rFonts w:ascii="Verdana" w:eastAsia="Calibri" w:hAnsi="Verdana" w:cs="Arial"/>
          <w:b/>
          <w:bCs/>
          <w:color w:val="66CCFF"/>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972"/>
      </w:tblGrid>
      <w:tr w:rsidR="004E5589" w:rsidRPr="007E53B7" w14:paraId="39993734" w14:textId="77777777" w:rsidTr="00617A63">
        <w:trPr>
          <w:trHeight w:val="999"/>
        </w:trPr>
        <w:tc>
          <w:tcPr>
            <w:tcW w:w="3261" w:type="dxa"/>
          </w:tcPr>
          <w:p w14:paraId="781E8523" w14:textId="77777777" w:rsidR="004E5589" w:rsidRPr="007E53B7" w:rsidRDefault="004E5589" w:rsidP="00617A63">
            <w:pPr>
              <w:spacing w:line="276" w:lineRule="auto"/>
              <w:jc w:val="both"/>
              <w:rPr>
                <w:rFonts w:ascii="Verdana" w:eastAsia="Calibri" w:hAnsi="Verdana" w:cs="Arial"/>
                <w:b/>
                <w:bCs/>
                <w:color w:val="66CCFF"/>
                <w:lang w:val="es-ES_tradnl" w:eastAsia="es-ES_tradnl"/>
              </w:rPr>
            </w:pPr>
          </w:p>
        </w:tc>
        <w:tc>
          <w:tcPr>
            <w:tcW w:w="5972" w:type="dxa"/>
            <w:hideMark/>
          </w:tcPr>
          <w:p w14:paraId="45E692C4" w14:textId="77777777" w:rsidR="004E5589" w:rsidRPr="00DF2EA7" w:rsidRDefault="004E5589" w:rsidP="00617A63">
            <w:pPr>
              <w:spacing w:line="276" w:lineRule="auto"/>
              <w:jc w:val="both"/>
              <w:rPr>
                <w:rFonts w:ascii="Verdana" w:eastAsia="Calibri" w:hAnsi="Verdana" w:cs="Arial"/>
                <w:b/>
                <w:bCs/>
                <w:lang w:val="es-ES" w:eastAsia="es-ES"/>
              </w:rPr>
            </w:pPr>
            <w:r w:rsidRPr="00DF2EA7">
              <w:rPr>
                <w:rFonts w:ascii="Verdana" w:eastAsia="Calibri" w:hAnsi="Verdana" w:cs="Arial"/>
                <w:b/>
                <w:bCs/>
                <w:lang w:val="es-ES" w:eastAsia="es-ES"/>
              </w:rPr>
              <w:t xml:space="preserve">Concepto C – </w:t>
            </w:r>
            <w:r>
              <w:rPr>
                <w:rFonts w:ascii="Verdana" w:eastAsia="Calibri" w:hAnsi="Verdana" w:cs="Arial"/>
                <w:b/>
                <w:bCs/>
                <w:lang w:val="es-ES" w:eastAsia="es-ES"/>
              </w:rPr>
              <w:t>318</w:t>
            </w:r>
            <w:r w:rsidRPr="00DF2EA7">
              <w:rPr>
                <w:rFonts w:ascii="Verdana" w:eastAsia="Calibri" w:hAnsi="Verdana" w:cs="Arial"/>
                <w:b/>
                <w:bCs/>
                <w:lang w:val="es-ES" w:eastAsia="es-ES"/>
              </w:rPr>
              <w:t xml:space="preserve"> de 2026</w:t>
            </w:r>
          </w:p>
        </w:tc>
      </w:tr>
      <w:tr w:rsidR="004E5589" w:rsidRPr="007E53B7" w14:paraId="28088B61" w14:textId="77777777" w:rsidTr="00617A63">
        <w:trPr>
          <w:trHeight w:val="999"/>
        </w:trPr>
        <w:tc>
          <w:tcPr>
            <w:tcW w:w="3261" w:type="dxa"/>
            <w:hideMark/>
          </w:tcPr>
          <w:p w14:paraId="45E7A31A" w14:textId="77777777" w:rsidR="004E5589" w:rsidRPr="007E53B7" w:rsidRDefault="004E5589" w:rsidP="00617A63">
            <w:pPr>
              <w:spacing w:line="276" w:lineRule="auto"/>
              <w:jc w:val="both"/>
              <w:rPr>
                <w:rFonts w:ascii="Verdana" w:eastAsia="Calibri" w:hAnsi="Verdana" w:cs="Arial"/>
                <w:color w:val="66CCFF"/>
                <w:lang w:val="es-ES_tradnl" w:eastAsia="es-ES_tradnl"/>
              </w:rPr>
            </w:pPr>
            <w:r w:rsidRPr="00DF2EA7">
              <w:rPr>
                <w:rFonts w:ascii="Verdana" w:eastAsia="Calibri" w:hAnsi="Verdana" w:cs="Arial"/>
                <w:b/>
                <w:lang w:val="es-ES_tradnl" w:eastAsia="es-ES_tradnl"/>
              </w:rPr>
              <w:t>Temas:</w:t>
            </w:r>
            <w:r w:rsidRPr="00DF2EA7">
              <w:rPr>
                <w:rFonts w:ascii="Verdana" w:eastAsia="Calibri" w:hAnsi="Verdana" w:cs="Arial"/>
                <w:lang w:val="es-ES_tradnl" w:eastAsia="es-ES_tradnl"/>
              </w:rPr>
              <w:t xml:space="preserve">                   </w:t>
            </w:r>
          </w:p>
        </w:tc>
        <w:tc>
          <w:tcPr>
            <w:tcW w:w="5972" w:type="dxa"/>
          </w:tcPr>
          <w:p w14:paraId="6268F4C9" w14:textId="77777777" w:rsidR="004E5589" w:rsidRPr="00165741" w:rsidRDefault="004E5589" w:rsidP="00617A63">
            <w:pPr>
              <w:jc w:val="both"/>
              <w:rPr>
                <w:rFonts w:ascii="Verdana" w:hAnsi="Verdana" w:cs="Arial"/>
                <w:color w:val="000000" w:themeColor="text1"/>
              </w:rPr>
            </w:pPr>
            <w:r w:rsidRPr="00165741">
              <w:rPr>
                <w:rFonts w:ascii="Verdana" w:hAnsi="Verdana" w:cs="Arial"/>
                <w:color w:val="000000" w:themeColor="text1"/>
              </w:rPr>
              <w:t xml:space="preserve">REQUISITOS DE PERFECCIONAMIENTO DEL CONTRATO – Alcance / ELEMENTOS DEL CONTRATO – Esencia - Naturaleza – Accidentales / CONTRATO ESTATAL – Requisitos de perfeccionamiento y de ejecución – Ley 80 de 1993 artículo 41 </w:t>
            </w:r>
            <w:r w:rsidRPr="00165741">
              <w:rPr>
                <w:rFonts w:ascii="Verdana" w:hAnsi="Verdana" w:cs="Arial"/>
              </w:rPr>
              <w:t>/ REQUISITOS DE EJECUCIÓN DEL CONTRATO ESTATAL – Naturaleza / REQUISITOS DE EJECUCIÓN DEL CONTRATO ESTATAL – Naturaleza / APROBACIÓN DE GARANTIAS - Requisitos de ejecución del contrato estatal – Requisitos legales – Normatividad / APROBACIÓN DE GARANTIAS - Requisitos de ejecución del contrato estatal – Requisitos legales de ejecución del contrato estatal – Procedimiento</w:t>
            </w:r>
          </w:p>
          <w:p w14:paraId="6F83A2C6" w14:textId="77777777" w:rsidR="004E5589" w:rsidRPr="00CA04F4" w:rsidRDefault="004E5589" w:rsidP="00617A63">
            <w:pPr>
              <w:spacing w:line="276" w:lineRule="auto"/>
              <w:jc w:val="both"/>
              <w:rPr>
                <w:rFonts w:ascii="Verdana" w:hAnsi="Verdana" w:cs="Arial"/>
                <w:lang w:val="es-MX" w:eastAsia="es-ES"/>
              </w:rPr>
            </w:pPr>
          </w:p>
        </w:tc>
      </w:tr>
      <w:tr w:rsidR="004E5589" w:rsidRPr="00724695" w14:paraId="15C8B291" w14:textId="77777777" w:rsidTr="00617A63">
        <w:trPr>
          <w:trHeight w:val="597"/>
        </w:trPr>
        <w:tc>
          <w:tcPr>
            <w:tcW w:w="3261" w:type="dxa"/>
            <w:hideMark/>
          </w:tcPr>
          <w:p w14:paraId="6AD7CF0B" w14:textId="77777777" w:rsidR="004E5589" w:rsidRPr="008C5E3B" w:rsidRDefault="004E5589" w:rsidP="00617A63">
            <w:pPr>
              <w:spacing w:line="276" w:lineRule="auto"/>
              <w:jc w:val="both"/>
              <w:rPr>
                <w:rFonts w:ascii="Verdana" w:eastAsia="Calibri" w:hAnsi="Verdana" w:cs="Arial"/>
                <w:b/>
                <w:lang w:val="es-ES_tradnl" w:eastAsia="es-ES_tradnl"/>
              </w:rPr>
            </w:pPr>
            <w:r w:rsidRPr="008C5E3B">
              <w:rPr>
                <w:rFonts w:ascii="Verdana" w:eastAsia="Calibri" w:hAnsi="Verdana" w:cs="Arial"/>
                <w:b/>
                <w:lang w:val="es-ES_tradnl" w:eastAsia="es-ES_tradnl"/>
              </w:rPr>
              <w:t xml:space="preserve">Radicación:               </w:t>
            </w:r>
          </w:p>
        </w:tc>
        <w:tc>
          <w:tcPr>
            <w:tcW w:w="5972" w:type="dxa"/>
          </w:tcPr>
          <w:p w14:paraId="742ECBC9" w14:textId="77777777" w:rsidR="004E5589" w:rsidRPr="00724695" w:rsidRDefault="004E5589" w:rsidP="00617A63">
            <w:pPr>
              <w:spacing w:line="276" w:lineRule="auto"/>
              <w:jc w:val="both"/>
              <w:rPr>
                <w:rFonts w:ascii="Verdana" w:eastAsia="Calibri" w:hAnsi="Verdana" w:cs="Arial"/>
                <w:bCs/>
                <w:lang w:eastAsia="es-ES_tradnl"/>
              </w:rPr>
            </w:pPr>
            <w:r w:rsidRPr="00724695">
              <w:rPr>
                <w:rFonts w:ascii="Verdana" w:eastAsia="Calibri" w:hAnsi="Verdana" w:cs="Arial"/>
                <w:bCs/>
                <w:lang w:val="es-ES_tradnl" w:eastAsia="es-ES_tradnl"/>
              </w:rPr>
              <w:t xml:space="preserve">Respuesta a consulta con radicado </w:t>
            </w:r>
            <w:r w:rsidRPr="00724695">
              <w:rPr>
                <w:rFonts w:ascii="Verdana" w:eastAsia="Calibri" w:hAnsi="Verdana" w:cs="Arial"/>
                <w:bCs/>
                <w:lang w:eastAsia="es-ES_tradnl"/>
              </w:rPr>
              <w:t>No. </w:t>
            </w:r>
            <w:r w:rsidRPr="000E5245">
              <w:rPr>
                <w:rFonts w:ascii="Verdana" w:eastAsia="Calibri" w:hAnsi="Verdana" w:cs="Arial"/>
                <w:bCs/>
                <w:lang w:eastAsia="es-ES_tradnl"/>
              </w:rPr>
              <w:t>1_2026_02_27_002753</w:t>
            </w:r>
          </w:p>
          <w:p w14:paraId="424CC259" w14:textId="77777777" w:rsidR="004E5589" w:rsidRPr="00724695" w:rsidRDefault="004E5589" w:rsidP="00617A63">
            <w:pPr>
              <w:spacing w:line="276" w:lineRule="auto"/>
              <w:jc w:val="both"/>
              <w:rPr>
                <w:rFonts w:ascii="Verdana" w:eastAsia="Calibri" w:hAnsi="Verdana" w:cs="Arial"/>
                <w:bCs/>
                <w:lang w:val="es-ES_tradnl" w:eastAsia="es-ES_tradnl"/>
              </w:rPr>
            </w:pPr>
          </w:p>
        </w:tc>
      </w:tr>
    </w:tbl>
    <w:p w14:paraId="4F771D2C" w14:textId="77777777" w:rsidR="004E5589" w:rsidRPr="00724695" w:rsidRDefault="004E5589" w:rsidP="004E5589">
      <w:pPr>
        <w:spacing w:after="0" w:line="276" w:lineRule="auto"/>
        <w:jc w:val="both"/>
        <w:rPr>
          <w:rFonts w:ascii="Verdana" w:eastAsia="Calibri" w:hAnsi="Verdana" w:cs="Arial"/>
          <w:bCs/>
          <w:lang w:val="es-ES_tradnl" w:eastAsia="es-ES_tradnl"/>
        </w:rPr>
      </w:pPr>
    </w:p>
    <w:p w14:paraId="27A6F92D" w14:textId="77777777" w:rsidR="004E5589" w:rsidRPr="000E5245" w:rsidRDefault="004E5589" w:rsidP="004E5589">
      <w:pPr>
        <w:spacing w:after="0" w:line="276" w:lineRule="auto"/>
        <w:jc w:val="both"/>
        <w:rPr>
          <w:rFonts w:ascii="Verdana" w:eastAsia="Calibri" w:hAnsi="Verdana" w:cs="Arial"/>
          <w:bCs/>
          <w:lang w:val="es-ES" w:eastAsia="es-ES"/>
        </w:rPr>
      </w:pPr>
      <w:r w:rsidRPr="000E5245">
        <w:rPr>
          <w:rFonts w:ascii="Verdana" w:eastAsia="Calibri" w:hAnsi="Verdana" w:cs="Arial"/>
          <w:bCs/>
          <w:lang w:val="es-ES" w:eastAsia="es-ES"/>
        </w:rPr>
        <w:t xml:space="preserve">Estimado señor </w:t>
      </w:r>
      <w:r w:rsidRPr="000E5245">
        <w:rPr>
          <w:rFonts w:ascii="Verdana" w:eastAsia="Calibri" w:hAnsi="Verdana" w:cs="Arial"/>
          <w:bCs/>
          <w:lang w:eastAsia="es-ES"/>
        </w:rPr>
        <w:t>Jonattan Alfredo</w:t>
      </w:r>
      <w:r w:rsidRPr="000E5245">
        <w:rPr>
          <w:rFonts w:ascii="Verdana" w:eastAsia="Calibri" w:hAnsi="Verdana" w:cs="Arial"/>
          <w:bCs/>
          <w:lang w:val="es-ES" w:eastAsia="es-ES"/>
        </w:rPr>
        <w:t xml:space="preserve">:  </w:t>
      </w:r>
    </w:p>
    <w:p w14:paraId="4BB2052B" w14:textId="77777777" w:rsidR="004E5589" w:rsidRPr="00724695" w:rsidRDefault="004E5589" w:rsidP="004E5589">
      <w:pPr>
        <w:tabs>
          <w:tab w:val="left" w:pos="3768"/>
        </w:tabs>
        <w:spacing w:after="0" w:line="276" w:lineRule="auto"/>
        <w:jc w:val="both"/>
        <w:rPr>
          <w:rFonts w:ascii="Verdana" w:eastAsia="Calibri" w:hAnsi="Verdana" w:cs="Arial"/>
          <w:bCs/>
          <w:lang w:val="es-ES" w:eastAsia="es-ES"/>
        </w:rPr>
      </w:pPr>
      <w:r w:rsidRPr="00724695">
        <w:rPr>
          <w:rFonts w:ascii="Verdana" w:eastAsia="Calibri" w:hAnsi="Verdana" w:cs="Arial"/>
          <w:bCs/>
          <w:lang w:val="es-ES" w:eastAsia="es-ES"/>
        </w:rPr>
        <w:tab/>
      </w:r>
    </w:p>
    <w:p w14:paraId="077D29F3" w14:textId="718BB493" w:rsidR="004E5589" w:rsidRDefault="004E5589" w:rsidP="0E64AB5B">
      <w:pPr>
        <w:spacing w:after="0" w:line="276" w:lineRule="auto"/>
        <w:jc w:val="both"/>
        <w:rPr>
          <w:rFonts w:ascii="Verdana" w:eastAsia="Calibri" w:hAnsi="Verdana" w:cs="Arial"/>
          <w:lang w:val="es-ES" w:eastAsia="es-ES"/>
        </w:rPr>
      </w:pPr>
      <w:r w:rsidRPr="0E64AB5B">
        <w:rPr>
          <w:rFonts w:ascii="Verdana" w:eastAsia="Calibri" w:hAnsi="Verdana" w:cs="Arial"/>
          <w:lang w:val="es-ES" w:eastAsia="es-ES"/>
        </w:rPr>
        <w:t>En ejercicio de la competencia otorgada por los artículos 3, numeral 5º, y 11, numeral 8º, del Decreto Ley 4170 de 2011,</w:t>
      </w:r>
      <w:r w:rsidRPr="0E64AB5B">
        <w:rPr>
          <w:rFonts w:ascii="Verdana" w:eastAsia="Arial MT" w:hAnsi="Verdana" w:cs="Arial MT"/>
          <w:lang w:val="es-ES" w:eastAsia="es-ES"/>
        </w:rPr>
        <w:t xml:space="preserve"> </w:t>
      </w:r>
      <w:r w:rsidRPr="0E64AB5B">
        <w:rPr>
          <w:rFonts w:ascii="Verdana" w:eastAsia="Calibri" w:hAnsi="Verdana" w:cs="Arial"/>
        </w:rPr>
        <w:t xml:space="preserve">así como lo establecido en el artículo 4 de la Resolución 1707 de 2018 expedida por esta Entidad, </w:t>
      </w:r>
      <w:r w:rsidRPr="0E64AB5B">
        <w:rPr>
          <w:rFonts w:ascii="Verdana" w:eastAsia="Calibri" w:hAnsi="Verdana" w:cs="Arial"/>
          <w:lang w:val="es-ES" w:eastAsia="es-ES"/>
        </w:rPr>
        <w:t xml:space="preserve">la Agencia Nacional de Contratación Pública –Colombia Compra Eficiente– responde su solicitud de consulta de fecha </w:t>
      </w:r>
      <w:r w:rsidR="0342029F" w:rsidRPr="0E64AB5B">
        <w:rPr>
          <w:rFonts w:ascii="Verdana" w:eastAsia="Calibri" w:hAnsi="Verdana" w:cs="Arial"/>
          <w:lang w:val="es-ES" w:eastAsia="es-ES"/>
        </w:rPr>
        <w:t>26</w:t>
      </w:r>
      <w:r w:rsidRPr="0E64AB5B">
        <w:rPr>
          <w:rFonts w:ascii="Verdana" w:eastAsia="Calibri" w:hAnsi="Verdana" w:cs="Arial"/>
          <w:lang w:val="es-ES" w:eastAsia="es-ES"/>
        </w:rPr>
        <w:t xml:space="preserve"> de febrero de 2026, en la cual manifiesta lo siguiente: </w:t>
      </w:r>
      <w:bookmarkStart w:id="1" w:name="_Hlk95313578"/>
    </w:p>
    <w:p w14:paraId="67BF1542" w14:textId="77777777" w:rsidR="004E5589" w:rsidRPr="00E5442F" w:rsidRDefault="004E5589" w:rsidP="004E5589">
      <w:pPr>
        <w:spacing w:after="0" w:line="276" w:lineRule="auto"/>
        <w:jc w:val="both"/>
        <w:rPr>
          <w:rFonts w:ascii="Verdana" w:eastAsia="Calibri" w:hAnsi="Verdana" w:cs="Arial"/>
          <w:bCs/>
          <w:lang w:val="es-ES" w:eastAsia="es-ES"/>
        </w:rPr>
      </w:pPr>
    </w:p>
    <w:bookmarkEnd w:id="1"/>
    <w:p w14:paraId="289F77D8" w14:textId="77777777" w:rsidR="004E5589" w:rsidRPr="00E5442F" w:rsidRDefault="004E5589" w:rsidP="004E5589">
      <w:pPr>
        <w:spacing w:after="0" w:line="240" w:lineRule="auto"/>
        <w:ind w:left="709" w:right="709"/>
        <w:jc w:val="both"/>
        <w:rPr>
          <w:rFonts w:ascii="Verdana" w:eastAsia="Calibri" w:hAnsi="Verdana" w:cs="Arial"/>
          <w:i/>
          <w:iCs/>
          <w:sz w:val="21"/>
          <w:szCs w:val="21"/>
          <w:lang w:val="es-ES" w:eastAsia="es-ES"/>
        </w:rPr>
      </w:pPr>
      <w:r w:rsidRPr="00E5442F">
        <w:rPr>
          <w:rFonts w:ascii="Verdana" w:eastAsia="Calibri" w:hAnsi="Verdana" w:cs="Arial"/>
          <w:i/>
          <w:iCs/>
          <w:sz w:val="21"/>
          <w:szCs w:val="21"/>
          <w:lang w:val="es-ES" w:eastAsia="es-ES"/>
        </w:rPr>
        <w:lastRenderedPageBreak/>
        <w:t>“(…)</w:t>
      </w:r>
    </w:p>
    <w:p w14:paraId="08C55E68" w14:textId="77777777" w:rsidR="004E5589" w:rsidRPr="00E5442F" w:rsidRDefault="004E5589" w:rsidP="004E5589">
      <w:pPr>
        <w:spacing w:after="0" w:line="240" w:lineRule="auto"/>
        <w:ind w:left="709" w:right="709"/>
        <w:jc w:val="both"/>
        <w:rPr>
          <w:rFonts w:ascii="Verdana" w:eastAsia="Calibri" w:hAnsi="Verdana" w:cs="Arial"/>
          <w:i/>
          <w:iCs/>
          <w:sz w:val="21"/>
          <w:szCs w:val="21"/>
          <w:lang w:val="es-ES" w:eastAsia="es-ES"/>
        </w:rPr>
      </w:pPr>
    </w:p>
    <w:p w14:paraId="16C37375" w14:textId="77777777" w:rsidR="004E5589" w:rsidRDefault="004E5589" w:rsidP="004E5589">
      <w:pPr>
        <w:spacing w:after="0" w:line="240" w:lineRule="auto"/>
        <w:ind w:left="709" w:right="709"/>
        <w:jc w:val="both"/>
        <w:rPr>
          <w:rFonts w:ascii="Verdana" w:eastAsia="Calibri" w:hAnsi="Verdana" w:cs="Arial"/>
          <w:i/>
          <w:iCs/>
          <w:sz w:val="21"/>
          <w:szCs w:val="21"/>
          <w:lang w:val="es-ES" w:eastAsia="es-ES"/>
        </w:rPr>
      </w:pPr>
      <w:r w:rsidRPr="00704C45">
        <w:rPr>
          <w:rFonts w:ascii="Verdana" w:eastAsia="Calibri" w:hAnsi="Verdana" w:cs="Arial"/>
          <w:i/>
          <w:iCs/>
          <w:sz w:val="21"/>
          <w:szCs w:val="21"/>
          <w:lang w:val="es-ES" w:eastAsia="es-ES"/>
        </w:rPr>
        <w:t xml:space="preserve">En el caso hipotético de que en estudios previos un contratista, se estableció para un contratista como fecha de inicio el </w:t>
      </w:r>
      <w:proofErr w:type="spellStart"/>
      <w:r w:rsidRPr="00704C45">
        <w:rPr>
          <w:rFonts w:ascii="Verdana" w:eastAsia="Calibri" w:hAnsi="Verdana" w:cs="Arial"/>
          <w:i/>
          <w:iCs/>
          <w:sz w:val="21"/>
          <w:szCs w:val="21"/>
          <w:lang w:val="es-ES" w:eastAsia="es-ES"/>
        </w:rPr>
        <w:t>dia</w:t>
      </w:r>
      <w:proofErr w:type="spellEnd"/>
      <w:r w:rsidRPr="00704C45">
        <w:rPr>
          <w:rFonts w:ascii="Verdana" w:eastAsia="Calibri" w:hAnsi="Verdana" w:cs="Arial"/>
          <w:i/>
          <w:iCs/>
          <w:sz w:val="21"/>
          <w:szCs w:val="21"/>
          <w:lang w:val="es-ES" w:eastAsia="es-ES"/>
        </w:rPr>
        <w:t xml:space="preserve"> 2 de febrero de 2026, y este contratista, </w:t>
      </w:r>
      <w:proofErr w:type="spellStart"/>
      <w:r w:rsidRPr="00704C45">
        <w:rPr>
          <w:rFonts w:ascii="Verdana" w:eastAsia="Calibri" w:hAnsi="Verdana" w:cs="Arial"/>
          <w:i/>
          <w:iCs/>
          <w:sz w:val="21"/>
          <w:szCs w:val="21"/>
          <w:lang w:val="es-ES" w:eastAsia="es-ES"/>
        </w:rPr>
        <w:t>expidiò</w:t>
      </w:r>
      <w:proofErr w:type="spellEnd"/>
      <w:r w:rsidRPr="00704C45">
        <w:rPr>
          <w:rFonts w:ascii="Verdana" w:eastAsia="Calibri" w:hAnsi="Verdana" w:cs="Arial"/>
          <w:i/>
          <w:iCs/>
          <w:sz w:val="21"/>
          <w:szCs w:val="21"/>
          <w:lang w:val="es-ES" w:eastAsia="es-ES"/>
        </w:rPr>
        <w:t xml:space="preserve"> y </w:t>
      </w:r>
      <w:proofErr w:type="spellStart"/>
      <w:r w:rsidRPr="00704C45">
        <w:rPr>
          <w:rFonts w:ascii="Verdana" w:eastAsia="Calibri" w:hAnsi="Verdana" w:cs="Arial"/>
          <w:i/>
          <w:iCs/>
          <w:sz w:val="21"/>
          <w:szCs w:val="21"/>
          <w:lang w:val="es-ES" w:eastAsia="es-ES"/>
        </w:rPr>
        <w:t>cargò</w:t>
      </w:r>
      <w:proofErr w:type="spellEnd"/>
      <w:r w:rsidRPr="00704C45">
        <w:rPr>
          <w:rFonts w:ascii="Verdana" w:eastAsia="Calibri" w:hAnsi="Verdana" w:cs="Arial"/>
          <w:i/>
          <w:iCs/>
          <w:sz w:val="21"/>
          <w:szCs w:val="21"/>
          <w:lang w:val="es-ES" w:eastAsia="es-ES"/>
        </w:rPr>
        <w:t xml:space="preserve"> su </w:t>
      </w:r>
      <w:proofErr w:type="spellStart"/>
      <w:r w:rsidRPr="00704C45">
        <w:rPr>
          <w:rFonts w:ascii="Verdana" w:eastAsia="Calibri" w:hAnsi="Verdana" w:cs="Arial"/>
          <w:i/>
          <w:iCs/>
          <w:sz w:val="21"/>
          <w:szCs w:val="21"/>
          <w:lang w:val="es-ES" w:eastAsia="es-ES"/>
        </w:rPr>
        <w:t>poliza</w:t>
      </w:r>
      <w:proofErr w:type="spellEnd"/>
      <w:r w:rsidRPr="00704C45">
        <w:rPr>
          <w:rFonts w:ascii="Verdana" w:eastAsia="Calibri" w:hAnsi="Verdana" w:cs="Arial"/>
          <w:i/>
          <w:iCs/>
          <w:sz w:val="21"/>
          <w:szCs w:val="21"/>
          <w:lang w:val="es-ES" w:eastAsia="es-ES"/>
        </w:rPr>
        <w:t xml:space="preserve"> de cumplimiento a </w:t>
      </w:r>
      <w:proofErr w:type="spellStart"/>
      <w:r w:rsidRPr="00704C45">
        <w:rPr>
          <w:rFonts w:ascii="Verdana" w:eastAsia="Calibri" w:hAnsi="Verdana" w:cs="Arial"/>
          <w:i/>
          <w:iCs/>
          <w:sz w:val="21"/>
          <w:szCs w:val="21"/>
          <w:lang w:val="es-ES" w:eastAsia="es-ES"/>
        </w:rPr>
        <w:t>Secop</w:t>
      </w:r>
      <w:proofErr w:type="spellEnd"/>
      <w:r w:rsidRPr="00704C45">
        <w:rPr>
          <w:rFonts w:ascii="Verdana" w:eastAsia="Calibri" w:hAnsi="Verdana" w:cs="Arial"/>
          <w:i/>
          <w:iCs/>
          <w:sz w:val="21"/>
          <w:szCs w:val="21"/>
          <w:lang w:val="es-ES" w:eastAsia="es-ES"/>
        </w:rPr>
        <w:t xml:space="preserve"> ese mismo </w:t>
      </w:r>
      <w:proofErr w:type="spellStart"/>
      <w:r w:rsidRPr="00704C45">
        <w:rPr>
          <w:rFonts w:ascii="Verdana" w:eastAsia="Calibri" w:hAnsi="Verdana" w:cs="Arial"/>
          <w:i/>
          <w:iCs/>
          <w:sz w:val="21"/>
          <w:szCs w:val="21"/>
          <w:lang w:val="es-ES" w:eastAsia="es-ES"/>
        </w:rPr>
        <w:t>dia</w:t>
      </w:r>
      <w:proofErr w:type="spellEnd"/>
      <w:r w:rsidRPr="00704C45">
        <w:rPr>
          <w:rFonts w:ascii="Verdana" w:eastAsia="Calibri" w:hAnsi="Verdana" w:cs="Arial"/>
          <w:i/>
          <w:iCs/>
          <w:sz w:val="21"/>
          <w:szCs w:val="21"/>
          <w:lang w:val="es-ES" w:eastAsia="es-ES"/>
        </w:rPr>
        <w:t xml:space="preserve">, sin embargo la entidad estatal </w:t>
      </w:r>
      <w:proofErr w:type="spellStart"/>
      <w:r w:rsidRPr="00704C45">
        <w:rPr>
          <w:rFonts w:ascii="Verdana" w:eastAsia="Calibri" w:hAnsi="Verdana" w:cs="Arial"/>
          <w:i/>
          <w:iCs/>
          <w:sz w:val="21"/>
          <w:szCs w:val="21"/>
          <w:lang w:val="es-ES" w:eastAsia="es-ES"/>
        </w:rPr>
        <w:t>aprobò</w:t>
      </w:r>
      <w:proofErr w:type="spellEnd"/>
      <w:r w:rsidRPr="00704C45">
        <w:rPr>
          <w:rFonts w:ascii="Verdana" w:eastAsia="Calibri" w:hAnsi="Verdana" w:cs="Arial"/>
          <w:i/>
          <w:iCs/>
          <w:sz w:val="21"/>
          <w:szCs w:val="21"/>
          <w:lang w:val="es-ES" w:eastAsia="es-ES"/>
        </w:rPr>
        <w:t xml:space="preserve"> la </w:t>
      </w:r>
      <w:proofErr w:type="spellStart"/>
      <w:r w:rsidRPr="00704C45">
        <w:rPr>
          <w:rFonts w:ascii="Verdana" w:eastAsia="Calibri" w:hAnsi="Verdana" w:cs="Arial"/>
          <w:i/>
          <w:iCs/>
          <w:sz w:val="21"/>
          <w:szCs w:val="21"/>
          <w:lang w:val="es-ES" w:eastAsia="es-ES"/>
        </w:rPr>
        <w:t>poliza</w:t>
      </w:r>
      <w:proofErr w:type="spellEnd"/>
      <w:r w:rsidRPr="00704C45">
        <w:rPr>
          <w:rFonts w:ascii="Verdana" w:eastAsia="Calibri" w:hAnsi="Verdana" w:cs="Arial"/>
          <w:i/>
          <w:iCs/>
          <w:sz w:val="21"/>
          <w:szCs w:val="21"/>
          <w:lang w:val="es-ES" w:eastAsia="es-ES"/>
        </w:rPr>
        <w:t xml:space="preserve"> </w:t>
      </w:r>
      <w:proofErr w:type="spellStart"/>
      <w:r w:rsidRPr="00704C45">
        <w:rPr>
          <w:rFonts w:ascii="Verdana" w:eastAsia="Calibri" w:hAnsi="Verdana" w:cs="Arial"/>
          <w:i/>
          <w:iCs/>
          <w:sz w:val="21"/>
          <w:szCs w:val="21"/>
          <w:lang w:val="es-ES" w:eastAsia="es-ES"/>
        </w:rPr>
        <w:t>dias</w:t>
      </w:r>
      <w:proofErr w:type="spellEnd"/>
      <w:r w:rsidRPr="00704C45">
        <w:rPr>
          <w:rFonts w:ascii="Verdana" w:eastAsia="Calibri" w:hAnsi="Verdana" w:cs="Arial"/>
          <w:i/>
          <w:iCs/>
          <w:sz w:val="21"/>
          <w:szCs w:val="21"/>
          <w:lang w:val="es-ES" w:eastAsia="es-ES"/>
        </w:rPr>
        <w:t xml:space="preserve"> posteriores al cargue, por el alto volumen de trabajo en </w:t>
      </w:r>
      <w:proofErr w:type="spellStart"/>
      <w:r w:rsidRPr="00704C45">
        <w:rPr>
          <w:rFonts w:ascii="Verdana" w:eastAsia="Calibri" w:hAnsi="Verdana" w:cs="Arial"/>
          <w:i/>
          <w:iCs/>
          <w:sz w:val="21"/>
          <w:szCs w:val="21"/>
          <w:lang w:val="es-ES" w:eastAsia="es-ES"/>
        </w:rPr>
        <w:t>razon</w:t>
      </w:r>
      <w:proofErr w:type="spellEnd"/>
      <w:r w:rsidRPr="00704C45">
        <w:rPr>
          <w:rFonts w:ascii="Verdana" w:eastAsia="Calibri" w:hAnsi="Verdana" w:cs="Arial"/>
          <w:i/>
          <w:iCs/>
          <w:sz w:val="21"/>
          <w:szCs w:val="21"/>
          <w:lang w:val="es-ES" w:eastAsia="es-ES"/>
        </w:rPr>
        <w:t xml:space="preserve"> a la entrada en vigencia de la Ley de </w:t>
      </w:r>
      <w:proofErr w:type="spellStart"/>
      <w:r w:rsidRPr="00704C45">
        <w:rPr>
          <w:rFonts w:ascii="Verdana" w:eastAsia="Calibri" w:hAnsi="Verdana" w:cs="Arial"/>
          <w:i/>
          <w:iCs/>
          <w:sz w:val="21"/>
          <w:szCs w:val="21"/>
          <w:lang w:val="es-ES" w:eastAsia="es-ES"/>
        </w:rPr>
        <w:t>garatias</w:t>
      </w:r>
      <w:proofErr w:type="spellEnd"/>
      <w:r w:rsidRPr="00704C45">
        <w:rPr>
          <w:rFonts w:ascii="Verdana" w:eastAsia="Calibri" w:hAnsi="Verdana" w:cs="Arial"/>
          <w:i/>
          <w:iCs/>
          <w:sz w:val="21"/>
          <w:szCs w:val="21"/>
          <w:lang w:val="es-ES" w:eastAsia="es-ES"/>
        </w:rPr>
        <w:t>.</w:t>
      </w:r>
    </w:p>
    <w:p w14:paraId="63310168" w14:textId="77777777" w:rsidR="004E5589" w:rsidRPr="00704C45" w:rsidRDefault="004E5589" w:rsidP="004E5589">
      <w:pPr>
        <w:spacing w:after="0" w:line="240" w:lineRule="auto"/>
        <w:ind w:left="709" w:right="709"/>
        <w:jc w:val="both"/>
        <w:rPr>
          <w:rFonts w:ascii="Verdana" w:eastAsia="Calibri" w:hAnsi="Verdana" w:cs="Arial"/>
          <w:i/>
          <w:iCs/>
          <w:sz w:val="21"/>
          <w:szCs w:val="21"/>
          <w:lang w:val="es-ES" w:eastAsia="es-ES"/>
        </w:rPr>
      </w:pPr>
    </w:p>
    <w:p w14:paraId="6A0FCB92" w14:textId="77777777" w:rsidR="004E5589" w:rsidRPr="00704C45" w:rsidRDefault="004E5589" w:rsidP="004E5589">
      <w:pPr>
        <w:spacing w:after="0" w:line="240" w:lineRule="auto"/>
        <w:ind w:left="709" w:right="709"/>
        <w:jc w:val="both"/>
        <w:rPr>
          <w:rFonts w:ascii="Verdana" w:eastAsia="Calibri" w:hAnsi="Verdana" w:cs="Arial"/>
          <w:i/>
          <w:iCs/>
          <w:sz w:val="21"/>
          <w:szCs w:val="21"/>
          <w:lang w:val="es-ES" w:eastAsia="es-ES"/>
        </w:rPr>
      </w:pPr>
      <w:r w:rsidRPr="00704C45">
        <w:rPr>
          <w:rFonts w:ascii="Verdana" w:eastAsia="Calibri" w:hAnsi="Verdana" w:cs="Arial"/>
          <w:i/>
          <w:iCs/>
          <w:sz w:val="21"/>
          <w:szCs w:val="21"/>
          <w:lang w:val="es-ES" w:eastAsia="es-ES"/>
        </w:rPr>
        <w:t xml:space="preserve">Teniendo en cuenta este caso </w:t>
      </w:r>
      <w:proofErr w:type="spellStart"/>
      <w:r w:rsidRPr="00704C45">
        <w:rPr>
          <w:rFonts w:ascii="Verdana" w:eastAsia="Calibri" w:hAnsi="Verdana" w:cs="Arial"/>
          <w:i/>
          <w:iCs/>
          <w:sz w:val="21"/>
          <w:szCs w:val="21"/>
          <w:lang w:val="es-ES" w:eastAsia="es-ES"/>
        </w:rPr>
        <w:t>hipotetico</w:t>
      </w:r>
      <w:proofErr w:type="spellEnd"/>
      <w:r w:rsidRPr="00704C45">
        <w:rPr>
          <w:rFonts w:ascii="Verdana" w:eastAsia="Calibri" w:hAnsi="Verdana" w:cs="Arial"/>
          <w:i/>
          <w:iCs/>
          <w:sz w:val="21"/>
          <w:szCs w:val="21"/>
          <w:lang w:val="es-ES" w:eastAsia="es-ES"/>
        </w:rPr>
        <w:t xml:space="preserve">, </w:t>
      </w:r>
      <w:proofErr w:type="spellStart"/>
      <w:r w:rsidRPr="00704C45">
        <w:rPr>
          <w:rFonts w:ascii="Verdana" w:eastAsia="Calibri" w:hAnsi="Verdana" w:cs="Arial"/>
          <w:i/>
          <w:iCs/>
          <w:sz w:val="21"/>
          <w:szCs w:val="21"/>
          <w:lang w:val="es-ES" w:eastAsia="es-ES"/>
        </w:rPr>
        <w:t>palnteamos</w:t>
      </w:r>
      <w:proofErr w:type="spellEnd"/>
      <w:r w:rsidRPr="00704C45">
        <w:rPr>
          <w:rFonts w:ascii="Verdana" w:eastAsia="Calibri" w:hAnsi="Verdana" w:cs="Arial"/>
          <w:i/>
          <w:iCs/>
          <w:sz w:val="21"/>
          <w:szCs w:val="21"/>
          <w:lang w:val="es-ES" w:eastAsia="es-ES"/>
        </w:rPr>
        <w:t xml:space="preserve"> el </w:t>
      </w:r>
      <w:proofErr w:type="spellStart"/>
      <w:r w:rsidRPr="00704C45">
        <w:rPr>
          <w:rFonts w:ascii="Verdana" w:eastAsia="Calibri" w:hAnsi="Verdana" w:cs="Arial"/>
          <w:i/>
          <w:iCs/>
          <w:sz w:val="21"/>
          <w:szCs w:val="21"/>
          <w:lang w:val="es-ES" w:eastAsia="es-ES"/>
        </w:rPr>
        <w:t>sigueinte</w:t>
      </w:r>
      <w:proofErr w:type="spellEnd"/>
      <w:r w:rsidRPr="00704C45">
        <w:rPr>
          <w:rFonts w:ascii="Verdana" w:eastAsia="Calibri" w:hAnsi="Verdana" w:cs="Arial"/>
          <w:i/>
          <w:iCs/>
          <w:sz w:val="21"/>
          <w:szCs w:val="21"/>
          <w:lang w:val="es-ES" w:eastAsia="es-ES"/>
        </w:rPr>
        <w:t xml:space="preserve"> </w:t>
      </w:r>
      <w:proofErr w:type="spellStart"/>
      <w:r w:rsidRPr="00704C45">
        <w:rPr>
          <w:rFonts w:ascii="Verdana" w:eastAsia="Calibri" w:hAnsi="Verdana" w:cs="Arial"/>
          <w:i/>
          <w:iCs/>
          <w:sz w:val="21"/>
          <w:szCs w:val="21"/>
          <w:lang w:val="es-ES" w:eastAsia="es-ES"/>
        </w:rPr>
        <w:t>cuentionamiento</w:t>
      </w:r>
      <w:proofErr w:type="spellEnd"/>
      <w:r w:rsidRPr="00704C45">
        <w:rPr>
          <w:rFonts w:ascii="Verdana" w:eastAsia="Calibri" w:hAnsi="Verdana" w:cs="Arial"/>
          <w:i/>
          <w:iCs/>
          <w:sz w:val="21"/>
          <w:szCs w:val="21"/>
          <w:lang w:val="es-ES" w:eastAsia="es-ES"/>
        </w:rPr>
        <w:t>:</w:t>
      </w:r>
    </w:p>
    <w:p w14:paraId="7B01833E" w14:textId="77777777" w:rsidR="004E5589" w:rsidRPr="00E5442F" w:rsidRDefault="004E5589" w:rsidP="004E5589">
      <w:pPr>
        <w:spacing w:after="0" w:line="240" w:lineRule="auto"/>
        <w:ind w:left="709" w:right="709"/>
        <w:jc w:val="both"/>
        <w:rPr>
          <w:rFonts w:ascii="Verdana" w:eastAsia="Calibri" w:hAnsi="Verdana" w:cs="Arial"/>
          <w:i/>
          <w:iCs/>
          <w:sz w:val="21"/>
          <w:szCs w:val="21"/>
          <w:lang w:val="es-ES" w:eastAsia="es-ES"/>
        </w:rPr>
      </w:pPr>
      <w:r w:rsidRPr="00704C45">
        <w:rPr>
          <w:rFonts w:ascii="Verdana" w:eastAsia="Calibri" w:hAnsi="Verdana" w:cs="Arial"/>
          <w:i/>
          <w:iCs/>
          <w:sz w:val="21"/>
          <w:szCs w:val="21"/>
          <w:lang w:val="es-ES" w:eastAsia="es-ES"/>
        </w:rPr>
        <w:t xml:space="preserve">¿es </w:t>
      </w:r>
      <w:proofErr w:type="spellStart"/>
      <w:r w:rsidRPr="00704C45">
        <w:rPr>
          <w:rFonts w:ascii="Verdana" w:eastAsia="Calibri" w:hAnsi="Verdana" w:cs="Arial"/>
          <w:i/>
          <w:iCs/>
          <w:sz w:val="21"/>
          <w:szCs w:val="21"/>
          <w:lang w:val="es-ES" w:eastAsia="es-ES"/>
        </w:rPr>
        <w:t>vaible</w:t>
      </w:r>
      <w:proofErr w:type="spellEnd"/>
      <w:r w:rsidRPr="00704C45">
        <w:rPr>
          <w:rFonts w:ascii="Verdana" w:eastAsia="Calibri" w:hAnsi="Verdana" w:cs="Arial"/>
          <w:i/>
          <w:iCs/>
          <w:sz w:val="21"/>
          <w:szCs w:val="21"/>
          <w:lang w:val="es-ES" w:eastAsia="es-ES"/>
        </w:rPr>
        <w:t xml:space="preserve">, tomar como fecha de inicio de </w:t>
      </w:r>
      <w:proofErr w:type="spellStart"/>
      <w:r w:rsidRPr="00704C45">
        <w:rPr>
          <w:rFonts w:ascii="Verdana" w:eastAsia="Calibri" w:hAnsi="Verdana" w:cs="Arial"/>
          <w:i/>
          <w:iCs/>
          <w:sz w:val="21"/>
          <w:szCs w:val="21"/>
          <w:lang w:val="es-ES" w:eastAsia="es-ES"/>
        </w:rPr>
        <w:t>ejecucion</w:t>
      </w:r>
      <w:proofErr w:type="spellEnd"/>
      <w:r w:rsidRPr="00704C45">
        <w:rPr>
          <w:rFonts w:ascii="Verdana" w:eastAsia="Calibri" w:hAnsi="Verdana" w:cs="Arial"/>
          <w:i/>
          <w:iCs/>
          <w:sz w:val="21"/>
          <w:szCs w:val="21"/>
          <w:lang w:val="es-ES" w:eastAsia="es-ES"/>
        </w:rPr>
        <w:t xml:space="preserve">, la fecha en la cual el contratista </w:t>
      </w:r>
      <w:proofErr w:type="spellStart"/>
      <w:r w:rsidRPr="00704C45">
        <w:rPr>
          <w:rFonts w:ascii="Verdana" w:eastAsia="Calibri" w:hAnsi="Verdana" w:cs="Arial"/>
          <w:i/>
          <w:iCs/>
          <w:sz w:val="21"/>
          <w:szCs w:val="21"/>
          <w:lang w:val="es-ES" w:eastAsia="es-ES"/>
        </w:rPr>
        <w:t>cargò</w:t>
      </w:r>
      <w:proofErr w:type="spellEnd"/>
      <w:r w:rsidRPr="00704C45">
        <w:rPr>
          <w:rFonts w:ascii="Verdana" w:eastAsia="Calibri" w:hAnsi="Verdana" w:cs="Arial"/>
          <w:i/>
          <w:iCs/>
          <w:sz w:val="21"/>
          <w:szCs w:val="21"/>
          <w:lang w:val="es-ES" w:eastAsia="es-ES"/>
        </w:rPr>
        <w:t xml:space="preserve"> la </w:t>
      </w:r>
      <w:proofErr w:type="spellStart"/>
      <w:r w:rsidRPr="00704C45">
        <w:rPr>
          <w:rFonts w:ascii="Verdana" w:eastAsia="Calibri" w:hAnsi="Verdana" w:cs="Arial"/>
          <w:i/>
          <w:iCs/>
          <w:sz w:val="21"/>
          <w:szCs w:val="21"/>
          <w:lang w:val="es-ES" w:eastAsia="es-ES"/>
        </w:rPr>
        <w:t>poliza</w:t>
      </w:r>
      <w:proofErr w:type="spellEnd"/>
      <w:r w:rsidRPr="00704C45">
        <w:rPr>
          <w:rFonts w:ascii="Verdana" w:eastAsia="Calibri" w:hAnsi="Verdana" w:cs="Arial"/>
          <w:i/>
          <w:iCs/>
          <w:sz w:val="21"/>
          <w:szCs w:val="21"/>
          <w:lang w:val="es-ES" w:eastAsia="es-ES"/>
        </w:rPr>
        <w:t xml:space="preserve"> de cumplimiento a la plataforma </w:t>
      </w:r>
      <w:proofErr w:type="spellStart"/>
      <w:r w:rsidRPr="00704C45">
        <w:rPr>
          <w:rFonts w:ascii="Verdana" w:eastAsia="Calibri" w:hAnsi="Verdana" w:cs="Arial"/>
          <w:i/>
          <w:iCs/>
          <w:sz w:val="21"/>
          <w:szCs w:val="21"/>
          <w:lang w:val="es-ES" w:eastAsia="es-ES"/>
        </w:rPr>
        <w:t>Secop</w:t>
      </w:r>
      <w:proofErr w:type="spellEnd"/>
      <w:r w:rsidRPr="00704C45">
        <w:rPr>
          <w:rFonts w:ascii="Verdana" w:eastAsia="Calibri" w:hAnsi="Verdana" w:cs="Arial"/>
          <w:i/>
          <w:iCs/>
          <w:sz w:val="21"/>
          <w:szCs w:val="21"/>
          <w:lang w:val="es-ES" w:eastAsia="es-ES"/>
        </w:rPr>
        <w:t xml:space="preserve"> II, siempre que la misma se haya cargado en debida forma, respecto de plazo, valores y objeto de la </w:t>
      </w:r>
      <w:proofErr w:type="spellStart"/>
      <w:r w:rsidRPr="00704C45">
        <w:rPr>
          <w:rFonts w:ascii="Verdana" w:eastAsia="Calibri" w:hAnsi="Verdana" w:cs="Arial"/>
          <w:i/>
          <w:iCs/>
          <w:sz w:val="21"/>
          <w:szCs w:val="21"/>
          <w:lang w:val="es-ES" w:eastAsia="es-ES"/>
        </w:rPr>
        <w:t>Poliza</w:t>
      </w:r>
      <w:proofErr w:type="spellEnd"/>
      <w:r w:rsidRPr="00704C45">
        <w:rPr>
          <w:rFonts w:ascii="Verdana" w:eastAsia="Calibri" w:hAnsi="Verdana" w:cs="Arial"/>
          <w:i/>
          <w:iCs/>
          <w:sz w:val="21"/>
          <w:szCs w:val="21"/>
          <w:lang w:val="es-ES" w:eastAsia="es-ES"/>
        </w:rPr>
        <w:t xml:space="preserve">; y no la fecha de </w:t>
      </w:r>
      <w:proofErr w:type="spellStart"/>
      <w:r w:rsidRPr="00704C45">
        <w:rPr>
          <w:rFonts w:ascii="Verdana" w:eastAsia="Calibri" w:hAnsi="Verdana" w:cs="Arial"/>
          <w:i/>
          <w:iCs/>
          <w:sz w:val="21"/>
          <w:szCs w:val="21"/>
          <w:lang w:val="es-ES" w:eastAsia="es-ES"/>
        </w:rPr>
        <w:t>aprobacion</w:t>
      </w:r>
      <w:proofErr w:type="spellEnd"/>
      <w:r w:rsidRPr="00704C45">
        <w:rPr>
          <w:rFonts w:ascii="Verdana" w:eastAsia="Calibri" w:hAnsi="Verdana" w:cs="Arial"/>
          <w:i/>
          <w:iCs/>
          <w:sz w:val="21"/>
          <w:szCs w:val="21"/>
          <w:lang w:val="es-ES" w:eastAsia="es-ES"/>
        </w:rPr>
        <w:t xml:space="preserve"> por parte de la entidad estatal que son varios </w:t>
      </w:r>
      <w:proofErr w:type="spellStart"/>
      <w:r w:rsidRPr="00704C45">
        <w:rPr>
          <w:rFonts w:ascii="Verdana" w:eastAsia="Calibri" w:hAnsi="Verdana" w:cs="Arial"/>
          <w:i/>
          <w:iCs/>
          <w:sz w:val="21"/>
          <w:szCs w:val="21"/>
          <w:lang w:val="es-ES" w:eastAsia="es-ES"/>
        </w:rPr>
        <w:t>dias</w:t>
      </w:r>
      <w:proofErr w:type="spellEnd"/>
      <w:r w:rsidRPr="00704C45">
        <w:rPr>
          <w:rFonts w:ascii="Verdana" w:eastAsia="Calibri" w:hAnsi="Verdana" w:cs="Arial"/>
          <w:i/>
          <w:iCs/>
          <w:sz w:val="21"/>
          <w:szCs w:val="21"/>
          <w:lang w:val="es-ES" w:eastAsia="es-ES"/>
        </w:rPr>
        <w:t xml:space="preserve"> </w:t>
      </w:r>
      <w:proofErr w:type="spellStart"/>
      <w:r w:rsidRPr="00704C45">
        <w:rPr>
          <w:rFonts w:ascii="Verdana" w:eastAsia="Calibri" w:hAnsi="Verdana" w:cs="Arial"/>
          <w:i/>
          <w:iCs/>
          <w:sz w:val="21"/>
          <w:szCs w:val="21"/>
          <w:lang w:val="es-ES" w:eastAsia="es-ES"/>
        </w:rPr>
        <w:t>despues</w:t>
      </w:r>
      <w:proofErr w:type="spellEnd"/>
      <w:r w:rsidRPr="00704C45">
        <w:rPr>
          <w:rFonts w:ascii="Verdana" w:eastAsia="Calibri" w:hAnsi="Verdana" w:cs="Arial"/>
          <w:i/>
          <w:iCs/>
          <w:sz w:val="21"/>
          <w:szCs w:val="21"/>
          <w:lang w:val="es-ES" w:eastAsia="es-ES"/>
        </w:rPr>
        <w:t>?</w:t>
      </w:r>
      <w:r w:rsidRPr="00E5442F">
        <w:rPr>
          <w:rFonts w:ascii="Verdana" w:eastAsia="Calibri" w:hAnsi="Verdana" w:cs="Arial"/>
          <w:i/>
          <w:iCs/>
          <w:sz w:val="21"/>
          <w:szCs w:val="21"/>
          <w:lang w:val="es-ES" w:eastAsia="es-ES"/>
        </w:rPr>
        <w:t xml:space="preserve"> (…)</w:t>
      </w:r>
      <w:r w:rsidRPr="00E5442F">
        <w:rPr>
          <w:rFonts w:ascii="Verdana" w:eastAsia="Calibri" w:hAnsi="Verdana" w:cs="Arial"/>
          <w:i/>
          <w:iCs/>
          <w:sz w:val="21"/>
          <w:szCs w:val="21"/>
          <w:lang w:eastAsia="es-ES"/>
        </w:rPr>
        <w:t>”</w:t>
      </w:r>
    </w:p>
    <w:p w14:paraId="0414CE40" w14:textId="77777777" w:rsidR="004E5589" w:rsidRPr="007E53B7" w:rsidRDefault="004E5589" w:rsidP="004E5589">
      <w:pPr>
        <w:spacing w:after="0" w:line="276" w:lineRule="auto"/>
        <w:ind w:left="709" w:right="709"/>
        <w:jc w:val="both"/>
        <w:rPr>
          <w:rFonts w:ascii="Verdana" w:eastAsia="Times New Roman" w:hAnsi="Verdana" w:cs="Times New Roman"/>
          <w:color w:val="66CCFF"/>
          <w:lang w:eastAsia="es-CO"/>
        </w:rPr>
      </w:pPr>
    </w:p>
    <w:p w14:paraId="2D390FF1" w14:textId="77777777" w:rsidR="004E5589" w:rsidRPr="00E5442F" w:rsidRDefault="004E5589" w:rsidP="004E5589">
      <w:pPr>
        <w:spacing w:after="120" w:line="276" w:lineRule="auto"/>
        <w:ind w:firstLine="709"/>
        <w:jc w:val="both"/>
        <w:rPr>
          <w:rFonts w:ascii="Verdana" w:eastAsia="Calibri" w:hAnsi="Verdana" w:cs="Arial"/>
          <w:lang w:val="es-ES_tradnl" w:eastAsia="es-ES_tradnl"/>
        </w:rPr>
      </w:pPr>
      <w:r w:rsidRPr="00E5442F">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5442F">
        <w:rPr>
          <w:rFonts w:ascii="Verdana" w:eastAsia="Calibri" w:hAnsi="Verdana" w:cs="Arial"/>
          <w:lang w:val="es-ES_tradnl" w:eastAsia="es-ES_tradnl"/>
        </w:rPr>
        <w:tab/>
      </w:r>
    </w:p>
    <w:p w14:paraId="01256E37" w14:textId="77777777" w:rsidR="004E5589" w:rsidRPr="00E5442F" w:rsidRDefault="004E5589" w:rsidP="004E5589">
      <w:pPr>
        <w:spacing w:after="0" w:line="276" w:lineRule="auto"/>
        <w:ind w:firstLine="708"/>
        <w:jc w:val="both"/>
        <w:rPr>
          <w:rFonts w:ascii="Verdana" w:eastAsia="Calibri" w:hAnsi="Verdana" w:cs="Arial"/>
          <w:lang w:val="es-ES" w:eastAsia="es-ES"/>
        </w:rPr>
      </w:pPr>
      <w:r w:rsidRPr="00E5442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1401E968" w14:textId="77777777" w:rsidR="004E5589" w:rsidRPr="00E5442F" w:rsidRDefault="004E5589" w:rsidP="004E5589">
      <w:pPr>
        <w:spacing w:after="0" w:line="276" w:lineRule="auto"/>
        <w:ind w:firstLine="709"/>
        <w:jc w:val="both"/>
        <w:rPr>
          <w:rFonts w:ascii="Verdana" w:eastAsia="Calibri" w:hAnsi="Verdana" w:cs="Arial"/>
          <w:lang w:val="es-ES" w:eastAsia="es-ES"/>
        </w:rPr>
      </w:pPr>
    </w:p>
    <w:p w14:paraId="286401D1" w14:textId="77777777" w:rsidR="004E5589" w:rsidRPr="00E5442F" w:rsidRDefault="004E5589" w:rsidP="004E558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E5442F">
        <w:rPr>
          <w:rFonts w:ascii="Verdana" w:eastAsia="Century Gothic" w:hAnsi="Verdana" w:cs="Century Gothic"/>
          <w:b/>
          <w:bCs/>
          <w:lang w:val="es-ES"/>
        </w:rPr>
        <w:t>Problema planteado:</w:t>
      </w:r>
    </w:p>
    <w:p w14:paraId="1FA67566" w14:textId="77777777" w:rsidR="004E5589" w:rsidRPr="009D4BB3" w:rsidRDefault="004E5589" w:rsidP="004E5589">
      <w:pPr>
        <w:tabs>
          <w:tab w:val="left" w:pos="426"/>
        </w:tabs>
        <w:spacing w:after="0" w:line="276" w:lineRule="auto"/>
        <w:jc w:val="both"/>
        <w:rPr>
          <w:rFonts w:ascii="Verdana" w:eastAsia="Century Gothic" w:hAnsi="Verdana" w:cs="Century Gothic"/>
          <w:lang w:val="es-ES"/>
        </w:rPr>
      </w:pPr>
    </w:p>
    <w:p w14:paraId="4FF28A4E" w14:textId="77777777" w:rsidR="004E5589" w:rsidRDefault="004E5589" w:rsidP="004E5589">
      <w:pPr>
        <w:spacing w:line="276" w:lineRule="auto"/>
        <w:jc w:val="both"/>
        <w:rPr>
          <w:rFonts w:ascii="Verdana" w:eastAsia="Century Gothic" w:hAnsi="Verdana" w:cs="Century Gothic"/>
        </w:rPr>
      </w:pPr>
      <w:r w:rsidRPr="009D4BB3">
        <w:rPr>
          <w:rFonts w:ascii="Verdana" w:eastAsia="Century Gothic" w:hAnsi="Verdana" w:cs="Century Gothic"/>
        </w:rPr>
        <w:t>De acuerdo con el contenido de su solicitud, esta Agencia resolverá el siguiente problema jurídico:</w:t>
      </w:r>
    </w:p>
    <w:p w14:paraId="26B0B608" w14:textId="77777777" w:rsidR="004E5589" w:rsidRPr="00F34DB6" w:rsidRDefault="004E5589" w:rsidP="004E5589">
      <w:pPr>
        <w:pStyle w:val="Prrafodelista"/>
        <w:numPr>
          <w:ilvl w:val="0"/>
          <w:numId w:val="19"/>
        </w:numPr>
        <w:spacing w:line="276" w:lineRule="auto"/>
        <w:jc w:val="both"/>
        <w:rPr>
          <w:rFonts w:ascii="Verdana" w:eastAsia="Century Gothic" w:hAnsi="Verdana" w:cs="Century Gothic"/>
        </w:rPr>
      </w:pPr>
      <w:r w:rsidRPr="003261C2">
        <w:rPr>
          <w:rFonts w:ascii="Verdana" w:eastAsia="Century Gothic" w:hAnsi="Verdana" w:cs="Century Gothic"/>
          <w:lang w:val="es-CO"/>
        </w:rPr>
        <w:lastRenderedPageBreak/>
        <w:t>¿La aprobación de las garantías por parte de la entidad estatal constituye un requisito necesario para el inicio de la ejecución del contrato?</w:t>
      </w:r>
    </w:p>
    <w:p w14:paraId="64440B0C" w14:textId="77777777" w:rsidR="004E5589" w:rsidRPr="00C01E4D" w:rsidRDefault="004E5589" w:rsidP="004E558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C01E4D">
        <w:rPr>
          <w:rFonts w:ascii="Verdana" w:eastAsia="Century Gothic" w:hAnsi="Verdana" w:cs="Century Gothic"/>
          <w:b/>
          <w:bCs/>
          <w:lang w:val="es-ES"/>
        </w:rPr>
        <w:t>Respuesta:</w:t>
      </w:r>
    </w:p>
    <w:p w14:paraId="2168C9C4" w14:textId="77777777" w:rsidR="004E5589" w:rsidRPr="00155CC1" w:rsidRDefault="004E5589" w:rsidP="004E5589">
      <w:pPr>
        <w:tabs>
          <w:tab w:val="left" w:pos="142"/>
          <w:tab w:val="left" w:pos="284"/>
        </w:tabs>
        <w:spacing w:line="276" w:lineRule="auto"/>
        <w:contextualSpacing/>
        <w:jc w:val="both"/>
        <w:rPr>
          <w:rFonts w:ascii="Verdana" w:eastAsia="Century Gothic" w:hAnsi="Verdana" w:cs="Century Gothic"/>
          <w:b/>
          <w:bCs/>
          <w:color w:val="6699FF"/>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E5589" w:rsidRPr="00155CC1" w14:paraId="490EBED7" w14:textId="77777777" w:rsidTr="00617A63">
        <w:trPr>
          <w:trHeight w:val="1057"/>
        </w:trPr>
        <w:tc>
          <w:tcPr>
            <w:tcW w:w="8828" w:type="dxa"/>
            <w:tcBorders>
              <w:top w:val="dotted" w:sz="4" w:space="0" w:color="auto"/>
              <w:left w:val="dotted" w:sz="4" w:space="0" w:color="auto"/>
              <w:bottom w:val="dotted" w:sz="4" w:space="0" w:color="auto"/>
              <w:right w:val="dotted" w:sz="4" w:space="0" w:color="auto"/>
            </w:tcBorders>
          </w:tcPr>
          <w:p w14:paraId="4C112816" w14:textId="77777777" w:rsidR="004E5589" w:rsidRPr="00D97D7D" w:rsidRDefault="004E5589" w:rsidP="00617A63">
            <w:pPr>
              <w:spacing w:line="276" w:lineRule="auto"/>
              <w:jc w:val="both"/>
              <w:rPr>
                <w:rFonts w:ascii="Verdana" w:eastAsia="Calibri" w:hAnsi="Verdana" w:cs="Arial"/>
                <w:shd w:val="clear" w:color="auto" w:fill="FFFFFF"/>
              </w:rPr>
            </w:pPr>
            <w:r w:rsidRPr="00D97D7D">
              <w:rPr>
                <w:rFonts w:ascii="Verdana" w:eastAsia="Calibri" w:hAnsi="Verdana" w:cs="Arial"/>
                <w:shd w:val="clear" w:color="auto" w:fill="FFFFFF"/>
              </w:rPr>
              <w:t xml:space="preserve">El Estatuto General de Contratación de la Administración Pública – en adelante EGCAP – prevé dos tipos de exigencias en relación con los contratos estatales: i) las relacionadas con el perfeccionamiento y </w:t>
            </w:r>
            <w:proofErr w:type="spellStart"/>
            <w:r w:rsidRPr="00D97D7D">
              <w:rPr>
                <w:rFonts w:ascii="Verdana" w:eastAsia="Calibri" w:hAnsi="Verdana" w:cs="Arial"/>
                <w:shd w:val="clear" w:color="auto" w:fill="FFFFFF"/>
              </w:rPr>
              <w:t>ii</w:t>
            </w:r>
            <w:proofErr w:type="spellEnd"/>
            <w:r w:rsidRPr="00D97D7D">
              <w:rPr>
                <w:rFonts w:ascii="Verdana" w:eastAsia="Calibri" w:hAnsi="Verdana" w:cs="Arial"/>
                <w:shd w:val="clear" w:color="auto" w:fill="FFFFFF"/>
              </w:rPr>
              <w:t xml:space="preserve">) las que tienen que ver con la ejecución. 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w:t>
            </w:r>
          </w:p>
          <w:p w14:paraId="493BC38F" w14:textId="77777777" w:rsidR="004E5589" w:rsidRPr="00D97D7D" w:rsidRDefault="004E5589" w:rsidP="00617A63">
            <w:pPr>
              <w:spacing w:line="276" w:lineRule="auto"/>
              <w:ind w:firstLine="709"/>
              <w:jc w:val="both"/>
              <w:rPr>
                <w:rFonts w:ascii="Verdana" w:eastAsia="Calibri" w:hAnsi="Verdana" w:cs="Arial"/>
                <w:shd w:val="clear" w:color="auto" w:fill="FFFFFF"/>
              </w:rPr>
            </w:pPr>
            <w:r w:rsidRPr="00D97D7D">
              <w:rPr>
                <w:rFonts w:ascii="Verdana" w:eastAsia="Calibri" w:hAnsi="Verdana" w:cs="Arial"/>
                <w:shd w:val="clear" w:color="auto" w:fill="FFFFFF"/>
              </w:rPr>
              <w:t xml:space="preserve">Ahora bien, una vez perfeccionado el contrato, surgen las exigencias necesarias para su ejecución. En este concepto, 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Respecto del contrato estatal, el artículo 41 de la Ley 80 de 1993, modificado por el artículo 23 de la Ley 1150 de 2007 estableció como requisitos legales de ejecución: i) la aprobación de las garantías exigidas en el contrato, </w:t>
            </w:r>
            <w:proofErr w:type="spellStart"/>
            <w:r w:rsidRPr="00D97D7D">
              <w:rPr>
                <w:rFonts w:ascii="Verdana" w:eastAsia="Calibri" w:hAnsi="Verdana" w:cs="Arial"/>
                <w:shd w:val="clear" w:color="auto" w:fill="FFFFFF"/>
              </w:rPr>
              <w:t>ii</w:t>
            </w:r>
            <w:proofErr w:type="spellEnd"/>
            <w:r w:rsidRPr="00D97D7D">
              <w:rPr>
                <w:rFonts w:ascii="Verdana" w:eastAsia="Calibri" w:hAnsi="Verdana" w:cs="Arial"/>
                <w:shd w:val="clear" w:color="auto" w:fill="FFFFFF"/>
              </w:rPr>
              <w:t xml:space="preserve">) la existencia de la apropiación presupuestal correspondiente y </w:t>
            </w:r>
            <w:proofErr w:type="spellStart"/>
            <w:r w:rsidRPr="00D97D7D">
              <w:rPr>
                <w:rFonts w:ascii="Verdana" w:eastAsia="Calibri" w:hAnsi="Verdana" w:cs="Arial"/>
                <w:shd w:val="clear" w:color="auto" w:fill="FFFFFF"/>
              </w:rPr>
              <w:t>iii</w:t>
            </w:r>
            <w:proofErr w:type="spellEnd"/>
            <w:r w:rsidRPr="00D97D7D">
              <w:rPr>
                <w:rFonts w:ascii="Verdana" w:eastAsia="Calibri" w:hAnsi="Verdana" w:cs="Arial"/>
                <w:shd w:val="clear" w:color="auto" w:fill="FFFFFF"/>
              </w:rPr>
              <w:t>) la acreditación del cumplimiento de las obligaciones con el Sistema de Seguridad Social Integral.</w:t>
            </w:r>
          </w:p>
          <w:p w14:paraId="14CA308D" w14:textId="77777777" w:rsidR="004E5589" w:rsidRDefault="004E5589" w:rsidP="00617A63">
            <w:pPr>
              <w:spacing w:after="120" w:line="276" w:lineRule="auto"/>
              <w:ind w:firstLine="709"/>
              <w:jc w:val="both"/>
              <w:rPr>
                <w:rFonts w:ascii="Verdana" w:hAnsi="Verdana" w:cs="Arial"/>
                <w:color w:val="000000" w:themeColor="text1"/>
                <w:lang w:eastAsia="es-CO"/>
              </w:rPr>
            </w:pPr>
            <w:r w:rsidRPr="00D97D7D">
              <w:rPr>
                <w:rFonts w:ascii="Verdana" w:eastAsia="Calibri" w:hAnsi="Verdana" w:cs="Arial"/>
                <w:lang w:val="es-ES"/>
              </w:rPr>
              <w:t xml:space="preserve">En relación con los requisitos legales de ejecución, a efectos de dar respuesta al objeto de la consulta, es pertinente analizar, la aprobación de las garantías exigidas en el contrato, </w:t>
            </w:r>
            <w:r w:rsidRPr="00D97D7D">
              <w:rPr>
                <w:rFonts w:ascii="Verdana" w:eastAsia="Calibri" w:hAnsi="Verdana" w:cs="Arial"/>
                <w:lang w:val="es-ES_tradnl"/>
              </w:rPr>
              <w:t>el segundo inciso del artículo 41 de la Ley 80 de 1993</w:t>
            </w:r>
            <w:r w:rsidRPr="00D97D7D">
              <w:rPr>
                <w:rFonts w:ascii="Verdana" w:eastAsia="Calibri" w:hAnsi="Verdana" w:cs="Arial"/>
              </w:rPr>
              <w:t>, modificado por el artículo 23 de la Ley 1150 de 2007</w:t>
            </w:r>
            <w:r w:rsidRPr="00D97D7D">
              <w:rPr>
                <w:rFonts w:ascii="Verdana" w:eastAsia="Calibri" w:hAnsi="Verdana" w:cs="Arial"/>
                <w:lang w:val="es-ES_tradnl"/>
              </w:rPr>
              <w:t xml:space="preserve"> </w:t>
            </w:r>
            <w:r w:rsidRPr="00D97D7D">
              <w:rPr>
                <w:rFonts w:ascii="Verdana" w:hAnsi="Verdana" w:cs="Arial"/>
                <w:color w:val="000000" w:themeColor="text1"/>
                <w:lang w:val="es-MX"/>
              </w:rPr>
              <w:t>establece que “P</w:t>
            </w:r>
            <w:r w:rsidRPr="00D97D7D">
              <w:rPr>
                <w:rFonts w:ascii="Verdana" w:hAnsi="Verdana" w:cs="Arial"/>
                <w:color w:val="000000" w:themeColor="text1"/>
                <w:lang w:eastAsia="es-CO"/>
              </w:rPr>
              <w:t>ara la ejecución se requerirá de la aprobación de la garantía”, lo que se traduce en que, sin perjuicio del perfeccionamiento del contrato, no podrá ejecutarse sin que se hayan aprobado las garantías por parte de la entidad estatal contratante en caso que se hayan solicitado.</w:t>
            </w:r>
          </w:p>
          <w:p w14:paraId="2BB53E68" w14:textId="77777777" w:rsidR="004E5589" w:rsidRDefault="004E5589" w:rsidP="00617A63">
            <w:pPr>
              <w:spacing w:after="120" w:line="276" w:lineRule="auto"/>
              <w:ind w:firstLine="709"/>
              <w:jc w:val="both"/>
              <w:rPr>
                <w:rFonts w:ascii="Verdana" w:hAnsi="Verdana" w:cs="Arial"/>
                <w:color w:val="000000" w:themeColor="text1"/>
                <w:lang w:eastAsia="es-CO"/>
              </w:rPr>
            </w:pPr>
            <w:r w:rsidRPr="001C4744">
              <w:rPr>
                <w:rFonts w:ascii="Verdana" w:hAnsi="Verdana"/>
              </w:rPr>
              <w:lastRenderedPageBreak/>
              <w:t>En particular, la aprobación de las garantías exige que, sin perjuicio del perfeccionamiento del contrato, este no pueda ejecutarse válidamente hasta que la entidad estatal verifique y apruebe dichas garantías, conforme al segundo inciso del artículo 41 de la Ley 80 de 1993. Esta exigencia responde a la finalidad de las garantías contractuales, que consiste en proteger el interés general, asegurar el cumplimiento del objeto contractual y salvaguardar el patrimonio público frente a los perjuicios que puedan derivarse de la materialización de los riesgos amparados. Por ello, la entidad tiene el deber de verificar la validez, suficiencia e idoneidad de las garantías, pues solo con la certeza que brinda este análisis se puede garantizar que no se causarán perjuicios al ente estatal y, en consecuencia, proceder a su aprobación.</w:t>
            </w:r>
          </w:p>
          <w:p w14:paraId="6327E390" w14:textId="77777777" w:rsidR="004E5589" w:rsidRDefault="004E5589" w:rsidP="00617A63">
            <w:pPr>
              <w:spacing w:after="120" w:line="276" w:lineRule="auto"/>
              <w:ind w:firstLine="709"/>
              <w:jc w:val="both"/>
              <w:rPr>
                <w:rFonts w:ascii="Verdana" w:hAnsi="Verdana" w:cs="Arial"/>
                <w:color w:val="000000" w:themeColor="text1"/>
                <w:lang w:eastAsia="es-CO"/>
              </w:rPr>
            </w:pPr>
            <w:r w:rsidRPr="001C4744">
              <w:rPr>
                <w:rFonts w:ascii="Verdana" w:hAnsi="Verdana"/>
              </w:rPr>
              <w:t>En este contexto, el proceso mediante el cual los contratistas presentan las garantías para su verificación y consecuente aprobación o rechazo se realiza a través del SECOP II, en el caso de aquellas entidades que gestionan su actividad contractual por medio de esta plataforma. Para tales efectos, el capítulo «4. Requisitos de ejecución del contrato» de la guía «SECOP II - Gestión contractual para Entidades Estatales» detalla el procedimiento que debe seguir la entidad contratante para aprobar las garantías presentadas por el contratista. Si bien estas disposiciones se refieren a aspectos propios del uso del SECOP II como herramienta tecnológica, constituyen un insumo relevante dada la naturaleza transaccional de la plataforma. Una vez verificada la validez de las garantías y su conformidad con lo exigido en el contrato, la entidad debe proceder a su aprobación a través del SECOP II, cuando ello resulte aplicable.</w:t>
            </w:r>
          </w:p>
          <w:p w14:paraId="0C51E59B" w14:textId="77777777" w:rsidR="004E5589" w:rsidRPr="001C4744" w:rsidRDefault="004E5589" w:rsidP="00617A63">
            <w:pPr>
              <w:spacing w:after="120" w:line="276" w:lineRule="auto"/>
              <w:ind w:firstLine="709"/>
              <w:jc w:val="both"/>
              <w:rPr>
                <w:rFonts w:ascii="Verdana" w:hAnsi="Verdana" w:cs="Arial"/>
                <w:color w:val="000000" w:themeColor="text1"/>
                <w:lang w:eastAsia="es-CO"/>
              </w:rPr>
            </w:pPr>
            <w:r w:rsidRPr="001C4744">
              <w:rPr>
                <w:rFonts w:ascii="Verdana" w:hAnsi="Verdana"/>
              </w:rPr>
              <w:t>En conclusión, la aprobación de las garantías constituye un requisito indispensable para dar inicio a la ejecución del contrato estatal, en los términos del artículo 41 de la Ley 80 de 1993.</w:t>
            </w:r>
          </w:p>
          <w:p w14:paraId="3CE21A10" w14:textId="77777777" w:rsidR="004E5589" w:rsidRPr="00155CC1" w:rsidRDefault="004E5589" w:rsidP="00617A63">
            <w:pPr>
              <w:spacing w:line="276" w:lineRule="auto"/>
              <w:jc w:val="both"/>
              <w:rPr>
                <w:rFonts w:ascii="Verdana" w:eastAsia="Calibri" w:hAnsi="Verdana" w:cs="Arial"/>
                <w:color w:val="6699FF"/>
                <w:shd w:val="clear" w:color="auto" w:fill="FFFFFF"/>
              </w:rPr>
            </w:pPr>
          </w:p>
        </w:tc>
      </w:tr>
    </w:tbl>
    <w:p w14:paraId="55BC0E94" w14:textId="77777777" w:rsidR="004E5589" w:rsidRPr="00675FDE" w:rsidRDefault="004E5589" w:rsidP="004E5589">
      <w:pPr>
        <w:tabs>
          <w:tab w:val="left" w:pos="142"/>
          <w:tab w:val="left" w:pos="284"/>
        </w:tabs>
        <w:spacing w:after="0" w:line="276" w:lineRule="auto"/>
        <w:ind w:left="142" w:hanging="142"/>
        <w:jc w:val="both"/>
        <w:rPr>
          <w:rFonts w:ascii="Verdana" w:eastAsia="Century Gothic" w:hAnsi="Verdana" w:cs="Century Gothic"/>
          <w:b/>
          <w:bCs/>
          <w:lang w:val="es-ES"/>
        </w:rPr>
      </w:pPr>
    </w:p>
    <w:p w14:paraId="2A8820C1" w14:textId="77777777" w:rsidR="004E5589" w:rsidRPr="00675FDE" w:rsidRDefault="004E5589" w:rsidP="004E558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675FDE">
        <w:rPr>
          <w:rFonts w:ascii="Verdana" w:eastAsia="Century Gothic" w:hAnsi="Verdana" w:cs="Century Gothic"/>
          <w:b/>
          <w:bCs/>
          <w:lang w:val="es-ES"/>
        </w:rPr>
        <w:t>Razones de la respuesta:</w:t>
      </w:r>
    </w:p>
    <w:p w14:paraId="435D4F8D" w14:textId="77777777" w:rsidR="004E5589" w:rsidRPr="00675FDE" w:rsidRDefault="004E5589" w:rsidP="004E5589">
      <w:pPr>
        <w:snapToGrid w:val="0"/>
        <w:spacing w:after="0" w:line="276" w:lineRule="auto"/>
        <w:jc w:val="both"/>
        <w:rPr>
          <w:rFonts w:ascii="Verdana" w:eastAsia="Calibri" w:hAnsi="Verdana" w:cs="Arial"/>
          <w:lang w:val="es-ES"/>
        </w:rPr>
      </w:pPr>
    </w:p>
    <w:p w14:paraId="6DC199FA" w14:textId="77777777" w:rsidR="004E5589" w:rsidRPr="00675FDE" w:rsidRDefault="004E5589" w:rsidP="004E5589">
      <w:pPr>
        <w:snapToGrid w:val="0"/>
        <w:spacing w:after="0" w:line="276" w:lineRule="auto"/>
        <w:jc w:val="both"/>
        <w:rPr>
          <w:rFonts w:ascii="Verdana" w:eastAsia="Calibri" w:hAnsi="Verdana" w:cs="Arial"/>
          <w:lang w:val="es-ES"/>
        </w:rPr>
      </w:pPr>
      <w:r w:rsidRPr="00675FDE">
        <w:rPr>
          <w:rFonts w:ascii="Verdana" w:eastAsia="Calibri" w:hAnsi="Verdana" w:cs="Arial"/>
          <w:lang w:val="es-ES"/>
        </w:rPr>
        <w:t xml:space="preserve">Lo anterior se sustenta en las siguientes consideraciones: </w:t>
      </w:r>
    </w:p>
    <w:p w14:paraId="373D1025" w14:textId="77777777" w:rsidR="004E5589" w:rsidRPr="00155CC1" w:rsidRDefault="004E5589" w:rsidP="004E5589">
      <w:pPr>
        <w:snapToGrid w:val="0"/>
        <w:spacing w:after="0" w:line="276" w:lineRule="auto"/>
        <w:ind w:firstLine="709"/>
        <w:jc w:val="both"/>
        <w:rPr>
          <w:rFonts w:ascii="Verdana" w:eastAsia="Calibri" w:hAnsi="Verdana" w:cs="Arial"/>
          <w:color w:val="6699FF"/>
          <w:lang w:val="es-ES"/>
        </w:rPr>
      </w:pPr>
    </w:p>
    <w:p w14:paraId="3CA12CE4" w14:textId="77777777" w:rsidR="004E5589" w:rsidRPr="00515AC9" w:rsidRDefault="004E5589" w:rsidP="004E5589">
      <w:pPr>
        <w:spacing w:after="120" w:line="276" w:lineRule="auto"/>
        <w:jc w:val="both"/>
        <w:rPr>
          <w:rFonts w:ascii="Verdana" w:eastAsia="Calibri" w:hAnsi="Verdana" w:cs="Arial"/>
          <w:lang w:val="es-ES"/>
        </w:rPr>
      </w:pPr>
      <w:r>
        <w:rPr>
          <w:rFonts w:ascii="Verdana" w:eastAsia="Calibri" w:hAnsi="Verdana" w:cs="Arial"/>
          <w:lang w:val="es-ES"/>
        </w:rPr>
        <w:t xml:space="preserve">I). </w:t>
      </w:r>
      <w:r w:rsidRPr="573DC269">
        <w:rPr>
          <w:rFonts w:ascii="Verdana" w:eastAsia="Calibri" w:hAnsi="Verdana" w:cs="Arial"/>
          <w:lang w:val="es-ES"/>
        </w:rPr>
        <w:t xml:space="preserve">El Estatuto General de Contratación de la Administración Pública – en adelante EGCAP – prevé dos tipos de exigencias en relación con los contratos </w:t>
      </w:r>
      <w:r w:rsidRPr="573DC269">
        <w:rPr>
          <w:rFonts w:ascii="Verdana" w:eastAsia="Calibri" w:hAnsi="Verdana" w:cs="Arial"/>
          <w:lang w:val="es-ES"/>
        </w:rPr>
        <w:lastRenderedPageBreak/>
        <w:t>estatales: (i) las relacionadas con el perfeccionamiento y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xml:space="preserve">) las que tienen que ver con la ejecución. Si bien ambas se complementan y marcan el origen de la fase contractual –o de ejecución–, es importante distinguirlas, ya que las consecuencias jurídicas que generan son diferentes. </w:t>
      </w:r>
    </w:p>
    <w:p w14:paraId="0E43EB51" w14:textId="77777777" w:rsidR="004E5589" w:rsidRDefault="004E5589" w:rsidP="004E5589">
      <w:pPr>
        <w:spacing w:after="120" w:line="276" w:lineRule="auto"/>
        <w:ind w:firstLine="709"/>
        <w:jc w:val="both"/>
        <w:rPr>
          <w:rFonts w:ascii="Verdana" w:eastAsia="Calibri" w:hAnsi="Verdana" w:cs="Arial"/>
          <w:lang w:val="es-ES"/>
        </w:rPr>
      </w:pPr>
      <w:r w:rsidRPr="1952E7C8">
        <w:rPr>
          <w:rFonts w:ascii="Verdana" w:eastAsia="Calibri" w:hAnsi="Verdana" w:cs="Arial"/>
          <w:lang w:val="es-ES"/>
        </w:rPr>
        <w:t xml:space="preserve">Los </w:t>
      </w:r>
      <w:r w:rsidRPr="1952E7C8">
        <w:rPr>
          <w:rFonts w:ascii="Verdana" w:eastAsia="Calibri" w:hAnsi="Verdana" w:cs="Arial"/>
          <w:i/>
          <w:iCs/>
          <w:lang w:val="es-ES"/>
        </w:rPr>
        <w:t>requisitos de perfeccionamiento</w:t>
      </w:r>
      <w:r w:rsidRPr="1952E7C8">
        <w:rPr>
          <w:rFonts w:ascii="Verdana" w:eastAsia="Calibri" w:hAnsi="Verdana" w:cs="Arial"/>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5EA736A6" w14:textId="77777777" w:rsidR="004E5589" w:rsidRPr="00515AC9" w:rsidRDefault="004E5589" w:rsidP="004E5589">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de la </w:t>
      </w:r>
      <w:r w:rsidRPr="00515AC9">
        <w:rPr>
          <w:rFonts w:ascii="Verdana" w:eastAsia="Calibri" w:hAnsi="Verdana" w:cs="Arial"/>
          <w:i/>
          <w:iCs/>
          <w:lang w:val="es-ES_tradnl"/>
        </w:rPr>
        <w:t>esencia</w:t>
      </w:r>
      <w:r w:rsidRPr="00515AC9">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515AC9">
        <w:rPr>
          <w:rFonts w:ascii="Verdana" w:eastAsia="Calibri" w:hAnsi="Verdana" w:cs="Arial"/>
          <w:i/>
          <w:iCs/>
          <w:lang w:val="es-ES_tradnl"/>
        </w:rPr>
        <w:t>naturaleza</w:t>
      </w:r>
      <w:r w:rsidRPr="00515AC9">
        <w:rPr>
          <w:rFonts w:ascii="Verdana" w:eastAsia="Calibri" w:hAnsi="Verdana" w:cs="Arial"/>
          <w:lang w:val="es-ES_tradnl"/>
        </w:rPr>
        <w:t xml:space="preserve"> son aquellos que, no siendo esenciales al contrato, se entienden incorporados por ministerio de la ley, aun ante el silencio de las partes. Y los </w:t>
      </w:r>
      <w:r w:rsidRPr="00515AC9">
        <w:rPr>
          <w:rFonts w:ascii="Verdana" w:eastAsia="Calibri" w:hAnsi="Verdana" w:cs="Arial"/>
          <w:i/>
          <w:iCs/>
          <w:lang w:val="es-ES_tradnl"/>
        </w:rPr>
        <w:t>accidentales</w:t>
      </w:r>
      <w:r w:rsidRPr="00515AC9">
        <w:rPr>
          <w:rFonts w:ascii="Verdana" w:eastAsia="Calibri" w:hAnsi="Verdana" w:cs="Arial"/>
          <w:lang w:val="es-ES_tradnl"/>
        </w:rPr>
        <w:t xml:space="preserve"> son los que las partes agregan en ejercicio de su autonomía de la voluntad, ya que no son ni esenciales, ni de la naturaleza del contrato</w:t>
      </w:r>
      <w:r w:rsidRPr="00515AC9">
        <w:rPr>
          <w:rStyle w:val="Refdenotaalpie"/>
          <w:rFonts w:ascii="Verdana" w:hAnsi="Verdana" w:cs="Arial"/>
        </w:rPr>
        <w:footnoteReference w:id="1"/>
      </w:r>
      <w:r w:rsidRPr="00515AC9">
        <w:rPr>
          <w:rFonts w:ascii="Verdana" w:eastAsia="Calibri" w:hAnsi="Verdana" w:cs="Arial"/>
          <w:lang w:val="es-ES_tradnl"/>
        </w:rPr>
        <w:t>. Los requisitos de perfeccionamiento del contrato estatal ingresan dentro de los elementos de la esencia.</w:t>
      </w:r>
    </w:p>
    <w:p w14:paraId="4FE86F4C" w14:textId="77777777" w:rsidR="004E5589" w:rsidRPr="00515AC9" w:rsidRDefault="004E5589" w:rsidP="004E5589">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Además, los contratos –en términos generales– pueden ser: consensuales, reales o solemnes. Son </w:t>
      </w:r>
      <w:r w:rsidRPr="00515AC9">
        <w:rPr>
          <w:rFonts w:ascii="Verdana" w:eastAsia="Calibri" w:hAnsi="Verdana" w:cs="Arial"/>
          <w:i/>
          <w:iCs/>
          <w:lang w:val="es-ES_tradnl"/>
        </w:rPr>
        <w:t>consensuales</w:t>
      </w:r>
      <w:r w:rsidRPr="00515AC9">
        <w:rPr>
          <w:rFonts w:ascii="Verdana" w:eastAsia="Calibri" w:hAnsi="Verdana" w:cs="Arial"/>
          <w:lang w:val="es-ES_tradnl"/>
        </w:rPr>
        <w:t xml:space="preserve"> los que se perfeccionan con el consentimiento informal, pues no requieren de formalidades especiales. Son </w:t>
      </w:r>
      <w:r w:rsidRPr="00515AC9">
        <w:rPr>
          <w:rFonts w:ascii="Verdana" w:eastAsia="Calibri" w:hAnsi="Verdana" w:cs="Arial"/>
          <w:i/>
          <w:iCs/>
          <w:lang w:val="es-ES_tradnl"/>
        </w:rPr>
        <w:t>reales</w:t>
      </w:r>
      <w:r w:rsidRPr="00515AC9">
        <w:rPr>
          <w:rFonts w:ascii="Verdana" w:eastAsia="Calibri" w:hAnsi="Verdana" w:cs="Arial"/>
          <w:lang w:val="es-ES_tradnl"/>
        </w:rPr>
        <w:t xml:space="preserve"> aquellos que existen solo con la tradición o entrega de una cosa. Por su parte, son </w:t>
      </w:r>
      <w:r w:rsidRPr="00515AC9">
        <w:rPr>
          <w:rFonts w:ascii="Verdana" w:eastAsia="Calibri" w:hAnsi="Verdana" w:cs="Arial"/>
          <w:i/>
          <w:iCs/>
          <w:lang w:val="es-ES_tradnl"/>
        </w:rPr>
        <w:t>solemnes</w:t>
      </w:r>
      <w:r w:rsidRPr="00515AC9">
        <w:rPr>
          <w:rFonts w:ascii="Verdana" w:eastAsia="Calibri" w:hAnsi="Verdana" w:cs="Arial"/>
          <w:lang w:val="es-ES_tradnl"/>
        </w:rPr>
        <w:t xml:space="preserve"> aquellos contratos cuyo perfeccionamiento está revestido del cumplimiento de exigencias formales o ritualidades específicas</w:t>
      </w:r>
      <w:r w:rsidRPr="00515AC9">
        <w:rPr>
          <w:rStyle w:val="Refdenotaalpie"/>
          <w:rFonts w:ascii="Verdana" w:hAnsi="Verdana" w:cs="Arial"/>
        </w:rPr>
        <w:footnoteReference w:id="2"/>
      </w:r>
      <w:r w:rsidRPr="00515AC9">
        <w:rPr>
          <w:rFonts w:ascii="Verdana" w:eastAsia="Calibri" w:hAnsi="Verdana" w:cs="Arial"/>
          <w:lang w:val="es-ES_tradnl"/>
        </w:rPr>
        <w:t xml:space="preserve">. Pues bien, los contratos estatales regulados por el </w:t>
      </w:r>
      <w:r>
        <w:rPr>
          <w:rFonts w:ascii="Verdana" w:eastAsia="Calibri" w:hAnsi="Verdana" w:cs="Arial"/>
          <w:lang w:val="es-ES_tradnl"/>
        </w:rPr>
        <w:t>EGCAP</w:t>
      </w:r>
      <w:r w:rsidRPr="00515AC9">
        <w:rPr>
          <w:rFonts w:ascii="Verdana" w:eastAsia="Calibri" w:hAnsi="Verdana" w:cs="Arial"/>
          <w:lang w:val="es-ES_tradnl"/>
        </w:rPr>
        <w:t>, por regla general, son solemnes, ya que solo se entienden celebrados si se cumplen ciertas formalidades. Esta regla general solo tiene una excepción</w:t>
      </w:r>
      <w:r>
        <w:rPr>
          <w:rStyle w:val="Refdenotaalpie"/>
          <w:rFonts w:ascii="Verdana" w:eastAsia="Calibri" w:hAnsi="Verdana" w:cs="Arial"/>
          <w:lang w:val="es-ES_tradnl"/>
        </w:rPr>
        <w:footnoteReference w:id="3"/>
      </w:r>
      <w:r w:rsidRPr="00515AC9">
        <w:rPr>
          <w:rFonts w:ascii="Verdana" w:eastAsia="Calibri" w:hAnsi="Verdana" w:cs="Arial"/>
          <w:lang w:val="es-ES_tradnl"/>
        </w:rPr>
        <w:t>.</w:t>
      </w:r>
    </w:p>
    <w:p w14:paraId="23028D27" w14:textId="77777777" w:rsidR="004E5589" w:rsidRDefault="004E5589" w:rsidP="004E5589">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lastRenderedPageBreak/>
        <w:t xml:space="preserve">En efecto, 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Los contratos del Estado se perfeccionan cuando se logre acuerdo sobre el objeto 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33EDE324" w14:textId="77777777" w:rsidR="004E5589" w:rsidRPr="00515AC9" w:rsidRDefault="004E5589" w:rsidP="004E5589">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Tal circunstancia le ha permitido a la doctrina concluir que el contrato estatal regulado en el EGC</w:t>
      </w:r>
      <w:r>
        <w:rPr>
          <w:rFonts w:ascii="Verdana" w:eastAsia="Calibri" w:hAnsi="Verdana" w:cs="Arial"/>
          <w:lang w:val="es-ES_tradnl"/>
        </w:rPr>
        <w:t>A</w:t>
      </w:r>
      <w:r w:rsidRPr="00515AC9">
        <w:rPr>
          <w:rFonts w:ascii="Verdana" w:eastAsia="Calibri" w:hAnsi="Verdana" w:cs="Arial"/>
          <w:lang w:val="es-ES_tradnl"/>
        </w:rPr>
        <w:t xml:space="preserve">P es </w:t>
      </w:r>
      <w:r>
        <w:rPr>
          <w:rFonts w:ascii="Verdana" w:eastAsia="Calibri" w:hAnsi="Verdana" w:cs="Arial"/>
          <w:lang w:val="es-ES_tradnl"/>
        </w:rPr>
        <w:t>“</w:t>
      </w:r>
      <w:r w:rsidRPr="00515AC9">
        <w:rPr>
          <w:rFonts w:ascii="Verdana" w:eastAsia="Calibri" w:hAnsi="Verdana" w:cs="Arial"/>
          <w:lang w:val="es-ES_tradnl"/>
        </w:rPr>
        <w:t xml:space="preserve">[…] </w:t>
      </w:r>
      <w:r w:rsidRPr="00515AC9">
        <w:rPr>
          <w:rFonts w:ascii="Verdana" w:eastAsia="Calibri" w:hAnsi="Verdana" w:cs="Arial"/>
          <w:i/>
          <w:iCs/>
          <w:lang w:val="es-ES_tradnl"/>
        </w:rPr>
        <w:t xml:space="preserve">principalmente, solemne, ya que la manifestación de voluntad, si no se expresa bajo la forma ad </w:t>
      </w:r>
      <w:proofErr w:type="spellStart"/>
      <w:r w:rsidRPr="00515AC9">
        <w:rPr>
          <w:rFonts w:ascii="Verdana" w:eastAsia="Calibri" w:hAnsi="Verdana" w:cs="Arial"/>
          <w:i/>
          <w:iCs/>
          <w:lang w:val="es-ES_tradnl"/>
        </w:rPr>
        <w:t>solemnitatem</w:t>
      </w:r>
      <w:proofErr w:type="spellEnd"/>
      <w:r w:rsidRPr="00515AC9">
        <w:rPr>
          <w:rFonts w:ascii="Verdana" w:eastAsia="Calibri" w:hAnsi="Verdana" w:cs="Arial"/>
          <w:i/>
          <w:iCs/>
          <w:lang w:val="es-ES_tradnl"/>
        </w:rPr>
        <w:t xml:space="preserve"> o ad </w:t>
      </w:r>
      <w:proofErr w:type="spellStart"/>
      <w:r w:rsidRPr="00515AC9">
        <w:rPr>
          <w:rFonts w:ascii="Verdana" w:eastAsia="Calibri" w:hAnsi="Verdana" w:cs="Arial"/>
          <w:i/>
          <w:iCs/>
          <w:lang w:val="es-ES_tradnl"/>
        </w:rPr>
        <w:t>substantiam</w:t>
      </w:r>
      <w:proofErr w:type="spellEnd"/>
      <w:r w:rsidRPr="00515AC9">
        <w:rPr>
          <w:rFonts w:ascii="Verdana" w:eastAsia="Calibri" w:hAnsi="Verdana" w:cs="Arial"/>
          <w:i/>
          <w:iCs/>
          <w:lang w:val="es-ES_tradnl"/>
        </w:rPr>
        <w:t xml:space="preserve"> </w:t>
      </w:r>
      <w:proofErr w:type="spellStart"/>
      <w:r w:rsidRPr="00515AC9">
        <w:rPr>
          <w:rFonts w:ascii="Verdana" w:eastAsia="Calibri" w:hAnsi="Verdana" w:cs="Arial"/>
          <w:i/>
          <w:iCs/>
          <w:lang w:val="es-ES_tradnl"/>
        </w:rPr>
        <w:t>actus</w:t>
      </w:r>
      <w:proofErr w:type="spellEnd"/>
      <w:r w:rsidRPr="00515AC9">
        <w:rPr>
          <w:rFonts w:ascii="Verdana" w:eastAsia="Calibri" w:hAnsi="Verdana" w:cs="Arial"/>
          <w:i/>
          <w:iCs/>
          <w:lang w:val="es-ES_tradnl"/>
        </w:rPr>
        <w:t xml:space="preserve"> exigida por la ley, es inexistente, es decir, se entiende que el contrato jamás ha sido creado para el mundo jurídico</w:t>
      </w:r>
      <w:r>
        <w:rPr>
          <w:rFonts w:ascii="Verdana" w:eastAsia="Calibri" w:hAnsi="Verdana" w:cs="Arial"/>
          <w:i/>
          <w:iCs/>
          <w:lang w:val="es-ES_tradnl"/>
        </w:rPr>
        <w:t>”</w:t>
      </w:r>
      <w:r w:rsidRPr="00515AC9">
        <w:rPr>
          <w:rStyle w:val="Refdenotaalpie"/>
          <w:rFonts w:ascii="Verdana" w:hAnsi="Verdana" w:cs="Arial"/>
        </w:rPr>
        <w:footnoteReference w:id="4"/>
      </w:r>
      <w:r w:rsidRPr="00515AC9">
        <w:rPr>
          <w:rFonts w:ascii="Verdana" w:eastAsia="Calibri" w:hAnsi="Verdana" w:cs="Arial"/>
          <w:lang w:val="es-ES_tradnl"/>
        </w:rPr>
        <w:t xml:space="preserve">. </w:t>
      </w:r>
    </w:p>
    <w:p w14:paraId="482FAAFA" w14:textId="77777777" w:rsidR="004E5589" w:rsidRPr="00515AC9" w:rsidRDefault="004E5589" w:rsidP="004E5589">
      <w:pPr>
        <w:spacing w:after="0"/>
        <w:ind w:firstLine="708"/>
        <w:jc w:val="both"/>
        <w:rPr>
          <w:rFonts w:ascii="Verdana" w:eastAsia="Calibri" w:hAnsi="Verdana" w:cs="Arial"/>
        </w:rPr>
      </w:pPr>
      <w:r>
        <w:rPr>
          <w:rFonts w:ascii="Verdana" w:eastAsia="Calibri" w:hAnsi="Verdana" w:cs="Arial"/>
          <w:lang w:val="es-ES_tradnl"/>
        </w:rPr>
        <w:t>Ahora bien, en relación con</w:t>
      </w:r>
      <w:r w:rsidRPr="00515AC9">
        <w:rPr>
          <w:rFonts w:ascii="Verdana" w:eastAsia="Calibri" w:hAnsi="Verdana" w:cs="Arial"/>
          <w:lang w:val="es-ES_tradnl"/>
        </w:rPr>
        <w:t xml:space="preserve"> los </w:t>
      </w:r>
      <w:r w:rsidRPr="00515AC9">
        <w:rPr>
          <w:rFonts w:ascii="Verdana" w:eastAsia="Calibri" w:hAnsi="Verdana" w:cs="Arial"/>
          <w:i/>
          <w:iCs/>
          <w:lang w:val="es-ES_tradnl"/>
        </w:rPr>
        <w:t>requisitos de ejecución</w:t>
      </w:r>
      <w:r>
        <w:rPr>
          <w:rFonts w:ascii="Verdana" w:eastAsia="Calibri" w:hAnsi="Verdana" w:cs="Arial"/>
          <w:lang w:val="es-ES_tradnl"/>
        </w:rPr>
        <w:t xml:space="preserve"> debe señalarse que, estos</w:t>
      </w:r>
      <w:r w:rsidRPr="00515AC9">
        <w:rPr>
          <w:rFonts w:ascii="Verdana" w:eastAsia="Calibri" w:hAnsi="Verdana" w:cs="Arial"/>
          <w:lang w:val="es-ES_tradnl"/>
        </w:rPr>
        <w:t xml:space="preserve">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w:t>
      </w:r>
      <w:r>
        <w:rPr>
          <w:rFonts w:ascii="Verdana" w:eastAsia="Calibri" w:hAnsi="Verdana" w:cs="Arial"/>
          <w:lang w:val="es-ES_tradnl"/>
        </w:rPr>
        <w:t xml:space="preserve">. </w:t>
      </w:r>
      <w:r w:rsidRPr="00515AC9">
        <w:rPr>
          <w:rFonts w:ascii="Verdana" w:eastAsia="Calibri" w:hAnsi="Verdana" w:cs="Arial"/>
          <w:lang w:val="es-ES_tradnl"/>
        </w:rPr>
        <w:t xml:space="preserve">Sobre el particular, </w:t>
      </w:r>
      <w:r w:rsidRPr="00515AC9">
        <w:rPr>
          <w:rFonts w:ascii="Verdana" w:eastAsia="Calibri" w:hAnsi="Verdana" w:cs="Arial"/>
        </w:rPr>
        <w:t>el Consejo de Estado aclaró la diferencia entre el perfeccionamiento y la ejecución del contrato, de la siguiente manera:</w:t>
      </w:r>
    </w:p>
    <w:p w14:paraId="67BF1CEC" w14:textId="77777777" w:rsidR="004E5589" w:rsidRPr="00515AC9" w:rsidRDefault="004E5589" w:rsidP="004E5589">
      <w:pPr>
        <w:spacing w:after="0"/>
        <w:jc w:val="both"/>
        <w:rPr>
          <w:rFonts w:ascii="Verdana" w:eastAsia="Calibri" w:hAnsi="Verdana" w:cs="Arial"/>
        </w:rPr>
      </w:pPr>
    </w:p>
    <w:p w14:paraId="29C57D5A" w14:textId="77777777" w:rsidR="004E5589" w:rsidRPr="00F00E70" w:rsidRDefault="004E5589" w:rsidP="004E5589">
      <w:pPr>
        <w:spacing w:after="0" w:line="240" w:lineRule="auto"/>
        <w:ind w:left="709" w:right="709"/>
        <w:jc w:val="both"/>
        <w:rPr>
          <w:rFonts w:ascii="Verdana" w:eastAsia="Calibri" w:hAnsi="Verdana" w:cs="Arial"/>
          <w:sz w:val="20"/>
          <w:szCs w:val="20"/>
          <w:lang w:val="es-ES_tradnl"/>
        </w:rPr>
      </w:pPr>
      <w:r w:rsidRPr="00F00E70">
        <w:rPr>
          <w:rFonts w:ascii="Verdana" w:eastAsia="Calibri" w:hAnsi="Verdana" w:cs="Arial"/>
          <w:sz w:val="20"/>
          <w:szCs w:val="20"/>
          <w:lang w:val="es-ES_tradnl"/>
        </w:rPr>
        <w:t>“</w:t>
      </w:r>
      <w:r w:rsidRPr="00F00E70">
        <w:rPr>
          <w:rFonts w:ascii="Verdana" w:eastAsia="Calibri" w:hAnsi="Verdana" w:cs="Arial"/>
          <w:sz w:val="20"/>
          <w:szCs w:val="20"/>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F00E70">
        <w:rPr>
          <w:rFonts w:ascii="Verdana" w:eastAsia="Calibri" w:hAnsi="Verdana" w:cs="Arial"/>
          <w:sz w:val="20"/>
          <w:szCs w:val="20"/>
        </w:rPr>
        <w:t>ii</w:t>
      </w:r>
      <w:proofErr w:type="spellEnd"/>
      <w:r w:rsidRPr="00F00E70">
        <w:rPr>
          <w:rFonts w:ascii="Verdana" w:eastAsia="Calibri" w:hAnsi="Verdana" w:cs="Arial"/>
          <w:sz w:val="20"/>
          <w:szCs w:val="20"/>
        </w:rPr>
        <w:t xml:space="preserve">) por virtud de lo dispuesto en la Ley 80 de 1993 el contrato estatal existe, esto es, “se perfecciona” cuando “se logra acuerdo sobre el objeto y la contraprestación y éste se eleve a escrito”; </w:t>
      </w:r>
      <w:proofErr w:type="spellStart"/>
      <w:r w:rsidRPr="00F00E70">
        <w:rPr>
          <w:rFonts w:ascii="Verdana" w:eastAsia="Calibri" w:hAnsi="Verdana" w:cs="Arial"/>
          <w:sz w:val="20"/>
          <w:szCs w:val="20"/>
        </w:rPr>
        <w:t>iii</w:t>
      </w:r>
      <w:proofErr w:type="spellEnd"/>
      <w:r w:rsidRPr="00F00E70">
        <w:rPr>
          <w:rFonts w:ascii="Verdana" w:eastAsia="Calibri" w:hAnsi="Verdana" w:cs="Arial"/>
          <w:sz w:val="20"/>
          <w:szCs w:val="20"/>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F00E70">
        <w:rPr>
          <w:rFonts w:ascii="Verdana" w:eastAsia="Calibri" w:hAnsi="Verdana" w:cs="Arial"/>
          <w:sz w:val="20"/>
          <w:szCs w:val="20"/>
        </w:rPr>
        <w:t>iv</w:t>
      </w:r>
      <w:proofErr w:type="spellEnd"/>
      <w:r w:rsidRPr="00F00E70">
        <w:rPr>
          <w:rFonts w:ascii="Verdana" w:eastAsia="Calibri" w:hAnsi="Verdana" w:cs="Arial"/>
          <w:sz w:val="20"/>
          <w:szCs w:val="20"/>
        </w:rPr>
        <w:t>) el requisito relativo al registro presupuestal no es una condición de existencia del contrato estatal, es un requisito de ejecución”</w:t>
      </w:r>
      <w:r w:rsidRPr="00F00E70">
        <w:rPr>
          <w:rStyle w:val="Refdenotaalpie"/>
          <w:rFonts w:ascii="Verdana" w:hAnsi="Verdana" w:cs="Arial"/>
          <w:sz w:val="20"/>
          <w:szCs w:val="20"/>
        </w:rPr>
        <w:footnoteReference w:id="5"/>
      </w:r>
      <w:r w:rsidRPr="00F00E70">
        <w:rPr>
          <w:rFonts w:ascii="Verdana" w:eastAsia="Calibri" w:hAnsi="Verdana" w:cs="Arial"/>
          <w:sz w:val="20"/>
          <w:szCs w:val="20"/>
        </w:rPr>
        <w:t>.</w:t>
      </w:r>
    </w:p>
    <w:p w14:paraId="1866A397" w14:textId="77777777" w:rsidR="004E5589" w:rsidRPr="00F00E70" w:rsidRDefault="004E5589" w:rsidP="004E5589">
      <w:pPr>
        <w:spacing w:after="0" w:line="276" w:lineRule="auto"/>
        <w:ind w:left="708"/>
        <w:jc w:val="both"/>
        <w:rPr>
          <w:rFonts w:ascii="Verdana" w:eastAsia="Calibri" w:hAnsi="Verdana" w:cs="Arial"/>
        </w:rPr>
      </w:pPr>
    </w:p>
    <w:p w14:paraId="349E8CAE" w14:textId="77777777" w:rsidR="004E5589" w:rsidRPr="00515AC9" w:rsidRDefault="004E5589" w:rsidP="004E5589">
      <w:pPr>
        <w:spacing w:after="120" w:line="276" w:lineRule="auto"/>
        <w:ind w:firstLine="709"/>
        <w:jc w:val="both"/>
        <w:rPr>
          <w:rFonts w:ascii="Verdana" w:eastAsia="Calibri" w:hAnsi="Verdana" w:cs="Arial"/>
          <w:lang w:val="es-ES"/>
        </w:rPr>
      </w:pPr>
      <w:r w:rsidRPr="00B41137">
        <w:rPr>
          <w:rFonts w:ascii="Verdana" w:eastAsia="Calibri" w:hAnsi="Verdana" w:cs="Arial"/>
          <w:lang w:val="es-ES"/>
        </w:rPr>
        <w:lastRenderedPageBreak/>
        <w:t>En</w:t>
      </w:r>
      <w:r w:rsidRPr="573DC269">
        <w:rPr>
          <w:rFonts w:ascii="Verdana" w:eastAsia="Calibri" w:hAnsi="Verdana" w:cs="Arial"/>
          <w:lang w:val="es-ES"/>
        </w:rPr>
        <w:t xml:space="preserve"> ese orden, los requisitos de ejecución de los contratos estatales pueden ser “legales” o “convencionales”. Los primeros son aquellos que se encuentran previstos en la ley. Los segundos son estipulados por las partes. En otros términos,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elementos de la </w:t>
      </w:r>
      <w:r w:rsidRPr="573DC269">
        <w:rPr>
          <w:rFonts w:ascii="Verdana" w:eastAsia="Calibri" w:hAnsi="Verdana" w:cs="Arial"/>
          <w:i/>
          <w:iCs/>
          <w:lang w:val="es-ES"/>
        </w:rPr>
        <w:t>naturaleza</w:t>
      </w:r>
      <w:r w:rsidRPr="573DC269">
        <w:rPr>
          <w:rFonts w:ascii="Verdana" w:eastAsia="Calibri" w:hAnsi="Verdana" w:cs="Arial"/>
          <w:lang w:val="es-ES"/>
        </w:rPr>
        <w:t xml:space="preserve">, mientras que los requisitos </w:t>
      </w:r>
      <w:r w:rsidRPr="573DC269">
        <w:rPr>
          <w:rFonts w:ascii="Verdana" w:eastAsia="Calibri" w:hAnsi="Verdana" w:cs="Arial"/>
          <w:i/>
          <w:iCs/>
          <w:lang w:val="es-ES"/>
        </w:rPr>
        <w:t>convencionales</w:t>
      </w:r>
      <w:r w:rsidRPr="573DC269">
        <w:rPr>
          <w:rFonts w:ascii="Verdana" w:eastAsia="Calibri" w:hAnsi="Verdana" w:cs="Arial"/>
          <w:lang w:val="es-ES"/>
        </w:rPr>
        <w:t xml:space="preserve"> de ejecución son elementos </w:t>
      </w:r>
      <w:r w:rsidRPr="573DC269">
        <w:rPr>
          <w:rFonts w:ascii="Verdana" w:eastAsia="Calibri" w:hAnsi="Verdana" w:cs="Arial"/>
          <w:i/>
          <w:iCs/>
          <w:lang w:val="es-ES"/>
        </w:rPr>
        <w:t>accidentales</w:t>
      </w:r>
      <w:r w:rsidRPr="573DC269">
        <w:rPr>
          <w:rFonts w:ascii="Verdana" w:eastAsia="Calibri" w:hAnsi="Verdana" w:cs="Arial"/>
          <w:lang w:val="es-ES"/>
        </w:rPr>
        <w:t xml:space="preserve">. </w:t>
      </w:r>
    </w:p>
    <w:p w14:paraId="4187CB39" w14:textId="77777777" w:rsidR="004E5589" w:rsidRPr="00515AC9" w:rsidRDefault="004E5589" w:rsidP="004E5589">
      <w:pPr>
        <w:spacing w:after="0"/>
        <w:ind w:firstLine="708"/>
        <w:jc w:val="both"/>
        <w:rPr>
          <w:rFonts w:ascii="Verdana" w:eastAsia="Calibri" w:hAnsi="Verdana" w:cs="Arial"/>
          <w:lang w:val="es-ES_tradnl"/>
        </w:rPr>
      </w:pPr>
      <w:r>
        <w:rPr>
          <w:rFonts w:ascii="Verdana" w:eastAsia="Calibri" w:hAnsi="Verdana" w:cs="Arial"/>
          <w:lang w:val="es-ES_tradnl"/>
        </w:rPr>
        <w:t>En efecto,</w:t>
      </w:r>
      <w:r w:rsidRPr="00515AC9">
        <w:rPr>
          <w:rFonts w:ascii="Verdana" w:eastAsia="Calibri" w:hAnsi="Verdana" w:cs="Arial"/>
          <w:lang w:val="es-ES_tradnl"/>
        </w:rPr>
        <w:t xml:space="preserve"> </w:t>
      </w: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establece</w:t>
      </w:r>
      <w:r w:rsidRPr="00515AC9">
        <w:rPr>
          <w:rFonts w:ascii="Verdana" w:eastAsia="Calibri" w:hAnsi="Verdana" w:cs="Arial"/>
          <w:lang w:val="es-ES_tradnl"/>
        </w:rPr>
        <w:t xml:space="preserve"> los requisitos </w:t>
      </w:r>
      <w:r w:rsidRPr="00515AC9">
        <w:rPr>
          <w:rFonts w:ascii="Verdana" w:eastAsia="Calibri" w:hAnsi="Verdana" w:cs="Arial"/>
          <w:i/>
          <w:iCs/>
          <w:lang w:val="es-ES_tradnl"/>
        </w:rPr>
        <w:t xml:space="preserve">legales </w:t>
      </w:r>
      <w:r>
        <w:rPr>
          <w:rFonts w:ascii="Verdana" w:eastAsia="Calibri" w:hAnsi="Verdana" w:cs="Arial"/>
          <w:lang w:val="es-ES_tradnl"/>
        </w:rPr>
        <w:t xml:space="preserve">de ejecución de los contratos estatales </w:t>
      </w:r>
      <w:r w:rsidRPr="00515AC9">
        <w:rPr>
          <w:rFonts w:ascii="Verdana" w:eastAsia="Calibri" w:hAnsi="Verdana" w:cs="Arial"/>
          <w:lang w:val="es-ES_tradnl"/>
        </w:rPr>
        <w:t>de la siguiente manera:</w:t>
      </w:r>
    </w:p>
    <w:p w14:paraId="118C25A6" w14:textId="77777777" w:rsidR="004E5589" w:rsidRPr="00515AC9" w:rsidRDefault="004E5589" w:rsidP="004E5589">
      <w:pPr>
        <w:spacing w:after="0" w:line="276" w:lineRule="auto"/>
        <w:jc w:val="both"/>
        <w:rPr>
          <w:rFonts w:ascii="Verdana" w:eastAsia="Calibri" w:hAnsi="Verdana" w:cs="Arial"/>
          <w:i/>
          <w:iCs/>
        </w:rPr>
      </w:pPr>
    </w:p>
    <w:p w14:paraId="488CFFE9" w14:textId="77777777" w:rsidR="004E5589" w:rsidRPr="00B41137" w:rsidRDefault="004E5589" w:rsidP="004E5589">
      <w:pPr>
        <w:spacing w:after="0" w:line="240" w:lineRule="auto"/>
        <w:ind w:left="709" w:right="709"/>
        <w:jc w:val="both"/>
        <w:rPr>
          <w:rFonts w:ascii="Verdana" w:eastAsia="Calibri" w:hAnsi="Verdana" w:cs="Arial"/>
          <w:sz w:val="20"/>
          <w:szCs w:val="20"/>
        </w:rPr>
      </w:pPr>
      <w:r w:rsidRPr="00B41137">
        <w:rPr>
          <w:rFonts w:ascii="Verdana" w:eastAsia="Calibri" w:hAnsi="Verdana" w:cs="Arial"/>
          <w:sz w:val="20"/>
          <w:szCs w:val="20"/>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 </w:t>
      </w:r>
    </w:p>
    <w:p w14:paraId="644266BB" w14:textId="77777777" w:rsidR="004E5589" w:rsidRPr="00515AC9" w:rsidRDefault="004E5589" w:rsidP="004E5589">
      <w:pPr>
        <w:spacing w:after="0" w:line="276" w:lineRule="auto"/>
        <w:jc w:val="both"/>
        <w:rPr>
          <w:rFonts w:ascii="Verdana" w:eastAsia="Calibri" w:hAnsi="Verdana" w:cs="Arial"/>
          <w:lang w:val="es-ES_tradnl"/>
        </w:rPr>
      </w:pPr>
    </w:p>
    <w:p w14:paraId="626C1303" w14:textId="77777777" w:rsidR="004E5589" w:rsidRPr="00413922" w:rsidRDefault="004E5589" w:rsidP="004E5589">
      <w:pPr>
        <w:spacing w:after="120" w:line="276" w:lineRule="auto"/>
        <w:ind w:firstLine="708"/>
        <w:jc w:val="both"/>
        <w:rPr>
          <w:rFonts w:ascii="Verdana" w:eastAsia="Calibri" w:hAnsi="Verdana" w:cs="Arial"/>
          <w:lang w:val="es-ES"/>
        </w:rPr>
      </w:pPr>
      <w:r w:rsidRPr="00413922">
        <w:rPr>
          <w:rFonts w:ascii="Verdana" w:eastAsia="Calibri" w:hAnsi="Verdana" w:cs="Arial"/>
          <w:lang w:val="es-ES"/>
        </w:rPr>
        <w:t xml:space="preserve">Como puede observarse, los requisitos </w:t>
      </w:r>
      <w:r w:rsidRPr="00413922">
        <w:rPr>
          <w:rFonts w:ascii="Verdana" w:eastAsia="Calibri" w:hAnsi="Verdana" w:cs="Arial"/>
          <w:i/>
          <w:iCs/>
          <w:lang w:val="es-ES"/>
        </w:rPr>
        <w:t>legales</w:t>
      </w:r>
      <w:r w:rsidRPr="00413922">
        <w:rPr>
          <w:rFonts w:ascii="Verdana" w:eastAsia="Calibri" w:hAnsi="Verdana" w:cs="Arial"/>
          <w:lang w:val="es-ES"/>
        </w:rPr>
        <w:t xml:space="preserve"> de ejecución son: (i) la aprobación de las garantías exigidas en el contrato, (</w:t>
      </w:r>
      <w:proofErr w:type="spellStart"/>
      <w:r w:rsidRPr="00413922">
        <w:rPr>
          <w:rFonts w:ascii="Verdana" w:eastAsia="Calibri" w:hAnsi="Verdana" w:cs="Arial"/>
          <w:lang w:val="es-ES"/>
        </w:rPr>
        <w:t>ii</w:t>
      </w:r>
      <w:proofErr w:type="spellEnd"/>
      <w:r w:rsidRPr="00413922">
        <w:rPr>
          <w:rFonts w:ascii="Verdana" w:eastAsia="Calibri" w:hAnsi="Verdana" w:cs="Arial"/>
          <w:lang w:val="es-ES"/>
        </w:rPr>
        <w:t>) la existencia de la apropiación presupuestal correspondiente y (</w:t>
      </w:r>
      <w:proofErr w:type="spellStart"/>
      <w:r w:rsidRPr="00413922">
        <w:rPr>
          <w:rFonts w:ascii="Verdana" w:eastAsia="Calibri" w:hAnsi="Verdana" w:cs="Arial"/>
          <w:lang w:val="es-ES"/>
        </w:rPr>
        <w:t>iii</w:t>
      </w:r>
      <w:proofErr w:type="spellEnd"/>
      <w:r w:rsidRPr="00413922">
        <w:rPr>
          <w:rFonts w:ascii="Verdana" w:eastAsia="Calibri" w:hAnsi="Verdana" w:cs="Arial"/>
          <w:lang w:val="es-ES"/>
        </w:rPr>
        <w:t xml:space="preserve">) la acreditación del cumplimiento de las obligaciones con el Sistema de Seguridad Social Integral. </w:t>
      </w:r>
    </w:p>
    <w:p w14:paraId="67223653" w14:textId="77777777" w:rsidR="004E5589" w:rsidRPr="00413922" w:rsidRDefault="004E5589" w:rsidP="004E5589">
      <w:pPr>
        <w:spacing w:after="120" w:line="276" w:lineRule="auto"/>
        <w:ind w:firstLine="709"/>
        <w:jc w:val="both"/>
        <w:rPr>
          <w:rFonts w:ascii="Verdana" w:eastAsia="Calibri" w:hAnsi="Verdana" w:cs="Arial"/>
          <w:color w:val="000000"/>
          <w:lang w:val="es-ES" w:eastAsia="en-GB"/>
        </w:rPr>
      </w:pPr>
      <w:r w:rsidRPr="00413922">
        <w:rPr>
          <w:rFonts w:ascii="Verdana" w:eastAsia="Calibri" w:hAnsi="Verdana" w:cs="Arial"/>
          <w:color w:val="000000" w:themeColor="text1"/>
          <w:lang w:val="es-ES" w:eastAsia="en-GB"/>
        </w:rPr>
        <w:t>Lo que tienen en común tales requisitos es que deben cumplirse para que inicie el contrato, sin que por ello puedan considerarse elementos de la esencia –de perfeccionamiento– del negocio jurídico, ni de validez del mismo.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268AFEFF" w14:textId="77777777" w:rsidR="004E5589" w:rsidRPr="00413922" w:rsidRDefault="004E5589" w:rsidP="004E5589">
      <w:pPr>
        <w:spacing w:after="120" w:line="276" w:lineRule="auto"/>
        <w:ind w:firstLine="709"/>
        <w:jc w:val="both"/>
        <w:rPr>
          <w:rFonts w:ascii="Verdana" w:eastAsia="Calibri" w:hAnsi="Verdana" w:cs="Arial"/>
          <w:color w:val="000000"/>
          <w:lang w:val="es-ES" w:eastAsia="en-GB"/>
        </w:rPr>
      </w:pPr>
      <w:r w:rsidRPr="00413922">
        <w:rPr>
          <w:rFonts w:ascii="Verdana" w:eastAsia="Calibri" w:hAnsi="Verdana" w:cs="Arial"/>
          <w:color w:val="000000"/>
          <w:lang w:val="es-ES" w:eastAsia="en-GB"/>
        </w:rPr>
        <w:t xml:space="preserve">A esta conclusión llegó la Sección Tercera del Consejo de Estado en la sentencia del 12 de agosto de 2014, luego de distinguir los requisitos de perfeccionamiento respecto de los requisitos de ejecución de los contratos </w:t>
      </w:r>
      <w:r w:rsidRPr="00413922">
        <w:rPr>
          <w:rFonts w:ascii="Verdana" w:eastAsia="Calibri" w:hAnsi="Verdana" w:cs="Arial"/>
          <w:color w:val="000000"/>
          <w:lang w:val="es-ES" w:eastAsia="en-GB"/>
        </w:rPr>
        <w:lastRenderedPageBreak/>
        <w:t>estatales. En tal oportunidad el órgano judicial se preguntó, dentro de las consideraciones, si la ausencia de registro presupuestal tenía como efecto que un contrato de prestación de servicios profesionales se considerara inexistente o viciado de nulidad absoluta. El alto tribunal indicó que no se genera inexistencia ni vicio de nulidad absoluta del contrato, sino una eventual responsabilidad en los servidores públicos que incumplieron tal requisito</w:t>
      </w:r>
      <w:r w:rsidRPr="00413922">
        <w:rPr>
          <w:rStyle w:val="Refdenotaalpie"/>
          <w:rFonts w:ascii="Verdana" w:eastAsia="Calibri" w:hAnsi="Verdana" w:cs="Arial"/>
          <w:color w:val="000000"/>
          <w:lang w:val="es-ES_tradnl" w:eastAsia="en-GB"/>
        </w:rPr>
        <w:footnoteReference w:id="6"/>
      </w:r>
      <w:r w:rsidRPr="00413922">
        <w:rPr>
          <w:rFonts w:ascii="Verdana" w:eastAsia="Calibri" w:hAnsi="Verdana" w:cs="Arial"/>
          <w:color w:val="000000"/>
          <w:lang w:val="es-ES" w:eastAsia="en-GB"/>
        </w:rPr>
        <w:t>.</w:t>
      </w:r>
    </w:p>
    <w:p w14:paraId="3D65453E" w14:textId="77777777" w:rsidR="004E5589" w:rsidRPr="00413922" w:rsidRDefault="004E5589" w:rsidP="004E5589">
      <w:pPr>
        <w:spacing w:after="120" w:line="276" w:lineRule="auto"/>
        <w:ind w:firstLine="709"/>
        <w:jc w:val="both"/>
        <w:rPr>
          <w:rFonts w:ascii="Verdana" w:eastAsia="Calibri" w:hAnsi="Verdana" w:cs="Arial"/>
          <w:color w:val="000000"/>
          <w:lang w:val="es-ES" w:eastAsia="en-GB"/>
        </w:rPr>
      </w:pPr>
      <w:r w:rsidRPr="00413922">
        <w:tab/>
      </w:r>
      <w:r w:rsidRPr="00413922">
        <w:rPr>
          <w:rFonts w:ascii="Verdana" w:eastAsia="Calibri" w:hAnsi="Verdana" w:cs="Arial"/>
          <w:color w:val="000000"/>
          <w:lang w:val="es-ES" w:eastAsia="en-GB"/>
        </w:rPr>
        <w:t xml:space="preserve">Ahora bien, en relación con los requisitos de ejecución debe señalarse que, estos posibilitan el inicio de la fase de realización de las actividades pactadas en el contrato, es decir, el cumplimiento del objeto del negocio jurídico. A partir de esta distinción, es posible encontrar contratos estatales – perfeccionados– respecto de los cuales aún falte satisfacer uno o varios requisitos de ejecución. Sobre el particular, el Consejo de Estado aclaró la diferencia entre el perfeccionamiento y la ejecución del contrato, de la siguiente manera: </w:t>
      </w:r>
    </w:p>
    <w:p w14:paraId="711E35BC" w14:textId="77777777" w:rsidR="004E5589" w:rsidRPr="00413922" w:rsidRDefault="004E5589" w:rsidP="004E5589">
      <w:pPr>
        <w:spacing w:after="0" w:line="240" w:lineRule="auto"/>
        <w:ind w:left="709" w:right="618"/>
        <w:jc w:val="both"/>
        <w:rPr>
          <w:rFonts w:ascii="Verdana" w:eastAsia="Calibri" w:hAnsi="Verdana" w:cs="Arial"/>
          <w:vertAlign w:val="superscript"/>
          <w:lang w:val="es-ES" w:eastAsia="es-ES"/>
        </w:rPr>
      </w:pPr>
      <w:r w:rsidRPr="00413922">
        <w:rPr>
          <w:rFonts w:ascii="Verdana" w:eastAsia="Calibri" w:hAnsi="Verdana" w:cs="Arial"/>
          <w:color w:val="000000"/>
          <w:sz w:val="20"/>
          <w:szCs w:val="20"/>
          <w:lang w:val="es-ES" w:eastAsia="en-GB"/>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413922">
        <w:rPr>
          <w:rFonts w:ascii="Verdana" w:eastAsia="Calibri" w:hAnsi="Verdana" w:cs="Arial"/>
          <w:color w:val="000000"/>
          <w:sz w:val="20"/>
          <w:szCs w:val="20"/>
          <w:lang w:val="es-ES" w:eastAsia="en-GB"/>
        </w:rPr>
        <w:t>ii</w:t>
      </w:r>
      <w:proofErr w:type="spellEnd"/>
      <w:r w:rsidRPr="00413922">
        <w:rPr>
          <w:rFonts w:ascii="Verdana" w:eastAsia="Calibri" w:hAnsi="Verdana" w:cs="Arial"/>
          <w:color w:val="000000"/>
          <w:sz w:val="20"/>
          <w:szCs w:val="20"/>
          <w:lang w:val="es-ES" w:eastAsia="en-GB"/>
        </w:rPr>
        <w:t xml:space="preserve">) por virtud de lo dispuesto en la Ley 80 de 1993 el contrato estatal existe, esto es, “se perfecciona” cuando “se logra acuerdo sobre el objeto y la contraprestación y éste se eleve a escrito”; </w:t>
      </w:r>
      <w:proofErr w:type="spellStart"/>
      <w:r w:rsidRPr="00413922">
        <w:rPr>
          <w:rFonts w:ascii="Verdana" w:eastAsia="Calibri" w:hAnsi="Verdana" w:cs="Arial"/>
          <w:color w:val="000000"/>
          <w:sz w:val="20"/>
          <w:szCs w:val="20"/>
          <w:lang w:val="es-ES" w:eastAsia="en-GB"/>
        </w:rPr>
        <w:t>iii</w:t>
      </w:r>
      <w:proofErr w:type="spellEnd"/>
      <w:r w:rsidRPr="00413922">
        <w:rPr>
          <w:rFonts w:ascii="Verdana" w:eastAsia="Calibri" w:hAnsi="Verdana" w:cs="Arial"/>
          <w:color w:val="000000"/>
          <w:sz w:val="20"/>
          <w:szCs w:val="20"/>
          <w:lang w:val="es-ES" w:eastAsia="en-GB"/>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413922">
        <w:rPr>
          <w:rFonts w:ascii="Verdana" w:eastAsia="Calibri" w:hAnsi="Verdana" w:cs="Arial"/>
          <w:color w:val="000000"/>
          <w:sz w:val="20"/>
          <w:szCs w:val="20"/>
          <w:lang w:val="es-ES" w:eastAsia="en-GB"/>
        </w:rPr>
        <w:t>iv</w:t>
      </w:r>
      <w:proofErr w:type="spellEnd"/>
      <w:r w:rsidRPr="00413922">
        <w:rPr>
          <w:rFonts w:ascii="Verdana" w:eastAsia="Calibri" w:hAnsi="Verdana" w:cs="Arial"/>
          <w:color w:val="000000"/>
          <w:sz w:val="20"/>
          <w:szCs w:val="20"/>
          <w:lang w:val="es-ES" w:eastAsia="en-GB"/>
        </w:rPr>
        <w:t>) el requisito relativo al registro presupuestal no es una condición de existencia del contrato estatal, es un requisito de ejecución”</w:t>
      </w:r>
      <w:r w:rsidRPr="00413922">
        <w:rPr>
          <w:rFonts w:ascii="Verdana" w:eastAsia="Calibri" w:hAnsi="Verdana" w:cs="Arial"/>
          <w:color w:val="000000"/>
          <w:sz w:val="20"/>
          <w:szCs w:val="20"/>
          <w:vertAlign w:val="superscript"/>
          <w:lang w:val="es-ES" w:eastAsia="en-GB"/>
        </w:rPr>
        <w:footnoteReference w:id="7"/>
      </w:r>
      <w:r w:rsidRPr="00413922">
        <w:rPr>
          <w:rFonts w:ascii="Verdana" w:eastAsia="Calibri" w:hAnsi="Verdana" w:cs="Arial"/>
          <w:color w:val="000000"/>
          <w:sz w:val="20"/>
          <w:szCs w:val="20"/>
          <w:vertAlign w:val="superscript"/>
          <w:lang w:val="es-ES" w:eastAsia="en-GB"/>
        </w:rPr>
        <w:t>.</w:t>
      </w:r>
      <w:r w:rsidRPr="00413922">
        <w:rPr>
          <w:rFonts w:ascii="Verdana" w:eastAsia="Calibri" w:hAnsi="Verdana" w:cs="Arial"/>
          <w:vertAlign w:val="superscript"/>
          <w:lang w:val="es-ES" w:eastAsia="es-ES"/>
        </w:rPr>
        <w:t xml:space="preserve"> </w:t>
      </w:r>
    </w:p>
    <w:p w14:paraId="2F0061D0" w14:textId="77777777" w:rsidR="004E5589" w:rsidRPr="00413922" w:rsidRDefault="004E5589" w:rsidP="004E5589">
      <w:pPr>
        <w:spacing w:after="0" w:line="240" w:lineRule="auto"/>
        <w:ind w:left="709" w:right="618"/>
        <w:jc w:val="both"/>
        <w:rPr>
          <w:rFonts w:ascii="Verdana" w:eastAsia="Calibri" w:hAnsi="Verdana" w:cs="Arial"/>
          <w:vertAlign w:val="superscript"/>
          <w:lang w:val="es-ES" w:eastAsia="es-ES"/>
        </w:rPr>
      </w:pPr>
    </w:p>
    <w:p w14:paraId="3CB52D6C" w14:textId="77777777" w:rsidR="004E5589" w:rsidRPr="00413922" w:rsidRDefault="004E5589" w:rsidP="004E5589">
      <w:pPr>
        <w:spacing w:after="120" w:line="276" w:lineRule="auto"/>
        <w:ind w:firstLine="708"/>
        <w:jc w:val="both"/>
        <w:rPr>
          <w:rFonts w:ascii="Verdana" w:eastAsia="Calibri" w:hAnsi="Verdana" w:cs="Arial"/>
          <w:lang w:val="es-ES"/>
        </w:rPr>
      </w:pPr>
      <w:r w:rsidRPr="00413922">
        <w:rPr>
          <w:rFonts w:ascii="Verdana" w:eastAsia="Calibri" w:hAnsi="Verdana" w:cs="Arial"/>
          <w:lang w:val="es-ES"/>
        </w:rPr>
        <w:t xml:space="preserve">Por su parte, serán requisitos </w:t>
      </w:r>
      <w:r w:rsidRPr="00413922">
        <w:rPr>
          <w:rFonts w:ascii="Verdana" w:eastAsia="Calibri" w:hAnsi="Verdana" w:cs="Arial"/>
          <w:i/>
          <w:iCs/>
          <w:lang w:val="es-ES"/>
        </w:rPr>
        <w:t xml:space="preserve">convencionales </w:t>
      </w:r>
      <w:r w:rsidRPr="00413922">
        <w:rPr>
          <w:rFonts w:ascii="Verdana" w:eastAsia="Calibri" w:hAnsi="Verdana" w:cs="Arial"/>
          <w:lang w:val="es-ES"/>
        </w:rPr>
        <w:t>aquellos que no se encuentran consagrados en la ley, sino que se pactan en la minuta del contrato o que el contratista acepta al momento de adherirse al clausulado del pliego de condiciones o documento equivalente, como por ejemplo el acta de inicio.</w:t>
      </w:r>
    </w:p>
    <w:p w14:paraId="0D9C5F4E" w14:textId="77777777" w:rsidR="004E5589" w:rsidRDefault="004E5589" w:rsidP="004E5589">
      <w:pPr>
        <w:spacing w:after="120" w:line="276" w:lineRule="auto"/>
        <w:jc w:val="both"/>
        <w:rPr>
          <w:rFonts w:ascii="Verdana" w:hAnsi="Verdana" w:cs="Arial"/>
          <w:color w:val="000000" w:themeColor="text1"/>
          <w:lang w:eastAsia="es-CO"/>
        </w:rPr>
      </w:pPr>
      <w:r w:rsidRPr="00413922">
        <w:rPr>
          <w:rFonts w:ascii="Verdana" w:eastAsia="Calibri" w:hAnsi="Verdana" w:cs="Arial"/>
          <w:lang w:val="es-ES"/>
        </w:rPr>
        <w:t xml:space="preserve">II). En relación con los requisitos legales de ejecución, en primer lugar, se tiene como uno de ellos, la aprobación de las garantías exigidas en el contrato, </w:t>
      </w:r>
      <w:r w:rsidRPr="00413922">
        <w:rPr>
          <w:rFonts w:ascii="Verdana" w:eastAsia="Calibri" w:hAnsi="Verdana" w:cs="Arial"/>
          <w:lang w:val="es-ES_tradnl"/>
        </w:rPr>
        <w:t>el segundo inciso del artículo 41 de la Ley 80 de 1993</w:t>
      </w:r>
      <w:r w:rsidRPr="00413922">
        <w:rPr>
          <w:rFonts w:ascii="Verdana" w:eastAsia="Calibri" w:hAnsi="Verdana" w:cs="Arial"/>
        </w:rPr>
        <w:t xml:space="preserve">, modificado por el artículo </w:t>
      </w:r>
      <w:r w:rsidRPr="00413922">
        <w:rPr>
          <w:rFonts w:ascii="Verdana" w:eastAsia="Calibri" w:hAnsi="Verdana" w:cs="Arial"/>
        </w:rPr>
        <w:lastRenderedPageBreak/>
        <w:t>23 de la Ley 1150 de 2007</w:t>
      </w:r>
      <w:r w:rsidRPr="00413922">
        <w:rPr>
          <w:rFonts w:ascii="Verdana" w:eastAsia="Calibri" w:hAnsi="Verdana" w:cs="Arial"/>
          <w:lang w:val="es-ES_tradnl"/>
        </w:rPr>
        <w:t xml:space="preserve"> </w:t>
      </w:r>
      <w:r w:rsidRPr="00413922">
        <w:rPr>
          <w:rFonts w:ascii="Verdana" w:hAnsi="Verdana" w:cs="Arial"/>
          <w:color w:val="000000" w:themeColor="text1"/>
          <w:lang w:val="es-MX"/>
        </w:rPr>
        <w:t>establece que “P</w:t>
      </w:r>
      <w:r w:rsidRPr="00413922">
        <w:rPr>
          <w:rFonts w:ascii="Verdana" w:hAnsi="Verdana" w:cs="Arial"/>
          <w:color w:val="000000" w:themeColor="text1"/>
          <w:lang w:eastAsia="es-CO"/>
        </w:rPr>
        <w:t>ara la ejecución se requerirá de la aprobación de la garantía”, lo que se traduce en que, sin perjuicio del perfeccionamiento del contrato, no podrá ejecutarse sin que se hayan aprobado las garantías por parte de la entidad estatal contratante en caso que se hayan solicitado.</w:t>
      </w:r>
    </w:p>
    <w:p w14:paraId="4300E95C" w14:textId="77777777" w:rsidR="004E5589" w:rsidRDefault="004E5589" w:rsidP="004E5589">
      <w:pPr>
        <w:spacing w:after="120" w:line="276" w:lineRule="auto"/>
        <w:ind w:firstLine="709"/>
        <w:jc w:val="both"/>
        <w:rPr>
          <w:rFonts w:ascii="Verdana" w:hAnsi="Verdana" w:cs="Arial"/>
          <w:color w:val="000000" w:themeColor="text1"/>
          <w:lang w:eastAsia="es-CO"/>
        </w:rPr>
      </w:pPr>
      <w:r w:rsidRPr="00C31767">
        <w:rPr>
          <w:rFonts w:ascii="Verdana" w:hAnsi="Verdana" w:cs="Arial"/>
          <w:color w:val="000000" w:themeColor="text1"/>
          <w:lang w:eastAsia="es-CO"/>
        </w:rPr>
        <w:t xml:space="preserve">De esta manera, para proceder con </w:t>
      </w:r>
      <w:r>
        <w:rPr>
          <w:rFonts w:ascii="Verdana" w:hAnsi="Verdana" w:cs="Arial"/>
          <w:color w:val="000000" w:themeColor="text1"/>
          <w:lang w:eastAsia="es-CO"/>
        </w:rPr>
        <w:t>el inicio</w:t>
      </w:r>
      <w:r w:rsidRPr="00C31767">
        <w:rPr>
          <w:rFonts w:ascii="Verdana" w:hAnsi="Verdana" w:cs="Arial"/>
          <w:color w:val="000000" w:themeColor="text1"/>
          <w:lang w:eastAsia="es-CO"/>
        </w:rPr>
        <w:t xml:space="preserve"> del contrato, el contratista debe cumplir con la obligación de constituir las garantías</w:t>
      </w:r>
      <w:r>
        <w:rPr>
          <w:rFonts w:ascii="Verdana" w:hAnsi="Verdana" w:cs="Arial"/>
          <w:color w:val="000000" w:themeColor="text1"/>
          <w:lang w:eastAsia="es-CO"/>
        </w:rPr>
        <w:t xml:space="preserve"> solicitadas.</w:t>
      </w:r>
      <w:r w:rsidRPr="00C31767">
        <w:rPr>
          <w:rFonts w:ascii="Verdana" w:hAnsi="Verdana" w:cs="Arial"/>
          <w:color w:val="000000" w:themeColor="text1"/>
          <w:lang w:eastAsia="es-CO"/>
        </w:rPr>
        <w:t xml:space="preserve"> </w:t>
      </w:r>
      <w:r w:rsidRPr="003C3EC3">
        <w:rPr>
          <w:rFonts w:ascii="Verdana" w:hAnsi="Verdana" w:cs="Arial"/>
          <w:color w:val="000000" w:themeColor="text1"/>
          <w:lang w:eastAsia="es-CO"/>
        </w:rPr>
        <w:t>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Esta norma señala lo siguiente:</w:t>
      </w:r>
    </w:p>
    <w:p w14:paraId="150546D7" w14:textId="77777777" w:rsidR="004E5589" w:rsidRPr="00E241A3" w:rsidRDefault="004E5589" w:rsidP="004E5589">
      <w:pPr>
        <w:spacing w:after="120" w:line="240" w:lineRule="auto"/>
        <w:ind w:left="709" w:right="709"/>
        <w:jc w:val="both"/>
        <w:rPr>
          <w:rFonts w:ascii="Verdana" w:eastAsia="Times New Roman" w:hAnsi="Verdana" w:cs="Arial"/>
          <w:color w:val="000000" w:themeColor="text1"/>
          <w:sz w:val="20"/>
          <w:szCs w:val="20"/>
          <w:u w:val="single"/>
          <w:lang w:val="es-ES" w:eastAsia="es-ES_tradnl"/>
        </w:rPr>
      </w:pPr>
      <w:r>
        <w:rPr>
          <w:rFonts w:ascii="Verdana" w:hAnsi="Verdana" w:cs="Arial"/>
          <w:sz w:val="20"/>
          <w:szCs w:val="20"/>
        </w:rPr>
        <w:t>“</w:t>
      </w:r>
      <w:r w:rsidRPr="00E34471">
        <w:rPr>
          <w:rFonts w:ascii="Verdana" w:hAnsi="Verdana" w:cs="Arial"/>
          <w:sz w:val="20"/>
          <w:szCs w:val="20"/>
        </w:rPr>
        <w:t>ARTÍCULO </w:t>
      </w:r>
      <w:r>
        <w:rPr>
          <w:rFonts w:ascii="Verdana" w:hAnsi="Verdana" w:cs="Arial"/>
          <w:sz w:val="20"/>
          <w:szCs w:val="20"/>
        </w:rPr>
        <w:t>7</w:t>
      </w:r>
      <w:r w:rsidRPr="00E34471">
        <w:rPr>
          <w:rFonts w:ascii="Verdana" w:hAnsi="Verdana" w:cs="Arial"/>
          <w:sz w:val="20"/>
          <w:szCs w:val="20"/>
        </w:rPr>
        <w:t>.-</w:t>
      </w:r>
      <w:r w:rsidRPr="00EE020F">
        <w:rPr>
          <w:rFonts w:ascii="Verdana" w:hAnsi="Verdana" w:cs="Arial"/>
          <w:b/>
          <w:bCs/>
          <w:sz w:val="20"/>
          <w:szCs w:val="20"/>
        </w:rPr>
        <w:t xml:space="preserve"> </w:t>
      </w:r>
      <w:r w:rsidRPr="00E241A3">
        <w:rPr>
          <w:rFonts w:ascii="Verdana" w:hAnsi="Verdana" w:cs="Arial"/>
          <w:sz w:val="20"/>
          <w:szCs w:val="20"/>
          <w:u w:val="single"/>
        </w:rPr>
        <w:t>Los</w:t>
      </w:r>
      <w:r w:rsidRPr="00E241A3">
        <w:rPr>
          <w:rFonts w:ascii="Verdana" w:eastAsia="Times New Roman" w:hAnsi="Verdana" w:cs="Arial"/>
          <w:color w:val="000000" w:themeColor="text1"/>
          <w:sz w:val="20"/>
          <w:szCs w:val="20"/>
          <w:u w:val="single"/>
          <w:lang w:val="es-ES" w:eastAsia="es-ES_tradnl"/>
        </w:rPr>
        <w:t xml:space="preserve"> contratistas prestarán garantía única para el cumplimiento de las obligaciones surgidas del contrato. Los proponentes prestarán garantía de seriedad de los ofrecimientos hechos. </w:t>
      </w:r>
    </w:p>
    <w:p w14:paraId="067B6679" w14:textId="77777777" w:rsidR="004E5589" w:rsidRDefault="004E5589" w:rsidP="004E5589">
      <w:pPr>
        <w:spacing w:after="120" w:line="240" w:lineRule="auto"/>
        <w:ind w:left="709" w:right="709"/>
        <w:jc w:val="both"/>
        <w:rPr>
          <w:rFonts w:ascii="Verdana" w:eastAsia="Times New Roman" w:hAnsi="Verdana" w:cs="Arial"/>
          <w:color w:val="000000" w:themeColor="text1"/>
          <w:sz w:val="20"/>
          <w:szCs w:val="20"/>
          <w:lang w:eastAsia="es-ES_tradnl"/>
        </w:rPr>
      </w:pPr>
      <w:r w:rsidRPr="00DC31EE">
        <w:rPr>
          <w:rFonts w:ascii="Verdana" w:eastAsia="Times New Roman" w:hAnsi="Verdana" w:cs="Arial"/>
          <w:color w:val="000000" w:themeColor="text1"/>
          <w:sz w:val="20"/>
          <w:szCs w:val="20"/>
          <w:lang w:val="es-ES" w:eastAsia="es-ES_tradnl"/>
        </w:rPr>
        <w:t>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w:t>
      </w:r>
      <w:r>
        <w:rPr>
          <w:rFonts w:ascii="Verdana" w:eastAsia="Times New Roman" w:hAnsi="Verdana" w:cs="Arial"/>
          <w:color w:val="000000" w:themeColor="text1"/>
          <w:sz w:val="20"/>
          <w:szCs w:val="20"/>
          <w:lang w:val="es-ES" w:eastAsia="es-ES_tradnl"/>
        </w:rPr>
        <w:t xml:space="preserve"> </w:t>
      </w:r>
      <w:r w:rsidRPr="00B350AE">
        <w:rPr>
          <w:rFonts w:ascii="Verdana" w:eastAsia="Times New Roman" w:hAnsi="Verdana" w:cs="Arial"/>
          <w:color w:val="000000" w:themeColor="text1"/>
          <w:sz w:val="20"/>
          <w:szCs w:val="20"/>
          <w:lang w:eastAsia="es-ES_tradnl"/>
        </w:rPr>
        <w:t xml:space="preserve">señalará las condiciones generales que deberán ser incluidas en las pólizas de cumplimiento de los contratos estatales. </w:t>
      </w:r>
    </w:p>
    <w:p w14:paraId="4716E48E" w14:textId="77777777" w:rsidR="004E5589" w:rsidRDefault="004E5589" w:rsidP="004E5589">
      <w:pPr>
        <w:spacing w:after="120" w:line="240" w:lineRule="auto"/>
        <w:ind w:left="709" w:right="709"/>
        <w:jc w:val="both"/>
        <w:rPr>
          <w:rFonts w:ascii="Verdana" w:eastAsia="Times New Roman" w:hAnsi="Verdana" w:cs="Arial"/>
          <w:color w:val="000000" w:themeColor="text1"/>
          <w:sz w:val="20"/>
          <w:szCs w:val="20"/>
          <w:lang w:eastAsia="es-ES_tradnl"/>
        </w:rPr>
      </w:pPr>
      <w:r>
        <w:rPr>
          <w:rFonts w:ascii="Verdana" w:eastAsia="Times New Roman" w:hAnsi="Verdana" w:cs="Arial"/>
          <w:color w:val="000000" w:themeColor="text1"/>
          <w:sz w:val="20"/>
          <w:szCs w:val="20"/>
          <w:lang w:eastAsia="es-ES_tradnl"/>
        </w:rPr>
        <w:t>[…]</w:t>
      </w:r>
    </w:p>
    <w:p w14:paraId="544B090E" w14:textId="77777777" w:rsidR="004E5589" w:rsidRDefault="004E5589" w:rsidP="004E5589">
      <w:pPr>
        <w:spacing w:after="120" w:line="240" w:lineRule="auto"/>
        <w:ind w:left="709" w:right="709"/>
        <w:jc w:val="both"/>
        <w:rPr>
          <w:rFonts w:ascii="Verdana" w:eastAsia="Times New Roman" w:hAnsi="Verdana" w:cs="Arial"/>
          <w:color w:val="000000" w:themeColor="text1"/>
          <w:sz w:val="20"/>
          <w:szCs w:val="20"/>
          <w:lang w:eastAsia="es-ES_tradnl"/>
        </w:rPr>
      </w:pPr>
      <w:r w:rsidRPr="00B350AE">
        <w:rPr>
          <w:rFonts w:ascii="Verdana" w:eastAsia="Times New Roman" w:hAnsi="Verdana" w:cs="Arial"/>
          <w:color w:val="000000" w:themeColor="text1"/>
          <w:sz w:val="20"/>
          <w:szCs w:val="20"/>
          <w:lang w:eastAsia="es-ES_tradnl"/>
        </w:rPr>
        <w:t xml:space="preserve">El acaecimiento del siniestro que amparan las garantías será comunicado por la entidad pública al respectivo asegurador mediante la notificación del acto administrativo que así lo declare. </w:t>
      </w:r>
    </w:p>
    <w:p w14:paraId="5DA74662" w14:textId="77777777" w:rsidR="004E5589" w:rsidRPr="00E241A3" w:rsidRDefault="004E5589" w:rsidP="004E5589">
      <w:pPr>
        <w:spacing w:after="120" w:line="240" w:lineRule="auto"/>
        <w:ind w:left="709" w:right="709"/>
        <w:jc w:val="both"/>
        <w:rPr>
          <w:rFonts w:ascii="Verdana" w:eastAsia="Times New Roman" w:hAnsi="Verdana" w:cs="Arial"/>
          <w:color w:val="000000" w:themeColor="text1"/>
          <w:sz w:val="20"/>
          <w:szCs w:val="20"/>
          <w:lang w:eastAsia="es-ES_tradnl"/>
        </w:rPr>
      </w:pPr>
      <w:r w:rsidRPr="00B350AE">
        <w:rPr>
          <w:rFonts w:ascii="Verdana" w:eastAsia="Times New Roman" w:hAnsi="Verdana" w:cs="Arial"/>
          <w:color w:val="000000" w:themeColor="text1"/>
          <w:sz w:val="20"/>
          <w:szCs w:val="20"/>
          <w:lang w:eastAsia="es-ES_tradnl"/>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r>
        <w:rPr>
          <w:rFonts w:ascii="Verdana" w:eastAsia="Times New Roman" w:hAnsi="Verdana" w:cs="Arial"/>
          <w:color w:val="000000" w:themeColor="text1"/>
          <w:sz w:val="20"/>
          <w:szCs w:val="20"/>
          <w:lang w:eastAsia="es-ES_tradnl"/>
        </w:rPr>
        <w:t xml:space="preserve">. ¨ </w:t>
      </w:r>
      <w:r w:rsidRPr="00E241A3">
        <w:rPr>
          <w:rFonts w:ascii="Verdana" w:eastAsia="Times New Roman" w:hAnsi="Verdana" w:cs="Arial"/>
          <w:color w:val="000000" w:themeColor="text1"/>
          <w:sz w:val="20"/>
          <w:szCs w:val="20"/>
          <w:lang w:eastAsia="es-ES_tradnl"/>
        </w:rPr>
        <w:t>(Subrayado fuera de texto)</w:t>
      </w:r>
    </w:p>
    <w:p w14:paraId="754417CF" w14:textId="77777777" w:rsidR="004E5589" w:rsidRDefault="004E5589" w:rsidP="004E5589">
      <w:pPr>
        <w:spacing w:after="120" w:line="276" w:lineRule="auto"/>
        <w:ind w:firstLine="709"/>
        <w:jc w:val="both"/>
        <w:rPr>
          <w:rFonts w:ascii="Verdana" w:hAnsi="Verdana" w:cs="Arial"/>
          <w:color w:val="000000" w:themeColor="text1"/>
          <w:lang w:eastAsia="es-CO"/>
        </w:rPr>
      </w:pPr>
      <w:r w:rsidRPr="00D72D59">
        <w:rPr>
          <w:rFonts w:ascii="Verdana" w:hAnsi="Verdana" w:cs="Arial"/>
          <w:color w:val="000000" w:themeColor="text1"/>
          <w:lang w:eastAsia="es-CO"/>
        </w:rPr>
        <w:t xml:space="preserve">Las condiciones en las que debe cumplirse esta obligación fueron reglamentadas por el Decreto 1082 de 2015, el cual entre sus artículos 2.2.1.2.3.1.1. y 2.2.1.2.3.1.19 se refiere a asuntos como las clases de garantías </w:t>
      </w:r>
      <w:r w:rsidRPr="00D72D59">
        <w:rPr>
          <w:rFonts w:ascii="Verdana" w:hAnsi="Verdana" w:cs="Arial"/>
          <w:color w:val="000000" w:themeColor="text1"/>
          <w:lang w:eastAsia="es-CO"/>
        </w:rPr>
        <w:lastRenderedPageBreak/>
        <w:t>permitidas, la indivisibilidad de las mismas, los diferentes riesgos que deben ser objeto de garantía, la vigencia y valores mínimos que deben cubrir los amparos, entre otros aspectos que debe cumplir las garantías constituidas por los contratistas ya sea a través de pólizas de seguro, garantías bancarías o patrimonios autónomos.</w:t>
      </w:r>
    </w:p>
    <w:p w14:paraId="505243DA" w14:textId="77777777" w:rsidR="004E5589" w:rsidRDefault="004E5589" w:rsidP="004E5589">
      <w:pPr>
        <w:spacing w:after="120" w:line="276" w:lineRule="auto"/>
        <w:ind w:firstLine="709"/>
        <w:jc w:val="both"/>
        <w:rPr>
          <w:rFonts w:ascii="Verdana" w:hAnsi="Verdana" w:cs="Arial"/>
          <w:color w:val="000000" w:themeColor="text1"/>
          <w:lang w:eastAsia="es-CO"/>
        </w:rPr>
      </w:pPr>
      <w:r w:rsidRPr="00D72D59">
        <w:rPr>
          <w:rFonts w:ascii="Verdana" w:hAnsi="Verdana" w:cs="Arial"/>
          <w:color w:val="000000" w:themeColor="text1"/>
          <w:lang w:eastAsia="es-CO"/>
        </w:rPr>
        <w:t>El artículo 2.2.1.2.3.1.3, por ejemplo, establece que la «garantía de cobertura del Riesgo es indivisible», además de la obligación de los contratantes de establecer en los pliegos de condiciones las garantías exigidas para cada periodo contractual</w:t>
      </w:r>
      <w:r>
        <w:rPr>
          <w:rStyle w:val="Refdenotaalpie"/>
          <w:rFonts w:ascii="Verdana" w:hAnsi="Verdana" w:cs="Arial"/>
          <w:color w:val="000000" w:themeColor="text1"/>
          <w:lang w:eastAsia="es-CO"/>
        </w:rPr>
        <w:footnoteReference w:id="8"/>
      </w:r>
      <w:r w:rsidRPr="00D72D59">
        <w:rPr>
          <w:rFonts w:ascii="Verdana" w:hAnsi="Verdana" w:cs="Arial"/>
          <w:color w:val="000000" w:themeColor="text1"/>
          <w:lang w:eastAsia="es-CO"/>
        </w:rPr>
        <w:t>.</w:t>
      </w:r>
      <w:r>
        <w:rPr>
          <w:rFonts w:ascii="Verdana" w:hAnsi="Verdana" w:cs="Arial"/>
          <w:color w:val="000000" w:themeColor="text1"/>
          <w:lang w:eastAsia="es-CO"/>
        </w:rPr>
        <w:t xml:space="preserve"> </w:t>
      </w:r>
      <w:r w:rsidRPr="009658EA">
        <w:rPr>
          <w:rFonts w:ascii="Verdana" w:hAnsi="Verdana" w:cs="Arial"/>
          <w:color w:val="000000" w:themeColor="text1"/>
          <w:lang w:eastAsia="es-CO"/>
        </w:rPr>
        <w:t xml:space="preserve">Seguidamente el artículo 2.2.1.3.1.7 prescribe que la garantía de cumplimiento debe cubrir: i) el buen manejo y correcta inversión del anticipo; </w:t>
      </w:r>
      <w:proofErr w:type="spellStart"/>
      <w:r w:rsidRPr="009658EA">
        <w:rPr>
          <w:rFonts w:ascii="Verdana" w:hAnsi="Verdana" w:cs="Arial"/>
          <w:color w:val="000000" w:themeColor="text1"/>
          <w:lang w:eastAsia="es-CO"/>
        </w:rPr>
        <w:t>ii</w:t>
      </w:r>
      <w:proofErr w:type="spellEnd"/>
      <w:r w:rsidRPr="009658EA">
        <w:rPr>
          <w:rFonts w:ascii="Verdana" w:hAnsi="Verdana" w:cs="Arial"/>
          <w:color w:val="000000" w:themeColor="text1"/>
          <w:lang w:eastAsia="es-CO"/>
        </w:rPr>
        <w:t xml:space="preserve">) la devolución del pago anticipado; </w:t>
      </w:r>
      <w:proofErr w:type="spellStart"/>
      <w:r w:rsidRPr="009658EA">
        <w:rPr>
          <w:rFonts w:ascii="Verdana" w:hAnsi="Verdana" w:cs="Arial"/>
          <w:color w:val="000000" w:themeColor="text1"/>
          <w:lang w:eastAsia="es-CO"/>
        </w:rPr>
        <w:t>iii</w:t>
      </w:r>
      <w:proofErr w:type="spellEnd"/>
      <w:r w:rsidRPr="009658EA">
        <w:rPr>
          <w:rFonts w:ascii="Verdana" w:hAnsi="Verdana" w:cs="Arial"/>
          <w:color w:val="000000" w:themeColor="text1"/>
          <w:lang w:eastAsia="es-CO"/>
        </w:rPr>
        <w:t xml:space="preserve">) cumplimiento del contrato; </w:t>
      </w:r>
      <w:proofErr w:type="spellStart"/>
      <w:r w:rsidRPr="009658EA">
        <w:rPr>
          <w:rFonts w:ascii="Verdana" w:hAnsi="Verdana" w:cs="Arial"/>
          <w:color w:val="000000" w:themeColor="text1"/>
          <w:lang w:eastAsia="es-CO"/>
        </w:rPr>
        <w:t>iv</w:t>
      </w:r>
      <w:proofErr w:type="spellEnd"/>
      <w:r w:rsidRPr="009658EA">
        <w:rPr>
          <w:rFonts w:ascii="Verdana" w:hAnsi="Verdana" w:cs="Arial"/>
          <w:color w:val="000000" w:themeColor="text1"/>
          <w:lang w:eastAsia="es-CO"/>
        </w:rPr>
        <w:t xml:space="preserve">) pago de salarios, prestaciones sociales legales e indemnizaciones laborales; v) estabilidad y calidad de la obra; vi) calidad del servicio; </w:t>
      </w:r>
      <w:proofErr w:type="spellStart"/>
      <w:r w:rsidRPr="009658EA">
        <w:rPr>
          <w:rFonts w:ascii="Verdana" w:hAnsi="Verdana" w:cs="Arial"/>
          <w:color w:val="000000" w:themeColor="text1"/>
          <w:lang w:eastAsia="es-CO"/>
        </w:rPr>
        <w:t>vii</w:t>
      </w:r>
      <w:proofErr w:type="spellEnd"/>
      <w:r w:rsidRPr="009658EA">
        <w:rPr>
          <w:rFonts w:ascii="Verdana" w:hAnsi="Verdana" w:cs="Arial"/>
          <w:color w:val="000000" w:themeColor="text1"/>
          <w:lang w:eastAsia="es-CO"/>
        </w:rPr>
        <w:t xml:space="preserve">) calidad y correcto funcionamiento de los bienes; y </w:t>
      </w:r>
      <w:proofErr w:type="spellStart"/>
      <w:r w:rsidRPr="009658EA">
        <w:rPr>
          <w:rFonts w:ascii="Verdana" w:hAnsi="Verdana" w:cs="Arial"/>
          <w:color w:val="000000" w:themeColor="text1"/>
          <w:lang w:eastAsia="es-CO"/>
        </w:rPr>
        <w:t>viii</w:t>
      </w:r>
      <w:proofErr w:type="spellEnd"/>
      <w:r w:rsidRPr="009658EA">
        <w:rPr>
          <w:rFonts w:ascii="Verdana" w:hAnsi="Verdana" w:cs="Arial"/>
          <w:color w:val="000000" w:themeColor="text1"/>
          <w:lang w:eastAsia="es-CO"/>
        </w:rPr>
        <w:t>) los demás incumplimientos de las obligaciones que la entidad estatal considere deben ser amparados</w:t>
      </w:r>
      <w:r>
        <w:rPr>
          <w:rStyle w:val="Refdenotaalpie"/>
          <w:rFonts w:ascii="Verdana" w:hAnsi="Verdana" w:cs="Arial"/>
          <w:color w:val="000000" w:themeColor="text1"/>
          <w:lang w:eastAsia="es-CO"/>
        </w:rPr>
        <w:footnoteReference w:id="9"/>
      </w:r>
    </w:p>
    <w:p w14:paraId="7F01F282" w14:textId="77777777" w:rsidR="004E5589" w:rsidRDefault="004E5589" w:rsidP="004E5589">
      <w:pPr>
        <w:spacing w:after="120" w:line="276" w:lineRule="auto"/>
        <w:ind w:firstLine="709"/>
        <w:jc w:val="both"/>
        <w:rPr>
          <w:rFonts w:ascii="Verdana" w:hAnsi="Verdana" w:cs="Arial"/>
          <w:color w:val="000000" w:themeColor="text1"/>
          <w:lang w:eastAsia="es-CO"/>
        </w:rPr>
      </w:pPr>
      <w:r w:rsidRPr="00F62F95">
        <w:rPr>
          <w:rFonts w:ascii="Verdana" w:hAnsi="Verdana" w:cs="Arial"/>
          <w:color w:val="000000" w:themeColor="text1"/>
          <w:lang w:eastAsia="es-CO"/>
        </w:rPr>
        <w:lastRenderedPageBreak/>
        <w:t>Por su parte, el artículo 2.2.1.2.3.1.12 regula la suficiencia del amparo de cumplimiento, al determinar que esta debe tener una vigencia mínima hasta la liquidación del contrato y un valor de por lo menos el diez por ciento (10%) del total del contrato, siempre que este sea inferior a un millón (1.000.000) de S.M.M.L.V., estableciendo otros mínimos para el valor de las pólizas en contratos con montos superiores</w:t>
      </w:r>
      <w:r>
        <w:rPr>
          <w:rStyle w:val="Refdenotaalpie"/>
          <w:rFonts w:ascii="Verdana" w:hAnsi="Verdana" w:cs="Arial"/>
          <w:color w:val="000000" w:themeColor="text1"/>
          <w:lang w:eastAsia="es-CO"/>
        </w:rPr>
        <w:footnoteReference w:id="10"/>
      </w:r>
      <w:r w:rsidRPr="00F62F95">
        <w:rPr>
          <w:rFonts w:ascii="Verdana" w:hAnsi="Verdana" w:cs="Arial"/>
          <w:color w:val="000000" w:themeColor="text1"/>
          <w:lang w:eastAsia="es-CO"/>
        </w:rPr>
        <w:t xml:space="preserve">. </w:t>
      </w:r>
    </w:p>
    <w:p w14:paraId="08C17026" w14:textId="77777777" w:rsidR="004E5589" w:rsidRDefault="004E5589" w:rsidP="004E5589">
      <w:pPr>
        <w:spacing w:after="120" w:line="276" w:lineRule="auto"/>
        <w:ind w:firstLine="709"/>
        <w:jc w:val="both"/>
        <w:rPr>
          <w:rFonts w:ascii="Verdana" w:hAnsi="Verdana" w:cs="Arial"/>
          <w:color w:val="000000" w:themeColor="text1"/>
          <w:lang w:eastAsia="es-CO"/>
        </w:rPr>
      </w:pPr>
      <w:r w:rsidRPr="00F62F95">
        <w:rPr>
          <w:rFonts w:ascii="Verdana" w:hAnsi="Verdana" w:cs="Arial"/>
          <w:color w:val="000000" w:themeColor="text1"/>
          <w:lang w:eastAsia="es-CO"/>
        </w:rPr>
        <w:t>Los anteriores y otros aspectos desarrollados por el Decreto 1082 de 2015 deben ser verificados por las entidades estatales, para determinar si los amparos constituidos por sus contratistas en cumplimiento de la obligación derivada del artículo 7 de la Ley 1150 de 2007 se ajustan o no a lo exigido por el reglamento respecto del objeto y valor del contrato.</w:t>
      </w:r>
    </w:p>
    <w:p w14:paraId="7FF80C49" w14:textId="77777777" w:rsidR="004E5589" w:rsidRPr="009F0A65" w:rsidRDefault="004E5589" w:rsidP="004E5589">
      <w:pPr>
        <w:spacing w:after="120" w:line="276" w:lineRule="auto"/>
        <w:ind w:firstLine="709"/>
        <w:jc w:val="both"/>
      </w:pPr>
      <w:r w:rsidRPr="009F0A65">
        <w:rPr>
          <w:rFonts w:ascii="Verdana" w:hAnsi="Verdana" w:cs="Arial"/>
          <w:color w:val="000000" w:themeColor="text1"/>
          <w:lang w:eastAsia="es-CO"/>
        </w:rPr>
        <w:t>Lo expuesto resulta de especial relevancia, teniendo en cuenta que el cumplimiento de la obligación de los contratistas de constituir las correspondientes garantías, y el deber de las entidades estatales de aprobarlas, una vez verificados los requisitos mínimos exigidos, son presupuestos para la ejecución del contrato, de conformidad con el artículo 41 de la Ley 80 de 1993</w:t>
      </w:r>
    </w:p>
    <w:p w14:paraId="69FC4C58" w14:textId="77777777" w:rsidR="004E5589" w:rsidRPr="00C31767" w:rsidRDefault="004E5589" w:rsidP="004E5589">
      <w:pPr>
        <w:spacing w:after="120" w:line="276" w:lineRule="auto"/>
        <w:ind w:firstLine="709"/>
        <w:jc w:val="both"/>
        <w:rPr>
          <w:rFonts w:ascii="Verdana" w:hAnsi="Verdana" w:cs="Arial"/>
          <w:color w:val="000000" w:themeColor="text1"/>
          <w:lang w:val="es-ES"/>
        </w:rPr>
      </w:pPr>
      <w:r w:rsidRPr="00C31767">
        <w:rPr>
          <w:rFonts w:ascii="Verdana" w:eastAsia="Calibri" w:hAnsi="Verdana" w:cs="Arial"/>
          <w:color w:val="000000"/>
          <w:lang w:eastAsia="en-GB"/>
        </w:rPr>
        <w:t xml:space="preserve">En este contexto, la obligación de constituir las garantías contractuales y su aprobación tiene como propósito cumplir con el requisito de ejecución del contrato, pues estas se erigen como un </w:t>
      </w:r>
      <w:r w:rsidRPr="00C31767">
        <w:rPr>
          <w:rFonts w:ascii="Verdana" w:hAnsi="Verdana" w:cs="Arial"/>
          <w:color w:val="000000" w:themeColor="text1"/>
          <w:lang w:val="es-MX"/>
        </w:rPr>
        <w:t>“</w:t>
      </w:r>
      <w:r w:rsidRPr="00C31767">
        <w:rPr>
          <w:rFonts w:ascii="Verdana" w:eastAsia="Calibri" w:hAnsi="Verdana" w:cs="Arial"/>
          <w:color w:val="000000"/>
          <w:lang w:eastAsia="en-GB"/>
        </w:rPr>
        <w:t xml:space="preserve">instrumento para salvaguardar </w:t>
      </w:r>
      <w:r w:rsidRPr="00C31767">
        <w:rPr>
          <w:rFonts w:ascii="Verdana" w:eastAsia="Calibri" w:hAnsi="Verdana" w:cs="Arial"/>
          <w:color w:val="000000"/>
          <w:lang w:eastAsia="en-GB"/>
        </w:rPr>
        <w:lastRenderedPageBreak/>
        <w:t>intereses de carácter general, garantizar el adecuado cumplimiento del objeto contractual y proteger el patrimonio público de los detrimentos que se puedan causar con ocasión de eventuales incumplimientos en que incurra el contratista”</w:t>
      </w:r>
      <w:r w:rsidRPr="00C31767">
        <w:rPr>
          <w:rStyle w:val="Refdenotaalpie"/>
          <w:rFonts w:ascii="Verdana" w:eastAsia="Calibri" w:hAnsi="Verdana" w:cs="Arial"/>
          <w:color w:val="000000"/>
          <w:lang w:eastAsia="en-GB"/>
        </w:rPr>
        <w:footnoteReference w:id="11"/>
      </w:r>
      <w:r w:rsidRPr="00C31767">
        <w:rPr>
          <w:rFonts w:ascii="Verdana" w:hAnsi="Verdana" w:cs="Arial"/>
          <w:color w:val="000000" w:themeColor="text1"/>
          <w:lang w:eastAsia="es-CO"/>
        </w:rPr>
        <w:t>.</w:t>
      </w:r>
      <w:r w:rsidRPr="00C31767">
        <w:rPr>
          <w:rFonts w:ascii="Verdana" w:hAnsi="Verdana" w:cs="Arial"/>
          <w:color w:val="000000" w:themeColor="text1"/>
          <w:lang w:val="es-MX"/>
        </w:rPr>
        <w:t xml:space="preserve"> En este sentido, previo a l</w:t>
      </w:r>
      <w:r w:rsidRPr="00C31767">
        <w:rPr>
          <w:rFonts w:ascii="Verdana" w:hAnsi="Verdana" w:cs="Arial"/>
          <w:color w:val="000000" w:themeColor="text1"/>
          <w:lang w:val="es-ES_tradnl"/>
        </w:rPr>
        <w:t>a aprobación de las garantías pactadas en el contrato, la entidad debe realizar la respectiva verificación de los amparos y suficiencia de las garantías exigidas, con la finalidad de</w:t>
      </w:r>
      <w:r w:rsidRPr="00C31767">
        <w:rPr>
          <w:rFonts w:ascii="Verdana" w:hAnsi="Verdana" w:cs="Arial"/>
          <w:color w:val="000000" w:themeColor="text1"/>
        </w:rPr>
        <w:t xml:space="preserve"> asegurar que estas </w:t>
      </w:r>
      <w:r w:rsidRPr="00C31767">
        <w:rPr>
          <w:rFonts w:ascii="Verdana" w:hAnsi="Verdana" w:cs="Arial"/>
          <w:color w:val="000000" w:themeColor="text1"/>
          <w:lang w:val="es-ES"/>
        </w:rPr>
        <w:t xml:space="preserve">protejan el patrimonio del Estado de los perjuicios que eventualmente se derivarían de la materialización de los riesgos amparados. </w:t>
      </w:r>
    </w:p>
    <w:p w14:paraId="0F09C7AE" w14:textId="77777777" w:rsidR="004E5589" w:rsidRPr="00C31767" w:rsidRDefault="004E5589" w:rsidP="004E5589">
      <w:pPr>
        <w:spacing w:after="120" w:line="276" w:lineRule="auto"/>
        <w:ind w:firstLine="709"/>
        <w:jc w:val="both"/>
        <w:rPr>
          <w:rFonts w:ascii="Verdana" w:hAnsi="Verdana" w:cs="Arial"/>
          <w:color w:val="000000" w:themeColor="text1"/>
          <w:lang w:val="es-ES"/>
        </w:rPr>
      </w:pPr>
      <w:r w:rsidRPr="65AD1BB5">
        <w:rPr>
          <w:rFonts w:ascii="Verdana" w:hAnsi="Verdana" w:cs="Arial"/>
          <w:color w:val="000000" w:themeColor="text1"/>
          <w:lang w:val="es-ES"/>
        </w:rPr>
        <w:t xml:space="preserve">Esta labor de verificación por parte de la entidad implica validar el origen de las garantías y revisar </w:t>
      </w:r>
      <w:r w:rsidRPr="00C31767">
        <w:rPr>
          <w:rFonts w:ascii="Verdana" w:hAnsi="Verdana" w:cs="Arial"/>
          <w:color w:val="000000" w:themeColor="text1"/>
          <w:lang w:val="es-MX"/>
        </w:rPr>
        <w:t>“</w:t>
      </w:r>
      <w:r w:rsidRPr="00C31767">
        <w:rPr>
          <w:rFonts w:ascii="Verdana" w:eastAsia="Calibri" w:hAnsi="Verdana" w:cs="Arial"/>
        </w:rPr>
        <w:t>que los valores asegurados coincidan con los que se 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w:t>
      </w:r>
      <w:r w:rsidRPr="00C31767">
        <w:rPr>
          <w:rStyle w:val="Refdenotaalpie"/>
          <w:rFonts w:ascii="Verdana" w:eastAsia="Calibri" w:hAnsi="Verdana" w:cs="Arial"/>
        </w:rPr>
        <w:footnoteReference w:id="12"/>
      </w:r>
      <w:r w:rsidRPr="00C31767">
        <w:rPr>
          <w:rFonts w:ascii="Verdana" w:hAnsi="Verdana" w:cs="Arial"/>
          <w:color w:val="000000" w:themeColor="text1"/>
          <w:lang w:val="es-MX"/>
        </w:rPr>
        <w:t>.</w:t>
      </w:r>
      <w:r w:rsidRPr="00C31767">
        <w:rPr>
          <w:rFonts w:ascii="Verdana" w:hAnsi="Verdana" w:cs="Arial"/>
          <w:color w:val="000000" w:themeColor="text1"/>
          <w:lang w:val="es-ES"/>
        </w:rPr>
        <w:t xml:space="preserve"> </w:t>
      </w:r>
      <w:r w:rsidRPr="00C31767">
        <w:rPr>
          <w:rFonts w:ascii="Verdana" w:hAnsi="Verdana" w:cs="Arial"/>
          <w:color w:val="000000" w:themeColor="text1"/>
          <w:lang w:val="es-MX"/>
        </w:rPr>
        <w:t xml:space="preserve">De este modo, </w:t>
      </w:r>
      <w:r w:rsidRPr="65AD1BB5">
        <w:rPr>
          <w:rFonts w:ascii="Verdana" w:hAnsi="Verdana" w:cs="Arial"/>
          <w:color w:val="000000" w:themeColor="text1"/>
          <w:lang w:val="es-ES"/>
        </w:rPr>
        <w:t xml:space="preserve">con la aprobación de las garantías la entidad estatal </w:t>
      </w:r>
      <w:r w:rsidRPr="00C31767">
        <w:rPr>
          <w:rFonts w:ascii="Verdana" w:hAnsi="Verdana" w:cs="Arial"/>
          <w:color w:val="000000" w:themeColor="text1"/>
          <w:lang w:eastAsia="es-CO"/>
        </w:rPr>
        <w:t xml:space="preserve">estará acreditando el cumplimiento de la obligación del artículo 7 de la Ley 1150 de 2007, </w:t>
      </w:r>
      <w:r w:rsidRPr="65AD1BB5">
        <w:rPr>
          <w:rFonts w:ascii="Verdana" w:hAnsi="Verdana" w:cs="Arial"/>
          <w:color w:val="000000" w:themeColor="text1"/>
          <w:lang w:val="es-ES"/>
        </w:rPr>
        <w:t xml:space="preserve">y entonces el contrato podrá ejecutarse, siempre que se cumplan los demás requisitos establece el artículo 41 de la Ley 80 de 1993, para efectos de su posterior liquidación. </w:t>
      </w:r>
    </w:p>
    <w:p w14:paraId="053E0D6B" w14:textId="77777777" w:rsidR="004E5589" w:rsidRDefault="004E5589" w:rsidP="004E5589">
      <w:pPr>
        <w:spacing w:after="0" w:line="276" w:lineRule="auto"/>
        <w:ind w:firstLine="709"/>
        <w:jc w:val="both"/>
        <w:rPr>
          <w:rFonts w:ascii="Verdana" w:eastAsia="Times New Roman" w:hAnsi="Verdana" w:cs="Arial"/>
          <w:color w:val="1A1A1A" w:themeColor="background1" w:themeShade="1A"/>
          <w:lang w:eastAsia="es-ES_tradnl"/>
        </w:rPr>
      </w:pPr>
      <w:r>
        <w:rPr>
          <w:rFonts w:ascii="Verdana" w:eastAsia="Calibri" w:hAnsi="Verdana" w:cs="Arial"/>
          <w:lang w:val="es-ES_tradnl"/>
        </w:rPr>
        <w:t>En segundo lugar</w:t>
      </w:r>
      <w:r w:rsidRPr="00E670BC">
        <w:rPr>
          <w:rFonts w:ascii="Verdana" w:eastAsia="Calibri" w:hAnsi="Verdana" w:cs="Arial"/>
          <w:lang w:val="es-ES_tradnl"/>
        </w:rPr>
        <w:t xml:space="preserve">, </w:t>
      </w:r>
      <w:r>
        <w:rPr>
          <w:rFonts w:ascii="Verdana" w:eastAsia="Times New Roman" w:hAnsi="Verdana" w:cs="Arial"/>
          <w:color w:val="1A1A1A" w:themeColor="background1" w:themeShade="1A"/>
          <w:lang w:eastAsia="es-ES_tradnl"/>
        </w:rPr>
        <w:t>como requisito de ejecución también se tiene que</w:t>
      </w:r>
      <w:r w:rsidRPr="00E670BC">
        <w:rPr>
          <w:rFonts w:ascii="Verdana" w:eastAsia="Times New Roman" w:hAnsi="Verdana" w:cs="Arial"/>
          <w:color w:val="1A1A1A" w:themeColor="background1" w:themeShade="1A"/>
          <w:lang w:eastAsia="es-ES_tradnl"/>
        </w:rPr>
        <w:t xml:space="preserve"> el Registro Presupuestal</w:t>
      </w:r>
      <w:r>
        <w:rPr>
          <w:rFonts w:ascii="Verdana" w:eastAsia="Times New Roman" w:hAnsi="Verdana" w:cs="Arial"/>
          <w:color w:val="1A1A1A" w:themeColor="background1" w:themeShade="1A"/>
          <w:lang w:eastAsia="es-ES_tradnl"/>
        </w:rPr>
        <w:t xml:space="preserve">, al cual se hace referencia en su consulta, este </w:t>
      </w:r>
      <w:r w:rsidRPr="00E670BC">
        <w:rPr>
          <w:rFonts w:ascii="Verdana" w:eastAsia="Times New Roman" w:hAnsi="Verdana" w:cs="Arial"/>
          <w:color w:val="1A1A1A" w:themeColor="background1" w:themeShade="1A"/>
          <w:lang w:eastAsia="es-ES_tradnl"/>
        </w:rPr>
        <w:t>es necesario para iniciar la ejecución del contrato, una vez se tenga definido el valor y el plazo. En concordancia con lo anterior, el Consejo de Estado expresó respecto de la disponibilidad y el compromiso presupuestal, que:</w:t>
      </w:r>
    </w:p>
    <w:p w14:paraId="389585FB" w14:textId="77777777" w:rsidR="004E5589" w:rsidRPr="00C35401" w:rsidRDefault="004E5589" w:rsidP="004E5589">
      <w:pPr>
        <w:spacing w:after="0" w:line="276" w:lineRule="auto"/>
        <w:ind w:firstLine="709"/>
        <w:jc w:val="both"/>
        <w:rPr>
          <w:rFonts w:ascii="Verdana" w:eastAsia="Calibri" w:hAnsi="Verdana" w:cs="Arial"/>
          <w:lang w:val="es-ES"/>
        </w:rPr>
      </w:pPr>
    </w:p>
    <w:p w14:paraId="5B41CC4B" w14:textId="77777777" w:rsidR="004E5589" w:rsidRDefault="004E5589" w:rsidP="004E5589">
      <w:pPr>
        <w:pStyle w:val="Prrafodelista"/>
        <w:tabs>
          <w:tab w:val="left" w:pos="8222"/>
        </w:tabs>
        <w:spacing w:after="0" w:line="240" w:lineRule="auto"/>
        <w:ind w:left="709" w:right="709"/>
        <w:jc w:val="both"/>
        <w:rPr>
          <w:rFonts w:ascii="Verdana" w:eastAsia="Times New Roman" w:hAnsi="Verdana" w:cs="Arial"/>
          <w:color w:val="000000" w:themeColor="text1"/>
          <w:sz w:val="20"/>
          <w:szCs w:val="20"/>
          <w:u w:val="single"/>
          <w:lang w:eastAsia="es-ES_tradnl"/>
        </w:rPr>
      </w:pPr>
      <w:r w:rsidRPr="005671C4">
        <w:rPr>
          <w:rFonts w:ascii="Verdana" w:eastAsia="Times New Roman" w:hAnsi="Verdana" w:cs="Arial"/>
          <w:color w:val="000000" w:themeColor="text1"/>
          <w:sz w:val="20"/>
          <w:szCs w:val="20"/>
          <w:lang w:eastAsia="es-ES_tradnl"/>
        </w:rPr>
        <w:t xml:space="preserve">“En virtud de la expedición del certificado de disponibilidad presupuestal la entidad imprime fe de que existen los fondos necesarios para contraer determinadas obligaciones. Sin embargo, en virtud del certificado no se afecta de manera inmediata la respectiva apropiación, simplemente la aparta de forma transitoria mientras se lleva a cabo el perfeccionamiento </w:t>
      </w:r>
      <w:r w:rsidRPr="005671C4">
        <w:rPr>
          <w:rFonts w:ascii="Verdana" w:eastAsia="Times New Roman" w:hAnsi="Verdana" w:cs="Arial"/>
          <w:color w:val="000000" w:themeColor="text1"/>
          <w:sz w:val="20"/>
          <w:szCs w:val="20"/>
          <w:lang w:eastAsia="es-ES_tradnl"/>
        </w:rPr>
        <w:lastRenderedPageBreak/>
        <w:t xml:space="preserve">del compromiso presupuestal, lo cual se logra a través del registro presupuestal. En otras palabras, </w:t>
      </w:r>
      <w:r w:rsidRPr="00E670BC">
        <w:rPr>
          <w:rFonts w:ascii="Verdana" w:eastAsia="Times New Roman" w:hAnsi="Verdana" w:cs="Arial"/>
          <w:color w:val="000000" w:themeColor="text1"/>
          <w:sz w:val="20"/>
          <w:szCs w:val="20"/>
          <w:u w:val="single"/>
          <w:lang w:eastAsia="es-ES_tradnl"/>
        </w:rPr>
        <w:t xml:space="preserve">el registro presupuestal es el mecanismo mediante el cual se afecta la apropiación de forma definitiva, acto que si bien a su turno se traduce en el perfeccionamiento del compromiso presupuestal no es lo mismo que el perfeccionamiento del contrato en </w:t>
      </w:r>
    </w:p>
    <w:p w14:paraId="0647387C" w14:textId="77777777" w:rsidR="004E5589" w:rsidRPr="00E670BC" w:rsidRDefault="004E5589" w:rsidP="004E5589">
      <w:pPr>
        <w:pStyle w:val="Prrafodelista"/>
        <w:tabs>
          <w:tab w:val="left" w:pos="8222"/>
        </w:tabs>
        <w:spacing w:after="0" w:line="240" w:lineRule="auto"/>
        <w:ind w:left="709" w:right="709"/>
        <w:jc w:val="both"/>
        <w:rPr>
          <w:rFonts w:ascii="Verdana" w:eastAsia="Times New Roman" w:hAnsi="Verdana" w:cs="Arial"/>
          <w:color w:val="000000" w:themeColor="text1"/>
          <w:sz w:val="20"/>
          <w:szCs w:val="20"/>
          <w:u w:val="single"/>
          <w:lang w:eastAsia="es-ES_tradnl"/>
        </w:rPr>
      </w:pPr>
      <w:r w:rsidRPr="00E670BC">
        <w:rPr>
          <w:rFonts w:ascii="Verdana" w:eastAsia="Times New Roman" w:hAnsi="Verdana" w:cs="Arial"/>
          <w:color w:val="000000" w:themeColor="text1"/>
          <w:sz w:val="20"/>
          <w:szCs w:val="20"/>
          <w:u w:val="single"/>
          <w:lang w:eastAsia="es-ES_tradnl"/>
        </w:rPr>
        <w:t>tanto el registro se obtiene luego de que el contrato nace a la vida jurídica y no antes y además no consulta un consenso entre las</w:t>
      </w:r>
      <w:r w:rsidRPr="00E670BC">
        <w:rPr>
          <w:rFonts w:ascii="Verdana" w:eastAsia="Times New Roman" w:hAnsi="Verdana" w:cs="Arial"/>
          <w:color w:val="000000" w:themeColor="text1"/>
          <w:spacing w:val="-3"/>
          <w:sz w:val="20"/>
          <w:szCs w:val="20"/>
          <w:u w:val="single"/>
          <w:lang w:eastAsia="es-ES_tradnl"/>
        </w:rPr>
        <w:t xml:space="preserve"> </w:t>
      </w:r>
      <w:r w:rsidRPr="00E670BC">
        <w:rPr>
          <w:rFonts w:ascii="Verdana" w:eastAsia="Times New Roman" w:hAnsi="Verdana" w:cs="Arial"/>
          <w:color w:val="000000" w:themeColor="text1"/>
          <w:sz w:val="20"/>
          <w:szCs w:val="20"/>
          <w:u w:val="single"/>
          <w:lang w:eastAsia="es-ES_tradnl"/>
        </w:rPr>
        <w:t>partes</w:t>
      </w:r>
      <w:r>
        <w:rPr>
          <w:rStyle w:val="Refdenotaalpie"/>
          <w:rFonts w:ascii="Verdana" w:eastAsia="Times New Roman" w:hAnsi="Verdana" w:cs="Arial"/>
          <w:color w:val="000000" w:themeColor="text1"/>
          <w:sz w:val="20"/>
          <w:szCs w:val="20"/>
          <w:u w:val="single"/>
          <w:lang w:eastAsia="es-ES_tradnl"/>
        </w:rPr>
        <w:footnoteReference w:id="13"/>
      </w:r>
      <w:r w:rsidRPr="00E670BC">
        <w:rPr>
          <w:rFonts w:ascii="Verdana" w:eastAsia="Times New Roman" w:hAnsi="Verdana" w:cs="Arial"/>
          <w:color w:val="000000" w:themeColor="text1"/>
          <w:sz w:val="20"/>
          <w:szCs w:val="20"/>
          <w:u w:val="single"/>
          <w:lang w:eastAsia="es-ES_tradnl"/>
        </w:rPr>
        <w:t>.</w:t>
      </w:r>
      <w:r w:rsidRPr="00E670BC">
        <w:rPr>
          <w:rFonts w:ascii="Verdana" w:eastAsia="Times New Roman" w:hAnsi="Verdana" w:cs="Arial"/>
          <w:color w:val="000000" w:themeColor="text1"/>
          <w:sz w:val="20"/>
          <w:szCs w:val="20"/>
          <w:lang w:eastAsia="es-ES_tradnl"/>
        </w:rPr>
        <w:t xml:space="preserve"> (</w:t>
      </w:r>
      <w:r>
        <w:rPr>
          <w:rFonts w:ascii="Verdana" w:eastAsia="Times New Roman" w:hAnsi="Verdana" w:cs="Arial"/>
          <w:color w:val="000000" w:themeColor="text1"/>
          <w:sz w:val="20"/>
          <w:szCs w:val="20"/>
          <w:lang w:eastAsia="es-ES_tradnl"/>
        </w:rPr>
        <w:t xml:space="preserve">Subrayado </w:t>
      </w:r>
      <w:r w:rsidRPr="00E670BC">
        <w:rPr>
          <w:rFonts w:ascii="Verdana" w:eastAsia="Times New Roman" w:hAnsi="Verdana" w:cs="Arial"/>
          <w:color w:val="000000" w:themeColor="text1"/>
          <w:sz w:val="20"/>
          <w:szCs w:val="20"/>
          <w:lang w:eastAsia="es-ES_tradnl"/>
        </w:rPr>
        <w:t>fuera de texto)</w:t>
      </w:r>
    </w:p>
    <w:p w14:paraId="754E9B5A" w14:textId="77777777" w:rsidR="004E5589" w:rsidRPr="005671C4" w:rsidRDefault="004E5589" w:rsidP="004E5589">
      <w:pPr>
        <w:pStyle w:val="Prrafodelista"/>
        <w:spacing w:after="0" w:line="240" w:lineRule="auto"/>
        <w:ind w:left="851" w:right="616"/>
        <w:jc w:val="both"/>
        <w:rPr>
          <w:rFonts w:ascii="Verdana" w:eastAsia="Times New Roman" w:hAnsi="Verdana" w:cs="Arial"/>
          <w:color w:val="000000" w:themeColor="text1"/>
          <w:sz w:val="20"/>
          <w:szCs w:val="20"/>
          <w:lang w:eastAsia="es-ES_tradnl"/>
        </w:rPr>
      </w:pPr>
    </w:p>
    <w:p w14:paraId="63AAAF46" w14:textId="77777777" w:rsidR="004E5589" w:rsidRPr="005671C4" w:rsidRDefault="004E5589" w:rsidP="004E5589">
      <w:pPr>
        <w:pStyle w:val="Prrafodelista"/>
        <w:spacing w:after="0" w:line="240" w:lineRule="auto"/>
        <w:ind w:left="851" w:right="616"/>
        <w:rPr>
          <w:rFonts w:ascii="Verdana" w:eastAsia="Times New Roman" w:hAnsi="Verdana" w:cs="Arial"/>
          <w:color w:val="000000" w:themeColor="text1"/>
          <w:sz w:val="20"/>
          <w:szCs w:val="20"/>
          <w:lang w:eastAsia="es-ES_tradnl"/>
        </w:rPr>
      </w:pPr>
      <w:r w:rsidRPr="005671C4">
        <w:rPr>
          <w:rFonts w:ascii="Verdana" w:eastAsia="Times New Roman" w:hAnsi="Verdana" w:cs="Arial"/>
          <w:sz w:val="20"/>
          <w:szCs w:val="20"/>
          <w:lang w:eastAsia="es-ES_tradnl"/>
        </w:rPr>
        <w:t>[…]</w:t>
      </w:r>
    </w:p>
    <w:p w14:paraId="2612F9B5" w14:textId="77777777" w:rsidR="004E5589" w:rsidRPr="005671C4" w:rsidRDefault="004E5589" w:rsidP="004E5589">
      <w:pPr>
        <w:pStyle w:val="Prrafodelista"/>
        <w:spacing w:after="0" w:line="240" w:lineRule="auto"/>
        <w:ind w:left="1491" w:right="357"/>
        <w:jc w:val="both"/>
        <w:rPr>
          <w:rFonts w:ascii="Verdana" w:eastAsia="Times New Roman" w:hAnsi="Verdana" w:cs="Arial"/>
          <w:color w:val="000000" w:themeColor="text1"/>
          <w:sz w:val="20"/>
          <w:szCs w:val="20"/>
          <w:lang w:eastAsia="es-ES_tradnl"/>
        </w:rPr>
      </w:pPr>
    </w:p>
    <w:p w14:paraId="41025019" w14:textId="77777777" w:rsidR="004E5589" w:rsidRPr="006F2FC9" w:rsidRDefault="004E5589" w:rsidP="004E5589">
      <w:pPr>
        <w:spacing w:after="120" w:line="276" w:lineRule="auto"/>
        <w:ind w:firstLine="709"/>
        <w:jc w:val="both"/>
        <w:rPr>
          <w:rFonts w:ascii="Verdana" w:eastAsia="Times New Roman" w:hAnsi="Verdana" w:cs="Arial"/>
          <w:color w:val="1A1A1A" w:themeColor="background1" w:themeShade="1A"/>
          <w:lang w:eastAsia="es-ES_tradnl"/>
        </w:rPr>
      </w:pPr>
      <w:r w:rsidRPr="00E670BC">
        <w:rPr>
          <w:rFonts w:ascii="Verdana" w:eastAsia="Times New Roman" w:hAnsi="Verdana" w:cs="Arial"/>
          <w:color w:val="1A1A1A" w:themeColor="background1" w:themeShade="1A"/>
          <w:lang w:eastAsia="es-ES_tradnl"/>
        </w:rPr>
        <w:t xml:space="preserve">En consecuencia, el Registro Presupuestal, al ser un requisito de ejecución del contrato, normalmente se expide después de celebrado el contrato, tal como se desprende de lo establecido en el inciso segundo del artículo 41 de la Ley 80 de 1993. En todo caso, esta Agencia considera que lo importante es que se hubiere expedido antes del inicio de la ejecución contractual, por lo que su </w:t>
      </w:r>
      <w:r w:rsidRPr="006F2FC9">
        <w:rPr>
          <w:rFonts w:ascii="Verdana" w:eastAsia="Times New Roman" w:hAnsi="Verdana" w:cs="Arial"/>
          <w:color w:val="1A1A1A" w:themeColor="background1" w:themeShade="1A"/>
          <w:lang w:eastAsia="es-ES_tradnl"/>
        </w:rPr>
        <w:t>expedición previa no afecta la validez del contrato estatal.</w:t>
      </w:r>
    </w:p>
    <w:p w14:paraId="10C7A388" w14:textId="77777777" w:rsidR="004E5589" w:rsidRDefault="004E5589" w:rsidP="004E5589">
      <w:pPr>
        <w:spacing w:after="0" w:line="276" w:lineRule="auto"/>
        <w:ind w:firstLine="357"/>
        <w:jc w:val="both"/>
        <w:rPr>
          <w:rFonts w:ascii="Verdana" w:eastAsia="Arial" w:hAnsi="Verdana" w:cs="Arial"/>
        </w:rPr>
      </w:pPr>
      <w:r w:rsidRPr="001C5D9A">
        <w:rPr>
          <w:rFonts w:ascii="Verdana" w:eastAsia="Calibri" w:hAnsi="Verdana" w:cs="Arial"/>
          <w:lang w:val="es-ES"/>
        </w:rPr>
        <w:t xml:space="preserve">En tercer lugar, como requisito de ejecución se encuentra </w:t>
      </w:r>
      <w:r w:rsidRPr="006F2FC9">
        <w:rPr>
          <w:rFonts w:ascii="Verdana" w:eastAsia="Calibri" w:hAnsi="Verdana" w:cs="Arial"/>
          <w:lang w:val="es-ES"/>
        </w:rPr>
        <w:t xml:space="preserve">la acreditación del cumplimiento de las obligaciones con el Sistema de Seguridad Social Integral, al respecto </w:t>
      </w:r>
      <w:r w:rsidRPr="006F2FC9">
        <w:rPr>
          <w:rFonts w:ascii="Verdana" w:eastAsia="Arial" w:hAnsi="Verdana" w:cs="Arial"/>
        </w:rPr>
        <w:t>el texto original del artículo 41 de la Ley 80 de 1993 dispuso que los</w:t>
      </w:r>
      <w:r w:rsidRPr="000471DA">
        <w:rPr>
          <w:rFonts w:ascii="Verdana" w:eastAsia="Arial" w:hAnsi="Verdana" w:cs="Arial"/>
        </w:rPr>
        <w:t xml:space="preserve"> requisitos para perfeccionar</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contrato</w:t>
      </w:r>
      <w:r w:rsidRPr="000471DA">
        <w:rPr>
          <w:rFonts w:ascii="Verdana" w:eastAsia="Arial" w:hAnsi="Verdana" w:cs="Arial"/>
          <w:spacing w:val="-7"/>
        </w:rPr>
        <w:t xml:space="preserve"> </w:t>
      </w:r>
      <w:r w:rsidRPr="000471DA">
        <w:rPr>
          <w:rFonts w:ascii="Verdana" w:eastAsia="Arial" w:hAnsi="Verdana" w:cs="Arial"/>
        </w:rPr>
        <w:t>son:</w:t>
      </w:r>
      <w:r w:rsidRPr="000471DA">
        <w:rPr>
          <w:rFonts w:ascii="Verdana" w:eastAsia="Arial" w:hAnsi="Verdana" w:cs="Arial"/>
          <w:spacing w:val="-7"/>
        </w:rPr>
        <w:t xml:space="preserve"> </w:t>
      </w:r>
      <w:r w:rsidRPr="000471DA">
        <w:rPr>
          <w:rFonts w:ascii="Verdana" w:eastAsia="Arial" w:hAnsi="Verdana" w:cs="Arial"/>
        </w:rPr>
        <w:t>i)</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acuerdo</w:t>
      </w:r>
      <w:r w:rsidRPr="000471DA">
        <w:rPr>
          <w:rFonts w:ascii="Verdana" w:eastAsia="Arial" w:hAnsi="Verdana" w:cs="Arial"/>
          <w:spacing w:val="-6"/>
        </w:rPr>
        <w:t xml:space="preserve"> </w:t>
      </w:r>
      <w:r w:rsidRPr="000471DA">
        <w:rPr>
          <w:rFonts w:ascii="Verdana" w:eastAsia="Arial" w:hAnsi="Verdana" w:cs="Arial"/>
        </w:rPr>
        <w:t>sobre</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objeto</w:t>
      </w:r>
      <w:r w:rsidRPr="000471DA">
        <w:rPr>
          <w:rFonts w:ascii="Verdana" w:eastAsia="Arial" w:hAnsi="Verdana" w:cs="Arial"/>
          <w:spacing w:val="-7"/>
        </w:rPr>
        <w:t xml:space="preserve"> </w:t>
      </w:r>
      <w:r w:rsidRPr="000471DA">
        <w:rPr>
          <w:rFonts w:ascii="Verdana" w:eastAsia="Arial" w:hAnsi="Verdana" w:cs="Arial"/>
        </w:rPr>
        <w:t>y</w:t>
      </w:r>
      <w:r w:rsidRPr="000471DA">
        <w:rPr>
          <w:rFonts w:ascii="Verdana" w:eastAsia="Arial" w:hAnsi="Verdana" w:cs="Arial"/>
          <w:spacing w:val="-7"/>
        </w:rPr>
        <w:t xml:space="preserve"> </w:t>
      </w:r>
      <w:r w:rsidRPr="000471DA">
        <w:rPr>
          <w:rFonts w:ascii="Verdana" w:eastAsia="Arial" w:hAnsi="Verdana" w:cs="Arial"/>
        </w:rPr>
        <w:t>la</w:t>
      </w:r>
      <w:r w:rsidRPr="000471DA">
        <w:rPr>
          <w:rFonts w:ascii="Verdana" w:eastAsia="Arial" w:hAnsi="Verdana" w:cs="Arial"/>
          <w:spacing w:val="-6"/>
        </w:rPr>
        <w:t xml:space="preserve"> </w:t>
      </w:r>
      <w:r w:rsidRPr="000471DA">
        <w:rPr>
          <w:rFonts w:ascii="Verdana" w:eastAsia="Arial" w:hAnsi="Verdana" w:cs="Arial"/>
        </w:rPr>
        <w:t xml:space="preserve">contraprestación, y </w:t>
      </w:r>
      <w:proofErr w:type="spellStart"/>
      <w:r w:rsidRPr="000471DA">
        <w:rPr>
          <w:rFonts w:ascii="Verdana" w:eastAsia="Arial" w:hAnsi="Verdana" w:cs="Arial"/>
        </w:rPr>
        <w:t>ii</w:t>
      </w:r>
      <w:proofErr w:type="spellEnd"/>
      <w:r w:rsidRPr="000471DA">
        <w:rPr>
          <w:rFonts w:ascii="Verdana" w:eastAsia="Arial" w:hAnsi="Verdana" w:cs="Arial"/>
        </w:rPr>
        <w:t>) que conste por escrito. Por su parte, para iniciar la ejecución se requiere: i) la constitución</w:t>
      </w:r>
      <w:r w:rsidRPr="000471DA">
        <w:rPr>
          <w:rFonts w:ascii="Verdana" w:eastAsia="Arial" w:hAnsi="Verdana" w:cs="Arial"/>
          <w:spacing w:val="-16"/>
        </w:rPr>
        <w:t xml:space="preserve"> </w:t>
      </w:r>
      <w:r w:rsidRPr="000471DA">
        <w:rPr>
          <w:rFonts w:ascii="Verdana" w:eastAsia="Arial" w:hAnsi="Verdana" w:cs="Arial"/>
        </w:rPr>
        <w:t>y</w:t>
      </w:r>
      <w:r w:rsidRPr="000471DA">
        <w:rPr>
          <w:rFonts w:ascii="Verdana" w:eastAsia="Arial" w:hAnsi="Verdana" w:cs="Arial"/>
          <w:spacing w:val="-17"/>
        </w:rPr>
        <w:t xml:space="preserve"> </w:t>
      </w:r>
      <w:r w:rsidRPr="000471DA">
        <w:rPr>
          <w:rFonts w:ascii="Verdana" w:eastAsia="Arial" w:hAnsi="Verdana" w:cs="Arial"/>
        </w:rPr>
        <w:t>aprobación</w:t>
      </w:r>
      <w:r w:rsidRPr="000471DA">
        <w:rPr>
          <w:rFonts w:ascii="Verdana" w:eastAsia="Arial" w:hAnsi="Verdana" w:cs="Arial"/>
          <w:spacing w:val="-16"/>
        </w:rPr>
        <w:t xml:space="preserve"> </w:t>
      </w:r>
      <w:r w:rsidRPr="000471DA">
        <w:rPr>
          <w:rFonts w:ascii="Verdana" w:eastAsia="Arial" w:hAnsi="Verdana" w:cs="Arial"/>
        </w:rPr>
        <w:t>de</w:t>
      </w:r>
      <w:r w:rsidRPr="000471DA">
        <w:rPr>
          <w:rFonts w:ascii="Verdana" w:eastAsia="Arial" w:hAnsi="Verdana" w:cs="Arial"/>
          <w:spacing w:val="-16"/>
        </w:rPr>
        <w:t xml:space="preserve"> </w:t>
      </w:r>
      <w:r w:rsidRPr="000471DA">
        <w:rPr>
          <w:rFonts w:ascii="Verdana" w:eastAsia="Arial" w:hAnsi="Verdana" w:cs="Arial"/>
        </w:rPr>
        <w:t>la</w:t>
      </w:r>
      <w:r w:rsidRPr="000471DA">
        <w:rPr>
          <w:rFonts w:ascii="Verdana" w:eastAsia="Arial" w:hAnsi="Verdana" w:cs="Arial"/>
          <w:spacing w:val="-16"/>
        </w:rPr>
        <w:t xml:space="preserve"> </w:t>
      </w:r>
      <w:r w:rsidRPr="000471DA">
        <w:rPr>
          <w:rFonts w:ascii="Verdana" w:eastAsia="Arial" w:hAnsi="Verdana" w:cs="Arial"/>
        </w:rPr>
        <w:t>garantía</w:t>
      </w:r>
      <w:r w:rsidRPr="000471DA">
        <w:rPr>
          <w:rFonts w:ascii="Verdana" w:eastAsia="Arial" w:hAnsi="Verdana" w:cs="Arial"/>
          <w:spacing w:val="-16"/>
        </w:rPr>
        <w:t xml:space="preserve"> </w:t>
      </w:r>
      <w:r w:rsidRPr="000471DA">
        <w:rPr>
          <w:rFonts w:ascii="Verdana" w:eastAsia="Arial" w:hAnsi="Verdana" w:cs="Arial"/>
        </w:rPr>
        <w:t>y</w:t>
      </w:r>
      <w:r w:rsidRPr="000471DA">
        <w:rPr>
          <w:rFonts w:ascii="Verdana" w:eastAsia="Arial" w:hAnsi="Verdana" w:cs="Arial"/>
          <w:spacing w:val="-16"/>
        </w:rPr>
        <w:t xml:space="preserve"> </w:t>
      </w:r>
      <w:proofErr w:type="spellStart"/>
      <w:r w:rsidRPr="000471DA">
        <w:rPr>
          <w:rFonts w:ascii="Verdana" w:eastAsia="Arial" w:hAnsi="Verdana" w:cs="Arial"/>
        </w:rPr>
        <w:t>ii</w:t>
      </w:r>
      <w:proofErr w:type="spellEnd"/>
      <w:r w:rsidRPr="000471DA">
        <w:rPr>
          <w:rFonts w:ascii="Verdana" w:eastAsia="Arial" w:hAnsi="Verdana" w:cs="Arial"/>
        </w:rPr>
        <w:t>)</w:t>
      </w:r>
      <w:r w:rsidRPr="000471DA">
        <w:rPr>
          <w:rFonts w:ascii="Verdana" w:eastAsia="Arial" w:hAnsi="Verdana" w:cs="Arial"/>
          <w:spacing w:val="-16"/>
        </w:rPr>
        <w:t xml:space="preserve"> </w:t>
      </w:r>
      <w:r w:rsidRPr="000471DA">
        <w:rPr>
          <w:rFonts w:ascii="Verdana" w:eastAsia="Arial" w:hAnsi="Verdana" w:cs="Arial"/>
        </w:rPr>
        <w:t>la</w:t>
      </w:r>
      <w:r w:rsidRPr="000471DA">
        <w:rPr>
          <w:rFonts w:ascii="Verdana" w:eastAsia="Arial" w:hAnsi="Verdana" w:cs="Arial"/>
          <w:spacing w:val="-16"/>
        </w:rPr>
        <w:t xml:space="preserve"> </w:t>
      </w:r>
      <w:r w:rsidRPr="000471DA">
        <w:rPr>
          <w:rFonts w:ascii="Verdana" w:eastAsia="Arial" w:hAnsi="Verdana" w:cs="Arial"/>
        </w:rPr>
        <w:t>existencia</w:t>
      </w:r>
      <w:r w:rsidRPr="000471DA">
        <w:rPr>
          <w:rFonts w:ascii="Verdana" w:eastAsia="Arial" w:hAnsi="Verdana" w:cs="Arial"/>
          <w:spacing w:val="-16"/>
        </w:rPr>
        <w:t xml:space="preserve"> </w:t>
      </w:r>
      <w:r w:rsidRPr="000471DA">
        <w:rPr>
          <w:rFonts w:ascii="Verdana" w:eastAsia="Arial" w:hAnsi="Verdana" w:cs="Arial"/>
        </w:rPr>
        <w:t>del</w:t>
      </w:r>
      <w:r w:rsidRPr="000471DA">
        <w:rPr>
          <w:rFonts w:ascii="Verdana" w:eastAsia="Arial" w:hAnsi="Verdana" w:cs="Arial"/>
          <w:spacing w:val="-16"/>
        </w:rPr>
        <w:t xml:space="preserve"> </w:t>
      </w:r>
      <w:r w:rsidRPr="000471DA">
        <w:rPr>
          <w:rFonts w:ascii="Verdana" w:eastAsia="Arial" w:hAnsi="Verdana" w:cs="Arial"/>
        </w:rPr>
        <w:t>registro</w:t>
      </w:r>
      <w:r w:rsidRPr="000471DA">
        <w:rPr>
          <w:rFonts w:ascii="Verdana" w:eastAsia="Arial" w:hAnsi="Verdana" w:cs="Arial"/>
          <w:spacing w:val="-16"/>
        </w:rPr>
        <w:t xml:space="preserve"> </w:t>
      </w:r>
      <w:r w:rsidRPr="000471DA">
        <w:rPr>
          <w:rFonts w:ascii="Verdana" w:eastAsia="Arial" w:hAnsi="Verdana" w:cs="Arial"/>
        </w:rPr>
        <w:t>presupuestal,</w:t>
      </w:r>
      <w:r w:rsidRPr="000471DA">
        <w:rPr>
          <w:rFonts w:ascii="Verdana" w:eastAsia="Arial" w:hAnsi="Verdana" w:cs="Arial"/>
          <w:spacing w:val="-16"/>
        </w:rPr>
        <w:t xml:space="preserve"> </w:t>
      </w:r>
      <w:r w:rsidRPr="000471DA">
        <w:rPr>
          <w:rFonts w:ascii="Verdana" w:eastAsia="Arial" w:hAnsi="Verdana" w:cs="Arial"/>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0471DA">
        <w:rPr>
          <w:rFonts w:ascii="Verdana" w:eastAsia="Arial" w:hAnsi="Verdana" w:cs="Arial"/>
          <w:spacing w:val="-26"/>
        </w:rPr>
        <w:t xml:space="preserve"> </w:t>
      </w:r>
      <w:r w:rsidRPr="000471DA">
        <w:rPr>
          <w:rFonts w:ascii="Verdana" w:eastAsia="Arial" w:hAnsi="Verdana" w:cs="Arial"/>
        </w:rPr>
        <w:t>Integral</w:t>
      </w:r>
      <w:r>
        <w:rPr>
          <w:rFonts w:ascii="Verdana" w:eastAsia="Arial" w:hAnsi="Verdana" w:cs="Arial"/>
        </w:rPr>
        <w:t>, así:</w:t>
      </w:r>
    </w:p>
    <w:p w14:paraId="55D940B7" w14:textId="77777777" w:rsidR="004E5589" w:rsidRDefault="004E5589" w:rsidP="004E5589">
      <w:pPr>
        <w:spacing w:after="0" w:line="276" w:lineRule="auto"/>
        <w:ind w:left="425" w:right="760"/>
        <w:jc w:val="both"/>
        <w:rPr>
          <w:rFonts w:ascii="Verdana" w:hAnsi="Verdana" w:cs="Arial"/>
          <w:sz w:val="20"/>
          <w:szCs w:val="20"/>
        </w:rPr>
      </w:pPr>
    </w:p>
    <w:p w14:paraId="0A94A20C" w14:textId="77777777" w:rsidR="004E5589" w:rsidRDefault="004E5589" w:rsidP="004E5589">
      <w:pPr>
        <w:spacing w:after="0" w:line="240" w:lineRule="auto"/>
        <w:ind w:left="709" w:right="709"/>
        <w:jc w:val="both"/>
        <w:rPr>
          <w:rFonts w:ascii="Verdana" w:hAnsi="Verdana" w:cs="Arial"/>
          <w:sz w:val="20"/>
          <w:szCs w:val="20"/>
        </w:rPr>
      </w:pPr>
      <w:r>
        <w:rPr>
          <w:rFonts w:ascii="Verdana" w:hAnsi="Verdana" w:cs="Arial"/>
          <w:sz w:val="20"/>
          <w:szCs w:val="20"/>
        </w:rPr>
        <w:t>“</w:t>
      </w:r>
      <w:r w:rsidRPr="00E34471">
        <w:rPr>
          <w:rFonts w:ascii="Verdana" w:hAnsi="Verdana" w:cs="Arial"/>
          <w:sz w:val="20"/>
          <w:szCs w:val="20"/>
        </w:rPr>
        <w:t>ARTÍCULO </w:t>
      </w:r>
      <w:bookmarkStart w:id="2" w:name="BM41"/>
      <w:bookmarkStart w:id="3" w:name="41"/>
      <w:bookmarkEnd w:id="2"/>
      <w:bookmarkEnd w:id="3"/>
      <w:r w:rsidRPr="00E34471">
        <w:rPr>
          <w:rFonts w:ascii="Verdana" w:hAnsi="Verdana" w:cs="Arial"/>
          <w:sz w:val="20"/>
          <w:szCs w:val="20"/>
        </w:rPr>
        <w:t>41.-</w:t>
      </w:r>
      <w:r w:rsidRPr="00EE020F">
        <w:rPr>
          <w:rFonts w:ascii="Verdana" w:hAnsi="Verdana" w:cs="Arial"/>
          <w:b/>
          <w:bCs/>
          <w:sz w:val="20"/>
          <w:szCs w:val="20"/>
        </w:rPr>
        <w:t> </w:t>
      </w:r>
      <w:r w:rsidRPr="00EE020F">
        <w:rPr>
          <w:rFonts w:ascii="Verdana" w:hAnsi="Verdana" w:cs="Arial"/>
          <w:i/>
          <w:iCs/>
          <w:sz w:val="20"/>
          <w:szCs w:val="20"/>
        </w:rPr>
        <w:t>Del Perfeccionamiento del Contrato</w:t>
      </w:r>
      <w:r w:rsidRPr="00EE020F">
        <w:rPr>
          <w:rFonts w:ascii="Verdana" w:hAnsi="Verdana" w:cs="Arial"/>
          <w:sz w:val="20"/>
          <w:szCs w:val="20"/>
        </w:rPr>
        <w:t xml:space="preserve">. Los contratos del Estado se perfeccionan cuando se logre acuerdo sobre el objeto y la contraprestación y éste se eleve a escrito. </w:t>
      </w:r>
    </w:p>
    <w:p w14:paraId="0319599D" w14:textId="77777777" w:rsidR="004E5589" w:rsidRDefault="004E5589" w:rsidP="004E5589">
      <w:pPr>
        <w:spacing w:after="0" w:line="240" w:lineRule="auto"/>
        <w:ind w:left="709" w:right="709"/>
        <w:jc w:val="both"/>
        <w:rPr>
          <w:rFonts w:ascii="Verdana" w:hAnsi="Verdana" w:cs="Arial"/>
          <w:sz w:val="20"/>
          <w:szCs w:val="20"/>
        </w:rPr>
      </w:pPr>
    </w:p>
    <w:p w14:paraId="7E8F98CC" w14:textId="77777777" w:rsidR="004E5589" w:rsidRDefault="004E5589" w:rsidP="004E5589">
      <w:pPr>
        <w:spacing w:after="0" w:line="240" w:lineRule="auto"/>
        <w:ind w:left="709" w:right="709"/>
        <w:jc w:val="both"/>
        <w:rPr>
          <w:rFonts w:ascii="Verdana" w:hAnsi="Verdana" w:cs="Arial"/>
          <w:sz w:val="20"/>
          <w:szCs w:val="20"/>
        </w:rPr>
      </w:pPr>
      <w:r w:rsidRPr="008053CC">
        <w:rPr>
          <w:rFonts w:ascii="Verdana" w:hAnsi="Verdana" w:cs="Arial"/>
          <w:i/>
          <w:iCs/>
          <w:sz w:val="20"/>
          <w:szCs w:val="20"/>
        </w:rPr>
        <w:t>Para la ejecución se requerirá de la aprobación de la garantía y de la existencia de las disponibilidades presupuestales correspondientes</w:t>
      </w:r>
      <w:r w:rsidRPr="00E34471">
        <w:rPr>
          <w:rFonts w:ascii="Verdana" w:hAnsi="Verdana" w:cs="Arial"/>
          <w:sz w:val="20"/>
          <w:szCs w:val="20"/>
        </w:rPr>
        <w:t xml:space="preserve">, salvo </w:t>
      </w:r>
      <w:r w:rsidRPr="00E34471">
        <w:rPr>
          <w:rFonts w:ascii="Verdana" w:hAnsi="Verdana" w:cs="Arial"/>
          <w:sz w:val="20"/>
          <w:szCs w:val="20"/>
        </w:rPr>
        <w:lastRenderedPageBreak/>
        <w:t>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65E5D63A" w14:textId="77777777" w:rsidR="004E5589" w:rsidRPr="00E34471" w:rsidRDefault="004E5589" w:rsidP="004E5589">
      <w:pPr>
        <w:spacing w:after="0" w:line="240" w:lineRule="auto"/>
        <w:ind w:left="709" w:right="709"/>
        <w:jc w:val="both"/>
        <w:rPr>
          <w:rFonts w:ascii="Verdana" w:hAnsi="Verdana" w:cs="Arial"/>
          <w:sz w:val="20"/>
          <w:szCs w:val="20"/>
        </w:rPr>
      </w:pPr>
      <w:r>
        <w:rPr>
          <w:rFonts w:ascii="Verdana" w:hAnsi="Verdana" w:cs="Arial"/>
          <w:sz w:val="20"/>
          <w:szCs w:val="20"/>
        </w:rPr>
        <w:t>(…)”</w:t>
      </w:r>
    </w:p>
    <w:p w14:paraId="3D585340" w14:textId="77777777" w:rsidR="004E5589" w:rsidRDefault="004E5589" w:rsidP="004E5589">
      <w:pPr>
        <w:snapToGrid w:val="0"/>
        <w:spacing w:after="0" w:line="276" w:lineRule="auto"/>
        <w:ind w:rightChars="125" w:right="275"/>
        <w:jc w:val="both"/>
        <w:rPr>
          <w:rFonts w:ascii="Verdana" w:eastAsia="Calibri" w:hAnsi="Verdana" w:cs="Arial"/>
          <w:color w:val="6699FF"/>
          <w:lang w:val="es-ES_tradnl" w:eastAsia="es-ES"/>
        </w:rPr>
      </w:pPr>
    </w:p>
    <w:p w14:paraId="007E9279" w14:textId="77777777" w:rsidR="004E5589" w:rsidRDefault="004E5589" w:rsidP="004E5589">
      <w:pPr>
        <w:snapToGrid w:val="0"/>
        <w:spacing w:after="0" w:line="276" w:lineRule="auto"/>
        <w:ind w:rightChars="125" w:right="275"/>
        <w:jc w:val="both"/>
        <w:rPr>
          <w:rFonts w:ascii="Verdana" w:eastAsia="Calibri" w:hAnsi="Verdana" w:cs="Arial"/>
          <w:lang w:eastAsia="es-ES"/>
        </w:rPr>
      </w:pPr>
      <w:r w:rsidRPr="005D491D">
        <w:rPr>
          <w:rFonts w:ascii="Verdana" w:eastAsia="Calibri" w:hAnsi="Verdana" w:cs="Arial"/>
          <w:lang w:val="es-ES_tradnl" w:eastAsia="es-ES"/>
        </w:rPr>
        <w:t xml:space="preserve">IV). </w:t>
      </w:r>
      <w:r w:rsidRPr="004C60C6">
        <w:rPr>
          <w:rFonts w:ascii="Verdana" w:eastAsia="Calibri" w:hAnsi="Verdana" w:cs="Arial"/>
          <w:lang w:eastAsia="es-ES"/>
        </w:rPr>
        <w:t>De esta manera, para dar respuesta al objeto de la consulta, es importante precisar que, para la ejecución del contrato, el contratista debe cumplir con la obligación de constituir las garantías. Para ello, deberá presentar el respectivo instrumento para la verificación por parte de la entidad estatal, la cual procederá a su aprobación siempre que se cumplan las condiciones pactadas en el contrato.</w:t>
      </w:r>
      <w:r>
        <w:rPr>
          <w:rFonts w:ascii="Verdana" w:eastAsia="Calibri" w:hAnsi="Verdana" w:cs="Arial"/>
          <w:lang w:eastAsia="es-ES"/>
        </w:rPr>
        <w:t xml:space="preserve"> </w:t>
      </w:r>
      <w:r w:rsidRPr="008E3D23">
        <w:rPr>
          <w:rFonts w:ascii="Verdana" w:eastAsia="Calibri" w:hAnsi="Verdana" w:cs="Arial"/>
          <w:lang w:eastAsia="es-ES"/>
        </w:rPr>
        <w:t>Cabe</w:t>
      </w:r>
      <w:r>
        <w:rPr>
          <w:rFonts w:ascii="Verdana" w:eastAsia="Calibri" w:hAnsi="Verdana" w:cs="Arial"/>
          <w:lang w:eastAsia="es-ES"/>
        </w:rPr>
        <w:t xml:space="preserve"> </w:t>
      </w:r>
      <w:r w:rsidRPr="0024782E">
        <w:rPr>
          <w:rFonts w:ascii="Verdana" w:eastAsia="Calibri" w:hAnsi="Verdana" w:cs="Arial"/>
          <w:lang w:eastAsia="es-ES"/>
        </w:rPr>
        <w:t>aclarar que las garantías que debe presentar el contratista para aprobación de la entidad en el marco del artículo 41 de la ley 80 de 1993, corresponden a las garantías contractuales que cubren los riesgos asociados al contrato celebrado y a las obligaciones posteriores a su ejecución, esto es, la garantía única de cumplimiento –con sus respectivos amparos– y la garantía de responsabilidad civil extracontractual</w:t>
      </w:r>
      <w:r>
        <w:rPr>
          <w:rFonts w:ascii="Verdana" w:eastAsia="Calibri" w:hAnsi="Verdana" w:cs="Arial"/>
          <w:lang w:eastAsia="es-ES"/>
        </w:rPr>
        <w:t>.</w:t>
      </w:r>
    </w:p>
    <w:p w14:paraId="12C5E5BB" w14:textId="77777777" w:rsidR="004E5589" w:rsidRDefault="004E5589" w:rsidP="004E5589">
      <w:pPr>
        <w:snapToGrid w:val="0"/>
        <w:spacing w:after="0" w:line="276" w:lineRule="auto"/>
        <w:ind w:rightChars="125" w:right="275"/>
        <w:jc w:val="both"/>
        <w:rPr>
          <w:rFonts w:ascii="Verdana" w:eastAsia="Calibri" w:hAnsi="Verdana" w:cs="Arial"/>
          <w:lang w:eastAsia="es-ES"/>
        </w:rPr>
      </w:pPr>
    </w:p>
    <w:p w14:paraId="4D0AEC22" w14:textId="77777777" w:rsidR="004E5589" w:rsidRDefault="004E5589" w:rsidP="004E5589">
      <w:pPr>
        <w:snapToGrid w:val="0"/>
        <w:spacing w:after="0" w:line="276" w:lineRule="auto"/>
        <w:ind w:rightChars="125" w:right="275" w:firstLine="708"/>
        <w:jc w:val="both"/>
        <w:rPr>
          <w:rFonts w:ascii="Verdana" w:eastAsia="Calibri" w:hAnsi="Verdana" w:cs="Arial"/>
          <w:lang w:eastAsia="es-ES"/>
        </w:rPr>
      </w:pPr>
      <w:r w:rsidRPr="00843A86">
        <w:rPr>
          <w:rFonts w:ascii="Verdana" w:eastAsia="Calibri" w:hAnsi="Verdana" w:cs="Arial"/>
          <w:lang w:eastAsia="es-ES"/>
        </w:rPr>
        <w:t>En este contexto, la obligación de constituir las garantías contractuales y su aprobación tiene como propósito cumplir con el requisito de ejecución del contrato, pues estas se erigen como un «instrumento para salvaguardar intereses de carácter general, garantizar el adecuado cumplimiento del objeto contractual y proteger el patrimonio público de los detrimentos que se puedan causar con ocasión de eventuales incumplimientos en que incurra el contratista»</w:t>
      </w:r>
      <w:r>
        <w:rPr>
          <w:rStyle w:val="Refdenotaalpie"/>
          <w:rFonts w:ascii="Verdana" w:eastAsia="Calibri" w:hAnsi="Verdana" w:cs="Arial"/>
          <w:lang w:eastAsia="es-ES"/>
        </w:rPr>
        <w:footnoteReference w:id="14"/>
      </w:r>
      <w:r w:rsidRPr="00843A86">
        <w:rPr>
          <w:rFonts w:ascii="Verdana" w:eastAsia="Calibri" w:hAnsi="Verdana" w:cs="Arial"/>
          <w:lang w:eastAsia="es-ES"/>
        </w:rPr>
        <w:t xml:space="preserve">. En este sentido, previo a la aprobación de las garantías pactadas en el contrato, la entidad debe realizar la respectiva verificación de los amparos y suficiencia de las garantías exigidas, con la finalidad de asegurar que estas protejan el patrimonio del Estado de los perjuicios que eventualmente se derivarían de la materialización de los riesgos amparados. Esta labor de verificación por parte de la entidad implica validar el origen de las garantías y revisar «que los valores asegurados coincidan con los que se exigieron en el contrato, así como su vigencia; verificar que estén </w:t>
      </w:r>
      <w:r w:rsidRPr="00843A86">
        <w:rPr>
          <w:rFonts w:ascii="Verdana" w:eastAsia="Calibri" w:hAnsi="Verdana" w:cs="Arial"/>
          <w:lang w:eastAsia="es-ES"/>
        </w:rPr>
        <w:lastRenderedPageBreak/>
        <w:t>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w:t>
      </w:r>
      <w:r>
        <w:rPr>
          <w:rStyle w:val="Refdenotaalpie"/>
          <w:rFonts w:ascii="Verdana" w:eastAsia="Calibri" w:hAnsi="Verdana" w:cs="Arial"/>
          <w:lang w:eastAsia="es-ES"/>
        </w:rPr>
        <w:footnoteReference w:id="15"/>
      </w:r>
      <w:r>
        <w:rPr>
          <w:rFonts w:ascii="Verdana" w:eastAsia="Calibri" w:hAnsi="Verdana" w:cs="Arial"/>
          <w:lang w:eastAsia="es-ES"/>
        </w:rPr>
        <w:t>.</w:t>
      </w:r>
    </w:p>
    <w:p w14:paraId="3711B858" w14:textId="77777777" w:rsidR="004E5589" w:rsidRDefault="004E5589" w:rsidP="004E5589">
      <w:pPr>
        <w:snapToGrid w:val="0"/>
        <w:spacing w:after="0" w:line="276" w:lineRule="auto"/>
        <w:ind w:rightChars="125" w:right="275" w:firstLine="708"/>
        <w:jc w:val="both"/>
        <w:rPr>
          <w:rFonts w:ascii="Verdana" w:eastAsia="Calibri" w:hAnsi="Verdana" w:cs="Arial"/>
          <w:lang w:eastAsia="es-ES"/>
        </w:rPr>
      </w:pPr>
    </w:p>
    <w:p w14:paraId="3DD9DDFD" w14:textId="77777777" w:rsidR="004E5589" w:rsidRDefault="004E5589" w:rsidP="004E5589">
      <w:pPr>
        <w:snapToGrid w:val="0"/>
        <w:spacing w:after="0" w:line="276" w:lineRule="auto"/>
        <w:ind w:rightChars="125" w:right="275" w:firstLine="708"/>
        <w:jc w:val="both"/>
        <w:rPr>
          <w:rFonts w:ascii="Verdana" w:eastAsia="Calibri" w:hAnsi="Verdana" w:cs="Arial"/>
          <w:lang w:eastAsia="es-ES"/>
        </w:rPr>
      </w:pPr>
      <w:r w:rsidRPr="003B425B">
        <w:rPr>
          <w:rFonts w:ascii="Verdana" w:eastAsia="Calibri" w:hAnsi="Verdana" w:cs="Arial"/>
          <w:lang w:eastAsia="es-ES"/>
        </w:rPr>
        <w:t>Al respecto, debe señalarse que la Agencia Nacional de Contratación Pública y la Superintendencia Financiera de Colombia mediante Circular Conjunta 001 del 20 de agosto de 2021, impartieron instrucciones sobre los mecanismos para fortalecer la debida diligencia de los beneficiarios de pólizas de seguros, garantías y avales bancarios, y patrimonios autónomos. Su finalidad es implementar mecanismos adicionales de verificación y recordar la debida diligencia que les asiste a las entidades estatales en la validación del origen e integridad de los documentos que soportan las garantías y avales bancarios, contratos de seguro de cumplimiento y los patrimonios autónomos, sin perjuicio de la importancia del recto obrar de los proponentes y contratistas del Estado en estos asuntos. Sobre el particular, esta circular señaló lo siguiente:</w:t>
      </w:r>
    </w:p>
    <w:p w14:paraId="6A25FA77" w14:textId="77777777" w:rsidR="004E5589" w:rsidRDefault="004E5589" w:rsidP="004E5589">
      <w:pPr>
        <w:snapToGrid w:val="0"/>
        <w:spacing w:after="0" w:line="276" w:lineRule="auto"/>
        <w:ind w:rightChars="125" w:right="275" w:firstLine="708"/>
        <w:jc w:val="both"/>
        <w:rPr>
          <w:rFonts w:ascii="Verdana" w:eastAsia="Calibri" w:hAnsi="Verdana" w:cs="Arial"/>
          <w:lang w:eastAsia="es-ES"/>
        </w:rPr>
      </w:pPr>
    </w:p>
    <w:p w14:paraId="4E0692FA" w14:textId="77777777" w:rsidR="004E5589" w:rsidRDefault="004E5589" w:rsidP="004E5589">
      <w:pPr>
        <w:snapToGrid w:val="0"/>
        <w:spacing w:after="0" w:line="240" w:lineRule="auto"/>
        <w:ind w:left="709" w:right="709"/>
        <w:jc w:val="both"/>
        <w:rPr>
          <w:rFonts w:ascii="Verdana" w:eastAsia="Calibri" w:hAnsi="Verdana" w:cs="Arial"/>
          <w:lang w:eastAsia="es-ES"/>
        </w:rPr>
      </w:pPr>
      <w:r w:rsidRPr="0007424B">
        <w:rPr>
          <w:rFonts w:ascii="Verdana" w:eastAsia="Calibri" w:hAnsi="Verdana" w:cs="Arial"/>
          <w:lang w:eastAsia="es-ES"/>
        </w:rPr>
        <w:t xml:space="preserve">PRIMERA: Las entidades vigiladas por la Superintendencia Financiera de Colombia deberán ajustar los procedimientos actualmente existentes para facilitar a los beneficiarios e interesados, la confirmación del origen, características y elementos relevantes de las garantías bancarias, los contratos de seguro de cumplimiento y los patrimonios autónomos otorgados como garantías, los cuales deben ser expedidos a través de documentos electrónicos integrales con valor legal y técnicamente asegurados mediante firmado digital y estampado cronológico, además de poseer mecanismos tecnológicos como pueden ser códigos QR, hash, alfanuméricos o CUFE, entre otros, que permitan la verificación en línea, por Internet o a través de aplicaciones móviles. </w:t>
      </w:r>
    </w:p>
    <w:p w14:paraId="6D41624D" w14:textId="77777777" w:rsidR="004E5589" w:rsidRDefault="004E5589" w:rsidP="004E5589">
      <w:pPr>
        <w:snapToGrid w:val="0"/>
        <w:spacing w:after="0" w:line="240" w:lineRule="auto"/>
        <w:ind w:left="709" w:right="709"/>
        <w:jc w:val="both"/>
        <w:rPr>
          <w:rFonts w:ascii="Verdana" w:eastAsia="Calibri" w:hAnsi="Verdana" w:cs="Arial"/>
          <w:lang w:eastAsia="es-ES"/>
        </w:rPr>
      </w:pPr>
    </w:p>
    <w:p w14:paraId="006509E1" w14:textId="77777777" w:rsidR="004E5589" w:rsidRDefault="004E5589" w:rsidP="004E5589">
      <w:pPr>
        <w:snapToGrid w:val="0"/>
        <w:spacing w:after="0" w:line="240" w:lineRule="auto"/>
        <w:ind w:left="709" w:right="709"/>
        <w:jc w:val="both"/>
        <w:rPr>
          <w:rFonts w:ascii="Verdana" w:eastAsia="Calibri" w:hAnsi="Verdana" w:cs="Arial"/>
          <w:lang w:eastAsia="es-ES"/>
        </w:rPr>
      </w:pPr>
      <w:r w:rsidRPr="0007424B">
        <w:rPr>
          <w:rFonts w:ascii="Verdana" w:eastAsia="Calibri" w:hAnsi="Verdana" w:cs="Arial"/>
          <w:lang w:eastAsia="es-ES"/>
        </w:rPr>
        <w:t xml:space="preserve">Lo anterior, con el propósito de garantizar su validez, integridad y completitud. Adicionalmente, deberán disponer de un punto de </w:t>
      </w:r>
      <w:r w:rsidRPr="0007424B">
        <w:rPr>
          <w:rFonts w:ascii="Verdana" w:eastAsia="Calibri" w:hAnsi="Verdana" w:cs="Arial"/>
          <w:lang w:eastAsia="es-ES"/>
        </w:rPr>
        <w:lastRenderedPageBreak/>
        <w:t>contacto telefónico o virtual para que las entidades del Estado puedan solicitar cualquier requerimiento orientado a absolver las consultas que sobre el particular sean pertinentes.</w:t>
      </w:r>
    </w:p>
    <w:p w14:paraId="3F38B16A" w14:textId="77777777" w:rsidR="004E5589" w:rsidRDefault="004E5589" w:rsidP="004E5589">
      <w:pPr>
        <w:snapToGrid w:val="0"/>
        <w:spacing w:after="0" w:line="240" w:lineRule="auto"/>
        <w:ind w:left="709" w:right="709"/>
        <w:jc w:val="both"/>
        <w:rPr>
          <w:rFonts w:ascii="Verdana" w:eastAsia="Calibri" w:hAnsi="Verdana" w:cs="Arial"/>
          <w:lang w:eastAsia="es-ES"/>
        </w:rPr>
      </w:pPr>
      <w:r w:rsidRPr="0007424B">
        <w:rPr>
          <w:rFonts w:ascii="Verdana" w:eastAsia="Calibri" w:hAnsi="Verdana" w:cs="Arial"/>
          <w:lang w:eastAsia="es-ES"/>
        </w:rPr>
        <w:t xml:space="preserve"> </w:t>
      </w:r>
    </w:p>
    <w:p w14:paraId="7CFAFD95" w14:textId="77777777" w:rsidR="004E5589" w:rsidRDefault="004E5589" w:rsidP="004E5589">
      <w:pPr>
        <w:snapToGrid w:val="0"/>
        <w:spacing w:after="0" w:line="240" w:lineRule="auto"/>
        <w:ind w:left="709" w:right="709"/>
        <w:jc w:val="both"/>
        <w:rPr>
          <w:rFonts w:ascii="Verdana" w:eastAsia="Calibri" w:hAnsi="Verdana" w:cs="Arial"/>
          <w:lang w:eastAsia="es-ES"/>
        </w:rPr>
      </w:pPr>
      <w:r w:rsidRPr="0007424B">
        <w:rPr>
          <w:rFonts w:ascii="Verdana" w:eastAsia="Calibri" w:hAnsi="Verdana" w:cs="Arial"/>
          <w:lang w:eastAsia="es-ES"/>
        </w:rPr>
        <w:t xml:space="preserve">Asimismo, las Entidades Públicas deberán acudir a los mecanismos de verificación en línea que se encuentran previstos en el presente artículo, con el propósito de verificar la validez, idoneidad y suficiencia de los documentos que se entregan como soporte de las garantías que amparan los contratos estatales. </w:t>
      </w:r>
    </w:p>
    <w:p w14:paraId="43DF2FB2" w14:textId="77777777" w:rsidR="004E5589" w:rsidRDefault="004E5589" w:rsidP="004E5589">
      <w:pPr>
        <w:snapToGrid w:val="0"/>
        <w:spacing w:after="0" w:line="240" w:lineRule="auto"/>
        <w:ind w:left="709" w:right="709"/>
        <w:jc w:val="both"/>
        <w:rPr>
          <w:rFonts w:ascii="Verdana" w:eastAsia="Calibri" w:hAnsi="Verdana" w:cs="Arial"/>
          <w:lang w:eastAsia="es-ES"/>
        </w:rPr>
      </w:pPr>
    </w:p>
    <w:p w14:paraId="64358F29" w14:textId="77777777" w:rsidR="004E5589" w:rsidRPr="003B425B" w:rsidRDefault="004E5589" w:rsidP="004E5589">
      <w:pPr>
        <w:snapToGrid w:val="0"/>
        <w:spacing w:after="0" w:line="240" w:lineRule="auto"/>
        <w:ind w:left="709" w:right="709"/>
        <w:jc w:val="both"/>
        <w:rPr>
          <w:rFonts w:ascii="Verdana" w:eastAsia="Calibri" w:hAnsi="Verdana" w:cs="Arial"/>
          <w:lang w:val="es-ES_tradnl" w:eastAsia="es-ES"/>
        </w:rPr>
      </w:pPr>
      <w:r w:rsidRPr="0007424B">
        <w:rPr>
          <w:rFonts w:ascii="Verdana" w:eastAsia="Calibri" w:hAnsi="Verdana" w:cs="Arial"/>
          <w:lang w:eastAsia="es-ES"/>
        </w:rPr>
        <w:t>Esta verificación deberá realizarse de manera previa a que las entidades públicas aprueben o rechacen las garantías. Del mencionado acto de consulta, se dejará constancia expresa en el expediente contractual. [….]</w:t>
      </w:r>
    </w:p>
    <w:p w14:paraId="75C20D61" w14:textId="77777777" w:rsidR="004E5589" w:rsidRDefault="004E5589" w:rsidP="004E5589">
      <w:pPr>
        <w:spacing w:afterLines="120" w:after="288" w:line="276" w:lineRule="auto"/>
        <w:contextualSpacing/>
        <w:jc w:val="both"/>
        <w:rPr>
          <w:rFonts w:ascii="Verdana" w:eastAsia="Calibri" w:hAnsi="Verdana" w:cs="Arial"/>
          <w:color w:val="6699FF"/>
          <w:lang w:val="es-ES_tradnl" w:eastAsia="es-ES"/>
        </w:rPr>
      </w:pPr>
    </w:p>
    <w:p w14:paraId="30883B40" w14:textId="77777777" w:rsidR="004E5589" w:rsidRPr="009C2F89" w:rsidRDefault="004E5589" w:rsidP="004E5589">
      <w:pPr>
        <w:spacing w:afterLines="120" w:after="288" w:line="276" w:lineRule="auto"/>
        <w:ind w:firstLine="708"/>
        <w:contextualSpacing/>
        <w:jc w:val="both"/>
        <w:rPr>
          <w:rFonts w:ascii="Verdana" w:eastAsia="Calibri" w:hAnsi="Verdana" w:cs="Arial"/>
          <w:lang w:eastAsia="es-ES"/>
        </w:rPr>
      </w:pPr>
      <w:r w:rsidRPr="009C2F89">
        <w:rPr>
          <w:rFonts w:ascii="Verdana" w:eastAsia="Calibri" w:hAnsi="Verdana" w:cs="Arial"/>
          <w:lang w:eastAsia="es-ES"/>
        </w:rPr>
        <w:t xml:space="preserve">De acuerdo con lo anterior, las entidades públicas deberán acudir a los mecanismos de verificación en línea que se encuentran previstos en esa circular, con el propósito de verificar la validez, idoneidad y suficiencia de los documentos que se entregan como soporte de las garantías que amparan los contratos estatales. Esta verificación deberá realizarse de manera previa a que las entidades públicas aprueben o rechacen las garantías y deberá dejarse constancia expresa en el expediente contractual de la consulta realizada. </w:t>
      </w:r>
    </w:p>
    <w:p w14:paraId="7555C736" w14:textId="77777777" w:rsidR="004E5589" w:rsidRPr="009C2F89" w:rsidRDefault="004E5589" w:rsidP="004E5589">
      <w:pPr>
        <w:spacing w:afterLines="120" w:after="288" w:line="276" w:lineRule="auto"/>
        <w:ind w:firstLine="708"/>
        <w:contextualSpacing/>
        <w:jc w:val="both"/>
        <w:rPr>
          <w:rFonts w:ascii="Verdana" w:eastAsia="Calibri" w:hAnsi="Verdana" w:cs="Arial"/>
          <w:lang w:eastAsia="es-ES"/>
        </w:rPr>
      </w:pPr>
    </w:p>
    <w:p w14:paraId="76C84EF6" w14:textId="77777777" w:rsidR="004E5589" w:rsidRDefault="004E5589" w:rsidP="004E5589">
      <w:pPr>
        <w:spacing w:afterLines="120" w:after="288" w:line="276" w:lineRule="auto"/>
        <w:ind w:firstLine="708"/>
        <w:contextualSpacing/>
        <w:jc w:val="both"/>
      </w:pPr>
      <w:r w:rsidRPr="009C2F89">
        <w:rPr>
          <w:rFonts w:ascii="Verdana" w:eastAsia="Calibri" w:hAnsi="Verdana" w:cs="Arial"/>
          <w:lang w:eastAsia="es-ES"/>
        </w:rPr>
        <w:t xml:space="preserve">El proceso mediante el cual los contratistas presentan estas garantías a la entidad estatal para su verificación y su consecuente aprobación o rechazo es realizado a través del SECOP II, tratándose de entidades que llevan su gestión contractual por medio de dicha plataforma. Para tales efectos, el </w:t>
      </w:r>
      <w:r>
        <w:rPr>
          <w:rFonts w:ascii="Verdana" w:eastAsia="Calibri" w:hAnsi="Verdana" w:cs="Arial"/>
          <w:lang w:eastAsia="es-ES"/>
        </w:rPr>
        <w:t>capítulo</w:t>
      </w:r>
      <w:r w:rsidRPr="009C2F89">
        <w:rPr>
          <w:rFonts w:ascii="Verdana" w:eastAsia="Calibri" w:hAnsi="Verdana" w:cs="Arial"/>
          <w:lang w:eastAsia="es-ES"/>
        </w:rPr>
        <w:t xml:space="preserve"> «</w:t>
      </w:r>
      <w:r>
        <w:rPr>
          <w:rFonts w:ascii="Verdana" w:eastAsia="Calibri" w:hAnsi="Verdana" w:cs="Arial"/>
          <w:lang w:eastAsia="es-ES"/>
        </w:rPr>
        <w:t>4</w:t>
      </w:r>
      <w:r w:rsidRPr="009C2F89">
        <w:rPr>
          <w:rFonts w:ascii="Verdana" w:eastAsia="Calibri" w:hAnsi="Verdana" w:cs="Arial"/>
          <w:lang w:eastAsia="es-ES"/>
        </w:rPr>
        <w:t>. Requisitos de ejecución</w:t>
      </w:r>
      <w:r>
        <w:rPr>
          <w:rFonts w:ascii="Verdana" w:eastAsia="Calibri" w:hAnsi="Verdana" w:cs="Arial"/>
          <w:lang w:eastAsia="es-ES"/>
        </w:rPr>
        <w:t xml:space="preserve"> del contrato</w:t>
      </w:r>
      <w:r w:rsidRPr="009C2F89">
        <w:rPr>
          <w:rFonts w:ascii="Verdana" w:eastAsia="Calibri" w:hAnsi="Verdana" w:cs="Arial"/>
          <w:lang w:eastAsia="es-ES"/>
        </w:rPr>
        <w:t>» de la «</w:t>
      </w:r>
      <w:r w:rsidRPr="0029017D">
        <w:t xml:space="preserve"> </w:t>
      </w:r>
      <w:r w:rsidRPr="0029017D">
        <w:rPr>
          <w:rFonts w:ascii="Verdana" w:eastAsia="Calibri" w:hAnsi="Verdana" w:cs="Arial"/>
          <w:lang w:eastAsia="es-ES"/>
        </w:rPr>
        <w:t xml:space="preserve">SECOP II - Gestión contractual para Entidades Estatales </w:t>
      </w:r>
      <w:r w:rsidRPr="009C2F89">
        <w:rPr>
          <w:rFonts w:ascii="Verdana" w:eastAsia="Calibri" w:hAnsi="Verdana" w:cs="Arial"/>
          <w:lang w:eastAsia="es-ES"/>
        </w:rPr>
        <w:t>»</w:t>
      </w:r>
      <w:r>
        <w:rPr>
          <w:rFonts w:ascii="Verdana" w:eastAsia="Calibri" w:hAnsi="Verdana" w:cs="Arial"/>
          <w:lang w:eastAsia="es-ES"/>
        </w:rPr>
        <w:t xml:space="preserve"> detalla </w:t>
      </w:r>
      <w:r w:rsidRPr="00D86C8E">
        <w:rPr>
          <w:rFonts w:ascii="Verdana" w:eastAsia="Calibri" w:hAnsi="Verdana" w:cs="Arial"/>
          <w:lang w:eastAsia="es-ES"/>
        </w:rPr>
        <w:t>el procedimiento a seguir por parte de la entidad contratante para aprobar a través del SECOP II las garantías presentadas por el contratista. Si bien estos instrumentos solo se refieren a aspectos propios del uso del SECOP II como herramienta tecnológica para la gestión contractual, las indicaciones brindadas respecto de los procesos de presentación y aprobación de garantías constituyen insumos de valiosa importancia dado el carácter transaccional de dicha plataforma. En este sentido, una vez verificada la validez de las garantías y determinado el cumplimiento de estas con sujeción al contrato, la entidad debe aprobarlas a través del SECOP II, cuando aplique.</w:t>
      </w:r>
    </w:p>
    <w:p w14:paraId="7D8A2661" w14:textId="77777777" w:rsidR="004E5589" w:rsidRPr="0001793B" w:rsidRDefault="004E5589" w:rsidP="004E5589">
      <w:pPr>
        <w:spacing w:afterLines="120" w:after="288" w:line="276" w:lineRule="auto"/>
        <w:ind w:firstLine="708"/>
        <w:contextualSpacing/>
        <w:jc w:val="both"/>
      </w:pPr>
    </w:p>
    <w:p w14:paraId="37EF508C" w14:textId="77777777" w:rsidR="004E5589" w:rsidRDefault="004E5589" w:rsidP="004E5589">
      <w:pPr>
        <w:spacing w:afterLines="120" w:after="288" w:line="276" w:lineRule="auto"/>
        <w:ind w:firstLine="708"/>
        <w:contextualSpacing/>
        <w:jc w:val="both"/>
        <w:rPr>
          <w:rFonts w:ascii="Verdana" w:eastAsia="Calibri" w:hAnsi="Verdana" w:cs="Arial"/>
          <w:lang w:eastAsia="es-ES"/>
        </w:rPr>
      </w:pPr>
      <w:r w:rsidRPr="00CD53BE">
        <w:rPr>
          <w:rFonts w:ascii="Verdana" w:eastAsia="Calibri" w:hAnsi="Verdana" w:cs="Arial"/>
          <w:lang w:eastAsia="es-ES"/>
        </w:rPr>
        <w:lastRenderedPageBreak/>
        <w:t>De este modo, con la aprobación de las garantías la entidad estatal estará acreditando el cumplimiento de la obligación del artículo 7 de la Ley 1150 de 2007, y entonces el contrato podrá ser ejecutado, siempre que se cumplan los demás requisitos de ejecución que establece el artículo 41 de la Ley 80 de 1993.</w:t>
      </w:r>
    </w:p>
    <w:p w14:paraId="72F1E7B1" w14:textId="77777777" w:rsidR="004E5589" w:rsidRDefault="004E5589" w:rsidP="004E5589">
      <w:pPr>
        <w:spacing w:afterLines="120" w:after="288" w:line="276" w:lineRule="auto"/>
        <w:ind w:firstLine="708"/>
        <w:contextualSpacing/>
        <w:jc w:val="both"/>
        <w:rPr>
          <w:rFonts w:ascii="Verdana" w:eastAsia="Calibri" w:hAnsi="Verdana" w:cs="Arial"/>
          <w:lang w:eastAsia="es-ES"/>
        </w:rPr>
      </w:pPr>
    </w:p>
    <w:p w14:paraId="45527387" w14:textId="77777777" w:rsidR="004E5589" w:rsidRDefault="004E5589" w:rsidP="004E5589">
      <w:pPr>
        <w:spacing w:afterLines="120" w:after="288" w:line="276" w:lineRule="auto"/>
        <w:ind w:firstLine="708"/>
        <w:contextualSpacing/>
        <w:jc w:val="both"/>
        <w:rPr>
          <w:rFonts w:ascii="Verdana" w:eastAsia="Calibri" w:hAnsi="Verdana" w:cs="Arial"/>
          <w:lang w:eastAsia="es-ES"/>
        </w:rPr>
      </w:pPr>
      <w:r w:rsidRPr="0001793B">
        <w:rPr>
          <w:rFonts w:ascii="Verdana" w:eastAsia="Calibri" w:hAnsi="Verdana" w:cs="Arial"/>
          <w:lang w:eastAsia="es-ES"/>
        </w:rPr>
        <w:t xml:space="preserve">Ahora bien, revisadas las leyes 80 de 1993 y 1150 de 2007, al igual que el Decreto 1082 de 2015 y demás normas integrantes del Estatuto General de Contratación de la Administración Pública, no se advierte la obligación de comunicar o notificar la aprobación de las garantías a la compañía aseguradora. Esto no implica de ninguna manera que las garantías no produzcan sus efectos jurídicos de asegurar el contrato, ni afecta la validez o eficacia de las mismas, puesto que la comunicación de dicha aprobación no es un requisito exigido en materia de contratación estatal para cubrir los riesgos amparados por el contrato. </w:t>
      </w:r>
    </w:p>
    <w:p w14:paraId="0726D032" w14:textId="77777777" w:rsidR="004E5589" w:rsidRPr="00101404" w:rsidRDefault="004E5589" w:rsidP="004E5589">
      <w:pPr>
        <w:spacing w:afterLines="120" w:after="288" w:line="276" w:lineRule="auto"/>
        <w:ind w:firstLine="708"/>
        <w:contextualSpacing/>
        <w:jc w:val="both"/>
        <w:rPr>
          <w:rFonts w:ascii="Verdana" w:eastAsia="Calibri" w:hAnsi="Verdana" w:cs="Arial"/>
          <w:lang w:eastAsia="es-ES"/>
        </w:rPr>
      </w:pPr>
      <w:r w:rsidRPr="00101404">
        <w:rPr>
          <w:rFonts w:ascii="Verdana" w:eastAsia="Calibri" w:hAnsi="Verdana" w:cs="Arial"/>
          <w:lang w:eastAsia="es-ES"/>
        </w:rPr>
        <w:t>De esta manera, con la aprobación de las garantías la entidad estatal acepta que estas fueron previamente expedidas por las compañías autorizadas y que se encuentran ajustadas al contrato y, por ende, se entiende cumplido el requisito de ejecución del artículo 41 de la Ley 80 de 1993. En otras palabras, el acto de aprobación de la entidad es una validación del contenido de la garantía cuya existencia se reputa con anterioridad a dicha aprobación. En este sentido, no es necesaria la comunicación de la aprobación de las garantías a la compañía aseguradora para que esta surta sus efectos jurídicos.</w:t>
      </w:r>
    </w:p>
    <w:p w14:paraId="770DD2F2" w14:textId="77777777" w:rsidR="004E5589" w:rsidRDefault="004E5589" w:rsidP="004E5589">
      <w:pPr>
        <w:spacing w:afterLines="120" w:after="288" w:line="276" w:lineRule="auto"/>
        <w:ind w:firstLine="708"/>
        <w:contextualSpacing/>
        <w:jc w:val="both"/>
        <w:rPr>
          <w:rFonts w:ascii="Verdana" w:eastAsia="Calibri" w:hAnsi="Verdana" w:cs="Arial"/>
          <w:lang w:eastAsia="es-ES"/>
        </w:rPr>
      </w:pPr>
      <w:r w:rsidRPr="00101404">
        <w:rPr>
          <w:rFonts w:ascii="Verdana" w:eastAsia="Calibri" w:hAnsi="Verdana" w:cs="Arial"/>
          <w:lang w:eastAsia="es-ES"/>
        </w:rPr>
        <w:t>En todo caso, las entidades, conforme a lo señalado en la Circular Conjunta 001 de 2021, previo a la aprobación de las garantías como requisito de ejecución, deben verificar la validez, idoneidad y suficiencia de los documentos que se entregan como soporte de las garantías que amparan los contratos estatales, en los términos establecidos en dicha circular.</w:t>
      </w:r>
    </w:p>
    <w:p w14:paraId="68628460" w14:textId="77777777" w:rsidR="004E5589" w:rsidRPr="009C2F89" w:rsidRDefault="004E5589" w:rsidP="004E5589">
      <w:pPr>
        <w:spacing w:afterLines="120" w:after="288" w:line="276" w:lineRule="auto"/>
        <w:ind w:firstLine="708"/>
        <w:contextualSpacing/>
        <w:jc w:val="both"/>
        <w:rPr>
          <w:rFonts w:ascii="Verdana" w:eastAsia="Calibri" w:hAnsi="Verdana" w:cs="Arial"/>
          <w:lang w:val="es-ES_tradnl" w:eastAsia="es-ES"/>
        </w:rPr>
      </w:pPr>
    </w:p>
    <w:p w14:paraId="267D3776" w14:textId="77777777" w:rsidR="004E5589" w:rsidRDefault="004E5589" w:rsidP="004E5589">
      <w:pPr>
        <w:spacing w:afterLines="120" w:after="288" w:line="276" w:lineRule="auto"/>
        <w:contextualSpacing/>
        <w:jc w:val="both"/>
        <w:rPr>
          <w:rFonts w:ascii="Verdana" w:eastAsia="Calibri" w:hAnsi="Verdana" w:cs="Times New Roman"/>
          <w:lang w:val="es-ES"/>
        </w:rPr>
      </w:pPr>
      <w:r>
        <w:rPr>
          <w:rFonts w:ascii="Verdana" w:eastAsia="Calibri" w:hAnsi="Verdana" w:cs="Times New Roman"/>
          <w:lang w:val="es-ES"/>
        </w:rPr>
        <w:t>V).</w:t>
      </w:r>
      <w:r w:rsidRPr="008566B3">
        <w:rPr>
          <w:rFonts w:ascii="Verdana" w:eastAsia="Calibri" w:hAnsi="Verdana" w:cs="Times New Roman"/>
          <w:lang w:val="es-ES"/>
        </w:rPr>
        <w:t xml:space="preserve"> </w:t>
      </w:r>
      <w:r w:rsidRPr="00AC6029">
        <w:rPr>
          <w:rFonts w:ascii="Verdana" w:eastAsia="Calibri" w:hAnsi="Verdana" w:cs="Times New Roman"/>
          <w:lang w:val="es-ES"/>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2CC56284" w14:textId="77777777" w:rsidR="004E5589" w:rsidRDefault="004E5589" w:rsidP="004E5589">
      <w:pPr>
        <w:spacing w:afterLines="120" w:after="288" w:line="276" w:lineRule="auto"/>
        <w:contextualSpacing/>
        <w:jc w:val="both"/>
        <w:rPr>
          <w:rFonts w:ascii="Verdana" w:eastAsia="Calibri" w:hAnsi="Verdana" w:cs="Times New Roman"/>
          <w:lang w:val="es-ES"/>
        </w:rPr>
      </w:pPr>
    </w:p>
    <w:p w14:paraId="2B6121B8" w14:textId="77777777" w:rsidR="004E5589" w:rsidRPr="00AC6029" w:rsidRDefault="004E5589" w:rsidP="004E5589">
      <w:pPr>
        <w:spacing w:afterLines="120" w:after="288" w:line="276" w:lineRule="auto"/>
        <w:ind w:firstLine="360"/>
        <w:contextualSpacing/>
        <w:jc w:val="both"/>
        <w:rPr>
          <w:rFonts w:ascii="Verdana" w:eastAsia="Calibri" w:hAnsi="Verdana" w:cs="Times New Roman"/>
          <w:lang w:val="es-ES"/>
        </w:rPr>
      </w:pPr>
      <w:r>
        <w:rPr>
          <w:rFonts w:ascii="Verdana" w:eastAsia="Calibri" w:hAnsi="Verdana" w:cs="Times New Roman"/>
          <w:lang w:val="es-ES"/>
        </w:rPr>
        <w:t xml:space="preserve"> </w:t>
      </w:r>
      <w:r w:rsidRPr="00AC6029">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857596C" w14:textId="77777777" w:rsidR="004E5589" w:rsidRPr="00012946" w:rsidRDefault="004E5589" w:rsidP="004E5589">
      <w:pPr>
        <w:snapToGrid w:val="0"/>
        <w:spacing w:after="0" w:line="276" w:lineRule="auto"/>
        <w:ind w:rightChars="125" w:right="275"/>
        <w:jc w:val="both"/>
        <w:rPr>
          <w:rFonts w:ascii="Verdana" w:eastAsia="Calibri" w:hAnsi="Verdana" w:cs="Arial"/>
          <w:color w:val="6699FF"/>
          <w:lang w:val="es-ES" w:eastAsia="es-ES"/>
        </w:rPr>
      </w:pPr>
    </w:p>
    <w:p w14:paraId="5A0E6C4F" w14:textId="77777777" w:rsidR="004E5589" w:rsidRPr="003C2A6A" w:rsidRDefault="004E5589" w:rsidP="004E5589">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C2A6A">
        <w:rPr>
          <w:rFonts w:ascii="Verdana" w:eastAsia="Century Gothic" w:hAnsi="Verdana" w:cs="Century Gothic"/>
          <w:b/>
          <w:bCs/>
          <w:lang w:val="es-ES_tradnl"/>
        </w:rPr>
        <w:t>Referencias normativas, jurisprudenciales y otras fuentes:</w:t>
      </w:r>
    </w:p>
    <w:p w14:paraId="765DF800" w14:textId="77777777" w:rsidR="004E5589" w:rsidRPr="003C2A6A" w:rsidRDefault="004E5589" w:rsidP="004E5589">
      <w:pPr>
        <w:tabs>
          <w:tab w:val="left" w:pos="970"/>
        </w:tabs>
        <w:spacing w:after="0" w:line="276" w:lineRule="auto"/>
        <w:ind w:left="-15840"/>
        <w:jc w:val="both"/>
        <w:rPr>
          <w:rFonts w:ascii="Verdana" w:eastAsia="Calibri" w:hAnsi="Verdana" w:cs="Arial"/>
          <w:b/>
          <w:bCs/>
        </w:rPr>
      </w:pPr>
      <w:r w:rsidRPr="003C2A6A">
        <w:rPr>
          <w:rFonts w:ascii="Verdana" w:eastAsia="Calibri" w:hAnsi="Verdana" w:cs="Arial"/>
          <w:b/>
          <w:bCs/>
        </w:rPr>
        <w:t>4. Referencias normativas, jurisprudenciales y otras fuentes:</w:t>
      </w:r>
      <w:r w:rsidRPr="003C2A6A">
        <w:rPr>
          <w:rFonts w:ascii="Verdana" w:eastAsia="Calibri" w:hAnsi="Verdana" w:cs="Arial"/>
          <w:b/>
          <w:bCs/>
        </w:rPr>
        <w:tab/>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E5589" w:rsidRPr="00155CC1" w14:paraId="4D311C5E" w14:textId="77777777" w:rsidTr="00617A63">
        <w:trPr>
          <w:trHeight w:val="242"/>
        </w:trPr>
        <w:tc>
          <w:tcPr>
            <w:tcW w:w="8647" w:type="dxa"/>
            <w:tcBorders>
              <w:top w:val="dotted" w:sz="4" w:space="0" w:color="auto"/>
              <w:left w:val="dotted" w:sz="4" w:space="0" w:color="auto"/>
              <w:bottom w:val="dotted" w:sz="4" w:space="0" w:color="auto"/>
              <w:right w:val="dotted" w:sz="4" w:space="0" w:color="auto"/>
            </w:tcBorders>
          </w:tcPr>
          <w:p w14:paraId="0E000805" w14:textId="77777777" w:rsidR="004E5589" w:rsidRPr="008B6DD4" w:rsidRDefault="004E5589" w:rsidP="00617A63">
            <w:pPr>
              <w:widowControl w:val="0"/>
              <w:autoSpaceDE w:val="0"/>
              <w:autoSpaceDN w:val="0"/>
              <w:snapToGrid w:val="0"/>
              <w:spacing w:after="120" w:line="276" w:lineRule="auto"/>
              <w:ind w:left="714"/>
              <w:jc w:val="both"/>
              <w:rPr>
                <w:rFonts w:ascii="Verdana" w:eastAsia="Calibri" w:hAnsi="Verdana" w:cs="Arial"/>
                <w:lang w:val="es-ES_tradnl"/>
              </w:rPr>
            </w:pPr>
          </w:p>
          <w:p w14:paraId="32407093" w14:textId="77777777" w:rsidR="004E5589" w:rsidRPr="008B6DD4" w:rsidRDefault="004E5589" w:rsidP="004E5589">
            <w:pPr>
              <w:widowControl w:val="0"/>
              <w:numPr>
                <w:ilvl w:val="0"/>
                <w:numId w:val="17"/>
              </w:numPr>
              <w:autoSpaceDE w:val="0"/>
              <w:autoSpaceDN w:val="0"/>
              <w:spacing w:after="120" w:line="276" w:lineRule="auto"/>
              <w:jc w:val="both"/>
              <w:rPr>
                <w:rFonts w:ascii="Verdana" w:hAnsi="Verdana" w:cs="Arial"/>
              </w:rPr>
            </w:pPr>
            <w:r w:rsidRPr="008B6DD4">
              <w:rPr>
                <w:rFonts w:ascii="Verdana" w:hAnsi="Verdana" w:cs="Arial"/>
              </w:rPr>
              <w:t xml:space="preserve">Código Civil: </w:t>
            </w:r>
            <w:r w:rsidRPr="008B6DD4">
              <w:rPr>
                <w:rFonts w:ascii="Verdana" w:eastAsia="Aptos" w:hAnsi="Verdana" w:cs="Arial"/>
              </w:rPr>
              <w:t>Artículos 1500, 1501.</w:t>
            </w:r>
          </w:p>
          <w:p w14:paraId="6D2B7930" w14:textId="77777777" w:rsidR="004E5589" w:rsidRPr="008B6DD4" w:rsidRDefault="004E5589" w:rsidP="004E5589">
            <w:pPr>
              <w:widowControl w:val="0"/>
              <w:numPr>
                <w:ilvl w:val="0"/>
                <w:numId w:val="17"/>
              </w:numPr>
              <w:autoSpaceDE w:val="0"/>
              <w:autoSpaceDN w:val="0"/>
              <w:spacing w:after="120" w:line="276" w:lineRule="auto"/>
              <w:jc w:val="both"/>
              <w:rPr>
                <w:rFonts w:ascii="Verdana" w:hAnsi="Verdana" w:cs="Arial"/>
              </w:rPr>
            </w:pPr>
            <w:r w:rsidRPr="008B6DD4">
              <w:rPr>
                <w:rFonts w:ascii="Verdana" w:hAnsi="Verdana" w:cs="Arial"/>
              </w:rPr>
              <w:t>Ley 80 de 1993: Artículo 41</w:t>
            </w:r>
          </w:p>
          <w:p w14:paraId="37D512B6" w14:textId="77777777" w:rsidR="004E5589" w:rsidRPr="008B6DD4" w:rsidRDefault="004E5589" w:rsidP="004E5589">
            <w:pPr>
              <w:widowControl w:val="0"/>
              <w:numPr>
                <w:ilvl w:val="0"/>
                <w:numId w:val="17"/>
              </w:numPr>
              <w:autoSpaceDE w:val="0"/>
              <w:autoSpaceDN w:val="0"/>
              <w:spacing w:after="120" w:line="276" w:lineRule="auto"/>
              <w:jc w:val="both"/>
              <w:rPr>
                <w:rFonts w:ascii="Verdana" w:hAnsi="Verdana" w:cs="Arial"/>
              </w:rPr>
            </w:pPr>
            <w:r w:rsidRPr="008B6DD4">
              <w:rPr>
                <w:rFonts w:ascii="Verdana" w:hAnsi="Verdana" w:cs="Arial"/>
                <w:lang w:val="es-ES"/>
              </w:rPr>
              <w:t>Ley 1150 de 2007: Artículo 7</w:t>
            </w:r>
          </w:p>
          <w:p w14:paraId="043B95BB" w14:textId="77777777" w:rsidR="004E5589" w:rsidRPr="008B6DD4" w:rsidRDefault="004E5589" w:rsidP="004E5589">
            <w:pPr>
              <w:widowControl w:val="0"/>
              <w:numPr>
                <w:ilvl w:val="0"/>
                <w:numId w:val="17"/>
              </w:numPr>
              <w:autoSpaceDE w:val="0"/>
              <w:autoSpaceDN w:val="0"/>
              <w:spacing w:after="120" w:line="276" w:lineRule="auto"/>
              <w:jc w:val="both"/>
              <w:rPr>
                <w:rFonts w:ascii="Verdana" w:hAnsi="Verdana" w:cs="Arial"/>
              </w:rPr>
            </w:pPr>
            <w:r w:rsidRPr="008B6DD4">
              <w:rPr>
                <w:rFonts w:ascii="Verdana" w:hAnsi="Verdana" w:cs="Arial"/>
                <w:lang w:eastAsia="es-CO"/>
              </w:rPr>
              <w:t>Decreto 1082 de 2015: Artículos 2.2.1.2.3.1.1., Artículo 2.2.1.2.3.1.3, 2.2.1.3.1.7, 2.2.1.2.3.1.12</w:t>
            </w:r>
          </w:p>
          <w:p w14:paraId="7CEBD097" w14:textId="77777777" w:rsidR="004E5589" w:rsidRPr="008B6DD4" w:rsidRDefault="004E5589" w:rsidP="004E5589">
            <w:pPr>
              <w:widowControl w:val="0"/>
              <w:numPr>
                <w:ilvl w:val="0"/>
                <w:numId w:val="17"/>
              </w:numPr>
              <w:autoSpaceDE w:val="0"/>
              <w:autoSpaceDN w:val="0"/>
              <w:spacing w:after="120" w:line="276" w:lineRule="auto"/>
              <w:jc w:val="both"/>
              <w:rPr>
                <w:rFonts w:ascii="Verdana" w:hAnsi="Verdana" w:cs="Arial"/>
              </w:rPr>
            </w:pPr>
            <w:r w:rsidRPr="008B6DD4">
              <w:rPr>
                <w:rFonts w:ascii="Verdana" w:hAnsi="Verdana" w:cs="Arial"/>
              </w:rPr>
              <w:t xml:space="preserve">CONSEJO DE ESTADO. Sala de lo Contencioso Administrativo. Sección Tercera. Subsección B. Sentencia del 10 de mayo de 2018. </w:t>
            </w:r>
            <w:proofErr w:type="spellStart"/>
            <w:r w:rsidRPr="008B6DD4">
              <w:rPr>
                <w:rFonts w:ascii="Verdana" w:hAnsi="Verdana" w:cs="Arial"/>
              </w:rPr>
              <w:t>Exp</w:t>
            </w:r>
            <w:proofErr w:type="spellEnd"/>
            <w:r w:rsidRPr="008B6DD4">
              <w:rPr>
                <w:rFonts w:ascii="Verdana" w:hAnsi="Verdana" w:cs="Arial"/>
              </w:rPr>
              <w:t>. 41.186. C.P. Stella Conto Díaz del Castillo.</w:t>
            </w:r>
          </w:p>
          <w:p w14:paraId="7DAE30C1" w14:textId="77777777" w:rsidR="004E5589" w:rsidRPr="008B6DD4" w:rsidRDefault="004E5589" w:rsidP="004E5589">
            <w:pPr>
              <w:widowControl w:val="0"/>
              <w:numPr>
                <w:ilvl w:val="0"/>
                <w:numId w:val="17"/>
              </w:numPr>
              <w:autoSpaceDE w:val="0"/>
              <w:autoSpaceDN w:val="0"/>
              <w:spacing w:after="120" w:line="276" w:lineRule="auto"/>
              <w:jc w:val="both"/>
              <w:rPr>
                <w:rFonts w:ascii="Verdana" w:hAnsi="Verdana" w:cs="Arial"/>
              </w:rPr>
            </w:pPr>
            <w:r w:rsidRPr="008B6DD4">
              <w:rPr>
                <w:rFonts w:ascii="Verdana" w:hAnsi="Verdana" w:cs="Arial"/>
                <w:lang w:val="es-ES"/>
              </w:rPr>
              <w:t xml:space="preserve">CONSEJO DE ESTADO. Sala de lo Contencioso Administrativo. Sección Tercera. Subsección C. Sentencia del 12 de agosto de 2014. Expediente: </w:t>
            </w:r>
            <w:r w:rsidRPr="008B6DD4">
              <w:rPr>
                <w:rFonts w:ascii="Verdana" w:hAnsi="Verdana" w:cs="Arial"/>
              </w:rPr>
              <w:t>28.565.</w:t>
            </w:r>
            <w:r w:rsidRPr="008B6DD4">
              <w:rPr>
                <w:rFonts w:ascii="Verdana" w:hAnsi="Verdana" w:cs="Arial"/>
                <w:lang w:val="es-ES"/>
              </w:rPr>
              <w:t xml:space="preserve"> C.P: Enrique Gil Botero</w:t>
            </w:r>
            <w:r w:rsidRPr="008B6DD4">
              <w:rPr>
                <w:rFonts w:ascii="Verdana" w:hAnsi="Verdana" w:cs="Arial"/>
              </w:rPr>
              <w:t>.</w:t>
            </w:r>
          </w:p>
          <w:p w14:paraId="1E915EB7" w14:textId="77777777" w:rsidR="004E5589" w:rsidRPr="008B6DD4" w:rsidRDefault="004E5589" w:rsidP="004E5589">
            <w:pPr>
              <w:pStyle w:val="Prrafodelista"/>
              <w:numPr>
                <w:ilvl w:val="0"/>
                <w:numId w:val="17"/>
              </w:numPr>
              <w:spacing w:line="276" w:lineRule="auto"/>
              <w:rPr>
                <w:rFonts w:ascii="Verdana" w:hAnsi="Verdana" w:cs="Arial"/>
                <w:lang w:val="es-CO"/>
              </w:rPr>
            </w:pPr>
            <w:r w:rsidRPr="008B6DD4">
              <w:rPr>
                <w:rFonts w:ascii="Verdana" w:hAnsi="Verdana" w:cs="Arial"/>
                <w:lang w:val="es-CO"/>
              </w:rPr>
              <w:t>CONSEJO DE ESTADO. Sección Tercera, Subsección A. Sentencia del 14 de junio del 2019. Radicación número: 11001 03 26 000 2009 00047 00 (36860). C.P: Carlos Alberto Zambrano Barrera.</w:t>
            </w:r>
          </w:p>
          <w:p w14:paraId="49EB5D09" w14:textId="77777777" w:rsidR="004E5589" w:rsidRPr="008B6DD4" w:rsidRDefault="004E5589" w:rsidP="004E5589">
            <w:pPr>
              <w:widowControl w:val="0"/>
              <w:numPr>
                <w:ilvl w:val="0"/>
                <w:numId w:val="17"/>
              </w:numPr>
              <w:autoSpaceDE w:val="0"/>
              <w:autoSpaceDN w:val="0"/>
              <w:spacing w:after="120" w:line="276" w:lineRule="auto"/>
              <w:jc w:val="both"/>
              <w:rPr>
                <w:rFonts w:ascii="Verdana" w:hAnsi="Verdana" w:cs="Arial"/>
              </w:rPr>
            </w:pPr>
            <w:r w:rsidRPr="008B6DD4">
              <w:rPr>
                <w:rFonts w:ascii="Verdana" w:hAnsi="Verdana" w:cs="Arial"/>
              </w:rPr>
              <w:t>CONSEJO DE ESTADO, Sección Segunda, Subsección A. Sentencia del 25 de enero del 2018. Radicación número: 11001-03-25-000-2011-00489-00(1924-11). C.P: Gabriel Valbuena Hernández.</w:t>
            </w:r>
          </w:p>
          <w:p w14:paraId="655CF1D7" w14:textId="77777777" w:rsidR="004E5589" w:rsidRPr="001E2104" w:rsidRDefault="004E5589" w:rsidP="004E5589">
            <w:pPr>
              <w:widowControl w:val="0"/>
              <w:numPr>
                <w:ilvl w:val="0"/>
                <w:numId w:val="17"/>
              </w:numPr>
              <w:autoSpaceDE w:val="0"/>
              <w:autoSpaceDN w:val="0"/>
              <w:spacing w:after="120" w:line="276" w:lineRule="auto"/>
              <w:jc w:val="both"/>
              <w:rPr>
                <w:rFonts w:ascii="Verdana" w:hAnsi="Verdana" w:cs="Arial"/>
                <w:color w:val="6699FF"/>
              </w:rPr>
            </w:pPr>
            <w:r w:rsidRPr="008B6DD4">
              <w:rPr>
                <w:rFonts w:ascii="Verdana" w:hAnsi="Verdana"/>
              </w:rPr>
              <w:t xml:space="preserve">CONSEJO DE ESTADO. sala de consulta y servicio civil. Sentencia del 26 de julio de 2007. </w:t>
            </w:r>
            <w:proofErr w:type="spellStart"/>
            <w:r w:rsidRPr="008B6DD4">
              <w:rPr>
                <w:rFonts w:ascii="Verdana" w:hAnsi="Verdana"/>
              </w:rPr>
              <w:t>Exp</w:t>
            </w:r>
            <w:proofErr w:type="spellEnd"/>
            <w:r w:rsidRPr="008B6DD4">
              <w:rPr>
                <w:rFonts w:ascii="Verdana" w:hAnsi="Verdana"/>
              </w:rPr>
              <w:t>. 1832. C.P. Luis Fernando Álvarez Jaramillo.</w:t>
            </w:r>
          </w:p>
          <w:p w14:paraId="39B6C190" w14:textId="77777777" w:rsidR="004E5589" w:rsidRPr="008B6DD4" w:rsidRDefault="004E5589" w:rsidP="004E5589">
            <w:pPr>
              <w:widowControl w:val="0"/>
              <w:numPr>
                <w:ilvl w:val="0"/>
                <w:numId w:val="17"/>
              </w:numPr>
              <w:autoSpaceDE w:val="0"/>
              <w:autoSpaceDN w:val="0"/>
              <w:spacing w:after="120" w:line="276" w:lineRule="auto"/>
              <w:jc w:val="both"/>
              <w:rPr>
                <w:rFonts w:ascii="Verdana" w:hAnsi="Verdana" w:cs="Arial"/>
              </w:rPr>
            </w:pPr>
            <w:r w:rsidRPr="008B6DD4">
              <w:rPr>
                <w:rFonts w:ascii="Verdana" w:hAnsi="Verdana" w:cs="Arial"/>
                <w:lang w:val="es-ES"/>
              </w:rPr>
              <w:t xml:space="preserve">EXPÓSITO VÉLEZ, Juan Carlos. Forma y contenido del contrato </w:t>
            </w:r>
            <w:r w:rsidRPr="008B6DD4">
              <w:rPr>
                <w:rFonts w:ascii="Verdana" w:hAnsi="Verdana" w:cs="Arial"/>
                <w:lang w:val="es-ES"/>
              </w:rPr>
              <w:lastRenderedPageBreak/>
              <w:t>estatal. Bogotá: Universidad Externado de Colombia, 2013. pp. 28-29.</w:t>
            </w:r>
          </w:p>
          <w:p w14:paraId="332C7FD7" w14:textId="77777777" w:rsidR="004E5589" w:rsidRPr="00155CC1" w:rsidRDefault="004E5589" w:rsidP="00617A63">
            <w:pPr>
              <w:widowControl w:val="0"/>
              <w:autoSpaceDE w:val="0"/>
              <w:autoSpaceDN w:val="0"/>
              <w:spacing w:after="120" w:line="276" w:lineRule="auto"/>
              <w:ind w:left="360"/>
              <w:jc w:val="both"/>
              <w:rPr>
                <w:rFonts w:ascii="Verdana" w:hAnsi="Verdana" w:cs="Arial"/>
                <w:color w:val="6699FF"/>
              </w:rPr>
            </w:pPr>
          </w:p>
        </w:tc>
      </w:tr>
    </w:tbl>
    <w:p w14:paraId="701A2401" w14:textId="77777777" w:rsidR="004E5589" w:rsidRPr="00155CC1" w:rsidRDefault="004E5589" w:rsidP="004E5589">
      <w:pPr>
        <w:tabs>
          <w:tab w:val="left" w:pos="142"/>
          <w:tab w:val="left" w:pos="284"/>
        </w:tabs>
        <w:spacing w:after="0" w:line="276" w:lineRule="auto"/>
        <w:jc w:val="both"/>
        <w:rPr>
          <w:rFonts w:ascii="Verdana" w:eastAsia="Calibri" w:hAnsi="Verdana" w:cs="Arial"/>
          <w:color w:val="6699FF"/>
        </w:rPr>
      </w:pPr>
    </w:p>
    <w:p w14:paraId="35E41CBF" w14:textId="77777777" w:rsidR="004E5589" w:rsidRPr="0026211F" w:rsidRDefault="004E5589" w:rsidP="004E5589">
      <w:pPr>
        <w:tabs>
          <w:tab w:val="left" w:pos="142"/>
          <w:tab w:val="left" w:pos="284"/>
        </w:tabs>
        <w:spacing w:after="0" w:line="276" w:lineRule="auto"/>
        <w:jc w:val="both"/>
        <w:rPr>
          <w:rFonts w:ascii="Verdana" w:eastAsia="Century Gothic" w:hAnsi="Verdana" w:cs="Century Gothic"/>
          <w:b/>
          <w:bCs/>
          <w:lang w:val="es-ES"/>
        </w:rPr>
      </w:pPr>
      <w:r w:rsidRPr="0026211F">
        <w:rPr>
          <w:rFonts w:ascii="Verdana" w:eastAsia="Calibri" w:hAnsi="Verdana" w:cs="Arial"/>
          <w:b/>
          <w:bCs/>
        </w:rPr>
        <w:t>5</w:t>
      </w:r>
      <w:r w:rsidRPr="0026211F">
        <w:rPr>
          <w:rFonts w:ascii="Verdana" w:eastAsia="Calibri" w:hAnsi="Verdana" w:cs="Arial"/>
        </w:rPr>
        <w:t>.</w:t>
      </w:r>
      <w:r w:rsidRPr="0026211F">
        <w:rPr>
          <w:rFonts w:ascii="Verdana" w:eastAsia="Century Gothic" w:hAnsi="Verdana" w:cs="Century Gothic"/>
          <w:b/>
          <w:bCs/>
          <w:lang w:val="es-ES"/>
        </w:rPr>
        <w:t>Doctrina de la Agencia Nacional de Contratación Pública:</w:t>
      </w:r>
    </w:p>
    <w:p w14:paraId="0B2F91E6" w14:textId="77777777" w:rsidR="004E5589" w:rsidRPr="00F72403" w:rsidRDefault="004E5589" w:rsidP="004E5589">
      <w:pPr>
        <w:spacing w:after="0" w:line="276" w:lineRule="auto"/>
        <w:jc w:val="both"/>
        <w:rPr>
          <w:rFonts w:ascii="Verdana" w:eastAsia="Calibri" w:hAnsi="Verdana" w:cs="Arial"/>
          <w:highlight w:val="yellow"/>
          <w:lang w:eastAsia="es-ES_tradnl"/>
        </w:rPr>
      </w:pPr>
    </w:p>
    <w:p w14:paraId="3AFCD51C" w14:textId="77777777" w:rsidR="004E5589" w:rsidRPr="003C2A6A" w:rsidRDefault="004E5589" w:rsidP="004E5589">
      <w:pPr>
        <w:spacing w:after="0" w:line="276" w:lineRule="auto"/>
        <w:jc w:val="both"/>
        <w:rPr>
          <w:rFonts w:ascii="Verdana" w:eastAsia="Calibri" w:hAnsi="Verdana" w:cs="Arial"/>
        </w:rPr>
      </w:pPr>
      <w:r w:rsidRPr="00F41FCA">
        <w:rPr>
          <w:rFonts w:ascii="Verdana" w:eastAsia="Calibri" w:hAnsi="Verdana" w:cs="Arial"/>
          <w:shd w:val="clear" w:color="auto" w:fill="FFFFFF"/>
        </w:rPr>
        <w:t xml:space="preserve">La Agencia Nacional de Contratación Pública – Colombia Compra Eficiente se pronunció sobre </w:t>
      </w:r>
      <w:r>
        <w:rPr>
          <w:rFonts w:ascii="Verdana" w:eastAsia="Calibri" w:hAnsi="Verdana" w:cs="Arial"/>
          <w:shd w:val="clear" w:color="auto" w:fill="FFFFFF"/>
        </w:rPr>
        <w:t xml:space="preserve">los requisitos de perfeccionamiento y ejecución de los contratos estatales en los </w:t>
      </w:r>
      <w:r w:rsidRPr="00382853">
        <w:rPr>
          <w:rFonts w:ascii="Verdana" w:eastAsia="Calibri" w:hAnsi="Verdana" w:cs="Arial"/>
          <w:shd w:val="clear" w:color="auto" w:fill="FFFFFF"/>
        </w:rPr>
        <w:t xml:space="preserve">conceptos </w:t>
      </w:r>
      <w:r w:rsidRPr="00945DBF">
        <w:rPr>
          <w:rStyle w:val="normaltextrun"/>
          <w:rFonts w:ascii="Verdana" w:hAnsi="Verdana" w:cs="Arial"/>
          <w:shd w:val="clear" w:color="auto" w:fill="FFFFFF"/>
          <w:lang w:val="es-ES"/>
        </w:rPr>
        <w:t>C-042 de 5 de febrero de 2020</w:t>
      </w:r>
      <w:r>
        <w:rPr>
          <w:rStyle w:val="normaltextrun"/>
          <w:rFonts w:ascii="Verdana" w:hAnsi="Verdana" w:cs="Arial"/>
          <w:shd w:val="clear" w:color="auto" w:fill="FFFFFF"/>
          <w:lang w:val="es-ES"/>
        </w:rPr>
        <w:t xml:space="preserve">, </w:t>
      </w:r>
      <w:r w:rsidRPr="00382853">
        <w:rPr>
          <w:rFonts w:ascii="Verdana" w:eastAsia="Calibri" w:hAnsi="Verdana" w:cs="Arial"/>
          <w:shd w:val="clear" w:color="auto" w:fill="FFFFFF"/>
        </w:rPr>
        <w:t xml:space="preserve">C-797 del 22 de enero de 2021, </w:t>
      </w:r>
      <w:r w:rsidRPr="00382853">
        <w:rPr>
          <w:rFonts w:ascii="Verdana" w:eastAsia="Calibri" w:hAnsi="Verdana" w:cs="Arial"/>
          <w:lang w:val="es-ES"/>
        </w:rPr>
        <w:t xml:space="preserve">C–638 de 2022, </w:t>
      </w:r>
      <w:r>
        <w:rPr>
          <w:rFonts w:ascii="Verdana" w:eastAsia="Calibri" w:hAnsi="Verdana" w:cs="Arial"/>
          <w:lang w:val="es-ES"/>
        </w:rPr>
        <w:t xml:space="preserve">C-545 del 11 de octubre de 2024, C-801 del 12 de diciembre de 2024 , </w:t>
      </w:r>
      <w:r w:rsidRPr="00382853">
        <w:rPr>
          <w:rFonts w:ascii="Verdana" w:eastAsia="Calibri" w:hAnsi="Verdana" w:cs="Arial"/>
          <w:lang w:val="es-ES"/>
        </w:rPr>
        <w:t xml:space="preserve">C-464 del 16 de mayo de 2025, </w:t>
      </w:r>
      <w:r w:rsidRPr="001C5D9A">
        <w:rPr>
          <w:rFonts w:ascii="Verdana" w:eastAsia="Calibri" w:hAnsi="Verdana" w:cs="Arial"/>
          <w:lang w:val="es-ES" w:eastAsia="es-ES"/>
        </w:rPr>
        <w:t>C- 857 del 6 de agosto 2025</w:t>
      </w:r>
      <w:r w:rsidRPr="00D54BE1">
        <w:rPr>
          <w:rFonts w:ascii="Verdana" w:hAnsi="Verdana" w:cs="Arial"/>
          <w:shd w:val="clear" w:color="auto" w:fill="FFFFFF"/>
        </w:rPr>
        <w:t>,</w:t>
      </w:r>
      <w:r>
        <w:rPr>
          <w:rFonts w:ascii="Verdana" w:hAnsi="Verdana" w:cs="Arial"/>
          <w:shd w:val="clear" w:color="auto" w:fill="FFFFFF"/>
        </w:rPr>
        <w:t xml:space="preserve"> </w:t>
      </w:r>
      <w:r w:rsidRPr="00107AC4">
        <w:rPr>
          <w:rFonts w:ascii="Verdana" w:eastAsia="Calibri" w:hAnsi="Verdana" w:cs="Arial"/>
          <w:lang w:val="es-ES" w:eastAsia="es-ES"/>
        </w:rPr>
        <w:t>C- 5</w:t>
      </w:r>
      <w:r w:rsidRPr="00107AC4">
        <w:rPr>
          <w:rFonts w:ascii="Verdana" w:eastAsia="Calibri" w:hAnsi="Verdana" w:cs="Arial"/>
          <w:lang w:eastAsia="es-ES"/>
        </w:rPr>
        <w:t>36</w:t>
      </w:r>
      <w:r w:rsidRPr="00107AC4">
        <w:rPr>
          <w:rFonts w:ascii="Verdana" w:eastAsia="Calibri" w:hAnsi="Verdana" w:cs="Arial"/>
          <w:lang w:val="es-ES" w:eastAsia="es-ES"/>
        </w:rPr>
        <w:t xml:space="preserve"> </w:t>
      </w:r>
      <w:r w:rsidRPr="00DB0CF3">
        <w:rPr>
          <w:rFonts w:ascii="Verdana" w:eastAsia="Calibri" w:hAnsi="Verdana" w:cs="Arial"/>
          <w:lang w:val="es-ES" w:eastAsia="es-ES"/>
        </w:rPr>
        <w:t xml:space="preserve">del 11 de junio de </w:t>
      </w:r>
      <w:r w:rsidRPr="00107AC4">
        <w:rPr>
          <w:rFonts w:ascii="Verdana" w:eastAsia="Calibri" w:hAnsi="Verdana" w:cs="Arial"/>
          <w:lang w:val="es-ES" w:eastAsia="es-ES"/>
        </w:rPr>
        <w:t>2025</w:t>
      </w:r>
      <w:r>
        <w:rPr>
          <w:rFonts w:ascii="Verdana" w:eastAsia="Calibri" w:hAnsi="Verdana" w:cs="Arial"/>
          <w:lang w:val="es-ES" w:eastAsia="es-ES"/>
        </w:rPr>
        <w:t xml:space="preserve">, </w:t>
      </w:r>
      <w:r w:rsidRPr="00B06D46">
        <w:rPr>
          <w:rFonts w:ascii="Verdana" w:eastAsia="Calibri" w:hAnsi="Verdana" w:cs="Arial"/>
          <w:lang w:val="es-ES" w:eastAsia="es-ES"/>
        </w:rPr>
        <w:t>C -1481 de</w:t>
      </w:r>
      <w:r>
        <w:rPr>
          <w:rFonts w:ascii="Verdana" w:eastAsia="Calibri" w:hAnsi="Verdana" w:cs="Arial"/>
          <w:lang w:val="es-ES" w:eastAsia="es-ES"/>
        </w:rPr>
        <w:t>l 30 de octubre de</w:t>
      </w:r>
      <w:r w:rsidRPr="00B06D46">
        <w:rPr>
          <w:rFonts w:ascii="Verdana" w:eastAsia="Calibri" w:hAnsi="Verdana" w:cs="Arial"/>
          <w:lang w:val="es-ES" w:eastAsia="es-ES"/>
        </w:rPr>
        <w:t xml:space="preserve"> 2025</w:t>
      </w:r>
      <w:r>
        <w:rPr>
          <w:rFonts w:ascii="Verdana" w:eastAsia="Calibri" w:hAnsi="Verdana" w:cs="Arial"/>
          <w:lang w:val="es-ES" w:eastAsia="es-ES"/>
        </w:rPr>
        <w:t xml:space="preserve"> y C-107 del </w:t>
      </w:r>
      <w:r>
        <w:rPr>
          <w:rFonts w:ascii="Verdana" w:eastAsia="Calibri" w:hAnsi="Verdana" w:cs="Arial"/>
          <w:lang w:eastAsia="es-ES"/>
        </w:rPr>
        <w:t>23 de febrero de 2026</w:t>
      </w:r>
      <w:r>
        <w:rPr>
          <w:rFonts w:ascii="Verdana" w:eastAsia="Calibri" w:hAnsi="Verdana" w:cs="Arial"/>
          <w:lang w:val="es-ES" w:eastAsia="es-ES"/>
        </w:rPr>
        <w:t xml:space="preserve">  </w:t>
      </w:r>
      <w:r w:rsidRPr="00382853">
        <w:rPr>
          <w:rFonts w:ascii="Verdana" w:eastAsia="Calibri" w:hAnsi="Verdana" w:cs="Arial"/>
          <w:lang w:val="es-ES"/>
        </w:rPr>
        <w:t xml:space="preserve">entre otros. </w:t>
      </w:r>
      <w:r w:rsidRPr="00240C45">
        <w:rPr>
          <w:rFonts w:ascii="Verdana" w:eastAsia="Calibri" w:hAnsi="Verdana" w:cs="Arial"/>
        </w:rPr>
        <w:t xml:space="preserve">Estos y otros conceptos se encuentran disponibles para consulta en el Sistema de relatoría de la Agencia, al cual se puede acceder a través del siguiente enlace: </w:t>
      </w:r>
      <w:hyperlink r:id="rId12" w:history="1">
        <w:r w:rsidRPr="00DE636B">
          <w:rPr>
            <w:rStyle w:val="Hipervnculo"/>
            <w:rFonts w:ascii="Verdana" w:eastAsia="Calibri" w:hAnsi="Verdana" w:cs="Arial"/>
          </w:rPr>
          <w:t>https://relatoria.colombiacompra.gov.co/busqueda/conceptos</w:t>
        </w:r>
      </w:hyperlink>
      <w:r w:rsidRPr="00240C45">
        <w:rPr>
          <w:rFonts w:ascii="Verdana" w:eastAsia="Calibri" w:hAnsi="Verdana" w:cs="Arial"/>
        </w:rPr>
        <w:t>.</w:t>
      </w:r>
    </w:p>
    <w:p w14:paraId="108861A0" w14:textId="77777777" w:rsidR="004E5589" w:rsidRPr="00EF54B1" w:rsidRDefault="004E5589" w:rsidP="004E5589">
      <w:pPr>
        <w:spacing w:after="0" w:line="240" w:lineRule="auto"/>
        <w:jc w:val="both"/>
        <w:rPr>
          <w:rFonts w:ascii="Verdana" w:eastAsia="Calibri" w:hAnsi="Verdana" w:cs="Arial"/>
          <w:color w:val="000000" w:themeColor="text1"/>
          <w:shd w:val="clear" w:color="auto" w:fill="FFFFFF"/>
        </w:rPr>
      </w:pPr>
    </w:p>
    <w:p w14:paraId="5B15F16B" w14:textId="77777777" w:rsidR="004E5589" w:rsidRPr="00EF54B1" w:rsidRDefault="004E5589" w:rsidP="004E5589">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r w:rsidRPr="00EF54B1">
        <w:rPr>
          <w:rFonts w:ascii="Verdana" w:eastAsia="Calibri" w:hAnsi="Verdana" w:cs="Arial"/>
          <w:color w:val="000000" w:themeColor="text1"/>
          <w:kern w:val="2"/>
          <w:shd w:val="clear" w:color="auto" w:fill="FFFFFF"/>
          <w:lang w:val="es-ES_tradnl"/>
          <w14:ligatures w14:val="standardContextual"/>
        </w:rPr>
        <w:t>La</w:t>
      </w:r>
      <w:r w:rsidRPr="00EF54B1">
        <w:rPr>
          <w:rFonts w:ascii="Verdana" w:eastAsia="Calibri" w:hAnsi="Verdana"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eastAsia="Calibri" w:hAnsi="Verdana"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eastAsia="Calibri" w:hAnsi="Verdana" w:cs="Arial"/>
          <w:b/>
          <w:bCs/>
          <w:color w:val="000000" w:themeColor="text1"/>
          <w:kern w:val="2"/>
          <w:shd w:val="clear" w:color="auto" w:fill="FFFFFF"/>
          <w:lang w:val="es-ES_tradnl"/>
          <w14:ligatures w14:val="standardContextual"/>
        </w:rPr>
        <w:t>Documentos Tipo</w:t>
      </w:r>
      <w:r w:rsidRPr="00EF54B1">
        <w:rPr>
          <w:rFonts w:ascii="Verdana" w:eastAsia="Calibri" w:hAnsi="Verdana"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eastAsia="Calibri" w:hAnsi="Verdana" w:cs="Arial"/>
          <w:b/>
          <w:bCs/>
          <w:color w:val="000000" w:themeColor="text1"/>
          <w:kern w:val="2"/>
          <w:shd w:val="clear" w:color="auto" w:fill="FFFFFF"/>
          <w:lang w:val="es-ES_tradnl"/>
          <w14:ligatures w14:val="standardContextual"/>
        </w:rPr>
        <w:t>transparencia</w:t>
      </w:r>
      <w:r w:rsidRPr="00EF54B1">
        <w:rPr>
          <w:rFonts w:ascii="Verdana" w:eastAsia="Calibri" w:hAnsi="Verdana" w:cs="Arial"/>
          <w:color w:val="000000" w:themeColor="text1"/>
          <w:kern w:val="2"/>
          <w:shd w:val="clear" w:color="auto" w:fill="FFFFFF"/>
          <w:lang w:val="es-ES_tradnl"/>
          <w14:ligatures w14:val="standardContextual"/>
        </w:rPr>
        <w:t> y promover un proceso de </w:t>
      </w:r>
      <w:r w:rsidRPr="00EF54B1">
        <w:rPr>
          <w:rFonts w:ascii="Verdana" w:eastAsia="Calibri" w:hAnsi="Verdana" w:cs="Arial"/>
          <w:b/>
          <w:bCs/>
          <w:color w:val="000000" w:themeColor="text1"/>
          <w:kern w:val="2"/>
          <w:shd w:val="clear" w:color="auto" w:fill="FFFFFF"/>
          <w:lang w:val="es-ES_tradnl"/>
          <w14:ligatures w14:val="standardContextual"/>
        </w:rPr>
        <w:t>selección objetiva</w:t>
      </w:r>
      <w:r w:rsidRPr="00EF54B1">
        <w:rPr>
          <w:rFonts w:ascii="Verdana" w:eastAsia="Calibri" w:hAnsi="Verdana"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3DB7BD8" w14:textId="77777777" w:rsidR="004E5589" w:rsidRPr="00EF54B1" w:rsidRDefault="004E5589" w:rsidP="004E5589">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462B15D7" w14:textId="77777777" w:rsidR="004E5589" w:rsidRPr="009552C8" w:rsidRDefault="004E5589" w:rsidP="004E5589">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7DF1A30E" w14:textId="77777777" w:rsidR="004E5589" w:rsidRPr="009552C8" w:rsidRDefault="004E5589" w:rsidP="004E5589">
      <w:pPr>
        <w:spacing w:after="0" w:line="240" w:lineRule="auto"/>
        <w:jc w:val="both"/>
        <w:rPr>
          <w:rFonts w:ascii="Verdana" w:eastAsia="Aptos" w:hAnsi="Verdana" w:cs="Times New Roman"/>
          <w:kern w:val="2"/>
          <w14:ligatures w14:val="standardContextual"/>
        </w:rPr>
      </w:pPr>
    </w:p>
    <w:p w14:paraId="3A095B01" w14:textId="77777777" w:rsidR="004E5589" w:rsidRPr="009552C8" w:rsidRDefault="004E5589" w:rsidP="004E558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7603CE">
        <w:rPr>
          <w:rFonts w:ascii="Verdana" w:eastAsia="Calibri" w:hAnsi="Verdana" w:cs="Times New Roman"/>
          <w:color w:val="0000FF"/>
          <w:kern w:val="2"/>
          <w:u w:val="single"/>
          <w14:ligatures w14:val="standardContextual"/>
        </w:rPr>
        <w:t>@colombiacompra</w:t>
      </w:r>
      <w:r w:rsidRPr="007603CE">
        <w:rPr>
          <w:rFonts w:ascii="Verdana" w:eastAsia="Calibri" w:hAnsi="Verdana" w:cs="Times New Roman"/>
          <w:color w:val="0000FF"/>
          <w:kern w:val="2"/>
          <w14:ligatures w14:val="standardContextual"/>
        </w:rPr>
        <w:t xml:space="preserve"> </w:t>
      </w:r>
    </w:p>
    <w:p w14:paraId="13F50637" w14:textId="77777777" w:rsidR="004E5589" w:rsidRPr="009552C8" w:rsidRDefault="004E5589" w:rsidP="004E558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Facebook: </w:t>
      </w:r>
      <w:proofErr w:type="spellStart"/>
      <w:r w:rsidRPr="007603CE">
        <w:rPr>
          <w:rFonts w:ascii="Verdana" w:eastAsia="Calibri" w:hAnsi="Verdana" w:cs="Times New Roman"/>
          <w:color w:val="0000FF"/>
          <w:kern w:val="2"/>
          <w:u w:val="single"/>
          <w14:ligatures w14:val="standardContextual"/>
        </w:rPr>
        <w:t>ColombiaCompraEficiente</w:t>
      </w:r>
      <w:proofErr w:type="spellEnd"/>
    </w:p>
    <w:p w14:paraId="39FC1F15" w14:textId="77777777" w:rsidR="004E5589" w:rsidRPr="009552C8" w:rsidRDefault="004E5589" w:rsidP="004E558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LinkedIn: </w:t>
      </w:r>
      <w:r w:rsidRPr="007603CE">
        <w:rPr>
          <w:rFonts w:ascii="Verdana" w:eastAsia="Calibri" w:hAnsi="Verdana" w:cs="Times New Roman"/>
          <w:color w:val="0000FF"/>
          <w:kern w:val="2"/>
          <w:u w:val="single"/>
          <w14:ligatures w14:val="standardContextual"/>
        </w:rPr>
        <w:t>Agencia Nacional de Contratación Pública - Colombia Compra Eficiente</w:t>
      </w:r>
      <w:r w:rsidRPr="007603CE">
        <w:rPr>
          <w:rFonts w:ascii="Verdana" w:eastAsia="Calibri" w:hAnsi="Verdana" w:cs="Times New Roman"/>
          <w:color w:val="0000FF"/>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7603CE">
        <w:rPr>
          <w:rFonts w:ascii="Verdana" w:eastAsia="Calibri" w:hAnsi="Verdana" w:cs="Times New Roman"/>
          <w:color w:val="0000FF"/>
          <w:kern w:val="2"/>
          <w:u w:val="single"/>
          <w14:ligatures w14:val="standardContextual"/>
        </w:rPr>
        <w:t>@colombiacompraeficiente_cce</w:t>
      </w:r>
    </w:p>
    <w:p w14:paraId="18413DD3" w14:textId="77777777" w:rsidR="004E5589" w:rsidRPr="005D21BF" w:rsidRDefault="004E5589" w:rsidP="004E5589">
      <w:pPr>
        <w:widowControl w:val="0"/>
        <w:autoSpaceDE w:val="0"/>
        <w:autoSpaceDN w:val="0"/>
        <w:spacing w:after="0" w:line="276" w:lineRule="auto"/>
        <w:jc w:val="both"/>
        <w:rPr>
          <w:rFonts w:ascii="Verdana" w:eastAsia="Calibri" w:hAnsi="Verdana" w:cs="Arial"/>
          <w:color w:val="000000" w:themeColor="text1"/>
          <w:kern w:val="2"/>
          <w14:ligatures w14:val="standardContextual"/>
        </w:rPr>
      </w:pPr>
    </w:p>
    <w:p w14:paraId="19ED8F49" w14:textId="77777777" w:rsidR="004E5589" w:rsidRDefault="004E5589" w:rsidP="004E5589">
      <w:pPr>
        <w:widowControl w:val="0"/>
        <w:autoSpaceDE w:val="0"/>
        <w:autoSpaceDN w:val="0"/>
        <w:spacing w:after="0" w:line="276" w:lineRule="auto"/>
        <w:jc w:val="both"/>
        <w:rPr>
          <w:rFonts w:ascii="Verdana" w:eastAsia="Calibri" w:hAnsi="Verdana" w:cs="Arial"/>
          <w:color w:val="000000" w:themeColor="text1"/>
          <w:kern w:val="2"/>
          <w:lang w:val="es-ES_tradnl"/>
          <w14:ligatures w14:val="standardContextual"/>
        </w:rPr>
      </w:pPr>
      <w:r w:rsidRPr="00EF54B1">
        <w:rPr>
          <w:rFonts w:ascii="Verdana" w:eastAsia="Calibri" w:hAnsi="Verdana" w:cs="Arial"/>
          <w:color w:val="000000" w:themeColor="text1"/>
          <w:kern w:val="2"/>
          <w:lang w:val="es-ES_tradnl"/>
          <w14:ligatures w14:val="standardContextual"/>
        </w:rPr>
        <w:t xml:space="preserve">Este concepto tiene el alcance previsto en el artículo 28 del Código de </w:t>
      </w:r>
      <w:r w:rsidRPr="00EF54B1">
        <w:rPr>
          <w:rFonts w:ascii="Verdana" w:eastAsia="Calibri" w:hAnsi="Verdana" w:cs="Arial"/>
          <w:color w:val="000000" w:themeColor="text1"/>
          <w:kern w:val="2"/>
          <w:lang w:val="es-ES_tradnl"/>
          <w14:ligatures w14:val="standardContextual"/>
        </w:rPr>
        <w:lastRenderedPageBreak/>
        <w:t>Procedimiento Administrativo y de lo Contencioso Administrativo y las expresiones aquí utilizadas con mayúscula inicial deben ser entendidas con el significado que les otorga el artículo 2.2.1.1.1.3.1. del Decreto 1082 de 2015.</w:t>
      </w:r>
    </w:p>
    <w:p w14:paraId="499EAFDF" w14:textId="77777777" w:rsidR="004E5589" w:rsidRPr="00EF54B1" w:rsidRDefault="004E5589" w:rsidP="004E5589">
      <w:pPr>
        <w:widowControl w:val="0"/>
        <w:autoSpaceDE w:val="0"/>
        <w:autoSpaceDN w:val="0"/>
        <w:spacing w:after="0" w:line="276" w:lineRule="auto"/>
        <w:jc w:val="both"/>
        <w:rPr>
          <w:rFonts w:ascii="Verdana" w:eastAsia="Calibri" w:hAnsi="Verdana" w:cs="Arial"/>
          <w:color w:val="000000" w:themeColor="text1"/>
        </w:rPr>
      </w:pPr>
    </w:p>
    <w:p w14:paraId="67CDDB5F" w14:textId="77777777" w:rsidR="004E5589" w:rsidRPr="00EF54B1" w:rsidRDefault="004E5589" w:rsidP="004E5589">
      <w:pPr>
        <w:spacing w:after="0" w:line="240" w:lineRule="auto"/>
        <w:rPr>
          <w:rFonts w:ascii="Verdana" w:eastAsia="Calibri" w:hAnsi="Verdana" w:cs="Arial"/>
          <w:color w:val="000000" w:themeColor="text1"/>
          <w:lang w:eastAsia="es-CO"/>
        </w:rPr>
      </w:pPr>
      <w:r w:rsidRPr="00EF54B1">
        <w:rPr>
          <w:rFonts w:ascii="Verdana" w:eastAsia="Times New Roman" w:hAnsi="Verdana" w:cs="Arial"/>
          <w:color w:val="000000" w:themeColor="text1"/>
          <w:lang w:eastAsia="es-CO"/>
        </w:rPr>
        <w:t>Atentamente,</w:t>
      </w:r>
      <w:r w:rsidRPr="00EF54B1">
        <w:rPr>
          <w:rFonts w:ascii="Verdana" w:eastAsia="Calibri" w:hAnsi="Verdana" w:cs="Arial"/>
          <w:color w:val="000000" w:themeColor="text1"/>
          <w:lang w:eastAsia="es-CO"/>
        </w:rPr>
        <w:t xml:space="preserve"> </w:t>
      </w:r>
    </w:p>
    <w:p w14:paraId="5F65B1CA" w14:textId="77777777" w:rsidR="004E5589" w:rsidRDefault="004E5589" w:rsidP="004E5589">
      <w:pPr>
        <w:tabs>
          <w:tab w:val="left" w:pos="1320"/>
        </w:tabs>
        <w:rPr>
          <w:noProof/>
        </w:rPr>
      </w:pPr>
    </w:p>
    <w:p w14:paraId="69857C63" w14:textId="616C4211" w:rsidR="004E5589" w:rsidRPr="0084212F" w:rsidRDefault="0084212F" w:rsidP="0084212F">
      <w:pPr>
        <w:tabs>
          <w:tab w:val="left" w:pos="1320"/>
        </w:tabs>
        <w:jc w:val="center"/>
        <w:rPr>
          <w:noProof/>
        </w:rPr>
      </w:pPr>
      <w:r>
        <w:rPr>
          <w:noProof/>
        </w:rPr>
        <w:drawing>
          <wp:inline distT="0" distB="0" distL="0" distR="0" wp14:anchorId="51F473C2" wp14:editId="38E5020A">
            <wp:extent cx="3082925" cy="1146010"/>
            <wp:effectExtent l="0" t="0" r="3175" b="0"/>
            <wp:docPr id="8049504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950473" name="Imagen 804950473"/>
                    <pic:cNvPicPr/>
                  </pic:nvPicPr>
                  <pic:blipFill>
                    <a:blip r:embed="rId13">
                      <a:extLst>
                        <a:ext uri="{28A0092B-C50C-407E-A947-70E740481C1C}">
                          <a14:useLocalDpi xmlns:a14="http://schemas.microsoft.com/office/drawing/2010/main" val="0"/>
                        </a:ext>
                      </a:extLst>
                    </a:blip>
                    <a:stretch>
                      <a:fillRect/>
                    </a:stretch>
                  </pic:blipFill>
                  <pic:spPr>
                    <a:xfrm>
                      <a:off x="0" y="0"/>
                      <a:ext cx="3095345" cy="1150627"/>
                    </a:xfrm>
                    <a:prstGeom prst="rect">
                      <a:avLst/>
                    </a:prstGeom>
                  </pic:spPr>
                </pic:pic>
              </a:graphicData>
            </a:graphic>
          </wp:inline>
        </w:drawing>
      </w: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004E5589" w14:paraId="024FE7AE" w14:textId="77777777" w:rsidTr="00617A63">
        <w:trPr>
          <w:trHeight w:val="315"/>
        </w:trPr>
        <w:tc>
          <w:tcPr>
            <w:tcW w:w="1185" w:type="dxa"/>
            <w:tcBorders>
              <w:top w:val="nil"/>
              <w:left w:val="nil"/>
              <w:bottom w:val="nil"/>
              <w:right w:val="nil"/>
            </w:tcBorders>
            <w:tcMar>
              <w:left w:w="105" w:type="dxa"/>
              <w:right w:w="105" w:type="dxa"/>
            </w:tcMar>
            <w:vAlign w:val="center"/>
          </w:tcPr>
          <w:p w14:paraId="4101C804" w14:textId="0D96AB1D" w:rsidR="004E5589" w:rsidRDefault="004E5589" w:rsidP="00617A63">
            <w:pPr>
              <w:rPr>
                <w:rFonts w:ascii="Verdana" w:eastAsia="Verdana" w:hAnsi="Verdana" w:cs="Verdana"/>
                <w:sz w:val="16"/>
                <w:szCs w:val="16"/>
              </w:rPr>
            </w:pPr>
            <w:r w:rsidRPr="3F869DD7">
              <w:rPr>
                <w:rFonts w:ascii="Verdana" w:eastAsia="Verdana" w:hAnsi="Verdana" w:cs="Verdana"/>
                <w:sz w:val="16"/>
                <w:szCs w:val="16"/>
              </w:rPr>
              <w:t>Elabor</w:t>
            </w:r>
            <w:r w:rsidR="0061155F">
              <w:rPr>
                <w:rFonts w:ascii="Verdana" w:eastAsia="Verdana" w:hAnsi="Verdana" w:cs="Verdana"/>
                <w:sz w:val="16"/>
                <w:szCs w:val="16"/>
              </w:rPr>
              <w:t>o</w:t>
            </w:r>
            <w:r w:rsidRPr="3F869DD7">
              <w:rPr>
                <w:rFonts w:ascii="Verdana" w:eastAsia="Verdana" w:hAnsi="Verdana" w:cs="Verdana"/>
                <w:sz w:val="16"/>
                <w:szCs w:val="16"/>
              </w:rPr>
              <w:t>:</w:t>
            </w:r>
          </w:p>
        </w:tc>
        <w:tc>
          <w:tcPr>
            <w:tcW w:w="5925" w:type="dxa"/>
            <w:tcBorders>
              <w:top w:val="nil"/>
              <w:left w:val="nil"/>
              <w:bottom w:val="dotted" w:sz="4" w:space="0" w:color="7F7F7F" w:themeColor="text1" w:themeTint="80"/>
              <w:right w:val="nil"/>
            </w:tcBorders>
            <w:tcMar>
              <w:left w:w="105" w:type="dxa"/>
              <w:right w:w="105" w:type="dxa"/>
            </w:tcMar>
            <w:vAlign w:val="center"/>
          </w:tcPr>
          <w:p w14:paraId="7C632A6D" w14:textId="77777777" w:rsidR="004E5589" w:rsidRDefault="004E5589" w:rsidP="00617A63">
            <w:pPr>
              <w:rPr>
                <w:rFonts w:ascii="Verdana" w:eastAsia="Times New Roman" w:hAnsi="Verdana" w:cs="Segoe UI"/>
                <w:color w:val="000000" w:themeColor="text1"/>
                <w:sz w:val="16"/>
                <w:szCs w:val="16"/>
                <w:lang w:eastAsia="es-ES"/>
              </w:rPr>
            </w:pPr>
            <w:r w:rsidRPr="3F869DD7">
              <w:rPr>
                <w:rFonts w:ascii="Verdana" w:eastAsia="Arial" w:hAnsi="Verdana" w:cs="Arial"/>
                <w:color w:val="000000" w:themeColor="text1"/>
                <w:sz w:val="16"/>
                <w:szCs w:val="16"/>
                <w:lang w:val="es-ES"/>
              </w:rPr>
              <w:t>Denis Andrea Cárdenas Hernández</w:t>
            </w:r>
          </w:p>
          <w:p w14:paraId="035F83CC" w14:textId="77777777" w:rsidR="004E5589" w:rsidRDefault="004E5589" w:rsidP="00617A63">
            <w:pPr>
              <w:rPr>
                <w:rFonts w:ascii="Verdana" w:eastAsia="Arial" w:hAnsi="Verdana" w:cs="Arial"/>
                <w:color w:val="000000" w:themeColor="text1"/>
                <w:sz w:val="16"/>
                <w:szCs w:val="16"/>
                <w:lang w:val="es-ES"/>
              </w:rPr>
            </w:pPr>
            <w:r w:rsidRPr="3F869DD7">
              <w:rPr>
                <w:rFonts w:ascii="Verdana" w:eastAsia="Arial" w:hAnsi="Verdana" w:cs="Arial"/>
                <w:color w:val="000000" w:themeColor="text1"/>
                <w:sz w:val="16"/>
                <w:szCs w:val="16"/>
                <w:lang w:val="es-ES"/>
              </w:rPr>
              <w:t>Analista T2-01 de la Subdirección de Gestión Contractual</w:t>
            </w:r>
          </w:p>
        </w:tc>
      </w:tr>
      <w:tr w:rsidR="004E5589" w14:paraId="6B76BA11" w14:textId="77777777" w:rsidTr="00617A63">
        <w:trPr>
          <w:trHeight w:val="315"/>
        </w:trPr>
        <w:tc>
          <w:tcPr>
            <w:tcW w:w="1185" w:type="dxa"/>
            <w:tcBorders>
              <w:top w:val="nil"/>
              <w:left w:val="nil"/>
              <w:bottom w:val="nil"/>
              <w:right w:val="nil"/>
            </w:tcBorders>
            <w:tcMar>
              <w:left w:w="105" w:type="dxa"/>
              <w:right w:w="105" w:type="dxa"/>
            </w:tcMar>
            <w:vAlign w:val="center"/>
          </w:tcPr>
          <w:p w14:paraId="4E77A506" w14:textId="77777777" w:rsidR="004E5589" w:rsidRDefault="004E5589" w:rsidP="00617A63">
            <w:pPr>
              <w:rPr>
                <w:rFonts w:ascii="Verdana" w:eastAsia="Verdana" w:hAnsi="Verdana" w:cs="Verdana"/>
                <w:sz w:val="16"/>
                <w:szCs w:val="16"/>
              </w:rPr>
            </w:pPr>
            <w:r w:rsidRPr="3F869DD7">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5F02B477" w14:textId="77777777" w:rsidR="004E5589" w:rsidRDefault="004E5589" w:rsidP="00617A63">
            <w:pPr>
              <w:rPr>
                <w:rFonts w:ascii="Verdana" w:eastAsia="Verdana" w:hAnsi="Verdana" w:cs="Verdana"/>
                <w:sz w:val="16"/>
                <w:szCs w:val="16"/>
              </w:rPr>
            </w:pPr>
            <w:r w:rsidRPr="3F869DD7">
              <w:rPr>
                <w:rFonts w:ascii="Verdana" w:eastAsia="Verdana" w:hAnsi="Verdana" w:cs="Verdana"/>
                <w:sz w:val="16"/>
                <w:szCs w:val="16"/>
              </w:rPr>
              <w:t xml:space="preserve">Juan David Cárdenas Cabeza </w:t>
            </w:r>
          </w:p>
          <w:p w14:paraId="05D22F8C" w14:textId="77777777" w:rsidR="004E5589" w:rsidRDefault="004E5589" w:rsidP="00617A63">
            <w:pPr>
              <w:rPr>
                <w:rFonts w:ascii="Verdana" w:eastAsia="Verdana" w:hAnsi="Verdana" w:cs="Verdana"/>
                <w:sz w:val="16"/>
                <w:szCs w:val="16"/>
              </w:rPr>
            </w:pPr>
            <w:r w:rsidRPr="3F869DD7">
              <w:rPr>
                <w:rFonts w:ascii="Verdana" w:eastAsia="Verdana" w:hAnsi="Verdana" w:cs="Verdana"/>
                <w:sz w:val="16"/>
                <w:szCs w:val="16"/>
              </w:rPr>
              <w:t>Contratista de la Subdirección de Gestión Contractual</w:t>
            </w:r>
          </w:p>
        </w:tc>
      </w:tr>
      <w:tr w:rsidR="004E5589" w14:paraId="75268F01" w14:textId="77777777" w:rsidTr="00617A63">
        <w:trPr>
          <w:trHeight w:val="300"/>
        </w:trPr>
        <w:tc>
          <w:tcPr>
            <w:tcW w:w="1185" w:type="dxa"/>
            <w:tcBorders>
              <w:top w:val="nil"/>
              <w:left w:val="nil"/>
              <w:bottom w:val="nil"/>
              <w:right w:val="nil"/>
            </w:tcBorders>
            <w:tcMar>
              <w:left w:w="105" w:type="dxa"/>
              <w:right w:w="105" w:type="dxa"/>
            </w:tcMar>
            <w:vAlign w:val="center"/>
          </w:tcPr>
          <w:p w14:paraId="44CCFE75" w14:textId="77777777" w:rsidR="004E5589" w:rsidRDefault="004E5589" w:rsidP="00617A63">
            <w:pPr>
              <w:rPr>
                <w:rFonts w:ascii="Verdana" w:eastAsia="Verdana" w:hAnsi="Verdana" w:cs="Verdana"/>
                <w:sz w:val="16"/>
                <w:szCs w:val="16"/>
              </w:rPr>
            </w:pPr>
            <w:r w:rsidRPr="3F869DD7">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074AB815" w14:textId="77777777" w:rsidR="004E5589" w:rsidRDefault="004E5589" w:rsidP="00617A63">
            <w:pPr>
              <w:rPr>
                <w:rFonts w:ascii="Verdana" w:eastAsia="Verdana" w:hAnsi="Verdana" w:cs="Verdana"/>
                <w:sz w:val="16"/>
                <w:szCs w:val="16"/>
              </w:rPr>
            </w:pPr>
            <w:r w:rsidRPr="3F869DD7">
              <w:rPr>
                <w:rFonts w:ascii="Verdana" w:eastAsia="Verdana" w:hAnsi="Verdana" w:cs="Verdana"/>
                <w:sz w:val="16"/>
                <w:szCs w:val="16"/>
              </w:rPr>
              <w:t>Carolina Quintero Gacharná</w:t>
            </w:r>
          </w:p>
          <w:p w14:paraId="5884AE7B" w14:textId="77777777" w:rsidR="004E5589" w:rsidRDefault="004E5589" w:rsidP="00617A63">
            <w:pPr>
              <w:rPr>
                <w:rFonts w:ascii="Verdana" w:eastAsia="Verdana" w:hAnsi="Verdana" w:cs="Verdana"/>
                <w:sz w:val="16"/>
                <w:szCs w:val="16"/>
              </w:rPr>
            </w:pPr>
            <w:r w:rsidRPr="3F869DD7">
              <w:rPr>
                <w:rFonts w:ascii="Verdana" w:eastAsia="Verdana" w:hAnsi="Verdana" w:cs="Verdana"/>
                <w:sz w:val="16"/>
                <w:szCs w:val="16"/>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31E24CD8"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493E8921" w14:textId="77777777" w:rsidR="002E2BF8" w:rsidRPr="00E02524" w:rsidRDefault="002E2BF8" w:rsidP="30821638">
      <w:pPr>
        <w:spacing w:after="0"/>
        <w:jc w:val="both"/>
        <w:rPr>
          <w:rFonts w:ascii="Verdana" w:eastAsia="Verdana" w:hAnsi="Verdana" w:cs="Verdana"/>
          <w:lang w:val="es-ES"/>
        </w:rPr>
      </w:pPr>
    </w:p>
    <w:bookmarkEnd w:id="0"/>
    <w:p w14:paraId="0F293BF4" w14:textId="15FDF5F3" w:rsidR="00127233" w:rsidRPr="0015699B" w:rsidRDefault="00127233" w:rsidP="004E5589">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F15757" w14:textId="77777777" w:rsidR="00B6553D" w:rsidRDefault="00B6553D" w:rsidP="004A1847">
      <w:pPr>
        <w:spacing w:after="0" w:line="240" w:lineRule="auto"/>
      </w:pPr>
      <w:r>
        <w:separator/>
      </w:r>
    </w:p>
  </w:endnote>
  <w:endnote w:type="continuationSeparator" w:id="0">
    <w:p w14:paraId="03BEFACC" w14:textId="77777777" w:rsidR="00B6553D" w:rsidRDefault="00B6553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E8E6B" w14:textId="77777777" w:rsidR="00B6553D" w:rsidRDefault="00B6553D" w:rsidP="004A1847">
      <w:pPr>
        <w:spacing w:after="0" w:line="240" w:lineRule="auto"/>
      </w:pPr>
      <w:r>
        <w:separator/>
      </w:r>
    </w:p>
  </w:footnote>
  <w:footnote w:type="continuationSeparator" w:id="0">
    <w:p w14:paraId="2D6579E1" w14:textId="77777777" w:rsidR="00B6553D" w:rsidRDefault="00B6553D" w:rsidP="004A1847">
      <w:pPr>
        <w:spacing w:after="0" w:line="240" w:lineRule="auto"/>
      </w:pPr>
      <w:r>
        <w:continuationSeparator/>
      </w:r>
    </w:p>
  </w:footnote>
  <w:footnote w:id="1">
    <w:p w14:paraId="2269094C" w14:textId="77777777" w:rsidR="004E5589" w:rsidRPr="00876454" w:rsidRDefault="004E5589" w:rsidP="004E5589">
      <w:pPr>
        <w:spacing w:after="0" w:line="240" w:lineRule="auto"/>
        <w:ind w:firstLine="709"/>
        <w:jc w:val="both"/>
        <w:rPr>
          <w:rFonts w:ascii="Verdana" w:hAnsi="Verdana" w:cs="Arial"/>
          <w:sz w:val="14"/>
          <w:szCs w:val="14"/>
          <w:lang w:val="es-ES"/>
        </w:rPr>
      </w:pPr>
      <w:r w:rsidRPr="00876454">
        <w:rPr>
          <w:rStyle w:val="Refdenotaalpie"/>
          <w:rFonts w:ascii="Verdana" w:hAnsi="Verdana" w:cs="Arial"/>
          <w:sz w:val="14"/>
          <w:szCs w:val="14"/>
        </w:rPr>
        <w:footnoteRef/>
      </w:r>
      <w:r w:rsidRPr="00876454">
        <w:rPr>
          <w:rFonts w:ascii="Verdana" w:hAnsi="Verdana" w:cs="Arial"/>
          <w:sz w:val="14"/>
          <w:szCs w:val="14"/>
        </w:rPr>
        <w:t xml:space="preserve"> </w:t>
      </w:r>
      <w:r w:rsidRPr="00876454">
        <w:rPr>
          <w:rFonts w:ascii="Verdana" w:hAnsi="Verdana" w:cs="Arial"/>
          <w:sz w:val="14"/>
          <w:szCs w:val="14"/>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32966288" w14:textId="77777777" w:rsidR="004E5589" w:rsidRPr="00876454" w:rsidRDefault="004E5589" w:rsidP="004E5589">
      <w:pPr>
        <w:spacing w:after="0" w:line="240" w:lineRule="auto"/>
        <w:ind w:firstLine="709"/>
        <w:jc w:val="both"/>
        <w:rPr>
          <w:rFonts w:ascii="Verdana" w:hAnsi="Verdana" w:cs="Arial"/>
          <w:sz w:val="14"/>
          <w:szCs w:val="14"/>
          <w:lang w:val="es-ES"/>
        </w:rPr>
      </w:pPr>
    </w:p>
  </w:footnote>
  <w:footnote w:id="2">
    <w:p w14:paraId="4E4EBE8B" w14:textId="77777777" w:rsidR="004E5589" w:rsidRPr="00876454" w:rsidRDefault="004E5589" w:rsidP="004E5589">
      <w:pPr>
        <w:spacing w:after="0" w:line="240" w:lineRule="auto"/>
        <w:ind w:firstLine="709"/>
        <w:jc w:val="both"/>
        <w:rPr>
          <w:rFonts w:ascii="Verdana" w:hAnsi="Verdana" w:cs="Arial"/>
          <w:sz w:val="14"/>
          <w:szCs w:val="14"/>
          <w:lang w:val="es-ES"/>
        </w:rPr>
      </w:pPr>
      <w:r w:rsidRPr="00876454">
        <w:rPr>
          <w:rStyle w:val="Refdenotaalpie"/>
          <w:rFonts w:ascii="Verdana" w:hAnsi="Verdana" w:cs="Arial"/>
          <w:sz w:val="14"/>
          <w:szCs w:val="14"/>
        </w:rPr>
        <w:footnoteRef/>
      </w:r>
      <w:r w:rsidRPr="00876454">
        <w:rPr>
          <w:rFonts w:ascii="Verdana" w:hAnsi="Verdana" w:cs="Arial"/>
          <w:sz w:val="14"/>
          <w:szCs w:val="14"/>
        </w:rPr>
        <w:t xml:space="preserve"> </w:t>
      </w:r>
      <w:r w:rsidRPr="00876454">
        <w:rPr>
          <w:rFonts w:ascii="Verdana" w:hAnsi="Verdana" w:cs="Arial"/>
          <w:sz w:val="14"/>
          <w:szCs w:val="14"/>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3DF0AABF" w14:textId="77777777" w:rsidR="004E5589" w:rsidRPr="00876454" w:rsidRDefault="004E5589" w:rsidP="004E5589">
      <w:pPr>
        <w:spacing w:after="0" w:line="240" w:lineRule="auto"/>
        <w:ind w:firstLine="709"/>
        <w:jc w:val="both"/>
        <w:rPr>
          <w:rFonts w:ascii="Verdana" w:hAnsi="Verdana" w:cs="Arial"/>
          <w:sz w:val="14"/>
          <w:szCs w:val="14"/>
          <w:lang w:val="es-ES"/>
        </w:rPr>
      </w:pPr>
    </w:p>
  </w:footnote>
  <w:footnote w:id="3">
    <w:p w14:paraId="54D32977" w14:textId="77777777" w:rsidR="004E5589" w:rsidRPr="00876454" w:rsidRDefault="004E5589" w:rsidP="004E5589">
      <w:pPr>
        <w:spacing w:after="0" w:line="240" w:lineRule="auto"/>
        <w:ind w:firstLine="709"/>
        <w:jc w:val="both"/>
        <w:rPr>
          <w:rFonts w:ascii="Verdana" w:eastAsia="Calibri" w:hAnsi="Verdana" w:cs="Arial"/>
          <w:sz w:val="14"/>
          <w:szCs w:val="14"/>
          <w:lang w:val="es-ES"/>
        </w:rPr>
      </w:pPr>
      <w:r w:rsidRPr="00876454">
        <w:rPr>
          <w:rStyle w:val="Refdenotaalpie"/>
          <w:rFonts w:ascii="Verdana" w:hAnsi="Verdana"/>
          <w:sz w:val="14"/>
          <w:szCs w:val="14"/>
        </w:rPr>
        <w:footnoteRef/>
      </w:r>
      <w:r w:rsidRPr="00876454">
        <w:rPr>
          <w:rFonts w:ascii="Verdana" w:hAnsi="Verdana"/>
          <w:sz w:val="14"/>
          <w:szCs w:val="14"/>
        </w:rPr>
        <w:t xml:space="preserve"> </w:t>
      </w:r>
      <w:r w:rsidRPr="00876454">
        <w:rPr>
          <w:rFonts w:ascii="Verdana" w:eastAsia="Calibri" w:hAnsi="Verdana" w:cs="Arial"/>
          <w:sz w:val="14"/>
          <w:szCs w:val="14"/>
          <w:lang w:val="es-ES"/>
        </w:rPr>
        <w:t>La excepción a la anterior regla se encuentra en el cuarto inciso del mismo artículo, según el cual, “</w:t>
      </w:r>
      <w:r w:rsidRPr="00876454">
        <w:rPr>
          <w:rFonts w:ascii="Verdana" w:eastAsia="Calibri" w:hAnsi="Verdana" w:cs="Arial"/>
          <w:i/>
          <w:sz w:val="14"/>
          <w:szCs w:val="14"/>
          <w:lang w:val="es-ES"/>
        </w:rPr>
        <w:t>En caso de situaciones de urgencia manifiesta a que se refiere el artículo </w:t>
      </w:r>
      <w:hyperlink r:id="rId1" w:anchor="42" w:history="1">
        <w:r w:rsidRPr="00876454">
          <w:rPr>
            <w:rStyle w:val="Hipervnculo"/>
            <w:rFonts w:ascii="Verdana" w:eastAsia="Calibri" w:hAnsi="Verdana" w:cs="Arial"/>
            <w:i/>
            <w:iCs/>
            <w:color w:val="auto"/>
            <w:sz w:val="14"/>
            <w:szCs w:val="14"/>
            <w:u w:val="none"/>
            <w:lang w:val="es-ES"/>
          </w:rPr>
          <w:t>42</w:t>
        </w:r>
      </w:hyperlink>
      <w:r w:rsidRPr="00876454">
        <w:rPr>
          <w:rFonts w:ascii="Verdana" w:eastAsia="Calibri" w:hAnsi="Verdana" w:cs="Arial"/>
          <w:i/>
          <w:sz w:val="14"/>
          <w:szCs w:val="14"/>
          <w:lang w:val="es-ES"/>
        </w:rPr>
        <w:t> de esta ley que no permitan la suscripción de contrato escrito, se prescindirá de éste y aún del acuerdo acerca de la remuneración, no obstante, deberá dejarse constancia escrita de la autorización impartida por la entidad estatal contratante</w:t>
      </w:r>
      <w:r w:rsidRPr="00876454">
        <w:rPr>
          <w:rFonts w:ascii="Verdana" w:eastAsia="Calibri" w:hAnsi="Verdana" w:cs="Arial"/>
          <w:sz w:val="14"/>
          <w:szCs w:val="14"/>
          <w:lang w:val="es-ES"/>
        </w:rPr>
        <w:t>”. En otras palabras, por regla general, los contratos estatales deben constar por escrito, salvo que se presente una situación de urgencia manifiesta en la que no haya tiempo de cumplir con esta formalidad.</w:t>
      </w:r>
    </w:p>
    <w:p w14:paraId="43EAB064" w14:textId="77777777" w:rsidR="004E5589" w:rsidRPr="00876454" w:rsidRDefault="004E5589" w:rsidP="004E5589">
      <w:pPr>
        <w:pStyle w:val="Textonotapie"/>
        <w:rPr>
          <w:rFonts w:ascii="Verdana" w:hAnsi="Verdana"/>
          <w:sz w:val="14"/>
          <w:szCs w:val="14"/>
          <w:lang w:val="es-ES"/>
        </w:rPr>
      </w:pPr>
    </w:p>
  </w:footnote>
  <w:footnote w:id="4">
    <w:p w14:paraId="1D7DD754" w14:textId="77777777" w:rsidR="004E5589" w:rsidRPr="00876454" w:rsidRDefault="004E5589" w:rsidP="004E5589">
      <w:pPr>
        <w:pStyle w:val="Textonotapie"/>
        <w:ind w:firstLine="709"/>
        <w:jc w:val="both"/>
        <w:rPr>
          <w:rFonts w:ascii="Verdana" w:hAnsi="Verdana" w:cs="Arial"/>
          <w:sz w:val="14"/>
          <w:szCs w:val="14"/>
          <w:lang w:val="es-ES"/>
        </w:rPr>
      </w:pPr>
      <w:r w:rsidRPr="00876454">
        <w:rPr>
          <w:rStyle w:val="Refdenotaalpie"/>
          <w:rFonts w:ascii="Verdana" w:hAnsi="Verdana" w:cs="Arial"/>
          <w:sz w:val="14"/>
          <w:szCs w:val="14"/>
        </w:rPr>
        <w:footnoteRef/>
      </w:r>
      <w:r w:rsidRPr="00876454">
        <w:rPr>
          <w:rFonts w:ascii="Verdana" w:hAnsi="Verdana" w:cs="Arial"/>
          <w:sz w:val="14"/>
          <w:szCs w:val="14"/>
        </w:rPr>
        <w:t xml:space="preserve"> </w:t>
      </w:r>
      <w:r w:rsidRPr="00876454">
        <w:rPr>
          <w:rFonts w:ascii="Verdana" w:hAnsi="Verdana" w:cs="Arial"/>
          <w:sz w:val="14"/>
          <w:szCs w:val="14"/>
          <w:lang w:val="es-ES"/>
        </w:rPr>
        <w:t>EXPÓSITO VÉLEZ, Juan Carlos. Forma y contenido del contrato estatal. Bogotá: Universidad Externado de Colombia, 2013. pp. 28-29.</w:t>
      </w:r>
    </w:p>
    <w:p w14:paraId="7FBA73AC" w14:textId="77777777" w:rsidR="004E5589" w:rsidRPr="00B41137" w:rsidRDefault="004E5589" w:rsidP="004E5589">
      <w:pPr>
        <w:pStyle w:val="Textonotapie"/>
        <w:ind w:firstLine="709"/>
        <w:jc w:val="both"/>
        <w:rPr>
          <w:rFonts w:ascii="Verdana" w:hAnsi="Verdana" w:cs="Arial"/>
          <w:sz w:val="14"/>
          <w:szCs w:val="14"/>
          <w:lang w:val="es-ES"/>
        </w:rPr>
      </w:pPr>
    </w:p>
  </w:footnote>
  <w:footnote w:id="5">
    <w:p w14:paraId="2EF49C99" w14:textId="77777777" w:rsidR="004E5589" w:rsidRPr="00876454" w:rsidRDefault="004E5589" w:rsidP="004E5589">
      <w:pPr>
        <w:pStyle w:val="Textonotapie"/>
        <w:ind w:firstLine="709"/>
        <w:jc w:val="both"/>
        <w:rPr>
          <w:rFonts w:ascii="Verdana" w:hAnsi="Verdana" w:cs="Arial"/>
          <w:color w:val="000000" w:themeColor="text1"/>
          <w:sz w:val="14"/>
          <w:szCs w:val="14"/>
        </w:rPr>
      </w:pPr>
      <w:r w:rsidRPr="00876454">
        <w:rPr>
          <w:rStyle w:val="Refdenotaalpie"/>
          <w:rFonts w:ascii="Verdana" w:hAnsi="Verdana" w:cs="Arial"/>
          <w:sz w:val="14"/>
          <w:szCs w:val="14"/>
        </w:rPr>
        <w:footnoteRef/>
      </w:r>
      <w:r w:rsidRPr="00876454">
        <w:rPr>
          <w:rFonts w:ascii="Verdana" w:hAnsi="Verdana" w:cs="Arial"/>
          <w:color w:val="000000" w:themeColor="text1"/>
          <w:sz w:val="14"/>
          <w:szCs w:val="14"/>
        </w:rPr>
        <w:t xml:space="preserve"> Consejo de Estado. Sala de lo Contencioso Administrativo. Sección Tercera. Subsección B. Sentencia del 10 de mayo de 2018. Exp. 41.186. C.P. Stella Conto Díaz del Castillo.</w:t>
      </w:r>
    </w:p>
    <w:p w14:paraId="79287105" w14:textId="77777777" w:rsidR="004E5589" w:rsidRPr="00B41137" w:rsidRDefault="004E5589" w:rsidP="004E5589">
      <w:pPr>
        <w:pStyle w:val="Textonotapie"/>
        <w:ind w:firstLine="709"/>
        <w:jc w:val="both"/>
        <w:rPr>
          <w:rFonts w:ascii="Verdana" w:hAnsi="Verdana" w:cs="Arial"/>
          <w:color w:val="000000" w:themeColor="text1"/>
          <w:sz w:val="14"/>
          <w:szCs w:val="14"/>
          <w:lang w:val="es-ES"/>
        </w:rPr>
      </w:pPr>
    </w:p>
  </w:footnote>
  <w:footnote w:id="6">
    <w:p w14:paraId="1F84CC0C" w14:textId="77777777" w:rsidR="004E5589" w:rsidRPr="00435A6A" w:rsidRDefault="004E5589" w:rsidP="004E5589">
      <w:pPr>
        <w:pStyle w:val="Textonotapie"/>
        <w:ind w:firstLine="709"/>
        <w:jc w:val="both"/>
        <w:rPr>
          <w:rFonts w:ascii="Verdana" w:hAnsi="Verdana" w:cs="Arial"/>
          <w:iCs/>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Consejo de Estado. Sala de lo Contencioso Administrativo. Sección Tercera. Subsección C. Sentencia del 12 de agosto de 2014. Expediente: </w:t>
      </w:r>
      <w:r w:rsidRPr="00435A6A">
        <w:rPr>
          <w:rFonts w:ascii="Verdana" w:hAnsi="Verdana" w:cs="Arial"/>
          <w:sz w:val="14"/>
          <w:szCs w:val="14"/>
        </w:rPr>
        <w:t>28.565.</w:t>
      </w:r>
      <w:r w:rsidRPr="00435A6A">
        <w:rPr>
          <w:rFonts w:ascii="Verdana" w:hAnsi="Verdana" w:cs="Arial"/>
          <w:sz w:val="14"/>
          <w:szCs w:val="14"/>
          <w:lang w:val="es-ES"/>
        </w:rPr>
        <w:t xml:space="preserve"> C.P: Enrique Gil Botero</w:t>
      </w:r>
      <w:r w:rsidRPr="00435A6A">
        <w:rPr>
          <w:rFonts w:ascii="Verdana" w:hAnsi="Verdana" w:cs="Arial"/>
          <w:sz w:val="14"/>
          <w:szCs w:val="14"/>
        </w:rPr>
        <w:t>.</w:t>
      </w:r>
    </w:p>
    <w:p w14:paraId="4494AC52" w14:textId="77777777" w:rsidR="004E5589" w:rsidRPr="00435A6A" w:rsidRDefault="004E5589" w:rsidP="004E5589">
      <w:pPr>
        <w:pStyle w:val="Textonotapie"/>
        <w:ind w:firstLine="709"/>
        <w:jc w:val="both"/>
        <w:rPr>
          <w:rFonts w:ascii="Verdana" w:hAnsi="Verdana" w:cs="Arial"/>
          <w:sz w:val="14"/>
          <w:szCs w:val="14"/>
          <w:lang w:val="es-ES"/>
        </w:rPr>
      </w:pPr>
    </w:p>
  </w:footnote>
  <w:footnote w:id="7">
    <w:p w14:paraId="16A395F7" w14:textId="77777777" w:rsidR="004E5589" w:rsidRPr="00435A6A" w:rsidRDefault="004E5589" w:rsidP="004E5589">
      <w:pPr>
        <w:pStyle w:val="Textonotapie"/>
        <w:ind w:firstLine="709"/>
        <w:jc w:val="both"/>
        <w:rPr>
          <w:rFonts w:ascii="Verdana" w:hAnsi="Verdana"/>
          <w:sz w:val="14"/>
          <w:szCs w:val="14"/>
        </w:rPr>
      </w:pPr>
      <w:r w:rsidRPr="00435A6A">
        <w:rPr>
          <w:rFonts w:ascii="Verdana" w:hAnsi="Verdana"/>
          <w:sz w:val="14"/>
          <w:szCs w:val="14"/>
          <w:vertAlign w:val="superscript"/>
        </w:rPr>
        <w:footnoteRef/>
      </w:r>
      <w:r w:rsidRPr="00435A6A">
        <w:rPr>
          <w:rFonts w:ascii="Verdana" w:hAnsi="Verdana"/>
          <w:sz w:val="14"/>
          <w:szCs w:val="14"/>
        </w:rPr>
        <w:t xml:space="preserve"> Consejo de Estado. Sala de lo Contencioso Administrativo. Sección tercera. Subsección B. Sentencia del 10 de mayo de 2018. Exp. 41.186. C.P. Stella Conto Díaz del Castillo.</w:t>
      </w:r>
    </w:p>
  </w:footnote>
  <w:footnote w:id="8">
    <w:p w14:paraId="1CBCE5D8" w14:textId="77777777" w:rsidR="004E5589" w:rsidRPr="00C3134B" w:rsidRDefault="004E5589" w:rsidP="004E5589">
      <w:pPr>
        <w:pStyle w:val="Textonotapie"/>
        <w:ind w:firstLine="708"/>
        <w:jc w:val="both"/>
        <w:rPr>
          <w:rFonts w:ascii="Verdana" w:hAnsi="Verdana"/>
          <w:sz w:val="14"/>
          <w:szCs w:val="14"/>
        </w:rPr>
      </w:pPr>
      <w:r w:rsidRPr="00C3134B">
        <w:rPr>
          <w:rStyle w:val="Refdenotaalpie"/>
          <w:rFonts w:ascii="Verdana" w:hAnsi="Verdana"/>
          <w:sz w:val="14"/>
          <w:szCs w:val="14"/>
        </w:rPr>
        <w:footnoteRef/>
      </w:r>
      <w:r w:rsidRPr="00C3134B">
        <w:rPr>
          <w:rFonts w:ascii="Verdana" w:hAnsi="Verdana"/>
          <w:sz w:val="14"/>
          <w:szCs w:val="14"/>
        </w:rPr>
        <w:t xml:space="preserve"> 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w:t>
      </w:r>
    </w:p>
    <w:p w14:paraId="15CA6364" w14:textId="77777777" w:rsidR="004E5589" w:rsidRPr="00C3134B" w:rsidRDefault="004E5589" w:rsidP="004E5589">
      <w:pPr>
        <w:pStyle w:val="Textonotapie"/>
        <w:jc w:val="both"/>
        <w:rPr>
          <w:rFonts w:ascii="Verdana" w:hAnsi="Verdana"/>
          <w:sz w:val="14"/>
          <w:szCs w:val="14"/>
        </w:rPr>
      </w:pPr>
    </w:p>
    <w:p w14:paraId="1053B797" w14:textId="77777777" w:rsidR="004E5589" w:rsidRPr="00C3134B" w:rsidRDefault="004E5589" w:rsidP="004E5589">
      <w:pPr>
        <w:pStyle w:val="Textonotapie"/>
        <w:jc w:val="both"/>
        <w:rPr>
          <w:rFonts w:ascii="Verdana" w:hAnsi="Verdana"/>
          <w:sz w:val="14"/>
          <w:szCs w:val="14"/>
        </w:rPr>
      </w:pPr>
      <w:r w:rsidRPr="00C3134B">
        <w:rPr>
          <w:rFonts w:ascii="Verdana" w:hAnsi="Verdana"/>
          <w:sz w:val="14"/>
          <w:szCs w:val="14"/>
        </w:rPr>
        <w:t>»En consecuencia, la Entidad Estatal en los pliegos de condiciones para la Contratación debe indicar las garantías que exige en cada Etapa del Contrato o cada Periodo Contractual así:</w:t>
      </w:r>
    </w:p>
    <w:p w14:paraId="76B6E189" w14:textId="77777777" w:rsidR="004E5589" w:rsidRPr="00C3134B" w:rsidRDefault="004E5589" w:rsidP="004E5589">
      <w:pPr>
        <w:pStyle w:val="Textonotapie"/>
        <w:jc w:val="both"/>
        <w:rPr>
          <w:rFonts w:ascii="Verdana" w:hAnsi="Verdana"/>
          <w:sz w:val="14"/>
          <w:szCs w:val="14"/>
        </w:rPr>
      </w:pPr>
    </w:p>
    <w:p w14:paraId="60F7421F" w14:textId="77777777" w:rsidR="004E5589" w:rsidRPr="00C3134B" w:rsidRDefault="004E5589" w:rsidP="004E5589">
      <w:pPr>
        <w:pStyle w:val="Textonotapie"/>
        <w:jc w:val="both"/>
        <w:rPr>
          <w:rFonts w:ascii="Verdana" w:hAnsi="Verdana"/>
          <w:sz w:val="14"/>
          <w:szCs w:val="14"/>
        </w:rPr>
      </w:pPr>
      <w:r w:rsidRPr="00C3134B">
        <w:rPr>
          <w:rFonts w:ascii="Verdana" w:hAnsi="Verdana"/>
          <w:sz w:val="14"/>
          <w:szCs w:val="14"/>
        </w:rPr>
        <w:t>»1. La Entidad Estatal debe exigir una garantía independiente para cada Etapa del Contrato o cada Periodo Contractual o cada unidad funcional en el caso de las Asociaciones Público-Privadas, cuya vigencia debe ser por lo menos la misma establecida para la Etapa del Contrato o Periodo Contractual</w:t>
      </w:r>
    </w:p>
    <w:p w14:paraId="08B09B1F" w14:textId="77777777" w:rsidR="004E5589" w:rsidRPr="00C3134B" w:rsidRDefault="004E5589" w:rsidP="004E5589">
      <w:pPr>
        <w:pStyle w:val="Textonotapie"/>
        <w:jc w:val="both"/>
        <w:rPr>
          <w:rFonts w:ascii="Verdana" w:hAnsi="Verdana"/>
          <w:sz w:val="14"/>
          <w:szCs w:val="14"/>
        </w:rPr>
      </w:pPr>
      <w:r w:rsidRPr="00C3134B">
        <w:rPr>
          <w:rFonts w:ascii="Verdana" w:hAnsi="Verdana"/>
          <w:sz w:val="14"/>
          <w:szCs w:val="14"/>
        </w:rPr>
        <w:t>respectivo.</w:t>
      </w:r>
    </w:p>
    <w:p w14:paraId="7A3BB166" w14:textId="77777777" w:rsidR="004E5589" w:rsidRPr="00C3134B" w:rsidRDefault="004E5589" w:rsidP="004E5589">
      <w:pPr>
        <w:pStyle w:val="Textonotapie"/>
        <w:jc w:val="both"/>
        <w:rPr>
          <w:rFonts w:ascii="Verdana" w:hAnsi="Verdana"/>
          <w:sz w:val="14"/>
          <w:szCs w:val="14"/>
        </w:rPr>
      </w:pPr>
    </w:p>
    <w:p w14:paraId="5F119EA6" w14:textId="77777777" w:rsidR="004E5589" w:rsidRPr="00C3134B" w:rsidRDefault="004E5589" w:rsidP="004E5589">
      <w:pPr>
        <w:pStyle w:val="Textonotapie"/>
        <w:jc w:val="both"/>
        <w:rPr>
          <w:rFonts w:ascii="Verdana" w:hAnsi="Verdana"/>
          <w:sz w:val="14"/>
          <w:szCs w:val="14"/>
        </w:rPr>
      </w:pPr>
      <w:r w:rsidRPr="00C3134B">
        <w:rPr>
          <w:rFonts w:ascii="Verdana" w:hAnsi="Verdana"/>
          <w:sz w:val="14"/>
          <w:szCs w:val="14"/>
        </w:rPr>
        <w:t>»2.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w:t>
      </w:r>
    </w:p>
    <w:p w14:paraId="4200253D" w14:textId="77777777" w:rsidR="004E5589" w:rsidRPr="00C3134B" w:rsidRDefault="004E5589" w:rsidP="004E5589">
      <w:pPr>
        <w:pStyle w:val="Textonotapie"/>
        <w:jc w:val="both"/>
        <w:rPr>
          <w:rFonts w:ascii="Verdana" w:hAnsi="Verdana"/>
          <w:sz w:val="14"/>
          <w:szCs w:val="14"/>
        </w:rPr>
      </w:pPr>
    </w:p>
    <w:p w14:paraId="1AA17452" w14:textId="77777777" w:rsidR="004E5589" w:rsidRDefault="004E5589" w:rsidP="004E5589">
      <w:pPr>
        <w:pStyle w:val="Textonotapie"/>
        <w:jc w:val="both"/>
        <w:rPr>
          <w:rFonts w:ascii="Verdana" w:hAnsi="Verdana"/>
          <w:sz w:val="14"/>
          <w:szCs w:val="14"/>
          <w:lang w:val="es-CO"/>
        </w:rPr>
      </w:pPr>
      <w:r w:rsidRPr="00C3134B">
        <w:rPr>
          <w:rFonts w:ascii="Verdana" w:hAnsi="Verdana"/>
          <w:sz w:val="14"/>
          <w:szCs w:val="14"/>
        </w:rPr>
        <w:t>»3. Antes del vencimiento de cada Etapa del Contrato o cada Periodo Contractual, el contratista está obligado a obtener una nueva garantía que ampare el cumplimiento de sus obligaciones para la Etapa</w:t>
      </w:r>
      <w:r>
        <w:rPr>
          <w:rFonts w:ascii="Verdana" w:hAnsi="Verdana"/>
          <w:sz w:val="14"/>
          <w:szCs w:val="14"/>
        </w:rPr>
        <w:t xml:space="preserve"> </w:t>
      </w:r>
      <w:r w:rsidRPr="00E22C04">
        <w:rPr>
          <w:rFonts w:ascii="Verdana" w:hAnsi="Verdana"/>
          <w:sz w:val="14"/>
          <w:szCs w:val="14"/>
          <w:lang w:val="es-CO"/>
        </w:rPr>
        <w:t>del Contrato o Periodo Contractual subsiguiente, si no lo hiciere se aplicarán las reglas previstas para el restablecimiento de la garantía. »Si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p w14:paraId="3EF83B7D" w14:textId="77777777" w:rsidR="004E5589" w:rsidRPr="00C3134B" w:rsidRDefault="004E5589" w:rsidP="004E5589">
      <w:pPr>
        <w:pStyle w:val="Textonotapie"/>
        <w:jc w:val="both"/>
        <w:rPr>
          <w:sz w:val="14"/>
          <w:szCs w:val="14"/>
        </w:rPr>
      </w:pPr>
    </w:p>
  </w:footnote>
  <w:footnote w:id="9">
    <w:p w14:paraId="540F121C" w14:textId="77777777" w:rsidR="004E5589" w:rsidRDefault="004E5589" w:rsidP="004E5589">
      <w:pPr>
        <w:pStyle w:val="Textonotapie"/>
        <w:ind w:firstLine="708"/>
        <w:jc w:val="both"/>
        <w:rPr>
          <w:rFonts w:ascii="Verdana" w:hAnsi="Verdana"/>
          <w:sz w:val="14"/>
          <w:szCs w:val="14"/>
          <w:lang w:val="es-CO"/>
        </w:rPr>
      </w:pPr>
      <w:r w:rsidRPr="007F0803">
        <w:rPr>
          <w:rStyle w:val="Refdenotaalpie"/>
          <w:rFonts w:ascii="Verdana" w:hAnsi="Verdana"/>
          <w:sz w:val="14"/>
          <w:szCs w:val="14"/>
        </w:rPr>
        <w:footnoteRef/>
      </w:r>
      <w:r w:rsidRPr="007F0803">
        <w:rPr>
          <w:rFonts w:ascii="Verdana" w:hAnsi="Verdana"/>
          <w:sz w:val="14"/>
          <w:szCs w:val="14"/>
        </w:rPr>
        <w:t xml:space="preserve"> </w:t>
      </w:r>
      <w:r w:rsidRPr="007F0803">
        <w:rPr>
          <w:rFonts w:ascii="Verdana" w:hAnsi="Verdana"/>
          <w:sz w:val="14"/>
          <w:szCs w:val="14"/>
          <w:lang w:val="es-CO"/>
        </w:rPr>
        <w:t xml:space="preserve">«Artículo 2.2.1.2.3.1.7. Garantía de cumplimiento. La garantía de cumplimiento del contrato debe cubrir: </w:t>
      </w:r>
    </w:p>
    <w:p w14:paraId="6136A4FF" w14:textId="77777777" w:rsidR="004E5589" w:rsidRPr="007F0803" w:rsidRDefault="004E5589" w:rsidP="004E5589">
      <w:pPr>
        <w:pStyle w:val="Textonotapie"/>
        <w:ind w:firstLine="708"/>
        <w:jc w:val="both"/>
        <w:rPr>
          <w:rFonts w:ascii="Verdana" w:hAnsi="Verdana"/>
          <w:sz w:val="14"/>
          <w:szCs w:val="14"/>
          <w:lang w:val="es-CO"/>
        </w:rPr>
      </w:pPr>
    </w:p>
    <w:p w14:paraId="0864A8E6" w14:textId="77777777" w:rsidR="004E5589" w:rsidRPr="007F0803" w:rsidRDefault="004E5589" w:rsidP="004E5589">
      <w:pPr>
        <w:pStyle w:val="Textonotapie"/>
        <w:jc w:val="both"/>
        <w:rPr>
          <w:rFonts w:ascii="Verdana" w:hAnsi="Verdana"/>
          <w:sz w:val="14"/>
          <w:szCs w:val="14"/>
          <w:lang w:val="es-CO"/>
        </w:rPr>
      </w:pPr>
      <w:r w:rsidRPr="007F0803">
        <w:rPr>
          <w:rFonts w:ascii="Verdana" w:hAnsi="Verdana"/>
          <w:sz w:val="14"/>
          <w:szCs w:val="14"/>
          <w:lang w:val="es-CO"/>
        </w:rPr>
        <w:t xml:space="preserve">»1. Buen manejo y correcta inversión del anticipo. Este amparo cubre los perjuicios sufridos por la Entidad Estatal con ocasión de: (i) la no inversión del anticipo; (ii) el uso indebido del anticipo; y (iii) la apropiación indebida de los recursos recibidos en calidad de anticipo </w:t>
      </w:r>
    </w:p>
    <w:p w14:paraId="18B0465D" w14:textId="77777777" w:rsidR="004E5589" w:rsidRPr="007F0803" w:rsidRDefault="004E5589" w:rsidP="004E5589">
      <w:pPr>
        <w:pStyle w:val="Textonotapie"/>
        <w:jc w:val="both"/>
        <w:rPr>
          <w:rFonts w:ascii="Verdana" w:hAnsi="Verdana"/>
          <w:sz w:val="14"/>
          <w:szCs w:val="14"/>
          <w:lang w:val="es-CO"/>
        </w:rPr>
      </w:pPr>
      <w:r w:rsidRPr="007F0803">
        <w:rPr>
          <w:rFonts w:ascii="Verdana" w:hAnsi="Verdana"/>
          <w:sz w:val="14"/>
          <w:szCs w:val="14"/>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3D882A36" w14:textId="77777777" w:rsidR="004E5589" w:rsidRPr="007F0803" w:rsidRDefault="004E5589" w:rsidP="004E5589">
      <w:pPr>
        <w:pStyle w:val="Textonotapie"/>
        <w:jc w:val="both"/>
        <w:rPr>
          <w:rFonts w:ascii="Verdana" w:hAnsi="Verdana"/>
          <w:sz w:val="14"/>
          <w:szCs w:val="14"/>
          <w:lang w:val="es-CO"/>
        </w:rPr>
      </w:pPr>
      <w:r w:rsidRPr="007F0803">
        <w:rPr>
          <w:rFonts w:ascii="Verdana" w:hAnsi="Verdana"/>
          <w:sz w:val="14"/>
          <w:szCs w:val="14"/>
          <w:lang w:val="es-CO"/>
        </w:rPr>
        <w:t xml:space="preserve">»3. Cumplimiento del contrato. Este amparo cubre a la Entidad Estatal de los perjuicios derivados de: </w:t>
      </w:r>
    </w:p>
    <w:p w14:paraId="2BC83DF3" w14:textId="77777777" w:rsidR="004E5589" w:rsidRPr="007F0803" w:rsidRDefault="004E5589" w:rsidP="004E5589">
      <w:pPr>
        <w:pStyle w:val="Textonotapie"/>
        <w:jc w:val="both"/>
        <w:rPr>
          <w:rFonts w:ascii="Verdana" w:hAnsi="Verdana"/>
          <w:sz w:val="14"/>
          <w:szCs w:val="14"/>
          <w:lang w:val="es-CO"/>
        </w:rPr>
      </w:pPr>
      <w:r w:rsidRPr="007F0803">
        <w:rPr>
          <w:rFonts w:ascii="Verdana" w:hAnsi="Verdana"/>
          <w:sz w:val="14"/>
          <w:szCs w:val="14"/>
          <w:lang w:val="es-CO"/>
        </w:rPr>
        <w:t xml:space="preserve">»3.1. El incumplimiento total o parcial del contrato, cuando el incumplimiento es imputable al contratista; »3.2. El cumplimiento tardío o defectuoso del contrato, cuando el incumplimiento es imputable al contratista; »3.3. Los daños imputables al contratista por entregas parciales de la obra, cuando el contrato no prevé entregas parciales; y </w:t>
      </w:r>
    </w:p>
    <w:p w14:paraId="3BFD4F12" w14:textId="77777777" w:rsidR="004E5589" w:rsidRPr="007F0803" w:rsidRDefault="004E5589" w:rsidP="004E5589">
      <w:pPr>
        <w:pStyle w:val="Textonotapie"/>
        <w:jc w:val="both"/>
        <w:rPr>
          <w:rFonts w:ascii="Verdana" w:hAnsi="Verdana"/>
          <w:sz w:val="14"/>
          <w:szCs w:val="14"/>
          <w:lang w:val="es-CO"/>
        </w:rPr>
      </w:pPr>
      <w:r w:rsidRPr="007F0803">
        <w:rPr>
          <w:rFonts w:ascii="Verdana" w:hAnsi="Verdana"/>
          <w:sz w:val="14"/>
          <w:szCs w:val="14"/>
          <w:lang w:val="es-CO"/>
        </w:rPr>
        <w:t xml:space="preserve">»3.4. El pago del valor de las multas y de la cláusula penal pecuniaria. </w:t>
      </w:r>
    </w:p>
    <w:p w14:paraId="7FCF3D6D" w14:textId="77777777" w:rsidR="004E5589" w:rsidRPr="007F0803" w:rsidRDefault="004E5589" w:rsidP="004E5589">
      <w:pPr>
        <w:pStyle w:val="Textonotapie"/>
        <w:jc w:val="both"/>
        <w:rPr>
          <w:rFonts w:ascii="Verdana" w:hAnsi="Verdana"/>
          <w:sz w:val="14"/>
          <w:szCs w:val="14"/>
          <w:lang w:val="es-CO"/>
        </w:rPr>
      </w:pPr>
      <w:r w:rsidRPr="007F0803">
        <w:rPr>
          <w:rFonts w:ascii="Verdana" w:hAnsi="Verdana"/>
          <w:sz w:val="14"/>
          <w:szCs w:val="14"/>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»La Entidad Estatal no debe exigir una garantía para cubrir este Riesgo en los contratos que se ejecuten fuera del territorio nacional con personal contratado bajo un régimen jurídico distinto al colombiano. »5. Estabilidad y calidad de la obra. Este amparo cubre a la Entidad Estatal de los perjuicios ocasionados por cualquier tipo de daño o deterioro, imputable al contratista, sufrido por la obra entregada a satisfacción. </w:t>
      </w:r>
    </w:p>
    <w:p w14:paraId="4C748146" w14:textId="77777777" w:rsidR="004E5589" w:rsidRPr="007F0803" w:rsidRDefault="004E5589" w:rsidP="004E5589">
      <w:pPr>
        <w:pStyle w:val="Textonotapie"/>
        <w:jc w:val="both"/>
        <w:rPr>
          <w:rFonts w:ascii="Verdana" w:hAnsi="Verdana"/>
          <w:sz w:val="14"/>
          <w:szCs w:val="14"/>
          <w:lang w:val="es-CO"/>
        </w:rPr>
      </w:pPr>
      <w:r w:rsidRPr="007F0803">
        <w:rPr>
          <w:rFonts w:ascii="Verdana" w:hAnsi="Verdana"/>
          <w:sz w:val="14"/>
          <w:szCs w:val="14"/>
          <w:lang w:val="es-CO"/>
        </w:rPr>
        <w:t xml:space="preserve">»6. Calidad del servicio. Este amparo cubre a la Entidad Estatal por los perjuicios derivados de la deficiente calidad del servicio prestado. </w:t>
      </w:r>
    </w:p>
    <w:p w14:paraId="2C902BE1" w14:textId="77777777" w:rsidR="004E5589" w:rsidRDefault="004E5589" w:rsidP="004E5589">
      <w:pPr>
        <w:pStyle w:val="Textonotapie"/>
        <w:jc w:val="both"/>
        <w:rPr>
          <w:rFonts w:ascii="Verdana" w:hAnsi="Verdana"/>
          <w:sz w:val="14"/>
          <w:szCs w:val="14"/>
          <w:lang w:val="es-CO"/>
        </w:rPr>
      </w:pPr>
      <w:r w:rsidRPr="007F0803">
        <w:rPr>
          <w:rFonts w:ascii="Verdana" w:hAnsi="Verdana"/>
          <w:sz w:val="14"/>
          <w:szCs w:val="14"/>
          <w:lang w:val="es-CO"/>
        </w:rPr>
        <w:t>»7. Calidad y correcto funcionamiento de los bienes. Este amparo debe cubrir la calidad y el correcto funcionamiento de los bienes que recibe la Entidad Estatal en cumplimiento de un contrato. »8. Los demás incumplimientos de obligaciones que la Entidad Estatal considere deben ser amparados de manera proporcional y acorde a la naturaleza del contrato».</w:t>
      </w:r>
    </w:p>
    <w:p w14:paraId="31F01B39" w14:textId="77777777" w:rsidR="004E5589" w:rsidRPr="007F0803" w:rsidRDefault="004E5589" w:rsidP="004E5589">
      <w:pPr>
        <w:pStyle w:val="Textonotapie"/>
        <w:jc w:val="both"/>
        <w:rPr>
          <w:rFonts w:ascii="Verdana" w:hAnsi="Verdana"/>
          <w:sz w:val="16"/>
          <w:szCs w:val="16"/>
        </w:rPr>
      </w:pPr>
    </w:p>
  </w:footnote>
  <w:footnote w:id="10">
    <w:p w14:paraId="6351344B" w14:textId="77777777" w:rsidR="004E5589" w:rsidRPr="00E073ED" w:rsidRDefault="004E5589" w:rsidP="004E5589">
      <w:pPr>
        <w:pStyle w:val="Textonotapie"/>
        <w:ind w:firstLine="708"/>
        <w:jc w:val="both"/>
        <w:rPr>
          <w:rFonts w:ascii="Verdana" w:hAnsi="Verdana"/>
          <w:sz w:val="14"/>
          <w:szCs w:val="14"/>
        </w:rPr>
      </w:pPr>
      <w:r>
        <w:rPr>
          <w:rStyle w:val="Refdenotaalpie"/>
        </w:rPr>
        <w:footnoteRef/>
      </w:r>
      <w:r>
        <w:t xml:space="preserve"> </w:t>
      </w:r>
      <w:r w:rsidRPr="00E073ED">
        <w:rPr>
          <w:rFonts w:ascii="Verdana" w:hAnsi="Verdana"/>
          <w:sz w:val="14"/>
          <w:szCs w:val="14"/>
        </w:rPr>
        <w:t>«Artículo 2.2.1.2.3.1.12. Suficiencia de la garantía de cumplimiento. La garantía de cumplimiento</w:t>
      </w:r>
      <w:r>
        <w:rPr>
          <w:rFonts w:ascii="Verdana" w:hAnsi="Verdana"/>
          <w:sz w:val="14"/>
          <w:szCs w:val="14"/>
        </w:rPr>
        <w:t xml:space="preserve"> </w:t>
      </w:r>
      <w:r w:rsidRPr="00E073ED">
        <w:rPr>
          <w:rFonts w:ascii="Verdana" w:hAnsi="Verdana"/>
          <w:sz w:val="14"/>
          <w:szCs w:val="14"/>
        </w:rPr>
        <w:t>del contrato debe tener una vigencia mínima hasta la liquidación del contrato. El valor de esta garantía</w:t>
      </w:r>
      <w:r>
        <w:rPr>
          <w:rFonts w:ascii="Verdana" w:hAnsi="Verdana"/>
          <w:sz w:val="14"/>
          <w:szCs w:val="14"/>
        </w:rPr>
        <w:t xml:space="preserve"> </w:t>
      </w:r>
      <w:r w:rsidRPr="00E073ED">
        <w:rPr>
          <w:rFonts w:ascii="Verdana" w:hAnsi="Verdana"/>
          <w:sz w:val="14"/>
          <w:szCs w:val="14"/>
        </w:rPr>
        <w:t>debe ser de por lo menos el diez por ciento (10%) del valor del contrato a menos que el valor del contrato</w:t>
      </w:r>
      <w:r>
        <w:rPr>
          <w:rFonts w:ascii="Verdana" w:hAnsi="Verdana"/>
          <w:sz w:val="14"/>
          <w:szCs w:val="14"/>
        </w:rPr>
        <w:t xml:space="preserve"> </w:t>
      </w:r>
      <w:r w:rsidRPr="00E073ED">
        <w:rPr>
          <w:rFonts w:ascii="Verdana" w:hAnsi="Verdana"/>
          <w:sz w:val="14"/>
          <w:szCs w:val="14"/>
        </w:rPr>
        <w:t>sea superior a un millón (1.000.000) de smmlv, caso en el cual la Entidad Estatal aplicará las siguientes</w:t>
      </w:r>
      <w:r>
        <w:rPr>
          <w:rFonts w:ascii="Verdana" w:hAnsi="Verdana"/>
          <w:sz w:val="14"/>
          <w:szCs w:val="14"/>
        </w:rPr>
        <w:t xml:space="preserve"> reglas</w:t>
      </w:r>
      <w:r w:rsidRPr="00E073ED">
        <w:rPr>
          <w:rFonts w:ascii="Verdana" w:hAnsi="Verdana"/>
          <w:sz w:val="14"/>
          <w:szCs w:val="14"/>
        </w:rPr>
        <w:t>:</w:t>
      </w:r>
    </w:p>
    <w:p w14:paraId="3D50123D" w14:textId="77777777" w:rsidR="004E5589" w:rsidRDefault="004E5589" w:rsidP="004E5589">
      <w:pPr>
        <w:pStyle w:val="Textonotapie"/>
        <w:jc w:val="both"/>
        <w:rPr>
          <w:rFonts w:ascii="Verdana" w:hAnsi="Verdana"/>
          <w:sz w:val="14"/>
          <w:szCs w:val="14"/>
        </w:rPr>
      </w:pPr>
    </w:p>
    <w:p w14:paraId="43D884B4" w14:textId="77777777" w:rsidR="004E5589" w:rsidRPr="00E073ED" w:rsidRDefault="004E5589" w:rsidP="004E5589">
      <w:pPr>
        <w:pStyle w:val="Textonotapie"/>
        <w:jc w:val="both"/>
        <w:rPr>
          <w:rFonts w:ascii="Verdana" w:hAnsi="Verdana"/>
          <w:sz w:val="14"/>
          <w:szCs w:val="14"/>
        </w:rPr>
      </w:pPr>
      <w:r w:rsidRPr="00E073ED">
        <w:rPr>
          <w:rFonts w:ascii="Verdana" w:hAnsi="Verdana"/>
          <w:sz w:val="14"/>
          <w:szCs w:val="14"/>
        </w:rPr>
        <w:t>»1. Si el valor del contrato es superior a un millón (1.000.000) de smmlv y hasta cinco millones</w:t>
      </w:r>
      <w:r>
        <w:rPr>
          <w:rFonts w:ascii="Verdana" w:hAnsi="Verdana"/>
          <w:sz w:val="14"/>
          <w:szCs w:val="14"/>
        </w:rPr>
        <w:t xml:space="preserve"> </w:t>
      </w:r>
      <w:r w:rsidRPr="00E073ED">
        <w:rPr>
          <w:rFonts w:ascii="Verdana" w:hAnsi="Verdana"/>
          <w:sz w:val="14"/>
          <w:szCs w:val="14"/>
        </w:rPr>
        <w:t>(5.000.000) de smmlv, la Entidad Estatal puede aceptar garantías que cubran al menos el dos punto cinco</w:t>
      </w:r>
      <w:r>
        <w:rPr>
          <w:rFonts w:ascii="Verdana" w:hAnsi="Verdana"/>
          <w:sz w:val="14"/>
          <w:szCs w:val="14"/>
        </w:rPr>
        <w:t xml:space="preserve"> </w:t>
      </w:r>
      <w:r w:rsidRPr="00E073ED">
        <w:rPr>
          <w:rFonts w:ascii="Verdana" w:hAnsi="Verdana"/>
          <w:sz w:val="14"/>
          <w:szCs w:val="14"/>
        </w:rPr>
        <w:t>por ciento (2,5%) del valor del contrato.</w:t>
      </w:r>
    </w:p>
    <w:p w14:paraId="6467BF5C" w14:textId="77777777" w:rsidR="004E5589" w:rsidRPr="00E073ED" w:rsidRDefault="004E5589" w:rsidP="004E5589">
      <w:pPr>
        <w:pStyle w:val="Textonotapie"/>
        <w:jc w:val="both"/>
        <w:rPr>
          <w:rFonts w:ascii="Verdana" w:hAnsi="Verdana"/>
          <w:sz w:val="14"/>
          <w:szCs w:val="14"/>
        </w:rPr>
      </w:pPr>
      <w:r w:rsidRPr="00E073ED">
        <w:rPr>
          <w:rFonts w:ascii="Verdana" w:hAnsi="Verdana"/>
          <w:sz w:val="14"/>
          <w:szCs w:val="14"/>
        </w:rPr>
        <w:t>»2. Si el valor del contrato es superior a cinco millones (5.000.000) de smmlv y hasta diez millones (10.000.000) de smmlv, la Entidad Estatal puede aceptar garantías que cubran al menos el uno por ciento (1%) del valor del contrato.</w:t>
      </w:r>
    </w:p>
    <w:p w14:paraId="7B2521AE" w14:textId="77777777" w:rsidR="004E5589" w:rsidRPr="00E073ED" w:rsidRDefault="004E5589" w:rsidP="004E5589">
      <w:pPr>
        <w:pStyle w:val="Textonotapie"/>
        <w:jc w:val="both"/>
        <w:rPr>
          <w:rFonts w:ascii="Verdana" w:hAnsi="Verdana"/>
          <w:sz w:val="14"/>
          <w:szCs w:val="14"/>
        </w:rPr>
      </w:pPr>
      <w:r w:rsidRPr="00E073ED">
        <w:rPr>
          <w:rFonts w:ascii="Verdana" w:hAnsi="Verdana"/>
          <w:sz w:val="14"/>
          <w:szCs w:val="14"/>
        </w:rPr>
        <w:t>»3. Si el valor del contrato es superior a diez millones (10.000.000) de smmlv, la Entidad Estatal puede aceptar garantías que cubran al menos el cero punto cinco por ciento (0,5%) del valor del contrato.</w:t>
      </w:r>
    </w:p>
    <w:p w14:paraId="5A8A1AAD" w14:textId="77777777" w:rsidR="004E5589" w:rsidRPr="00F62F95" w:rsidRDefault="004E5589" w:rsidP="004E5589">
      <w:pPr>
        <w:pStyle w:val="Textonotapie"/>
        <w:jc w:val="both"/>
      </w:pPr>
      <w:r w:rsidRPr="00E073ED">
        <w:rPr>
          <w:rFonts w:ascii="Verdana" w:hAnsi="Verdana"/>
          <w:sz w:val="14"/>
          <w:szCs w:val="14"/>
        </w:rPr>
        <w:t>»4. Colombia Compra Eficiente debe determinar el valor de la garantía única de cumplimiento del Acuerdo Marco de Precios de acuerdo con el objeto, el valor, la naturaleza y las obligaciones contenidas en este».</w:t>
      </w:r>
      <w:r w:rsidRPr="00E073ED">
        <w:rPr>
          <w:rFonts w:ascii="Verdana" w:hAnsi="Verdana"/>
          <w:sz w:val="14"/>
          <w:szCs w:val="14"/>
        </w:rPr>
        <w:tab/>
      </w:r>
    </w:p>
  </w:footnote>
  <w:footnote w:id="11">
    <w:p w14:paraId="7F2E5275" w14:textId="77777777" w:rsidR="004E5589" w:rsidRDefault="004E5589" w:rsidP="004E5589">
      <w:pPr>
        <w:pStyle w:val="Textonotapie"/>
        <w:ind w:firstLine="709"/>
        <w:jc w:val="both"/>
        <w:rPr>
          <w:rFonts w:ascii="Verdana" w:hAnsi="Verdana" w:cs="Arial"/>
          <w:sz w:val="14"/>
          <w:szCs w:val="14"/>
        </w:rPr>
      </w:pPr>
      <w:r w:rsidRPr="00876454">
        <w:rPr>
          <w:rStyle w:val="Refdenotaalpie"/>
          <w:rFonts w:ascii="Verdana" w:hAnsi="Verdana" w:cs="Arial"/>
          <w:sz w:val="14"/>
          <w:szCs w:val="14"/>
        </w:rPr>
        <w:footnoteRef/>
      </w:r>
      <w:r w:rsidRPr="00876454">
        <w:rPr>
          <w:rFonts w:ascii="Verdana" w:hAnsi="Verdana" w:cs="Arial"/>
          <w:sz w:val="14"/>
          <w:szCs w:val="14"/>
        </w:rPr>
        <w:t xml:space="preserve"> Consejo de Estado, Sección Tercera, Subsección A. Sentencia del 14 de junio del 2019. Radicación número: 11001 03 26 000 2009 00047 00 (36860)</w:t>
      </w:r>
      <w:r w:rsidRPr="00876454">
        <w:rPr>
          <w:rFonts w:ascii="Verdana" w:hAnsi="Verdana" w:cs="Arial"/>
          <w:sz w:val="14"/>
          <w:szCs w:val="14"/>
          <w:lang w:val="es-CO"/>
        </w:rPr>
        <w:t xml:space="preserve">. </w:t>
      </w:r>
      <w:r w:rsidRPr="00876454">
        <w:rPr>
          <w:rFonts w:ascii="Verdana" w:hAnsi="Verdana" w:cs="Arial"/>
          <w:sz w:val="14"/>
          <w:szCs w:val="14"/>
        </w:rPr>
        <w:t>C.P: Carlos Alberto Zambrano Barrera.</w:t>
      </w:r>
    </w:p>
    <w:p w14:paraId="2F1E5D1F" w14:textId="77777777" w:rsidR="004E5589" w:rsidRPr="006F7BDE" w:rsidRDefault="004E5589" w:rsidP="004E5589">
      <w:pPr>
        <w:pStyle w:val="Textonotapie"/>
        <w:ind w:firstLine="709"/>
        <w:jc w:val="both"/>
        <w:rPr>
          <w:rFonts w:ascii="Verdana" w:hAnsi="Verdana" w:cs="Arial"/>
          <w:sz w:val="14"/>
          <w:szCs w:val="14"/>
        </w:rPr>
      </w:pPr>
    </w:p>
  </w:footnote>
  <w:footnote w:id="12">
    <w:p w14:paraId="3AE7499A" w14:textId="77777777" w:rsidR="004E5589" w:rsidRDefault="004E5589" w:rsidP="004E5589">
      <w:pPr>
        <w:pStyle w:val="Textonotapie"/>
        <w:ind w:firstLine="709"/>
        <w:jc w:val="both"/>
        <w:rPr>
          <w:rFonts w:ascii="Verdana" w:hAnsi="Verdana" w:cs="Arial"/>
          <w:sz w:val="14"/>
          <w:szCs w:val="14"/>
        </w:rPr>
      </w:pPr>
      <w:r w:rsidRPr="00876454">
        <w:rPr>
          <w:rStyle w:val="Refdenotaalpie"/>
          <w:rFonts w:ascii="Verdana" w:hAnsi="Verdana" w:cs="Arial"/>
          <w:sz w:val="14"/>
          <w:szCs w:val="14"/>
        </w:rPr>
        <w:footnoteRef/>
      </w:r>
      <w:r w:rsidRPr="00876454">
        <w:rPr>
          <w:rFonts w:ascii="Verdana" w:hAnsi="Verdana" w:cs="Arial"/>
          <w:sz w:val="14"/>
          <w:szCs w:val="14"/>
        </w:rPr>
        <w:t xml:space="preserve"> Consejo de Estado, Sección Segunda, Subsección A. Sentencia del 25 de enero del 2018. Radicación número: </w:t>
      </w:r>
      <w:r w:rsidRPr="00876454">
        <w:rPr>
          <w:rFonts w:ascii="Verdana" w:hAnsi="Verdana" w:cs="Arial"/>
          <w:sz w:val="14"/>
          <w:szCs w:val="14"/>
          <w:lang w:val="es-CO"/>
        </w:rPr>
        <w:t>11001-03-25-000-2011-00489-00(1924-11).</w:t>
      </w:r>
      <w:r w:rsidRPr="00876454">
        <w:rPr>
          <w:rFonts w:ascii="Verdana" w:hAnsi="Verdana" w:cs="Arial"/>
          <w:b/>
          <w:sz w:val="14"/>
          <w:szCs w:val="14"/>
          <w:lang w:val="es-CO"/>
        </w:rPr>
        <w:t xml:space="preserve"> </w:t>
      </w:r>
      <w:r w:rsidRPr="00876454">
        <w:rPr>
          <w:rFonts w:ascii="Verdana" w:hAnsi="Verdana" w:cs="Arial"/>
          <w:sz w:val="14"/>
          <w:szCs w:val="14"/>
        </w:rPr>
        <w:t>C.P: Gabriel Valbuena Hernández.</w:t>
      </w:r>
    </w:p>
    <w:p w14:paraId="55FF5C88" w14:textId="77777777" w:rsidR="004E5589" w:rsidRPr="00876454" w:rsidRDefault="004E5589" w:rsidP="004E5589">
      <w:pPr>
        <w:pStyle w:val="Textonotapie"/>
        <w:ind w:firstLine="709"/>
        <w:jc w:val="both"/>
        <w:rPr>
          <w:rFonts w:ascii="Verdana" w:hAnsi="Verdana" w:cs="Arial"/>
          <w:sz w:val="14"/>
          <w:szCs w:val="14"/>
          <w:lang w:val="es-CO"/>
        </w:rPr>
      </w:pPr>
    </w:p>
  </w:footnote>
  <w:footnote w:id="13">
    <w:p w14:paraId="408DA11A" w14:textId="77777777" w:rsidR="004E5589" w:rsidRPr="00E670BC" w:rsidRDefault="004E5589" w:rsidP="004E5589">
      <w:pPr>
        <w:pStyle w:val="Textonotapie"/>
        <w:ind w:firstLine="708"/>
        <w:jc w:val="both"/>
        <w:rPr>
          <w:rFonts w:ascii="Verdana" w:hAnsi="Verdana"/>
          <w:sz w:val="14"/>
          <w:szCs w:val="14"/>
          <w:lang w:val="es-CO"/>
        </w:rPr>
      </w:pPr>
      <w:r w:rsidRPr="00E670BC">
        <w:rPr>
          <w:rStyle w:val="Refdenotaalpie"/>
          <w:rFonts w:ascii="Verdana" w:hAnsi="Verdana"/>
          <w:sz w:val="14"/>
          <w:szCs w:val="14"/>
        </w:rPr>
        <w:footnoteRef/>
      </w:r>
      <w:r w:rsidRPr="00E670BC">
        <w:rPr>
          <w:rFonts w:ascii="Verdana" w:hAnsi="Verdana"/>
          <w:sz w:val="14"/>
          <w:szCs w:val="14"/>
        </w:rPr>
        <w:t xml:space="preserve"> </w:t>
      </w:r>
      <w:r w:rsidRPr="00E670BC">
        <w:rPr>
          <w:rFonts w:ascii="Verdana" w:hAnsi="Verdana" w:cs="Arial"/>
          <w:color w:val="1A1A1A" w:themeColor="background1" w:themeShade="1A"/>
          <w:sz w:val="14"/>
          <w:szCs w:val="14"/>
        </w:rPr>
        <w:t>C</w:t>
      </w:r>
      <w:r>
        <w:rPr>
          <w:rFonts w:ascii="Verdana" w:hAnsi="Verdana" w:cs="Arial"/>
          <w:color w:val="1A1A1A" w:themeColor="background1" w:themeShade="1A"/>
          <w:sz w:val="14"/>
          <w:szCs w:val="14"/>
        </w:rPr>
        <w:t xml:space="preserve">onsejo de Estado. Sala de lo Contencioso Administrativo. </w:t>
      </w:r>
      <w:r w:rsidRPr="00E670BC">
        <w:rPr>
          <w:rFonts w:ascii="Verdana" w:hAnsi="Verdana" w:cs="Arial"/>
          <w:color w:val="1A1A1A" w:themeColor="background1" w:themeShade="1A"/>
          <w:sz w:val="14"/>
          <w:szCs w:val="14"/>
        </w:rPr>
        <w:t>Sección Tercera. Subsección A. Sentencia del del 24 de febrero de 2016. Exp. 46.185. C.P. Marta Nubia Velásquez Rico.</w:t>
      </w:r>
    </w:p>
    <w:p w14:paraId="146A382B" w14:textId="77777777" w:rsidR="004E5589" w:rsidRPr="00E670BC" w:rsidRDefault="004E5589" w:rsidP="004E5589">
      <w:pPr>
        <w:pStyle w:val="Textonotapie"/>
        <w:rPr>
          <w:rFonts w:ascii="Verdana" w:hAnsi="Verdana"/>
          <w:sz w:val="14"/>
          <w:szCs w:val="14"/>
          <w:lang w:val="es-ES"/>
        </w:rPr>
      </w:pPr>
    </w:p>
  </w:footnote>
  <w:footnote w:id="14">
    <w:p w14:paraId="49F9754E" w14:textId="77777777" w:rsidR="004E5589" w:rsidRPr="001934DE" w:rsidRDefault="004E5589" w:rsidP="004E5589">
      <w:pPr>
        <w:pStyle w:val="Textonotapie"/>
        <w:ind w:firstLine="708"/>
        <w:jc w:val="both"/>
        <w:rPr>
          <w:rFonts w:ascii="Verdana" w:hAnsi="Verdana"/>
          <w:sz w:val="14"/>
          <w:szCs w:val="14"/>
          <w:lang w:val="es-CO"/>
        </w:rPr>
      </w:pPr>
      <w:r w:rsidRPr="001934DE">
        <w:rPr>
          <w:rStyle w:val="Refdenotaalpie"/>
          <w:rFonts w:ascii="Verdana" w:hAnsi="Verdana"/>
          <w:sz w:val="14"/>
          <w:szCs w:val="14"/>
        </w:rPr>
        <w:footnoteRef/>
      </w:r>
      <w:r w:rsidRPr="001934DE">
        <w:rPr>
          <w:rFonts w:ascii="Verdana" w:hAnsi="Verdana"/>
          <w:sz w:val="14"/>
          <w:szCs w:val="14"/>
        </w:rPr>
        <w:t xml:space="preserve"> </w:t>
      </w:r>
      <w:r w:rsidRPr="001934DE">
        <w:rPr>
          <w:rFonts w:ascii="Verdana" w:hAnsi="Verdana"/>
          <w:sz w:val="14"/>
          <w:szCs w:val="14"/>
          <w:lang w:val="es-CO"/>
        </w:rPr>
        <w:t>Consejo de Estado, Sección Tercera, Subsección A. Sentencia del 14 de junio del 2019. Radicación número: 11001 03 26 000 2009 00047 00 (36860). C.P: Carlos Alberto Zambrano Barrera.</w:t>
      </w:r>
    </w:p>
    <w:p w14:paraId="02160735" w14:textId="77777777" w:rsidR="004E5589" w:rsidRPr="001934DE" w:rsidRDefault="004E5589" w:rsidP="004E5589">
      <w:pPr>
        <w:pStyle w:val="Textonotapie"/>
        <w:ind w:firstLine="708"/>
        <w:jc w:val="both"/>
        <w:rPr>
          <w:rFonts w:ascii="Verdana" w:hAnsi="Verdana"/>
          <w:sz w:val="14"/>
          <w:szCs w:val="14"/>
          <w:lang w:val="es-CO"/>
        </w:rPr>
      </w:pPr>
    </w:p>
  </w:footnote>
  <w:footnote w:id="15">
    <w:p w14:paraId="221F35E0" w14:textId="77777777" w:rsidR="004E5589" w:rsidRPr="00412F04" w:rsidRDefault="004E5589" w:rsidP="004E5589">
      <w:pPr>
        <w:pStyle w:val="Textonotapie"/>
        <w:ind w:firstLine="708"/>
        <w:jc w:val="both"/>
        <w:rPr>
          <w:lang w:val="es-CO"/>
        </w:rPr>
      </w:pPr>
      <w:r w:rsidRPr="001934DE">
        <w:rPr>
          <w:rStyle w:val="Refdenotaalpie"/>
          <w:rFonts w:ascii="Verdana" w:hAnsi="Verdana"/>
          <w:sz w:val="14"/>
          <w:szCs w:val="14"/>
        </w:rPr>
        <w:footnoteRef/>
      </w:r>
      <w:r w:rsidRPr="001934DE">
        <w:rPr>
          <w:rFonts w:ascii="Verdana" w:hAnsi="Verdana"/>
          <w:sz w:val="14"/>
          <w:szCs w:val="14"/>
        </w:rPr>
        <w:t xml:space="preserve"> </w:t>
      </w:r>
      <w:r w:rsidRPr="001934DE">
        <w:rPr>
          <w:rFonts w:ascii="Verdana" w:hAnsi="Verdana"/>
          <w:sz w:val="14"/>
          <w:szCs w:val="14"/>
          <w:lang w:val="es-CO"/>
        </w:rPr>
        <w:t>Consejo de Estado, Sección Segunda, Subsección A. Sentencia del 25 de enero del 2018. Radicación número: 11001-03-25-000-2011-00489-00(1924-11). C.P: Gabriel Valbuena Hernandez.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9B2EAF2E"/>
    <w:lvl w:ilvl="0">
      <w:start w:val="1"/>
      <w:numFmt w:val="decimal"/>
      <w:lvlText w:val="%1."/>
      <w:lvlJc w:val="left"/>
      <w:pPr>
        <w:ind w:left="360" w:hanging="360"/>
      </w:pPr>
      <w:rPr>
        <w:b/>
        <w:color w:val="aut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EE8E77B4"/>
    <w:lvl w:ilvl="0" w:tplc="C1D210D2">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3AD5452C"/>
    <w:multiLevelType w:val="hybridMultilevel"/>
    <w:tmpl w:val="08EA66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14847841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45D5"/>
    <w:rsid w:val="000D0334"/>
    <w:rsid w:val="000D5DA7"/>
    <w:rsid w:val="000F6486"/>
    <w:rsid w:val="00116940"/>
    <w:rsid w:val="00125105"/>
    <w:rsid w:val="00127233"/>
    <w:rsid w:val="0015699B"/>
    <w:rsid w:val="00160A37"/>
    <w:rsid w:val="00161F4B"/>
    <w:rsid w:val="001A33BF"/>
    <w:rsid w:val="001E4177"/>
    <w:rsid w:val="001F0B24"/>
    <w:rsid w:val="001F7DC6"/>
    <w:rsid w:val="0022400B"/>
    <w:rsid w:val="002421BB"/>
    <w:rsid w:val="00247343"/>
    <w:rsid w:val="002566EE"/>
    <w:rsid w:val="0025796E"/>
    <w:rsid w:val="002707A2"/>
    <w:rsid w:val="002951A0"/>
    <w:rsid w:val="002962BC"/>
    <w:rsid w:val="002A093D"/>
    <w:rsid w:val="002A0DD0"/>
    <w:rsid w:val="002A49AC"/>
    <w:rsid w:val="002A64FD"/>
    <w:rsid w:val="002C7A84"/>
    <w:rsid w:val="002E2BF8"/>
    <w:rsid w:val="002E3EA9"/>
    <w:rsid w:val="002E4FD9"/>
    <w:rsid w:val="0030657A"/>
    <w:rsid w:val="00322A85"/>
    <w:rsid w:val="00324168"/>
    <w:rsid w:val="00324C4F"/>
    <w:rsid w:val="00326C9B"/>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287C"/>
    <w:rsid w:val="00466E39"/>
    <w:rsid w:val="00492216"/>
    <w:rsid w:val="004A1847"/>
    <w:rsid w:val="004A305D"/>
    <w:rsid w:val="004E5589"/>
    <w:rsid w:val="004F21C4"/>
    <w:rsid w:val="004F685F"/>
    <w:rsid w:val="005566E8"/>
    <w:rsid w:val="00574867"/>
    <w:rsid w:val="00591460"/>
    <w:rsid w:val="005A65E0"/>
    <w:rsid w:val="005C3777"/>
    <w:rsid w:val="005C5CDC"/>
    <w:rsid w:val="005D476C"/>
    <w:rsid w:val="0061155F"/>
    <w:rsid w:val="00617A63"/>
    <w:rsid w:val="006200BF"/>
    <w:rsid w:val="006219F8"/>
    <w:rsid w:val="006302F7"/>
    <w:rsid w:val="006342BF"/>
    <w:rsid w:val="00646B9F"/>
    <w:rsid w:val="00665D70"/>
    <w:rsid w:val="00676F23"/>
    <w:rsid w:val="00686AE1"/>
    <w:rsid w:val="006900D9"/>
    <w:rsid w:val="00706C16"/>
    <w:rsid w:val="007334ED"/>
    <w:rsid w:val="007340C3"/>
    <w:rsid w:val="00751E5C"/>
    <w:rsid w:val="0075235A"/>
    <w:rsid w:val="00756841"/>
    <w:rsid w:val="007649AB"/>
    <w:rsid w:val="00771D0C"/>
    <w:rsid w:val="007833AC"/>
    <w:rsid w:val="007B268C"/>
    <w:rsid w:val="007B7171"/>
    <w:rsid w:val="007C0C0F"/>
    <w:rsid w:val="007C3DC2"/>
    <w:rsid w:val="007E5497"/>
    <w:rsid w:val="00806F5F"/>
    <w:rsid w:val="00820278"/>
    <w:rsid w:val="008258C9"/>
    <w:rsid w:val="00827931"/>
    <w:rsid w:val="0084212F"/>
    <w:rsid w:val="00844526"/>
    <w:rsid w:val="00844AE9"/>
    <w:rsid w:val="00867F95"/>
    <w:rsid w:val="008843B6"/>
    <w:rsid w:val="00891928"/>
    <w:rsid w:val="008A446D"/>
    <w:rsid w:val="008B25F1"/>
    <w:rsid w:val="008D180B"/>
    <w:rsid w:val="008D3535"/>
    <w:rsid w:val="008F0EA7"/>
    <w:rsid w:val="00923EEF"/>
    <w:rsid w:val="009419F9"/>
    <w:rsid w:val="0095685E"/>
    <w:rsid w:val="00961B09"/>
    <w:rsid w:val="00965334"/>
    <w:rsid w:val="0097093E"/>
    <w:rsid w:val="009A0DFA"/>
    <w:rsid w:val="009A1C6F"/>
    <w:rsid w:val="009B2D26"/>
    <w:rsid w:val="009B6E33"/>
    <w:rsid w:val="009C71FA"/>
    <w:rsid w:val="009C72E7"/>
    <w:rsid w:val="009C7F7E"/>
    <w:rsid w:val="009D3058"/>
    <w:rsid w:val="009F3A13"/>
    <w:rsid w:val="00A122D3"/>
    <w:rsid w:val="00A14468"/>
    <w:rsid w:val="00A17F13"/>
    <w:rsid w:val="00A20739"/>
    <w:rsid w:val="00A23AF9"/>
    <w:rsid w:val="00A24624"/>
    <w:rsid w:val="00A33C78"/>
    <w:rsid w:val="00AA1EFC"/>
    <w:rsid w:val="00AB0ADB"/>
    <w:rsid w:val="00B00C0E"/>
    <w:rsid w:val="00B01B1A"/>
    <w:rsid w:val="00B0381D"/>
    <w:rsid w:val="00B10BD2"/>
    <w:rsid w:val="00B44A47"/>
    <w:rsid w:val="00B6553D"/>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0A"/>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6B1A"/>
    <w:rsid w:val="00E50AFE"/>
    <w:rsid w:val="00E75C92"/>
    <w:rsid w:val="00E771DC"/>
    <w:rsid w:val="00E8772A"/>
    <w:rsid w:val="00E90F6B"/>
    <w:rsid w:val="00E92C27"/>
    <w:rsid w:val="00EA0E3D"/>
    <w:rsid w:val="00EC38A7"/>
    <w:rsid w:val="00EC5B16"/>
    <w:rsid w:val="00EE1AA8"/>
    <w:rsid w:val="00F23FEA"/>
    <w:rsid w:val="00F31EDC"/>
    <w:rsid w:val="00F462B3"/>
    <w:rsid w:val="00F5664F"/>
    <w:rsid w:val="00F666C4"/>
    <w:rsid w:val="00F76AFC"/>
    <w:rsid w:val="00F97C74"/>
    <w:rsid w:val="00FA47C0"/>
    <w:rsid w:val="00FB5DD1"/>
    <w:rsid w:val="00FC2B5D"/>
    <w:rsid w:val="00FF1449"/>
    <w:rsid w:val="00FF7963"/>
    <w:rsid w:val="0342029F"/>
    <w:rsid w:val="071B8F93"/>
    <w:rsid w:val="07C73DD1"/>
    <w:rsid w:val="09908A09"/>
    <w:rsid w:val="0E64AB5B"/>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1564A3B-58F3-449C-BA8D-15CFFA44C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4E55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4E558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E558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rdilal@sena.edu.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8122C28-623E-49F3-8712-4777B3170492}"/>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23</Pages>
  <Words>7325</Words>
  <Characters>39413</Characters>
  <Application>Microsoft Office Word</Application>
  <DocSecurity>0</DocSecurity>
  <Lines>788</Lines>
  <Paragraphs>161</Paragraphs>
  <ScaleCrop>false</ScaleCrop>
  <Company/>
  <LinksUpToDate>false</LinksUpToDate>
  <CharactersWithSpaces>46577</CharactersWithSpaces>
  <SharedDoc>false</SharedDoc>
  <HLinks>
    <vt:vector size="18" baseType="variant">
      <vt:variant>
        <vt:i4>7471218</vt:i4>
      </vt:variant>
      <vt:variant>
        <vt:i4>3</vt:i4>
      </vt:variant>
      <vt:variant>
        <vt:i4>0</vt:i4>
      </vt:variant>
      <vt:variant>
        <vt:i4>5</vt:i4>
      </vt:variant>
      <vt:variant>
        <vt:lpwstr>https://relatoria.colombiacompra.gov.co/busqueda/conceptos</vt:lpwstr>
      </vt:variant>
      <vt:variant>
        <vt:lpwstr/>
      </vt:variant>
      <vt:variant>
        <vt:i4>4522038</vt:i4>
      </vt:variant>
      <vt:variant>
        <vt:i4>0</vt:i4>
      </vt:variant>
      <vt:variant>
        <vt:i4>0</vt:i4>
      </vt:variant>
      <vt:variant>
        <vt:i4>5</vt:i4>
      </vt:variant>
      <vt:variant>
        <vt:lpwstr>mailto:jardilal@sena.edu.co</vt:lpwstr>
      </vt:variant>
      <vt:variant>
        <vt:lpwstr/>
      </vt:variant>
      <vt:variant>
        <vt:i4>720914</vt:i4>
      </vt:variant>
      <vt:variant>
        <vt:i4>0</vt:i4>
      </vt:variant>
      <vt:variant>
        <vt:i4>0</vt:i4>
      </vt:variant>
      <vt:variant>
        <vt:i4>5</vt:i4>
      </vt:variant>
      <vt:variant>
        <vt:lpwstr>http://www.secretariasenado.gov.co/senado/basedoc/ley_0080_1993.html</vt:lpwstr>
      </vt:variant>
      <vt:variant>
        <vt:lpwstr>42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7</cp:revision>
  <cp:lastPrinted>2023-01-10T21:18:00Z</cp:lastPrinted>
  <dcterms:created xsi:type="dcterms:W3CDTF">2026-04-14T13:53:00Z</dcterms:created>
  <dcterms:modified xsi:type="dcterms:W3CDTF">2026-04-14T13:56:00Z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