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649D9" w14:textId="30C00A95" w:rsidR="00C53318" w:rsidRPr="0019046E" w:rsidRDefault="00C53318" w:rsidP="00206491">
      <w:pPr>
        <w:spacing w:after="0" w:line="240" w:lineRule="auto"/>
        <w:jc w:val="both"/>
        <w:rPr>
          <w:rFonts w:ascii="Verdana" w:eastAsia="Geomanist Light" w:hAnsi="Verdana" w:cs="Arial"/>
          <w:b/>
          <w:bCs/>
          <w:color w:val="000000" w:themeColor="text1"/>
          <w:lang w:val="es-MX"/>
        </w:rPr>
      </w:pPr>
      <w:r w:rsidRPr="0019046E">
        <w:rPr>
          <w:rFonts w:ascii="Verdana" w:eastAsia="Geomanist Light" w:hAnsi="Verdana" w:cs="Arial"/>
          <w:b/>
          <w:bCs/>
          <w:color w:val="000000" w:themeColor="text1"/>
          <w:lang w:val="es-MX"/>
        </w:rPr>
        <w:t xml:space="preserve">LEY DE GARANTÍAS ELECTORALES – Finalidad </w:t>
      </w:r>
    </w:p>
    <w:p w14:paraId="33FF2CB3" w14:textId="77777777" w:rsidR="00C53318" w:rsidRDefault="00C53318" w:rsidP="00206491">
      <w:pPr>
        <w:spacing w:after="0" w:line="240" w:lineRule="auto"/>
        <w:jc w:val="both"/>
        <w:rPr>
          <w:rFonts w:ascii="Verdana" w:eastAsia="Geomanist Light" w:hAnsi="Verdana" w:cs="Arial"/>
          <w:b/>
          <w:bCs/>
          <w:color w:val="000000" w:themeColor="text1"/>
          <w:lang w:val="es-MX"/>
        </w:rPr>
      </w:pPr>
    </w:p>
    <w:p w14:paraId="2A068788" w14:textId="1E279337" w:rsidR="0019046E" w:rsidRDefault="00E95303" w:rsidP="00206491">
      <w:pPr>
        <w:spacing w:after="0" w:line="240" w:lineRule="auto"/>
        <w:jc w:val="both"/>
        <w:rPr>
          <w:rFonts w:ascii="Verdana" w:eastAsia="Geomanist Light" w:hAnsi="Verdana" w:cs="Arial"/>
          <w:color w:val="000000" w:themeColor="text1"/>
          <w:sz w:val="20"/>
          <w:szCs w:val="20"/>
        </w:rPr>
      </w:pPr>
      <w:r w:rsidRPr="00E95303">
        <w:rPr>
          <w:rFonts w:ascii="Verdana" w:eastAsia="Geomanist Light" w:hAnsi="Verdana" w:cs="Arial"/>
          <w:color w:val="000000" w:themeColor="text1"/>
          <w:sz w:val="20"/>
          <w:szCs w:val="20"/>
          <w:lang w:val="es-MX"/>
        </w:rPr>
        <w:t xml:space="preserve">[…] </w:t>
      </w:r>
      <w:r w:rsidRPr="00E95303">
        <w:rPr>
          <w:rFonts w:ascii="Verdana" w:eastAsia="Geomanist Light" w:hAnsi="Verdana" w:cs="Arial"/>
          <w:color w:val="000000" w:themeColor="text1"/>
          <w:sz w:val="20"/>
          <w:szCs w:val="20"/>
        </w:rPr>
        <w:t>la Ley 996 de 2005, conocida como “Ley de Garantías Electorales”, cuyo propósito es asegurar la neutralidad, transparencia e imparcialidad en los procesos electorales. Esta Ley busca impedir que quienes ejercen el poder público utilicen los recursos del</w:t>
      </w:r>
      <w:r w:rsidR="00206491">
        <w:rPr>
          <w:rFonts w:ascii="Verdana" w:eastAsia="Geomanist Light" w:hAnsi="Verdana" w:cs="Arial"/>
          <w:color w:val="000000" w:themeColor="text1"/>
          <w:sz w:val="20"/>
          <w:szCs w:val="20"/>
        </w:rPr>
        <w:t xml:space="preserve"> </w:t>
      </w:r>
      <w:r w:rsidR="00206491" w:rsidRPr="00206491">
        <w:rPr>
          <w:rFonts w:ascii="Verdana" w:eastAsia="Geomanist Light" w:hAnsi="Verdana" w:cs="Arial"/>
          <w:color w:val="000000" w:themeColor="text1"/>
          <w:sz w:val="20"/>
          <w:szCs w:val="20"/>
        </w:rPr>
        <w:t>Estado para incidir en la voluntad del electorado</w:t>
      </w:r>
      <w:r w:rsidR="00206491">
        <w:rPr>
          <w:rFonts w:ascii="Verdana" w:eastAsia="Geomanist Light" w:hAnsi="Verdana" w:cs="Arial"/>
          <w:color w:val="000000" w:themeColor="text1"/>
          <w:sz w:val="20"/>
          <w:szCs w:val="20"/>
        </w:rPr>
        <w:t>. […]</w:t>
      </w:r>
    </w:p>
    <w:p w14:paraId="2312E465" w14:textId="26D0CF09" w:rsidR="00206491" w:rsidRDefault="00206491" w:rsidP="00206491">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 xml:space="preserve"> </w:t>
      </w:r>
    </w:p>
    <w:p w14:paraId="7B5B34BC" w14:textId="3E73B4CD" w:rsidR="00206491" w:rsidRPr="00206491" w:rsidRDefault="00206491" w:rsidP="00206491">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 xml:space="preserve">[…] </w:t>
      </w:r>
      <w:r w:rsidRPr="00206491">
        <w:rPr>
          <w:rFonts w:ascii="Verdana" w:eastAsia="Geomanist Light" w:hAnsi="Verdana" w:cs="Arial"/>
          <w:color w:val="000000" w:themeColor="text1"/>
          <w:sz w:val="20"/>
          <w:szCs w:val="20"/>
        </w:rPr>
        <w:t>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7B57867" w14:textId="77777777" w:rsidR="0019046E" w:rsidRPr="0019046E" w:rsidRDefault="0019046E" w:rsidP="00206491">
      <w:pPr>
        <w:spacing w:after="0" w:line="240" w:lineRule="auto"/>
        <w:jc w:val="both"/>
        <w:rPr>
          <w:rFonts w:ascii="Verdana" w:eastAsia="Geomanist Light" w:hAnsi="Verdana" w:cs="Arial"/>
          <w:b/>
          <w:bCs/>
          <w:color w:val="000000" w:themeColor="text1"/>
          <w:lang w:val="es-MX"/>
        </w:rPr>
      </w:pPr>
    </w:p>
    <w:p w14:paraId="58B38F5E" w14:textId="27CA238A" w:rsidR="00206491" w:rsidRDefault="00C53318" w:rsidP="00206491">
      <w:pPr>
        <w:spacing w:after="0" w:line="240" w:lineRule="auto"/>
        <w:jc w:val="both"/>
        <w:rPr>
          <w:rFonts w:ascii="Verdana" w:eastAsia="Geomanist Light" w:hAnsi="Verdana" w:cs="Arial"/>
          <w:b/>
          <w:bCs/>
          <w:color w:val="000000" w:themeColor="text1"/>
          <w:lang w:val="es-MX"/>
        </w:rPr>
      </w:pPr>
      <w:r w:rsidRPr="0019046E">
        <w:rPr>
          <w:rFonts w:ascii="Verdana" w:eastAsia="Geomanist Light" w:hAnsi="Verdana" w:cs="Arial"/>
          <w:b/>
          <w:bCs/>
          <w:color w:val="000000" w:themeColor="text1"/>
          <w:lang w:val="es-MX"/>
        </w:rPr>
        <w:t>LEY DE GARANTÍAS ELECTORALES – Restricción a la contratación directa</w:t>
      </w:r>
    </w:p>
    <w:p w14:paraId="03AF4DE5" w14:textId="77777777" w:rsidR="00206491" w:rsidRDefault="00206491" w:rsidP="00206491">
      <w:pPr>
        <w:spacing w:after="0" w:line="240" w:lineRule="auto"/>
        <w:jc w:val="both"/>
        <w:rPr>
          <w:rFonts w:ascii="Verdana" w:eastAsia="Geomanist Light" w:hAnsi="Verdana" w:cs="Arial"/>
          <w:b/>
          <w:bCs/>
          <w:color w:val="000000" w:themeColor="text1"/>
          <w:lang w:val="es-MX"/>
        </w:rPr>
      </w:pPr>
    </w:p>
    <w:p w14:paraId="10D43272" w14:textId="440F4688" w:rsidR="00D11ED1" w:rsidRDefault="001C49A6" w:rsidP="00206491">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 xml:space="preserve">[…] </w:t>
      </w:r>
      <w:r w:rsidRPr="001C49A6">
        <w:rPr>
          <w:rFonts w:ascii="Verdana" w:eastAsia="Geomanist Light" w:hAnsi="Verdana" w:cs="Arial"/>
          <w:color w:val="000000" w:themeColor="text1"/>
          <w:sz w:val="20"/>
          <w:szCs w:val="20"/>
        </w:rPr>
        <w:t>el artículo 33 de la Ley 996 de 2005 prohíbe “[…] la contratación directa por parte de todos los entes del Estado” durante los cuatro (4) meses anteriores a las elecciones presidenciales, salvo “[…] lo referente a la</w:t>
      </w:r>
      <w:r w:rsidR="00EB6894">
        <w:rPr>
          <w:rFonts w:ascii="Verdana" w:eastAsia="Geomanist Light" w:hAnsi="Verdana" w:cs="Arial"/>
          <w:color w:val="000000" w:themeColor="text1"/>
          <w:sz w:val="20"/>
          <w:szCs w:val="20"/>
        </w:rPr>
        <w:t xml:space="preserve"> </w:t>
      </w:r>
      <w:r w:rsidR="00EB6894" w:rsidRPr="00EB6894">
        <w:rPr>
          <w:rFonts w:ascii="Verdana" w:eastAsia="Geomanist Light" w:hAnsi="Verdana" w:cs="Arial"/>
          <w:color w:val="000000" w:themeColor="text1"/>
          <w:sz w:val="20"/>
          <w:szCs w:val="20"/>
        </w:rPr>
        <w:t>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C0656C">
        <w:rPr>
          <w:rFonts w:ascii="Verdana" w:eastAsia="Geomanist Light" w:hAnsi="Verdana" w:cs="Arial"/>
          <w:color w:val="000000" w:themeColor="text1"/>
          <w:sz w:val="20"/>
          <w:szCs w:val="20"/>
          <w:vertAlign w:val="superscript"/>
        </w:rPr>
        <w:t>6</w:t>
      </w:r>
      <w:r w:rsidR="00C0656C">
        <w:rPr>
          <w:rFonts w:ascii="Verdana" w:eastAsia="Geomanist Light" w:hAnsi="Verdana" w:cs="Arial"/>
          <w:color w:val="000000" w:themeColor="text1"/>
          <w:sz w:val="20"/>
          <w:szCs w:val="20"/>
        </w:rPr>
        <w:t>.</w:t>
      </w:r>
    </w:p>
    <w:p w14:paraId="0D889036" w14:textId="77777777" w:rsidR="00E31357" w:rsidRDefault="00E31357" w:rsidP="00206491">
      <w:pPr>
        <w:spacing w:after="0" w:line="240" w:lineRule="auto"/>
        <w:jc w:val="both"/>
        <w:rPr>
          <w:rFonts w:ascii="Verdana" w:eastAsia="Geomanist Light" w:hAnsi="Verdana" w:cs="Arial"/>
          <w:color w:val="000000" w:themeColor="text1"/>
          <w:sz w:val="20"/>
          <w:szCs w:val="20"/>
        </w:rPr>
      </w:pPr>
    </w:p>
    <w:p w14:paraId="78950BEC" w14:textId="77E866F5" w:rsidR="00955E89" w:rsidRDefault="0058069A" w:rsidP="00206491">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 xml:space="preserve">[…] </w:t>
      </w:r>
      <w:r w:rsidRPr="0058069A">
        <w:rPr>
          <w:rFonts w:ascii="Verdana" w:eastAsia="Geomanist Light" w:hAnsi="Verdana" w:cs="Arial"/>
          <w:color w:val="000000" w:themeColor="text1"/>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pública9.</w:t>
      </w:r>
    </w:p>
    <w:p w14:paraId="1345457E" w14:textId="77777777" w:rsidR="00955E89" w:rsidRDefault="00955E89" w:rsidP="00206491">
      <w:pPr>
        <w:spacing w:after="0" w:line="240" w:lineRule="auto"/>
        <w:jc w:val="both"/>
        <w:rPr>
          <w:rFonts w:ascii="Verdana" w:eastAsia="Geomanist Light" w:hAnsi="Verdana" w:cs="Arial"/>
          <w:color w:val="000000" w:themeColor="text1"/>
          <w:sz w:val="20"/>
          <w:szCs w:val="20"/>
        </w:rPr>
      </w:pPr>
    </w:p>
    <w:p w14:paraId="5B275528" w14:textId="191D6882" w:rsidR="001731AE" w:rsidRDefault="001731AE" w:rsidP="00206491">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 xml:space="preserve">[…] </w:t>
      </w:r>
      <w:r w:rsidRPr="001731AE">
        <w:rPr>
          <w:rFonts w:ascii="Verdana" w:eastAsia="Geomanist Light" w:hAnsi="Verdana" w:cs="Arial"/>
          <w:color w:val="000000" w:themeColor="text1"/>
          <w:sz w:val="20"/>
          <w:szCs w:val="20"/>
        </w:rPr>
        <w:t>‘contratación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Pr>
          <w:rFonts w:ascii="Verdana" w:eastAsia="Geomanist Light" w:hAnsi="Verdana" w:cs="Arial"/>
          <w:color w:val="000000" w:themeColor="text1"/>
          <w:sz w:val="20"/>
          <w:szCs w:val="20"/>
        </w:rPr>
        <w:t>. […]</w:t>
      </w:r>
    </w:p>
    <w:p w14:paraId="359AE966" w14:textId="77777777" w:rsidR="001731AE" w:rsidRDefault="001731AE" w:rsidP="00206491">
      <w:pPr>
        <w:spacing w:after="0" w:line="240" w:lineRule="auto"/>
        <w:jc w:val="both"/>
        <w:rPr>
          <w:rFonts w:ascii="Verdana" w:eastAsia="Geomanist Light" w:hAnsi="Verdana" w:cs="Arial"/>
          <w:color w:val="000000" w:themeColor="text1"/>
          <w:sz w:val="20"/>
          <w:szCs w:val="20"/>
        </w:rPr>
      </w:pPr>
    </w:p>
    <w:p w14:paraId="57130093" w14:textId="1B001AE4" w:rsidR="00D11ED1" w:rsidRDefault="00D11ED1" w:rsidP="00206491">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w:t>
      </w:r>
      <w:r w:rsidR="00AD793F">
        <w:rPr>
          <w:rFonts w:ascii="Verdana" w:eastAsia="Geomanist Light" w:hAnsi="Verdana" w:cs="Arial"/>
          <w:color w:val="000000" w:themeColor="text1"/>
          <w:sz w:val="20"/>
          <w:szCs w:val="20"/>
        </w:rPr>
        <w:t xml:space="preserve"> </w:t>
      </w:r>
      <w:r w:rsidR="00AD793F" w:rsidRPr="00AD793F">
        <w:rPr>
          <w:rFonts w:ascii="Verdana" w:eastAsia="Geomanist Light" w:hAnsi="Verdana" w:cs="Arial"/>
          <w:color w:val="000000" w:themeColor="text1"/>
          <w:sz w:val="20"/>
          <w:szCs w:val="20"/>
        </w:rPr>
        <w:t>De tal manera, debe entenderse que, para los efectos de la Ley de Garantías Electorales y, en particular, para la prohibición o restricción temporal contenida en su artículo 33, la “contratación directa” es cualquier sistema de selección o procedimiento de contratación utilizado por las Entidades Estatales que no incluya la convocatoria pública en alguna de sus etapas, ni permita la participación de una pluralidad de oferentes14.</w:t>
      </w:r>
    </w:p>
    <w:p w14:paraId="27E14B87" w14:textId="77777777" w:rsidR="00D11ED1" w:rsidRDefault="00D11ED1" w:rsidP="00206491">
      <w:pPr>
        <w:spacing w:after="0" w:line="240" w:lineRule="auto"/>
        <w:jc w:val="both"/>
        <w:rPr>
          <w:rFonts w:ascii="Verdana" w:eastAsia="Geomanist Light" w:hAnsi="Verdana" w:cs="Arial"/>
          <w:color w:val="000000" w:themeColor="text1"/>
          <w:sz w:val="20"/>
          <w:szCs w:val="20"/>
        </w:rPr>
      </w:pPr>
    </w:p>
    <w:p w14:paraId="581A0359" w14:textId="77777777" w:rsidR="0047426C" w:rsidRDefault="0047426C" w:rsidP="00206491">
      <w:pPr>
        <w:spacing w:after="0" w:line="240" w:lineRule="auto"/>
        <w:jc w:val="both"/>
        <w:rPr>
          <w:rFonts w:ascii="Verdana" w:eastAsia="Geomanist Light" w:hAnsi="Verdana" w:cs="Arial"/>
          <w:color w:val="000000" w:themeColor="text1"/>
          <w:sz w:val="20"/>
          <w:szCs w:val="20"/>
        </w:rPr>
      </w:pPr>
    </w:p>
    <w:p w14:paraId="76FAD664" w14:textId="77777777" w:rsidR="0047426C" w:rsidRDefault="0047426C" w:rsidP="00206491">
      <w:pPr>
        <w:spacing w:after="0" w:line="240" w:lineRule="auto"/>
        <w:jc w:val="both"/>
        <w:rPr>
          <w:rFonts w:ascii="Verdana" w:eastAsia="Geomanist Light" w:hAnsi="Verdana" w:cs="Arial"/>
          <w:color w:val="000000" w:themeColor="text1"/>
          <w:sz w:val="20"/>
          <w:szCs w:val="20"/>
        </w:rPr>
      </w:pPr>
    </w:p>
    <w:p w14:paraId="5FC94EFB" w14:textId="77777777" w:rsidR="0047426C" w:rsidRPr="00D11ED1" w:rsidRDefault="0047426C" w:rsidP="00206491">
      <w:pPr>
        <w:spacing w:after="0" w:line="240" w:lineRule="auto"/>
        <w:jc w:val="both"/>
        <w:rPr>
          <w:rFonts w:ascii="Verdana" w:eastAsia="Geomanist Light" w:hAnsi="Verdana" w:cs="Arial"/>
          <w:color w:val="000000" w:themeColor="text1"/>
          <w:sz w:val="20"/>
          <w:szCs w:val="20"/>
        </w:rPr>
      </w:pPr>
    </w:p>
    <w:p w14:paraId="5E2CD509" w14:textId="30B7A952" w:rsidR="00C53318" w:rsidRPr="0019046E" w:rsidRDefault="00C53318" w:rsidP="00206491">
      <w:pPr>
        <w:spacing w:after="0" w:line="240" w:lineRule="auto"/>
        <w:jc w:val="both"/>
        <w:rPr>
          <w:rFonts w:ascii="Verdana" w:eastAsia="Geomanist Light" w:hAnsi="Verdana" w:cs="Arial"/>
          <w:b/>
          <w:bCs/>
          <w:color w:val="000000" w:themeColor="text1"/>
          <w:lang w:val="es-MX"/>
        </w:rPr>
      </w:pPr>
      <w:r w:rsidRPr="0019046E">
        <w:rPr>
          <w:rFonts w:ascii="Verdana" w:eastAsia="Geomanist Light" w:hAnsi="Verdana" w:cs="Arial"/>
          <w:b/>
          <w:bCs/>
          <w:color w:val="000000" w:themeColor="text1"/>
          <w:lang w:val="es-MX"/>
        </w:rPr>
        <w:lastRenderedPageBreak/>
        <w:t xml:space="preserve">ENTIDADES CON RÉGIMEN ESPECIAL – Contratación sujeta al derecho privado </w:t>
      </w:r>
    </w:p>
    <w:p w14:paraId="18F66DC4" w14:textId="77777777" w:rsidR="00C53318" w:rsidRDefault="00C53318" w:rsidP="00206491">
      <w:pPr>
        <w:spacing w:after="0" w:line="240" w:lineRule="auto"/>
        <w:jc w:val="both"/>
        <w:rPr>
          <w:rFonts w:ascii="Verdana" w:eastAsia="Geomanist Light" w:hAnsi="Verdana" w:cs="Arial"/>
          <w:b/>
          <w:bCs/>
          <w:color w:val="000000" w:themeColor="text1"/>
          <w:lang w:val="es-MX"/>
        </w:rPr>
      </w:pPr>
    </w:p>
    <w:p w14:paraId="785CDA66" w14:textId="429C7FDB" w:rsidR="0032113E" w:rsidRPr="0047426C" w:rsidRDefault="0047426C" w:rsidP="00206491">
      <w:pPr>
        <w:spacing w:after="0" w:line="240" w:lineRule="auto"/>
        <w:jc w:val="both"/>
        <w:rPr>
          <w:rFonts w:ascii="Verdana" w:eastAsia="Geomanist Light" w:hAnsi="Verdana" w:cs="Arial"/>
          <w:color w:val="000000" w:themeColor="text1"/>
          <w:sz w:val="20"/>
          <w:szCs w:val="20"/>
          <w:lang w:val="es-MX"/>
        </w:rPr>
      </w:pPr>
      <w:r>
        <w:rPr>
          <w:rFonts w:ascii="Verdana" w:eastAsia="Geomanist Light" w:hAnsi="Verdana" w:cs="Arial"/>
          <w:color w:val="000000" w:themeColor="text1"/>
          <w:sz w:val="20"/>
          <w:szCs w:val="20"/>
        </w:rPr>
        <w:t xml:space="preserve">[…] </w:t>
      </w:r>
      <w:r w:rsidRPr="0047426C">
        <w:rPr>
          <w:rFonts w:ascii="Verdana" w:eastAsia="Geomanist Light" w:hAnsi="Verdana" w:cs="Arial"/>
          <w:color w:val="000000" w:themeColor="text1"/>
          <w:sz w:val="20"/>
          <w:szCs w:val="20"/>
        </w:rPr>
        <w:t>el legislador ha permitido que muchas entidades adopten regímenes contractuales de derecho privado, orientados a garantizar mayor flexibilidad y eficiencia en el desarrollo de su actividad comercial. Lo antes descrito, plantea la necesidad de armonizar las exigencias propias del régimen de contratación pública con los principios de eficiencia administrativa, libre competencia y sostenibilidad del arbitrio rentístico.</w:t>
      </w:r>
    </w:p>
    <w:p w14:paraId="21083C15" w14:textId="77777777" w:rsidR="0032113E" w:rsidRDefault="0032113E" w:rsidP="00206491">
      <w:pPr>
        <w:spacing w:after="0" w:line="240" w:lineRule="auto"/>
        <w:jc w:val="both"/>
        <w:rPr>
          <w:rFonts w:ascii="Verdana" w:eastAsia="Geomanist Light" w:hAnsi="Verdana" w:cs="Arial"/>
          <w:b/>
          <w:bCs/>
          <w:color w:val="000000" w:themeColor="text1"/>
          <w:lang w:val="es-MX"/>
        </w:rPr>
      </w:pPr>
    </w:p>
    <w:p w14:paraId="3DA999EE" w14:textId="77777777" w:rsidR="0032113E" w:rsidRPr="0019046E" w:rsidRDefault="0032113E" w:rsidP="00206491">
      <w:pPr>
        <w:spacing w:after="0" w:line="240" w:lineRule="auto"/>
        <w:jc w:val="both"/>
        <w:rPr>
          <w:rFonts w:ascii="Verdana" w:eastAsia="Geomanist Light" w:hAnsi="Verdana" w:cs="Arial"/>
          <w:b/>
          <w:bCs/>
          <w:color w:val="000000" w:themeColor="text1"/>
          <w:lang w:val="es-MX"/>
        </w:rPr>
      </w:pPr>
    </w:p>
    <w:p w14:paraId="1232ADD8" w14:textId="3B05F689" w:rsidR="00C53318" w:rsidRPr="0019046E" w:rsidRDefault="00857A4B" w:rsidP="00206491">
      <w:pPr>
        <w:spacing w:after="0" w:line="240" w:lineRule="auto"/>
        <w:jc w:val="both"/>
        <w:rPr>
          <w:rFonts w:ascii="Verdana" w:eastAsia="Geomanist Light" w:hAnsi="Verdana" w:cs="Arial"/>
          <w:b/>
          <w:bCs/>
          <w:color w:val="000000" w:themeColor="text1"/>
          <w:lang w:val="es-MX"/>
        </w:rPr>
      </w:pPr>
      <w:r w:rsidRPr="0019046E">
        <w:rPr>
          <w:rFonts w:ascii="Verdana" w:eastAsia="Geomanist Light" w:hAnsi="Verdana" w:cs="Arial"/>
          <w:b/>
          <w:bCs/>
          <w:color w:val="000000" w:themeColor="text1"/>
          <w:lang w:val="es-MX"/>
        </w:rPr>
        <w:t>MONOPOLIO RENTÍSTICO DE JUEGOS DE SUERTE Y AZAR – Naturaleza jurídica</w:t>
      </w:r>
    </w:p>
    <w:p w14:paraId="2F86FCEB" w14:textId="77777777" w:rsidR="00857A4B" w:rsidRDefault="00857A4B" w:rsidP="00206491">
      <w:pPr>
        <w:spacing w:after="0" w:line="240" w:lineRule="auto"/>
        <w:jc w:val="both"/>
        <w:rPr>
          <w:rFonts w:ascii="Verdana" w:eastAsia="Geomanist Light" w:hAnsi="Verdana" w:cs="Arial"/>
          <w:b/>
          <w:bCs/>
          <w:color w:val="000000" w:themeColor="text1"/>
          <w:lang w:val="es-MX"/>
        </w:rPr>
      </w:pPr>
    </w:p>
    <w:p w14:paraId="53117F27" w14:textId="01DDF2F8" w:rsidR="00A073F9" w:rsidRPr="00A073F9" w:rsidRDefault="00D921C8" w:rsidP="00206491">
      <w:pPr>
        <w:spacing w:after="0" w:line="240" w:lineRule="auto"/>
        <w:jc w:val="both"/>
        <w:rPr>
          <w:rFonts w:ascii="Verdana" w:eastAsia="Geomanist Light" w:hAnsi="Verdana" w:cs="Arial"/>
          <w:color w:val="000000" w:themeColor="text1"/>
          <w:sz w:val="20"/>
          <w:szCs w:val="20"/>
          <w:lang w:val="es-MX"/>
        </w:rPr>
      </w:pPr>
      <w:r>
        <w:rPr>
          <w:rFonts w:ascii="Verdana" w:eastAsia="Geomanist Light" w:hAnsi="Verdana" w:cs="Arial"/>
          <w:color w:val="000000" w:themeColor="text1"/>
          <w:sz w:val="20"/>
          <w:szCs w:val="20"/>
          <w:lang w:val="es-MX"/>
        </w:rPr>
        <w:t>[…] la naturaleza y régimen contractual de las entidades operadoras de lotería</w:t>
      </w:r>
      <w:r w:rsidR="00B574EC">
        <w:rPr>
          <w:rFonts w:ascii="Verdana" w:eastAsia="Geomanist Light" w:hAnsi="Verdana" w:cs="Arial"/>
          <w:color w:val="000000" w:themeColor="text1"/>
          <w:sz w:val="20"/>
          <w:szCs w:val="20"/>
          <w:lang w:val="es-MX"/>
        </w:rPr>
        <w:t xml:space="preserve">, […] desarrollan una actividad económica de carácter estatal que presenta </w:t>
      </w:r>
      <w:r w:rsidR="007E7681">
        <w:rPr>
          <w:rFonts w:ascii="Verdana" w:eastAsia="Geomanist Light" w:hAnsi="Verdana" w:cs="Arial"/>
          <w:color w:val="000000" w:themeColor="text1"/>
          <w:sz w:val="20"/>
          <w:szCs w:val="20"/>
          <w:lang w:val="es-MX"/>
        </w:rPr>
        <w:t>características particulares</w:t>
      </w:r>
      <w:r w:rsidR="00364928">
        <w:rPr>
          <w:rFonts w:ascii="Verdana" w:eastAsia="Geomanist Light" w:hAnsi="Verdana" w:cs="Arial"/>
          <w:color w:val="000000" w:themeColor="text1"/>
          <w:sz w:val="20"/>
          <w:szCs w:val="20"/>
          <w:lang w:val="es-MX"/>
        </w:rPr>
        <w:t xml:space="preserve">. […] </w:t>
      </w:r>
    </w:p>
    <w:p w14:paraId="1D13D045" w14:textId="77777777" w:rsidR="00A073F9" w:rsidRPr="0019046E" w:rsidRDefault="00A073F9" w:rsidP="00206491">
      <w:pPr>
        <w:spacing w:after="0" w:line="240" w:lineRule="auto"/>
        <w:jc w:val="both"/>
        <w:rPr>
          <w:rFonts w:ascii="Verdana" w:eastAsia="Geomanist Light" w:hAnsi="Verdana" w:cs="Arial"/>
          <w:b/>
          <w:bCs/>
          <w:color w:val="000000" w:themeColor="text1"/>
          <w:lang w:val="es-MX"/>
        </w:rPr>
      </w:pPr>
    </w:p>
    <w:p w14:paraId="1A49FB9A" w14:textId="2A9D9783" w:rsidR="00857A4B" w:rsidRDefault="00857A4B" w:rsidP="00206491">
      <w:pPr>
        <w:spacing w:after="0" w:line="240" w:lineRule="auto"/>
        <w:jc w:val="both"/>
        <w:rPr>
          <w:rFonts w:ascii="Verdana" w:eastAsia="Geomanist Light" w:hAnsi="Verdana" w:cs="Arial"/>
          <w:b/>
          <w:bCs/>
          <w:color w:val="000000" w:themeColor="text1"/>
          <w:lang w:val="es-MX"/>
        </w:rPr>
      </w:pPr>
      <w:r w:rsidRPr="0019046E">
        <w:rPr>
          <w:rFonts w:ascii="Verdana" w:eastAsia="Geomanist Light" w:hAnsi="Verdana" w:cs="Arial"/>
          <w:b/>
          <w:bCs/>
          <w:color w:val="000000" w:themeColor="text1"/>
          <w:lang w:val="es-MX"/>
        </w:rPr>
        <w:t xml:space="preserve">EMPRESAS OPERADORAS DE LOTERIAS – Participación en mercados competitivos </w:t>
      </w:r>
    </w:p>
    <w:p w14:paraId="6411329D" w14:textId="77777777" w:rsidR="00364928" w:rsidRDefault="00364928" w:rsidP="00206491">
      <w:pPr>
        <w:spacing w:after="0" w:line="240" w:lineRule="auto"/>
        <w:jc w:val="both"/>
        <w:rPr>
          <w:rFonts w:ascii="Verdana" w:eastAsia="Geomanist Light" w:hAnsi="Verdana" w:cs="Arial"/>
          <w:b/>
          <w:bCs/>
          <w:color w:val="000000" w:themeColor="text1"/>
          <w:lang w:val="es-MX"/>
        </w:rPr>
      </w:pPr>
    </w:p>
    <w:p w14:paraId="78962FE8" w14:textId="17C85B7A" w:rsidR="00364928" w:rsidRPr="00364928" w:rsidRDefault="00364928" w:rsidP="00206491">
      <w:pPr>
        <w:spacing w:after="0" w:line="240" w:lineRule="auto"/>
        <w:jc w:val="both"/>
        <w:rPr>
          <w:rFonts w:ascii="Verdana" w:eastAsia="Geomanist Light" w:hAnsi="Verdana" w:cs="Arial"/>
          <w:color w:val="000000" w:themeColor="text1"/>
          <w:sz w:val="20"/>
          <w:szCs w:val="20"/>
          <w:lang w:val="es-MX"/>
        </w:rPr>
      </w:pPr>
      <w:r w:rsidRPr="00364928">
        <w:rPr>
          <w:rFonts w:ascii="Verdana" w:eastAsia="Geomanist Light" w:hAnsi="Verdana" w:cs="Arial"/>
          <w:color w:val="000000" w:themeColor="text1"/>
          <w:sz w:val="20"/>
          <w:szCs w:val="20"/>
          <w:lang w:val="es-MX"/>
        </w:rPr>
        <w:t xml:space="preserve">[…] </w:t>
      </w:r>
      <w:r w:rsidRPr="00364928">
        <w:rPr>
          <w:rFonts w:ascii="Verdana" w:eastAsia="Geomanist Light" w:hAnsi="Verdana" w:cs="Arial"/>
          <w:color w:val="000000" w:themeColor="text1"/>
          <w:sz w:val="20"/>
          <w:szCs w:val="20"/>
        </w:rPr>
        <w:t>Por una parte, se tratan de entidades vinculadas a la estructura administrativa del Estado, encargadas de la explotación de un monopolio rentístico. Por otra, dichas entidades participan en un mercado competitivo, en el cual deben atraer compradores, distribuidores y diversos intervinientes, frente a otras alternativas de juego.</w:t>
      </w:r>
    </w:p>
    <w:p w14:paraId="3E2EF979" w14:textId="77777777" w:rsidR="00857A4B" w:rsidRPr="0019046E" w:rsidRDefault="00857A4B" w:rsidP="00206491">
      <w:pPr>
        <w:spacing w:after="0" w:line="240" w:lineRule="auto"/>
        <w:jc w:val="both"/>
        <w:rPr>
          <w:rFonts w:ascii="Verdana" w:eastAsia="Geomanist Light" w:hAnsi="Verdana" w:cs="Arial"/>
          <w:b/>
          <w:bCs/>
          <w:color w:val="000000" w:themeColor="text1"/>
          <w:lang w:val="es-MX"/>
        </w:rPr>
      </w:pPr>
    </w:p>
    <w:p w14:paraId="536E35EC" w14:textId="62BB7A5C" w:rsidR="00857A4B" w:rsidRDefault="00857A4B" w:rsidP="00206491">
      <w:pPr>
        <w:spacing w:after="0" w:line="240" w:lineRule="auto"/>
        <w:jc w:val="both"/>
        <w:rPr>
          <w:rFonts w:ascii="Verdana" w:eastAsia="Geomanist Light" w:hAnsi="Verdana" w:cs="Arial"/>
          <w:b/>
          <w:bCs/>
          <w:color w:val="000000" w:themeColor="text1"/>
          <w:lang w:val="es-MX"/>
        </w:rPr>
      </w:pPr>
      <w:r w:rsidRPr="0019046E">
        <w:rPr>
          <w:rFonts w:ascii="Verdana" w:eastAsia="Geomanist Light" w:hAnsi="Verdana" w:cs="Arial"/>
          <w:b/>
          <w:bCs/>
          <w:color w:val="000000" w:themeColor="text1"/>
          <w:lang w:val="es-MX"/>
        </w:rPr>
        <w:t>LEY DE GARANTÍAS ELECTORALES – Alcance de entidades con régimen contractual de derecho privado</w:t>
      </w:r>
    </w:p>
    <w:p w14:paraId="2C2EEF48" w14:textId="77777777" w:rsidR="003E55D4" w:rsidRDefault="003E55D4" w:rsidP="00206491">
      <w:pPr>
        <w:spacing w:after="0" w:line="240" w:lineRule="auto"/>
        <w:jc w:val="both"/>
        <w:rPr>
          <w:rFonts w:ascii="Verdana" w:eastAsia="Geomanist Light" w:hAnsi="Verdana" w:cs="Arial"/>
          <w:b/>
          <w:bCs/>
          <w:color w:val="000000" w:themeColor="text1"/>
          <w:lang w:val="es-MX"/>
        </w:rPr>
      </w:pPr>
    </w:p>
    <w:p w14:paraId="600F10E9" w14:textId="0CBC7EE4" w:rsidR="00857A4B" w:rsidRDefault="00A472F5" w:rsidP="00206491">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 xml:space="preserve">[…] </w:t>
      </w:r>
      <w:r w:rsidRPr="00A472F5">
        <w:rPr>
          <w:rFonts w:ascii="Verdana" w:eastAsia="Geomanist Light" w:hAnsi="Verdana" w:cs="Arial"/>
          <w:color w:val="000000" w:themeColor="text1"/>
          <w:sz w:val="20"/>
          <w:szCs w:val="20"/>
        </w:rPr>
        <w:t>la prohibición de la contratación directa también aplica frente a las entidades exceptuadas de la aplicación del Estatuto General de Contratación de la Administración Pública y que se rigen en materia contractual por el derecho privado</w:t>
      </w:r>
      <w:r w:rsidR="009F59F7">
        <w:rPr>
          <w:rFonts w:ascii="Verdana" w:eastAsia="Geomanist Light" w:hAnsi="Verdana" w:cs="Arial"/>
          <w:color w:val="000000" w:themeColor="text1"/>
          <w:sz w:val="20"/>
          <w:szCs w:val="20"/>
        </w:rPr>
        <w:t xml:space="preserve"> […] </w:t>
      </w:r>
    </w:p>
    <w:p w14:paraId="2E7E318A" w14:textId="77777777" w:rsidR="00B6397E" w:rsidRDefault="00B6397E" w:rsidP="00206491">
      <w:pPr>
        <w:spacing w:after="0" w:line="240" w:lineRule="auto"/>
        <w:jc w:val="both"/>
        <w:rPr>
          <w:rFonts w:ascii="Verdana" w:eastAsia="Geomanist Light" w:hAnsi="Verdana" w:cs="Arial"/>
          <w:color w:val="000000" w:themeColor="text1"/>
          <w:sz w:val="20"/>
          <w:szCs w:val="20"/>
        </w:rPr>
      </w:pPr>
    </w:p>
    <w:p w14:paraId="1E81EEB2" w14:textId="25FE68C8" w:rsidR="00B6397E" w:rsidRDefault="00B6397E" w:rsidP="00206491">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 xml:space="preserve">[…] </w:t>
      </w:r>
      <w:r w:rsidRPr="00B6397E">
        <w:rPr>
          <w:rFonts w:ascii="Verdana" w:eastAsia="Geomanist Light" w:hAnsi="Verdana" w:cs="Arial"/>
          <w:color w:val="000000" w:themeColor="text1"/>
          <w:sz w:val="20"/>
          <w:szCs w:val="20"/>
        </w:rPr>
        <w:t>la restricción prevista en la Ley 996 de 2005 cobija a cualquier entidad pública, independiente del régimen jurídico, que pueda mediante la contratación directa romper el equilibrio entre los candidatos en desarrollo de las elecciones presidenciales</w:t>
      </w:r>
      <w:r>
        <w:rPr>
          <w:rFonts w:ascii="Verdana" w:eastAsia="Geomanist Light" w:hAnsi="Verdana" w:cs="Arial"/>
          <w:color w:val="000000" w:themeColor="text1"/>
          <w:sz w:val="20"/>
          <w:szCs w:val="20"/>
        </w:rPr>
        <w:t>. […]</w:t>
      </w:r>
    </w:p>
    <w:p w14:paraId="26CBF2C0" w14:textId="77777777" w:rsidR="00B6397E" w:rsidRPr="0019046E" w:rsidRDefault="00B6397E" w:rsidP="00206491">
      <w:pPr>
        <w:spacing w:after="0" w:line="240" w:lineRule="auto"/>
        <w:jc w:val="both"/>
        <w:rPr>
          <w:rFonts w:ascii="Verdana" w:eastAsia="Geomanist Light" w:hAnsi="Verdana" w:cs="Arial"/>
          <w:b/>
          <w:bCs/>
          <w:color w:val="000000" w:themeColor="text1"/>
          <w:lang w:val="es-MX"/>
        </w:rPr>
      </w:pPr>
    </w:p>
    <w:p w14:paraId="0F43330E" w14:textId="177CECC5" w:rsidR="00857A4B" w:rsidRPr="0019046E" w:rsidRDefault="00857A4B" w:rsidP="00206491">
      <w:pPr>
        <w:spacing w:after="0" w:line="240" w:lineRule="auto"/>
        <w:jc w:val="both"/>
        <w:rPr>
          <w:rFonts w:ascii="Verdana" w:eastAsia="Geomanist Light" w:hAnsi="Verdana" w:cs="Arial"/>
          <w:b/>
          <w:bCs/>
          <w:color w:val="000000" w:themeColor="text1"/>
          <w:lang w:val="es-MX"/>
        </w:rPr>
      </w:pPr>
      <w:r w:rsidRPr="0019046E">
        <w:rPr>
          <w:rFonts w:ascii="Verdana" w:eastAsia="Geomanist Light" w:hAnsi="Verdana" w:cs="Arial"/>
          <w:b/>
          <w:bCs/>
          <w:color w:val="000000" w:themeColor="text1"/>
          <w:lang w:val="es-MX"/>
        </w:rPr>
        <w:t xml:space="preserve">LEY DE GARANTÍAS ELECTORALES – Excepciones – Destinatarios – Entidades sanitarias y hospitalarias </w:t>
      </w:r>
    </w:p>
    <w:p w14:paraId="7FAA9BF4" w14:textId="775AC38E" w:rsidR="00857A4B" w:rsidRDefault="00B519FF" w:rsidP="00206491">
      <w:pPr>
        <w:spacing w:after="0" w:line="240" w:lineRule="auto"/>
        <w:jc w:val="both"/>
        <w:rPr>
          <w:rFonts w:ascii="Verdana" w:eastAsia="Geomanist Light" w:hAnsi="Verdana" w:cs="Arial"/>
          <w:color w:val="000000" w:themeColor="text1"/>
          <w:lang w:val="es-MX"/>
        </w:rPr>
      </w:pPr>
      <w:r>
        <w:rPr>
          <w:rFonts w:ascii="Verdana" w:eastAsia="Geomanist Light" w:hAnsi="Verdana" w:cs="Arial"/>
          <w:color w:val="000000" w:themeColor="text1"/>
          <w:lang w:val="es-MX"/>
        </w:rPr>
        <w:t xml:space="preserve"> </w:t>
      </w:r>
    </w:p>
    <w:p w14:paraId="753DD921" w14:textId="12825DA4" w:rsidR="00C53318" w:rsidRDefault="00B519FF" w:rsidP="00206491">
      <w:pPr>
        <w:jc w:val="both"/>
        <w:rPr>
          <w:rFonts w:ascii="Verdana" w:eastAsia="Geomanist Light" w:hAnsi="Verdana" w:cs="Arial"/>
          <w:color w:val="000000" w:themeColor="text1"/>
          <w:sz w:val="20"/>
          <w:szCs w:val="20"/>
        </w:rPr>
      </w:pPr>
      <w:r w:rsidRPr="00B519FF">
        <w:rPr>
          <w:rFonts w:ascii="Verdana" w:eastAsia="Geomanist Light" w:hAnsi="Verdana" w:cs="Arial"/>
          <w:color w:val="000000" w:themeColor="text1"/>
          <w:sz w:val="20"/>
          <w:szCs w:val="20"/>
        </w:rPr>
        <w:t>[…] las excepciones a la restricción prevista en la Ley de Garantías Electorales,</w:t>
      </w:r>
      <w:r>
        <w:rPr>
          <w:rFonts w:ascii="Verdana" w:eastAsia="Geomanist Light" w:hAnsi="Verdana" w:cs="Arial"/>
          <w:color w:val="000000" w:themeColor="text1"/>
          <w:sz w:val="20"/>
          <w:szCs w:val="20"/>
        </w:rPr>
        <w:t xml:space="preserve"> </w:t>
      </w:r>
      <w:r w:rsidR="00BA1A2B" w:rsidRPr="00BA1A2B">
        <w:rPr>
          <w:rFonts w:ascii="Verdana" w:eastAsia="Geomanist Light" w:hAnsi="Verdana" w:cs="Arial"/>
          <w:color w:val="000000" w:themeColor="text1"/>
          <w:sz w:val="20"/>
          <w:szCs w:val="20"/>
        </w:rPr>
        <w:t>con fundamento en las cuales las entidades públicas podrán adelantar procedimientos de selección directa en períodos</w:t>
      </w:r>
      <w:r w:rsidR="00DB42E6">
        <w:rPr>
          <w:rFonts w:ascii="Verdana" w:eastAsia="Geomanist Light" w:hAnsi="Verdana" w:cs="Arial"/>
          <w:color w:val="000000" w:themeColor="text1"/>
          <w:sz w:val="20"/>
          <w:szCs w:val="20"/>
        </w:rPr>
        <w:t xml:space="preserve"> </w:t>
      </w:r>
      <w:r w:rsidR="00DB42E6" w:rsidRPr="00DB42E6">
        <w:rPr>
          <w:rFonts w:ascii="Verdana" w:eastAsia="Geomanist Light" w:hAnsi="Verdana" w:cs="Arial"/>
          <w:color w:val="000000" w:themeColor="text1"/>
          <w:sz w:val="20"/>
          <w:szCs w:val="20"/>
        </w:rPr>
        <w:t xml:space="preserve">previos a la contienda electoral por la Presidencia, se encuentran consagradas de manera taxativa en el inciso final del citado artículo 33 de la Ley 996 de 2005, dichas excepciones corresponden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w:t>
      </w:r>
      <w:r w:rsidR="00DB42E6" w:rsidRPr="00DB42E6">
        <w:rPr>
          <w:rFonts w:ascii="Verdana" w:eastAsia="Geomanist Light" w:hAnsi="Verdana" w:cs="Arial"/>
          <w:color w:val="000000" w:themeColor="text1"/>
          <w:sz w:val="20"/>
          <w:szCs w:val="20"/>
        </w:rPr>
        <w:lastRenderedPageBreak/>
        <w:t>hayan sido objeto de atentados, acciones terroristas, desastres naturales o casos de fuerza mayor; y, v) los que deban realizar las entidades sanitarias y hospitalarias.</w:t>
      </w:r>
    </w:p>
    <w:p w14:paraId="190D905E" w14:textId="5DC25BF5" w:rsidR="00DB42E6" w:rsidRDefault="00DB42E6" w:rsidP="00206491">
      <w:pPr>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 xml:space="preserve">[…] </w:t>
      </w:r>
      <w:r w:rsidR="00FC3473">
        <w:rPr>
          <w:rFonts w:ascii="Verdana" w:eastAsia="Geomanist Light" w:hAnsi="Verdana" w:cs="Arial"/>
          <w:color w:val="000000" w:themeColor="text1"/>
          <w:sz w:val="20"/>
          <w:szCs w:val="20"/>
        </w:rPr>
        <w:t xml:space="preserve">es pertinente analizar </w:t>
      </w:r>
      <w:r w:rsidR="00F41A86" w:rsidRPr="00F41A86">
        <w:rPr>
          <w:rFonts w:ascii="Verdana" w:eastAsia="Geomanist Light" w:hAnsi="Verdana" w:cs="Arial"/>
          <w:color w:val="000000" w:themeColor="text1"/>
          <w:sz w:val="20"/>
          <w:szCs w:val="20"/>
        </w:rPr>
        <w:t>el quinto evento exceptuado de la prohibición, relacionado con la contratación por parte de las entidades sanitarias y hospitalarias</w:t>
      </w:r>
      <w:r w:rsidR="008D04AB">
        <w:rPr>
          <w:rFonts w:ascii="Verdana" w:eastAsia="Geomanist Light" w:hAnsi="Verdana" w:cs="Arial"/>
          <w:color w:val="000000" w:themeColor="text1"/>
          <w:sz w:val="20"/>
          <w:szCs w:val="20"/>
        </w:rPr>
        <w:t>.</w:t>
      </w:r>
      <w:r w:rsidR="00FC3473">
        <w:rPr>
          <w:rFonts w:ascii="Verdana" w:eastAsia="Geomanist Light" w:hAnsi="Verdana" w:cs="Arial"/>
          <w:color w:val="000000" w:themeColor="text1"/>
          <w:sz w:val="20"/>
          <w:szCs w:val="20"/>
        </w:rPr>
        <w:t xml:space="preserve"> </w:t>
      </w:r>
      <w:r w:rsidR="001E4FEE">
        <w:rPr>
          <w:rFonts w:ascii="Verdana" w:eastAsia="Geomanist Light" w:hAnsi="Verdana" w:cs="Arial"/>
          <w:color w:val="000000" w:themeColor="text1"/>
          <w:sz w:val="20"/>
          <w:szCs w:val="20"/>
        </w:rPr>
        <w:t xml:space="preserve">[…] </w:t>
      </w:r>
      <w:r w:rsidR="001E4FEE" w:rsidRPr="001E4FEE">
        <w:rPr>
          <w:rFonts w:ascii="Verdana" w:eastAsia="Geomanist Light" w:hAnsi="Verdana" w:cs="Arial"/>
          <w:color w:val="000000" w:themeColor="text1"/>
          <w:sz w:val="20"/>
          <w:szCs w:val="20"/>
        </w:rPr>
        <w:t>debe tenerse en cuenta el artículo 94 de la Ley 100 de 1993, que dispone “la prestación de servicios de salud en forma directa por la nación o por las entidades territoriales, se hará principalmente a través de las Empresas Sociales del Estado</w:t>
      </w:r>
      <w:r w:rsidR="001E4FEE">
        <w:rPr>
          <w:rFonts w:ascii="Verdana" w:eastAsia="Geomanist Light" w:hAnsi="Verdana" w:cs="Arial"/>
          <w:color w:val="000000" w:themeColor="text1"/>
          <w:sz w:val="20"/>
          <w:szCs w:val="20"/>
        </w:rPr>
        <w:t xml:space="preserve"> […]</w:t>
      </w:r>
    </w:p>
    <w:p w14:paraId="5BF45DFC" w14:textId="02DC33AD" w:rsidR="001E4FEE" w:rsidRDefault="001F7BCA" w:rsidP="00206491">
      <w:pPr>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w:t>
      </w:r>
    </w:p>
    <w:p w14:paraId="2B649C84" w14:textId="7F299E6D" w:rsidR="00876D0E" w:rsidRDefault="00BC5094" w:rsidP="00206491">
      <w:pPr>
        <w:jc w:val="both"/>
        <w:rPr>
          <w:rFonts w:ascii="Verdana" w:eastAsia="Geomanist Light" w:hAnsi="Verdana" w:cs="Arial"/>
          <w:color w:val="000000" w:themeColor="text1"/>
          <w:sz w:val="20"/>
          <w:szCs w:val="20"/>
        </w:rPr>
      </w:pPr>
      <w:r w:rsidRPr="00BC5094">
        <w:rPr>
          <w:rFonts w:ascii="Verdana" w:eastAsia="Geomanist Light" w:hAnsi="Verdana" w:cs="Arial"/>
          <w:color w:val="000000" w:themeColor="text1"/>
          <w:sz w:val="20"/>
          <w:szCs w:val="20"/>
        </w:rPr>
        <w:t xml:space="preserve">“[…] se encuentran cubiertos por la excepción contemplada en el inciso 2 del artículo 33 de la Ley de Garantías Electorales, las entidades hospitalarias que a la luz de las normas vigentes no son otras distintas que las Empresas Sociales del estado y todas aquellas instituciones públicas </w:t>
      </w:r>
      <w:proofErr w:type="gramStart"/>
      <w:r w:rsidRPr="00BC5094">
        <w:rPr>
          <w:rFonts w:ascii="Verdana" w:eastAsia="Geomanist Light" w:hAnsi="Verdana" w:cs="Arial"/>
          <w:color w:val="000000" w:themeColor="text1"/>
          <w:sz w:val="20"/>
          <w:szCs w:val="20"/>
        </w:rPr>
        <w:t>que</w:t>
      </w:r>
      <w:proofErr w:type="gramEnd"/>
      <w:r w:rsidRPr="00BC5094">
        <w:rPr>
          <w:rFonts w:ascii="Verdana" w:eastAsia="Geomanist Light" w:hAnsi="Verdana" w:cs="Arial"/>
          <w:color w:val="000000" w:themeColor="text1"/>
          <w:sz w:val="20"/>
          <w:szCs w:val="20"/>
        </w:rPr>
        <w:t xml:space="preserve"> a pesar de no haberse transformado en Empresas Sociales del Estado, prestan un servicio de salud directo sobre el usuario en su carácter general de entidad hospitalaria […]”. (Énfasis fuera de texto)</w:t>
      </w:r>
    </w:p>
    <w:p w14:paraId="08EB6F62" w14:textId="74169FD9" w:rsidR="00876D0E" w:rsidRDefault="008F1669" w:rsidP="00206491">
      <w:pPr>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lang w:val="es-MX"/>
        </w:rPr>
        <w:t xml:space="preserve">[…] </w:t>
      </w:r>
      <w:r w:rsidRPr="008F1669">
        <w:rPr>
          <w:rFonts w:ascii="Verdana" w:eastAsia="Geomanist Light" w:hAnsi="Verdana" w:cs="Arial"/>
          <w:color w:val="000000" w:themeColor="text1"/>
          <w:sz w:val="20"/>
          <w:szCs w:val="20"/>
        </w:rPr>
        <w:t>las entidades sanitarias como “Entidades del Estado que prestan servicios sanitarios o de sanidad con el propósito de preservar la salud humana y la salud pública”.</w:t>
      </w:r>
      <w:r w:rsidR="00147CC3">
        <w:rPr>
          <w:rFonts w:ascii="Verdana" w:eastAsia="Geomanist Light" w:hAnsi="Verdana" w:cs="Arial"/>
          <w:color w:val="000000" w:themeColor="text1"/>
          <w:sz w:val="20"/>
          <w:szCs w:val="20"/>
        </w:rPr>
        <w:t xml:space="preserve"> […] </w:t>
      </w:r>
      <w:r w:rsidR="00147CC3" w:rsidRPr="00147CC3">
        <w:rPr>
          <w:rFonts w:ascii="Verdana" w:eastAsia="Geomanist Light" w:hAnsi="Verdana" w:cs="Arial"/>
          <w:color w:val="000000" w:themeColor="text1"/>
          <w:sz w:val="20"/>
          <w:szCs w:val="20"/>
        </w:rPr>
        <w:t>las autoridades sanitarias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00147CC3">
        <w:rPr>
          <w:rFonts w:ascii="Verdana" w:eastAsia="Geomanist Light" w:hAnsi="Verdana" w:cs="Arial"/>
          <w:color w:val="000000" w:themeColor="text1"/>
          <w:sz w:val="20"/>
          <w:szCs w:val="20"/>
        </w:rPr>
        <w:t xml:space="preserve">. </w:t>
      </w:r>
    </w:p>
    <w:p w14:paraId="28897543" w14:textId="53F28008" w:rsidR="00147CC3" w:rsidRPr="00B519FF" w:rsidRDefault="00147CC3" w:rsidP="00206491">
      <w:pPr>
        <w:jc w:val="both"/>
        <w:rPr>
          <w:rFonts w:ascii="Verdana" w:eastAsia="Geomanist Light" w:hAnsi="Verdana" w:cs="Arial"/>
          <w:color w:val="000000" w:themeColor="text1"/>
          <w:sz w:val="20"/>
          <w:szCs w:val="20"/>
          <w:lang w:val="es-MX"/>
        </w:rPr>
      </w:pPr>
      <w:r>
        <w:rPr>
          <w:rFonts w:ascii="Verdana" w:eastAsia="Geomanist Light" w:hAnsi="Verdana" w:cs="Arial"/>
          <w:color w:val="000000" w:themeColor="text1"/>
          <w:sz w:val="20"/>
          <w:szCs w:val="20"/>
        </w:rPr>
        <w:t xml:space="preserve">[…] </w:t>
      </w:r>
      <w:r w:rsidR="00D9256A" w:rsidRPr="00D9256A">
        <w:rPr>
          <w:rFonts w:ascii="Verdana" w:eastAsia="Geomanist Light" w:hAnsi="Verdana" w:cs="Arial"/>
          <w:color w:val="000000" w:themeColor="text1"/>
          <w:sz w:val="20"/>
          <w:szCs w:val="20"/>
        </w:rPr>
        <w:t>es necesario tener en cuenta</w:t>
      </w:r>
      <w:r w:rsidR="00B6061F">
        <w:rPr>
          <w:rFonts w:ascii="Verdana" w:eastAsia="Geomanist Light" w:hAnsi="Verdana" w:cs="Arial"/>
          <w:color w:val="000000" w:themeColor="text1"/>
          <w:sz w:val="20"/>
          <w:szCs w:val="20"/>
        </w:rPr>
        <w:t xml:space="preserve"> </w:t>
      </w:r>
      <w:r w:rsidR="00B6061F" w:rsidRPr="00B6061F">
        <w:rPr>
          <w:rFonts w:ascii="Verdana" w:eastAsia="Geomanist Light" w:hAnsi="Verdana" w:cs="Arial"/>
          <w:color w:val="000000" w:themeColor="text1"/>
          <w:sz w:val="20"/>
          <w:szCs w:val="20"/>
        </w:rPr>
        <w:t>que la excepción del artículo 33 de la Ley de Garantías Electorales solo aplica a las entidades sanitarias, no a las autoridades sanitarias. Así las cosas, para efectos de la excepción del artículo 33 es indiferente que la entidad estatal tenga funciones de autoridad sanitaria, pues lo relevante para determinar si la contratación está exceptuada de la prohibición general no es el carácter de autoridad sanitaria, sino que se trate de una entidad sanitaria.</w:t>
      </w:r>
    </w:p>
    <w:p w14:paraId="71B9192A" w14:textId="16865F7E" w:rsidR="00B6397E" w:rsidRDefault="00B6061F" w:rsidP="00206491">
      <w:pPr>
        <w:jc w:val="both"/>
        <w:rPr>
          <w:rFonts w:ascii="Verdana" w:eastAsia="Geomanist Light" w:hAnsi="Verdana" w:cs="Arial"/>
          <w:color w:val="000000" w:themeColor="text1"/>
          <w:lang w:val="es-MX"/>
        </w:rPr>
      </w:pPr>
      <w:r>
        <w:rPr>
          <w:rFonts w:ascii="Verdana" w:eastAsia="Geomanist Light" w:hAnsi="Verdana" w:cs="Arial"/>
          <w:color w:val="000000" w:themeColor="text1"/>
          <w:lang w:val="es-MX"/>
        </w:rPr>
        <w:t>[…]</w:t>
      </w:r>
    </w:p>
    <w:p w14:paraId="69B02829" w14:textId="3D5BD46F" w:rsidR="00B6061F" w:rsidRPr="00B6061F" w:rsidRDefault="00B6061F" w:rsidP="00206491">
      <w:pPr>
        <w:jc w:val="both"/>
        <w:rPr>
          <w:rFonts w:ascii="Verdana" w:eastAsia="Geomanist Light" w:hAnsi="Verdana" w:cs="Arial"/>
          <w:color w:val="000000" w:themeColor="text1"/>
          <w:sz w:val="20"/>
          <w:szCs w:val="20"/>
          <w:lang w:val="es-MX"/>
        </w:rPr>
      </w:pPr>
      <w:r>
        <w:rPr>
          <w:rFonts w:ascii="Verdana" w:eastAsia="Geomanist Light" w:hAnsi="Verdana" w:cs="Arial"/>
          <w:color w:val="000000" w:themeColor="text1"/>
          <w:sz w:val="20"/>
          <w:szCs w:val="20"/>
          <w:lang w:val="es-MX"/>
        </w:rPr>
        <w:t xml:space="preserve">Nótese que la excepción analizada, relacionada con el servicio de salud, recae […] sobre un tipo determinado de Ente del Estado, pero no habla nada de las Entidades que administran </w:t>
      </w:r>
      <w:r w:rsidR="00E928AE">
        <w:rPr>
          <w:rFonts w:ascii="Verdana" w:eastAsia="Geomanist Light" w:hAnsi="Verdana" w:cs="Arial"/>
          <w:color w:val="000000" w:themeColor="text1"/>
          <w:sz w:val="20"/>
          <w:szCs w:val="20"/>
          <w:lang w:val="es-MX"/>
        </w:rPr>
        <w:t xml:space="preserve">o recaudan recursos destinados a la prestación de servicios de salud. </w:t>
      </w:r>
    </w:p>
    <w:p w14:paraId="62917423" w14:textId="77777777" w:rsidR="00B6397E" w:rsidRDefault="00B6397E" w:rsidP="00206491">
      <w:pPr>
        <w:jc w:val="both"/>
        <w:rPr>
          <w:rFonts w:ascii="Verdana" w:eastAsia="Geomanist Light" w:hAnsi="Verdana" w:cs="Arial"/>
          <w:color w:val="000000" w:themeColor="text1"/>
          <w:lang w:val="es-MX"/>
        </w:rPr>
      </w:pPr>
    </w:p>
    <w:p w14:paraId="77FF4CFF" w14:textId="77777777" w:rsidR="00B6397E" w:rsidRDefault="00B6397E" w:rsidP="00206491">
      <w:pPr>
        <w:jc w:val="both"/>
        <w:rPr>
          <w:rFonts w:ascii="Verdana" w:eastAsia="Geomanist Light" w:hAnsi="Verdana" w:cs="Arial"/>
          <w:color w:val="000000" w:themeColor="text1"/>
          <w:lang w:val="es-MX"/>
        </w:rPr>
      </w:pPr>
    </w:p>
    <w:p w14:paraId="7ED8AE1D" w14:textId="77777777" w:rsidR="00B6397E" w:rsidRDefault="00B6397E" w:rsidP="00206491">
      <w:pPr>
        <w:jc w:val="both"/>
        <w:rPr>
          <w:rFonts w:ascii="Verdana" w:eastAsia="Geomanist Light" w:hAnsi="Verdana" w:cs="Arial"/>
          <w:color w:val="000000" w:themeColor="text1"/>
          <w:lang w:val="es-MX"/>
        </w:rPr>
      </w:pPr>
    </w:p>
    <w:p w14:paraId="7B80A966" w14:textId="77777777" w:rsidR="00E928AE" w:rsidRDefault="00E928AE" w:rsidP="00206491">
      <w:pPr>
        <w:jc w:val="both"/>
        <w:rPr>
          <w:rFonts w:ascii="Verdana" w:eastAsia="Geomanist Light" w:hAnsi="Verdana" w:cs="Arial"/>
          <w:color w:val="000000" w:themeColor="text1"/>
          <w:lang w:val="es-MX"/>
        </w:rPr>
      </w:pPr>
    </w:p>
    <w:p w14:paraId="31A6DB0A" w14:textId="77777777" w:rsidR="00E928AE" w:rsidRDefault="00E928AE" w:rsidP="00206491">
      <w:pPr>
        <w:jc w:val="both"/>
        <w:rPr>
          <w:rFonts w:ascii="Verdana" w:eastAsia="Geomanist Light" w:hAnsi="Verdana" w:cs="Arial"/>
          <w:color w:val="000000" w:themeColor="text1"/>
          <w:lang w:val="es-MX"/>
        </w:rPr>
      </w:pPr>
    </w:p>
    <w:p w14:paraId="643CAFED" w14:textId="77777777" w:rsidR="00B6397E" w:rsidRDefault="00B6397E" w:rsidP="00206491">
      <w:pPr>
        <w:jc w:val="both"/>
        <w:rPr>
          <w:rFonts w:ascii="Verdana" w:eastAsia="Geomanist Light" w:hAnsi="Verdana" w:cs="Arial"/>
          <w:color w:val="000000" w:themeColor="text1"/>
          <w:lang w:val="es-MX"/>
        </w:rPr>
      </w:pPr>
    </w:p>
    <w:p w14:paraId="263F56BE" w14:textId="50002837" w:rsidR="00871B59" w:rsidRDefault="00871B59" w:rsidP="00B82CE0">
      <w:pPr>
        <w:spacing w:after="0" w:line="240" w:lineRule="auto"/>
        <w:rPr>
          <w:rFonts w:ascii="Verdana" w:eastAsia="Geomanist Light" w:hAnsi="Verdana" w:cs="Arial"/>
          <w:color w:val="201F1E"/>
          <w:lang w:val="es-MX"/>
        </w:rPr>
      </w:pPr>
      <w:r w:rsidRPr="7889E9EE">
        <w:rPr>
          <w:rFonts w:ascii="Verdana" w:eastAsia="Geomanist Light" w:hAnsi="Verdana" w:cs="Arial"/>
          <w:color w:val="000000" w:themeColor="text1"/>
          <w:lang w:val="es-MX"/>
        </w:rPr>
        <w:lastRenderedPageBreak/>
        <w:t>Bogotá D.C., </w:t>
      </w:r>
      <w:r w:rsidR="2ED36D07" w:rsidRPr="7889E9EE">
        <w:rPr>
          <w:rFonts w:ascii="Verdana" w:eastAsia="Geomanist Light" w:hAnsi="Verdana" w:cs="Arial"/>
          <w:color w:val="000000" w:themeColor="text1"/>
          <w:lang w:val="es-MX"/>
        </w:rPr>
        <w:t>31</w:t>
      </w:r>
      <w:r w:rsidR="00466A91">
        <w:rPr>
          <w:rFonts w:ascii="Verdana" w:eastAsia="Geomanist Light" w:hAnsi="Verdana" w:cs="Arial"/>
          <w:color w:val="000000" w:themeColor="text1"/>
          <w:lang w:val="es-MX"/>
        </w:rPr>
        <w:t xml:space="preserve"> </w:t>
      </w:r>
      <w:r w:rsidRPr="7889E9EE">
        <w:rPr>
          <w:rFonts w:ascii="Verdana" w:eastAsia="Geomanist Light" w:hAnsi="Verdana" w:cs="Arial"/>
          <w:color w:val="201F1E"/>
          <w:lang w:val="es-MX"/>
        </w:rPr>
        <w:t>de</w:t>
      </w:r>
      <w:r w:rsidR="5FEAC05F" w:rsidRPr="7889E9EE">
        <w:rPr>
          <w:rFonts w:ascii="Verdana" w:eastAsia="Geomanist Light" w:hAnsi="Verdana" w:cs="Arial"/>
          <w:color w:val="201F1E"/>
          <w:lang w:val="es-MX"/>
        </w:rPr>
        <w:t xml:space="preserve"> </w:t>
      </w:r>
      <w:r w:rsidR="00466A91" w:rsidRPr="7889E9EE">
        <w:rPr>
          <w:rFonts w:ascii="Verdana" w:eastAsia="Geomanist Light" w:hAnsi="Verdana" w:cs="Arial"/>
          <w:color w:val="201F1E"/>
          <w:lang w:val="es-MX"/>
        </w:rPr>
        <w:t>marzo</w:t>
      </w:r>
      <w:r w:rsidRPr="7889E9EE">
        <w:rPr>
          <w:rFonts w:ascii="Verdana" w:eastAsia="Geomanist Light" w:hAnsi="Verdana" w:cs="Arial"/>
          <w:color w:val="201F1E"/>
          <w:lang w:val="es-MX"/>
        </w:rPr>
        <w:t xml:space="preserve"> </w:t>
      </w:r>
      <w:r w:rsidR="0E9A8BCF" w:rsidRPr="7889E9EE">
        <w:rPr>
          <w:rFonts w:ascii="Verdana" w:eastAsia="Geomanist Light" w:hAnsi="Verdana" w:cs="Arial"/>
          <w:color w:val="201F1E"/>
          <w:lang w:val="es-MX"/>
        </w:rPr>
        <w:t>2026</w:t>
      </w:r>
    </w:p>
    <w:p w14:paraId="43C620FB" w14:textId="7B1E8369" w:rsidR="00B82CE0" w:rsidRPr="00B82CE0" w:rsidRDefault="00466A91" w:rsidP="00B82CE0">
      <w:pPr>
        <w:spacing w:after="0" w:line="240" w:lineRule="auto"/>
        <w:rPr>
          <w:rFonts w:ascii="Verdana" w:eastAsia="Geomanist Light" w:hAnsi="Verdana" w:cs="Arial"/>
          <w:color w:val="201F1E"/>
          <w:lang w:val="es-MX"/>
        </w:rPr>
      </w:pPr>
      <w:r>
        <w:rPr>
          <w:noProof/>
        </w:rPr>
        <w:drawing>
          <wp:anchor distT="0" distB="0" distL="114300" distR="114300" simplePos="0" relativeHeight="251658240" behindDoc="0" locked="0" layoutInCell="1" allowOverlap="1" wp14:anchorId="5BC2E116" wp14:editId="77407C37">
            <wp:simplePos x="0" y="0"/>
            <wp:positionH relativeFrom="margin">
              <wp:align>right</wp:align>
            </wp:positionH>
            <wp:positionV relativeFrom="paragraph">
              <wp:posOffset>168910</wp:posOffset>
            </wp:positionV>
            <wp:extent cx="2558415" cy="890270"/>
            <wp:effectExtent l="0" t="0" r="0" b="5080"/>
            <wp:wrapSquare wrapText="bothSides"/>
            <wp:docPr id="27835749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357497" name="Picture 278357497"/>
                    <pic:cNvPicPr/>
                  </pic:nvPicPr>
                  <pic:blipFill>
                    <a:blip r:embed="rId11">
                      <a:extLst>
                        <a:ext uri="{28A0092B-C50C-407E-A947-70E740481C1C}">
                          <a14:useLocalDpi xmlns:a14="http://schemas.microsoft.com/office/drawing/2010/main" val="0"/>
                        </a:ext>
                      </a:extLst>
                    </a:blip>
                    <a:stretch>
                      <a:fillRect/>
                    </a:stretch>
                  </pic:blipFill>
                  <pic:spPr>
                    <a:xfrm>
                      <a:off x="0" y="0"/>
                      <a:ext cx="2558415" cy="890270"/>
                    </a:xfrm>
                    <a:prstGeom prst="rect">
                      <a:avLst/>
                    </a:prstGeom>
                  </pic:spPr>
                </pic:pic>
              </a:graphicData>
            </a:graphic>
            <wp14:sizeRelH relativeFrom="margin">
              <wp14:pctWidth>0</wp14:pctWidth>
            </wp14:sizeRelH>
            <wp14:sizeRelV relativeFrom="margin">
              <wp14:pctHeight>0</wp14:pctHeight>
            </wp14:sizeRelV>
          </wp:anchor>
        </w:drawing>
      </w:r>
    </w:p>
    <w:p w14:paraId="5E5F2AC8" w14:textId="0AB92073" w:rsidR="00E65107" w:rsidRDefault="00E65107" w:rsidP="7889E9EE">
      <w:pPr>
        <w:spacing w:after="0" w:line="240" w:lineRule="auto"/>
        <w:jc w:val="right"/>
      </w:pPr>
    </w:p>
    <w:p w14:paraId="66EF7FED" w14:textId="50AB8020"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w:t>
      </w:r>
      <w:r w:rsidR="00FF7B9A">
        <w:rPr>
          <w:rFonts w:ascii="Verdana" w:eastAsia="Calibri" w:hAnsi="Verdana" w:cs="Arial"/>
          <w:lang w:val="es-ES" w:eastAsia="es-ES"/>
        </w:rPr>
        <w:t>r</w:t>
      </w:r>
    </w:p>
    <w:p w14:paraId="0F3CFE3C" w14:textId="0213BF71" w:rsidR="00740E30" w:rsidRDefault="00517C3F" w:rsidP="00152A9D">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Mario Yepes del Portillo</w:t>
      </w:r>
    </w:p>
    <w:p w14:paraId="10F3838A" w14:textId="4D0DF779" w:rsidR="00740E30" w:rsidRPr="00740E30" w:rsidRDefault="00740E30" w:rsidP="00152A9D">
      <w:pPr>
        <w:spacing w:after="0" w:line="240" w:lineRule="auto"/>
        <w:rPr>
          <w:rFonts w:ascii="Verdana" w:eastAsia="Calibri" w:hAnsi="Verdana" w:cs="Arial"/>
          <w:bCs/>
          <w:lang w:val="es-ES_tradnl" w:eastAsia="es-ES_tradnl"/>
        </w:rPr>
      </w:pPr>
      <w:r w:rsidRPr="00740E30">
        <w:rPr>
          <w:rFonts w:ascii="Verdana" w:eastAsia="Calibri" w:hAnsi="Verdana" w:cs="Arial"/>
          <w:bCs/>
          <w:lang w:val="es-ES_tradnl" w:eastAsia="es-ES_tradnl"/>
        </w:rPr>
        <w:t xml:space="preserve">Presidente del Sorteo Extraordinario de Colombia </w:t>
      </w:r>
    </w:p>
    <w:p w14:paraId="20D3ECD8" w14:textId="47C58D07" w:rsidR="00152A9D" w:rsidRPr="000A4569" w:rsidRDefault="000A4569" w:rsidP="00152A9D">
      <w:pPr>
        <w:spacing w:after="0" w:line="240" w:lineRule="auto"/>
        <w:rPr>
          <w:rFonts w:ascii="Verdana" w:eastAsia="Calibri" w:hAnsi="Verdana" w:cs="Arial"/>
          <w:color w:val="0000FF"/>
          <w:u w:val="single"/>
          <w:lang w:val="es-ES" w:eastAsia="es-ES"/>
        </w:rPr>
      </w:pPr>
      <w:hyperlink r:id="rId12" w:history="1">
        <w:r w:rsidRPr="000A4569">
          <w:rPr>
            <w:rStyle w:val="Hipervnculo"/>
            <w:rFonts w:ascii="Verdana" w:eastAsia="Calibri" w:hAnsi="Verdana" w:cs="Arial"/>
            <w:color w:val="0000FF"/>
            <w:lang w:val="es-ES" w:eastAsia="es-ES"/>
          </w:rPr>
          <w:t>contactenos@extradecolombia.com.co</w:t>
        </w:r>
      </w:hyperlink>
      <w:r w:rsidRPr="000A4569">
        <w:rPr>
          <w:rFonts w:ascii="Verdana" w:eastAsia="Calibri" w:hAnsi="Verdana" w:cs="Arial"/>
          <w:color w:val="0000FF"/>
          <w:u w:val="single"/>
          <w:lang w:val="es-ES" w:eastAsia="es-ES"/>
        </w:rPr>
        <w:t xml:space="preserve"> </w:t>
      </w:r>
    </w:p>
    <w:p w14:paraId="7D31DD3A" w14:textId="3C6C8475" w:rsidR="00152A9D" w:rsidRPr="00A832CC" w:rsidRDefault="00517C3F" w:rsidP="00152A9D">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Bogotá, D.C. </w:t>
      </w:r>
    </w:p>
    <w:p w14:paraId="40764CBF"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AC1791A" w14:textId="77777777" w:rsidTr="002607A7">
        <w:trPr>
          <w:trHeight w:val="884"/>
        </w:trPr>
        <w:tc>
          <w:tcPr>
            <w:tcW w:w="2689" w:type="dxa"/>
          </w:tcPr>
          <w:p w14:paraId="156B1AEC" w14:textId="77777777" w:rsidR="00871B59" w:rsidRPr="00405292" w:rsidRDefault="00871B59" w:rsidP="002607A7">
            <w:pPr>
              <w:jc w:val="both"/>
              <w:rPr>
                <w:rFonts w:ascii="Verdana" w:eastAsia="Calibri" w:hAnsi="Verdana" w:cs="Arial"/>
                <w:b/>
                <w:bCs/>
                <w:color w:val="7030A0"/>
                <w:lang w:val="es-ES_tradnl" w:eastAsia="es-ES_tradnl"/>
              </w:rPr>
            </w:pPr>
          </w:p>
        </w:tc>
        <w:tc>
          <w:tcPr>
            <w:tcW w:w="6100" w:type="dxa"/>
          </w:tcPr>
          <w:p w14:paraId="48F499EA" w14:textId="7F21E365" w:rsidR="00871B59" w:rsidRPr="00405292" w:rsidRDefault="00871B59" w:rsidP="002607A7">
            <w:pPr>
              <w:jc w:val="both"/>
              <w:rPr>
                <w:rFonts w:ascii="Verdana" w:eastAsia="Calibri" w:hAnsi="Verdana" w:cs="Arial"/>
                <w:b/>
                <w:bCs/>
                <w:lang w:val="es-ES" w:eastAsia="es-ES"/>
              </w:rPr>
            </w:pPr>
            <w:r w:rsidRPr="00405292">
              <w:rPr>
                <w:rFonts w:ascii="Verdana" w:eastAsia="Calibri" w:hAnsi="Verdana" w:cs="Arial"/>
                <w:b/>
                <w:bCs/>
                <w:lang w:val="es-ES" w:eastAsia="es-ES"/>
              </w:rPr>
              <w:t>Concepto C-</w:t>
            </w:r>
            <w:r w:rsidR="00405292" w:rsidRPr="00405292">
              <w:rPr>
                <w:rFonts w:ascii="Verdana" w:eastAsia="Calibri" w:hAnsi="Verdana" w:cs="Arial"/>
                <w:b/>
                <w:bCs/>
                <w:lang w:val="es-ES" w:eastAsia="es-ES"/>
              </w:rPr>
              <w:t xml:space="preserve">321 </w:t>
            </w:r>
            <w:r w:rsidR="00FF7B9A" w:rsidRPr="00405292">
              <w:rPr>
                <w:rFonts w:ascii="Verdana" w:eastAsia="Calibri" w:hAnsi="Verdana" w:cs="Arial"/>
                <w:b/>
                <w:bCs/>
                <w:lang w:val="es-ES" w:eastAsia="es-ES"/>
              </w:rPr>
              <w:t>de</w:t>
            </w:r>
            <w:r w:rsidRPr="00405292">
              <w:rPr>
                <w:rFonts w:ascii="Verdana" w:eastAsia="Calibri" w:hAnsi="Verdana" w:cs="Arial"/>
                <w:b/>
                <w:bCs/>
                <w:lang w:val="es-ES" w:eastAsia="es-ES"/>
              </w:rPr>
              <w:t xml:space="preserve"> 202</w:t>
            </w:r>
            <w:r w:rsidR="00397536" w:rsidRPr="00405292">
              <w:rPr>
                <w:rFonts w:ascii="Verdana" w:eastAsia="Calibri" w:hAnsi="Verdana" w:cs="Arial"/>
                <w:b/>
                <w:bCs/>
                <w:lang w:val="es-ES" w:eastAsia="es-ES"/>
              </w:rPr>
              <w:t>6</w:t>
            </w:r>
          </w:p>
        </w:tc>
      </w:tr>
      <w:tr w:rsidR="00871B59" w:rsidRPr="00593A5F" w14:paraId="0DD246A7" w14:textId="77777777" w:rsidTr="002607A7">
        <w:trPr>
          <w:trHeight w:val="884"/>
        </w:trPr>
        <w:tc>
          <w:tcPr>
            <w:tcW w:w="2689" w:type="dxa"/>
          </w:tcPr>
          <w:p w14:paraId="1B4FC525" w14:textId="77777777" w:rsidR="00871B59" w:rsidRPr="0003277D" w:rsidRDefault="00871B59" w:rsidP="002607A7">
            <w:pPr>
              <w:jc w:val="both"/>
              <w:rPr>
                <w:rFonts w:ascii="Verdana" w:eastAsia="Calibri" w:hAnsi="Verdana" w:cs="Arial"/>
                <w:color w:val="000000"/>
                <w:lang w:val="es-ES_tradnl" w:eastAsia="es-ES_tradnl"/>
              </w:rPr>
            </w:pPr>
            <w:r w:rsidRPr="0003277D">
              <w:rPr>
                <w:rFonts w:ascii="Verdana" w:eastAsia="Calibri" w:hAnsi="Verdana" w:cs="Arial"/>
                <w:b/>
                <w:color w:val="000000"/>
                <w:lang w:val="es-ES_tradnl" w:eastAsia="es-ES_tradnl"/>
              </w:rPr>
              <w:t>Temas:</w:t>
            </w:r>
            <w:r w:rsidRPr="0003277D">
              <w:rPr>
                <w:rFonts w:ascii="Verdana" w:eastAsia="Calibri" w:hAnsi="Verdana" w:cs="Arial"/>
                <w:color w:val="000000"/>
                <w:lang w:val="es-ES_tradnl" w:eastAsia="es-ES_tradnl"/>
              </w:rPr>
              <w:t xml:space="preserve">                   </w:t>
            </w:r>
          </w:p>
        </w:tc>
        <w:tc>
          <w:tcPr>
            <w:tcW w:w="6100" w:type="dxa"/>
          </w:tcPr>
          <w:p w14:paraId="1BBB2DF3" w14:textId="7202A786" w:rsidR="00871B59" w:rsidRPr="0003277D" w:rsidRDefault="007D17C3" w:rsidP="00BF36E7">
            <w:pPr>
              <w:spacing w:line="276" w:lineRule="auto"/>
              <w:jc w:val="both"/>
              <w:rPr>
                <w:rFonts w:ascii="Verdana" w:eastAsia="Calibri" w:hAnsi="Verdana" w:cs="Arial"/>
                <w:lang w:val="es-ES" w:eastAsia="es-ES"/>
              </w:rPr>
            </w:pPr>
            <w:r w:rsidRPr="0003277D">
              <w:rPr>
                <w:rFonts w:ascii="Verdana" w:eastAsia="Calibri" w:hAnsi="Verdana" w:cs="Arial"/>
                <w:lang w:val="es-ES" w:eastAsia="es-ES"/>
              </w:rPr>
              <w:t>LEY DE GARANTÍAS ELECTORALES –</w:t>
            </w:r>
            <w:r w:rsidR="00FA7A5F" w:rsidRPr="0003277D">
              <w:rPr>
                <w:rFonts w:ascii="Verdana" w:eastAsia="Calibri" w:hAnsi="Verdana" w:cs="Arial"/>
                <w:lang w:val="es-ES" w:eastAsia="es-ES"/>
              </w:rPr>
              <w:t xml:space="preserve"> Finalidad /LEY DE GARANTÍAS ELECTORALES </w:t>
            </w:r>
            <w:r w:rsidR="00411E93" w:rsidRPr="0003277D">
              <w:rPr>
                <w:rFonts w:ascii="Verdana" w:eastAsia="Calibri" w:hAnsi="Verdana" w:cs="Arial"/>
                <w:lang w:val="es-ES" w:eastAsia="es-ES"/>
              </w:rPr>
              <w:t>–</w:t>
            </w:r>
            <w:r w:rsidR="00FA7A5F" w:rsidRPr="0003277D">
              <w:rPr>
                <w:rFonts w:ascii="Verdana" w:eastAsia="Calibri" w:hAnsi="Verdana" w:cs="Arial"/>
                <w:lang w:val="es-ES" w:eastAsia="es-ES"/>
              </w:rPr>
              <w:t xml:space="preserve"> </w:t>
            </w:r>
            <w:r w:rsidR="00411E93" w:rsidRPr="0003277D">
              <w:rPr>
                <w:rFonts w:ascii="Verdana" w:eastAsia="Calibri" w:hAnsi="Verdana" w:cs="Arial"/>
                <w:lang w:val="es-ES" w:eastAsia="es-ES"/>
              </w:rPr>
              <w:t>Restricción a la contratación directa – Articulo 3</w:t>
            </w:r>
            <w:r w:rsidR="00A96269">
              <w:rPr>
                <w:rFonts w:ascii="Verdana" w:eastAsia="Calibri" w:hAnsi="Verdana" w:cs="Arial"/>
                <w:lang w:val="es-ES" w:eastAsia="es-ES"/>
              </w:rPr>
              <w:t>3</w:t>
            </w:r>
            <w:r w:rsidR="00520A3C" w:rsidRPr="0003277D">
              <w:rPr>
                <w:rFonts w:ascii="Verdana" w:eastAsia="Calibri" w:hAnsi="Verdana" w:cs="Arial"/>
                <w:lang w:val="es-ES" w:eastAsia="es-ES"/>
              </w:rPr>
              <w:t xml:space="preserve"> / ENTIDADES CON RÉGIMEN ESPECIAL – Contratación sujeta al derecho privado / MONOPOLIO RENTISTICO DE JUEGOS DE SUERTE Y AZAR </w:t>
            </w:r>
            <w:r w:rsidR="00F856B3" w:rsidRPr="0003277D">
              <w:rPr>
                <w:rFonts w:ascii="Verdana" w:eastAsia="Calibri" w:hAnsi="Verdana" w:cs="Arial"/>
                <w:lang w:val="es-ES" w:eastAsia="es-ES"/>
              </w:rPr>
              <w:t>–</w:t>
            </w:r>
            <w:r w:rsidR="00520A3C" w:rsidRPr="0003277D">
              <w:rPr>
                <w:rFonts w:ascii="Verdana" w:eastAsia="Calibri" w:hAnsi="Verdana" w:cs="Arial"/>
                <w:lang w:val="es-ES" w:eastAsia="es-ES"/>
              </w:rPr>
              <w:t xml:space="preserve"> </w:t>
            </w:r>
            <w:r w:rsidR="00F856B3" w:rsidRPr="0003277D">
              <w:rPr>
                <w:rFonts w:ascii="Verdana" w:eastAsia="Calibri" w:hAnsi="Verdana" w:cs="Arial"/>
                <w:lang w:val="es-ES" w:eastAsia="es-ES"/>
              </w:rPr>
              <w:t xml:space="preserve">Naturaleza jurídica </w:t>
            </w:r>
            <w:r w:rsidR="00AC1656" w:rsidRPr="0003277D">
              <w:rPr>
                <w:rFonts w:ascii="Verdana" w:eastAsia="Calibri" w:hAnsi="Verdana" w:cs="Arial"/>
                <w:lang w:val="es-ES" w:eastAsia="es-ES"/>
              </w:rPr>
              <w:t>/</w:t>
            </w:r>
            <w:r w:rsidR="000B32D7" w:rsidRPr="0003277D">
              <w:rPr>
                <w:rFonts w:ascii="Verdana" w:eastAsia="Calibri" w:hAnsi="Verdana" w:cs="Arial"/>
                <w:lang w:val="es-ES" w:eastAsia="es-ES"/>
              </w:rPr>
              <w:t xml:space="preserve"> EMPRESAS OPERADORAS DE</w:t>
            </w:r>
            <w:r w:rsidR="00CE0BBC" w:rsidRPr="0003277D">
              <w:rPr>
                <w:rFonts w:ascii="Verdana" w:eastAsia="Calibri" w:hAnsi="Verdana" w:cs="Arial"/>
                <w:lang w:val="es-ES" w:eastAsia="es-ES"/>
              </w:rPr>
              <w:t xml:space="preserve"> LOTERIAS </w:t>
            </w:r>
            <w:r w:rsidR="007D793B" w:rsidRPr="0003277D">
              <w:rPr>
                <w:rFonts w:ascii="Verdana" w:eastAsia="Calibri" w:hAnsi="Verdana" w:cs="Arial"/>
                <w:lang w:val="es-ES" w:eastAsia="es-ES"/>
              </w:rPr>
              <w:t>– Participación en mercados competitivos /</w:t>
            </w:r>
            <w:r w:rsidR="002A69BB" w:rsidRPr="0003277D">
              <w:rPr>
                <w:rFonts w:ascii="Verdana" w:eastAsia="Calibri" w:hAnsi="Verdana" w:cs="Arial"/>
                <w:lang w:val="es-ES" w:eastAsia="es-ES"/>
              </w:rPr>
              <w:t xml:space="preserve"> LEY DE GARANTÍAS ELECT</w:t>
            </w:r>
            <w:r w:rsidR="00E85F55">
              <w:rPr>
                <w:rFonts w:ascii="Verdana" w:eastAsia="Calibri" w:hAnsi="Verdana" w:cs="Arial"/>
                <w:lang w:val="es-ES" w:eastAsia="es-ES"/>
              </w:rPr>
              <w:t>ORALES</w:t>
            </w:r>
            <w:r w:rsidR="002A69BB" w:rsidRPr="0003277D">
              <w:rPr>
                <w:rFonts w:ascii="Verdana" w:eastAsia="Calibri" w:hAnsi="Verdana" w:cs="Arial"/>
                <w:lang w:val="es-ES" w:eastAsia="es-ES"/>
              </w:rPr>
              <w:t xml:space="preserve"> – Alcance</w:t>
            </w:r>
            <w:r w:rsidR="00734438" w:rsidRPr="0003277D">
              <w:rPr>
                <w:rFonts w:ascii="Verdana" w:eastAsia="Calibri" w:hAnsi="Verdana" w:cs="Arial"/>
                <w:lang w:val="es-ES" w:eastAsia="es-ES"/>
              </w:rPr>
              <w:t xml:space="preserve"> de entidades con régimen contractual de derecho privado</w:t>
            </w:r>
            <w:r w:rsidR="002576A5">
              <w:rPr>
                <w:rFonts w:ascii="Verdana" w:eastAsia="Calibri" w:hAnsi="Verdana" w:cs="Arial"/>
                <w:lang w:val="es-ES" w:eastAsia="es-ES"/>
              </w:rPr>
              <w:t xml:space="preserve"> / LEY DE GARANTÍAS ELECTORALES  - Excepciones – Destinatarios – Entidades sanitarias y hospitalarias.</w:t>
            </w:r>
          </w:p>
          <w:p w14:paraId="7ADD1096" w14:textId="26D200BE" w:rsidR="00BF36E7" w:rsidRPr="0003277D" w:rsidRDefault="00BF36E7" w:rsidP="00BF36E7">
            <w:pPr>
              <w:spacing w:line="276" w:lineRule="auto"/>
              <w:jc w:val="both"/>
              <w:rPr>
                <w:rFonts w:ascii="Verdana" w:eastAsia="Calibri" w:hAnsi="Verdana" w:cs="Arial"/>
                <w:lang w:val="es-ES" w:eastAsia="es-ES"/>
              </w:rPr>
            </w:pPr>
          </w:p>
        </w:tc>
      </w:tr>
      <w:tr w:rsidR="00871B59" w:rsidRPr="00AC3290" w14:paraId="0A874006" w14:textId="77777777" w:rsidTr="002607A7">
        <w:tc>
          <w:tcPr>
            <w:tcW w:w="2689" w:type="dxa"/>
          </w:tcPr>
          <w:p w14:paraId="56ED2765" w14:textId="77777777" w:rsidR="00871B59" w:rsidRPr="00FF7B9A" w:rsidRDefault="00871B59" w:rsidP="002607A7">
            <w:pPr>
              <w:jc w:val="both"/>
              <w:rPr>
                <w:rFonts w:ascii="Verdana" w:eastAsia="Calibri" w:hAnsi="Verdana" w:cs="Arial"/>
                <w:b/>
                <w:lang w:val="es-ES_tradnl" w:eastAsia="es-ES_tradnl"/>
              </w:rPr>
            </w:pPr>
            <w:r w:rsidRPr="00FF7B9A">
              <w:rPr>
                <w:rFonts w:ascii="Verdana" w:eastAsia="Calibri" w:hAnsi="Verdana" w:cs="Arial"/>
                <w:b/>
                <w:lang w:val="es-ES_tradnl" w:eastAsia="es-ES_tradnl"/>
              </w:rPr>
              <w:t>Radicación:</w:t>
            </w:r>
            <w:r w:rsidRPr="00FF7B9A">
              <w:rPr>
                <w:rFonts w:ascii="Verdana" w:eastAsia="Calibri" w:hAnsi="Verdana" w:cs="Arial"/>
                <w:lang w:val="es-ES_tradnl" w:eastAsia="es-ES_tradnl"/>
              </w:rPr>
              <w:t xml:space="preserve">               </w:t>
            </w:r>
          </w:p>
        </w:tc>
        <w:tc>
          <w:tcPr>
            <w:tcW w:w="6100" w:type="dxa"/>
          </w:tcPr>
          <w:p w14:paraId="630D2668" w14:textId="193F9270" w:rsidR="00871B59" w:rsidRPr="00FF7B9A" w:rsidRDefault="00871B59" w:rsidP="002607A7">
            <w:pPr>
              <w:jc w:val="both"/>
              <w:rPr>
                <w:rFonts w:ascii="Verdana" w:eastAsia="Calibri" w:hAnsi="Verdana" w:cs="Arial"/>
                <w:lang w:val="es-ES_tradnl" w:eastAsia="es-ES_tradnl"/>
              </w:rPr>
            </w:pPr>
            <w:r w:rsidRPr="00FF7B9A">
              <w:rPr>
                <w:rFonts w:ascii="Verdana" w:eastAsia="Calibri" w:hAnsi="Verdana" w:cs="Arial"/>
                <w:lang w:val="es-ES_tradnl" w:eastAsia="es-ES_tradnl"/>
              </w:rPr>
              <w:t xml:space="preserve">Respuesta a consulta con radicado No. </w:t>
            </w:r>
            <w:r w:rsidR="006844A4" w:rsidRPr="006844A4">
              <w:rPr>
                <w:rFonts w:ascii="Verdana" w:eastAsia="Calibri" w:hAnsi="Verdana" w:cs="Arial"/>
                <w:lang w:val="es-ES_tradnl" w:eastAsia="es-ES_tradnl"/>
              </w:rPr>
              <w:t>1_2026_02_27_002770</w:t>
            </w:r>
            <w:r w:rsidR="006844A4">
              <w:rPr>
                <w:rFonts w:ascii="Verdana" w:eastAsia="Calibri" w:hAnsi="Verdana" w:cs="Arial"/>
                <w:lang w:val="es-ES_tradnl" w:eastAsia="es-ES_tradnl"/>
              </w:rPr>
              <w:t xml:space="preserve"> </w:t>
            </w:r>
          </w:p>
        </w:tc>
      </w:tr>
    </w:tbl>
    <w:p w14:paraId="01AFCA4D" w14:textId="77777777" w:rsidR="00871B59" w:rsidRPr="00AC3290" w:rsidRDefault="00871B59" w:rsidP="00871B59">
      <w:pPr>
        <w:spacing w:after="0" w:line="240" w:lineRule="auto"/>
        <w:jc w:val="both"/>
        <w:rPr>
          <w:rFonts w:ascii="Verdana" w:eastAsia="Calibri" w:hAnsi="Verdana" w:cs="Arial"/>
          <w:lang w:val="es-ES_tradnl" w:eastAsia="es-ES_tradnl"/>
        </w:rPr>
      </w:pPr>
    </w:p>
    <w:p w14:paraId="4FF08E3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A8CAE32" w14:textId="0E324ECE" w:rsidR="00871B59" w:rsidRDefault="00871B59" w:rsidP="00871B59">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w:t>
      </w:r>
      <w:r w:rsidR="00152A9D">
        <w:rPr>
          <w:rFonts w:ascii="Verdana" w:eastAsia="Calibri" w:hAnsi="Verdana" w:cs="Arial"/>
          <w:color w:val="000000" w:themeColor="text1"/>
          <w:lang w:val="es-ES" w:eastAsia="es-ES"/>
        </w:rPr>
        <w:t xml:space="preserve">señor </w:t>
      </w:r>
      <w:r w:rsidR="004120A9">
        <w:rPr>
          <w:rFonts w:ascii="Verdana" w:eastAsia="Calibri" w:hAnsi="Verdana" w:cs="Arial"/>
          <w:color w:val="000000" w:themeColor="text1"/>
          <w:lang w:val="es-ES" w:eastAsia="es-ES"/>
        </w:rPr>
        <w:t>Yepe</w:t>
      </w:r>
      <w:r w:rsidR="00655F91">
        <w:rPr>
          <w:rFonts w:ascii="Verdana" w:eastAsia="Calibri" w:hAnsi="Verdana" w:cs="Arial"/>
          <w:color w:val="000000" w:themeColor="text1"/>
          <w:lang w:val="es-ES" w:eastAsia="es-ES"/>
        </w:rPr>
        <w:t>s del Portillo:</w:t>
      </w:r>
    </w:p>
    <w:p w14:paraId="6203995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F1D9A82" w14:textId="154A8ABA" w:rsidR="00871B59" w:rsidRPr="00593A5F" w:rsidRDefault="00871B59" w:rsidP="00871B59">
      <w:pPr>
        <w:spacing w:after="0" w:line="276" w:lineRule="auto"/>
        <w:jc w:val="both"/>
        <w:rPr>
          <w:rFonts w:ascii="Verdana" w:eastAsia="Calibri" w:hAnsi="Verdana" w:cs="Arial"/>
          <w:color w:val="7030A0"/>
          <w:lang w:val="es-ES" w:eastAsia="es-ES"/>
        </w:rPr>
      </w:pPr>
      <w:r w:rsidRPr="681364DF">
        <w:rPr>
          <w:rFonts w:ascii="Verdana" w:eastAsia="Calibri" w:hAnsi="Verdana" w:cs="Arial"/>
          <w:color w:val="000000" w:themeColor="text1"/>
          <w:lang w:val="es-ES" w:eastAsia="es-ES"/>
        </w:rPr>
        <w:t>En ejercicio de la competencia otorgada por los artículos 3, numeral 5º, y 11, numeral 8º, del Decreto Ley 4170 de 2011,</w:t>
      </w:r>
      <w:r w:rsidRPr="681364DF">
        <w:rPr>
          <w:rFonts w:ascii="Verdana" w:eastAsia="Arial MT" w:hAnsi="Verdana" w:cs="Arial MT"/>
          <w:lang w:val="es-ES" w:eastAsia="es-ES"/>
        </w:rPr>
        <w:t xml:space="preserve"> </w:t>
      </w:r>
      <w:r w:rsidRPr="681364DF">
        <w:rPr>
          <w:rFonts w:ascii="Verdana" w:hAnsi="Verdana" w:cs="Arial"/>
        </w:rPr>
        <w:t xml:space="preserve">así como lo establecido la </w:t>
      </w:r>
      <w:r w:rsidR="43C9AAE4" w:rsidRPr="681364DF">
        <w:rPr>
          <w:rFonts w:ascii="Verdana" w:eastAsia="Verdana" w:hAnsi="Verdana" w:cs="Verdana"/>
          <w:color w:val="000000" w:themeColor="text1"/>
        </w:rPr>
        <w:t>Resolución 469 de 2025</w:t>
      </w:r>
      <w:r w:rsidRPr="681364DF">
        <w:rPr>
          <w:rFonts w:ascii="Verdana" w:hAnsi="Verdana" w:cs="Arial"/>
        </w:rPr>
        <w:t xml:space="preserve"> expedida por esta Entidad, </w:t>
      </w:r>
      <w:r w:rsidRPr="681364DF">
        <w:rPr>
          <w:rFonts w:ascii="Verdana" w:eastAsia="Calibri" w:hAnsi="Verdana" w:cs="Arial"/>
          <w:color w:val="000000" w:themeColor="text1"/>
          <w:lang w:val="es-ES" w:eastAsia="es-ES"/>
        </w:rPr>
        <w:t xml:space="preserve">la Agencia Nacional de Contratación </w:t>
      </w:r>
      <w:r w:rsidRPr="00734438">
        <w:rPr>
          <w:rFonts w:ascii="Verdana" w:eastAsia="Calibri" w:hAnsi="Verdana" w:cs="Arial"/>
          <w:color w:val="000000" w:themeColor="text1"/>
          <w:lang w:val="es-ES" w:eastAsia="es-ES"/>
        </w:rPr>
        <w:t xml:space="preserve">Pública – Colombia Compra Eficiente– responde su solicitud de consulta de fecha </w:t>
      </w:r>
      <w:r w:rsidR="00161F0B" w:rsidRPr="00734438">
        <w:rPr>
          <w:rFonts w:ascii="Verdana" w:eastAsia="Calibri" w:hAnsi="Verdana" w:cs="Arial"/>
          <w:lang w:val="es-ES" w:eastAsia="es-ES"/>
        </w:rPr>
        <w:t>27</w:t>
      </w:r>
      <w:r w:rsidRPr="00734438">
        <w:rPr>
          <w:rFonts w:ascii="Verdana" w:eastAsia="Calibri" w:hAnsi="Verdana" w:cs="Arial"/>
          <w:lang w:val="es-ES" w:eastAsia="es-ES"/>
        </w:rPr>
        <w:t xml:space="preserve"> de </w:t>
      </w:r>
      <w:r w:rsidR="00AD6AA0" w:rsidRPr="00734438">
        <w:rPr>
          <w:rFonts w:ascii="Verdana" w:eastAsia="Calibri" w:hAnsi="Verdana" w:cs="Arial"/>
          <w:lang w:val="es-ES" w:eastAsia="es-ES"/>
        </w:rPr>
        <w:t>febrero</w:t>
      </w:r>
      <w:r w:rsidRPr="00734438">
        <w:rPr>
          <w:rFonts w:ascii="Verdana" w:eastAsia="Calibri" w:hAnsi="Verdana" w:cs="Arial"/>
          <w:lang w:val="es-ES" w:eastAsia="es-ES"/>
        </w:rPr>
        <w:t xml:space="preserve"> de 20</w:t>
      </w:r>
      <w:r w:rsidR="00152A9D" w:rsidRPr="00734438">
        <w:rPr>
          <w:rFonts w:ascii="Verdana" w:eastAsia="Calibri" w:hAnsi="Verdana" w:cs="Arial"/>
          <w:lang w:val="es-ES" w:eastAsia="es-ES"/>
        </w:rPr>
        <w:t>26</w:t>
      </w:r>
      <w:r w:rsidRPr="00734438">
        <w:rPr>
          <w:rFonts w:ascii="Verdana" w:eastAsia="Calibri" w:hAnsi="Verdana" w:cs="Arial"/>
          <w:lang w:val="es-ES" w:eastAsia="es-ES"/>
        </w:rPr>
        <w:t>, en la cual manifiesta lo siguiente:</w:t>
      </w:r>
      <w:r w:rsidRPr="00152A9D">
        <w:rPr>
          <w:rFonts w:ascii="Verdana" w:eastAsia="Calibri" w:hAnsi="Verdana" w:cs="Arial"/>
          <w:lang w:val="es-ES" w:eastAsia="es-ES"/>
        </w:rPr>
        <w:t xml:space="preserve"> </w:t>
      </w:r>
    </w:p>
    <w:p w14:paraId="6DBD3E26" w14:textId="77777777" w:rsidR="00871B59" w:rsidRPr="007D17C3"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1006183E" w14:textId="34C4CA8D" w:rsidR="00871B59" w:rsidRDefault="00871B59" w:rsidP="006844A4">
      <w:pPr>
        <w:spacing w:after="0" w:line="240" w:lineRule="auto"/>
        <w:ind w:left="709" w:right="709"/>
        <w:jc w:val="both"/>
        <w:rPr>
          <w:rFonts w:ascii="Verdana" w:eastAsia="Century Gothic" w:hAnsi="Verdana" w:cs="Century Gothic"/>
          <w:sz w:val="20"/>
          <w:szCs w:val="20"/>
          <w:lang w:val="es-ES"/>
        </w:rPr>
      </w:pPr>
      <w:bookmarkStart w:id="0" w:name="_Hlk95313578"/>
      <w:r w:rsidRPr="007D17C3">
        <w:rPr>
          <w:rFonts w:ascii="Verdana" w:eastAsia="Century Gothic" w:hAnsi="Verdana" w:cs="Century Gothic"/>
          <w:sz w:val="20"/>
          <w:szCs w:val="20"/>
          <w:lang w:val="es-ES"/>
        </w:rPr>
        <w:t>“</w:t>
      </w:r>
      <w:bookmarkEnd w:id="0"/>
      <w:r w:rsidR="006844A4">
        <w:rPr>
          <w:rFonts w:ascii="Verdana" w:eastAsia="Century Gothic" w:hAnsi="Verdana" w:cs="Century Gothic"/>
          <w:sz w:val="20"/>
          <w:szCs w:val="20"/>
          <w:lang w:val="es-ES"/>
        </w:rPr>
        <w:t>[…]</w:t>
      </w:r>
    </w:p>
    <w:p w14:paraId="6F52504A" w14:textId="4A118B03" w:rsidR="006844A4" w:rsidRPr="001A1FF9" w:rsidRDefault="006844A4" w:rsidP="006844A4">
      <w:pPr>
        <w:spacing w:after="0" w:line="240" w:lineRule="auto"/>
        <w:ind w:left="709" w:right="709"/>
        <w:jc w:val="both"/>
        <w:rPr>
          <w:rFonts w:ascii="Verdana" w:eastAsia="Century Gothic" w:hAnsi="Verdana" w:cs="Century Gothic"/>
          <w:i/>
          <w:iCs/>
          <w:sz w:val="20"/>
          <w:szCs w:val="20"/>
          <w:lang w:val="es-ES"/>
        </w:rPr>
      </w:pPr>
      <w:r w:rsidRPr="001A1FF9">
        <w:rPr>
          <w:rFonts w:ascii="Verdana" w:eastAsia="Century Gothic" w:hAnsi="Verdana" w:cs="Century Gothic"/>
          <w:i/>
          <w:iCs/>
          <w:sz w:val="20"/>
          <w:szCs w:val="20"/>
          <w:lang w:val="es-ES"/>
        </w:rPr>
        <w:t xml:space="preserve">Con fundamento en los hechos antes expuestos </w:t>
      </w:r>
      <w:r w:rsidR="009F0577" w:rsidRPr="001A1FF9">
        <w:rPr>
          <w:rFonts w:ascii="Verdana" w:eastAsia="Century Gothic" w:hAnsi="Verdana" w:cs="Century Gothic"/>
          <w:i/>
          <w:iCs/>
          <w:sz w:val="20"/>
          <w:szCs w:val="20"/>
          <w:lang w:val="es-ES"/>
        </w:rPr>
        <w:t xml:space="preserve">se solicita […] conceptuar, teniendo en cuenta los principios de libre competencia, eficiencia </w:t>
      </w:r>
      <w:r w:rsidR="009F0577" w:rsidRPr="001A1FF9">
        <w:rPr>
          <w:rFonts w:ascii="Verdana" w:eastAsia="Century Gothic" w:hAnsi="Verdana" w:cs="Century Gothic"/>
          <w:i/>
          <w:iCs/>
          <w:sz w:val="20"/>
          <w:szCs w:val="20"/>
          <w:lang w:val="es-ES"/>
        </w:rPr>
        <w:lastRenderedPageBreak/>
        <w:t xml:space="preserve">administrativa, </w:t>
      </w:r>
      <w:r w:rsidR="00B9707B" w:rsidRPr="001A1FF9">
        <w:rPr>
          <w:rFonts w:ascii="Verdana" w:eastAsia="Century Gothic" w:hAnsi="Verdana" w:cs="Century Gothic"/>
          <w:i/>
          <w:iCs/>
          <w:sz w:val="20"/>
          <w:szCs w:val="20"/>
          <w:lang w:val="es-ES"/>
        </w:rPr>
        <w:t>sostenibilidad del arbitrio rentístico y la destinación constitucional de los recurso</w:t>
      </w:r>
      <w:r w:rsidR="007B27F1" w:rsidRPr="001A1FF9">
        <w:rPr>
          <w:rFonts w:ascii="Verdana" w:eastAsia="Century Gothic" w:hAnsi="Verdana" w:cs="Century Gothic"/>
          <w:i/>
          <w:iCs/>
          <w:sz w:val="20"/>
          <w:szCs w:val="20"/>
          <w:lang w:val="es-ES"/>
        </w:rPr>
        <w:t>s</w:t>
      </w:r>
      <w:r w:rsidR="00B9707B" w:rsidRPr="001A1FF9">
        <w:rPr>
          <w:rFonts w:ascii="Verdana" w:eastAsia="Century Gothic" w:hAnsi="Verdana" w:cs="Century Gothic"/>
          <w:i/>
          <w:iCs/>
          <w:sz w:val="20"/>
          <w:szCs w:val="20"/>
          <w:lang w:val="es-ES"/>
        </w:rPr>
        <w:t xml:space="preserve"> a la salud, sobre el siguiente interrogante: ¿Se encuentra </w:t>
      </w:r>
      <w:r w:rsidR="001F1F4E" w:rsidRPr="001A1FF9">
        <w:rPr>
          <w:rFonts w:ascii="Verdana" w:eastAsia="Century Gothic" w:hAnsi="Verdana" w:cs="Century Gothic"/>
          <w:i/>
          <w:iCs/>
          <w:sz w:val="20"/>
          <w:szCs w:val="20"/>
          <w:lang w:val="es-ES"/>
        </w:rPr>
        <w:t>el Sorteo Extraordinario de Colombia Ltda</w:t>
      </w:r>
      <w:r w:rsidR="007B27F1" w:rsidRPr="001A1FF9">
        <w:rPr>
          <w:rFonts w:ascii="Verdana" w:eastAsia="Century Gothic" w:hAnsi="Verdana" w:cs="Century Gothic"/>
          <w:i/>
          <w:iCs/>
          <w:sz w:val="20"/>
          <w:szCs w:val="20"/>
          <w:lang w:val="es-ES"/>
        </w:rPr>
        <w:t xml:space="preserve">. Y las demás </w:t>
      </w:r>
      <w:r w:rsidR="00052D60" w:rsidRPr="001A1FF9">
        <w:rPr>
          <w:rFonts w:ascii="Verdana" w:eastAsia="Century Gothic" w:hAnsi="Verdana" w:cs="Century Gothic"/>
          <w:i/>
          <w:iCs/>
          <w:sz w:val="20"/>
          <w:szCs w:val="20"/>
          <w:lang w:val="es-ES"/>
        </w:rPr>
        <w:t xml:space="preserve">Loterías del País obligados a aplicar las restricciones a la contratación directa previstas en la Ley de Garantías Electorales, </w:t>
      </w:r>
      <w:proofErr w:type="gramStart"/>
      <w:r w:rsidR="00052D60" w:rsidRPr="001A1FF9">
        <w:rPr>
          <w:rFonts w:ascii="Verdana" w:eastAsia="Century Gothic" w:hAnsi="Verdana" w:cs="Century Gothic"/>
          <w:i/>
          <w:iCs/>
          <w:sz w:val="20"/>
          <w:szCs w:val="20"/>
          <w:lang w:val="es-ES"/>
        </w:rPr>
        <w:t>o</w:t>
      </w:r>
      <w:proofErr w:type="gramEnd"/>
      <w:r w:rsidR="00052D60" w:rsidRPr="001A1FF9">
        <w:rPr>
          <w:rFonts w:ascii="Verdana" w:eastAsia="Century Gothic" w:hAnsi="Verdana" w:cs="Century Gothic"/>
          <w:i/>
          <w:iCs/>
          <w:sz w:val="20"/>
          <w:szCs w:val="20"/>
          <w:lang w:val="es-ES"/>
        </w:rPr>
        <w:t xml:space="preserve"> por el contrario, se encuentran </w:t>
      </w:r>
      <w:r w:rsidR="00720DDD" w:rsidRPr="001A1FF9">
        <w:rPr>
          <w:rFonts w:ascii="Verdana" w:eastAsia="Century Gothic" w:hAnsi="Verdana" w:cs="Century Gothic"/>
          <w:i/>
          <w:iCs/>
          <w:sz w:val="20"/>
          <w:szCs w:val="20"/>
          <w:lang w:val="es-ES"/>
        </w:rPr>
        <w:t xml:space="preserve">exceptuados de dichas limitaciones, en atención a su naturaleza jurídica, régimen contractual </w:t>
      </w:r>
      <w:r w:rsidR="00980852" w:rsidRPr="001A1FF9">
        <w:rPr>
          <w:rFonts w:ascii="Verdana" w:eastAsia="Century Gothic" w:hAnsi="Verdana" w:cs="Century Gothic"/>
          <w:i/>
          <w:iCs/>
          <w:sz w:val="20"/>
          <w:szCs w:val="20"/>
          <w:lang w:val="es-ES"/>
        </w:rPr>
        <w:t>de derecho privado, actividad en un mercado competitivo y su sujeción al régimen propio del monopolio rentístico de juegos de suerte y azar?</w:t>
      </w:r>
    </w:p>
    <w:p w14:paraId="54DCAD4E" w14:textId="09417749" w:rsidR="00871B59" w:rsidRDefault="001A1FF9" w:rsidP="00FA7AB2">
      <w:pPr>
        <w:spacing w:after="0" w:line="240" w:lineRule="auto"/>
        <w:ind w:left="709" w:right="709"/>
        <w:jc w:val="both"/>
        <w:rPr>
          <w:rFonts w:ascii="Verdana" w:eastAsia="Century Gothic" w:hAnsi="Verdana" w:cs="Century Gothic"/>
          <w:i/>
          <w:iCs/>
          <w:sz w:val="20"/>
          <w:szCs w:val="20"/>
          <w:lang w:val="es-ES"/>
        </w:rPr>
      </w:pPr>
      <w:r w:rsidRPr="001A1FF9">
        <w:rPr>
          <w:rFonts w:ascii="Verdana" w:eastAsia="Century Gothic" w:hAnsi="Verdana" w:cs="Century Gothic"/>
          <w:i/>
          <w:iCs/>
          <w:sz w:val="20"/>
          <w:szCs w:val="20"/>
          <w:lang w:val="es-ES"/>
        </w:rPr>
        <w:t>[…]”</w:t>
      </w:r>
    </w:p>
    <w:p w14:paraId="59A6B281" w14:textId="77777777" w:rsidR="00FA7AB2" w:rsidRPr="00FA7AB2" w:rsidRDefault="00FA7AB2" w:rsidP="00FA7AB2">
      <w:pPr>
        <w:spacing w:after="0" w:line="240" w:lineRule="auto"/>
        <w:ind w:left="709" w:right="709"/>
        <w:jc w:val="both"/>
        <w:rPr>
          <w:rFonts w:ascii="Verdana" w:eastAsia="Century Gothic" w:hAnsi="Verdana" w:cs="Century Gothic"/>
          <w:i/>
          <w:iCs/>
          <w:sz w:val="20"/>
          <w:szCs w:val="20"/>
          <w:lang w:val="es-ES"/>
        </w:rPr>
      </w:pPr>
    </w:p>
    <w:p w14:paraId="30F17EAD" w14:textId="2F8E2EFE"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w:t>
      </w:r>
      <w:r w:rsidR="004F7A9F">
        <w:rPr>
          <w:rFonts w:ascii="Verdana" w:eastAsia="Calibri" w:hAnsi="Verdana" w:cs="Arial"/>
          <w:color w:val="000000"/>
          <w:lang w:val="es-ES" w:eastAsia="es-ES"/>
        </w:rPr>
        <w:t xml:space="preserve"> la Agencia Nacional de Contratación Pública -</w:t>
      </w:r>
      <w:r w:rsidRPr="00593A5F">
        <w:rPr>
          <w:rFonts w:ascii="Verdana" w:eastAsia="Calibri" w:hAnsi="Verdana" w:cs="Arial"/>
          <w:color w:val="000000"/>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23B0306C"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sidR="004F7A9F">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sidR="00826871" w:rsidRPr="00826871">
        <w:rPr>
          <w:rFonts w:ascii="Verdana" w:eastAsia="Calibri" w:hAnsi="Verdana" w:cs="Arial"/>
          <w:lang w:val="es-ES" w:eastAsia="es-ES"/>
        </w:rPr>
        <w:t>el problema</w:t>
      </w:r>
      <w:r w:rsidRPr="00826871">
        <w:rPr>
          <w:rFonts w:ascii="Verdana" w:eastAsia="Calibri" w:hAnsi="Verdana" w:cs="Arial"/>
          <w:lang w:val="es-ES" w:eastAsia="es-ES"/>
        </w:rPr>
        <w:t xml:space="preserve"> </w:t>
      </w:r>
      <w:r w:rsidR="00826871">
        <w:rPr>
          <w:rFonts w:ascii="Verdana" w:eastAsia="Calibri" w:hAnsi="Verdana" w:cs="Arial"/>
          <w:color w:val="000000"/>
          <w:lang w:val="es-ES" w:eastAsia="es-ES"/>
        </w:rPr>
        <w:t>jurídico de</w:t>
      </w:r>
      <w:r>
        <w:rPr>
          <w:rFonts w:ascii="Verdana" w:eastAsia="Calibri" w:hAnsi="Verdana" w:cs="Arial"/>
          <w:color w:val="000000"/>
          <w:lang w:val="es-ES" w:eastAsia="es-ES"/>
        </w:rPr>
        <w:t xml:space="preserve"> su</w:t>
      </w:r>
      <w:r w:rsidRPr="00593A5F">
        <w:rPr>
          <w:rFonts w:ascii="Verdana" w:eastAsia="Calibri" w:hAnsi="Verdana" w:cs="Arial"/>
          <w:color w:val="000000"/>
          <w:lang w:val="es-ES" w:eastAsia="es-ES"/>
        </w:rPr>
        <w:t xml:space="preserve"> consulta. </w:t>
      </w:r>
    </w:p>
    <w:p w14:paraId="70187214"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4DD4DE4" w14:textId="77777777" w:rsidR="00871B59" w:rsidRPr="00A666A1"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A666A1">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1E9A936B" w14:textId="6401AFB0" w:rsidR="008C7799" w:rsidRDefault="00871B59" w:rsidP="00871B59">
      <w:pPr>
        <w:spacing w:after="0"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el </w:t>
      </w:r>
      <w:r w:rsidR="00480F01" w:rsidRPr="1F9252E4">
        <w:rPr>
          <w:rFonts w:ascii="Verdana" w:eastAsia="Century Gothic" w:hAnsi="Verdana" w:cs="Century Gothic"/>
        </w:rPr>
        <w:t>siguiente</w:t>
      </w:r>
      <w:r w:rsidR="00480F01">
        <w:rPr>
          <w:rFonts w:ascii="Verdana" w:eastAsia="Century Gothic" w:hAnsi="Verdana" w:cs="Century Gothic"/>
        </w:rPr>
        <w:t xml:space="preserve"> </w:t>
      </w:r>
      <w:r w:rsidR="00480F01" w:rsidRPr="1F9252E4">
        <w:rPr>
          <w:rFonts w:ascii="Verdana" w:eastAsia="Century Gothic" w:hAnsi="Verdana" w:cs="Century Gothic"/>
        </w:rPr>
        <w:t>problema</w:t>
      </w:r>
      <w:r w:rsidRPr="1F9252E4">
        <w:rPr>
          <w:rFonts w:ascii="Verdana" w:eastAsia="Century Gothic" w:hAnsi="Verdana" w:cs="Century Gothic"/>
        </w:rPr>
        <w:t xml:space="preserve"> jurídico: </w:t>
      </w:r>
      <w:r w:rsidR="008231BA">
        <w:rPr>
          <w:rFonts w:ascii="Verdana" w:eastAsia="Century Gothic" w:hAnsi="Verdana" w:cs="Century Gothic"/>
        </w:rPr>
        <w:t>¿Las entidades operadoras de loterías</w:t>
      </w:r>
      <w:r w:rsidR="0068014A">
        <w:rPr>
          <w:rFonts w:ascii="Verdana" w:eastAsia="Century Gothic" w:hAnsi="Verdana" w:cs="Century Gothic"/>
        </w:rPr>
        <w:t xml:space="preserve"> y participantes del monopolio rentístico de juegos de suerte y azar, sometidas a un régimen contractual de derecho privado, se encuentran sujet</w:t>
      </w:r>
      <w:r w:rsidR="002B7772">
        <w:rPr>
          <w:rFonts w:ascii="Verdana" w:eastAsia="Century Gothic" w:hAnsi="Verdana" w:cs="Century Gothic"/>
        </w:rPr>
        <w:t>as a la prohibición de contratación directa prevista en el artículo 33 de la Ley 996 de 2005</w:t>
      </w:r>
      <w:r w:rsidR="004942FE">
        <w:rPr>
          <w:rFonts w:ascii="Verdana" w:eastAsia="Century Gothic" w:hAnsi="Verdana" w:cs="Century Gothic"/>
        </w:rPr>
        <w:t>, pese a su naturaleza jurídica y la destinación de recursos al sector salud</w:t>
      </w:r>
      <w:r w:rsidR="002B7772">
        <w:rPr>
          <w:rFonts w:ascii="Verdana" w:eastAsia="Century Gothic" w:hAnsi="Verdana" w:cs="Century Gothic"/>
        </w:rPr>
        <w:t>?</w:t>
      </w:r>
    </w:p>
    <w:p w14:paraId="23765127" w14:textId="77777777" w:rsidR="00AE135F" w:rsidRPr="00AE135F" w:rsidRDefault="00AE135F" w:rsidP="00871B59">
      <w:pPr>
        <w:spacing w:after="0" w:line="276" w:lineRule="auto"/>
        <w:jc w:val="both"/>
        <w:rPr>
          <w:rFonts w:ascii="Verdana" w:eastAsia="Century Gothic" w:hAnsi="Verdana" w:cs="Century Gothic"/>
        </w:rPr>
      </w:pPr>
    </w:p>
    <w:p w14:paraId="33E3D3F8" w14:textId="52C8F38B" w:rsidR="00871B59" w:rsidRPr="00593A5F" w:rsidRDefault="00046556"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 xml:space="preserve"> </w:t>
      </w:r>
      <w:r w:rsidR="00871B59" w:rsidRPr="00593A5F">
        <w:rPr>
          <w:rFonts w:ascii="Verdana" w:eastAsia="Century Gothic" w:hAnsi="Verdana" w:cs="Century Gothic"/>
          <w:b/>
          <w:bCs/>
          <w:lang w:val="es-ES"/>
        </w:rPr>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4984B9D" w14:textId="77777777" w:rsidTr="002607A7">
        <w:tc>
          <w:tcPr>
            <w:tcW w:w="8828" w:type="dxa"/>
          </w:tcPr>
          <w:p w14:paraId="5CA29E66" w14:textId="77777777" w:rsidR="007308C9" w:rsidRDefault="007308C9" w:rsidP="007267EE">
            <w:pPr>
              <w:spacing w:line="276" w:lineRule="auto"/>
              <w:jc w:val="both"/>
              <w:rPr>
                <w:rFonts w:ascii="Verdana" w:eastAsia="Calibri" w:hAnsi="Verdana" w:cs="Arial"/>
                <w:lang w:val="es-ES"/>
              </w:rPr>
            </w:pPr>
          </w:p>
          <w:p w14:paraId="78C2E6DB" w14:textId="563C6179" w:rsidR="00564FF6" w:rsidRDefault="00B3516A" w:rsidP="00B33D48">
            <w:pPr>
              <w:spacing w:line="276" w:lineRule="auto"/>
              <w:jc w:val="both"/>
              <w:rPr>
                <w:rFonts w:ascii="Verdana" w:eastAsia="Calibri" w:hAnsi="Verdana" w:cs="Arial"/>
                <w:lang w:val="es-ES"/>
              </w:rPr>
            </w:pPr>
            <w:r>
              <w:rPr>
                <w:rFonts w:ascii="Verdana" w:eastAsia="Calibri" w:hAnsi="Verdana" w:cs="Arial"/>
                <w:lang w:val="es-ES"/>
              </w:rPr>
              <w:t>Frente al problema jurídico planteado</w:t>
            </w:r>
            <w:r w:rsidR="00747CA7">
              <w:rPr>
                <w:rFonts w:ascii="Verdana" w:eastAsia="Calibri" w:hAnsi="Verdana" w:cs="Arial"/>
                <w:lang w:val="es-ES"/>
              </w:rPr>
              <w:t xml:space="preserve"> </w:t>
            </w:r>
            <w:r>
              <w:rPr>
                <w:rFonts w:ascii="Verdana" w:eastAsia="Calibri" w:hAnsi="Verdana" w:cs="Arial"/>
                <w:lang w:val="es-ES"/>
              </w:rPr>
              <w:t>es necesario</w:t>
            </w:r>
            <w:r w:rsidR="00BD419F">
              <w:rPr>
                <w:rFonts w:ascii="Verdana" w:eastAsia="Calibri" w:hAnsi="Verdana" w:cs="Arial"/>
                <w:lang w:val="es-ES"/>
              </w:rPr>
              <w:t xml:space="preserve"> </w:t>
            </w:r>
            <w:r w:rsidR="00BF0AD2">
              <w:rPr>
                <w:rFonts w:ascii="Verdana" w:eastAsia="Calibri" w:hAnsi="Verdana" w:cs="Arial"/>
                <w:lang w:val="es-ES"/>
              </w:rPr>
              <w:t>indicar que,</w:t>
            </w:r>
            <w:r w:rsidR="00DD353D">
              <w:rPr>
                <w:rFonts w:ascii="Verdana" w:eastAsia="Calibri" w:hAnsi="Verdana" w:cs="Arial"/>
                <w:lang w:val="es-ES"/>
              </w:rPr>
              <w:t xml:space="preserve"> </w:t>
            </w:r>
            <w:r w:rsidR="00165CA3">
              <w:rPr>
                <w:rFonts w:ascii="Verdana" w:eastAsia="Calibri" w:hAnsi="Verdana" w:cs="Arial"/>
                <w:lang w:val="es-ES"/>
              </w:rPr>
              <w:t>en el marco de lo establecido</w:t>
            </w:r>
            <w:r w:rsidR="006D3591">
              <w:rPr>
                <w:rFonts w:ascii="Verdana" w:eastAsia="Calibri" w:hAnsi="Verdana" w:cs="Arial"/>
                <w:lang w:val="es-ES"/>
              </w:rPr>
              <w:t xml:space="preserve"> por</w:t>
            </w:r>
            <w:r w:rsidR="006D0E25">
              <w:rPr>
                <w:rFonts w:ascii="Verdana" w:eastAsia="Calibri" w:hAnsi="Verdana" w:cs="Arial"/>
                <w:lang w:val="es-ES"/>
              </w:rPr>
              <w:t xml:space="preserve"> la Ley 996 de 200</w:t>
            </w:r>
            <w:r w:rsidR="006D3591">
              <w:rPr>
                <w:rFonts w:ascii="Verdana" w:eastAsia="Calibri" w:hAnsi="Verdana" w:cs="Arial"/>
                <w:lang w:val="es-ES"/>
              </w:rPr>
              <w:t>5, el artículo 33</w:t>
            </w:r>
            <w:r w:rsidR="006D0E25">
              <w:rPr>
                <w:rFonts w:ascii="Verdana" w:eastAsia="Calibri" w:hAnsi="Verdana" w:cs="Arial"/>
                <w:lang w:val="es-ES"/>
              </w:rPr>
              <w:t xml:space="preserve"> </w:t>
            </w:r>
            <w:r w:rsidR="009B79CE">
              <w:rPr>
                <w:rFonts w:ascii="Verdana" w:eastAsia="Calibri" w:hAnsi="Verdana" w:cs="Arial"/>
                <w:lang w:val="es-ES"/>
              </w:rPr>
              <w:t>prohíbe</w:t>
            </w:r>
            <w:r w:rsidR="006D0E25">
              <w:rPr>
                <w:rFonts w:ascii="Verdana" w:eastAsia="Calibri" w:hAnsi="Verdana" w:cs="Arial"/>
                <w:lang w:val="es-ES"/>
              </w:rPr>
              <w:t xml:space="preserve"> </w:t>
            </w:r>
            <w:r w:rsidR="006D0E25" w:rsidRPr="00E20C31">
              <w:rPr>
                <w:rFonts w:ascii="Verdana" w:eastAsia="Calibri" w:hAnsi="Verdana" w:cs="Arial"/>
                <w:i/>
                <w:iCs/>
                <w:lang w:val="es-ES"/>
              </w:rPr>
              <w:t>“[…] la contratación directa por parte de todos los entes del estado</w:t>
            </w:r>
            <w:r w:rsidR="006D0E25">
              <w:rPr>
                <w:rFonts w:ascii="Verdana" w:eastAsia="Calibri" w:hAnsi="Verdana" w:cs="Arial"/>
                <w:lang w:val="es-ES"/>
              </w:rPr>
              <w:t>” durante los cuatro (4) meses previos a las elecciones presidenciales</w:t>
            </w:r>
            <w:r w:rsidR="00F11D81">
              <w:rPr>
                <w:rFonts w:ascii="Verdana" w:eastAsia="Calibri" w:hAnsi="Verdana" w:cs="Arial"/>
                <w:lang w:val="es-ES"/>
              </w:rPr>
              <w:t xml:space="preserve">. </w:t>
            </w:r>
            <w:r w:rsidR="00E20C31">
              <w:rPr>
                <w:rFonts w:ascii="Verdana" w:eastAsia="Calibri" w:hAnsi="Verdana" w:cs="Arial"/>
                <w:lang w:val="es-ES"/>
              </w:rPr>
              <w:t>Esta restricción s</w:t>
            </w:r>
            <w:r w:rsidR="00B33D48">
              <w:rPr>
                <w:rFonts w:ascii="Verdana" w:eastAsia="Calibri" w:hAnsi="Verdana" w:cs="Arial"/>
                <w:lang w:val="es-ES"/>
              </w:rPr>
              <w:t xml:space="preserve">e dirige, </w:t>
            </w:r>
            <w:r w:rsidR="00B33D48" w:rsidRPr="00B33D48">
              <w:rPr>
                <w:rFonts w:ascii="Verdana" w:eastAsia="Calibri" w:hAnsi="Verdana" w:cs="Arial"/>
              </w:rPr>
              <w:t xml:space="preserve">en principio, a todos los entes del Estado. </w:t>
            </w:r>
            <w:r w:rsidR="004A662B">
              <w:rPr>
                <w:rFonts w:ascii="Verdana" w:eastAsia="Calibri" w:hAnsi="Verdana" w:cs="Arial"/>
              </w:rPr>
              <w:t xml:space="preserve">Lo anterior sin perjuicio de las excepciones consagradas en el último inciso del mismo artículo. </w:t>
            </w:r>
          </w:p>
          <w:p w14:paraId="3A59F1C0" w14:textId="77777777" w:rsidR="00AF40EE" w:rsidRDefault="00AF40EE" w:rsidP="00B33D48">
            <w:pPr>
              <w:spacing w:line="276" w:lineRule="auto"/>
              <w:jc w:val="both"/>
              <w:rPr>
                <w:rFonts w:ascii="Verdana" w:eastAsia="Calibri" w:hAnsi="Verdana" w:cs="Arial"/>
                <w:lang w:val="es-ES"/>
              </w:rPr>
            </w:pPr>
          </w:p>
          <w:p w14:paraId="2DD7897C" w14:textId="359ADFFC" w:rsidR="00AF40EE" w:rsidRDefault="00AF40EE" w:rsidP="00AF40EE">
            <w:pPr>
              <w:spacing w:line="276" w:lineRule="auto"/>
              <w:ind w:firstLine="709"/>
              <w:jc w:val="both"/>
              <w:rPr>
                <w:rFonts w:ascii="Verdana" w:eastAsia="Calibri" w:hAnsi="Verdana" w:cs="Arial"/>
              </w:rPr>
            </w:pPr>
            <w:r w:rsidRPr="00AF40EE">
              <w:rPr>
                <w:rFonts w:ascii="Verdana" w:eastAsia="Calibri" w:hAnsi="Verdana" w:cs="Arial"/>
              </w:rPr>
              <w:t>En efecto, el artículo 33 ibidem señala expresamente quienes son los destinatarios de la mencionada prohibición, indicando que aplica a “todos los entes del Estado”, expresión que contempla a las diferentes entidades y actores autorizados por la ley para suscribir contratos. Al respecto, el Consejo de Estado ha sostenido que, la palabra “todos” empleado por el legislador engloba la totalidad de los entes del Estado, sin distinción del régimen jurídico, naturaleza, destinación económica, e incluso si las entidades estatales tienen régimen especial de contratación y están exceptuadas del ámbito de aplicación del Estatuto General de Contratación de la Administración Pública.</w:t>
            </w:r>
          </w:p>
          <w:p w14:paraId="6F249876" w14:textId="77777777" w:rsidR="00AF40EE" w:rsidRDefault="00AF40EE" w:rsidP="00AF40EE">
            <w:pPr>
              <w:spacing w:line="276" w:lineRule="auto"/>
              <w:ind w:firstLine="709"/>
              <w:jc w:val="both"/>
              <w:rPr>
                <w:rFonts w:ascii="Verdana" w:eastAsia="Calibri" w:hAnsi="Verdana" w:cs="Arial"/>
              </w:rPr>
            </w:pPr>
          </w:p>
          <w:p w14:paraId="2593CBFF" w14:textId="241906BF" w:rsidR="00AF40EE" w:rsidRDefault="00AF40EE" w:rsidP="00AF40EE">
            <w:pPr>
              <w:spacing w:line="276" w:lineRule="auto"/>
              <w:ind w:firstLine="709"/>
              <w:jc w:val="both"/>
              <w:rPr>
                <w:rFonts w:ascii="Verdana" w:eastAsia="Calibri" w:hAnsi="Verdana" w:cs="Arial"/>
              </w:rPr>
            </w:pPr>
            <w:r w:rsidRPr="00AF40EE">
              <w:rPr>
                <w:rFonts w:ascii="Verdana" w:eastAsia="Calibri" w:hAnsi="Verdana" w:cs="Arial"/>
              </w:rPr>
              <w:t>Conforme a los expuesto, en atención al planteamiento de su consulta, debe señalarse que la restricción prevista en la Ley 996 de 2005 cobija a cualquier entidad pública, independiente del régimen jurídico, que pueda mediante la contratación directa romper el equilibrio entre los candidatos en desarrollo de las elecciones presidenciales. Así las cosas, no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507CAA5D" w14:textId="77777777" w:rsidR="00A82743" w:rsidRDefault="00A82743" w:rsidP="00AF40EE">
            <w:pPr>
              <w:spacing w:line="276" w:lineRule="auto"/>
              <w:ind w:firstLine="709"/>
              <w:jc w:val="both"/>
              <w:rPr>
                <w:rFonts w:ascii="Verdana" w:eastAsia="Calibri" w:hAnsi="Verdana" w:cs="Arial"/>
              </w:rPr>
            </w:pPr>
          </w:p>
          <w:p w14:paraId="5A0F2ACA" w14:textId="428CB810" w:rsidR="00A82743" w:rsidRDefault="00A82743" w:rsidP="00AF40EE">
            <w:pPr>
              <w:spacing w:line="276" w:lineRule="auto"/>
              <w:ind w:firstLine="709"/>
              <w:jc w:val="both"/>
              <w:rPr>
                <w:rFonts w:ascii="Verdana" w:eastAsia="Calibri" w:hAnsi="Verdana" w:cs="Arial"/>
              </w:rPr>
            </w:pPr>
            <w:r w:rsidRPr="00A82743">
              <w:rPr>
                <w:rFonts w:ascii="Verdana" w:eastAsia="Calibri" w:hAnsi="Verdana" w:cs="Arial"/>
              </w:rPr>
              <w:t>Por consiguiente, si las entidades operadoras de loterías celebran contratos sin convocatoria pública, tales actuaciones pueden ser consideradas como contratación directa a la luz de la Ley 996 de 2005, y, por tanto, estar sujetas a la restricción temporal prevista en dicha norma. Por el contrario, si dichas entidades adelantan procesos de selección que incorporan mecanismos de publicidad, concurrencia y competencia entre oferentes, tales procedimientos</w:t>
            </w:r>
            <w:r>
              <w:rPr>
                <w:rFonts w:ascii="Verdana" w:eastAsia="Calibri" w:hAnsi="Verdana" w:cs="Arial"/>
              </w:rPr>
              <w:t xml:space="preserve"> </w:t>
            </w:r>
            <w:r w:rsidRPr="00A82743">
              <w:rPr>
                <w:rFonts w:ascii="Verdana" w:eastAsia="Calibri" w:hAnsi="Verdana" w:cs="Arial"/>
              </w:rPr>
              <w:t>o constituyen contratación directa y, en consecuencia, podrán adelantarse en vigencia de la Ley de Garantías Electorales.</w:t>
            </w:r>
          </w:p>
          <w:p w14:paraId="4BE45033" w14:textId="77777777" w:rsidR="00A82743" w:rsidRDefault="00A82743" w:rsidP="00AF40EE">
            <w:pPr>
              <w:spacing w:line="276" w:lineRule="auto"/>
              <w:ind w:firstLine="709"/>
              <w:jc w:val="both"/>
              <w:rPr>
                <w:rFonts w:ascii="Verdana" w:eastAsia="Calibri" w:hAnsi="Verdana" w:cs="Arial"/>
              </w:rPr>
            </w:pPr>
          </w:p>
          <w:p w14:paraId="78936EE4" w14:textId="712C0126" w:rsidR="00A82743" w:rsidRDefault="00A82743" w:rsidP="00AF40EE">
            <w:pPr>
              <w:spacing w:line="276" w:lineRule="auto"/>
              <w:ind w:firstLine="709"/>
              <w:jc w:val="both"/>
              <w:rPr>
                <w:rFonts w:ascii="Verdana" w:eastAsia="Calibri" w:hAnsi="Verdana" w:cs="Arial"/>
              </w:rPr>
            </w:pPr>
            <w:r w:rsidRPr="00A82743">
              <w:rPr>
                <w:rFonts w:ascii="Verdana" w:eastAsia="Calibri" w:hAnsi="Verdana" w:cs="Arial"/>
              </w:rPr>
              <w:t>Ahora bien, las excepciones a la restricción prevista en la Ley de Garantías Electorales, con fundamento en las cuales las entidades públicas podrán adelantar procedimientos de selección directa en períodos previos a la contienda electoral por la Presidencia, se encuentran consagradas de manera taxativa en el inciso final del citado artículo 33 de la Ley 996 de 2005, dentro de las cuales se encuentran los contratos que deban realizar las entidades sanitarias y hospitalarias. Nótese que la excepción analizada, relacionada con el servicio de salud, recae sobre las entidades sanitarias y sanitarias, es decir, sobre un tipo determinado de Ente del Estado, pero no habla nada de las Entidades que administran o recaudan recursos destinados a la prestación de servicios de salud.</w:t>
            </w:r>
          </w:p>
          <w:p w14:paraId="01720FC6" w14:textId="77777777" w:rsidR="00A82743" w:rsidRDefault="00A82743" w:rsidP="00AF40EE">
            <w:pPr>
              <w:spacing w:line="276" w:lineRule="auto"/>
              <w:ind w:firstLine="709"/>
              <w:jc w:val="both"/>
              <w:rPr>
                <w:rFonts w:ascii="Verdana" w:eastAsia="Calibri" w:hAnsi="Verdana" w:cs="Arial"/>
                <w:lang w:val="es-ES"/>
              </w:rPr>
            </w:pPr>
          </w:p>
          <w:p w14:paraId="47AEB666" w14:textId="472F69F7" w:rsidR="001B504D" w:rsidRPr="0006284D" w:rsidRDefault="00B06BAA" w:rsidP="00B06BAA">
            <w:pPr>
              <w:spacing w:line="276" w:lineRule="auto"/>
              <w:ind w:firstLine="709"/>
              <w:jc w:val="both"/>
              <w:rPr>
                <w:rFonts w:ascii="Verdana" w:eastAsia="Calibri" w:hAnsi="Verdana" w:cs="Arial"/>
                <w:lang w:val="es-ES"/>
              </w:rPr>
            </w:pPr>
            <w:r w:rsidRPr="00B06BAA">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la Agencia Nacional de Contratación Pública Colombia Compra Eficiente. Colombia Compra Eficiente validar sus actuaciones.</w:t>
            </w:r>
          </w:p>
        </w:tc>
      </w:tr>
    </w:tbl>
    <w:p w14:paraId="7ECD1E5F" w14:textId="4AFC5D77" w:rsidR="00C8700A" w:rsidRPr="00593A5F" w:rsidRDefault="00AD24FD" w:rsidP="00871B59">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lastRenderedPageBreak/>
        <w:t xml:space="preserve"> </w:t>
      </w:r>
    </w:p>
    <w:p w14:paraId="6678B80A" w14:textId="77777777" w:rsidR="00871B59" w:rsidRPr="0006284D"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06284D">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30999FE7" w14:textId="77777777" w:rsidR="00E437A5" w:rsidRDefault="00871B59" w:rsidP="00E437A5">
      <w:pPr>
        <w:spacing w:after="0" w:line="276" w:lineRule="auto"/>
        <w:jc w:val="both"/>
        <w:rPr>
          <w:rFonts w:ascii="Verdana" w:eastAsia="Calibri" w:hAnsi="Verdana" w:cs="Arial"/>
          <w:lang w:val="es-ES"/>
        </w:rPr>
      </w:pPr>
      <w:r w:rsidRPr="0067019C">
        <w:rPr>
          <w:rFonts w:ascii="Verdana" w:eastAsia="Calibri" w:hAnsi="Verdana" w:cs="Arial"/>
          <w:lang w:val="es-ES"/>
        </w:rPr>
        <w:t xml:space="preserve">Lo anterior se sustenta en las siguientes consideraciones: </w:t>
      </w:r>
    </w:p>
    <w:p w14:paraId="3AB9DA28" w14:textId="77777777" w:rsidR="00E437A5" w:rsidRDefault="00E437A5" w:rsidP="00E437A5">
      <w:pPr>
        <w:spacing w:after="0" w:line="276" w:lineRule="auto"/>
        <w:jc w:val="both"/>
        <w:rPr>
          <w:rFonts w:ascii="Verdana" w:eastAsia="Calibri" w:hAnsi="Verdana" w:cs="Arial"/>
          <w:lang w:val="es-ES"/>
        </w:rPr>
      </w:pPr>
    </w:p>
    <w:p w14:paraId="6B73882A" w14:textId="07FBECBE" w:rsidR="0067019C" w:rsidRDefault="008F1A7C" w:rsidP="00D377C9">
      <w:pPr>
        <w:spacing w:after="0" w:line="276" w:lineRule="auto"/>
        <w:ind w:firstLine="708"/>
        <w:jc w:val="both"/>
        <w:rPr>
          <w:rFonts w:ascii="Verdana" w:eastAsia="Calibri" w:hAnsi="Verdana" w:cs="Arial"/>
          <w:bCs/>
          <w:color w:val="000000" w:themeColor="text1"/>
        </w:rPr>
      </w:pPr>
      <w:r w:rsidRPr="008F1A7C">
        <w:rPr>
          <w:rFonts w:ascii="Verdana" w:eastAsia="Calibri" w:hAnsi="Verdana" w:cs="Arial"/>
          <w:bCs/>
          <w:color w:val="000000" w:themeColor="text1"/>
        </w:rPr>
        <w:t>i. El ordenamiento jurídico colombiano contempla una serie de previsiones para evitar la obtención de beneficios personales en asuntos propios de la administración. Un destacado ejemplo de lo anterior es la Ley 996 de 2005, conocida como “Ley de Garantías Electorales”, cuyo propósito es asegurar la neutralidad, transparencia e imparcialidad en los procesos electorales. Esta Ley busca impedir que quienes ejercen el poder público utilicen los recursos del</w:t>
      </w:r>
      <w:r w:rsidR="004C43FA">
        <w:rPr>
          <w:rFonts w:ascii="Verdana" w:eastAsia="Calibri" w:hAnsi="Verdana" w:cs="Arial"/>
          <w:bCs/>
          <w:color w:val="000000" w:themeColor="text1"/>
        </w:rPr>
        <w:t xml:space="preserve"> </w:t>
      </w:r>
      <w:r w:rsidR="004C43FA" w:rsidRPr="004C43FA">
        <w:rPr>
          <w:rFonts w:ascii="Verdana" w:eastAsia="Calibri" w:hAnsi="Verdana" w:cs="Arial"/>
          <w:bCs/>
          <w:color w:val="000000" w:themeColor="text1"/>
        </w:rPr>
        <w:t xml:space="preserve">Estado para incidir en la voluntad del electorado. Esta Ley se suma al andamiaje de orden constitucional y legal que se ha ocupado de evitar la injerencia inadecuada de intereses particulares en el ejercicio de la función pública. Su propósito es evitar cualquier tipo de arbitrariedad, de ventaja injustificada, de </w:t>
      </w:r>
      <w:r w:rsidR="004C43FA" w:rsidRPr="004C43FA">
        <w:rPr>
          <w:rFonts w:ascii="Verdana" w:eastAsia="Calibri" w:hAnsi="Verdana" w:cs="Arial"/>
          <w:bCs/>
          <w:color w:val="000000" w:themeColor="text1"/>
        </w:rPr>
        <w:lastRenderedPageBreak/>
        <w:t>uso irregular de los recursos del Estado en las campañas o falta de garantías en la elección presidencial</w:t>
      </w:r>
      <w:r w:rsidR="00C3434B">
        <w:rPr>
          <w:rStyle w:val="Refdenotaalpie"/>
          <w:rFonts w:ascii="Verdana" w:eastAsia="Calibri" w:hAnsi="Verdana" w:cs="Arial"/>
          <w:bCs/>
          <w:color w:val="000000" w:themeColor="text1"/>
        </w:rPr>
        <w:footnoteReference w:id="2"/>
      </w:r>
      <w:r w:rsidR="004C43FA" w:rsidRPr="004C43FA">
        <w:rPr>
          <w:rFonts w:ascii="Verdana" w:eastAsia="Calibri" w:hAnsi="Verdana" w:cs="Arial"/>
          <w:bCs/>
          <w:color w:val="000000" w:themeColor="text1"/>
        </w:rPr>
        <w:t>. En esta medida, introduce limitaciones para realizar nombramientos, postulaciones, contrataciones o cualquier otro tipo de actividad que implique destinación de recursos públicos bajo el devenir propio de las Entidades Estatales.</w:t>
      </w:r>
    </w:p>
    <w:p w14:paraId="304B8490" w14:textId="77777777" w:rsidR="004C43FA" w:rsidRDefault="004C43FA" w:rsidP="00D377C9">
      <w:pPr>
        <w:spacing w:after="0" w:line="276" w:lineRule="auto"/>
        <w:ind w:firstLine="708"/>
        <w:jc w:val="both"/>
        <w:rPr>
          <w:rFonts w:ascii="Verdana" w:eastAsia="Calibri" w:hAnsi="Verdana" w:cs="Arial"/>
          <w:bCs/>
          <w:color w:val="000000" w:themeColor="text1"/>
        </w:rPr>
      </w:pPr>
    </w:p>
    <w:p w14:paraId="70FA51CC" w14:textId="77777777" w:rsidR="004C43FA" w:rsidRDefault="004C43FA" w:rsidP="00D377C9">
      <w:pPr>
        <w:spacing w:after="0" w:line="276" w:lineRule="auto"/>
        <w:ind w:firstLine="708"/>
        <w:jc w:val="both"/>
        <w:rPr>
          <w:rFonts w:ascii="Verdana" w:eastAsia="Calibri" w:hAnsi="Verdana" w:cs="Arial"/>
          <w:bCs/>
          <w:color w:val="000000" w:themeColor="text1"/>
        </w:rPr>
      </w:pPr>
      <w:r w:rsidRPr="004C43FA">
        <w:rPr>
          <w:rFonts w:ascii="Verdana" w:eastAsia="Calibri" w:hAnsi="Verdana" w:cs="Arial"/>
          <w:bCs/>
          <w:color w:val="000000" w:themeColor="text1"/>
        </w:rPr>
        <w:t xml:space="preserve">En armonía con lo anterior, la Corte Constitucional ha abordado la definición de la Ley de Garantías Electorales. De esta manera, explica que tiene como propósito: </w:t>
      </w:r>
    </w:p>
    <w:p w14:paraId="604ED012" w14:textId="77777777" w:rsidR="004C43FA" w:rsidRDefault="004C43FA" w:rsidP="00D377C9">
      <w:pPr>
        <w:spacing w:after="0" w:line="276" w:lineRule="auto"/>
        <w:ind w:firstLine="708"/>
        <w:jc w:val="both"/>
        <w:rPr>
          <w:rFonts w:ascii="Verdana" w:eastAsia="Calibri" w:hAnsi="Verdana" w:cs="Arial"/>
          <w:bCs/>
          <w:color w:val="000000" w:themeColor="text1"/>
        </w:rPr>
      </w:pPr>
    </w:p>
    <w:p w14:paraId="3C884FF5" w14:textId="3DBDD29B" w:rsidR="004C43FA" w:rsidRPr="004C43FA" w:rsidRDefault="004C43FA" w:rsidP="00D377C9">
      <w:pPr>
        <w:spacing w:after="0" w:line="276" w:lineRule="auto"/>
        <w:ind w:firstLine="708"/>
        <w:jc w:val="both"/>
        <w:rPr>
          <w:rFonts w:ascii="Verdana" w:eastAsia="Calibri" w:hAnsi="Verdana" w:cs="Arial"/>
          <w:bCs/>
          <w:color w:val="000000" w:themeColor="text1"/>
          <w:sz w:val="20"/>
          <w:szCs w:val="20"/>
        </w:rPr>
      </w:pPr>
      <w:r w:rsidRPr="004C43FA">
        <w:rPr>
          <w:rFonts w:ascii="Verdana" w:eastAsia="Calibri" w:hAnsi="Verdana" w:cs="Arial"/>
          <w:bCs/>
          <w:color w:val="000000" w:themeColor="text1"/>
          <w:sz w:val="20"/>
          <w:szCs w:val="20"/>
        </w:rPr>
        <w:t>“[…] la definición de reglas claras que permitan acceder a los canales de expresión democrática de manera efectiva e igualitaria. El objetivo de una ley de garantías es definir esas reglas. […] 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Style w:val="Refdenotaalpie"/>
          <w:rFonts w:ascii="Verdana" w:eastAsia="Calibri" w:hAnsi="Verdana" w:cs="Arial"/>
          <w:bCs/>
          <w:color w:val="000000" w:themeColor="text1"/>
          <w:sz w:val="20"/>
          <w:szCs w:val="20"/>
        </w:rPr>
        <w:footnoteReference w:id="3"/>
      </w:r>
    </w:p>
    <w:p w14:paraId="6DA2FB95" w14:textId="77777777" w:rsidR="0067019C" w:rsidRDefault="0067019C" w:rsidP="00D377C9">
      <w:pPr>
        <w:spacing w:after="0" w:line="276" w:lineRule="auto"/>
        <w:ind w:firstLine="708"/>
        <w:jc w:val="both"/>
        <w:rPr>
          <w:rFonts w:ascii="Verdana" w:eastAsia="Calibri" w:hAnsi="Verdana" w:cs="Arial"/>
          <w:bCs/>
          <w:color w:val="000000" w:themeColor="text1"/>
        </w:rPr>
      </w:pPr>
    </w:p>
    <w:p w14:paraId="60995DA0" w14:textId="45E89A56" w:rsidR="0067019C" w:rsidRDefault="00ED4E56" w:rsidP="00D377C9">
      <w:pPr>
        <w:spacing w:after="0" w:line="276" w:lineRule="auto"/>
        <w:ind w:firstLine="708"/>
        <w:jc w:val="both"/>
        <w:rPr>
          <w:rFonts w:ascii="Verdana" w:eastAsia="Calibri" w:hAnsi="Verdana" w:cs="Arial"/>
          <w:bCs/>
          <w:color w:val="000000" w:themeColor="text1"/>
        </w:rPr>
      </w:pPr>
      <w:r w:rsidRPr="00ED4E56">
        <w:rPr>
          <w:rFonts w:ascii="Verdana" w:eastAsia="Calibri" w:hAnsi="Verdana" w:cs="Arial"/>
          <w:bCs/>
          <w:color w:val="000000" w:themeColor="text1"/>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196A9B85" w14:textId="77777777" w:rsidR="00ED4E56" w:rsidRDefault="00ED4E56" w:rsidP="00D377C9">
      <w:pPr>
        <w:spacing w:after="0" w:line="276" w:lineRule="auto"/>
        <w:ind w:firstLine="708"/>
        <w:jc w:val="both"/>
        <w:rPr>
          <w:rFonts w:ascii="Verdana" w:eastAsia="Calibri" w:hAnsi="Verdana" w:cs="Arial"/>
          <w:bCs/>
          <w:color w:val="000000" w:themeColor="text1"/>
        </w:rPr>
      </w:pPr>
    </w:p>
    <w:p w14:paraId="7FDFB62E" w14:textId="39A566EE" w:rsidR="00ED4E56" w:rsidRDefault="00ED4E56" w:rsidP="00D377C9">
      <w:pPr>
        <w:spacing w:after="0" w:line="276" w:lineRule="auto"/>
        <w:ind w:firstLine="708"/>
        <w:jc w:val="both"/>
        <w:rPr>
          <w:rFonts w:ascii="Verdana" w:eastAsia="Calibri" w:hAnsi="Verdana" w:cs="Arial"/>
          <w:bCs/>
          <w:color w:val="000000" w:themeColor="text1"/>
        </w:rPr>
      </w:pPr>
      <w:r w:rsidRPr="00ED4E56">
        <w:rPr>
          <w:rFonts w:ascii="Verdana" w:eastAsia="Calibri" w:hAnsi="Verdana" w:cs="Arial"/>
          <w:bCs/>
          <w:color w:val="000000" w:themeColor="text1"/>
        </w:rPr>
        <w:t>En efecto, la Sala de Consulta y Servicio Civil del Consejo de Estado, precisó:</w:t>
      </w:r>
    </w:p>
    <w:p w14:paraId="65421287" w14:textId="3EEF22B6" w:rsidR="0067019C" w:rsidRDefault="003E3870" w:rsidP="00A22FD5">
      <w:pPr>
        <w:spacing w:after="0" w:line="276" w:lineRule="auto"/>
        <w:ind w:left="708"/>
        <w:jc w:val="both"/>
        <w:rPr>
          <w:rFonts w:ascii="Verdana" w:eastAsia="Calibri" w:hAnsi="Verdana" w:cs="Arial"/>
          <w:bCs/>
          <w:color w:val="000000" w:themeColor="text1"/>
          <w:sz w:val="20"/>
          <w:szCs w:val="20"/>
        </w:rPr>
      </w:pPr>
      <w:r w:rsidRPr="003E3870">
        <w:rPr>
          <w:rFonts w:ascii="Verdana" w:eastAsia="Calibri" w:hAnsi="Verdana" w:cs="Arial"/>
          <w:bCs/>
          <w:color w:val="000000" w:themeColor="text1"/>
          <w:sz w:val="20"/>
          <w:szCs w:val="20"/>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w:t>
      </w:r>
      <w:r w:rsidRPr="003E3870">
        <w:rPr>
          <w:rFonts w:ascii="Verdana" w:eastAsia="Calibri" w:hAnsi="Verdana" w:cs="Arial"/>
          <w:bCs/>
          <w:color w:val="000000" w:themeColor="text1"/>
          <w:sz w:val="20"/>
          <w:szCs w:val="20"/>
        </w:rPr>
        <w:lastRenderedPageBreak/>
        <w:t>conjunto de disposiciones que integran un régimen jurídico imperativo y de orden público, razón por la cual no son disponibles ni pueden ser derogadas, modificadas, ampliadas o adicionadas por acuerdo o convenio o acto unilateral.</w:t>
      </w:r>
    </w:p>
    <w:p w14:paraId="39F0DA00" w14:textId="77777777" w:rsidR="00A22FD5" w:rsidRDefault="00A22FD5" w:rsidP="00A22FD5">
      <w:pPr>
        <w:spacing w:after="0" w:line="276" w:lineRule="auto"/>
        <w:ind w:left="708"/>
        <w:jc w:val="both"/>
        <w:rPr>
          <w:rFonts w:ascii="Verdana" w:eastAsia="Calibri" w:hAnsi="Verdana" w:cs="Arial"/>
          <w:bCs/>
          <w:color w:val="000000" w:themeColor="text1"/>
          <w:sz w:val="20"/>
          <w:szCs w:val="20"/>
        </w:rPr>
      </w:pPr>
    </w:p>
    <w:p w14:paraId="6D20645C" w14:textId="1A5E783C" w:rsidR="003E3870" w:rsidRPr="003E3870" w:rsidRDefault="003E3870" w:rsidP="00A22FD5">
      <w:pPr>
        <w:spacing w:after="0" w:line="276" w:lineRule="auto"/>
        <w:ind w:left="708"/>
        <w:jc w:val="both"/>
        <w:rPr>
          <w:rFonts w:ascii="Verdana" w:eastAsia="Calibri" w:hAnsi="Verdana" w:cs="Arial"/>
          <w:bCs/>
          <w:color w:val="000000" w:themeColor="text1"/>
          <w:sz w:val="20"/>
          <w:szCs w:val="20"/>
        </w:rPr>
      </w:pPr>
      <w:r w:rsidRPr="003E3870">
        <w:rPr>
          <w:rFonts w:ascii="Verdana" w:eastAsia="Calibri" w:hAnsi="Verdana" w:cs="Arial"/>
          <w:bCs/>
          <w:color w:val="000000" w:themeColor="text1"/>
          <w:sz w:val="20"/>
          <w:szCs w:val="20"/>
        </w:rPr>
        <w:t>La jurisprudencia de la Corte Constituciona</w:t>
      </w:r>
      <w:r>
        <w:rPr>
          <w:rFonts w:ascii="Verdana" w:eastAsia="Calibri" w:hAnsi="Verdana" w:cs="Arial"/>
          <w:bCs/>
          <w:color w:val="000000" w:themeColor="text1"/>
          <w:sz w:val="20"/>
          <w:szCs w:val="20"/>
        </w:rPr>
        <w:t>l</w:t>
      </w:r>
      <w:r>
        <w:rPr>
          <w:rStyle w:val="Refdenotaalpie"/>
          <w:rFonts w:ascii="Verdana" w:eastAsia="Calibri" w:hAnsi="Verdana" w:cs="Arial"/>
          <w:bCs/>
          <w:color w:val="000000" w:themeColor="text1"/>
          <w:sz w:val="20"/>
          <w:szCs w:val="20"/>
        </w:rPr>
        <w:footnoteReference w:id="4"/>
      </w:r>
      <w:r w:rsidR="00801EA4">
        <w:rPr>
          <w:rFonts w:ascii="Verdana" w:eastAsia="Calibri" w:hAnsi="Verdana" w:cs="Arial"/>
          <w:bCs/>
          <w:color w:val="000000" w:themeColor="text1"/>
          <w:sz w:val="20"/>
          <w:szCs w:val="20"/>
        </w:rPr>
        <w:t xml:space="preserve"> y del consejo de estado</w:t>
      </w:r>
      <w:r w:rsidR="00801EA4">
        <w:rPr>
          <w:rStyle w:val="Refdenotaalpie"/>
          <w:rFonts w:ascii="Verdana" w:eastAsia="Calibri" w:hAnsi="Verdana" w:cs="Arial"/>
          <w:bCs/>
          <w:color w:val="000000" w:themeColor="text1"/>
          <w:sz w:val="20"/>
          <w:szCs w:val="20"/>
        </w:rPr>
        <w:footnoteReference w:id="5"/>
      </w:r>
      <w:r w:rsidR="00A344CC">
        <w:rPr>
          <w:rFonts w:ascii="Verdana" w:eastAsia="Calibri" w:hAnsi="Verdana" w:cs="Arial"/>
          <w:bCs/>
          <w:color w:val="000000" w:themeColor="text1"/>
          <w:sz w:val="20"/>
          <w:szCs w:val="20"/>
        </w:rPr>
        <w:t xml:space="preserve"> </w:t>
      </w:r>
      <w:r w:rsidR="00A344CC" w:rsidRPr="00A344CC">
        <w:rPr>
          <w:rFonts w:ascii="Verdana" w:eastAsia="Calibri" w:hAnsi="Verdana" w:cs="Arial"/>
          <w:bCs/>
          <w:color w:val="000000" w:themeColor="text1"/>
          <w:sz w:val="20"/>
          <w:szCs w:val="20"/>
        </w:rPr>
        <w:t>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00A344CC">
        <w:rPr>
          <w:rStyle w:val="Refdenotaalpie"/>
          <w:rFonts w:ascii="Verdana" w:eastAsia="Calibri" w:hAnsi="Verdana" w:cs="Arial"/>
          <w:bCs/>
          <w:color w:val="000000" w:themeColor="text1"/>
          <w:sz w:val="20"/>
          <w:szCs w:val="20"/>
        </w:rPr>
        <w:footnoteReference w:id="6"/>
      </w:r>
    </w:p>
    <w:p w14:paraId="37C6081E" w14:textId="77777777" w:rsidR="0067019C" w:rsidRDefault="0067019C" w:rsidP="00A22FD5">
      <w:pPr>
        <w:spacing w:after="0" w:line="276" w:lineRule="auto"/>
        <w:jc w:val="both"/>
        <w:rPr>
          <w:rFonts w:ascii="Verdana" w:eastAsia="Calibri" w:hAnsi="Verdana" w:cs="Arial"/>
          <w:bCs/>
          <w:color w:val="000000" w:themeColor="text1"/>
        </w:rPr>
      </w:pPr>
    </w:p>
    <w:p w14:paraId="783B37BA" w14:textId="5F2D5CFC" w:rsidR="0067019C" w:rsidRDefault="00A22FD5" w:rsidP="00D377C9">
      <w:pPr>
        <w:spacing w:after="0" w:line="276" w:lineRule="auto"/>
        <w:ind w:firstLine="708"/>
        <w:jc w:val="both"/>
        <w:rPr>
          <w:rFonts w:ascii="Verdana" w:eastAsia="Calibri" w:hAnsi="Verdana" w:cs="Arial"/>
          <w:bCs/>
          <w:color w:val="000000" w:themeColor="text1"/>
        </w:rPr>
      </w:pPr>
      <w:r w:rsidRPr="00A22FD5">
        <w:rPr>
          <w:rFonts w:ascii="Verdana" w:eastAsia="Calibri" w:hAnsi="Verdana" w:cs="Arial"/>
          <w:bCs/>
          <w:color w:val="000000" w:themeColor="text1"/>
        </w:rPr>
        <w:t>ii. Precisado el propósito de la Ley, es pertinente señalar que las restricciones consagradas en la citada Ley se dirigen a dos (2) tipos de campañas electorales claramente diferenciadas: i) las presidenciales y ii) las demás que se adelanten para la elección de los demás cargos de elección popular, tanto a nivel nacional como territorial.</w:t>
      </w:r>
    </w:p>
    <w:p w14:paraId="31CC28F4" w14:textId="77777777" w:rsidR="0067019C" w:rsidRDefault="0067019C" w:rsidP="00D377C9">
      <w:pPr>
        <w:spacing w:after="0" w:line="276" w:lineRule="auto"/>
        <w:ind w:firstLine="708"/>
        <w:jc w:val="both"/>
        <w:rPr>
          <w:rFonts w:ascii="Verdana" w:eastAsia="Calibri" w:hAnsi="Verdana" w:cs="Arial"/>
          <w:bCs/>
          <w:color w:val="000000" w:themeColor="text1"/>
        </w:rPr>
      </w:pPr>
    </w:p>
    <w:p w14:paraId="7A3DE5E6" w14:textId="33B8AF65" w:rsidR="0067019C" w:rsidRDefault="0001396F" w:rsidP="00D377C9">
      <w:pPr>
        <w:spacing w:after="0" w:line="276" w:lineRule="auto"/>
        <w:ind w:firstLine="708"/>
        <w:jc w:val="both"/>
        <w:rPr>
          <w:rFonts w:ascii="Verdana" w:eastAsia="Calibri" w:hAnsi="Verdana" w:cs="Arial"/>
          <w:bCs/>
          <w:color w:val="000000" w:themeColor="text1"/>
        </w:rPr>
      </w:pPr>
      <w:r w:rsidRPr="0001396F">
        <w:rPr>
          <w:rFonts w:ascii="Verdana" w:eastAsia="Calibri" w:hAnsi="Verdana" w:cs="Arial"/>
          <w:bCs/>
          <w:color w:val="000000" w:themeColor="text1"/>
        </w:rPr>
        <w:t>Por un lado, el artículo 33 de la Ley 996 de 2005 prohíbe “[…] la contratación directa por parte de todos los entes del Estado” durante los cuatro (4) meses anteriores a las elecciones presidenciales, salvo “[…] lo referente a la</w:t>
      </w:r>
      <w:r w:rsidR="00C031DF">
        <w:rPr>
          <w:rFonts w:ascii="Verdana" w:eastAsia="Calibri" w:hAnsi="Verdana" w:cs="Arial"/>
          <w:bCs/>
          <w:color w:val="000000" w:themeColor="text1"/>
        </w:rPr>
        <w:t xml:space="preserve"> </w:t>
      </w:r>
      <w:r w:rsidR="00C031DF" w:rsidRPr="00C031DF">
        <w:rPr>
          <w:rFonts w:ascii="Verdana" w:eastAsia="Calibri" w:hAnsi="Verdana" w:cs="Arial"/>
          <w:bCs/>
          <w:color w:val="000000" w:themeColor="text1"/>
        </w:rPr>
        <w:t>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C031DF">
        <w:rPr>
          <w:rFonts w:ascii="Verdana" w:eastAsia="Calibri" w:hAnsi="Verdana" w:cs="Arial"/>
          <w:bCs/>
          <w:color w:val="000000" w:themeColor="text1"/>
        </w:rPr>
        <w:t>”</w:t>
      </w:r>
      <w:r w:rsidR="00C031DF">
        <w:rPr>
          <w:rStyle w:val="Refdenotaalpie"/>
          <w:rFonts w:ascii="Verdana" w:eastAsia="Calibri" w:hAnsi="Verdana" w:cs="Arial"/>
          <w:bCs/>
          <w:color w:val="000000" w:themeColor="text1"/>
        </w:rPr>
        <w:footnoteReference w:id="7"/>
      </w:r>
    </w:p>
    <w:p w14:paraId="7C6918C3" w14:textId="77777777" w:rsidR="00506C2F" w:rsidRDefault="00506C2F" w:rsidP="00D377C9">
      <w:pPr>
        <w:spacing w:after="0" w:line="276" w:lineRule="auto"/>
        <w:ind w:firstLine="708"/>
        <w:jc w:val="both"/>
        <w:rPr>
          <w:rFonts w:ascii="Verdana" w:eastAsia="Calibri" w:hAnsi="Verdana" w:cs="Arial"/>
          <w:bCs/>
          <w:color w:val="000000" w:themeColor="text1"/>
        </w:rPr>
      </w:pPr>
    </w:p>
    <w:p w14:paraId="0DFB6334" w14:textId="1B7F999A" w:rsidR="0067019C" w:rsidRDefault="00506C2F" w:rsidP="00D377C9">
      <w:pPr>
        <w:spacing w:after="0" w:line="276" w:lineRule="auto"/>
        <w:ind w:firstLine="708"/>
        <w:jc w:val="both"/>
        <w:rPr>
          <w:rFonts w:ascii="Verdana" w:eastAsia="Calibri" w:hAnsi="Verdana" w:cs="Arial"/>
          <w:bCs/>
          <w:color w:val="000000" w:themeColor="text1"/>
        </w:rPr>
      </w:pPr>
      <w:r w:rsidRPr="00506C2F">
        <w:rPr>
          <w:rFonts w:ascii="Verdana" w:eastAsia="Calibri" w:hAnsi="Verdana" w:cs="Arial"/>
          <w:bCs/>
          <w:color w:val="000000" w:themeColor="text1"/>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color w:val="000000" w:themeColor="text1"/>
        </w:rPr>
        <w:t>”</w:t>
      </w:r>
      <w:r>
        <w:rPr>
          <w:rStyle w:val="Refdenotaalpie"/>
          <w:rFonts w:ascii="Verdana" w:eastAsia="Calibri" w:hAnsi="Verdana" w:cs="Arial"/>
          <w:bCs/>
          <w:color w:val="000000" w:themeColor="text1"/>
        </w:rPr>
        <w:footnoteReference w:id="8"/>
      </w:r>
    </w:p>
    <w:p w14:paraId="4515BA82" w14:textId="77777777" w:rsidR="0067019C" w:rsidRDefault="0067019C" w:rsidP="003005CC">
      <w:pPr>
        <w:spacing w:after="0" w:line="276" w:lineRule="auto"/>
        <w:jc w:val="both"/>
        <w:rPr>
          <w:rFonts w:ascii="Verdana" w:eastAsia="Calibri" w:hAnsi="Verdana" w:cs="Arial"/>
          <w:bCs/>
          <w:color w:val="000000" w:themeColor="text1"/>
        </w:rPr>
      </w:pPr>
    </w:p>
    <w:p w14:paraId="5203BAE1" w14:textId="7FBCFB31" w:rsidR="0067019C" w:rsidRDefault="003005CC" w:rsidP="00D377C9">
      <w:pPr>
        <w:spacing w:after="0" w:line="276" w:lineRule="auto"/>
        <w:ind w:firstLine="708"/>
        <w:jc w:val="both"/>
        <w:rPr>
          <w:rFonts w:ascii="Verdana" w:eastAsia="Calibri" w:hAnsi="Verdana" w:cs="Arial"/>
          <w:bCs/>
          <w:color w:val="000000" w:themeColor="text1"/>
        </w:rPr>
      </w:pPr>
      <w:r w:rsidRPr="003005CC">
        <w:rPr>
          <w:rFonts w:ascii="Verdana" w:eastAsia="Calibri" w:hAnsi="Verdana" w:cs="Arial"/>
          <w:bCs/>
          <w:color w:val="000000" w:themeColor="text1"/>
        </w:rPr>
        <w:t>La Sala de Consulta y Servicio Civil del Consejo de Estado ha aclarado la distinción en la aplicación de las prohibiciones de la Ley 996 de 2005, dependiendo del tipo de elección que se trate. Al respecto, considera:</w:t>
      </w:r>
    </w:p>
    <w:p w14:paraId="52119C92" w14:textId="77777777" w:rsidR="0067019C" w:rsidRPr="00A83851" w:rsidRDefault="0067019C" w:rsidP="00D377C9">
      <w:pPr>
        <w:spacing w:after="0" w:line="276" w:lineRule="auto"/>
        <w:ind w:firstLine="708"/>
        <w:jc w:val="both"/>
        <w:rPr>
          <w:rFonts w:ascii="Verdana" w:eastAsia="Calibri" w:hAnsi="Verdana" w:cs="Arial"/>
          <w:bCs/>
          <w:color w:val="000000" w:themeColor="text1"/>
          <w:sz w:val="20"/>
          <w:szCs w:val="20"/>
        </w:rPr>
      </w:pPr>
    </w:p>
    <w:p w14:paraId="400E3427" w14:textId="6AA1B661" w:rsidR="00A83851" w:rsidRDefault="00AF6B6F" w:rsidP="00A83851">
      <w:pPr>
        <w:spacing w:after="0" w:line="276" w:lineRule="auto"/>
        <w:ind w:left="708"/>
        <w:jc w:val="both"/>
        <w:rPr>
          <w:rFonts w:ascii="Verdana" w:eastAsia="Calibri" w:hAnsi="Verdana" w:cs="Arial"/>
          <w:bCs/>
          <w:color w:val="000000" w:themeColor="text1"/>
          <w:sz w:val="20"/>
          <w:szCs w:val="20"/>
        </w:rPr>
      </w:pPr>
      <w:r w:rsidRPr="00A83851">
        <w:rPr>
          <w:rFonts w:ascii="Verdana" w:eastAsia="Calibri" w:hAnsi="Verdana" w:cs="Arial"/>
          <w:bCs/>
          <w:color w:val="000000" w:themeColor="text1"/>
          <w:sz w:val="20"/>
          <w:szCs w:val="20"/>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w:t>
      </w:r>
      <w:r w:rsidR="00964EBA">
        <w:rPr>
          <w:rFonts w:ascii="Verdana" w:eastAsia="Calibri" w:hAnsi="Verdana" w:cs="Arial"/>
          <w:bCs/>
          <w:color w:val="000000" w:themeColor="text1"/>
          <w:sz w:val="20"/>
          <w:szCs w:val="20"/>
        </w:rPr>
        <w:t xml:space="preserve"> </w:t>
      </w:r>
      <w:r w:rsidR="00964EBA" w:rsidRPr="00964EBA">
        <w:rPr>
          <w:rFonts w:ascii="Verdana" w:eastAsia="Calibri" w:hAnsi="Verdana" w:cs="Arial"/>
          <w:bCs/>
          <w:color w:val="000000" w:themeColor="text1"/>
          <w:sz w:val="20"/>
          <w:szCs w:val="20"/>
        </w:rPr>
        <w:t xml:space="preserve">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00964EBA" w:rsidRPr="00964EBA">
        <w:rPr>
          <w:rFonts w:ascii="Verdana" w:eastAsia="Calibri" w:hAnsi="Verdana" w:cs="Arial"/>
          <w:bCs/>
          <w:color w:val="000000" w:themeColor="text1"/>
          <w:sz w:val="20"/>
          <w:szCs w:val="20"/>
        </w:rPr>
        <w:t>Presidente</w:t>
      </w:r>
      <w:proofErr w:type="gramEnd"/>
      <w:r w:rsidR="00964EBA" w:rsidRPr="00964EBA">
        <w:rPr>
          <w:rFonts w:ascii="Verdana" w:eastAsia="Calibri" w:hAnsi="Verdana" w:cs="Arial"/>
          <w:bCs/>
          <w:color w:val="000000" w:themeColor="text1"/>
          <w:sz w:val="20"/>
          <w:szCs w:val="20"/>
        </w:rPr>
        <w:t xml:space="preserve"> de la República, a las autoridades territoriales allí mencionadas sólo se aplican las restricciones contenidas en el parágrafo del artículo 38</w:t>
      </w:r>
      <w:r w:rsidRPr="00A83851">
        <w:rPr>
          <w:rFonts w:ascii="Verdana" w:eastAsia="Calibri" w:hAnsi="Verdana" w:cs="Arial"/>
          <w:bCs/>
          <w:color w:val="000000" w:themeColor="text1"/>
          <w:sz w:val="20"/>
          <w:szCs w:val="20"/>
        </w:rPr>
        <w:t>”</w:t>
      </w:r>
      <w:r w:rsidRPr="00A83851">
        <w:rPr>
          <w:rStyle w:val="Refdenotaalpie"/>
          <w:rFonts w:ascii="Verdana" w:eastAsia="Calibri" w:hAnsi="Verdana" w:cs="Arial"/>
          <w:bCs/>
          <w:color w:val="000000" w:themeColor="text1"/>
          <w:sz w:val="20"/>
          <w:szCs w:val="20"/>
        </w:rPr>
        <w:footnoteReference w:id="9"/>
      </w:r>
    </w:p>
    <w:p w14:paraId="330F2DB4" w14:textId="77777777" w:rsidR="00F600EA" w:rsidRDefault="00F600EA" w:rsidP="00A83851">
      <w:pPr>
        <w:spacing w:after="0" w:line="276" w:lineRule="auto"/>
        <w:ind w:left="708"/>
        <w:jc w:val="both"/>
        <w:rPr>
          <w:rFonts w:ascii="Verdana" w:eastAsia="Calibri" w:hAnsi="Verdana" w:cs="Arial"/>
          <w:bCs/>
          <w:color w:val="000000" w:themeColor="text1"/>
          <w:sz w:val="20"/>
          <w:szCs w:val="20"/>
        </w:rPr>
      </w:pPr>
    </w:p>
    <w:p w14:paraId="707AE1DB" w14:textId="6C655BBD" w:rsidR="000147D5" w:rsidRPr="00E6345E" w:rsidRDefault="000147D5" w:rsidP="00A83851">
      <w:pPr>
        <w:spacing w:after="0" w:line="276" w:lineRule="auto"/>
        <w:ind w:left="708"/>
        <w:jc w:val="both"/>
        <w:rPr>
          <w:rFonts w:ascii="Verdana" w:eastAsia="Calibri" w:hAnsi="Verdana" w:cs="Arial"/>
          <w:bCs/>
          <w:color w:val="000000" w:themeColor="text1"/>
        </w:rPr>
      </w:pPr>
      <w:r w:rsidRPr="00E6345E">
        <w:rPr>
          <w:rFonts w:ascii="Verdana" w:eastAsia="Calibri" w:hAnsi="Verdana" w:cs="Arial"/>
          <w:bCs/>
          <w:color w:val="000000" w:themeColor="text1"/>
        </w:rPr>
        <w:t xml:space="preserve">iii. En primer lugar, el ámbito material de la prohibición contenida en el artículo 33 de la Ley 996 de 2005 está delimitado por la expresión “queda prohibida la contratación directa”. A propósito de esta restricción de la Ley </w:t>
      </w:r>
      <w:r w:rsidRPr="00E6345E">
        <w:rPr>
          <w:rFonts w:ascii="Verdana" w:eastAsia="Calibri" w:hAnsi="Verdana" w:cs="Arial"/>
          <w:bCs/>
          <w:color w:val="000000" w:themeColor="text1"/>
        </w:rPr>
        <w:lastRenderedPageBreak/>
        <w:t>de Garantías Electorales, la Sala de Consulta y Servicio Civil del Consejo de Estado ha considerado que:</w:t>
      </w:r>
    </w:p>
    <w:p w14:paraId="673630F2" w14:textId="77777777" w:rsidR="000147D5" w:rsidRDefault="000147D5" w:rsidP="00A83851">
      <w:pPr>
        <w:spacing w:after="0" w:line="276" w:lineRule="auto"/>
        <w:ind w:left="708"/>
        <w:jc w:val="both"/>
        <w:rPr>
          <w:rFonts w:ascii="Verdana" w:eastAsia="Calibri" w:hAnsi="Verdana" w:cs="Arial"/>
          <w:bCs/>
          <w:color w:val="000000" w:themeColor="text1"/>
          <w:sz w:val="20"/>
          <w:szCs w:val="20"/>
        </w:rPr>
      </w:pPr>
    </w:p>
    <w:p w14:paraId="56A79570" w14:textId="7A9A6E3F" w:rsidR="000147D5" w:rsidRDefault="000147D5" w:rsidP="00E6345E">
      <w:pPr>
        <w:spacing w:after="0" w:line="276" w:lineRule="auto"/>
        <w:ind w:left="1416"/>
        <w:jc w:val="both"/>
        <w:rPr>
          <w:rFonts w:ascii="Verdana" w:eastAsia="Calibri" w:hAnsi="Verdana" w:cs="Arial"/>
          <w:bCs/>
          <w:color w:val="000000" w:themeColor="text1"/>
          <w:sz w:val="20"/>
          <w:szCs w:val="20"/>
        </w:rPr>
      </w:pPr>
      <w:r w:rsidRPr="000147D5">
        <w:rPr>
          <w:rFonts w:ascii="Verdana" w:eastAsia="Calibri" w:hAnsi="Verdana" w:cs="Arial"/>
          <w:bCs/>
          <w:color w:val="000000" w:themeColor="text1"/>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Style w:val="Refdenotaalpie"/>
          <w:rFonts w:ascii="Verdana" w:eastAsia="Calibri" w:hAnsi="Verdana" w:cs="Arial"/>
          <w:bCs/>
          <w:color w:val="000000" w:themeColor="text1"/>
          <w:sz w:val="20"/>
          <w:szCs w:val="20"/>
        </w:rPr>
        <w:footnoteReference w:id="10"/>
      </w:r>
      <w:r w:rsidR="00B16EE5">
        <w:rPr>
          <w:rFonts w:ascii="Verdana" w:eastAsia="Calibri" w:hAnsi="Verdana" w:cs="Arial"/>
          <w:bCs/>
          <w:color w:val="000000" w:themeColor="text1"/>
          <w:sz w:val="20"/>
          <w:szCs w:val="20"/>
        </w:rPr>
        <w:t>.</w:t>
      </w:r>
    </w:p>
    <w:p w14:paraId="1FB02364" w14:textId="6771023E" w:rsidR="00B16EE5" w:rsidRDefault="00B16EE5" w:rsidP="00E6345E">
      <w:pPr>
        <w:spacing w:after="0" w:line="276" w:lineRule="auto"/>
        <w:ind w:left="1416"/>
        <w:jc w:val="both"/>
        <w:rPr>
          <w:rFonts w:ascii="Verdana" w:eastAsia="Calibri" w:hAnsi="Verdana" w:cs="Arial"/>
          <w:bCs/>
          <w:color w:val="000000" w:themeColor="text1"/>
          <w:sz w:val="20"/>
          <w:szCs w:val="20"/>
        </w:rPr>
      </w:pPr>
      <w:r w:rsidRPr="00B16EE5">
        <w:rPr>
          <w:rFonts w:ascii="Verdana" w:eastAsia="Calibri" w:hAnsi="Verdana" w:cs="Arial"/>
          <w:bCs/>
          <w:color w:val="000000" w:themeColor="text1"/>
          <w:sz w:val="20"/>
          <w:szCs w:val="20"/>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00E6345E">
        <w:rPr>
          <w:rStyle w:val="Refdenotaalpie"/>
          <w:rFonts w:ascii="Verdana" w:eastAsia="Calibri" w:hAnsi="Verdana" w:cs="Arial"/>
          <w:bCs/>
          <w:color w:val="000000" w:themeColor="text1"/>
          <w:sz w:val="20"/>
          <w:szCs w:val="20"/>
        </w:rPr>
        <w:footnoteReference w:id="11"/>
      </w:r>
      <w:r w:rsidR="00A85FE3">
        <w:rPr>
          <w:rFonts w:ascii="Verdana" w:eastAsia="Calibri" w:hAnsi="Verdana" w:cs="Arial"/>
          <w:bCs/>
          <w:color w:val="000000" w:themeColor="text1"/>
          <w:sz w:val="20"/>
          <w:szCs w:val="20"/>
        </w:rPr>
        <w:t xml:space="preserve">. </w:t>
      </w:r>
      <w:r w:rsidR="00A85FE3" w:rsidRPr="00A85FE3">
        <w:rPr>
          <w:rFonts w:ascii="Verdana" w:eastAsia="Calibri" w:hAnsi="Verdana" w:cs="Arial"/>
          <w:bCs/>
          <w:color w:val="000000" w:themeColor="text1"/>
          <w:sz w:val="20"/>
          <w:szCs w:val="20"/>
        </w:rPr>
        <w:t>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00A85FE3">
        <w:rPr>
          <w:rStyle w:val="Refdenotaalpie"/>
          <w:rFonts w:ascii="Verdana" w:eastAsia="Calibri" w:hAnsi="Verdana" w:cs="Arial"/>
          <w:bCs/>
          <w:color w:val="000000" w:themeColor="text1"/>
          <w:sz w:val="20"/>
          <w:szCs w:val="20"/>
        </w:rPr>
        <w:footnoteReference w:id="12"/>
      </w:r>
    </w:p>
    <w:p w14:paraId="05DBE562" w14:textId="77777777" w:rsidR="00F600EA" w:rsidRDefault="00F600EA" w:rsidP="008863EB">
      <w:pPr>
        <w:spacing w:after="0" w:line="276" w:lineRule="auto"/>
        <w:jc w:val="both"/>
        <w:rPr>
          <w:rFonts w:ascii="Verdana" w:eastAsia="Calibri" w:hAnsi="Verdana" w:cs="Arial"/>
          <w:bCs/>
          <w:color w:val="000000" w:themeColor="text1"/>
          <w:sz w:val="20"/>
          <w:szCs w:val="20"/>
        </w:rPr>
      </w:pPr>
    </w:p>
    <w:p w14:paraId="6A1426EA" w14:textId="3791FD04" w:rsidR="00F600EA" w:rsidRDefault="008863EB" w:rsidP="000661D8">
      <w:pPr>
        <w:spacing w:after="0" w:line="276" w:lineRule="auto"/>
        <w:ind w:firstLine="709"/>
        <w:jc w:val="both"/>
        <w:rPr>
          <w:rFonts w:ascii="Verdana" w:eastAsia="Calibri" w:hAnsi="Verdana" w:cs="Arial"/>
          <w:bCs/>
          <w:color w:val="000000" w:themeColor="text1"/>
          <w:sz w:val="20"/>
          <w:szCs w:val="20"/>
        </w:rPr>
      </w:pPr>
      <w:r w:rsidRPr="00406DA5">
        <w:rPr>
          <w:rFonts w:ascii="Verdana" w:eastAsia="Calibri" w:hAnsi="Verdana" w:cs="Arial"/>
          <w:bCs/>
          <w:color w:val="000000" w:themeColor="text1"/>
        </w:rPr>
        <w:t>Según el concepto mencionado, la prohibición establecida en el artículo 33 de la Ley de Garantías Electorales se aplica a “todo mecanismo que no</w:t>
      </w:r>
      <w:r w:rsidR="00B1699A" w:rsidRPr="00406DA5">
        <w:rPr>
          <w:rFonts w:ascii="Verdana" w:eastAsia="Calibri" w:hAnsi="Verdana" w:cs="Arial"/>
          <w:bCs/>
          <w:color w:val="000000" w:themeColor="text1"/>
        </w:rPr>
        <w:t xml:space="preserve"> contemple una convocatoria pública ni permita la participación de múltiples oferentes”. En consecuencia, quedan excluidas las demás modalidades de contratación contempladas en la Ley 1150 de 2007, tales como la licitación pública, la selección abreviada y el concurso de méritos, así como aquellas modalidades abiertas y competitivas previstas en disposiciones especiales. Esta posición es congruente con la expedición de la Ley 1150 de 2007 que, entre otras reformas, introdujo la selección abreviada, rediseñó el concurso de méritos</w:t>
      </w:r>
      <w:r w:rsidR="00B1699A" w:rsidRPr="00406DA5">
        <w:rPr>
          <w:rStyle w:val="Refdenotaalpie"/>
          <w:rFonts w:ascii="Verdana" w:eastAsia="Calibri" w:hAnsi="Verdana" w:cs="Arial"/>
          <w:bCs/>
          <w:color w:val="000000" w:themeColor="text1"/>
        </w:rPr>
        <w:footnoteReference w:id="13"/>
      </w:r>
      <w:r w:rsidR="00B1699A" w:rsidRPr="00406DA5">
        <w:rPr>
          <w:rFonts w:ascii="Verdana" w:eastAsia="Calibri" w:hAnsi="Verdana" w:cs="Arial"/>
          <w:bCs/>
          <w:color w:val="000000" w:themeColor="text1"/>
        </w:rPr>
        <w:t xml:space="preserve"> y sistematizó las causales de contratación directa</w:t>
      </w:r>
      <w:r w:rsidR="0066246E">
        <w:rPr>
          <w:rStyle w:val="Refdenotaalpie"/>
          <w:rFonts w:ascii="Verdana" w:eastAsia="Calibri" w:hAnsi="Verdana" w:cs="Arial"/>
          <w:bCs/>
          <w:color w:val="000000" w:themeColor="text1"/>
          <w:sz w:val="20"/>
          <w:szCs w:val="20"/>
        </w:rPr>
        <w:footnoteReference w:id="14"/>
      </w:r>
      <w:r w:rsidR="00451384">
        <w:rPr>
          <w:rFonts w:ascii="Verdana" w:eastAsia="Calibri" w:hAnsi="Verdana" w:cs="Arial"/>
          <w:bCs/>
          <w:color w:val="000000" w:themeColor="text1"/>
          <w:sz w:val="20"/>
          <w:szCs w:val="20"/>
        </w:rPr>
        <w:t xml:space="preserve">. </w:t>
      </w:r>
    </w:p>
    <w:p w14:paraId="1B24D308" w14:textId="77777777" w:rsidR="00451384" w:rsidRDefault="00451384" w:rsidP="00451384">
      <w:pPr>
        <w:spacing w:after="0" w:line="276" w:lineRule="auto"/>
        <w:ind w:left="709" w:firstLine="709"/>
        <w:jc w:val="both"/>
        <w:rPr>
          <w:rFonts w:ascii="Verdana" w:eastAsia="Calibri" w:hAnsi="Verdana" w:cs="Arial"/>
          <w:bCs/>
          <w:color w:val="000000" w:themeColor="text1"/>
          <w:sz w:val="20"/>
          <w:szCs w:val="20"/>
        </w:rPr>
      </w:pPr>
    </w:p>
    <w:p w14:paraId="0AC185FE" w14:textId="77777777" w:rsidR="000661D8" w:rsidRPr="00406DA5" w:rsidRDefault="00451384" w:rsidP="000661D8">
      <w:pPr>
        <w:spacing w:after="0" w:line="276" w:lineRule="auto"/>
        <w:ind w:firstLine="709"/>
        <w:jc w:val="both"/>
        <w:rPr>
          <w:rFonts w:ascii="Verdana" w:eastAsia="Calibri" w:hAnsi="Verdana" w:cs="Arial"/>
          <w:bCs/>
          <w:color w:val="000000" w:themeColor="text1"/>
        </w:rPr>
      </w:pPr>
      <w:r w:rsidRPr="00406DA5">
        <w:rPr>
          <w:rFonts w:ascii="Verdana" w:eastAsia="Calibri" w:hAnsi="Verdana" w:cs="Arial"/>
          <w:bCs/>
          <w:color w:val="000000" w:themeColor="text1"/>
        </w:rPr>
        <w:lastRenderedPageBreak/>
        <w:t>De tal manera, debe entenderse que, para los efectos de la Ley de Garantías Electorales y, en particular, para la prohibición o restricción temporal contenida en su artículo 33, la “contratación directa” es cualquier sistema de selección o procedimiento de contratación utilizado por las Entidades Estatales que no incluya la convocatoria pública en alguna de sus etapas, ni permita la participación de una pluralidad de oferentes</w:t>
      </w:r>
      <w:r w:rsidRPr="00406DA5">
        <w:rPr>
          <w:rStyle w:val="Refdenotaalpie"/>
          <w:rFonts w:ascii="Verdana" w:eastAsia="Calibri" w:hAnsi="Verdana" w:cs="Arial"/>
          <w:bCs/>
          <w:color w:val="000000" w:themeColor="text1"/>
        </w:rPr>
        <w:footnoteReference w:id="15"/>
      </w:r>
    </w:p>
    <w:p w14:paraId="13190B21" w14:textId="77777777" w:rsidR="000661D8" w:rsidRDefault="000661D8" w:rsidP="000661D8">
      <w:pPr>
        <w:spacing w:after="0" w:line="276" w:lineRule="auto"/>
        <w:ind w:firstLine="709"/>
        <w:jc w:val="both"/>
        <w:rPr>
          <w:rFonts w:ascii="Verdana" w:eastAsia="Calibri" w:hAnsi="Verdana" w:cs="Arial"/>
          <w:bCs/>
          <w:color w:val="000000" w:themeColor="text1"/>
          <w:sz w:val="20"/>
          <w:szCs w:val="20"/>
        </w:rPr>
      </w:pPr>
    </w:p>
    <w:p w14:paraId="0CAE022D" w14:textId="682BF94A" w:rsidR="00F600EA" w:rsidRPr="00406DA5" w:rsidRDefault="00C971AC" w:rsidP="00C971AC">
      <w:pPr>
        <w:spacing w:after="0" w:line="276" w:lineRule="auto"/>
        <w:ind w:firstLine="709"/>
        <w:jc w:val="both"/>
        <w:rPr>
          <w:rFonts w:ascii="Verdana" w:eastAsia="Calibri" w:hAnsi="Verdana" w:cs="Arial"/>
          <w:bCs/>
          <w:color w:val="000000" w:themeColor="text1"/>
        </w:rPr>
      </w:pPr>
      <w:r w:rsidRPr="00406DA5">
        <w:rPr>
          <w:rFonts w:ascii="Verdana" w:eastAsia="Calibri" w:hAnsi="Verdana" w:cs="Arial"/>
          <w:bCs/>
          <w:color w:val="000000" w:themeColor="text1"/>
        </w:rPr>
        <w:t>De lo anterior se desprende que la restricción aplica, sin perjuicio de las excepciones establecidas en la misma Ley, para celebrar cualquier contrato de forma directa, esto es, sin que exista un proceso abierto y competitivo. Por tanto, no están sujetas a la prohibición las demás modalidades de selección previstas en la Ley 1150 de 2007, es decir, la licitación pública, el concurso de méritos y la selección abreviada. De este modo, las Entidades Públicas, en el período preelectoral de que trata la disposición pueden seguir contratando bajo estos sistemas de selección.</w:t>
      </w:r>
    </w:p>
    <w:p w14:paraId="7F0CB7E9" w14:textId="25F86600" w:rsidR="00055D4A" w:rsidRDefault="00055D4A" w:rsidP="00C971AC">
      <w:pPr>
        <w:spacing w:after="0" w:line="276" w:lineRule="auto"/>
        <w:ind w:firstLine="709"/>
        <w:jc w:val="both"/>
        <w:rPr>
          <w:rFonts w:ascii="Verdana" w:eastAsia="Calibri" w:hAnsi="Verdana" w:cs="Arial"/>
          <w:bCs/>
          <w:color w:val="000000" w:themeColor="text1"/>
          <w:sz w:val="20"/>
          <w:szCs w:val="20"/>
        </w:rPr>
      </w:pPr>
      <w:r>
        <w:rPr>
          <w:rStyle w:val="Refdenotaalpie"/>
          <w:rFonts w:ascii="Verdana" w:eastAsia="Calibri" w:hAnsi="Verdana" w:cs="Arial"/>
          <w:bCs/>
          <w:color w:val="000000" w:themeColor="text1"/>
          <w:sz w:val="20"/>
          <w:szCs w:val="20"/>
        </w:rPr>
        <w:footnoteReference w:id="16"/>
      </w:r>
    </w:p>
    <w:p w14:paraId="595B38F7" w14:textId="77777777" w:rsidR="00C971AC" w:rsidRDefault="00C971AC" w:rsidP="00C971AC">
      <w:pPr>
        <w:spacing w:after="0" w:line="276" w:lineRule="auto"/>
        <w:ind w:firstLine="709"/>
        <w:jc w:val="both"/>
        <w:rPr>
          <w:rFonts w:ascii="Verdana" w:eastAsia="Calibri" w:hAnsi="Verdana" w:cs="Arial"/>
          <w:bCs/>
          <w:color w:val="000000" w:themeColor="text1"/>
          <w:sz w:val="20"/>
          <w:szCs w:val="20"/>
        </w:rPr>
      </w:pPr>
    </w:p>
    <w:p w14:paraId="2E6C1809" w14:textId="057DB2F3" w:rsidR="00C971AC" w:rsidRPr="00406DA5" w:rsidRDefault="00C971AC" w:rsidP="00C971AC">
      <w:pPr>
        <w:spacing w:after="0" w:line="276" w:lineRule="auto"/>
        <w:ind w:firstLine="709"/>
        <w:jc w:val="both"/>
        <w:rPr>
          <w:rFonts w:ascii="Verdana" w:eastAsia="Calibri" w:hAnsi="Verdana" w:cs="Arial"/>
          <w:bCs/>
          <w:color w:val="000000" w:themeColor="text1"/>
        </w:rPr>
      </w:pPr>
      <w:r w:rsidRPr="00406DA5">
        <w:rPr>
          <w:rFonts w:ascii="Verdana" w:eastAsia="Calibri" w:hAnsi="Verdana" w:cs="Arial"/>
          <w:bCs/>
          <w:color w:val="000000" w:themeColor="text1"/>
        </w:rPr>
        <w:t>iv. Respecto a la naturaleza y régimen contractual de las entidades operadoras de lotería, es necesario acotar que estas desarrollan una actividad económica de carácter estatal que presenta características particulares. Por una parte, se tratan de entidades vinculadas a la estructura administrativa del Estado, encargadas de la explotación de un monopolio rentístico. Por otra, dichas entidades participan en un mercado competitivo, en el cual deben atraer compradores, distribuidores y diversos intervinientes, frente a otras alternativas de juego.</w:t>
      </w:r>
    </w:p>
    <w:p w14:paraId="0074D41B" w14:textId="77777777" w:rsidR="00C971AC" w:rsidRPr="00406DA5" w:rsidRDefault="00C971AC" w:rsidP="00C971AC">
      <w:pPr>
        <w:spacing w:after="0" w:line="276" w:lineRule="auto"/>
        <w:ind w:firstLine="709"/>
        <w:jc w:val="both"/>
        <w:rPr>
          <w:rFonts w:ascii="Verdana" w:eastAsia="Calibri" w:hAnsi="Verdana" w:cs="Arial"/>
          <w:bCs/>
          <w:color w:val="000000" w:themeColor="text1"/>
        </w:rPr>
      </w:pPr>
    </w:p>
    <w:p w14:paraId="33AC4EB6" w14:textId="6E5F3DBE" w:rsidR="0009754A" w:rsidRPr="00406DA5" w:rsidRDefault="00C971AC" w:rsidP="0009754A">
      <w:pPr>
        <w:spacing w:after="0" w:line="276" w:lineRule="auto"/>
        <w:ind w:firstLine="709"/>
        <w:jc w:val="both"/>
        <w:rPr>
          <w:rFonts w:ascii="Verdana" w:eastAsia="Calibri" w:hAnsi="Verdana" w:cs="Arial"/>
          <w:bCs/>
          <w:color w:val="000000" w:themeColor="text1"/>
        </w:rPr>
      </w:pPr>
      <w:r w:rsidRPr="00406DA5">
        <w:rPr>
          <w:rFonts w:ascii="Verdana" w:eastAsia="Calibri" w:hAnsi="Verdana" w:cs="Arial"/>
          <w:bCs/>
          <w:color w:val="000000" w:themeColor="text1"/>
        </w:rPr>
        <w:t>Por esta razón, el legislador ha permitido que muchas entidades adopten regímenes contractuales de derecho privado, orientados a garantizar mayor flexibilidad y eficiencia en el desarrollo de su actividad comercial. Lo antes descrito, plantea la necesidad de armonizar las exigencias propias del régimen de contratación pública con los principios de eficiencia administrativa, libre competencia y sostenibilidad del arbitrio rentístico.</w:t>
      </w:r>
    </w:p>
    <w:p w14:paraId="1BF247FF" w14:textId="77777777" w:rsidR="0009754A" w:rsidRPr="00406DA5" w:rsidRDefault="0009754A" w:rsidP="0009754A">
      <w:pPr>
        <w:spacing w:after="0" w:line="276" w:lineRule="auto"/>
        <w:ind w:firstLine="709"/>
        <w:jc w:val="both"/>
        <w:rPr>
          <w:rFonts w:ascii="Verdana" w:eastAsia="Calibri" w:hAnsi="Verdana" w:cs="Arial"/>
          <w:bCs/>
          <w:color w:val="000000" w:themeColor="text1"/>
        </w:rPr>
      </w:pPr>
    </w:p>
    <w:p w14:paraId="6469AA44" w14:textId="073089B4" w:rsidR="0009754A" w:rsidRPr="00406DA5" w:rsidRDefault="0009754A" w:rsidP="00C971AC">
      <w:pPr>
        <w:spacing w:after="0" w:line="276" w:lineRule="auto"/>
        <w:ind w:firstLine="709"/>
        <w:jc w:val="both"/>
        <w:rPr>
          <w:rFonts w:ascii="Verdana" w:eastAsia="Calibri" w:hAnsi="Verdana" w:cs="Arial"/>
          <w:bCs/>
          <w:color w:val="000000" w:themeColor="text1"/>
        </w:rPr>
      </w:pPr>
      <w:r w:rsidRPr="00406DA5">
        <w:rPr>
          <w:rFonts w:ascii="Verdana" w:eastAsia="Calibri" w:hAnsi="Verdana" w:cs="Arial"/>
          <w:bCs/>
          <w:color w:val="000000" w:themeColor="text1"/>
        </w:rPr>
        <w:t xml:space="preserve">A la luz de lo expuesto, el análisis sobre la aplicación de la Ley de Garantías Electorales a las entidades operadoras de loterías debe realizarse, considerando la finalidad de las restricciones electorales. Así las cosas, en </w:t>
      </w:r>
      <w:r w:rsidRPr="00406DA5">
        <w:rPr>
          <w:rFonts w:ascii="Verdana" w:eastAsia="Calibri" w:hAnsi="Verdana" w:cs="Arial"/>
          <w:bCs/>
          <w:color w:val="000000" w:themeColor="text1"/>
        </w:rPr>
        <w:lastRenderedPageBreak/>
        <w:t>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p>
    <w:p w14:paraId="72D1E797" w14:textId="77777777" w:rsidR="0009754A" w:rsidRPr="00406DA5" w:rsidRDefault="0009754A" w:rsidP="00C971AC">
      <w:pPr>
        <w:spacing w:after="0" w:line="276" w:lineRule="auto"/>
        <w:ind w:firstLine="709"/>
        <w:jc w:val="both"/>
        <w:rPr>
          <w:rFonts w:ascii="Verdana" w:eastAsia="Calibri" w:hAnsi="Verdana" w:cs="Arial"/>
          <w:bCs/>
          <w:color w:val="000000" w:themeColor="text1"/>
        </w:rPr>
      </w:pPr>
    </w:p>
    <w:p w14:paraId="3523B118" w14:textId="4E392D63" w:rsidR="0009754A" w:rsidRPr="00406DA5" w:rsidRDefault="0009754A" w:rsidP="00C971AC">
      <w:pPr>
        <w:spacing w:after="0" w:line="276" w:lineRule="auto"/>
        <w:ind w:firstLine="709"/>
        <w:jc w:val="both"/>
        <w:rPr>
          <w:rFonts w:ascii="Verdana" w:eastAsia="Calibri" w:hAnsi="Verdana" w:cs="Arial"/>
          <w:bCs/>
          <w:color w:val="000000" w:themeColor="text1"/>
        </w:rPr>
      </w:pPr>
      <w:r w:rsidRPr="00406DA5">
        <w:rPr>
          <w:rFonts w:ascii="Verdana" w:eastAsia="Calibri" w:hAnsi="Verdana" w:cs="Arial"/>
          <w:bCs/>
          <w:color w:val="000000" w:themeColor="text1"/>
        </w:rPr>
        <w:t>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3DE291E9" w14:textId="77777777" w:rsidR="00F600EA" w:rsidRPr="00406DA5" w:rsidRDefault="00F600EA" w:rsidP="00A83851">
      <w:pPr>
        <w:spacing w:after="0" w:line="276" w:lineRule="auto"/>
        <w:ind w:left="708"/>
        <w:jc w:val="both"/>
        <w:rPr>
          <w:rFonts w:ascii="Verdana" w:eastAsia="Calibri" w:hAnsi="Verdana" w:cs="Arial"/>
          <w:bCs/>
          <w:color w:val="000000" w:themeColor="text1"/>
        </w:rPr>
      </w:pPr>
    </w:p>
    <w:p w14:paraId="1E4BAAAB" w14:textId="4B49DAB9" w:rsidR="00F600EA" w:rsidRPr="00406DA5" w:rsidRDefault="00C54A83" w:rsidP="00C54A83">
      <w:pPr>
        <w:spacing w:after="0" w:line="276" w:lineRule="auto"/>
        <w:ind w:firstLine="709"/>
        <w:jc w:val="both"/>
        <w:rPr>
          <w:rFonts w:ascii="Verdana" w:eastAsia="Calibri" w:hAnsi="Verdana" w:cs="Arial"/>
          <w:bCs/>
          <w:color w:val="000000" w:themeColor="text1"/>
        </w:rPr>
      </w:pPr>
      <w:r w:rsidRPr="00406DA5">
        <w:rPr>
          <w:rFonts w:ascii="Verdana" w:eastAsia="Calibri" w:hAnsi="Verdana" w:cs="Arial"/>
          <w:bCs/>
          <w:color w:val="000000" w:themeColor="text1"/>
        </w:rPr>
        <w:t>Respecto de lo anterior, la Sala de Consulta y Servicio Civil del Consejo de Estado, en Concepto 1727 de fecha 20 de febrero de 2006, consideró que:</w:t>
      </w:r>
    </w:p>
    <w:p w14:paraId="0710631A" w14:textId="77777777" w:rsidR="000A089B" w:rsidRDefault="000A089B" w:rsidP="00406DA5">
      <w:pPr>
        <w:spacing w:after="0" w:line="276" w:lineRule="auto"/>
        <w:jc w:val="both"/>
        <w:rPr>
          <w:rFonts w:ascii="Verdana" w:eastAsia="Calibri" w:hAnsi="Verdana" w:cs="Arial"/>
          <w:bCs/>
          <w:color w:val="000000" w:themeColor="text1"/>
          <w:sz w:val="20"/>
          <w:szCs w:val="20"/>
        </w:rPr>
      </w:pPr>
    </w:p>
    <w:p w14:paraId="6D54D159" w14:textId="251DBF72" w:rsidR="00406DA5" w:rsidRDefault="00406DA5" w:rsidP="00406DA5">
      <w:pPr>
        <w:spacing w:after="0" w:line="276" w:lineRule="auto"/>
        <w:ind w:left="708"/>
        <w:jc w:val="both"/>
        <w:rPr>
          <w:rFonts w:ascii="Verdana" w:eastAsia="Calibri" w:hAnsi="Verdana" w:cs="Arial"/>
          <w:bCs/>
          <w:color w:val="000000" w:themeColor="text1"/>
          <w:sz w:val="20"/>
          <w:szCs w:val="20"/>
        </w:rPr>
      </w:pPr>
      <w:r w:rsidRPr="00406DA5">
        <w:rPr>
          <w:rFonts w:ascii="Verdana" w:eastAsia="Calibri" w:hAnsi="Verdana" w:cs="Arial"/>
          <w:bCs/>
          <w:color w:val="000000" w:themeColor="text1"/>
          <w:sz w:val="20"/>
          <w:szCs w:val="20"/>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Style w:val="Refdenotaalpie"/>
          <w:rFonts w:ascii="Verdana" w:eastAsia="Calibri" w:hAnsi="Verdana" w:cs="Arial"/>
          <w:bCs/>
          <w:color w:val="000000" w:themeColor="text1"/>
          <w:sz w:val="20"/>
          <w:szCs w:val="20"/>
        </w:rPr>
        <w:footnoteReference w:id="17"/>
      </w:r>
      <w:r w:rsidR="001913E6">
        <w:rPr>
          <w:rFonts w:ascii="Verdana" w:eastAsia="Calibri" w:hAnsi="Verdana" w:cs="Arial"/>
          <w:bCs/>
          <w:color w:val="000000" w:themeColor="text1"/>
          <w:sz w:val="20"/>
          <w:szCs w:val="20"/>
        </w:rPr>
        <w:t>.</w:t>
      </w:r>
    </w:p>
    <w:p w14:paraId="26FE4138" w14:textId="77777777" w:rsidR="00F600EA" w:rsidRDefault="00F600EA" w:rsidP="00A83851">
      <w:pPr>
        <w:spacing w:after="0" w:line="276" w:lineRule="auto"/>
        <w:ind w:left="708"/>
        <w:jc w:val="both"/>
        <w:rPr>
          <w:rFonts w:ascii="Verdana" w:eastAsia="Calibri" w:hAnsi="Verdana" w:cs="Arial"/>
          <w:bCs/>
          <w:color w:val="000000" w:themeColor="text1"/>
          <w:sz w:val="20"/>
          <w:szCs w:val="20"/>
        </w:rPr>
      </w:pPr>
    </w:p>
    <w:p w14:paraId="016C9DB0" w14:textId="77777777" w:rsidR="001913E6" w:rsidRDefault="001913E6" w:rsidP="00A83851">
      <w:pPr>
        <w:spacing w:after="0" w:line="276" w:lineRule="auto"/>
        <w:ind w:left="708"/>
        <w:jc w:val="both"/>
        <w:rPr>
          <w:rFonts w:ascii="Verdana" w:eastAsia="Calibri" w:hAnsi="Verdana" w:cs="Arial"/>
          <w:bCs/>
          <w:color w:val="000000" w:themeColor="text1"/>
          <w:sz w:val="20"/>
          <w:szCs w:val="20"/>
        </w:rPr>
      </w:pPr>
    </w:p>
    <w:p w14:paraId="3440037A" w14:textId="1F8D2FAF" w:rsidR="001913E6" w:rsidRPr="007A2955" w:rsidRDefault="001913E6" w:rsidP="001913E6">
      <w:pPr>
        <w:spacing w:after="0" w:line="276" w:lineRule="auto"/>
        <w:ind w:firstLine="709"/>
        <w:jc w:val="both"/>
        <w:rPr>
          <w:rFonts w:ascii="Verdana" w:eastAsia="Calibri" w:hAnsi="Verdana" w:cs="Arial"/>
          <w:bCs/>
          <w:color w:val="000000" w:themeColor="text1"/>
        </w:rPr>
      </w:pPr>
      <w:r w:rsidRPr="007A2955">
        <w:rPr>
          <w:rFonts w:ascii="Verdana" w:eastAsia="Calibri" w:hAnsi="Verdana" w:cs="Arial"/>
          <w:bCs/>
          <w:color w:val="000000" w:themeColor="text1"/>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7A2955">
        <w:rPr>
          <w:rStyle w:val="Refdenotaalpie"/>
          <w:rFonts w:ascii="Verdana" w:eastAsia="Calibri" w:hAnsi="Verdana" w:cs="Arial"/>
          <w:bCs/>
          <w:color w:val="000000" w:themeColor="text1"/>
        </w:rPr>
        <w:footnoteReference w:id="18"/>
      </w:r>
    </w:p>
    <w:p w14:paraId="173E6A38" w14:textId="77777777" w:rsidR="001913E6" w:rsidRDefault="001913E6" w:rsidP="00A83851">
      <w:pPr>
        <w:spacing w:after="0" w:line="276" w:lineRule="auto"/>
        <w:ind w:left="708"/>
        <w:jc w:val="both"/>
        <w:rPr>
          <w:rFonts w:ascii="Verdana" w:eastAsia="Calibri" w:hAnsi="Verdana" w:cs="Arial"/>
          <w:bCs/>
          <w:color w:val="000000" w:themeColor="text1"/>
          <w:sz w:val="20"/>
          <w:szCs w:val="20"/>
        </w:rPr>
      </w:pPr>
    </w:p>
    <w:p w14:paraId="29CE523C" w14:textId="12EE0A0E" w:rsidR="001913E6" w:rsidRDefault="007A2955" w:rsidP="00494F90">
      <w:pPr>
        <w:spacing w:after="0" w:line="276" w:lineRule="auto"/>
        <w:ind w:firstLine="709"/>
        <w:jc w:val="both"/>
        <w:rPr>
          <w:rFonts w:ascii="Verdana" w:eastAsia="Calibri" w:hAnsi="Verdana" w:cs="Arial"/>
          <w:bCs/>
          <w:color w:val="000000" w:themeColor="text1"/>
        </w:rPr>
      </w:pPr>
      <w:r w:rsidRPr="007A2955">
        <w:rPr>
          <w:rFonts w:ascii="Verdana" w:eastAsia="Calibri" w:hAnsi="Verdana" w:cs="Arial"/>
          <w:bCs/>
          <w:color w:val="000000" w:themeColor="text1"/>
        </w:rPr>
        <w:t>Además, la Sala de Consulta y Servicio Civil del Consejo de Estado realizó la siguiente distinción, retomando el pronunciamiento de la misma sala del 20 de febrero de 2006, citado anteriormente:</w:t>
      </w:r>
    </w:p>
    <w:p w14:paraId="35CF90EB" w14:textId="77777777" w:rsidR="00494F90" w:rsidRDefault="00494F90" w:rsidP="00494F90">
      <w:pPr>
        <w:spacing w:after="0" w:line="276" w:lineRule="auto"/>
        <w:ind w:firstLine="709"/>
        <w:jc w:val="both"/>
        <w:rPr>
          <w:rFonts w:ascii="Verdana" w:eastAsia="Calibri" w:hAnsi="Verdana" w:cs="Arial"/>
          <w:bCs/>
          <w:color w:val="000000" w:themeColor="text1"/>
        </w:rPr>
      </w:pPr>
    </w:p>
    <w:p w14:paraId="0C9837F0" w14:textId="037C7BF6" w:rsidR="00494F90" w:rsidRPr="00A3556C" w:rsidRDefault="00494F90" w:rsidP="00A3556C">
      <w:pPr>
        <w:spacing w:after="0" w:line="276" w:lineRule="auto"/>
        <w:ind w:left="708"/>
        <w:jc w:val="both"/>
        <w:rPr>
          <w:rFonts w:ascii="Verdana" w:eastAsia="Calibri" w:hAnsi="Verdana" w:cs="Arial"/>
          <w:bCs/>
          <w:color w:val="000000" w:themeColor="text1"/>
          <w:sz w:val="20"/>
          <w:szCs w:val="20"/>
        </w:rPr>
      </w:pPr>
      <w:r w:rsidRPr="00A3556C">
        <w:rPr>
          <w:rFonts w:ascii="Verdana" w:eastAsia="Calibri" w:hAnsi="Verdana" w:cs="Arial"/>
          <w:bCs/>
          <w:color w:val="000000" w:themeColor="text1"/>
          <w:sz w:val="20"/>
          <w:szCs w:val="20"/>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056A3D91" w14:textId="77777777" w:rsidR="00494F90" w:rsidRPr="00A3556C" w:rsidRDefault="00494F90" w:rsidP="00A3556C">
      <w:pPr>
        <w:spacing w:after="0" w:line="276" w:lineRule="auto"/>
        <w:ind w:left="708"/>
        <w:jc w:val="both"/>
        <w:rPr>
          <w:rFonts w:ascii="Verdana" w:eastAsia="Calibri" w:hAnsi="Verdana" w:cs="Arial"/>
          <w:bCs/>
          <w:color w:val="000000" w:themeColor="text1"/>
          <w:sz w:val="20"/>
          <w:szCs w:val="20"/>
        </w:rPr>
      </w:pPr>
    </w:p>
    <w:p w14:paraId="2F9012BF" w14:textId="7F7CF8D7" w:rsidR="00494F90" w:rsidRPr="00A3556C" w:rsidRDefault="00494F90" w:rsidP="00A3556C">
      <w:pPr>
        <w:spacing w:after="0" w:line="276" w:lineRule="auto"/>
        <w:ind w:left="708"/>
        <w:jc w:val="both"/>
        <w:rPr>
          <w:rFonts w:ascii="Verdana" w:eastAsia="Calibri" w:hAnsi="Verdana" w:cs="Arial"/>
          <w:bCs/>
          <w:color w:val="000000" w:themeColor="text1"/>
          <w:sz w:val="20"/>
          <w:szCs w:val="20"/>
        </w:rPr>
      </w:pPr>
      <w:r w:rsidRPr="00A3556C">
        <w:rPr>
          <w:rFonts w:ascii="Verdana" w:eastAsia="Calibri" w:hAnsi="Verdana" w:cs="Arial"/>
          <w:bCs/>
          <w:color w:val="000000" w:themeColor="text1"/>
          <w:sz w:val="20"/>
          <w:szCs w:val="20"/>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w:t>
      </w:r>
      <w:r w:rsidR="00A3556C" w:rsidRPr="00A3556C">
        <w:rPr>
          <w:rFonts w:ascii="Verdana" w:eastAsia="Calibri" w:hAnsi="Verdana" w:cs="Arial"/>
          <w:bCs/>
          <w:color w:val="000000" w:themeColor="text1"/>
          <w:sz w:val="20"/>
          <w:szCs w:val="20"/>
        </w:rPr>
        <w:t xml:space="preserve"> significaría la parálisis de tal actividad de interés público, lo que de ninguna manera es lo querido por la ley 996 de 2005”</w:t>
      </w:r>
      <w:r w:rsidR="00A3556C">
        <w:rPr>
          <w:rStyle w:val="Refdenotaalpie"/>
          <w:rFonts w:ascii="Verdana" w:eastAsia="Calibri" w:hAnsi="Verdana" w:cs="Arial"/>
          <w:bCs/>
          <w:color w:val="000000" w:themeColor="text1"/>
          <w:sz w:val="20"/>
          <w:szCs w:val="20"/>
        </w:rPr>
        <w:footnoteReference w:id="19"/>
      </w:r>
    </w:p>
    <w:p w14:paraId="004AE123" w14:textId="77777777" w:rsidR="001913E6" w:rsidRDefault="001913E6" w:rsidP="00A83851">
      <w:pPr>
        <w:spacing w:after="0" w:line="276" w:lineRule="auto"/>
        <w:ind w:left="708"/>
        <w:jc w:val="both"/>
        <w:rPr>
          <w:rFonts w:ascii="Verdana" w:eastAsia="Calibri" w:hAnsi="Verdana" w:cs="Arial"/>
          <w:bCs/>
          <w:color w:val="000000" w:themeColor="text1"/>
          <w:sz w:val="20"/>
          <w:szCs w:val="20"/>
        </w:rPr>
      </w:pPr>
    </w:p>
    <w:p w14:paraId="7C054120" w14:textId="77777777" w:rsidR="001913E6" w:rsidRDefault="001913E6" w:rsidP="00A83851">
      <w:pPr>
        <w:spacing w:after="0" w:line="276" w:lineRule="auto"/>
        <w:ind w:left="708"/>
        <w:jc w:val="both"/>
        <w:rPr>
          <w:rFonts w:ascii="Verdana" w:eastAsia="Calibri" w:hAnsi="Verdana" w:cs="Arial"/>
          <w:bCs/>
          <w:color w:val="000000" w:themeColor="text1"/>
          <w:sz w:val="20"/>
          <w:szCs w:val="20"/>
        </w:rPr>
      </w:pPr>
    </w:p>
    <w:p w14:paraId="56358F80" w14:textId="6214EA1F" w:rsidR="001913E6" w:rsidRPr="00073779" w:rsidRDefault="00073779" w:rsidP="00073779">
      <w:pPr>
        <w:spacing w:after="0" w:line="276" w:lineRule="auto"/>
        <w:jc w:val="both"/>
        <w:rPr>
          <w:rFonts w:ascii="Verdana" w:eastAsia="Calibri" w:hAnsi="Verdana" w:cs="Arial"/>
          <w:bCs/>
          <w:color w:val="000000" w:themeColor="text1"/>
        </w:rPr>
      </w:pPr>
      <w:r w:rsidRPr="00073779">
        <w:rPr>
          <w:rFonts w:ascii="Verdana" w:eastAsia="Calibri" w:hAnsi="Verdana" w:cs="Arial"/>
          <w:bCs/>
          <w:color w:val="000000" w:themeColor="text1"/>
        </w:rPr>
        <w:t xml:space="preserve">De acuerdo con estos pronunciamientos de la Sala de Consulta y Servicio Civil del Consejo de Estado, la prohibición de la contratación directa también aplica frente a las entidades exceptuadas de la aplicación del Estatuto General de Contratación de la Administración Pública y que se rigen en materia contractual por el derecho privado, como es el caso de las loterías. Sin embargo, señaló que algunas de estas entidades, como sucede con las empresas de servicios públicos domiciliarios, los establecimientos de crédito, las sociedades de servicios </w:t>
      </w:r>
      <w:r w:rsidRPr="00073779">
        <w:rPr>
          <w:rFonts w:ascii="Verdana" w:eastAsia="Calibri" w:hAnsi="Verdana" w:cs="Arial"/>
          <w:bCs/>
          <w:color w:val="000000" w:themeColor="text1"/>
        </w:rPr>
        <w:lastRenderedPageBreak/>
        <w:t>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Style w:val="Refdenotaalpie"/>
          <w:rFonts w:ascii="Verdana" w:eastAsia="Calibri" w:hAnsi="Verdana" w:cs="Arial"/>
          <w:bCs/>
          <w:color w:val="000000" w:themeColor="text1"/>
        </w:rPr>
        <w:footnoteReference w:id="20"/>
      </w:r>
    </w:p>
    <w:p w14:paraId="2567296E" w14:textId="77777777" w:rsidR="001913E6" w:rsidRDefault="001913E6" w:rsidP="00A83851">
      <w:pPr>
        <w:spacing w:after="0" w:line="276" w:lineRule="auto"/>
        <w:ind w:left="708"/>
        <w:jc w:val="both"/>
        <w:rPr>
          <w:rFonts w:ascii="Verdana" w:eastAsia="Calibri" w:hAnsi="Verdana" w:cs="Arial"/>
          <w:bCs/>
          <w:color w:val="000000" w:themeColor="text1"/>
          <w:sz w:val="20"/>
          <w:szCs w:val="20"/>
        </w:rPr>
      </w:pPr>
    </w:p>
    <w:p w14:paraId="6C00AFCD" w14:textId="22C3B55A" w:rsidR="001913E6" w:rsidRPr="002601FD" w:rsidRDefault="002601FD" w:rsidP="002601FD">
      <w:pPr>
        <w:spacing w:after="0" w:line="276" w:lineRule="auto"/>
        <w:ind w:firstLine="709"/>
        <w:jc w:val="both"/>
        <w:rPr>
          <w:rFonts w:ascii="Verdana" w:eastAsia="Calibri" w:hAnsi="Verdana" w:cs="Arial"/>
          <w:bCs/>
          <w:color w:val="000000" w:themeColor="text1"/>
        </w:rPr>
      </w:pPr>
      <w:r w:rsidRPr="002601FD">
        <w:rPr>
          <w:rFonts w:ascii="Verdana" w:eastAsia="Calibri" w:hAnsi="Verdana" w:cs="Arial"/>
          <w:bCs/>
          <w:color w:val="000000" w:themeColor="text1"/>
        </w:rPr>
        <w:t>Conforme a los expuesto, en atención al planteamiento de su consulta, debe señalarse que la restricción prevista en la Ley 996 de 2005 cobija a cualquier entidad pública, independiente del régimen jurídico, que pueda mediante la contratación directa romper el equilibrio entre los candidatos en desarrollo de las elecciones presidenciales. Así las cosas, no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522701C9" w14:textId="77777777" w:rsidR="001913E6" w:rsidRDefault="001913E6" w:rsidP="00A83851">
      <w:pPr>
        <w:spacing w:after="0" w:line="276" w:lineRule="auto"/>
        <w:ind w:left="708"/>
        <w:jc w:val="both"/>
        <w:rPr>
          <w:rFonts w:ascii="Verdana" w:eastAsia="Calibri" w:hAnsi="Verdana" w:cs="Arial"/>
          <w:bCs/>
          <w:color w:val="000000" w:themeColor="text1"/>
          <w:sz w:val="20"/>
          <w:szCs w:val="20"/>
        </w:rPr>
      </w:pPr>
    </w:p>
    <w:p w14:paraId="67FC1350" w14:textId="0A68F697" w:rsidR="001913E6" w:rsidRDefault="00B6340C" w:rsidP="00B6340C">
      <w:pPr>
        <w:spacing w:after="0" w:line="276" w:lineRule="auto"/>
        <w:jc w:val="both"/>
        <w:rPr>
          <w:rFonts w:ascii="Verdana" w:eastAsia="Calibri" w:hAnsi="Verdana" w:cs="Arial"/>
          <w:bCs/>
          <w:color w:val="000000" w:themeColor="text1"/>
        </w:rPr>
      </w:pPr>
      <w:r w:rsidRPr="00B6340C">
        <w:rPr>
          <w:rFonts w:ascii="Verdana" w:eastAsia="Calibri" w:hAnsi="Verdana" w:cs="Arial"/>
          <w:bCs/>
          <w:color w:val="000000" w:themeColor="text1"/>
        </w:rPr>
        <w:t>v. De otro lado, tal como se mencionó, las excepciones a la restricción prevista en la Ley de Garantías Electorales, con fundamento en las cuales las entidades públicas podrán adelantar procedimientos de selección directa en períodos</w:t>
      </w:r>
      <w:r>
        <w:rPr>
          <w:rFonts w:ascii="Verdana" w:eastAsia="Calibri" w:hAnsi="Verdana" w:cs="Arial"/>
          <w:bCs/>
          <w:color w:val="000000" w:themeColor="text1"/>
        </w:rPr>
        <w:t xml:space="preserve"> </w:t>
      </w:r>
      <w:r w:rsidRPr="00B6340C">
        <w:rPr>
          <w:rFonts w:ascii="Verdana" w:eastAsia="Calibri" w:hAnsi="Verdana" w:cs="Arial"/>
          <w:bCs/>
          <w:color w:val="000000" w:themeColor="text1"/>
        </w:rPr>
        <w:t>previos a la contienda electoral por la Presidencia, se encuentran consagradas de manera taxativa en el inciso final del citado artículo 33 de la Ley 996 de 2005, dichas excepciones corresponden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770FAF93" w14:textId="030DB456" w:rsidR="00B6340C" w:rsidRDefault="00B6340C" w:rsidP="00B6340C">
      <w:pPr>
        <w:spacing w:after="0" w:line="276" w:lineRule="auto"/>
        <w:ind w:firstLine="709"/>
        <w:jc w:val="both"/>
        <w:rPr>
          <w:rFonts w:ascii="Verdana" w:eastAsia="Calibri" w:hAnsi="Verdana" w:cs="Arial"/>
          <w:bCs/>
          <w:color w:val="000000" w:themeColor="text1"/>
        </w:rPr>
      </w:pPr>
      <w:r w:rsidRPr="00B6340C">
        <w:rPr>
          <w:rFonts w:ascii="Verdana" w:eastAsia="Calibri" w:hAnsi="Verdana" w:cs="Arial"/>
          <w:bCs/>
          <w:color w:val="000000" w:themeColor="text1"/>
        </w:rPr>
        <w:t xml:space="preserve">Conforme a lo consagrado en esta disposición es responsabilidad del respectivo Ente del Estado, examinar en cada caso la naturaleza de las actividades que adelanta y determinar si las mismas se enmarcan en alguna de </w:t>
      </w:r>
      <w:r w:rsidRPr="00B6340C">
        <w:rPr>
          <w:rFonts w:ascii="Verdana" w:eastAsia="Calibri" w:hAnsi="Verdana" w:cs="Arial"/>
          <w:bCs/>
          <w:color w:val="000000" w:themeColor="text1"/>
        </w:rPr>
        <w:lastRenderedPageBreak/>
        <w:t>las mencionadas excepciones, de manera que se le permita realizar la contratación que necesite en forma directa.</w:t>
      </w:r>
    </w:p>
    <w:p w14:paraId="2B9AAA60" w14:textId="77777777" w:rsidR="00757433" w:rsidRPr="00B6340C" w:rsidRDefault="00757433" w:rsidP="00B6340C">
      <w:pPr>
        <w:spacing w:after="0" w:line="276" w:lineRule="auto"/>
        <w:ind w:firstLine="709"/>
        <w:jc w:val="both"/>
        <w:rPr>
          <w:rFonts w:ascii="Verdana" w:eastAsia="Calibri" w:hAnsi="Verdana" w:cs="Arial"/>
          <w:bCs/>
          <w:color w:val="000000" w:themeColor="text1"/>
        </w:rPr>
      </w:pPr>
    </w:p>
    <w:p w14:paraId="12AB2D66" w14:textId="1F26A174" w:rsidR="001913E6" w:rsidRDefault="00757433" w:rsidP="00757433">
      <w:pPr>
        <w:spacing w:after="0" w:line="276" w:lineRule="auto"/>
        <w:ind w:firstLine="709"/>
        <w:jc w:val="both"/>
        <w:rPr>
          <w:rFonts w:ascii="Verdana" w:eastAsia="Calibri" w:hAnsi="Verdana" w:cs="Arial"/>
          <w:bCs/>
          <w:color w:val="000000" w:themeColor="text1"/>
        </w:rPr>
      </w:pPr>
      <w:r w:rsidRPr="00757433">
        <w:rPr>
          <w:rFonts w:ascii="Verdana" w:eastAsia="Calibri" w:hAnsi="Verdana" w:cs="Arial"/>
          <w:bCs/>
          <w:color w:val="000000" w:themeColor="text1"/>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Style w:val="Refdenotaalpie"/>
          <w:rFonts w:ascii="Verdana" w:eastAsia="Calibri" w:hAnsi="Verdana" w:cs="Arial"/>
          <w:bCs/>
          <w:color w:val="000000" w:themeColor="text1"/>
        </w:rPr>
        <w:footnoteReference w:id="21"/>
      </w:r>
      <w:r w:rsidRPr="00757433">
        <w:rPr>
          <w:rFonts w:ascii="Verdana" w:eastAsia="Calibri" w:hAnsi="Verdana" w:cs="Arial"/>
          <w:bCs/>
          <w:color w:val="000000" w:themeColor="text1"/>
        </w:rPr>
        <w:t xml:space="preserve">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persecución de la igualdad entre los candidatos como garantía electoral.</w:t>
      </w:r>
    </w:p>
    <w:p w14:paraId="7B4DA13A" w14:textId="77777777" w:rsidR="00E5108E" w:rsidRDefault="00E5108E" w:rsidP="00757433">
      <w:pPr>
        <w:spacing w:after="0" w:line="276" w:lineRule="auto"/>
        <w:ind w:firstLine="709"/>
        <w:jc w:val="both"/>
        <w:rPr>
          <w:rFonts w:ascii="Verdana" w:eastAsia="Calibri" w:hAnsi="Verdana" w:cs="Arial"/>
          <w:bCs/>
          <w:color w:val="000000" w:themeColor="text1"/>
        </w:rPr>
      </w:pPr>
    </w:p>
    <w:p w14:paraId="1DF503FA" w14:textId="77777777" w:rsidR="00F1293B" w:rsidRDefault="00E5108E" w:rsidP="00F1293B">
      <w:pPr>
        <w:spacing w:after="0" w:line="276" w:lineRule="auto"/>
        <w:ind w:firstLine="709"/>
        <w:jc w:val="both"/>
        <w:rPr>
          <w:rFonts w:ascii="Verdana" w:eastAsia="Calibri" w:hAnsi="Verdana" w:cs="Arial"/>
          <w:bCs/>
          <w:color w:val="000000" w:themeColor="text1"/>
        </w:rPr>
      </w:pPr>
      <w:r>
        <w:rPr>
          <w:rStyle w:val="Refdenotaalpie"/>
          <w:rFonts w:ascii="Verdana" w:eastAsia="Calibri" w:hAnsi="Verdana" w:cs="Arial"/>
          <w:bCs/>
          <w:color w:val="000000" w:themeColor="text1"/>
        </w:rPr>
        <w:footnoteReference w:id="22"/>
      </w:r>
      <w:r>
        <w:rPr>
          <w:rFonts w:ascii="Verdana" w:eastAsia="Calibri" w:hAnsi="Verdana" w:cs="Arial"/>
          <w:bCs/>
          <w:color w:val="000000" w:themeColor="text1"/>
        </w:rPr>
        <w:t xml:space="preserve"> En este punto, </w:t>
      </w:r>
      <w:r w:rsidR="003A470B">
        <w:rPr>
          <w:rFonts w:ascii="Verdana" w:eastAsia="Calibri" w:hAnsi="Verdana" w:cs="Arial"/>
          <w:bCs/>
          <w:color w:val="000000" w:themeColor="text1"/>
        </w:rPr>
        <w:t xml:space="preserve">es pertinente analizar el quinto evento exceptuado de la prohibición, relacionado con la contratación por parte de las entidades sanitarias y hospitalarias. </w:t>
      </w:r>
      <w:r w:rsidR="00E6702E">
        <w:rPr>
          <w:rFonts w:ascii="Verdana" w:eastAsia="Calibri" w:hAnsi="Verdana" w:cs="Arial"/>
          <w:bCs/>
          <w:color w:val="000000" w:themeColor="text1"/>
        </w:rPr>
        <w:t>Para ello, debe tenerse en cuenta el artículo</w:t>
      </w:r>
      <w:r w:rsidR="00F35FE7">
        <w:rPr>
          <w:rFonts w:ascii="Verdana" w:eastAsia="Calibri" w:hAnsi="Verdana" w:cs="Arial"/>
          <w:bCs/>
          <w:color w:val="000000" w:themeColor="text1"/>
        </w:rPr>
        <w:t xml:space="preserve"> </w:t>
      </w:r>
      <w:r w:rsidR="00F35FE7" w:rsidRPr="00F35FE7">
        <w:rPr>
          <w:rFonts w:ascii="Verdana" w:eastAsia="Calibri" w:hAnsi="Verdana" w:cs="Arial"/>
          <w:bCs/>
          <w:color w:val="000000" w:themeColor="text1"/>
        </w:rPr>
        <w:t>94 de la Ley 100 de 1993, que dispone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w:t>
      </w:r>
      <w:r w:rsidR="00E854A5">
        <w:rPr>
          <w:rFonts w:ascii="Verdana" w:eastAsia="Calibri" w:hAnsi="Verdana" w:cs="Arial"/>
          <w:bCs/>
          <w:color w:val="000000" w:themeColor="text1"/>
        </w:rPr>
        <w:t xml:space="preserve"> </w:t>
      </w:r>
      <w:r w:rsidR="00E854A5" w:rsidRPr="00E854A5">
        <w:rPr>
          <w:rFonts w:ascii="Verdana" w:eastAsia="Calibri" w:hAnsi="Verdana" w:cs="Arial"/>
          <w:bCs/>
          <w:color w:val="000000" w:themeColor="text1"/>
        </w:rPr>
        <w:t>administrativa, creadas por la Ley o por las asambleas o concejos, según el caso, sometidas al régimen jurídico previsto en este capítulo”.</w:t>
      </w:r>
    </w:p>
    <w:p w14:paraId="1568A3AC" w14:textId="77777777" w:rsidR="00F1293B" w:rsidRDefault="00F1293B" w:rsidP="00F1293B">
      <w:pPr>
        <w:spacing w:after="0" w:line="276" w:lineRule="auto"/>
        <w:ind w:firstLine="709"/>
        <w:jc w:val="both"/>
        <w:rPr>
          <w:rFonts w:ascii="Verdana" w:eastAsia="Calibri" w:hAnsi="Verdana" w:cs="Arial"/>
          <w:bCs/>
          <w:color w:val="000000" w:themeColor="text1"/>
        </w:rPr>
      </w:pPr>
    </w:p>
    <w:p w14:paraId="0125241F" w14:textId="77777777" w:rsidR="00F1293B" w:rsidRDefault="00E854A5" w:rsidP="00F1293B">
      <w:pPr>
        <w:spacing w:after="0" w:line="276" w:lineRule="auto"/>
        <w:ind w:firstLine="709"/>
        <w:jc w:val="both"/>
        <w:rPr>
          <w:rFonts w:ascii="Verdana" w:eastAsia="Calibri" w:hAnsi="Verdana" w:cs="Arial"/>
          <w:bCs/>
          <w:color w:val="000000" w:themeColor="text1"/>
        </w:rPr>
      </w:pPr>
      <w:r w:rsidRPr="00E854A5">
        <w:rPr>
          <w:rFonts w:ascii="Verdana" w:eastAsia="Calibri" w:hAnsi="Verdana" w:cs="Arial"/>
          <w:bCs/>
          <w:color w:val="000000" w:themeColor="text1"/>
        </w:rPr>
        <w:t>Es decir que, a partir de la entrada en vigor de la Ley 100 de 1993, las Empresas Sociales del Estado son las entidades públicas que tienen a su cargo la prestación de servicios de salud de manera directa. Igualmente, el artículo 197 de la misma disposición</w:t>
      </w:r>
      <w:r w:rsidR="00F26DB2">
        <w:rPr>
          <w:rStyle w:val="Refdenotaalpie"/>
          <w:rFonts w:ascii="Verdana" w:eastAsia="Calibri" w:hAnsi="Verdana" w:cs="Arial"/>
          <w:bCs/>
          <w:color w:val="000000" w:themeColor="text1"/>
        </w:rPr>
        <w:footnoteReference w:id="23"/>
      </w:r>
      <w:r w:rsidR="00F26DB2">
        <w:rPr>
          <w:rFonts w:ascii="Verdana" w:eastAsia="Calibri" w:hAnsi="Verdana" w:cs="Arial"/>
          <w:bCs/>
          <w:color w:val="000000" w:themeColor="text1"/>
        </w:rPr>
        <w:t xml:space="preserve"> </w:t>
      </w:r>
      <w:r w:rsidR="00F26DB2" w:rsidRPr="00F26DB2">
        <w:rPr>
          <w:rFonts w:ascii="Verdana" w:eastAsia="Calibri" w:hAnsi="Verdana" w:cs="Arial"/>
          <w:bCs/>
          <w:color w:val="000000" w:themeColor="text1"/>
        </w:rPr>
        <w:t>otorgó un término de seis (6) meses a las entidades territoriales prestadoras del servicio de salud para restructurarlas en Empresas Sociales del Estado.</w:t>
      </w:r>
    </w:p>
    <w:p w14:paraId="7CCA6198" w14:textId="77777777" w:rsidR="00F1293B" w:rsidRDefault="00F1293B" w:rsidP="00F1293B">
      <w:pPr>
        <w:spacing w:after="0" w:line="276" w:lineRule="auto"/>
        <w:ind w:firstLine="709"/>
        <w:jc w:val="both"/>
        <w:rPr>
          <w:rFonts w:ascii="Verdana" w:eastAsia="Calibri" w:hAnsi="Verdana" w:cs="Arial"/>
          <w:bCs/>
          <w:color w:val="000000" w:themeColor="text1"/>
        </w:rPr>
      </w:pPr>
    </w:p>
    <w:p w14:paraId="4875870D" w14:textId="2797920A" w:rsidR="00F1293B" w:rsidRDefault="00F1293B" w:rsidP="00F1293B">
      <w:pPr>
        <w:spacing w:after="0" w:line="276" w:lineRule="auto"/>
        <w:ind w:firstLine="709"/>
        <w:jc w:val="both"/>
        <w:rPr>
          <w:rFonts w:ascii="Verdana" w:eastAsia="Calibri" w:hAnsi="Verdana" w:cs="Arial"/>
          <w:bCs/>
          <w:color w:val="000000" w:themeColor="text1"/>
        </w:rPr>
      </w:pPr>
      <w:r w:rsidRPr="00F1293B">
        <w:rPr>
          <w:rFonts w:ascii="Verdana" w:eastAsia="Calibri" w:hAnsi="Verdana" w:cs="Arial"/>
          <w:bCs/>
          <w:color w:val="000000" w:themeColor="text1"/>
        </w:rPr>
        <w:lastRenderedPageBreak/>
        <w:t>De lo anterior se desprende que, bajo la Ley 100 de 1993, dentro de la estructura de la administración pública las entidades encargadas de prestar el servicio de salud de manera directa son las Empresas Sociales del Estado. Además, el mismo artículo 197 de la disposición referida estableció el deber de reestructurar y transformar en Empresas Sociales del Estado a las entidades descentralizadas que, al momento de entrada en vigor de la ley referida, prestaban directamente este servicio.</w:t>
      </w:r>
    </w:p>
    <w:p w14:paraId="740E6B2D" w14:textId="77777777" w:rsidR="00B91A27" w:rsidRDefault="00B91A27" w:rsidP="00F1293B">
      <w:pPr>
        <w:spacing w:after="0" w:line="276" w:lineRule="auto"/>
        <w:ind w:firstLine="709"/>
        <w:jc w:val="both"/>
        <w:rPr>
          <w:rFonts w:ascii="Verdana" w:eastAsia="Calibri" w:hAnsi="Verdana" w:cs="Arial"/>
          <w:bCs/>
          <w:color w:val="000000" w:themeColor="text1"/>
        </w:rPr>
      </w:pPr>
    </w:p>
    <w:p w14:paraId="7585E1FD" w14:textId="43F269C3" w:rsidR="00B91A27" w:rsidRDefault="00B91A27" w:rsidP="00F1293B">
      <w:pPr>
        <w:spacing w:after="0" w:line="276" w:lineRule="auto"/>
        <w:ind w:firstLine="709"/>
        <w:jc w:val="both"/>
        <w:rPr>
          <w:rFonts w:ascii="Verdana" w:eastAsia="Calibri" w:hAnsi="Verdana" w:cs="Arial"/>
          <w:bCs/>
          <w:color w:val="000000" w:themeColor="text1"/>
        </w:rPr>
      </w:pPr>
      <w:r w:rsidRPr="00B91A27">
        <w:rPr>
          <w:rFonts w:ascii="Verdana" w:eastAsia="Calibri" w:hAnsi="Verdana" w:cs="Arial"/>
          <w:bCs/>
          <w:color w:val="000000" w:themeColor="text1"/>
        </w:rPr>
        <w:t>Así, se observa que la voluntad del legislador plasmada en la Ley 100 de 1993 fue homogenizar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en Empresas Sociales del Estado.</w:t>
      </w:r>
    </w:p>
    <w:p w14:paraId="7CEB0BF7" w14:textId="77777777" w:rsidR="00B91A27" w:rsidRDefault="00B91A27" w:rsidP="00F1293B">
      <w:pPr>
        <w:spacing w:after="0" w:line="276" w:lineRule="auto"/>
        <w:ind w:firstLine="709"/>
        <w:jc w:val="both"/>
        <w:rPr>
          <w:rFonts w:ascii="Verdana" w:eastAsia="Calibri" w:hAnsi="Verdana" w:cs="Arial"/>
          <w:bCs/>
          <w:color w:val="000000" w:themeColor="text1"/>
        </w:rPr>
      </w:pPr>
    </w:p>
    <w:p w14:paraId="3B1649F3" w14:textId="08776EB1" w:rsidR="00B91A27" w:rsidRDefault="00B91A27" w:rsidP="00F1293B">
      <w:pPr>
        <w:spacing w:after="0" w:line="276" w:lineRule="auto"/>
        <w:ind w:firstLine="709"/>
        <w:jc w:val="both"/>
        <w:rPr>
          <w:rFonts w:ascii="Verdana" w:eastAsia="Calibri" w:hAnsi="Verdana" w:cs="Arial"/>
          <w:bCs/>
          <w:color w:val="000000" w:themeColor="text1"/>
        </w:rPr>
      </w:pPr>
      <w:r w:rsidRPr="00B91A27">
        <w:rPr>
          <w:rFonts w:ascii="Verdana" w:eastAsia="Calibri" w:hAnsi="Verdana" w:cs="Arial"/>
          <w:bCs/>
          <w:color w:val="000000" w:themeColor="text1"/>
        </w:rPr>
        <w:t>Este proceso de reestructuración, dada las implicaciones administrativas que suponen, no ha sido inmediato, según se observa de lo señalado por el Ministerio de la Protección Social como cabeza del sector salud del orden 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w:t>
      </w:r>
    </w:p>
    <w:p w14:paraId="0BFC0212" w14:textId="2B31F143" w:rsidR="00EE1899" w:rsidRPr="00EE1899" w:rsidRDefault="00EE1899" w:rsidP="00EE1899">
      <w:pPr>
        <w:spacing w:after="0" w:line="276" w:lineRule="auto"/>
        <w:ind w:left="708"/>
        <w:jc w:val="both"/>
        <w:rPr>
          <w:rFonts w:ascii="Verdana" w:eastAsia="Calibri" w:hAnsi="Verdana" w:cs="Arial"/>
          <w:bCs/>
          <w:color w:val="000000" w:themeColor="text1"/>
          <w:sz w:val="20"/>
          <w:szCs w:val="20"/>
        </w:rPr>
      </w:pPr>
      <w:r w:rsidRPr="00EE1899">
        <w:rPr>
          <w:rFonts w:ascii="Verdana" w:eastAsia="Calibri" w:hAnsi="Verdana" w:cs="Arial"/>
          <w:bCs/>
          <w:color w:val="000000" w:themeColor="text1"/>
          <w:sz w:val="20"/>
          <w:szCs w:val="20"/>
        </w:rPr>
        <w:t xml:space="preserve">“[…] se encuentran cubiertos por la excepción contemplada en el inciso 2 del artículo 33 de la Ley de Garantías Electorales, las entidades hospitalarias que a la luz de las normas vigentes no son otras distintas que las Empresas Sociales del estado y todas aquellas instituciones públicas </w:t>
      </w:r>
      <w:proofErr w:type="gramStart"/>
      <w:r w:rsidRPr="00EE1899">
        <w:rPr>
          <w:rFonts w:ascii="Verdana" w:eastAsia="Calibri" w:hAnsi="Verdana" w:cs="Arial"/>
          <w:bCs/>
          <w:color w:val="000000" w:themeColor="text1"/>
          <w:sz w:val="20"/>
          <w:szCs w:val="20"/>
        </w:rPr>
        <w:t>que</w:t>
      </w:r>
      <w:proofErr w:type="gramEnd"/>
      <w:r w:rsidRPr="00EE1899">
        <w:rPr>
          <w:rFonts w:ascii="Verdana" w:eastAsia="Calibri" w:hAnsi="Verdana" w:cs="Arial"/>
          <w:bCs/>
          <w:color w:val="000000" w:themeColor="text1"/>
          <w:sz w:val="20"/>
          <w:szCs w:val="20"/>
        </w:rPr>
        <w:t xml:space="preserve"> a pesar de no haberse transformado en Empresas Sociales del Estado, prestan un servicio de salud directo sobre el usuario en su carácter general de entidad hospitalaria […]”. (Énfasis fuera de texto)</w:t>
      </w:r>
    </w:p>
    <w:p w14:paraId="4ECEA6AC" w14:textId="77777777" w:rsidR="001913E6" w:rsidRPr="00A83851" w:rsidRDefault="001913E6" w:rsidP="00A83851">
      <w:pPr>
        <w:spacing w:after="0" w:line="276" w:lineRule="auto"/>
        <w:ind w:left="708"/>
        <w:jc w:val="both"/>
        <w:rPr>
          <w:rFonts w:ascii="Verdana" w:eastAsia="Calibri" w:hAnsi="Verdana" w:cs="Arial"/>
          <w:bCs/>
          <w:color w:val="000000" w:themeColor="text1"/>
          <w:sz w:val="20"/>
          <w:szCs w:val="20"/>
        </w:rPr>
      </w:pPr>
    </w:p>
    <w:p w14:paraId="49982A5E" w14:textId="1F3255BC" w:rsidR="00A83851" w:rsidRDefault="005E6B28" w:rsidP="00A83851">
      <w:pPr>
        <w:spacing w:after="0" w:line="276" w:lineRule="auto"/>
        <w:ind w:firstLine="708"/>
        <w:jc w:val="both"/>
        <w:rPr>
          <w:rFonts w:ascii="Verdana" w:eastAsia="Calibri" w:hAnsi="Verdana" w:cs="Arial"/>
          <w:bCs/>
          <w:color w:val="000000" w:themeColor="text1"/>
        </w:rPr>
      </w:pPr>
      <w:r w:rsidRPr="005E6B28">
        <w:rPr>
          <w:rFonts w:ascii="Verdana" w:eastAsia="Calibri" w:hAnsi="Verdana" w:cs="Arial"/>
          <w:bCs/>
          <w:color w:val="000000" w:themeColor="text1"/>
        </w:rPr>
        <w:t>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w:t>
      </w:r>
    </w:p>
    <w:p w14:paraId="1CEB9F6C" w14:textId="77777777" w:rsidR="005E6B28" w:rsidRDefault="005E6B28" w:rsidP="00A83851">
      <w:pPr>
        <w:spacing w:after="0" w:line="276" w:lineRule="auto"/>
        <w:ind w:firstLine="708"/>
        <w:jc w:val="both"/>
        <w:rPr>
          <w:rFonts w:ascii="Verdana" w:eastAsia="Calibri" w:hAnsi="Verdana" w:cs="Arial"/>
          <w:bCs/>
          <w:color w:val="000000" w:themeColor="text1"/>
        </w:rPr>
      </w:pPr>
    </w:p>
    <w:p w14:paraId="07D48876" w14:textId="6D8BA2E7" w:rsidR="005E6B28" w:rsidRDefault="008A302C" w:rsidP="00A83851">
      <w:pPr>
        <w:spacing w:after="0" w:line="276" w:lineRule="auto"/>
        <w:ind w:firstLine="708"/>
        <w:jc w:val="both"/>
        <w:rPr>
          <w:rFonts w:ascii="Verdana" w:eastAsia="Calibri" w:hAnsi="Verdana" w:cs="Arial"/>
          <w:bCs/>
          <w:color w:val="000000" w:themeColor="text1"/>
        </w:rPr>
      </w:pPr>
      <w:r w:rsidRPr="008A302C">
        <w:rPr>
          <w:rFonts w:ascii="Verdana" w:eastAsia="Calibri" w:hAnsi="Verdana" w:cs="Arial"/>
          <w:bCs/>
          <w:color w:val="000000" w:themeColor="text1"/>
        </w:rPr>
        <w:lastRenderedPageBreak/>
        <w:t>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w:t>
      </w:r>
    </w:p>
    <w:p w14:paraId="64D4632B" w14:textId="77777777" w:rsidR="003D6B5D" w:rsidRDefault="003D6B5D" w:rsidP="00A83851">
      <w:pPr>
        <w:spacing w:after="0" w:line="276" w:lineRule="auto"/>
        <w:ind w:firstLine="708"/>
        <w:jc w:val="both"/>
        <w:rPr>
          <w:rFonts w:ascii="Verdana" w:eastAsia="Calibri" w:hAnsi="Verdana" w:cs="Arial"/>
          <w:bCs/>
          <w:color w:val="000000" w:themeColor="text1"/>
        </w:rPr>
      </w:pPr>
    </w:p>
    <w:p w14:paraId="59E2A883" w14:textId="7A2063FE" w:rsidR="003D6B5D" w:rsidRDefault="003D6B5D" w:rsidP="00A83851">
      <w:pPr>
        <w:spacing w:after="0" w:line="276" w:lineRule="auto"/>
        <w:ind w:firstLine="708"/>
        <w:jc w:val="both"/>
        <w:rPr>
          <w:rFonts w:ascii="Verdana" w:eastAsia="Calibri" w:hAnsi="Verdana" w:cs="Arial"/>
          <w:bCs/>
          <w:color w:val="000000" w:themeColor="text1"/>
        </w:rPr>
      </w:pPr>
      <w:r w:rsidRPr="003D6B5D">
        <w:rPr>
          <w:rFonts w:ascii="Verdana" w:eastAsia="Calibri" w:hAnsi="Verdana" w:cs="Arial"/>
          <w:bCs/>
          <w:color w:val="000000" w:themeColor="text1"/>
        </w:rPr>
        <w:t>De otro lado, en relación con las entidades sanitarias, conviene diferenciar los conceptos de entidad sanitaria y autoridad sanitara. En efecto, el artículo 2.8.8.1.1.3 del Decreto 780 de 2016, “Por medio del cual se expide el Decreto Único Reglamentario del Sector Salud y Protección Social”, define las entidades sanitarias como “Entidades del Estado que prestan servicios sanitarios o de sanidad con el propósito de preservar la salud humana y la salud pública”. Así mismo, el artículo citado también define las autoridades sanitarias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Pr>
          <w:rStyle w:val="Refdenotaalpie"/>
          <w:rFonts w:ascii="Verdana" w:eastAsia="Calibri" w:hAnsi="Verdana" w:cs="Arial"/>
          <w:bCs/>
          <w:color w:val="000000" w:themeColor="text1"/>
        </w:rPr>
        <w:footnoteReference w:id="24"/>
      </w:r>
      <w:r w:rsidR="00CE422E">
        <w:rPr>
          <w:rFonts w:ascii="Verdana" w:eastAsia="Calibri" w:hAnsi="Verdana" w:cs="Arial"/>
          <w:bCs/>
          <w:color w:val="000000" w:themeColor="text1"/>
        </w:rPr>
        <w:t xml:space="preserve">. Sin embargo, es necesario tener en cuenta </w:t>
      </w:r>
      <w:r w:rsidR="00BF1139" w:rsidRPr="00BF1139">
        <w:rPr>
          <w:rFonts w:ascii="Verdana" w:eastAsia="Calibri" w:hAnsi="Verdana" w:cs="Arial"/>
          <w:bCs/>
          <w:color w:val="000000" w:themeColor="text1"/>
        </w:rPr>
        <w:t>que la excepción del artículo 33 de la Ley de Garantías Electorales solo aplica a las entidades sanitarias, no a las autoridades sanitarias. Así las cosas, para efectos de la excepción del artículo 33 es indiferente que la entidad estatal tenga funciones de autoridad sanitaria, pues lo relevante para determinar si la contratación está exceptuada de la prohibición general no es el carácter de autoridad sanitaria, sino que se trate de una entidad sanitaria.</w:t>
      </w:r>
    </w:p>
    <w:p w14:paraId="0D1A9379" w14:textId="77777777" w:rsidR="00BF1139" w:rsidRDefault="00BF1139" w:rsidP="00A83851">
      <w:pPr>
        <w:spacing w:after="0" w:line="276" w:lineRule="auto"/>
        <w:ind w:firstLine="708"/>
        <w:jc w:val="both"/>
        <w:rPr>
          <w:rFonts w:ascii="Verdana" w:eastAsia="Calibri" w:hAnsi="Verdana" w:cs="Arial"/>
          <w:bCs/>
          <w:color w:val="000000" w:themeColor="text1"/>
        </w:rPr>
      </w:pPr>
    </w:p>
    <w:p w14:paraId="1A00125F" w14:textId="1234C29C" w:rsidR="00BF1139" w:rsidRDefault="00BF1139" w:rsidP="00A83851">
      <w:pPr>
        <w:spacing w:after="0" w:line="276" w:lineRule="auto"/>
        <w:ind w:firstLine="708"/>
        <w:jc w:val="both"/>
        <w:rPr>
          <w:rFonts w:ascii="Verdana" w:eastAsia="Calibri" w:hAnsi="Verdana" w:cs="Arial"/>
          <w:bCs/>
          <w:color w:val="000000" w:themeColor="text1"/>
        </w:rPr>
      </w:pPr>
      <w:r w:rsidRPr="00BF1139">
        <w:rPr>
          <w:rFonts w:ascii="Verdana" w:eastAsia="Calibri" w:hAnsi="Verdana" w:cs="Arial"/>
          <w:bCs/>
          <w:color w:val="000000" w:themeColor="text1"/>
        </w:rPr>
        <w:t>Nótese que la excepción analizada, relacionada con el servicio de salud, recae sobre las entidades sanitarias y sanitarias, es decir, sobre un tipo determinado de Ente del Estado, pero no habla nada de las Entidades que administran o recaudan recursos destinados a la prestación de servicios de salud.</w:t>
      </w:r>
    </w:p>
    <w:p w14:paraId="23C2C408" w14:textId="77777777" w:rsidR="00BF1139" w:rsidRDefault="00BF1139" w:rsidP="00A83851">
      <w:pPr>
        <w:spacing w:after="0" w:line="276" w:lineRule="auto"/>
        <w:ind w:firstLine="708"/>
        <w:jc w:val="both"/>
        <w:rPr>
          <w:rFonts w:ascii="Verdana" w:eastAsia="Calibri" w:hAnsi="Verdana" w:cs="Arial"/>
          <w:bCs/>
          <w:color w:val="000000" w:themeColor="text1"/>
        </w:rPr>
      </w:pPr>
    </w:p>
    <w:p w14:paraId="23241A27" w14:textId="3E51565C" w:rsidR="003D6B5D" w:rsidRDefault="003A085E" w:rsidP="00A83851">
      <w:pPr>
        <w:spacing w:after="0" w:line="276" w:lineRule="auto"/>
        <w:ind w:firstLine="708"/>
        <w:jc w:val="both"/>
        <w:rPr>
          <w:rFonts w:ascii="Verdana" w:eastAsia="Calibri" w:hAnsi="Verdana" w:cs="Arial"/>
          <w:bCs/>
          <w:color w:val="000000" w:themeColor="text1"/>
        </w:rPr>
      </w:pPr>
      <w:r w:rsidRPr="003A085E">
        <w:rPr>
          <w:rFonts w:ascii="Verdana" w:eastAsia="Calibri" w:hAnsi="Verdana" w:cs="Arial"/>
          <w:bCs/>
          <w:color w:val="000000" w:themeColor="text1"/>
        </w:rPr>
        <w:lastRenderedPageBreak/>
        <w:t>vi. Atendiendo el marco jurídico analizado</w:t>
      </w:r>
      <w:r>
        <w:rPr>
          <w:rFonts w:ascii="Verdana" w:eastAsia="Calibri" w:hAnsi="Verdana" w:cs="Arial"/>
          <w:bCs/>
          <w:color w:val="000000" w:themeColor="text1"/>
        </w:rPr>
        <w:t xml:space="preserve"> </w:t>
      </w:r>
      <w:r>
        <w:rPr>
          <w:rStyle w:val="Refdenotaalpie"/>
          <w:rFonts w:ascii="Verdana" w:eastAsia="Calibri" w:hAnsi="Verdana" w:cs="Arial"/>
          <w:bCs/>
          <w:color w:val="000000" w:themeColor="text1"/>
        </w:rPr>
        <w:footnoteReference w:id="25"/>
      </w:r>
      <w:r>
        <w:rPr>
          <w:rStyle w:val="Refdenotaalpie"/>
          <w:rFonts w:ascii="Verdana" w:eastAsia="Calibri" w:hAnsi="Verdana" w:cs="Arial"/>
          <w:bCs/>
          <w:color w:val="000000" w:themeColor="text1"/>
        </w:rPr>
        <w:footnoteReference w:id="26"/>
      </w:r>
      <w:r>
        <w:rPr>
          <w:rStyle w:val="Refdenotaalpie"/>
          <w:rFonts w:ascii="Verdana" w:eastAsia="Calibri" w:hAnsi="Verdana" w:cs="Arial"/>
          <w:bCs/>
          <w:color w:val="000000" w:themeColor="text1"/>
        </w:rPr>
        <w:footnoteReference w:id="27"/>
      </w:r>
      <w:r>
        <w:rPr>
          <w:rStyle w:val="Refdenotaalpie"/>
          <w:rFonts w:ascii="Verdana" w:eastAsia="Calibri" w:hAnsi="Verdana" w:cs="Arial"/>
          <w:bCs/>
          <w:color w:val="000000" w:themeColor="text1"/>
        </w:rPr>
        <w:footnoteReference w:id="28"/>
      </w:r>
      <w:r>
        <w:rPr>
          <w:rFonts w:ascii="Verdana" w:eastAsia="Calibri" w:hAnsi="Verdana" w:cs="Arial"/>
          <w:bCs/>
          <w:color w:val="000000" w:themeColor="text1"/>
        </w:rPr>
        <w:t xml:space="preserve">, le compete a cada Entidad </w:t>
      </w:r>
      <w:r w:rsidR="004F110D" w:rsidRPr="004F110D">
        <w:rPr>
          <w:rFonts w:ascii="Verdana" w:eastAsia="Calibri" w:hAnsi="Verdana" w:cs="Arial"/>
          <w:bCs/>
          <w:color w:val="000000" w:themeColor="text1"/>
        </w:rPr>
        <w:t>Estatal que considera celebrar un contrato específico definir si este se enmarca en la prohibición establecida en el artículo 33 de la Ley 996 de 2005, que restringe la contratación directa en el periodo preelectoral a las elecciones presidenciales. Lo anterior, sin perjuicio de las excepciones a la prohibición establecidas en el inciso segundo del mismo artículo. Además, se reitera que la restricción aplica frente a la contratación directa, entendida como cualquier sistema de selección o procedimiento de contratación utilizado por las Entidades Estatales que no incluya la convocatoria pública en alguna de sus etapas, ni permita la participación de una pluralidad de oferentes.</w:t>
      </w:r>
    </w:p>
    <w:p w14:paraId="0A878D94" w14:textId="298E14D5" w:rsidR="004F110D" w:rsidRDefault="004F110D" w:rsidP="00A83851">
      <w:pPr>
        <w:spacing w:after="0" w:line="276" w:lineRule="auto"/>
        <w:ind w:firstLine="708"/>
        <w:jc w:val="both"/>
        <w:rPr>
          <w:rFonts w:ascii="Verdana" w:eastAsia="Calibri" w:hAnsi="Verdana" w:cs="Arial"/>
          <w:bCs/>
          <w:color w:val="000000" w:themeColor="text1"/>
        </w:rPr>
      </w:pPr>
      <w:r w:rsidRPr="004F110D">
        <w:rPr>
          <w:rFonts w:ascii="Verdana" w:eastAsia="Calibri" w:hAnsi="Verdana" w:cs="Arial"/>
          <w:bCs/>
          <w:color w:val="000000" w:themeColor="text1"/>
        </w:rPr>
        <w:t>En ese contexto, que las entidades que se rigen por el derecho privado podrán celebrar contratos de acuerdo con los procedimientos contractuales desarrollados en sus manuales de contratación, siempre que estos permitan la participación de una pluralidad de oferentes y sean abiertos</w:t>
      </w:r>
      <w:r>
        <w:rPr>
          <w:rFonts w:ascii="Verdana" w:eastAsia="Calibri" w:hAnsi="Verdana" w:cs="Arial"/>
          <w:bCs/>
          <w:color w:val="000000" w:themeColor="text1"/>
        </w:rPr>
        <w:t>.</w:t>
      </w:r>
    </w:p>
    <w:p w14:paraId="0FA96960" w14:textId="77777777" w:rsidR="004F110D" w:rsidRDefault="004F110D" w:rsidP="00A83851">
      <w:pPr>
        <w:spacing w:after="0" w:line="276" w:lineRule="auto"/>
        <w:ind w:firstLine="708"/>
        <w:jc w:val="both"/>
        <w:rPr>
          <w:rFonts w:ascii="Verdana" w:eastAsia="Calibri" w:hAnsi="Verdana" w:cs="Arial"/>
          <w:bCs/>
          <w:color w:val="000000" w:themeColor="text1"/>
        </w:rPr>
      </w:pPr>
    </w:p>
    <w:p w14:paraId="2E3C6330" w14:textId="62FE1AE8" w:rsidR="004F110D" w:rsidRDefault="004F110D" w:rsidP="00A83851">
      <w:pPr>
        <w:spacing w:after="0" w:line="276" w:lineRule="auto"/>
        <w:ind w:firstLine="708"/>
        <w:jc w:val="both"/>
        <w:rPr>
          <w:rFonts w:ascii="Verdana" w:eastAsia="Calibri" w:hAnsi="Verdana" w:cs="Arial"/>
          <w:bCs/>
          <w:color w:val="000000" w:themeColor="text1"/>
        </w:rPr>
      </w:pPr>
      <w:r w:rsidRPr="004F110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w:t>
      </w:r>
      <w:r>
        <w:rPr>
          <w:rFonts w:ascii="Verdana" w:eastAsia="Calibri" w:hAnsi="Verdana" w:cs="Arial"/>
          <w:bCs/>
          <w:color w:val="000000" w:themeColor="text1"/>
        </w:rPr>
        <w:t xml:space="preserve"> </w:t>
      </w:r>
      <w:r w:rsidRPr="004F110D">
        <w:rPr>
          <w:rFonts w:ascii="Verdana" w:eastAsia="Calibri" w:hAnsi="Verdana" w:cs="Arial"/>
          <w:bCs/>
          <w:color w:val="000000" w:themeColor="text1"/>
        </w:rPr>
        <w:t>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860FE80" w14:textId="19D5DB89" w:rsidR="00297B37" w:rsidRDefault="00297B37" w:rsidP="00A83851">
      <w:pPr>
        <w:spacing w:after="0" w:line="276" w:lineRule="auto"/>
        <w:ind w:firstLine="708"/>
        <w:jc w:val="both"/>
        <w:rPr>
          <w:rFonts w:ascii="Verdana" w:eastAsia="Calibri" w:hAnsi="Verdana" w:cs="Arial"/>
          <w:bCs/>
          <w:color w:val="000000" w:themeColor="text1"/>
        </w:rPr>
      </w:pPr>
      <w:r w:rsidRPr="00297B37">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A9CCA1F" w14:textId="77777777" w:rsidR="005E6B28" w:rsidRDefault="005E6B28" w:rsidP="00B82CE0">
      <w:pPr>
        <w:spacing w:after="0" w:line="276" w:lineRule="auto"/>
        <w:jc w:val="both"/>
        <w:rPr>
          <w:rFonts w:ascii="Verdana" w:eastAsia="Calibri" w:hAnsi="Verdana" w:cs="Arial"/>
          <w:bCs/>
          <w:color w:val="000000" w:themeColor="text1"/>
        </w:rPr>
      </w:pPr>
    </w:p>
    <w:p w14:paraId="53133908" w14:textId="2883E2F8" w:rsidR="00871B59" w:rsidRPr="00F600EA" w:rsidRDefault="00871B59" w:rsidP="00F600EA">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F600EA">
        <w:rPr>
          <w:rFonts w:ascii="Verdana" w:eastAsia="Century Gothic" w:hAnsi="Verdana" w:cs="Century Gothic"/>
          <w:b/>
          <w:bCs/>
          <w:lang w:val="es-ES"/>
        </w:rPr>
        <w:lastRenderedPageBreak/>
        <w:t>Referencias normativas, jurisprudenciales y otras fuentes:</w:t>
      </w:r>
    </w:p>
    <w:p w14:paraId="237FD993"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2607A7">
        <w:trPr>
          <w:trHeight w:val="870"/>
        </w:trPr>
        <w:tc>
          <w:tcPr>
            <w:tcW w:w="8647" w:type="dxa"/>
          </w:tcPr>
          <w:p w14:paraId="008B2831" w14:textId="00FFFDA4" w:rsidR="00BD722F" w:rsidRPr="00524DB1" w:rsidRDefault="00BD722F" w:rsidP="00524DB1">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BD722F">
              <w:rPr>
                <w:rFonts w:ascii="Verdana" w:hAnsi="Verdana" w:cs="Arial"/>
              </w:rPr>
              <w:t>Ley 996 de 2005, artículos 33 y 38.</w:t>
            </w:r>
          </w:p>
          <w:p w14:paraId="18BE3EB7" w14:textId="44ADE5CF" w:rsidR="00BD722F" w:rsidRPr="00BD722F" w:rsidRDefault="00BD722F" w:rsidP="00BD722F">
            <w:pPr>
              <w:widowControl w:val="0"/>
              <w:numPr>
                <w:ilvl w:val="0"/>
                <w:numId w:val="8"/>
              </w:numPr>
              <w:autoSpaceDE w:val="0"/>
              <w:autoSpaceDN w:val="0"/>
              <w:spacing w:after="120" w:line="276" w:lineRule="auto"/>
              <w:jc w:val="both"/>
              <w:rPr>
                <w:rFonts w:ascii="Verdana" w:hAnsi="Verdana" w:cs="Arial"/>
                <w:lang w:val="es-ES"/>
              </w:rPr>
            </w:pPr>
            <w:r w:rsidRPr="00BD722F">
              <w:rPr>
                <w:rFonts w:ascii="Verdana" w:hAnsi="Verdana" w:cs="Arial"/>
                <w:lang w:val="es-ES"/>
              </w:rPr>
              <w:t>Corte Constitucional. Sentencias: C-233 de 4 de abril de 2002, expediente: D-3704; C-551 de 9 de julio de 2003, expediente: CRF-001 de 9 de julio de 2003</w:t>
            </w:r>
            <w:r w:rsidRPr="00BD722F">
              <w:t xml:space="preserve">, </w:t>
            </w:r>
            <w:r w:rsidRPr="00BD722F">
              <w:rPr>
                <w:rFonts w:ascii="Verdana" w:hAnsi="Verdana" w:cs="Arial"/>
                <w:lang w:val="es-ES"/>
              </w:rPr>
              <w:t>C-652 de 5 de agosto de 2003, expediente: D-4330; C-353 de 20 de mayo de 2009, expediente: D-7518, C-541 de 30 de junio de 2010, expediente: DD7966</w:t>
            </w:r>
            <w:r w:rsidR="00524DB1">
              <w:rPr>
                <w:rFonts w:ascii="Verdana" w:hAnsi="Verdana" w:cs="Arial"/>
                <w:lang w:val="es-ES"/>
              </w:rPr>
              <w:t>; entre otras.</w:t>
            </w:r>
          </w:p>
          <w:p w14:paraId="73CC5FC1" w14:textId="114719CA" w:rsidR="002C659D" w:rsidRPr="00524DB1" w:rsidRDefault="00BD722F" w:rsidP="002C659D">
            <w:pPr>
              <w:widowControl w:val="0"/>
              <w:numPr>
                <w:ilvl w:val="0"/>
                <w:numId w:val="8"/>
              </w:numPr>
              <w:autoSpaceDE w:val="0"/>
              <w:autoSpaceDN w:val="0"/>
              <w:spacing w:after="120" w:line="276" w:lineRule="auto"/>
              <w:jc w:val="both"/>
              <w:rPr>
                <w:rFonts w:ascii="Verdana" w:hAnsi="Verdana" w:cs="Arial"/>
              </w:rPr>
            </w:pPr>
            <w:r w:rsidRPr="00BD722F">
              <w:rPr>
                <w:rFonts w:ascii="Verdana" w:hAnsi="Verdana" w:cs="Arial"/>
                <w:lang w:val="es-ES"/>
              </w:rPr>
              <w:t>Consejo de Estado, Sala de lo Contencioso Administrativo, Sección Primera. Sentencia de 3 de marzo de 2005, expediente número 2004-00823-01(PI).</w:t>
            </w:r>
          </w:p>
          <w:p w14:paraId="11EB6212" w14:textId="77777777" w:rsidR="00524DB1" w:rsidRDefault="0045384C" w:rsidP="00524DB1">
            <w:pPr>
              <w:widowControl w:val="0"/>
              <w:numPr>
                <w:ilvl w:val="0"/>
                <w:numId w:val="8"/>
              </w:numPr>
              <w:tabs>
                <w:tab w:val="num" w:pos="720"/>
              </w:tabs>
              <w:autoSpaceDE w:val="0"/>
              <w:autoSpaceDN w:val="0"/>
              <w:spacing w:after="120" w:line="276" w:lineRule="auto"/>
              <w:jc w:val="both"/>
              <w:rPr>
                <w:rFonts w:ascii="Verdana" w:hAnsi="Verdana" w:cs="Arial"/>
              </w:rPr>
            </w:pPr>
            <w:r w:rsidRPr="0045384C">
              <w:rPr>
                <w:rFonts w:ascii="Verdana" w:hAnsi="Verdana" w:cs="Arial"/>
              </w:rPr>
              <w:t>Consejo de Estado, Sala de lo Contencioso Administrativo, Sección Primera. Sentencia de 3 de marzo de 2005, expediente número 2004 00823-01(PI). Ver también, de la Sección Tercera. Sentencia de 22 de enero de 2002, expediente número 2001-0148-01 y, Sección Tercera. Sentencia de 20 de noviembre de 2001, expediente número 2001 0130-01(PI), entre otras.</w:t>
            </w:r>
          </w:p>
          <w:p w14:paraId="053E813D" w14:textId="77777777" w:rsidR="0045384C" w:rsidRDefault="0045384C" w:rsidP="00524DB1">
            <w:pPr>
              <w:widowControl w:val="0"/>
              <w:numPr>
                <w:ilvl w:val="0"/>
                <w:numId w:val="8"/>
              </w:numPr>
              <w:tabs>
                <w:tab w:val="num" w:pos="720"/>
              </w:tabs>
              <w:autoSpaceDE w:val="0"/>
              <w:autoSpaceDN w:val="0"/>
              <w:spacing w:after="120" w:line="276" w:lineRule="auto"/>
              <w:jc w:val="both"/>
              <w:rPr>
                <w:rFonts w:ascii="Verdana" w:hAnsi="Verdana" w:cs="Arial"/>
              </w:rPr>
            </w:pPr>
            <w:r w:rsidRPr="0045384C">
              <w:rPr>
                <w:rFonts w:ascii="Verdana" w:hAnsi="Verdana" w:cs="Arial"/>
              </w:rPr>
              <w:t>Consejo de Estado, Sala de Consulta y Servicio Civil de fecha 24 de julio de 2013, radicado 2166, C. P. Álvaro Namén Vargas</w:t>
            </w:r>
            <w:r>
              <w:rPr>
                <w:rFonts w:ascii="Verdana" w:hAnsi="Verdana" w:cs="Arial"/>
              </w:rPr>
              <w:t>.</w:t>
            </w:r>
          </w:p>
          <w:p w14:paraId="230F9151" w14:textId="77777777" w:rsidR="005D355B" w:rsidRDefault="005D355B" w:rsidP="00524DB1">
            <w:pPr>
              <w:widowControl w:val="0"/>
              <w:numPr>
                <w:ilvl w:val="0"/>
                <w:numId w:val="8"/>
              </w:numPr>
              <w:tabs>
                <w:tab w:val="num" w:pos="720"/>
              </w:tabs>
              <w:autoSpaceDE w:val="0"/>
              <w:autoSpaceDN w:val="0"/>
              <w:spacing w:after="120" w:line="276" w:lineRule="auto"/>
              <w:jc w:val="both"/>
              <w:rPr>
                <w:rFonts w:ascii="Verdana" w:hAnsi="Verdana" w:cs="Arial"/>
              </w:rPr>
            </w:pPr>
            <w:r w:rsidRPr="005D355B">
              <w:rPr>
                <w:rFonts w:ascii="Verdana" w:hAnsi="Verdana" w:cs="Arial"/>
              </w:rPr>
              <w:t>Consejo de Estado. Sección Tercera. Sentencia de 3 de diciembre de 2007. Radicados: 24.715, 25.206, 25.409, 24.524, 27.834, 25.410, 26.105, 28.244, 31.447 -acumulados</w:t>
            </w:r>
            <w:r>
              <w:rPr>
                <w:rFonts w:ascii="Verdana" w:hAnsi="Verdana" w:cs="Arial"/>
              </w:rPr>
              <w:t>.</w:t>
            </w:r>
          </w:p>
          <w:p w14:paraId="1D225317" w14:textId="77777777" w:rsidR="005D355B" w:rsidRDefault="005D355B" w:rsidP="00524DB1">
            <w:pPr>
              <w:widowControl w:val="0"/>
              <w:numPr>
                <w:ilvl w:val="0"/>
                <w:numId w:val="8"/>
              </w:numPr>
              <w:tabs>
                <w:tab w:val="num" w:pos="720"/>
              </w:tabs>
              <w:autoSpaceDE w:val="0"/>
              <w:autoSpaceDN w:val="0"/>
              <w:spacing w:after="120" w:line="276" w:lineRule="auto"/>
              <w:jc w:val="both"/>
              <w:rPr>
                <w:rFonts w:ascii="Verdana" w:hAnsi="Verdana" w:cs="Arial"/>
              </w:rPr>
            </w:pPr>
            <w:r w:rsidRPr="005D355B">
              <w:rPr>
                <w:rFonts w:ascii="Verdana" w:hAnsi="Verdana" w:cs="Arial"/>
              </w:rPr>
              <w:t>Consejo de Estado, Sala de Consulta y Servicio Civil de fecha 24 de julio 2013, Álvaro Namén Vargas.</w:t>
            </w:r>
          </w:p>
          <w:p w14:paraId="28F4837C" w14:textId="77777777" w:rsidR="005D355B" w:rsidRDefault="005D355B" w:rsidP="00524DB1">
            <w:pPr>
              <w:widowControl w:val="0"/>
              <w:numPr>
                <w:ilvl w:val="0"/>
                <w:numId w:val="8"/>
              </w:numPr>
              <w:tabs>
                <w:tab w:val="num" w:pos="720"/>
              </w:tabs>
              <w:autoSpaceDE w:val="0"/>
              <w:autoSpaceDN w:val="0"/>
              <w:spacing w:after="120" w:line="276" w:lineRule="auto"/>
              <w:jc w:val="both"/>
              <w:rPr>
                <w:rFonts w:ascii="Verdana" w:hAnsi="Verdana" w:cs="Arial"/>
              </w:rPr>
            </w:pPr>
            <w:r w:rsidRPr="005D355B">
              <w:rPr>
                <w:rFonts w:ascii="Verdana" w:hAnsi="Verdana" w:cs="Arial"/>
              </w:rPr>
              <w:t>Consejo de Estado. Sala de Consulta y Servicio Civil. Concepto del 17 de febrero de 2015. C.P. William Zambrano Cetina. Radicación No. 11001-03-06-000-2015-00164-00(2269).</w:t>
            </w:r>
          </w:p>
          <w:p w14:paraId="7DEB80F2" w14:textId="77777777" w:rsidR="005D355B" w:rsidRDefault="005D355B" w:rsidP="00524DB1">
            <w:pPr>
              <w:widowControl w:val="0"/>
              <w:numPr>
                <w:ilvl w:val="0"/>
                <w:numId w:val="8"/>
              </w:numPr>
              <w:tabs>
                <w:tab w:val="num" w:pos="720"/>
              </w:tabs>
              <w:autoSpaceDE w:val="0"/>
              <w:autoSpaceDN w:val="0"/>
              <w:spacing w:after="120" w:line="276" w:lineRule="auto"/>
              <w:jc w:val="both"/>
              <w:rPr>
                <w:rFonts w:ascii="Verdana" w:hAnsi="Verdana" w:cs="Arial"/>
              </w:rPr>
            </w:pPr>
            <w:r w:rsidRPr="005D355B">
              <w:rPr>
                <w:rFonts w:ascii="Verdana" w:hAnsi="Verdana" w:cs="Arial"/>
              </w:rPr>
              <w:t>Corte Constitucional, en la Sentencia C-1153 del 11 de noviembre de 2005 Magistrado Ponente Marco Gerardo Monroy Cabra</w:t>
            </w:r>
            <w:r>
              <w:rPr>
                <w:rFonts w:ascii="Verdana" w:hAnsi="Verdana" w:cs="Arial"/>
              </w:rPr>
              <w:t>.</w:t>
            </w:r>
          </w:p>
          <w:p w14:paraId="6777F753" w14:textId="77777777" w:rsidR="007F6309" w:rsidRDefault="007F6309" w:rsidP="00524DB1">
            <w:pPr>
              <w:widowControl w:val="0"/>
              <w:numPr>
                <w:ilvl w:val="0"/>
                <w:numId w:val="8"/>
              </w:numPr>
              <w:tabs>
                <w:tab w:val="num" w:pos="720"/>
              </w:tabs>
              <w:autoSpaceDE w:val="0"/>
              <w:autoSpaceDN w:val="0"/>
              <w:spacing w:after="120" w:line="276" w:lineRule="auto"/>
              <w:jc w:val="both"/>
              <w:rPr>
                <w:rFonts w:ascii="Verdana" w:hAnsi="Verdana" w:cs="Arial"/>
              </w:rPr>
            </w:pPr>
            <w:r w:rsidRPr="007F6309">
              <w:rPr>
                <w:rFonts w:ascii="Verdana" w:hAnsi="Verdana" w:cs="Arial"/>
              </w:rPr>
              <w:t>Consejo de Estado. Sección Tercera. Sentencia de 3 de diciembre de 2007. Radicados: 24.715, 25.206, 25.409, 24.524, 27.834, 25.410, 26.105, 28.244, 31.447 -acumulados-”.</w:t>
            </w:r>
          </w:p>
          <w:p w14:paraId="24BF83CB" w14:textId="77777777" w:rsidR="007F6309" w:rsidRDefault="007F6309" w:rsidP="00524DB1">
            <w:pPr>
              <w:widowControl w:val="0"/>
              <w:numPr>
                <w:ilvl w:val="0"/>
                <w:numId w:val="8"/>
              </w:numPr>
              <w:tabs>
                <w:tab w:val="num" w:pos="720"/>
              </w:tabs>
              <w:autoSpaceDE w:val="0"/>
              <w:autoSpaceDN w:val="0"/>
              <w:spacing w:after="120" w:line="276" w:lineRule="auto"/>
              <w:jc w:val="both"/>
              <w:rPr>
                <w:rFonts w:ascii="Verdana" w:hAnsi="Verdana" w:cs="Arial"/>
              </w:rPr>
            </w:pPr>
            <w:r w:rsidRPr="007F6309">
              <w:rPr>
                <w:rFonts w:ascii="Verdana" w:hAnsi="Verdana" w:cs="Arial"/>
              </w:rPr>
              <w:t>Consejo de Estado Sala de Consulta y Servicio Civil, Concepto 1712 de 2 de febrero de 2006.</w:t>
            </w:r>
          </w:p>
          <w:p w14:paraId="03041BC1" w14:textId="77777777" w:rsidR="007F6309" w:rsidRDefault="007F6309" w:rsidP="00524DB1">
            <w:pPr>
              <w:widowControl w:val="0"/>
              <w:numPr>
                <w:ilvl w:val="0"/>
                <w:numId w:val="8"/>
              </w:numPr>
              <w:tabs>
                <w:tab w:val="num" w:pos="720"/>
              </w:tabs>
              <w:autoSpaceDE w:val="0"/>
              <w:autoSpaceDN w:val="0"/>
              <w:spacing w:after="120" w:line="276" w:lineRule="auto"/>
              <w:jc w:val="both"/>
              <w:rPr>
                <w:rFonts w:ascii="Verdana" w:hAnsi="Verdana" w:cs="Arial"/>
              </w:rPr>
            </w:pPr>
            <w:r w:rsidRPr="007F6309">
              <w:rPr>
                <w:rFonts w:ascii="Verdana" w:hAnsi="Verdana" w:cs="Arial"/>
              </w:rPr>
              <w:lastRenderedPageBreak/>
              <w:t>Consejo de Estado. Sala de Consulta y Servicio Civil. Concepto del 2 de septiembre de 2013. Radicación número: 11001-03-06-000-2013 00412-00 (2168). Consejero Ponente: Álvaro Namén Vargas.</w:t>
            </w:r>
          </w:p>
          <w:p w14:paraId="57A1D0E7" w14:textId="77777777" w:rsidR="007F6309" w:rsidRDefault="007F6309" w:rsidP="00524DB1">
            <w:pPr>
              <w:widowControl w:val="0"/>
              <w:numPr>
                <w:ilvl w:val="0"/>
                <w:numId w:val="8"/>
              </w:numPr>
              <w:tabs>
                <w:tab w:val="num" w:pos="720"/>
              </w:tabs>
              <w:autoSpaceDE w:val="0"/>
              <w:autoSpaceDN w:val="0"/>
              <w:spacing w:after="120" w:line="276" w:lineRule="auto"/>
              <w:jc w:val="both"/>
              <w:rPr>
                <w:rFonts w:ascii="Verdana" w:hAnsi="Verdana" w:cs="Arial"/>
              </w:rPr>
            </w:pPr>
            <w:r w:rsidRPr="007F6309">
              <w:rPr>
                <w:rFonts w:ascii="Verdana" w:hAnsi="Verdana" w:cs="Arial"/>
              </w:rPr>
              <w:t>Consejo de Estado. Sala de Consulta y Servicio Civil, Concepto de 8 de mayo de 2018. Radicación Número: 11001-03-06-000-2018 00095-00(2382). Consejero Ponente: Álvaro Namén Vargas</w:t>
            </w:r>
            <w:r>
              <w:rPr>
                <w:rFonts w:ascii="Verdana" w:hAnsi="Verdana" w:cs="Arial"/>
              </w:rPr>
              <w:t>.</w:t>
            </w:r>
          </w:p>
          <w:p w14:paraId="6C65A2D0" w14:textId="77777777" w:rsidR="007F6309" w:rsidRDefault="007F6309" w:rsidP="00524DB1">
            <w:pPr>
              <w:widowControl w:val="0"/>
              <w:numPr>
                <w:ilvl w:val="0"/>
                <w:numId w:val="8"/>
              </w:numPr>
              <w:tabs>
                <w:tab w:val="num" w:pos="720"/>
              </w:tabs>
              <w:autoSpaceDE w:val="0"/>
              <w:autoSpaceDN w:val="0"/>
              <w:spacing w:after="120" w:line="276" w:lineRule="auto"/>
              <w:jc w:val="both"/>
              <w:rPr>
                <w:rFonts w:ascii="Verdana" w:hAnsi="Verdana" w:cs="Arial"/>
              </w:rPr>
            </w:pPr>
            <w:r>
              <w:rPr>
                <w:rFonts w:ascii="Verdana" w:hAnsi="Verdana" w:cs="Arial"/>
              </w:rPr>
              <w:t>A</w:t>
            </w:r>
            <w:r w:rsidRPr="007F6309">
              <w:rPr>
                <w:rFonts w:ascii="Verdana" w:hAnsi="Verdana" w:cs="Arial"/>
              </w:rPr>
              <w:t>rtículo 860 del Código de Comercio</w:t>
            </w:r>
          </w:p>
          <w:p w14:paraId="31AFE361" w14:textId="77777777" w:rsidR="007F6309" w:rsidRDefault="00931955"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31955">
              <w:rPr>
                <w:rFonts w:ascii="Verdana" w:hAnsi="Verdana" w:cs="Arial"/>
              </w:rPr>
              <w:t xml:space="preserve">Consejo de Estado. Sala de Consulta y Servicio Civil. Concepto del 08 de mayo de 2018. </w:t>
            </w:r>
            <w:proofErr w:type="spellStart"/>
            <w:r w:rsidRPr="00931955">
              <w:rPr>
                <w:rFonts w:ascii="Verdana" w:hAnsi="Verdana" w:cs="Arial"/>
              </w:rPr>
              <w:t>Exp</w:t>
            </w:r>
            <w:proofErr w:type="spellEnd"/>
            <w:r w:rsidRPr="00931955">
              <w:rPr>
                <w:rFonts w:ascii="Verdana" w:hAnsi="Verdana" w:cs="Arial"/>
              </w:rPr>
              <w:t>. 2.382. C.P. Álvaro Namén Vargas.</w:t>
            </w:r>
          </w:p>
          <w:p w14:paraId="5E4A672C" w14:textId="77777777" w:rsidR="00931955" w:rsidRDefault="00931955"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31955">
              <w:rPr>
                <w:rFonts w:ascii="Verdana" w:hAnsi="Verdana" w:cs="Arial"/>
              </w:rPr>
              <w:t>Consejo de Estado. Sala de Consulta y Servicio Civil. Concepto de 20 de febrero de 2006. Radicación Número: 11001-03-06-000-2006 00026-00(1727). Consejero Ponente: Enrique José Arboleda Perdomo.</w:t>
            </w:r>
          </w:p>
          <w:p w14:paraId="6631257A" w14:textId="77777777" w:rsidR="00931955" w:rsidRDefault="00931955"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31955">
              <w:rPr>
                <w:rFonts w:ascii="Verdana" w:hAnsi="Verdana" w:cs="Arial"/>
              </w:rPr>
              <w:t>Corte Constitucional. Sentencia C-736 de 2007. C.P. Marco Gerardo Monroy Cabra</w:t>
            </w:r>
            <w:r>
              <w:rPr>
                <w:rFonts w:ascii="Verdana" w:hAnsi="Verdana" w:cs="Arial"/>
              </w:rPr>
              <w:t>.</w:t>
            </w:r>
          </w:p>
          <w:p w14:paraId="3DE6CA70" w14:textId="77777777" w:rsidR="00931955" w:rsidRDefault="00931955"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31955">
              <w:rPr>
                <w:rFonts w:ascii="Verdana" w:hAnsi="Verdana" w:cs="Arial"/>
              </w:rPr>
              <w:t xml:space="preserve">Consejo de Estado -Sección Tercera-. Sentencia del 21 de febrero de 2025. Radicación </w:t>
            </w:r>
            <w:r w:rsidR="00095118" w:rsidRPr="00095118">
              <w:rPr>
                <w:rFonts w:ascii="Verdana" w:hAnsi="Verdana" w:cs="Arial"/>
              </w:rPr>
              <w:t>Número: 68.280. CP: José</w:t>
            </w:r>
            <w:r w:rsidR="00095118">
              <w:rPr>
                <w:rFonts w:ascii="Verdana" w:hAnsi="Verdana" w:cs="Arial"/>
              </w:rPr>
              <w:t xml:space="preserve"> </w:t>
            </w:r>
            <w:r w:rsidRPr="00931955">
              <w:rPr>
                <w:rFonts w:ascii="Verdana" w:hAnsi="Verdana" w:cs="Arial"/>
              </w:rPr>
              <w:t>Roberto Sáchica Méndez.</w:t>
            </w:r>
          </w:p>
          <w:p w14:paraId="4891270B" w14:textId="77777777" w:rsidR="00A415B7" w:rsidRDefault="00A415B7" w:rsidP="00524DB1">
            <w:pPr>
              <w:widowControl w:val="0"/>
              <w:numPr>
                <w:ilvl w:val="0"/>
                <w:numId w:val="8"/>
              </w:numPr>
              <w:tabs>
                <w:tab w:val="num" w:pos="720"/>
              </w:tabs>
              <w:autoSpaceDE w:val="0"/>
              <w:autoSpaceDN w:val="0"/>
              <w:spacing w:after="120" w:line="276" w:lineRule="auto"/>
              <w:jc w:val="both"/>
              <w:rPr>
                <w:rFonts w:ascii="Verdana" w:hAnsi="Verdana" w:cs="Arial"/>
              </w:rPr>
            </w:pPr>
            <w:r w:rsidRPr="00A415B7">
              <w:rPr>
                <w:rFonts w:ascii="Verdana" w:hAnsi="Verdana" w:cs="Arial"/>
              </w:rPr>
              <w:t xml:space="preserve">Consejo de Estado, Sección Tercera. Auto del 4 de octubre de 2024. </w:t>
            </w:r>
            <w:proofErr w:type="spellStart"/>
            <w:r w:rsidRPr="00A415B7">
              <w:rPr>
                <w:rFonts w:ascii="Verdana" w:hAnsi="Verdana" w:cs="Arial"/>
              </w:rPr>
              <w:t>Exp</w:t>
            </w:r>
            <w:proofErr w:type="spellEnd"/>
            <w:r w:rsidRPr="00A415B7">
              <w:rPr>
                <w:rFonts w:ascii="Verdana" w:hAnsi="Verdana" w:cs="Arial"/>
              </w:rPr>
              <w:t>. 70.313. C.P: Fredy Ibarra Martínez.</w:t>
            </w:r>
          </w:p>
          <w:p w14:paraId="6ACEA7FD" w14:textId="13DD536E" w:rsidR="00A415B7" w:rsidRPr="00524DB1" w:rsidRDefault="00A415B7" w:rsidP="00524DB1">
            <w:pPr>
              <w:widowControl w:val="0"/>
              <w:numPr>
                <w:ilvl w:val="0"/>
                <w:numId w:val="8"/>
              </w:numPr>
              <w:tabs>
                <w:tab w:val="num" w:pos="720"/>
              </w:tabs>
              <w:autoSpaceDE w:val="0"/>
              <w:autoSpaceDN w:val="0"/>
              <w:spacing w:after="120" w:line="276" w:lineRule="auto"/>
              <w:jc w:val="both"/>
              <w:rPr>
                <w:rFonts w:ascii="Verdana" w:hAnsi="Verdana" w:cs="Arial"/>
              </w:rPr>
            </w:pPr>
            <w:r w:rsidRPr="00A415B7">
              <w:rPr>
                <w:rFonts w:ascii="Verdana" w:hAnsi="Verdana" w:cs="Arial"/>
              </w:rPr>
              <w:t>Consejo de Estado. Sala de lo Contencioso Administrativo. Sección Tercera. Subsección B. 17 de octubre de 2025. Magistrado Ponente: Fredy Ibarra Martínez</w:t>
            </w:r>
            <w:r>
              <w:rPr>
                <w:rFonts w:ascii="Verdana" w:hAnsi="Verdana" w:cs="Arial"/>
              </w:rPr>
              <w:t>.</w:t>
            </w: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524DB1"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24DB1">
        <w:rPr>
          <w:rFonts w:ascii="Verdana" w:eastAsia="Century Gothic" w:hAnsi="Verdana" w:cs="Century Gothic"/>
          <w:b/>
          <w:bCs/>
          <w:lang w:val="es-ES"/>
        </w:rPr>
        <w:t>Doctrina de la Agencia Nacional de Contratación Pública:</w:t>
      </w:r>
    </w:p>
    <w:p w14:paraId="41294D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284E3662" w14:textId="60E092EC" w:rsidR="00BD722F" w:rsidRPr="00667CD6" w:rsidRDefault="00BD722F" w:rsidP="00BD722F">
      <w:pPr>
        <w:widowControl w:val="0"/>
        <w:autoSpaceDE w:val="0"/>
        <w:autoSpaceDN w:val="0"/>
        <w:spacing w:after="0" w:line="276" w:lineRule="auto"/>
        <w:jc w:val="both"/>
        <w:rPr>
          <w:rFonts w:ascii="Verdana" w:hAnsi="Verdana" w:cs="Arial"/>
          <w:shd w:val="clear" w:color="auto" w:fill="FFFFFF"/>
        </w:rPr>
      </w:pPr>
      <w:r w:rsidRPr="005D334E">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w:t>
      </w:r>
      <w:r w:rsidRPr="005D334E">
        <w:rPr>
          <w:rFonts w:ascii="Verdana" w:hAnsi="Verdana" w:cs="Arial"/>
          <w:shd w:val="clear" w:color="auto" w:fill="FFFFFF"/>
        </w:rPr>
        <w:lastRenderedPageBreak/>
        <w:t>septiembre de 2025, C-1350 del 1˚ de octubre de 2025</w:t>
      </w:r>
      <w:r>
        <w:rPr>
          <w:rFonts w:ascii="Verdana" w:hAnsi="Verdana" w:cs="Arial"/>
          <w:shd w:val="clear" w:color="auto" w:fill="FFFFFF"/>
        </w:rPr>
        <w:t>,</w:t>
      </w:r>
      <w:r w:rsidRPr="005D334E">
        <w:rPr>
          <w:rFonts w:ascii="Verdana" w:hAnsi="Verdana" w:cs="Arial"/>
          <w:shd w:val="clear" w:color="auto" w:fill="FFFFFF"/>
        </w:rPr>
        <w:t xml:space="preserve"> C-1430 del 12 de noviembre del 2025</w:t>
      </w:r>
      <w:r>
        <w:rPr>
          <w:rFonts w:ascii="Verdana" w:hAnsi="Verdana" w:cs="Arial"/>
          <w:shd w:val="clear" w:color="auto" w:fill="FFFFFF"/>
        </w:rPr>
        <w:t>, C-1661 del 22 de diciembre del 2025.</w:t>
      </w:r>
      <w:r w:rsidRPr="005D334E">
        <w:rPr>
          <w:rFonts w:ascii="Verdana" w:hAnsi="Verdana" w:cs="Arial"/>
          <w:shd w:val="clear" w:color="auto" w:fill="FFFFFF"/>
        </w:rPr>
        <w:t xml:space="preserve"> </w:t>
      </w:r>
      <w:r w:rsidRPr="005D334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5D334E">
          <w:rPr>
            <w:rFonts w:ascii="Verdana" w:hAnsi="Verdana" w:cs="Arial"/>
            <w:color w:val="0000FF"/>
            <w:u w:val="single"/>
            <w:shd w:val="clear" w:color="auto" w:fill="FFFFFF"/>
            <w:lang w:val="es-ES_tradnl"/>
          </w:rPr>
          <w:t>https://relatoria.colombiacompra.gov.co/busqueda/conceptos</w:t>
        </w:r>
      </w:hyperlink>
      <w:r w:rsidRPr="005D334E">
        <w:rPr>
          <w:rFonts w:ascii="Verdana" w:hAnsi="Verdana" w:cs="Arial"/>
          <w:shd w:val="clear" w:color="auto" w:fill="FFFFFF"/>
          <w:lang w:val="es-ES_tradnl"/>
        </w:rPr>
        <w:t>.</w:t>
      </w:r>
      <w:r w:rsidRPr="00667CD6">
        <w:rPr>
          <w:rFonts w:ascii="Verdana" w:hAnsi="Verdana" w:cs="Arial"/>
          <w:shd w:val="clear" w:color="auto" w:fill="FFFFFF"/>
          <w:lang w:val="es-ES_tradnl"/>
        </w:rPr>
        <w:t xml:space="preserve"> </w:t>
      </w:r>
      <w:r w:rsidRPr="00667CD6">
        <w:rPr>
          <w:rFonts w:ascii="Verdana" w:hAnsi="Verdana" w:cs="Arial"/>
          <w:color w:val="FF0000"/>
          <w:shd w:val="clear" w:color="auto" w:fill="FFFFFF"/>
          <w:lang w:val="es-ES_tradnl"/>
        </w:rPr>
        <w:t xml:space="preserve"> </w:t>
      </w:r>
    </w:p>
    <w:p w14:paraId="2400C909" w14:textId="77777777" w:rsidR="000C0179" w:rsidRDefault="000C0179" w:rsidP="008815E5">
      <w:pPr>
        <w:spacing w:after="0" w:line="240" w:lineRule="auto"/>
        <w:jc w:val="both"/>
        <w:rPr>
          <w:rFonts w:ascii="Verdana" w:hAnsi="Verdana"/>
        </w:rPr>
      </w:pPr>
    </w:p>
    <w:p w14:paraId="1570ED43" w14:textId="3886BCAB"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EC61B3" w:rsidRDefault="008815E5" w:rsidP="008815E5">
      <w:pPr>
        <w:spacing w:after="0" w:line="240" w:lineRule="auto"/>
        <w:jc w:val="both"/>
        <w:rPr>
          <w:rFonts w:ascii="Verdana" w:hAnsi="Verdana"/>
          <w:color w:val="0000FF"/>
        </w:rPr>
      </w:pPr>
      <w:r w:rsidRPr="003E2460">
        <w:rPr>
          <w:rFonts w:ascii="Verdana" w:hAnsi="Verdana"/>
        </w:rPr>
        <w:t xml:space="preserve">Twitter: </w:t>
      </w:r>
      <w:r w:rsidRPr="00EC61B3">
        <w:rPr>
          <w:rStyle w:val="Hipervnculo"/>
          <w:rFonts w:ascii="Verdana" w:hAnsi="Verdana"/>
          <w:color w:val="0000FF"/>
        </w:rPr>
        <w:t>@colombiacompra</w:t>
      </w:r>
      <w:r w:rsidRPr="00EC61B3">
        <w:rPr>
          <w:rFonts w:ascii="Verdana" w:hAnsi="Verdana"/>
          <w:color w:val="0000FF"/>
        </w:rPr>
        <w:t xml:space="preserve"> </w:t>
      </w:r>
    </w:p>
    <w:p w14:paraId="0F76F019" w14:textId="77777777" w:rsidR="008815E5" w:rsidRPr="00EC61B3" w:rsidRDefault="008815E5" w:rsidP="1F9252E4">
      <w:pPr>
        <w:spacing w:after="0" w:line="240" w:lineRule="auto"/>
        <w:jc w:val="both"/>
        <w:rPr>
          <w:rFonts w:ascii="Verdana" w:hAnsi="Verdana"/>
          <w:color w:val="0000FF"/>
        </w:rPr>
      </w:pPr>
      <w:r w:rsidRPr="1F9252E4">
        <w:rPr>
          <w:rFonts w:ascii="Verdana" w:hAnsi="Verdana"/>
        </w:rPr>
        <w:t xml:space="preserve">Facebook: </w:t>
      </w:r>
      <w:proofErr w:type="spellStart"/>
      <w:r w:rsidRPr="00EC61B3">
        <w:rPr>
          <w:rStyle w:val="Hipervnculo"/>
          <w:rFonts w:ascii="Verdana" w:hAnsi="Verdana"/>
          <w:color w:val="0000FF"/>
        </w:rPr>
        <w:t>ColombiaCompraEficiente</w:t>
      </w:r>
      <w:proofErr w:type="spellEnd"/>
    </w:p>
    <w:p w14:paraId="60E5B357" w14:textId="77777777" w:rsidR="008815E5" w:rsidRPr="00EC61B3" w:rsidRDefault="008815E5" w:rsidP="008815E5">
      <w:pPr>
        <w:spacing w:after="0" w:line="240" w:lineRule="auto"/>
        <w:jc w:val="both"/>
        <w:rPr>
          <w:rFonts w:ascii="Verdana" w:hAnsi="Verdana"/>
          <w:color w:val="0000FF"/>
        </w:rPr>
      </w:pPr>
      <w:r w:rsidRPr="003E2460">
        <w:rPr>
          <w:rFonts w:ascii="Verdana" w:hAnsi="Verdana"/>
        </w:rPr>
        <w:t xml:space="preserve">LinkedIn: </w:t>
      </w:r>
      <w:r w:rsidRPr="00EC61B3">
        <w:rPr>
          <w:rStyle w:val="Hipervnculo"/>
          <w:rFonts w:ascii="Verdana" w:hAnsi="Verdana"/>
          <w:color w:val="0000FF"/>
        </w:rPr>
        <w:t>Agencia Nacional de Contratación Pública - Colombia Compra Eficiente</w:t>
      </w:r>
      <w:r w:rsidRPr="00EC61B3">
        <w:rPr>
          <w:rFonts w:ascii="Verdana" w:hAnsi="Verdana"/>
          <w:color w:val="0000FF"/>
        </w:rPr>
        <w:t xml:space="preserve"> </w:t>
      </w:r>
      <w:r w:rsidRPr="003E2460">
        <w:rPr>
          <w:rFonts w:ascii="Verdana" w:hAnsi="Verdana"/>
        </w:rPr>
        <w:t xml:space="preserve">Instagram: </w:t>
      </w:r>
      <w:r w:rsidRPr="00EC61B3">
        <w:rPr>
          <w:rStyle w:val="Hipervnculo"/>
          <w:rFonts w:ascii="Verdana" w:hAnsi="Verdana"/>
          <w:color w:val="0000FF"/>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B21B32E" w14:textId="7DE0038E" w:rsidR="00871B59" w:rsidRPr="000860EF" w:rsidRDefault="000860EF" w:rsidP="000860EF">
      <w:pPr>
        <w:spacing w:line="276" w:lineRule="auto"/>
        <w:jc w:val="center"/>
        <w:rPr>
          <w:rFonts w:ascii="Verdana" w:hAnsi="Verdana" w:cs="Arial"/>
          <w:color w:val="000000"/>
          <w:lang w:eastAsia="es-CO"/>
        </w:rPr>
      </w:pPr>
      <w:r w:rsidRPr="000860EF">
        <w:rPr>
          <w:rFonts w:ascii="Verdana" w:hAnsi="Verdana" w:cs="Arial"/>
          <w:noProof/>
          <w:color w:val="000000"/>
          <w:lang w:eastAsia="es-CO"/>
        </w:rPr>
        <w:drawing>
          <wp:inline distT="0" distB="0" distL="0" distR="0" wp14:anchorId="0E4E7C38" wp14:editId="2E239DF8">
            <wp:extent cx="4306463" cy="1704975"/>
            <wp:effectExtent l="0" t="0" r="0" b="0"/>
            <wp:docPr id="177210406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19097" cy="1709977"/>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0C0179" w14:paraId="2A20789D" w14:textId="77777777" w:rsidTr="1F9252E4">
        <w:trPr>
          <w:trHeight w:val="315"/>
        </w:trPr>
        <w:tc>
          <w:tcPr>
            <w:tcW w:w="893" w:type="dxa"/>
            <w:vAlign w:val="center"/>
            <w:hideMark/>
          </w:tcPr>
          <w:p w14:paraId="56E3D94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71FC5517" w:rsidR="00871B59" w:rsidRPr="000C0179" w:rsidRDefault="00BD722F" w:rsidP="1F9252E4">
            <w:pPr>
              <w:contextualSpacing/>
              <w:rPr>
                <w:rFonts w:ascii="Verdana" w:eastAsia="Arial" w:hAnsi="Verdana" w:cs="Arial"/>
                <w:sz w:val="16"/>
                <w:szCs w:val="16"/>
              </w:rPr>
            </w:pPr>
            <w:r w:rsidRPr="000C0179">
              <w:rPr>
                <w:rFonts w:ascii="Verdana" w:eastAsia="Arial" w:hAnsi="Verdana" w:cs="Arial"/>
                <w:sz w:val="16"/>
                <w:szCs w:val="16"/>
              </w:rPr>
              <w:t>Andrea Camila Polo Paz</w:t>
            </w:r>
          </w:p>
          <w:p w14:paraId="27134A92" w14:textId="30C7584F" w:rsidR="00871B59" w:rsidRPr="000C0179" w:rsidRDefault="00BD722F" w:rsidP="1F9252E4">
            <w:pPr>
              <w:contextualSpacing/>
              <w:rPr>
                <w:rFonts w:ascii="Verdana" w:eastAsia="Arial" w:hAnsi="Verdana" w:cs="Arial"/>
                <w:sz w:val="16"/>
                <w:szCs w:val="16"/>
              </w:rPr>
            </w:pPr>
            <w:r w:rsidRPr="000C0179">
              <w:rPr>
                <w:rStyle w:val="normaltextrun"/>
                <w:rFonts w:ascii="Verdana" w:eastAsia="Arial" w:hAnsi="Verdana" w:cs="Arial"/>
                <w:sz w:val="16"/>
                <w:szCs w:val="16"/>
              </w:rPr>
              <w:t>Analista T02-1</w:t>
            </w:r>
            <w:r w:rsidR="00871B59" w:rsidRPr="000C0179">
              <w:rPr>
                <w:rStyle w:val="normaltextrun"/>
                <w:rFonts w:ascii="Verdana" w:eastAsia="Arial" w:hAnsi="Verdana" w:cs="Arial"/>
                <w:sz w:val="16"/>
                <w:szCs w:val="16"/>
              </w:rPr>
              <w:t xml:space="preserve"> de la Subdirección de Gestión Contractual</w:t>
            </w:r>
          </w:p>
        </w:tc>
      </w:tr>
      <w:tr w:rsidR="00871B59" w:rsidRPr="000C0179" w14:paraId="409BBACC" w14:textId="77777777" w:rsidTr="1F9252E4">
        <w:trPr>
          <w:trHeight w:val="330"/>
        </w:trPr>
        <w:tc>
          <w:tcPr>
            <w:tcW w:w="893" w:type="dxa"/>
            <w:vAlign w:val="center"/>
            <w:hideMark/>
          </w:tcPr>
          <w:p w14:paraId="3ABFF40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DEBF57F" w14:textId="0663211A" w:rsidR="00BD722F" w:rsidRPr="000C0179" w:rsidRDefault="000C0179" w:rsidP="002607A7">
            <w:pPr>
              <w:pStyle w:val="paragraph"/>
              <w:spacing w:before="0" w:beforeAutospacing="0" w:after="0" w:afterAutospacing="0"/>
              <w:contextualSpacing/>
              <w:textAlignment w:val="baseline"/>
              <w:rPr>
                <w:rStyle w:val="normaltextrun"/>
                <w:rFonts w:ascii="Verdana" w:hAnsi="Verdana" w:cs="Arial"/>
                <w:sz w:val="16"/>
                <w:szCs w:val="16"/>
                <w:lang w:val="es-ES"/>
              </w:rPr>
            </w:pPr>
            <w:r w:rsidRPr="000C0179">
              <w:rPr>
                <w:rStyle w:val="normaltextrun"/>
                <w:rFonts w:ascii="Verdana" w:hAnsi="Verdana" w:cs="Arial"/>
                <w:sz w:val="16"/>
                <w:szCs w:val="16"/>
                <w:lang w:val="es-ES"/>
              </w:rPr>
              <w:t>Dian</w:t>
            </w:r>
            <w:r w:rsidR="00363E49">
              <w:rPr>
                <w:rStyle w:val="normaltextrun"/>
                <w:rFonts w:ascii="Verdana" w:hAnsi="Verdana" w:cs="Arial"/>
                <w:sz w:val="16"/>
                <w:szCs w:val="16"/>
                <w:lang w:val="es-ES"/>
              </w:rPr>
              <w:t xml:space="preserve">a Lucia </w:t>
            </w:r>
            <w:r w:rsidRPr="000C0179">
              <w:rPr>
                <w:rStyle w:val="normaltextrun"/>
                <w:rFonts w:ascii="Verdana" w:hAnsi="Verdana" w:cs="Arial"/>
                <w:sz w:val="16"/>
                <w:szCs w:val="16"/>
                <w:lang w:val="es-ES"/>
              </w:rPr>
              <w:t>Saavedra</w:t>
            </w:r>
            <w:r w:rsidR="00363E49">
              <w:rPr>
                <w:rStyle w:val="normaltextrun"/>
                <w:rFonts w:ascii="Verdana" w:hAnsi="Verdana" w:cs="Arial"/>
                <w:sz w:val="16"/>
                <w:szCs w:val="16"/>
                <w:lang w:val="es-ES"/>
              </w:rPr>
              <w:t xml:space="preserve"> Castañeda</w:t>
            </w:r>
          </w:p>
          <w:p w14:paraId="408B71DB" w14:textId="50612EAC" w:rsidR="00871B59" w:rsidRPr="000C0179" w:rsidRDefault="000C0179" w:rsidP="002607A7">
            <w:pPr>
              <w:pStyle w:val="paragraph"/>
              <w:spacing w:before="0" w:beforeAutospacing="0" w:after="0" w:afterAutospacing="0"/>
              <w:contextualSpacing/>
              <w:textAlignment w:val="baseline"/>
              <w:rPr>
                <w:rFonts w:ascii="Verdana" w:hAnsi="Verdana" w:cs="Segoe UI"/>
                <w:sz w:val="16"/>
                <w:szCs w:val="16"/>
              </w:rPr>
            </w:pPr>
            <w:r w:rsidRPr="000C0179">
              <w:rPr>
                <w:rStyle w:val="normaltextrun"/>
                <w:rFonts w:ascii="Verdana" w:hAnsi="Verdana" w:cs="Arial"/>
                <w:sz w:val="16"/>
                <w:szCs w:val="16"/>
                <w:lang w:val="es-ES"/>
              </w:rPr>
              <w:t xml:space="preserve">Contratista </w:t>
            </w:r>
            <w:r w:rsidR="00871B59" w:rsidRPr="000C0179">
              <w:rPr>
                <w:rStyle w:val="normaltextrun"/>
                <w:rFonts w:ascii="Verdana" w:hAnsi="Verdana" w:cs="Arial"/>
                <w:sz w:val="16"/>
                <w:szCs w:val="16"/>
                <w:lang w:val="es-ES"/>
              </w:rPr>
              <w:t>de la Subdirección de Gestión Contractual</w:t>
            </w:r>
            <w:r w:rsidR="00871B59" w:rsidRPr="000C0179">
              <w:rPr>
                <w:rStyle w:val="eop"/>
                <w:rFonts w:ascii="Verdana" w:hAnsi="Verdana" w:cs="Arial"/>
                <w:sz w:val="16"/>
                <w:szCs w:val="16"/>
              </w:rPr>
              <w:t> </w:t>
            </w:r>
          </w:p>
        </w:tc>
      </w:tr>
      <w:tr w:rsidR="00871B59" w:rsidRPr="000C0179" w14:paraId="2A81CFC8" w14:textId="77777777" w:rsidTr="1F9252E4">
        <w:trPr>
          <w:trHeight w:val="300"/>
        </w:trPr>
        <w:tc>
          <w:tcPr>
            <w:tcW w:w="893" w:type="dxa"/>
            <w:vAlign w:val="center"/>
          </w:tcPr>
          <w:p w14:paraId="3159EE97"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0C0179" w:rsidRDefault="00871B59" w:rsidP="002607A7">
            <w:pPr>
              <w:contextualSpacing/>
              <w:rPr>
                <w:rFonts w:ascii="Verdana" w:eastAsia="Calibri" w:hAnsi="Verdana" w:cs="Arial"/>
                <w:sz w:val="16"/>
                <w:szCs w:val="16"/>
                <w:lang w:val="pt-BR" w:eastAsia="es-ES"/>
              </w:rPr>
            </w:pPr>
            <w:r w:rsidRPr="000C0179">
              <w:rPr>
                <w:rFonts w:ascii="Verdana" w:eastAsia="Calibri" w:hAnsi="Verdana" w:cs="Arial"/>
                <w:sz w:val="16"/>
                <w:szCs w:val="16"/>
                <w:lang w:val="pt-BR" w:eastAsia="es-ES"/>
              </w:rPr>
              <w:t>Carolina Quintero Gacharná</w:t>
            </w:r>
          </w:p>
          <w:p w14:paraId="6EE38C14" w14:textId="77777777" w:rsidR="00871B59" w:rsidRPr="000C0179" w:rsidRDefault="00871B59" w:rsidP="002607A7">
            <w:pPr>
              <w:contextualSpacing/>
              <w:rPr>
                <w:rFonts w:ascii="Verdana" w:eastAsia="Calibri" w:hAnsi="Verdana" w:cs="Arial"/>
                <w:sz w:val="16"/>
                <w:szCs w:val="16"/>
                <w:lang w:val="pt-BR" w:eastAsia="es-ES"/>
              </w:rPr>
            </w:pPr>
            <w:r w:rsidRPr="000C0179">
              <w:rPr>
                <w:rFonts w:ascii="Verdana" w:eastAsia="Calibri" w:hAnsi="Verdana" w:cs="Arial"/>
                <w:sz w:val="16"/>
                <w:szCs w:val="16"/>
                <w:lang w:eastAsia="es-ES"/>
              </w:rPr>
              <w:t>Subdirectora</w:t>
            </w:r>
            <w:r w:rsidRPr="000C0179">
              <w:rPr>
                <w:rFonts w:ascii="Verdana" w:eastAsia="Calibri" w:hAnsi="Verdana" w:cs="Arial"/>
                <w:sz w:val="16"/>
                <w:szCs w:val="16"/>
                <w:lang w:val="pt-BR" w:eastAsia="es-ES"/>
              </w:rPr>
              <w:t xml:space="preserve"> de Gestión Contractual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39AAB193" w:rsidR="5D8505AD" w:rsidRPr="00871B59" w:rsidRDefault="006321A5" w:rsidP="00871B59">
      <w:r w:rsidRPr="006321A5">
        <w:rPr>
          <w:noProof/>
        </w:rPr>
        <w:drawing>
          <wp:inline distT="0" distB="0" distL="0" distR="0" wp14:anchorId="646B1F67" wp14:editId="7CA0ABCC">
            <wp:extent cx="2781688" cy="381053"/>
            <wp:effectExtent l="0" t="0" r="0" b="0"/>
            <wp:docPr id="10911338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133891" name=""/>
                    <pic:cNvPicPr/>
                  </pic:nvPicPr>
                  <pic:blipFill>
                    <a:blip r:embed="rId15"/>
                    <a:stretch>
                      <a:fillRect/>
                    </a:stretch>
                  </pic:blipFill>
                  <pic:spPr>
                    <a:xfrm>
                      <a:off x="0" y="0"/>
                      <a:ext cx="2781688" cy="381053"/>
                    </a:xfrm>
                    <a:prstGeom prst="rect">
                      <a:avLst/>
                    </a:prstGeom>
                  </pic:spPr>
                </pic:pic>
              </a:graphicData>
            </a:graphic>
          </wp:inline>
        </w:drawing>
      </w:r>
    </w:p>
    <w:sectPr w:rsidR="5D8505AD" w:rsidRPr="00871B59" w:rsidSect="00E45F4B">
      <w:headerReference w:type="default" r:id="rId16"/>
      <w:footerReference w:type="default" r:id="rId17"/>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A878B4" w14:textId="77777777" w:rsidR="004525D1" w:rsidRDefault="004525D1" w:rsidP="00B30448">
      <w:pPr>
        <w:spacing w:after="0" w:line="240" w:lineRule="auto"/>
      </w:pPr>
      <w:r>
        <w:separator/>
      </w:r>
    </w:p>
  </w:endnote>
  <w:endnote w:type="continuationSeparator" w:id="0">
    <w:p w14:paraId="0E2ACEA9" w14:textId="77777777" w:rsidR="004525D1" w:rsidRDefault="004525D1" w:rsidP="00B30448">
      <w:pPr>
        <w:spacing w:after="0" w:line="240" w:lineRule="auto"/>
      </w:pPr>
      <w:r>
        <w:continuationSeparator/>
      </w:r>
    </w:p>
  </w:endnote>
  <w:endnote w:type="continuationNotice" w:id="1">
    <w:p w14:paraId="06D69CBC" w14:textId="77777777" w:rsidR="004525D1" w:rsidRDefault="004525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4930A" w14:textId="4937BE98" w:rsidR="00924606" w:rsidRDefault="00924606">
    <w:pPr>
      <w:pStyle w:val="Piedepgina"/>
    </w:pPr>
  </w:p>
  <w:p w14:paraId="769219E2" w14:textId="0E7AD052"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D0CAB" w14:textId="77777777" w:rsidR="004525D1" w:rsidRDefault="004525D1" w:rsidP="00B30448">
      <w:pPr>
        <w:spacing w:after="0" w:line="240" w:lineRule="auto"/>
      </w:pPr>
      <w:r>
        <w:separator/>
      </w:r>
    </w:p>
  </w:footnote>
  <w:footnote w:type="continuationSeparator" w:id="0">
    <w:p w14:paraId="26C8DD8D" w14:textId="77777777" w:rsidR="004525D1" w:rsidRDefault="004525D1" w:rsidP="00B30448">
      <w:pPr>
        <w:spacing w:after="0" w:line="240" w:lineRule="auto"/>
      </w:pPr>
      <w:r>
        <w:continuationSeparator/>
      </w:r>
    </w:p>
  </w:footnote>
  <w:footnote w:type="continuationNotice" w:id="1">
    <w:p w14:paraId="21DB9EC2" w14:textId="77777777" w:rsidR="004525D1" w:rsidRDefault="004525D1">
      <w:pPr>
        <w:spacing w:after="0" w:line="240" w:lineRule="auto"/>
      </w:pPr>
    </w:p>
  </w:footnote>
  <w:footnote w:id="2">
    <w:p w14:paraId="66B5DE15" w14:textId="0B5B3EAB" w:rsidR="00C3434B" w:rsidRPr="00C3434B" w:rsidRDefault="00C3434B">
      <w:pPr>
        <w:pStyle w:val="Textonotapie"/>
        <w:rPr>
          <w:rFonts w:ascii="Verdana" w:hAnsi="Verdana"/>
          <w:sz w:val="16"/>
          <w:szCs w:val="16"/>
        </w:rPr>
      </w:pPr>
      <w:r>
        <w:rPr>
          <w:rStyle w:val="Refdenotaalpie"/>
        </w:rPr>
        <w:footnoteRef/>
      </w:r>
      <w:r>
        <w:t xml:space="preserve"> </w:t>
      </w:r>
      <w:r w:rsidRPr="00C3434B">
        <w:rPr>
          <w:rFonts w:ascii="Verdana" w:hAnsi="Verdana"/>
          <w:sz w:val="16"/>
          <w:szCs w:val="16"/>
          <w:lang w:val="es-CO"/>
        </w:rPr>
        <w:t>Gaceta del Congreso de la República No. 71 del 2005.</w:t>
      </w:r>
    </w:p>
  </w:footnote>
  <w:footnote w:id="3">
    <w:p w14:paraId="364562DE" w14:textId="7794C94E" w:rsidR="004C43FA" w:rsidRDefault="004C43FA">
      <w:pPr>
        <w:pStyle w:val="Textonotapie"/>
      </w:pPr>
      <w:r>
        <w:rPr>
          <w:rStyle w:val="Refdenotaalpie"/>
        </w:rPr>
        <w:footnoteRef/>
      </w:r>
      <w:r>
        <w:t xml:space="preserve"> </w:t>
      </w:r>
      <w:r w:rsidR="00ED4E56" w:rsidRPr="00ED4E56">
        <w:rPr>
          <w:rFonts w:ascii="Verdana" w:hAnsi="Verdana"/>
          <w:sz w:val="16"/>
          <w:szCs w:val="16"/>
        </w:rPr>
        <w:t>Corte Constitucional, Sentencia C- 1153 de 2005, M.P. Marco Gerardo Monroy Cabra.</w:t>
      </w:r>
    </w:p>
  </w:footnote>
  <w:footnote w:id="4">
    <w:p w14:paraId="3C5C99F1" w14:textId="77777777" w:rsidR="00801EA4" w:rsidRPr="00801EA4" w:rsidRDefault="003E3870" w:rsidP="00801EA4">
      <w:pPr>
        <w:pStyle w:val="Textonotapie"/>
        <w:rPr>
          <w:rFonts w:ascii="Verdana" w:hAnsi="Verdana"/>
          <w:sz w:val="16"/>
          <w:szCs w:val="16"/>
        </w:rPr>
      </w:pPr>
      <w:r>
        <w:rPr>
          <w:rStyle w:val="Refdenotaalpie"/>
        </w:rPr>
        <w:footnoteRef/>
      </w:r>
      <w:r>
        <w:t xml:space="preserve"> </w:t>
      </w:r>
      <w:r w:rsidR="00801EA4" w:rsidRPr="00801EA4">
        <w:rPr>
          <w:rFonts w:ascii="Verdana" w:hAnsi="Verdana"/>
          <w:sz w:val="16"/>
          <w:szCs w:val="16"/>
        </w:rPr>
        <w:t xml:space="preserve">Corte Constitucional. Sentencias: C-233 de 4 de abril de 2002, expediente: D-3704; C-551 de 9 de </w:t>
      </w:r>
    </w:p>
    <w:p w14:paraId="478A91EF" w14:textId="77777777" w:rsidR="00801EA4" w:rsidRPr="00801EA4" w:rsidRDefault="00801EA4" w:rsidP="00801EA4">
      <w:pPr>
        <w:pStyle w:val="Textonotapie"/>
        <w:rPr>
          <w:rFonts w:ascii="Verdana" w:hAnsi="Verdana"/>
          <w:sz w:val="16"/>
          <w:szCs w:val="16"/>
        </w:rPr>
      </w:pPr>
      <w:r w:rsidRPr="00801EA4">
        <w:rPr>
          <w:rFonts w:ascii="Verdana" w:hAnsi="Verdana"/>
          <w:sz w:val="16"/>
          <w:szCs w:val="16"/>
        </w:rPr>
        <w:t>julio de 2003, expediente: CRF-001 de 9 de julio de 2003; C-652 de 5 de agosto de 2003, expediente: D</w:t>
      </w:r>
    </w:p>
    <w:p w14:paraId="2A0D606E" w14:textId="77777777" w:rsidR="00801EA4" w:rsidRPr="00801EA4" w:rsidRDefault="00801EA4" w:rsidP="00801EA4">
      <w:pPr>
        <w:pStyle w:val="Textonotapie"/>
        <w:rPr>
          <w:rFonts w:ascii="Verdana" w:hAnsi="Verdana"/>
          <w:sz w:val="16"/>
          <w:szCs w:val="16"/>
        </w:rPr>
      </w:pPr>
      <w:r w:rsidRPr="00801EA4">
        <w:rPr>
          <w:rFonts w:ascii="Verdana" w:hAnsi="Verdana"/>
          <w:sz w:val="16"/>
          <w:szCs w:val="16"/>
        </w:rPr>
        <w:t xml:space="preserve">4330; C-353 de 20 de mayo de 2009, expediente: D-7518, C-541 de 30 de junio de 2010, expediente: </w:t>
      </w:r>
    </w:p>
    <w:p w14:paraId="6CC47D46" w14:textId="5E39374C" w:rsidR="003E3870" w:rsidRDefault="00801EA4" w:rsidP="00801EA4">
      <w:pPr>
        <w:pStyle w:val="Textonotapie"/>
      </w:pPr>
      <w:r w:rsidRPr="00801EA4">
        <w:rPr>
          <w:rFonts w:ascii="Verdana" w:hAnsi="Verdana"/>
          <w:sz w:val="16"/>
          <w:szCs w:val="16"/>
          <w:lang w:val="es-CO"/>
        </w:rPr>
        <w:t>DD7966; entre otras.</w:t>
      </w:r>
    </w:p>
  </w:footnote>
  <w:footnote w:id="5">
    <w:p w14:paraId="5EC92CAF" w14:textId="5056D4AA" w:rsidR="00801EA4" w:rsidRDefault="00801EA4">
      <w:pPr>
        <w:pStyle w:val="Textonotapie"/>
      </w:pPr>
      <w:r>
        <w:rPr>
          <w:rStyle w:val="Refdenotaalpie"/>
        </w:rPr>
        <w:footnoteRef/>
      </w:r>
      <w:r>
        <w:t xml:space="preserve"> </w:t>
      </w:r>
      <w:r w:rsidR="00A344CC" w:rsidRPr="00A344CC">
        <w:rPr>
          <w:rFonts w:ascii="Verdana" w:hAnsi="Verdana"/>
          <w:sz w:val="16"/>
          <w:szCs w:val="16"/>
          <w:lang w:val="es-CO"/>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35376299" w14:textId="5C10A777" w:rsidR="00A344CC" w:rsidRDefault="00A344CC">
      <w:pPr>
        <w:pStyle w:val="Textonotapie"/>
      </w:pPr>
      <w:r>
        <w:rPr>
          <w:rStyle w:val="Refdenotaalpie"/>
        </w:rPr>
        <w:footnoteRef/>
      </w:r>
      <w:r>
        <w:t xml:space="preserve"> </w:t>
      </w:r>
      <w:r w:rsidR="00A22FD5" w:rsidRPr="00A22FD5">
        <w:rPr>
          <w:rFonts w:ascii="Verdana" w:hAnsi="Verdana"/>
          <w:sz w:val="16"/>
          <w:szCs w:val="16"/>
          <w:lang w:val="es-CO"/>
        </w:rPr>
        <w:t>Consejo de Estado, Sala de Consulta y Servicio Civil de fecha 24 de julio de 2013, radicado 2166, C. P. Álvaro Namén Vargas.</w:t>
      </w:r>
    </w:p>
  </w:footnote>
  <w:footnote w:id="7">
    <w:p w14:paraId="4F2D7561" w14:textId="74420605" w:rsidR="00C031DF" w:rsidRDefault="00C031DF">
      <w:pPr>
        <w:pStyle w:val="Textonotapie"/>
      </w:pPr>
      <w:r>
        <w:rPr>
          <w:rStyle w:val="Refdenotaalpie"/>
        </w:rPr>
        <w:footnoteRef/>
      </w:r>
      <w:r>
        <w:t xml:space="preserve"> </w:t>
      </w:r>
      <w:r w:rsidRPr="00C031DF">
        <w:rPr>
          <w:lang w:val="es-CO"/>
        </w:rPr>
        <w:t>“</w:t>
      </w:r>
      <w:r w:rsidRPr="00C031DF">
        <w:rPr>
          <w:rFonts w:ascii="Verdana" w:hAnsi="Verdana"/>
          <w:sz w:val="16"/>
          <w:szCs w:val="16"/>
          <w:lang w:val="es-CO"/>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footnote>
  <w:footnote w:id="8">
    <w:p w14:paraId="0934706E" w14:textId="503578E3" w:rsidR="00506C2F" w:rsidRDefault="00506C2F">
      <w:pPr>
        <w:pStyle w:val="Textonotapie"/>
      </w:pPr>
      <w:r>
        <w:rPr>
          <w:rStyle w:val="Refdenotaalpie"/>
        </w:rPr>
        <w:footnoteRef/>
      </w:r>
      <w:r>
        <w:t xml:space="preserve"> </w:t>
      </w:r>
      <w:r w:rsidRPr="00506C2F">
        <w:rPr>
          <w:rFonts w:ascii="Verdana" w:hAnsi="Verdana"/>
          <w:sz w:val="16"/>
          <w:szCs w:val="16"/>
          <w:lang w:val="es-CO"/>
        </w:rPr>
        <w:t>“Artículo 38. Prohibiciones para los servidores públicos. A los empleados del Estado les está prohibido: […] Parágrafo.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footnote>
  <w:footnote w:id="9">
    <w:p w14:paraId="7D3B4377" w14:textId="155FD2D3" w:rsidR="00AF6B6F" w:rsidRDefault="00AF6B6F">
      <w:pPr>
        <w:pStyle w:val="Textonotapie"/>
      </w:pPr>
      <w:r>
        <w:rPr>
          <w:rStyle w:val="Refdenotaalpie"/>
        </w:rPr>
        <w:footnoteRef/>
      </w:r>
      <w:r>
        <w:t xml:space="preserve"> </w:t>
      </w:r>
      <w:r w:rsidRPr="00AF6B6F">
        <w:rPr>
          <w:rFonts w:ascii="Verdana" w:hAnsi="Verdana"/>
          <w:sz w:val="16"/>
          <w:szCs w:val="16"/>
          <w:lang w:val="es-CO"/>
        </w:rPr>
        <w:t>Consejo de Estado. Sala de Consulta y Servicio Civil. Concepto del 17 de febrero de 2015. C.P. William Zambrano Cetina. Radicación No. 11001-03-06-000-2015-00164-00(2269).</w:t>
      </w:r>
    </w:p>
  </w:footnote>
  <w:footnote w:id="10">
    <w:p w14:paraId="2230EC71" w14:textId="60ACC037" w:rsidR="000147D5" w:rsidRDefault="000147D5">
      <w:pPr>
        <w:pStyle w:val="Textonotapie"/>
      </w:pPr>
      <w:r>
        <w:rPr>
          <w:rStyle w:val="Refdenotaalpie"/>
        </w:rPr>
        <w:footnoteRef/>
      </w:r>
      <w:r>
        <w:t xml:space="preserve"> </w:t>
      </w:r>
      <w:r w:rsidR="00B16EE5" w:rsidRPr="00B16EE5">
        <w:rPr>
          <w:rFonts w:ascii="Verdana" w:hAnsi="Verdana"/>
          <w:sz w:val="16"/>
          <w:szCs w:val="16"/>
        </w:rPr>
        <w:t>“</w:t>
      </w:r>
      <w:r w:rsidR="00B16EE5" w:rsidRPr="00B16EE5">
        <w:rPr>
          <w:rFonts w:ascii="Verdana" w:hAnsi="Verdana"/>
          <w:sz w:val="16"/>
          <w:szCs w:val="16"/>
          <w:lang w:val="es-CO"/>
        </w:rPr>
        <w:t>[25] Cfr. Consejo de Estado. Sección Tercera. Sentencia de 3 de diciembre de 2007. Radicados: 24.715, 25.206, 25.409, 24.524, 27.834, 25.410, 26.105, 28.244, 31.447 -acumulados-”. 10 “[26] Al respecto ver el concepto 1712 de 2 de febrero de 2006. Consejo de Estado Sala de Consulta y Servicio Civil”.</w:t>
      </w:r>
    </w:p>
  </w:footnote>
  <w:footnote w:id="11">
    <w:p w14:paraId="5A3BC8F5" w14:textId="06258445" w:rsidR="00E6345E" w:rsidRDefault="00E6345E">
      <w:pPr>
        <w:pStyle w:val="Textonotapie"/>
      </w:pPr>
      <w:r>
        <w:rPr>
          <w:rStyle w:val="Refdenotaalpie"/>
        </w:rPr>
        <w:footnoteRef/>
      </w:r>
      <w:r>
        <w:t xml:space="preserve"> </w:t>
      </w:r>
      <w:r w:rsidRPr="00E6345E">
        <w:rPr>
          <w:rFonts w:ascii="Verdana" w:hAnsi="Verdana"/>
          <w:sz w:val="16"/>
          <w:szCs w:val="16"/>
          <w:lang w:val="es-CO"/>
        </w:rPr>
        <w:t>“[26] Al respecto ver el concepto 1712 de 2 de febrero de 2006. Consejo de Estado Sala de Consulta y Servicio Civil”.</w:t>
      </w:r>
    </w:p>
  </w:footnote>
  <w:footnote w:id="12">
    <w:p w14:paraId="756FF07E" w14:textId="7764EED2" w:rsidR="00A85FE3" w:rsidRDefault="00A85FE3">
      <w:pPr>
        <w:pStyle w:val="Textonotapie"/>
      </w:pPr>
      <w:r>
        <w:rPr>
          <w:rStyle w:val="Refdenotaalpie"/>
        </w:rPr>
        <w:footnoteRef/>
      </w:r>
      <w:r>
        <w:t xml:space="preserve"> </w:t>
      </w:r>
      <w:r w:rsidRPr="00A85FE3">
        <w:rPr>
          <w:rFonts w:ascii="Verdana" w:hAnsi="Verdana"/>
          <w:sz w:val="16"/>
          <w:szCs w:val="16"/>
          <w:lang w:val="es-CO"/>
        </w:rPr>
        <w:t>Consejo de Estado. Sala de Consulta y Servicio Civil. Concepto del 2 de septiembre de 2013. Radicación número: 11001-03-06-000-2013-00412-00 (2168). Consejero Ponente: Álvaro Namén Vargas.</w:t>
      </w:r>
    </w:p>
  </w:footnote>
  <w:footnote w:id="13">
    <w:p w14:paraId="34D3115F" w14:textId="7BE08D23" w:rsidR="00B1699A" w:rsidRDefault="00B1699A">
      <w:pPr>
        <w:pStyle w:val="Textonotapie"/>
      </w:pPr>
      <w:r>
        <w:rPr>
          <w:rStyle w:val="Refdenotaalpie"/>
        </w:rPr>
        <w:footnoteRef/>
      </w:r>
      <w:r>
        <w:t xml:space="preserve"> </w:t>
      </w:r>
      <w:r w:rsidRPr="00B1699A">
        <w:rPr>
          <w:rFonts w:ascii="Verdana" w:hAnsi="Verdana"/>
          <w:sz w:val="16"/>
          <w:szCs w:val="16"/>
        </w:rPr>
        <w:t>Artículo 2.</w:t>
      </w:r>
    </w:p>
  </w:footnote>
  <w:footnote w:id="14">
    <w:p w14:paraId="509A3147" w14:textId="0324AEEB" w:rsidR="0066246E" w:rsidRDefault="0066246E">
      <w:pPr>
        <w:pStyle w:val="Textonotapie"/>
      </w:pPr>
      <w:r>
        <w:rPr>
          <w:rStyle w:val="Refdenotaalpie"/>
        </w:rPr>
        <w:footnoteRef/>
      </w:r>
      <w:r>
        <w:t xml:space="preserve"> </w:t>
      </w:r>
      <w:r w:rsidRPr="0066246E">
        <w:rPr>
          <w:rFonts w:ascii="Verdana" w:hAnsi="Verdana"/>
          <w:sz w:val="16"/>
          <w:szCs w:val="16"/>
        </w:rPr>
        <w:t>Ibidem.</w:t>
      </w:r>
      <w:r w:rsidRPr="0066246E">
        <w:rPr>
          <w:sz w:val="16"/>
          <w:szCs w:val="16"/>
        </w:rPr>
        <w:t xml:space="preserve"> </w:t>
      </w:r>
    </w:p>
  </w:footnote>
  <w:footnote w:id="15">
    <w:p w14:paraId="6B7D7E20" w14:textId="37848E21" w:rsidR="00451384" w:rsidRDefault="00451384">
      <w:pPr>
        <w:pStyle w:val="Textonotapie"/>
      </w:pPr>
      <w:r>
        <w:rPr>
          <w:rStyle w:val="Refdenotaalpie"/>
        </w:rPr>
        <w:footnoteRef/>
      </w:r>
      <w:r>
        <w:t xml:space="preserve"> </w:t>
      </w:r>
      <w:r w:rsidR="000661D8" w:rsidRPr="000661D8">
        <w:rPr>
          <w:rFonts w:ascii="Verdana" w:hAnsi="Verdana"/>
          <w:sz w:val="16"/>
          <w:szCs w:val="16"/>
          <w:lang w:val="es-CO"/>
        </w:rPr>
        <w:t xml:space="preserve">Consejo de Estado. Sala de Consulta y Servicio Civil. Concepto del 08 de mayo de 2018. </w:t>
      </w:r>
      <w:r w:rsidR="000661D8" w:rsidRPr="000661D8">
        <w:rPr>
          <w:rFonts w:ascii="Verdana" w:hAnsi="Verdana"/>
          <w:sz w:val="16"/>
          <w:szCs w:val="16"/>
          <w:lang w:val="es-CO"/>
        </w:rPr>
        <w:t>Exp. 2.382. C.P. Álvaro Namén Vargas</w:t>
      </w:r>
      <w:r w:rsidR="000661D8">
        <w:rPr>
          <w:rFonts w:ascii="Verdana" w:hAnsi="Verdana"/>
          <w:sz w:val="16"/>
          <w:szCs w:val="16"/>
          <w:lang w:val="es-CO"/>
        </w:rPr>
        <w:t xml:space="preserve">. </w:t>
      </w:r>
    </w:p>
  </w:footnote>
  <w:footnote w:id="16">
    <w:p w14:paraId="456DC752" w14:textId="3652CB23" w:rsidR="00055D4A" w:rsidRDefault="00055D4A">
      <w:pPr>
        <w:pStyle w:val="Textonotapie"/>
      </w:pPr>
      <w:r>
        <w:rPr>
          <w:rStyle w:val="Refdenotaalpie"/>
        </w:rPr>
        <w:footnoteRef/>
      </w:r>
      <w:r>
        <w:t xml:space="preserve"> </w:t>
      </w:r>
    </w:p>
  </w:footnote>
  <w:footnote w:id="17">
    <w:p w14:paraId="7CCFA09F" w14:textId="25F67F6A" w:rsidR="00406DA5" w:rsidRPr="001F1231" w:rsidRDefault="00406DA5">
      <w:pPr>
        <w:pStyle w:val="Textonotapie"/>
        <w:rPr>
          <w:rFonts w:ascii="Verdana" w:hAnsi="Verdana"/>
          <w:sz w:val="16"/>
          <w:szCs w:val="16"/>
        </w:rPr>
      </w:pPr>
      <w:r>
        <w:rPr>
          <w:rStyle w:val="Refdenotaalpie"/>
        </w:rPr>
        <w:footnoteRef/>
      </w:r>
      <w:r>
        <w:t xml:space="preserve"> </w:t>
      </w:r>
      <w:r w:rsidR="001F1231" w:rsidRPr="001F1231">
        <w:rPr>
          <w:rFonts w:ascii="Verdana" w:hAnsi="Verdana"/>
          <w:sz w:val="16"/>
          <w:szCs w:val="16"/>
          <w:lang w:val="es-CO"/>
        </w:rPr>
        <w:t>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066B1B41" w14:textId="78FF8413" w:rsidR="001913E6" w:rsidRDefault="001913E6">
      <w:pPr>
        <w:pStyle w:val="Textonotapie"/>
      </w:pPr>
      <w:r>
        <w:rPr>
          <w:rStyle w:val="Refdenotaalpie"/>
        </w:rPr>
        <w:footnoteRef/>
      </w:r>
      <w:r>
        <w:t xml:space="preserve"> </w:t>
      </w:r>
      <w:r w:rsidR="007A2955" w:rsidRPr="007A2955">
        <w:rPr>
          <w:rFonts w:ascii="Verdana" w:hAnsi="Verdana"/>
          <w:sz w:val="16"/>
          <w:szCs w:val="16"/>
          <w:lang w:val="es-CO"/>
        </w:rPr>
        <w:t>Consejo de Estado. Sala de Consulta y Servicio Civil. Concepto de 6 de abril de 2006. Radicación Número: 11001-03-06-000-2006-00038-00 (1738). C.P. Enrique José Arboleda Perdomo: “Si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p>
  </w:footnote>
  <w:footnote w:id="19">
    <w:p w14:paraId="78635793" w14:textId="6CB80D5E" w:rsidR="00A3556C" w:rsidRDefault="00A3556C">
      <w:pPr>
        <w:pStyle w:val="Textonotapie"/>
      </w:pPr>
      <w:r>
        <w:rPr>
          <w:rStyle w:val="Refdenotaalpie"/>
        </w:rPr>
        <w:footnoteRef/>
      </w:r>
      <w:r>
        <w:t xml:space="preserve"> </w:t>
      </w:r>
    </w:p>
  </w:footnote>
  <w:footnote w:id="20">
    <w:p w14:paraId="5766975A" w14:textId="63D0EB15" w:rsidR="00073779" w:rsidRDefault="00073779">
      <w:pPr>
        <w:pStyle w:val="Textonotapie"/>
      </w:pPr>
      <w:r>
        <w:rPr>
          <w:rStyle w:val="Refdenotaalpie"/>
        </w:rPr>
        <w:footnoteRef/>
      </w:r>
      <w:r>
        <w:t xml:space="preserve"> </w:t>
      </w:r>
      <w:r w:rsidR="00E76878" w:rsidRPr="00E76878">
        <w:rPr>
          <w:rFonts w:ascii="Verdana" w:hAnsi="Verdana"/>
          <w:sz w:val="16"/>
          <w:szCs w:val="16"/>
          <w:lang w:val="es-CO"/>
        </w:rPr>
        <w:t>Consejo de Estado. Sala de Consulta y Servicio Civil, ídem</w:t>
      </w:r>
      <w:r w:rsidR="00E76878">
        <w:rPr>
          <w:rFonts w:ascii="Verdana" w:hAnsi="Verdana"/>
          <w:sz w:val="16"/>
          <w:szCs w:val="16"/>
          <w:lang w:val="es-CO"/>
        </w:rPr>
        <w:t>.</w:t>
      </w:r>
    </w:p>
  </w:footnote>
  <w:footnote w:id="21">
    <w:p w14:paraId="280C9D55" w14:textId="1992569C" w:rsidR="00757433" w:rsidRDefault="00757433">
      <w:pPr>
        <w:pStyle w:val="Textonotapie"/>
      </w:pPr>
      <w:r>
        <w:rPr>
          <w:rStyle w:val="Refdenotaalpie"/>
        </w:rPr>
        <w:footnoteRef/>
      </w:r>
      <w:r>
        <w:t xml:space="preserve"> </w:t>
      </w:r>
      <w:r w:rsidR="00E5108E" w:rsidRPr="00E5108E">
        <w:rPr>
          <w:rFonts w:ascii="Verdana" w:hAnsi="Verdana"/>
          <w:sz w:val="16"/>
          <w:szCs w:val="16"/>
          <w:lang w:val="es-CO"/>
        </w:rPr>
        <w:t>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2FFA8B14" w14:textId="220BA4BE" w:rsidR="00E5108E" w:rsidRDefault="00E5108E">
      <w:pPr>
        <w:pStyle w:val="Textonotapie"/>
      </w:pPr>
      <w:r>
        <w:rPr>
          <w:rStyle w:val="Refdenotaalpie"/>
        </w:rPr>
        <w:footnoteRef/>
      </w:r>
      <w:r>
        <w:t xml:space="preserve"> </w:t>
      </w:r>
    </w:p>
  </w:footnote>
  <w:footnote w:id="23">
    <w:p w14:paraId="22CB76A0" w14:textId="4922523C" w:rsidR="00F26DB2" w:rsidRDefault="00F26DB2">
      <w:pPr>
        <w:pStyle w:val="Textonotapie"/>
      </w:pPr>
      <w:r>
        <w:rPr>
          <w:rStyle w:val="Refdenotaalpie"/>
        </w:rPr>
        <w:footnoteRef/>
      </w:r>
      <w:r>
        <w:t xml:space="preserve"> </w:t>
      </w:r>
      <w:r w:rsidRPr="00F26DB2">
        <w:rPr>
          <w:rFonts w:ascii="Verdana" w:hAnsi="Verdana"/>
          <w:sz w:val="16"/>
          <w:szCs w:val="16"/>
          <w:lang w:val="es-CO"/>
        </w:rPr>
        <w:t>«Artículo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4">
    <w:p w14:paraId="16B77779" w14:textId="7682900C" w:rsidR="003D6B5D" w:rsidRDefault="003D6B5D">
      <w:pPr>
        <w:pStyle w:val="Textonotapie"/>
      </w:pPr>
      <w:r>
        <w:rPr>
          <w:rStyle w:val="Refdenotaalpie"/>
        </w:rPr>
        <w:footnoteRef/>
      </w:r>
      <w:r>
        <w:t xml:space="preserve"> </w:t>
      </w:r>
      <w:r w:rsidR="00CE422E" w:rsidRPr="00CE422E">
        <w:rPr>
          <w:rFonts w:ascii="Verdana" w:hAnsi="Verdana"/>
          <w:sz w:val="16"/>
          <w:szCs w:val="16"/>
          <w:lang w:val="es-CO"/>
        </w:rPr>
        <w:t xml:space="preserve">El artículo 2.8.8.1.4.2 del Decreto 780 de 2016 dispone que «Para efectos de la aplicación del presente Capítulo, entiéndase por Autoridades Sanitarias del </w:t>
      </w:r>
      <w:r w:rsidR="00CE422E" w:rsidRPr="00CE422E">
        <w:rPr>
          <w:rFonts w:ascii="Verdana" w:hAnsi="Verdana"/>
          <w:sz w:val="16"/>
          <w:szCs w:val="16"/>
          <w:lang w:val="es-CO"/>
        </w:rPr>
        <w:t>Sivigila, el Ministerio de Salud y Protección Social; el Instituto Nacional de Salud (INS); el Instituto Nacional de Vigilancia de Medicamentos y Alimentos (Invima)</w:t>
      </w:r>
      <w:r w:rsidR="00CE422E">
        <w:rPr>
          <w:rFonts w:ascii="Verdana" w:hAnsi="Verdana"/>
          <w:sz w:val="16"/>
          <w:szCs w:val="16"/>
          <w:lang w:val="es-CO"/>
        </w:rPr>
        <w:t xml:space="preserve">, </w:t>
      </w:r>
      <w:r w:rsidR="00CE422E" w:rsidRPr="00CE422E">
        <w:rPr>
          <w:rFonts w:ascii="Verdana" w:hAnsi="Verdana"/>
          <w:sz w:val="16"/>
          <w:szCs w:val="16"/>
          <w:lang w:val="es-CO"/>
        </w:rPr>
        <w:t>las Direcciones Territoriales de Salud, y todas aquellas entidades que de acuerdo con la ley ejerzan funciones de vigilancia y control sanitario, las cuales deben adoptar medidas sanitarias que garanticen la protección de la salud pública y el cumplimiento de lo dispuesto en esta norma, así como adelantar los procedimientos y aplicar las sanciones a que hubiere lugar» (Énfasis fuera de texto).</w:t>
      </w:r>
    </w:p>
  </w:footnote>
  <w:footnote w:id="25">
    <w:p w14:paraId="004DE6E4" w14:textId="4A63DA00" w:rsidR="003A085E" w:rsidRDefault="003A085E">
      <w:pPr>
        <w:pStyle w:val="Textonotapie"/>
      </w:pPr>
      <w:r>
        <w:rPr>
          <w:rStyle w:val="Refdenotaalpie"/>
        </w:rPr>
        <w:footnoteRef/>
      </w:r>
      <w:r>
        <w:t xml:space="preserve"> </w:t>
      </w:r>
    </w:p>
  </w:footnote>
  <w:footnote w:id="26">
    <w:p w14:paraId="1D96E695" w14:textId="6821A21D" w:rsidR="003A085E" w:rsidRDefault="003A085E">
      <w:pPr>
        <w:pStyle w:val="Textonotapie"/>
      </w:pPr>
      <w:r>
        <w:rPr>
          <w:rStyle w:val="Refdenotaalpie"/>
        </w:rPr>
        <w:footnoteRef/>
      </w:r>
      <w:r>
        <w:t xml:space="preserve"> </w:t>
      </w:r>
    </w:p>
  </w:footnote>
  <w:footnote w:id="27">
    <w:p w14:paraId="785490A8" w14:textId="7AE43DB7" w:rsidR="003A085E" w:rsidRDefault="003A085E">
      <w:pPr>
        <w:pStyle w:val="Textonotapie"/>
      </w:pPr>
      <w:r>
        <w:rPr>
          <w:rStyle w:val="Refdenotaalpie"/>
        </w:rPr>
        <w:footnoteRef/>
      </w:r>
      <w:r>
        <w:t xml:space="preserve"> </w:t>
      </w:r>
    </w:p>
  </w:footnote>
  <w:footnote w:id="28">
    <w:p w14:paraId="770A6FB3" w14:textId="5C292C98" w:rsidR="003A085E" w:rsidRDefault="003A085E">
      <w:pPr>
        <w:pStyle w:val="Textonotapie"/>
      </w:pPr>
      <w:r>
        <w:rPr>
          <w:rStyle w:val="Refdenotaalpie"/>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5B09E1"/>
    <w:multiLevelType w:val="multilevel"/>
    <w:tmpl w:val="3E7A3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2F57F6"/>
    <w:multiLevelType w:val="multilevel"/>
    <w:tmpl w:val="A7B0B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D4507B2"/>
    <w:multiLevelType w:val="multilevel"/>
    <w:tmpl w:val="B100C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DD4726B"/>
    <w:multiLevelType w:val="hybridMultilevel"/>
    <w:tmpl w:val="BDD29704"/>
    <w:lvl w:ilvl="0" w:tplc="240A0017">
      <w:start w:val="1"/>
      <w:numFmt w:val="lowerLetter"/>
      <w:lvlText w:val="%1)"/>
      <w:lvlJc w:val="left"/>
      <w:pPr>
        <w:ind w:left="1776" w:hanging="36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8" w15:restartNumberingAfterBreak="0">
    <w:nsid w:val="28323489"/>
    <w:multiLevelType w:val="multilevel"/>
    <w:tmpl w:val="31FAB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C40893"/>
    <w:multiLevelType w:val="multilevel"/>
    <w:tmpl w:val="39721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AE55F55"/>
    <w:multiLevelType w:val="multilevel"/>
    <w:tmpl w:val="03729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0697C0B"/>
    <w:multiLevelType w:val="multilevel"/>
    <w:tmpl w:val="2C0C4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19858B6"/>
    <w:multiLevelType w:val="multilevel"/>
    <w:tmpl w:val="00AC4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DBC1366"/>
    <w:multiLevelType w:val="hybridMultilevel"/>
    <w:tmpl w:val="6FA0AF46"/>
    <w:lvl w:ilvl="0" w:tplc="240A001B">
      <w:start w:val="1"/>
      <w:numFmt w:val="low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5297BFA"/>
    <w:multiLevelType w:val="multilevel"/>
    <w:tmpl w:val="CCFEB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624AC3"/>
    <w:multiLevelType w:val="multilevel"/>
    <w:tmpl w:val="A7E48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20" w15:restartNumberingAfterBreak="0">
    <w:nsid w:val="4D9F13BF"/>
    <w:multiLevelType w:val="hybridMultilevel"/>
    <w:tmpl w:val="DE5E56D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58615BE6"/>
    <w:multiLevelType w:val="multilevel"/>
    <w:tmpl w:val="A6407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CC94489"/>
    <w:multiLevelType w:val="multilevel"/>
    <w:tmpl w:val="1D547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B8B0B5D"/>
    <w:multiLevelType w:val="multilevel"/>
    <w:tmpl w:val="4B22B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37B01C7"/>
    <w:multiLevelType w:val="multilevel"/>
    <w:tmpl w:val="D3526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51519448">
    <w:abstractNumId w:val="14"/>
  </w:num>
  <w:num w:numId="2" w16cid:durableId="288321748">
    <w:abstractNumId w:val="4"/>
  </w:num>
  <w:num w:numId="3" w16cid:durableId="1425682749">
    <w:abstractNumId w:val="5"/>
  </w:num>
  <w:num w:numId="4" w16cid:durableId="1227110730">
    <w:abstractNumId w:val="0"/>
  </w:num>
  <w:num w:numId="5" w16cid:durableId="53050407">
    <w:abstractNumId w:val="19"/>
  </w:num>
  <w:num w:numId="6" w16cid:durableId="2107847440">
    <w:abstractNumId w:val="3"/>
  </w:num>
  <w:num w:numId="7" w16cid:durableId="144056749">
    <w:abstractNumId w:val="12"/>
  </w:num>
  <w:num w:numId="8" w16cid:durableId="531266698">
    <w:abstractNumId w:val="15"/>
  </w:num>
  <w:num w:numId="9" w16cid:durableId="1195463567">
    <w:abstractNumId w:val="13"/>
  </w:num>
  <w:num w:numId="10" w16cid:durableId="1486701116">
    <w:abstractNumId w:val="22"/>
  </w:num>
  <w:num w:numId="11" w16cid:durableId="320037402">
    <w:abstractNumId w:val="11"/>
  </w:num>
  <w:num w:numId="12" w16cid:durableId="584993783">
    <w:abstractNumId w:val="17"/>
  </w:num>
  <w:num w:numId="13" w16cid:durableId="1476605231">
    <w:abstractNumId w:val="1"/>
  </w:num>
  <w:num w:numId="14" w16cid:durableId="1268468373">
    <w:abstractNumId w:val="6"/>
  </w:num>
  <w:num w:numId="15" w16cid:durableId="1713798584">
    <w:abstractNumId w:val="24"/>
  </w:num>
  <w:num w:numId="16" w16cid:durableId="830215544">
    <w:abstractNumId w:val="21"/>
  </w:num>
  <w:num w:numId="17" w16cid:durableId="1172642617">
    <w:abstractNumId w:val="18"/>
  </w:num>
  <w:num w:numId="18" w16cid:durableId="205409613">
    <w:abstractNumId w:val="2"/>
  </w:num>
  <w:num w:numId="19" w16cid:durableId="390619676">
    <w:abstractNumId w:val="9"/>
  </w:num>
  <w:num w:numId="20" w16cid:durableId="582181800">
    <w:abstractNumId w:val="10"/>
  </w:num>
  <w:num w:numId="21" w16cid:durableId="841042455">
    <w:abstractNumId w:val="23"/>
  </w:num>
  <w:num w:numId="22" w16cid:durableId="738359244">
    <w:abstractNumId w:val="8"/>
  </w:num>
  <w:num w:numId="23" w16cid:durableId="406538267">
    <w:abstractNumId w:val="20"/>
  </w:num>
  <w:num w:numId="24" w16cid:durableId="1740707658">
    <w:abstractNumId w:val="16"/>
  </w:num>
  <w:num w:numId="25" w16cid:durableId="11482054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03E4"/>
    <w:rsid w:val="00000577"/>
    <w:rsid w:val="000016F3"/>
    <w:rsid w:val="000037AE"/>
    <w:rsid w:val="00005BB0"/>
    <w:rsid w:val="0001025F"/>
    <w:rsid w:val="0001222D"/>
    <w:rsid w:val="000135EB"/>
    <w:rsid w:val="0001396F"/>
    <w:rsid w:val="000147D5"/>
    <w:rsid w:val="00015D2B"/>
    <w:rsid w:val="00031584"/>
    <w:rsid w:val="0003277D"/>
    <w:rsid w:val="00032A0E"/>
    <w:rsid w:val="000334F0"/>
    <w:rsid w:val="00037347"/>
    <w:rsid w:val="000442CC"/>
    <w:rsid w:val="00046556"/>
    <w:rsid w:val="00052D60"/>
    <w:rsid w:val="000556D4"/>
    <w:rsid w:val="00055D4A"/>
    <w:rsid w:val="0006284D"/>
    <w:rsid w:val="000661D8"/>
    <w:rsid w:val="000716AB"/>
    <w:rsid w:val="00073779"/>
    <w:rsid w:val="00074E6F"/>
    <w:rsid w:val="00077CD9"/>
    <w:rsid w:val="00082E4C"/>
    <w:rsid w:val="000849D5"/>
    <w:rsid w:val="0008528F"/>
    <w:rsid w:val="000860EF"/>
    <w:rsid w:val="00095118"/>
    <w:rsid w:val="0009754A"/>
    <w:rsid w:val="000A0476"/>
    <w:rsid w:val="000A089B"/>
    <w:rsid w:val="000A4569"/>
    <w:rsid w:val="000A52D9"/>
    <w:rsid w:val="000A6E0C"/>
    <w:rsid w:val="000A7A56"/>
    <w:rsid w:val="000B1FF7"/>
    <w:rsid w:val="000B2513"/>
    <w:rsid w:val="000B2D4B"/>
    <w:rsid w:val="000B32D7"/>
    <w:rsid w:val="000B4024"/>
    <w:rsid w:val="000C0179"/>
    <w:rsid w:val="000C3C51"/>
    <w:rsid w:val="000C7262"/>
    <w:rsid w:val="000D2A7F"/>
    <w:rsid w:val="000D4FCE"/>
    <w:rsid w:val="0011037E"/>
    <w:rsid w:val="00124E06"/>
    <w:rsid w:val="00130752"/>
    <w:rsid w:val="001328F4"/>
    <w:rsid w:val="001363C7"/>
    <w:rsid w:val="00141AC5"/>
    <w:rsid w:val="00146B11"/>
    <w:rsid w:val="00147A04"/>
    <w:rsid w:val="00147CC3"/>
    <w:rsid w:val="00151579"/>
    <w:rsid w:val="00152A9D"/>
    <w:rsid w:val="0015476D"/>
    <w:rsid w:val="001572A7"/>
    <w:rsid w:val="00161E13"/>
    <w:rsid w:val="00161F0B"/>
    <w:rsid w:val="001633B7"/>
    <w:rsid w:val="00164AE0"/>
    <w:rsid w:val="00165CA3"/>
    <w:rsid w:val="00165E83"/>
    <w:rsid w:val="00166CD7"/>
    <w:rsid w:val="0017120C"/>
    <w:rsid w:val="00172F3A"/>
    <w:rsid w:val="001731AE"/>
    <w:rsid w:val="0019046E"/>
    <w:rsid w:val="001913E6"/>
    <w:rsid w:val="0019532A"/>
    <w:rsid w:val="0019670E"/>
    <w:rsid w:val="00197205"/>
    <w:rsid w:val="001A1FF9"/>
    <w:rsid w:val="001A4F05"/>
    <w:rsid w:val="001A5DD4"/>
    <w:rsid w:val="001A67E9"/>
    <w:rsid w:val="001A6B81"/>
    <w:rsid w:val="001B143B"/>
    <w:rsid w:val="001B21CA"/>
    <w:rsid w:val="001B504D"/>
    <w:rsid w:val="001C04FC"/>
    <w:rsid w:val="001C25A3"/>
    <w:rsid w:val="001C49A6"/>
    <w:rsid w:val="001C5D03"/>
    <w:rsid w:val="001C7771"/>
    <w:rsid w:val="001D62FF"/>
    <w:rsid w:val="001E4FEE"/>
    <w:rsid w:val="001F1231"/>
    <w:rsid w:val="001F1F4E"/>
    <w:rsid w:val="001F3F48"/>
    <w:rsid w:val="001F6B20"/>
    <w:rsid w:val="001F7BCA"/>
    <w:rsid w:val="002000AA"/>
    <w:rsid w:val="002038E8"/>
    <w:rsid w:val="00204109"/>
    <w:rsid w:val="00206491"/>
    <w:rsid w:val="00211E6E"/>
    <w:rsid w:val="00212A46"/>
    <w:rsid w:val="00213139"/>
    <w:rsid w:val="0021401D"/>
    <w:rsid w:val="002146B8"/>
    <w:rsid w:val="00215516"/>
    <w:rsid w:val="00217BC0"/>
    <w:rsid w:val="00230CDC"/>
    <w:rsid w:val="00235CB7"/>
    <w:rsid w:val="002527C2"/>
    <w:rsid w:val="002576A5"/>
    <w:rsid w:val="002601FD"/>
    <w:rsid w:val="002614F4"/>
    <w:rsid w:val="00270443"/>
    <w:rsid w:val="00270EE2"/>
    <w:rsid w:val="00272972"/>
    <w:rsid w:val="00281C77"/>
    <w:rsid w:val="00283C59"/>
    <w:rsid w:val="00286491"/>
    <w:rsid w:val="0029574E"/>
    <w:rsid w:val="00297B37"/>
    <w:rsid w:val="002A0F8D"/>
    <w:rsid w:val="002A3CC8"/>
    <w:rsid w:val="002A69BB"/>
    <w:rsid w:val="002B6753"/>
    <w:rsid w:val="002B6E44"/>
    <w:rsid w:val="002B6F76"/>
    <w:rsid w:val="002B74B1"/>
    <w:rsid w:val="002B7772"/>
    <w:rsid w:val="002C659D"/>
    <w:rsid w:val="002D2D96"/>
    <w:rsid w:val="002E1DB5"/>
    <w:rsid w:val="002E59FF"/>
    <w:rsid w:val="002F6CCB"/>
    <w:rsid w:val="003005CC"/>
    <w:rsid w:val="0030461E"/>
    <w:rsid w:val="0030733C"/>
    <w:rsid w:val="0031294B"/>
    <w:rsid w:val="0032113E"/>
    <w:rsid w:val="003271D9"/>
    <w:rsid w:val="0032756A"/>
    <w:rsid w:val="00334EF8"/>
    <w:rsid w:val="00336408"/>
    <w:rsid w:val="00340DFB"/>
    <w:rsid w:val="0034404F"/>
    <w:rsid w:val="00350994"/>
    <w:rsid w:val="00356980"/>
    <w:rsid w:val="00363E49"/>
    <w:rsid w:val="00364928"/>
    <w:rsid w:val="00366E10"/>
    <w:rsid w:val="00367462"/>
    <w:rsid w:val="00371ECA"/>
    <w:rsid w:val="00372748"/>
    <w:rsid w:val="0037332A"/>
    <w:rsid w:val="00375704"/>
    <w:rsid w:val="003769D2"/>
    <w:rsid w:val="0038011E"/>
    <w:rsid w:val="003811DF"/>
    <w:rsid w:val="0038151A"/>
    <w:rsid w:val="0038210A"/>
    <w:rsid w:val="003844E6"/>
    <w:rsid w:val="00385B81"/>
    <w:rsid w:val="0038746D"/>
    <w:rsid w:val="0039082A"/>
    <w:rsid w:val="00390C21"/>
    <w:rsid w:val="0039183E"/>
    <w:rsid w:val="00397536"/>
    <w:rsid w:val="003A085E"/>
    <w:rsid w:val="003A37BD"/>
    <w:rsid w:val="003A470B"/>
    <w:rsid w:val="003B6D94"/>
    <w:rsid w:val="003C4C96"/>
    <w:rsid w:val="003C55E0"/>
    <w:rsid w:val="003D6B5D"/>
    <w:rsid w:val="003D6FCA"/>
    <w:rsid w:val="003E03CF"/>
    <w:rsid w:val="003E3870"/>
    <w:rsid w:val="003E5237"/>
    <w:rsid w:val="003E55D4"/>
    <w:rsid w:val="003F519B"/>
    <w:rsid w:val="00405292"/>
    <w:rsid w:val="0040544F"/>
    <w:rsid w:val="00406A19"/>
    <w:rsid w:val="00406DA5"/>
    <w:rsid w:val="00411E93"/>
    <w:rsid w:val="004120A9"/>
    <w:rsid w:val="0041222D"/>
    <w:rsid w:val="0041483E"/>
    <w:rsid w:val="00415369"/>
    <w:rsid w:val="00415B95"/>
    <w:rsid w:val="00425DB6"/>
    <w:rsid w:val="00430492"/>
    <w:rsid w:val="00441A5F"/>
    <w:rsid w:val="00450BE7"/>
    <w:rsid w:val="00451384"/>
    <w:rsid w:val="004525D1"/>
    <w:rsid w:val="0045384C"/>
    <w:rsid w:val="00454320"/>
    <w:rsid w:val="00466A91"/>
    <w:rsid w:val="0046741E"/>
    <w:rsid w:val="00472CC6"/>
    <w:rsid w:val="0047426C"/>
    <w:rsid w:val="0048026E"/>
    <w:rsid w:val="004807A9"/>
    <w:rsid w:val="00480F01"/>
    <w:rsid w:val="004813EE"/>
    <w:rsid w:val="0048168A"/>
    <w:rsid w:val="00481D2B"/>
    <w:rsid w:val="00492720"/>
    <w:rsid w:val="00493278"/>
    <w:rsid w:val="004942FE"/>
    <w:rsid w:val="004943D9"/>
    <w:rsid w:val="00494F90"/>
    <w:rsid w:val="004A0E7B"/>
    <w:rsid w:val="004A3498"/>
    <w:rsid w:val="004A662B"/>
    <w:rsid w:val="004B0C45"/>
    <w:rsid w:val="004B32B1"/>
    <w:rsid w:val="004C0620"/>
    <w:rsid w:val="004C0AB2"/>
    <w:rsid w:val="004C1619"/>
    <w:rsid w:val="004C1A26"/>
    <w:rsid w:val="004C1CC9"/>
    <w:rsid w:val="004C3755"/>
    <w:rsid w:val="004C43FA"/>
    <w:rsid w:val="004C4485"/>
    <w:rsid w:val="004D11AF"/>
    <w:rsid w:val="004D4263"/>
    <w:rsid w:val="004F110D"/>
    <w:rsid w:val="004F7A9F"/>
    <w:rsid w:val="00500DFA"/>
    <w:rsid w:val="005019AA"/>
    <w:rsid w:val="005021BB"/>
    <w:rsid w:val="00506C2F"/>
    <w:rsid w:val="00510CD8"/>
    <w:rsid w:val="005139E7"/>
    <w:rsid w:val="005147DA"/>
    <w:rsid w:val="00515FB5"/>
    <w:rsid w:val="00517C3F"/>
    <w:rsid w:val="00520A3C"/>
    <w:rsid w:val="0052365C"/>
    <w:rsid w:val="00524DB1"/>
    <w:rsid w:val="005271EB"/>
    <w:rsid w:val="005426DB"/>
    <w:rsid w:val="005504FD"/>
    <w:rsid w:val="0055082B"/>
    <w:rsid w:val="00552503"/>
    <w:rsid w:val="00552B57"/>
    <w:rsid w:val="0055758B"/>
    <w:rsid w:val="00557DA1"/>
    <w:rsid w:val="0056322C"/>
    <w:rsid w:val="00564FF6"/>
    <w:rsid w:val="00576062"/>
    <w:rsid w:val="00577A31"/>
    <w:rsid w:val="0058069A"/>
    <w:rsid w:val="005849B2"/>
    <w:rsid w:val="0058597A"/>
    <w:rsid w:val="00585DCB"/>
    <w:rsid w:val="0058743A"/>
    <w:rsid w:val="00590DDE"/>
    <w:rsid w:val="00592C19"/>
    <w:rsid w:val="005A4DB0"/>
    <w:rsid w:val="005A7B8E"/>
    <w:rsid w:val="005B012B"/>
    <w:rsid w:val="005B0C87"/>
    <w:rsid w:val="005B5211"/>
    <w:rsid w:val="005C01AB"/>
    <w:rsid w:val="005D1D18"/>
    <w:rsid w:val="005D23F6"/>
    <w:rsid w:val="005D2FA8"/>
    <w:rsid w:val="005D355B"/>
    <w:rsid w:val="005D6D54"/>
    <w:rsid w:val="005E2281"/>
    <w:rsid w:val="005E667C"/>
    <w:rsid w:val="005E6B28"/>
    <w:rsid w:val="005F077C"/>
    <w:rsid w:val="005F63D0"/>
    <w:rsid w:val="005F7973"/>
    <w:rsid w:val="00602ADF"/>
    <w:rsid w:val="00611922"/>
    <w:rsid w:val="0061302D"/>
    <w:rsid w:val="00615951"/>
    <w:rsid w:val="0061690E"/>
    <w:rsid w:val="00627361"/>
    <w:rsid w:val="0063017E"/>
    <w:rsid w:val="00631B28"/>
    <w:rsid w:val="006321A5"/>
    <w:rsid w:val="00642891"/>
    <w:rsid w:val="00645B90"/>
    <w:rsid w:val="00650991"/>
    <w:rsid w:val="006511D7"/>
    <w:rsid w:val="00653E3D"/>
    <w:rsid w:val="00655F91"/>
    <w:rsid w:val="00656528"/>
    <w:rsid w:val="0066246E"/>
    <w:rsid w:val="00663D75"/>
    <w:rsid w:val="0067019C"/>
    <w:rsid w:val="00670AEF"/>
    <w:rsid w:val="00670F3D"/>
    <w:rsid w:val="00675678"/>
    <w:rsid w:val="00676B92"/>
    <w:rsid w:val="00676DAC"/>
    <w:rsid w:val="00677012"/>
    <w:rsid w:val="0068014A"/>
    <w:rsid w:val="006825B4"/>
    <w:rsid w:val="00682AF2"/>
    <w:rsid w:val="006844A4"/>
    <w:rsid w:val="006864DF"/>
    <w:rsid w:val="00697C8B"/>
    <w:rsid w:val="006A3C8A"/>
    <w:rsid w:val="006A7552"/>
    <w:rsid w:val="006B5953"/>
    <w:rsid w:val="006B7A81"/>
    <w:rsid w:val="006C4BAC"/>
    <w:rsid w:val="006C52F3"/>
    <w:rsid w:val="006D0E25"/>
    <w:rsid w:val="006D3591"/>
    <w:rsid w:val="006D5556"/>
    <w:rsid w:val="006E7F37"/>
    <w:rsid w:val="006F1D2E"/>
    <w:rsid w:val="006F28D6"/>
    <w:rsid w:val="006F3B81"/>
    <w:rsid w:val="006F4F79"/>
    <w:rsid w:val="006F5DCD"/>
    <w:rsid w:val="00702DD6"/>
    <w:rsid w:val="00705B37"/>
    <w:rsid w:val="00711FD9"/>
    <w:rsid w:val="00712DB3"/>
    <w:rsid w:val="00720DDD"/>
    <w:rsid w:val="007267EE"/>
    <w:rsid w:val="007277BE"/>
    <w:rsid w:val="007308C9"/>
    <w:rsid w:val="00734438"/>
    <w:rsid w:val="00735062"/>
    <w:rsid w:val="00737803"/>
    <w:rsid w:val="00740E30"/>
    <w:rsid w:val="00746BA5"/>
    <w:rsid w:val="00747CA7"/>
    <w:rsid w:val="007506B8"/>
    <w:rsid w:val="00751D23"/>
    <w:rsid w:val="00755F7B"/>
    <w:rsid w:val="00757433"/>
    <w:rsid w:val="00770577"/>
    <w:rsid w:val="0077192A"/>
    <w:rsid w:val="00777666"/>
    <w:rsid w:val="00777C7E"/>
    <w:rsid w:val="0078159B"/>
    <w:rsid w:val="00782E10"/>
    <w:rsid w:val="0078706B"/>
    <w:rsid w:val="00790836"/>
    <w:rsid w:val="00797131"/>
    <w:rsid w:val="007A2955"/>
    <w:rsid w:val="007A3C1D"/>
    <w:rsid w:val="007B27F1"/>
    <w:rsid w:val="007B285D"/>
    <w:rsid w:val="007C3BB5"/>
    <w:rsid w:val="007C6BC6"/>
    <w:rsid w:val="007D17C3"/>
    <w:rsid w:val="007D793B"/>
    <w:rsid w:val="007E7681"/>
    <w:rsid w:val="007F6309"/>
    <w:rsid w:val="00801436"/>
    <w:rsid w:val="00801EA4"/>
    <w:rsid w:val="008067C5"/>
    <w:rsid w:val="00806DE7"/>
    <w:rsid w:val="00807D79"/>
    <w:rsid w:val="00813634"/>
    <w:rsid w:val="00820EDF"/>
    <w:rsid w:val="00821C99"/>
    <w:rsid w:val="00822821"/>
    <w:rsid w:val="008231BA"/>
    <w:rsid w:val="00826871"/>
    <w:rsid w:val="00831C29"/>
    <w:rsid w:val="008340DC"/>
    <w:rsid w:val="008431EF"/>
    <w:rsid w:val="008468E0"/>
    <w:rsid w:val="00847CBA"/>
    <w:rsid w:val="008526E9"/>
    <w:rsid w:val="00852D8F"/>
    <w:rsid w:val="00857A4B"/>
    <w:rsid w:val="00861585"/>
    <w:rsid w:val="00871B59"/>
    <w:rsid w:val="00876D0E"/>
    <w:rsid w:val="00877D03"/>
    <w:rsid w:val="00877E96"/>
    <w:rsid w:val="008806CA"/>
    <w:rsid w:val="0088133F"/>
    <w:rsid w:val="008815E5"/>
    <w:rsid w:val="008863EB"/>
    <w:rsid w:val="00887B37"/>
    <w:rsid w:val="008909B9"/>
    <w:rsid w:val="00891DFC"/>
    <w:rsid w:val="008A302C"/>
    <w:rsid w:val="008B12B4"/>
    <w:rsid w:val="008B7914"/>
    <w:rsid w:val="008C5D2A"/>
    <w:rsid w:val="008C7799"/>
    <w:rsid w:val="008C7AF4"/>
    <w:rsid w:val="008D04AB"/>
    <w:rsid w:val="008D36C1"/>
    <w:rsid w:val="008D4911"/>
    <w:rsid w:val="008D529F"/>
    <w:rsid w:val="008F1669"/>
    <w:rsid w:val="008F1A7C"/>
    <w:rsid w:val="008F5CC8"/>
    <w:rsid w:val="00900F28"/>
    <w:rsid w:val="009061B8"/>
    <w:rsid w:val="0091008B"/>
    <w:rsid w:val="00911EA2"/>
    <w:rsid w:val="00916C7D"/>
    <w:rsid w:val="00924606"/>
    <w:rsid w:val="00925377"/>
    <w:rsid w:val="0092575D"/>
    <w:rsid w:val="00931955"/>
    <w:rsid w:val="009341DA"/>
    <w:rsid w:val="009430F9"/>
    <w:rsid w:val="009442E8"/>
    <w:rsid w:val="00946BD0"/>
    <w:rsid w:val="00947823"/>
    <w:rsid w:val="00947CA7"/>
    <w:rsid w:val="0095426C"/>
    <w:rsid w:val="00955E89"/>
    <w:rsid w:val="009636D5"/>
    <w:rsid w:val="00964EBA"/>
    <w:rsid w:val="009673CC"/>
    <w:rsid w:val="00970087"/>
    <w:rsid w:val="00971074"/>
    <w:rsid w:val="00977DC9"/>
    <w:rsid w:val="00980852"/>
    <w:rsid w:val="00983695"/>
    <w:rsid w:val="00995D86"/>
    <w:rsid w:val="009A5453"/>
    <w:rsid w:val="009B3693"/>
    <w:rsid w:val="009B4D94"/>
    <w:rsid w:val="009B79CE"/>
    <w:rsid w:val="009C2871"/>
    <w:rsid w:val="009C5D56"/>
    <w:rsid w:val="009D2530"/>
    <w:rsid w:val="009D3C33"/>
    <w:rsid w:val="009D58B0"/>
    <w:rsid w:val="009D7F3A"/>
    <w:rsid w:val="009E4885"/>
    <w:rsid w:val="009F0577"/>
    <w:rsid w:val="009F3308"/>
    <w:rsid w:val="009F59F7"/>
    <w:rsid w:val="00A051E7"/>
    <w:rsid w:val="00A06EB0"/>
    <w:rsid w:val="00A073F9"/>
    <w:rsid w:val="00A07DB6"/>
    <w:rsid w:val="00A10A73"/>
    <w:rsid w:val="00A170B3"/>
    <w:rsid w:val="00A223D5"/>
    <w:rsid w:val="00A22FD5"/>
    <w:rsid w:val="00A3436F"/>
    <w:rsid w:val="00A344CC"/>
    <w:rsid w:val="00A3556C"/>
    <w:rsid w:val="00A37D1C"/>
    <w:rsid w:val="00A415B7"/>
    <w:rsid w:val="00A419C4"/>
    <w:rsid w:val="00A472F5"/>
    <w:rsid w:val="00A4731C"/>
    <w:rsid w:val="00A5453E"/>
    <w:rsid w:val="00A56F6C"/>
    <w:rsid w:val="00A666A1"/>
    <w:rsid w:val="00A76C8C"/>
    <w:rsid w:val="00A82743"/>
    <w:rsid w:val="00A83851"/>
    <w:rsid w:val="00A85F30"/>
    <w:rsid w:val="00A85FE3"/>
    <w:rsid w:val="00A9099E"/>
    <w:rsid w:val="00A91FB7"/>
    <w:rsid w:val="00A9253D"/>
    <w:rsid w:val="00A9298F"/>
    <w:rsid w:val="00A96269"/>
    <w:rsid w:val="00AA0351"/>
    <w:rsid w:val="00AA5F4A"/>
    <w:rsid w:val="00AB1984"/>
    <w:rsid w:val="00AB52B1"/>
    <w:rsid w:val="00AB7DAB"/>
    <w:rsid w:val="00AC0AF4"/>
    <w:rsid w:val="00AC1656"/>
    <w:rsid w:val="00AC3290"/>
    <w:rsid w:val="00AC4CB3"/>
    <w:rsid w:val="00AC780D"/>
    <w:rsid w:val="00AD036B"/>
    <w:rsid w:val="00AD1537"/>
    <w:rsid w:val="00AD1996"/>
    <w:rsid w:val="00AD24FD"/>
    <w:rsid w:val="00AD37B3"/>
    <w:rsid w:val="00AD4099"/>
    <w:rsid w:val="00AD4901"/>
    <w:rsid w:val="00AD6AA0"/>
    <w:rsid w:val="00AD793F"/>
    <w:rsid w:val="00AE135F"/>
    <w:rsid w:val="00AF40EE"/>
    <w:rsid w:val="00AF6B6F"/>
    <w:rsid w:val="00B02FE0"/>
    <w:rsid w:val="00B04510"/>
    <w:rsid w:val="00B057B6"/>
    <w:rsid w:val="00B06BAA"/>
    <w:rsid w:val="00B1699A"/>
    <w:rsid w:val="00B16EE5"/>
    <w:rsid w:val="00B2575B"/>
    <w:rsid w:val="00B270E3"/>
    <w:rsid w:val="00B30448"/>
    <w:rsid w:val="00B337A1"/>
    <w:rsid w:val="00B33D48"/>
    <w:rsid w:val="00B34786"/>
    <w:rsid w:val="00B3516A"/>
    <w:rsid w:val="00B400EC"/>
    <w:rsid w:val="00B40162"/>
    <w:rsid w:val="00B41ACE"/>
    <w:rsid w:val="00B475FB"/>
    <w:rsid w:val="00B50156"/>
    <w:rsid w:val="00B518AD"/>
    <w:rsid w:val="00B519FF"/>
    <w:rsid w:val="00B54038"/>
    <w:rsid w:val="00B574EC"/>
    <w:rsid w:val="00B6061F"/>
    <w:rsid w:val="00B60A96"/>
    <w:rsid w:val="00B63384"/>
    <w:rsid w:val="00B6340C"/>
    <w:rsid w:val="00B6397E"/>
    <w:rsid w:val="00B6780A"/>
    <w:rsid w:val="00B678EC"/>
    <w:rsid w:val="00B70D60"/>
    <w:rsid w:val="00B76C94"/>
    <w:rsid w:val="00B772D0"/>
    <w:rsid w:val="00B82CE0"/>
    <w:rsid w:val="00B82DBB"/>
    <w:rsid w:val="00B836EA"/>
    <w:rsid w:val="00B84C05"/>
    <w:rsid w:val="00B91A27"/>
    <w:rsid w:val="00B91B81"/>
    <w:rsid w:val="00B95B5C"/>
    <w:rsid w:val="00B9707B"/>
    <w:rsid w:val="00B97135"/>
    <w:rsid w:val="00BA1A2B"/>
    <w:rsid w:val="00BB3072"/>
    <w:rsid w:val="00BB546C"/>
    <w:rsid w:val="00BC5094"/>
    <w:rsid w:val="00BC7632"/>
    <w:rsid w:val="00BD419F"/>
    <w:rsid w:val="00BD48A9"/>
    <w:rsid w:val="00BD630F"/>
    <w:rsid w:val="00BD722F"/>
    <w:rsid w:val="00BD7EC6"/>
    <w:rsid w:val="00BE73FA"/>
    <w:rsid w:val="00BF0AD2"/>
    <w:rsid w:val="00BF1139"/>
    <w:rsid w:val="00BF36E7"/>
    <w:rsid w:val="00BF6B4B"/>
    <w:rsid w:val="00BF6EFF"/>
    <w:rsid w:val="00C031DF"/>
    <w:rsid w:val="00C0511C"/>
    <w:rsid w:val="00C0656C"/>
    <w:rsid w:val="00C165E6"/>
    <w:rsid w:val="00C20ACF"/>
    <w:rsid w:val="00C22307"/>
    <w:rsid w:val="00C23469"/>
    <w:rsid w:val="00C30AD0"/>
    <w:rsid w:val="00C30C62"/>
    <w:rsid w:val="00C3434B"/>
    <w:rsid w:val="00C371DF"/>
    <w:rsid w:val="00C42055"/>
    <w:rsid w:val="00C44B4C"/>
    <w:rsid w:val="00C46734"/>
    <w:rsid w:val="00C4733D"/>
    <w:rsid w:val="00C47A86"/>
    <w:rsid w:val="00C53220"/>
    <w:rsid w:val="00C53318"/>
    <w:rsid w:val="00C54A83"/>
    <w:rsid w:val="00C755AA"/>
    <w:rsid w:val="00C8700A"/>
    <w:rsid w:val="00C8706F"/>
    <w:rsid w:val="00C94F76"/>
    <w:rsid w:val="00C971AC"/>
    <w:rsid w:val="00CA1DE8"/>
    <w:rsid w:val="00CA3347"/>
    <w:rsid w:val="00CA6F3A"/>
    <w:rsid w:val="00CB394B"/>
    <w:rsid w:val="00CB6B1E"/>
    <w:rsid w:val="00CC299A"/>
    <w:rsid w:val="00CD03E3"/>
    <w:rsid w:val="00CE0BBC"/>
    <w:rsid w:val="00CE422E"/>
    <w:rsid w:val="00CE65F4"/>
    <w:rsid w:val="00CE6BDA"/>
    <w:rsid w:val="00CF4AD8"/>
    <w:rsid w:val="00D03DBE"/>
    <w:rsid w:val="00D072C0"/>
    <w:rsid w:val="00D11ED1"/>
    <w:rsid w:val="00D34C82"/>
    <w:rsid w:val="00D3757A"/>
    <w:rsid w:val="00D377C9"/>
    <w:rsid w:val="00D42681"/>
    <w:rsid w:val="00D504A9"/>
    <w:rsid w:val="00D5206D"/>
    <w:rsid w:val="00D5499A"/>
    <w:rsid w:val="00D7177D"/>
    <w:rsid w:val="00D81311"/>
    <w:rsid w:val="00D921C8"/>
    <w:rsid w:val="00D9256A"/>
    <w:rsid w:val="00DA401E"/>
    <w:rsid w:val="00DB201E"/>
    <w:rsid w:val="00DB3039"/>
    <w:rsid w:val="00DB3897"/>
    <w:rsid w:val="00DB42E6"/>
    <w:rsid w:val="00DC0E68"/>
    <w:rsid w:val="00DD25ED"/>
    <w:rsid w:val="00DD353D"/>
    <w:rsid w:val="00DD49EB"/>
    <w:rsid w:val="00DE0D6E"/>
    <w:rsid w:val="00DE3BA4"/>
    <w:rsid w:val="00DE4EAE"/>
    <w:rsid w:val="00DF34BA"/>
    <w:rsid w:val="00DF4A83"/>
    <w:rsid w:val="00DF548B"/>
    <w:rsid w:val="00E046B2"/>
    <w:rsid w:val="00E1610C"/>
    <w:rsid w:val="00E16D73"/>
    <w:rsid w:val="00E20C31"/>
    <w:rsid w:val="00E23E9E"/>
    <w:rsid w:val="00E25722"/>
    <w:rsid w:val="00E2603F"/>
    <w:rsid w:val="00E27F0A"/>
    <w:rsid w:val="00E3014F"/>
    <w:rsid w:val="00E31357"/>
    <w:rsid w:val="00E4231E"/>
    <w:rsid w:val="00E4302C"/>
    <w:rsid w:val="00E437A5"/>
    <w:rsid w:val="00E44AC7"/>
    <w:rsid w:val="00E45F4B"/>
    <w:rsid w:val="00E504CC"/>
    <w:rsid w:val="00E5108E"/>
    <w:rsid w:val="00E517CB"/>
    <w:rsid w:val="00E60A16"/>
    <w:rsid w:val="00E6345E"/>
    <w:rsid w:val="00E65107"/>
    <w:rsid w:val="00E6702E"/>
    <w:rsid w:val="00E71626"/>
    <w:rsid w:val="00E72D20"/>
    <w:rsid w:val="00E73B5C"/>
    <w:rsid w:val="00E76878"/>
    <w:rsid w:val="00E82B6E"/>
    <w:rsid w:val="00E854A5"/>
    <w:rsid w:val="00E85F55"/>
    <w:rsid w:val="00E86F55"/>
    <w:rsid w:val="00E904D9"/>
    <w:rsid w:val="00E928AE"/>
    <w:rsid w:val="00E94258"/>
    <w:rsid w:val="00E95303"/>
    <w:rsid w:val="00E96C18"/>
    <w:rsid w:val="00EA2E61"/>
    <w:rsid w:val="00EA3D6F"/>
    <w:rsid w:val="00EA7D7F"/>
    <w:rsid w:val="00EB02F4"/>
    <w:rsid w:val="00EB08FC"/>
    <w:rsid w:val="00EB2FA2"/>
    <w:rsid w:val="00EB6894"/>
    <w:rsid w:val="00EB769A"/>
    <w:rsid w:val="00EC3A35"/>
    <w:rsid w:val="00EC61B3"/>
    <w:rsid w:val="00ED3F11"/>
    <w:rsid w:val="00ED4E56"/>
    <w:rsid w:val="00ED571A"/>
    <w:rsid w:val="00ED7D7A"/>
    <w:rsid w:val="00EE17F2"/>
    <w:rsid w:val="00EE1899"/>
    <w:rsid w:val="00EE3138"/>
    <w:rsid w:val="00EF2AC7"/>
    <w:rsid w:val="00EF400A"/>
    <w:rsid w:val="00EF6BE4"/>
    <w:rsid w:val="00EF6E5D"/>
    <w:rsid w:val="00F01BF1"/>
    <w:rsid w:val="00F026CB"/>
    <w:rsid w:val="00F07764"/>
    <w:rsid w:val="00F11D81"/>
    <w:rsid w:val="00F12517"/>
    <w:rsid w:val="00F1293B"/>
    <w:rsid w:val="00F131DD"/>
    <w:rsid w:val="00F16BA1"/>
    <w:rsid w:val="00F24435"/>
    <w:rsid w:val="00F25526"/>
    <w:rsid w:val="00F26741"/>
    <w:rsid w:val="00F26DB2"/>
    <w:rsid w:val="00F30C0F"/>
    <w:rsid w:val="00F314E8"/>
    <w:rsid w:val="00F323A2"/>
    <w:rsid w:val="00F33B57"/>
    <w:rsid w:val="00F33D5C"/>
    <w:rsid w:val="00F34E90"/>
    <w:rsid w:val="00F356D6"/>
    <w:rsid w:val="00F35FE7"/>
    <w:rsid w:val="00F40174"/>
    <w:rsid w:val="00F41A86"/>
    <w:rsid w:val="00F53BE2"/>
    <w:rsid w:val="00F55684"/>
    <w:rsid w:val="00F600EA"/>
    <w:rsid w:val="00F60DEC"/>
    <w:rsid w:val="00F64D5A"/>
    <w:rsid w:val="00F709CD"/>
    <w:rsid w:val="00F856B3"/>
    <w:rsid w:val="00F8706C"/>
    <w:rsid w:val="00F905F2"/>
    <w:rsid w:val="00F906F4"/>
    <w:rsid w:val="00FA0716"/>
    <w:rsid w:val="00FA7A5F"/>
    <w:rsid w:val="00FA7AB2"/>
    <w:rsid w:val="00FB4629"/>
    <w:rsid w:val="00FB6FB1"/>
    <w:rsid w:val="00FB7063"/>
    <w:rsid w:val="00FC3473"/>
    <w:rsid w:val="00FC7056"/>
    <w:rsid w:val="00FD5790"/>
    <w:rsid w:val="00FE1A00"/>
    <w:rsid w:val="00FF3076"/>
    <w:rsid w:val="00FF7B9A"/>
    <w:rsid w:val="024D7E2C"/>
    <w:rsid w:val="0D2EB883"/>
    <w:rsid w:val="0D8163B6"/>
    <w:rsid w:val="0E9A8BCF"/>
    <w:rsid w:val="13A69650"/>
    <w:rsid w:val="18C10F1C"/>
    <w:rsid w:val="1BB32F19"/>
    <w:rsid w:val="1F2C3AF5"/>
    <w:rsid w:val="1F9252E4"/>
    <w:rsid w:val="1FF4886A"/>
    <w:rsid w:val="22D2584A"/>
    <w:rsid w:val="28751A95"/>
    <w:rsid w:val="29ACEACC"/>
    <w:rsid w:val="29FA8189"/>
    <w:rsid w:val="2C00A012"/>
    <w:rsid w:val="2ED36D07"/>
    <w:rsid w:val="2F421DDF"/>
    <w:rsid w:val="389994B3"/>
    <w:rsid w:val="3B30A011"/>
    <w:rsid w:val="3B93C128"/>
    <w:rsid w:val="3CFBE104"/>
    <w:rsid w:val="43C9AAE4"/>
    <w:rsid w:val="4AB61E24"/>
    <w:rsid w:val="510454D8"/>
    <w:rsid w:val="521E120A"/>
    <w:rsid w:val="5D8505AD"/>
    <w:rsid w:val="5FEAC05F"/>
    <w:rsid w:val="634C0D1C"/>
    <w:rsid w:val="681364DF"/>
    <w:rsid w:val="6CAEFF2C"/>
    <w:rsid w:val="71443FBB"/>
    <w:rsid w:val="72EE784C"/>
    <w:rsid w:val="7563E76A"/>
    <w:rsid w:val="764CA547"/>
    <w:rsid w:val="7889E9EE"/>
    <w:rsid w:val="79A6159C"/>
    <w:rsid w:val="7AB48807"/>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link w:val="NormalWebCar"/>
    <w:uiPriority w:val="99"/>
    <w:unhideWhenUsed/>
    <w:rsid w:val="000C3C51"/>
    <w:rPr>
      <w:rFonts w:ascii="Times New Roman" w:hAnsi="Times New Roman" w:cs="Times New Roman"/>
      <w:sz w:val="24"/>
      <w:szCs w:val="24"/>
    </w:rPr>
  </w:style>
  <w:style w:type="character" w:styleId="Fuerte">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NormalWebCar">
    <w:name w:val="Normal (Web) Car"/>
    <w:link w:val="NormalWeb"/>
    <w:uiPriority w:val="99"/>
    <w:locked/>
    <w:rsid w:val="00213139"/>
    <w:rPr>
      <w:rFonts w:ascii="Times New Roman" w:hAnsi="Times New Roman" w:cs="Times New Roman"/>
      <w:sz w:val="24"/>
      <w:szCs w:val="24"/>
    </w:rPr>
  </w:style>
  <w:style w:type="character" w:customStyle="1" w:styleId="baj">
    <w:name w:val="b_aj"/>
    <w:basedOn w:val="Fuentedeprrafopredeter"/>
    <w:rsid w:val="002131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208422421">
      <w:bodyDiv w:val="1"/>
      <w:marLeft w:val="0"/>
      <w:marRight w:val="0"/>
      <w:marTop w:val="0"/>
      <w:marBottom w:val="0"/>
      <w:divBdr>
        <w:top w:val="none" w:sz="0" w:space="0" w:color="auto"/>
        <w:left w:val="none" w:sz="0" w:space="0" w:color="auto"/>
        <w:bottom w:val="none" w:sz="0" w:space="0" w:color="auto"/>
        <w:right w:val="none" w:sz="0" w:space="0" w:color="auto"/>
      </w:divBdr>
    </w:div>
    <w:div w:id="242567529">
      <w:bodyDiv w:val="1"/>
      <w:marLeft w:val="0"/>
      <w:marRight w:val="0"/>
      <w:marTop w:val="0"/>
      <w:marBottom w:val="0"/>
      <w:divBdr>
        <w:top w:val="none" w:sz="0" w:space="0" w:color="auto"/>
        <w:left w:val="none" w:sz="0" w:space="0" w:color="auto"/>
        <w:bottom w:val="none" w:sz="0" w:space="0" w:color="auto"/>
        <w:right w:val="none" w:sz="0" w:space="0" w:color="auto"/>
      </w:divBdr>
    </w:div>
    <w:div w:id="344720552">
      <w:bodyDiv w:val="1"/>
      <w:marLeft w:val="0"/>
      <w:marRight w:val="0"/>
      <w:marTop w:val="0"/>
      <w:marBottom w:val="0"/>
      <w:divBdr>
        <w:top w:val="none" w:sz="0" w:space="0" w:color="auto"/>
        <w:left w:val="none" w:sz="0" w:space="0" w:color="auto"/>
        <w:bottom w:val="none" w:sz="0" w:space="0" w:color="auto"/>
        <w:right w:val="none" w:sz="0" w:space="0" w:color="auto"/>
      </w:divBdr>
    </w:div>
    <w:div w:id="454639623">
      <w:bodyDiv w:val="1"/>
      <w:marLeft w:val="0"/>
      <w:marRight w:val="0"/>
      <w:marTop w:val="0"/>
      <w:marBottom w:val="0"/>
      <w:divBdr>
        <w:top w:val="none" w:sz="0" w:space="0" w:color="auto"/>
        <w:left w:val="none" w:sz="0" w:space="0" w:color="auto"/>
        <w:bottom w:val="none" w:sz="0" w:space="0" w:color="auto"/>
        <w:right w:val="none" w:sz="0" w:space="0" w:color="auto"/>
      </w:divBdr>
    </w:div>
    <w:div w:id="491651832">
      <w:bodyDiv w:val="1"/>
      <w:marLeft w:val="0"/>
      <w:marRight w:val="0"/>
      <w:marTop w:val="0"/>
      <w:marBottom w:val="0"/>
      <w:divBdr>
        <w:top w:val="none" w:sz="0" w:space="0" w:color="auto"/>
        <w:left w:val="none" w:sz="0" w:space="0" w:color="auto"/>
        <w:bottom w:val="none" w:sz="0" w:space="0" w:color="auto"/>
        <w:right w:val="none" w:sz="0" w:space="0" w:color="auto"/>
      </w:divBdr>
    </w:div>
    <w:div w:id="542717078">
      <w:bodyDiv w:val="1"/>
      <w:marLeft w:val="0"/>
      <w:marRight w:val="0"/>
      <w:marTop w:val="0"/>
      <w:marBottom w:val="0"/>
      <w:divBdr>
        <w:top w:val="none" w:sz="0" w:space="0" w:color="auto"/>
        <w:left w:val="none" w:sz="0" w:space="0" w:color="auto"/>
        <w:bottom w:val="none" w:sz="0" w:space="0" w:color="auto"/>
        <w:right w:val="none" w:sz="0" w:space="0" w:color="auto"/>
      </w:divBdr>
    </w:div>
    <w:div w:id="553855654">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730268345">
      <w:bodyDiv w:val="1"/>
      <w:marLeft w:val="0"/>
      <w:marRight w:val="0"/>
      <w:marTop w:val="0"/>
      <w:marBottom w:val="0"/>
      <w:divBdr>
        <w:top w:val="none" w:sz="0" w:space="0" w:color="auto"/>
        <w:left w:val="none" w:sz="0" w:space="0" w:color="auto"/>
        <w:bottom w:val="none" w:sz="0" w:space="0" w:color="auto"/>
        <w:right w:val="none" w:sz="0" w:space="0" w:color="auto"/>
      </w:divBdr>
    </w:div>
    <w:div w:id="891581394">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03308595">
      <w:bodyDiv w:val="1"/>
      <w:marLeft w:val="0"/>
      <w:marRight w:val="0"/>
      <w:marTop w:val="0"/>
      <w:marBottom w:val="0"/>
      <w:divBdr>
        <w:top w:val="none" w:sz="0" w:space="0" w:color="auto"/>
        <w:left w:val="none" w:sz="0" w:space="0" w:color="auto"/>
        <w:bottom w:val="none" w:sz="0" w:space="0" w:color="auto"/>
        <w:right w:val="none" w:sz="0" w:space="0" w:color="auto"/>
      </w:divBdr>
    </w:div>
    <w:div w:id="1155074090">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24756411">
      <w:bodyDiv w:val="1"/>
      <w:marLeft w:val="0"/>
      <w:marRight w:val="0"/>
      <w:marTop w:val="0"/>
      <w:marBottom w:val="0"/>
      <w:divBdr>
        <w:top w:val="none" w:sz="0" w:space="0" w:color="auto"/>
        <w:left w:val="none" w:sz="0" w:space="0" w:color="auto"/>
        <w:bottom w:val="none" w:sz="0" w:space="0" w:color="auto"/>
        <w:right w:val="none" w:sz="0" w:space="0" w:color="auto"/>
      </w:divBdr>
    </w:div>
    <w:div w:id="1290745129">
      <w:bodyDiv w:val="1"/>
      <w:marLeft w:val="0"/>
      <w:marRight w:val="0"/>
      <w:marTop w:val="0"/>
      <w:marBottom w:val="0"/>
      <w:divBdr>
        <w:top w:val="none" w:sz="0" w:space="0" w:color="auto"/>
        <w:left w:val="none" w:sz="0" w:space="0" w:color="auto"/>
        <w:bottom w:val="none" w:sz="0" w:space="0" w:color="auto"/>
        <w:right w:val="none" w:sz="0" w:space="0" w:color="auto"/>
      </w:divBdr>
    </w:div>
    <w:div w:id="1304384808">
      <w:bodyDiv w:val="1"/>
      <w:marLeft w:val="0"/>
      <w:marRight w:val="0"/>
      <w:marTop w:val="0"/>
      <w:marBottom w:val="0"/>
      <w:divBdr>
        <w:top w:val="none" w:sz="0" w:space="0" w:color="auto"/>
        <w:left w:val="none" w:sz="0" w:space="0" w:color="auto"/>
        <w:bottom w:val="none" w:sz="0" w:space="0" w:color="auto"/>
        <w:right w:val="none" w:sz="0" w:space="0" w:color="auto"/>
      </w:divBdr>
    </w:div>
    <w:div w:id="1357081579">
      <w:bodyDiv w:val="1"/>
      <w:marLeft w:val="0"/>
      <w:marRight w:val="0"/>
      <w:marTop w:val="0"/>
      <w:marBottom w:val="0"/>
      <w:divBdr>
        <w:top w:val="none" w:sz="0" w:space="0" w:color="auto"/>
        <w:left w:val="none" w:sz="0" w:space="0" w:color="auto"/>
        <w:bottom w:val="none" w:sz="0" w:space="0" w:color="auto"/>
        <w:right w:val="none" w:sz="0" w:space="0" w:color="auto"/>
      </w:divBdr>
    </w:div>
    <w:div w:id="1387223638">
      <w:bodyDiv w:val="1"/>
      <w:marLeft w:val="0"/>
      <w:marRight w:val="0"/>
      <w:marTop w:val="0"/>
      <w:marBottom w:val="0"/>
      <w:divBdr>
        <w:top w:val="none" w:sz="0" w:space="0" w:color="auto"/>
        <w:left w:val="none" w:sz="0" w:space="0" w:color="auto"/>
        <w:bottom w:val="none" w:sz="0" w:space="0" w:color="auto"/>
        <w:right w:val="none" w:sz="0" w:space="0" w:color="auto"/>
      </w:divBdr>
    </w:div>
    <w:div w:id="1490361908">
      <w:bodyDiv w:val="1"/>
      <w:marLeft w:val="0"/>
      <w:marRight w:val="0"/>
      <w:marTop w:val="0"/>
      <w:marBottom w:val="0"/>
      <w:divBdr>
        <w:top w:val="none" w:sz="0" w:space="0" w:color="auto"/>
        <w:left w:val="none" w:sz="0" w:space="0" w:color="auto"/>
        <w:bottom w:val="none" w:sz="0" w:space="0" w:color="auto"/>
        <w:right w:val="none" w:sz="0" w:space="0" w:color="auto"/>
      </w:divBdr>
    </w:div>
    <w:div w:id="1577204901">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342122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ntactenos@extradecolombia.com.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4ACC1781-A45A-4B5B-84BB-DD4219DB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22</Pages>
  <Words>7536</Words>
  <Characters>41527</Characters>
  <Application>Microsoft Office Word</Application>
  <DocSecurity>0</DocSecurity>
  <Lines>814</Lines>
  <Paragraphs>166</Paragraphs>
  <ScaleCrop>false</ScaleCrop>
  <Company/>
  <LinksUpToDate>false</LinksUpToDate>
  <CharactersWithSpaces>48897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312</cp:revision>
  <dcterms:created xsi:type="dcterms:W3CDTF">2024-07-04T20:24:00Z</dcterms:created>
  <dcterms:modified xsi:type="dcterms:W3CDTF">2026-04-14T14:20:00Z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