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8D747" w14:textId="77777777" w:rsidR="001B00E6" w:rsidRPr="001B00E6" w:rsidRDefault="001B00E6" w:rsidP="001B00E6">
      <w:pPr>
        <w:spacing w:after="0" w:line="276" w:lineRule="auto"/>
        <w:jc w:val="both"/>
        <w:rPr>
          <w:rFonts w:ascii="Verdana" w:eastAsia="Calibri" w:hAnsi="Verdana" w:cs="Arial"/>
          <w:b/>
          <w:bCs/>
          <w:lang w:val="es-ES_tradnl"/>
        </w:rPr>
      </w:pPr>
      <w:bookmarkStart w:id="0" w:name="_Hlk143780582"/>
      <w:r w:rsidRPr="001B00E6">
        <w:rPr>
          <w:rFonts w:ascii="Verdana" w:eastAsia="Calibri" w:hAnsi="Verdana" w:cs="Arial"/>
          <w:b/>
          <w:bCs/>
          <w:lang w:val="es-ES_tradnl"/>
        </w:rPr>
        <w:t xml:space="preserve">DOCUMENTOS TIPO – Fundamento normativo – Obligatoriedad </w:t>
      </w:r>
    </w:p>
    <w:p w14:paraId="5F17AA17" w14:textId="77777777" w:rsidR="001B00E6" w:rsidRPr="001B00E6" w:rsidRDefault="001B00E6" w:rsidP="001B00E6">
      <w:pPr>
        <w:spacing w:after="0" w:line="276" w:lineRule="auto"/>
        <w:jc w:val="both"/>
        <w:rPr>
          <w:rFonts w:ascii="Verdana" w:eastAsia="Calibri" w:hAnsi="Verdana" w:cs="Arial"/>
          <w:b/>
          <w:bCs/>
          <w:sz w:val="20"/>
          <w:szCs w:val="20"/>
          <w:lang w:val="es-ES_tradnl"/>
        </w:rPr>
      </w:pPr>
    </w:p>
    <w:p w14:paraId="29E51264" w14:textId="77777777" w:rsidR="001B00E6" w:rsidRPr="001B00E6" w:rsidRDefault="001B00E6" w:rsidP="001B00E6">
      <w:pPr>
        <w:tabs>
          <w:tab w:val="left" w:pos="709"/>
        </w:tabs>
        <w:spacing w:after="0" w:line="240" w:lineRule="auto"/>
        <w:jc w:val="both"/>
        <w:rPr>
          <w:rFonts w:ascii="Verdana" w:eastAsia="Calibri" w:hAnsi="Verdana" w:cs="Arial"/>
          <w:sz w:val="20"/>
          <w:szCs w:val="20"/>
          <w:lang w:val="es-ES"/>
        </w:rPr>
      </w:pPr>
      <w:r w:rsidRPr="001B00E6">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3FF5E98" w14:textId="77777777" w:rsidR="001B00E6" w:rsidRPr="001B00E6" w:rsidRDefault="001B00E6" w:rsidP="001B00E6">
      <w:pPr>
        <w:spacing w:after="0" w:line="276" w:lineRule="auto"/>
        <w:jc w:val="both"/>
        <w:rPr>
          <w:rFonts w:ascii="Verdana" w:eastAsia="Calibri" w:hAnsi="Verdana" w:cs="Arial"/>
          <w:b/>
          <w:bCs/>
          <w:lang w:val="es-ES_tradnl"/>
        </w:rPr>
      </w:pPr>
    </w:p>
    <w:p w14:paraId="06DCC603" w14:textId="77777777" w:rsidR="001B00E6" w:rsidRPr="001B00E6" w:rsidRDefault="001B00E6" w:rsidP="001B00E6">
      <w:pPr>
        <w:widowControl w:val="0"/>
        <w:autoSpaceDE w:val="0"/>
        <w:autoSpaceDN w:val="0"/>
        <w:spacing w:after="0" w:line="276" w:lineRule="auto"/>
        <w:jc w:val="both"/>
        <w:rPr>
          <w:rFonts w:ascii="Verdana" w:eastAsia="Calibri" w:hAnsi="Verdana" w:cs="Times New Roman"/>
          <w:b/>
          <w:bCs/>
          <w:lang w:val="es-ES"/>
        </w:rPr>
      </w:pPr>
      <w:r w:rsidRPr="001B00E6">
        <w:rPr>
          <w:rFonts w:ascii="Verdana" w:eastAsia="Calibri" w:hAnsi="Verdana" w:cs="Arial"/>
          <w:b/>
          <w:bCs/>
          <w:lang w:val="es-ES_tradnl"/>
        </w:rPr>
        <w:t>SECTOR SOCIAL</w:t>
      </w:r>
      <w:r w:rsidRPr="001B00E6">
        <w:rPr>
          <w:rFonts w:ascii="Verdana" w:eastAsia="Calibri" w:hAnsi="Verdana" w:cs="Times New Roman"/>
          <w:lang w:val="es-ES"/>
        </w:rPr>
        <w:t xml:space="preserve"> </w:t>
      </w:r>
      <w:r w:rsidRPr="001B00E6">
        <w:rPr>
          <w:rFonts w:ascii="Verdana" w:eastAsia="Calibri" w:hAnsi="Verdana" w:cs="Times New Roman"/>
          <w:b/>
          <w:bCs/>
          <w:lang w:val="es-ES"/>
        </w:rPr>
        <w:t>– Documentos tipo – Vigentes</w:t>
      </w:r>
    </w:p>
    <w:p w14:paraId="5EA51DEE" w14:textId="77777777" w:rsidR="001B00E6" w:rsidRPr="001B00E6" w:rsidRDefault="001B00E6" w:rsidP="001B00E6">
      <w:pPr>
        <w:widowControl w:val="0"/>
        <w:autoSpaceDE w:val="0"/>
        <w:autoSpaceDN w:val="0"/>
        <w:spacing w:after="0" w:line="276" w:lineRule="auto"/>
        <w:jc w:val="both"/>
        <w:rPr>
          <w:rFonts w:ascii="Verdana" w:eastAsia="Calibri" w:hAnsi="Verdana" w:cs="Times New Roman"/>
          <w:b/>
          <w:bCs/>
          <w:lang w:val="es-ES"/>
        </w:rPr>
      </w:pPr>
    </w:p>
    <w:p w14:paraId="7F7A202E"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b/>
          <w:bCs/>
          <w:sz w:val="20"/>
          <w:szCs w:val="20"/>
          <w:lang w:val="es-ES"/>
        </w:rPr>
      </w:pPr>
      <w:r w:rsidRPr="001B00E6">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0B31740F" w14:textId="77777777" w:rsidR="001B00E6" w:rsidRPr="001B00E6" w:rsidRDefault="001B00E6" w:rsidP="001B00E6">
      <w:pPr>
        <w:widowControl w:val="0"/>
        <w:autoSpaceDE w:val="0"/>
        <w:autoSpaceDN w:val="0"/>
        <w:spacing w:after="0" w:line="276" w:lineRule="auto"/>
        <w:jc w:val="both"/>
        <w:rPr>
          <w:rFonts w:ascii="Verdana" w:eastAsia="Calibri" w:hAnsi="Verdana" w:cs="Times New Roman"/>
          <w:lang w:val="es-ES"/>
        </w:rPr>
      </w:pPr>
    </w:p>
    <w:p w14:paraId="033E13EF" w14:textId="77777777" w:rsidR="001B00E6" w:rsidRPr="001B00E6" w:rsidRDefault="001B00E6" w:rsidP="001B00E6">
      <w:pPr>
        <w:spacing w:after="0" w:line="276" w:lineRule="auto"/>
        <w:jc w:val="both"/>
        <w:rPr>
          <w:rFonts w:ascii="Verdana" w:eastAsia="Calibri" w:hAnsi="Verdana" w:cs="Times New Roman"/>
          <w:sz w:val="20"/>
          <w:szCs w:val="20"/>
          <w:lang w:val="es-ES"/>
        </w:rPr>
      </w:pPr>
      <w:r w:rsidRPr="001B00E6">
        <w:rPr>
          <w:rFonts w:ascii="Verdana" w:eastAsia="Calibri" w:hAnsi="Verdana" w:cs="Times New Roman"/>
          <w:b/>
          <w:bCs/>
          <w:lang w:val="es-ES"/>
        </w:rPr>
        <w:t xml:space="preserve">DOCUMENTOS TIPO – Aplicación – Matriz de Experiencia </w:t>
      </w:r>
    </w:p>
    <w:p w14:paraId="7F8F58F0" w14:textId="77777777" w:rsidR="001B00E6" w:rsidRPr="001B00E6" w:rsidRDefault="001B00E6" w:rsidP="001B00E6">
      <w:pPr>
        <w:spacing w:after="0" w:line="240" w:lineRule="auto"/>
        <w:rPr>
          <w:rFonts w:ascii="Verdana" w:eastAsia="Geomanist Light" w:hAnsi="Verdana" w:cs="Arial"/>
          <w:lang w:val="es-MX"/>
        </w:rPr>
      </w:pPr>
    </w:p>
    <w:p w14:paraId="3953FA55"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sz w:val="20"/>
          <w:szCs w:val="20"/>
          <w:lang w:val="es-ES"/>
        </w:rPr>
      </w:pPr>
      <w:r w:rsidRPr="001B00E6">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5B7651F"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sz w:val="20"/>
          <w:szCs w:val="20"/>
          <w:lang w:val="es-ES"/>
        </w:rPr>
      </w:pPr>
    </w:p>
    <w:p w14:paraId="47AF32B9"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sz w:val="20"/>
          <w:szCs w:val="20"/>
          <w:lang w:val="es-ES"/>
        </w:rPr>
      </w:pPr>
      <w:r w:rsidRPr="001B00E6">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739C298"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sz w:val="20"/>
          <w:szCs w:val="20"/>
          <w:lang w:val="es-ES"/>
        </w:rPr>
      </w:pPr>
    </w:p>
    <w:p w14:paraId="6DEAFD75"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b/>
          <w:bCs/>
          <w:lang w:val="es-ES"/>
        </w:rPr>
      </w:pPr>
      <w:r w:rsidRPr="001B00E6">
        <w:rPr>
          <w:rFonts w:ascii="Verdana" w:eastAsia="Calibri" w:hAnsi="Verdana" w:cs="Times New Roman"/>
          <w:b/>
          <w:bCs/>
          <w:lang w:val="es-ES"/>
        </w:rPr>
        <w:t>DOCUMENTOS TIPO – Sector Institucional – Actividad – Suministro e instalación – Alcance</w:t>
      </w:r>
    </w:p>
    <w:p w14:paraId="6B0A7334" w14:textId="77777777" w:rsidR="001B00E6" w:rsidRPr="001B00E6" w:rsidRDefault="001B00E6" w:rsidP="001B00E6">
      <w:pPr>
        <w:widowControl w:val="0"/>
        <w:autoSpaceDE w:val="0"/>
        <w:autoSpaceDN w:val="0"/>
        <w:spacing w:after="0" w:line="240" w:lineRule="auto"/>
        <w:ind w:left="708" w:hanging="708"/>
        <w:jc w:val="both"/>
        <w:rPr>
          <w:rFonts w:ascii="Verdana" w:eastAsia="Calibri" w:hAnsi="Verdana" w:cs="Times New Roman"/>
          <w:b/>
          <w:bCs/>
          <w:lang w:val="es-ES"/>
        </w:rPr>
      </w:pPr>
    </w:p>
    <w:p w14:paraId="0AF27BEB" w14:textId="77777777" w:rsidR="001B00E6" w:rsidRPr="001B00E6" w:rsidRDefault="001B00E6" w:rsidP="001B00E6">
      <w:pPr>
        <w:spacing w:after="0" w:line="240" w:lineRule="auto"/>
        <w:jc w:val="both"/>
        <w:rPr>
          <w:rFonts w:ascii="Verdana" w:eastAsia="Aptos" w:hAnsi="Verdana" w:cs="Times New Roman"/>
          <w:kern w:val="2"/>
          <w:sz w:val="20"/>
          <w:szCs w:val="20"/>
          <w:lang w:eastAsia="es-CO"/>
          <w14:ligatures w14:val="standardContextual"/>
        </w:rPr>
      </w:pPr>
      <w:r w:rsidRPr="001B00E6">
        <w:rPr>
          <w:rFonts w:ascii="Verdana" w:eastAsia="Aptos" w:hAnsi="Verdana" w:cs="Times New Roman"/>
          <w:kern w:val="2"/>
          <w:sz w:val="20"/>
          <w:szCs w:val="20"/>
          <w:lang w:eastAsia="es-CO"/>
          <w14:ligatures w14:val="standardContextual"/>
        </w:rPr>
        <w:t xml:space="preserve">(…) las actividades indicadas aplican para los procesos que adelanten las entidades obligadas a utilizar los documentos tipo, cuando correspondan al </w:t>
      </w:r>
      <w:r w:rsidRPr="001B00E6">
        <w:rPr>
          <w:rFonts w:ascii="Verdana" w:eastAsia="Aptos" w:hAnsi="Verdana" w:cs="Times New Roman"/>
          <w:i/>
          <w:iCs/>
          <w:kern w:val="2"/>
          <w:sz w:val="20"/>
          <w:szCs w:val="20"/>
          <w:lang w:eastAsia="es-CO"/>
          <w14:ligatures w14:val="standardContextual"/>
        </w:rPr>
        <w:t>suministro e instalación</w:t>
      </w:r>
      <w:r w:rsidRPr="001B00E6">
        <w:rPr>
          <w:rFonts w:ascii="Verdana" w:eastAsia="Aptos" w:hAnsi="Verdana" w:cs="Times New Roman"/>
          <w:kern w:val="2"/>
          <w:sz w:val="20"/>
          <w:szCs w:val="20"/>
          <w:lang w:eastAsia="es-CO"/>
          <w14:ligatures w14:val="standardContextual"/>
        </w:rPr>
        <w:t xml:space="preserve"> de sistemas de aires acondicionados o sistemas de ventilación o similares sobre </w:t>
      </w:r>
      <w:r w:rsidRPr="001B00E6">
        <w:rPr>
          <w:rFonts w:ascii="Verdana" w:eastAsia="Aptos" w:hAnsi="Verdana" w:cs="Times New Roman"/>
          <w:kern w:val="2"/>
          <w:sz w:val="20"/>
          <w:szCs w:val="20"/>
          <w:lang w:eastAsia="es-CO"/>
          <w14:ligatures w14:val="standardContextual"/>
        </w:rPr>
        <w:lastRenderedPageBreak/>
        <w:t xml:space="preserve">infraestructura de seguridad pública (1.15) o de servicio público (2.14) o de sitios de reclusión (3.15) -según corresponda-. </w:t>
      </w:r>
    </w:p>
    <w:p w14:paraId="13889AC0" w14:textId="77777777" w:rsidR="001B00E6" w:rsidRPr="001B00E6" w:rsidRDefault="001B00E6" w:rsidP="001B00E6">
      <w:pPr>
        <w:spacing w:after="0" w:line="240" w:lineRule="auto"/>
        <w:jc w:val="both"/>
        <w:rPr>
          <w:rFonts w:ascii="Verdana" w:eastAsia="Aptos" w:hAnsi="Verdana" w:cs="Times New Roman"/>
          <w:kern w:val="2"/>
          <w:sz w:val="20"/>
          <w:szCs w:val="20"/>
          <w:lang w:eastAsia="es-CO"/>
          <w14:ligatures w14:val="standardContextual"/>
        </w:rPr>
      </w:pPr>
    </w:p>
    <w:p w14:paraId="7AA569F3" w14:textId="77777777" w:rsidR="001B00E6" w:rsidRPr="001B00E6" w:rsidRDefault="001B00E6" w:rsidP="001B00E6">
      <w:pPr>
        <w:spacing w:after="0" w:line="240" w:lineRule="auto"/>
        <w:jc w:val="both"/>
        <w:rPr>
          <w:rFonts w:ascii="Verdana" w:eastAsia="Times New Roman" w:hAnsi="Verdana" w:cs="Times New Roman"/>
          <w:color w:val="000000"/>
          <w:sz w:val="20"/>
          <w:szCs w:val="20"/>
          <w:lang w:eastAsia="es-CO"/>
        </w:rPr>
      </w:pPr>
      <w:r w:rsidRPr="001B00E6">
        <w:rPr>
          <w:rFonts w:ascii="Verdana" w:eastAsia="Times New Roman" w:hAnsi="Verdana" w:cs="Times New Roman"/>
          <w:color w:val="000000"/>
          <w:sz w:val="20"/>
          <w:szCs w:val="20"/>
          <w:lang w:eastAsia="es-CO"/>
        </w:rPr>
        <w:t xml:space="preserve">De esta forma, la actividad de suministro está ligada a la actividad de instalación de </w:t>
      </w:r>
      <w:r w:rsidRPr="001B00E6">
        <w:rPr>
          <w:rFonts w:ascii="Verdana" w:eastAsia="Aptos" w:hAnsi="Verdana" w:cs="Times New Roman"/>
          <w:kern w:val="2"/>
          <w:sz w:val="20"/>
          <w:szCs w:val="20"/>
          <w:lang w:eastAsia="es-CO"/>
          <w14:ligatures w14:val="standardContextual"/>
        </w:rPr>
        <w:t>los sistemas de aires acondicionados o sistemas de ventilación o similares sobre infraestructura institucional: seguridad pública, servicio público o sitios de reclusión</w:t>
      </w:r>
      <w:r w:rsidRPr="001B00E6">
        <w:rPr>
          <w:rFonts w:ascii="Verdana" w:eastAsia="Times New Roman" w:hAnsi="Verdana" w:cs="Times New Roman"/>
          <w:color w:val="000000"/>
          <w:sz w:val="20"/>
          <w:szCs w:val="20"/>
          <w:lang w:eastAsia="es-CO"/>
        </w:rPr>
        <w:t xml:space="preserve">. Así, por sí sola, la actividad de suministro no requiere la aplicación de los documentos tipo expedidos por esta Agencia en el sector institucional. Es decir que, si una entidad pretende adelantar un proceso que tenga por objeto el suministro de </w:t>
      </w:r>
      <w:r w:rsidRPr="001B00E6">
        <w:rPr>
          <w:rFonts w:ascii="Verdana" w:eastAsia="Aptos" w:hAnsi="Verdana" w:cs="Times New Roman"/>
          <w:kern w:val="2"/>
          <w:sz w:val="20"/>
          <w:szCs w:val="20"/>
          <w:lang w:eastAsia="es-CO"/>
          <w14:ligatures w14:val="standardContextual"/>
        </w:rPr>
        <w:t>sistemas de aires acondicionados o sistemas de ventilación o similares sobre infraestructura institucional</w:t>
      </w:r>
      <w:r w:rsidRPr="001B00E6">
        <w:rPr>
          <w:rFonts w:ascii="Verdana" w:eastAsia="Times New Roman" w:hAnsi="Verdana" w:cs="Times New Roman"/>
          <w:color w:val="000000"/>
          <w:sz w:val="20"/>
          <w:szCs w:val="20"/>
          <w:lang w:eastAsia="es-CO"/>
        </w:rPr>
        <w:t>, no tendrá que aplicar los documentos tipo expedidos por esta Agencia en el sector institucional.</w:t>
      </w:r>
    </w:p>
    <w:p w14:paraId="36DE83F1" w14:textId="77777777" w:rsidR="001B00E6" w:rsidRPr="001B00E6" w:rsidRDefault="001B00E6" w:rsidP="001B00E6">
      <w:pPr>
        <w:widowControl w:val="0"/>
        <w:autoSpaceDE w:val="0"/>
        <w:autoSpaceDN w:val="0"/>
        <w:spacing w:after="0" w:line="240" w:lineRule="auto"/>
        <w:jc w:val="both"/>
        <w:rPr>
          <w:rFonts w:ascii="Verdana" w:eastAsia="Calibri" w:hAnsi="Verdana" w:cs="Times New Roman"/>
          <w:sz w:val="20"/>
          <w:szCs w:val="20"/>
          <w:highlight w:val="yellow"/>
          <w:lang w:val="es-ES"/>
        </w:rPr>
      </w:pPr>
    </w:p>
    <w:p w14:paraId="1178875A" w14:textId="77777777" w:rsidR="001B00E6" w:rsidRPr="001B00E6" w:rsidRDefault="001B00E6" w:rsidP="001B00E6">
      <w:pPr>
        <w:spacing w:after="0" w:line="240" w:lineRule="auto"/>
        <w:jc w:val="both"/>
        <w:rPr>
          <w:rFonts w:ascii="Verdana" w:eastAsia="Calibri" w:hAnsi="Verdana" w:cs="Arial"/>
          <w:b/>
          <w:bCs/>
          <w:color w:val="000000"/>
          <w:kern w:val="2"/>
          <w:lang w:val="es-ES_tradnl"/>
          <w14:ligatures w14:val="standardContextual"/>
        </w:rPr>
      </w:pPr>
      <w:r w:rsidRPr="001B00E6">
        <w:rPr>
          <w:rFonts w:ascii="Verdana" w:eastAsia="Calibri" w:hAnsi="Verdana" w:cs="Arial"/>
          <w:b/>
          <w:bCs/>
          <w:color w:val="000000"/>
          <w:kern w:val="2"/>
          <w:lang w:val="es-ES_tradnl"/>
          <w14:ligatures w14:val="standardContextual"/>
        </w:rPr>
        <w:t>INSTALACIÓN – Obra – Contrato mixto – Prestación principal</w:t>
      </w:r>
    </w:p>
    <w:p w14:paraId="57ED3028" w14:textId="77777777" w:rsidR="001B00E6" w:rsidRPr="001B00E6" w:rsidRDefault="001B00E6" w:rsidP="001B00E6">
      <w:pPr>
        <w:spacing w:after="0" w:line="240" w:lineRule="auto"/>
        <w:jc w:val="both"/>
        <w:rPr>
          <w:rFonts w:ascii="Verdana" w:eastAsia="Calibri" w:hAnsi="Verdana" w:cs="Arial"/>
          <w:b/>
          <w:bCs/>
          <w:color w:val="000000"/>
          <w:kern w:val="2"/>
          <w:sz w:val="20"/>
          <w:szCs w:val="20"/>
          <w:lang w:val="es-ES_tradnl"/>
          <w14:ligatures w14:val="standardContextual"/>
        </w:rPr>
      </w:pPr>
      <w:r w:rsidRPr="001B00E6">
        <w:rPr>
          <w:rFonts w:ascii="Verdana" w:eastAsia="Calibri" w:hAnsi="Verdana" w:cs="Arial"/>
          <w:b/>
          <w:bCs/>
          <w:color w:val="000000"/>
          <w:kern w:val="2"/>
          <w:sz w:val="20"/>
          <w:szCs w:val="20"/>
          <w:lang w:val="es-ES_tradnl"/>
          <w14:ligatures w14:val="standardContextual"/>
        </w:rPr>
        <w:t xml:space="preserve"> </w:t>
      </w:r>
    </w:p>
    <w:p w14:paraId="415D4BAB" w14:textId="77777777" w:rsidR="001B00E6" w:rsidRPr="001B00E6" w:rsidRDefault="001B00E6" w:rsidP="068D7F8D">
      <w:pPr>
        <w:spacing w:after="0" w:line="240" w:lineRule="auto"/>
        <w:jc w:val="both"/>
        <w:rPr>
          <w:rFonts w:ascii="Verdana" w:eastAsia="Calibri" w:hAnsi="Verdana" w:cs="Arial"/>
          <w:color w:val="000000"/>
          <w:kern w:val="2"/>
          <w:sz w:val="20"/>
          <w:szCs w:val="20"/>
          <w:lang w:val="es-ES"/>
          <w14:ligatures w14:val="standardContextual"/>
        </w:rPr>
      </w:pPr>
      <w:r w:rsidRPr="068D7F8D">
        <w:rPr>
          <w:rFonts w:ascii="Verdana" w:eastAsia="Calibri" w:hAnsi="Verdana" w:cs="Arial"/>
          <w:color w:val="000000"/>
          <w:kern w:val="2"/>
          <w:sz w:val="20"/>
          <w:szCs w:val="20"/>
          <w:lang w:val="es-ES"/>
          <w14:ligatures w14:val="standardContextual"/>
        </w:rPr>
        <w:t xml:space="preserve">La obligación de instalar un bien mueble en un inmueble –convirtiendo a aquel en un inmueble por adhesión o por destinación– </w:t>
      </w:r>
      <w:r w:rsidRPr="068D7F8D">
        <w:rPr>
          <w:rFonts w:ascii="Verdana" w:eastAsia="Calibri" w:hAnsi="Verdana" w:cs="Arial"/>
          <w:i/>
          <w:iCs/>
          <w:color w:val="000000"/>
          <w:kern w:val="2"/>
          <w:sz w:val="20"/>
          <w:szCs w:val="20"/>
          <w:lang w:val="es-ES"/>
          <w14:ligatures w14:val="standardContextual"/>
        </w:rPr>
        <w:t>no</w:t>
      </w:r>
      <w:r w:rsidRPr="068D7F8D">
        <w:rPr>
          <w:rFonts w:ascii="Verdana" w:eastAsia="Calibri" w:hAnsi="Verdana" w:cs="Arial"/>
          <w:color w:val="000000"/>
          <w:kern w:val="2"/>
          <w:sz w:val="20"/>
          <w:szCs w:val="20"/>
          <w:lang w:val="es-ES"/>
          <w14:ligatures w14:val="standardContextual"/>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–para lo cual un criterio puede ser cuál es la prestación que tiene el mayor valor–, </w:t>
      </w:r>
      <w:proofErr w:type="spellStart"/>
      <w:r w:rsidRPr="068D7F8D">
        <w:rPr>
          <w:rFonts w:ascii="Verdana" w:eastAsia="Calibri" w:hAnsi="Verdana" w:cs="Arial"/>
          <w:color w:val="000000"/>
          <w:kern w:val="2"/>
          <w:sz w:val="20"/>
          <w:szCs w:val="20"/>
          <w:lang w:val="es-ES"/>
          <w14:ligatures w14:val="standardContextual"/>
        </w:rPr>
        <w:t>ii</w:t>
      </w:r>
      <w:proofErr w:type="spellEnd"/>
      <w:r w:rsidRPr="068D7F8D">
        <w:rPr>
          <w:rFonts w:ascii="Verdana" w:eastAsia="Calibri" w:hAnsi="Verdana" w:cs="Arial"/>
          <w:color w:val="000000"/>
          <w:kern w:val="2"/>
          <w:sz w:val="20"/>
          <w:szCs w:val="20"/>
          <w:lang w:val="es-ES"/>
          <w14:ligatures w14:val="standardContextual"/>
        </w:rPr>
        <w:t xml:space="preserve">) la finalidad de las partes y </w:t>
      </w:r>
      <w:proofErr w:type="spellStart"/>
      <w:r w:rsidRPr="068D7F8D">
        <w:rPr>
          <w:rFonts w:ascii="Verdana" w:eastAsia="Calibri" w:hAnsi="Verdana" w:cs="Arial"/>
          <w:color w:val="000000"/>
          <w:kern w:val="2"/>
          <w:sz w:val="20"/>
          <w:szCs w:val="20"/>
          <w:lang w:val="es-ES"/>
          <w14:ligatures w14:val="standardContextual"/>
        </w:rPr>
        <w:t>iii</w:t>
      </w:r>
      <w:proofErr w:type="spellEnd"/>
      <w:r w:rsidRPr="068D7F8D">
        <w:rPr>
          <w:rFonts w:ascii="Verdana" w:eastAsia="Calibri" w:hAnsi="Verdana" w:cs="Arial"/>
          <w:color w:val="000000"/>
          <w:kern w:val="2"/>
          <w:sz w:val="20"/>
          <w:szCs w:val="20"/>
          <w:lang w:val="es-ES"/>
          <w14:ligatures w14:val="standardContextual"/>
        </w:rPr>
        <w:t>) si se trata de prestaciones mixtas,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 Este es un análisis que, por tanto, debe realizarse en cada caso, considerando los datos técnicos y económicos del objeto contractual.</w:t>
      </w:r>
    </w:p>
    <w:p w14:paraId="332CB07F" w14:textId="77777777" w:rsidR="001B00E6" w:rsidRPr="001B00E6" w:rsidRDefault="001B00E6" w:rsidP="001B00E6">
      <w:pPr>
        <w:spacing w:after="0" w:line="240" w:lineRule="auto"/>
        <w:jc w:val="both"/>
        <w:rPr>
          <w:rFonts w:ascii="Verdana" w:eastAsia="Calibri" w:hAnsi="Verdana" w:cs="Arial"/>
          <w:color w:val="000000"/>
          <w:kern w:val="2"/>
          <w:sz w:val="20"/>
          <w:szCs w:val="20"/>
          <w:lang w:val="es-ES_tradnl"/>
          <w14:ligatures w14:val="standardContextual"/>
        </w:rPr>
      </w:pPr>
    </w:p>
    <w:p w14:paraId="547BB5A7" w14:textId="77777777" w:rsidR="001B00E6" w:rsidRPr="001B00E6" w:rsidRDefault="001B00E6" w:rsidP="001B00E6">
      <w:pPr>
        <w:spacing w:after="0" w:line="240" w:lineRule="auto"/>
        <w:jc w:val="both"/>
        <w:rPr>
          <w:rFonts w:ascii="Verdana" w:eastAsia="Calibri" w:hAnsi="Verdana" w:cs="Arial"/>
          <w:b/>
          <w:bCs/>
          <w:color w:val="000000"/>
          <w:kern w:val="2"/>
          <w:lang w:val="es-ES_tradnl"/>
          <w14:ligatures w14:val="standardContextual"/>
        </w:rPr>
      </w:pPr>
      <w:r w:rsidRPr="001B00E6">
        <w:rPr>
          <w:rFonts w:ascii="Verdana" w:eastAsia="Calibri" w:hAnsi="Verdana" w:cs="Arial"/>
          <w:b/>
          <w:bCs/>
          <w:color w:val="000000"/>
          <w:kern w:val="2"/>
          <w:lang w:val="es-ES_tradnl"/>
          <w14:ligatures w14:val="standardContextual"/>
        </w:rPr>
        <w:t>INSTALACIÓN – Obra – Aplicación – Documentos tipo – Sector Institucional</w:t>
      </w:r>
    </w:p>
    <w:p w14:paraId="28F4A661" w14:textId="77777777" w:rsidR="001B00E6" w:rsidRPr="001B00E6" w:rsidRDefault="001B00E6" w:rsidP="001B00E6">
      <w:pPr>
        <w:spacing w:after="0" w:line="240" w:lineRule="auto"/>
        <w:jc w:val="both"/>
        <w:rPr>
          <w:rFonts w:ascii="Verdana" w:eastAsia="Calibri" w:hAnsi="Verdana" w:cs="Arial"/>
          <w:color w:val="000000"/>
          <w:kern w:val="2"/>
          <w:sz w:val="20"/>
          <w:szCs w:val="20"/>
          <w:lang w:val="es-ES_tradnl"/>
          <w14:ligatures w14:val="standardContextual"/>
        </w:rPr>
      </w:pPr>
    </w:p>
    <w:p w14:paraId="4C9FA17E" w14:textId="77777777" w:rsidR="001B00E6" w:rsidRPr="001B00E6" w:rsidRDefault="001B00E6" w:rsidP="001B00E6">
      <w:pPr>
        <w:spacing w:after="120" w:line="276" w:lineRule="auto"/>
        <w:jc w:val="both"/>
        <w:rPr>
          <w:rFonts w:ascii="Verdana" w:eastAsia="Times New Roman" w:hAnsi="Verdana" w:cs="Times New Roman"/>
          <w:color w:val="000000"/>
          <w:sz w:val="20"/>
          <w:szCs w:val="20"/>
          <w:lang w:eastAsia="es-CO"/>
        </w:rPr>
      </w:pPr>
      <w:r w:rsidRPr="001B00E6">
        <w:rPr>
          <w:rFonts w:ascii="Verdana" w:eastAsia="Calibri" w:hAnsi="Verdana" w:cs="Arial"/>
          <w:sz w:val="20"/>
          <w:szCs w:val="20"/>
          <w:lang w:val="es-ES" w:eastAsia="es-ES_tradnl"/>
        </w:rPr>
        <w:t xml:space="preserve">En este contexto, </w:t>
      </w:r>
      <w:r w:rsidRPr="001B00E6">
        <w:rPr>
          <w:rFonts w:ascii="Verdana" w:eastAsia="Aptos" w:hAnsi="Verdana" w:cs="Arial"/>
          <w:kern w:val="2"/>
          <w:sz w:val="20"/>
          <w:szCs w:val="20"/>
          <w:lang w:eastAsia="es-ES_tradnl"/>
          <w14:ligatures w14:val="standardContextual"/>
        </w:rPr>
        <w:t xml:space="preserve">no es posible afirmar de manera categórica que el suministro e instalación de </w:t>
      </w:r>
      <w:r w:rsidRPr="001B00E6">
        <w:rPr>
          <w:rFonts w:ascii="Verdana" w:eastAsia="Times New Roman" w:hAnsi="Verdana" w:cs="Times New Roman"/>
          <w:color w:val="000000"/>
          <w:sz w:val="20"/>
          <w:szCs w:val="20"/>
          <w:lang w:eastAsia="es-CO"/>
        </w:rPr>
        <w:t xml:space="preserve">sistemas de aires acondicionadas o sistemas de ventilación o similar sobre </w:t>
      </w:r>
      <w:r w:rsidRPr="001B00E6">
        <w:rPr>
          <w:rFonts w:ascii="Verdana" w:eastAsia="Aptos" w:hAnsi="Verdana" w:cs="Arial"/>
          <w:kern w:val="2"/>
          <w:sz w:val="20"/>
          <w:szCs w:val="20"/>
          <w:lang w:eastAsia="es-ES_tradnl"/>
          <w14:ligatures w14:val="standardContextual"/>
        </w:rPr>
        <w:t xml:space="preserve">un inmueble que tiene la categoría de infraestructura educativa deba clasificarse, en todos los casos, como un contrato de obra pública para efecto de la utilización de los Documentos Tipo </w:t>
      </w:r>
      <w:r w:rsidRPr="001B00E6">
        <w:rPr>
          <w:rFonts w:ascii="Verdana" w:eastAsia="Times New Roman" w:hAnsi="Verdana" w:cs="Times New Roman"/>
          <w:color w:val="000000"/>
          <w:sz w:val="20"/>
          <w:szCs w:val="20"/>
          <w:lang w:eastAsia="es-CO"/>
        </w:rPr>
        <w:t>del Sector Institucional</w:t>
      </w:r>
      <w:r w:rsidRPr="001B00E6">
        <w:rPr>
          <w:rFonts w:ascii="Verdana" w:eastAsia="Aptos" w:hAnsi="Verdana" w:cs="Arial"/>
          <w:kern w:val="2"/>
          <w:sz w:val="20"/>
          <w:szCs w:val="20"/>
          <w:lang w:eastAsia="es-ES_tradnl"/>
          <w14:ligatures w14:val="standardContextua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230338D7"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4DA85052" w14:textId="77777777" w:rsidR="001B00E6" w:rsidRPr="001B00E6" w:rsidRDefault="001B00E6" w:rsidP="001B00E6">
      <w:pPr>
        <w:spacing w:after="0" w:line="240" w:lineRule="auto"/>
        <w:jc w:val="both"/>
        <w:rPr>
          <w:rFonts w:ascii="Verdana" w:eastAsia="Calibri" w:hAnsi="Verdana" w:cs="Arial"/>
          <w:sz w:val="20"/>
          <w:szCs w:val="20"/>
          <w:lang w:eastAsia="es-ES_tradnl"/>
        </w:rPr>
      </w:pPr>
      <w:r w:rsidRPr="001B00E6">
        <w:rPr>
          <w:rFonts w:ascii="Verdana" w:eastAsia="Calibri" w:hAnsi="Verdana" w:cs="Arial"/>
          <w:sz w:val="20"/>
          <w:szCs w:val="20"/>
          <w:lang w:eastAsia="es-ES_tradnl"/>
        </w:rPr>
        <w:t>(…)</w:t>
      </w:r>
    </w:p>
    <w:p w14:paraId="4D1E26D1"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18C3EF47" w14:textId="77777777" w:rsidR="001B00E6" w:rsidRPr="001B00E6" w:rsidRDefault="001B00E6" w:rsidP="001B00E6">
      <w:pPr>
        <w:spacing w:after="0" w:line="240" w:lineRule="auto"/>
        <w:jc w:val="both"/>
        <w:rPr>
          <w:rFonts w:ascii="Verdana" w:eastAsia="Calibri" w:hAnsi="Verdana" w:cs="Arial"/>
          <w:sz w:val="20"/>
          <w:szCs w:val="20"/>
          <w:lang w:eastAsia="es-ES_tradnl"/>
        </w:rPr>
      </w:pPr>
      <w:r w:rsidRPr="001B00E6">
        <w:rPr>
          <w:rFonts w:ascii="Verdana" w:eastAsia="Calibri" w:hAnsi="Verdana" w:cs="Arial"/>
          <w:sz w:val="20"/>
          <w:szCs w:val="20"/>
          <w:lang w:eastAsia="es-ES_tradnl"/>
        </w:rPr>
        <w:lastRenderedPageBreak/>
        <w:t>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2FBF37FB"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55D37312"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2BF2600B"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0C5B4C0F"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2581888F"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756096C2" w14:textId="77777777" w:rsidR="001B00E6" w:rsidRDefault="001B00E6" w:rsidP="001B00E6">
      <w:pPr>
        <w:spacing w:after="0" w:line="240" w:lineRule="auto"/>
        <w:jc w:val="both"/>
        <w:rPr>
          <w:rFonts w:ascii="Verdana" w:eastAsia="Calibri" w:hAnsi="Verdana" w:cs="Arial"/>
          <w:sz w:val="20"/>
          <w:szCs w:val="20"/>
          <w:lang w:eastAsia="es-ES_tradnl"/>
        </w:rPr>
      </w:pPr>
    </w:p>
    <w:p w14:paraId="5322CE02" w14:textId="77777777" w:rsidR="001B00E6" w:rsidRDefault="001B00E6" w:rsidP="001B00E6">
      <w:pPr>
        <w:spacing w:after="0" w:line="240" w:lineRule="auto"/>
        <w:jc w:val="both"/>
        <w:rPr>
          <w:rFonts w:ascii="Verdana" w:eastAsia="Calibri" w:hAnsi="Verdana" w:cs="Arial"/>
          <w:sz w:val="20"/>
          <w:szCs w:val="20"/>
          <w:lang w:eastAsia="es-ES_tradnl"/>
        </w:rPr>
      </w:pPr>
    </w:p>
    <w:p w14:paraId="10BA0D07" w14:textId="77777777" w:rsidR="001B00E6" w:rsidRDefault="001B00E6" w:rsidP="001B00E6">
      <w:pPr>
        <w:spacing w:after="0" w:line="240" w:lineRule="auto"/>
        <w:jc w:val="both"/>
        <w:rPr>
          <w:rFonts w:ascii="Verdana" w:eastAsia="Calibri" w:hAnsi="Verdana" w:cs="Arial"/>
          <w:sz w:val="20"/>
          <w:szCs w:val="20"/>
          <w:lang w:eastAsia="es-ES_tradnl"/>
        </w:rPr>
      </w:pPr>
    </w:p>
    <w:p w14:paraId="2A3F463B" w14:textId="77777777" w:rsidR="001B00E6" w:rsidRDefault="001B00E6" w:rsidP="001B00E6">
      <w:pPr>
        <w:spacing w:after="0" w:line="240" w:lineRule="auto"/>
        <w:jc w:val="both"/>
        <w:rPr>
          <w:rFonts w:ascii="Verdana" w:eastAsia="Calibri" w:hAnsi="Verdana" w:cs="Arial"/>
          <w:sz w:val="20"/>
          <w:szCs w:val="20"/>
          <w:lang w:eastAsia="es-ES_tradnl"/>
        </w:rPr>
      </w:pPr>
    </w:p>
    <w:p w14:paraId="454D211A" w14:textId="77777777" w:rsidR="001B00E6" w:rsidRDefault="001B00E6" w:rsidP="001B00E6">
      <w:pPr>
        <w:spacing w:after="0" w:line="240" w:lineRule="auto"/>
        <w:jc w:val="both"/>
        <w:rPr>
          <w:rFonts w:ascii="Verdana" w:eastAsia="Calibri" w:hAnsi="Verdana" w:cs="Arial"/>
          <w:sz w:val="20"/>
          <w:szCs w:val="20"/>
          <w:lang w:eastAsia="es-ES_tradnl"/>
        </w:rPr>
      </w:pPr>
    </w:p>
    <w:p w14:paraId="69083072" w14:textId="77777777" w:rsidR="001B00E6" w:rsidRDefault="001B00E6" w:rsidP="001B00E6">
      <w:pPr>
        <w:spacing w:after="0" w:line="240" w:lineRule="auto"/>
        <w:jc w:val="both"/>
        <w:rPr>
          <w:rFonts w:ascii="Verdana" w:eastAsia="Calibri" w:hAnsi="Verdana" w:cs="Arial"/>
          <w:sz w:val="20"/>
          <w:szCs w:val="20"/>
          <w:lang w:eastAsia="es-ES_tradnl"/>
        </w:rPr>
      </w:pPr>
    </w:p>
    <w:p w14:paraId="3AEBFFAA" w14:textId="77777777" w:rsidR="001B00E6" w:rsidRDefault="001B00E6" w:rsidP="001B00E6">
      <w:pPr>
        <w:spacing w:after="0" w:line="240" w:lineRule="auto"/>
        <w:jc w:val="both"/>
        <w:rPr>
          <w:rFonts w:ascii="Verdana" w:eastAsia="Calibri" w:hAnsi="Verdana" w:cs="Arial"/>
          <w:sz w:val="20"/>
          <w:szCs w:val="20"/>
          <w:lang w:eastAsia="es-ES_tradnl"/>
        </w:rPr>
      </w:pPr>
    </w:p>
    <w:p w14:paraId="6532BCCF" w14:textId="77777777" w:rsidR="001B00E6" w:rsidRDefault="001B00E6" w:rsidP="001B00E6">
      <w:pPr>
        <w:spacing w:after="0" w:line="240" w:lineRule="auto"/>
        <w:jc w:val="both"/>
        <w:rPr>
          <w:rFonts w:ascii="Verdana" w:eastAsia="Calibri" w:hAnsi="Verdana" w:cs="Arial"/>
          <w:sz w:val="20"/>
          <w:szCs w:val="20"/>
          <w:lang w:eastAsia="es-ES_tradnl"/>
        </w:rPr>
      </w:pPr>
    </w:p>
    <w:p w14:paraId="2BDF231D" w14:textId="77777777" w:rsidR="001B00E6" w:rsidRDefault="001B00E6" w:rsidP="001B00E6">
      <w:pPr>
        <w:spacing w:after="0" w:line="240" w:lineRule="auto"/>
        <w:jc w:val="both"/>
        <w:rPr>
          <w:rFonts w:ascii="Verdana" w:eastAsia="Calibri" w:hAnsi="Verdana" w:cs="Arial"/>
          <w:sz w:val="20"/>
          <w:szCs w:val="20"/>
          <w:lang w:eastAsia="es-ES_tradnl"/>
        </w:rPr>
      </w:pPr>
    </w:p>
    <w:p w14:paraId="49FDD77A" w14:textId="77777777" w:rsidR="001B00E6" w:rsidRDefault="001B00E6" w:rsidP="001B00E6">
      <w:pPr>
        <w:spacing w:after="0" w:line="240" w:lineRule="auto"/>
        <w:jc w:val="both"/>
        <w:rPr>
          <w:rFonts w:ascii="Verdana" w:eastAsia="Calibri" w:hAnsi="Verdana" w:cs="Arial"/>
          <w:sz w:val="20"/>
          <w:szCs w:val="20"/>
          <w:lang w:eastAsia="es-ES_tradnl"/>
        </w:rPr>
      </w:pPr>
    </w:p>
    <w:p w14:paraId="7F03CDB7" w14:textId="77777777" w:rsidR="001B00E6" w:rsidRDefault="001B00E6" w:rsidP="001B00E6">
      <w:pPr>
        <w:spacing w:after="0" w:line="240" w:lineRule="auto"/>
        <w:jc w:val="both"/>
        <w:rPr>
          <w:rFonts w:ascii="Verdana" w:eastAsia="Calibri" w:hAnsi="Verdana" w:cs="Arial"/>
          <w:sz w:val="20"/>
          <w:szCs w:val="20"/>
          <w:lang w:eastAsia="es-ES_tradnl"/>
        </w:rPr>
      </w:pPr>
    </w:p>
    <w:p w14:paraId="7524B174" w14:textId="77777777" w:rsidR="001B00E6" w:rsidRDefault="001B00E6" w:rsidP="001B00E6">
      <w:pPr>
        <w:spacing w:after="0" w:line="240" w:lineRule="auto"/>
        <w:jc w:val="both"/>
        <w:rPr>
          <w:rFonts w:ascii="Verdana" w:eastAsia="Calibri" w:hAnsi="Verdana" w:cs="Arial"/>
          <w:sz w:val="20"/>
          <w:szCs w:val="20"/>
          <w:lang w:eastAsia="es-ES_tradnl"/>
        </w:rPr>
      </w:pPr>
    </w:p>
    <w:p w14:paraId="18032B18" w14:textId="77777777" w:rsidR="001B00E6" w:rsidRDefault="001B00E6" w:rsidP="001B00E6">
      <w:pPr>
        <w:spacing w:after="0" w:line="240" w:lineRule="auto"/>
        <w:jc w:val="both"/>
        <w:rPr>
          <w:rFonts w:ascii="Verdana" w:eastAsia="Calibri" w:hAnsi="Verdana" w:cs="Arial"/>
          <w:sz w:val="20"/>
          <w:szCs w:val="20"/>
          <w:lang w:eastAsia="es-ES_tradnl"/>
        </w:rPr>
      </w:pPr>
    </w:p>
    <w:p w14:paraId="2335BB4F" w14:textId="77777777" w:rsidR="001B00E6" w:rsidRDefault="001B00E6" w:rsidP="001B00E6">
      <w:pPr>
        <w:spacing w:after="0" w:line="240" w:lineRule="auto"/>
        <w:jc w:val="both"/>
        <w:rPr>
          <w:rFonts w:ascii="Verdana" w:eastAsia="Calibri" w:hAnsi="Verdana" w:cs="Arial"/>
          <w:sz w:val="20"/>
          <w:szCs w:val="20"/>
          <w:lang w:eastAsia="es-ES_tradnl"/>
        </w:rPr>
      </w:pPr>
    </w:p>
    <w:p w14:paraId="71223231" w14:textId="77777777" w:rsidR="001B00E6" w:rsidRDefault="001B00E6" w:rsidP="001B00E6">
      <w:pPr>
        <w:spacing w:after="0" w:line="240" w:lineRule="auto"/>
        <w:jc w:val="both"/>
        <w:rPr>
          <w:rFonts w:ascii="Verdana" w:eastAsia="Calibri" w:hAnsi="Verdana" w:cs="Arial"/>
          <w:sz w:val="20"/>
          <w:szCs w:val="20"/>
          <w:lang w:eastAsia="es-ES_tradnl"/>
        </w:rPr>
      </w:pPr>
    </w:p>
    <w:p w14:paraId="55F3E151" w14:textId="77777777" w:rsidR="001B00E6" w:rsidRDefault="001B00E6" w:rsidP="001B00E6">
      <w:pPr>
        <w:spacing w:after="0" w:line="240" w:lineRule="auto"/>
        <w:jc w:val="both"/>
        <w:rPr>
          <w:rFonts w:ascii="Verdana" w:eastAsia="Calibri" w:hAnsi="Verdana" w:cs="Arial"/>
          <w:sz w:val="20"/>
          <w:szCs w:val="20"/>
          <w:lang w:eastAsia="es-ES_tradnl"/>
        </w:rPr>
      </w:pPr>
    </w:p>
    <w:p w14:paraId="10DBB9AE" w14:textId="77777777" w:rsidR="001B00E6" w:rsidRDefault="001B00E6" w:rsidP="001B00E6">
      <w:pPr>
        <w:spacing w:after="0" w:line="240" w:lineRule="auto"/>
        <w:jc w:val="both"/>
        <w:rPr>
          <w:rFonts w:ascii="Verdana" w:eastAsia="Calibri" w:hAnsi="Verdana" w:cs="Arial"/>
          <w:sz w:val="20"/>
          <w:szCs w:val="20"/>
          <w:lang w:eastAsia="es-ES_tradnl"/>
        </w:rPr>
      </w:pPr>
    </w:p>
    <w:p w14:paraId="36FC269E" w14:textId="77777777" w:rsidR="001B00E6" w:rsidRDefault="001B00E6" w:rsidP="001B00E6">
      <w:pPr>
        <w:spacing w:after="0" w:line="240" w:lineRule="auto"/>
        <w:jc w:val="both"/>
        <w:rPr>
          <w:rFonts w:ascii="Verdana" w:eastAsia="Calibri" w:hAnsi="Verdana" w:cs="Arial"/>
          <w:sz w:val="20"/>
          <w:szCs w:val="20"/>
          <w:lang w:eastAsia="es-ES_tradnl"/>
        </w:rPr>
      </w:pPr>
    </w:p>
    <w:p w14:paraId="0DF49ECC" w14:textId="77777777" w:rsidR="001B00E6" w:rsidRDefault="001B00E6" w:rsidP="001B00E6">
      <w:pPr>
        <w:spacing w:after="0" w:line="240" w:lineRule="auto"/>
        <w:jc w:val="both"/>
        <w:rPr>
          <w:rFonts w:ascii="Verdana" w:eastAsia="Calibri" w:hAnsi="Verdana" w:cs="Arial"/>
          <w:sz w:val="20"/>
          <w:szCs w:val="20"/>
          <w:lang w:eastAsia="es-ES_tradnl"/>
        </w:rPr>
      </w:pPr>
    </w:p>
    <w:p w14:paraId="56DAD623" w14:textId="77777777" w:rsidR="001B00E6" w:rsidRDefault="001B00E6" w:rsidP="001B00E6">
      <w:pPr>
        <w:spacing w:after="0" w:line="240" w:lineRule="auto"/>
        <w:jc w:val="both"/>
        <w:rPr>
          <w:rFonts w:ascii="Verdana" w:eastAsia="Calibri" w:hAnsi="Verdana" w:cs="Arial"/>
          <w:sz w:val="20"/>
          <w:szCs w:val="20"/>
          <w:lang w:eastAsia="es-ES_tradnl"/>
        </w:rPr>
      </w:pPr>
    </w:p>
    <w:p w14:paraId="107BA491" w14:textId="77777777" w:rsidR="001B00E6" w:rsidRDefault="001B00E6" w:rsidP="001B00E6">
      <w:pPr>
        <w:spacing w:after="0" w:line="240" w:lineRule="auto"/>
        <w:jc w:val="both"/>
        <w:rPr>
          <w:rFonts w:ascii="Verdana" w:eastAsia="Calibri" w:hAnsi="Verdana" w:cs="Arial"/>
          <w:sz w:val="20"/>
          <w:szCs w:val="20"/>
          <w:lang w:eastAsia="es-ES_tradnl"/>
        </w:rPr>
      </w:pPr>
    </w:p>
    <w:p w14:paraId="275E2BDC" w14:textId="77777777" w:rsidR="001B00E6" w:rsidRDefault="001B00E6" w:rsidP="001B00E6">
      <w:pPr>
        <w:spacing w:after="0" w:line="240" w:lineRule="auto"/>
        <w:jc w:val="both"/>
        <w:rPr>
          <w:rFonts w:ascii="Verdana" w:eastAsia="Calibri" w:hAnsi="Verdana" w:cs="Arial"/>
          <w:sz w:val="20"/>
          <w:szCs w:val="20"/>
          <w:lang w:eastAsia="es-ES_tradnl"/>
        </w:rPr>
      </w:pPr>
    </w:p>
    <w:p w14:paraId="497E51CA" w14:textId="77777777" w:rsidR="001B00E6" w:rsidRDefault="001B00E6" w:rsidP="001B00E6">
      <w:pPr>
        <w:spacing w:after="0" w:line="240" w:lineRule="auto"/>
        <w:jc w:val="both"/>
        <w:rPr>
          <w:rFonts w:ascii="Verdana" w:eastAsia="Calibri" w:hAnsi="Verdana" w:cs="Arial"/>
          <w:sz w:val="20"/>
          <w:szCs w:val="20"/>
          <w:lang w:eastAsia="es-ES_tradnl"/>
        </w:rPr>
      </w:pPr>
    </w:p>
    <w:p w14:paraId="473162E9" w14:textId="77777777" w:rsidR="001B00E6" w:rsidRDefault="001B00E6" w:rsidP="001B00E6">
      <w:pPr>
        <w:spacing w:after="0" w:line="240" w:lineRule="auto"/>
        <w:jc w:val="both"/>
        <w:rPr>
          <w:rFonts w:ascii="Verdana" w:eastAsia="Calibri" w:hAnsi="Verdana" w:cs="Arial"/>
          <w:sz w:val="20"/>
          <w:szCs w:val="20"/>
          <w:lang w:eastAsia="es-ES_tradnl"/>
        </w:rPr>
      </w:pPr>
    </w:p>
    <w:p w14:paraId="0C978260" w14:textId="77777777" w:rsidR="001B00E6" w:rsidRDefault="001B00E6" w:rsidP="001B00E6">
      <w:pPr>
        <w:spacing w:after="0" w:line="240" w:lineRule="auto"/>
        <w:jc w:val="both"/>
        <w:rPr>
          <w:rFonts w:ascii="Verdana" w:eastAsia="Calibri" w:hAnsi="Verdana" w:cs="Arial"/>
          <w:sz w:val="20"/>
          <w:szCs w:val="20"/>
          <w:lang w:eastAsia="es-ES_tradnl"/>
        </w:rPr>
      </w:pPr>
    </w:p>
    <w:p w14:paraId="3769043F" w14:textId="77777777" w:rsidR="001B00E6" w:rsidRDefault="001B00E6" w:rsidP="001B00E6">
      <w:pPr>
        <w:spacing w:after="0" w:line="240" w:lineRule="auto"/>
        <w:jc w:val="both"/>
        <w:rPr>
          <w:rFonts w:ascii="Verdana" w:eastAsia="Calibri" w:hAnsi="Verdana" w:cs="Arial"/>
          <w:sz w:val="20"/>
          <w:szCs w:val="20"/>
          <w:lang w:eastAsia="es-ES_tradnl"/>
        </w:rPr>
      </w:pPr>
    </w:p>
    <w:p w14:paraId="428F6651" w14:textId="77777777" w:rsidR="001B00E6" w:rsidRDefault="001B00E6" w:rsidP="001B00E6">
      <w:pPr>
        <w:spacing w:after="0" w:line="240" w:lineRule="auto"/>
        <w:jc w:val="both"/>
        <w:rPr>
          <w:rFonts w:ascii="Verdana" w:eastAsia="Calibri" w:hAnsi="Verdana" w:cs="Arial"/>
          <w:sz w:val="20"/>
          <w:szCs w:val="20"/>
          <w:lang w:eastAsia="es-ES_tradnl"/>
        </w:rPr>
      </w:pPr>
    </w:p>
    <w:p w14:paraId="64223B6D" w14:textId="77777777" w:rsidR="001B00E6" w:rsidRDefault="001B00E6" w:rsidP="001B00E6">
      <w:pPr>
        <w:spacing w:after="0" w:line="240" w:lineRule="auto"/>
        <w:jc w:val="both"/>
        <w:rPr>
          <w:rFonts w:ascii="Verdana" w:eastAsia="Calibri" w:hAnsi="Verdana" w:cs="Arial"/>
          <w:sz w:val="20"/>
          <w:szCs w:val="20"/>
          <w:lang w:eastAsia="es-ES_tradnl"/>
        </w:rPr>
      </w:pPr>
    </w:p>
    <w:p w14:paraId="3365FD42" w14:textId="77777777" w:rsidR="001B00E6" w:rsidRDefault="001B00E6" w:rsidP="001B00E6">
      <w:pPr>
        <w:spacing w:after="0" w:line="240" w:lineRule="auto"/>
        <w:jc w:val="both"/>
        <w:rPr>
          <w:rFonts w:ascii="Verdana" w:eastAsia="Calibri" w:hAnsi="Verdana" w:cs="Arial"/>
          <w:sz w:val="20"/>
          <w:szCs w:val="20"/>
          <w:lang w:eastAsia="es-ES_tradnl"/>
        </w:rPr>
      </w:pPr>
    </w:p>
    <w:p w14:paraId="38F558A8" w14:textId="77777777" w:rsidR="001B00E6" w:rsidRDefault="001B00E6" w:rsidP="001B00E6">
      <w:pPr>
        <w:spacing w:after="0" w:line="240" w:lineRule="auto"/>
        <w:jc w:val="both"/>
        <w:rPr>
          <w:rFonts w:ascii="Verdana" w:eastAsia="Calibri" w:hAnsi="Verdana" w:cs="Arial"/>
          <w:sz w:val="20"/>
          <w:szCs w:val="20"/>
          <w:lang w:eastAsia="es-ES_tradnl"/>
        </w:rPr>
      </w:pPr>
    </w:p>
    <w:p w14:paraId="1C352873" w14:textId="77777777" w:rsidR="001B00E6" w:rsidRDefault="001B00E6" w:rsidP="001B00E6">
      <w:pPr>
        <w:spacing w:after="0" w:line="240" w:lineRule="auto"/>
        <w:jc w:val="both"/>
        <w:rPr>
          <w:rFonts w:ascii="Verdana" w:eastAsia="Calibri" w:hAnsi="Verdana" w:cs="Arial"/>
          <w:sz w:val="20"/>
          <w:szCs w:val="20"/>
          <w:lang w:eastAsia="es-ES_tradnl"/>
        </w:rPr>
      </w:pPr>
    </w:p>
    <w:p w14:paraId="24BFF2C0"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15849541"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1A5E8CFF" w14:textId="77777777" w:rsidR="001B00E6" w:rsidRPr="001B00E6" w:rsidRDefault="001B00E6" w:rsidP="001B00E6">
      <w:pPr>
        <w:spacing w:after="0" w:line="240" w:lineRule="auto"/>
        <w:jc w:val="both"/>
        <w:rPr>
          <w:rFonts w:ascii="Verdana" w:eastAsia="Calibri" w:hAnsi="Verdana" w:cs="Arial"/>
          <w:sz w:val="20"/>
          <w:szCs w:val="20"/>
          <w:lang w:eastAsia="es-ES_tradnl"/>
        </w:rPr>
      </w:pPr>
    </w:p>
    <w:p w14:paraId="3853D6D2" w14:textId="684DF1EC" w:rsidR="001B00E6" w:rsidRDefault="001B00E6" w:rsidP="001B00E6">
      <w:pPr>
        <w:spacing w:after="0" w:line="240" w:lineRule="auto"/>
        <w:rPr>
          <w:rFonts w:ascii="Verdana" w:eastAsia="Aptos" w:hAnsi="Verdana" w:cs="Times New Roman"/>
          <w:kern w:val="2"/>
          <w14:ligatures w14:val="standardContextual"/>
        </w:rPr>
      </w:pPr>
      <w:r w:rsidRPr="001B00E6">
        <w:rPr>
          <w:rFonts w:ascii="Verdana" w:eastAsia="Aptos" w:hAnsi="Verdana" w:cs="Times New Roman"/>
          <w:kern w:val="2"/>
          <w14:ligatures w14:val="standardContextual"/>
        </w:rPr>
        <w:lastRenderedPageBreak/>
        <w:t xml:space="preserve">Bogotá D.C., </w:t>
      </w:r>
      <w:r w:rsidR="009B6B08">
        <w:rPr>
          <w:rFonts w:ascii="Verdana" w:eastAsia="Aptos" w:hAnsi="Verdana" w:cs="Times New Roman"/>
          <w:kern w:val="2"/>
          <w14:ligatures w14:val="standardContextual"/>
        </w:rPr>
        <w:t>08 de abril de 2026</w:t>
      </w:r>
    </w:p>
    <w:p w14:paraId="681491D7" w14:textId="77777777" w:rsidR="009B6B08" w:rsidRDefault="009B6B08" w:rsidP="001B00E6">
      <w:pPr>
        <w:spacing w:after="0" w:line="240" w:lineRule="auto"/>
        <w:rPr>
          <w:rFonts w:ascii="Verdana" w:eastAsia="Aptos" w:hAnsi="Verdana" w:cs="Times New Roman"/>
          <w:kern w:val="2"/>
          <w14:ligatures w14:val="standardContextual"/>
        </w:rPr>
      </w:pPr>
    </w:p>
    <w:p w14:paraId="45D26757" w14:textId="409E9DFE" w:rsidR="009B6B08" w:rsidRPr="001B00E6" w:rsidRDefault="009B6B08" w:rsidP="009B6B08">
      <w:pPr>
        <w:spacing w:after="0" w:line="240" w:lineRule="auto"/>
        <w:jc w:val="right"/>
        <w:rPr>
          <w:rFonts w:ascii="Verdana" w:eastAsia="Aptos" w:hAnsi="Verdana" w:cs="Times New Roman"/>
          <w:kern w:val="2"/>
          <w14:ligatures w14:val="standardContextual"/>
        </w:rPr>
      </w:pPr>
    </w:p>
    <w:p w14:paraId="03651B5F" w14:textId="3E44E732" w:rsidR="001B00E6" w:rsidRPr="001B00E6" w:rsidRDefault="001B00E6" w:rsidP="001B00E6">
      <w:pPr>
        <w:spacing w:after="0" w:line="240" w:lineRule="auto"/>
        <w:rPr>
          <w:rFonts w:ascii="Verdana" w:eastAsia="Calibri" w:hAnsi="Verdana" w:cs="Arial"/>
          <w:lang w:val="es-ES" w:eastAsia="es-ES"/>
        </w:rPr>
      </w:pPr>
    </w:p>
    <w:p w14:paraId="58D7C043" w14:textId="201FDD9C" w:rsidR="001B00E6" w:rsidRPr="001B00E6" w:rsidRDefault="00ED29BE" w:rsidP="001B00E6">
      <w:pPr>
        <w:spacing w:after="0" w:line="240" w:lineRule="auto"/>
        <w:rPr>
          <w:rFonts w:ascii="Verdana" w:eastAsia="Calibri" w:hAnsi="Verdana" w:cs="Arial"/>
          <w:lang w:val="es-ES" w:eastAsia="es-ES"/>
        </w:rPr>
      </w:pPr>
      <w:r w:rsidRPr="009B6B08">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379EF0E8" wp14:editId="193C150B">
            <wp:simplePos x="0" y="0"/>
            <wp:positionH relativeFrom="margin">
              <wp:posOffset>3324860</wp:posOffset>
            </wp:positionH>
            <wp:positionV relativeFrom="paragraph">
              <wp:posOffset>6350</wp:posOffset>
            </wp:positionV>
            <wp:extent cx="2277110" cy="723265"/>
            <wp:effectExtent l="0" t="0" r="8890" b="635"/>
            <wp:wrapSquare wrapText="bothSides"/>
            <wp:docPr id="3294343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34393"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77110" cy="723265"/>
                    </a:xfrm>
                    <a:prstGeom prst="rect">
                      <a:avLst/>
                    </a:prstGeom>
                  </pic:spPr>
                </pic:pic>
              </a:graphicData>
            </a:graphic>
            <wp14:sizeRelH relativeFrom="margin">
              <wp14:pctWidth>0</wp14:pctWidth>
            </wp14:sizeRelH>
            <wp14:sizeRelV relativeFrom="margin">
              <wp14:pctHeight>0</wp14:pctHeight>
            </wp14:sizeRelV>
          </wp:anchor>
        </w:drawing>
      </w:r>
      <w:r w:rsidR="001B00E6" w:rsidRPr="001B00E6">
        <w:rPr>
          <w:rFonts w:ascii="Verdana" w:eastAsia="Calibri" w:hAnsi="Verdana" w:cs="Arial"/>
          <w:lang w:val="es-ES" w:eastAsia="es-ES"/>
        </w:rPr>
        <w:t>Señora</w:t>
      </w:r>
    </w:p>
    <w:p w14:paraId="67F79F62" w14:textId="77777777" w:rsidR="001B00E6" w:rsidRDefault="001B00E6" w:rsidP="001B00E6">
      <w:pPr>
        <w:spacing w:after="0" w:line="240" w:lineRule="auto"/>
        <w:rPr>
          <w:rFonts w:ascii="Verdana" w:eastAsia="Aptos" w:hAnsi="Verdana" w:cs="Times New Roman"/>
          <w:b/>
          <w:bCs/>
          <w:kern w:val="2"/>
          <w14:ligatures w14:val="standardContextual"/>
        </w:rPr>
      </w:pPr>
      <w:r w:rsidRPr="001B00E6">
        <w:rPr>
          <w:rFonts w:ascii="Verdana" w:eastAsia="Aptos" w:hAnsi="Verdana" w:cs="Times New Roman"/>
          <w:b/>
          <w:bCs/>
          <w:kern w:val="2"/>
          <w14:ligatures w14:val="standardContextual"/>
        </w:rPr>
        <w:t>Juliana Franco Vélez</w:t>
      </w:r>
    </w:p>
    <w:p w14:paraId="54F25D1F" w14:textId="652F509B" w:rsidR="003606E8" w:rsidRPr="001B00E6" w:rsidRDefault="003606E8" w:rsidP="001B00E6">
      <w:pPr>
        <w:spacing w:after="0" w:line="240" w:lineRule="auto"/>
        <w:rPr>
          <w:rFonts w:ascii="Verdana" w:eastAsia="Calibri" w:hAnsi="Verdana" w:cs="Arial"/>
          <w:lang w:val="es-ES_tradnl" w:eastAsia="es-ES_tradnl"/>
        </w:rPr>
      </w:pPr>
      <w:hyperlink r:id="rId11" w:history="1">
        <w:r w:rsidRPr="001E3295">
          <w:rPr>
            <w:rStyle w:val="Hipervnculo"/>
            <w:rFonts w:ascii="Verdana" w:eastAsia="Calibri" w:hAnsi="Verdana" w:cs="Arial"/>
            <w:lang w:val="es-ES_tradnl" w:eastAsia="es-ES_tradnl"/>
          </w:rPr>
          <w:t>julianafrancov@gmail.com</w:t>
        </w:r>
      </w:hyperlink>
      <w:r>
        <w:rPr>
          <w:rFonts w:ascii="Verdana" w:eastAsia="Calibri" w:hAnsi="Verdana" w:cs="Arial"/>
          <w:lang w:val="es-ES_tradnl" w:eastAsia="es-ES_tradnl"/>
        </w:rPr>
        <w:t xml:space="preserve"> </w:t>
      </w:r>
    </w:p>
    <w:p w14:paraId="21AA52A9" w14:textId="77777777" w:rsidR="001B00E6" w:rsidRPr="001B00E6" w:rsidRDefault="001B00E6" w:rsidP="001B00E6">
      <w:pPr>
        <w:spacing w:after="0" w:line="240" w:lineRule="auto"/>
        <w:rPr>
          <w:rFonts w:ascii="Verdana" w:eastAsia="Calibri" w:hAnsi="Verdana" w:cs="Arial"/>
          <w:lang w:val="es-ES_tradnl" w:eastAsia="es-ES_tradnl"/>
        </w:rPr>
      </w:pPr>
      <w:r w:rsidRPr="001B00E6">
        <w:rPr>
          <w:rFonts w:ascii="Verdana" w:eastAsia="Calibri" w:hAnsi="Verdana" w:cs="Arial"/>
          <w:lang w:val="es-ES_tradnl" w:eastAsia="es-ES_tradnl"/>
        </w:rPr>
        <w:t>Cartagena, Bolívar</w:t>
      </w:r>
    </w:p>
    <w:p w14:paraId="1E31F1FE" w14:textId="77777777" w:rsidR="001B00E6" w:rsidRPr="001B00E6" w:rsidRDefault="001B00E6" w:rsidP="001B00E6">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1B00E6" w:rsidRPr="001B00E6" w14:paraId="372046B9" w14:textId="77777777" w:rsidTr="002E7F25">
        <w:trPr>
          <w:trHeight w:val="229"/>
        </w:trPr>
        <w:tc>
          <w:tcPr>
            <w:tcW w:w="2268" w:type="dxa"/>
          </w:tcPr>
          <w:p w14:paraId="7D1D5385" w14:textId="77777777" w:rsidR="001B00E6" w:rsidRPr="001B00E6" w:rsidRDefault="001B00E6" w:rsidP="001B00E6">
            <w:pPr>
              <w:jc w:val="both"/>
              <w:rPr>
                <w:rFonts w:ascii="Verdana" w:eastAsia="Calibri" w:hAnsi="Verdana" w:cs="Arial"/>
                <w:b/>
                <w:bCs/>
                <w:lang w:val="es-ES_tradnl" w:eastAsia="es-ES_tradnl"/>
              </w:rPr>
            </w:pPr>
          </w:p>
        </w:tc>
        <w:tc>
          <w:tcPr>
            <w:tcW w:w="6100" w:type="dxa"/>
          </w:tcPr>
          <w:p w14:paraId="691A02A2" w14:textId="77777777" w:rsidR="001B00E6" w:rsidRPr="001B00E6" w:rsidRDefault="001B00E6" w:rsidP="001B00E6">
            <w:pPr>
              <w:jc w:val="both"/>
              <w:rPr>
                <w:rFonts w:ascii="Verdana" w:eastAsia="Calibri" w:hAnsi="Verdana" w:cs="Arial"/>
                <w:b/>
                <w:bCs/>
                <w:lang w:val="es-ES" w:eastAsia="es-ES"/>
              </w:rPr>
            </w:pPr>
            <w:r w:rsidRPr="001B00E6">
              <w:rPr>
                <w:rFonts w:ascii="Verdana" w:eastAsia="Calibri" w:hAnsi="Verdana" w:cs="Arial"/>
                <w:b/>
                <w:bCs/>
                <w:lang w:val="es-ES" w:eastAsia="es-ES"/>
              </w:rPr>
              <w:t xml:space="preserve">Concepto </w:t>
            </w:r>
            <w:bookmarkStart w:id="1" w:name="OLE_LINK1"/>
            <w:r w:rsidRPr="001B00E6">
              <w:rPr>
                <w:rFonts w:ascii="Verdana" w:eastAsia="Calibri" w:hAnsi="Verdana" w:cs="Arial"/>
                <w:b/>
                <w:bCs/>
                <w:lang w:val="es-ES" w:eastAsia="es-ES"/>
              </w:rPr>
              <w:t>C-323 de 2026</w:t>
            </w:r>
            <w:bookmarkEnd w:id="1"/>
          </w:p>
          <w:p w14:paraId="25E401A8" w14:textId="77777777" w:rsidR="001B00E6" w:rsidRPr="001B00E6" w:rsidRDefault="001B00E6" w:rsidP="001B00E6">
            <w:pPr>
              <w:jc w:val="both"/>
              <w:rPr>
                <w:rFonts w:ascii="Verdana" w:eastAsia="Calibri" w:hAnsi="Verdana" w:cs="Arial"/>
                <w:b/>
                <w:bCs/>
                <w:lang w:val="es-ES" w:eastAsia="es-ES"/>
              </w:rPr>
            </w:pPr>
          </w:p>
        </w:tc>
      </w:tr>
      <w:tr w:rsidR="001B00E6" w:rsidRPr="001B00E6" w14:paraId="6AED4E37" w14:textId="77777777" w:rsidTr="002E7F25">
        <w:trPr>
          <w:trHeight w:val="884"/>
        </w:trPr>
        <w:tc>
          <w:tcPr>
            <w:tcW w:w="2268" w:type="dxa"/>
          </w:tcPr>
          <w:p w14:paraId="6C4605FD" w14:textId="77777777" w:rsidR="001B00E6" w:rsidRPr="001B00E6" w:rsidRDefault="001B00E6" w:rsidP="001B00E6">
            <w:pPr>
              <w:jc w:val="both"/>
              <w:rPr>
                <w:rFonts w:ascii="Verdana" w:eastAsia="Calibri" w:hAnsi="Verdana" w:cs="Arial"/>
                <w:lang w:val="es-ES_tradnl" w:eastAsia="es-ES_tradnl"/>
              </w:rPr>
            </w:pPr>
            <w:r w:rsidRPr="001B00E6">
              <w:rPr>
                <w:rFonts w:ascii="Verdana" w:eastAsia="Calibri" w:hAnsi="Verdana" w:cs="Arial"/>
                <w:b/>
                <w:lang w:val="es-ES_tradnl" w:eastAsia="es-ES_tradnl"/>
              </w:rPr>
              <w:t>Temas:</w:t>
            </w:r>
            <w:r w:rsidRPr="001B00E6">
              <w:rPr>
                <w:rFonts w:ascii="Verdana" w:eastAsia="Calibri" w:hAnsi="Verdana" w:cs="Arial"/>
                <w:lang w:val="es-ES_tradnl" w:eastAsia="es-ES_tradnl"/>
              </w:rPr>
              <w:t xml:space="preserve">                   </w:t>
            </w:r>
          </w:p>
        </w:tc>
        <w:tc>
          <w:tcPr>
            <w:tcW w:w="6100" w:type="dxa"/>
          </w:tcPr>
          <w:p w14:paraId="5560B27F" w14:textId="77777777" w:rsidR="001B00E6" w:rsidRPr="001B00E6" w:rsidRDefault="001B00E6" w:rsidP="001B00E6">
            <w:pPr>
              <w:jc w:val="both"/>
              <w:rPr>
                <w:rFonts w:ascii="Verdana" w:eastAsia="Calibri" w:hAnsi="Verdana" w:cs="Arial"/>
                <w:color w:val="000000"/>
                <w:lang w:val="es-ES_tradnl"/>
              </w:rPr>
            </w:pPr>
            <w:r w:rsidRPr="001B00E6">
              <w:rPr>
                <w:rFonts w:ascii="Verdana" w:eastAsia="Calibri" w:hAnsi="Verdana" w:cs="Arial"/>
                <w:lang w:val="es-ES_tradnl"/>
              </w:rPr>
              <w:t>DOCUMENTOS TIPO – Fundamento normativo – Obligatoriedad / SECTOR SOCIAL</w:t>
            </w:r>
            <w:r w:rsidRPr="001B00E6">
              <w:rPr>
                <w:rFonts w:ascii="Verdana" w:eastAsia="Calibri" w:hAnsi="Verdana" w:cs="Times New Roman"/>
                <w:lang w:val="es-ES"/>
              </w:rPr>
              <w:t xml:space="preserve"> – Documentos tipo – Vigentes / DOCUMENTOS TIPO – Aplicación – Matriz de Experiencia / DOCUMENTOS TIPO – Sector Institucional – Actividad – Suministro e instalación – Alcance / </w:t>
            </w:r>
            <w:r w:rsidRPr="001B00E6">
              <w:rPr>
                <w:rFonts w:ascii="Verdana" w:eastAsia="Calibri" w:hAnsi="Verdana" w:cs="Arial"/>
                <w:color w:val="000000"/>
                <w:lang w:val="es-ES_tradnl"/>
              </w:rPr>
              <w:t xml:space="preserve">INSTALACIÓN – Obra – Contrato mixto – Prestación principal / INSTALACIÓN – Obra – Aplicación – Documentos tipo – Sector Institucional </w:t>
            </w:r>
          </w:p>
          <w:p w14:paraId="79AC8814" w14:textId="77777777" w:rsidR="001B00E6" w:rsidRPr="001B00E6" w:rsidRDefault="001B00E6" w:rsidP="001B00E6">
            <w:pPr>
              <w:jc w:val="both"/>
              <w:rPr>
                <w:rFonts w:ascii="Verdana" w:eastAsia="Calibri" w:hAnsi="Verdana" w:cs="Arial"/>
                <w:bCs/>
                <w:lang w:eastAsia="es-ES"/>
              </w:rPr>
            </w:pPr>
          </w:p>
        </w:tc>
      </w:tr>
      <w:tr w:rsidR="001B00E6" w:rsidRPr="001B00E6" w14:paraId="52A82043" w14:textId="77777777" w:rsidTr="002E7F25">
        <w:tc>
          <w:tcPr>
            <w:tcW w:w="2268" w:type="dxa"/>
          </w:tcPr>
          <w:p w14:paraId="2CDE8400" w14:textId="77777777" w:rsidR="001B00E6" w:rsidRPr="001B00E6" w:rsidRDefault="001B00E6" w:rsidP="001B00E6">
            <w:pPr>
              <w:jc w:val="both"/>
              <w:rPr>
                <w:rFonts w:ascii="Verdana" w:eastAsia="Calibri" w:hAnsi="Verdana" w:cs="Arial"/>
                <w:b/>
                <w:lang w:val="es-ES_tradnl" w:eastAsia="es-ES_tradnl"/>
              </w:rPr>
            </w:pPr>
            <w:r w:rsidRPr="001B00E6">
              <w:rPr>
                <w:rFonts w:ascii="Verdana" w:eastAsia="Calibri" w:hAnsi="Verdana" w:cs="Arial"/>
                <w:b/>
                <w:lang w:val="es-ES_tradnl" w:eastAsia="es-ES_tradnl"/>
              </w:rPr>
              <w:t>Radicación:</w:t>
            </w:r>
            <w:r w:rsidRPr="001B00E6">
              <w:rPr>
                <w:rFonts w:ascii="Verdana" w:eastAsia="Calibri" w:hAnsi="Verdana" w:cs="Arial"/>
                <w:lang w:val="es-ES_tradnl" w:eastAsia="es-ES_tradnl"/>
              </w:rPr>
              <w:t xml:space="preserve">               </w:t>
            </w:r>
          </w:p>
        </w:tc>
        <w:tc>
          <w:tcPr>
            <w:tcW w:w="6100" w:type="dxa"/>
          </w:tcPr>
          <w:p w14:paraId="6F7ABCC1" w14:textId="77777777" w:rsidR="001B00E6" w:rsidRPr="001B00E6" w:rsidRDefault="001B00E6" w:rsidP="001B00E6">
            <w:pPr>
              <w:ind w:left="3" w:hanging="3"/>
              <w:jc w:val="both"/>
              <w:rPr>
                <w:rFonts w:ascii="Verdana" w:eastAsia="Calibri" w:hAnsi="Verdana" w:cs="Arial"/>
                <w:lang w:val="es-ES_tradnl" w:eastAsia="es-ES_tradnl"/>
              </w:rPr>
            </w:pPr>
            <w:r w:rsidRPr="001B00E6">
              <w:rPr>
                <w:rFonts w:ascii="Verdana" w:eastAsia="Calibri" w:hAnsi="Verdana" w:cs="Arial"/>
                <w:lang w:val="es-ES_tradnl" w:eastAsia="es-ES_tradnl"/>
              </w:rPr>
              <w:t>Respuesta a consulta con radicado No. 1_2026_02_27_002808</w:t>
            </w:r>
          </w:p>
        </w:tc>
      </w:tr>
    </w:tbl>
    <w:p w14:paraId="16EA96C4" w14:textId="77777777" w:rsidR="001B00E6" w:rsidRPr="001B00E6" w:rsidRDefault="001B00E6" w:rsidP="001B00E6">
      <w:pPr>
        <w:spacing w:after="0" w:line="240" w:lineRule="auto"/>
        <w:jc w:val="both"/>
        <w:rPr>
          <w:rFonts w:ascii="Verdana" w:eastAsia="Calibri" w:hAnsi="Verdana" w:cs="Arial"/>
          <w:lang w:val="es-ES_tradnl" w:eastAsia="es-ES_tradnl"/>
        </w:rPr>
      </w:pPr>
    </w:p>
    <w:p w14:paraId="40A68A4F" w14:textId="77777777" w:rsidR="001B00E6" w:rsidRPr="001B00E6" w:rsidRDefault="001B00E6" w:rsidP="001B00E6">
      <w:pPr>
        <w:spacing w:after="0" w:line="276" w:lineRule="auto"/>
        <w:jc w:val="both"/>
        <w:rPr>
          <w:rFonts w:ascii="Verdana" w:eastAsia="Calibri" w:hAnsi="Verdana" w:cs="Arial"/>
          <w:lang w:val="es-ES" w:eastAsia="es-ES"/>
        </w:rPr>
      </w:pPr>
      <w:r w:rsidRPr="001B00E6">
        <w:rPr>
          <w:rFonts w:ascii="Verdana" w:eastAsia="Calibri" w:hAnsi="Verdana" w:cs="Arial"/>
          <w:lang w:val="es-ES" w:eastAsia="es-ES"/>
        </w:rPr>
        <w:t xml:space="preserve">Estimada señora </w:t>
      </w:r>
      <w:r w:rsidRPr="001B00E6">
        <w:rPr>
          <w:rFonts w:ascii="Verdana" w:eastAsia="Aptos" w:hAnsi="Verdana" w:cs="Times New Roman"/>
          <w:kern w:val="2"/>
          <w14:ligatures w14:val="standardContextual"/>
        </w:rPr>
        <w:t>Franco Vélez</w:t>
      </w:r>
      <w:r w:rsidRPr="001B00E6">
        <w:rPr>
          <w:rFonts w:ascii="Verdana" w:eastAsia="Calibri" w:hAnsi="Verdana" w:cs="Arial"/>
          <w:lang w:val="es-ES" w:eastAsia="es-ES"/>
        </w:rPr>
        <w:t xml:space="preserve">: </w:t>
      </w:r>
    </w:p>
    <w:p w14:paraId="5014DFE0" w14:textId="77777777" w:rsidR="001B00E6" w:rsidRPr="001B00E6" w:rsidRDefault="001B00E6" w:rsidP="001B00E6">
      <w:pPr>
        <w:tabs>
          <w:tab w:val="left" w:pos="3768"/>
        </w:tabs>
        <w:spacing w:after="0" w:line="276" w:lineRule="auto"/>
        <w:jc w:val="both"/>
        <w:rPr>
          <w:rFonts w:ascii="Verdana" w:eastAsia="Calibri" w:hAnsi="Verdana" w:cs="Arial"/>
          <w:lang w:val="es-ES" w:eastAsia="es-ES"/>
        </w:rPr>
      </w:pPr>
      <w:r w:rsidRPr="001B00E6">
        <w:rPr>
          <w:rFonts w:ascii="Verdana" w:eastAsia="Calibri" w:hAnsi="Verdana" w:cs="Arial"/>
          <w:lang w:val="es-ES" w:eastAsia="es-ES"/>
        </w:rPr>
        <w:tab/>
      </w:r>
    </w:p>
    <w:p w14:paraId="4BDD72C9" w14:textId="77777777" w:rsidR="001B00E6" w:rsidRPr="001B00E6" w:rsidRDefault="001B00E6" w:rsidP="001B00E6">
      <w:pPr>
        <w:spacing w:after="0" w:line="276" w:lineRule="auto"/>
        <w:jc w:val="both"/>
        <w:rPr>
          <w:rFonts w:ascii="Verdana" w:eastAsia="Calibri" w:hAnsi="Verdana" w:cs="Arial"/>
          <w:lang w:val="es-ES" w:eastAsia="es-ES"/>
        </w:rPr>
      </w:pPr>
      <w:r w:rsidRPr="001B00E6">
        <w:rPr>
          <w:rFonts w:ascii="Verdana" w:eastAsia="Calibri" w:hAnsi="Verdana" w:cs="Arial"/>
          <w:lang w:val="es-ES" w:eastAsia="es-ES"/>
        </w:rPr>
        <w:t>En ejercicio de la competencia otorgada por los artículos 3, numeral 5º, y 11, numeral 8º, del Decreto Ley 4170 de 2011,</w:t>
      </w:r>
      <w:r w:rsidRPr="001B00E6">
        <w:rPr>
          <w:rFonts w:ascii="Verdana" w:eastAsia="Arial MT" w:hAnsi="Verdana" w:cs="Arial MT"/>
          <w:lang w:val="es-ES" w:eastAsia="es-ES"/>
        </w:rPr>
        <w:t xml:space="preserve"> </w:t>
      </w:r>
      <w:r w:rsidRPr="001B00E6">
        <w:rPr>
          <w:rFonts w:ascii="Verdana" w:eastAsia="Calibri" w:hAnsi="Verdana" w:cs="Arial"/>
        </w:rPr>
        <w:t xml:space="preserve">así como lo establecido por la </w:t>
      </w:r>
      <w:r w:rsidRPr="001B00E6">
        <w:rPr>
          <w:rFonts w:ascii="Verdana" w:eastAsia="Aptos" w:hAnsi="Verdana" w:cs="Arial"/>
          <w:bCs/>
          <w:kern w:val="2"/>
          <w:lang w:eastAsia="es-ES" w:bidi="es-ES"/>
          <w14:ligatures w14:val="standardContextual"/>
        </w:rPr>
        <w:t>Resolución 469 de 2025 expedida por esta Entidad</w:t>
      </w:r>
      <w:r w:rsidRPr="001B00E6">
        <w:rPr>
          <w:rFonts w:ascii="Verdana" w:eastAsia="Calibri" w:hAnsi="Verdana" w:cs="Arial"/>
        </w:rPr>
        <w:t xml:space="preserve">, </w:t>
      </w:r>
      <w:r w:rsidRPr="001B00E6">
        <w:rPr>
          <w:rFonts w:ascii="Verdana" w:eastAsia="Calibri" w:hAnsi="Verdana" w:cs="Arial"/>
          <w:lang w:val="es-ES" w:eastAsia="es-ES"/>
        </w:rPr>
        <w:t xml:space="preserve">la Agencia Nacional de Contratación Pública – Colombia Compra Eficiente– responde su solicitud de consulta del 27 de febrero de 2026, en la cual manifiesta lo siguiente: </w:t>
      </w:r>
    </w:p>
    <w:p w14:paraId="09895DC4" w14:textId="77777777" w:rsidR="001B00E6" w:rsidRPr="001B00E6" w:rsidRDefault="001B00E6" w:rsidP="001B00E6">
      <w:pPr>
        <w:shd w:val="clear" w:color="auto" w:fill="FFFFFF"/>
        <w:spacing w:after="0" w:line="240" w:lineRule="auto"/>
        <w:jc w:val="both"/>
        <w:rPr>
          <w:rFonts w:ascii="Calibri" w:eastAsia="Times New Roman" w:hAnsi="Calibri" w:cs="Calibri"/>
          <w:color w:val="242424"/>
          <w:lang w:eastAsia="es-MX"/>
        </w:rPr>
      </w:pPr>
      <w:r w:rsidRPr="001B00E6">
        <w:rPr>
          <w:rFonts w:ascii="Arial" w:eastAsia="Times New Roman" w:hAnsi="Arial" w:cs="Arial"/>
          <w:color w:val="242424"/>
          <w:sz w:val="24"/>
          <w:szCs w:val="24"/>
          <w:lang w:eastAsia="es-MX"/>
        </w:rPr>
        <w:t> </w:t>
      </w:r>
    </w:p>
    <w:p w14:paraId="75DEEC63" w14:textId="77777777" w:rsidR="001B00E6" w:rsidRPr="001B00E6" w:rsidRDefault="001B00E6" w:rsidP="001B00E6">
      <w:pPr>
        <w:shd w:val="clear" w:color="auto" w:fill="FFFFFF"/>
        <w:spacing w:after="0" w:line="240" w:lineRule="auto"/>
        <w:ind w:left="709" w:right="709"/>
        <w:jc w:val="both"/>
        <w:rPr>
          <w:rFonts w:ascii="Verdana" w:eastAsia="Times New Roman" w:hAnsi="Verdana" w:cs="Arial"/>
          <w:color w:val="242424"/>
          <w:sz w:val="20"/>
          <w:szCs w:val="20"/>
          <w:lang w:eastAsia="es-MX"/>
        </w:rPr>
      </w:pPr>
      <w:r w:rsidRPr="001B00E6">
        <w:rPr>
          <w:rFonts w:ascii="Verdana" w:eastAsia="Times New Roman" w:hAnsi="Verdana" w:cs="Arial"/>
          <w:color w:val="242424"/>
          <w:sz w:val="20"/>
          <w:szCs w:val="20"/>
          <w:lang w:eastAsia="es-MX"/>
        </w:rPr>
        <w:t xml:space="preserve">“(…) quisiera saber cómo desarrollar un proceso de mínima (pliego tipo) cuyo objeto es la adquisición y mantenimiento de aires acondicionados, dirección general marítima DIMAR De manera atenta, solicito de tú orientación jurídica respecto de la modalidad contractual que debe emplearse en el proceso de adquisición y mantenimiento de aires acondicionados. Lo anterior, teniendo en cuenta que, al revisar los pliegos tipo para procesos de mínima cuantía, se encuentra contemplada la modalidad de suministro y/o instalación de sistemas de aire acondicionado. Sin embargo, en el Plan Anual de Adquisiciones (PAA) nuestro proceso incluye la adquisición de una unidad de aire </w:t>
      </w:r>
      <w:r w:rsidRPr="001B00E6">
        <w:rPr>
          <w:rFonts w:ascii="Verdana" w:eastAsia="Times New Roman" w:hAnsi="Verdana" w:cs="Arial"/>
          <w:color w:val="242424"/>
          <w:sz w:val="20"/>
          <w:szCs w:val="20"/>
          <w:lang w:eastAsia="es-MX"/>
        </w:rPr>
        <w:lastRenderedPageBreak/>
        <w:t>acondicionado, así como el mantenimiento de los equipos existentes, para iniciar EDP</w:t>
      </w:r>
      <w:r w:rsidRPr="001B00E6">
        <w:rPr>
          <w:rFonts w:ascii="Verdana" w:eastAsia="Century Gothic" w:hAnsi="Verdana" w:cs="Arial"/>
          <w:sz w:val="20"/>
          <w:szCs w:val="20"/>
          <w:lang w:eastAsia="es-MX"/>
        </w:rPr>
        <w:t xml:space="preserve">”. </w:t>
      </w:r>
    </w:p>
    <w:p w14:paraId="041F770C" w14:textId="77777777" w:rsidR="001B00E6" w:rsidRPr="001B00E6" w:rsidRDefault="001B00E6" w:rsidP="001B00E6">
      <w:pPr>
        <w:spacing w:after="0" w:line="240" w:lineRule="auto"/>
        <w:ind w:left="709" w:right="709"/>
        <w:jc w:val="both"/>
        <w:rPr>
          <w:rFonts w:ascii="Arial" w:eastAsia="Aptos" w:hAnsi="Arial" w:cs="Arial"/>
          <w:kern w:val="2"/>
          <w:sz w:val="21"/>
          <w:szCs w:val="21"/>
          <w14:ligatures w14:val="standardContextual"/>
        </w:rPr>
      </w:pPr>
    </w:p>
    <w:p w14:paraId="4626BC2F" w14:textId="77777777" w:rsidR="001B00E6" w:rsidRPr="001B00E6" w:rsidRDefault="001B00E6" w:rsidP="001B00E6">
      <w:pPr>
        <w:spacing w:after="120" w:line="276" w:lineRule="auto"/>
        <w:ind w:firstLine="709"/>
        <w:jc w:val="both"/>
        <w:rPr>
          <w:rFonts w:ascii="Verdana" w:eastAsia="Calibri" w:hAnsi="Verdana" w:cs="Arial"/>
          <w:color w:val="000000"/>
          <w:kern w:val="2"/>
          <w:lang w:val="es-ES" w:eastAsia="es-ES"/>
          <w14:ligatures w14:val="standardContextual"/>
        </w:rPr>
      </w:pPr>
      <w:r w:rsidRPr="001B00E6">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B00E6">
        <w:rPr>
          <w:rFonts w:ascii="Verdana" w:eastAsia="Calibri" w:hAnsi="Verdana" w:cs="Arial"/>
          <w:color w:val="000000"/>
          <w:kern w:val="2"/>
          <w:lang w:val="es-ES_tradnl" w:eastAsia="es-ES_tradnl"/>
          <w14:ligatures w14:val="standardContextual"/>
        </w:rPr>
        <w:tab/>
      </w:r>
    </w:p>
    <w:p w14:paraId="570E3316" w14:textId="77777777" w:rsidR="001B00E6" w:rsidRPr="001B00E6" w:rsidRDefault="001B00E6" w:rsidP="001B00E6">
      <w:pPr>
        <w:spacing w:after="0" w:line="276" w:lineRule="auto"/>
        <w:ind w:firstLine="709"/>
        <w:jc w:val="both"/>
        <w:rPr>
          <w:rFonts w:ascii="Verdana" w:eastAsia="Calibri" w:hAnsi="Verdana" w:cs="Arial"/>
          <w:color w:val="000000"/>
          <w:kern w:val="2"/>
          <w:lang w:val="es-ES" w:eastAsia="es-ES"/>
          <w14:ligatures w14:val="standardContextual"/>
        </w:rPr>
      </w:pPr>
      <w:r w:rsidRPr="001B00E6">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00E6">
        <w:rPr>
          <w:rFonts w:ascii="Verdana" w:eastAsia="Calibri" w:hAnsi="Verdana" w:cs="Arial"/>
          <w:color w:val="7030A0"/>
          <w:kern w:val="2"/>
          <w:lang w:val="es-ES" w:eastAsia="es-ES"/>
          <w14:ligatures w14:val="standardContextual"/>
        </w:rPr>
        <w:t xml:space="preserve"> </w:t>
      </w:r>
      <w:r w:rsidRPr="001B00E6">
        <w:rPr>
          <w:rFonts w:ascii="Verdana" w:eastAsia="Calibri" w:hAnsi="Verdana" w:cs="Arial"/>
          <w:color w:val="000000"/>
          <w:kern w:val="2"/>
          <w:lang w:val="es-ES" w:eastAsia="es-ES"/>
          <w14:ligatures w14:val="standardContextual"/>
        </w:rPr>
        <w:t>problema</w:t>
      </w:r>
      <w:r w:rsidRPr="001B00E6">
        <w:rPr>
          <w:rFonts w:ascii="Verdana" w:eastAsia="Calibri" w:hAnsi="Verdana" w:cs="Arial"/>
          <w:color w:val="7030A0"/>
          <w:kern w:val="2"/>
          <w:lang w:val="es-ES" w:eastAsia="es-ES"/>
          <w14:ligatures w14:val="standardContextual"/>
        </w:rPr>
        <w:t xml:space="preserve"> </w:t>
      </w:r>
      <w:r w:rsidRPr="001B00E6">
        <w:rPr>
          <w:rFonts w:ascii="Verdana" w:eastAsia="Calibri" w:hAnsi="Verdana" w:cs="Arial"/>
          <w:color w:val="000000"/>
          <w:kern w:val="2"/>
          <w:lang w:val="es-ES" w:eastAsia="es-ES"/>
          <w14:ligatures w14:val="standardContextual"/>
        </w:rPr>
        <w:t>jurídico</w:t>
      </w:r>
      <w:r w:rsidRPr="001B00E6">
        <w:rPr>
          <w:rFonts w:ascii="Verdana" w:eastAsia="Calibri" w:hAnsi="Verdana" w:cs="Arial"/>
          <w:color w:val="7030A0"/>
          <w:kern w:val="2"/>
          <w:lang w:val="es-ES" w:eastAsia="es-ES"/>
          <w14:ligatures w14:val="standardContextual"/>
        </w:rPr>
        <w:t xml:space="preserve"> </w:t>
      </w:r>
      <w:r w:rsidRPr="001B00E6">
        <w:rPr>
          <w:rFonts w:ascii="Verdana" w:eastAsia="Calibri" w:hAnsi="Verdana" w:cs="Arial"/>
          <w:color w:val="000000"/>
          <w:kern w:val="2"/>
          <w:lang w:val="es-ES" w:eastAsia="es-ES"/>
          <w14:ligatures w14:val="standardContextual"/>
        </w:rPr>
        <w:t xml:space="preserve">de su consulta. </w:t>
      </w:r>
    </w:p>
    <w:p w14:paraId="56CAAEEE" w14:textId="77777777" w:rsidR="001B00E6" w:rsidRPr="001B00E6" w:rsidRDefault="001B00E6" w:rsidP="001B00E6">
      <w:pPr>
        <w:spacing w:after="0" w:line="276" w:lineRule="auto"/>
        <w:jc w:val="both"/>
        <w:rPr>
          <w:rFonts w:ascii="Verdana" w:eastAsia="Calibri" w:hAnsi="Verdana" w:cs="Arial"/>
          <w:lang w:val="es-ES" w:eastAsia="es-ES"/>
        </w:rPr>
      </w:pPr>
    </w:p>
    <w:p w14:paraId="38A5B56E" w14:textId="77777777" w:rsidR="001B00E6" w:rsidRPr="001B00E6" w:rsidRDefault="001B00E6" w:rsidP="001B00E6">
      <w:pPr>
        <w:numPr>
          <w:ilvl w:val="0"/>
          <w:numId w:val="17"/>
        </w:numPr>
        <w:tabs>
          <w:tab w:val="left" w:pos="142"/>
          <w:tab w:val="left" w:pos="284"/>
        </w:tabs>
        <w:spacing w:after="0" w:line="276" w:lineRule="auto"/>
        <w:jc w:val="both"/>
        <w:rPr>
          <w:rFonts w:ascii="Verdana" w:eastAsia="Century Gothic" w:hAnsi="Verdana" w:cs="Century Gothic"/>
          <w:b/>
          <w:bCs/>
        </w:rPr>
      </w:pPr>
      <w:r w:rsidRPr="001B00E6">
        <w:rPr>
          <w:rFonts w:ascii="Verdana" w:eastAsia="Century Gothic" w:hAnsi="Verdana" w:cs="Century Gothic"/>
          <w:b/>
          <w:bCs/>
        </w:rPr>
        <w:t>Problema planteado:</w:t>
      </w:r>
    </w:p>
    <w:p w14:paraId="482E160D" w14:textId="77777777" w:rsidR="001B00E6" w:rsidRPr="001B00E6" w:rsidRDefault="001B00E6" w:rsidP="001B00E6">
      <w:pPr>
        <w:tabs>
          <w:tab w:val="left" w:pos="426"/>
        </w:tabs>
        <w:spacing w:after="0" w:line="276" w:lineRule="auto"/>
        <w:jc w:val="both"/>
        <w:rPr>
          <w:rFonts w:ascii="Verdana" w:eastAsia="Century Gothic" w:hAnsi="Verdana" w:cs="Century Gothic"/>
          <w:lang w:val="es-ES"/>
        </w:rPr>
      </w:pPr>
    </w:p>
    <w:p w14:paraId="2B10C970" w14:textId="77777777" w:rsidR="001B00E6" w:rsidRPr="001B00E6" w:rsidRDefault="001B00E6" w:rsidP="001B00E6">
      <w:pPr>
        <w:spacing w:after="0" w:line="276" w:lineRule="auto"/>
        <w:jc w:val="both"/>
        <w:rPr>
          <w:rFonts w:ascii="Verdana" w:eastAsia="Calibri" w:hAnsi="Verdana" w:cs="Arial"/>
          <w:bCs/>
          <w:kern w:val="2"/>
          <w:lang w:val="es-ES_tradnl" w:eastAsia="es-ES_tradnl"/>
          <w14:ligatures w14:val="standardContextual"/>
        </w:rPr>
      </w:pPr>
      <w:r w:rsidRPr="001B00E6">
        <w:rPr>
          <w:rFonts w:ascii="Verdana" w:eastAsia="Century Gothic" w:hAnsi="Verdana" w:cs="Century Gothic"/>
        </w:rPr>
        <w:t xml:space="preserve">De acuerdo con el contenido de su solicitud, en relación con los Documentos Tipo del Sector Institucional, esta Agencia resolverá los siguientes problemas jurídicos: i) ¿Las actividades </w:t>
      </w:r>
      <w:r w:rsidRPr="001B00E6">
        <w:rPr>
          <w:rFonts w:ascii="Verdana" w:eastAsia="Times New Roman" w:hAnsi="Verdana" w:cs="Times New Roman"/>
          <w:color w:val="000000"/>
          <w:lang w:eastAsia="es-CO"/>
        </w:rPr>
        <w:t xml:space="preserve">1.15, 2.14 y 3.15 contenidas en la Matriz 1 – Experiencia aplican para adelantar un contrato que tiene por objeto la adquisición y mantenimiento de aires acondicionados? y </w:t>
      </w:r>
      <w:proofErr w:type="spellStart"/>
      <w:r w:rsidRPr="001B00E6">
        <w:rPr>
          <w:rFonts w:ascii="Verdana" w:eastAsia="Times New Roman" w:hAnsi="Verdana" w:cs="Times New Roman"/>
          <w:color w:val="000000"/>
          <w:lang w:eastAsia="es-CO"/>
        </w:rPr>
        <w:t>ii</w:t>
      </w:r>
      <w:proofErr w:type="spellEnd"/>
      <w:r w:rsidRPr="001B00E6">
        <w:rPr>
          <w:rFonts w:ascii="Verdana" w:eastAsia="Times New Roman" w:hAnsi="Verdana" w:cs="Times New Roman"/>
          <w:color w:val="000000"/>
          <w:lang w:eastAsia="es-CO"/>
        </w:rPr>
        <w:t>)¿Toda instalación de cualquiera de los elementos contenidos en los numerales 1.15, 2.14 y 3.15 de la Matriz 1 – Experiencia, es constitutiva de un contrato de obra pública para efectos de la aplicación de los documentos tipo referidos?</w:t>
      </w:r>
    </w:p>
    <w:p w14:paraId="3E0CA9ED" w14:textId="77777777" w:rsidR="001B00E6" w:rsidRPr="001B00E6" w:rsidRDefault="001B00E6" w:rsidP="001B00E6">
      <w:pPr>
        <w:spacing w:after="0" w:line="276" w:lineRule="auto"/>
        <w:jc w:val="both"/>
        <w:rPr>
          <w:rFonts w:ascii="Verdana" w:eastAsia="Century Gothic" w:hAnsi="Verdana" w:cs="Century Gothic"/>
          <w:lang w:val="es-ES_tradnl"/>
        </w:rPr>
      </w:pPr>
    </w:p>
    <w:p w14:paraId="06DFB395" w14:textId="77777777" w:rsidR="001B00E6" w:rsidRPr="001B00E6" w:rsidRDefault="001B00E6" w:rsidP="001B00E6">
      <w:pPr>
        <w:tabs>
          <w:tab w:val="left" w:pos="142"/>
          <w:tab w:val="left" w:pos="284"/>
        </w:tabs>
        <w:spacing w:after="0" w:line="276" w:lineRule="auto"/>
        <w:contextualSpacing/>
        <w:jc w:val="both"/>
        <w:rPr>
          <w:rFonts w:ascii="Verdana" w:eastAsia="Century Gothic" w:hAnsi="Verdana" w:cs="Century Gothic"/>
          <w:b/>
          <w:bCs/>
          <w:lang w:val="es-ES"/>
        </w:rPr>
      </w:pPr>
      <w:r w:rsidRPr="001B00E6">
        <w:rPr>
          <w:rFonts w:ascii="Verdana" w:eastAsia="Century Gothic" w:hAnsi="Verdana" w:cs="Century Gothic"/>
          <w:b/>
          <w:bCs/>
          <w:lang w:val="es-ES"/>
        </w:rPr>
        <w:t>2. Respuestas:</w:t>
      </w:r>
    </w:p>
    <w:p w14:paraId="4EF8FD5F" w14:textId="77777777" w:rsidR="001B00E6" w:rsidRPr="001B00E6" w:rsidRDefault="001B00E6" w:rsidP="001B00E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00E6" w:rsidRPr="001B00E6" w14:paraId="14CF90FB" w14:textId="77777777" w:rsidTr="002E7F25">
        <w:trPr>
          <w:trHeight w:val="40"/>
        </w:trPr>
        <w:tc>
          <w:tcPr>
            <w:tcW w:w="8828" w:type="dxa"/>
            <w:tcBorders>
              <w:top w:val="dotted" w:sz="4" w:space="0" w:color="auto"/>
              <w:left w:val="dotted" w:sz="4" w:space="0" w:color="auto"/>
              <w:bottom w:val="dotted" w:sz="4" w:space="0" w:color="auto"/>
              <w:right w:val="dotted" w:sz="4" w:space="0" w:color="auto"/>
            </w:tcBorders>
          </w:tcPr>
          <w:p w14:paraId="411CFFBA" w14:textId="77777777" w:rsidR="001B00E6" w:rsidRPr="001B00E6" w:rsidRDefault="001B00E6" w:rsidP="001B00E6">
            <w:pPr>
              <w:spacing w:after="120" w:line="276" w:lineRule="auto"/>
              <w:jc w:val="both"/>
              <w:rPr>
                <w:rFonts w:ascii="Verdana" w:eastAsia="Calibri" w:hAnsi="Verdana" w:cs="Times New Roman"/>
                <w:lang w:val="es-ES" w:eastAsia="es-MX"/>
              </w:rPr>
            </w:pPr>
            <w:r w:rsidRPr="001B00E6">
              <w:rPr>
                <w:rFonts w:ascii="Verdana" w:eastAsia="Calibri" w:hAnsi="Verdana" w:cs="Arial"/>
                <w:lang w:val="es-ES"/>
              </w:rPr>
              <w:lastRenderedPageBreak/>
              <w:t xml:space="preserve">i. </w:t>
            </w:r>
            <w:r w:rsidRPr="001B00E6">
              <w:rPr>
                <w:rFonts w:ascii="Verdana" w:eastAsia="Calibri" w:hAnsi="Verdana" w:cs="Times New Roman"/>
                <w:lang w:val="es-ES" w:eastAsia="es-MX"/>
              </w:rPr>
              <w:t xml:space="preserve">El artículo 17 de la Resolución 539 del 21 de agosto de 2025, y el artículo 16 de las Resoluciones 540 y 541 del 21 de agosto de 2025, adoptan los Documentos Tipo complementarios para los procesos de infraestructura social relacionados con el Sector Institucional -según la modalidad que corresponda-. De acuerdo con el parágrafo segundo de los artículos 17 y 16 de las citadas resoluciones, estos documentos aplican a los procesos contractuales que correspondan a las actividades definidas en la Matriz 1 – Experiencia del Sector Institucional. </w:t>
            </w:r>
          </w:p>
          <w:p w14:paraId="108B50B9"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Calibri" w:hAnsi="Verdana" w:cs="Times New Roman"/>
                <w:lang w:val="es-ES" w:eastAsia="es-MX"/>
              </w:rPr>
              <w:tab/>
              <w:t xml:space="preserve">La Matriz 1 – Experiencia del Sector Institucional, </w:t>
            </w:r>
            <w:r w:rsidRPr="001B00E6">
              <w:rPr>
                <w:rFonts w:ascii="Verdana" w:eastAsia="Times New Roman" w:hAnsi="Verdana" w:cs="Times New Roman"/>
                <w:color w:val="000000"/>
                <w:lang w:eastAsia="es-CO"/>
              </w:rPr>
              <w:t xml:space="preserve">en la modalidad de licitación pública, selección abreviada de menor cuantía y mínima cuantía dispone de disponen de las actividades 1,15, 2.14 y 3.15 que recaen sobre sistemas de aires acondicionados en ese sector. Estas actividades </w:t>
            </w:r>
            <w:r w:rsidRPr="001B00E6">
              <w:rPr>
                <w:rFonts w:ascii="Verdana" w:eastAsia="Aptos" w:hAnsi="Verdana" w:cs="Times New Roman"/>
                <w:lang w:eastAsia="es-CO"/>
              </w:rPr>
              <w:t xml:space="preserve">aplican para los procesos que adelanten las entidades obligadas a utilizar los documentos tipo, cuando correspondan al </w:t>
            </w:r>
            <w:r w:rsidRPr="001B00E6">
              <w:rPr>
                <w:rFonts w:ascii="Verdana" w:eastAsia="Aptos" w:hAnsi="Verdana" w:cs="Times New Roman"/>
                <w:i/>
                <w:iCs/>
                <w:lang w:eastAsia="es-CO"/>
              </w:rPr>
              <w:t>suministro e instalación</w:t>
            </w:r>
            <w:r w:rsidRPr="001B00E6">
              <w:rPr>
                <w:rFonts w:ascii="Verdana" w:eastAsia="Aptos" w:hAnsi="Verdana" w:cs="Times New Roman"/>
                <w:lang w:eastAsia="es-CO"/>
              </w:rPr>
              <w:t xml:space="preserve"> de sistemas de aires acondicionados o sistemas de ventilación o similares sobre infraestructura de seguridad pública (1.15) o de servicio público (2.14) o de sitios de reclusión (3.15) -según corresponda-. </w:t>
            </w:r>
          </w:p>
          <w:p w14:paraId="4BA48DFE"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ab/>
              <w:t xml:space="preserve">De esta forma, la actividad de suministro está ligada a la actividad de instalación de </w:t>
            </w:r>
            <w:r w:rsidRPr="001B00E6">
              <w:rPr>
                <w:rFonts w:ascii="Verdana" w:eastAsia="Aptos" w:hAnsi="Verdana" w:cs="Times New Roman"/>
                <w:lang w:eastAsia="es-CO"/>
              </w:rPr>
              <w:t>los sistemas de aires acondicionados o sistemas de ventilación o similares sobre infraestructura institucional: seguridad pública, servicio público o sitios de reclusión</w:t>
            </w:r>
            <w:r w:rsidRPr="001B00E6">
              <w:rPr>
                <w:rFonts w:ascii="Verdana" w:eastAsia="Times New Roman" w:hAnsi="Verdana" w:cs="Times New Roman"/>
                <w:color w:val="000000"/>
                <w:lang w:eastAsia="es-CO"/>
              </w:rPr>
              <w:t xml:space="preserve">. Así, por sí sola, la actividad de suministro no requiere la aplicación de los documentos tipo expedidos por esta Agencia en el sector institucional. Es decir que, si una entidad pretende adelantar un proceso que tenga por objeto el suministro de </w:t>
            </w:r>
            <w:r w:rsidRPr="001B00E6">
              <w:rPr>
                <w:rFonts w:ascii="Verdana" w:eastAsia="Aptos" w:hAnsi="Verdana" w:cs="Times New Roman"/>
                <w:lang w:eastAsia="es-CO"/>
              </w:rPr>
              <w:t>sistemas de aires acondicionados o sistemas de ventilación o similares sobre infraestructura institucional</w:t>
            </w:r>
            <w:r w:rsidRPr="001B00E6">
              <w:rPr>
                <w:rFonts w:ascii="Verdana" w:eastAsia="Times New Roman" w:hAnsi="Verdana" w:cs="Times New Roman"/>
                <w:color w:val="000000"/>
                <w:lang w:eastAsia="es-CO"/>
              </w:rPr>
              <w:t>, no tendrá que aplicar los documentos tipo expedidos por esta Agencia en el sector institucional.</w:t>
            </w:r>
          </w:p>
          <w:p w14:paraId="02E81960"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ab/>
              <w:t xml:space="preserve">Ahora bien, si el objeto del proceso de selección implica la instalación de </w:t>
            </w:r>
            <w:r w:rsidRPr="001B00E6">
              <w:rPr>
                <w:rFonts w:ascii="Verdana" w:eastAsia="Aptos" w:hAnsi="Verdana" w:cs="Times New Roman"/>
                <w:lang w:eastAsia="es-CO"/>
              </w:rPr>
              <w:t>sistemas de aires acondicionados o sistemas de ventilación o similares sobre infraestructura institucional</w:t>
            </w:r>
            <w:r w:rsidRPr="001B00E6">
              <w:rPr>
                <w:rFonts w:ascii="Verdana" w:eastAsia="Times New Roman" w:hAnsi="Verdana" w:cs="Times New Roman"/>
                <w:color w:val="000000"/>
                <w:lang w:eastAsia="es-CO"/>
              </w:rPr>
              <w:t>, se deberán aplicar los documentos tipo del sector institucional expedidos por esta Agencia. En estos casos, la entidad que adelante el proceso también deberá contratar el suministro utilizando los documentos tipo referidos, ya que, como se indicó, las actividades 1.15, 2.14 y 3.15 contenidas en dichos documentos aplican para el suministro e instalación de los sistemas de aires acondicionados, etc.</w:t>
            </w:r>
          </w:p>
          <w:p w14:paraId="1D223206" w14:textId="77777777" w:rsidR="001B00E6" w:rsidRPr="001B00E6" w:rsidRDefault="001B00E6" w:rsidP="001B00E6">
            <w:pPr>
              <w:spacing w:after="120" w:line="276" w:lineRule="auto"/>
              <w:ind w:firstLine="708"/>
              <w:jc w:val="both"/>
              <w:rPr>
                <w:rFonts w:ascii="Verdana" w:eastAsia="Aptos" w:hAnsi="Verdana" w:cs="Times New Roman"/>
                <w:lang w:eastAsia="es-CO"/>
              </w:rPr>
            </w:pPr>
            <w:r w:rsidRPr="001B00E6">
              <w:rPr>
                <w:rFonts w:ascii="Verdana" w:eastAsia="Aptos" w:hAnsi="Verdana" w:cs="Times New Roman"/>
                <w:lang w:eastAsia="es-CO"/>
              </w:rPr>
              <w:lastRenderedPageBreak/>
              <w:t>Considerando lo anterior, es posible concluir que la actividad de suministro, considerada de manera aislada, no conlleva la obligación de aplicar los Documentos Tipo del sector institucional expedidos por la Agencia. En efecto, el texto señala que la actividad de suministro, por sí sola, no requiere la aplicación de dichos documentos cuando el proceso de selección tiene únicamente por objeto la provisión de estos sistemas sobre infraestructura institucional.</w:t>
            </w:r>
          </w:p>
          <w:p w14:paraId="43E5C1DC" w14:textId="77777777" w:rsidR="001B00E6" w:rsidRPr="001B00E6" w:rsidRDefault="001B00E6" w:rsidP="001B00E6">
            <w:pPr>
              <w:spacing w:after="120" w:line="276" w:lineRule="auto"/>
              <w:ind w:firstLine="708"/>
              <w:jc w:val="both"/>
              <w:rPr>
                <w:rFonts w:ascii="Verdana" w:eastAsia="Aptos" w:hAnsi="Verdana" w:cs="Times New Roman"/>
                <w:lang w:eastAsia="es-CO"/>
              </w:rPr>
            </w:pPr>
            <w:r w:rsidRPr="001B00E6">
              <w:rPr>
                <w:rFonts w:ascii="Verdana" w:eastAsia="Aptos" w:hAnsi="Verdana" w:cs="Times New Roman"/>
                <w:lang w:eastAsia="es-CO"/>
              </w:rPr>
              <w:t>No obstante, cuando el objeto del proceso de selección incluye la instalación de sistemas de aires acondicionados o de ventilación, sí resulta obligatoria la aplicación de los Documentos Tipo del sector institucional. En estos casos, el suministro se encuentra estrechamente ligado a la instalación, por lo que ambas actividades deben contratarse bajo los mismos documentos tipo, particularmente en lo que respecta a las actividades 1.15, 2.14 y 3.15 contempladas en estos.</w:t>
            </w:r>
          </w:p>
          <w:p w14:paraId="604AEFCF" w14:textId="77777777" w:rsidR="001B00E6" w:rsidRPr="001B00E6" w:rsidRDefault="001B00E6" w:rsidP="001B00E6">
            <w:pPr>
              <w:spacing w:after="120" w:line="276" w:lineRule="auto"/>
              <w:ind w:firstLine="708"/>
              <w:jc w:val="both"/>
              <w:rPr>
                <w:rFonts w:ascii="Verdana" w:eastAsia="Aptos" w:hAnsi="Verdana" w:cs="Times New Roman"/>
                <w:lang w:eastAsia="es-CO"/>
              </w:rPr>
            </w:pPr>
            <w:r w:rsidRPr="001B00E6">
              <w:rPr>
                <w:rFonts w:ascii="Verdana" w:eastAsia="Aptos" w:hAnsi="Verdana" w:cs="Times New Roman"/>
                <w:lang w:eastAsia="es-CO"/>
              </w:rPr>
              <w:t xml:space="preserve">Por otra parte, en los párrafos analizados no se hace referencia expresa a actividades de mantenimiento de sistemas de aire 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35DEBEB4" w14:textId="77777777" w:rsidR="001B00E6" w:rsidRPr="001B00E6" w:rsidRDefault="001B00E6" w:rsidP="001B00E6">
            <w:pPr>
              <w:spacing w:line="276" w:lineRule="auto"/>
              <w:jc w:val="both"/>
              <w:rPr>
                <w:rFonts w:ascii="Verdana" w:eastAsia="Calibri" w:hAnsi="Verdana" w:cs="Arial"/>
                <w:color w:val="000000"/>
                <w:lang w:val="es-ES_tradnl"/>
              </w:rPr>
            </w:pPr>
            <w:r w:rsidRPr="001B00E6">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1B00E6">
              <w:rPr>
                <w:rFonts w:ascii="Verdana" w:eastAsia="Times New Roman" w:hAnsi="Verdana" w:cs="Times New Roman"/>
                <w:i/>
                <w:iCs/>
                <w:color w:val="000000"/>
                <w:lang w:eastAsia="es-CO"/>
              </w:rPr>
              <w:t>“(…) los procesos de obra pública de infraestructura social”</w:t>
            </w:r>
            <w:r w:rsidRPr="001B00E6">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1B00E6">
              <w:rPr>
                <w:rFonts w:ascii="Verdana" w:eastAsia="Calibri" w:hAnsi="Verdana" w:cs="Arial"/>
                <w:color w:val="000000"/>
                <w:lang w:val="es-ES_tradnl"/>
              </w:rPr>
              <w:t>los contratos “(…) que celebren las entidades estatales para la construcción, mantenimiento, instalación y, en general, para la realización de cualquier otro trabajo material sobre bienes inmuebles, cualquiera que sea la modalidad de ejecución y pago”</w:t>
            </w:r>
            <w:r w:rsidRPr="001B00E6">
              <w:rPr>
                <w:rFonts w:ascii="Verdana" w:eastAsia="Calibri" w:hAnsi="Verdana" w:cs="Arial"/>
                <w:color w:val="000000"/>
                <w:vertAlign w:val="superscript"/>
                <w:lang w:val="es-ES_tradnl"/>
              </w:rPr>
              <w:footnoteReference w:id="1"/>
            </w:r>
            <w:r w:rsidRPr="001B00E6">
              <w:rPr>
                <w:rFonts w:ascii="Verdana" w:eastAsia="Calibri" w:hAnsi="Verdana" w:cs="Arial"/>
                <w:color w:val="000000"/>
                <w:lang w:val="es-ES_tradnl"/>
              </w:rPr>
              <w:t xml:space="preserve">. </w:t>
            </w:r>
          </w:p>
          <w:p w14:paraId="3D46C573" w14:textId="77777777" w:rsidR="001B00E6" w:rsidRPr="001B00E6" w:rsidRDefault="001B00E6" w:rsidP="001B00E6">
            <w:pPr>
              <w:spacing w:line="276" w:lineRule="auto"/>
              <w:jc w:val="both"/>
              <w:rPr>
                <w:rFonts w:ascii="Verdana" w:eastAsia="Times New Roman" w:hAnsi="Verdana" w:cs="Times New Roman"/>
                <w:color w:val="000000"/>
                <w:lang w:eastAsia="es-CO"/>
              </w:rPr>
            </w:pPr>
          </w:p>
          <w:p w14:paraId="5F11A03F" w14:textId="77777777" w:rsidR="001B00E6" w:rsidRPr="001B00E6" w:rsidRDefault="001B00E6" w:rsidP="001B00E6">
            <w:pPr>
              <w:spacing w:after="120" w:line="276" w:lineRule="auto"/>
              <w:jc w:val="both"/>
              <w:rPr>
                <w:rFonts w:ascii="Verdana" w:eastAsia="Calibri" w:hAnsi="Verdana" w:cs="Arial"/>
                <w:lang w:val="es-ES_tradnl"/>
              </w:rPr>
            </w:pPr>
            <w:proofErr w:type="spellStart"/>
            <w:r w:rsidRPr="001B00E6">
              <w:rPr>
                <w:rFonts w:ascii="Verdana" w:eastAsia="Times New Roman" w:hAnsi="Verdana" w:cs="Times New Roman"/>
                <w:color w:val="000000"/>
                <w:lang w:eastAsia="es-CO"/>
              </w:rPr>
              <w:lastRenderedPageBreak/>
              <w:t>ii</w:t>
            </w:r>
            <w:proofErr w:type="spellEnd"/>
            <w:r w:rsidRPr="001B00E6">
              <w:rPr>
                <w:rFonts w:ascii="Verdana" w:eastAsia="Times New Roman" w:hAnsi="Verdana" w:cs="Times New Roman"/>
                <w:color w:val="000000"/>
                <w:lang w:eastAsia="es-CO"/>
              </w:rPr>
              <w:t xml:space="preserve">. Las actividades </w:t>
            </w:r>
            <w:r w:rsidRPr="001B00E6">
              <w:rPr>
                <w:rFonts w:ascii="Verdana" w:eastAsia="Aptos" w:hAnsi="Verdana" w:cs="Times New Roman"/>
                <w:lang w:eastAsia="es-CO"/>
              </w:rPr>
              <w:t xml:space="preserve">1.15, 2.14 y 3.15 </w:t>
            </w:r>
            <w:r w:rsidRPr="001B00E6">
              <w:rPr>
                <w:rFonts w:ascii="Verdana" w:eastAsia="Times New Roman" w:hAnsi="Verdana" w:cs="Times New Roman"/>
                <w:color w:val="000000"/>
                <w:lang w:eastAsia="es-CO"/>
              </w:rPr>
              <w:t xml:space="preserve">contenidas en la Matriz 1 – Experiencia de los Documentos Tipo del Sector Institucional, </w:t>
            </w:r>
            <w:r w:rsidRPr="001B00E6">
              <w:rPr>
                <w:rFonts w:ascii="Verdana" w:eastAsia="Calibri" w:hAnsi="Verdana" w:cs="Arial"/>
                <w:lang w:val="es-ES"/>
              </w:rPr>
              <w:t xml:space="preserve">incluyen la instalación, la cual, como se indicó, es constitutiva del objeto de contrato de obra pública. </w:t>
            </w:r>
          </w:p>
          <w:p w14:paraId="423D7810"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val="es-ES_tradnl"/>
              </w:rPr>
              <w:t xml:space="preserve">Sin embargo, esto no quiere decir que </w:t>
            </w:r>
            <w:r w:rsidRPr="001B00E6">
              <w:rPr>
                <w:rFonts w:ascii="Verdana" w:eastAsia="Calibri" w:hAnsi="Verdana" w:cs="Arial"/>
                <w:i/>
                <w:iCs/>
                <w:lang w:val="es-ES_tradnl"/>
              </w:rPr>
              <w:t>toda</w:t>
            </w:r>
            <w:r w:rsidRPr="001B00E6">
              <w:rPr>
                <w:rFonts w:ascii="Verdana" w:eastAsia="Calibri" w:hAnsi="Verdana" w:cs="Arial"/>
                <w:lang w:val="es-ES_tradnl"/>
              </w:rPr>
              <w:t xml:space="preserve"> instalación que se pacte, como obligación a cargo del contratista, permita clasificar el negocio jurídico como un contrato de obra pública. Por ejemplo, para el supuesto de la instalación de equipos de aire acondicionado o mobiliario, ¿cómo se sabe si el contrato es o no uno de obra pública, teniendo en cuenta que el artículo 32, numeral 1, de la Ley 80 de 1993, dispone que la “instalación” de elementos 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 </w:t>
            </w:r>
          </w:p>
          <w:p w14:paraId="4B33DC39" w14:textId="77777777" w:rsidR="001B00E6" w:rsidRPr="001B00E6" w:rsidRDefault="001B00E6" w:rsidP="001B00E6">
            <w:pPr>
              <w:spacing w:after="120" w:line="276" w:lineRule="auto"/>
              <w:ind w:firstLine="709"/>
              <w:jc w:val="both"/>
              <w:rPr>
                <w:rFonts w:ascii="Verdana" w:eastAsia="Calibri" w:hAnsi="Verdana" w:cs="Arial"/>
                <w:lang w:val="es-ES"/>
              </w:rPr>
            </w:pPr>
            <w:r w:rsidRPr="001B00E6">
              <w:rPr>
                <w:rFonts w:ascii="Verdana" w:eastAsia="Calibri" w:hAnsi="Verdana" w:cs="Arial"/>
                <w:lang w:val="es-ES"/>
              </w:rPr>
              <w:t xml:space="preserve">Con fundamento en lo anterior, puede decirse que la obligación de instalar un bien mueble en un inmueble –convirtiendo a aquel en un inmueble por adhesión o por destinación– </w:t>
            </w:r>
            <w:r w:rsidRPr="001B00E6">
              <w:rPr>
                <w:rFonts w:ascii="Verdana" w:eastAsia="Calibri" w:hAnsi="Verdana" w:cs="Arial"/>
                <w:i/>
                <w:lang w:val="es-ES"/>
              </w:rPr>
              <w:t>no</w:t>
            </w:r>
            <w:r w:rsidRPr="001B00E6">
              <w:rPr>
                <w:rFonts w:ascii="Verdana" w:eastAsia="Calibri"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sidRPr="001B00E6">
              <w:rPr>
                <w:rFonts w:ascii="Verdana" w:eastAsia="Calibri" w:hAnsi="Verdana" w:cs="Arial"/>
                <w:lang w:val="es-ES"/>
              </w:rPr>
              <w:t>ii</w:t>
            </w:r>
            <w:proofErr w:type="spellEnd"/>
            <w:r w:rsidRPr="001B00E6">
              <w:rPr>
                <w:rFonts w:ascii="Verdana" w:eastAsia="Calibri" w:hAnsi="Verdana" w:cs="Arial"/>
                <w:lang w:val="es-ES"/>
              </w:rPr>
              <w:t xml:space="preserve">) la finalidad de las partes y </w:t>
            </w:r>
            <w:proofErr w:type="spellStart"/>
            <w:r w:rsidRPr="001B00E6">
              <w:rPr>
                <w:rFonts w:ascii="Verdana" w:eastAsia="Calibri" w:hAnsi="Verdana" w:cs="Arial"/>
                <w:lang w:val="es-ES"/>
              </w:rPr>
              <w:t>iii</w:t>
            </w:r>
            <w:proofErr w:type="spellEnd"/>
            <w:r w:rsidRPr="001B00E6">
              <w:rPr>
                <w:rFonts w:ascii="Verdana" w:eastAsia="Calibri" w:hAnsi="Verdana" w:cs="Arial"/>
                <w:lang w:val="es-ES"/>
              </w:rPr>
              <w:t>) si se trata de prestaciones mixtas,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 Este es un análisis que, por tanto, debe realizarse en cada caso concreto, considerando los datos técnicos y económicos del objeto contractual.</w:t>
            </w:r>
          </w:p>
          <w:p w14:paraId="1F944B74"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r w:rsidRPr="001B00E6">
              <w:rPr>
                <w:rFonts w:ascii="Verdana" w:eastAsia="Calibri" w:hAnsi="Verdana" w:cs="Arial"/>
                <w:lang w:val="es-ES" w:eastAsia="es-ES_tradnl"/>
              </w:rPr>
              <w:t xml:space="preserve">En este contexto, </w:t>
            </w:r>
            <w:r w:rsidRPr="001B00E6">
              <w:rPr>
                <w:rFonts w:ascii="Verdana" w:eastAsia="Aptos" w:hAnsi="Verdana" w:cs="Arial"/>
                <w:lang w:eastAsia="es-ES_tradnl"/>
              </w:rPr>
              <w:t xml:space="preserve">no es posible afirmar de manera categórica que el suministro e instalación de bienes muebles como </w:t>
            </w:r>
            <w:r w:rsidRPr="001B00E6">
              <w:rPr>
                <w:rFonts w:ascii="Verdana" w:eastAsia="Times New Roman" w:hAnsi="Verdana" w:cs="Times New Roman"/>
                <w:color w:val="000000"/>
                <w:lang w:eastAsia="es-CO"/>
              </w:rPr>
              <w:t xml:space="preserve">mobiliario interno o externo, sistemas de aires acondicionadas o sistemas de ventilación o similar, y equipos especiales o electromecánicos y/o electrónicos y/o maquinarias u otros tipos de equipos sobre </w:t>
            </w:r>
            <w:r w:rsidRPr="001B00E6">
              <w:rPr>
                <w:rFonts w:ascii="Verdana" w:eastAsia="Aptos" w:hAnsi="Verdana" w:cs="Arial"/>
                <w:lang w:eastAsia="es-ES_tradnl"/>
              </w:rPr>
              <w:t xml:space="preserve">un inmueble que tiene la categoría de infraestructura </w:t>
            </w:r>
            <w:r w:rsidRPr="001B00E6">
              <w:rPr>
                <w:rFonts w:ascii="Verdana" w:eastAsia="Aptos" w:hAnsi="Verdana" w:cs="Arial"/>
                <w:lang w:eastAsia="es-ES_tradnl"/>
              </w:rPr>
              <w:lastRenderedPageBreak/>
              <w:t xml:space="preserve">educativa deba clasificarse, en todos los casos, como un contrato de obra pública para efecto de la utilización de los Documentos Tipo </w:t>
            </w:r>
            <w:r w:rsidRPr="001B00E6">
              <w:rPr>
                <w:rFonts w:ascii="Verdana" w:eastAsia="Times New Roman" w:hAnsi="Verdana" w:cs="Times New Roman"/>
                <w:color w:val="000000"/>
                <w:lang w:eastAsia="es-CO"/>
              </w:rPr>
              <w:t>del Sector Institucional</w:t>
            </w:r>
            <w:r w:rsidRPr="001B00E6">
              <w:rPr>
                <w:rFonts w:ascii="Verdana" w:eastAsia="Aptos" w:hAnsi="Verdana" w:cs="Arial"/>
                <w:lang w:eastAsia="es-ES_tradn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171F6554"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eastAsia="es-ES_tradnl"/>
              </w:rPr>
              <w:t>Atendiendo a lo señalado por l</w:t>
            </w:r>
            <w:r w:rsidRPr="001B00E6">
              <w:rPr>
                <w:rFonts w:ascii="Verdana" w:eastAsia="Calibri" w:hAnsi="Verdana" w:cs="Arial"/>
                <w:lang w:val="es-ES_tradnl"/>
              </w:rPr>
              <w:t>a Sala de Consulta y Servicio Civil del Consejo de Estado,</w:t>
            </w:r>
            <w:r w:rsidRPr="001B00E6">
              <w:rPr>
                <w:rFonts w:ascii="Verdana" w:eastAsia="Calibri" w:hAnsi="Verdana" w:cs="Times New Roman"/>
                <w:color w:val="000000"/>
              </w:rPr>
              <w:t xml:space="preserve"> adhiriéndose al método de absorción para efectos de integrar el régimen jurídico aplicable,</w:t>
            </w:r>
            <w:r w:rsidRPr="001B00E6">
              <w:rPr>
                <w:rFonts w:ascii="Verdana" w:eastAsia="Calibri" w:hAnsi="Verdana" w:cs="Arial"/>
                <w:lang w:val="es-ES_tradnl"/>
              </w:rPr>
              <w:t xml:space="preserve"> se considera que en el caso referido es fundamental determinar la prestación principal para establecer dicho </w:t>
            </w:r>
            <w:r w:rsidRPr="001B00E6">
              <w:rPr>
                <w:rFonts w:ascii="Verdana" w:eastAsia="Calibri" w:hAnsi="Verdana" w:cs="Arial"/>
                <w:lang w:eastAsia="es-ES_tradnl"/>
              </w:rPr>
              <w:t>régimen</w:t>
            </w:r>
            <w:r w:rsidRPr="001B00E6">
              <w:rPr>
                <w:rFonts w:ascii="Verdana" w:eastAsia="Calibri" w:hAnsi="Verdana" w:cs="Arial"/>
                <w:lang w:val="es-ES_tradnl"/>
              </w:rPr>
              <w:t>.</w:t>
            </w:r>
            <w:r w:rsidRPr="001B00E6">
              <w:rPr>
                <w:rFonts w:ascii="Verdana" w:eastAsia="Calibri" w:hAnsi="Verdana" w:cs="Arial"/>
                <w:lang w:val="es-ES" w:eastAsia="es-ES_tradnl"/>
              </w:rPr>
              <w:t xml:space="preserve"> </w:t>
            </w:r>
          </w:p>
          <w:p w14:paraId="2A7F063B" w14:textId="77777777" w:rsidR="001B00E6" w:rsidRPr="001B00E6" w:rsidRDefault="001B00E6" w:rsidP="001B00E6">
            <w:pPr>
              <w:spacing w:after="12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 xml:space="preserve">Para tales efectos, la entidad estatal podría determinar </w:t>
            </w:r>
            <w:r w:rsidRPr="001B00E6">
              <w:rPr>
                <w:rFonts w:ascii="Verdana" w:eastAsia="Calibri" w:hAnsi="Verdana" w:cs="Arial"/>
                <w:color w:val="000000"/>
                <w:lang w:val="es-ES_tradnl"/>
              </w:rPr>
              <w:t>el régimen del contrato típico al que pertenece</w:t>
            </w:r>
            <w:r w:rsidRPr="001B00E6">
              <w:rPr>
                <w:rFonts w:ascii="Verdana" w:eastAsia="Calibri" w:hAnsi="Verdana" w:cs="Arial"/>
                <w:lang w:eastAsia="es-ES_tradnl"/>
              </w:rPr>
              <w:t xml:space="preserve"> atendiendo a cuál de las obligaciones - suministro o instalación-,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w:t>
            </w:r>
          </w:p>
          <w:p w14:paraId="661EE08B" w14:textId="77777777" w:rsidR="001B00E6" w:rsidRPr="001B00E6" w:rsidRDefault="001B00E6" w:rsidP="001B00E6">
            <w:pPr>
              <w:spacing w:after="12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49992FE7" w14:textId="77777777" w:rsidR="001B00E6" w:rsidRPr="001B00E6" w:rsidRDefault="001B00E6" w:rsidP="001B00E6">
            <w:pPr>
              <w:spacing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 xml:space="preserve">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Institucional expedidos por esta Agencia. </w:t>
            </w:r>
          </w:p>
        </w:tc>
      </w:tr>
    </w:tbl>
    <w:p w14:paraId="79F99B69" w14:textId="77777777" w:rsidR="001B00E6" w:rsidRPr="001B00E6" w:rsidRDefault="001B00E6" w:rsidP="001B00E6">
      <w:pPr>
        <w:tabs>
          <w:tab w:val="left" w:pos="142"/>
          <w:tab w:val="left" w:pos="284"/>
        </w:tabs>
        <w:spacing w:after="0" w:line="276" w:lineRule="auto"/>
        <w:jc w:val="both"/>
        <w:rPr>
          <w:rFonts w:ascii="Verdana" w:eastAsia="Century Gothic" w:hAnsi="Verdana" w:cs="Century Gothic"/>
          <w:b/>
          <w:bCs/>
          <w:lang w:val="es-ES"/>
        </w:rPr>
      </w:pPr>
    </w:p>
    <w:p w14:paraId="77CC0E1E" w14:textId="77777777" w:rsidR="001B00E6" w:rsidRPr="001B00E6" w:rsidRDefault="001B00E6" w:rsidP="001B00E6">
      <w:pPr>
        <w:tabs>
          <w:tab w:val="left" w:pos="142"/>
          <w:tab w:val="left" w:pos="284"/>
        </w:tabs>
        <w:spacing w:after="0" w:line="276" w:lineRule="auto"/>
        <w:jc w:val="both"/>
        <w:rPr>
          <w:rFonts w:ascii="Verdana" w:eastAsia="Century Gothic" w:hAnsi="Verdana" w:cs="Century Gothic"/>
          <w:b/>
          <w:bCs/>
          <w:lang w:val="es-ES"/>
        </w:rPr>
      </w:pPr>
      <w:r w:rsidRPr="001B00E6">
        <w:rPr>
          <w:rFonts w:ascii="Verdana" w:eastAsia="Century Gothic" w:hAnsi="Verdana" w:cs="Century Gothic"/>
          <w:b/>
          <w:bCs/>
          <w:lang w:val="es-ES"/>
        </w:rPr>
        <w:t>3. Razones de la respuesta:</w:t>
      </w:r>
    </w:p>
    <w:p w14:paraId="6A468237" w14:textId="77777777" w:rsidR="001B00E6" w:rsidRPr="001B00E6" w:rsidRDefault="001B00E6" w:rsidP="001B00E6">
      <w:pPr>
        <w:spacing w:after="0" w:line="276" w:lineRule="auto"/>
        <w:jc w:val="both"/>
        <w:rPr>
          <w:rFonts w:ascii="Verdana" w:eastAsia="Calibri" w:hAnsi="Verdana" w:cs="Arial"/>
          <w:lang w:val="es-ES"/>
        </w:rPr>
      </w:pPr>
    </w:p>
    <w:p w14:paraId="2DFE78C9" w14:textId="77777777" w:rsidR="001B00E6" w:rsidRPr="001B00E6" w:rsidRDefault="001B00E6" w:rsidP="001B00E6">
      <w:pPr>
        <w:spacing w:after="0" w:line="276" w:lineRule="auto"/>
        <w:jc w:val="both"/>
        <w:rPr>
          <w:rFonts w:ascii="Verdana" w:eastAsia="Calibri" w:hAnsi="Verdana" w:cs="Arial"/>
          <w:lang w:val="es-ES"/>
        </w:rPr>
      </w:pPr>
      <w:r w:rsidRPr="001B00E6">
        <w:rPr>
          <w:rFonts w:ascii="Verdana" w:eastAsia="Calibri" w:hAnsi="Verdana" w:cs="Arial"/>
          <w:lang w:val="es-ES"/>
        </w:rPr>
        <w:t xml:space="preserve">Lo anterior se sustenta en las siguientes consideraciones: </w:t>
      </w:r>
    </w:p>
    <w:p w14:paraId="166C73B7" w14:textId="77777777" w:rsidR="001B00E6" w:rsidRPr="001B00E6" w:rsidRDefault="001B00E6" w:rsidP="001B00E6">
      <w:pPr>
        <w:spacing w:after="0" w:line="276" w:lineRule="auto"/>
        <w:jc w:val="both"/>
        <w:rPr>
          <w:rFonts w:ascii="Verdana" w:eastAsia="Calibri" w:hAnsi="Verdana" w:cs="Arial"/>
          <w:lang w:val="es-ES"/>
        </w:rPr>
      </w:pPr>
    </w:p>
    <w:p w14:paraId="599FEBE6" w14:textId="77777777" w:rsidR="001B00E6" w:rsidRPr="001B00E6" w:rsidRDefault="001B00E6" w:rsidP="001B00E6">
      <w:pPr>
        <w:widowControl w:val="0"/>
        <w:autoSpaceDE w:val="0"/>
        <w:autoSpaceDN w:val="0"/>
        <w:spacing w:line="276" w:lineRule="auto"/>
        <w:jc w:val="both"/>
        <w:rPr>
          <w:rFonts w:ascii="Verdana" w:eastAsia="Aptos" w:hAnsi="Verdana" w:cs="Arial"/>
        </w:rPr>
      </w:pPr>
      <w:r w:rsidRPr="001B00E6">
        <w:rPr>
          <w:rFonts w:ascii="Verdana" w:eastAsia="Calibri" w:hAnsi="Verdana" w:cs="Arial"/>
          <w:lang w:val="es-ES"/>
        </w:rPr>
        <w:lastRenderedPageBreak/>
        <w:t xml:space="preserve">i. </w:t>
      </w:r>
      <w:r w:rsidRPr="001B00E6">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729CE23" w14:textId="77777777" w:rsidR="001B00E6" w:rsidRPr="001B00E6" w:rsidRDefault="001B00E6" w:rsidP="001B00E6">
      <w:pPr>
        <w:spacing w:after="120" w:line="276" w:lineRule="auto"/>
        <w:ind w:firstLine="708"/>
        <w:jc w:val="both"/>
        <w:rPr>
          <w:rFonts w:ascii="Verdana" w:eastAsia="Aptos" w:hAnsi="Verdana" w:cs="Arial"/>
        </w:rPr>
      </w:pPr>
      <w:r w:rsidRPr="001B00E6">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9D61105"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r w:rsidRPr="001B00E6">
        <w:rPr>
          <w:rFonts w:ascii="Verdana" w:eastAsia="Aptos" w:hAnsi="Verdana" w:cs="Arial"/>
        </w:rPr>
        <w:t xml:space="preserve">En el sector social, </w:t>
      </w:r>
      <w:r w:rsidRPr="001B00E6">
        <w:rPr>
          <w:rFonts w:ascii="Verdana" w:eastAsia="Calibri" w:hAnsi="Verdana" w:cs="Arial"/>
          <w:lang w:val="es-MX"/>
        </w:rPr>
        <w:t xml:space="preserve">la Agencia Nacional de Contratación Pública – Colombia Compra </w:t>
      </w:r>
      <w:r w:rsidRPr="001B00E6">
        <w:rPr>
          <w:rFonts w:ascii="Verdana" w:eastAsia="Calibri" w:hAnsi="Verdana" w:cs="Arial"/>
        </w:rPr>
        <w:t xml:space="preserve">Eficiente </w:t>
      </w:r>
      <w:r w:rsidRPr="001B00E6">
        <w:rPr>
          <w:rFonts w:ascii="Verdana" w:eastAsia="Times New Roman" w:hAnsi="Verdana" w:cs="Times New Roman"/>
          <w:color w:val="000000"/>
          <w:lang w:eastAsia="es-CO"/>
        </w:rPr>
        <w:t xml:space="preserve">en el segundo semestre del año 2025 adoptó las siguientes Resoluciones para </w:t>
      </w:r>
      <w:r w:rsidRPr="001B00E6">
        <w:rPr>
          <w:rFonts w:ascii="Verdana" w:eastAsia="Times New Roman" w:hAnsi="Verdana" w:cs="Times New Roman"/>
          <w:i/>
          <w:iCs/>
          <w:color w:val="000000"/>
          <w:lang w:eastAsia="es-CO"/>
        </w:rPr>
        <w:t>contratar obra pública</w:t>
      </w:r>
      <w:r w:rsidRPr="001B00E6">
        <w:rPr>
          <w:rFonts w:ascii="Verdana" w:eastAsia="Times New Roman" w:hAnsi="Verdana" w:cs="Times New Roman"/>
          <w:color w:val="000000"/>
          <w:lang w:eastAsia="es-CO"/>
        </w:rPr>
        <w:t xml:space="preserve"> y concurso de méritos:</w:t>
      </w:r>
    </w:p>
    <w:p w14:paraId="3457D3C5"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863F613"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 xml:space="preserve"> </w:t>
      </w:r>
      <w:proofErr w:type="spellStart"/>
      <w:r w:rsidRPr="001B00E6">
        <w:rPr>
          <w:rFonts w:ascii="Verdana" w:eastAsia="Times New Roman" w:hAnsi="Verdana" w:cs="Times New Roman"/>
          <w:color w:val="000000"/>
          <w:lang w:eastAsia="es-CO"/>
        </w:rPr>
        <w:t>ii</w:t>
      </w:r>
      <w:proofErr w:type="spellEnd"/>
      <w:r w:rsidRPr="001B00E6">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DE3F1A6"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proofErr w:type="spellStart"/>
      <w:r w:rsidRPr="001B00E6">
        <w:rPr>
          <w:rFonts w:ascii="Verdana" w:eastAsia="Times New Roman" w:hAnsi="Verdana" w:cs="Times New Roman"/>
          <w:color w:val="000000"/>
          <w:lang w:eastAsia="es-CO"/>
        </w:rPr>
        <w:lastRenderedPageBreak/>
        <w:t>iii</w:t>
      </w:r>
      <w:proofErr w:type="spellEnd"/>
      <w:r w:rsidRPr="001B00E6">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CBA305D"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proofErr w:type="spellStart"/>
      <w:r w:rsidRPr="001B00E6">
        <w:rPr>
          <w:rFonts w:ascii="Verdana" w:eastAsia="Times New Roman" w:hAnsi="Verdana" w:cs="Times New Roman"/>
          <w:color w:val="000000"/>
          <w:lang w:eastAsia="es-CO"/>
        </w:rPr>
        <w:t>iv</w:t>
      </w:r>
      <w:proofErr w:type="spellEnd"/>
      <w:r w:rsidRPr="001B00E6">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1DDE4F6E"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B00E6">
        <w:rPr>
          <w:rFonts w:ascii="Verdana" w:eastAsia="Aptos" w:hAnsi="Verdana" w:cs="Times New Roman"/>
          <w:kern w:val="2"/>
          <w14:ligatures w14:val="standardContextual"/>
        </w:rPr>
        <w:t xml:space="preserve"> </w:t>
      </w:r>
    </w:p>
    <w:p w14:paraId="7499FB29" w14:textId="77777777" w:rsidR="001B00E6" w:rsidRPr="001B00E6" w:rsidRDefault="001B00E6" w:rsidP="001B00E6">
      <w:pPr>
        <w:spacing w:after="120" w:line="276" w:lineRule="auto"/>
        <w:ind w:firstLine="708"/>
        <w:jc w:val="both"/>
        <w:textAlignment w:val="baseline"/>
        <w:rPr>
          <w:rFonts w:ascii="Verdana" w:eastAsia="Calibri" w:hAnsi="Verdana" w:cs="Arial"/>
        </w:rPr>
      </w:pPr>
      <w:r w:rsidRPr="001B00E6">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1B00E6">
        <w:rPr>
          <w:rFonts w:ascii="Verdana" w:eastAsia="Calibri" w:hAnsi="Verdana" w:cs="Arial"/>
          <w:vertAlign w:val="superscript"/>
        </w:rPr>
        <w:footnoteReference w:id="2"/>
      </w:r>
      <w:r w:rsidRPr="001B00E6">
        <w:rPr>
          <w:rFonts w:ascii="Verdana" w:eastAsia="Calibri" w:hAnsi="Verdana" w:cs="Arial"/>
        </w:rPr>
        <w:t>.</w:t>
      </w:r>
    </w:p>
    <w:p w14:paraId="524549AE" w14:textId="77777777" w:rsidR="001B00E6" w:rsidRPr="001B00E6" w:rsidRDefault="001B00E6" w:rsidP="001B00E6">
      <w:pPr>
        <w:widowControl w:val="0"/>
        <w:autoSpaceDE w:val="0"/>
        <w:autoSpaceDN w:val="0"/>
        <w:spacing w:after="120" w:line="276" w:lineRule="auto"/>
        <w:ind w:firstLine="708"/>
        <w:jc w:val="both"/>
        <w:rPr>
          <w:rFonts w:ascii="Verdana" w:eastAsia="Calibri" w:hAnsi="Verdana" w:cs="Times New Roman"/>
          <w:lang w:val="es-ES"/>
        </w:rPr>
      </w:pPr>
      <w:r w:rsidRPr="001B00E6">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1B00E6">
        <w:rPr>
          <w:rFonts w:ascii="Verdana" w:eastAsia="Calibri" w:hAnsi="Verdana" w:cs="Times New Roman"/>
          <w:shd w:val="clear" w:color="auto" w:fill="E8E8E8"/>
          <w:lang w:val="es-ES"/>
        </w:rPr>
        <w:t>–[texto]–,</w:t>
      </w:r>
      <w:r w:rsidRPr="001B00E6">
        <w:rPr>
          <w:rFonts w:ascii="Verdana" w:eastAsia="Calibri" w:hAnsi="Verdana" w:cs="Times New Roman"/>
          <w:lang w:val="es-ES"/>
        </w:rPr>
        <w:t xml:space="preserve"> para lo cual deberán observarse las instrucciones contenidas en los mismos para su diligenciamiento.</w:t>
      </w:r>
    </w:p>
    <w:p w14:paraId="472886BB" w14:textId="77777777" w:rsidR="001B00E6" w:rsidRPr="001B00E6" w:rsidRDefault="001B00E6" w:rsidP="001B00E6">
      <w:pPr>
        <w:widowControl w:val="0"/>
        <w:autoSpaceDE w:val="0"/>
        <w:autoSpaceDN w:val="0"/>
        <w:spacing w:after="120" w:line="276" w:lineRule="auto"/>
        <w:ind w:firstLine="708"/>
        <w:jc w:val="both"/>
        <w:rPr>
          <w:rFonts w:ascii="Verdana" w:eastAsia="Calibri" w:hAnsi="Verdana" w:cs="Times New Roman"/>
          <w:lang w:val="es-ES"/>
        </w:rPr>
      </w:pPr>
      <w:r w:rsidRPr="001B00E6">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8C58AB3" w14:textId="77777777" w:rsidR="001B00E6" w:rsidRPr="001B00E6" w:rsidRDefault="001B00E6" w:rsidP="001B00E6">
      <w:pPr>
        <w:widowControl w:val="0"/>
        <w:autoSpaceDE w:val="0"/>
        <w:autoSpaceDN w:val="0"/>
        <w:spacing w:after="120" w:line="276" w:lineRule="auto"/>
        <w:ind w:firstLine="708"/>
        <w:jc w:val="both"/>
        <w:rPr>
          <w:rFonts w:ascii="Verdana" w:eastAsia="Calibri" w:hAnsi="Verdana" w:cs="Times New Roman"/>
          <w:lang w:val="es-ES"/>
        </w:rPr>
      </w:pPr>
      <w:r w:rsidRPr="001B00E6">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D66DBE7" w14:textId="77777777" w:rsidR="001B00E6" w:rsidRPr="001B00E6" w:rsidRDefault="001B00E6" w:rsidP="001B00E6">
      <w:pPr>
        <w:widowControl w:val="0"/>
        <w:autoSpaceDE w:val="0"/>
        <w:autoSpaceDN w:val="0"/>
        <w:spacing w:after="120" w:line="276" w:lineRule="auto"/>
        <w:ind w:firstLine="708"/>
        <w:jc w:val="both"/>
        <w:rPr>
          <w:rFonts w:ascii="Verdana" w:eastAsia="Calibri" w:hAnsi="Verdana" w:cs="Times New Roman"/>
          <w:lang w:val="es-ES"/>
        </w:rPr>
      </w:pPr>
      <w:r w:rsidRPr="001B00E6">
        <w:rPr>
          <w:rFonts w:ascii="Verdana" w:eastAsia="Calibri" w:hAnsi="Verdana" w:cs="Times New Roman"/>
          <w:lang w:val="es-ES"/>
        </w:rPr>
        <w:t xml:space="preserve">Uno de los elementos comunes a los diferentes documentos tipo es la “Matriz – Experiencia”. Esta consta de unas celdas en las que se describe la experiencia requerida en relación con el objeto a contratar, definiendo además </w:t>
      </w:r>
      <w:r w:rsidRPr="001B00E6">
        <w:rPr>
          <w:rFonts w:ascii="Verdana" w:eastAsia="Calibri" w:hAnsi="Verdana" w:cs="Times New Roman"/>
          <w:lang w:val="es-ES"/>
        </w:rPr>
        <w:lastRenderedPageBreak/>
        <w:t>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E0F15E4" w14:textId="77777777" w:rsidR="001B00E6" w:rsidRPr="001B00E6" w:rsidRDefault="001B00E6" w:rsidP="001B00E6">
      <w:pPr>
        <w:widowControl w:val="0"/>
        <w:autoSpaceDE w:val="0"/>
        <w:autoSpaceDN w:val="0"/>
        <w:spacing w:after="120" w:line="276" w:lineRule="auto"/>
        <w:ind w:firstLine="708"/>
        <w:jc w:val="both"/>
        <w:rPr>
          <w:rFonts w:ascii="Verdana" w:eastAsia="Calibri" w:hAnsi="Verdana" w:cs="Times New Roman"/>
          <w:lang w:val="es-ES"/>
        </w:rPr>
      </w:pPr>
      <w:r w:rsidRPr="001B00E6">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3C7B807" w14:textId="77777777" w:rsidR="001B00E6" w:rsidRPr="001B00E6" w:rsidRDefault="001B00E6" w:rsidP="001B00E6">
      <w:pPr>
        <w:widowControl w:val="0"/>
        <w:autoSpaceDE w:val="0"/>
        <w:autoSpaceDN w:val="0"/>
        <w:spacing w:after="0" w:line="276" w:lineRule="auto"/>
        <w:ind w:firstLine="708"/>
        <w:jc w:val="both"/>
        <w:rPr>
          <w:rFonts w:ascii="Verdana" w:eastAsia="Calibri" w:hAnsi="Verdana" w:cs="Times New Roman"/>
          <w:lang w:val="es-ES"/>
        </w:rPr>
      </w:pPr>
      <w:r w:rsidRPr="001B00E6">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FEBA31C" w14:textId="77777777" w:rsidR="001B00E6" w:rsidRPr="001B00E6" w:rsidRDefault="001B00E6" w:rsidP="001B00E6">
      <w:pPr>
        <w:widowControl w:val="0"/>
        <w:autoSpaceDE w:val="0"/>
        <w:autoSpaceDN w:val="0"/>
        <w:spacing w:after="0" w:line="276" w:lineRule="auto"/>
        <w:ind w:firstLine="708"/>
        <w:jc w:val="both"/>
        <w:rPr>
          <w:rFonts w:ascii="Verdana" w:eastAsia="Calibri" w:hAnsi="Verdana" w:cs="Times New Roman"/>
          <w:lang w:val="es-ES"/>
        </w:rPr>
      </w:pPr>
    </w:p>
    <w:p w14:paraId="4DDD3659" w14:textId="77777777" w:rsidR="001B00E6" w:rsidRPr="001B00E6" w:rsidRDefault="001B00E6" w:rsidP="001B00E6">
      <w:pPr>
        <w:spacing w:after="120" w:line="276" w:lineRule="auto"/>
        <w:jc w:val="both"/>
        <w:rPr>
          <w:rFonts w:ascii="Verdana" w:eastAsia="Calibri" w:hAnsi="Verdana" w:cs="Times New Roman"/>
          <w:lang w:val="es-ES" w:eastAsia="es-MX"/>
        </w:rPr>
      </w:pPr>
      <w:proofErr w:type="spellStart"/>
      <w:r w:rsidRPr="001B00E6">
        <w:rPr>
          <w:rFonts w:ascii="Verdana" w:eastAsia="Calibri" w:hAnsi="Verdana" w:cs="Times New Roman"/>
          <w:lang w:val="es-ES"/>
        </w:rPr>
        <w:t>ii</w:t>
      </w:r>
      <w:proofErr w:type="spellEnd"/>
      <w:r w:rsidRPr="001B00E6">
        <w:rPr>
          <w:rFonts w:ascii="Verdana" w:eastAsia="Calibri" w:hAnsi="Verdana" w:cs="Times New Roman"/>
          <w:lang w:val="es-ES"/>
        </w:rPr>
        <w:t xml:space="preserve">. </w:t>
      </w:r>
      <w:r w:rsidRPr="001B00E6">
        <w:rPr>
          <w:rFonts w:ascii="Verdana" w:eastAsia="Calibri" w:hAnsi="Verdana" w:cs="Times New Roman"/>
          <w:lang w:val="es-ES" w:eastAsia="es-MX"/>
        </w:rPr>
        <w:t xml:space="preserve">El artículo 17 de la Resolución 539 del 21 de agosto de 2025, y el artículo 16 de las Resoluciones 540 y 541 del 21 de agosto de 2025, adoptan los Documentos Tipo complementarios para los procesos de infraestructura social relacionados con el Sector Institucional -según la modalidad que corresponda-. De acuerdo con el parágrafo segundo de los artículos 17 y 16 de las citadas resoluciones, estos documentos aplican a los procesos contractuales que correspondan a las actividades definidas en la Matriz 1 – Experiencia del Sector Institucional. </w:t>
      </w:r>
    </w:p>
    <w:p w14:paraId="3A7AD19E" w14:textId="77777777" w:rsidR="001B00E6" w:rsidRPr="001B00E6" w:rsidRDefault="001B00E6" w:rsidP="001B00E6">
      <w:pPr>
        <w:spacing w:after="120" w:line="276" w:lineRule="auto"/>
        <w:jc w:val="both"/>
        <w:rPr>
          <w:rFonts w:ascii="Verdana" w:eastAsia="Arial" w:hAnsi="Verdana" w:cs="Aptos"/>
          <w:lang w:eastAsia="es-ES"/>
        </w:rPr>
      </w:pPr>
      <w:r w:rsidRPr="001B00E6">
        <w:rPr>
          <w:rFonts w:ascii="Verdana" w:eastAsia="Calibri" w:hAnsi="Verdana" w:cs="Times New Roman"/>
          <w:lang w:val="es-ES" w:eastAsia="es-MX"/>
        </w:rPr>
        <w:tab/>
        <w:t xml:space="preserve">La Matriz 1 – Experiencia del Sector Institucional, </w:t>
      </w:r>
      <w:r w:rsidRPr="001B00E6">
        <w:rPr>
          <w:rFonts w:ascii="Verdana" w:eastAsia="Times New Roman" w:hAnsi="Verdana" w:cs="Times New Roman"/>
          <w:color w:val="000000"/>
          <w:lang w:eastAsia="es-CO"/>
        </w:rPr>
        <w:t xml:space="preserve">en la modalidad de licitación pública, selección abreviada de menor cuantía y mínima cuantía dispone de los siguientes cinco (5) tipos de infraestructura: </w:t>
      </w:r>
      <w:r w:rsidRPr="001B00E6">
        <w:rPr>
          <w:rFonts w:ascii="Verdana" w:eastAsia="Arial" w:hAnsi="Verdana" w:cs="Aptos"/>
          <w:kern w:val="2"/>
          <w:lang w:eastAsia="es-ES"/>
          <w14:ligatures w14:val="standardContextual"/>
        </w:rPr>
        <w:t xml:space="preserve">“1) OBRAS EN PROYECTOS DE INFRAESTRUCTURA INSTITUCIONAL DE SEGURIDAD PUBLICA, 2) OBRAS EN PROYECTOS DE INFRAESTRUCTURA INSTITUCIONAL DE SERVICIO </w:t>
      </w:r>
      <w:r w:rsidRPr="001B00E6">
        <w:rPr>
          <w:rFonts w:ascii="Verdana" w:eastAsia="Arial" w:hAnsi="Verdana" w:cs="Aptos"/>
          <w:kern w:val="2"/>
          <w:lang w:eastAsia="es-ES"/>
          <w14:ligatures w14:val="standardContextual"/>
        </w:rPr>
        <w:lastRenderedPageBreak/>
        <w:t>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1B00E6">
        <w:rPr>
          <w:rFonts w:ascii="Verdana" w:eastAsia="Aptos" w:hAnsi="Verdana" w:cs="Arial"/>
          <w:kern w:val="2"/>
          <w14:ligatures w14:val="standardContextual"/>
        </w:rPr>
        <w:t xml:space="preserve">. </w:t>
      </w:r>
      <w:r w:rsidRPr="001B00E6">
        <w:rPr>
          <w:rFonts w:ascii="Verdana" w:eastAsia="Arial" w:hAnsi="Verdana" w:cs="Aptos"/>
          <w:lang w:eastAsia="es-ES"/>
        </w:rPr>
        <w:t xml:space="preserve">Sobre los tipos de obras señaladas, la Matriz 1 – Experiencia contiene una serie de actividades donde la entidad debe encuadrar el objeto del proceso que pretende ejecutar. Estas actividades se relacionan con proyectos de construcción, ampliación, reconstrucción, adecuación, conservación, intervención, remodelación, mantenimiento, mejoramiento, modificación, optimización, rehabilitación, remodelación, reposición y/o reparación y/o suministro, entre otras actividades, sobre infraestructura institucional. </w:t>
      </w:r>
    </w:p>
    <w:p w14:paraId="14C879B6"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Arial" w:hAnsi="Verdana" w:cs="Aptos"/>
          <w:lang w:eastAsia="es-ES"/>
        </w:rPr>
        <w:tab/>
        <w:t>De esta forma, los tipos de obras señaladas y las actividades previstas en la Matriz 1</w:t>
      </w:r>
      <w:r w:rsidRPr="001B00E6">
        <w:rPr>
          <w:rFonts w:ascii="Verdana" w:eastAsia="Calibri" w:hAnsi="Verdana" w:cs="Times New Roman"/>
          <w:lang w:val="es-ES" w:eastAsia="es-MX"/>
        </w:rPr>
        <w:t xml:space="preserve">– Experiencia del Sector Institucional, </w:t>
      </w:r>
      <w:r w:rsidRPr="001B00E6">
        <w:rPr>
          <w:rFonts w:ascii="Verdana" w:eastAsia="Times New Roman" w:hAnsi="Verdana" w:cs="Times New Roman"/>
          <w:color w:val="000000"/>
          <w:lang w:eastAsia="es-CO"/>
        </w:rPr>
        <w:t>en la modalidad de licitación pública, selección abreviada de menor cuantía y mínima cuantía, recaen sobre infraestructura institucional. Esto es importante para precisar el ámbito de aplicación de los Documentos Tipo de este sector adoptados en de las Resoluciones 539, 540 y 541 de 2025.</w:t>
      </w:r>
    </w:p>
    <w:p w14:paraId="69F1F064"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ab/>
        <w:t xml:space="preserve">Concretamente, en su solicitud usted indaga sobre la aplicación de los Documentos Tipo del Sector Institucional para realizar la adquisición y el mantenimiento de aires acondicionados de una entidad pública. De esta forma, resulta pertinente establecer qué actividades de los Documentos Tipo mencionados recaen sobre los aires acondicionados y si estas resultan adecuadas para adelantar el proceso que requiere la entidad. </w:t>
      </w:r>
    </w:p>
    <w:p w14:paraId="01A00BCA" w14:textId="77777777" w:rsidR="001B00E6" w:rsidRPr="001B00E6" w:rsidRDefault="001B00E6" w:rsidP="001B00E6">
      <w:pPr>
        <w:spacing w:after="0" w:line="276" w:lineRule="auto"/>
        <w:ind w:firstLine="708"/>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En este sentido, le indicamos que, revisadas las actividades contenidas en la Matriz 1 – Experiencia de los Documentos Tipo del Sector Institucional, las siguientes recaen sobre sistemas de aires acondicionados en el sector indicado:</w:t>
      </w:r>
    </w:p>
    <w:p w14:paraId="73F10797" w14:textId="77777777" w:rsidR="001B00E6" w:rsidRPr="001B00E6" w:rsidRDefault="001B00E6" w:rsidP="001B00E6">
      <w:pPr>
        <w:spacing w:after="0" w:line="240" w:lineRule="auto"/>
        <w:jc w:val="both"/>
        <w:rPr>
          <w:rFonts w:ascii="Verdana" w:eastAsia="Times New Roman" w:hAnsi="Verdana" w:cs="Times New Roman"/>
          <w:color w:val="000000"/>
          <w:lang w:eastAsia="es-CO"/>
        </w:rPr>
      </w:pPr>
    </w:p>
    <w:p w14:paraId="00BD2971" w14:textId="77777777" w:rsidR="001B00E6" w:rsidRPr="001B00E6" w:rsidRDefault="001B00E6" w:rsidP="001B00E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1B00E6">
        <w:rPr>
          <w:rFonts w:ascii="Verdana" w:eastAsia="Times New Roman" w:hAnsi="Verdana" w:cs="Arial"/>
          <w:color w:val="242424"/>
          <w:sz w:val="21"/>
          <w:szCs w:val="21"/>
          <w:lang w:eastAsia="es-MX"/>
        </w:rPr>
        <w:t>“1.15. PROYECTOS DE SUMINISTRO Y/O INSTALACIÓN DE SISTEMAS DE AIRES ACONDICIONADOS O SISTEMAS DE VENTILACIÓN O SIMILARES PARA INFRAESTRUCTURA DE SEGURIDAD PÚBLICA.</w:t>
      </w:r>
    </w:p>
    <w:p w14:paraId="73EB7D2F" w14:textId="77777777" w:rsidR="001B00E6" w:rsidRPr="001B00E6" w:rsidRDefault="001B00E6" w:rsidP="001B00E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1B00E6">
        <w:rPr>
          <w:rFonts w:ascii="Verdana" w:eastAsia="Times New Roman" w:hAnsi="Verdana" w:cs="Arial"/>
          <w:color w:val="242424"/>
          <w:sz w:val="21"/>
          <w:szCs w:val="21"/>
          <w:lang w:eastAsia="es-MX"/>
        </w:rPr>
        <w:t>(…)</w:t>
      </w:r>
    </w:p>
    <w:p w14:paraId="2C2E6991" w14:textId="77777777" w:rsidR="001B00E6" w:rsidRPr="001B00E6" w:rsidRDefault="001B00E6" w:rsidP="001B00E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1B00E6">
        <w:rPr>
          <w:rFonts w:ascii="Verdana" w:eastAsia="Times New Roman" w:hAnsi="Verdana" w:cs="Arial"/>
          <w:color w:val="242424"/>
          <w:sz w:val="21"/>
          <w:szCs w:val="21"/>
          <w:lang w:eastAsia="es-MX"/>
        </w:rPr>
        <w:t xml:space="preserve">2.14. PROYECTOS DE SUMINISTRO Y/O INSTALACIÓN DE SISTEMAS DE AIRES ACONDICIONADOS O SISTEMAS DE VENTILACIÓN O SIMILARES PARA INFRAESTRUCTURA DE SERVICIO PUBLICO. </w:t>
      </w:r>
    </w:p>
    <w:p w14:paraId="0B949780" w14:textId="77777777" w:rsidR="001B00E6" w:rsidRPr="001B00E6" w:rsidRDefault="001B00E6" w:rsidP="001B00E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1B00E6">
        <w:rPr>
          <w:rFonts w:ascii="Verdana" w:eastAsia="Times New Roman" w:hAnsi="Verdana" w:cs="Arial"/>
          <w:color w:val="242424"/>
          <w:sz w:val="21"/>
          <w:szCs w:val="21"/>
          <w:lang w:eastAsia="es-MX"/>
        </w:rPr>
        <w:lastRenderedPageBreak/>
        <w:t>3.15. PROYECTOS DE SUMINISTRO Y/O INSTALACIÓN DE SISTEMAS DE AIRES ACONDICIONADOS O SISTEMAS DE VENTILACIÓN O SIMILARES PARA INFRAESTRUCTURA INSTITUCIONAL - SITIOS DE RECLUSIÓN”.</w:t>
      </w:r>
    </w:p>
    <w:p w14:paraId="5E84C956" w14:textId="77777777" w:rsidR="001B00E6" w:rsidRPr="001B00E6" w:rsidRDefault="001B00E6" w:rsidP="001B00E6">
      <w:pPr>
        <w:spacing w:after="0" w:line="276" w:lineRule="auto"/>
        <w:jc w:val="both"/>
        <w:rPr>
          <w:rFonts w:ascii="Verdana" w:eastAsia="Times New Roman" w:hAnsi="Verdana" w:cs="Times New Roman"/>
          <w:color w:val="000000"/>
          <w:lang w:eastAsia="es-CO"/>
        </w:rPr>
      </w:pPr>
    </w:p>
    <w:p w14:paraId="272CDF28" w14:textId="77777777" w:rsidR="001B00E6" w:rsidRPr="001B00E6" w:rsidRDefault="001B00E6" w:rsidP="001B00E6">
      <w:pPr>
        <w:spacing w:after="120" w:line="276" w:lineRule="auto"/>
        <w:jc w:val="both"/>
        <w:rPr>
          <w:rFonts w:ascii="Verdana" w:eastAsia="Aptos" w:hAnsi="Verdana" w:cs="Times New Roman"/>
          <w:kern w:val="2"/>
          <w:lang w:eastAsia="es-CO"/>
          <w14:ligatures w14:val="standardContextual"/>
        </w:rPr>
      </w:pPr>
      <w:r w:rsidRPr="001B00E6">
        <w:rPr>
          <w:rFonts w:ascii="Verdana" w:eastAsia="Aptos" w:hAnsi="Verdana" w:cs="Times New Roman"/>
          <w:kern w:val="2"/>
          <w:lang w:eastAsia="es-CO"/>
          <w14:ligatures w14:val="standardContextual"/>
        </w:rPr>
        <w:t xml:space="preserve">Como se aprecia, las actividades indicadas aplican para los procesos que adelanten las entidades obligadas a utilizar los documentos tipo, cuando correspondan al </w:t>
      </w:r>
      <w:r w:rsidRPr="001B00E6">
        <w:rPr>
          <w:rFonts w:ascii="Verdana" w:eastAsia="Aptos" w:hAnsi="Verdana" w:cs="Times New Roman"/>
          <w:i/>
          <w:iCs/>
          <w:kern w:val="2"/>
          <w:lang w:eastAsia="es-CO"/>
          <w14:ligatures w14:val="standardContextual"/>
        </w:rPr>
        <w:t>suministro e instalación</w:t>
      </w:r>
      <w:r w:rsidRPr="001B00E6">
        <w:rPr>
          <w:rFonts w:ascii="Verdana" w:eastAsia="Aptos" w:hAnsi="Verdana" w:cs="Times New Roman"/>
          <w:kern w:val="2"/>
          <w:lang w:eastAsia="es-CO"/>
          <w14:ligatures w14:val="standardContextual"/>
        </w:rPr>
        <w:t xml:space="preserve"> de sistemas de aires acondicionados o sistemas de ventilación o similares sobre infraestructura de seguridad pública (1.15) o de servicio público (2.14) o de sitios de reclusión (3.15) -según corresponda-. </w:t>
      </w:r>
    </w:p>
    <w:p w14:paraId="7F79BF1E"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ab/>
        <w:t xml:space="preserve">De esta forma, la actividad de suministro está ligada a la actividad de instalación de </w:t>
      </w:r>
      <w:r w:rsidRPr="001B00E6">
        <w:rPr>
          <w:rFonts w:ascii="Verdana" w:eastAsia="Aptos" w:hAnsi="Verdana" w:cs="Times New Roman"/>
          <w:kern w:val="2"/>
          <w:lang w:eastAsia="es-CO"/>
          <w14:ligatures w14:val="standardContextual"/>
        </w:rPr>
        <w:t>los sistemas de aires acondicionados o sistemas de ventilación o similares sobre infraestructura institucional: seguridad pública, servicio público o sitios de reclusión</w:t>
      </w:r>
      <w:r w:rsidRPr="001B00E6">
        <w:rPr>
          <w:rFonts w:ascii="Verdana" w:eastAsia="Times New Roman" w:hAnsi="Verdana" w:cs="Times New Roman"/>
          <w:color w:val="000000"/>
          <w:lang w:eastAsia="es-CO"/>
        </w:rPr>
        <w:t xml:space="preserve">. Así, por sí sola, la actividad de suministro no requiere la aplicación de los documentos tipo expedidos por esta Agencia en el sector institucional. Es decir que, si una entidad pretende adelantar un proceso que tenga por objeto el suministro de </w:t>
      </w:r>
      <w:r w:rsidRPr="001B00E6">
        <w:rPr>
          <w:rFonts w:ascii="Verdana" w:eastAsia="Aptos" w:hAnsi="Verdana" w:cs="Times New Roman"/>
          <w:kern w:val="2"/>
          <w:lang w:eastAsia="es-CO"/>
          <w14:ligatures w14:val="standardContextual"/>
        </w:rPr>
        <w:t>sistemas de aires acondicionados o sistemas de ventilación o similares sobre infraestructura institucional</w:t>
      </w:r>
      <w:r w:rsidRPr="001B00E6">
        <w:rPr>
          <w:rFonts w:ascii="Verdana" w:eastAsia="Times New Roman" w:hAnsi="Verdana" w:cs="Times New Roman"/>
          <w:color w:val="000000"/>
          <w:lang w:eastAsia="es-CO"/>
        </w:rPr>
        <w:t>, no tendrá que aplicar los documentos tipo expedidos por esta Agencia en el sector institucional.</w:t>
      </w:r>
    </w:p>
    <w:p w14:paraId="7CA5EDF0"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r w:rsidRPr="001B00E6">
        <w:rPr>
          <w:rFonts w:ascii="Verdana" w:eastAsia="Times New Roman" w:hAnsi="Verdana" w:cs="Times New Roman"/>
          <w:color w:val="000000"/>
          <w:lang w:eastAsia="es-CO"/>
        </w:rPr>
        <w:tab/>
        <w:t xml:space="preserve">Ahora bien, si el objeto del proceso de selección implica la instalación de </w:t>
      </w:r>
      <w:r w:rsidRPr="001B00E6">
        <w:rPr>
          <w:rFonts w:ascii="Verdana" w:eastAsia="Aptos" w:hAnsi="Verdana" w:cs="Times New Roman"/>
          <w:kern w:val="2"/>
          <w:lang w:eastAsia="es-CO"/>
          <w14:ligatures w14:val="standardContextual"/>
        </w:rPr>
        <w:t>sistemas de aires acondicionados o sistemas de ventilación o similares sobre infraestructura institucional</w:t>
      </w:r>
      <w:r w:rsidRPr="001B00E6">
        <w:rPr>
          <w:rFonts w:ascii="Verdana" w:eastAsia="Times New Roman" w:hAnsi="Verdana" w:cs="Times New Roman"/>
          <w:color w:val="000000"/>
          <w:lang w:eastAsia="es-CO"/>
        </w:rPr>
        <w:t>, se deberán aplicar los documentos tipo del sector institucional expedidos por esta Agencia. En estos casos, la entidad que adelante el proceso también deberá contratar el suministro utilizando los documentos tipo referidos, ya que, como se indicó, las actividades 1.15, 2.14 y 3.15 contenidas en dichos documentos aplican para el suministro e instalación de los sistemas de aires acondicionados, etc.</w:t>
      </w:r>
    </w:p>
    <w:p w14:paraId="04A5FCC3" w14:textId="77777777" w:rsidR="001B00E6" w:rsidRPr="001B00E6" w:rsidRDefault="001B00E6" w:rsidP="001B00E6">
      <w:pPr>
        <w:spacing w:after="120" w:line="240" w:lineRule="auto"/>
        <w:ind w:firstLine="708"/>
        <w:jc w:val="both"/>
        <w:rPr>
          <w:rFonts w:ascii="Verdana" w:eastAsia="Aptos" w:hAnsi="Verdana" w:cs="Times New Roman"/>
          <w:kern w:val="2"/>
          <w:lang w:eastAsia="es-CO"/>
          <w14:ligatures w14:val="standardContextual"/>
        </w:rPr>
      </w:pPr>
      <w:r w:rsidRPr="001B00E6">
        <w:rPr>
          <w:rFonts w:ascii="Verdana" w:eastAsia="Aptos" w:hAnsi="Verdana" w:cs="Times New Roman"/>
          <w:kern w:val="2"/>
          <w:lang w:eastAsia="es-CO"/>
          <w14:ligatures w14:val="standardContextual"/>
        </w:rPr>
        <w:t>Considerando lo anterior, es posible concluir que la actividad de suministro, considerada de manera aislada, no conlleva la obligación de aplicar los Documentos Tipo del sector institucional expedidos por la Agencia. En efecto, el texto señala que la actividad de suministro, por sí sola, no requiere la aplicación de dichos documentos cuando el proceso de selección tiene únicamente por objeto la provisión de estos sistemas sobre infraestructura institucional.</w:t>
      </w:r>
    </w:p>
    <w:p w14:paraId="6EDE7FF5" w14:textId="77777777" w:rsidR="001B00E6" w:rsidRPr="001B00E6" w:rsidRDefault="001B00E6" w:rsidP="001B00E6">
      <w:pPr>
        <w:spacing w:after="120" w:line="240" w:lineRule="auto"/>
        <w:ind w:firstLine="708"/>
        <w:jc w:val="both"/>
        <w:rPr>
          <w:rFonts w:ascii="Verdana" w:eastAsia="Aptos" w:hAnsi="Verdana" w:cs="Times New Roman"/>
          <w:kern w:val="2"/>
          <w:lang w:eastAsia="es-CO"/>
          <w14:ligatures w14:val="standardContextual"/>
        </w:rPr>
      </w:pPr>
      <w:r w:rsidRPr="001B00E6">
        <w:rPr>
          <w:rFonts w:ascii="Verdana" w:eastAsia="Aptos" w:hAnsi="Verdana" w:cs="Times New Roman"/>
          <w:kern w:val="2"/>
          <w:lang w:eastAsia="es-CO"/>
          <w14:ligatures w14:val="standardContextual"/>
        </w:rPr>
        <w:lastRenderedPageBreak/>
        <w:t>No obstante, cuando el objeto del proceso de selección incluye la instalación de sistemas de aires acondicionados o de ventilación, sí resulta obligatoria la aplicación de los Documentos Tipo del sector institucional. En estos casos, el suministro se encuentra estrechamente ligado a la instalación, por lo que ambas actividades deben contratarse bajo los mismos documentos tipo, particularmente en lo que respecta a las actividades 1.15, 2.14 y 3.15 contempladas en estos.</w:t>
      </w:r>
    </w:p>
    <w:p w14:paraId="68DFBFE7" w14:textId="77777777" w:rsidR="001B00E6" w:rsidRPr="001B00E6" w:rsidRDefault="001B00E6" w:rsidP="001B00E6">
      <w:pPr>
        <w:spacing w:after="120" w:line="240" w:lineRule="auto"/>
        <w:ind w:firstLine="708"/>
        <w:jc w:val="both"/>
        <w:rPr>
          <w:rFonts w:ascii="Verdana" w:eastAsia="Aptos" w:hAnsi="Verdana" w:cs="Times New Roman"/>
          <w:kern w:val="2"/>
          <w:lang w:eastAsia="es-CO"/>
          <w14:ligatures w14:val="standardContextual"/>
        </w:rPr>
      </w:pPr>
      <w:r w:rsidRPr="001B00E6">
        <w:rPr>
          <w:rFonts w:ascii="Verdana" w:eastAsia="Aptos" w:hAnsi="Verdana" w:cs="Times New Roman"/>
          <w:kern w:val="2"/>
          <w:lang w:eastAsia="es-CO"/>
          <w14:ligatures w14:val="standardContextual"/>
        </w:rPr>
        <w:t xml:space="preserve">Por otra parte, en los párrafos analizados no se hace referencia expresa a actividades de mantenimiento de sistemas de aire 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6AD20251" w14:textId="77777777" w:rsidR="001B00E6" w:rsidRPr="001B00E6" w:rsidRDefault="001B00E6" w:rsidP="001B00E6">
      <w:pPr>
        <w:spacing w:after="0" w:line="276" w:lineRule="auto"/>
        <w:jc w:val="both"/>
        <w:rPr>
          <w:rFonts w:ascii="Verdana" w:eastAsia="Calibri" w:hAnsi="Verdana" w:cs="Arial"/>
          <w:color w:val="000000"/>
          <w:kern w:val="2"/>
          <w:lang w:val="es-ES_tradnl"/>
          <w14:ligatures w14:val="standardContextual"/>
        </w:rPr>
      </w:pPr>
      <w:r w:rsidRPr="001B00E6">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1B00E6">
        <w:rPr>
          <w:rFonts w:ascii="Verdana" w:eastAsia="Times New Roman" w:hAnsi="Verdana" w:cs="Times New Roman"/>
          <w:i/>
          <w:iCs/>
          <w:color w:val="000000"/>
          <w:lang w:eastAsia="es-CO"/>
        </w:rPr>
        <w:t>“(…) los procesos de obra pública de infraestructura social”</w:t>
      </w:r>
      <w:r w:rsidRPr="001B00E6">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1B00E6">
        <w:rPr>
          <w:rFonts w:ascii="Verdana" w:eastAsia="Calibri" w:hAnsi="Verdana" w:cs="Arial"/>
          <w:color w:val="000000"/>
          <w:kern w:val="2"/>
          <w:lang w:val="es-ES_tradnl"/>
          <w14:ligatures w14:val="standardContextual"/>
        </w:rPr>
        <w:t>los contratos “(…) que celebren las entidades estatales para la construcción, mantenimiento, instalación y, en general, para la realización de cualquier otro trabajo material sobre bienes inmuebles, cualquiera que sea la modalidad de ejecución y pago”</w:t>
      </w:r>
      <w:r w:rsidRPr="001B00E6">
        <w:rPr>
          <w:rFonts w:ascii="Verdana" w:eastAsia="Calibri" w:hAnsi="Verdana" w:cs="Arial"/>
          <w:color w:val="000000"/>
          <w:kern w:val="2"/>
          <w:vertAlign w:val="superscript"/>
          <w:lang w:val="es-ES_tradnl"/>
          <w14:ligatures w14:val="standardContextual"/>
        </w:rPr>
        <w:footnoteReference w:id="3"/>
      </w:r>
      <w:r w:rsidRPr="001B00E6">
        <w:rPr>
          <w:rFonts w:ascii="Verdana" w:eastAsia="Calibri" w:hAnsi="Verdana" w:cs="Arial"/>
          <w:color w:val="000000"/>
          <w:kern w:val="2"/>
          <w:lang w:val="es-ES_tradnl"/>
          <w14:ligatures w14:val="standardContextual"/>
        </w:rPr>
        <w:t xml:space="preserve">. </w:t>
      </w:r>
    </w:p>
    <w:p w14:paraId="15AFD1DE" w14:textId="77777777" w:rsidR="001B00E6" w:rsidRPr="001B00E6" w:rsidRDefault="001B00E6" w:rsidP="001B00E6">
      <w:pPr>
        <w:spacing w:after="0" w:line="276" w:lineRule="auto"/>
        <w:jc w:val="both"/>
        <w:rPr>
          <w:rFonts w:ascii="Verdana" w:eastAsia="Times New Roman" w:hAnsi="Verdana" w:cs="Times New Roman"/>
          <w:color w:val="000000"/>
          <w:lang w:eastAsia="es-CO"/>
        </w:rPr>
      </w:pPr>
    </w:p>
    <w:p w14:paraId="1512EF9E" w14:textId="77777777" w:rsidR="001B00E6" w:rsidRPr="001B00E6" w:rsidRDefault="001B00E6" w:rsidP="001B00E6">
      <w:pPr>
        <w:spacing w:after="120" w:line="276" w:lineRule="auto"/>
        <w:jc w:val="both"/>
        <w:rPr>
          <w:rFonts w:ascii="Verdana" w:eastAsia="Times New Roman" w:hAnsi="Verdana" w:cs="Times New Roman"/>
          <w:color w:val="000000"/>
          <w:lang w:eastAsia="es-CO"/>
        </w:rPr>
      </w:pPr>
      <w:proofErr w:type="spellStart"/>
      <w:r w:rsidRPr="001B00E6">
        <w:rPr>
          <w:rFonts w:ascii="Verdana" w:eastAsia="Times New Roman" w:hAnsi="Verdana" w:cs="Times New Roman"/>
          <w:color w:val="000000"/>
          <w:lang w:eastAsia="es-CO"/>
        </w:rPr>
        <w:t>iii</w:t>
      </w:r>
      <w:proofErr w:type="spellEnd"/>
      <w:r w:rsidRPr="001B00E6">
        <w:rPr>
          <w:rFonts w:ascii="Verdana" w:eastAsia="Times New Roman" w:hAnsi="Verdana" w:cs="Times New Roman"/>
          <w:color w:val="000000"/>
          <w:lang w:eastAsia="es-CO"/>
        </w:rPr>
        <w:t xml:space="preserve">. Sin perjuicio de lo anterior, debe indicarse que para efectos de la aplicación de las actividades 1.15, 2.14 y 3.15 contenidas en la Matriz 1 – Experiencia de los Documentos Tipo del Sector Institucional, la entidad que adelanta el proceso de selección deberá determinar en cada caso, si este se enmarca o no en el ámbito de aplicación de esas actividades. </w:t>
      </w:r>
    </w:p>
    <w:p w14:paraId="127F3C32" w14:textId="77777777" w:rsidR="001B00E6" w:rsidRPr="001B00E6" w:rsidRDefault="001B00E6" w:rsidP="001B00E6">
      <w:pPr>
        <w:spacing w:after="120" w:line="276" w:lineRule="auto"/>
        <w:ind w:firstLine="708"/>
        <w:jc w:val="both"/>
        <w:rPr>
          <w:rFonts w:ascii="Verdana" w:eastAsia="Calibri" w:hAnsi="Verdana" w:cs="Arial"/>
          <w:lang w:val="es-ES"/>
        </w:rPr>
      </w:pPr>
      <w:r w:rsidRPr="001B00E6">
        <w:rPr>
          <w:rFonts w:ascii="Verdana" w:eastAsia="Calibri" w:hAnsi="Verdana" w:cs="Arial"/>
          <w:lang w:val="es-ES"/>
        </w:rPr>
        <w:t xml:space="preserve">No obstante, teniendo en cuenta que las actividades señaladas incluyen la instalación, la cual, como se indicó, es constitutiva del objeto de contrato de obra pública, es importante hacer algunas precisiones en torno al alcance de este concepto. Como lo ha indicado la Sala de Consulta y Servicio Civil del Consejo de Estado, dentro del contrato de obra pública se considera incluido “[…], todo trabajo que tiene por objeto, crear, construir, conservar o modificar </w:t>
      </w:r>
      <w:r w:rsidRPr="001B00E6">
        <w:rPr>
          <w:rFonts w:ascii="Verdana" w:eastAsia="Calibri" w:hAnsi="Verdana" w:cs="Arial"/>
          <w:lang w:val="es-ES"/>
        </w:rPr>
        <w:lastRenderedPageBreak/>
        <w:t xml:space="preserve">bienes inmuebles incorporándose a dicho concepto trabajos como la construcción, </w:t>
      </w:r>
      <w:r w:rsidRPr="001B00E6">
        <w:rPr>
          <w:rFonts w:ascii="Verdana" w:eastAsia="Calibri" w:hAnsi="Verdana" w:cs="Arial"/>
          <w:i/>
          <w:lang w:val="es-ES"/>
        </w:rPr>
        <w:t>instalación</w:t>
      </w:r>
      <w:r w:rsidRPr="001B00E6">
        <w:rPr>
          <w:rFonts w:ascii="Verdana" w:eastAsia="Calibri" w:hAnsi="Verdana" w:cs="Arial"/>
          <w:lang w:val="es-ES"/>
        </w:rPr>
        <w:t xml:space="preserve">, conservación, mantenimiento, reparación y demolición de los bienes inmuebles, así como la construcción, </w:t>
      </w:r>
      <w:r w:rsidRPr="001B00E6">
        <w:rPr>
          <w:rFonts w:ascii="Verdana" w:eastAsia="Calibri" w:hAnsi="Verdana" w:cs="Arial"/>
          <w:i/>
          <w:lang w:val="es-ES"/>
        </w:rPr>
        <w:t>instalación</w:t>
      </w:r>
      <w:r w:rsidRPr="001B00E6">
        <w:rPr>
          <w:rFonts w:ascii="Verdana" w:eastAsia="Calibri" w:hAnsi="Verdana" w:cs="Arial"/>
          <w:lang w:val="es-ES"/>
        </w:rPr>
        <w:t>, conservación, mantenimiento, reparación y demolición de aquellos bienes destinados a un servicio público o al uso común”</w:t>
      </w:r>
      <w:r w:rsidRPr="001B00E6">
        <w:rPr>
          <w:rFonts w:ascii="Calibri" w:eastAsia="Calibri" w:hAnsi="Calibri" w:cs="Times New Roman"/>
          <w:vertAlign w:val="superscript"/>
        </w:rPr>
        <w:footnoteReference w:id="4"/>
      </w:r>
      <w:r w:rsidRPr="001B00E6">
        <w:rPr>
          <w:rFonts w:ascii="Verdana" w:eastAsia="Calibri" w:hAnsi="Verdana" w:cs="Arial"/>
          <w:lang w:val="es-ES"/>
        </w:rPr>
        <w:t xml:space="preserve"> (énfasis fuera de texto).</w:t>
      </w:r>
    </w:p>
    <w:p w14:paraId="3634FBB1"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val="es-ES_tradnl"/>
        </w:rPr>
        <w:t>Según el Diccionario de la Lengua Española, “instalar” es “Poner o colocar en el lugar debido a alguien o algo”, así como “Colocar en un lugar o edificio los enseres y servicios que en él se hayan de utilizar; como en una fábrica, los conductos de agua, aparatos para la luz, etc.”</w:t>
      </w:r>
      <w:r w:rsidRPr="001B00E6">
        <w:rPr>
          <w:rFonts w:ascii="Calibri" w:eastAsia="Calibri" w:hAnsi="Calibri" w:cs="Times New Roman"/>
          <w:vertAlign w:val="superscript"/>
        </w:rPr>
        <w:footnoteReference w:id="5"/>
      </w:r>
      <w:r w:rsidRPr="001B00E6">
        <w:rPr>
          <w:rFonts w:ascii="Verdana" w:eastAsia="Calibri" w:hAnsi="Verdana" w:cs="Arial"/>
          <w:lang w:val="es-ES_tradnl"/>
        </w:rPr>
        <w:t>. Por tanto, la instalación de cosas –como redes, equipos u otros elementos– en los bienes inmuebles es, en principio, una actividad que ingresa dentro de los contratos de obra celebrados por las entidades estatales, pues comporta la realización de un trabajo material.</w:t>
      </w:r>
    </w:p>
    <w:p w14:paraId="29A8919D"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val="es-ES_tradnl"/>
        </w:rPr>
        <w:t xml:space="preserve">Sin embargo, esto no quiere decir que </w:t>
      </w:r>
      <w:r w:rsidRPr="001B00E6">
        <w:rPr>
          <w:rFonts w:ascii="Verdana" w:eastAsia="Calibri" w:hAnsi="Verdana" w:cs="Arial"/>
          <w:i/>
          <w:iCs/>
          <w:lang w:val="es-ES_tradnl"/>
        </w:rPr>
        <w:t>toda</w:t>
      </w:r>
      <w:r w:rsidRPr="001B00E6">
        <w:rPr>
          <w:rFonts w:ascii="Verdana" w:eastAsia="Calibri" w:hAnsi="Verdana" w:cs="Arial"/>
          <w:lang w:val="es-ES_tradnl"/>
        </w:rPr>
        <w:t xml:space="preserve"> instalación que se pacte, como obligación a cargo del contratista, permita clasificar el negocio jurídico como un contrato de obra pública. Así lo reconoció también la Sala de Consulta y Servicio Civil, indicando que “En la práctica se encuentran contratos para el suministro de equipos que involucran prestaciones adicionales relacionadas con su instalación, servicios de mantenimiento, y de capacitación tendientes a la entrega para la puesta en funcionamiento por parte de la entidad estatal”</w:t>
      </w:r>
      <w:r w:rsidRPr="001B00E6">
        <w:rPr>
          <w:rFonts w:ascii="Calibri" w:eastAsia="Calibri" w:hAnsi="Calibri" w:cs="Times New Roman"/>
          <w:vertAlign w:val="superscript"/>
        </w:rPr>
        <w:footnoteReference w:id="6"/>
      </w:r>
      <w:r w:rsidRPr="001B00E6">
        <w:rPr>
          <w:rFonts w:ascii="Verdana" w:eastAsia="Calibri" w:hAnsi="Verdana" w:cs="Arial"/>
          <w:lang w:val="es-ES_tradnl"/>
        </w:rPr>
        <w:t>, agregando que “En el caso citado, no existe un contrato de compraventa o suministro de bienes muebles, un contrato de obra y un contrato de prestación de servicios. Se trata de un solo contrato con una prestación principal y unas accesorias relacionadas directamente con el primero”</w:t>
      </w:r>
      <w:r w:rsidRPr="001B00E6">
        <w:rPr>
          <w:rFonts w:ascii="Calibri" w:eastAsia="Calibri" w:hAnsi="Calibri" w:cs="Times New Roman"/>
          <w:vertAlign w:val="superscript"/>
        </w:rPr>
        <w:footnoteReference w:id="7"/>
      </w:r>
      <w:r w:rsidRPr="001B00E6">
        <w:rPr>
          <w:rFonts w:ascii="Verdana" w:eastAsia="Calibri" w:hAnsi="Verdana" w:cs="Arial"/>
          <w:lang w:val="es-ES_tradnl"/>
        </w:rPr>
        <w:t>.</w:t>
      </w:r>
    </w:p>
    <w:p w14:paraId="42E7057B"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val="es-ES_tradnl"/>
        </w:rPr>
        <w:t xml:space="preserve">En otras palabras, para la Sala, es posible que las entidades públicas, en ejercicio de su autonomía de la voluntad, celebren contratos estatales que involucren prestaciones mixtas, también denominados “contratos mixtos” –modalidad de contratos atípicos–, siempre que “las prestaciones correspondientes que pretendan fusionarse se encuentren directamente </w:t>
      </w:r>
      <w:r w:rsidRPr="001B00E6">
        <w:rPr>
          <w:rFonts w:ascii="Verdana" w:eastAsia="Calibri" w:hAnsi="Verdana" w:cs="Arial"/>
          <w:lang w:val="es-ES_tradnl"/>
        </w:rPr>
        <w:lastRenderedPageBreak/>
        <w:t>vinculadas entre sí, de tal manera que mantengan relaciones de complemento y que permitan predicar su tratamiento solo como una unidad funcional dirigida a la satisfacción de la necesidad de la entidad”</w:t>
      </w:r>
      <w:r w:rsidRPr="001B00E6">
        <w:rPr>
          <w:rFonts w:ascii="Calibri" w:eastAsia="Calibri" w:hAnsi="Calibri" w:cs="Times New Roman"/>
          <w:vertAlign w:val="superscript"/>
        </w:rPr>
        <w:footnoteReference w:id="8"/>
      </w:r>
      <w:r w:rsidRPr="001B00E6">
        <w:rPr>
          <w:rFonts w:ascii="Verdana" w:eastAsia="Calibri" w:hAnsi="Verdana" w:cs="Arial"/>
          <w:lang w:val="es-ES_tradnl"/>
        </w:rPr>
        <w:t xml:space="preserve">. </w:t>
      </w:r>
    </w:p>
    <w:p w14:paraId="33CA2A88"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val="es-ES_tradnl"/>
        </w:rPr>
        <w:t xml:space="preserve">La Agencia Nacional de Contratación Pública – Colombia Compra Eficiente comparte la tesis de la Sala de Consulta y Servicio Civil, pues considera que aquella se sustenta en dos argumentos: primero, en que el artículo 32 de la Ley 80 de 1993 no establece un listado taxativo de contratos estatales, sino que afirma que también lo son los “derivados del ejercicio de la autonomía de la voluntad”; y segundo, en que el artículo 40 ratifica lo anterior, al señalar que “Las entidades podrán celebrar los contratos y acuerdos que permitan la autonomía de la voluntad y requieran el cumplimiento de los fines estatales”. En consecuencia, las entidades estatales pueden celebrar contratos atípicos mixtos, respetando los límites del principio de legalidad, una de cuyas expresiones es la tipificación de los contratos estatales. </w:t>
      </w:r>
    </w:p>
    <w:p w14:paraId="6DCE7DFE" w14:textId="77777777" w:rsidR="001B00E6" w:rsidRPr="001B00E6" w:rsidRDefault="001B00E6" w:rsidP="001B00E6">
      <w:pPr>
        <w:spacing w:after="120" w:line="276" w:lineRule="auto"/>
        <w:ind w:firstLine="709"/>
        <w:jc w:val="both"/>
        <w:rPr>
          <w:rFonts w:ascii="Verdana" w:eastAsia="Calibri" w:hAnsi="Verdana" w:cs="Arial"/>
        </w:rPr>
      </w:pPr>
      <w:r w:rsidRPr="001B00E6">
        <w:rPr>
          <w:rFonts w:ascii="Verdana" w:eastAsia="Calibri" w:hAnsi="Verdana" w:cs="Arial"/>
          <w:lang w:val="es-ES_tradnl"/>
        </w:rPr>
        <w:t>Expresado de otro modo, cuando el legislador haya establecido el contenido de un contrato, para tipificarlo y predicar, a partir de esta calificación, consecuencias jurídicas como la modalidad de selección aplicable, requisitos habilitantes o gravámenes tributarios, prevalece la caracterización establecida en la ley, en lugar de la definición convencional estipulada entre las partes. Sin embargo, esto no se opone, como se ha dicho, a que las entidades estatales y los particulares celebren contratos que mezclen elementos de distintas tipologías contractuales, como, por ejemplo, el suministro o la compraventa con la instalación, o el diseño con la construcción. En estos casos se perfeccionan contratos mixtos, denominados por la Sala de Consulta y Servicio Civil, “contratos atípicos con tipicidad social”, porque en ellos se “conjugan los elementos de diversos contratos típicos en un solo contrato el cual tomará la denominación de contrato mixto”</w:t>
      </w:r>
      <w:r w:rsidRPr="001B00E6">
        <w:rPr>
          <w:rFonts w:ascii="Calibri" w:eastAsia="Calibri" w:hAnsi="Calibri" w:cs="Times New Roman"/>
          <w:vertAlign w:val="superscript"/>
        </w:rPr>
        <w:footnoteReference w:id="9"/>
      </w:r>
      <w:r w:rsidRPr="001B00E6">
        <w:rPr>
          <w:rFonts w:ascii="Verdana" w:eastAsia="Calibri" w:hAnsi="Verdana" w:cs="Arial"/>
          <w:lang w:val="es-ES_tradnl"/>
        </w:rPr>
        <w:t>.</w:t>
      </w:r>
    </w:p>
    <w:p w14:paraId="25C46A44"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val="es-ES_tradnl"/>
        </w:rPr>
        <w:lastRenderedPageBreak/>
        <w:t>Esta idea, de cualquier manera, no deja de generar interrogantes en el caso concreto. ¿Cómo se puede determinar en un caso concreto si el contrato es típico o mixto? Por ejemplo, para el supuesto de la instalación de equipos de aire acondicionado o mobiliario, ¿cómo se sabe si el contrato es o no uno de obra pública, teniendo en cuenta que el artículo 32, numeral 1, de la Ley 80 de 1993, dispone que la “instalación” de elementos 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w:t>
      </w:r>
      <w:r w:rsidRPr="001B00E6">
        <w:rPr>
          <w:rFonts w:ascii="Calibri" w:eastAsia="Calibri" w:hAnsi="Calibri" w:cs="Times New Roman"/>
          <w:vertAlign w:val="superscript"/>
        </w:rPr>
        <w:footnoteReference w:id="10"/>
      </w:r>
      <w:r w:rsidRPr="001B00E6">
        <w:rPr>
          <w:rFonts w:ascii="Verdana" w:eastAsia="Calibri" w:hAnsi="Verdana" w:cs="Arial"/>
          <w:lang w:val="es-ES_tradnl"/>
        </w:rPr>
        <w:t xml:space="preserve">. </w:t>
      </w:r>
    </w:p>
    <w:p w14:paraId="7B2D893E" w14:textId="77777777" w:rsidR="001B00E6" w:rsidRPr="001B00E6" w:rsidRDefault="001B00E6" w:rsidP="001B00E6">
      <w:pPr>
        <w:spacing w:after="120" w:line="276" w:lineRule="auto"/>
        <w:ind w:firstLine="708"/>
        <w:jc w:val="both"/>
        <w:rPr>
          <w:rFonts w:ascii="Verdana" w:eastAsia="Calibri" w:hAnsi="Verdana" w:cs="Arial"/>
          <w:color w:val="000000"/>
          <w:lang w:val="es-ES_tradnl"/>
        </w:rPr>
      </w:pPr>
      <w:r w:rsidRPr="001B00E6">
        <w:rPr>
          <w:rFonts w:ascii="Verdana" w:eastAsia="Calibri" w:hAnsi="Verdana" w:cs="Arial"/>
          <w:color w:val="000000"/>
          <w:lang w:val="es-ES_tradnl"/>
        </w:rPr>
        <w:t xml:space="preserve">En similar sentido, de acuerdo con la jurisprudencia de la Sala de Casación Civil de la Corte Suprema de Justicia, el régimen contractual de los </w:t>
      </w:r>
      <w:r w:rsidRPr="001B00E6">
        <w:rPr>
          <w:rFonts w:ascii="Verdana" w:eastAsia="Calibri" w:hAnsi="Verdana" w:cs="Arial"/>
          <w:i/>
          <w:iCs/>
          <w:color w:val="000000"/>
          <w:lang w:val="es-ES_tradnl"/>
        </w:rPr>
        <w:t>contratos mixtos</w:t>
      </w:r>
      <w:r w:rsidRPr="001B00E6">
        <w:rPr>
          <w:rFonts w:ascii="Verdana" w:eastAsia="Calibri" w:hAnsi="Verdana" w:cs="Arial"/>
          <w:color w:val="000000"/>
          <w:lang w:val="es-ES_tradnl"/>
        </w:rPr>
        <w:t xml:space="preserve"> se ha determinado por el método de absorción. Conforme a este criterio, debe identificarse el objeto principal de la prestación para aplicar el régimen del contrato típico al que pertenece, es decir, las reglas que disciplinan el acuerdo en su conjunto se someten al contrato nominado del objeto principal. Por ello, “en el contrato mixto habría siempre un elemento prevalente que absorbe los elementos secundarios; esta circunstancia permitiría regular el contrato entero con las normas del contrato nominado correspondiente, el que estaría dotado de una fuerza de expansión respecto de las figuras contractuales que estén provistas de una función económica análoga”</w:t>
      </w:r>
      <w:r w:rsidRPr="001B00E6">
        <w:rPr>
          <w:rFonts w:ascii="Calibri" w:eastAsia="Calibri" w:hAnsi="Calibri" w:cs="Times New Roman"/>
          <w:vertAlign w:val="superscript"/>
        </w:rPr>
        <w:footnoteReference w:id="11"/>
      </w:r>
      <w:r w:rsidRPr="001B00E6">
        <w:rPr>
          <w:rFonts w:ascii="Verdana" w:eastAsia="Calibri" w:hAnsi="Verdana" w:cs="Arial"/>
          <w:color w:val="000000"/>
          <w:lang w:val="es-ES_tradnl"/>
        </w:rPr>
        <w:t xml:space="preserve">. </w:t>
      </w:r>
    </w:p>
    <w:p w14:paraId="1CF707DC" w14:textId="77777777" w:rsidR="001B00E6" w:rsidRPr="001B00E6" w:rsidRDefault="001B00E6" w:rsidP="001B00E6">
      <w:pPr>
        <w:spacing w:after="0" w:line="276" w:lineRule="auto"/>
        <w:ind w:firstLine="708"/>
        <w:jc w:val="both"/>
        <w:rPr>
          <w:rFonts w:ascii="Verdana" w:eastAsia="Calibri" w:hAnsi="Verdana" w:cs="Arial"/>
          <w:color w:val="000000"/>
          <w:lang w:val="es-ES_tradnl"/>
        </w:rPr>
      </w:pPr>
      <w:r w:rsidRPr="001B00E6">
        <w:rPr>
          <w:rFonts w:ascii="Verdana" w:eastAsia="Calibri" w:hAnsi="Verdana" w:cs="Arial"/>
          <w:color w:val="000000"/>
          <w:lang w:val="es-ES_tradnl"/>
        </w:rPr>
        <w:lastRenderedPageBreak/>
        <w:t>La jurisprudencia citada también explica los métodos de analogía y combinación. El primero alude a que el contrato atípico se rige por las normas que disciplinan la figura contractual típica más parecida. El segundo, por su parte, considera que, si un contrato comprende prestaciones de diferentes tipologías, deben aplicarse las normas correspondientes a cada figura. Para la Corte Suprema de Justicia, los criterios de absorción y combinación se reducen a la analogía</w:t>
      </w:r>
      <w:r w:rsidRPr="001B00E6">
        <w:rPr>
          <w:rFonts w:ascii="Calibri" w:eastAsia="Calibri" w:hAnsi="Calibri" w:cs="Times New Roman"/>
          <w:vertAlign w:val="superscript"/>
        </w:rPr>
        <w:footnoteReference w:id="12"/>
      </w:r>
      <w:r w:rsidRPr="001B00E6">
        <w:rPr>
          <w:rFonts w:ascii="Verdana" w:eastAsia="Calibri" w:hAnsi="Verdana" w:cs="Arial"/>
          <w:color w:val="000000"/>
          <w:lang w:val="es-ES_tradnl"/>
        </w:rPr>
        <w:t>. En todo caso, la doctrina advierte que:</w:t>
      </w:r>
    </w:p>
    <w:p w14:paraId="4BF551F9" w14:textId="77777777" w:rsidR="001B00E6" w:rsidRPr="001B00E6" w:rsidRDefault="001B00E6" w:rsidP="001B00E6">
      <w:pPr>
        <w:tabs>
          <w:tab w:val="left" w:pos="2208"/>
        </w:tabs>
        <w:spacing w:after="0" w:line="276" w:lineRule="auto"/>
        <w:ind w:firstLine="709"/>
        <w:jc w:val="both"/>
        <w:rPr>
          <w:rFonts w:ascii="Verdana" w:eastAsia="Calibri" w:hAnsi="Verdana" w:cs="Arial"/>
          <w:color w:val="000000"/>
          <w:lang w:val="es-ES_tradnl"/>
        </w:rPr>
      </w:pPr>
      <w:r w:rsidRPr="001B00E6">
        <w:rPr>
          <w:rFonts w:ascii="Verdana" w:eastAsia="Calibri" w:hAnsi="Verdana" w:cs="Arial"/>
          <w:color w:val="000000"/>
          <w:lang w:val="es-ES_tradnl"/>
        </w:rPr>
        <w:tab/>
      </w:r>
    </w:p>
    <w:p w14:paraId="1D568923" w14:textId="77777777" w:rsidR="001B00E6" w:rsidRPr="001B00E6" w:rsidRDefault="001B00E6" w:rsidP="001B00E6">
      <w:pPr>
        <w:spacing w:after="0" w:line="240" w:lineRule="auto"/>
        <w:ind w:left="709" w:right="709"/>
        <w:jc w:val="both"/>
        <w:rPr>
          <w:rFonts w:ascii="Verdana" w:eastAsia="Calibri" w:hAnsi="Verdana" w:cs="Arial"/>
          <w:color w:val="000000"/>
          <w:sz w:val="20"/>
          <w:szCs w:val="20"/>
        </w:rPr>
      </w:pPr>
      <w:r w:rsidRPr="001B00E6">
        <w:rPr>
          <w:rFonts w:ascii="Verdana" w:eastAsia="Calibri" w:hAnsi="Verdana" w:cs="Arial"/>
          <w:color w:val="000000"/>
          <w:sz w:val="20"/>
          <w:szCs w:val="20"/>
        </w:rPr>
        <w:t>[...] “la afinidad con otros tipos no excluye una relevancia original y autónoma del contrato”. Por tanto, se hace necesario auscultar también el interés y la intención de las partes en el contrato atípico.</w:t>
      </w:r>
      <w:r w:rsidRPr="001B00E6">
        <w:rPr>
          <w:rFonts w:ascii="Verdana" w:eastAsia="Calibri" w:hAnsi="Verdana" w:cs="Arial"/>
          <w:sz w:val="20"/>
          <w:szCs w:val="20"/>
        </w:rPr>
        <w:t xml:space="preserve"> </w:t>
      </w:r>
      <w:r w:rsidRPr="001B00E6">
        <w:rPr>
          <w:rFonts w:ascii="Verdana" w:eastAsia="Calibri" w:hAnsi="Verdana" w:cs="Arial"/>
          <w:color w:val="000000"/>
          <w:sz w:val="20"/>
          <w:szCs w:val="20"/>
        </w:rPr>
        <w:t>En últimas es la autonomía negocial la que da origen a los contratos innominados. La creación de un nuevo tipo contractual no es sino una adecuación progresiva del fenómeno de la autonomía negocial a los intereses específicos de los sujetos. La creación de un nuevo tipo contractual no es sino la adecuación progresiva del fenómeno de la autonomía negocial a los intereses específicos de los sujetos</w:t>
      </w:r>
      <w:r w:rsidRPr="001B00E6">
        <w:rPr>
          <w:rFonts w:ascii="Calibri" w:eastAsia="Calibri" w:hAnsi="Calibri" w:cs="Times New Roman"/>
          <w:vertAlign w:val="superscript"/>
        </w:rPr>
        <w:footnoteReference w:id="13"/>
      </w:r>
      <w:r w:rsidRPr="001B00E6">
        <w:rPr>
          <w:rFonts w:ascii="Verdana" w:eastAsia="Calibri" w:hAnsi="Verdana" w:cs="Arial"/>
          <w:color w:val="000000"/>
          <w:sz w:val="20"/>
          <w:szCs w:val="20"/>
        </w:rPr>
        <w:t>.</w:t>
      </w:r>
    </w:p>
    <w:p w14:paraId="1BD7C8BA" w14:textId="77777777" w:rsidR="001B00E6" w:rsidRPr="001B00E6" w:rsidRDefault="001B00E6" w:rsidP="001B00E6">
      <w:pPr>
        <w:spacing w:after="0" w:line="240" w:lineRule="auto"/>
        <w:ind w:left="709" w:right="709"/>
        <w:jc w:val="both"/>
        <w:rPr>
          <w:rFonts w:ascii="Verdana" w:eastAsia="Calibri" w:hAnsi="Verdana" w:cs="Arial"/>
          <w:color w:val="000000"/>
          <w:sz w:val="20"/>
          <w:szCs w:val="20"/>
        </w:rPr>
      </w:pPr>
    </w:p>
    <w:p w14:paraId="403C4636" w14:textId="77777777" w:rsidR="001B00E6" w:rsidRPr="001B00E6" w:rsidRDefault="001B00E6" w:rsidP="001B00E6">
      <w:pPr>
        <w:spacing w:after="120" w:line="276" w:lineRule="auto"/>
        <w:ind w:firstLine="709"/>
        <w:jc w:val="both"/>
        <w:rPr>
          <w:rFonts w:ascii="Verdana" w:eastAsia="Calibri" w:hAnsi="Verdana" w:cs="Arial"/>
          <w:lang w:val="es-ES"/>
        </w:rPr>
      </w:pPr>
      <w:r w:rsidRPr="001B00E6">
        <w:rPr>
          <w:rFonts w:ascii="Verdana" w:eastAsia="Calibri" w:hAnsi="Verdana" w:cs="Arial"/>
          <w:lang w:val="es-ES"/>
        </w:rPr>
        <w:t xml:space="preserve">Con fundamento en lo anterior, puede decirse que la obligación de instalar un bien mueble en un inmueble –convirtiendo a aquel en un inmueble por adhesión o por destinación– </w:t>
      </w:r>
      <w:r w:rsidRPr="001B00E6">
        <w:rPr>
          <w:rFonts w:ascii="Verdana" w:eastAsia="Calibri" w:hAnsi="Verdana" w:cs="Arial"/>
          <w:i/>
          <w:lang w:val="es-ES"/>
        </w:rPr>
        <w:t>no</w:t>
      </w:r>
      <w:r w:rsidRPr="001B00E6">
        <w:rPr>
          <w:rFonts w:ascii="Verdana" w:eastAsia="Calibri"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sidRPr="001B00E6">
        <w:rPr>
          <w:rFonts w:ascii="Verdana" w:eastAsia="Calibri" w:hAnsi="Verdana" w:cs="Arial"/>
          <w:lang w:val="es-ES"/>
        </w:rPr>
        <w:t>ii</w:t>
      </w:r>
      <w:proofErr w:type="spellEnd"/>
      <w:r w:rsidRPr="001B00E6">
        <w:rPr>
          <w:rFonts w:ascii="Verdana" w:eastAsia="Calibri" w:hAnsi="Verdana" w:cs="Arial"/>
          <w:lang w:val="es-ES"/>
        </w:rPr>
        <w:t xml:space="preserve">) la finalidad de las partes y </w:t>
      </w:r>
      <w:proofErr w:type="spellStart"/>
      <w:r w:rsidRPr="001B00E6">
        <w:rPr>
          <w:rFonts w:ascii="Verdana" w:eastAsia="Calibri" w:hAnsi="Verdana" w:cs="Arial"/>
          <w:lang w:val="es-ES"/>
        </w:rPr>
        <w:t>iii</w:t>
      </w:r>
      <w:proofErr w:type="spellEnd"/>
      <w:r w:rsidRPr="001B00E6">
        <w:rPr>
          <w:rFonts w:ascii="Verdana" w:eastAsia="Calibri" w:hAnsi="Verdana" w:cs="Arial"/>
          <w:lang w:val="es-ES"/>
        </w:rPr>
        <w:t xml:space="preserve">) si se trata de prestaciones mixtas, “que las prestaciones correspondientes que pretendan fusionarse se encuentren directamente vinculadas entre sí, de tal manera que mantengan relaciones de complemento y que permitan predicar su tratamiento solo como una unidad </w:t>
      </w:r>
      <w:r w:rsidRPr="001B00E6">
        <w:rPr>
          <w:rFonts w:ascii="Verdana" w:eastAsia="Calibri" w:hAnsi="Verdana" w:cs="Arial"/>
          <w:lang w:val="es-ES"/>
        </w:rPr>
        <w:lastRenderedPageBreak/>
        <w:t>funcional dirigida a la satisfacción de la necesidad de la entidad”</w:t>
      </w:r>
      <w:r w:rsidRPr="001B00E6">
        <w:rPr>
          <w:rFonts w:ascii="Calibri" w:eastAsia="Calibri" w:hAnsi="Calibri" w:cs="Times New Roman"/>
          <w:vertAlign w:val="superscript"/>
        </w:rPr>
        <w:footnoteReference w:id="14"/>
      </w:r>
      <w:r w:rsidRPr="001B00E6">
        <w:rPr>
          <w:rFonts w:ascii="Verdana" w:eastAsia="Calibri" w:hAnsi="Verdana" w:cs="Arial"/>
          <w:lang w:val="es-ES"/>
        </w:rPr>
        <w:t>. Este es un análisis que, por tanto, debe realizarse en cada caso concreto, considerando los datos técnicos y económicos del objeto contractual.</w:t>
      </w:r>
    </w:p>
    <w:p w14:paraId="635E59C3" w14:textId="77777777" w:rsidR="001B00E6" w:rsidRPr="001B00E6" w:rsidRDefault="001B00E6" w:rsidP="001B00E6">
      <w:pPr>
        <w:spacing w:after="120" w:line="276" w:lineRule="auto"/>
        <w:ind w:firstLine="708"/>
        <w:jc w:val="both"/>
        <w:rPr>
          <w:rFonts w:ascii="Verdana" w:eastAsia="Times New Roman" w:hAnsi="Verdana" w:cs="Times New Roman"/>
          <w:color w:val="000000"/>
          <w:lang w:eastAsia="es-CO"/>
        </w:rPr>
      </w:pPr>
      <w:r w:rsidRPr="001B00E6">
        <w:rPr>
          <w:rFonts w:ascii="Verdana" w:eastAsia="Calibri" w:hAnsi="Verdana" w:cs="Arial"/>
          <w:lang w:val="es-ES" w:eastAsia="es-ES_tradnl"/>
        </w:rPr>
        <w:t xml:space="preserve">En este contexto, </w:t>
      </w:r>
      <w:r w:rsidRPr="001B00E6">
        <w:rPr>
          <w:rFonts w:ascii="Verdana" w:eastAsia="Aptos" w:hAnsi="Verdana" w:cs="Arial"/>
          <w:kern w:val="2"/>
          <w:lang w:eastAsia="es-ES_tradnl"/>
          <w14:ligatures w14:val="standardContextual"/>
        </w:rPr>
        <w:t xml:space="preserve">no es posible afirmar de manera categórica que el suministro e instalación de </w:t>
      </w:r>
      <w:r w:rsidRPr="001B00E6">
        <w:rPr>
          <w:rFonts w:ascii="Verdana" w:eastAsia="Times New Roman" w:hAnsi="Verdana" w:cs="Times New Roman"/>
          <w:color w:val="000000"/>
          <w:lang w:eastAsia="es-CO"/>
        </w:rPr>
        <w:t xml:space="preserve">sistemas de aires acondicionadas o sistemas de ventilación o similar sobre </w:t>
      </w:r>
      <w:r w:rsidRPr="001B00E6">
        <w:rPr>
          <w:rFonts w:ascii="Verdana" w:eastAsia="Aptos" w:hAnsi="Verdana" w:cs="Arial"/>
          <w:kern w:val="2"/>
          <w:lang w:eastAsia="es-ES_tradnl"/>
          <w14:ligatures w14:val="standardContextual"/>
        </w:rPr>
        <w:t xml:space="preserve">un inmueble que tiene la categoría de infraestructura educativa deba clasificarse, en todos los casos, como un contrato de obra pública para efecto de la utilización de los Documentos Tipo </w:t>
      </w:r>
      <w:r w:rsidRPr="001B00E6">
        <w:rPr>
          <w:rFonts w:ascii="Verdana" w:eastAsia="Times New Roman" w:hAnsi="Verdana" w:cs="Times New Roman"/>
          <w:color w:val="000000"/>
          <w:lang w:eastAsia="es-CO"/>
        </w:rPr>
        <w:t>del Sector Institucional</w:t>
      </w:r>
      <w:r w:rsidRPr="001B00E6">
        <w:rPr>
          <w:rFonts w:ascii="Verdana" w:eastAsia="Aptos" w:hAnsi="Verdana" w:cs="Arial"/>
          <w:kern w:val="2"/>
          <w:lang w:eastAsia="es-ES_tradnl"/>
          <w14:ligatures w14:val="standardContextua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35A66701" w14:textId="77777777" w:rsidR="001B00E6" w:rsidRPr="001B00E6" w:rsidRDefault="001B00E6" w:rsidP="001B00E6">
      <w:pPr>
        <w:spacing w:after="120" w:line="276" w:lineRule="auto"/>
        <w:ind w:firstLine="709"/>
        <w:jc w:val="both"/>
        <w:rPr>
          <w:rFonts w:ascii="Verdana" w:eastAsia="Calibri" w:hAnsi="Verdana" w:cs="Arial"/>
          <w:lang w:val="es-ES_tradnl"/>
        </w:rPr>
      </w:pPr>
      <w:r w:rsidRPr="001B00E6">
        <w:rPr>
          <w:rFonts w:ascii="Verdana" w:eastAsia="Calibri" w:hAnsi="Verdana" w:cs="Arial"/>
          <w:lang w:eastAsia="es-ES_tradnl"/>
        </w:rPr>
        <w:t>Atendiendo a lo señalado por l</w:t>
      </w:r>
      <w:r w:rsidRPr="001B00E6">
        <w:rPr>
          <w:rFonts w:ascii="Verdana" w:eastAsia="Calibri" w:hAnsi="Verdana" w:cs="Arial"/>
          <w:lang w:val="es-ES_tradnl"/>
        </w:rPr>
        <w:t>a Sala de Consulta y Servicio Civil del Consejo de Estado,</w:t>
      </w:r>
      <w:r w:rsidRPr="001B00E6">
        <w:rPr>
          <w:rFonts w:ascii="Verdana" w:eastAsia="Calibri" w:hAnsi="Verdana" w:cs="Times New Roman"/>
          <w:color w:val="000000"/>
        </w:rPr>
        <w:t xml:space="preserve"> adhiriéndose al método de absorción para efectos de integrar el régimen jurídico aplicable,</w:t>
      </w:r>
      <w:r w:rsidRPr="001B00E6">
        <w:rPr>
          <w:rFonts w:ascii="Verdana" w:eastAsia="Calibri" w:hAnsi="Verdana" w:cs="Arial"/>
          <w:lang w:val="es-ES_tradnl"/>
        </w:rPr>
        <w:t xml:space="preserve"> se considera que en el caso referido es fundamental determinar la prestación principal para establecer dicho </w:t>
      </w:r>
      <w:r w:rsidRPr="001B00E6">
        <w:rPr>
          <w:rFonts w:ascii="Verdana" w:eastAsia="Calibri" w:hAnsi="Verdana" w:cs="Arial"/>
          <w:lang w:eastAsia="es-ES_tradnl"/>
        </w:rPr>
        <w:t>régimen</w:t>
      </w:r>
      <w:r w:rsidRPr="001B00E6">
        <w:rPr>
          <w:rFonts w:ascii="Verdana" w:eastAsia="Calibri" w:hAnsi="Verdana" w:cs="Arial"/>
          <w:lang w:val="es-ES_tradnl"/>
        </w:rPr>
        <w:t xml:space="preserve">, </w:t>
      </w:r>
      <w:r w:rsidRPr="001B00E6">
        <w:rPr>
          <w:rFonts w:ascii="Verdana" w:eastAsia="Calibri" w:hAnsi="Verdana" w:cs="Arial"/>
          <w:lang w:eastAsia="es-ES_tradnl"/>
        </w:rPr>
        <w:t xml:space="preserve">teniendo en cuenta que la tipología contractual </w:t>
      </w:r>
      <w:r w:rsidRPr="001B00E6">
        <w:rPr>
          <w:rFonts w:ascii="Verdana" w:eastAsia="Calibri" w:hAnsi="Verdana" w:cs="Arial"/>
          <w:lang w:val="es-ES" w:eastAsia="es-ES_tradnl"/>
        </w:rPr>
        <w:t xml:space="preserve">es importante para definir aspectos como la modalidad de selección que debe utilizar la entidad y los requisitos habilitantes o ponderables que deben incorporar en el pliego de condiciones para la selección objetiva de la mejor oferta. </w:t>
      </w:r>
    </w:p>
    <w:p w14:paraId="4BCA710C" w14:textId="77777777" w:rsidR="001B00E6" w:rsidRPr="001B00E6" w:rsidRDefault="001B00E6" w:rsidP="001B00E6">
      <w:pPr>
        <w:spacing w:after="12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 xml:space="preserve">Para tales efectos, la entidad estatal podría determinar </w:t>
      </w:r>
      <w:r w:rsidRPr="001B00E6">
        <w:rPr>
          <w:rFonts w:ascii="Verdana" w:eastAsia="Calibri" w:hAnsi="Verdana" w:cs="Arial"/>
          <w:color w:val="000000"/>
          <w:lang w:val="es-ES_tradnl"/>
        </w:rPr>
        <w:t>el régimen del contrato típico al que pertenece</w:t>
      </w:r>
      <w:r w:rsidRPr="001B00E6">
        <w:rPr>
          <w:rFonts w:ascii="Verdana" w:eastAsia="Calibri"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w:t>
      </w:r>
    </w:p>
    <w:p w14:paraId="305FB17A" w14:textId="77777777" w:rsidR="001B00E6" w:rsidRPr="001B00E6" w:rsidRDefault="001B00E6" w:rsidP="001B00E6">
      <w:pPr>
        <w:spacing w:after="12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w:t>
      </w:r>
      <w:r w:rsidRPr="001B00E6">
        <w:rPr>
          <w:rFonts w:ascii="Verdana" w:eastAsia="Calibri" w:hAnsi="Verdana" w:cs="Arial"/>
          <w:lang w:eastAsia="es-ES_tradnl"/>
        </w:rPr>
        <w:lastRenderedPageBreak/>
        <w:t xml:space="preserve">de instalación supera significativamente, más del 50 % del presupuesto, o si dichas actividades constituyen la esencia del negocio jurídico, o confluyen ambos criterios, podría concluirse que se trata de un contrato de obra y no de un simple contrato de suministro o instalación. </w:t>
      </w:r>
    </w:p>
    <w:p w14:paraId="6228602C" w14:textId="77777777" w:rsidR="001B00E6" w:rsidRPr="001B00E6" w:rsidRDefault="001B00E6" w:rsidP="001B00E6">
      <w:pPr>
        <w:spacing w:after="12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En contraste, si las labores de instalación son secundarias o accesorias, en su valor económico o en su complejidad técnica, y el elemento central del negocio jurídico es la entrega de los bienes muebles, la naturaleza del contrato correspondería a la de suministro. Esto podría suceder cuando la instalación se limita a ajustes menores, sin afectar la estructura o funcionamiento del inmueble.</w:t>
      </w:r>
    </w:p>
    <w:p w14:paraId="41FE636F" w14:textId="77777777" w:rsidR="001B00E6" w:rsidRPr="001B00E6" w:rsidRDefault="001B00E6" w:rsidP="001B00E6">
      <w:pPr>
        <w:spacing w:after="12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En este análisis, es de especial relevancia que la entidad estatal analice escenarios en los cuales, aunque el valor de los bienes objeto de suministro supere el de las actividades de instalación, el alcance de las obras necesarias para adecuar o intervenir el inmueble es tan significativo que la esencia del contrato deja de ser la provisión de los bienes y pasa a ser la ejecución de la obra misma. 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57395EEE" w14:textId="77777777" w:rsidR="001B00E6" w:rsidRPr="001B00E6" w:rsidRDefault="001B00E6" w:rsidP="001B00E6">
      <w:pPr>
        <w:spacing w:after="0" w:line="276" w:lineRule="auto"/>
        <w:ind w:firstLine="709"/>
        <w:jc w:val="both"/>
        <w:rPr>
          <w:rFonts w:ascii="Verdana" w:eastAsia="Calibri" w:hAnsi="Verdana" w:cs="Arial"/>
          <w:lang w:eastAsia="es-ES_tradnl"/>
        </w:rPr>
      </w:pPr>
      <w:r w:rsidRPr="001B00E6">
        <w:rPr>
          <w:rFonts w:ascii="Verdana" w:eastAsia="Calibri" w:hAnsi="Verdana" w:cs="Arial"/>
          <w:lang w:eastAsia="es-ES_tradnl"/>
        </w:rPr>
        <w:t xml:space="preserve">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Institucional expedidos por esta Agencia. </w:t>
      </w:r>
    </w:p>
    <w:p w14:paraId="4EFBC6D9" w14:textId="77777777" w:rsidR="001B00E6" w:rsidRPr="001B00E6" w:rsidRDefault="001B00E6" w:rsidP="001B00E6">
      <w:pPr>
        <w:spacing w:after="0" w:line="276" w:lineRule="auto"/>
        <w:ind w:firstLine="709"/>
        <w:jc w:val="both"/>
        <w:rPr>
          <w:rFonts w:ascii="Verdana" w:eastAsia="Calibri" w:hAnsi="Verdana" w:cs="Arial"/>
          <w:lang w:eastAsia="es-ES_tradnl"/>
        </w:rPr>
      </w:pPr>
    </w:p>
    <w:p w14:paraId="2C084C5F" w14:textId="77777777" w:rsidR="001B00E6" w:rsidRPr="001B00E6" w:rsidRDefault="001B00E6" w:rsidP="001B00E6">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1B00E6">
        <w:rPr>
          <w:rFonts w:ascii="Verdana" w:eastAsia="Calibri" w:hAnsi="Verdana" w:cs="Arial"/>
          <w:lang w:eastAsia="es-ES_tradnl"/>
        </w:rPr>
        <w:t>iv</w:t>
      </w:r>
      <w:proofErr w:type="spellEnd"/>
      <w:r w:rsidRPr="001B00E6">
        <w:rPr>
          <w:rFonts w:ascii="Verdana" w:eastAsia="Calibri" w:hAnsi="Verdana" w:cs="Arial"/>
          <w:lang w:eastAsia="es-ES_tradnl"/>
        </w:rPr>
        <w:t xml:space="preserve">. </w:t>
      </w:r>
      <w:r w:rsidRPr="001B00E6">
        <w:rPr>
          <w:rFonts w:ascii="Verdana" w:eastAsia="Aptos" w:hAnsi="Verdana" w:cs="Aptos"/>
          <w:kern w:val="2"/>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w:t>
      </w:r>
      <w:r w:rsidRPr="001B00E6">
        <w:rPr>
          <w:rFonts w:ascii="Verdana" w:eastAsia="Aptos" w:hAnsi="Verdana" w:cs="Aptos"/>
          <w:kern w:val="2"/>
          <w14:ligatures w14:val="standardContextual"/>
        </w:rPr>
        <w:lastRenderedPageBreak/>
        <w:t>indicados en este concepto. Lo anterior sin que pueda apartarse de su aplicación cuando materialmente el objeto a contratar corresponde con alguna actividad de contemplada en dicha matriz.</w:t>
      </w:r>
      <w:r w:rsidRPr="001B00E6">
        <w:rPr>
          <w:rFonts w:ascii="Verdana" w:eastAsia="Times New Roman" w:hAnsi="Verdana" w:cs="Arial"/>
          <w:kern w:val="2"/>
          <w:sz w:val="24"/>
          <w:szCs w:val="24"/>
          <w:shd w:val="clear" w:color="auto" w:fill="FFFFFF"/>
          <w:lang w:val="es-ES_tradnl" w:eastAsia="es-ES_tradnl"/>
          <w14:ligatures w14:val="standardContextual"/>
        </w:rPr>
        <w:t xml:space="preserve"> </w:t>
      </w:r>
    </w:p>
    <w:p w14:paraId="5566B4AC" w14:textId="77777777" w:rsidR="001B00E6" w:rsidRPr="001B00E6" w:rsidRDefault="001B00E6" w:rsidP="001B00E6">
      <w:pPr>
        <w:spacing w:after="120" w:line="276" w:lineRule="auto"/>
        <w:ind w:firstLine="708"/>
        <w:jc w:val="both"/>
        <w:rPr>
          <w:rFonts w:ascii="Verdana" w:eastAsia="Aptos" w:hAnsi="Verdana" w:cs="Times New Roman"/>
          <w:kern w:val="2"/>
          <w14:ligatures w14:val="standardContextual"/>
        </w:rPr>
      </w:pPr>
      <w:r w:rsidRPr="001B00E6">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2E145B" w14:textId="77777777" w:rsidR="001B00E6" w:rsidRPr="001B00E6" w:rsidRDefault="001B00E6" w:rsidP="001B00E6">
      <w:pPr>
        <w:spacing w:after="0" w:line="276" w:lineRule="auto"/>
        <w:ind w:firstLine="708"/>
        <w:jc w:val="both"/>
        <w:rPr>
          <w:rFonts w:ascii="Verdana" w:eastAsia="Calibri" w:hAnsi="Verdana" w:cs="Arial"/>
          <w:bCs/>
          <w:color w:val="000000"/>
          <w:kern w:val="2"/>
          <w14:ligatures w14:val="standardContextual"/>
        </w:rPr>
      </w:pPr>
      <w:r w:rsidRPr="001B00E6">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2CFDA26" w14:textId="77777777" w:rsidR="001B00E6" w:rsidRPr="001B00E6" w:rsidRDefault="001B00E6" w:rsidP="001B00E6">
      <w:pPr>
        <w:spacing w:after="0" w:line="276" w:lineRule="auto"/>
        <w:jc w:val="both"/>
        <w:rPr>
          <w:rFonts w:ascii="Verdana" w:eastAsia="Calibri" w:hAnsi="Verdana" w:cs="Arial"/>
          <w:lang w:eastAsia="es-ES_tradnl"/>
        </w:rPr>
      </w:pPr>
    </w:p>
    <w:p w14:paraId="5AF0BDA4" w14:textId="77777777" w:rsidR="001B00E6" w:rsidRPr="001B00E6" w:rsidRDefault="001B00E6" w:rsidP="001B00E6">
      <w:pPr>
        <w:tabs>
          <w:tab w:val="left" w:pos="142"/>
          <w:tab w:val="left" w:pos="284"/>
        </w:tabs>
        <w:spacing w:after="0" w:line="276" w:lineRule="auto"/>
        <w:jc w:val="both"/>
        <w:rPr>
          <w:rFonts w:ascii="Verdana" w:eastAsia="Century Gothic" w:hAnsi="Verdana" w:cs="Century Gothic"/>
          <w:b/>
          <w:bCs/>
          <w:lang w:val="es-ES_tradnl"/>
        </w:rPr>
      </w:pPr>
      <w:r w:rsidRPr="001B00E6">
        <w:rPr>
          <w:rFonts w:ascii="Verdana" w:eastAsia="Century Gothic" w:hAnsi="Verdana" w:cs="Century Gothic"/>
          <w:b/>
          <w:bCs/>
          <w:lang w:val="es-ES_tradnl"/>
        </w:rPr>
        <w:t>4. Referencias normativas, jurisprudenciales y otras fuentes:</w:t>
      </w:r>
    </w:p>
    <w:p w14:paraId="60A8349D" w14:textId="77777777" w:rsidR="001B00E6" w:rsidRPr="001B00E6" w:rsidRDefault="001B00E6" w:rsidP="001B00E6">
      <w:pPr>
        <w:spacing w:after="0"/>
        <w:ind w:left="-15840"/>
        <w:jc w:val="both"/>
        <w:rPr>
          <w:rFonts w:ascii="Verdana" w:eastAsia="Calibri" w:hAnsi="Verdana" w:cs="Arial"/>
          <w:b/>
          <w:bCs/>
        </w:rPr>
      </w:pPr>
      <w:r w:rsidRPr="001B00E6">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00E6" w:rsidRPr="001B00E6" w14:paraId="251BE63F" w14:textId="77777777" w:rsidTr="002E7F25">
        <w:trPr>
          <w:trHeight w:val="870"/>
        </w:trPr>
        <w:tc>
          <w:tcPr>
            <w:tcW w:w="8647" w:type="dxa"/>
            <w:tcBorders>
              <w:top w:val="dotted" w:sz="4" w:space="0" w:color="auto"/>
              <w:left w:val="dotted" w:sz="4" w:space="0" w:color="auto"/>
              <w:bottom w:val="dotted" w:sz="4" w:space="0" w:color="auto"/>
              <w:right w:val="dotted" w:sz="4" w:space="0" w:color="auto"/>
            </w:tcBorders>
          </w:tcPr>
          <w:p w14:paraId="2FF7446D" w14:textId="77777777" w:rsidR="001B00E6" w:rsidRPr="001B00E6" w:rsidRDefault="001B00E6" w:rsidP="001B00E6">
            <w:pPr>
              <w:contextualSpacing/>
              <w:jc w:val="both"/>
              <w:rPr>
                <w:rFonts w:ascii="Verdana" w:eastAsia="Calibri" w:hAnsi="Verdana" w:cs="Arial"/>
                <w:bCs/>
              </w:rPr>
            </w:pPr>
          </w:p>
          <w:p w14:paraId="3C08D7D3" w14:textId="77777777" w:rsidR="001B00E6" w:rsidRPr="001B00E6" w:rsidRDefault="001B00E6" w:rsidP="001B00E6">
            <w:pPr>
              <w:widowControl w:val="0"/>
              <w:numPr>
                <w:ilvl w:val="0"/>
                <w:numId w:val="16"/>
              </w:numPr>
              <w:autoSpaceDE w:val="0"/>
              <w:autoSpaceDN w:val="0"/>
              <w:spacing w:line="276" w:lineRule="auto"/>
              <w:jc w:val="both"/>
              <w:rPr>
                <w:rFonts w:ascii="Verdana" w:eastAsia="Calibri" w:hAnsi="Verdana" w:cs="Arial"/>
                <w:lang w:val="es-ES_tradnl"/>
              </w:rPr>
            </w:pPr>
            <w:r w:rsidRPr="001B00E6">
              <w:rPr>
                <w:rFonts w:ascii="Verdana" w:eastAsia="Calibri" w:hAnsi="Verdana" w:cs="Arial"/>
                <w:lang w:val="es-ES_tradnl"/>
              </w:rPr>
              <w:t xml:space="preserve">Ley 2022 de 2020, artículo 1. </w:t>
            </w:r>
          </w:p>
          <w:p w14:paraId="3A4C8568" w14:textId="77777777" w:rsidR="001B00E6" w:rsidRPr="001B00E6" w:rsidRDefault="001B00E6" w:rsidP="001B00E6">
            <w:pPr>
              <w:widowControl w:val="0"/>
              <w:numPr>
                <w:ilvl w:val="0"/>
                <w:numId w:val="16"/>
              </w:numPr>
              <w:autoSpaceDE w:val="0"/>
              <w:autoSpaceDN w:val="0"/>
              <w:spacing w:line="276" w:lineRule="auto"/>
              <w:jc w:val="both"/>
              <w:rPr>
                <w:rFonts w:ascii="Verdana" w:eastAsia="Calibri" w:hAnsi="Verdana" w:cs="Arial"/>
              </w:rPr>
            </w:pPr>
            <w:r w:rsidRPr="001B00E6">
              <w:rPr>
                <w:rFonts w:ascii="Verdana" w:eastAsia="Calibri" w:hAnsi="Verdana" w:cs="Arial"/>
              </w:rPr>
              <w:t>Ley 1150 de 2007, artículo 2.</w:t>
            </w:r>
          </w:p>
          <w:p w14:paraId="24A6B2C3" w14:textId="77777777" w:rsidR="001B00E6" w:rsidRPr="001B00E6" w:rsidRDefault="001B00E6" w:rsidP="001B00E6">
            <w:pPr>
              <w:widowControl w:val="0"/>
              <w:numPr>
                <w:ilvl w:val="0"/>
                <w:numId w:val="16"/>
              </w:numPr>
              <w:autoSpaceDE w:val="0"/>
              <w:autoSpaceDN w:val="0"/>
              <w:spacing w:line="276" w:lineRule="auto"/>
              <w:contextualSpacing/>
              <w:jc w:val="both"/>
              <w:rPr>
                <w:rFonts w:ascii="Verdana" w:eastAsia="Calibri" w:hAnsi="Verdana" w:cs="Arial"/>
              </w:rPr>
            </w:pPr>
            <w:r w:rsidRPr="001B00E6">
              <w:rPr>
                <w:rFonts w:ascii="Verdana" w:eastAsia="Calibri" w:hAnsi="Verdana" w:cs="Arial"/>
                <w:lang w:val="es-ES_tradnl"/>
              </w:rPr>
              <w:t xml:space="preserve">Documentos Tipo. Disponibles en: </w:t>
            </w:r>
            <w:hyperlink r:id="rId12" w:history="1">
              <w:r w:rsidRPr="001B00E6">
                <w:rPr>
                  <w:rFonts w:ascii="Verdana" w:eastAsia="Calibri" w:hAnsi="Verdana" w:cs="Arial"/>
                  <w:color w:val="0000FF"/>
                  <w:u w:val="single"/>
                  <w:lang w:val="es-ES_tradnl"/>
                </w:rPr>
                <w:t>https://www.colombiacompra.gov.co/documentos-tipo/documentos-tipo</w:t>
              </w:r>
            </w:hyperlink>
            <w:r w:rsidRPr="001B00E6">
              <w:rPr>
                <w:rFonts w:ascii="Verdana" w:eastAsia="Calibri" w:hAnsi="Verdana" w:cs="Arial"/>
                <w:lang w:val="es-ES_tradnl"/>
              </w:rPr>
              <w:t>.</w:t>
            </w:r>
          </w:p>
          <w:p w14:paraId="2A249D5C" w14:textId="77777777" w:rsidR="001B00E6" w:rsidRPr="001B00E6" w:rsidRDefault="001B00E6" w:rsidP="001B00E6">
            <w:pPr>
              <w:widowControl w:val="0"/>
              <w:numPr>
                <w:ilvl w:val="0"/>
                <w:numId w:val="16"/>
              </w:numPr>
              <w:autoSpaceDE w:val="0"/>
              <w:autoSpaceDN w:val="0"/>
              <w:spacing w:line="276" w:lineRule="auto"/>
              <w:jc w:val="both"/>
              <w:rPr>
                <w:rFonts w:ascii="Verdana" w:eastAsia="Calibri" w:hAnsi="Verdana" w:cs="Arial"/>
                <w:lang w:val="es-ES_tradnl"/>
              </w:rPr>
            </w:pPr>
            <w:r w:rsidRPr="001B00E6">
              <w:rPr>
                <w:rFonts w:ascii="Verdana" w:eastAsia="Calibri" w:hAnsi="Verdana" w:cs="Arial"/>
                <w:lang w:val="es-ES_tradnl"/>
              </w:rPr>
              <w:t>Consejo de Estado. Sala de Consulta y Servicio Civil. Concepto del 5 de septiembre de 2018. Consejero Ponente: Edgar González López. Radicación interna: 2386.</w:t>
            </w:r>
          </w:p>
          <w:p w14:paraId="59B5A6F1" w14:textId="77777777" w:rsidR="001B00E6" w:rsidRPr="001B00E6" w:rsidRDefault="001B00E6" w:rsidP="001B00E6">
            <w:pPr>
              <w:widowControl w:val="0"/>
              <w:numPr>
                <w:ilvl w:val="0"/>
                <w:numId w:val="16"/>
              </w:numPr>
              <w:autoSpaceDE w:val="0"/>
              <w:autoSpaceDN w:val="0"/>
              <w:spacing w:line="276" w:lineRule="auto"/>
              <w:jc w:val="both"/>
              <w:rPr>
                <w:rFonts w:ascii="Verdana" w:eastAsia="Calibri" w:hAnsi="Verdana" w:cs="Arial"/>
                <w:lang w:val="es-ES_tradnl"/>
              </w:rPr>
            </w:pPr>
            <w:r w:rsidRPr="001B00E6">
              <w:rPr>
                <w:rFonts w:ascii="Verdana" w:eastAsia="Calibri" w:hAnsi="Verdana" w:cs="Arial"/>
                <w:lang w:val="es-ES_tradnl"/>
              </w:rPr>
              <w:t xml:space="preserve">RENGIFO GARCÍA, Ernesto. Interpretación del contrato atípico a la luz de la jurisprudencia colombiana. En: Los contratos en el derecho </w:t>
            </w:r>
            <w:r w:rsidRPr="001B00E6">
              <w:rPr>
                <w:rFonts w:ascii="Verdana" w:eastAsia="Calibri" w:hAnsi="Verdana" w:cs="Arial"/>
                <w:lang w:val="es-ES_tradnl"/>
              </w:rPr>
              <w:lastRenderedPageBreak/>
              <w:t>privado. Bogotá: Legis – Universidad del Rosario, 2009. p. 48.</w:t>
            </w:r>
          </w:p>
          <w:p w14:paraId="28D24132" w14:textId="77777777" w:rsidR="001B00E6" w:rsidRPr="001B00E6" w:rsidRDefault="001B00E6" w:rsidP="001B00E6">
            <w:pPr>
              <w:widowControl w:val="0"/>
              <w:numPr>
                <w:ilvl w:val="0"/>
                <w:numId w:val="16"/>
              </w:numPr>
              <w:autoSpaceDE w:val="0"/>
              <w:autoSpaceDN w:val="0"/>
              <w:spacing w:line="276" w:lineRule="auto"/>
              <w:jc w:val="both"/>
              <w:rPr>
                <w:rFonts w:ascii="Verdana" w:eastAsia="Calibri" w:hAnsi="Verdana" w:cs="Arial"/>
                <w:lang w:val="es-ES_tradnl"/>
              </w:rPr>
            </w:pPr>
            <w:r w:rsidRPr="001B00E6">
              <w:rPr>
                <w:rFonts w:ascii="Verdana" w:eastAsia="Calibri" w:hAnsi="Verdana" w:cs="Arial"/>
                <w:lang w:val="es-ES_tradnl"/>
              </w:rPr>
              <w:t>RENGIFO GARCÍA, Ernesto. Interpretación del contrato atípico a la luz de la jurisprudencia colombiana. En: Los contratos en el derecho privado. Bogotá: Legis – Universidad del Rosario, 2009. p. 48</w:t>
            </w:r>
          </w:p>
        </w:tc>
      </w:tr>
    </w:tbl>
    <w:p w14:paraId="3A5CB283" w14:textId="77777777" w:rsidR="001B00E6" w:rsidRPr="001B00E6" w:rsidRDefault="001B00E6" w:rsidP="001B00E6">
      <w:pPr>
        <w:tabs>
          <w:tab w:val="left" w:pos="142"/>
          <w:tab w:val="left" w:pos="284"/>
        </w:tabs>
        <w:spacing w:after="0" w:line="276" w:lineRule="auto"/>
        <w:jc w:val="both"/>
        <w:rPr>
          <w:rFonts w:ascii="Verdana" w:eastAsia="Calibri" w:hAnsi="Verdana" w:cs="Arial"/>
        </w:rPr>
      </w:pPr>
    </w:p>
    <w:p w14:paraId="11392B34" w14:textId="77777777" w:rsidR="001B00E6" w:rsidRPr="001B00E6" w:rsidRDefault="001B00E6" w:rsidP="001B00E6">
      <w:pPr>
        <w:tabs>
          <w:tab w:val="left" w:pos="142"/>
          <w:tab w:val="left" w:pos="284"/>
        </w:tabs>
        <w:spacing w:after="0" w:line="276" w:lineRule="auto"/>
        <w:jc w:val="both"/>
        <w:rPr>
          <w:rFonts w:ascii="Verdana" w:eastAsia="Century Gothic" w:hAnsi="Verdana" w:cs="Century Gothic"/>
          <w:b/>
          <w:bCs/>
          <w:lang w:val="es-ES"/>
        </w:rPr>
      </w:pPr>
      <w:r w:rsidRPr="001B00E6">
        <w:rPr>
          <w:rFonts w:ascii="Verdana" w:eastAsia="Calibri" w:hAnsi="Verdana" w:cs="Arial"/>
          <w:b/>
          <w:bCs/>
        </w:rPr>
        <w:t>5</w:t>
      </w:r>
      <w:r w:rsidRPr="001B00E6">
        <w:rPr>
          <w:rFonts w:ascii="Verdana" w:eastAsia="Calibri" w:hAnsi="Verdana" w:cs="Arial"/>
        </w:rPr>
        <w:t>.</w:t>
      </w:r>
      <w:r w:rsidRPr="001B00E6">
        <w:rPr>
          <w:rFonts w:ascii="Verdana" w:eastAsia="Century Gothic" w:hAnsi="Verdana" w:cs="Century Gothic"/>
          <w:b/>
          <w:bCs/>
          <w:lang w:val="es-ES"/>
        </w:rPr>
        <w:t>Doctrina de la Agencia Nacional de Contratación Pública:</w:t>
      </w:r>
    </w:p>
    <w:p w14:paraId="593B14AC" w14:textId="77777777" w:rsidR="001B00E6" w:rsidRPr="001B00E6" w:rsidRDefault="001B00E6" w:rsidP="001B00E6">
      <w:pPr>
        <w:spacing w:after="0" w:line="276" w:lineRule="auto"/>
        <w:jc w:val="both"/>
        <w:rPr>
          <w:rFonts w:ascii="Verdana" w:eastAsia="Calibri" w:hAnsi="Verdana" w:cs="Arial"/>
          <w:kern w:val="2"/>
          <w:shd w:val="clear" w:color="auto" w:fill="FFFFFF"/>
          <w:lang w:val="es-ES"/>
          <w14:ligatures w14:val="standardContextual"/>
        </w:rPr>
      </w:pPr>
    </w:p>
    <w:p w14:paraId="4A94FFD2" w14:textId="77777777" w:rsidR="001B00E6" w:rsidRPr="001B00E6" w:rsidRDefault="001B00E6" w:rsidP="001B00E6">
      <w:pPr>
        <w:spacing w:after="0" w:line="276" w:lineRule="auto"/>
        <w:jc w:val="both"/>
        <w:rPr>
          <w:rFonts w:ascii="Verdana" w:eastAsia="Calibri" w:hAnsi="Verdana" w:cs="Arial"/>
          <w:kern w:val="2"/>
          <w:shd w:val="clear" w:color="auto" w:fill="FFFFFF"/>
          <w:lang w:val="es-ES"/>
          <w14:ligatures w14:val="standardContextual"/>
        </w:rPr>
      </w:pPr>
      <w:r w:rsidRPr="001B00E6">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1B00E6">
        <w:rPr>
          <w:rFonts w:ascii="Verdana" w:eastAsia="Calibri" w:hAnsi="Verdana" w:cs="Times New Roman"/>
          <w:kern w:val="2"/>
          <w14:ligatures w14:val="standardContextual"/>
        </w:rPr>
        <w:t xml:space="preserve"> </w:t>
      </w:r>
      <w:r w:rsidRPr="001B00E6">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1B00E6">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5127065C" w14:textId="77777777" w:rsidR="001B00E6" w:rsidRPr="001B00E6" w:rsidRDefault="001B00E6" w:rsidP="001B00E6">
      <w:pPr>
        <w:spacing w:after="0" w:line="276" w:lineRule="auto"/>
        <w:jc w:val="both"/>
        <w:rPr>
          <w:rFonts w:ascii="Verdana" w:eastAsia="Calibri" w:hAnsi="Verdana" w:cs="Arial"/>
          <w:kern w:val="2"/>
          <w:shd w:val="clear" w:color="auto" w:fill="FFFFFF"/>
          <w:lang w:val="es-ES"/>
          <w14:ligatures w14:val="standardContextual"/>
        </w:rPr>
      </w:pPr>
    </w:p>
    <w:p w14:paraId="612BE6EA" w14:textId="77777777" w:rsidR="001B00E6" w:rsidRPr="001B00E6" w:rsidRDefault="001B00E6" w:rsidP="001B00E6">
      <w:pPr>
        <w:spacing w:after="0" w:line="276" w:lineRule="auto"/>
        <w:jc w:val="both"/>
        <w:rPr>
          <w:rFonts w:ascii="Verdana" w:eastAsia="Calibri" w:hAnsi="Verdana" w:cs="Arial"/>
          <w:kern w:val="2"/>
          <w:shd w:val="clear" w:color="auto" w:fill="FFFFFF"/>
          <w:lang w:val="es-ES"/>
          <w14:ligatures w14:val="standardContextual"/>
        </w:rPr>
      </w:pPr>
      <w:r w:rsidRPr="001B00E6">
        <w:rPr>
          <w:rFonts w:ascii="Verdana" w:eastAsia="Calibri" w:hAnsi="Verdana" w:cs="Arial"/>
          <w:kern w:val="2"/>
          <w:shd w:val="clear" w:color="auto" w:fill="FFFFFF"/>
          <w:lang w:val="es-ES"/>
          <w14:ligatures w14:val="standardContextual"/>
        </w:rPr>
        <w:t xml:space="preserve">Así mismo, esta Subdirección se ha pronunciado sobre el objeto y las características del contrato de obra pública en los Conceptos 4201913000008014 del 24 de diciembre del año 2019, C-530 del 13 de agosto de 2020, C-038 del 5 de abril de 2021, C-110 del 7 de marzo de 2025 y C-915 del 15 de julio de 2025, entre otros. Igualmente, la Subdirección se ha referido a los contratos Mixtos y objetos sociales con prestaciones mixtas en los conceptos con radicados 2201913000009572 y 2201913000009588 del 24 de diciembre de 2019, C-694 del 29 de diciembre de 2021, C-440 del 2 de septiembre de 2021, C–933 de 2022, C–484 del 09 de octubre de 2024, C-864 del 11 de agosto de 2025 y C-1580 del 24 de diciembre de 2025.  </w:t>
      </w:r>
    </w:p>
    <w:p w14:paraId="6C4683A2" w14:textId="77777777" w:rsidR="001B00E6" w:rsidRPr="001B00E6" w:rsidRDefault="001B00E6" w:rsidP="001B00E6">
      <w:pPr>
        <w:spacing w:after="0" w:line="240" w:lineRule="auto"/>
        <w:jc w:val="both"/>
        <w:rPr>
          <w:rFonts w:ascii="Verdana" w:eastAsia="Calibri" w:hAnsi="Verdana" w:cs="Arial"/>
          <w:color w:val="000000"/>
          <w:shd w:val="clear" w:color="auto" w:fill="FFFFFF"/>
        </w:rPr>
      </w:pPr>
    </w:p>
    <w:p w14:paraId="6834DBE1" w14:textId="77777777" w:rsidR="001B00E6" w:rsidRPr="001B00E6" w:rsidRDefault="001B00E6" w:rsidP="001B00E6">
      <w:pPr>
        <w:widowControl w:val="0"/>
        <w:autoSpaceDE w:val="0"/>
        <w:autoSpaceDN w:val="0"/>
        <w:spacing w:after="0" w:line="276" w:lineRule="auto"/>
        <w:jc w:val="both"/>
        <w:rPr>
          <w:rFonts w:ascii="Verdana" w:eastAsia="Calibri" w:hAnsi="Verdana" w:cs="Arial"/>
          <w:color w:val="0000FF"/>
          <w:u w:val="single"/>
          <w:shd w:val="clear" w:color="auto" w:fill="FFFFFF"/>
        </w:rPr>
      </w:pPr>
      <w:r w:rsidRPr="001B00E6">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1B00E6">
          <w:rPr>
            <w:rFonts w:ascii="Verdana" w:eastAsia="Calibri" w:hAnsi="Verdana" w:cs="Arial"/>
            <w:color w:val="0000FF"/>
            <w:u w:val="single"/>
            <w:shd w:val="clear" w:color="auto" w:fill="FFFFFF"/>
          </w:rPr>
          <w:t>https://relatoria.colombiacompra.gov.co/</w:t>
        </w:r>
      </w:hyperlink>
      <w:r w:rsidRPr="001B00E6">
        <w:rPr>
          <w:rFonts w:ascii="Verdana" w:eastAsia="Calibri" w:hAnsi="Verdana" w:cs="Arial"/>
          <w:color w:val="0000FF"/>
          <w:u w:val="single"/>
          <w:shd w:val="clear" w:color="auto" w:fill="FFFFFF"/>
        </w:rPr>
        <w:t> .</w:t>
      </w:r>
    </w:p>
    <w:p w14:paraId="4EE434A8" w14:textId="77777777" w:rsidR="001B00E6" w:rsidRPr="001B00E6" w:rsidRDefault="001B00E6" w:rsidP="001B00E6">
      <w:pPr>
        <w:widowControl w:val="0"/>
        <w:autoSpaceDE w:val="0"/>
        <w:autoSpaceDN w:val="0"/>
        <w:spacing w:after="0" w:line="276" w:lineRule="auto"/>
        <w:jc w:val="both"/>
        <w:rPr>
          <w:rFonts w:ascii="Verdana" w:eastAsia="Calibri" w:hAnsi="Verdana" w:cs="Arial"/>
          <w:color w:val="0000FF"/>
          <w:u w:val="single"/>
          <w:shd w:val="clear" w:color="auto" w:fill="FFFFFF"/>
        </w:rPr>
      </w:pPr>
    </w:p>
    <w:p w14:paraId="23C4FCC8" w14:textId="77777777" w:rsidR="001B00E6" w:rsidRPr="001B00E6" w:rsidRDefault="001B00E6" w:rsidP="001B00E6">
      <w:pPr>
        <w:spacing w:after="0" w:line="276" w:lineRule="auto"/>
        <w:jc w:val="both"/>
        <w:rPr>
          <w:rFonts w:ascii="Verdana" w:eastAsia="Aptos" w:hAnsi="Verdana" w:cs="Arial"/>
          <w:kern w:val="2"/>
          <w14:ligatures w14:val="standardContextual"/>
        </w:rPr>
      </w:pPr>
      <w:r w:rsidRPr="001B00E6">
        <w:rPr>
          <w:rFonts w:ascii="Verdana" w:eastAsia="Aptos" w:hAnsi="Verdana" w:cs="Arial"/>
          <w:kern w:val="2"/>
          <w14:ligatures w14:val="standardContextual"/>
        </w:rPr>
        <w:lastRenderedPageBreak/>
        <w:t xml:space="preserve">La sostenibilidad no es una opción, es una obligación. Por ello, la Agencia Nacional de Contratación Pública –Colombia Compra Eficiente– te invita a realizar el </w:t>
      </w:r>
      <w:r w:rsidRPr="001B00E6">
        <w:rPr>
          <w:rFonts w:ascii="Verdana" w:eastAsia="Aptos" w:hAnsi="Verdana" w:cs="Arial"/>
          <w:b/>
          <w:bCs/>
          <w:kern w:val="2"/>
          <w14:ligatures w14:val="standardContextual"/>
        </w:rPr>
        <w:t>Curso de Contratación Pública Sostenible y Socialmente Responsable</w:t>
      </w:r>
      <w:r w:rsidRPr="001B00E6">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00E6">
        <w:rPr>
          <w:rFonts w:ascii="Verdana" w:eastAsia="Aptos" w:hAnsi="Verdana" w:cs="Arial"/>
          <w:kern w:val="2"/>
          <w14:ligatures w14:val="standardContextual"/>
        </w:rPr>
        <w:br/>
      </w:r>
      <w:hyperlink r:id="rId14" w:tgtFrame="_new" w:history="1">
        <w:r w:rsidRPr="001B00E6">
          <w:rPr>
            <w:rFonts w:ascii="Verdana" w:eastAsia="Aptos" w:hAnsi="Verdana" w:cs="Arial"/>
            <w:color w:val="0000FF"/>
            <w:kern w:val="2"/>
            <w:u w:val="single"/>
            <w14:ligatures w14:val="standardContextual"/>
          </w:rPr>
          <w:t>https://formacionvirtual.colombiacompra.gov.co/mod/page/view.php?id=3718</w:t>
        </w:r>
      </w:hyperlink>
    </w:p>
    <w:p w14:paraId="57223FC6" w14:textId="77777777" w:rsidR="001B00E6" w:rsidRPr="001B00E6" w:rsidRDefault="001B00E6" w:rsidP="001B00E6">
      <w:pPr>
        <w:spacing w:after="0" w:line="276" w:lineRule="auto"/>
        <w:jc w:val="both"/>
        <w:rPr>
          <w:rFonts w:ascii="Verdana" w:eastAsia="Aptos" w:hAnsi="Verdana" w:cs="Arial"/>
          <w:kern w:val="2"/>
          <w14:ligatures w14:val="standardContextual"/>
        </w:rPr>
      </w:pPr>
      <w:r w:rsidRPr="001B00E6">
        <w:rPr>
          <w:rFonts w:ascii="Verdana" w:eastAsia="Aptos" w:hAnsi="Verdana" w:cs="Arial"/>
          <w:kern w:val="2"/>
          <w14:ligatures w14:val="standardContextual"/>
        </w:rPr>
        <w:t xml:space="preserve">De otro lado, te contamos que esta Agencia ha da un paso decisivo en la estandarización y modernización del </w:t>
      </w:r>
      <w:r w:rsidRPr="001B00E6">
        <w:rPr>
          <w:rFonts w:ascii="Verdana" w:eastAsia="Aptos" w:hAnsi="Verdana" w:cs="Arial"/>
          <w:b/>
          <w:bCs/>
          <w:kern w:val="2"/>
          <w14:ligatures w14:val="standardContextual"/>
        </w:rPr>
        <w:t>sector  social</w:t>
      </w:r>
      <w:r w:rsidRPr="001B00E6">
        <w:rPr>
          <w:rFonts w:ascii="Verdana" w:eastAsia="Aptos" w:hAnsi="Verdana" w:cs="Arial"/>
          <w:kern w:val="2"/>
          <w14:ligatures w14:val="standardContextual"/>
        </w:rPr>
        <w:t xml:space="preserve"> con la expedición de las </w:t>
      </w:r>
      <w:r w:rsidRPr="001B00E6">
        <w:rPr>
          <w:rFonts w:ascii="Verdana" w:eastAsia="Aptos" w:hAnsi="Verdana" w:cs="Arial"/>
          <w:b/>
          <w:bCs/>
          <w:kern w:val="2"/>
          <w14:ligatures w14:val="standardContextual"/>
        </w:rPr>
        <w:t>Resoluciones 539, 540, 541, 952 y 953 de 2025</w:t>
      </w:r>
      <w:r w:rsidRPr="001B00E6">
        <w:rPr>
          <w:rFonts w:ascii="Verdana" w:eastAsia="Aptos" w:hAnsi="Verdana" w:cs="Arial"/>
          <w:kern w:val="2"/>
          <w14:ligatures w14:val="standardContextual"/>
        </w:rPr>
        <w:t xml:space="preserve">, </w:t>
      </w:r>
      <w:r w:rsidRPr="001B00E6">
        <w:rPr>
          <w:rFonts w:ascii="Verdana" w:eastAsia="Aptos" w:hAnsi="Verdana" w:cs="Arial"/>
          <w:b/>
          <w:bCs/>
          <w:kern w:val="2"/>
          <w14:ligatures w14:val="standardContextual"/>
        </w:rPr>
        <w:t>mediante las cuales adoptó Documentos Tipo</w:t>
      </w:r>
      <w:r w:rsidRPr="001B00E6">
        <w:rPr>
          <w:rFonts w:ascii="Verdana" w:eastAsia="Aptos" w:hAnsi="Verdana" w:cs="Arial"/>
          <w:kern w:val="2"/>
          <w14:ligatures w14:val="standardContextual"/>
        </w:rPr>
        <w:t xml:space="preserve"> para las modalidades de selección de</w:t>
      </w:r>
      <w:r w:rsidRPr="001B00E6">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1B00E6">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00E6">
          <w:rPr>
            <w:rFonts w:ascii="Verdana" w:eastAsia="Aptos" w:hAnsi="Verdana" w:cs="Arial"/>
            <w:color w:val="0000FF"/>
            <w:kern w:val="2"/>
            <w:u w:val="single"/>
            <w14:ligatures w14:val="standardContextual"/>
          </w:rPr>
          <w:t>https://www.colombiacompra.gov.co/normativa-y-relatoria/documentos-tipo</w:t>
        </w:r>
      </w:hyperlink>
    </w:p>
    <w:p w14:paraId="57F574D5" w14:textId="77777777" w:rsidR="001B00E6" w:rsidRPr="001B00E6" w:rsidRDefault="001B00E6" w:rsidP="001B00E6">
      <w:pPr>
        <w:spacing w:after="0" w:line="276" w:lineRule="auto"/>
        <w:jc w:val="both"/>
        <w:rPr>
          <w:rFonts w:ascii="Verdana" w:eastAsia="Aptos" w:hAnsi="Verdana" w:cs="Arial"/>
          <w:kern w:val="2"/>
          <w14:ligatures w14:val="standardContextual"/>
        </w:rPr>
      </w:pPr>
    </w:p>
    <w:p w14:paraId="7E8FEA6A" w14:textId="77777777" w:rsidR="001B00E6" w:rsidRPr="001B00E6" w:rsidRDefault="001B00E6" w:rsidP="001B00E6">
      <w:pPr>
        <w:spacing w:after="0" w:line="276" w:lineRule="auto"/>
        <w:jc w:val="both"/>
        <w:rPr>
          <w:rFonts w:ascii="Verdana" w:eastAsia="Aptos" w:hAnsi="Verdana" w:cs="Arial"/>
          <w:kern w:val="2"/>
          <w14:ligatures w14:val="standardContextual"/>
        </w:rPr>
      </w:pPr>
      <w:r w:rsidRPr="001B00E6">
        <w:rPr>
          <w:rFonts w:ascii="Verdana" w:eastAsia="Aptos" w:hAnsi="Verdana" w:cs="Arial"/>
          <w:kern w:val="2"/>
          <w14:ligatures w14:val="standardContextual"/>
        </w:rPr>
        <w:t xml:space="preserve">Si quieres conocer más sobre la aplicación de Documentos Tipo puedes consultar la última versión de la </w:t>
      </w:r>
      <w:r w:rsidRPr="001B00E6">
        <w:rPr>
          <w:rFonts w:ascii="Verdana" w:eastAsia="Aptos" w:hAnsi="Verdana" w:cs="Arial"/>
          <w:b/>
          <w:bCs/>
          <w:kern w:val="2"/>
          <w14:ligatures w14:val="standardContextual"/>
        </w:rPr>
        <w:t>Guía para la comprensión e implementación de los Documentos Tipo de obra pública de infraestructura de transporte</w:t>
      </w:r>
      <w:r w:rsidRPr="001B00E6">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00E6">
        <w:rPr>
          <w:rFonts w:ascii="Verdana" w:eastAsia="Aptos" w:hAnsi="Verdana" w:cs="Arial"/>
          <w:kern w:val="2"/>
          <w14:ligatures w14:val="standardContextual"/>
        </w:rPr>
        <w:br/>
      </w:r>
      <w:hyperlink r:id="rId16" w:tgtFrame="_new" w:history="1">
        <w:r w:rsidRPr="001B00E6">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7220D8F2" w14:textId="77777777" w:rsidR="001B00E6" w:rsidRPr="001B00E6" w:rsidRDefault="001B00E6" w:rsidP="001B00E6">
      <w:pPr>
        <w:spacing w:after="0"/>
        <w:jc w:val="both"/>
        <w:rPr>
          <w:rFonts w:ascii="Verdana" w:eastAsia="Aptos" w:hAnsi="Verdana" w:cs="Times New Roman"/>
          <w:color w:val="212121"/>
        </w:rPr>
      </w:pPr>
    </w:p>
    <w:p w14:paraId="712FA03E" w14:textId="77777777" w:rsidR="001B00E6" w:rsidRPr="001B00E6" w:rsidRDefault="001B00E6" w:rsidP="001B00E6">
      <w:pPr>
        <w:spacing w:after="0" w:line="240" w:lineRule="auto"/>
        <w:jc w:val="both"/>
        <w:rPr>
          <w:rFonts w:ascii="Verdana" w:eastAsia="Calibri" w:hAnsi="Verdana" w:cs="Times New Roman"/>
        </w:rPr>
      </w:pPr>
      <w:r w:rsidRPr="001B00E6">
        <w:rPr>
          <w:rFonts w:ascii="Verdana" w:eastAsia="Aptos" w:hAnsi="Verdana" w:cs="Times New Roman"/>
        </w:rPr>
        <w:t xml:space="preserve">Por último, lo invitamos a seguirnos en las redes sociales en las cuales se difunde información institucional: </w:t>
      </w:r>
    </w:p>
    <w:p w14:paraId="4B234CC1" w14:textId="77777777" w:rsidR="001B00E6" w:rsidRPr="001B00E6" w:rsidRDefault="001B00E6" w:rsidP="001B00E6">
      <w:pPr>
        <w:spacing w:after="0" w:line="240" w:lineRule="auto"/>
        <w:jc w:val="both"/>
        <w:rPr>
          <w:rFonts w:ascii="Verdana" w:eastAsia="Aptos" w:hAnsi="Verdana" w:cs="Times New Roman"/>
        </w:rPr>
      </w:pPr>
    </w:p>
    <w:p w14:paraId="2444670D" w14:textId="77777777" w:rsidR="001B00E6" w:rsidRPr="001B00E6" w:rsidRDefault="001B00E6" w:rsidP="001B00E6">
      <w:pPr>
        <w:spacing w:after="0" w:line="240" w:lineRule="auto"/>
        <w:jc w:val="both"/>
        <w:rPr>
          <w:rFonts w:ascii="Verdana" w:eastAsia="Aptos" w:hAnsi="Verdana" w:cs="Times New Roman"/>
        </w:rPr>
      </w:pPr>
      <w:r w:rsidRPr="001B00E6">
        <w:rPr>
          <w:rFonts w:ascii="Verdana" w:eastAsia="Aptos" w:hAnsi="Verdana" w:cs="Times New Roman"/>
        </w:rPr>
        <w:t xml:space="preserve">Twitter: </w:t>
      </w:r>
      <w:r w:rsidRPr="001B00E6">
        <w:rPr>
          <w:rFonts w:ascii="Verdana" w:eastAsia="Calibri" w:hAnsi="Verdana" w:cs="Times New Roman"/>
          <w:color w:val="156082"/>
          <w:u w:val="single"/>
        </w:rPr>
        <w:t>@colombiacompra</w:t>
      </w:r>
      <w:r w:rsidRPr="001B00E6">
        <w:rPr>
          <w:rFonts w:ascii="Verdana" w:eastAsia="Calibri" w:hAnsi="Verdana" w:cs="Times New Roman"/>
          <w:color w:val="156082"/>
        </w:rPr>
        <w:t xml:space="preserve"> </w:t>
      </w:r>
    </w:p>
    <w:p w14:paraId="6F321684" w14:textId="77777777" w:rsidR="001B00E6" w:rsidRPr="001B00E6" w:rsidRDefault="001B00E6" w:rsidP="001B00E6">
      <w:pPr>
        <w:spacing w:after="0" w:line="240" w:lineRule="auto"/>
        <w:jc w:val="both"/>
        <w:rPr>
          <w:rFonts w:ascii="Verdana" w:eastAsia="Aptos" w:hAnsi="Verdana" w:cs="Times New Roman"/>
        </w:rPr>
      </w:pPr>
      <w:r w:rsidRPr="001B00E6">
        <w:rPr>
          <w:rFonts w:ascii="Verdana" w:eastAsia="Aptos" w:hAnsi="Verdana" w:cs="Times New Roman"/>
        </w:rPr>
        <w:lastRenderedPageBreak/>
        <w:t xml:space="preserve">Facebook: </w:t>
      </w:r>
      <w:proofErr w:type="spellStart"/>
      <w:r w:rsidRPr="001B00E6">
        <w:rPr>
          <w:rFonts w:ascii="Verdana" w:eastAsia="Calibri" w:hAnsi="Verdana" w:cs="Times New Roman"/>
          <w:color w:val="156082"/>
          <w:u w:val="single"/>
        </w:rPr>
        <w:t>ColombiaCompraEficiente</w:t>
      </w:r>
      <w:proofErr w:type="spellEnd"/>
    </w:p>
    <w:p w14:paraId="6F96BA04" w14:textId="77777777" w:rsidR="001B00E6" w:rsidRPr="001B00E6" w:rsidRDefault="001B00E6" w:rsidP="001B00E6">
      <w:pPr>
        <w:spacing w:after="0" w:line="240" w:lineRule="auto"/>
        <w:jc w:val="both"/>
        <w:rPr>
          <w:rFonts w:ascii="Verdana" w:eastAsia="Aptos" w:hAnsi="Verdana" w:cs="Times New Roman"/>
        </w:rPr>
      </w:pPr>
      <w:r w:rsidRPr="001B00E6">
        <w:rPr>
          <w:rFonts w:ascii="Verdana" w:eastAsia="Aptos" w:hAnsi="Verdana" w:cs="Times New Roman"/>
        </w:rPr>
        <w:t xml:space="preserve">LinkedIn: </w:t>
      </w:r>
      <w:r w:rsidRPr="001B00E6">
        <w:rPr>
          <w:rFonts w:ascii="Verdana" w:eastAsia="Calibri" w:hAnsi="Verdana" w:cs="Times New Roman"/>
          <w:color w:val="156082"/>
          <w:u w:val="single"/>
        </w:rPr>
        <w:t>Agencia Nacional de Contratación Pública - Colombia Compra Eficiente</w:t>
      </w:r>
      <w:r w:rsidRPr="001B00E6">
        <w:rPr>
          <w:rFonts w:ascii="Verdana" w:eastAsia="Calibri" w:hAnsi="Verdana" w:cs="Times New Roman"/>
          <w:color w:val="156082"/>
        </w:rPr>
        <w:t xml:space="preserve"> </w:t>
      </w:r>
      <w:r w:rsidRPr="001B00E6">
        <w:rPr>
          <w:rFonts w:ascii="Verdana" w:eastAsia="Aptos" w:hAnsi="Verdana" w:cs="Times New Roman"/>
        </w:rPr>
        <w:t xml:space="preserve">Instagram: </w:t>
      </w:r>
      <w:r w:rsidRPr="001B00E6">
        <w:rPr>
          <w:rFonts w:ascii="Verdana" w:eastAsia="Calibri" w:hAnsi="Verdana" w:cs="Times New Roman"/>
          <w:color w:val="156082"/>
          <w:u w:val="single"/>
        </w:rPr>
        <w:t>@colombiacompraeficiente_cce</w:t>
      </w:r>
    </w:p>
    <w:p w14:paraId="046B133C" w14:textId="77777777" w:rsidR="001B00E6" w:rsidRPr="001B00E6" w:rsidRDefault="001B00E6" w:rsidP="001B00E6">
      <w:pPr>
        <w:spacing w:after="0" w:line="276" w:lineRule="auto"/>
        <w:jc w:val="both"/>
        <w:rPr>
          <w:rFonts w:ascii="Verdana" w:eastAsia="Aptos" w:hAnsi="Verdana" w:cs="Times New Roman"/>
        </w:rPr>
      </w:pPr>
    </w:p>
    <w:p w14:paraId="1ACD87F1" w14:textId="77777777" w:rsidR="001B00E6" w:rsidRPr="001B00E6" w:rsidRDefault="001B00E6" w:rsidP="001B00E6">
      <w:pPr>
        <w:spacing w:after="0" w:line="276" w:lineRule="auto"/>
        <w:jc w:val="both"/>
        <w:rPr>
          <w:rFonts w:ascii="Verdana" w:eastAsia="Calibri" w:hAnsi="Verdana" w:cs="Times New Roman"/>
          <w:bCs/>
          <w:lang w:val="es-ES_tradnl"/>
        </w:rPr>
      </w:pPr>
      <w:r w:rsidRPr="001B00E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9E4E34B" w14:textId="77777777" w:rsidR="001B00E6" w:rsidRPr="001B00E6" w:rsidRDefault="001B00E6" w:rsidP="001B00E6">
      <w:pPr>
        <w:spacing w:after="0" w:line="276" w:lineRule="auto"/>
        <w:jc w:val="both"/>
        <w:rPr>
          <w:rFonts w:ascii="Verdana" w:eastAsia="Calibri" w:hAnsi="Verdana" w:cs="Times New Roman"/>
        </w:rPr>
      </w:pPr>
    </w:p>
    <w:p w14:paraId="3CF09DAC" w14:textId="77777777" w:rsidR="001B00E6" w:rsidRPr="001B00E6" w:rsidRDefault="001B00E6" w:rsidP="001B00E6">
      <w:pPr>
        <w:spacing w:after="0" w:line="276" w:lineRule="auto"/>
        <w:jc w:val="both"/>
        <w:rPr>
          <w:rFonts w:ascii="Verdana" w:eastAsia="Calibri" w:hAnsi="Verdana" w:cs="Times New Roman"/>
        </w:rPr>
      </w:pPr>
      <w:r w:rsidRPr="001B00E6">
        <w:rPr>
          <w:rFonts w:ascii="Verdana" w:eastAsia="Calibri" w:hAnsi="Verdana" w:cs="Times New Roman"/>
        </w:rPr>
        <w:t>Atentamente,</w:t>
      </w:r>
    </w:p>
    <w:p w14:paraId="75DD98C3" w14:textId="3CC0D6DD" w:rsidR="001B00E6" w:rsidRPr="001B00E6" w:rsidRDefault="00CD0337" w:rsidP="001B00E6">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4CFFB6DF" wp14:editId="09177A02">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1B00E6" w:rsidRPr="001B00E6" w14:paraId="705938B9" w14:textId="77777777" w:rsidTr="068D7F8D">
        <w:trPr>
          <w:trHeight w:val="323"/>
        </w:trPr>
        <w:tc>
          <w:tcPr>
            <w:tcW w:w="1041" w:type="dxa"/>
            <w:vAlign w:val="center"/>
            <w:hideMark/>
          </w:tcPr>
          <w:p w14:paraId="513A6368" w14:textId="77777777" w:rsidR="001B00E6" w:rsidRPr="001B00E6" w:rsidRDefault="001B00E6" w:rsidP="001B00E6">
            <w:pPr>
              <w:rPr>
                <w:rFonts w:ascii="Verdana" w:eastAsia="Calibri" w:hAnsi="Verdana" w:cs="Arial"/>
                <w:sz w:val="16"/>
                <w:szCs w:val="16"/>
                <w:lang w:val="es-ES_tradnl" w:eastAsia="es-ES"/>
              </w:rPr>
            </w:pPr>
            <w:r w:rsidRPr="001B00E6">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48045C48" w14:textId="77777777" w:rsidR="001B00E6" w:rsidRPr="001B00E6" w:rsidRDefault="001B00E6" w:rsidP="001B00E6">
            <w:pPr>
              <w:rPr>
                <w:rFonts w:ascii="Verdana" w:eastAsia="Arial" w:hAnsi="Verdana" w:cs="Arial"/>
                <w:sz w:val="16"/>
                <w:szCs w:val="16"/>
                <w:lang w:val="es-ES"/>
              </w:rPr>
            </w:pPr>
            <w:r w:rsidRPr="001B00E6">
              <w:rPr>
                <w:rFonts w:ascii="Verdana" w:eastAsia="Arial" w:hAnsi="Verdana" w:cs="Arial"/>
                <w:sz w:val="16"/>
                <w:szCs w:val="16"/>
                <w:lang w:val="es-ES"/>
              </w:rPr>
              <w:t xml:space="preserve">Carlos Mario Castrillón Endo </w:t>
            </w:r>
          </w:p>
          <w:p w14:paraId="6A550547" w14:textId="77777777" w:rsidR="001B00E6" w:rsidRPr="001B00E6" w:rsidRDefault="001B00E6" w:rsidP="001B00E6">
            <w:pPr>
              <w:rPr>
                <w:rFonts w:ascii="Verdana" w:eastAsia="Arial" w:hAnsi="Verdana" w:cs="Arial"/>
                <w:sz w:val="16"/>
                <w:szCs w:val="16"/>
                <w:lang w:val="es-ES_tradnl"/>
              </w:rPr>
            </w:pPr>
            <w:r w:rsidRPr="001B00E6">
              <w:rPr>
                <w:rFonts w:ascii="Verdana" w:eastAsia="Arial" w:hAnsi="Verdana" w:cs="Arial"/>
                <w:sz w:val="16"/>
                <w:szCs w:val="16"/>
                <w:lang w:val="es-ES_tradnl"/>
              </w:rPr>
              <w:t>Contratista de la Subdirección de Gestión Contractual</w:t>
            </w:r>
          </w:p>
          <w:p w14:paraId="5AB86DCD" w14:textId="77777777" w:rsidR="001B00E6" w:rsidRPr="001B00E6" w:rsidRDefault="001B00E6" w:rsidP="001B00E6">
            <w:pPr>
              <w:rPr>
                <w:rFonts w:ascii="Verdana" w:eastAsia="Arial" w:hAnsi="Verdana" w:cs="Arial"/>
                <w:sz w:val="16"/>
                <w:szCs w:val="16"/>
                <w:lang w:val="es-ES_tradnl"/>
              </w:rPr>
            </w:pPr>
          </w:p>
        </w:tc>
      </w:tr>
      <w:tr w:rsidR="001B00E6" w:rsidRPr="001B00E6" w14:paraId="6E6F55F1" w14:textId="77777777" w:rsidTr="068D7F8D">
        <w:trPr>
          <w:trHeight w:val="338"/>
        </w:trPr>
        <w:tc>
          <w:tcPr>
            <w:tcW w:w="1041" w:type="dxa"/>
            <w:vAlign w:val="center"/>
            <w:hideMark/>
          </w:tcPr>
          <w:p w14:paraId="29E1F696" w14:textId="77777777" w:rsidR="001B00E6" w:rsidRPr="001B00E6" w:rsidRDefault="001B00E6" w:rsidP="001B00E6">
            <w:pPr>
              <w:rPr>
                <w:rFonts w:ascii="Verdana" w:eastAsia="Calibri" w:hAnsi="Verdana" w:cs="Arial"/>
                <w:sz w:val="16"/>
                <w:szCs w:val="16"/>
                <w:lang w:val="es-ES_tradnl" w:eastAsia="es-ES"/>
              </w:rPr>
            </w:pPr>
            <w:r w:rsidRPr="001B00E6">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5CBDA930" w14:textId="77777777" w:rsidR="001B00E6" w:rsidRPr="001B00E6" w:rsidRDefault="001B00E6" w:rsidP="068D7F8D">
            <w:pPr>
              <w:rPr>
                <w:rFonts w:ascii="Verdana" w:eastAsia="Arial" w:hAnsi="Verdana" w:cs="Arial"/>
                <w:sz w:val="16"/>
                <w:szCs w:val="16"/>
                <w:lang w:val="es-ES"/>
              </w:rPr>
            </w:pPr>
            <w:r w:rsidRPr="068D7F8D">
              <w:rPr>
                <w:rFonts w:ascii="Verdana" w:eastAsia="Arial" w:hAnsi="Verdana" w:cs="Arial"/>
                <w:sz w:val="16"/>
                <w:szCs w:val="16"/>
                <w:lang w:val="es-ES"/>
              </w:rPr>
              <w:t xml:space="preserve">Lida Milena </w:t>
            </w:r>
            <w:proofErr w:type="spellStart"/>
            <w:r w:rsidRPr="068D7F8D">
              <w:rPr>
                <w:rFonts w:ascii="Verdana" w:eastAsia="Arial" w:hAnsi="Verdana" w:cs="Arial"/>
                <w:sz w:val="16"/>
                <w:szCs w:val="16"/>
                <w:lang w:val="es-ES"/>
              </w:rPr>
              <w:t>Guanumen</w:t>
            </w:r>
            <w:proofErr w:type="spellEnd"/>
            <w:r w:rsidRPr="068D7F8D">
              <w:rPr>
                <w:rFonts w:ascii="Verdana" w:eastAsia="Arial" w:hAnsi="Verdana" w:cs="Arial"/>
                <w:sz w:val="16"/>
                <w:szCs w:val="16"/>
                <w:lang w:val="es-ES"/>
              </w:rPr>
              <w:t xml:space="preserve"> Pacheco</w:t>
            </w:r>
          </w:p>
          <w:p w14:paraId="73108853" w14:textId="77777777" w:rsidR="001B00E6" w:rsidRPr="001B00E6" w:rsidRDefault="001B00E6" w:rsidP="001B00E6">
            <w:pPr>
              <w:rPr>
                <w:rFonts w:ascii="Verdana" w:eastAsia="Arial" w:hAnsi="Verdana" w:cs="Arial"/>
                <w:sz w:val="16"/>
                <w:szCs w:val="16"/>
                <w:lang w:val="es-ES"/>
              </w:rPr>
            </w:pPr>
            <w:r w:rsidRPr="001B00E6">
              <w:rPr>
                <w:rFonts w:ascii="Verdana" w:eastAsia="Arial" w:hAnsi="Verdana" w:cs="Arial"/>
                <w:sz w:val="16"/>
                <w:szCs w:val="16"/>
                <w:lang w:val="es-ES_tradnl"/>
              </w:rPr>
              <w:t>Contratista de la Subdirección de Gestión Contractual</w:t>
            </w:r>
          </w:p>
          <w:p w14:paraId="5C4ADBF3" w14:textId="77777777" w:rsidR="001B00E6" w:rsidRPr="001B00E6" w:rsidRDefault="001B00E6" w:rsidP="001B00E6">
            <w:pPr>
              <w:rPr>
                <w:rFonts w:ascii="Verdana" w:eastAsia="Arial" w:hAnsi="Verdana" w:cs="Arial"/>
                <w:sz w:val="16"/>
                <w:szCs w:val="16"/>
                <w:lang w:val="es-ES"/>
              </w:rPr>
            </w:pPr>
            <w:r w:rsidRPr="001B00E6">
              <w:rPr>
                <w:rFonts w:ascii="Verdana" w:eastAsia="Arial" w:hAnsi="Verdana" w:cs="Arial"/>
                <w:sz w:val="16"/>
                <w:szCs w:val="16"/>
                <w:lang w:val="es-ES"/>
              </w:rPr>
              <w:t>Juan David Cárdenas Cabeza</w:t>
            </w:r>
          </w:p>
          <w:p w14:paraId="3EE4E699" w14:textId="77777777" w:rsidR="001B00E6" w:rsidRPr="001B00E6" w:rsidRDefault="001B00E6" w:rsidP="001B00E6">
            <w:pPr>
              <w:rPr>
                <w:rFonts w:ascii="Verdana" w:eastAsia="Arial" w:hAnsi="Verdana" w:cs="Arial"/>
                <w:sz w:val="16"/>
                <w:szCs w:val="16"/>
                <w:lang w:val="es-ES_tradnl"/>
              </w:rPr>
            </w:pPr>
            <w:r w:rsidRPr="001B00E6">
              <w:rPr>
                <w:rFonts w:ascii="Verdana" w:eastAsia="Arial" w:hAnsi="Verdana" w:cs="Arial"/>
                <w:sz w:val="16"/>
                <w:szCs w:val="16"/>
                <w:lang w:val="es-ES_tradnl"/>
              </w:rPr>
              <w:t>Contratista de la Subdirección de Gestión Contractual</w:t>
            </w:r>
          </w:p>
        </w:tc>
      </w:tr>
      <w:tr w:rsidR="001B00E6" w:rsidRPr="001B00E6" w14:paraId="34C3CD58" w14:textId="77777777" w:rsidTr="068D7F8D">
        <w:trPr>
          <w:trHeight w:val="308"/>
        </w:trPr>
        <w:tc>
          <w:tcPr>
            <w:tcW w:w="1041" w:type="dxa"/>
            <w:vAlign w:val="center"/>
          </w:tcPr>
          <w:p w14:paraId="40410100" w14:textId="77777777" w:rsidR="001B00E6" w:rsidRPr="001B00E6" w:rsidRDefault="001B00E6" w:rsidP="001B00E6">
            <w:pPr>
              <w:rPr>
                <w:rFonts w:ascii="Verdana" w:eastAsia="Calibri" w:hAnsi="Verdana" w:cs="Arial"/>
                <w:sz w:val="16"/>
                <w:szCs w:val="16"/>
                <w:lang w:val="es-ES_tradnl" w:eastAsia="es-ES"/>
              </w:rPr>
            </w:pPr>
            <w:r w:rsidRPr="001B00E6">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18D03FFC" w14:textId="77777777" w:rsidR="001B00E6" w:rsidRPr="001B00E6" w:rsidRDefault="001B00E6" w:rsidP="001B00E6">
            <w:pPr>
              <w:rPr>
                <w:rFonts w:ascii="Verdana" w:eastAsia="Calibri" w:hAnsi="Verdana" w:cs="Arial"/>
                <w:sz w:val="16"/>
                <w:szCs w:val="16"/>
                <w:lang w:val="es-ES" w:eastAsia="es-ES"/>
              </w:rPr>
            </w:pPr>
            <w:r w:rsidRPr="001B00E6">
              <w:rPr>
                <w:rFonts w:ascii="Verdana" w:eastAsia="Calibri" w:hAnsi="Verdana" w:cs="Arial"/>
                <w:sz w:val="16"/>
                <w:szCs w:val="16"/>
                <w:lang w:val="es-ES" w:eastAsia="es-ES"/>
              </w:rPr>
              <w:t>Carolina Quintero Gacharná</w:t>
            </w:r>
          </w:p>
          <w:p w14:paraId="08335801" w14:textId="77777777" w:rsidR="001B00E6" w:rsidRPr="001B00E6" w:rsidRDefault="001B00E6" w:rsidP="001B00E6">
            <w:pPr>
              <w:rPr>
                <w:rFonts w:ascii="Verdana" w:eastAsia="Calibri" w:hAnsi="Verdana" w:cs="Arial"/>
                <w:sz w:val="16"/>
                <w:szCs w:val="16"/>
                <w:lang w:val="es-ES_tradnl" w:eastAsia="es-ES"/>
              </w:rPr>
            </w:pPr>
            <w:r w:rsidRPr="001B00E6">
              <w:rPr>
                <w:rFonts w:ascii="Verdana" w:eastAsia="Calibri" w:hAnsi="Verdana" w:cs="Arial"/>
                <w:sz w:val="16"/>
                <w:szCs w:val="16"/>
                <w:lang w:val="es-ES_tradnl" w:eastAsia="es-ES"/>
              </w:rPr>
              <w:t>Subdirectora de Gestión Contractual ANCP – CCE</w:t>
            </w:r>
          </w:p>
        </w:tc>
      </w:tr>
    </w:tbl>
    <w:p w14:paraId="56A97E89" w14:textId="77777777" w:rsidR="001B00E6" w:rsidRPr="001B00E6" w:rsidRDefault="001B00E6" w:rsidP="001B00E6">
      <w:pPr>
        <w:rPr>
          <w:rFonts w:ascii="Calibri" w:eastAsia="Calibri" w:hAnsi="Calibri" w:cs="Times New Roman"/>
        </w:rPr>
      </w:pPr>
    </w:p>
    <w:p w14:paraId="69BC4D14" w14:textId="5D2D3327"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6DAB6" w14:textId="77777777" w:rsidR="009A581C" w:rsidRDefault="009A581C" w:rsidP="004A1847">
      <w:pPr>
        <w:spacing w:after="0" w:line="240" w:lineRule="auto"/>
      </w:pPr>
      <w:r>
        <w:separator/>
      </w:r>
    </w:p>
  </w:endnote>
  <w:endnote w:type="continuationSeparator" w:id="0">
    <w:p w14:paraId="38EAB665" w14:textId="77777777" w:rsidR="009A581C" w:rsidRDefault="009A581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1B00E6">
      <w:rPr>
        <w:rFonts w:ascii="Verdana" w:eastAsia="Verdana" w:hAnsi="Verdana" w:cs="Verdana"/>
        <w:b/>
        <w:bCs/>
        <w:color w:val="000000"/>
        <w:sz w:val="18"/>
        <w:szCs w:val="18"/>
        <w:lang w:eastAsia="es-CO"/>
      </w:rPr>
      <w:t xml:space="preserve">Código: </w:t>
    </w:r>
    <w:r w:rsidRPr="001B00E6">
      <w:rPr>
        <w:rFonts w:ascii="Verdana" w:eastAsia="Verdana" w:hAnsi="Verdana" w:cs="Verdana"/>
        <w:color w:val="000000"/>
        <w:sz w:val="18"/>
        <w:szCs w:val="18"/>
        <w:lang w:eastAsia="es-CO"/>
      </w:rPr>
      <w:t xml:space="preserve">CCE-REC-FM-17 </w:t>
    </w:r>
    <w:r w:rsidRPr="001B00E6">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65DDB" w14:textId="77777777" w:rsidR="009A581C" w:rsidRDefault="009A581C" w:rsidP="004A1847">
      <w:pPr>
        <w:spacing w:after="0" w:line="240" w:lineRule="auto"/>
      </w:pPr>
      <w:r>
        <w:separator/>
      </w:r>
    </w:p>
  </w:footnote>
  <w:footnote w:type="continuationSeparator" w:id="0">
    <w:p w14:paraId="2437EAE3" w14:textId="77777777" w:rsidR="009A581C" w:rsidRDefault="009A581C" w:rsidP="004A1847">
      <w:pPr>
        <w:spacing w:after="0" w:line="240" w:lineRule="auto"/>
      </w:pPr>
      <w:r>
        <w:continuationSeparator/>
      </w:r>
    </w:p>
  </w:footnote>
  <w:footnote w:id="1">
    <w:p w14:paraId="48F7FEC7" w14:textId="77777777" w:rsidR="001B00E6" w:rsidRPr="00F46224" w:rsidRDefault="001B00E6" w:rsidP="001B00E6">
      <w:pPr>
        <w:pStyle w:val="Textonotapie"/>
        <w:ind w:firstLine="708"/>
        <w:rPr>
          <w:rFonts w:ascii="Verdana" w:eastAsia="Calibri" w:hAnsi="Verdana" w:cs="Arial"/>
          <w:color w:val="000000"/>
          <w:sz w:val="18"/>
          <w:szCs w:val="18"/>
          <w:lang w:val="es-ES_tradnl"/>
        </w:rPr>
      </w:pPr>
      <w:r w:rsidRPr="00D615FB">
        <w:rPr>
          <w:rStyle w:val="Refdenotaalpie"/>
          <w:rFonts w:ascii="Verdana" w:hAnsi="Verdana"/>
          <w:sz w:val="18"/>
          <w:szCs w:val="18"/>
        </w:rPr>
        <w:footnoteRef/>
      </w:r>
      <w:r w:rsidRPr="00D615FB">
        <w:rPr>
          <w:rFonts w:ascii="Verdana" w:hAnsi="Verdana"/>
          <w:sz w:val="18"/>
          <w:szCs w:val="18"/>
        </w:rPr>
        <w:t xml:space="preserve"> </w:t>
      </w:r>
      <w:r w:rsidRPr="00F46224">
        <w:rPr>
          <w:rFonts w:ascii="Verdana" w:eastAsia="Calibri" w:hAnsi="Verdana" w:cs="Arial"/>
          <w:color w:val="000000"/>
          <w:sz w:val="18"/>
          <w:szCs w:val="18"/>
          <w:lang w:val="es-ES_tradnl"/>
        </w:rPr>
        <w:t>Numeral 1 del artículo 32 de la Ley 80 de 1993.</w:t>
      </w:r>
    </w:p>
    <w:p w14:paraId="6CF5E53E" w14:textId="77777777" w:rsidR="001B00E6" w:rsidRPr="00D615FB" w:rsidRDefault="001B00E6" w:rsidP="001B00E6">
      <w:pPr>
        <w:pStyle w:val="Textonotapie"/>
        <w:ind w:firstLine="708"/>
        <w:rPr>
          <w:rFonts w:ascii="Verdana" w:hAnsi="Verdana"/>
          <w:sz w:val="18"/>
          <w:szCs w:val="18"/>
        </w:rPr>
      </w:pPr>
    </w:p>
  </w:footnote>
  <w:footnote w:id="2">
    <w:p w14:paraId="30686A45" w14:textId="77777777" w:rsidR="001B00E6" w:rsidRPr="00D615FB" w:rsidRDefault="001B00E6" w:rsidP="001B00E6">
      <w:pPr>
        <w:pStyle w:val="Textonotapie"/>
        <w:ind w:firstLine="708"/>
        <w:jc w:val="both"/>
        <w:rPr>
          <w:rFonts w:ascii="Verdana" w:hAnsi="Verdana"/>
          <w:sz w:val="18"/>
          <w:szCs w:val="18"/>
        </w:rPr>
      </w:pPr>
      <w:r w:rsidRPr="00D615FB">
        <w:rPr>
          <w:rStyle w:val="Refdenotaalpie"/>
          <w:rFonts w:ascii="Verdana" w:hAnsi="Verdana"/>
          <w:sz w:val="18"/>
          <w:szCs w:val="18"/>
        </w:rPr>
        <w:footnoteRef/>
      </w:r>
      <w:r w:rsidRPr="00D615FB">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0C19E87" w14:textId="77777777" w:rsidR="001B00E6" w:rsidRPr="00D615FB" w:rsidRDefault="001B00E6" w:rsidP="001B00E6">
      <w:pPr>
        <w:pStyle w:val="Textonotapie"/>
        <w:ind w:firstLine="708"/>
        <w:jc w:val="both"/>
        <w:rPr>
          <w:rFonts w:ascii="Verdana" w:hAnsi="Verdana"/>
          <w:sz w:val="18"/>
          <w:szCs w:val="18"/>
        </w:rPr>
      </w:pPr>
    </w:p>
    <w:p w14:paraId="0EEB6322" w14:textId="77777777" w:rsidR="001B00E6" w:rsidRPr="00D615FB" w:rsidRDefault="001B00E6" w:rsidP="001B00E6">
      <w:pPr>
        <w:pStyle w:val="Textonotapie"/>
        <w:ind w:firstLine="708"/>
        <w:jc w:val="both"/>
        <w:rPr>
          <w:rFonts w:ascii="Verdana" w:hAnsi="Verdana"/>
          <w:sz w:val="18"/>
          <w:szCs w:val="18"/>
        </w:rPr>
      </w:pPr>
      <w:r w:rsidRPr="00D615FB">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746CAC4" w14:textId="77777777" w:rsidR="001B00E6" w:rsidRPr="00D615FB" w:rsidRDefault="001B00E6" w:rsidP="001B00E6">
      <w:pPr>
        <w:pStyle w:val="Textonotapie"/>
        <w:ind w:firstLine="708"/>
        <w:jc w:val="both"/>
        <w:rPr>
          <w:rFonts w:ascii="Verdana" w:hAnsi="Verdana"/>
          <w:sz w:val="18"/>
          <w:szCs w:val="18"/>
        </w:rPr>
      </w:pPr>
    </w:p>
    <w:p w14:paraId="71DDC2FA" w14:textId="77777777" w:rsidR="001B00E6" w:rsidRPr="00D615FB" w:rsidRDefault="001B00E6" w:rsidP="001B00E6">
      <w:pPr>
        <w:pStyle w:val="Textonotapie"/>
        <w:ind w:firstLine="708"/>
        <w:jc w:val="both"/>
        <w:rPr>
          <w:rFonts w:ascii="Verdana" w:hAnsi="Verdana"/>
          <w:sz w:val="18"/>
          <w:szCs w:val="18"/>
        </w:rPr>
      </w:pPr>
      <w:r w:rsidRPr="00D615FB">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38DE1BC" w14:textId="77777777" w:rsidR="001B00E6" w:rsidRPr="00D615FB" w:rsidRDefault="001B00E6" w:rsidP="001B00E6">
      <w:pPr>
        <w:pStyle w:val="Textonotapie"/>
        <w:ind w:firstLine="708"/>
        <w:jc w:val="both"/>
        <w:rPr>
          <w:rFonts w:ascii="Verdana" w:hAnsi="Verdana"/>
          <w:sz w:val="18"/>
          <w:szCs w:val="18"/>
        </w:rPr>
      </w:pPr>
    </w:p>
    <w:p w14:paraId="5519DF4F" w14:textId="77777777" w:rsidR="001B00E6" w:rsidRPr="00D615FB" w:rsidRDefault="001B00E6" w:rsidP="001B00E6">
      <w:pPr>
        <w:pStyle w:val="Textonotapie"/>
        <w:ind w:firstLine="708"/>
        <w:jc w:val="both"/>
        <w:rPr>
          <w:rFonts w:ascii="Verdana" w:hAnsi="Verdana"/>
          <w:sz w:val="18"/>
          <w:szCs w:val="18"/>
        </w:rPr>
      </w:pPr>
      <w:r w:rsidRPr="00D615FB">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C98B6C2" w14:textId="77777777" w:rsidR="001B00E6" w:rsidRPr="00D615FB" w:rsidRDefault="001B00E6" w:rsidP="001B00E6">
      <w:pPr>
        <w:pStyle w:val="Textonotapie"/>
        <w:ind w:firstLine="708"/>
        <w:jc w:val="both"/>
        <w:rPr>
          <w:rFonts w:ascii="Verdana" w:hAnsi="Verdana"/>
          <w:sz w:val="18"/>
          <w:szCs w:val="18"/>
        </w:rPr>
      </w:pPr>
    </w:p>
    <w:p w14:paraId="69A8213E" w14:textId="77777777" w:rsidR="001B00E6" w:rsidRPr="00D615FB" w:rsidRDefault="001B00E6" w:rsidP="001B00E6">
      <w:pPr>
        <w:pStyle w:val="Textonotapie"/>
        <w:ind w:firstLine="708"/>
        <w:jc w:val="both"/>
        <w:rPr>
          <w:rFonts w:ascii="Verdana" w:hAnsi="Verdana"/>
          <w:sz w:val="18"/>
          <w:szCs w:val="18"/>
        </w:rPr>
      </w:pPr>
      <w:r w:rsidRPr="00D615FB">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72102F85" w14:textId="77777777" w:rsidR="001B00E6" w:rsidRPr="00F46224" w:rsidRDefault="001B00E6" w:rsidP="001B00E6">
      <w:pPr>
        <w:pStyle w:val="Textonotapie"/>
        <w:ind w:firstLine="708"/>
        <w:rPr>
          <w:rFonts w:ascii="Verdana" w:eastAsia="Calibri" w:hAnsi="Verdana" w:cs="Arial"/>
          <w:color w:val="000000"/>
          <w:sz w:val="18"/>
          <w:szCs w:val="18"/>
          <w:lang w:val="es-ES_tradnl"/>
        </w:rPr>
      </w:pPr>
      <w:r w:rsidRPr="00D615FB">
        <w:rPr>
          <w:rStyle w:val="Refdenotaalpie"/>
          <w:rFonts w:ascii="Verdana" w:hAnsi="Verdana"/>
          <w:sz w:val="18"/>
          <w:szCs w:val="18"/>
        </w:rPr>
        <w:footnoteRef/>
      </w:r>
      <w:r w:rsidRPr="00D615FB">
        <w:rPr>
          <w:rFonts w:ascii="Verdana" w:hAnsi="Verdana"/>
          <w:sz w:val="18"/>
          <w:szCs w:val="18"/>
        </w:rPr>
        <w:t xml:space="preserve"> </w:t>
      </w:r>
      <w:r w:rsidRPr="00F46224">
        <w:rPr>
          <w:rFonts w:ascii="Verdana" w:eastAsia="Calibri" w:hAnsi="Verdana" w:cs="Arial"/>
          <w:color w:val="000000"/>
          <w:sz w:val="18"/>
          <w:szCs w:val="18"/>
          <w:lang w:val="es-ES_tradnl"/>
        </w:rPr>
        <w:t>Numeral 1 del artículo 32 de la Ley 80 de 1993.</w:t>
      </w:r>
    </w:p>
    <w:p w14:paraId="71FC0603" w14:textId="77777777" w:rsidR="001B00E6" w:rsidRPr="00D615FB" w:rsidRDefault="001B00E6" w:rsidP="001B00E6">
      <w:pPr>
        <w:pStyle w:val="Textonotapie"/>
        <w:ind w:firstLine="708"/>
        <w:rPr>
          <w:rFonts w:ascii="Verdana" w:hAnsi="Verdana"/>
          <w:sz w:val="18"/>
          <w:szCs w:val="18"/>
        </w:rPr>
      </w:pPr>
    </w:p>
  </w:footnote>
  <w:footnote w:id="4">
    <w:p w14:paraId="6C7F954D" w14:textId="77777777" w:rsidR="001B00E6" w:rsidRPr="00D615FB" w:rsidRDefault="001B00E6" w:rsidP="001B00E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p w14:paraId="758FA0AF" w14:textId="77777777" w:rsidR="001B00E6" w:rsidRPr="00D615FB" w:rsidRDefault="001B00E6" w:rsidP="001B00E6">
      <w:pPr>
        <w:pStyle w:val="Textonotapie"/>
        <w:ind w:firstLine="709"/>
        <w:jc w:val="both"/>
        <w:rPr>
          <w:rFonts w:ascii="Verdana" w:hAnsi="Verdana" w:cs="Arial"/>
          <w:sz w:val="18"/>
          <w:szCs w:val="18"/>
        </w:rPr>
      </w:pPr>
    </w:p>
  </w:footnote>
  <w:footnote w:id="5">
    <w:p w14:paraId="22144134" w14:textId="77777777" w:rsidR="001B00E6" w:rsidRPr="00D615FB" w:rsidRDefault="001B00E6" w:rsidP="001B00E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En: </w:t>
      </w:r>
      <w:hyperlink r:id="rId1" w:history="1">
        <w:r w:rsidRPr="00D615FB">
          <w:rPr>
            <w:rStyle w:val="Hipervnculo"/>
            <w:rFonts w:ascii="Verdana" w:hAnsi="Verdana" w:cs="Arial"/>
            <w:sz w:val="18"/>
            <w:szCs w:val="18"/>
            <w:lang w:val="es-ES"/>
          </w:rPr>
          <w:t>https://dle.rae.es/instalar?m=form</w:t>
        </w:r>
      </w:hyperlink>
    </w:p>
    <w:p w14:paraId="7E162375" w14:textId="77777777" w:rsidR="001B00E6" w:rsidRPr="00D615FB" w:rsidRDefault="001B00E6" w:rsidP="001B00E6">
      <w:pPr>
        <w:pStyle w:val="Textonotapie"/>
        <w:ind w:firstLine="709"/>
        <w:jc w:val="both"/>
        <w:rPr>
          <w:rFonts w:ascii="Verdana" w:hAnsi="Verdana" w:cs="Arial"/>
          <w:sz w:val="18"/>
          <w:szCs w:val="18"/>
          <w:lang w:val="es-ES"/>
        </w:rPr>
      </w:pPr>
    </w:p>
  </w:footnote>
  <w:footnote w:id="6">
    <w:p w14:paraId="325B28DB" w14:textId="77777777" w:rsidR="001B00E6" w:rsidRPr="00D615FB" w:rsidRDefault="001B00E6" w:rsidP="001B00E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Ibíd. </w:t>
      </w:r>
    </w:p>
    <w:p w14:paraId="6E3B1C04" w14:textId="77777777" w:rsidR="001B00E6" w:rsidRPr="00D615FB" w:rsidRDefault="001B00E6" w:rsidP="001B00E6">
      <w:pPr>
        <w:pStyle w:val="Textonotapie"/>
        <w:ind w:firstLine="709"/>
        <w:jc w:val="both"/>
        <w:rPr>
          <w:rFonts w:ascii="Verdana" w:hAnsi="Verdana" w:cs="Arial"/>
          <w:sz w:val="18"/>
          <w:szCs w:val="18"/>
          <w:lang w:val="es-ES"/>
        </w:rPr>
      </w:pPr>
    </w:p>
  </w:footnote>
  <w:footnote w:id="7">
    <w:p w14:paraId="6CAECA13" w14:textId="77777777" w:rsidR="001B00E6" w:rsidRDefault="001B00E6" w:rsidP="001B00E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Ibíd.</w:t>
      </w:r>
    </w:p>
    <w:p w14:paraId="088B283A" w14:textId="77777777" w:rsidR="001B00E6" w:rsidRPr="00D615FB" w:rsidRDefault="001B00E6" w:rsidP="001B00E6">
      <w:pPr>
        <w:pStyle w:val="Textonotapie"/>
        <w:ind w:firstLine="709"/>
        <w:jc w:val="both"/>
        <w:rPr>
          <w:rFonts w:ascii="Verdana" w:hAnsi="Verdana" w:cs="Arial"/>
          <w:sz w:val="18"/>
          <w:szCs w:val="18"/>
          <w:lang w:val="es-ES"/>
        </w:rPr>
      </w:pPr>
    </w:p>
  </w:footnote>
  <w:footnote w:id="8">
    <w:p w14:paraId="5D92ED25" w14:textId="77777777" w:rsidR="001B00E6" w:rsidRPr="00D615FB" w:rsidRDefault="001B00E6" w:rsidP="001B00E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lang w:val="es-ES"/>
        </w:rPr>
        <w:t>Ibíd.</w:t>
      </w:r>
    </w:p>
  </w:footnote>
  <w:footnote w:id="9">
    <w:p w14:paraId="68A0877F" w14:textId="77777777" w:rsidR="001B00E6" w:rsidRPr="00D615FB" w:rsidRDefault="001B00E6" w:rsidP="001B00E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Ibíd. En similar sentido, </w:t>
      </w:r>
      <w:r w:rsidRPr="00D615FB">
        <w:rPr>
          <w:rFonts w:ascii="Verdana" w:hAnsi="Verdana" w:cs="Arial"/>
          <w:sz w:val="18"/>
          <w:szCs w:val="18"/>
        </w:rPr>
        <w:t>SUÁREZ BELTRÁN, Gonzalo. Estudios de derecho público contractual: Bogotá: Legis, 2014. p. 238. Al respecto, también se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w:t>
      </w:r>
    </w:p>
    <w:p w14:paraId="717AF1EB" w14:textId="77777777" w:rsidR="001B00E6" w:rsidRPr="00D615FB" w:rsidRDefault="001B00E6" w:rsidP="001B00E6">
      <w:pPr>
        <w:pStyle w:val="Textonotapie"/>
        <w:ind w:firstLine="709"/>
        <w:jc w:val="both"/>
        <w:rPr>
          <w:rFonts w:ascii="Verdana" w:hAnsi="Verdana" w:cs="Arial"/>
          <w:sz w:val="18"/>
          <w:szCs w:val="18"/>
          <w:lang w:val="es-ES"/>
        </w:rPr>
      </w:pPr>
    </w:p>
  </w:footnote>
  <w:footnote w:id="10">
    <w:p w14:paraId="149FBBF6" w14:textId="77777777" w:rsidR="001B00E6" w:rsidRPr="00D615FB" w:rsidRDefault="001B00E6" w:rsidP="001B00E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p w14:paraId="4EFA7BF2" w14:textId="77777777" w:rsidR="001B00E6" w:rsidRPr="00D615FB" w:rsidRDefault="001B00E6" w:rsidP="001B00E6">
      <w:pPr>
        <w:pStyle w:val="Textonotapie"/>
        <w:ind w:firstLine="709"/>
        <w:jc w:val="both"/>
        <w:rPr>
          <w:rFonts w:ascii="Verdana" w:hAnsi="Verdana" w:cs="Arial"/>
          <w:sz w:val="18"/>
          <w:szCs w:val="18"/>
          <w:lang w:val="es-ES"/>
        </w:rPr>
      </w:pPr>
    </w:p>
  </w:footnote>
  <w:footnote w:id="11">
    <w:p w14:paraId="7A71D9DD" w14:textId="77777777" w:rsidR="001B00E6" w:rsidRPr="00D615FB" w:rsidRDefault="001B00E6" w:rsidP="001B00E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CORTE SUPREMA DE JUSTICIA. Sala de Casación Civil. Sentencia del 5 de diciembre de 1956. M.P. Pablo Emilio Manotas. Decisión publicada en el Gaceta Judicial LXXXIV, No. 2177-2180. p. 317. Este criterio se adoptó explícitamente en el derogado artículo 3.3.1.1 del Decreto 734 de 2012. Concretamente, el inciso cuarto disponía que «En el caso de que el objeto contractual incluya los servicios de consultoría y otras obligaciones principales, como por ejemplo en el caso de ejecución de proyectos que incluyen diseño y construcción de la obra, la escogencia del contratista deberá adelantarse mediante licitación pública y selección abreviada, según corresponda de conformidad con lo señalado en la ley y en el presente decreto, sin perjuicio de lo previsto para la mínima cuantía. En todo caso, el equipo de profesionales y expertos propuestos deberá ser aprobado por la entidad».</w:t>
      </w:r>
    </w:p>
    <w:p w14:paraId="7CBFE326" w14:textId="77777777" w:rsidR="001B00E6" w:rsidRPr="00D615FB" w:rsidRDefault="001B00E6" w:rsidP="001B00E6">
      <w:pPr>
        <w:pStyle w:val="Textonotapie"/>
        <w:ind w:firstLine="709"/>
        <w:jc w:val="both"/>
        <w:rPr>
          <w:rFonts w:ascii="Verdana" w:hAnsi="Verdana" w:cs="Arial"/>
          <w:sz w:val="18"/>
          <w:szCs w:val="18"/>
        </w:rPr>
      </w:pPr>
    </w:p>
  </w:footnote>
  <w:footnote w:id="12">
    <w:p w14:paraId="687A3059" w14:textId="77777777" w:rsidR="001B00E6" w:rsidRPr="00D615FB" w:rsidRDefault="001B00E6" w:rsidP="001B00E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Por ello, explica que «[…] todos estos criterios de interpretación no son, en último análisis más que especificaciones del principio de la analogía, inspiradas en las peculiaridades de cada materia. De aquí, también, que el criterio de interpretación más serio, respecto del contrato innominado mixto, es, además de la aplicación directa de las reglas generales sobre los contratos, el de la aplicación analógica de las singulares relativas al contrato nominado dado, que se manifiesten como las más adecuadas al contrato mixto que se debe interpretar, y si éstas no existen, entonces recurrir a las de la analogía iuris» (</w:t>
      </w:r>
      <w:r w:rsidRPr="00D615FB">
        <w:rPr>
          <w:rFonts w:ascii="Verdana" w:hAnsi="Verdana" w:cs="Arial"/>
          <w:i/>
          <w:iCs/>
          <w:sz w:val="18"/>
          <w:szCs w:val="18"/>
        </w:rPr>
        <w:t>ibidem</w:t>
      </w:r>
      <w:r w:rsidRPr="00D615FB">
        <w:rPr>
          <w:rFonts w:ascii="Verdana" w:hAnsi="Verdana" w:cs="Arial"/>
          <w:sz w:val="18"/>
          <w:szCs w:val="18"/>
        </w:rPr>
        <w:t>).</w:t>
      </w:r>
    </w:p>
    <w:p w14:paraId="329DB6CD" w14:textId="77777777" w:rsidR="001B00E6" w:rsidRPr="00D615FB" w:rsidRDefault="001B00E6" w:rsidP="001B00E6">
      <w:pPr>
        <w:pStyle w:val="Textonotapie"/>
        <w:ind w:firstLine="709"/>
        <w:jc w:val="both"/>
        <w:rPr>
          <w:rFonts w:ascii="Verdana" w:hAnsi="Verdana" w:cs="Arial"/>
          <w:sz w:val="18"/>
          <w:szCs w:val="18"/>
        </w:rPr>
      </w:pPr>
    </w:p>
  </w:footnote>
  <w:footnote w:id="13">
    <w:p w14:paraId="677AA299" w14:textId="77777777" w:rsidR="001B00E6" w:rsidRPr="00D615FB" w:rsidRDefault="001B00E6" w:rsidP="001B00E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RENGIFO GARCÍA, Ernesto. Interpretación del contrato atípico a la luz de la jurisprudencia colombiana. En: Los contratos en el derecho privado. Bogotá: Legis – Universidad del Rosario, 2009. p. 48. </w:t>
      </w:r>
    </w:p>
    <w:p w14:paraId="66BCB666" w14:textId="77777777" w:rsidR="001B00E6" w:rsidRPr="00D615FB" w:rsidRDefault="001B00E6" w:rsidP="001B00E6">
      <w:pPr>
        <w:pStyle w:val="Textonotapie"/>
        <w:ind w:firstLine="709"/>
        <w:jc w:val="both"/>
        <w:rPr>
          <w:rFonts w:ascii="Verdana" w:hAnsi="Verdana" w:cs="Arial"/>
          <w:sz w:val="18"/>
          <w:szCs w:val="18"/>
        </w:rPr>
      </w:pPr>
    </w:p>
  </w:footnote>
  <w:footnote w:id="14">
    <w:p w14:paraId="70AE59B1" w14:textId="77777777" w:rsidR="001B00E6" w:rsidRPr="00D615FB" w:rsidRDefault="001B00E6" w:rsidP="001B00E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8C5"/>
    <w:rsid w:val="00061B2A"/>
    <w:rsid w:val="000737B1"/>
    <w:rsid w:val="00082362"/>
    <w:rsid w:val="000A683E"/>
    <w:rsid w:val="000B19B9"/>
    <w:rsid w:val="000B7F86"/>
    <w:rsid w:val="000D0334"/>
    <w:rsid w:val="000D5DA7"/>
    <w:rsid w:val="000F6486"/>
    <w:rsid w:val="00116940"/>
    <w:rsid w:val="00125105"/>
    <w:rsid w:val="00127233"/>
    <w:rsid w:val="0015699B"/>
    <w:rsid w:val="001749FE"/>
    <w:rsid w:val="001973C1"/>
    <w:rsid w:val="001A33BF"/>
    <w:rsid w:val="001B00E6"/>
    <w:rsid w:val="001E4177"/>
    <w:rsid w:val="001F0B24"/>
    <w:rsid w:val="001F7DC6"/>
    <w:rsid w:val="0022400B"/>
    <w:rsid w:val="002421BB"/>
    <w:rsid w:val="0025796E"/>
    <w:rsid w:val="002707A2"/>
    <w:rsid w:val="002951A0"/>
    <w:rsid w:val="002962BC"/>
    <w:rsid w:val="002A093D"/>
    <w:rsid w:val="002A0DD0"/>
    <w:rsid w:val="002A49AC"/>
    <w:rsid w:val="002A64FD"/>
    <w:rsid w:val="002C4FF6"/>
    <w:rsid w:val="002C7A84"/>
    <w:rsid w:val="002E2BF8"/>
    <w:rsid w:val="002E4FD9"/>
    <w:rsid w:val="002E7F25"/>
    <w:rsid w:val="0030657A"/>
    <w:rsid w:val="00322A85"/>
    <w:rsid w:val="00324168"/>
    <w:rsid w:val="00330834"/>
    <w:rsid w:val="003448F4"/>
    <w:rsid w:val="003606E8"/>
    <w:rsid w:val="00374F5E"/>
    <w:rsid w:val="00377E3E"/>
    <w:rsid w:val="003A779E"/>
    <w:rsid w:val="003D0F4D"/>
    <w:rsid w:val="003D5B0D"/>
    <w:rsid w:val="003E0499"/>
    <w:rsid w:val="003E4F80"/>
    <w:rsid w:val="003E6439"/>
    <w:rsid w:val="003E6511"/>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0535"/>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0F54"/>
    <w:rsid w:val="007C284E"/>
    <w:rsid w:val="007C3DC2"/>
    <w:rsid w:val="007E5497"/>
    <w:rsid w:val="00806F5F"/>
    <w:rsid w:val="00820278"/>
    <w:rsid w:val="008258C9"/>
    <w:rsid w:val="00844AE9"/>
    <w:rsid w:val="00864881"/>
    <w:rsid w:val="00867F95"/>
    <w:rsid w:val="008843B6"/>
    <w:rsid w:val="00891928"/>
    <w:rsid w:val="008A446D"/>
    <w:rsid w:val="008B25F1"/>
    <w:rsid w:val="008C6EA2"/>
    <w:rsid w:val="008D180B"/>
    <w:rsid w:val="008F0EA7"/>
    <w:rsid w:val="00923EEF"/>
    <w:rsid w:val="009419F9"/>
    <w:rsid w:val="0095685E"/>
    <w:rsid w:val="00961B09"/>
    <w:rsid w:val="00965334"/>
    <w:rsid w:val="0097093E"/>
    <w:rsid w:val="009A0DFA"/>
    <w:rsid w:val="009A1C6F"/>
    <w:rsid w:val="009A581C"/>
    <w:rsid w:val="009B2D26"/>
    <w:rsid w:val="009B6B08"/>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1E15"/>
    <w:rsid w:val="00C754BE"/>
    <w:rsid w:val="00C76B1C"/>
    <w:rsid w:val="00C925AC"/>
    <w:rsid w:val="00CB6357"/>
    <w:rsid w:val="00CC1B26"/>
    <w:rsid w:val="00CD0337"/>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40D8"/>
    <w:rsid w:val="00E60DF6"/>
    <w:rsid w:val="00E75C92"/>
    <w:rsid w:val="00E771DC"/>
    <w:rsid w:val="00E8772A"/>
    <w:rsid w:val="00E90F6B"/>
    <w:rsid w:val="00E92C27"/>
    <w:rsid w:val="00EA0E3D"/>
    <w:rsid w:val="00EC38A7"/>
    <w:rsid w:val="00ED29BE"/>
    <w:rsid w:val="00EE1AA8"/>
    <w:rsid w:val="00F23FEA"/>
    <w:rsid w:val="00F31EDC"/>
    <w:rsid w:val="00F462B3"/>
    <w:rsid w:val="00F5664F"/>
    <w:rsid w:val="00F666C4"/>
    <w:rsid w:val="00F76AFC"/>
    <w:rsid w:val="00FA47C0"/>
    <w:rsid w:val="00FB5DD1"/>
    <w:rsid w:val="00FC2B5D"/>
    <w:rsid w:val="00FF1449"/>
    <w:rsid w:val="00FF1BBA"/>
    <w:rsid w:val="00FF7963"/>
    <w:rsid w:val="00FF7E24"/>
    <w:rsid w:val="068D7F8D"/>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909479C-2643-44E6-A93B-A559F7A43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B0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00E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nafrancov@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instalar?m=fo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FFDFADE-3113-40A7-90A0-1518AECBE0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26</Pages>
  <Words>8437</Words>
  <Characters>47167</Characters>
  <Application>Microsoft Office Word</Application>
  <DocSecurity>0</DocSecurity>
  <Lines>907</Lines>
  <Paragraphs>165</Paragraphs>
  <ScaleCrop>false</ScaleCrop>
  <Company/>
  <LinksUpToDate>false</LinksUpToDate>
  <CharactersWithSpaces>55439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2026-04-06T21:05:00Z</dcterms:created>
  <dcterms:modified xsi:type="dcterms:W3CDTF">2026-04-09T13:49:00Z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