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40182" w14:textId="77777777" w:rsidR="00DD781A" w:rsidRPr="00D65296" w:rsidRDefault="00DD781A" w:rsidP="00DD781A">
      <w:pPr>
        <w:spacing w:after="0" w:line="240" w:lineRule="auto"/>
        <w:jc w:val="both"/>
        <w:rPr>
          <w:rFonts w:ascii="Verdana" w:eastAsia="Calibri" w:hAnsi="Verdana" w:cs="Arial"/>
          <w:b/>
          <w:color w:val="000000"/>
          <w:lang w:val="es-ES_tradnl"/>
        </w:rPr>
      </w:pPr>
      <w:bookmarkStart w:id="0" w:name="_Hlk143780582"/>
      <w:r w:rsidRPr="00D65296">
        <w:rPr>
          <w:rFonts w:ascii="Verdana" w:eastAsia="Calibri" w:hAnsi="Verdana" w:cs="Arial"/>
          <w:b/>
          <w:color w:val="000000"/>
          <w:lang w:val="es-ES_tradnl"/>
        </w:rPr>
        <w:t>PLAN ANUAL DE ADQUISICIONES – Noción – Guía para elaborar el plan anual de adquisiciones – Obligatoriedad de elaboración</w:t>
      </w:r>
    </w:p>
    <w:p w14:paraId="436AC3E6" w14:textId="77777777" w:rsidR="00DD781A" w:rsidRPr="00B52642" w:rsidRDefault="00DD781A" w:rsidP="00DD781A">
      <w:pPr>
        <w:spacing w:after="0" w:line="240" w:lineRule="auto"/>
        <w:jc w:val="both"/>
        <w:rPr>
          <w:rFonts w:ascii="Verdana" w:eastAsia="Calibri" w:hAnsi="Verdana" w:cs="Arial"/>
          <w:b/>
          <w:color w:val="000000"/>
          <w:sz w:val="20"/>
          <w:szCs w:val="20"/>
          <w:lang w:val="es-ES_tradnl"/>
        </w:rPr>
      </w:pPr>
    </w:p>
    <w:p w14:paraId="71EA2924" w14:textId="77777777" w:rsidR="00DD781A" w:rsidRPr="00B52642" w:rsidRDefault="00DD781A" w:rsidP="00DD781A">
      <w:pPr>
        <w:spacing w:after="0" w:line="240" w:lineRule="auto"/>
        <w:jc w:val="both"/>
        <w:rPr>
          <w:rFonts w:ascii="Verdana" w:eastAsia="Calibri" w:hAnsi="Verdana" w:cs="Arial"/>
          <w:bCs/>
          <w:color w:val="000000"/>
          <w:sz w:val="20"/>
          <w:szCs w:val="20"/>
          <w:lang w:val="es-ES_tradnl"/>
        </w:rPr>
      </w:pPr>
      <w:r w:rsidRPr="00B52642">
        <w:rPr>
          <w:rFonts w:ascii="Verdana" w:eastAsia="Calibri" w:hAnsi="Verdana" w:cs="Arial"/>
          <w:bCs/>
          <w:color w:val="000000"/>
          <w:sz w:val="20"/>
          <w:szCs w:val="20"/>
          <w:lang w:val="es-ES_tradnl"/>
        </w:rPr>
        <w:t>La Guía para elaborar el Plan Anual de Adquisiciones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p>
    <w:p w14:paraId="3F393B12" w14:textId="77777777" w:rsidR="00DD781A" w:rsidRPr="00B52642" w:rsidRDefault="00DD781A" w:rsidP="00DD781A">
      <w:pPr>
        <w:spacing w:after="0" w:line="240" w:lineRule="auto"/>
        <w:jc w:val="both"/>
        <w:rPr>
          <w:rFonts w:ascii="Verdana" w:eastAsia="Calibri" w:hAnsi="Verdana" w:cs="Arial"/>
          <w:bCs/>
          <w:color w:val="000000"/>
          <w:sz w:val="20"/>
          <w:szCs w:val="20"/>
          <w:lang w:val="es-ES_tradnl"/>
        </w:rPr>
      </w:pPr>
      <w:r w:rsidRPr="00B52642">
        <w:rPr>
          <w:rFonts w:ascii="Verdana" w:eastAsia="Calibri" w:hAnsi="Verdana" w:cs="Arial"/>
          <w:bCs/>
          <w:color w:val="000000"/>
          <w:sz w:val="20"/>
          <w:szCs w:val="20"/>
          <w:lang w:val="es-ES_tradnl"/>
        </w:rPr>
        <w:t>[…]</w:t>
      </w:r>
    </w:p>
    <w:p w14:paraId="119BF816" w14:textId="77777777" w:rsidR="00DD781A" w:rsidRPr="00B52642" w:rsidRDefault="00DD781A" w:rsidP="00DD781A">
      <w:pPr>
        <w:spacing w:after="0" w:line="240" w:lineRule="auto"/>
        <w:jc w:val="both"/>
        <w:textAlignment w:val="baseline"/>
        <w:rPr>
          <w:rFonts w:ascii="Verdana" w:eastAsia="Times New Roman" w:hAnsi="Verdana" w:cs="Arial"/>
          <w:color w:val="000000"/>
          <w:sz w:val="20"/>
          <w:szCs w:val="20"/>
          <w:lang w:val="es-ES" w:eastAsia="es-CO"/>
        </w:rPr>
      </w:pPr>
      <w:r w:rsidRPr="00B52642">
        <w:rPr>
          <w:rFonts w:ascii="Verdana" w:eastAsia="Calibri" w:hAnsi="Verdana" w:cs="Arial"/>
          <w:sz w:val="20"/>
          <w:szCs w:val="20"/>
          <w:lang w:val="es-ES_tradnl" w:eastAsia="es-CO"/>
        </w:rPr>
        <w:t>[E]</w:t>
      </w:r>
      <w:r w:rsidRPr="00B52642">
        <w:rPr>
          <w:rFonts w:ascii="Verdana" w:eastAsia="Times New Roman" w:hAnsi="Verdana" w:cs="Arial"/>
          <w:color w:val="000000"/>
          <w:sz w:val="20"/>
          <w:szCs w:val="20"/>
          <w:lang w:val="es-ES" w:eastAsia="es-CO"/>
        </w:rPr>
        <w:t>l artículo 2.2.1.1.1.4.1. del Decreto 1082 de 2015,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r>
        <w:rPr>
          <w:rFonts w:ascii="Verdana" w:eastAsia="Times New Roman" w:hAnsi="Verdana" w:cs="Arial"/>
          <w:color w:val="000000"/>
          <w:sz w:val="20"/>
          <w:szCs w:val="20"/>
          <w:lang w:val="es-ES" w:eastAsia="es-CO"/>
        </w:rPr>
        <w:t>.</w:t>
      </w:r>
    </w:p>
    <w:p w14:paraId="27890F9A" w14:textId="77777777" w:rsidR="00DD781A" w:rsidRPr="00B52642" w:rsidRDefault="00DD781A" w:rsidP="00DD781A">
      <w:pPr>
        <w:spacing w:after="0" w:line="240" w:lineRule="auto"/>
        <w:jc w:val="both"/>
        <w:textAlignment w:val="baseline"/>
        <w:rPr>
          <w:rFonts w:ascii="Verdana" w:eastAsia="Times New Roman" w:hAnsi="Verdana" w:cs="Arial"/>
          <w:color w:val="000000"/>
          <w:sz w:val="20"/>
          <w:szCs w:val="20"/>
          <w:lang w:eastAsia="es-CO"/>
        </w:rPr>
      </w:pPr>
    </w:p>
    <w:p w14:paraId="502855D8" w14:textId="77777777" w:rsidR="00DD781A" w:rsidRPr="009C1B7D" w:rsidRDefault="00DD781A" w:rsidP="00DD781A">
      <w:pPr>
        <w:spacing w:after="0" w:line="240" w:lineRule="auto"/>
        <w:jc w:val="both"/>
        <w:rPr>
          <w:rFonts w:ascii="Verdana" w:eastAsia="Calibri" w:hAnsi="Verdana" w:cs="Arial"/>
          <w:bCs/>
          <w:highlight w:val="yellow"/>
          <w:lang w:val="es-ES_tradnl"/>
        </w:rPr>
      </w:pPr>
      <w:r w:rsidRPr="00B52642">
        <w:rPr>
          <w:rFonts w:ascii="Verdana" w:eastAsia="Aptos" w:hAnsi="Verdana" w:cs="Arial"/>
          <w:color w:val="000000"/>
          <w:sz w:val="20"/>
          <w:szCs w:val="20"/>
          <w:lang w:val="es-ES"/>
        </w:rPr>
        <w:t>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w:t>
      </w:r>
    </w:p>
    <w:p w14:paraId="36722393" w14:textId="77777777" w:rsidR="00DD781A" w:rsidRPr="009C1B7D" w:rsidRDefault="00DD781A" w:rsidP="00DD781A">
      <w:pPr>
        <w:spacing w:after="0" w:line="240" w:lineRule="auto"/>
        <w:jc w:val="both"/>
        <w:rPr>
          <w:rFonts w:ascii="Verdana" w:eastAsia="Calibri" w:hAnsi="Verdana" w:cs="Arial"/>
          <w:bCs/>
          <w:highlight w:val="yellow"/>
          <w:lang w:val="es-ES_tradnl"/>
        </w:rPr>
      </w:pPr>
    </w:p>
    <w:p w14:paraId="53CB8BA7" w14:textId="77777777" w:rsidR="00DD781A" w:rsidRPr="00CE0BBC" w:rsidRDefault="00DD781A" w:rsidP="00DD781A">
      <w:pPr>
        <w:jc w:val="both"/>
        <w:rPr>
          <w:rFonts w:ascii="Verdana" w:hAnsi="Verdana"/>
          <w:b/>
          <w:bCs/>
          <w:lang w:val="es-MX"/>
        </w:rPr>
      </w:pPr>
      <w:r w:rsidRPr="006B0E52">
        <w:rPr>
          <w:rFonts w:ascii="Verdana" w:hAnsi="Verdana"/>
          <w:b/>
          <w:bCs/>
          <w:lang w:val="es-MX"/>
        </w:rPr>
        <w:t>PLAN ANUAL DE ADQUISICIONES – Colombia Compra Eficiente – Circular externa única – Deber de actualización</w:t>
      </w:r>
    </w:p>
    <w:p w14:paraId="42B969EC" w14:textId="77777777" w:rsidR="00DD781A" w:rsidRPr="006B0E52" w:rsidRDefault="00DD781A" w:rsidP="00DD781A">
      <w:pPr>
        <w:jc w:val="both"/>
        <w:rPr>
          <w:rFonts w:ascii="Verdana" w:hAnsi="Verdana"/>
          <w:sz w:val="20"/>
          <w:szCs w:val="20"/>
          <w:lang w:val="es-MX"/>
        </w:rPr>
      </w:pPr>
      <w:r w:rsidRPr="006B0E52">
        <w:rPr>
          <w:rFonts w:ascii="Verdana" w:hAnsi="Verdana"/>
          <w:sz w:val="20"/>
          <w:szCs w:val="20"/>
          <w:lang w:val="es-MX"/>
        </w:rPr>
        <w:t>[…]el numeral 4.6 de la Circular Externa Única, expedida por Agencia Nacional de Contratación Pública – Colombia Compra Eficiente, dispone que las Entidades Estatales deben actualizar su Plan Anual de Adquisiciones en el mes de julio de cada año. La actualización debe publicarse en la página web y en el SECOP, de tal manera que sólo será́ visible el Plan Anual de Adquisiciones actualizado, por lo que la entidad estatal deber</w:t>
      </w:r>
      <w:r w:rsidRPr="006B0E52">
        <w:rPr>
          <w:rFonts w:ascii="Verdana" w:hAnsi="Verdana" w:cs="Geomanist Light"/>
          <w:sz w:val="20"/>
          <w:szCs w:val="20"/>
          <w:lang w:val="es-MX"/>
        </w:rPr>
        <w:t>á</w:t>
      </w:r>
      <w:r w:rsidRPr="006B0E52">
        <w:rPr>
          <w:rFonts w:ascii="Verdana" w:hAnsi="Verdana"/>
          <w:sz w:val="20"/>
          <w:szCs w:val="20"/>
          <w:lang w:val="es-MX"/>
        </w:rPr>
        <w:t xml:space="preserve"> incluir las actualizaciones que estime necesarias y pertinentes para que sean visibles en el plan actualizado.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5E215DEC" w14:textId="77777777" w:rsidR="00DD781A" w:rsidRPr="006B0E52" w:rsidRDefault="00DD781A" w:rsidP="00DD781A">
      <w:pPr>
        <w:jc w:val="both"/>
        <w:rPr>
          <w:rFonts w:ascii="Verdana" w:hAnsi="Verdana"/>
          <w:sz w:val="20"/>
          <w:szCs w:val="20"/>
          <w:lang w:val="es-MX"/>
        </w:rPr>
      </w:pPr>
    </w:p>
    <w:p w14:paraId="411D02BF" w14:textId="77777777" w:rsidR="00DD781A" w:rsidRPr="006B0E52" w:rsidRDefault="00DD781A" w:rsidP="00DD781A">
      <w:pPr>
        <w:jc w:val="both"/>
        <w:rPr>
          <w:rFonts w:ascii="Verdana" w:hAnsi="Verdana"/>
          <w:sz w:val="20"/>
          <w:szCs w:val="20"/>
          <w:lang w:val="es-MX"/>
        </w:rPr>
      </w:pPr>
      <w:r w:rsidRPr="006B0E52">
        <w:rPr>
          <w:rFonts w:ascii="Verdana" w:hAnsi="Verdana"/>
          <w:sz w:val="20"/>
          <w:szCs w:val="20"/>
          <w:lang w:val="es-MX"/>
        </w:rPr>
        <w:t>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w:t>
      </w:r>
    </w:p>
    <w:p w14:paraId="10FF3554" w14:textId="77777777" w:rsidR="00DD781A" w:rsidRPr="006B0E52" w:rsidRDefault="00DD781A" w:rsidP="00DD781A">
      <w:pPr>
        <w:jc w:val="both"/>
        <w:rPr>
          <w:rFonts w:ascii="Verdana" w:hAnsi="Verdana"/>
          <w:sz w:val="20"/>
          <w:szCs w:val="20"/>
          <w:lang w:val="es-MX"/>
        </w:rPr>
      </w:pPr>
      <w:r w:rsidRPr="006B0E52">
        <w:rPr>
          <w:rFonts w:ascii="Verdana" w:hAnsi="Verdana"/>
          <w:sz w:val="20"/>
          <w:szCs w:val="20"/>
          <w:lang w:val="es-MX"/>
        </w:rPr>
        <w:t>[…]</w:t>
      </w:r>
    </w:p>
    <w:p w14:paraId="29AD861F" w14:textId="77777777" w:rsidR="00DD781A" w:rsidRDefault="00DD781A" w:rsidP="00DD781A">
      <w:pPr>
        <w:spacing w:after="0" w:line="240" w:lineRule="auto"/>
        <w:jc w:val="both"/>
        <w:rPr>
          <w:rFonts w:ascii="Verdana" w:hAnsi="Verdana"/>
          <w:sz w:val="20"/>
          <w:szCs w:val="20"/>
          <w:lang w:val="es-MX"/>
        </w:rPr>
      </w:pPr>
      <w:r w:rsidRPr="006B0E52">
        <w:rPr>
          <w:rFonts w:ascii="Verdana" w:hAnsi="Verdana"/>
          <w:sz w:val="20"/>
          <w:szCs w:val="20"/>
          <w:lang w:val="es-MX"/>
        </w:rPr>
        <w:t>[…]una adecuada interpretación del deber de actualización de la información contenida el Plan de Anual de Adquisiciones, que se desprende del inciso segundo del artículo 2.2.1.1.1.4.4 del Decreto 1082 de 2015, conduce a entender que los supuestos allí definidos se refieren a circunstancias previas a la celebración de los contratos necesarios para satisfacer las necesidades identificadas en el plan, cuando estos lleven a una alteración sustancial del ejercicio de planeación contenido en el instrumento, deber que acaba una vez materializados los respectivos contratos, ya sea en el inicio de un proceso de selección o en la suscripción del contrato, máxime cuando no existe una necesidad de estricta correspondencia de los valores predeterminados de los contratos en el Plan Anual de Adquisiciones con el monto efectivo por el que estos se celebran.</w:t>
      </w:r>
    </w:p>
    <w:p w14:paraId="00FF2C5B" w14:textId="77777777" w:rsidR="00DD781A" w:rsidRDefault="00DD781A" w:rsidP="00DD781A">
      <w:pPr>
        <w:spacing w:after="0" w:line="240" w:lineRule="auto"/>
        <w:jc w:val="both"/>
        <w:rPr>
          <w:rFonts w:ascii="Verdana" w:hAnsi="Verdana"/>
          <w:sz w:val="20"/>
          <w:szCs w:val="20"/>
          <w:lang w:val="es-MX"/>
        </w:rPr>
      </w:pPr>
    </w:p>
    <w:p w14:paraId="58555169" w14:textId="77777777" w:rsidR="00DD781A" w:rsidRPr="00B52642" w:rsidRDefault="00DD781A" w:rsidP="00DD781A">
      <w:pPr>
        <w:spacing w:after="0" w:line="240" w:lineRule="auto"/>
        <w:jc w:val="both"/>
        <w:rPr>
          <w:rFonts w:ascii="Verdana" w:eastAsia="Calibri" w:hAnsi="Verdana" w:cs="Arial"/>
          <w:b/>
          <w:bCs/>
          <w:lang w:val="es-ES" w:eastAsia="es-ES"/>
        </w:rPr>
      </w:pPr>
      <w:r w:rsidRPr="00B52642">
        <w:rPr>
          <w:rFonts w:ascii="Verdana" w:eastAsia="Calibri" w:hAnsi="Verdana" w:cs="Arial"/>
          <w:b/>
          <w:bCs/>
          <w:lang w:val="es-ES" w:eastAsia="es-ES"/>
        </w:rPr>
        <w:t>PLAN ANUAL DE ADQUISICIONES – Información a reportar</w:t>
      </w:r>
    </w:p>
    <w:p w14:paraId="5C210562" w14:textId="77777777" w:rsidR="00DD781A" w:rsidRPr="00B52642" w:rsidRDefault="00DD781A" w:rsidP="00DD781A">
      <w:pPr>
        <w:spacing w:after="0" w:line="240" w:lineRule="auto"/>
        <w:jc w:val="both"/>
        <w:rPr>
          <w:rFonts w:ascii="Verdana" w:eastAsia="Calibri" w:hAnsi="Verdana" w:cs="Arial"/>
          <w:b/>
          <w:bCs/>
          <w:sz w:val="20"/>
          <w:szCs w:val="20"/>
          <w:highlight w:val="yellow"/>
          <w:lang w:val="es-ES_tradnl" w:eastAsia="es-ES_tradnl"/>
        </w:rPr>
      </w:pPr>
    </w:p>
    <w:p w14:paraId="79D8568B" w14:textId="66C66021" w:rsidR="00DD781A" w:rsidRDefault="00DD781A" w:rsidP="00DD781A">
      <w:pPr>
        <w:spacing w:after="0" w:line="240" w:lineRule="auto"/>
        <w:jc w:val="both"/>
        <w:rPr>
          <w:rFonts w:ascii="Verdana" w:eastAsia="Geomanist Light" w:hAnsi="Verdana" w:cs="Arial"/>
          <w:color w:val="000000" w:themeColor="text1"/>
          <w:lang w:val="es-MX"/>
        </w:rPr>
      </w:pPr>
      <w:r w:rsidRPr="00B52642">
        <w:rPr>
          <w:rFonts w:ascii="Verdana" w:eastAsia="Aptos" w:hAnsi="Verdana" w:cs="Times New Roman"/>
          <w:sz w:val="20"/>
          <w:szCs w:val="20"/>
        </w:rPr>
        <w:t>[…] la norma es categórica en señalar que en el Plan Anual de Adquisiciones debe enlistarse todo bien, obra o servicio que se pretenda adquirir, por lo que las entidades deberán cumplir con dicha obligación sin consideración de las condiciones en que planeen hacerlo, ya que el deber de inclusión de tal información es independiente de la clase o modalidad de contratación o de la forma en la que se pagará el valor estimado, etc. Basta con que se trate de un bien, obra o servicio que la entidad necesite adquirir para que surja la obligación de relacionarlo en el plan, por lo que, será indispensable que determine si con determinada contratación se está adquiriendo un bien, servicio u obra, pues en caso de que no, su inclusión no será obligatoria.</w:t>
      </w:r>
    </w:p>
    <w:p w14:paraId="7B7CF972" w14:textId="77777777" w:rsidR="00DD781A" w:rsidRDefault="00DD781A" w:rsidP="00DD781A">
      <w:pPr>
        <w:spacing w:after="0" w:line="240" w:lineRule="auto"/>
        <w:jc w:val="both"/>
        <w:rPr>
          <w:rFonts w:ascii="Verdana" w:eastAsia="Geomanist Light" w:hAnsi="Verdana" w:cs="Arial"/>
          <w:color w:val="000000" w:themeColor="text1"/>
          <w:lang w:val="es-MX"/>
        </w:rPr>
      </w:pPr>
    </w:p>
    <w:p w14:paraId="047A7A70" w14:textId="77777777" w:rsidR="00DD781A" w:rsidRDefault="00DD781A" w:rsidP="00DD781A">
      <w:pPr>
        <w:spacing w:after="0" w:line="240" w:lineRule="auto"/>
        <w:jc w:val="both"/>
        <w:rPr>
          <w:rFonts w:ascii="Verdana" w:eastAsia="Geomanist Light" w:hAnsi="Verdana" w:cs="Arial"/>
          <w:color w:val="000000" w:themeColor="text1"/>
          <w:lang w:val="es-MX"/>
        </w:rPr>
      </w:pPr>
    </w:p>
    <w:p w14:paraId="69B7BD14" w14:textId="0845514D" w:rsidR="00DD781A" w:rsidRPr="00D51089" w:rsidRDefault="005E3142" w:rsidP="00DD781A">
      <w:pPr>
        <w:spacing w:after="0" w:line="240" w:lineRule="auto"/>
        <w:jc w:val="both"/>
        <w:rPr>
          <w:rFonts w:ascii="Verdana" w:eastAsia="Geomanist Light" w:hAnsi="Verdana" w:cs="Arial"/>
          <w:b/>
          <w:bCs/>
          <w:color w:val="000000" w:themeColor="text1"/>
          <w:lang w:val="es-MX"/>
        </w:rPr>
      </w:pPr>
      <w:r w:rsidRPr="00D51089">
        <w:rPr>
          <w:rFonts w:ascii="Verdana" w:eastAsia="Calibri" w:hAnsi="Verdana" w:cs="Arial"/>
          <w:b/>
          <w:bCs/>
          <w:lang w:val="es-ES" w:eastAsia="es-ES"/>
        </w:rPr>
        <w:t>ADQUISICIONES – SECOP II – Deber de publicar</w:t>
      </w:r>
    </w:p>
    <w:p w14:paraId="48DD906A" w14:textId="77777777" w:rsidR="00DD781A" w:rsidRDefault="00DD781A" w:rsidP="00DD781A">
      <w:pPr>
        <w:spacing w:after="0" w:line="240" w:lineRule="auto"/>
        <w:jc w:val="both"/>
        <w:rPr>
          <w:rFonts w:ascii="Verdana" w:eastAsia="Geomanist Light" w:hAnsi="Verdana" w:cs="Arial"/>
          <w:color w:val="000000" w:themeColor="text1"/>
          <w:lang w:val="es-MX"/>
        </w:rPr>
      </w:pPr>
    </w:p>
    <w:p w14:paraId="5BDEFEB7" w14:textId="77777777" w:rsidR="00D51089" w:rsidRPr="00D51089" w:rsidRDefault="00D51089" w:rsidP="00D51089">
      <w:pPr>
        <w:spacing w:after="120" w:line="276" w:lineRule="auto"/>
        <w:jc w:val="both"/>
        <w:rPr>
          <w:rFonts w:ascii="Verdana" w:hAnsi="Verdana" w:cs="Arial"/>
          <w:sz w:val="20"/>
          <w:szCs w:val="20"/>
          <w:lang w:val="es-ES" w:eastAsia="es-ES"/>
        </w:rPr>
      </w:pPr>
      <w:r w:rsidRPr="00D51089">
        <w:rPr>
          <w:rFonts w:ascii="Verdana" w:hAnsi="Verdana" w:cs="Arial"/>
          <w:sz w:val="20"/>
          <w:szCs w:val="20"/>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el artículo 2.2.1.1.1.4.1. del Decreto 1082 de 2015. Asimismo,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w:t>
      </w:r>
      <w:r w:rsidRPr="00D51089">
        <w:rPr>
          <w:rFonts w:ascii="Verdana" w:hAnsi="Verdana" w:cs="Arial"/>
          <w:sz w:val="20"/>
          <w:szCs w:val="20"/>
          <w:lang w:val="es-ES" w:eastAsia="es-ES"/>
        </w:rPr>
        <w:lastRenderedPageBreak/>
        <w:t xml:space="preserve">las necesidades de bienes, obras y servicio que debe contratar para la respectiva anualidad, y que además puede ser actualizado. </w:t>
      </w:r>
    </w:p>
    <w:p w14:paraId="76FA1EC7" w14:textId="77777777" w:rsidR="00DD781A" w:rsidRPr="00D51089" w:rsidRDefault="00DD781A" w:rsidP="00DD781A">
      <w:pPr>
        <w:spacing w:after="0" w:line="240" w:lineRule="auto"/>
        <w:jc w:val="both"/>
        <w:rPr>
          <w:rFonts w:ascii="Verdana" w:eastAsia="Geomanist Light" w:hAnsi="Verdana" w:cs="Arial"/>
          <w:color w:val="000000" w:themeColor="text1"/>
          <w:sz w:val="20"/>
          <w:szCs w:val="20"/>
          <w:lang w:val="es-ES"/>
        </w:rPr>
      </w:pPr>
    </w:p>
    <w:p w14:paraId="747BA430" w14:textId="77777777" w:rsidR="00DD781A" w:rsidRDefault="00DD781A" w:rsidP="00DD781A">
      <w:pPr>
        <w:spacing w:after="0" w:line="240" w:lineRule="auto"/>
        <w:jc w:val="both"/>
        <w:rPr>
          <w:rFonts w:ascii="Verdana" w:eastAsia="Geomanist Light" w:hAnsi="Verdana" w:cs="Arial"/>
          <w:color w:val="000000" w:themeColor="text1"/>
          <w:lang w:val="es-MX"/>
        </w:rPr>
      </w:pPr>
    </w:p>
    <w:p w14:paraId="4656B4DB" w14:textId="77777777" w:rsidR="00DD781A" w:rsidRDefault="00DD781A" w:rsidP="00DD781A">
      <w:pPr>
        <w:spacing w:after="0" w:line="240" w:lineRule="auto"/>
        <w:jc w:val="both"/>
        <w:rPr>
          <w:rFonts w:ascii="Verdana" w:eastAsia="Geomanist Light" w:hAnsi="Verdana" w:cs="Arial"/>
          <w:color w:val="000000" w:themeColor="text1"/>
          <w:lang w:val="es-MX"/>
        </w:rPr>
      </w:pPr>
    </w:p>
    <w:p w14:paraId="0765134C" w14:textId="77777777" w:rsidR="00DD781A" w:rsidRDefault="00DD781A" w:rsidP="00DD781A">
      <w:pPr>
        <w:spacing w:after="0" w:line="240" w:lineRule="auto"/>
        <w:jc w:val="both"/>
        <w:rPr>
          <w:rFonts w:ascii="Verdana" w:eastAsia="Geomanist Light" w:hAnsi="Verdana" w:cs="Arial"/>
          <w:color w:val="000000" w:themeColor="text1"/>
          <w:lang w:val="es-MX"/>
        </w:rPr>
      </w:pPr>
    </w:p>
    <w:p w14:paraId="4BA20700" w14:textId="77777777" w:rsidR="00DD781A" w:rsidRDefault="00DD781A" w:rsidP="00DD781A">
      <w:pPr>
        <w:spacing w:after="0" w:line="240" w:lineRule="auto"/>
        <w:jc w:val="both"/>
        <w:rPr>
          <w:rFonts w:ascii="Verdana" w:eastAsia="Geomanist Light" w:hAnsi="Verdana" w:cs="Arial"/>
          <w:color w:val="000000" w:themeColor="text1"/>
          <w:lang w:val="es-MX"/>
        </w:rPr>
      </w:pPr>
    </w:p>
    <w:p w14:paraId="21F37447" w14:textId="77777777" w:rsidR="00DD781A" w:rsidRDefault="00DD781A" w:rsidP="00DD781A">
      <w:pPr>
        <w:spacing w:after="0" w:line="240" w:lineRule="auto"/>
        <w:jc w:val="both"/>
        <w:rPr>
          <w:rFonts w:ascii="Verdana" w:eastAsia="Geomanist Light" w:hAnsi="Verdana" w:cs="Arial"/>
          <w:color w:val="000000" w:themeColor="text1"/>
          <w:lang w:val="es-MX"/>
        </w:rPr>
      </w:pPr>
    </w:p>
    <w:p w14:paraId="13C08324" w14:textId="77777777" w:rsidR="00DD781A" w:rsidRDefault="00DD781A" w:rsidP="00DD781A">
      <w:pPr>
        <w:spacing w:after="0" w:line="240" w:lineRule="auto"/>
        <w:jc w:val="both"/>
        <w:rPr>
          <w:rFonts w:ascii="Verdana" w:eastAsia="Geomanist Light" w:hAnsi="Verdana" w:cs="Arial"/>
          <w:color w:val="000000" w:themeColor="text1"/>
          <w:lang w:val="es-MX"/>
        </w:rPr>
      </w:pPr>
    </w:p>
    <w:p w14:paraId="11096691" w14:textId="77777777" w:rsidR="00DD781A" w:rsidRDefault="00DD781A" w:rsidP="00DD781A">
      <w:pPr>
        <w:spacing w:after="0" w:line="240" w:lineRule="auto"/>
        <w:jc w:val="both"/>
        <w:rPr>
          <w:rFonts w:ascii="Verdana" w:eastAsia="Geomanist Light" w:hAnsi="Verdana" w:cs="Arial"/>
          <w:color w:val="000000" w:themeColor="text1"/>
          <w:lang w:val="es-MX"/>
        </w:rPr>
      </w:pPr>
    </w:p>
    <w:p w14:paraId="68353340" w14:textId="77777777" w:rsidR="00924AFA" w:rsidRDefault="00924AFA" w:rsidP="00300006">
      <w:pPr>
        <w:rPr>
          <w:rFonts w:ascii="Verdana" w:eastAsia="Verdana" w:hAnsi="Verdana" w:cs="Verdana"/>
        </w:rPr>
      </w:pPr>
    </w:p>
    <w:p w14:paraId="704BEF47" w14:textId="77777777" w:rsidR="00924AFA" w:rsidRDefault="00924AFA" w:rsidP="00300006">
      <w:pPr>
        <w:rPr>
          <w:rFonts w:ascii="Verdana" w:eastAsia="Verdana" w:hAnsi="Verdana" w:cs="Verdana"/>
        </w:rPr>
      </w:pPr>
    </w:p>
    <w:p w14:paraId="00047249" w14:textId="77777777" w:rsidR="00924AFA" w:rsidRDefault="00924AFA" w:rsidP="00300006">
      <w:pPr>
        <w:rPr>
          <w:rFonts w:ascii="Verdana" w:eastAsia="Verdana" w:hAnsi="Verdana" w:cs="Verdana"/>
        </w:rPr>
      </w:pPr>
    </w:p>
    <w:p w14:paraId="4EF05DD1" w14:textId="77777777" w:rsidR="00924AFA" w:rsidRDefault="00924AFA" w:rsidP="00300006">
      <w:pPr>
        <w:rPr>
          <w:rFonts w:ascii="Verdana" w:eastAsia="Verdana" w:hAnsi="Verdana" w:cs="Verdana"/>
        </w:rPr>
      </w:pPr>
    </w:p>
    <w:p w14:paraId="5D8EF721" w14:textId="77777777" w:rsidR="00924AFA" w:rsidRDefault="00924AFA" w:rsidP="00300006">
      <w:pPr>
        <w:rPr>
          <w:rFonts w:ascii="Verdana" w:eastAsia="Verdana" w:hAnsi="Verdana" w:cs="Verdana"/>
        </w:rPr>
      </w:pPr>
    </w:p>
    <w:p w14:paraId="60FE3210" w14:textId="77777777" w:rsidR="00924AFA" w:rsidRDefault="00924AFA" w:rsidP="00300006">
      <w:pPr>
        <w:rPr>
          <w:rFonts w:ascii="Verdana" w:eastAsia="Verdana" w:hAnsi="Verdana" w:cs="Verdana"/>
        </w:rPr>
      </w:pPr>
    </w:p>
    <w:p w14:paraId="56859AF0" w14:textId="77777777" w:rsidR="00924AFA" w:rsidRDefault="00924AFA" w:rsidP="00300006">
      <w:pPr>
        <w:rPr>
          <w:rFonts w:ascii="Verdana" w:eastAsia="Verdana" w:hAnsi="Verdana" w:cs="Verdana"/>
        </w:rPr>
      </w:pPr>
    </w:p>
    <w:p w14:paraId="34C919CC" w14:textId="77777777" w:rsidR="00924AFA" w:rsidRDefault="00924AFA" w:rsidP="00300006">
      <w:pPr>
        <w:rPr>
          <w:rFonts w:ascii="Verdana" w:eastAsia="Verdana" w:hAnsi="Verdana" w:cs="Verdana"/>
        </w:rPr>
      </w:pPr>
    </w:p>
    <w:p w14:paraId="7D6EEDB8" w14:textId="77777777" w:rsidR="00924AFA" w:rsidRDefault="00924AFA" w:rsidP="00300006">
      <w:pPr>
        <w:rPr>
          <w:rFonts w:ascii="Verdana" w:eastAsia="Verdana" w:hAnsi="Verdana" w:cs="Verdana"/>
        </w:rPr>
      </w:pPr>
    </w:p>
    <w:p w14:paraId="33AC0EBA" w14:textId="77777777" w:rsidR="00924AFA" w:rsidRDefault="00924AFA" w:rsidP="00300006">
      <w:pPr>
        <w:rPr>
          <w:rFonts w:ascii="Verdana" w:eastAsia="Verdana" w:hAnsi="Verdana" w:cs="Verdana"/>
        </w:rPr>
      </w:pPr>
    </w:p>
    <w:p w14:paraId="0D29F392" w14:textId="77777777" w:rsidR="00924AFA" w:rsidRDefault="00924AFA" w:rsidP="00300006">
      <w:pPr>
        <w:rPr>
          <w:rFonts w:ascii="Verdana" w:eastAsia="Verdana" w:hAnsi="Verdana" w:cs="Verdana"/>
        </w:rPr>
      </w:pPr>
    </w:p>
    <w:p w14:paraId="373DE340" w14:textId="77777777" w:rsidR="00924AFA" w:rsidRDefault="00924AFA" w:rsidP="00300006">
      <w:pPr>
        <w:rPr>
          <w:rFonts w:ascii="Verdana" w:eastAsia="Verdana" w:hAnsi="Verdana" w:cs="Verdana"/>
        </w:rPr>
      </w:pPr>
    </w:p>
    <w:p w14:paraId="33D82FC7" w14:textId="77777777" w:rsidR="00924AFA" w:rsidRDefault="00924AFA" w:rsidP="00300006">
      <w:pPr>
        <w:rPr>
          <w:rFonts w:ascii="Verdana" w:eastAsia="Verdana" w:hAnsi="Verdana" w:cs="Verdana"/>
        </w:rPr>
      </w:pPr>
    </w:p>
    <w:p w14:paraId="3022A62C" w14:textId="77777777" w:rsidR="00924AFA" w:rsidRDefault="00924AFA" w:rsidP="00300006">
      <w:pPr>
        <w:rPr>
          <w:rFonts w:ascii="Verdana" w:eastAsia="Verdana" w:hAnsi="Verdana" w:cs="Verdana"/>
        </w:rPr>
      </w:pPr>
    </w:p>
    <w:p w14:paraId="09B72204" w14:textId="77777777" w:rsidR="00924AFA" w:rsidRDefault="00924AFA" w:rsidP="00300006">
      <w:pPr>
        <w:rPr>
          <w:rFonts w:ascii="Verdana" w:eastAsia="Verdana" w:hAnsi="Verdana" w:cs="Verdana"/>
        </w:rPr>
      </w:pPr>
    </w:p>
    <w:p w14:paraId="55AC4927" w14:textId="7721DB34" w:rsidR="0067490C" w:rsidRPr="00300006" w:rsidRDefault="00C15139" w:rsidP="00300006">
      <w:pPr>
        <w:rPr>
          <w:rFonts w:ascii="Verdana" w:eastAsia="Verdana" w:hAnsi="Verdana" w:cs="Verdana"/>
        </w:rPr>
      </w:pPr>
      <w:r w:rsidRPr="30821638">
        <w:rPr>
          <w:rFonts w:ascii="Verdana" w:eastAsia="Verdana" w:hAnsi="Verdana" w:cs="Verdana"/>
        </w:rPr>
        <w:lastRenderedPageBreak/>
        <w:t xml:space="preserve">Bogotá D.C., </w:t>
      </w:r>
      <w:r w:rsidR="00BB6031">
        <w:rPr>
          <w:rFonts w:ascii="Verdana" w:eastAsia="Verdana" w:hAnsi="Verdana" w:cs="Verdana"/>
        </w:rPr>
        <w:t>10 de abril de 2026</w:t>
      </w:r>
      <w:r>
        <w:tab/>
      </w:r>
      <w:r>
        <w:br/>
      </w:r>
      <w:r w:rsidR="00924AFA" w:rsidRPr="00924AFA">
        <w:rPr>
          <w:rFonts w:ascii="Verdana" w:eastAsia="Verdana" w:hAnsi="Verdana" w:cs="Verdana"/>
          <w:b/>
          <w:bCs/>
          <w:noProof/>
        </w:rPr>
        <w:drawing>
          <wp:anchor distT="0" distB="0" distL="114300" distR="114300" simplePos="0" relativeHeight="251659265" behindDoc="1" locked="0" layoutInCell="1" allowOverlap="1" wp14:anchorId="42F1FB05" wp14:editId="51BDBFA3">
            <wp:simplePos x="0" y="0"/>
            <wp:positionH relativeFrom="column">
              <wp:posOffset>3700145</wp:posOffset>
            </wp:positionH>
            <wp:positionV relativeFrom="paragraph">
              <wp:posOffset>412475</wp:posOffset>
            </wp:positionV>
            <wp:extent cx="2188210" cy="748665"/>
            <wp:effectExtent l="0" t="0" r="2540" b="0"/>
            <wp:wrapTight wrapText="bothSides">
              <wp:wrapPolygon edited="0">
                <wp:start x="0" y="0"/>
                <wp:lineTo x="0" y="20885"/>
                <wp:lineTo x="21437" y="20885"/>
                <wp:lineTo x="21437" y="0"/>
                <wp:lineTo x="0" y="0"/>
              </wp:wrapPolygon>
            </wp:wrapTight>
            <wp:docPr id="18094000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8210" cy="748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92EAF7" w14:textId="4CA3BC41" w:rsidR="00D62B13" w:rsidRDefault="00193160" w:rsidP="30821638">
      <w:pPr>
        <w:spacing w:after="0"/>
        <w:rPr>
          <w:rFonts w:ascii="Verdana" w:eastAsia="Verdana" w:hAnsi="Verdana" w:cs="Verdana"/>
        </w:rPr>
      </w:pPr>
      <w:r>
        <w:rPr>
          <w:rFonts w:ascii="Verdana" w:eastAsia="Verdana" w:hAnsi="Verdana" w:cs="Verdana"/>
        </w:rPr>
        <w:t xml:space="preserve">Señor </w:t>
      </w:r>
    </w:p>
    <w:p w14:paraId="5879D376" w14:textId="7E0FA1CF" w:rsidR="00193160" w:rsidRPr="004832C5" w:rsidRDefault="00193160" w:rsidP="30821638">
      <w:pPr>
        <w:spacing w:after="0"/>
        <w:rPr>
          <w:rFonts w:ascii="Verdana" w:eastAsia="Verdana" w:hAnsi="Verdana" w:cs="Verdana"/>
          <w:b/>
          <w:bCs/>
        </w:rPr>
      </w:pPr>
      <w:r w:rsidRPr="004832C5">
        <w:rPr>
          <w:rFonts w:ascii="Verdana" w:eastAsia="Verdana" w:hAnsi="Verdana" w:cs="Verdana"/>
          <w:b/>
          <w:bCs/>
        </w:rPr>
        <w:t xml:space="preserve">Hector Andrés </w:t>
      </w:r>
      <w:r w:rsidR="002C5D19" w:rsidRPr="004832C5">
        <w:rPr>
          <w:rFonts w:ascii="Verdana" w:eastAsia="Verdana" w:hAnsi="Verdana" w:cs="Verdana"/>
          <w:b/>
          <w:bCs/>
        </w:rPr>
        <w:t>Duarte Ramírez</w:t>
      </w:r>
      <w:r w:rsidR="00924AFA">
        <w:rPr>
          <w:rFonts w:ascii="Verdana" w:eastAsia="Verdana" w:hAnsi="Verdana" w:cs="Verdana"/>
          <w:b/>
          <w:bCs/>
        </w:rPr>
        <w:t xml:space="preserve">                   </w:t>
      </w:r>
    </w:p>
    <w:p w14:paraId="3D0E86C8" w14:textId="1F1427D7" w:rsidR="002C5D19" w:rsidRDefault="00034286" w:rsidP="30821638">
      <w:pPr>
        <w:spacing w:after="0"/>
        <w:rPr>
          <w:rFonts w:ascii="Verdana" w:eastAsia="Verdana" w:hAnsi="Verdana" w:cs="Verdana"/>
        </w:rPr>
      </w:pPr>
      <w:hyperlink r:id="rId12" w:history="1">
        <w:r w:rsidRPr="00B00104">
          <w:rPr>
            <w:rStyle w:val="Hipervnculo"/>
            <w:rFonts w:ascii="Verdana" w:eastAsia="Verdana" w:hAnsi="Verdana" w:cs="Verdana"/>
          </w:rPr>
          <w:t>splaneacion@gachala-cundinamarca.gov.co</w:t>
        </w:r>
      </w:hyperlink>
    </w:p>
    <w:p w14:paraId="585F4802" w14:textId="05C35F22" w:rsidR="00034286" w:rsidRDefault="00034286" w:rsidP="30821638">
      <w:pPr>
        <w:spacing w:after="0"/>
        <w:rPr>
          <w:rFonts w:ascii="Verdana" w:eastAsia="Verdana" w:hAnsi="Verdana" w:cs="Verdana"/>
        </w:rPr>
      </w:pPr>
      <w:r>
        <w:rPr>
          <w:rFonts w:ascii="Verdana" w:eastAsia="Verdana" w:hAnsi="Verdana" w:cs="Verdana"/>
        </w:rPr>
        <w:t>Ciudad</w:t>
      </w:r>
    </w:p>
    <w:p w14:paraId="54A4AC6F" w14:textId="77777777" w:rsidR="00034286" w:rsidRDefault="00034286" w:rsidP="30821638">
      <w:pPr>
        <w:spacing w:after="0"/>
        <w:rPr>
          <w:rFonts w:ascii="Verdana" w:eastAsia="Verdana" w:hAnsi="Verdana" w:cs="Verdana"/>
        </w:rPr>
      </w:pPr>
    </w:p>
    <w:p w14:paraId="2234E433" w14:textId="77777777" w:rsidR="00E94598" w:rsidRPr="00593A5F" w:rsidRDefault="00E94598" w:rsidP="00E94598">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38"/>
        <w:gridCol w:w="6100"/>
      </w:tblGrid>
      <w:tr w:rsidR="00E94598" w:rsidRPr="00593A5F" w14:paraId="3E304AFB" w14:textId="77777777" w:rsidTr="0067490C">
        <w:trPr>
          <w:trHeight w:val="884"/>
        </w:trPr>
        <w:tc>
          <w:tcPr>
            <w:tcW w:w="2738" w:type="dxa"/>
          </w:tcPr>
          <w:p w14:paraId="6223397D" w14:textId="77777777" w:rsidR="00E94598" w:rsidRPr="00C00976" w:rsidRDefault="00E94598" w:rsidP="00547545">
            <w:pPr>
              <w:jc w:val="both"/>
              <w:rPr>
                <w:rFonts w:ascii="Verdana" w:eastAsia="Calibri" w:hAnsi="Verdana" w:cs="Arial"/>
                <w:b/>
                <w:bCs/>
                <w:color w:val="7030A0"/>
                <w:lang w:val="es-ES_tradnl" w:eastAsia="es-ES_tradnl"/>
              </w:rPr>
            </w:pPr>
          </w:p>
        </w:tc>
        <w:tc>
          <w:tcPr>
            <w:tcW w:w="6100" w:type="dxa"/>
          </w:tcPr>
          <w:p w14:paraId="7C615CC1" w14:textId="68295063" w:rsidR="00E94598" w:rsidRPr="007B60E9" w:rsidRDefault="00E94598" w:rsidP="00547545">
            <w:pPr>
              <w:jc w:val="both"/>
              <w:rPr>
                <w:rFonts w:ascii="Verdana" w:eastAsia="Calibri" w:hAnsi="Verdana" w:cs="Arial"/>
                <w:b/>
                <w:bCs/>
                <w:color w:val="7030A0"/>
                <w:lang w:val="es-ES" w:eastAsia="es-ES"/>
              </w:rPr>
            </w:pPr>
            <w:r w:rsidRPr="00423EEA">
              <w:rPr>
                <w:rFonts w:ascii="Verdana" w:eastAsia="Calibri" w:hAnsi="Verdana" w:cs="Arial"/>
                <w:b/>
                <w:bCs/>
                <w:lang w:val="es-ES" w:eastAsia="es-ES"/>
              </w:rPr>
              <w:t>Concepto C</w:t>
            </w:r>
            <w:r w:rsidR="00B13C23">
              <w:rPr>
                <w:rFonts w:ascii="Verdana" w:eastAsia="Calibri" w:hAnsi="Verdana" w:cs="Arial"/>
                <w:b/>
                <w:bCs/>
                <w:lang w:val="es-ES" w:eastAsia="es-ES"/>
              </w:rPr>
              <w:t>-327</w:t>
            </w:r>
            <w:r w:rsidRPr="00423EEA">
              <w:rPr>
                <w:rFonts w:ascii="Verdana" w:eastAsia="Calibri" w:hAnsi="Verdana" w:cs="Arial"/>
                <w:b/>
                <w:bCs/>
                <w:lang w:val="es-ES" w:eastAsia="es-ES"/>
              </w:rPr>
              <w:t xml:space="preserve"> de 202</w:t>
            </w:r>
            <w:r w:rsidR="00B13C23">
              <w:rPr>
                <w:rFonts w:ascii="Verdana" w:eastAsia="Calibri" w:hAnsi="Verdana" w:cs="Arial"/>
                <w:b/>
                <w:bCs/>
                <w:lang w:val="es-ES" w:eastAsia="es-ES"/>
              </w:rPr>
              <w:t>6</w:t>
            </w:r>
          </w:p>
        </w:tc>
      </w:tr>
      <w:tr w:rsidR="00E94598" w:rsidRPr="00593A5F" w14:paraId="0C17E2FC" w14:textId="77777777" w:rsidTr="0067490C">
        <w:trPr>
          <w:trHeight w:val="884"/>
        </w:trPr>
        <w:tc>
          <w:tcPr>
            <w:tcW w:w="2738" w:type="dxa"/>
          </w:tcPr>
          <w:p w14:paraId="5DB94431" w14:textId="77777777" w:rsidR="00E94598" w:rsidRPr="004B40A6" w:rsidRDefault="00E94598" w:rsidP="00547545">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3A39EED2" w14:textId="34756E9D" w:rsidR="00E94598" w:rsidRDefault="00E94598" w:rsidP="00547545">
            <w:pPr>
              <w:spacing w:line="276" w:lineRule="auto"/>
              <w:jc w:val="both"/>
              <w:rPr>
                <w:rFonts w:ascii="Verdana" w:eastAsia="Calibri" w:hAnsi="Verdana" w:cs="Arial"/>
                <w:lang w:val="es-ES" w:eastAsia="es-ES"/>
              </w:rPr>
            </w:pPr>
            <w:r w:rsidRPr="00B52642">
              <w:rPr>
                <w:rFonts w:ascii="Verdana" w:eastAsia="Calibri" w:hAnsi="Verdana" w:cs="Arial"/>
                <w:lang w:val="es-ES" w:eastAsia="es-ES"/>
              </w:rPr>
              <w:t>PLAN ANUAL DE ADQUISICIONES – Noción – Guía para elaborar el plan anual de adquisiciones – Obligatoriedad de elaboración</w:t>
            </w:r>
            <w:r>
              <w:rPr>
                <w:rFonts w:ascii="Verdana" w:eastAsia="Calibri" w:hAnsi="Verdana" w:cs="Arial"/>
                <w:lang w:val="es-ES" w:eastAsia="es-ES"/>
              </w:rPr>
              <w:t xml:space="preserve"> / </w:t>
            </w:r>
            <w:r w:rsidRPr="006B0E52">
              <w:rPr>
                <w:rFonts w:ascii="Verdana" w:eastAsia="Calibri" w:hAnsi="Verdana" w:cs="Arial"/>
                <w:lang w:val="es-ES" w:eastAsia="es-ES"/>
              </w:rPr>
              <w:t>PLAN ANUAL DE ADQUISICIONES – Deber de actualización</w:t>
            </w:r>
            <w:r>
              <w:rPr>
                <w:rFonts w:ascii="Verdana" w:eastAsia="Calibri" w:hAnsi="Verdana" w:cs="Arial"/>
                <w:lang w:val="es-ES" w:eastAsia="es-ES"/>
              </w:rPr>
              <w:t xml:space="preserve"> – Sujetos obligados – Información a reportar </w:t>
            </w:r>
            <w:r w:rsidR="005E3142">
              <w:rPr>
                <w:rFonts w:ascii="Verdana" w:eastAsia="Calibri" w:hAnsi="Verdana" w:cs="Arial"/>
                <w:lang w:val="es-ES" w:eastAsia="es-ES"/>
              </w:rPr>
              <w:t>– PLAN ANUAL DE ADQUISICIONES – SECOP II – Deber de publicar</w:t>
            </w:r>
          </w:p>
          <w:p w14:paraId="2779F0CE" w14:textId="77777777" w:rsidR="00055E34" w:rsidRPr="00FE10F1" w:rsidRDefault="00055E34" w:rsidP="00547545">
            <w:pPr>
              <w:spacing w:line="276" w:lineRule="auto"/>
              <w:jc w:val="both"/>
              <w:rPr>
                <w:rFonts w:ascii="Verdana" w:eastAsia="Calibri" w:hAnsi="Verdana" w:cs="Arial"/>
              </w:rPr>
            </w:pPr>
          </w:p>
        </w:tc>
      </w:tr>
      <w:tr w:rsidR="00E94598" w:rsidRPr="00593A5F" w14:paraId="285B1F92" w14:textId="77777777" w:rsidTr="0067490C">
        <w:trPr>
          <w:trHeight w:val="89"/>
        </w:trPr>
        <w:tc>
          <w:tcPr>
            <w:tcW w:w="2738" w:type="dxa"/>
          </w:tcPr>
          <w:p w14:paraId="0B6B905A" w14:textId="77777777" w:rsidR="00E94598" w:rsidRPr="004B40A6" w:rsidRDefault="00E94598" w:rsidP="00547545">
            <w:pPr>
              <w:jc w:val="both"/>
              <w:rPr>
                <w:rFonts w:ascii="Verdana" w:eastAsia="Calibri" w:hAnsi="Verdana" w:cs="Arial"/>
                <w:b/>
                <w:lang w:val="es-ES_tradnl" w:eastAsia="es-ES_tradnl"/>
              </w:rPr>
            </w:pPr>
            <w:r w:rsidRPr="004B40A6">
              <w:rPr>
                <w:rFonts w:ascii="Verdana" w:eastAsia="Calibri" w:hAnsi="Verdana" w:cs="Arial"/>
                <w:b/>
                <w:lang w:val="es-ES_tradnl" w:eastAsia="es-ES_tradnl"/>
              </w:rPr>
              <w:t>Radicación:</w:t>
            </w:r>
            <w:r w:rsidRPr="004B40A6">
              <w:rPr>
                <w:rFonts w:ascii="Verdana" w:eastAsia="Calibri" w:hAnsi="Verdana" w:cs="Arial"/>
                <w:lang w:val="es-ES_tradnl" w:eastAsia="es-ES_tradnl"/>
              </w:rPr>
              <w:t xml:space="preserve">               </w:t>
            </w:r>
          </w:p>
        </w:tc>
        <w:tc>
          <w:tcPr>
            <w:tcW w:w="6100" w:type="dxa"/>
          </w:tcPr>
          <w:p w14:paraId="388D8604" w14:textId="5E459F9F" w:rsidR="00E94598" w:rsidRPr="00E56225" w:rsidRDefault="00E94598" w:rsidP="00547545">
            <w:pPr>
              <w:spacing w:line="276" w:lineRule="auto"/>
              <w:jc w:val="both"/>
              <w:rPr>
                <w:rFonts w:ascii="Verdana" w:hAnsi="Verdana" w:cs="Calibri"/>
              </w:rPr>
            </w:pPr>
            <w:r w:rsidRPr="004B40A6">
              <w:rPr>
                <w:rFonts w:ascii="Verdana" w:eastAsia="Calibri" w:hAnsi="Verdana" w:cs="Arial"/>
                <w:lang w:val="es-ES_tradnl" w:eastAsia="es-ES_tradnl"/>
              </w:rPr>
              <w:t>Respuesta a consulta con radicado No.</w:t>
            </w:r>
            <w:r w:rsidR="00B13C23">
              <w:rPr>
                <w:rFonts w:ascii="Verdana" w:eastAsia="Calibri" w:hAnsi="Verdana" w:cs="Arial"/>
                <w:lang w:val="es-ES_tradnl" w:eastAsia="es-ES_tradnl"/>
              </w:rPr>
              <w:t xml:space="preserve"> </w:t>
            </w:r>
            <w:r w:rsidR="004832C5" w:rsidRPr="004832C5">
              <w:rPr>
                <w:rFonts w:ascii="Verdana" w:eastAsia="Calibri" w:hAnsi="Verdana" w:cs="Arial"/>
                <w:lang w:val="es-ES_tradnl" w:eastAsia="es-ES_tradnl"/>
              </w:rPr>
              <w:t>1_2026_03_18_003788</w:t>
            </w:r>
          </w:p>
        </w:tc>
      </w:tr>
    </w:tbl>
    <w:p w14:paraId="4AD6EEE4" w14:textId="77777777" w:rsidR="00E94598" w:rsidRPr="00593A5F" w:rsidRDefault="00E94598" w:rsidP="00E94598">
      <w:pPr>
        <w:spacing w:after="0" w:line="240" w:lineRule="auto"/>
        <w:jc w:val="both"/>
        <w:rPr>
          <w:rFonts w:ascii="Verdana" w:eastAsia="Calibri" w:hAnsi="Verdana" w:cs="Arial"/>
          <w:color w:val="000000"/>
          <w:lang w:val="es-ES_tradnl" w:eastAsia="es-ES_tradnl"/>
        </w:rPr>
      </w:pPr>
    </w:p>
    <w:p w14:paraId="32978C47" w14:textId="77777777" w:rsidR="00E94598" w:rsidRPr="00593A5F" w:rsidRDefault="00E94598" w:rsidP="00E94598">
      <w:pPr>
        <w:spacing w:after="0" w:line="240" w:lineRule="auto"/>
        <w:jc w:val="both"/>
        <w:rPr>
          <w:rFonts w:ascii="Verdana" w:eastAsia="Calibri" w:hAnsi="Verdana" w:cs="Arial"/>
          <w:color w:val="000000"/>
          <w:lang w:val="es-ES_tradnl" w:eastAsia="es-ES_tradnl"/>
        </w:rPr>
      </w:pPr>
    </w:p>
    <w:p w14:paraId="7AED4566" w14:textId="464E6622" w:rsidR="00E94598" w:rsidRPr="004B40A6" w:rsidRDefault="00E94598" w:rsidP="00E94598">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sidR="004832C5">
        <w:rPr>
          <w:rFonts w:ascii="Verdana" w:eastAsia="Calibri" w:hAnsi="Verdana" w:cs="Arial"/>
          <w:lang w:val="es-ES" w:eastAsia="es-ES"/>
        </w:rPr>
        <w:t>o</w:t>
      </w:r>
      <w:r w:rsidRPr="004B40A6">
        <w:rPr>
          <w:rFonts w:ascii="Verdana" w:eastAsia="Calibri" w:hAnsi="Verdana" w:cs="Arial"/>
          <w:lang w:val="es-ES" w:eastAsia="es-ES"/>
        </w:rPr>
        <w:t xml:space="preserve"> señor</w:t>
      </w:r>
      <w:r w:rsidR="004832C5">
        <w:rPr>
          <w:rFonts w:ascii="Verdana" w:eastAsia="Calibri" w:hAnsi="Verdana" w:cs="Arial"/>
          <w:lang w:val="es-ES" w:eastAsia="es-ES"/>
        </w:rPr>
        <w:t xml:space="preserve"> Duarte</w:t>
      </w:r>
      <w:r w:rsidRPr="004B40A6">
        <w:rPr>
          <w:rFonts w:ascii="Verdana" w:eastAsia="Calibri" w:hAnsi="Verdana" w:cs="Arial"/>
          <w:lang w:val="es-ES" w:eastAsia="es-ES"/>
        </w:rPr>
        <w:t xml:space="preserve">: </w:t>
      </w:r>
    </w:p>
    <w:p w14:paraId="7B8C5070" w14:textId="77777777" w:rsidR="00E94598" w:rsidRPr="004B40A6" w:rsidRDefault="00E94598" w:rsidP="00E94598">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50F6D897" w14:textId="132DF0D9" w:rsidR="00E94598" w:rsidRDefault="00E94598" w:rsidP="00E94598">
      <w:pPr>
        <w:spacing w:after="0" w:line="276" w:lineRule="auto"/>
        <w:jc w:val="both"/>
        <w:rPr>
          <w:rFonts w:ascii="Verdana" w:eastAsia="Calibri" w:hAnsi="Verdana" w:cs="Arial"/>
          <w:lang w:val="es-ES" w:eastAsia="es-ES"/>
        </w:rPr>
      </w:pPr>
      <w:r w:rsidRPr="00F7454D">
        <w:rPr>
          <w:rFonts w:ascii="Verdana" w:eastAsia="Calibri" w:hAnsi="Verdana" w:cs="Arial"/>
          <w:lang w:val="es-ES" w:eastAsia="es-ES"/>
        </w:rPr>
        <w:t>En ejercicio de la competencia otorgada por los artículos 3, numeral 5º, y 11, numeral 8º, del Decreto Ley 4170 de 2011,</w:t>
      </w:r>
      <w:r w:rsidRPr="00F7454D">
        <w:rPr>
          <w:rFonts w:ascii="Verdana" w:eastAsia="Arial MT" w:hAnsi="Verdana" w:cs="Arial MT"/>
          <w:lang w:val="es-ES" w:eastAsia="es-ES"/>
        </w:rPr>
        <w:t xml:space="preserve"> </w:t>
      </w:r>
      <w:r w:rsidRPr="00F7454D">
        <w:rPr>
          <w:rFonts w:ascii="Verdana" w:hAnsi="Verdana" w:cs="Arial"/>
        </w:rPr>
        <w:t xml:space="preserve">así como lo establecido en el artículo 4 de la Resolución 1707 de 2018 expedida por esta Entidad, </w:t>
      </w:r>
      <w:r w:rsidRPr="00F7454D">
        <w:rPr>
          <w:rFonts w:ascii="Verdana" w:eastAsia="Calibri" w:hAnsi="Verdana" w:cs="Arial"/>
          <w:lang w:val="es-ES" w:eastAsia="es-ES"/>
        </w:rPr>
        <w:t xml:space="preserve">la Agencia Nacional de Contratación Pública – Colombia Compra Eficiente– responde su solicitud de consulta de fecha </w:t>
      </w:r>
      <w:r w:rsidR="00055E34">
        <w:rPr>
          <w:rFonts w:ascii="Verdana" w:eastAsia="Calibri" w:hAnsi="Verdana" w:cs="Arial"/>
          <w:lang w:val="es-ES" w:eastAsia="es-ES"/>
        </w:rPr>
        <w:t>18</w:t>
      </w:r>
      <w:r w:rsidRPr="00F7454D">
        <w:rPr>
          <w:rFonts w:ascii="Verdana" w:eastAsia="Calibri" w:hAnsi="Verdana" w:cs="Arial"/>
          <w:lang w:val="es-ES" w:eastAsia="es-ES"/>
        </w:rPr>
        <w:t xml:space="preserve"> de </w:t>
      </w:r>
      <w:r w:rsidR="00055E34">
        <w:rPr>
          <w:rFonts w:ascii="Verdana" w:eastAsia="Calibri" w:hAnsi="Verdana" w:cs="Arial"/>
          <w:lang w:val="es-ES" w:eastAsia="es-ES"/>
        </w:rPr>
        <w:t>marzo</w:t>
      </w:r>
      <w:r w:rsidRPr="00F7454D">
        <w:rPr>
          <w:rFonts w:ascii="Verdana" w:eastAsia="Calibri" w:hAnsi="Verdana" w:cs="Arial"/>
          <w:lang w:val="es-ES" w:eastAsia="es-ES"/>
        </w:rPr>
        <w:t xml:space="preserve"> de 202</w:t>
      </w:r>
      <w:r w:rsidR="00055E34">
        <w:rPr>
          <w:rFonts w:ascii="Verdana" w:eastAsia="Calibri" w:hAnsi="Verdana" w:cs="Arial"/>
          <w:lang w:val="es-ES" w:eastAsia="es-ES"/>
        </w:rPr>
        <w:t>6</w:t>
      </w:r>
      <w:r w:rsidRPr="00F7454D">
        <w:rPr>
          <w:rFonts w:ascii="Verdana" w:eastAsia="Calibri" w:hAnsi="Verdana" w:cs="Arial"/>
          <w:lang w:val="es-ES" w:eastAsia="es-ES"/>
        </w:rPr>
        <w:t xml:space="preserve">, en la cual manifiesta lo siguiente: </w:t>
      </w:r>
    </w:p>
    <w:p w14:paraId="28DFF518" w14:textId="77777777" w:rsidR="00E94598" w:rsidRPr="00076878" w:rsidRDefault="00E94598" w:rsidP="00E94598">
      <w:pPr>
        <w:spacing w:after="0" w:line="276" w:lineRule="auto"/>
        <w:jc w:val="both"/>
        <w:rPr>
          <w:rFonts w:ascii="Verdana" w:eastAsia="Calibri" w:hAnsi="Verdana" w:cs="Arial"/>
          <w:lang w:val="es-ES" w:eastAsia="es-ES"/>
        </w:rPr>
      </w:pPr>
    </w:p>
    <w:p w14:paraId="678B4BA1" w14:textId="77777777" w:rsidR="006562CE" w:rsidRDefault="00055E34" w:rsidP="005F1DE0">
      <w:pPr>
        <w:spacing w:after="0" w:line="240" w:lineRule="auto"/>
        <w:ind w:left="709" w:right="709"/>
        <w:jc w:val="both"/>
        <w:rPr>
          <w:rFonts w:ascii="Verdana" w:eastAsia="Calibri" w:hAnsi="Verdana" w:cs="Arial"/>
          <w:color w:val="000000"/>
          <w:sz w:val="21"/>
          <w:szCs w:val="21"/>
          <w:lang w:val="es-ES" w:eastAsia="es-ES"/>
        </w:rPr>
      </w:pPr>
      <w:r w:rsidRPr="005F1DE0">
        <w:rPr>
          <w:rFonts w:ascii="Verdana" w:eastAsia="Calibri" w:hAnsi="Verdana" w:cs="Arial"/>
          <w:color w:val="000000"/>
          <w:sz w:val="21"/>
          <w:szCs w:val="21"/>
          <w:lang w:val="es-ES" w:eastAsia="es-ES"/>
        </w:rPr>
        <w:t>“</w:t>
      </w:r>
      <w:r w:rsidR="006562CE">
        <w:rPr>
          <w:rFonts w:ascii="Verdana" w:eastAsia="Calibri" w:hAnsi="Verdana" w:cs="Arial"/>
          <w:color w:val="000000"/>
          <w:sz w:val="21"/>
          <w:szCs w:val="21"/>
          <w:lang w:val="es-ES" w:eastAsia="es-ES"/>
        </w:rPr>
        <w:t>[…]</w:t>
      </w:r>
    </w:p>
    <w:p w14:paraId="62680F90" w14:textId="0FAE372B" w:rsidR="00E94598" w:rsidRPr="005F1DE0" w:rsidRDefault="00A97621" w:rsidP="005F1DE0">
      <w:pPr>
        <w:spacing w:after="0" w:line="240" w:lineRule="auto"/>
        <w:ind w:left="709" w:right="709"/>
        <w:jc w:val="both"/>
        <w:rPr>
          <w:rFonts w:ascii="Verdana" w:eastAsia="Calibri" w:hAnsi="Verdana" w:cs="Arial"/>
          <w:color w:val="000000"/>
          <w:sz w:val="21"/>
          <w:szCs w:val="21"/>
          <w:lang w:val="es-ES" w:eastAsia="es-ES"/>
        </w:rPr>
      </w:pPr>
      <w:r w:rsidRPr="005F1DE0">
        <w:rPr>
          <w:rFonts w:ascii="Verdana" w:eastAsia="Calibri" w:hAnsi="Verdana" w:cs="Arial"/>
          <w:color w:val="000000"/>
          <w:sz w:val="21"/>
          <w:szCs w:val="21"/>
          <w:lang w:val="es-ES" w:eastAsia="es-ES"/>
        </w:rPr>
        <w:t xml:space="preserve">1. ¿En </w:t>
      </w:r>
      <w:r w:rsidR="006562CE" w:rsidRPr="005F1DE0">
        <w:rPr>
          <w:rFonts w:ascii="Verdana" w:eastAsia="Calibri" w:hAnsi="Verdana" w:cs="Arial"/>
          <w:color w:val="000000"/>
          <w:sz w:val="21"/>
          <w:szCs w:val="21"/>
          <w:lang w:val="es-ES" w:eastAsia="es-ES"/>
        </w:rPr>
        <w:t>qué</w:t>
      </w:r>
      <w:r w:rsidRPr="005F1DE0">
        <w:rPr>
          <w:rFonts w:ascii="Verdana" w:eastAsia="Calibri" w:hAnsi="Verdana" w:cs="Arial"/>
          <w:color w:val="000000"/>
          <w:sz w:val="21"/>
          <w:szCs w:val="21"/>
          <w:lang w:val="es-ES" w:eastAsia="es-ES"/>
        </w:rPr>
        <w:t xml:space="preserve"> momento o circunstancias debe una entidad estatal actualizar el Plan Anual de Adquisiciones publica</w:t>
      </w:r>
      <w:r w:rsidR="005262EA" w:rsidRPr="005F1DE0">
        <w:rPr>
          <w:rFonts w:ascii="Verdana" w:eastAsia="Calibri" w:hAnsi="Verdana" w:cs="Arial"/>
          <w:color w:val="000000"/>
          <w:sz w:val="21"/>
          <w:szCs w:val="21"/>
          <w:lang w:val="es-ES" w:eastAsia="es-ES"/>
        </w:rPr>
        <w:t>do en el SECOP II?</w:t>
      </w:r>
    </w:p>
    <w:p w14:paraId="7B152CCA" w14:textId="0F1D4382" w:rsidR="005262EA" w:rsidRPr="005F1DE0" w:rsidRDefault="005262EA" w:rsidP="005F1DE0">
      <w:pPr>
        <w:spacing w:after="0" w:line="240" w:lineRule="auto"/>
        <w:ind w:left="709" w:right="709"/>
        <w:jc w:val="both"/>
        <w:rPr>
          <w:rFonts w:ascii="Verdana" w:eastAsia="Calibri" w:hAnsi="Verdana" w:cs="Arial"/>
          <w:color w:val="000000"/>
          <w:sz w:val="21"/>
          <w:szCs w:val="21"/>
          <w:lang w:val="es-ES" w:eastAsia="es-ES"/>
        </w:rPr>
      </w:pPr>
      <w:r w:rsidRPr="005F1DE0">
        <w:rPr>
          <w:rFonts w:ascii="Verdana" w:eastAsia="Calibri" w:hAnsi="Verdana" w:cs="Arial"/>
          <w:color w:val="000000"/>
          <w:sz w:val="21"/>
          <w:szCs w:val="21"/>
          <w:lang w:val="es-ES" w:eastAsia="es-ES"/>
        </w:rPr>
        <w:t>2. ¿La actualización del Plan Anual Adquisici</w:t>
      </w:r>
      <w:r w:rsidR="00021442" w:rsidRPr="005F1DE0">
        <w:rPr>
          <w:rFonts w:ascii="Verdana" w:eastAsia="Calibri" w:hAnsi="Verdana" w:cs="Arial"/>
          <w:color w:val="000000"/>
          <w:sz w:val="21"/>
          <w:szCs w:val="21"/>
          <w:lang w:val="es-ES" w:eastAsia="es-ES"/>
        </w:rPr>
        <w:t xml:space="preserve">ones debe realizarse </w:t>
      </w:r>
      <w:r w:rsidR="00797790" w:rsidRPr="005F1DE0">
        <w:rPr>
          <w:rFonts w:ascii="Verdana" w:eastAsia="Calibri" w:hAnsi="Verdana" w:cs="Arial"/>
          <w:color w:val="000000"/>
          <w:sz w:val="21"/>
          <w:szCs w:val="21"/>
          <w:lang w:val="es-ES" w:eastAsia="es-ES"/>
        </w:rPr>
        <w:t>únicamente en momentos específicos del año (por ejemplo, en el mes de julio)</w:t>
      </w:r>
      <w:r w:rsidR="00E3050F" w:rsidRPr="005F1DE0">
        <w:rPr>
          <w:rFonts w:ascii="Verdana" w:eastAsia="Calibri" w:hAnsi="Verdana" w:cs="Arial"/>
          <w:color w:val="000000"/>
          <w:sz w:val="21"/>
          <w:szCs w:val="21"/>
          <w:lang w:val="es-ES" w:eastAsia="es-ES"/>
        </w:rPr>
        <w:t xml:space="preserve">, o puede efectuarse en cualquier momento cuando se presenten modificaciones en la planeación </w:t>
      </w:r>
      <w:r w:rsidR="00725FFB" w:rsidRPr="005F1DE0">
        <w:rPr>
          <w:rFonts w:ascii="Verdana" w:eastAsia="Calibri" w:hAnsi="Verdana" w:cs="Arial"/>
          <w:color w:val="000000"/>
          <w:sz w:val="21"/>
          <w:szCs w:val="21"/>
          <w:lang w:val="es-ES" w:eastAsia="es-ES"/>
        </w:rPr>
        <w:t>contractual de la entidad?</w:t>
      </w:r>
    </w:p>
    <w:p w14:paraId="7D666FFC" w14:textId="77777777" w:rsidR="00D77AFD" w:rsidRPr="005F1DE0" w:rsidRDefault="00D77AFD" w:rsidP="005F1DE0">
      <w:pPr>
        <w:spacing w:after="0" w:line="240" w:lineRule="auto"/>
        <w:ind w:left="709" w:right="709"/>
        <w:jc w:val="both"/>
        <w:rPr>
          <w:rFonts w:ascii="Verdana" w:eastAsia="Calibri" w:hAnsi="Verdana" w:cs="Arial"/>
          <w:color w:val="000000"/>
          <w:sz w:val="21"/>
          <w:szCs w:val="21"/>
          <w:lang w:val="es-ES" w:eastAsia="es-ES"/>
        </w:rPr>
      </w:pPr>
    </w:p>
    <w:p w14:paraId="325F3917" w14:textId="5D42AA4A" w:rsidR="00725FFB" w:rsidRDefault="00725FFB" w:rsidP="005F1DE0">
      <w:pPr>
        <w:spacing w:after="0" w:line="240" w:lineRule="auto"/>
        <w:ind w:left="709" w:right="709"/>
        <w:jc w:val="both"/>
        <w:rPr>
          <w:rFonts w:ascii="Verdana" w:eastAsia="Calibri" w:hAnsi="Verdana" w:cs="Arial"/>
          <w:color w:val="000000"/>
          <w:sz w:val="21"/>
          <w:szCs w:val="21"/>
          <w:lang w:val="es-ES" w:eastAsia="es-ES"/>
        </w:rPr>
      </w:pPr>
      <w:r w:rsidRPr="005F1DE0">
        <w:rPr>
          <w:rFonts w:ascii="Verdana" w:eastAsia="Calibri" w:hAnsi="Verdana" w:cs="Arial"/>
          <w:color w:val="000000"/>
          <w:sz w:val="21"/>
          <w:szCs w:val="21"/>
          <w:lang w:val="es-ES" w:eastAsia="es-ES"/>
        </w:rPr>
        <w:lastRenderedPageBreak/>
        <w:t xml:space="preserve">3. ¿Cuáles son los casos </w:t>
      </w:r>
      <w:r w:rsidR="005F1DE0" w:rsidRPr="005F1DE0">
        <w:rPr>
          <w:rFonts w:ascii="Verdana" w:eastAsia="Calibri" w:hAnsi="Verdana" w:cs="Arial"/>
          <w:color w:val="000000"/>
          <w:sz w:val="21"/>
          <w:szCs w:val="21"/>
          <w:lang w:val="es-ES" w:eastAsia="es-ES"/>
        </w:rPr>
        <w:t>más</w:t>
      </w:r>
      <w:r w:rsidRPr="005F1DE0">
        <w:rPr>
          <w:rFonts w:ascii="Verdana" w:eastAsia="Calibri" w:hAnsi="Verdana" w:cs="Arial"/>
          <w:color w:val="000000"/>
          <w:sz w:val="21"/>
          <w:szCs w:val="21"/>
          <w:lang w:val="es-ES" w:eastAsia="es-ES"/>
        </w:rPr>
        <w:t xml:space="preserve"> comunes</w:t>
      </w:r>
      <w:r w:rsidR="005F1DE0">
        <w:rPr>
          <w:rFonts w:ascii="Verdana" w:eastAsia="Calibri" w:hAnsi="Verdana" w:cs="Arial"/>
          <w:color w:val="000000"/>
          <w:sz w:val="21"/>
          <w:szCs w:val="21"/>
          <w:lang w:val="es-ES" w:eastAsia="es-ES"/>
        </w:rPr>
        <w:t xml:space="preserve"> o situaciones administrativas</w:t>
      </w:r>
      <w:r w:rsidR="000F4C82">
        <w:rPr>
          <w:rFonts w:ascii="Verdana" w:eastAsia="Calibri" w:hAnsi="Verdana" w:cs="Arial"/>
          <w:color w:val="000000"/>
          <w:sz w:val="21"/>
          <w:szCs w:val="21"/>
          <w:lang w:val="es-ES" w:eastAsia="es-ES"/>
        </w:rPr>
        <w:t xml:space="preserve"> que justifiquen la actualizació</w:t>
      </w:r>
      <w:r w:rsidR="00441B58">
        <w:rPr>
          <w:rFonts w:ascii="Verdana" w:eastAsia="Calibri" w:hAnsi="Verdana" w:cs="Arial"/>
          <w:color w:val="000000"/>
          <w:sz w:val="21"/>
          <w:szCs w:val="21"/>
          <w:lang w:val="es-ES" w:eastAsia="es-ES"/>
        </w:rPr>
        <w:t xml:space="preserve">n del Plan Anual de Adquisiciones? (por ejemplo: </w:t>
      </w:r>
      <w:r w:rsidR="00B54F79">
        <w:rPr>
          <w:rFonts w:ascii="Verdana" w:eastAsia="Calibri" w:hAnsi="Verdana" w:cs="Arial"/>
          <w:color w:val="000000"/>
          <w:sz w:val="21"/>
          <w:szCs w:val="21"/>
          <w:lang w:val="es-ES" w:eastAsia="es-ES"/>
        </w:rPr>
        <w:t>inclusió</w:t>
      </w:r>
      <w:r w:rsidR="00081374">
        <w:rPr>
          <w:rFonts w:ascii="Verdana" w:eastAsia="Calibri" w:hAnsi="Verdana" w:cs="Arial"/>
          <w:color w:val="000000"/>
          <w:sz w:val="21"/>
          <w:szCs w:val="21"/>
          <w:lang w:val="es-ES" w:eastAsia="es-ES"/>
        </w:rPr>
        <w:t xml:space="preserve">n de nuevos procesos de contratación, modificaciones en valores estimados, cambios en cronogramas, ajustes presupuestales, o </w:t>
      </w:r>
      <w:r w:rsidR="00261871">
        <w:rPr>
          <w:rFonts w:ascii="Verdana" w:eastAsia="Calibri" w:hAnsi="Verdana" w:cs="Arial"/>
          <w:color w:val="000000"/>
          <w:sz w:val="21"/>
          <w:szCs w:val="21"/>
          <w:lang w:val="es-ES" w:eastAsia="es-ES"/>
        </w:rPr>
        <w:t>modificaciones en el código UNSPSC</w:t>
      </w:r>
      <w:r w:rsidR="00C36B41">
        <w:rPr>
          <w:rFonts w:ascii="Verdana" w:eastAsia="Calibri" w:hAnsi="Verdana" w:cs="Arial"/>
          <w:color w:val="000000"/>
          <w:sz w:val="21"/>
          <w:szCs w:val="21"/>
          <w:lang w:val="es-ES" w:eastAsia="es-ES"/>
        </w:rPr>
        <w:t>).</w:t>
      </w:r>
    </w:p>
    <w:p w14:paraId="44358260" w14:textId="77777777" w:rsidR="00C36B41" w:rsidRDefault="00C36B41" w:rsidP="005F1DE0">
      <w:pPr>
        <w:spacing w:after="0" w:line="240" w:lineRule="auto"/>
        <w:ind w:left="709" w:right="709"/>
        <w:jc w:val="both"/>
        <w:rPr>
          <w:rFonts w:ascii="Verdana" w:eastAsia="Calibri" w:hAnsi="Verdana" w:cs="Arial"/>
          <w:color w:val="000000"/>
          <w:sz w:val="21"/>
          <w:szCs w:val="21"/>
          <w:lang w:val="es-ES" w:eastAsia="es-ES"/>
        </w:rPr>
      </w:pPr>
    </w:p>
    <w:p w14:paraId="48E3C2E7" w14:textId="099BE6E5" w:rsidR="00C36B41" w:rsidRDefault="00C36B41" w:rsidP="005F1DE0">
      <w:pPr>
        <w:spacing w:after="0" w:line="240" w:lineRule="auto"/>
        <w:ind w:left="709" w:right="709"/>
        <w:jc w:val="both"/>
        <w:rPr>
          <w:rFonts w:ascii="Verdana" w:eastAsia="Calibri" w:hAnsi="Verdana" w:cs="Arial"/>
          <w:color w:val="000000"/>
          <w:sz w:val="21"/>
          <w:szCs w:val="21"/>
          <w:lang w:val="es-ES" w:eastAsia="es-ES"/>
        </w:rPr>
      </w:pPr>
      <w:r>
        <w:rPr>
          <w:rFonts w:ascii="Verdana" w:eastAsia="Calibri" w:hAnsi="Verdana" w:cs="Arial"/>
          <w:color w:val="000000"/>
          <w:sz w:val="21"/>
          <w:szCs w:val="21"/>
          <w:lang w:val="es-ES" w:eastAsia="es-ES"/>
        </w:rPr>
        <w:t xml:space="preserve">4. En el </w:t>
      </w:r>
      <w:r w:rsidR="00427832">
        <w:rPr>
          <w:rFonts w:ascii="Verdana" w:eastAsia="Calibri" w:hAnsi="Verdana" w:cs="Arial"/>
          <w:color w:val="000000"/>
          <w:sz w:val="21"/>
          <w:szCs w:val="21"/>
          <w:lang w:val="es-ES" w:eastAsia="es-ES"/>
        </w:rPr>
        <w:t>evento en que una entidad actual</w:t>
      </w:r>
      <w:r w:rsidR="00F72219">
        <w:rPr>
          <w:rFonts w:ascii="Verdana" w:eastAsia="Calibri" w:hAnsi="Verdana" w:cs="Arial"/>
          <w:color w:val="000000"/>
          <w:sz w:val="21"/>
          <w:szCs w:val="21"/>
          <w:lang w:val="es-ES" w:eastAsia="es-ES"/>
        </w:rPr>
        <w:t>ice</w:t>
      </w:r>
      <w:r w:rsidR="00427832">
        <w:rPr>
          <w:rFonts w:ascii="Verdana" w:eastAsia="Calibri" w:hAnsi="Verdana" w:cs="Arial"/>
          <w:color w:val="000000"/>
          <w:sz w:val="21"/>
          <w:szCs w:val="21"/>
          <w:lang w:val="es-ES" w:eastAsia="es-ES"/>
        </w:rPr>
        <w:t xml:space="preserve"> el Plan Anual de Adquisiciones de manera frecuente </w:t>
      </w:r>
      <w:r w:rsidR="00ED5C3D">
        <w:rPr>
          <w:rFonts w:ascii="Verdana" w:eastAsia="Calibri" w:hAnsi="Verdana" w:cs="Arial"/>
          <w:color w:val="000000"/>
          <w:sz w:val="21"/>
          <w:szCs w:val="21"/>
          <w:lang w:val="es-ES" w:eastAsia="es-ES"/>
        </w:rPr>
        <w:t>durante la vigencia fiscal con el fin de mantenerlo alineado</w:t>
      </w:r>
      <w:r w:rsidR="00F434ED">
        <w:rPr>
          <w:rFonts w:ascii="Verdana" w:eastAsia="Calibri" w:hAnsi="Verdana" w:cs="Arial"/>
          <w:color w:val="000000"/>
          <w:sz w:val="21"/>
          <w:szCs w:val="21"/>
          <w:lang w:val="es-ES" w:eastAsia="es-ES"/>
        </w:rPr>
        <w:t xml:space="preserve"> con la planeación contractual y presupuestal, ¿esto podría considerarse una practica inadecuada o, por el contrario</w:t>
      </w:r>
      <w:r w:rsidR="00090425">
        <w:rPr>
          <w:rFonts w:ascii="Verdana" w:eastAsia="Calibri" w:hAnsi="Verdana" w:cs="Arial"/>
          <w:color w:val="000000"/>
          <w:sz w:val="21"/>
          <w:szCs w:val="21"/>
          <w:lang w:val="es-ES" w:eastAsia="es-ES"/>
        </w:rPr>
        <w:t xml:space="preserve">, corresponde a una buena </w:t>
      </w:r>
      <w:r w:rsidR="006562CE">
        <w:rPr>
          <w:rFonts w:ascii="Verdana" w:eastAsia="Calibri" w:hAnsi="Verdana" w:cs="Arial"/>
          <w:color w:val="000000"/>
          <w:sz w:val="21"/>
          <w:szCs w:val="21"/>
          <w:lang w:val="es-ES" w:eastAsia="es-ES"/>
        </w:rPr>
        <w:t>práctica</w:t>
      </w:r>
      <w:r w:rsidR="00DD1C27">
        <w:rPr>
          <w:rFonts w:ascii="Verdana" w:eastAsia="Calibri" w:hAnsi="Verdana" w:cs="Arial"/>
          <w:color w:val="000000"/>
          <w:sz w:val="21"/>
          <w:szCs w:val="21"/>
          <w:lang w:val="es-ES" w:eastAsia="es-ES"/>
        </w:rPr>
        <w:t xml:space="preserve"> de gestión contractual?</w:t>
      </w:r>
    </w:p>
    <w:p w14:paraId="0C19A5E2" w14:textId="77777777" w:rsidR="00465E15" w:rsidRDefault="00465E15" w:rsidP="005F1DE0">
      <w:pPr>
        <w:spacing w:after="0" w:line="240" w:lineRule="auto"/>
        <w:ind w:left="709" w:right="709"/>
        <w:jc w:val="both"/>
        <w:rPr>
          <w:rFonts w:ascii="Verdana" w:eastAsia="Calibri" w:hAnsi="Verdana" w:cs="Arial"/>
          <w:color w:val="000000"/>
          <w:sz w:val="21"/>
          <w:szCs w:val="21"/>
          <w:lang w:val="es-ES" w:eastAsia="es-ES"/>
        </w:rPr>
      </w:pPr>
    </w:p>
    <w:p w14:paraId="7058E47C" w14:textId="0590FFD1" w:rsidR="00465E15" w:rsidRDefault="00465E15" w:rsidP="005F1DE0">
      <w:pPr>
        <w:spacing w:after="0" w:line="240" w:lineRule="auto"/>
        <w:ind w:left="709" w:right="709"/>
        <w:jc w:val="both"/>
        <w:rPr>
          <w:rFonts w:ascii="Verdana" w:eastAsia="Calibri" w:hAnsi="Verdana" w:cs="Arial"/>
          <w:color w:val="000000"/>
          <w:sz w:val="21"/>
          <w:szCs w:val="21"/>
          <w:lang w:val="es-ES" w:eastAsia="es-ES"/>
        </w:rPr>
      </w:pPr>
      <w:r>
        <w:rPr>
          <w:rFonts w:ascii="Verdana" w:eastAsia="Calibri" w:hAnsi="Verdana" w:cs="Arial"/>
          <w:color w:val="000000"/>
          <w:sz w:val="21"/>
          <w:szCs w:val="21"/>
          <w:lang w:val="es-ES" w:eastAsia="es-ES"/>
        </w:rPr>
        <w:t xml:space="preserve">5. ¿Existe alguna limitación o recomendación por parte de esa Agencia respecto al numero de versiones o actualizaciones del Plan Anual de Adquisiciones que una entidad puede </w:t>
      </w:r>
      <w:r w:rsidR="006562CE">
        <w:rPr>
          <w:rFonts w:ascii="Verdana" w:eastAsia="Calibri" w:hAnsi="Verdana" w:cs="Arial"/>
          <w:color w:val="000000"/>
          <w:sz w:val="21"/>
          <w:szCs w:val="21"/>
          <w:lang w:val="es-ES" w:eastAsia="es-ES"/>
        </w:rPr>
        <w:t>publicar durante la vigencia?</w:t>
      </w:r>
    </w:p>
    <w:p w14:paraId="2F1E6727" w14:textId="29872FAF" w:rsidR="006562CE" w:rsidRDefault="006562CE" w:rsidP="005F1DE0">
      <w:pPr>
        <w:spacing w:after="0" w:line="240" w:lineRule="auto"/>
        <w:ind w:left="709" w:right="709"/>
        <w:jc w:val="both"/>
        <w:rPr>
          <w:rFonts w:ascii="Verdana" w:eastAsia="Calibri" w:hAnsi="Verdana" w:cs="Arial"/>
          <w:color w:val="000000"/>
          <w:sz w:val="21"/>
          <w:szCs w:val="21"/>
          <w:lang w:val="es-ES" w:eastAsia="es-ES"/>
        </w:rPr>
      </w:pPr>
      <w:r>
        <w:rPr>
          <w:rFonts w:ascii="Verdana" w:eastAsia="Calibri" w:hAnsi="Verdana" w:cs="Arial"/>
          <w:color w:val="000000"/>
          <w:sz w:val="21"/>
          <w:szCs w:val="21"/>
          <w:lang w:val="es-ES" w:eastAsia="es-ES"/>
        </w:rPr>
        <w:t>[…]”.</w:t>
      </w:r>
    </w:p>
    <w:p w14:paraId="05DDF161" w14:textId="77777777" w:rsidR="00C36B41" w:rsidRPr="005F1DE0" w:rsidRDefault="00C36B41" w:rsidP="005F1DE0">
      <w:pPr>
        <w:spacing w:after="0" w:line="240" w:lineRule="auto"/>
        <w:ind w:left="709" w:right="709"/>
        <w:jc w:val="both"/>
        <w:rPr>
          <w:rFonts w:ascii="Verdana" w:eastAsia="Calibri" w:hAnsi="Verdana" w:cs="Arial"/>
          <w:color w:val="000000"/>
          <w:sz w:val="21"/>
          <w:szCs w:val="21"/>
          <w:lang w:val="es-ES" w:eastAsia="es-ES"/>
        </w:rPr>
      </w:pPr>
    </w:p>
    <w:p w14:paraId="5EAEB8CC" w14:textId="77777777" w:rsidR="00E94598" w:rsidRDefault="00E94598" w:rsidP="00800F56">
      <w:pPr>
        <w:spacing w:after="120" w:line="276" w:lineRule="auto"/>
        <w:ind w:firstLine="708"/>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F46092" w14:textId="77777777" w:rsidR="00E94598" w:rsidRDefault="00E94598" w:rsidP="00E94598">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D29A18D" w14:textId="77777777" w:rsidR="00E94598" w:rsidRPr="00593A5F" w:rsidRDefault="00E94598" w:rsidP="00E94598">
      <w:pPr>
        <w:spacing w:after="0" w:line="276" w:lineRule="auto"/>
        <w:jc w:val="both"/>
        <w:rPr>
          <w:rFonts w:ascii="Verdana" w:eastAsia="Calibri" w:hAnsi="Verdana" w:cs="Arial"/>
          <w:color w:val="000000"/>
          <w:lang w:val="es-ES" w:eastAsia="es-ES"/>
        </w:rPr>
      </w:pPr>
    </w:p>
    <w:p w14:paraId="11274FE7" w14:textId="77777777" w:rsidR="00E94598" w:rsidRPr="00593A5F" w:rsidRDefault="00E94598" w:rsidP="00E9459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C3114CE" w14:textId="77777777" w:rsidR="00E94598" w:rsidRDefault="00E94598" w:rsidP="00E94598">
      <w:pPr>
        <w:spacing w:after="0" w:line="240" w:lineRule="auto"/>
        <w:ind w:right="709"/>
        <w:jc w:val="both"/>
        <w:rPr>
          <w:rFonts w:ascii="Verdana" w:eastAsia="Century Gothic" w:hAnsi="Verdana" w:cs="Century Gothic"/>
          <w:lang w:val="es-ES"/>
        </w:rPr>
      </w:pPr>
    </w:p>
    <w:p w14:paraId="71F7EC0A" w14:textId="39165735" w:rsidR="00E94598" w:rsidRDefault="00E94598" w:rsidP="00E94598">
      <w:pPr>
        <w:spacing w:after="0" w:line="276" w:lineRule="auto"/>
        <w:jc w:val="both"/>
        <w:rPr>
          <w:rFonts w:ascii="Verdana" w:eastAsia="Century Gothic" w:hAnsi="Verdana" w:cs="Century Gothic"/>
          <w:lang w:val="es-ES"/>
        </w:rPr>
      </w:pPr>
      <w:r w:rsidRPr="00E03E8C">
        <w:rPr>
          <w:rFonts w:ascii="Verdana" w:hAnsi="Verdana"/>
        </w:rPr>
        <w:lastRenderedPageBreak/>
        <w:t xml:space="preserve">De acuerdo con el contenido de su solicitud, esta Agencia resolverá el siguiente problema jurídico: </w:t>
      </w:r>
      <w:r w:rsidRPr="005A13B4">
        <w:rPr>
          <w:rFonts w:ascii="Verdana" w:hAnsi="Verdana"/>
        </w:rPr>
        <w:t>i</w:t>
      </w:r>
      <w:r>
        <w:rPr>
          <w:rFonts w:ascii="Verdana" w:hAnsi="Verdana"/>
        </w:rPr>
        <w:t>)</w:t>
      </w:r>
      <w:r w:rsidRPr="005A13B4">
        <w:rPr>
          <w:rFonts w:ascii="Verdana" w:hAnsi="Verdana"/>
        </w:rPr>
        <w:t xml:space="preserve"> ¿Las Entidades Estatales se encuentran en la obligación de </w:t>
      </w:r>
      <w:r w:rsidR="00595709">
        <w:rPr>
          <w:rFonts w:ascii="Verdana" w:hAnsi="Verdana"/>
        </w:rPr>
        <w:t>actualizar</w:t>
      </w:r>
      <w:r w:rsidRPr="005A13B4">
        <w:rPr>
          <w:rFonts w:ascii="Verdana" w:hAnsi="Verdana"/>
        </w:rPr>
        <w:t xml:space="preserve"> el Plan Anual de Adquisiciones – PAA</w:t>
      </w:r>
      <w:r w:rsidR="00DF523C">
        <w:rPr>
          <w:rFonts w:ascii="Verdana" w:hAnsi="Verdana"/>
        </w:rPr>
        <w:t xml:space="preserve"> y que debe incluirse dentro de </w:t>
      </w:r>
      <w:r w:rsidR="005461B4">
        <w:rPr>
          <w:rFonts w:ascii="Verdana" w:hAnsi="Verdana"/>
        </w:rPr>
        <w:t>la actualización</w:t>
      </w:r>
      <w:r w:rsidR="00371D7A">
        <w:rPr>
          <w:rFonts w:ascii="Verdana" w:hAnsi="Verdana"/>
        </w:rPr>
        <w:t>?</w:t>
      </w:r>
      <w:r w:rsidRPr="005A13B4">
        <w:rPr>
          <w:rFonts w:ascii="Verdana" w:hAnsi="Verdana"/>
        </w:rPr>
        <w:t xml:space="preserve"> ii</w:t>
      </w:r>
      <w:r>
        <w:rPr>
          <w:rFonts w:ascii="Verdana" w:hAnsi="Verdana"/>
        </w:rPr>
        <w:t>)</w:t>
      </w:r>
      <w:r w:rsidRPr="005A13B4">
        <w:rPr>
          <w:rFonts w:ascii="Verdana" w:hAnsi="Verdana"/>
        </w:rPr>
        <w:t xml:space="preserve"> ¿Es necesaria la publicación en el </w:t>
      </w:r>
      <w:r>
        <w:rPr>
          <w:rFonts w:ascii="Verdana" w:hAnsi="Verdana"/>
        </w:rPr>
        <w:t xml:space="preserve">Sistema Electrónico de Contratación </w:t>
      </w:r>
      <w:r w:rsidR="00800F56">
        <w:rPr>
          <w:rFonts w:ascii="Verdana" w:hAnsi="Verdana"/>
        </w:rPr>
        <w:t>Pública</w:t>
      </w:r>
      <w:r>
        <w:rPr>
          <w:rFonts w:ascii="Verdana" w:hAnsi="Verdana"/>
        </w:rPr>
        <w:t xml:space="preserve"> </w:t>
      </w:r>
      <w:r w:rsidR="00C435C0">
        <w:rPr>
          <w:rFonts w:ascii="Verdana" w:hAnsi="Verdana"/>
        </w:rPr>
        <w:t xml:space="preserve">– SECOP </w:t>
      </w:r>
      <w:r w:rsidR="00681380">
        <w:rPr>
          <w:rFonts w:ascii="Verdana" w:hAnsi="Verdana"/>
        </w:rPr>
        <w:t>II</w:t>
      </w:r>
      <w:r w:rsidR="008623CD">
        <w:rPr>
          <w:rFonts w:ascii="Verdana" w:hAnsi="Verdana"/>
        </w:rPr>
        <w:t xml:space="preserve"> y iii</w:t>
      </w:r>
      <w:r w:rsidR="00681380">
        <w:rPr>
          <w:rFonts w:ascii="Verdana" w:hAnsi="Verdana"/>
        </w:rPr>
        <w:t>) ¿Existe algún tope máximo para la actualización del PAA?</w:t>
      </w:r>
    </w:p>
    <w:p w14:paraId="4F27273B" w14:textId="77777777" w:rsidR="00E94598" w:rsidRPr="00EE4272" w:rsidRDefault="00E94598" w:rsidP="00E94598">
      <w:pPr>
        <w:spacing w:after="0" w:line="276" w:lineRule="auto"/>
        <w:jc w:val="both"/>
        <w:rPr>
          <w:rFonts w:ascii="Verdana" w:eastAsia="Century Gothic" w:hAnsi="Verdana" w:cs="Century Gothic"/>
        </w:rPr>
      </w:pPr>
    </w:p>
    <w:p w14:paraId="2C18D5FB" w14:textId="77777777" w:rsidR="00E94598" w:rsidRDefault="00E94598" w:rsidP="00E945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F92D5A7" w14:textId="77777777" w:rsidR="009D448F" w:rsidRDefault="009D448F" w:rsidP="00511B3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CDC2EAD" w14:textId="77777777" w:rsidR="003B1E23" w:rsidRDefault="003B1E23" w:rsidP="00EA1F52">
      <w:pPr>
        <w:pBdr>
          <w:top w:val="dotted" w:sz="4" w:space="1" w:color="auto"/>
          <w:left w:val="dotted" w:sz="4" w:space="4" w:color="auto"/>
          <w:bottom w:val="dotted" w:sz="4" w:space="1" w:color="auto"/>
          <w:right w:val="dotted" w:sz="4" w:space="4" w:color="auto"/>
        </w:pBdr>
        <w:spacing w:after="0" w:line="276" w:lineRule="auto"/>
        <w:jc w:val="both"/>
        <w:rPr>
          <w:rFonts w:ascii="Verdana" w:eastAsia="Century Gothic" w:hAnsi="Verdana" w:cs="Century Gothic"/>
        </w:rPr>
      </w:pPr>
      <w:r w:rsidRPr="004D32C1">
        <w:rPr>
          <w:rFonts w:ascii="Verdana" w:eastAsia="Century Gothic" w:hAnsi="Verdana" w:cs="Century Gothic"/>
        </w:rPr>
        <w:t>i)</w:t>
      </w:r>
      <w:r>
        <w:rPr>
          <w:rFonts w:ascii="Verdana" w:eastAsia="Century Gothic" w:hAnsi="Verdana" w:cs="Century Gothic"/>
        </w:rPr>
        <w:t xml:space="preserve"> El artículo 2.1.1.1.4.4 del Decreto 1082 de 2015 fijo el alcance de la facultad asignada a las Entidades Estatales para actualizar el Plan Anual de Adquisiciones. Para efectos de claridad, actualizar según la Lengua Española corresponde a “hacer actual algo, darle actualidad” o “poner al día datos, normas, precios, rentas salarios”. </w:t>
      </w:r>
    </w:p>
    <w:p w14:paraId="35F78082" w14:textId="77777777" w:rsidR="003B1E23" w:rsidRDefault="003B1E23" w:rsidP="00EA1F52">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contextualSpacing w:val="0"/>
        <w:jc w:val="both"/>
        <w:rPr>
          <w:rFonts w:ascii="Verdana" w:eastAsia="Century Gothic" w:hAnsi="Verdana" w:cs="Century Gothic"/>
        </w:rPr>
      </w:pPr>
      <w:r>
        <w:rPr>
          <w:rFonts w:ascii="Verdana" w:eastAsia="Century Gothic" w:hAnsi="Verdana" w:cs="Century Gothic"/>
        </w:rPr>
        <w:t>De esta manera, y aplicando tal definición, la norma antes mencionada facultó a las Entidades Estatales para mantener actualizada la información contenida con su Plan Anual de Adquisiciones. Por ello, la Agencia Nacional de Contratación Pública – Colombia Compra Eficiente en el numeral 5.7 de la Circular Externa Única, señala que las entidades deben actualizar su Plan Anual de Adquisiciones al menos una vez al año.</w:t>
      </w:r>
    </w:p>
    <w:p w14:paraId="26C145E7" w14:textId="77777777" w:rsidR="00D51089"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142"/>
        <w:contextualSpacing w:val="0"/>
        <w:jc w:val="both"/>
        <w:rPr>
          <w:rFonts w:ascii="Verdana" w:eastAsia="Century Gothic" w:hAnsi="Verdana" w:cs="Century Gothic"/>
        </w:rPr>
      </w:pPr>
      <w:r>
        <w:rPr>
          <w:rFonts w:ascii="Verdana" w:eastAsia="Century Gothic" w:hAnsi="Verdana" w:cs="Century Gothic"/>
        </w:rPr>
        <w:tab/>
        <w:t>Adicionalmente los funciones y contratistas encargados de la elaboración y actualización del plan Anual de Adquisiciones de acuerdo con lo dispuesto en el artículo 2.2.1.1.1.4.4 del Decreto 1082 de 2015, deben validar los siguientes aspectos para así determinar si es o no necesario realizar actualizaciones al dicho plan en el transcurso del año:</w:t>
      </w:r>
    </w:p>
    <w:p w14:paraId="1E5E7331" w14:textId="77777777" w:rsidR="00D51089"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709"/>
        <w:contextualSpacing w:val="0"/>
        <w:jc w:val="both"/>
        <w:rPr>
          <w:rFonts w:ascii="Verdana" w:eastAsia="Century Gothic" w:hAnsi="Verdana" w:cs="Century Gothic"/>
        </w:rPr>
      </w:pPr>
      <w:r w:rsidRPr="00D51089">
        <w:rPr>
          <w:rFonts w:ascii="Verdana" w:eastAsia="Century Gothic" w:hAnsi="Verdana" w:cs="Century Gothic"/>
        </w:rPr>
        <w:t>Ajustes en los cronogramas de adquisición, valores, modalidad de</w:t>
      </w:r>
    </w:p>
    <w:p w14:paraId="5C25C99E" w14:textId="78D4FF98" w:rsidR="00D51089"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709"/>
        <w:contextualSpacing w:val="0"/>
        <w:jc w:val="both"/>
        <w:rPr>
          <w:rFonts w:ascii="Verdana" w:eastAsia="Century Gothic" w:hAnsi="Verdana" w:cs="Century Gothic"/>
        </w:rPr>
      </w:pPr>
      <w:r w:rsidRPr="00D51089">
        <w:rPr>
          <w:rFonts w:ascii="Verdana" w:eastAsia="Century Gothic" w:hAnsi="Verdana" w:cs="Century Gothic"/>
        </w:rPr>
        <w:t>selección y origen de los recursos.</w:t>
      </w:r>
    </w:p>
    <w:p w14:paraId="7E2F1A7B" w14:textId="77777777" w:rsidR="00D51089"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709"/>
        <w:contextualSpacing w:val="0"/>
        <w:jc w:val="both"/>
        <w:rPr>
          <w:rFonts w:ascii="Verdana" w:eastAsia="Century Gothic" w:hAnsi="Verdana" w:cs="Century Gothic"/>
        </w:rPr>
      </w:pPr>
      <w:r w:rsidRPr="00D51089">
        <w:rPr>
          <w:rFonts w:ascii="Verdana" w:eastAsia="Century Gothic" w:hAnsi="Verdana" w:cs="Century Gothic"/>
        </w:rPr>
        <w:t xml:space="preserve">Inclusión de nuevas obras, bienes o servicios. </w:t>
      </w:r>
    </w:p>
    <w:p w14:paraId="65384F04" w14:textId="77777777" w:rsidR="00D51089"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709"/>
        <w:contextualSpacing w:val="0"/>
        <w:jc w:val="both"/>
        <w:rPr>
          <w:rFonts w:ascii="Verdana" w:eastAsia="Century Gothic" w:hAnsi="Verdana" w:cs="Century Gothic"/>
        </w:rPr>
      </w:pPr>
      <w:r w:rsidRPr="00D51089">
        <w:rPr>
          <w:rFonts w:ascii="Verdana" w:eastAsia="Century Gothic" w:hAnsi="Verdana" w:cs="Century Gothic"/>
        </w:rPr>
        <w:t>Exclusión de obras, bienes o servicios y;</w:t>
      </w:r>
    </w:p>
    <w:p w14:paraId="0FB9973A" w14:textId="7A0E576E" w:rsidR="00511B3A" w:rsidRDefault="003B1E23" w:rsidP="00D51089">
      <w:pPr>
        <w:pStyle w:val="Prrafodelista"/>
        <w:pBdr>
          <w:top w:val="dotted" w:sz="4" w:space="1" w:color="auto"/>
          <w:left w:val="dotted" w:sz="4" w:space="4" w:color="auto"/>
          <w:bottom w:val="dotted" w:sz="4" w:space="1" w:color="auto"/>
          <w:right w:val="dotted" w:sz="4" w:space="4" w:color="auto"/>
        </w:pBdr>
        <w:tabs>
          <w:tab w:val="left" w:pos="142"/>
          <w:tab w:val="left" w:pos="284"/>
        </w:tabs>
        <w:spacing w:after="120" w:line="276" w:lineRule="auto"/>
        <w:ind w:left="0" w:firstLine="709"/>
        <w:contextualSpacing w:val="0"/>
        <w:jc w:val="both"/>
        <w:rPr>
          <w:rFonts w:ascii="Verdana" w:eastAsia="Century Gothic" w:hAnsi="Verdana" w:cs="Century Gothic"/>
        </w:rPr>
      </w:pPr>
      <w:r w:rsidRPr="00D51089">
        <w:rPr>
          <w:rFonts w:ascii="Verdana" w:eastAsia="Century Gothic" w:hAnsi="Verdana" w:cs="Century Gothic"/>
        </w:rPr>
        <w:t xml:space="preserve">Modificación del presupuesto anual de adquisiciones. </w:t>
      </w:r>
    </w:p>
    <w:p w14:paraId="6737D8C4" w14:textId="77777777" w:rsidR="00D51089" w:rsidRDefault="00511B3A" w:rsidP="00D51089">
      <w:pPr>
        <w:pBdr>
          <w:top w:val="dotted" w:sz="4" w:space="1" w:color="auto"/>
          <w:left w:val="dotted" w:sz="4" w:space="4" w:color="auto"/>
          <w:bottom w:val="dotted" w:sz="4" w:space="1" w:color="auto"/>
          <w:right w:val="dotted" w:sz="4" w:space="4" w:color="auto"/>
        </w:pBdr>
        <w:tabs>
          <w:tab w:val="left" w:pos="284"/>
          <w:tab w:val="left" w:pos="633"/>
        </w:tabs>
        <w:spacing w:after="120" w:line="276" w:lineRule="auto"/>
        <w:jc w:val="both"/>
        <w:rPr>
          <w:rFonts w:ascii="Verdana" w:eastAsia="Century Gothic" w:hAnsi="Verdana" w:cs="Century Gothic"/>
        </w:rPr>
      </w:pPr>
      <w:r w:rsidRPr="00511B3A">
        <w:rPr>
          <w:rFonts w:ascii="Verdana" w:eastAsia="Century Gothic" w:hAnsi="Verdana" w:cs="Century Gothic"/>
        </w:rPr>
        <w:t xml:space="preserve">ii) En línea con lo anterior, la actualización del Plan Anual de Adquisiciones deberá publicarse en la página web de la respectiva entidad y en el SECOP II, para ello se sugiere consultar la Circular 007 de 2020 de Colombia Compra </w:t>
      </w:r>
      <w:r w:rsidRPr="00511B3A">
        <w:rPr>
          <w:rFonts w:ascii="Verdana" w:eastAsia="Century Gothic" w:hAnsi="Verdana" w:cs="Century Gothic"/>
        </w:rPr>
        <w:lastRenderedPageBreak/>
        <w:t>Eficiente relacionada con la actualización y diligenciamiento de la información en el Sistema Electrónico para la Contratación Pública – SECOP.</w:t>
      </w:r>
    </w:p>
    <w:p w14:paraId="370BCEF8" w14:textId="4AB04445" w:rsidR="003B1E23" w:rsidRDefault="003B1E23" w:rsidP="00D51089">
      <w:pPr>
        <w:pBdr>
          <w:top w:val="dotted" w:sz="4" w:space="1" w:color="auto"/>
          <w:left w:val="dotted" w:sz="4" w:space="4" w:color="auto"/>
          <w:bottom w:val="dotted" w:sz="4" w:space="1" w:color="auto"/>
          <w:right w:val="dotted" w:sz="4" w:space="4" w:color="auto"/>
        </w:pBdr>
        <w:tabs>
          <w:tab w:val="left" w:pos="284"/>
          <w:tab w:val="left" w:pos="633"/>
        </w:tabs>
        <w:spacing w:after="120" w:line="276" w:lineRule="auto"/>
        <w:jc w:val="both"/>
        <w:rPr>
          <w:rFonts w:ascii="Verdana" w:eastAsia="Century Gothic" w:hAnsi="Verdana" w:cs="Century Gothic"/>
        </w:rPr>
      </w:pPr>
      <w:r>
        <w:rPr>
          <w:rFonts w:ascii="Verdana" w:eastAsia="Century Gothic" w:hAnsi="Verdana" w:cs="Century Gothic"/>
        </w:rPr>
        <w:t>iii) Por otro lado, en lo que respecta al tope de actualizaciones, es importante resaltar que, la norma no limita las actualizaciones al Plan Anual de Adquisiciones a un tope máximo, pero si estableció un número mínimo al disponer que las entidades estatales debían actualizarlo por lo menos una vez durante su vigencia. Asimismo, aunque por expresa disposición del reglamento- exista el deber de mantener actualizado el Plan anual de Adquisiciones, no es necesario incorporar en él todas las modificaciones que efectúe la entidad por dos (2) razones principales: i) el reglamento no impone la obligación de modificarlo cada vez que se adopte una variación en la contratación prevista en él; ii) el reglamento autorizó incluir en el plan información estimativa, como cuando en el artículo 2.2.1.1.1.4.1 se utilizarían expresiones como: “indicar el valor estimado del contrato”</w:t>
      </w:r>
      <w:r w:rsidR="00EA1F52">
        <w:rPr>
          <w:rFonts w:ascii="Verdana" w:eastAsia="Century Gothic" w:hAnsi="Verdana" w:cs="Century Gothic"/>
        </w:rPr>
        <w:t>.</w:t>
      </w:r>
    </w:p>
    <w:p w14:paraId="13F5842B" w14:textId="77777777" w:rsidR="003B1E23" w:rsidRPr="001941FD" w:rsidRDefault="003B1E23" w:rsidP="007B4C04">
      <w:pPr>
        <w:spacing w:after="120" w:line="276" w:lineRule="auto"/>
        <w:textAlignment w:val="baseline"/>
        <w:rPr>
          <w:rFonts w:ascii="Verdana" w:eastAsia="Calibri" w:hAnsi="Verdana" w:cs="Arial"/>
          <w:bCs/>
          <w:color w:val="000000" w:themeColor="text1"/>
        </w:rPr>
      </w:pPr>
    </w:p>
    <w:p w14:paraId="67CF7754" w14:textId="77777777" w:rsidR="00C71DBD" w:rsidRDefault="00C71DBD" w:rsidP="30821638">
      <w:pPr>
        <w:spacing w:after="0"/>
        <w:rPr>
          <w:rFonts w:ascii="Verdana" w:eastAsia="Verdana" w:hAnsi="Verdana" w:cs="Verdana"/>
          <w:b/>
          <w:bCs/>
        </w:rPr>
      </w:pPr>
    </w:p>
    <w:p w14:paraId="33949C9E" w14:textId="0A408232" w:rsidR="00034286" w:rsidRPr="00BD2E44" w:rsidRDefault="00BD2E44" w:rsidP="30821638">
      <w:pPr>
        <w:spacing w:after="0"/>
        <w:rPr>
          <w:rFonts w:ascii="Verdana" w:eastAsia="Verdana" w:hAnsi="Verdana" w:cs="Verdana"/>
          <w:b/>
          <w:bCs/>
        </w:rPr>
      </w:pPr>
      <w:r w:rsidRPr="00BD2E44">
        <w:rPr>
          <w:rFonts w:ascii="Verdana" w:eastAsia="Verdana" w:hAnsi="Verdana" w:cs="Verdana"/>
          <w:b/>
          <w:bCs/>
        </w:rPr>
        <w:t xml:space="preserve">3. </w:t>
      </w:r>
      <w:r w:rsidR="003D20EC" w:rsidRPr="00BD2E44">
        <w:rPr>
          <w:rFonts w:ascii="Verdana" w:eastAsia="Verdana" w:hAnsi="Verdana" w:cs="Verdana"/>
          <w:b/>
          <w:bCs/>
        </w:rPr>
        <w:t>Razones de la respuesta:</w:t>
      </w:r>
    </w:p>
    <w:p w14:paraId="592C5AEB" w14:textId="77777777" w:rsidR="002A0DD0" w:rsidRDefault="002A0DD0" w:rsidP="30821638">
      <w:pPr>
        <w:spacing w:after="0"/>
        <w:rPr>
          <w:rFonts w:ascii="Verdana" w:eastAsia="Verdana" w:hAnsi="Verdana" w:cs="Verdana"/>
        </w:rPr>
      </w:pPr>
    </w:p>
    <w:p w14:paraId="05CEA65F" w14:textId="2BE0395C" w:rsidR="003D20EC" w:rsidRDefault="003D20EC" w:rsidP="30821638">
      <w:pPr>
        <w:spacing w:after="0"/>
        <w:rPr>
          <w:rFonts w:ascii="Verdana" w:eastAsia="Verdana" w:hAnsi="Verdana" w:cs="Verdana"/>
        </w:rPr>
      </w:pPr>
      <w:r>
        <w:rPr>
          <w:rFonts w:ascii="Verdana" w:eastAsia="Verdana" w:hAnsi="Verdana" w:cs="Verdana"/>
        </w:rPr>
        <w:t xml:space="preserve">Lo anterior se sustenta en las siguientes consideraciones: </w:t>
      </w:r>
    </w:p>
    <w:p w14:paraId="694EF415" w14:textId="77777777" w:rsidR="003D20EC" w:rsidRDefault="003D20EC" w:rsidP="30821638">
      <w:pPr>
        <w:spacing w:after="0"/>
        <w:rPr>
          <w:rFonts w:ascii="Verdana" w:eastAsia="Verdana" w:hAnsi="Verdana" w:cs="Verdana"/>
        </w:rPr>
      </w:pPr>
    </w:p>
    <w:p w14:paraId="588EB7AE" w14:textId="77777777" w:rsidR="0022674E" w:rsidRPr="00DB118E" w:rsidRDefault="0022674E" w:rsidP="0022674E">
      <w:pPr>
        <w:spacing w:after="120" w:line="276" w:lineRule="auto"/>
        <w:ind w:firstLine="709"/>
        <w:jc w:val="both"/>
        <w:rPr>
          <w:rFonts w:ascii="Verdana" w:eastAsia="Arial" w:hAnsi="Verdana" w:cs="Arial"/>
          <w:lang w:val="es-ES"/>
        </w:rPr>
      </w:pPr>
      <w:r>
        <w:rPr>
          <w:rFonts w:ascii="Verdana" w:eastAsia="Calibri" w:hAnsi="Verdana" w:cs="Arial"/>
        </w:rPr>
        <w:t xml:space="preserve">i) </w:t>
      </w:r>
      <w:r w:rsidRPr="00DB118E">
        <w:rPr>
          <w:rFonts w:ascii="Verdana" w:eastAsia="Arial" w:hAnsi="Verdana" w:cs="Arial"/>
          <w:lang w:val="es-ES"/>
        </w:rPr>
        <w:t xml:space="preserve">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7629699F" w14:textId="77777777" w:rsidR="0022674E" w:rsidRPr="00DB118E" w:rsidRDefault="0022674E" w:rsidP="0022674E">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artículo 74 de la Ley 1474 dispone que </w:t>
      </w:r>
      <w:r>
        <w:rPr>
          <w:rFonts w:ascii="Verdana" w:hAnsi="Verdana" w:cs="Arial"/>
          <w:szCs w:val="24"/>
          <w:lang w:val="es-ES_tradnl" w:eastAsia="es-ES_tradnl"/>
        </w:rPr>
        <w:t>“</w:t>
      </w:r>
      <w:r w:rsidRPr="00DB118E">
        <w:rPr>
          <w:rFonts w:ascii="Verdana" w:hAnsi="Verdana" w:cs="Arial"/>
          <w:szCs w:val="24"/>
          <w:lang w:val="es-ES_tradnl" w:eastAsia="es-ES_tradnl"/>
        </w:rPr>
        <w:t>todas las entidades del Estado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deben publicar, a más tardar el 31 de enero de cada año, en su respectiva página web, el plan de acción, en el cual se incluye el plan general de compras</w:t>
      </w:r>
      <w:r w:rsidRPr="00DB118E">
        <w:rPr>
          <w:rFonts w:ascii="Verdana" w:hAnsi="Verdana" w:cs="Arial"/>
          <w:szCs w:val="24"/>
          <w:vertAlign w:val="superscript"/>
          <w:lang w:val="es-ES_tradnl" w:eastAsia="es-ES_tradnl"/>
        </w:rPr>
        <w:footnoteReference w:id="1"/>
      </w:r>
      <w:r w:rsidRPr="00DB118E">
        <w:rPr>
          <w:rFonts w:ascii="Verdana" w:hAnsi="Verdana" w:cs="Arial"/>
          <w:szCs w:val="24"/>
          <w:lang w:val="es-ES_tradnl" w:eastAsia="es-ES_tradnl"/>
        </w:rPr>
        <w:t xml:space="preserve">. El plan </w:t>
      </w:r>
      <w:r w:rsidRPr="00DB118E">
        <w:rPr>
          <w:rFonts w:ascii="Verdana" w:hAnsi="Verdana" w:cs="Arial"/>
          <w:szCs w:val="24"/>
          <w:lang w:val="es-ES_tradnl" w:eastAsia="es-ES_tradnl"/>
        </w:rPr>
        <w:lastRenderedPageBreak/>
        <w:t>general de compras para el ordenamiento vigente corresponde con el concepto de Plan Anual de Adquisiciones como lo establece el artículo 2.2.1.1.1.3.1. del Decreto 1082 de 2015</w:t>
      </w:r>
      <w:r w:rsidRPr="00DB118E">
        <w:rPr>
          <w:rFonts w:ascii="Verdana" w:hAnsi="Verdana" w:cs="Arial"/>
          <w:szCs w:val="24"/>
          <w:vertAlign w:val="superscript"/>
          <w:lang w:val="es-ES_tradnl" w:eastAsia="es-ES_tradnl"/>
        </w:rPr>
        <w:footnoteReference w:id="2"/>
      </w:r>
      <w:r w:rsidRPr="00DB118E">
        <w:rPr>
          <w:rFonts w:ascii="Verdana" w:hAnsi="Verdana" w:cs="Arial"/>
          <w:szCs w:val="24"/>
          <w:lang w:val="es-ES_tradnl" w:eastAsia="es-ES_tradnl"/>
        </w:rPr>
        <w:t xml:space="preserve">.  </w:t>
      </w:r>
    </w:p>
    <w:p w14:paraId="2DC5E9AE" w14:textId="77777777" w:rsidR="0022674E" w:rsidRPr="00DB118E" w:rsidRDefault="0022674E" w:rsidP="0022674E">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DB118E">
        <w:rPr>
          <w:rFonts w:ascii="Verdana" w:hAnsi="Verdana" w:cs="Arial"/>
          <w:szCs w:val="24"/>
          <w:vertAlign w:val="superscript"/>
          <w:lang w:val="es-ES_tradnl" w:eastAsia="es-ES_tradnl"/>
        </w:rPr>
        <w:footnoteReference w:id="3"/>
      </w:r>
      <w:r w:rsidRPr="00DB118E">
        <w:rPr>
          <w:rFonts w:ascii="Verdana" w:hAnsi="Verdana" w:cs="Arial"/>
          <w:szCs w:val="24"/>
          <w:lang w:val="es-ES_tradnl" w:eastAsia="es-ES_tradnl"/>
        </w:rPr>
        <w:t xml:space="preserve">. Para determinar los sujetos obligados a publicarlo es necesario remitirse al artículo 5 </w:t>
      </w:r>
      <w:r>
        <w:rPr>
          <w:rFonts w:ascii="Verdana" w:hAnsi="Verdana" w:cs="Arial"/>
          <w:szCs w:val="24"/>
          <w:lang w:val="es-ES_tradnl" w:eastAsia="es-ES_tradnl"/>
        </w:rPr>
        <w:t>ibidem</w:t>
      </w:r>
      <w:r w:rsidRPr="00DB118E">
        <w:rPr>
          <w:rFonts w:ascii="Verdana" w:hAnsi="Verdana" w:cs="Arial"/>
          <w:szCs w:val="24"/>
          <w:lang w:val="es-ES_tradnl" w:eastAsia="es-ES_tradnl"/>
        </w:rPr>
        <w:t xml:space="preserve">. Esta norma prescribe lo siguiente: </w:t>
      </w:r>
    </w:p>
    <w:p w14:paraId="1CA287DD" w14:textId="77777777" w:rsidR="0022674E" w:rsidRPr="00DB118E" w:rsidRDefault="0022674E" w:rsidP="0022674E">
      <w:pPr>
        <w:tabs>
          <w:tab w:val="left" w:pos="709"/>
        </w:tabs>
        <w:spacing w:after="120" w:line="276" w:lineRule="auto"/>
        <w:ind w:firstLine="709"/>
        <w:jc w:val="both"/>
        <w:rPr>
          <w:rFonts w:ascii="Verdana" w:hAnsi="Verdana" w:cs="Arial"/>
          <w:szCs w:val="24"/>
          <w:lang w:val="es-ES_tradnl" w:eastAsia="es-ES_tradnl"/>
        </w:rPr>
      </w:pPr>
    </w:p>
    <w:p w14:paraId="2242DFFC"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“Artículo 5. Las disposiciones de esta ley serán aplicables a las siguientes personas en calidad de sujetos obligados:</w:t>
      </w:r>
    </w:p>
    <w:p w14:paraId="7A9790F3"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23A0A248"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47E5C20"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5EA12BC3"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lastRenderedPageBreak/>
        <w:t>b) Los órganos, organismos y entidades estatales independientes o autónomos y de control.</w:t>
      </w:r>
    </w:p>
    <w:p w14:paraId="6818C682"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19844DEF"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c) Las personas naturales y jurídicas, públicas o privadas, que presten función pública, que presten servicios públicos respecto de la información directamente relacionada con la prestación del servicio público.</w:t>
      </w:r>
    </w:p>
    <w:p w14:paraId="03AE8219"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58C1BC5E"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 w:eastAsia="es-ES"/>
        </w:rPr>
      </w:pPr>
      <w:r w:rsidRPr="0022674E">
        <w:rPr>
          <w:rFonts w:ascii="Verdana" w:hAnsi="Verdana" w:cs="Arial"/>
          <w:sz w:val="21"/>
          <w:szCs w:val="21"/>
          <w:lang w:val="es-ES" w:eastAsia="es-ES"/>
        </w:rPr>
        <w:t xml:space="preserve">d) Cualquier persona natural, jurídica o dependencia de persona jurídica que desempeñe función pública o de </w:t>
      </w:r>
      <w:proofErr w:type="gramStart"/>
      <w:r w:rsidRPr="0022674E">
        <w:rPr>
          <w:rFonts w:ascii="Verdana" w:hAnsi="Verdana" w:cs="Arial"/>
          <w:sz w:val="21"/>
          <w:szCs w:val="21"/>
          <w:lang w:val="es-ES" w:eastAsia="es-ES"/>
        </w:rPr>
        <w:t>autoridad pública</w:t>
      </w:r>
      <w:proofErr w:type="gramEnd"/>
      <w:r w:rsidRPr="0022674E">
        <w:rPr>
          <w:rFonts w:ascii="Verdana" w:hAnsi="Verdana" w:cs="Arial"/>
          <w:sz w:val="21"/>
          <w:szCs w:val="21"/>
          <w:lang w:val="es-ES" w:eastAsia="es-ES"/>
        </w:rPr>
        <w:t>, respecto de la información directamente relacionada con el desempeño de su función</w:t>
      </w:r>
    </w:p>
    <w:p w14:paraId="1B644056"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7004E314"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e)  Las empresas públicas creadas por ley, las empresas del Estado y sociedades en que este tenga participación.</w:t>
      </w:r>
    </w:p>
    <w:p w14:paraId="06886D2E"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3AD13B61"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f) Los partidos o movimientos políticos y los grupos significativos de ciudadanos.</w:t>
      </w:r>
    </w:p>
    <w:p w14:paraId="07DFBE86"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2D9CDCB1"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g) Las entidades que administren instituciones parafiscales, fondos o recursos de naturaleza u origen público.</w:t>
      </w:r>
    </w:p>
    <w:p w14:paraId="75CB4D1C"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135A3112"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061949CC"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p>
    <w:p w14:paraId="1330CAD0" w14:textId="77777777" w:rsidR="0022674E" w:rsidRPr="0022674E" w:rsidRDefault="0022674E" w:rsidP="0022674E">
      <w:pPr>
        <w:tabs>
          <w:tab w:val="left" w:pos="709"/>
        </w:tabs>
        <w:spacing w:after="0" w:line="240" w:lineRule="auto"/>
        <w:ind w:left="709" w:right="709"/>
        <w:jc w:val="both"/>
        <w:rPr>
          <w:rFonts w:ascii="Verdana" w:hAnsi="Verdana" w:cs="Arial"/>
          <w:sz w:val="21"/>
          <w:szCs w:val="21"/>
          <w:lang w:val="es-ES_tradnl" w:eastAsia="es-ES_tradnl"/>
        </w:rPr>
      </w:pPr>
      <w:r w:rsidRPr="0022674E">
        <w:rPr>
          <w:rFonts w:ascii="Verdana" w:hAnsi="Verdana" w:cs="Arial"/>
          <w:sz w:val="21"/>
          <w:szCs w:val="21"/>
          <w:lang w:val="es-ES_tradnl" w:eastAsia="es-ES_tradnl"/>
        </w:rPr>
        <w:t>PARÁGRAFO 1o. No serán sujetos obligados aquellas personas naturales o jurídicas de carácter privado que sean usuarios de información pública”.</w:t>
      </w:r>
    </w:p>
    <w:p w14:paraId="51E14DC6" w14:textId="77777777" w:rsidR="0022674E" w:rsidRPr="00DB118E" w:rsidRDefault="0022674E" w:rsidP="0022674E">
      <w:pPr>
        <w:tabs>
          <w:tab w:val="left" w:pos="426"/>
        </w:tabs>
        <w:spacing w:after="0" w:line="276" w:lineRule="auto"/>
        <w:ind w:right="760"/>
        <w:jc w:val="both"/>
        <w:rPr>
          <w:rFonts w:ascii="Verdana" w:hAnsi="Verdana" w:cs="Arial"/>
          <w:color w:val="000000" w:themeColor="text1"/>
          <w:lang w:val="es-ES"/>
        </w:rPr>
      </w:pPr>
    </w:p>
    <w:p w14:paraId="4B719852" w14:textId="77777777" w:rsidR="0022674E" w:rsidRPr="00DB118E" w:rsidRDefault="0022674E" w:rsidP="00953FBD">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w:t>
      </w:r>
      <w:r w:rsidRPr="00DB118E">
        <w:rPr>
          <w:rFonts w:ascii="Verdana" w:hAnsi="Verdana" w:cs="Arial"/>
          <w:szCs w:val="24"/>
          <w:lang w:val="es-ES_tradnl" w:eastAsia="es-ES_tradnl"/>
        </w:rPr>
        <w:lastRenderedPageBreak/>
        <w:t xml:space="preserve">Estado tenga participación, sin que importe su monto. Esta obligación de origen legal tiene desarrollo reglamentario en el Decreto 103 de 2015, compilado por el Decreto 1081 de 2015. El artículo 2.1.1.2.1.10 del Decreto 1082 de 2015 dispone que: </w:t>
      </w:r>
    </w:p>
    <w:p w14:paraId="5FED5123" w14:textId="77777777" w:rsidR="0022674E" w:rsidRPr="00DB118E" w:rsidRDefault="0022674E" w:rsidP="0022674E">
      <w:pPr>
        <w:tabs>
          <w:tab w:val="left" w:pos="709"/>
          <w:tab w:val="left" w:pos="7938"/>
        </w:tabs>
        <w:spacing w:after="0" w:line="240" w:lineRule="auto"/>
        <w:ind w:left="709" w:right="760"/>
        <w:jc w:val="both"/>
        <w:rPr>
          <w:rFonts w:ascii="Verdana" w:hAnsi="Verdana" w:cs="Arial"/>
          <w:szCs w:val="24"/>
          <w:lang w:val="es-ES_tradnl" w:eastAsia="es-ES_tradnl"/>
        </w:rPr>
      </w:pPr>
    </w:p>
    <w:p w14:paraId="2E4E9344"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 w:eastAsia="es-ES"/>
        </w:rPr>
      </w:pPr>
      <w:r w:rsidRPr="00953FBD">
        <w:rPr>
          <w:rFonts w:ascii="Verdana" w:hAnsi="Verdana" w:cs="Arial"/>
          <w:sz w:val="21"/>
          <w:szCs w:val="21"/>
          <w:lang w:val="es-ES" w:eastAsia="es-ES"/>
        </w:rPr>
        <w:t>“Los sujetos obligados que contratan con cargo a recursos públicos deben publicar en su página web y en el Secop el Plan Anual de Adquisiciones, de acuerdo con lo previsto en el artículo 74 de la Ley 1474 de 2011, el literal e) del artículo 9° de la Ley 1712 de 2014 y el Decreto 1510 de 2013, o el que lo modifique, sustituya o adicione.</w:t>
      </w:r>
    </w:p>
    <w:p w14:paraId="17747298"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_tradnl" w:eastAsia="es-ES_tradnl"/>
        </w:rPr>
      </w:pPr>
    </w:p>
    <w:p w14:paraId="695CF15B"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_tradnl" w:eastAsia="es-ES_tradnl"/>
        </w:rPr>
      </w:pPr>
      <w:r w:rsidRPr="00953FBD">
        <w:rPr>
          <w:rFonts w:ascii="Verdana" w:hAnsi="Verdana" w:cs="Arial"/>
          <w:sz w:val="21"/>
          <w:szCs w:val="21"/>
          <w:lang w:val="es-ES_tradnl" w:eastAsia="es-ES_tradnl"/>
        </w:rPr>
        <w:t xml:space="preserve">Los sujetos obligados que no contratan con cargo a recursos públicos no están obligados a publicar su Plan Anual de Adquisiciones. </w:t>
      </w:r>
    </w:p>
    <w:p w14:paraId="2DA41C7B"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_tradnl" w:eastAsia="es-ES_tradnl"/>
        </w:rPr>
      </w:pPr>
    </w:p>
    <w:p w14:paraId="0BE56E28" w14:textId="75CC768C"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 w:eastAsia="es-ES"/>
        </w:rPr>
      </w:pPr>
      <w:r w:rsidRPr="00953FBD">
        <w:rPr>
          <w:rFonts w:ascii="Verdana" w:hAnsi="Verdana" w:cs="Arial"/>
          <w:sz w:val="21"/>
          <w:szCs w:val="21"/>
          <w:lang w:val="es-ES" w:eastAsia="es-ES"/>
        </w:rPr>
        <w:t xml:space="preserve">Los sujetos obligados que contratan con cargo a recursos públicos y recursos </w:t>
      </w:r>
      <w:r w:rsidR="00FA3909" w:rsidRPr="00953FBD">
        <w:rPr>
          <w:rFonts w:ascii="Verdana" w:hAnsi="Verdana" w:cs="Arial"/>
          <w:sz w:val="21"/>
          <w:szCs w:val="21"/>
          <w:lang w:val="es-ES" w:eastAsia="es-ES"/>
        </w:rPr>
        <w:t>privados</w:t>
      </w:r>
      <w:r w:rsidRPr="00953FBD">
        <w:rPr>
          <w:rFonts w:ascii="Verdana" w:hAnsi="Verdana" w:cs="Arial"/>
          <w:sz w:val="21"/>
          <w:szCs w:val="21"/>
          <w:lang w:val="es-ES" w:eastAsia="es-ES"/>
        </w:rPr>
        <w:t xml:space="preserve"> deben publicar en su página web y en el Secop el Plan Anual de Adquisiciones para los recursos de carácter público que ejecutarán en el año. </w:t>
      </w:r>
    </w:p>
    <w:p w14:paraId="7BBFB557"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_tradnl" w:eastAsia="es-ES_tradnl"/>
        </w:rPr>
      </w:pPr>
    </w:p>
    <w:p w14:paraId="049CCF62" w14:textId="77777777" w:rsidR="0022674E" w:rsidRPr="00953FBD" w:rsidRDefault="0022674E" w:rsidP="0022674E">
      <w:pPr>
        <w:tabs>
          <w:tab w:val="left" w:pos="709"/>
          <w:tab w:val="left" w:pos="7938"/>
        </w:tabs>
        <w:spacing w:after="0" w:line="240" w:lineRule="auto"/>
        <w:ind w:left="709" w:right="709"/>
        <w:jc w:val="both"/>
        <w:rPr>
          <w:rFonts w:ascii="Verdana" w:hAnsi="Verdana" w:cs="Arial"/>
          <w:sz w:val="21"/>
          <w:szCs w:val="21"/>
          <w:lang w:val="es-ES_tradnl" w:eastAsia="es-ES_tradnl"/>
        </w:rPr>
      </w:pPr>
      <w:r w:rsidRPr="00953FBD">
        <w:rPr>
          <w:rFonts w:ascii="Verdana" w:hAnsi="Verdana" w:cs="Arial"/>
          <w:sz w:val="21"/>
          <w:szCs w:val="21"/>
          <w:lang w:val="es-ES_tradnl" w:eastAsia="es-ES_tradnl"/>
        </w:rPr>
        <w:t xml:space="preserve">Se entenderá como definición de Plan Anual de Adquisiciones respecto a todos los sujetos obligados que contratan con recursos públicos, la prevista en el artículo 3° del Decreto 1510 de 2013, o el que lo modifique, sustituya o adicione”. </w:t>
      </w:r>
    </w:p>
    <w:p w14:paraId="0ECC90FC" w14:textId="77777777" w:rsidR="0022674E" w:rsidRPr="00DB118E" w:rsidRDefault="0022674E" w:rsidP="0022674E">
      <w:pPr>
        <w:tabs>
          <w:tab w:val="left" w:pos="8505"/>
        </w:tabs>
        <w:spacing w:after="0" w:line="276" w:lineRule="auto"/>
        <w:ind w:rightChars="709" w:right="1560"/>
        <w:rPr>
          <w:rFonts w:ascii="Verdana" w:hAnsi="Verdana" w:cs="Arial"/>
          <w:lang w:val="es-ES"/>
        </w:rPr>
      </w:pPr>
    </w:p>
    <w:p w14:paraId="58E2D7BB" w14:textId="77777777" w:rsidR="0022674E" w:rsidRPr="006878C4" w:rsidRDefault="0022674E"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117B0604" w14:textId="77777777" w:rsidR="0022674E" w:rsidRDefault="0022674E"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t>Precisar el grado de vinculatoriedad del Plan Anual de Adquisiciones supone el análisis de lo dispuesto en los artículos 2.2.1.1.1.4.1, 2.2.1.1.1.4.3</w:t>
      </w:r>
      <w:r w:rsidRPr="006878C4">
        <w:rPr>
          <w:rFonts w:ascii="Verdana" w:hAnsi="Verdana" w:cs="Arial"/>
          <w:vertAlign w:val="superscript"/>
          <w:lang w:val="es-ES" w:eastAsia="es-ES"/>
        </w:rPr>
        <w:footnoteReference w:id="4"/>
      </w:r>
      <w:r w:rsidRPr="006878C4">
        <w:rPr>
          <w:rFonts w:ascii="Verdana" w:hAnsi="Verdana" w:cs="Arial"/>
          <w:lang w:val="es-ES" w:eastAsia="es-ES"/>
        </w:rPr>
        <w:t xml:space="preserve"> y </w:t>
      </w:r>
      <w:r w:rsidRPr="006878C4">
        <w:rPr>
          <w:rFonts w:ascii="Verdana" w:hAnsi="Verdana" w:cs="Arial"/>
          <w:lang w:val="es-ES" w:eastAsia="es-ES"/>
        </w:rPr>
        <w:lastRenderedPageBreak/>
        <w:t>2.2.1.1.1.4.4</w:t>
      </w:r>
      <w:r w:rsidRPr="006878C4">
        <w:rPr>
          <w:rFonts w:ascii="Verdana" w:hAnsi="Verdana" w:cs="Arial"/>
          <w:vertAlign w:val="superscript"/>
          <w:lang w:val="es-ES" w:eastAsia="es-ES"/>
        </w:rPr>
        <w:footnoteReference w:id="5"/>
      </w:r>
      <w:r w:rsidRPr="006878C4">
        <w:rPr>
          <w:rFonts w:ascii="Verdana" w:hAnsi="Verdana" w:cs="Arial"/>
          <w:lang w:val="es-ES" w:eastAsia="es-ES"/>
        </w:rPr>
        <w:t xml:space="preserve">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ii) la identificación en el clasificador si la entidad conoce el bien, obra o servicio que satisface la necesidad; iii) el valor estimado del contrato; </w:t>
      </w:r>
      <w:proofErr w:type="spellStart"/>
      <w:r w:rsidRPr="006878C4">
        <w:rPr>
          <w:rFonts w:ascii="Verdana" w:hAnsi="Verdana" w:cs="Arial"/>
          <w:lang w:val="es-ES" w:eastAsia="es-ES"/>
        </w:rPr>
        <w:t>iv</w:t>
      </w:r>
      <w:proofErr w:type="spellEnd"/>
      <w:r w:rsidRPr="006878C4">
        <w:rPr>
          <w:rFonts w:ascii="Verdana" w:hAnsi="Verdana" w:cs="Arial"/>
          <w:lang w:val="es-ES" w:eastAsia="es-ES"/>
        </w:rPr>
        <w:t xml:space="preserve">) el tipo de recursos con cargo a los cuales la entidad pagará el bien, obra o servicio; v) la modalidad de selección del contratista y vi) la fecha aproximada en la cual la entidad indicará el procedimiento de selección. </w:t>
      </w:r>
    </w:p>
    <w:p w14:paraId="4CEF5903" w14:textId="77777777" w:rsidR="00FA3909" w:rsidRPr="006878C4" w:rsidRDefault="00FA3909" w:rsidP="00FA3909">
      <w:pPr>
        <w:spacing w:after="120" w:line="276" w:lineRule="auto"/>
        <w:ind w:firstLine="709"/>
        <w:jc w:val="both"/>
        <w:rPr>
          <w:rFonts w:ascii="Verdana" w:hAnsi="Verdana" w:cs="Arial"/>
          <w:lang w:val="es-ES_tradnl" w:eastAsia="es-ES_tradnl"/>
        </w:rPr>
      </w:pPr>
      <w:r w:rsidRPr="006878C4">
        <w:rPr>
          <w:rFonts w:ascii="Verdana" w:hAnsi="Verdana" w:cs="Arial"/>
          <w:lang w:val="es-ES_tradnl" w:eastAsia="es-ES_tradnl"/>
        </w:rPr>
        <w:t>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w:t>
      </w:r>
      <w:r w:rsidRPr="006878C4">
        <w:rPr>
          <w:rFonts w:ascii="Verdana" w:eastAsia="Calibri" w:hAnsi="Verdana" w:cs="Arial"/>
          <w:lang w:val="es-ES_tradnl" w:eastAsia="es-ES_tradnl"/>
        </w:rPr>
        <w:t>Guía para elaborar el plan anual de adquisiciones”</w:t>
      </w:r>
      <w:r w:rsidRPr="006878C4">
        <w:rPr>
          <w:rFonts w:ascii="Verdana" w:hAnsi="Verdana" w:cs="Arial"/>
          <w:lang w:val="es-ES_tradnl" w:eastAsia="es-ES_tradnl"/>
        </w:rPr>
        <w:t>, donde precisó, como una de sus finalidades, “servir como referente inicial para evaluar la ejecución de presupuesto y pronosticar la demanda de bienes y servicios de la entidad durante el año referido del plan”</w:t>
      </w:r>
      <w:r w:rsidRPr="006878C4">
        <w:rPr>
          <w:rFonts w:ascii="Verdana" w:hAnsi="Verdana" w:cs="Arial"/>
          <w:vertAlign w:val="superscript"/>
          <w:lang w:val="es-ES_tradnl" w:eastAsia="es-ES_tradnl"/>
        </w:rPr>
        <w:footnoteReference w:id="6"/>
      </w:r>
      <w:r w:rsidRPr="006878C4">
        <w:rPr>
          <w:rFonts w:ascii="Verdana" w:hAnsi="Verdana" w:cs="Arial"/>
          <w:vertAlign w:val="superscript"/>
          <w:lang w:val="es-ES_tradnl" w:eastAsia="es-ES_tradnl"/>
        </w:rPr>
        <w:t>.</w:t>
      </w:r>
      <w:r w:rsidRPr="006878C4">
        <w:rPr>
          <w:rFonts w:ascii="Verdana" w:hAnsi="Verdana" w:cs="Arial"/>
          <w:lang w:val="es-ES_tradnl" w:eastAsia="es-ES_tradnl"/>
        </w:rPr>
        <w:t xml:space="preserve"> </w:t>
      </w:r>
    </w:p>
    <w:p w14:paraId="1536AEAB" w14:textId="77777777" w:rsidR="00FA3909" w:rsidRPr="006878C4" w:rsidRDefault="00FA3909"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el artículo 2.2.1.1.1.4.1. del Decreto </w:t>
      </w:r>
      <w:r w:rsidRPr="006878C4">
        <w:rPr>
          <w:rFonts w:ascii="Verdana" w:hAnsi="Verdana" w:cs="Arial"/>
          <w:lang w:val="es-ES" w:eastAsia="es-ES"/>
        </w:rPr>
        <w:lastRenderedPageBreak/>
        <w:t xml:space="preserve">1082 de 2015. Asimismo,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p w14:paraId="6DD7A325" w14:textId="77777777" w:rsidR="00FA3909" w:rsidRPr="006878C4" w:rsidRDefault="00FA3909" w:rsidP="68D082B4">
      <w:pPr>
        <w:spacing w:after="120" w:line="276" w:lineRule="auto"/>
        <w:ind w:firstLine="709"/>
        <w:jc w:val="both"/>
        <w:rPr>
          <w:rFonts w:ascii="Verdana" w:hAnsi="Verdana" w:cs="Arial"/>
          <w:lang w:val="es-ES" w:eastAsia="es-ES"/>
        </w:rPr>
      </w:pPr>
      <w:r w:rsidRPr="68D082B4">
        <w:rPr>
          <w:rFonts w:ascii="Verdana" w:hAnsi="Verdana" w:cs="Arial"/>
          <w:lang w:val="es-ES" w:eastAsia="es-ES"/>
        </w:rPr>
        <w:t>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El Diccionario de la Lengua Española define “actualizar” como “hacer actual algo, darle actualidad” o “poner al día datos, normas, precios rentas, salarios”. Es decir, “actualizar”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14:paraId="049AB828" w14:textId="77777777" w:rsidR="00FA3909" w:rsidRPr="006878C4" w:rsidRDefault="00FA3909" w:rsidP="00FA3909">
      <w:pPr>
        <w:spacing w:after="120" w:line="276" w:lineRule="auto"/>
        <w:ind w:firstLine="709"/>
        <w:jc w:val="both"/>
        <w:rPr>
          <w:rFonts w:ascii="Verdana" w:hAnsi="Verdana" w:cs="Arial"/>
          <w:szCs w:val="24"/>
          <w:lang w:val="es-ES_tradnl" w:eastAsia="es-ES_tradnl"/>
        </w:rPr>
      </w:pPr>
      <w:r w:rsidRPr="006878C4">
        <w:rPr>
          <w:rFonts w:ascii="Verdana" w:hAnsi="Verdana" w:cs="Arial"/>
          <w:szCs w:val="24"/>
          <w:lang w:val="es-ES_tradnl" w:eastAsia="es-ES_tradnl"/>
        </w:rPr>
        <w:t>El numeral 5.7 de la Circular Externa Única “Formas y oportunidades para actualizar el Plan Anual de Adquisiciones”</w:t>
      </w:r>
      <w:r w:rsidRPr="006878C4">
        <w:rPr>
          <w:rStyle w:val="Refdenotaalpie"/>
          <w:rFonts w:ascii="Verdana" w:hAnsi="Verdana" w:cs="Arial"/>
          <w:szCs w:val="24"/>
          <w:lang w:val="es-ES_tradnl" w:eastAsia="es-ES_tradnl"/>
        </w:rPr>
        <w:footnoteReference w:id="7"/>
      </w:r>
      <w:r w:rsidRPr="006878C4">
        <w:rPr>
          <w:rFonts w:ascii="Verdana" w:hAnsi="Verdana" w:cs="Arial"/>
          <w:szCs w:val="24"/>
          <w:lang w:val="es-ES_tradnl" w:eastAsia="es-ES_tradnl"/>
        </w:rPr>
        <w:t xml:space="preserve">, expedida por Agencia Nacional de Contratación Pública – Colombia Compra Eficiente, dispone que las Entidades Estatales deben actualizar su Plan Anual de Adquisiciones </w:t>
      </w:r>
      <w:r w:rsidRPr="006878C4">
        <w:rPr>
          <w:rFonts w:ascii="Verdana" w:hAnsi="Verdana" w:cs="Arial"/>
        </w:rPr>
        <w:t>cada vez que lo requieran utilizando el formato al que se refieren los numerales 5.6. y 5.7.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w:t>
      </w:r>
      <w:r w:rsidRPr="006878C4">
        <w:rPr>
          <w:rFonts w:ascii="Verdana" w:hAnsi="Verdana" w:cs="Arial"/>
          <w:szCs w:val="24"/>
          <w:lang w:val="es-ES_tradnl" w:eastAsia="es-ES_tradnl"/>
        </w:rPr>
        <w:t>.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3E9797CB" w14:textId="77777777" w:rsidR="00FA3909" w:rsidRPr="006878C4" w:rsidRDefault="00FA3909"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lastRenderedPageBreak/>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58A7289A" w14:textId="77777777" w:rsidR="00FA3909" w:rsidRPr="006878C4" w:rsidRDefault="00FA3909"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t xml:space="preserve">El inciso 2 del artículo citado estableció cuatro (4) eventos en los que procede actualizar el plan anual de adquisiciones: i) ajustes en los cronogramas de adquisición, valores, modalidad de selección y origen de los recursos; ii) para incluir nuevas obras, bienes o servicios; iii) excluir obras, bienes o servicios y </w:t>
      </w:r>
      <w:proofErr w:type="spellStart"/>
      <w:r w:rsidRPr="006878C4">
        <w:rPr>
          <w:rFonts w:ascii="Verdana" w:hAnsi="Verdana" w:cs="Arial"/>
          <w:lang w:val="es-ES" w:eastAsia="es-ES"/>
        </w:rPr>
        <w:t>iv</w:t>
      </w:r>
      <w:proofErr w:type="spellEnd"/>
      <w:r w:rsidRPr="006878C4">
        <w:rPr>
          <w:rFonts w:ascii="Verdana" w:hAnsi="Verdana" w:cs="Arial"/>
          <w:lang w:val="es-ES" w:eastAsia="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1FCD7E54" w14:textId="77777777" w:rsidR="00FA3909" w:rsidRPr="006878C4" w:rsidRDefault="00FA3909" w:rsidP="00FA3909">
      <w:pPr>
        <w:spacing w:after="120" w:line="276" w:lineRule="auto"/>
        <w:ind w:firstLine="709"/>
        <w:jc w:val="both"/>
        <w:rPr>
          <w:rFonts w:ascii="Verdana" w:hAnsi="Verdana" w:cs="Arial"/>
          <w:szCs w:val="24"/>
          <w:lang w:val="es-ES_tradnl" w:eastAsia="es-ES_tradnl"/>
        </w:rPr>
      </w:pPr>
      <w:r w:rsidRPr="006878C4">
        <w:rPr>
          <w:rFonts w:ascii="Verdana" w:hAnsi="Verdana" w:cs="Arial"/>
          <w:szCs w:val="24"/>
          <w:lang w:val="es-ES_tradnl" w:eastAsia="es-ES_tradn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297422F3" w14:textId="77777777" w:rsidR="00FA3909" w:rsidRPr="006878C4" w:rsidRDefault="00FA3909" w:rsidP="00FA3909">
      <w:pPr>
        <w:spacing w:after="120" w:line="276" w:lineRule="auto"/>
        <w:ind w:firstLine="709"/>
        <w:jc w:val="both"/>
        <w:rPr>
          <w:rFonts w:ascii="Verdana" w:hAnsi="Verdana" w:cs="Arial"/>
          <w:lang w:val="es-ES" w:eastAsia="es-ES"/>
        </w:rPr>
      </w:pPr>
      <w:r w:rsidRPr="006878C4">
        <w:rPr>
          <w:rFonts w:ascii="Verdana" w:hAnsi="Verdana" w:cs="Arial"/>
          <w:lang w:val="es-ES" w:eastAsia="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 </w:t>
      </w:r>
    </w:p>
    <w:p w14:paraId="676D9439" w14:textId="77777777" w:rsidR="00FA3909" w:rsidRPr="006878C4" w:rsidRDefault="00FA3909" w:rsidP="00FA3909">
      <w:pPr>
        <w:spacing w:after="120" w:line="276" w:lineRule="auto"/>
        <w:ind w:firstLine="709"/>
        <w:jc w:val="both"/>
        <w:rPr>
          <w:rFonts w:ascii="Verdana" w:eastAsia="Calibri" w:hAnsi="Verdana" w:cs="Arial"/>
        </w:rPr>
      </w:pPr>
      <w:r w:rsidRPr="006878C4">
        <w:rPr>
          <w:rFonts w:ascii="Verdana" w:eastAsia="Calibri" w:hAnsi="Verdana" w:cs="Arial"/>
        </w:rPr>
        <w:t xml:space="preserve">Con el fin de dar respuesta al problema jurídico planteado es importante clarificar algunas definiciones. De acuerdo con el artículo 3.1.3.1.5. del Decreto 1075 de 2015 “Se entiende por establecimiento educativo toda entidad de carácter estatal, privada o de economía solidaria habilitada para prestar el servicio público educativo en los términos fijados por la Ley 115 de 1994 o las normas que la modifiquen, sustituyan o deroguen.” Y Establecimientos </w:t>
      </w:r>
      <w:r w:rsidRPr="006878C4">
        <w:rPr>
          <w:rFonts w:ascii="Verdana" w:eastAsia="Calibri" w:hAnsi="Verdana" w:cs="Arial"/>
        </w:rPr>
        <w:lastRenderedPageBreak/>
        <w:t>educativos oficiales. Para los efectos de este capítulo, se entiende por establecimientos educativos oficiales las instituciones y centros educativos (incluida la totalidad de sus sedes), que son administradas por las entidades territoriales certificadas en educación, a través de su secretaría de educación, o la dependencia que haga sus veces.</w:t>
      </w:r>
    </w:p>
    <w:p w14:paraId="71DC47A3" w14:textId="77777777" w:rsidR="00FA3909" w:rsidRPr="006878C4" w:rsidRDefault="00FA3909" w:rsidP="00FA3909">
      <w:pPr>
        <w:spacing w:after="120" w:line="276" w:lineRule="auto"/>
        <w:ind w:firstLine="709"/>
        <w:jc w:val="both"/>
        <w:rPr>
          <w:rFonts w:ascii="Verdana" w:eastAsia="Calibri" w:hAnsi="Verdana" w:cs="Arial"/>
        </w:rPr>
      </w:pPr>
      <w:r w:rsidRPr="006878C4">
        <w:rPr>
          <w:rFonts w:ascii="Verdana" w:eastAsia="Calibri" w:hAnsi="Verdana" w:cs="Arial"/>
        </w:rPr>
        <w:t>La sede es definida como “Son plantas físicas independientes que conforman una institución educativa. Una Sede puede ser un centro educativo oficial”. Y la sede principal “Es la Sede del centro educativo en la que se encuentra el área administrativa”</w:t>
      </w:r>
      <w:r w:rsidRPr="006878C4">
        <w:rPr>
          <w:rStyle w:val="Refdenotaalpie"/>
          <w:rFonts w:ascii="Verdana" w:eastAsia="Calibri" w:hAnsi="Verdana" w:cs="Arial"/>
        </w:rPr>
        <w:footnoteReference w:id="8"/>
      </w:r>
      <w:r w:rsidRPr="006878C4">
        <w:rPr>
          <w:rFonts w:ascii="Verdana" w:eastAsia="Calibri" w:hAnsi="Verdana" w:cs="Arial"/>
        </w:rPr>
        <w:t xml:space="preserve">. </w:t>
      </w:r>
    </w:p>
    <w:p w14:paraId="2AB53EDD" w14:textId="77777777" w:rsidR="00FA3909" w:rsidRDefault="00FA3909" w:rsidP="00FA3909">
      <w:pPr>
        <w:spacing w:after="120" w:line="276" w:lineRule="auto"/>
        <w:ind w:firstLine="709"/>
        <w:jc w:val="both"/>
        <w:rPr>
          <w:rFonts w:ascii="Verdana" w:eastAsia="Calibri" w:hAnsi="Verdana" w:cs="Arial"/>
        </w:rPr>
      </w:pPr>
      <w:r w:rsidRPr="006878C4">
        <w:rPr>
          <w:rFonts w:ascii="Verdana" w:eastAsia="Calibri" w:hAnsi="Verdana" w:cs="Arial"/>
        </w:rPr>
        <w:t>Conforme a las definiciones expuestas, y teniendo en cuenta que la creación de sedes en los establecimientos educativos constituye una manifestación de la desconcentración administrativa, pero que dichas sedes hacen parte integral del establecimiento educativo, </w:t>
      </w:r>
      <w:r w:rsidRPr="005D0607">
        <w:rPr>
          <w:rFonts w:ascii="Verdana" w:eastAsia="Calibri" w:hAnsi="Verdana" w:cs="Arial"/>
        </w:rPr>
        <w:t>es jurídicamente viable consolidar las necesidades de todas las sedes en el Plan Anual de Adquisiciones del establecimiento educativo</w:t>
      </w:r>
      <w:r w:rsidRPr="006878C4">
        <w:rPr>
          <w:rFonts w:ascii="Verdana" w:eastAsia="Calibri" w:hAnsi="Verdana" w:cs="Arial"/>
        </w:rPr>
        <w:t>. En consecuencia, </w:t>
      </w:r>
      <w:r w:rsidRPr="005D0607">
        <w:rPr>
          <w:rFonts w:ascii="Verdana" w:eastAsia="Calibri" w:hAnsi="Verdana" w:cs="Arial"/>
        </w:rPr>
        <w:t>no resulta necesario elaborar un plan individual por cada sede</w:t>
      </w:r>
      <w:r w:rsidRPr="006878C4">
        <w:rPr>
          <w:rFonts w:ascii="Verdana" w:eastAsia="Calibri" w:hAnsi="Verdana" w:cs="Arial"/>
        </w:rPr>
        <w:t>, toda vez que la planificación puede realizarse de manera centralizada desde la sede principal, en atención a su función administrativa y de coordinación institucional.</w:t>
      </w:r>
      <w:r>
        <w:rPr>
          <w:rFonts w:ascii="Verdana" w:eastAsia="Calibri" w:hAnsi="Verdana" w:cs="Arial"/>
        </w:rPr>
        <w:t xml:space="preserve"> </w:t>
      </w:r>
      <w:r w:rsidRPr="004675CD">
        <w:rPr>
          <w:rFonts w:ascii="Verdana" w:eastAsia="Calibri" w:hAnsi="Verdana" w:cs="Arial"/>
        </w:rPr>
        <w:t xml:space="preserve">Finalmente, debe advertirse que el análisis requerido para resolver problemas específicos </w:t>
      </w:r>
      <w:r w:rsidRPr="006B795B">
        <w:rPr>
          <w:rFonts w:ascii="Verdana" w:eastAsia="Calibri" w:hAnsi="Verdana" w:cs="Arial"/>
        </w:rPr>
        <w:t xml:space="preserve">en torno a </w:t>
      </w:r>
      <w:r>
        <w:rPr>
          <w:rFonts w:ascii="Verdana" w:eastAsia="Calibri" w:hAnsi="Verdana" w:cs="Arial"/>
        </w:rPr>
        <w:t>la elaboración y actualización del PAA</w:t>
      </w:r>
      <w:r w:rsidRPr="004675CD">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0176E3EC" w14:textId="77777777" w:rsidR="00160E59" w:rsidRPr="00160E59" w:rsidRDefault="00160E59" w:rsidP="00160E59">
      <w:pPr>
        <w:spacing w:after="0" w:line="276" w:lineRule="auto"/>
        <w:jc w:val="both"/>
        <w:rPr>
          <w:rFonts w:ascii="Verdana" w:eastAsia="Century Gothic" w:hAnsi="Verdana" w:cs="Century Gothic"/>
        </w:rPr>
      </w:pPr>
      <w:r w:rsidRPr="00160E59">
        <w:rPr>
          <w:rFonts w:ascii="Verdana" w:eastAsia="Century Gothic" w:hAnsi="Verdana" w:cs="Century Gothic"/>
        </w:rPr>
        <w:t>ii) Sobre el fraccionamiento del contrato procede citar lo expuesto por el Consejo de Estado</w:t>
      </w:r>
      <w:r w:rsidRPr="00160E59">
        <w:rPr>
          <w:rFonts w:ascii="Verdana" w:hAnsi="Verdana"/>
          <w:vertAlign w:val="superscript"/>
        </w:rPr>
        <w:footnoteReference w:id="9"/>
      </w:r>
      <w:r w:rsidRPr="00160E59">
        <w:rPr>
          <w:rFonts w:ascii="Verdana" w:eastAsia="Century Gothic" w:hAnsi="Verdana" w:cs="Century Gothic"/>
        </w:rPr>
        <w:t>, quien sobre el particular precisó:</w:t>
      </w:r>
    </w:p>
    <w:p w14:paraId="491275A1" w14:textId="77777777" w:rsidR="00160E59" w:rsidRPr="00160E59" w:rsidRDefault="00160E59" w:rsidP="00160E59">
      <w:pPr>
        <w:spacing w:after="0" w:line="276" w:lineRule="auto"/>
        <w:jc w:val="both"/>
        <w:rPr>
          <w:rFonts w:ascii="Verdana" w:eastAsia="Century Gothic" w:hAnsi="Verdana" w:cs="Century Gothic"/>
        </w:rPr>
      </w:pPr>
    </w:p>
    <w:p w14:paraId="6437715C" w14:textId="77777777" w:rsidR="00160E59" w:rsidRPr="00E24B82" w:rsidRDefault="00160E59" w:rsidP="00160E59">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w:t>
      </w:r>
      <w:r>
        <w:rPr>
          <w:rFonts w:ascii="Verdana" w:eastAsia="Century Gothic" w:hAnsi="Verdana" w:cs="Century Gothic"/>
          <w:sz w:val="21"/>
          <w:szCs w:val="21"/>
        </w:rPr>
        <w:t xml:space="preserve"> </w:t>
      </w:r>
      <w:r w:rsidRPr="00E24B82">
        <w:rPr>
          <w:rFonts w:ascii="Verdana" w:eastAsia="Century Gothic" w:hAnsi="Verdana" w:cs="Century Gothic"/>
          <w:sz w:val="21"/>
          <w:szCs w:val="21"/>
        </w:rPr>
        <w:t>previstos en la ley, y al propio tiempo les prohíbe eludir los procedimientos de selección objetiva y los demás requisitos previstos en dicho estatuto”.</w:t>
      </w:r>
    </w:p>
    <w:p w14:paraId="3E04D3DA" w14:textId="77777777" w:rsidR="00160E59" w:rsidRPr="00E24B82" w:rsidRDefault="00160E59" w:rsidP="00160E59">
      <w:pPr>
        <w:spacing w:after="0" w:line="276" w:lineRule="auto"/>
        <w:jc w:val="both"/>
        <w:rPr>
          <w:rFonts w:ascii="Verdana" w:eastAsia="Century Gothic" w:hAnsi="Verdana" w:cs="Century Gothic"/>
        </w:rPr>
      </w:pPr>
    </w:p>
    <w:p w14:paraId="5A402E95" w14:textId="77777777" w:rsidR="00160E59" w:rsidRDefault="00160E59" w:rsidP="00160E59">
      <w:pPr>
        <w:spacing w:after="0" w:line="276" w:lineRule="auto"/>
        <w:ind w:firstLine="708"/>
        <w:jc w:val="both"/>
        <w:rPr>
          <w:rFonts w:ascii="Verdana" w:eastAsia="Century Gothic" w:hAnsi="Verdana" w:cs="Century Gothic"/>
        </w:rPr>
      </w:pPr>
      <w:r w:rsidRPr="00E24B82">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Melida Valle de </w:t>
      </w:r>
      <w:proofErr w:type="spellStart"/>
      <w:r w:rsidRPr="00E24B82">
        <w:rPr>
          <w:rFonts w:ascii="Verdana" w:eastAsia="Century Gothic" w:hAnsi="Verdana" w:cs="Century Gothic"/>
        </w:rPr>
        <w:t>De</w:t>
      </w:r>
      <w:proofErr w:type="spellEnd"/>
      <w:r w:rsidRPr="00E24B82">
        <w:rPr>
          <w:rFonts w:ascii="Verdana" w:eastAsia="Century Gothic" w:hAnsi="Verdana" w:cs="Century Gothic"/>
        </w:rPr>
        <w:t xml:space="preserve"> La Hoz, se señaló:</w:t>
      </w:r>
    </w:p>
    <w:p w14:paraId="6B47E28B" w14:textId="77777777" w:rsidR="00160E59" w:rsidRDefault="00160E59" w:rsidP="00160E59">
      <w:pPr>
        <w:spacing w:after="0" w:line="276" w:lineRule="auto"/>
        <w:ind w:firstLine="708"/>
        <w:jc w:val="both"/>
        <w:rPr>
          <w:rFonts w:ascii="Verdana" w:eastAsia="Century Gothic" w:hAnsi="Verdana" w:cs="Century Gothic"/>
        </w:rPr>
      </w:pPr>
    </w:p>
    <w:p w14:paraId="3FCAD539" w14:textId="77777777" w:rsidR="00160E59" w:rsidRPr="00E24B82" w:rsidRDefault="00160E59" w:rsidP="00160E59">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 xml:space="preserve">“La Corte Suprema de Justicia ha precisado que el fraccionamiento de contratos tiene lugar, “en los eventos en los cuales la administración para eludir el procedimiento de licitación </w:t>
      </w:r>
      <w:proofErr w:type="gramStart"/>
      <w:r w:rsidRPr="00E24B82">
        <w:rPr>
          <w:rFonts w:ascii="Verdana" w:eastAsia="Century Gothic" w:hAnsi="Verdana" w:cs="Century Gothic"/>
          <w:sz w:val="21"/>
          <w:szCs w:val="21"/>
        </w:rPr>
        <w:t>pública,</w:t>
      </w:r>
      <w:proofErr w:type="gramEnd"/>
      <w:r w:rsidRPr="00E24B82">
        <w:rPr>
          <w:rFonts w:ascii="Verdana" w:eastAsia="Century Gothic" w:hAnsi="Verdana" w:cs="Century Gothic"/>
          <w:sz w:val="21"/>
          <w:szCs w:val="21"/>
        </w:rPr>
        <w:t xml:space="preserve"> divide disimuladamente el objeto del contrato con el ánimo de favorecer a los contratistas. En su demostración, deben confluir las circunstancias siguientes: i) Que sea posible pregonar la unidad de objeto en relación con el contrato cuya legalidad se cuestiona y, de ser así, ii)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6362C6BE" w14:textId="77777777" w:rsidR="00160E59" w:rsidRDefault="00160E59" w:rsidP="00160E59">
      <w:pPr>
        <w:spacing w:after="0" w:line="276" w:lineRule="auto"/>
        <w:jc w:val="both"/>
        <w:rPr>
          <w:rFonts w:ascii="Verdana" w:eastAsia="Century Gothic" w:hAnsi="Verdana" w:cs="Century Gothic"/>
        </w:rPr>
      </w:pPr>
    </w:p>
    <w:p w14:paraId="5F6F5B76" w14:textId="77777777" w:rsidR="00160E59" w:rsidRDefault="00160E59" w:rsidP="00160E59">
      <w:pPr>
        <w:spacing w:after="120" w:line="276" w:lineRule="auto"/>
        <w:ind w:firstLine="709"/>
        <w:jc w:val="both"/>
        <w:rPr>
          <w:rFonts w:ascii="Verdana" w:eastAsia="Century Gothic" w:hAnsi="Verdana" w:cs="Century Gothic"/>
        </w:rPr>
      </w:pPr>
      <w:r w:rsidRPr="0062139C">
        <w:rPr>
          <w:rFonts w:ascii="Verdana" w:eastAsia="Century Gothic" w:hAnsi="Verdana" w:cs="Century Gothic"/>
        </w:rPr>
        <w:t>Vale la pena destacar que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unidad natural de su objeto”</w:t>
      </w:r>
      <w:r>
        <w:rPr>
          <w:rStyle w:val="Refdenotaalpie"/>
          <w:rFonts w:ascii="Verdana" w:eastAsia="Century Gothic" w:hAnsi="Verdana" w:cs="Century Gothic"/>
        </w:rPr>
        <w:footnoteReference w:id="10"/>
      </w:r>
    </w:p>
    <w:p w14:paraId="4E14A20C" w14:textId="77777777" w:rsidR="00160E59" w:rsidRDefault="00160E59" w:rsidP="00160E59">
      <w:pPr>
        <w:spacing w:after="120" w:line="276" w:lineRule="auto"/>
        <w:ind w:firstLine="709"/>
        <w:jc w:val="both"/>
        <w:rPr>
          <w:rFonts w:ascii="Verdana" w:eastAsia="Century Gothic" w:hAnsi="Verdana" w:cs="Century Gothic"/>
        </w:rPr>
      </w:pPr>
      <w:r w:rsidRPr="0062139C">
        <w:rPr>
          <w:rFonts w:ascii="Verdana" w:eastAsia="Century Gothic" w:hAnsi="Verdana" w:cs="Century Gothic"/>
        </w:rPr>
        <w:t>Fraccionar la unidad natural de un objeto contractual con el propósito de evadir una cuantía superior que implicaría un proceso de selección diferente,</w:t>
      </w:r>
      <w:r>
        <w:rPr>
          <w:rFonts w:ascii="Verdana" w:eastAsia="Century Gothic" w:hAnsi="Verdana" w:cs="Century Gothic"/>
        </w:rPr>
        <w:t xml:space="preserve"> </w:t>
      </w:r>
      <w:r w:rsidRPr="0062139C">
        <w:rPr>
          <w:rFonts w:ascii="Verdana" w:eastAsia="Century Gothic" w:hAnsi="Verdana" w:cs="Century Gothic"/>
        </w:rPr>
        <w:t>tiene como consecuencia la nulidad absoluta del contrato en los términos de los artículos 44 y 45 de la Ley 80 de 1993, aplicable en lo correspondiente a este tipo de contrato</w:t>
      </w:r>
      <w:r>
        <w:rPr>
          <w:rStyle w:val="Refdenotaalpie"/>
          <w:rFonts w:ascii="Verdana" w:eastAsia="Century Gothic" w:hAnsi="Verdana" w:cs="Century Gothic"/>
        </w:rPr>
        <w:footnoteReference w:id="11"/>
      </w:r>
      <w:r>
        <w:rPr>
          <w:rFonts w:ascii="Verdana" w:eastAsia="Century Gothic" w:hAnsi="Verdana" w:cs="Century Gothic"/>
        </w:rPr>
        <w:t>.</w:t>
      </w:r>
    </w:p>
    <w:p w14:paraId="08997A95" w14:textId="77777777" w:rsidR="00160E59" w:rsidRDefault="00160E59" w:rsidP="00160E59">
      <w:pPr>
        <w:spacing w:after="120" w:line="276" w:lineRule="auto"/>
        <w:ind w:firstLine="709"/>
        <w:jc w:val="both"/>
        <w:rPr>
          <w:rFonts w:ascii="Verdana" w:eastAsia="Century Gothic" w:hAnsi="Verdana" w:cs="Century Gothic"/>
        </w:rPr>
      </w:pPr>
      <w:r w:rsidRPr="0049433C">
        <w:rPr>
          <w:rFonts w:ascii="Verdana" w:eastAsia="Century Gothic" w:hAnsi="Verdana" w:cs="Century Gothic"/>
        </w:rPr>
        <w:t xml:space="preserve">Ahora bien, a la luz de la jurisprudencia solo habrá fraccionamiento del contrato cuando concurran los siguientes elementos: </w:t>
      </w:r>
      <w:r>
        <w:rPr>
          <w:rFonts w:ascii="Verdana" w:eastAsia="Century Gothic" w:hAnsi="Verdana" w:cs="Century Gothic"/>
        </w:rPr>
        <w:t>“</w:t>
      </w:r>
      <w:r w:rsidRPr="0049433C">
        <w:rPr>
          <w:rFonts w:ascii="Verdana" w:eastAsia="Century Gothic" w:hAnsi="Verdana" w:cs="Century Gothic"/>
        </w:rPr>
        <w:t>i) que exista una separación artificial de un mismo objeto contractual y ii) que dicha separación tenga como objetivo evitar procedimientos de convocatoria pública y de selección objetiva</w:t>
      </w:r>
      <w:r>
        <w:rPr>
          <w:rFonts w:ascii="Verdana" w:eastAsia="Century Gothic" w:hAnsi="Verdana" w:cs="Century Gothic"/>
        </w:rPr>
        <w:t>”</w:t>
      </w:r>
      <w:r>
        <w:rPr>
          <w:rStyle w:val="Refdenotaalpie"/>
          <w:rFonts w:ascii="Verdana" w:eastAsia="Century Gothic" w:hAnsi="Verdana" w:cs="Century Gothic"/>
        </w:rPr>
        <w:footnoteReference w:id="12"/>
      </w:r>
      <w:r w:rsidRPr="0049433C">
        <w:rPr>
          <w:rFonts w:ascii="Verdana" w:eastAsia="Century Gothic" w:hAnsi="Verdana" w:cs="Century Gothic"/>
        </w:rPr>
        <w:t>. De manera que estos elementos deberán ser constatados por la autoridad judicial competente para declarar una eventual nulidad absoluta del contrato.</w:t>
      </w:r>
    </w:p>
    <w:p w14:paraId="03005FE7" w14:textId="77777777" w:rsidR="00160E59" w:rsidRDefault="00160E59" w:rsidP="00160E59">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este contexto, el </w:t>
      </w:r>
      <w:r w:rsidRPr="008B6B73">
        <w:rPr>
          <w:rFonts w:ascii="Verdana" w:eastAsia="Calibri" w:hAnsi="Verdana" w:cs="Arial"/>
          <w:bCs/>
          <w:i/>
          <w:iCs/>
          <w:color w:val="000000" w:themeColor="text1"/>
        </w:rPr>
        <w:t>fraccionamiento</w:t>
      </w:r>
      <w:r>
        <w:rPr>
          <w:rFonts w:ascii="Verdana" w:eastAsia="Calibri" w:hAnsi="Verdana" w:cs="Arial"/>
          <w:bCs/>
          <w:color w:val="000000" w:themeColor="text1"/>
        </w:rPr>
        <w:t xml:space="preserve"> implica </w:t>
      </w:r>
      <w:r w:rsidRPr="000759FD">
        <w:rPr>
          <w:rFonts w:ascii="Verdana" w:eastAsia="Calibri" w:hAnsi="Verdana" w:cs="Arial"/>
          <w:bCs/>
          <w:color w:val="000000" w:themeColor="text1"/>
        </w:rPr>
        <w:t xml:space="preserve">dividir </w:t>
      </w:r>
      <w:r>
        <w:rPr>
          <w:rFonts w:ascii="Verdana" w:eastAsia="Calibri" w:hAnsi="Verdana" w:cs="Arial"/>
          <w:bCs/>
          <w:color w:val="000000" w:themeColor="text1"/>
        </w:rPr>
        <w:t xml:space="preserve">las </w:t>
      </w:r>
      <w:r w:rsidRPr="000759FD">
        <w:rPr>
          <w:rFonts w:ascii="Verdana" w:eastAsia="Calibri" w:hAnsi="Verdana" w:cs="Arial"/>
          <w:bCs/>
          <w:color w:val="000000" w:themeColor="text1"/>
        </w:rPr>
        <w:t>prestaciones en dos o más contratos que</w:t>
      </w:r>
      <w:r>
        <w:rPr>
          <w:rFonts w:ascii="Verdana" w:eastAsia="Calibri" w:hAnsi="Verdana" w:cs="Arial"/>
          <w:bCs/>
          <w:color w:val="000000" w:themeColor="text1"/>
        </w:rPr>
        <w:t xml:space="preserve"> pueden</w:t>
      </w:r>
      <w:r w:rsidRPr="000759FD">
        <w:rPr>
          <w:rFonts w:ascii="Verdana" w:eastAsia="Calibri" w:hAnsi="Verdana" w:cs="Arial"/>
          <w:bCs/>
          <w:color w:val="000000" w:themeColor="text1"/>
        </w:rPr>
        <w:t xml:space="preserve"> constituir un único </w:t>
      </w:r>
      <w:r>
        <w:rPr>
          <w:rFonts w:ascii="Verdana" w:eastAsia="Calibri" w:hAnsi="Verdana" w:cs="Arial"/>
          <w:bCs/>
          <w:color w:val="000000" w:themeColor="text1"/>
        </w:rPr>
        <w:t>negocio jurídico</w:t>
      </w:r>
      <w:r>
        <w:rPr>
          <w:rStyle w:val="Refdenotaalpie"/>
          <w:rFonts w:ascii="Verdana" w:eastAsia="Calibri" w:hAnsi="Verdana" w:cs="Arial"/>
          <w:bCs/>
          <w:color w:val="000000" w:themeColor="text1"/>
        </w:rPr>
        <w:footnoteReference w:id="13"/>
      </w:r>
      <w:r>
        <w:rPr>
          <w:rFonts w:ascii="Verdana" w:eastAsia="Calibri" w:hAnsi="Verdana" w:cs="Arial"/>
          <w:bCs/>
          <w:color w:val="000000" w:themeColor="text1"/>
        </w:rPr>
        <w:t xml:space="preserve">. </w:t>
      </w:r>
      <w:r w:rsidRPr="000759FD">
        <w:rPr>
          <w:rFonts w:ascii="Verdana" w:eastAsia="Calibri" w:hAnsi="Verdana" w:cs="Arial"/>
          <w:bCs/>
          <w:color w:val="000000" w:themeColor="text1"/>
        </w:rPr>
        <w:t>Para demostrar</w:t>
      </w:r>
      <w:r>
        <w:rPr>
          <w:rFonts w:ascii="Verdana" w:eastAsia="Calibri" w:hAnsi="Verdana" w:cs="Arial"/>
          <w:bCs/>
          <w:color w:val="000000" w:themeColor="text1"/>
        </w:rPr>
        <w:t xml:space="preserve">lo </w:t>
      </w:r>
      <w:r w:rsidRPr="000759FD">
        <w:rPr>
          <w:rFonts w:ascii="Verdana" w:eastAsia="Calibri" w:hAnsi="Verdana" w:cs="Arial"/>
          <w:bCs/>
          <w:color w:val="000000" w:themeColor="text1"/>
        </w:rPr>
        <w:t xml:space="preserve">deben concurrir las siguientes circunstancias: i) que sea posible demostrar la unidad del objeto en relación con el contrato cuya legalidad se cuestiona y, de ser así, ii) determinar cuáles fueron las circunstancias que </w:t>
      </w:r>
      <w:r w:rsidRPr="000759FD">
        <w:rPr>
          <w:rFonts w:ascii="Verdana" w:eastAsia="Calibri" w:hAnsi="Verdana" w:cs="Arial"/>
          <w:bCs/>
          <w:color w:val="000000" w:themeColor="text1"/>
        </w:rPr>
        <w:lastRenderedPageBreak/>
        <w:t xml:space="preserve">condujeron a la </w:t>
      </w:r>
      <w:r>
        <w:rPr>
          <w:rFonts w:ascii="Verdana" w:eastAsia="Calibri" w:hAnsi="Verdana" w:cs="Arial"/>
          <w:bCs/>
          <w:color w:val="000000" w:themeColor="text1"/>
        </w:rPr>
        <w:t>A</w:t>
      </w:r>
      <w:r w:rsidRPr="000759FD">
        <w:rPr>
          <w:rFonts w:ascii="Verdana" w:eastAsia="Calibri" w:hAnsi="Verdana" w:cs="Arial"/>
          <w:bCs/>
          <w:color w:val="000000" w:themeColor="text1"/>
        </w:rPr>
        <w:t>dministración a celebrar varios contratos, pues s</w:t>
      </w:r>
      <w:r>
        <w:rPr>
          <w:rFonts w:ascii="Verdana" w:eastAsia="Calibri" w:hAnsi="Verdana" w:cs="Arial"/>
          <w:bCs/>
          <w:color w:val="000000" w:themeColor="text1"/>
        </w:rPr>
        <w:t>ó</w:t>
      </w:r>
      <w:r w:rsidRPr="000759FD">
        <w:rPr>
          <w:rFonts w:ascii="Verdana" w:eastAsia="Calibri" w:hAnsi="Verdana" w:cs="Arial"/>
          <w:bCs/>
          <w:color w:val="000000" w:themeColor="text1"/>
        </w:rPr>
        <w:t>lo de esta manera puede inferir</w:t>
      </w:r>
      <w:r>
        <w:rPr>
          <w:rFonts w:ascii="Verdana" w:eastAsia="Calibri" w:hAnsi="Verdana" w:cs="Arial"/>
          <w:bCs/>
          <w:color w:val="000000" w:themeColor="text1"/>
        </w:rPr>
        <w:t>se</w:t>
      </w:r>
      <w:r w:rsidRPr="000759FD">
        <w:rPr>
          <w:rFonts w:ascii="Verdana" w:eastAsia="Calibri" w:hAnsi="Verdana" w:cs="Arial"/>
          <w:bCs/>
          <w:color w:val="000000" w:themeColor="text1"/>
        </w:rPr>
        <w:t xml:space="preserve"> si el actuar se basó en criterios razonables de interés público o</w:t>
      </w:r>
      <w:r>
        <w:rPr>
          <w:rFonts w:ascii="Verdana" w:eastAsia="Calibri" w:hAnsi="Verdana" w:cs="Arial"/>
          <w:bCs/>
          <w:color w:val="000000" w:themeColor="text1"/>
        </w:rPr>
        <w:t>,</w:t>
      </w:r>
      <w:r w:rsidRPr="000759FD">
        <w:rPr>
          <w:rFonts w:ascii="Verdana" w:eastAsia="Calibri" w:hAnsi="Verdana" w:cs="Arial"/>
          <w:bCs/>
          <w:color w:val="000000" w:themeColor="text1"/>
        </w:rPr>
        <w:t xml:space="preserve"> si por el contrario, los motivos fueron simulados y orientados a infringir las normas de la contratación pública</w:t>
      </w:r>
      <w:r>
        <w:rPr>
          <w:rStyle w:val="Refdenotaalpie"/>
          <w:rFonts w:ascii="Verdana" w:eastAsia="Calibri" w:hAnsi="Verdana" w:cs="Arial"/>
          <w:bCs/>
          <w:color w:val="000000" w:themeColor="text1"/>
        </w:rPr>
        <w:footnoteReference w:id="14"/>
      </w:r>
      <w:r w:rsidRPr="000759FD">
        <w:rPr>
          <w:rFonts w:ascii="Verdana" w:eastAsia="Calibri" w:hAnsi="Verdana" w:cs="Arial"/>
          <w:bCs/>
          <w:color w:val="000000" w:themeColor="text1"/>
        </w:rPr>
        <w:t>.</w:t>
      </w:r>
      <w:r>
        <w:rPr>
          <w:rFonts w:ascii="Verdana" w:eastAsia="Calibri" w:hAnsi="Verdana" w:cs="Arial"/>
          <w:bCs/>
          <w:color w:val="000000" w:themeColor="text1"/>
        </w:rPr>
        <w:t xml:space="preserve"> </w:t>
      </w:r>
    </w:p>
    <w:p w14:paraId="406BD61E" w14:textId="77777777" w:rsidR="00160E59" w:rsidRDefault="00160E59" w:rsidP="00160E59">
      <w:pPr>
        <w:spacing w:after="120" w:line="276" w:lineRule="auto"/>
        <w:ind w:firstLine="709"/>
        <w:jc w:val="both"/>
        <w:rPr>
          <w:rFonts w:ascii="Verdana" w:eastAsia="Century Gothic" w:hAnsi="Verdana" w:cs="Century Gothic"/>
        </w:rPr>
      </w:pPr>
      <w:r w:rsidRPr="00A35C49">
        <w:rPr>
          <w:rFonts w:ascii="Verdana" w:eastAsia="Century Gothic" w:hAnsi="Verdana" w:cs="Century Gothic"/>
        </w:rPr>
        <w:t>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r>
        <w:rPr>
          <w:rStyle w:val="Refdenotaalpie"/>
          <w:rFonts w:ascii="Verdana" w:eastAsia="Century Gothic" w:hAnsi="Verdana" w:cs="Century Gothic"/>
        </w:rPr>
        <w:footnoteReference w:id="15"/>
      </w:r>
      <w:r>
        <w:rPr>
          <w:rFonts w:ascii="Verdana" w:eastAsia="Century Gothic" w:hAnsi="Verdana" w:cs="Century Gothic"/>
        </w:rPr>
        <w:t>.</w:t>
      </w:r>
    </w:p>
    <w:p w14:paraId="04021565" w14:textId="77777777" w:rsidR="00160E59" w:rsidRDefault="00160E59" w:rsidP="00160E59">
      <w:pPr>
        <w:spacing w:after="120" w:line="276" w:lineRule="auto"/>
        <w:ind w:firstLine="709"/>
        <w:jc w:val="both"/>
        <w:rPr>
          <w:rFonts w:ascii="Verdana" w:eastAsia="Century Gothic" w:hAnsi="Verdana" w:cs="Century Gothic"/>
        </w:rPr>
      </w:pPr>
    </w:p>
    <w:p w14:paraId="5EFB7BA9" w14:textId="77777777" w:rsidR="00160E59" w:rsidRPr="00C36508" w:rsidRDefault="00160E59" w:rsidP="00160E59">
      <w:pPr>
        <w:spacing w:after="120" w:line="276" w:lineRule="auto"/>
        <w:ind w:firstLine="709"/>
        <w:jc w:val="both"/>
        <w:rPr>
          <w:rFonts w:ascii="Verdana" w:hAnsi="Verdana"/>
        </w:rPr>
      </w:pPr>
      <w:r w:rsidRPr="00C36508">
        <w:rPr>
          <w:rFonts w:ascii="Verdana" w:hAnsi="Verdana"/>
        </w:rPr>
        <w:t>A su vez, la doctrina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cercanía temporal”</w:t>
      </w:r>
      <w:r w:rsidRPr="005D0607">
        <w:rPr>
          <w:rFonts w:ascii="Verdana" w:hAnsi="Verdana"/>
          <w:vertAlign w:val="superscript"/>
        </w:rPr>
        <w:footnoteReference w:id="16"/>
      </w:r>
      <w:r w:rsidRPr="00C36508">
        <w:rPr>
          <w:rFonts w:ascii="Verdana" w:hAnsi="Verdana"/>
        </w:rPr>
        <w:t xml:space="preserve">. </w:t>
      </w:r>
    </w:p>
    <w:p w14:paraId="70C3F688" w14:textId="77777777" w:rsidR="00160E59" w:rsidRDefault="00160E59" w:rsidP="00160E59">
      <w:pPr>
        <w:widowControl w:val="0"/>
        <w:autoSpaceDE w:val="0"/>
        <w:autoSpaceDN w:val="0"/>
        <w:spacing w:after="120" w:line="276" w:lineRule="auto"/>
        <w:ind w:firstLine="709"/>
        <w:jc w:val="both"/>
        <w:rPr>
          <w:rFonts w:ascii="Verdana" w:eastAsia="Calibri" w:hAnsi="Verdana" w:cs="Arial"/>
          <w:color w:val="000000" w:themeColor="text1"/>
          <w:sz w:val="21"/>
          <w:szCs w:val="21"/>
        </w:rPr>
      </w:pPr>
    </w:p>
    <w:p w14:paraId="28D5AE14" w14:textId="77777777" w:rsidR="00160E59" w:rsidRDefault="00160E59" w:rsidP="00160E59">
      <w:pPr>
        <w:spacing w:after="120" w:line="276" w:lineRule="auto"/>
        <w:ind w:firstLine="709"/>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16DDB9E1" w14:textId="77777777" w:rsidR="00953FBD" w:rsidRDefault="00953FBD" w:rsidP="00160E59">
      <w:pPr>
        <w:spacing w:after="120" w:line="276" w:lineRule="auto"/>
        <w:jc w:val="both"/>
        <w:rPr>
          <w:rFonts w:ascii="Verdana" w:eastAsia="Calibri" w:hAnsi="Verdana" w:cs="Arial"/>
        </w:rPr>
      </w:pPr>
    </w:p>
    <w:p w14:paraId="3396614F" w14:textId="3134F1FA" w:rsidR="00160E59" w:rsidRPr="000F601F" w:rsidRDefault="00160E59" w:rsidP="00160E59">
      <w:pPr>
        <w:spacing w:after="120" w:line="276" w:lineRule="auto"/>
        <w:jc w:val="both"/>
        <w:rPr>
          <w:rFonts w:ascii="Verdana" w:hAnsi="Verdana" w:cs="Arial"/>
          <w:b/>
          <w:bCs/>
          <w:lang w:eastAsia="es-ES"/>
        </w:rPr>
      </w:pPr>
      <w:r w:rsidRPr="000F601F">
        <w:rPr>
          <w:rFonts w:ascii="Verdana" w:hAnsi="Verdana" w:cs="Arial"/>
          <w:b/>
          <w:bCs/>
          <w:lang w:eastAsia="es-ES"/>
        </w:rPr>
        <w:lastRenderedPageBreak/>
        <w:t>4. Referencias normativas, jurisp</w:t>
      </w:r>
      <w:r w:rsidR="00905320" w:rsidRPr="000F601F">
        <w:rPr>
          <w:rFonts w:ascii="Verdana" w:hAnsi="Verdana" w:cs="Arial"/>
          <w:b/>
          <w:bCs/>
          <w:lang w:eastAsia="es-ES"/>
        </w:rPr>
        <w:t>rudenciales y otras fuentes:</w:t>
      </w:r>
    </w:p>
    <w:p w14:paraId="774AC1EC" w14:textId="77777777" w:rsidR="00905320" w:rsidRDefault="00905320" w:rsidP="00160E59">
      <w:pPr>
        <w:spacing w:after="120" w:line="276" w:lineRule="auto"/>
        <w:jc w:val="both"/>
        <w:rPr>
          <w:rFonts w:ascii="Verdana" w:hAnsi="Verdana" w:cs="Arial"/>
          <w:lang w:eastAsia="es-ES"/>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B5133" w14:paraId="46E6CEE2" w14:textId="77777777" w:rsidTr="00972FFE">
        <w:trPr>
          <w:trHeight w:val="870"/>
        </w:trPr>
        <w:tc>
          <w:tcPr>
            <w:tcW w:w="8647" w:type="dxa"/>
            <w:tcBorders>
              <w:top w:val="dotted" w:sz="4" w:space="0" w:color="auto"/>
              <w:left w:val="dotted" w:sz="4" w:space="0" w:color="auto"/>
              <w:bottom w:val="dotted" w:sz="4" w:space="0" w:color="auto"/>
              <w:right w:val="dotted" w:sz="4" w:space="0" w:color="auto"/>
            </w:tcBorders>
            <w:hideMark/>
          </w:tcPr>
          <w:p w14:paraId="224DB8D9" w14:textId="77777777" w:rsidR="00EB5133" w:rsidRPr="000108AE" w:rsidRDefault="00EB5133" w:rsidP="00EB5133">
            <w:pPr>
              <w:widowControl w:val="0"/>
              <w:numPr>
                <w:ilvl w:val="0"/>
                <w:numId w:val="22"/>
              </w:numPr>
              <w:autoSpaceDE w:val="0"/>
              <w:autoSpaceDN w:val="0"/>
              <w:spacing w:line="276" w:lineRule="auto"/>
              <w:jc w:val="both"/>
              <w:rPr>
                <w:rFonts w:ascii="Verdana" w:eastAsia="Aptos" w:hAnsi="Verdana" w:cs="Arial"/>
              </w:rPr>
            </w:pPr>
            <w:r>
              <w:rPr>
                <w:rFonts w:ascii="Verdana" w:eastAsia="Aptos" w:hAnsi="Verdana" w:cs="Arial"/>
              </w:rPr>
              <w:t>Ley 80 de 1993. Artículos 44 y 45</w:t>
            </w:r>
          </w:p>
          <w:p w14:paraId="1AB9255D" w14:textId="77777777" w:rsidR="00EB5133" w:rsidRPr="00F43898" w:rsidRDefault="00EB5133" w:rsidP="00EB5133">
            <w:pPr>
              <w:widowControl w:val="0"/>
              <w:numPr>
                <w:ilvl w:val="0"/>
                <w:numId w:val="22"/>
              </w:numPr>
              <w:autoSpaceDE w:val="0"/>
              <w:autoSpaceDN w:val="0"/>
              <w:spacing w:line="276" w:lineRule="auto"/>
              <w:jc w:val="both"/>
              <w:rPr>
                <w:rFonts w:ascii="Verdana" w:eastAsia="Aptos" w:hAnsi="Verdana" w:cs="Arial"/>
              </w:rPr>
            </w:pPr>
            <w:r w:rsidRPr="00F43898">
              <w:rPr>
                <w:rFonts w:ascii="Verdana" w:eastAsia="Calibri" w:hAnsi="Verdana" w:cs="Arial"/>
                <w:lang w:val="es-ES"/>
              </w:rPr>
              <w:t xml:space="preserve">Decreto 1082 de 2015. Artículo </w:t>
            </w:r>
            <w:r w:rsidRPr="00F43898">
              <w:rPr>
                <w:rFonts w:ascii="Verdana" w:eastAsia="Calibri" w:hAnsi="Verdana" w:cs="Arial"/>
                <w:kern w:val="2"/>
                <w14:ligatures w14:val="standardContextual"/>
              </w:rPr>
              <w:t xml:space="preserve">2.2.1.1.1.3.1, 2.2.1.1.1.4.1, </w:t>
            </w:r>
            <w:r w:rsidRPr="00F43898">
              <w:rPr>
                <w:rFonts w:ascii="Verdana" w:eastAsia="Calibri" w:hAnsi="Verdana" w:cs="Arial"/>
                <w:noProof/>
                <w:lang w:val="es-ES_tradnl"/>
              </w:rPr>
              <w:t>2.2.1.1.1.4.3 y 2.2.1.1.1.4.4</w:t>
            </w:r>
          </w:p>
          <w:p w14:paraId="4BDB3408" w14:textId="77777777" w:rsidR="00EB5133" w:rsidRPr="00F43898" w:rsidRDefault="00EB5133" w:rsidP="00EB5133">
            <w:pPr>
              <w:widowControl w:val="0"/>
              <w:numPr>
                <w:ilvl w:val="0"/>
                <w:numId w:val="22"/>
              </w:numPr>
              <w:autoSpaceDE w:val="0"/>
              <w:autoSpaceDN w:val="0"/>
              <w:spacing w:line="276" w:lineRule="auto"/>
              <w:jc w:val="both"/>
              <w:rPr>
                <w:rFonts w:ascii="Verdana" w:eastAsia="Aptos" w:hAnsi="Verdana" w:cs="Arial"/>
              </w:rPr>
            </w:pPr>
            <w:r w:rsidRPr="00F43898">
              <w:rPr>
                <w:rFonts w:ascii="Verdana" w:eastAsia="Calibri" w:hAnsi="Verdana" w:cs="Arial"/>
                <w:kern w:val="2"/>
                <w14:ligatures w14:val="standardContextual"/>
              </w:rPr>
              <w:t>Ley 1474 de 2011. Artículo 74</w:t>
            </w:r>
          </w:p>
          <w:p w14:paraId="3367E92E" w14:textId="77777777" w:rsidR="00EB5133" w:rsidRPr="00F43898" w:rsidRDefault="00EB5133" w:rsidP="00EB5133">
            <w:pPr>
              <w:widowControl w:val="0"/>
              <w:numPr>
                <w:ilvl w:val="0"/>
                <w:numId w:val="22"/>
              </w:numPr>
              <w:autoSpaceDE w:val="0"/>
              <w:autoSpaceDN w:val="0"/>
              <w:spacing w:line="276" w:lineRule="auto"/>
              <w:jc w:val="both"/>
              <w:rPr>
                <w:rFonts w:ascii="Verdana" w:eastAsia="Aptos" w:hAnsi="Verdana" w:cs="Arial"/>
              </w:rPr>
            </w:pPr>
            <w:r w:rsidRPr="00F43898">
              <w:rPr>
                <w:rFonts w:ascii="Verdana" w:eastAsia="Calibri" w:hAnsi="Verdana" w:cs="Arial"/>
                <w:kern w:val="2"/>
                <w14:ligatures w14:val="standardContextual"/>
              </w:rPr>
              <w:t>Decreto 1081 de 2015. Artículo 2.1.1.2.1.10</w:t>
            </w:r>
          </w:p>
          <w:p w14:paraId="34694E1F" w14:textId="77777777" w:rsidR="00EB5133" w:rsidRPr="008E3861" w:rsidRDefault="00EB5133" w:rsidP="00EB5133">
            <w:pPr>
              <w:widowControl w:val="0"/>
              <w:numPr>
                <w:ilvl w:val="0"/>
                <w:numId w:val="22"/>
              </w:numPr>
              <w:autoSpaceDE w:val="0"/>
              <w:autoSpaceDN w:val="0"/>
              <w:spacing w:line="276" w:lineRule="auto"/>
              <w:jc w:val="both"/>
              <w:rPr>
                <w:rFonts w:ascii="Verdana" w:eastAsia="Aptos" w:hAnsi="Verdana" w:cs="Arial"/>
              </w:rPr>
            </w:pPr>
            <w:r w:rsidRPr="00F43898">
              <w:rPr>
                <w:rFonts w:ascii="Verdana" w:eastAsia="Calibri" w:hAnsi="Verdana" w:cs="Arial"/>
                <w:kern w:val="2"/>
                <w14:ligatures w14:val="standardContextual"/>
              </w:rPr>
              <w:t xml:space="preserve">Guía para Elaborar el Plan Anual de Adquisiciones. </w:t>
            </w:r>
            <w:r w:rsidRPr="00D83677">
              <w:rPr>
                <w:rFonts w:ascii="Verdana" w:eastAsia="Calibri" w:hAnsi="Verdana" w:cs="Arial"/>
                <w:kern w:val="2"/>
                <w14:ligatures w14:val="standardContextual"/>
              </w:rPr>
              <w:t xml:space="preserve">Disponible </w:t>
            </w:r>
            <w:hyperlink r:id="rId13" w:history="1">
              <w:r w:rsidRPr="00D83677">
                <w:rPr>
                  <w:rFonts w:ascii="Verdana" w:eastAsia="Calibri" w:hAnsi="Verdana" w:cs="Arial"/>
                  <w:color w:val="467886"/>
                  <w:kern w:val="2"/>
                  <w:u w:val="single"/>
                  <w14:ligatures w14:val="standardContextual"/>
                </w:rPr>
                <w:t>aquí</w:t>
              </w:r>
            </w:hyperlink>
          </w:p>
        </w:tc>
      </w:tr>
    </w:tbl>
    <w:p w14:paraId="1F9B82DA" w14:textId="77777777" w:rsidR="00EB5133" w:rsidRDefault="00EB5133" w:rsidP="00EB5133">
      <w:pPr>
        <w:widowControl w:val="0"/>
        <w:autoSpaceDE w:val="0"/>
        <w:autoSpaceDN w:val="0"/>
        <w:spacing w:after="0" w:line="276" w:lineRule="auto"/>
        <w:jc w:val="both"/>
        <w:rPr>
          <w:rFonts w:ascii="Verdana" w:hAnsi="Verdana" w:cs="Arial"/>
        </w:rPr>
      </w:pPr>
    </w:p>
    <w:p w14:paraId="2BF7BB5D" w14:textId="17B28A12" w:rsidR="00EB5133" w:rsidRPr="00EB5133" w:rsidRDefault="00EB5133" w:rsidP="004F46DE">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5.</w:t>
      </w:r>
      <w:r w:rsidRPr="00EB5133">
        <w:rPr>
          <w:rFonts w:ascii="Verdana" w:eastAsia="Century Gothic" w:hAnsi="Verdana" w:cs="Century Gothic"/>
          <w:b/>
          <w:bCs/>
        </w:rPr>
        <w:t>Doctrina de la Agencia Nacional de Contratación Pública:</w:t>
      </w:r>
    </w:p>
    <w:p w14:paraId="59DBB447" w14:textId="77777777" w:rsidR="00EB5133" w:rsidRDefault="00EB5133" w:rsidP="00EB5133">
      <w:pPr>
        <w:widowControl w:val="0"/>
        <w:autoSpaceDE w:val="0"/>
        <w:autoSpaceDN w:val="0"/>
        <w:spacing w:after="0" w:line="276" w:lineRule="auto"/>
        <w:jc w:val="both"/>
        <w:rPr>
          <w:rFonts w:ascii="Verdana" w:hAnsi="Verdana" w:cs="Arial"/>
        </w:rPr>
      </w:pPr>
    </w:p>
    <w:p w14:paraId="07599984" w14:textId="77777777" w:rsidR="00964F88" w:rsidRDefault="00964F88" w:rsidP="00964F8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Fonts w:ascii="Verdana" w:eastAsia="Calibri" w:hAnsi="Verdana" w:cs="Times New Roman"/>
        </w:rPr>
        <w:t>S</w:t>
      </w:r>
      <w:r w:rsidRPr="006A02B1">
        <w:rPr>
          <w:rFonts w:ascii="Verdana" w:eastAsia="Calibri" w:hAnsi="Verdana" w:cs="Times New Roman"/>
        </w:rPr>
        <w:t xml:space="preserve">obre la </w:t>
      </w:r>
      <w:r>
        <w:rPr>
          <w:rFonts w:ascii="Verdana" w:eastAsia="Calibri" w:hAnsi="Verdana" w:cs="Times New Roman"/>
        </w:rPr>
        <w:t>elaboración y actualización del PAA</w:t>
      </w:r>
      <w:r w:rsidRPr="006A02B1">
        <w:rPr>
          <w:rFonts w:ascii="Verdana" w:eastAsia="Calibri" w:hAnsi="Verdana" w:cs="Times New Roman"/>
        </w:rPr>
        <w:t>, esta Subdirección se ha pronunciado en conceptos</w:t>
      </w:r>
      <w:r>
        <w:rPr>
          <w:rFonts w:ascii="Verdana" w:eastAsia="Calibri" w:hAnsi="Verdana" w:cs="Times New Roman"/>
        </w:rPr>
        <w:t xml:space="preserve"> C-438 del 31 de octubre de 2023, C-066 del 26 de febrero de 2025,</w:t>
      </w:r>
      <w:r w:rsidRPr="006A02B1">
        <w:rPr>
          <w:rFonts w:ascii="Verdana" w:eastAsia="Calibri" w:hAnsi="Verdana" w:cs="Times New Roman"/>
        </w:rPr>
        <w:t xml:space="preserve"> </w:t>
      </w:r>
      <w:r>
        <w:rPr>
          <w:rFonts w:ascii="Verdana" w:eastAsia="Calibri" w:hAnsi="Verdana" w:cs="Times New Roman"/>
        </w:rPr>
        <w:t xml:space="preserve">C-645 del 2 de julio de 2025, C-748 del 25 de julio de 2025,C-819 del 31 de julio de 2025,  </w:t>
      </w:r>
      <w:r w:rsidRPr="006A02B1">
        <w:rPr>
          <w:rFonts w:ascii="Verdana" w:eastAsia="Calibri" w:hAnsi="Verdana" w:cs="Times New Roman"/>
        </w:rPr>
        <w:t>entre otros</w:t>
      </w:r>
      <w:r>
        <w:rPr>
          <w:rFonts w:ascii="Verdana" w:eastAsia="Calibri" w:hAnsi="Verdana" w:cs="Times New Roman"/>
        </w:rPr>
        <w:t xml:space="preserve">; sobre el fraccionamiento contractual, esta Subdirección se ha pronunciado en conceptos C-122 del 23 de julio de 2024, C-086 del 17 de febrero de 2025,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4" w:history="1">
        <w:r w:rsidRPr="00D83677">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70D75C15" w14:textId="77777777" w:rsidR="00EC6D98" w:rsidRDefault="00EC6D98" w:rsidP="00964F8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D66A003" w14:textId="77777777" w:rsidR="00EC6D98" w:rsidRPr="009A385A" w:rsidRDefault="00EC6D98" w:rsidP="00EC6D98">
      <w:pPr>
        <w:spacing w:after="0"/>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5158A4E" w14:textId="270BF766" w:rsidR="00EC6D98" w:rsidRDefault="00EC6D98" w:rsidP="00EC6D98">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w:t>
      </w:r>
      <w:r w:rsidRPr="00635F16">
        <w:rPr>
          <w:rFonts w:ascii="Verdana" w:hAnsi="Verdana"/>
        </w:rPr>
        <w:lastRenderedPageBreak/>
        <w:t>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76678582" w14:textId="0921D744" w:rsidR="00EC6D98" w:rsidRDefault="00EC6D98" w:rsidP="00EC6D98">
      <w:pPr>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C79CEC0" w14:textId="1F1D154F" w:rsidR="00EC6D98" w:rsidRDefault="00EC6D98" w:rsidP="00EC6D98">
      <w:pPr>
        <w:jc w:val="both"/>
      </w:pPr>
    </w:p>
    <w:p w14:paraId="67FD85C5" w14:textId="0FF82318" w:rsidR="00EC6D98" w:rsidRPr="00B06915" w:rsidRDefault="00EC6D98" w:rsidP="00EC6D98">
      <w:pPr>
        <w:spacing w:after="0" w:line="254" w:lineRule="auto"/>
        <w:rPr>
          <w:rFonts w:ascii="Verdana" w:eastAsia="Calibri" w:hAnsi="Verdana" w:cs="Times New Roman"/>
        </w:rPr>
      </w:pPr>
      <w:r w:rsidRPr="00B06915">
        <w:rPr>
          <w:rFonts w:ascii="Verdana" w:eastAsia="Calibri" w:hAnsi="Verdana" w:cs="Times New Roman"/>
        </w:rPr>
        <w:t xml:space="preserve">Por último, lo invitamos a seguirnos en las redes sociales en las cuales se difunde información institucional: </w:t>
      </w:r>
    </w:p>
    <w:p w14:paraId="0401D7AC" w14:textId="1C905932" w:rsidR="00EC6D98" w:rsidRPr="00B06915" w:rsidRDefault="00EC6D98" w:rsidP="00EC6D98">
      <w:pPr>
        <w:spacing w:after="0" w:line="254" w:lineRule="auto"/>
        <w:rPr>
          <w:rFonts w:ascii="Verdana" w:eastAsia="Calibri" w:hAnsi="Verdana" w:cs="Times New Roman"/>
        </w:rPr>
      </w:pPr>
    </w:p>
    <w:p w14:paraId="55BB93AF" w14:textId="639496A2" w:rsidR="00EC6D98" w:rsidRPr="00B06915" w:rsidRDefault="00EC6D98" w:rsidP="00EC6D98">
      <w:pPr>
        <w:spacing w:after="0" w:line="254" w:lineRule="auto"/>
        <w:rPr>
          <w:rFonts w:ascii="Verdana" w:eastAsia="Calibri" w:hAnsi="Verdana" w:cs="Times New Roman"/>
        </w:rPr>
      </w:pPr>
      <w:r w:rsidRPr="00B06915">
        <w:rPr>
          <w:rFonts w:ascii="Verdana" w:eastAsia="Calibri" w:hAnsi="Verdana" w:cs="Times New Roman"/>
        </w:rPr>
        <w:t xml:space="preserve">Twitter: </w:t>
      </w:r>
      <w:r w:rsidRPr="00B06915">
        <w:rPr>
          <w:rFonts w:ascii="Verdana" w:eastAsia="Calibri" w:hAnsi="Verdana" w:cs="Times New Roman"/>
          <w:u w:val="single"/>
        </w:rPr>
        <w:t>@colombiacompra</w:t>
      </w:r>
      <w:r w:rsidRPr="00B06915">
        <w:rPr>
          <w:rFonts w:ascii="Verdana" w:eastAsia="Calibri" w:hAnsi="Verdana" w:cs="Times New Roman"/>
        </w:rPr>
        <w:t xml:space="preserve"> </w:t>
      </w:r>
    </w:p>
    <w:p w14:paraId="181D953E" w14:textId="3E19C54A" w:rsidR="00EC6D98" w:rsidRPr="00B06915" w:rsidRDefault="00EC6D98" w:rsidP="00EC6D98">
      <w:pPr>
        <w:spacing w:after="0" w:line="254" w:lineRule="auto"/>
        <w:rPr>
          <w:rFonts w:ascii="Verdana" w:eastAsia="Calibri" w:hAnsi="Verdana" w:cs="Times New Roman"/>
        </w:rPr>
      </w:pPr>
      <w:r w:rsidRPr="00B06915">
        <w:rPr>
          <w:rFonts w:ascii="Verdana" w:eastAsia="Calibri" w:hAnsi="Verdana" w:cs="Times New Roman"/>
        </w:rPr>
        <w:t xml:space="preserve">Facebook: </w:t>
      </w:r>
      <w:proofErr w:type="spellStart"/>
      <w:r w:rsidRPr="00B06915">
        <w:rPr>
          <w:rFonts w:ascii="Verdana" w:eastAsia="Calibri" w:hAnsi="Verdana" w:cs="Times New Roman"/>
          <w:u w:val="single"/>
        </w:rPr>
        <w:t>ColombiaCompraEficiente</w:t>
      </w:r>
      <w:proofErr w:type="spellEnd"/>
    </w:p>
    <w:p w14:paraId="41F317E2" w14:textId="6F085F78" w:rsidR="00EC6D98" w:rsidRPr="00B06915" w:rsidRDefault="00EC6D98" w:rsidP="00EC6D98">
      <w:pPr>
        <w:spacing w:after="0" w:line="254" w:lineRule="auto"/>
        <w:rPr>
          <w:rFonts w:ascii="Verdana" w:eastAsia="Calibri" w:hAnsi="Verdana" w:cs="Times New Roman"/>
          <w:u w:val="single"/>
        </w:rPr>
      </w:pPr>
      <w:r w:rsidRPr="00B06915">
        <w:rPr>
          <w:rFonts w:ascii="Verdana" w:eastAsia="Calibri" w:hAnsi="Verdana" w:cs="Times New Roman"/>
        </w:rPr>
        <w:t xml:space="preserve">LinkedIn: </w:t>
      </w:r>
      <w:r w:rsidRPr="00B06915">
        <w:rPr>
          <w:rFonts w:ascii="Verdana" w:eastAsia="Calibri" w:hAnsi="Verdana" w:cs="Times New Roman"/>
          <w:u w:val="single"/>
        </w:rPr>
        <w:t>Agencia Nacional de Contratación Pública - Colombia Compra Eficiente</w:t>
      </w:r>
      <w:r w:rsidRPr="00B06915">
        <w:rPr>
          <w:rFonts w:ascii="Verdana" w:eastAsia="Calibri" w:hAnsi="Verdana" w:cs="Times New Roman"/>
        </w:rPr>
        <w:t xml:space="preserve"> Instagram: </w:t>
      </w:r>
      <w:r w:rsidRPr="00B06915">
        <w:rPr>
          <w:rFonts w:ascii="Verdana" w:eastAsia="Calibri" w:hAnsi="Verdana" w:cs="Times New Roman"/>
          <w:u w:val="single"/>
        </w:rPr>
        <w:t>@colombiacompraeficiente_cce</w:t>
      </w:r>
    </w:p>
    <w:p w14:paraId="25E800F6" w14:textId="657C794F" w:rsidR="00EC6D98" w:rsidRPr="00B06915" w:rsidRDefault="00EC6D98" w:rsidP="00EC6D98">
      <w:pPr>
        <w:spacing w:after="0" w:line="254" w:lineRule="auto"/>
        <w:rPr>
          <w:rFonts w:ascii="Verdana" w:eastAsia="Calibri" w:hAnsi="Verdana" w:cs="Times New Roman"/>
          <w:u w:val="single"/>
        </w:rPr>
      </w:pPr>
    </w:p>
    <w:p w14:paraId="50799843" w14:textId="0DA2E5DC" w:rsidR="00EC6D98" w:rsidRPr="00B06915" w:rsidRDefault="00EC6D98" w:rsidP="00EC6D98">
      <w:pPr>
        <w:spacing w:after="0" w:line="254" w:lineRule="auto"/>
        <w:jc w:val="both"/>
        <w:rPr>
          <w:rFonts w:ascii="Verdana" w:eastAsia="Calibri" w:hAnsi="Verdana" w:cs="Times New Roman"/>
          <w:bCs/>
          <w:lang w:val="es-ES_tradnl"/>
        </w:rPr>
      </w:pPr>
      <w:r w:rsidRPr="00B0691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D31356" w14:textId="21BC8C8B" w:rsidR="00EC6D98" w:rsidRPr="00B06915" w:rsidRDefault="00EC6D98" w:rsidP="00EC6D98">
      <w:pPr>
        <w:spacing w:after="0" w:line="254" w:lineRule="auto"/>
        <w:jc w:val="both"/>
        <w:rPr>
          <w:rFonts w:ascii="Verdana" w:eastAsia="Calibri" w:hAnsi="Verdana" w:cs="Times New Roman"/>
        </w:rPr>
      </w:pPr>
    </w:p>
    <w:p w14:paraId="5C661DA2" w14:textId="77777777" w:rsidR="00924AFA" w:rsidRDefault="00EC6D98" w:rsidP="00EC6D98">
      <w:pPr>
        <w:spacing w:after="0" w:line="254" w:lineRule="auto"/>
        <w:jc w:val="both"/>
        <w:rPr>
          <w:rFonts w:ascii="Verdana" w:eastAsia="Aptos" w:hAnsi="Verdana" w:cs="Arial"/>
          <w:noProof/>
          <w:lang w:eastAsia="es-CO"/>
        </w:rPr>
      </w:pPr>
      <w:r w:rsidRPr="00B06915">
        <w:rPr>
          <w:rFonts w:ascii="Verdana" w:eastAsia="Calibri" w:hAnsi="Verdana" w:cs="Times New Roman"/>
        </w:rPr>
        <w:t>Atentamente,</w:t>
      </w:r>
      <w:r w:rsidR="00924AFA" w:rsidRPr="00924AFA">
        <w:rPr>
          <w:rFonts w:ascii="Verdana" w:eastAsia="Aptos" w:hAnsi="Verdana" w:cs="Arial"/>
          <w:noProof/>
          <w:lang w:eastAsia="es-CO"/>
        </w:rPr>
        <w:t xml:space="preserve"> </w:t>
      </w:r>
    </w:p>
    <w:p w14:paraId="3399B1A5" w14:textId="1CF2BA13" w:rsidR="00EC6D98" w:rsidRDefault="00924AFA" w:rsidP="00EC6D98">
      <w:pPr>
        <w:spacing w:after="0" w:line="254" w:lineRule="auto"/>
        <w:jc w:val="both"/>
        <w:rPr>
          <w:rFonts w:ascii="Verdana" w:eastAsia="Calibri" w:hAnsi="Verdana" w:cs="Times New Roman"/>
        </w:rPr>
      </w:pPr>
      <w:r w:rsidRPr="00427CE5">
        <w:rPr>
          <w:rFonts w:ascii="Verdana" w:eastAsia="Aptos" w:hAnsi="Verdana" w:cs="Arial"/>
          <w:noProof/>
          <w:lang w:eastAsia="es-CO"/>
        </w:rPr>
        <w:drawing>
          <wp:anchor distT="0" distB="0" distL="114300" distR="114300" simplePos="0" relativeHeight="251660289" behindDoc="1" locked="0" layoutInCell="1" allowOverlap="1" wp14:anchorId="78BA18AE" wp14:editId="5526079C">
            <wp:simplePos x="0" y="0"/>
            <wp:positionH relativeFrom="column">
              <wp:posOffset>1087065</wp:posOffset>
            </wp:positionH>
            <wp:positionV relativeFrom="paragraph">
              <wp:posOffset>68895</wp:posOffset>
            </wp:positionV>
            <wp:extent cx="2959100" cy="1152000"/>
            <wp:effectExtent l="0" t="0" r="0" b="0"/>
            <wp:wrapTight wrapText="bothSides">
              <wp:wrapPolygon edited="0">
                <wp:start x="0" y="0"/>
                <wp:lineTo x="0" y="21076"/>
                <wp:lineTo x="21415" y="21076"/>
                <wp:lineTo x="21415" y="0"/>
                <wp:lineTo x="0" y="0"/>
              </wp:wrapPolygon>
            </wp:wrapTight>
            <wp:docPr id="972885638"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59100" cy="115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40D3E5" w14:textId="7AC61A7A" w:rsidR="00EC6D98" w:rsidRDefault="00EC6D98" w:rsidP="00EC6D98">
      <w:pPr>
        <w:jc w:val="both"/>
        <w:rPr>
          <w:rFonts w:ascii="Verdana" w:eastAsia="Times New Roman" w:hAnsi="Verdana" w:cs="Arial"/>
          <w:shd w:val="clear" w:color="auto" w:fill="FFFFFF"/>
        </w:rPr>
      </w:pPr>
    </w:p>
    <w:p w14:paraId="140DC093" w14:textId="2D3212C6" w:rsidR="00EC6D98" w:rsidRDefault="00EC6D98" w:rsidP="00EC6D98">
      <w:pPr>
        <w:spacing w:after="0" w:line="240" w:lineRule="auto"/>
        <w:textAlignment w:val="baseline"/>
        <w:rPr>
          <w:rFonts w:ascii="Verdana" w:eastAsia="Times New Roman" w:hAnsi="Verdana" w:cs="Segoe UI"/>
          <w:lang w:val="es-MX" w:eastAsia="es-CO"/>
        </w:rPr>
      </w:pPr>
    </w:p>
    <w:p w14:paraId="6EA18CB5" w14:textId="70A10CFC" w:rsidR="00EC6D98" w:rsidRDefault="00EC6D98" w:rsidP="00EC6D98">
      <w:pPr>
        <w:spacing w:after="0" w:line="240" w:lineRule="auto"/>
        <w:textAlignment w:val="baseline"/>
        <w:rPr>
          <w:rFonts w:ascii="Verdana" w:eastAsia="Times New Roman" w:hAnsi="Verdana" w:cs="Segoe UI"/>
          <w:lang w:val="es-MX" w:eastAsia="es-CO"/>
        </w:rPr>
      </w:pPr>
    </w:p>
    <w:p w14:paraId="78C26136" w14:textId="6329CFCE" w:rsidR="00EC6D98" w:rsidRDefault="00EC6D98" w:rsidP="00EC6D98">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EC6D98" w:rsidRPr="004C0111" w14:paraId="5090FE1A" w14:textId="77777777" w:rsidTr="5A972982">
        <w:trPr>
          <w:trHeight w:val="622"/>
        </w:trPr>
        <w:tc>
          <w:tcPr>
            <w:tcW w:w="893" w:type="dxa"/>
            <w:vAlign w:val="center"/>
            <w:hideMark/>
          </w:tcPr>
          <w:p w14:paraId="54183E08" w14:textId="77777777" w:rsidR="00EC6D98" w:rsidRPr="004C0111" w:rsidRDefault="00EC6D98" w:rsidP="00972FFE">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lastRenderedPageBreak/>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EC6D98" w:rsidRPr="004C0111" w14:paraId="47E42E38" w14:textId="77777777" w:rsidTr="5A972982">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41109957" w14:textId="02785B66" w:rsidR="00EC6D98" w:rsidRPr="004C0111" w:rsidRDefault="00EC6D98" w:rsidP="5A972982">
                  <w:pPr>
                    <w:spacing w:after="0"/>
                    <w:rPr>
                      <w:rFonts w:ascii="Verdana" w:eastAsia="Times New Roman" w:hAnsi="Verdana" w:cs="Arial"/>
                      <w:sz w:val="16"/>
                      <w:szCs w:val="16"/>
                      <w:lang w:val="es-ES" w:eastAsia="es-ES"/>
                    </w:rPr>
                  </w:pPr>
                  <w:r w:rsidRPr="5A972982">
                    <w:rPr>
                      <w:rFonts w:ascii="Verdana" w:eastAsia="Times New Roman" w:hAnsi="Verdana" w:cs="Arial"/>
                      <w:sz w:val="16"/>
                      <w:szCs w:val="16"/>
                      <w:lang w:val="es-ES" w:eastAsia="es-ES"/>
                    </w:rPr>
                    <w:t>Kelmis</w:t>
                  </w:r>
                  <w:r w:rsidR="00924AFA">
                    <w:rPr>
                      <w:rFonts w:ascii="Verdana" w:eastAsia="Times New Roman" w:hAnsi="Verdana" w:cs="Arial"/>
                      <w:sz w:val="16"/>
                      <w:szCs w:val="16"/>
                      <w:lang w:val="es-ES" w:eastAsia="es-ES"/>
                    </w:rPr>
                    <w:t xml:space="preserve"> </w:t>
                  </w:r>
                  <w:r w:rsidRPr="5A972982">
                    <w:rPr>
                      <w:rFonts w:ascii="Verdana" w:eastAsia="Times New Roman" w:hAnsi="Verdana" w:cs="Arial"/>
                      <w:sz w:val="16"/>
                      <w:szCs w:val="16"/>
                      <w:lang w:val="es-ES" w:eastAsia="es-ES"/>
                    </w:rPr>
                    <w:t>Yirama Brugés Alvarado</w:t>
                  </w:r>
                </w:p>
                <w:p w14:paraId="34D76FAE" w14:textId="77777777" w:rsidR="00EC6D98" w:rsidRPr="004C0111" w:rsidRDefault="00EC6D98" w:rsidP="00972FFE">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17CDE32D" w14:textId="32A8E32C" w:rsidR="00EC6D98" w:rsidRPr="004C0111" w:rsidRDefault="00EC6D98" w:rsidP="00972FFE">
            <w:pPr>
              <w:spacing w:line="276" w:lineRule="auto"/>
              <w:contextualSpacing/>
              <w:rPr>
                <w:rFonts w:ascii="Verdana" w:eastAsia="Calibri" w:hAnsi="Verdana" w:cs="Arial"/>
                <w:sz w:val="16"/>
                <w:szCs w:val="16"/>
                <w:lang w:val="es-MX"/>
              </w:rPr>
            </w:pPr>
          </w:p>
        </w:tc>
      </w:tr>
      <w:tr w:rsidR="00EC6D98" w:rsidRPr="004C0111" w14:paraId="5A9E34C1" w14:textId="77777777" w:rsidTr="5A972982">
        <w:trPr>
          <w:trHeight w:val="330"/>
        </w:trPr>
        <w:tc>
          <w:tcPr>
            <w:tcW w:w="893" w:type="dxa"/>
            <w:vAlign w:val="center"/>
            <w:hideMark/>
          </w:tcPr>
          <w:p w14:paraId="65711398" w14:textId="77777777" w:rsidR="00EC6D98" w:rsidRPr="004C0111" w:rsidRDefault="00EC6D98" w:rsidP="00972FFE">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3E099A7E" w14:textId="77777777" w:rsidR="00EC6D98" w:rsidRPr="004C0111" w:rsidRDefault="00EC6D98" w:rsidP="00972FFE">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Cabezas</w:t>
            </w:r>
          </w:p>
          <w:p w14:paraId="1178994F" w14:textId="77777777" w:rsidR="00EC6D98" w:rsidRPr="004C0111" w:rsidRDefault="00EC6D98" w:rsidP="00972FFE">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EC6D98" w:rsidRPr="004C0111" w14:paraId="63093EC8" w14:textId="77777777" w:rsidTr="5A972982">
        <w:trPr>
          <w:trHeight w:val="77"/>
        </w:trPr>
        <w:tc>
          <w:tcPr>
            <w:tcW w:w="893" w:type="dxa"/>
            <w:vAlign w:val="center"/>
          </w:tcPr>
          <w:p w14:paraId="025AADC7" w14:textId="77777777" w:rsidR="00EC6D98" w:rsidRPr="004C0111" w:rsidRDefault="00EC6D98" w:rsidP="00972FFE">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6BC960B7" w14:textId="77777777" w:rsidR="00EC6D98" w:rsidRPr="002F2853" w:rsidRDefault="00EC6D98" w:rsidP="00972FFE">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279039E1" w14:textId="77777777" w:rsidR="00EC6D98" w:rsidRPr="004C0111" w:rsidRDefault="00EC6D98" w:rsidP="00972FFE">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69BC4D14" w14:textId="1F28EA0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3D63E" w14:textId="77777777" w:rsidR="009F30FD" w:rsidRDefault="009F30FD" w:rsidP="004A1847">
      <w:pPr>
        <w:spacing w:after="0" w:line="240" w:lineRule="auto"/>
      </w:pPr>
      <w:r>
        <w:separator/>
      </w:r>
    </w:p>
  </w:endnote>
  <w:endnote w:type="continuationSeparator" w:id="0">
    <w:p w14:paraId="6D54CCDB" w14:textId="77777777" w:rsidR="009F30FD" w:rsidRDefault="009F30F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920AF1" w14:textId="77777777" w:rsidR="009F30FD" w:rsidRDefault="009F30FD" w:rsidP="004A1847">
      <w:pPr>
        <w:spacing w:after="0" w:line="240" w:lineRule="auto"/>
      </w:pPr>
      <w:r>
        <w:separator/>
      </w:r>
    </w:p>
  </w:footnote>
  <w:footnote w:type="continuationSeparator" w:id="0">
    <w:p w14:paraId="0761E597" w14:textId="77777777" w:rsidR="009F30FD" w:rsidRDefault="009F30FD" w:rsidP="004A1847">
      <w:pPr>
        <w:spacing w:after="0" w:line="240" w:lineRule="auto"/>
      </w:pPr>
      <w:r>
        <w:continuationSeparator/>
      </w:r>
    </w:p>
  </w:footnote>
  <w:footnote w:id="1">
    <w:p w14:paraId="37A27C34" w14:textId="77777777" w:rsidR="0022674E" w:rsidRPr="00BD2E44"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BD2E44">
        <w:rPr>
          <w:rStyle w:val="Refdenotaalpie"/>
          <w:rFonts w:ascii="Verdana" w:hAnsi="Verdana" w:cs="Arial"/>
          <w:sz w:val="16"/>
          <w:szCs w:val="16"/>
        </w:rPr>
        <w:footnoteRef/>
      </w:r>
      <w:r w:rsidRPr="00BD2E44">
        <w:rPr>
          <w:rFonts w:ascii="Verdana" w:hAnsi="Verdana" w:cs="Arial"/>
          <w:sz w:val="16"/>
          <w:szCs w:val="16"/>
        </w:rPr>
        <w:t xml:space="preserve"> </w:t>
      </w:r>
      <w:r w:rsidRPr="00BD2E44">
        <w:rPr>
          <w:rFonts w:ascii="Verdana" w:eastAsia="Calibri" w:hAnsi="Verdana" w:cs="Arial"/>
          <w:sz w:val="16"/>
          <w:szCs w:val="16"/>
          <w:lang w:val="es-ES_tradnl" w:eastAsia="es-ES_tradnl"/>
        </w:rPr>
        <w:t>El artículo 74 de la Ley 1474 prescribe: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6F83ABEF" w14:textId="77777777" w:rsidR="0022674E" w:rsidRPr="00BD2E44"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BD2E44">
        <w:rPr>
          <w:rFonts w:ascii="Verdana" w:eastAsia="Calibri" w:hAnsi="Verdana" w:cs="Arial"/>
          <w:sz w:val="16"/>
          <w:szCs w:val="16"/>
          <w:lang w:val="es-ES_tradnl" w:eastAsia="es-ES_tradnl"/>
        </w:rPr>
        <w:t>A partir del año siguiente, el Plan de Acción deberá estar acompañado del informe de gestión del año inmediatamente anterior.</w:t>
      </w:r>
    </w:p>
    <w:p w14:paraId="2967CFE2"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Fonts w:ascii="Verdana" w:eastAsia="Calibri" w:hAnsi="Verdana" w:cs="Arial"/>
          <w:sz w:val="16"/>
          <w:szCs w:val="16"/>
          <w:lang w:val="es-ES_tradnl" w:eastAsia="es-ES_tradnl"/>
        </w:rPr>
        <w:t>Igualmente publicarán por dicho medio su presupuesto debidamente desagregado, así como las modificaciones a este o a su desagregación.</w:t>
      </w:r>
      <w:r w:rsidRPr="000F601F">
        <w:rPr>
          <w:rFonts w:ascii="Verdana" w:eastAsia="Calibri" w:hAnsi="Verdana" w:cs="Arial"/>
          <w:sz w:val="16"/>
          <w:szCs w:val="16"/>
          <w:lang w:val="es-ES_tradnl" w:eastAsia="es-ES_tradnl"/>
        </w:rPr>
        <w:tab/>
      </w:r>
    </w:p>
    <w:p w14:paraId="0E9EE5D9" w14:textId="79F9B7C7" w:rsidR="0022674E" w:rsidRPr="000F601F" w:rsidRDefault="000F601F" w:rsidP="0022674E">
      <w:pPr>
        <w:pStyle w:val="NormalWeb"/>
        <w:shd w:val="clear" w:color="auto" w:fill="FFFFFF"/>
        <w:spacing w:before="0" w:beforeAutospacing="0" w:after="0" w:afterAutospacing="0"/>
        <w:ind w:firstLine="709"/>
        <w:jc w:val="both"/>
        <w:rPr>
          <w:rFonts w:ascii="Verdana" w:eastAsia="Calibri" w:hAnsi="Verdana" w:cs="Arial"/>
          <w:i/>
          <w:iCs/>
          <w:sz w:val="16"/>
          <w:szCs w:val="16"/>
          <w:lang w:val="es-ES_tradnl" w:eastAsia="es-ES_tradnl"/>
        </w:rPr>
      </w:pPr>
      <w:r w:rsidRPr="000F601F">
        <w:rPr>
          <w:rFonts w:ascii="Verdana" w:eastAsia="Calibri" w:hAnsi="Verdana" w:cs="Arial"/>
          <w:sz w:val="16"/>
          <w:szCs w:val="16"/>
          <w:lang w:val="es-ES_tradnl" w:eastAsia="es-ES_tradnl"/>
        </w:rPr>
        <w:t>“</w:t>
      </w:r>
      <w:r w:rsidR="0022674E" w:rsidRPr="000F601F">
        <w:rPr>
          <w:rFonts w:ascii="Verdana" w:eastAsia="Calibri" w:hAnsi="Verdana" w:cs="Arial"/>
          <w:sz w:val="16"/>
          <w:szCs w:val="16"/>
          <w:lang w:val="es-ES_tradnl" w:eastAsia="es-ES_tradnl"/>
        </w:rPr>
        <w:t>Parágrafo. Las empresas industriales y comerciales del Estado y las Sociedades de Economía Mixta estarán exentas de publicar la información relacionada con sus proyectos de inversión”.</w:t>
      </w:r>
    </w:p>
  </w:footnote>
  <w:footnote w:id="2">
    <w:p w14:paraId="00E47A05"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i/>
          <w:iCs/>
          <w:sz w:val="16"/>
          <w:szCs w:val="16"/>
          <w:lang w:val="es-ES_tradnl" w:eastAsia="es-ES_tradnl"/>
        </w:rPr>
      </w:pPr>
    </w:p>
    <w:p w14:paraId="5829D088"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Fonts w:ascii="Verdana" w:eastAsia="Calibri" w:hAnsi="Verdana" w:cs="Arial"/>
          <w:i/>
          <w:iCs/>
          <w:sz w:val="16"/>
          <w:szCs w:val="16"/>
          <w:vertAlign w:val="superscript"/>
          <w:lang w:val="es-ES_tradnl" w:eastAsia="es-ES_tradnl"/>
        </w:rPr>
        <w:footnoteRef/>
      </w:r>
      <w:r w:rsidRPr="000F601F">
        <w:rPr>
          <w:rFonts w:ascii="Verdana" w:eastAsia="Calibri" w:hAnsi="Verdana" w:cs="Arial"/>
          <w:i/>
          <w:iCs/>
          <w:sz w:val="16"/>
          <w:szCs w:val="16"/>
          <w:lang w:val="es-ES_tradnl" w:eastAsia="es-ES_tradnl"/>
        </w:rPr>
        <w:t xml:space="preserve"> </w:t>
      </w:r>
      <w:r w:rsidRPr="000F601F">
        <w:rPr>
          <w:rFonts w:ascii="Verdana" w:eastAsia="Calibri" w:hAnsi="Verdana" w:cs="Arial"/>
          <w:sz w:val="16"/>
          <w:szCs w:val="16"/>
          <w:lang w:val="es-ES_tradnl" w:eastAsia="es-ES_tradnl"/>
        </w:rPr>
        <w:t>“Artículo 2.2.1.1.1.3.1.</w:t>
      </w:r>
      <w:r w:rsidRPr="000F601F">
        <w:rPr>
          <w:rFonts w:ascii="Verdana" w:eastAsia="Calibri" w:hAnsi="Verdana" w:cs="Arial"/>
          <w:b/>
          <w:bCs/>
          <w:sz w:val="16"/>
          <w:szCs w:val="16"/>
          <w:lang w:val="es-ES_tradnl" w:eastAsia="es-ES_tradnl"/>
        </w:rPr>
        <w:t> </w:t>
      </w:r>
      <w:r w:rsidRPr="000F601F">
        <w:rPr>
          <w:rFonts w:ascii="Verdana" w:eastAsia="Calibri" w:hAnsi="Verdana" w:cs="Arial"/>
          <w:sz w:val="16"/>
          <w:szCs w:val="16"/>
          <w:lang w:val="es-ES_tradnl" w:eastAsia="es-ES_tradnl"/>
        </w:rPr>
        <w:t>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5731CC85"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Fonts w:ascii="Verdana" w:eastAsia="Calibri" w:hAnsi="Verdana" w:cs="Arial"/>
          <w:sz w:val="16"/>
          <w:szCs w:val="16"/>
          <w:lang w:val="es-ES_tradnl" w:eastAsia="es-ES_tradnl"/>
        </w:rPr>
        <w:t>[…]</w:t>
      </w:r>
    </w:p>
    <w:p w14:paraId="2C7FEAD3" w14:textId="77777777" w:rsidR="0022674E" w:rsidRPr="000F601F" w:rsidRDefault="0022674E" w:rsidP="0022674E">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0F601F">
        <w:rPr>
          <w:rFonts w:ascii="Verdana" w:eastAsia="Calibri" w:hAnsi="Verdana" w:cs="Arial"/>
          <w:sz w:val="16"/>
          <w:szCs w:val="16"/>
          <w:lang w:val="es-ES_tradnl" w:eastAsia="es-ES_tradnl"/>
        </w:rPr>
        <w:t>Plan Anual de Adquisiciones: Plan general de compras al que se refiere el </w:t>
      </w:r>
      <w:hyperlink r:id="rId1" w:history="1">
        <w:r w:rsidRPr="000F601F">
          <w:rPr>
            <w:rFonts w:ascii="Verdana" w:eastAsia="Calibri" w:hAnsi="Verdana" w:cs="Arial"/>
            <w:sz w:val="16"/>
            <w:szCs w:val="16"/>
            <w:lang w:val="es-ES_tradnl" w:eastAsia="es-ES_tradnl"/>
          </w:rPr>
          <w:t>artículo 74 de la Ley 1474 de 2011</w:t>
        </w:r>
      </w:hyperlink>
      <w:r w:rsidRPr="000F601F">
        <w:rPr>
          <w:rFonts w:ascii="Verdana" w:eastAsia="Calibri" w:hAnsi="Verdana" w:cs="Arial"/>
          <w:sz w:val="16"/>
          <w:szCs w:val="16"/>
          <w:lang w:val="es-ES_tradnl" w:eastAsia="es-ES_tradnl"/>
        </w:rPr>
        <w:t> y el plan de compras al que se refiere la Ley Anual de Presupuesto. Es un instrumento de planeación contractual que las Entidades Estatales deben diligenciar, publicar y actualizar en los términos del presente título”.</w:t>
      </w:r>
    </w:p>
  </w:footnote>
  <w:footnote w:id="3">
    <w:p w14:paraId="426078B1" w14:textId="77777777" w:rsidR="0022674E" w:rsidRPr="000F601F" w:rsidRDefault="0022674E" w:rsidP="0022674E">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p>
    <w:p w14:paraId="0A03088D"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Style w:val="Refdenotaalpie"/>
          <w:rFonts w:ascii="Verdana" w:hAnsi="Verdana" w:cs="Arial"/>
          <w:color w:val="000000" w:themeColor="text1"/>
          <w:sz w:val="16"/>
          <w:szCs w:val="16"/>
        </w:rPr>
        <w:footnoteRef/>
      </w:r>
      <w:r w:rsidRPr="000F601F">
        <w:rPr>
          <w:rFonts w:ascii="Verdana" w:hAnsi="Verdana" w:cs="Arial"/>
          <w:color w:val="000000" w:themeColor="text1"/>
          <w:sz w:val="16"/>
          <w:szCs w:val="16"/>
        </w:rPr>
        <w:t xml:space="preserve"> </w:t>
      </w:r>
      <w:r w:rsidRPr="000F601F">
        <w:rPr>
          <w:rFonts w:ascii="Verdana" w:hAnsi="Verdana" w:cs="Arial"/>
          <w:b/>
          <w:color w:val="000000" w:themeColor="text1"/>
          <w:sz w:val="16"/>
          <w:szCs w:val="16"/>
        </w:rPr>
        <w:t>“</w:t>
      </w:r>
      <w:r w:rsidRPr="000F601F">
        <w:rPr>
          <w:rFonts w:ascii="Verdana" w:eastAsia="Calibri" w:hAnsi="Verdana" w:cs="Arial"/>
          <w:sz w:val="16"/>
          <w:szCs w:val="16"/>
          <w:lang w:val="es-ES_tradnl" w:eastAsia="es-ES_tradnl"/>
        </w:rPr>
        <w:t>Todo sujeto obligado deberá publicar la siguiente información mínima obligatoria de manera proactiva en los sistemas de información del Estado o herramientas que lo sustituyan:</w:t>
      </w:r>
    </w:p>
    <w:p w14:paraId="316BD26E"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Fonts w:ascii="Verdana" w:eastAsia="Calibri" w:hAnsi="Verdana" w:cs="Arial"/>
          <w:sz w:val="16"/>
          <w:szCs w:val="16"/>
          <w:lang w:val="es-ES_tradnl" w:eastAsia="es-ES_tradnl"/>
        </w:rPr>
        <w:t>[…]</w:t>
      </w:r>
    </w:p>
    <w:p w14:paraId="10748B33" w14:textId="77777777" w:rsidR="0022674E" w:rsidRPr="000F601F" w:rsidRDefault="0022674E" w:rsidP="0022674E">
      <w:pPr>
        <w:pStyle w:val="NormalWeb"/>
        <w:shd w:val="clear" w:color="auto" w:fill="FFFFFF"/>
        <w:spacing w:before="0" w:beforeAutospacing="0" w:after="0" w:afterAutospacing="0"/>
        <w:ind w:firstLine="709"/>
        <w:jc w:val="both"/>
        <w:rPr>
          <w:rFonts w:ascii="Verdana" w:eastAsia="Calibri" w:hAnsi="Verdana" w:cs="Arial"/>
          <w:sz w:val="16"/>
          <w:szCs w:val="16"/>
          <w:lang w:val="es-ES_tradnl" w:eastAsia="es-ES_tradnl"/>
        </w:rPr>
      </w:pPr>
      <w:r w:rsidRPr="000F601F">
        <w:rPr>
          <w:rFonts w:ascii="Verdana" w:eastAsia="Calibri" w:hAnsi="Verdana" w:cs="Arial"/>
          <w:sz w:val="16"/>
          <w:szCs w:val="16"/>
          <w:lang w:val="es-ES_tradnl" w:eastAsia="es-ES_tradnl"/>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p>
    <w:p w14:paraId="620CD0B5" w14:textId="77777777" w:rsidR="0022674E" w:rsidRPr="005D0607" w:rsidRDefault="0022674E" w:rsidP="0022674E">
      <w:pPr>
        <w:pStyle w:val="NormalWeb"/>
        <w:shd w:val="clear" w:color="auto" w:fill="FFFFFF"/>
        <w:spacing w:before="0" w:beforeAutospacing="0" w:after="0" w:afterAutospacing="0"/>
        <w:ind w:firstLine="709"/>
        <w:jc w:val="both"/>
        <w:rPr>
          <w:rStyle w:val="nfasis"/>
          <w:rFonts w:ascii="Verdana" w:hAnsi="Verdana" w:cs="Arial"/>
          <w:color w:val="000000" w:themeColor="text1"/>
          <w:sz w:val="16"/>
          <w:szCs w:val="16"/>
        </w:rPr>
      </w:pPr>
    </w:p>
  </w:footnote>
  <w:footnote w:id="4">
    <w:p w14:paraId="20AF9DE7" w14:textId="77777777" w:rsidR="0022674E" w:rsidRPr="005D0607" w:rsidRDefault="0022674E" w:rsidP="0022674E">
      <w:pPr>
        <w:pStyle w:val="Textonotapie"/>
        <w:ind w:firstLine="708"/>
        <w:jc w:val="both"/>
        <w:rPr>
          <w:rFonts w:ascii="Verdana" w:eastAsia="Calibri" w:hAnsi="Verdana" w:cs="Arial"/>
          <w:sz w:val="16"/>
          <w:szCs w:val="16"/>
          <w:lang w:val="es-ES_tradnl" w:eastAsia="es-ES_tradnl"/>
        </w:rPr>
      </w:pPr>
      <w:r w:rsidRPr="005D0607">
        <w:rPr>
          <w:rStyle w:val="Refdenotaalpie"/>
          <w:rFonts w:ascii="Verdana" w:hAnsi="Verdana" w:cs="Arial"/>
          <w:sz w:val="16"/>
          <w:szCs w:val="16"/>
        </w:rPr>
        <w:footnoteRef/>
      </w:r>
      <w:r w:rsidRPr="005D0607">
        <w:rPr>
          <w:rFonts w:ascii="Verdana" w:hAnsi="Verdana" w:cs="Arial"/>
          <w:sz w:val="16"/>
          <w:szCs w:val="16"/>
        </w:rPr>
        <w:t xml:space="preserve"> </w:t>
      </w:r>
      <w:r w:rsidRPr="005D0607">
        <w:rPr>
          <w:rFonts w:ascii="Verdana" w:eastAsia="Calibri" w:hAnsi="Verdana" w:cs="Arial"/>
          <w:sz w:val="16"/>
          <w:szCs w:val="16"/>
          <w:lang w:val="es-ES_tradnl" w:eastAsia="es-ES_tradnl"/>
        </w:rPr>
        <w:t xml:space="preserve">Decreto 1082 de 2015: “Artículo 2.2.1.1.1.4.3. Publicación del Plan Anual de Adquisiciones. La Entidad Estatal debe publicar su Plan Anual de Adquisiciones y las actualizaciones del mismo en su página web y en el SECOP, en la forma que para el efecto disponga Colombia Compra Eficiente”. </w:t>
      </w:r>
    </w:p>
    <w:p w14:paraId="0C495AD9" w14:textId="77777777" w:rsidR="0022674E" w:rsidRPr="005D0607" w:rsidRDefault="0022674E" w:rsidP="0022674E">
      <w:pPr>
        <w:pStyle w:val="Textonotapie"/>
        <w:ind w:firstLine="708"/>
        <w:jc w:val="both"/>
        <w:rPr>
          <w:rFonts w:ascii="Verdana" w:hAnsi="Verdana" w:cs="Arial"/>
          <w:sz w:val="16"/>
          <w:szCs w:val="16"/>
        </w:rPr>
      </w:pPr>
    </w:p>
  </w:footnote>
  <w:footnote w:id="5">
    <w:p w14:paraId="752EE596" w14:textId="77777777" w:rsidR="0022674E" w:rsidRPr="005D0607" w:rsidRDefault="0022674E" w:rsidP="0022674E">
      <w:pPr>
        <w:pStyle w:val="NormalWeb"/>
        <w:shd w:val="clear" w:color="auto" w:fill="FFFFFF"/>
        <w:spacing w:before="0" w:beforeAutospacing="0" w:after="0" w:afterAutospacing="0"/>
        <w:ind w:firstLine="708"/>
        <w:jc w:val="both"/>
        <w:rPr>
          <w:rFonts w:ascii="Verdana" w:eastAsia="Calibri" w:hAnsi="Verdana" w:cs="Arial"/>
          <w:sz w:val="16"/>
          <w:szCs w:val="16"/>
          <w:lang w:val="es-ES_tradnl" w:eastAsia="es-ES_tradnl"/>
        </w:rPr>
      </w:pPr>
      <w:r w:rsidRPr="005D0607">
        <w:rPr>
          <w:rStyle w:val="Refdenotaalpie"/>
          <w:rFonts w:ascii="Verdana" w:hAnsi="Verdana" w:cs="Arial"/>
          <w:sz w:val="16"/>
          <w:szCs w:val="16"/>
        </w:rPr>
        <w:footnoteRef/>
      </w:r>
      <w:r w:rsidRPr="005D0607">
        <w:rPr>
          <w:rFonts w:ascii="Verdana" w:hAnsi="Verdana" w:cs="Arial"/>
          <w:sz w:val="16"/>
          <w:szCs w:val="16"/>
        </w:rPr>
        <w:t xml:space="preserve"> </w:t>
      </w:r>
      <w:r w:rsidRPr="005D0607">
        <w:rPr>
          <w:rFonts w:ascii="Verdana" w:eastAsia="Calibri" w:hAnsi="Verdana" w:cs="Arial"/>
          <w:sz w:val="16"/>
          <w:szCs w:val="16"/>
          <w:lang w:val="es-ES_tradnl" w:eastAsia="es-ES_tradnl"/>
        </w:rPr>
        <w:t>Decreto 1082 de 2015: “Artículo 2.2.1.1.1.4.4. Actualización del Plan Anual de Adquisiciones. La Entidad Estatal debe actualizar el Plan Anual de Adquisiciones por lo menos una vez durante su vigencia, en la forma y la oportunidad que para el efecto disponga Colombia Compra Eficiente.</w:t>
      </w:r>
    </w:p>
    <w:p w14:paraId="232A9285" w14:textId="77777777" w:rsidR="0022674E" w:rsidRPr="005D0607" w:rsidRDefault="0022674E" w:rsidP="0022674E">
      <w:pPr>
        <w:pStyle w:val="NormalWeb"/>
        <w:shd w:val="clear" w:color="auto" w:fill="FFFFFF"/>
        <w:spacing w:before="0" w:beforeAutospacing="0" w:after="0" w:afterAutospacing="0"/>
        <w:ind w:firstLine="708"/>
        <w:jc w:val="both"/>
        <w:rPr>
          <w:rFonts w:ascii="Verdana" w:eastAsia="Calibri" w:hAnsi="Verdana" w:cs="Arial"/>
          <w:sz w:val="16"/>
          <w:szCs w:val="16"/>
          <w:lang w:val="es-MX" w:eastAsia="en-US"/>
        </w:rPr>
      </w:pPr>
      <w:r w:rsidRPr="005D0607">
        <w:rPr>
          <w:rFonts w:ascii="Verdana" w:eastAsia="Calibri" w:hAnsi="Verdana" w:cs="Arial"/>
          <w:sz w:val="16"/>
          <w:szCs w:val="16"/>
          <w:lang w:val="es-ES_tradnl" w:eastAsia="es-ES_tradnl"/>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footnote>
  <w:footnote w:id="6">
    <w:p w14:paraId="06396780" w14:textId="77777777" w:rsidR="00FA3909" w:rsidRPr="005D0607" w:rsidRDefault="00FA3909" w:rsidP="00FA3909">
      <w:pPr>
        <w:pStyle w:val="Textonotapie"/>
        <w:ind w:firstLine="708"/>
        <w:jc w:val="both"/>
        <w:rPr>
          <w:rFonts w:ascii="Verdana" w:eastAsia="Calibri" w:hAnsi="Verdana" w:cs="Arial"/>
          <w:sz w:val="16"/>
          <w:szCs w:val="16"/>
        </w:rPr>
      </w:pPr>
    </w:p>
    <w:p w14:paraId="63444A5A" w14:textId="77777777" w:rsidR="00FA3909" w:rsidRPr="005D0607" w:rsidRDefault="00FA3909" w:rsidP="00FA3909">
      <w:pPr>
        <w:pStyle w:val="Textonotapie"/>
        <w:ind w:firstLine="708"/>
        <w:jc w:val="both"/>
        <w:rPr>
          <w:rFonts w:ascii="Verdana" w:hAnsi="Verdana" w:cs="Arial"/>
          <w:sz w:val="16"/>
          <w:szCs w:val="16"/>
          <w:lang w:val="es-CO"/>
        </w:rPr>
      </w:pPr>
      <w:r w:rsidRPr="005D0607">
        <w:rPr>
          <w:rStyle w:val="Refdenotaalpie"/>
          <w:rFonts w:ascii="Verdana" w:hAnsi="Verdana" w:cs="Arial"/>
          <w:sz w:val="16"/>
          <w:szCs w:val="16"/>
        </w:rPr>
        <w:footnoteRef/>
      </w:r>
      <w:r w:rsidRPr="005D0607">
        <w:rPr>
          <w:rFonts w:ascii="Verdana" w:eastAsia="Calibri" w:hAnsi="Verdana" w:cs="Arial"/>
          <w:sz w:val="16"/>
          <w:szCs w:val="16"/>
        </w:rPr>
        <w:t xml:space="preserve"> </w:t>
      </w:r>
      <w:r w:rsidRPr="005D0607">
        <w:rPr>
          <w:rFonts w:ascii="Verdana" w:eastAsia="Calibri" w:hAnsi="Verdana" w:cs="Arial"/>
          <w:sz w:val="16"/>
          <w:szCs w:val="16"/>
          <w:lang w:val="es-ES_tradnl" w:eastAsia="es-ES_tradnl"/>
        </w:rPr>
        <w:t>Agencia Nacional de Contratación Pública ―Colombia Compra Eficiente. Guía para elaborar el plan anual de adquisiciones. Página 3.</w:t>
      </w:r>
      <w:r w:rsidRPr="005D0607">
        <w:rPr>
          <w:rFonts w:ascii="Verdana" w:hAnsi="Verdana" w:cs="Arial"/>
          <w:sz w:val="16"/>
          <w:szCs w:val="16"/>
          <w:lang w:val="es-CO"/>
        </w:rPr>
        <w:t xml:space="preserve"> Disponible en: </w:t>
      </w:r>
      <w:r w:rsidRPr="005D0607">
        <w:rPr>
          <w:rFonts w:ascii="Verdana" w:eastAsia="Calibri" w:hAnsi="Verdana" w:cs="Times New Roman"/>
          <w:color w:val="0000FF"/>
          <w:sz w:val="16"/>
          <w:szCs w:val="16"/>
          <w:u w:val="single"/>
          <w:lang w:val="es-CO"/>
        </w:rPr>
        <w:t>https://www.colombiacompra.gov.co/archivos/manual/guia-para-elaborar-el-plan-anual-de-adquisiciones</w:t>
      </w:r>
    </w:p>
    <w:p w14:paraId="4DE54905" w14:textId="77777777" w:rsidR="00FA3909" w:rsidRPr="005D0607" w:rsidRDefault="00FA3909" w:rsidP="00FA3909">
      <w:pPr>
        <w:pStyle w:val="Textonotapie"/>
        <w:ind w:firstLine="708"/>
        <w:jc w:val="both"/>
        <w:rPr>
          <w:rFonts w:ascii="Verdana" w:hAnsi="Verdana" w:cs="Arial"/>
          <w:sz w:val="16"/>
          <w:szCs w:val="16"/>
          <w:lang w:val="es-CO"/>
        </w:rPr>
      </w:pPr>
    </w:p>
  </w:footnote>
  <w:footnote w:id="7">
    <w:p w14:paraId="702F14FD" w14:textId="77777777" w:rsidR="00FA3909" w:rsidRPr="000F601F" w:rsidRDefault="00FA3909" w:rsidP="00FA3909">
      <w:pPr>
        <w:pStyle w:val="Textonotapie"/>
        <w:ind w:firstLine="709"/>
        <w:jc w:val="both"/>
        <w:rPr>
          <w:rFonts w:ascii="Verdana" w:eastAsia="Calibri" w:hAnsi="Verdana" w:cs="Arial"/>
          <w:sz w:val="16"/>
          <w:szCs w:val="16"/>
          <w:lang w:val="es-ES"/>
        </w:rPr>
      </w:pPr>
      <w:r w:rsidRPr="000F601F">
        <w:rPr>
          <w:rStyle w:val="Refdenotaalpie"/>
          <w:rFonts w:ascii="Verdana" w:hAnsi="Verdana" w:cs="Arial"/>
          <w:sz w:val="16"/>
          <w:szCs w:val="16"/>
        </w:rPr>
        <w:footnoteRef/>
      </w:r>
      <w:r w:rsidRPr="000F601F">
        <w:rPr>
          <w:rFonts w:ascii="Verdana" w:hAnsi="Verdana" w:cs="Arial"/>
          <w:sz w:val="16"/>
          <w:szCs w:val="16"/>
        </w:rPr>
        <w:t xml:space="preserve"> </w:t>
      </w:r>
      <w:r w:rsidRPr="000F601F">
        <w:rPr>
          <w:rFonts w:ascii="Verdana" w:eastAsia="Calibri" w:hAnsi="Verdana" w:cs="Arial"/>
          <w:sz w:val="16"/>
          <w:szCs w:val="16"/>
          <w:lang w:val="es-ES_tradnl" w:eastAsia="es-ES_tradnl"/>
        </w:rPr>
        <w:t xml:space="preserve">Agencia Nacional de Contratación Pública ―Colombia Compra Eficiente. </w:t>
      </w:r>
      <w:r w:rsidRPr="000F601F">
        <w:rPr>
          <w:rFonts w:ascii="Verdana" w:hAnsi="Verdana" w:cs="Arial"/>
          <w:sz w:val="16"/>
          <w:szCs w:val="16"/>
        </w:rPr>
        <w:t xml:space="preserve">Circular Externa única actualizada </w:t>
      </w:r>
      <w:r w:rsidRPr="000F601F">
        <w:rPr>
          <w:rFonts w:ascii="Verdana" w:eastAsia="Calibri" w:hAnsi="Verdana" w:cs="Arial"/>
          <w:sz w:val="16"/>
          <w:szCs w:val="16"/>
          <w:lang w:val="es-ES"/>
        </w:rPr>
        <w:t xml:space="preserve">Disponible en:  </w:t>
      </w:r>
      <w:hyperlink r:id="rId2" w:history="1">
        <w:r w:rsidRPr="000F601F">
          <w:rPr>
            <w:rStyle w:val="Hipervnculo"/>
            <w:rFonts w:ascii="Verdana" w:eastAsia="Calibri" w:hAnsi="Verdana" w:cs="Arial"/>
            <w:sz w:val="16"/>
            <w:szCs w:val="16"/>
            <w:lang w:val="es-ES"/>
          </w:rPr>
          <w:t>https://www.colombiacompra.gov.co/wp-content/uploads/2024/08/circular_externa_unica_version_3_vf49.pdf</w:t>
        </w:r>
      </w:hyperlink>
      <w:r w:rsidRPr="000F601F">
        <w:rPr>
          <w:rFonts w:ascii="Verdana" w:eastAsia="Calibri" w:hAnsi="Verdana" w:cs="Arial"/>
          <w:sz w:val="16"/>
          <w:szCs w:val="16"/>
          <w:lang w:val="es-ES"/>
        </w:rPr>
        <w:t xml:space="preserve"> </w:t>
      </w:r>
    </w:p>
    <w:p w14:paraId="59451563" w14:textId="77777777" w:rsidR="00FA3909" w:rsidRPr="000F601F" w:rsidRDefault="00FA3909" w:rsidP="00FA3909">
      <w:pPr>
        <w:pStyle w:val="Textonotapie"/>
        <w:ind w:firstLine="709"/>
        <w:jc w:val="both"/>
        <w:rPr>
          <w:rFonts w:ascii="Verdana" w:hAnsi="Verdana" w:cs="Arial"/>
          <w:sz w:val="16"/>
          <w:szCs w:val="16"/>
          <w:lang w:val="es-CO"/>
        </w:rPr>
      </w:pPr>
    </w:p>
  </w:footnote>
  <w:footnote w:id="8">
    <w:p w14:paraId="4A524AF6" w14:textId="77777777" w:rsidR="00FA3909" w:rsidRPr="000F601F" w:rsidRDefault="00FA3909" w:rsidP="00FA3909">
      <w:pPr>
        <w:pStyle w:val="Textonotapie"/>
        <w:jc w:val="both"/>
        <w:rPr>
          <w:rFonts w:ascii="Verdana" w:hAnsi="Verdana"/>
          <w:sz w:val="16"/>
          <w:szCs w:val="16"/>
        </w:rPr>
      </w:pPr>
      <w:r w:rsidRPr="000F601F">
        <w:rPr>
          <w:rStyle w:val="Refdenotaalpie"/>
          <w:rFonts w:ascii="Verdana" w:hAnsi="Verdana"/>
          <w:sz w:val="16"/>
          <w:szCs w:val="16"/>
        </w:rPr>
        <w:footnoteRef/>
      </w:r>
      <w:r w:rsidRPr="000F601F">
        <w:rPr>
          <w:rFonts w:ascii="Verdana" w:hAnsi="Verdana"/>
          <w:sz w:val="16"/>
          <w:szCs w:val="16"/>
        </w:rPr>
        <w:t xml:space="preserve"> Ministerio de Educacion Nacional. Sistema de Información. Primera Infancia, Preescolar. Básica y media. Glosario. Directorio de Establecimiento Educativo. Disponible en: </w:t>
      </w:r>
      <w:hyperlink r:id="rId3" w:anchor=":~:text=Son%20plantas%20f%C3%ADsicas%20independientes%20que,ser%20un%20centro%20educativo%20oficial.&amp;text=Es%20la%20Sede%20del%20centro,se%20encuentra%20el%20%C3%A1rea%20administrativa" w:history="1">
        <w:r w:rsidRPr="000F601F">
          <w:rPr>
            <w:rStyle w:val="Hipervnculo"/>
            <w:rFonts w:ascii="Verdana" w:hAnsi="Verdana"/>
            <w:sz w:val="16"/>
            <w:szCs w:val="16"/>
          </w:rPr>
          <w:t>https://www.mineducacion.gov.co/sistemasinfo/sistemas/SINEB-Sistema-de-Informacion-Nacional-de-Educacion-Basica-y-Media/296906:Glosario-Directorio-de-Establecimiento-Educativo#:~:text=Son%20plantas%20f%C3%ADsicas%20independientes%20que,ser%20un%20centro%20educativo%20oficial.&amp;text=Es%20la%20Sede%20del%20centro,se%20encuentra%20el%20%C3%A1rea%20administrativa</w:t>
        </w:r>
      </w:hyperlink>
      <w:r w:rsidRPr="000F601F">
        <w:rPr>
          <w:rFonts w:ascii="Verdana" w:hAnsi="Verdana"/>
          <w:sz w:val="16"/>
          <w:szCs w:val="16"/>
        </w:rPr>
        <w:t xml:space="preserve"> </w:t>
      </w:r>
    </w:p>
  </w:footnote>
  <w:footnote w:id="9">
    <w:p w14:paraId="2883F3AF" w14:textId="77777777" w:rsidR="00160E59" w:rsidRPr="000F601F" w:rsidRDefault="00160E59" w:rsidP="00160E59">
      <w:pPr>
        <w:spacing w:after="0" w:line="240" w:lineRule="auto"/>
        <w:ind w:left="100" w:right="1010" w:firstLine="608"/>
        <w:jc w:val="both"/>
        <w:rPr>
          <w:rFonts w:ascii="Verdana" w:hAnsi="Verdana"/>
          <w:sz w:val="16"/>
          <w:szCs w:val="16"/>
        </w:rPr>
      </w:pPr>
      <w:r w:rsidRPr="000F601F">
        <w:rPr>
          <w:rStyle w:val="Refdenotaalpie"/>
          <w:rFonts w:ascii="Verdana" w:hAnsi="Verdana"/>
          <w:sz w:val="16"/>
          <w:szCs w:val="16"/>
        </w:rPr>
        <w:footnoteRef/>
      </w:r>
      <w:r w:rsidRPr="000F601F">
        <w:rPr>
          <w:rFonts w:ascii="Verdana" w:hAnsi="Verdana"/>
          <w:sz w:val="16"/>
          <w:szCs w:val="16"/>
        </w:rPr>
        <w:t xml:space="preserve"> Sección</w:t>
      </w:r>
      <w:r w:rsidRPr="000F601F">
        <w:rPr>
          <w:rFonts w:ascii="Verdana" w:hAnsi="Verdana"/>
          <w:spacing w:val="-5"/>
          <w:sz w:val="16"/>
          <w:szCs w:val="16"/>
        </w:rPr>
        <w:t xml:space="preserve"> </w:t>
      </w:r>
      <w:r w:rsidRPr="000F601F">
        <w:rPr>
          <w:rFonts w:ascii="Verdana" w:hAnsi="Verdana"/>
          <w:sz w:val="16"/>
          <w:szCs w:val="16"/>
        </w:rPr>
        <w:t>Tercera</w:t>
      </w:r>
      <w:r w:rsidRPr="000F601F">
        <w:rPr>
          <w:rFonts w:ascii="Verdana" w:hAnsi="Verdana"/>
          <w:spacing w:val="-5"/>
          <w:sz w:val="16"/>
          <w:szCs w:val="16"/>
        </w:rPr>
        <w:t xml:space="preserve"> </w:t>
      </w:r>
      <w:r w:rsidRPr="000F601F">
        <w:rPr>
          <w:rFonts w:ascii="Verdana" w:hAnsi="Verdana"/>
          <w:sz w:val="16"/>
          <w:szCs w:val="16"/>
        </w:rPr>
        <w:t>de</w:t>
      </w:r>
      <w:r w:rsidRPr="000F601F">
        <w:rPr>
          <w:rFonts w:ascii="Verdana" w:hAnsi="Verdana"/>
          <w:spacing w:val="-4"/>
          <w:sz w:val="16"/>
          <w:szCs w:val="16"/>
        </w:rPr>
        <w:t xml:space="preserve"> </w:t>
      </w:r>
      <w:r w:rsidRPr="000F601F">
        <w:rPr>
          <w:rFonts w:ascii="Verdana" w:hAnsi="Verdana"/>
          <w:sz w:val="16"/>
          <w:szCs w:val="16"/>
        </w:rPr>
        <w:t>la</w:t>
      </w:r>
      <w:r w:rsidRPr="000F601F">
        <w:rPr>
          <w:rFonts w:ascii="Verdana" w:hAnsi="Verdana"/>
          <w:spacing w:val="-5"/>
          <w:sz w:val="16"/>
          <w:szCs w:val="16"/>
        </w:rPr>
        <w:t xml:space="preserve"> </w:t>
      </w:r>
      <w:r w:rsidRPr="000F601F">
        <w:rPr>
          <w:rFonts w:ascii="Verdana" w:hAnsi="Verdana"/>
          <w:sz w:val="16"/>
          <w:szCs w:val="16"/>
        </w:rPr>
        <w:t>Sala</w:t>
      </w:r>
      <w:r w:rsidRPr="000F601F">
        <w:rPr>
          <w:rFonts w:ascii="Verdana" w:hAnsi="Verdana"/>
          <w:spacing w:val="-5"/>
          <w:sz w:val="16"/>
          <w:szCs w:val="16"/>
        </w:rPr>
        <w:t xml:space="preserve"> </w:t>
      </w:r>
      <w:r w:rsidRPr="000F601F">
        <w:rPr>
          <w:rFonts w:ascii="Verdana" w:hAnsi="Verdana"/>
          <w:sz w:val="16"/>
          <w:szCs w:val="16"/>
        </w:rPr>
        <w:t>de</w:t>
      </w:r>
      <w:r w:rsidRPr="000F601F">
        <w:rPr>
          <w:rFonts w:ascii="Verdana" w:hAnsi="Verdana"/>
          <w:spacing w:val="-5"/>
          <w:sz w:val="16"/>
          <w:szCs w:val="16"/>
        </w:rPr>
        <w:t xml:space="preserve"> </w:t>
      </w:r>
      <w:r w:rsidRPr="000F601F">
        <w:rPr>
          <w:rFonts w:ascii="Verdana" w:hAnsi="Verdana"/>
          <w:sz w:val="16"/>
          <w:szCs w:val="16"/>
        </w:rPr>
        <w:t>lo</w:t>
      </w:r>
      <w:r w:rsidRPr="000F601F">
        <w:rPr>
          <w:rFonts w:ascii="Verdana" w:hAnsi="Verdana"/>
          <w:spacing w:val="-5"/>
          <w:sz w:val="16"/>
          <w:szCs w:val="16"/>
        </w:rPr>
        <w:t xml:space="preserve"> </w:t>
      </w:r>
      <w:r w:rsidRPr="000F601F">
        <w:rPr>
          <w:rFonts w:ascii="Verdana" w:hAnsi="Verdana"/>
          <w:sz w:val="16"/>
          <w:szCs w:val="16"/>
        </w:rPr>
        <w:t>Contencioso</w:t>
      </w:r>
      <w:r w:rsidRPr="000F601F">
        <w:rPr>
          <w:rFonts w:ascii="Verdana" w:hAnsi="Verdana"/>
          <w:spacing w:val="-4"/>
          <w:sz w:val="16"/>
          <w:szCs w:val="16"/>
        </w:rPr>
        <w:t xml:space="preserve"> </w:t>
      </w:r>
      <w:r w:rsidRPr="000F601F">
        <w:rPr>
          <w:rFonts w:ascii="Verdana" w:hAnsi="Verdana"/>
          <w:sz w:val="16"/>
          <w:szCs w:val="16"/>
        </w:rPr>
        <w:t>Administrativo</w:t>
      </w:r>
      <w:r w:rsidRPr="000F601F">
        <w:rPr>
          <w:rFonts w:ascii="Verdana" w:hAnsi="Verdana"/>
          <w:spacing w:val="-5"/>
          <w:sz w:val="16"/>
          <w:szCs w:val="16"/>
        </w:rPr>
        <w:t xml:space="preserve"> </w:t>
      </w:r>
      <w:r w:rsidRPr="000F601F">
        <w:rPr>
          <w:rFonts w:ascii="Verdana" w:hAnsi="Verdana"/>
          <w:sz w:val="16"/>
          <w:szCs w:val="16"/>
        </w:rPr>
        <w:t>del</w:t>
      </w:r>
      <w:r w:rsidRPr="000F601F">
        <w:rPr>
          <w:rFonts w:ascii="Verdana" w:hAnsi="Verdana"/>
          <w:spacing w:val="-5"/>
          <w:sz w:val="16"/>
          <w:szCs w:val="16"/>
        </w:rPr>
        <w:t xml:space="preserve"> </w:t>
      </w:r>
      <w:r w:rsidRPr="000F601F">
        <w:rPr>
          <w:rFonts w:ascii="Verdana" w:hAnsi="Verdana"/>
          <w:sz w:val="16"/>
          <w:szCs w:val="16"/>
        </w:rPr>
        <w:t>Consejo</w:t>
      </w:r>
      <w:r w:rsidRPr="000F601F">
        <w:rPr>
          <w:rFonts w:ascii="Verdana" w:hAnsi="Verdana"/>
          <w:spacing w:val="-5"/>
          <w:sz w:val="16"/>
          <w:szCs w:val="16"/>
        </w:rPr>
        <w:t xml:space="preserve"> </w:t>
      </w:r>
      <w:r w:rsidRPr="000F601F">
        <w:rPr>
          <w:rFonts w:ascii="Verdana" w:hAnsi="Verdana"/>
          <w:sz w:val="16"/>
          <w:szCs w:val="16"/>
        </w:rPr>
        <w:t>de</w:t>
      </w:r>
      <w:r w:rsidRPr="000F601F">
        <w:rPr>
          <w:rFonts w:ascii="Verdana" w:hAnsi="Verdana"/>
          <w:spacing w:val="-4"/>
          <w:sz w:val="16"/>
          <w:szCs w:val="16"/>
        </w:rPr>
        <w:t xml:space="preserve"> </w:t>
      </w:r>
      <w:r w:rsidRPr="000F601F">
        <w:rPr>
          <w:rFonts w:ascii="Verdana" w:hAnsi="Verdana"/>
          <w:sz w:val="16"/>
          <w:szCs w:val="16"/>
        </w:rPr>
        <w:t>Estado,</w:t>
      </w:r>
      <w:r w:rsidRPr="000F601F">
        <w:rPr>
          <w:rFonts w:ascii="Verdana" w:hAnsi="Verdana"/>
          <w:spacing w:val="-5"/>
          <w:sz w:val="16"/>
          <w:szCs w:val="16"/>
        </w:rPr>
        <w:t xml:space="preserve"> </w:t>
      </w:r>
      <w:r w:rsidRPr="000F601F">
        <w:rPr>
          <w:rFonts w:ascii="Verdana" w:hAnsi="Verdana"/>
          <w:sz w:val="16"/>
          <w:szCs w:val="16"/>
        </w:rPr>
        <w:t>Sentencia</w:t>
      </w:r>
      <w:r w:rsidRPr="000F601F">
        <w:rPr>
          <w:rFonts w:ascii="Verdana" w:hAnsi="Verdana"/>
          <w:spacing w:val="-5"/>
          <w:sz w:val="16"/>
          <w:szCs w:val="16"/>
        </w:rPr>
        <w:t xml:space="preserve"> </w:t>
      </w:r>
      <w:r w:rsidRPr="000F601F">
        <w:rPr>
          <w:rFonts w:ascii="Verdana" w:hAnsi="Verdana"/>
          <w:sz w:val="16"/>
          <w:szCs w:val="16"/>
        </w:rPr>
        <w:t>del</w:t>
      </w:r>
      <w:r w:rsidRPr="000F601F">
        <w:rPr>
          <w:rFonts w:ascii="Verdana" w:hAnsi="Verdana"/>
          <w:spacing w:val="-5"/>
          <w:sz w:val="16"/>
          <w:szCs w:val="16"/>
        </w:rPr>
        <w:t xml:space="preserve"> </w:t>
      </w:r>
      <w:r w:rsidRPr="000F601F">
        <w:rPr>
          <w:rFonts w:ascii="Verdana" w:hAnsi="Verdana"/>
          <w:sz w:val="16"/>
          <w:szCs w:val="16"/>
        </w:rPr>
        <w:t>29</w:t>
      </w:r>
      <w:r w:rsidRPr="000F601F">
        <w:rPr>
          <w:rFonts w:ascii="Verdana" w:hAnsi="Verdana"/>
          <w:spacing w:val="-5"/>
          <w:sz w:val="16"/>
          <w:szCs w:val="16"/>
        </w:rPr>
        <w:t xml:space="preserve"> </w:t>
      </w:r>
      <w:r w:rsidRPr="000F601F">
        <w:rPr>
          <w:rFonts w:ascii="Verdana" w:hAnsi="Verdana"/>
          <w:sz w:val="16"/>
          <w:szCs w:val="16"/>
        </w:rPr>
        <w:t>de</w:t>
      </w:r>
      <w:r w:rsidRPr="000F601F">
        <w:rPr>
          <w:rFonts w:ascii="Verdana" w:hAnsi="Verdana"/>
          <w:spacing w:val="1"/>
          <w:sz w:val="16"/>
          <w:szCs w:val="16"/>
        </w:rPr>
        <w:t xml:space="preserve"> </w:t>
      </w:r>
      <w:r w:rsidRPr="000F601F">
        <w:rPr>
          <w:rFonts w:ascii="Verdana" w:hAnsi="Verdana"/>
          <w:sz w:val="16"/>
          <w:szCs w:val="16"/>
        </w:rPr>
        <w:t>abril</w:t>
      </w:r>
      <w:r w:rsidRPr="000F601F">
        <w:rPr>
          <w:rFonts w:ascii="Verdana" w:hAnsi="Verdana"/>
          <w:spacing w:val="-2"/>
          <w:sz w:val="16"/>
          <w:szCs w:val="16"/>
        </w:rPr>
        <w:t xml:space="preserve"> </w:t>
      </w:r>
      <w:r w:rsidRPr="000F601F">
        <w:rPr>
          <w:rFonts w:ascii="Verdana" w:hAnsi="Verdana"/>
          <w:sz w:val="16"/>
          <w:szCs w:val="16"/>
        </w:rPr>
        <w:t>de</w:t>
      </w:r>
      <w:r w:rsidRPr="000F601F">
        <w:rPr>
          <w:rFonts w:ascii="Verdana" w:hAnsi="Verdana"/>
          <w:spacing w:val="-2"/>
          <w:sz w:val="16"/>
          <w:szCs w:val="16"/>
        </w:rPr>
        <w:t xml:space="preserve"> </w:t>
      </w:r>
      <w:r w:rsidRPr="000F601F">
        <w:rPr>
          <w:rFonts w:ascii="Verdana" w:hAnsi="Verdana"/>
          <w:sz w:val="16"/>
          <w:szCs w:val="16"/>
        </w:rPr>
        <w:t>2015,</w:t>
      </w:r>
      <w:r w:rsidRPr="000F601F">
        <w:rPr>
          <w:rFonts w:ascii="Verdana" w:hAnsi="Verdana"/>
          <w:spacing w:val="-2"/>
          <w:sz w:val="16"/>
          <w:szCs w:val="16"/>
        </w:rPr>
        <w:t xml:space="preserve"> </w:t>
      </w:r>
      <w:r w:rsidRPr="000F601F">
        <w:rPr>
          <w:rFonts w:ascii="Verdana" w:hAnsi="Verdana"/>
          <w:sz w:val="16"/>
          <w:szCs w:val="16"/>
        </w:rPr>
        <w:t>expediente</w:t>
      </w:r>
      <w:r w:rsidRPr="000F601F">
        <w:rPr>
          <w:rFonts w:ascii="Verdana" w:hAnsi="Verdana"/>
          <w:spacing w:val="-2"/>
          <w:sz w:val="16"/>
          <w:szCs w:val="16"/>
        </w:rPr>
        <w:t xml:space="preserve"> </w:t>
      </w:r>
      <w:r w:rsidRPr="000F601F">
        <w:rPr>
          <w:rFonts w:ascii="Verdana" w:hAnsi="Verdana"/>
          <w:sz w:val="16"/>
          <w:szCs w:val="16"/>
        </w:rPr>
        <w:t>29201</w:t>
      </w:r>
      <w:r w:rsidRPr="000F601F">
        <w:rPr>
          <w:rFonts w:ascii="Verdana" w:hAnsi="Verdana"/>
          <w:spacing w:val="-2"/>
          <w:sz w:val="16"/>
          <w:szCs w:val="16"/>
        </w:rPr>
        <w:t xml:space="preserve"> </w:t>
      </w:r>
      <w:r w:rsidRPr="000F601F">
        <w:rPr>
          <w:rFonts w:ascii="Verdana" w:hAnsi="Verdana"/>
          <w:sz w:val="16"/>
          <w:szCs w:val="16"/>
        </w:rPr>
        <w:t>con</w:t>
      </w:r>
      <w:r w:rsidRPr="000F601F">
        <w:rPr>
          <w:rFonts w:ascii="Verdana" w:hAnsi="Verdana"/>
          <w:spacing w:val="-2"/>
          <w:sz w:val="16"/>
          <w:szCs w:val="16"/>
        </w:rPr>
        <w:t xml:space="preserve"> </w:t>
      </w:r>
      <w:r w:rsidRPr="000F601F">
        <w:rPr>
          <w:rFonts w:ascii="Verdana" w:hAnsi="Verdana"/>
          <w:sz w:val="16"/>
          <w:szCs w:val="16"/>
        </w:rPr>
        <w:t>ponencia</w:t>
      </w:r>
      <w:r w:rsidRPr="000F601F">
        <w:rPr>
          <w:rFonts w:ascii="Verdana" w:hAnsi="Verdana"/>
          <w:spacing w:val="-2"/>
          <w:sz w:val="16"/>
          <w:szCs w:val="16"/>
        </w:rPr>
        <w:t xml:space="preserve"> </w:t>
      </w:r>
      <w:r w:rsidRPr="000F601F">
        <w:rPr>
          <w:rFonts w:ascii="Verdana" w:hAnsi="Verdana"/>
          <w:sz w:val="16"/>
          <w:szCs w:val="16"/>
        </w:rPr>
        <w:t>de</w:t>
      </w:r>
      <w:r w:rsidRPr="000F601F">
        <w:rPr>
          <w:rFonts w:ascii="Verdana" w:hAnsi="Verdana"/>
          <w:spacing w:val="-2"/>
          <w:sz w:val="16"/>
          <w:szCs w:val="16"/>
        </w:rPr>
        <w:t xml:space="preserve"> </w:t>
      </w:r>
      <w:r w:rsidRPr="000F601F">
        <w:rPr>
          <w:rFonts w:ascii="Verdana" w:hAnsi="Verdana"/>
          <w:sz w:val="16"/>
          <w:szCs w:val="16"/>
        </w:rPr>
        <w:t>Olga</w:t>
      </w:r>
      <w:r w:rsidRPr="000F601F">
        <w:rPr>
          <w:rFonts w:ascii="Verdana" w:hAnsi="Verdana"/>
          <w:spacing w:val="-2"/>
          <w:sz w:val="16"/>
          <w:szCs w:val="16"/>
        </w:rPr>
        <w:t xml:space="preserve"> </w:t>
      </w:r>
      <w:r w:rsidRPr="000F601F">
        <w:rPr>
          <w:rFonts w:ascii="Verdana" w:hAnsi="Verdana"/>
          <w:sz w:val="16"/>
          <w:szCs w:val="16"/>
        </w:rPr>
        <w:t>Melida</w:t>
      </w:r>
      <w:r w:rsidRPr="000F601F">
        <w:rPr>
          <w:rFonts w:ascii="Verdana" w:hAnsi="Verdana"/>
          <w:spacing w:val="-2"/>
          <w:sz w:val="16"/>
          <w:szCs w:val="16"/>
        </w:rPr>
        <w:t xml:space="preserve"> </w:t>
      </w:r>
      <w:r w:rsidRPr="000F601F">
        <w:rPr>
          <w:rFonts w:ascii="Verdana" w:hAnsi="Verdana"/>
          <w:sz w:val="16"/>
          <w:szCs w:val="16"/>
        </w:rPr>
        <w:t>Valle</w:t>
      </w:r>
      <w:r w:rsidRPr="000F601F">
        <w:rPr>
          <w:rFonts w:ascii="Verdana" w:hAnsi="Verdana"/>
          <w:spacing w:val="-2"/>
          <w:sz w:val="16"/>
          <w:szCs w:val="16"/>
        </w:rPr>
        <w:t xml:space="preserve"> </w:t>
      </w:r>
      <w:r w:rsidRPr="000F601F">
        <w:rPr>
          <w:rFonts w:ascii="Verdana" w:hAnsi="Verdana"/>
          <w:sz w:val="16"/>
          <w:szCs w:val="16"/>
        </w:rPr>
        <w:t>de</w:t>
      </w:r>
      <w:r w:rsidRPr="000F601F">
        <w:rPr>
          <w:rFonts w:ascii="Verdana" w:hAnsi="Verdana"/>
          <w:spacing w:val="-2"/>
          <w:sz w:val="16"/>
          <w:szCs w:val="16"/>
        </w:rPr>
        <w:t xml:space="preserve"> </w:t>
      </w:r>
      <w:r w:rsidRPr="000F601F">
        <w:rPr>
          <w:rFonts w:ascii="Verdana" w:hAnsi="Verdana"/>
          <w:sz w:val="16"/>
          <w:szCs w:val="16"/>
        </w:rPr>
        <w:t>De</w:t>
      </w:r>
      <w:r w:rsidRPr="000F601F">
        <w:rPr>
          <w:rFonts w:ascii="Verdana" w:hAnsi="Verdana"/>
          <w:spacing w:val="-2"/>
          <w:sz w:val="16"/>
          <w:szCs w:val="16"/>
        </w:rPr>
        <w:t xml:space="preserve"> </w:t>
      </w:r>
      <w:r w:rsidRPr="000F601F">
        <w:rPr>
          <w:rFonts w:ascii="Verdana" w:hAnsi="Verdana"/>
          <w:sz w:val="16"/>
          <w:szCs w:val="16"/>
        </w:rPr>
        <w:t>La</w:t>
      </w:r>
      <w:r w:rsidRPr="000F601F">
        <w:rPr>
          <w:rFonts w:ascii="Verdana" w:hAnsi="Verdana"/>
          <w:spacing w:val="-2"/>
          <w:sz w:val="16"/>
          <w:szCs w:val="16"/>
        </w:rPr>
        <w:t xml:space="preserve"> </w:t>
      </w:r>
      <w:r w:rsidRPr="000F601F">
        <w:rPr>
          <w:rFonts w:ascii="Verdana" w:hAnsi="Verdana"/>
          <w:sz w:val="16"/>
          <w:szCs w:val="16"/>
        </w:rPr>
        <w:t>Hoz</w:t>
      </w:r>
    </w:p>
    <w:p w14:paraId="69283FD0" w14:textId="77777777" w:rsidR="00160E59" w:rsidRPr="00C06435" w:rsidRDefault="00160E59" w:rsidP="00160E59">
      <w:pPr>
        <w:pStyle w:val="Textonotapie"/>
        <w:jc w:val="both"/>
        <w:rPr>
          <w:rFonts w:ascii="Verdana" w:hAnsi="Verdana"/>
          <w:sz w:val="16"/>
          <w:szCs w:val="16"/>
          <w:lang w:val="es-CO"/>
        </w:rPr>
      </w:pPr>
    </w:p>
  </w:footnote>
  <w:footnote w:id="10">
    <w:p w14:paraId="4824F417" w14:textId="77777777" w:rsidR="00160E59" w:rsidRDefault="00160E59" w:rsidP="00160E59">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Sala</w:t>
      </w:r>
      <w:r w:rsidRPr="00C06435">
        <w:rPr>
          <w:rFonts w:ascii="Verdana" w:hAnsi="Verdana"/>
          <w:spacing w:val="4"/>
          <w:sz w:val="16"/>
          <w:szCs w:val="16"/>
        </w:rPr>
        <w:t xml:space="preserve"> </w:t>
      </w:r>
      <w:r w:rsidRPr="00C06435">
        <w:rPr>
          <w:rFonts w:ascii="Verdana" w:hAnsi="Verdana"/>
          <w:sz w:val="16"/>
          <w:szCs w:val="16"/>
        </w:rPr>
        <w:t>Plena</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lo</w:t>
      </w:r>
      <w:r w:rsidRPr="00C06435">
        <w:rPr>
          <w:rFonts w:ascii="Verdana" w:hAnsi="Verdana"/>
          <w:spacing w:val="2"/>
          <w:sz w:val="16"/>
          <w:szCs w:val="16"/>
        </w:rPr>
        <w:t xml:space="preserve"> </w:t>
      </w:r>
      <w:r w:rsidRPr="00C06435">
        <w:rPr>
          <w:rFonts w:ascii="Verdana" w:hAnsi="Verdana"/>
          <w:sz w:val="16"/>
          <w:szCs w:val="16"/>
        </w:rPr>
        <w:t>Contencioso</w:t>
      </w:r>
      <w:r w:rsidRPr="00C06435">
        <w:rPr>
          <w:rFonts w:ascii="Verdana" w:hAnsi="Verdana"/>
          <w:spacing w:val="5"/>
          <w:sz w:val="16"/>
          <w:szCs w:val="16"/>
        </w:rPr>
        <w:t xml:space="preserve"> </w:t>
      </w:r>
      <w:r w:rsidRPr="00C06435">
        <w:rPr>
          <w:rFonts w:ascii="Verdana" w:hAnsi="Verdana"/>
          <w:sz w:val="16"/>
          <w:szCs w:val="16"/>
        </w:rPr>
        <w:t>Administrativa</w:t>
      </w:r>
      <w:r w:rsidRPr="00C06435">
        <w:rPr>
          <w:rFonts w:ascii="Verdana" w:hAnsi="Verdana"/>
          <w:spacing w:val="6"/>
          <w:sz w:val="16"/>
          <w:szCs w:val="16"/>
        </w:rPr>
        <w:t xml:space="preserve"> </w:t>
      </w:r>
      <w:r w:rsidRPr="00C06435">
        <w:rPr>
          <w:rFonts w:ascii="Verdana" w:hAnsi="Verdana"/>
          <w:sz w:val="16"/>
          <w:szCs w:val="16"/>
        </w:rPr>
        <w:t>del</w:t>
      </w:r>
      <w:r w:rsidRPr="00C06435">
        <w:rPr>
          <w:rFonts w:ascii="Verdana" w:hAnsi="Verdana"/>
          <w:spacing w:val="2"/>
          <w:sz w:val="16"/>
          <w:szCs w:val="16"/>
        </w:rPr>
        <w:t xml:space="preserve"> </w:t>
      </w:r>
      <w:r w:rsidRPr="00C06435">
        <w:rPr>
          <w:rFonts w:ascii="Verdana" w:hAnsi="Verdana"/>
          <w:sz w:val="16"/>
          <w:szCs w:val="16"/>
        </w:rPr>
        <w:t>Consejo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Estado,</w:t>
      </w:r>
      <w:r w:rsidRPr="00C06435">
        <w:rPr>
          <w:rFonts w:ascii="Verdana" w:hAnsi="Verdana"/>
          <w:spacing w:val="4"/>
          <w:sz w:val="16"/>
          <w:szCs w:val="16"/>
        </w:rPr>
        <w:t xml:space="preserve"> </w:t>
      </w:r>
      <w:r w:rsidRPr="00C06435">
        <w:rPr>
          <w:rFonts w:ascii="Verdana" w:hAnsi="Verdana"/>
          <w:sz w:val="16"/>
          <w:szCs w:val="16"/>
        </w:rPr>
        <w:t>Sentencia</w:t>
      </w:r>
      <w:r w:rsidRPr="00C06435">
        <w:rPr>
          <w:rFonts w:ascii="Verdana" w:hAnsi="Verdana"/>
          <w:spacing w:val="4"/>
          <w:sz w:val="16"/>
          <w:szCs w:val="16"/>
        </w:rPr>
        <w:t xml:space="preserve"> </w:t>
      </w:r>
      <w:r w:rsidRPr="00C06435">
        <w:rPr>
          <w:rFonts w:ascii="Verdana" w:hAnsi="Verdana"/>
          <w:sz w:val="16"/>
          <w:szCs w:val="16"/>
        </w:rPr>
        <w:t>del</w:t>
      </w:r>
      <w:r w:rsidRPr="00C06435">
        <w:rPr>
          <w:rFonts w:ascii="Verdana" w:hAnsi="Verdana"/>
          <w:spacing w:val="3"/>
          <w:sz w:val="16"/>
          <w:szCs w:val="16"/>
        </w:rPr>
        <w:t xml:space="preserve"> </w:t>
      </w:r>
      <w:r w:rsidRPr="00C06435">
        <w:rPr>
          <w:rFonts w:ascii="Verdana" w:hAnsi="Verdana"/>
          <w:sz w:val="16"/>
          <w:szCs w:val="16"/>
        </w:rPr>
        <w:t>3</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octubre</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2000,</w:t>
      </w:r>
      <w:r w:rsidRPr="00C06435">
        <w:rPr>
          <w:rFonts w:ascii="Verdana" w:hAnsi="Verdana"/>
          <w:spacing w:val="-3"/>
          <w:sz w:val="16"/>
          <w:szCs w:val="16"/>
        </w:rPr>
        <w:t xml:space="preserve"> </w:t>
      </w:r>
      <w:r w:rsidRPr="00C06435">
        <w:rPr>
          <w:rFonts w:ascii="Verdana" w:hAnsi="Verdana"/>
          <w:sz w:val="16"/>
          <w:szCs w:val="16"/>
        </w:rPr>
        <w:t>expedientes</w:t>
      </w:r>
      <w:r w:rsidRPr="00C06435">
        <w:rPr>
          <w:rFonts w:ascii="Verdana" w:hAnsi="Verdana"/>
          <w:spacing w:val="-2"/>
          <w:sz w:val="16"/>
          <w:szCs w:val="16"/>
        </w:rPr>
        <w:t xml:space="preserve"> </w:t>
      </w:r>
      <w:r w:rsidRPr="00C06435">
        <w:rPr>
          <w:rFonts w:ascii="Verdana" w:hAnsi="Verdana"/>
          <w:sz w:val="16"/>
          <w:szCs w:val="16"/>
        </w:rPr>
        <w:t>AC-10529</w:t>
      </w:r>
      <w:r w:rsidRPr="00C06435">
        <w:rPr>
          <w:rFonts w:ascii="Verdana" w:hAnsi="Verdana"/>
          <w:spacing w:val="-2"/>
          <w:sz w:val="16"/>
          <w:szCs w:val="16"/>
        </w:rPr>
        <w:t xml:space="preserve"> </w:t>
      </w:r>
      <w:r w:rsidRPr="00C06435">
        <w:rPr>
          <w:rFonts w:ascii="Verdana" w:hAnsi="Verdana"/>
          <w:sz w:val="16"/>
          <w:szCs w:val="16"/>
        </w:rPr>
        <w:t>y</w:t>
      </w:r>
      <w:r w:rsidRPr="00C06435">
        <w:rPr>
          <w:rFonts w:ascii="Verdana" w:hAnsi="Verdana"/>
          <w:spacing w:val="-2"/>
          <w:sz w:val="16"/>
          <w:szCs w:val="16"/>
        </w:rPr>
        <w:t xml:space="preserve"> </w:t>
      </w:r>
      <w:r w:rsidRPr="00C06435">
        <w:rPr>
          <w:rFonts w:ascii="Verdana" w:hAnsi="Verdana"/>
          <w:sz w:val="16"/>
          <w:szCs w:val="16"/>
        </w:rPr>
        <w:t>AC-10968</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Darío</w:t>
      </w:r>
      <w:r w:rsidRPr="00C06435">
        <w:rPr>
          <w:rFonts w:ascii="Verdana" w:hAnsi="Verdana"/>
          <w:spacing w:val="-2"/>
          <w:sz w:val="16"/>
          <w:szCs w:val="16"/>
        </w:rPr>
        <w:t xml:space="preserve"> </w:t>
      </w:r>
      <w:r w:rsidRPr="00C06435">
        <w:rPr>
          <w:rFonts w:ascii="Verdana" w:hAnsi="Verdana"/>
          <w:sz w:val="16"/>
          <w:szCs w:val="16"/>
        </w:rPr>
        <w:t>Quiñónez</w:t>
      </w:r>
      <w:r w:rsidRPr="00C06435">
        <w:rPr>
          <w:rFonts w:ascii="Verdana" w:hAnsi="Verdana"/>
          <w:spacing w:val="-2"/>
          <w:sz w:val="16"/>
          <w:szCs w:val="16"/>
        </w:rPr>
        <w:t xml:space="preserve"> </w:t>
      </w:r>
      <w:r w:rsidRPr="00C06435">
        <w:rPr>
          <w:rFonts w:ascii="Verdana" w:hAnsi="Verdana"/>
          <w:sz w:val="16"/>
          <w:szCs w:val="16"/>
        </w:rPr>
        <w:t>Pinilla</w:t>
      </w:r>
      <w:r>
        <w:rPr>
          <w:rFonts w:ascii="Verdana" w:hAnsi="Verdana"/>
          <w:sz w:val="16"/>
          <w:szCs w:val="16"/>
        </w:rPr>
        <w:t>.</w:t>
      </w:r>
    </w:p>
    <w:p w14:paraId="4CB4F4EA" w14:textId="77777777" w:rsidR="00160E59" w:rsidRPr="00C06435" w:rsidRDefault="00160E59" w:rsidP="00160E59">
      <w:pPr>
        <w:pStyle w:val="Textonotapie"/>
        <w:ind w:firstLine="708"/>
        <w:jc w:val="both"/>
        <w:rPr>
          <w:rFonts w:ascii="Verdana" w:hAnsi="Verdana"/>
          <w:sz w:val="16"/>
          <w:szCs w:val="16"/>
          <w:lang w:val="es-CO"/>
        </w:rPr>
      </w:pPr>
    </w:p>
  </w:footnote>
  <w:footnote w:id="11">
    <w:p w14:paraId="552497B0" w14:textId="77777777" w:rsidR="00160E59" w:rsidRPr="00C06435" w:rsidRDefault="00160E59" w:rsidP="00160E59">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12">
    <w:p w14:paraId="77DC1D3E" w14:textId="77777777" w:rsidR="00160E59" w:rsidRDefault="00160E59" w:rsidP="00160E59">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4"/>
          <w:sz w:val="16"/>
          <w:szCs w:val="16"/>
        </w:rPr>
        <w:t xml:space="preserve"> </w:t>
      </w:r>
      <w:r w:rsidRPr="00C06435">
        <w:rPr>
          <w:rFonts w:ascii="Verdana" w:hAnsi="Verdana"/>
          <w:sz w:val="16"/>
          <w:szCs w:val="16"/>
        </w:rPr>
        <w:t>10</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febrero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2022.</w:t>
      </w:r>
      <w:r w:rsidRPr="00C06435">
        <w:rPr>
          <w:rFonts w:ascii="Verdana" w:hAnsi="Verdana"/>
          <w:spacing w:val="-4"/>
          <w:sz w:val="16"/>
          <w:szCs w:val="16"/>
        </w:rPr>
        <w:t xml:space="preserve"> </w:t>
      </w:r>
      <w:r w:rsidRPr="00C06435">
        <w:rPr>
          <w:rFonts w:ascii="Verdana" w:hAnsi="Verdana"/>
          <w:sz w:val="16"/>
          <w:szCs w:val="16"/>
        </w:rPr>
        <w:t>MP:</w:t>
      </w:r>
      <w:r w:rsidRPr="00C06435">
        <w:rPr>
          <w:rFonts w:ascii="Verdana" w:hAnsi="Verdana"/>
          <w:spacing w:val="-5"/>
          <w:sz w:val="16"/>
          <w:szCs w:val="16"/>
        </w:rPr>
        <w:t xml:space="preserve"> </w:t>
      </w:r>
      <w:r w:rsidRPr="00C06435">
        <w:rPr>
          <w:rFonts w:ascii="Verdana" w:hAnsi="Verdana"/>
          <w:sz w:val="16"/>
          <w:szCs w:val="16"/>
        </w:rPr>
        <w:t>César</w:t>
      </w:r>
      <w:r w:rsidRPr="00C06435">
        <w:rPr>
          <w:rFonts w:ascii="Verdana" w:hAnsi="Verdana"/>
          <w:spacing w:val="-5"/>
          <w:sz w:val="16"/>
          <w:szCs w:val="16"/>
        </w:rPr>
        <w:t xml:space="preserve"> </w:t>
      </w:r>
      <w:r w:rsidRPr="00C06435">
        <w:rPr>
          <w:rFonts w:ascii="Verdana" w:hAnsi="Verdana"/>
          <w:sz w:val="16"/>
          <w:szCs w:val="16"/>
        </w:rPr>
        <w:t>Palomino</w:t>
      </w:r>
      <w:r w:rsidRPr="00C06435">
        <w:rPr>
          <w:rFonts w:ascii="Verdana" w:hAnsi="Verdana"/>
          <w:spacing w:val="-4"/>
          <w:sz w:val="16"/>
          <w:szCs w:val="16"/>
        </w:rPr>
        <w:t xml:space="preserve"> </w:t>
      </w:r>
      <w:r w:rsidRPr="00C06435">
        <w:rPr>
          <w:rFonts w:ascii="Verdana" w:hAnsi="Verdana"/>
          <w:sz w:val="16"/>
          <w:szCs w:val="16"/>
        </w:rPr>
        <w:t>Cortés.</w:t>
      </w:r>
    </w:p>
    <w:p w14:paraId="525AB95A" w14:textId="77777777" w:rsidR="00160E59" w:rsidRPr="00C06435" w:rsidRDefault="00160E59" w:rsidP="00160E59">
      <w:pPr>
        <w:pStyle w:val="Textonotapie"/>
        <w:ind w:firstLine="708"/>
        <w:jc w:val="both"/>
        <w:rPr>
          <w:rFonts w:ascii="Verdana" w:hAnsi="Verdana"/>
          <w:sz w:val="16"/>
          <w:szCs w:val="16"/>
          <w:lang w:val="es-CO"/>
        </w:rPr>
      </w:pPr>
    </w:p>
  </w:footnote>
  <w:footnote w:id="13">
    <w:p w14:paraId="7D8585D6" w14:textId="77A79232" w:rsidR="00160E59" w:rsidRPr="00E931C6" w:rsidRDefault="00160E59" w:rsidP="00160E59">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De acuerdo con la jurisprudencia, el fraccionamiento “[…] se configura, cuando la </w:t>
      </w:r>
      <w:r w:rsidR="000F601F" w:rsidRPr="00E931C6">
        <w:rPr>
          <w:rFonts w:ascii="Verdana" w:hAnsi="Verdana"/>
          <w:sz w:val="16"/>
          <w:szCs w:val="16"/>
        </w:rPr>
        <w:t>administración</w:t>
      </w:r>
      <w:r w:rsidRPr="00E931C6">
        <w:rPr>
          <w:rFonts w:ascii="Verdana" w:hAnsi="Verdana"/>
          <w:sz w:val="16"/>
          <w:szCs w:val="16"/>
        </w:rPr>
        <w:t xml:space="preserve"> de manera artificiosa divide la unidad natural del objeto contractual, a fin de seleccionar directamente al contratista cuando </w:t>
      </w:r>
      <w:r w:rsidR="000F601F">
        <w:rPr>
          <w:rFonts w:ascii="Verdana" w:hAnsi="Verdana"/>
          <w:sz w:val="16"/>
          <w:szCs w:val="16"/>
        </w:rPr>
        <w:t xml:space="preserve">debía </w:t>
      </w:r>
      <w:r w:rsidRPr="00E931C6">
        <w:rPr>
          <w:rFonts w:ascii="Verdana" w:hAnsi="Verdana"/>
          <w:sz w:val="16"/>
          <w:szCs w:val="16"/>
        </w:rPr>
        <w:t xml:space="preserve">convocar un proceso de </w:t>
      </w:r>
      <w:r w:rsidR="000F601F" w:rsidRPr="00E931C6">
        <w:rPr>
          <w:rFonts w:ascii="Verdana" w:hAnsi="Verdana"/>
          <w:sz w:val="16"/>
          <w:szCs w:val="16"/>
        </w:rPr>
        <w:t>licitación</w:t>
      </w:r>
      <w:r w:rsidRPr="00E931C6">
        <w:rPr>
          <w:rFonts w:ascii="Verdana" w:hAnsi="Verdana"/>
          <w:sz w:val="16"/>
          <w:szCs w:val="16"/>
        </w:rPr>
        <w:t xml:space="preserve">, o para acomodarlo a un proceso menos estricto y riguroso de </w:t>
      </w:r>
      <w:r w:rsidR="000F601F" w:rsidRPr="00E931C6">
        <w:rPr>
          <w:rFonts w:ascii="Verdana" w:hAnsi="Verdana"/>
          <w:sz w:val="16"/>
          <w:szCs w:val="16"/>
        </w:rPr>
        <w:t>contratación</w:t>
      </w:r>
      <w:r w:rsidRPr="00E931C6">
        <w:rPr>
          <w:rFonts w:ascii="Verdana" w:hAnsi="Verdana"/>
          <w:sz w:val="16"/>
          <w:szCs w:val="16"/>
        </w:rPr>
        <w:t xml:space="preserve"> en defecto del que se </w:t>
      </w:r>
      <w:r w:rsidR="000F601F" w:rsidRPr="00E931C6">
        <w:rPr>
          <w:rFonts w:ascii="Verdana" w:hAnsi="Verdana"/>
          <w:sz w:val="16"/>
          <w:szCs w:val="16"/>
        </w:rPr>
        <w:t>imponía</w:t>
      </w:r>
      <w:r w:rsidRPr="00E931C6">
        <w:rPr>
          <w:rFonts w:ascii="Verdana" w:hAnsi="Verdana"/>
          <w:sz w:val="16"/>
          <w:szCs w:val="16"/>
        </w:rPr>
        <w:t xml:space="preserve"> seguir atendidos su objeto y </w:t>
      </w:r>
      <w:r w:rsidR="000F601F" w:rsidRPr="00E931C6">
        <w:rPr>
          <w:rFonts w:ascii="Verdana" w:hAnsi="Verdana"/>
          <w:sz w:val="16"/>
          <w:szCs w:val="16"/>
        </w:rPr>
        <w:t>cuantía</w:t>
      </w:r>
      <w:r w:rsidRPr="00E931C6">
        <w:rPr>
          <w:rFonts w:ascii="Verdana" w:hAnsi="Verdana"/>
          <w:sz w:val="16"/>
          <w:szCs w:val="16"/>
        </w:rPr>
        <w:t xml:space="preserve">, </w:t>
      </w:r>
      <w:r w:rsidR="000F601F" w:rsidRPr="00E931C6">
        <w:rPr>
          <w:rFonts w:ascii="Verdana" w:hAnsi="Verdana"/>
          <w:sz w:val="16"/>
          <w:szCs w:val="16"/>
        </w:rPr>
        <w:t>practica</w:t>
      </w:r>
      <w:r w:rsidRPr="00E931C6">
        <w:rPr>
          <w:rFonts w:ascii="Verdana" w:hAnsi="Verdana"/>
          <w:sz w:val="16"/>
          <w:szCs w:val="16"/>
        </w:rPr>
        <w:t xml:space="preserve"> que </w:t>
      </w:r>
      <w:r w:rsidR="000F601F" w:rsidRPr="00E931C6">
        <w:rPr>
          <w:rFonts w:ascii="Verdana" w:hAnsi="Verdana"/>
          <w:sz w:val="16"/>
          <w:szCs w:val="16"/>
        </w:rPr>
        <w:t>ri</w:t>
      </w:r>
      <w:r w:rsidR="000F601F">
        <w:rPr>
          <w:rFonts w:ascii="Verdana" w:hAnsi="Verdana"/>
          <w:sz w:val="16"/>
          <w:szCs w:val="16"/>
        </w:rPr>
        <w:t>ñe</w:t>
      </w:r>
      <w:r w:rsidRPr="00E931C6">
        <w:rPr>
          <w:rFonts w:ascii="Verdana" w:hAnsi="Verdana"/>
          <w:sz w:val="16"/>
          <w:szCs w:val="16"/>
        </w:rPr>
        <w:t xml:space="preserve"> con las normas que rigen la </w:t>
      </w:r>
      <w:r w:rsidR="000F601F" w:rsidRPr="00E931C6">
        <w:rPr>
          <w:rFonts w:ascii="Verdana" w:hAnsi="Verdana"/>
          <w:sz w:val="16"/>
          <w:szCs w:val="16"/>
        </w:rPr>
        <w:t>contratación</w:t>
      </w:r>
      <w:r w:rsidRPr="00E931C6">
        <w:rPr>
          <w:rFonts w:ascii="Verdana" w:hAnsi="Verdana"/>
          <w:sz w:val="16"/>
          <w:szCs w:val="16"/>
        </w:rPr>
        <w:t xml:space="preserve"> estatal, particularmente con los principios de transparencia y de </w:t>
      </w:r>
      <w:r w:rsidR="000F601F" w:rsidRPr="00E931C6">
        <w:rPr>
          <w:rFonts w:ascii="Verdana" w:hAnsi="Verdana"/>
          <w:sz w:val="16"/>
          <w:szCs w:val="16"/>
        </w:rPr>
        <w:t>selección</w:t>
      </w:r>
      <w:r w:rsidRPr="00E931C6">
        <w:rPr>
          <w:rFonts w:ascii="Verdana" w:hAnsi="Verdana"/>
          <w:sz w:val="16"/>
          <w:szCs w:val="16"/>
        </w:rPr>
        <w:t xml:space="preserve"> objetiva” (CORTE SUPREMA DE JUSTICIA. Sala Especial de Primera Instancia. Sentencia del 17 de marzo de 2022. Rad. 00267. M.P. Ariel Augusto Torres Rojas).  </w:t>
      </w:r>
    </w:p>
  </w:footnote>
  <w:footnote w:id="14">
    <w:p w14:paraId="066C6246" w14:textId="77777777" w:rsidR="00160E59" w:rsidRPr="00E931C6" w:rsidRDefault="00160E59" w:rsidP="00160E59">
      <w:pPr>
        <w:pStyle w:val="Textonotapie"/>
        <w:ind w:firstLine="708"/>
        <w:jc w:val="both"/>
        <w:rPr>
          <w:rFonts w:ascii="Verdana" w:hAnsi="Verdana"/>
          <w:sz w:val="16"/>
          <w:szCs w:val="16"/>
          <w:lang w:val="es-CO"/>
        </w:rPr>
      </w:pPr>
      <w:r w:rsidRPr="00E931C6">
        <w:rPr>
          <w:rStyle w:val="Refdenotaalpie"/>
          <w:rFonts w:ascii="Verdana" w:hAnsi="Verdana"/>
          <w:sz w:val="16"/>
          <w:szCs w:val="16"/>
        </w:rPr>
        <w:footnoteRef/>
      </w:r>
      <w:r w:rsidRPr="00E931C6">
        <w:rPr>
          <w:rFonts w:ascii="Verdana" w:hAnsi="Verdana"/>
          <w:sz w:val="16"/>
          <w:szCs w:val="16"/>
        </w:rPr>
        <w:t xml:space="preserve"> Cfr. CORTE SUPREMA DE JUSTICIA. Sala Especial de Primera Instancia. Sentencia del 23 de marzo de 2006. Rad. 21780. M.P. Edgar Lombana Trujillo.</w:t>
      </w:r>
    </w:p>
  </w:footnote>
  <w:footnote w:id="15">
    <w:p w14:paraId="0702D0E7" w14:textId="77777777" w:rsidR="00160E59" w:rsidRPr="00C06435" w:rsidRDefault="00160E59" w:rsidP="00160E59">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16">
    <w:p w14:paraId="1214ED9C" w14:textId="77777777" w:rsidR="00160E59" w:rsidRDefault="00160E59" w:rsidP="00160E59">
      <w:pPr>
        <w:pStyle w:val="Textonotapie"/>
        <w:ind w:left="40" w:firstLine="668"/>
        <w:jc w:val="both"/>
        <w:rPr>
          <w:rFonts w:ascii="Verdana" w:hAnsi="Verdana" w:cs="Arial"/>
          <w:sz w:val="16"/>
          <w:szCs w:val="16"/>
          <w:vertAlign w:val="superscript"/>
        </w:rPr>
      </w:pPr>
    </w:p>
    <w:p w14:paraId="47EC3C48" w14:textId="77777777" w:rsidR="00160E59" w:rsidRPr="00C06435" w:rsidRDefault="00160E59" w:rsidP="00160E59">
      <w:pPr>
        <w:pStyle w:val="Textonotapie"/>
        <w:ind w:left="40" w:firstLine="668"/>
        <w:jc w:val="both"/>
        <w:rPr>
          <w:rFonts w:ascii="Verdana" w:hAnsi="Verdana" w:cs="Arial"/>
          <w:sz w:val="16"/>
          <w:szCs w:val="16"/>
        </w:rPr>
      </w:pPr>
      <w:r w:rsidRPr="00C06435">
        <w:rPr>
          <w:rFonts w:ascii="Verdana" w:hAnsi="Verdana" w:cs="Arial"/>
          <w:sz w:val="16"/>
          <w:szCs w:val="16"/>
        </w:rPr>
        <w:footnoteRef/>
      </w:r>
      <w:r w:rsidRPr="00C06435">
        <w:rPr>
          <w:rFonts w:ascii="Verdana" w:hAnsi="Verdana" w:cs="Arial"/>
          <w:sz w:val="16"/>
          <w:szCs w:val="16"/>
          <w:vertAlign w:val="superscript"/>
        </w:rPr>
        <w:t xml:space="preserve"> </w:t>
      </w:r>
      <w:r w:rsidRPr="00C06435">
        <w:rPr>
          <w:rFonts w:ascii="Verdana" w:hAnsi="Verdana" w:cs="Arial"/>
          <w:sz w:val="16"/>
          <w:szCs w:val="16"/>
        </w:rPr>
        <w:t>Rodríguez Tamayo, Mauricio Fernando. Los contratos estatales, 3 edición, Bogotá, Tirant lo Blanch, 2022. Pág. 370.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89123957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645918684" name="Imagen 1645918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D670D0"/>
    <w:multiLevelType w:val="hybridMultilevel"/>
    <w:tmpl w:val="72EC4A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0378C0"/>
    <w:multiLevelType w:val="hybridMultilevel"/>
    <w:tmpl w:val="7DBE43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E8E1F67"/>
    <w:multiLevelType w:val="hybridMultilevel"/>
    <w:tmpl w:val="C5F49FEA"/>
    <w:lvl w:ilvl="0" w:tplc="240A0001">
      <w:start w:val="1"/>
      <w:numFmt w:val="bullet"/>
      <w:lvlText w:val=""/>
      <w:lvlJc w:val="left"/>
      <w:pPr>
        <w:ind w:left="800" w:hanging="360"/>
      </w:pPr>
      <w:rPr>
        <w:rFonts w:ascii="Symbol" w:hAnsi="Symbol" w:hint="default"/>
      </w:rPr>
    </w:lvl>
    <w:lvl w:ilvl="1" w:tplc="240A0003" w:tentative="1">
      <w:start w:val="1"/>
      <w:numFmt w:val="bullet"/>
      <w:lvlText w:val="o"/>
      <w:lvlJc w:val="left"/>
      <w:pPr>
        <w:ind w:left="1520" w:hanging="360"/>
      </w:pPr>
      <w:rPr>
        <w:rFonts w:ascii="Courier New" w:hAnsi="Courier New" w:cs="Courier New" w:hint="default"/>
      </w:rPr>
    </w:lvl>
    <w:lvl w:ilvl="2" w:tplc="240A0005" w:tentative="1">
      <w:start w:val="1"/>
      <w:numFmt w:val="bullet"/>
      <w:lvlText w:val=""/>
      <w:lvlJc w:val="left"/>
      <w:pPr>
        <w:ind w:left="2240" w:hanging="360"/>
      </w:pPr>
      <w:rPr>
        <w:rFonts w:ascii="Wingdings" w:hAnsi="Wingdings" w:hint="default"/>
      </w:rPr>
    </w:lvl>
    <w:lvl w:ilvl="3" w:tplc="240A0001" w:tentative="1">
      <w:start w:val="1"/>
      <w:numFmt w:val="bullet"/>
      <w:lvlText w:val=""/>
      <w:lvlJc w:val="left"/>
      <w:pPr>
        <w:ind w:left="2960" w:hanging="360"/>
      </w:pPr>
      <w:rPr>
        <w:rFonts w:ascii="Symbol" w:hAnsi="Symbol" w:hint="default"/>
      </w:rPr>
    </w:lvl>
    <w:lvl w:ilvl="4" w:tplc="240A0003" w:tentative="1">
      <w:start w:val="1"/>
      <w:numFmt w:val="bullet"/>
      <w:lvlText w:val="o"/>
      <w:lvlJc w:val="left"/>
      <w:pPr>
        <w:ind w:left="3680" w:hanging="360"/>
      </w:pPr>
      <w:rPr>
        <w:rFonts w:ascii="Courier New" w:hAnsi="Courier New" w:cs="Courier New" w:hint="default"/>
      </w:rPr>
    </w:lvl>
    <w:lvl w:ilvl="5" w:tplc="240A0005" w:tentative="1">
      <w:start w:val="1"/>
      <w:numFmt w:val="bullet"/>
      <w:lvlText w:val=""/>
      <w:lvlJc w:val="left"/>
      <w:pPr>
        <w:ind w:left="4400" w:hanging="360"/>
      </w:pPr>
      <w:rPr>
        <w:rFonts w:ascii="Wingdings" w:hAnsi="Wingdings" w:hint="default"/>
      </w:rPr>
    </w:lvl>
    <w:lvl w:ilvl="6" w:tplc="240A0001" w:tentative="1">
      <w:start w:val="1"/>
      <w:numFmt w:val="bullet"/>
      <w:lvlText w:val=""/>
      <w:lvlJc w:val="left"/>
      <w:pPr>
        <w:ind w:left="5120" w:hanging="360"/>
      </w:pPr>
      <w:rPr>
        <w:rFonts w:ascii="Symbol" w:hAnsi="Symbol" w:hint="default"/>
      </w:rPr>
    </w:lvl>
    <w:lvl w:ilvl="7" w:tplc="240A0003" w:tentative="1">
      <w:start w:val="1"/>
      <w:numFmt w:val="bullet"/>
      <w:lvlText w:val="o"/>
      <w:lvlJc w:val="left"/>
      <w:pPr>
        <w:ind w:left="5840" w:hanging="360"/>
      </w:pPr>
      <w:rPr>
        <w:rFonts w:ascii="Courier New" w:hAnsi="Courier New" w:cs="Courier New" w:hint="default"/>
      </w:rPr>
    </w:lvl>
    <w:lvl w:ilvl="8" w:tplc="240A0005" w:tentative="1">
      <w:start w:val="1"/>
      <w:numFmt w:val="bullet"/>
      <w:lvlText w:val=""/>
      <w:lvlJc w:val="left"/>
      <w:pPr>
        <w:ind w:left="6560" w:hanging="360"/>
      </w:pPr>
      <w:rPr>
        <w:rFonts w:ascii="Wingdings" w:hAnsi="Wingdings" w:hint="default"/>
      </w:rPr>
    </w:lvl>
  </w:abstractNum>
  <w:abstractNum w:abstractNumId="13" w15:restartNumberingAfterBreak="0">
    <w:nsid w:val="3F4D1F65"/>
    <w:multiLevelType w:val="hybridMultilevel"/>
    <w:tmpl w:val="5FF841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7834B57"/>
    <w:multiLevelType w:val="hybridMultilevel"/>
    <w:tmpl w:val="BA0E508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6433109"/>
    <w:multiLevelType w:val="hybridMultilevel"/>
    <w:tmpl w:val="B88A30D8"/>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6"/>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4"/>
  </w:num>
  <w:num w:numId="14" w16cid:durableId="895897244">
    <w:abstractNumId w:val="19"/>
  </w:num>
  <w:num w:numId="15" w16cid:durableId="390349800">
    <w:abstractNumId w:val="14"/>
  </w:num>
  <w:num w:numId="16" w16cid:durableId="1622565370">
    <w:abstractNumId w:val="0"/>
  </w:num>
  <w:num w:numId="17" w16cid:durableId="519591983">
    <w:abstractNumId w:val="12"/>
  </w:num>
  <w:num w:numId="18" w16cid:durableId="833640536">
    <w:abstractNumId w:val="20"/>
  </w:num>
  <w:num w:numId="19" w16cid:durableId="137114338">
    <w:abstractNumId w:val="7"/>
  </w:num>
  <w:num w:numId="20" w16cid:durableId="1631399883">
    <w:abstractNumId w:val="11"/>
  </w:num>
  <w:num w:numId="21" w16cid:durableId="12071811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8404729">
    <w:abstractNumId w:val="3"/>
  </w:num>
  <w:num w:numId="23" w16cid:durableId="1929383258">
    <w:abstractNumId w:val="15"/>
  </w:num>
  <w:num w:numId="24" w16cid:durableId="14554458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F92"/>
    <w:rsid w:val="00016F78"/>
    <w:rsid w:val="000179A6"/>
    <w:rsid w:val="00021442"/>
    <w:rsid w:val="00034286"/>
    <w:rsid w:val="00046945"/>
    <w:rsid w:val="00055E34"/>
    <w:rsid w:val="00061B2A"/>
    <w:rsid w:val="000645F8"/>
    <w:rsid w:val="00081374"/>
    <w:rsid w:val="00082362"/>
    <w:rsid w:val="00090425"/>
    <w:rsid w:val="000A2662"/>
    <w:rsid w:val="000A683E"/>
    <w:rsid w:val="000B19B9"/>
    <w:rsid w:val="000C299C"/>
    <w:rsid w:val="000D0334"/>
    <w:rsid w:val="000D229D"/>
    <w:rsid w:val="000D5DA7"/>
    <w:rsid w:val="000F4C82"/>
    <w:rsid w:val="000F601F"/>
    <w:rsid w:val="000F6486"/>
    <w:rsid w:val="000F6830"/>
    <w:rsid w:val="00112643"/>
    <w:rsid w:val="00116940"/>
    <w:rsid w:val="00121A63"/>
    <w:rsid w:val="00125105"/>
    <w:rsid w:val="00127233"/>
    <w:rsid w:val="0015699B"/>
    <w:rsid w:val="001602BA"/>
    <w:rsid w:val="00160E59"/>
    <w:rsid w:val="00183C3D"/>
    <w:rsid w:val="00185A1E"/>
    <w:rsid w:val="00193160"/>
    <w:rsid w:val="001A33BF"/>
    <w:rsid w:val="001B7E1A"/>
    <w:rsid w:val="001C0EF7"/>
    <w:rsid w:val="001E37E3"/>
    <w:rsid w:val="001E4177"/>
    <w:rsid w:val="001F0B24"/>
    <w:rsid w:val="001F77D2"/>
    <w:rsid w:val="001F7DC6"/>
    <w:rsid w:val="00223EC2"/>
    <w:rsid w:val="0022400B"/>
    <w:rsid w:val="0022674E"/>
    <w:rsid w:val="002421BB"/>
    <w:rsid w:val="00250F90"/>
    <w:rsid w:val="00251C2E"/>
    <w:rsid w:val="0025796E"/>
    <w:rsid w:val="00261871"/>
    <w:rsid w:val="002707A2"/>
    <w:rsid w:val="00271FD7"/>
    <w:rsid w:val="002728E4"/>
    <w:rsid w:val="002951A0"/>
    <w:rsid w:val="002962BC"/>
    <w:rsid w:val="002A093D"/>
    <w:rsid w:val="002A0DD0"/>
    <w:rsid w:val="002A49AC"/>
    <w:rsid w:val="002A64FD"/>
    <w:rsid w:val="002C11D9"/>
    <w:rsid w:val="002C5D19"/>
    <w:rsid w:val="002C7A84"/>
    <w:rsid w:val="002E2BF8"/>
    <w:rsid w:val="002E4FD9"/>
    <w:rsid w:val="00300006"/>
    <w:rsid w:val="0030657A"/>
    <w:rsid w:val="003158C2"/>
    <w:rsid w:val="00322A85"/>
    <w:rsid w:val="00324168"/>
    <w:rsid w:val="00326CB1"/>
    <w:rsid w:val="00330834"/>
    <w:rsid w:val="003448F4"/>
    <w:rsid w:val="00345667"/>
    <w:rsid w:val="00371D7A"/>
    <w:rsid w:val="00374F5E"/>
    <w:rsid w:val="00377E3E"/>
    <w:rsid w:val="00387124"/>
    <w:rsid w:val="003A2D76"/>
    <w:rsid w:val="003A3045"/>
    <w:rsid w:val="003A779E"/>
    <w:rsid w:val="003B17C8"/>
    <w:rsid w:val="003B1E23"/>
    <w:rsid w:val="003B5868"/>
    <w:rsid w:val="003D0F4D"/>
    <w:rsid w:val="003D20EC"/>
    <w:rsid w:val="003D5B0D"/>
    <w:rsid w:val="003E0499"/>
    <w:rsid w:val="003E4F80"/>
    <w:rsid w:val="003E6439"/>
    <w:rsid w:val="003F3941"/>
    <w:rsid w:val="00406575"/>
    <w:rsid w:val="00414C74"/>
    <w:rsid w:val="0042722E"/>
    <w:rsid w:val="00427832"/>
    <w:rsid w:val="004402D5"/>
    <w:rsid w:val="00441B58"/>
    <w:rsid w:val="0044528D"/>
    <w:rsid w:val="004627D9"/>
    <w:rsid w:val="00465E15"/>
    <w:rsid w:val="00466E39"/>
    <w:rsid w:val="00471283"/>
    <w:rsid w:val="00480E7C"/>
    <w:rsid w:val="004832C5"/>
    <w:rsid w:val="004A1847"/>
    <w:rsid w:val="004A212C"/>
    <w:rsid w:val="004A240C"/>
    <w:rsid w:val="004A305D"/>
    <w:rsid w:val="004C6926"/>
    <w:rsid w:val="004D32C1"/>
    <w:rsid w:val="004F21C4"/>
    <w:rsid w:val="004F46DE"/>
    <w:rsid w:val="004F685F"/>
    <w:rsid w:val="00511B3A"/>
    <w:rsid w:val="005262EA"/>
    <w:rsid w:val="005320A4"/>
    <w:rsid w:val="005340AC"/>
    <w:rsid w:val="005461B4"/>
    <w:rsid w:val="005566E8"/>
    <w:rsid w:val="00574867"/>
    <w:rsid w:val="005877BF"/>
    <w:rsid w:val="00591460"/>
    <w:rsid w:val="00595709"/>
    <w:rsid w:val="00596517"/>
    <w:rsid w:val="005A2604"/>
    <w:rsid w:val="005A65E0"/>
    <w:rsid w:val="005C3777"/>
    <w:rsid w:val="005C5CDC"/>
    <w:rsid w:val="005D476C"/>
    <w:rsid w:val="005E3142"/>
    <w:rsid w:val="005F1DE0"/>
    <w:rsid w:val="005F510D"/>
    <w:rsid w:val="00603CAA"/>
    <w:rsid w:val="006200BF"/>
    <w:rsid w:val="006219F8"/>
    <w:rsid w:val="00622713"/>
    <w:rsid w:val="006302F7"/>
    <w:rsid w:val="00633E44"/>
    <w:rsid w:val="00645D30"/>
    <w:rsid w:val="00646B9F"/>
    <w:rsid w:val="0065273B"/>
    <w:rsid w:val="006562CE"/>
    <w:rsid w:val="00665D70"/>
    <w:rsid w:val="0067490C"/>
    <w:rsid w:val="00681380"/>
    <w:rsid w:val="006900D9"/>
    <w:rsid w:val="0069575D"/>
    <w:rsid w:val="006A13CD"/>
    <w:rsid w:val="006A5EC2"/>
    <w:rsid w:val="006C0EFF"/>
    <w:rsid w:val="006D45E0"/>
    <w:rsid w:val="006D7C8B"/>
    <w:rsid w:val="006E0589"/>
    <w:rsid w:val="00706C16"/>
    <w:rsid w:val="00710E90"/>
    <w:rsid w:val="0072546B"/>
    <w:rsid w:val="00725E75"/>
    <w:rsid w:val="00725FFB"/>
    <w:rsid w:val="007340C3"/>
    <w:rsid w:val="007415BA"/>
    <w:rsid w:val="0075235A"/>
    <w:rsid w:val="00756841"/>
    <w:rsid w:val="007649AB"/>
    <w:rsid w:val="00771728"/>
    <w:rsid w:val="00771D0C"/>
    <w:rsid w:val="00776E44"/>
    <w:rsid w:val="007833AC"/>
    <w:rsid w:val="00790B0D"/>
    <w:rsid w:val="00793C93"/>
    <w:rsid w:val="00797790"/>
    <w:rsid w:val="007B268C"/>
    <w:rsid w:val="007B4C04"/>
    <w:rsid w:val="007B7171"/>
    <w:rsid w:val="007C0C0F"/>
    <w:rsid w:val="007C3DC2"/>
    <w:rsid w:val="007E5497"/>
    <w:rsid w:val="00800F56"/>
    <w:rsid w:val="00806F5F"/>
    <w:rsid w:val="00820278"/>
    <w:rsid w:val="00822B1C"/>
    <w:rsid w:val="008258C9"/>
    <w:rsid w:val="00840B31"/>
    <w:rsid w:val="00844AE9"/>
    <w:rsid w:val="00857066"/>
    <w:rsid w:val="008623CD"/>
    <w:rsid w:val="00867F95"/>
    <w:rsid w:val="00883032"/>
    <w:rsid w:val="008843B6"/>
    <w:rsid w:val="00891928"/>
    <w:rsid w:val="008A360F"/>
    <w:rsid w:val="008A446D"/>
    <w:rsid w:val="008B25F1"/>
    <w:rsid w:val="008D180B"/>
    <w:rsid w:val="008E09E6"/>
    <w:rsid w:val="008F0EA7"/>
    <w:rsid w:val="00905320"/>
    <w:rsid w:val="00905EDD"/>
    <w:rsid w:val="00920FDF"/>
    <w:rsid w:val="00923EEF"/>
    <w:rsid w:val="00924AFA"/>
    <w:rsid w:val="00932252"/>
    <w:rsid w:val="009419F9"/>
    <w:rsid w:val="00953FBD"/>
    <w:rsid w:val="0095685E"/>
    <w:rsid w:val="00961B09"/>
    <w:rsid w:val="00964F88"/>
    <w:rsid w:val="00965334"/>
    <w:rsid w:val="00966AB0"/>
    <w:rsid w:val="0097093E"/>
    <w:rsid w:val="00980B49"/>
    <w:rsid w:val="009A0DFA"/>
    <w:rsid w:val="009A1C6F"/>
    <w:rsid w:val="009B2D26"/>
    <w:rsid w:val="009C6588"/>
    <w:rsid w:val="009C71FA"/>
    <w:rsid w:val="009C72E7"/>
    <w:rsid w:val="009C7F7E"/>
    <w:rsid w:val="009D3058"/>
    <w:rsid w:val="009D448F"/>
    <w:rsid w:val="009E0DB0"/>
    <w:rsid w:val="009F30FD"/>
    <w:rsid w:val="009F3A13"/>
    <w:rsid w:val="00A074DF"/>
    <w:rsid w:val="00A122D3"/>
    <w:rsid w:val="00A14468"/>
    <w:rsid w:val="00A16B89"/>
    <w:rsid w:val="00A17F13"/>
    <w:rsid w:val="00A20739"/>
    <w:rsid w:val="00A23AF9"/>
    <w:rsid w:val="00A33C78"/>
    <w:rsid w:val="00A60951"/>
    <w:rsid w:val="00A80714"/>
    <w:rsid w:val="00A83F1F"/>
    <w:rsid w:val="00A97621"/>
    <w:rsid w:val="00AB0ADB"/>
    <w:rsid w:val="00AB622B"/>
    <w:rsid w:val="00AD085F"/>
    <w:rsid w:val="00B00C0E"/>
    <w:rsid w:val="00B01B1A"/>
    <w:rsid w:val="00B0381D"/>
    <w:rsid w:val="00B052D2"/>
    <w:rsid w:val="00B13C23"/>
    <w:rsid w:val="00B233F9"/>
    <w:rsid w:val="00B241F6"/>
    <w:rsid w:val="00B43958"/>
    <w:rsid w:val="00B44A47"/>
    <w:rsid w:val="00B45B7F"/>
    <w:rsid w:val="00B54F79"/>
    <w:rsid w:val="00B5549B"/>
    <w:rsid w:val="00B72CD3"/>
    <w:rsid w:val="00B72FFF"/>
    <w:rsid w:val="00BB6031"/>
    <w:rsid w:val="00BC3D36"/>
    <w:rsid w:val="00BD2E44"/>
    <w:rsid w:val="00BD54A6"/>
    <w:rsid w:val="00BD7F72"/>
    <w:rsid w:val="00BE255E"/>
    <w:rsid w:val="00BE67DA"/>
    <w:rsid w:val="00BF576C"/>
    <w:rsid w:val="00BF7425"/>
    <w:rsid w:val="00C04FB3"/>
    <w:rsid w:val="00C11D8B"/>
    <w:rsid w:val="00C15139"/>
    <w:rsid w:val="00C330CC"/>
    <w:rsid w:val="00C330EB"/>
    <w:rsid w:val="00C36B41"/>
    <w:rsid w:val="00C435C0"/>
    <w:rsid w:val="00C50D69"/>
    <w:rsid w:val="00C5210C"/>
    <w:rsid w:val="00C52438"/>
    <w:rsid w:val="00C5365C"/>
    <w:rsid w:val="00C54B5E"/>
    <w:rsid w:val="00C62904"/>
    <w:rsid w:val="00C65B7C"/>
    <w:rsid w:val="00C71DBD"/>
    <w:rsid w:val="00C754BE"/>
    <w:rsid w:val="00C76B1C"/>
    <w:rsid w:val="00C925AC"/>
    <w:rsid w:val="00C96F0C"/>
    <w:rsid w:val="00CA01BC"/>
    <w:rsid w:val="00CA1706"/>
    <w:rsid w:val="00CA2ED2"/>
    <w:rsid w:val="00CB6357"/>
    <w:rsid w:val="00CC1B26"/>
    <w:rsid w:val="00CD7064"/>
    <w:rsid w:val="00CF5045"/>
    <w:rsid w:val="00D054CF"/>
    <w:rsid w:val="00D33336"/>
    <w:rsid w:val="00D361FD"/>
    <w:rsid w:val="00D36AB0"/>
    <w:rsid w:val="00D37454"/>
    <w:rsid w:val="00D423A2"/>
    <w:rsid w:val="00D44E26"/>
    <w:rsid w:val="00D51089"/>
    <w:rsid w:val="00D520D8"/>
    <w:rsid w:val="00D62094"/>
    <w:rsid w:val="00D62B13"/>
    <w:rsid w:val="00D62E21"/>
    <w:rsid w:val="00D63AC2"/>
    <w:rsid w:val="00D7383B"/>
    <w:rsid w:val="00D7788A"/>
    <w:rsid w:val="00D77AFD"/>
    <w:rsid w:val="00DA231B"/>
    <w:rsid w:val="00DA5B04"/>
    <w:rsid w:val="00DC39FC"/>
    <w:rsid w:val="00DD1C27"/>
    <w:rsid w:val="00DD2235"/>
    <w:rsid w:val="00DD781A"/>
    <w:rsid w:val="00DE19CA"/>
    <w:rsid w:val="00DF172E"/>
    <w:rsid w:val="00DF523C"/>
    <w:rsid w:val="00DF5254"/>
    <w:rsid w:val="00E02524"/>
    <w:rsid w:val="00E13DD9"/>
    <w:rsid w:val="00E14709"/>
    <w:rsid w:val="00E16408"/>
    <w:rsid w:val="00E20894"/>
    <w:rsid w:val="00E245AB"/>
    <w:rsid w:val="00E2764C"/>
    <w:rsid w:val="00E27F2E"/>
    <w:rsid w:val="00E3050F"/>
    <w:rsid w:val="00E35AB1"/>
    <w:rsid w:val="00E44F53"/>
    <w:rsid w:val="00E50AFE"/>
    <w:rsid w:val="00E74ABB"/>
    <w:rsid w:val="00E75C92"/>
    <w:rsid w:val="00E771DC"/>
    <w:rsid w:val="00E8772A"/>
    <w:rsid w:val="00E90F6B"/>
    <w:rsid w:val="00E92C27"/>
    <w:rsid w:val="00E9399A"/>
    <w:rsid w:val="00E94598"/>
    <w:rsid w:val="00EA0E3D"/>
    <w:rsid w:val="00EA1F52"/>
    <w:rsid w:val="00EA75A4"/>
    <w:rsid w:val="00EB3707"/>
    <w:rsid w:val="00EB5133"/>
    <w:rsid w:val="00EB5E13"/>
    <w:rsid w:val="00EC38A7"/>
    <w:rsid w:val="00EC6D98"/>
    <w:rsid w:val="00ED5C3D"/>
    <w:rsid w:val="00EE1AA8"/>
    <w:rsid w:val="00EF52F2"/>
    <w:rsid w:val="00F11640"/>
    <w:rsid w:val="00F12B04"/>
    <w:rsid w:val="00F23FEA"/>
    <w:rsid w:val="00F31EDC"/>
    <w:rsid w:val="00F434ED"/>
    <w:rsid w:val="00F462B3"/>
    <w:rsid w:val="00F54799"/>
    <w:rsid w:val="00F5664F"/>
    <w:rsid w:val="00F666C4"/>
    <w:rsid w:val="00F72219"/>
    <w:rsid w:val="00F76AFC"/>
    <w:rsid w:val="00F90133"/>
    <w:rsid w:val="00F96241"/>
    <w:rsid w:val="00FA3909"/>
    <w:rsid w:val="00FA47C0"/>
    <w:rsid w:val="00FB5DD1"/>
    <w:rsid w:val="00FC2B5D"/>
    <w:rsid w:val="00FD047F"/>
    <w:rsid w:val="00FD39BF"/>
    <w:rsid w:val="00FF1449"/>
    <w:rsid w:val="00FF2F8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A972982"/>
    <w:rsid w:val="5BEB1497"/>
    <w:rsid w:val="68D082B4"/>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0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94598"/>
    <w:rPr>
      <w:rFonts w:ascii="Geomanist Light" w:hAnsi="Geomanist Light"/>
      <w:lang w:val="es-ES"/>
    </w:rPr>
  </w:style>
  <w:style w:type="paragraph" w:customStyle="1" w:styleId="Appelnotedebasde">
    <w:name w:val="Appel note de bas de..."/>
    <w:basedOn w:val="Normal"/>
    <w:link w:val="Refdenotaalpie"/>
    <w:uiPriority w:val="99"/>
    <w:rsid w:val="00980B49"/>
    <w:pPr>
      <w:spacing w:line="240" w:lineRule="exact"/>
    </w:pPr>
    <w:rPr>
      <w:vertAlign w:val="superscript"/>
    </w:rPr>
  </w:style>
  <w:style w:type="character" w:styleId="nfasis">
    <w:name w:val="Emphasis"/>
    <w:basedOn w:val="Fuentedeprrafopredeter"/>
    <w:uiPriority w:val="20"/>
    <w:qFormat/>
    <w:rsid w:val="00980B49"/>
    <w:rPr>
      <w:i/>
      <w:iCs/>
    </w:rPr>
  </w:style>
  <w:style w:type="character" w:customStyle="1" w:styleId="NormalWebCar">
    <w:name w:val="Normal (Web) Car"/>
    <w:link w:val="NormalWeb"/>
    <w:uiPriority w:val="99"/>
    <w:rsid w:val="00980B4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guia_para_elaborar_el_plan_anual_de_adquisiciones_0.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planeacion@gachala-cundinamarca.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mineducacion.gov.co/sistemasinfo/sistemas/SINEB-Sistema-de-Informacion-Nacional-de-Educacion-Basica-y-Media/296906:Glosario-Directorio-de-Establecimiento-Educativo" TargetMode="External"/><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436CDE1-0C8E-4B53-84D4-2E2AC01185A7}">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CB4A5E02-38FC-4288-BDB2-D3575AF35C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20</Pages>
  <Words>5900</Words>
  <Characters>32454</Characters>
  <Application>Microsoft Office Word</Application>
  <DocSecurity>0</DocSecurity>
  <Lines>270</Lines>
  <Paragraphs>76</Paragraphs>
  <ScaleCrop>false</ScaleCrop>
  <Company/>
  <LinksUpToDate>false</LinksUpToDate>
  <CharactersWithSpaces>38278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2026-04-24T13:24:00Z</dcterms:created>
  <dcterms:modified xsi:type="dcterms:W3CDTF">2026-04-24T21:36:00Z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