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616356B" w14:textId="77777777" w:rsidR="00583514" w:rsidRPr="00583514" w:rsidRDefault="00583514" w:rsidP="00583514">
      <w:pPr>
        <w:spacing w:after="0" w:line="276" w:lineRule="auto"/>
        <w:jc w:val="both"/>
        <w:rPr>
          <w:rFonts w:ascii="Verdana" w:eastAsia="Calibri" w:hAnsi="Verdana" w:cs="Arial"/>
          <w:b/>
          <w:bCs/>
          <w:lang w:val="es-ES_tradnl"/>
        </w:rPr>
      </w:pPr>
      <w:bookmarkStart w:id="0" w:name="_Hlk143780582"/>
      <w:r w:rsidRPr="00583514">
        <w:rPr>
          <w:rFonts w:ascii="Verdana" w:eastAsia="Calibri" w:hAnsi="Verdana" w:cs="Arial"/>
          <w:b/>
          <w:bCs/>
          <w:lang w:val="es-ES_tradnl"/>
        </w:rPr>
        <w:t xml:space="preserve">DOCUMENTOS TIPO – Fundamento normativo – Obligatoriedad </w:t>
      </w:r>
    </w:p>
    <w:p w14:paraId="1D0C09A3" w14:textId="77777777" w:rsidR="00583514" w:rsidRPr="00583514" w:rsidRDefault="00583514" w:rsidP="00583514">
      <w:pPr>
        <w:spacing w:after="0" w:line="276" w:lineRule="auto"/>
        <w:jc w:val="both"/>
        <w:rPr>
          <w:rFonts w:ascii="Verdana" w:eastAsia="Calibri" w:hAnsi="Verdana" w:cs="Arial"/>
          <w:b/>
          <w:bCs/>
          <w:sz w:val="20"/>
          <w:szCs w:val="20"/>
          <w:lang w:val="es-ES_tradnl"/>
        </w:rPr>
      </w:pPr>
    </w:p>
    <w:p w14:paraId="71DA7BCB" w14:textId="77777777" w:rsidR="00583514" w:rsidRPr="00583514" w:rsidRDefault="00583514" w:rsidP="00583514">
      <w:pPr>
        <w:tabs>
          <w:tab w:val="left" w:pos="709"/>
        </w:tabs>
        <w:spacing w:after="0" w:line="240" w:lineRule="auto"/>
        <w:jc w:val="both"/>
        <w:rPr>
          <w:rFonts w:ascii="Verdana" w:eastAsia="Calibri" w:hAnsi="Verdana" w:cs="Arial"/>
          <w:sz w:val="20"/>
          <w:szCs w:val="20"/>
          <w:lang w:val="es-ES"/>
        </w:rPr>
      </w:pPr>
      <w:r w:rsidRPr="00583514">
        <w:rPr>
          <w:rFonts w:ascii="Verdana" w:eastAsia="Calibri" w:hAnsi="Verdana" w:cs="Arial"/>
          <w:sz w:val="20"/>
          <w:szCs w:val="20"/>
          <w:lang w:val="es-ES"/>
        </w:rPr>
        <w:t>El artículo 1 de la Ley 2022 de 2020 “Por la cual modifica el artículo 4 de la Ley 1882 de 2018 y se dictan otras disposiciones” otorga a la Agencia Nacional de Contratación Pública – Colombia Compra Eficiente la competencia para adoptar los documentos tipo que serán de obligatorio cumplimiento en la actividad contractual de todas las entidades sometidas al Estatuto General de la Administración Pública.</w:t>
      </w:r>
    </w:p>
    <w:p w14:paraId="65CC02D2" w14:textId="77777777" w:rsidR="00583514" w:rsidRPr="00583514" w:rsidRDefault="00583514" w:rsidP="00583514">
      <w:pPr>
        <w:spacing w:after="0" w:line="276" w:lineRule="auto"/>
        <w:jc w:val="both"/>
        <w:rPr>
          <w:rFonts w:ascii="Verdana" w:eastAsia="Calibri" w:hAnsi="Verdana" w:cs="Arial"/>
          <w:b/>
          <w:bCs/>
          <w:sz w:val="20"/>
          <w:szCs w:val="20"/>
          <w:lang w:val="es-ES_tradnl"/>
        </w:rPr>
      </w:pPr>
    </w:p>
    <w:p w14:paraId="5E9517AA" w14:textId="77777777" w:rsidR="00583514" w:rsidRPr="00583514" w:rsidRDefault="00583514" w:rsidP="00583514">
      <w:pPr>
        <w:widowControl w:val="0"/>
        <w:autoSpaceDE w:val="0"/>
        <w:autoSpaceDN w:val="0"/>
        <w:spacing w:after="0" w:line="276" w:lineRule="auto"/>
        <w:jc w:val="both"/>
        <w:rPr>
          <w:rFonts w:ascii="Verdana" w:eastAsia="Calibri" w:hAnsi="Verdana" w:cs="Times New Roman"/>
          <w:b/>
          <w:bCs/>
          <w:lang w:val="es-ES"/>
        </w:rPr>
      </w:pPr>
      <w:r w:rsidRPr="00583514">
        <w:rPr>
          <w:rFonts w:ascii="Verdana" w:eastAsia="Calibri" w:hAnsi="Verdana" w:cs="Arial"/>
          <w:b/>
          <w:bCs/>
          <w:lang w:val="es-ES_tradnl"/>
        </w:rPr>
        <w:t>SECTOR SOCIAL</w:t>
      </w:r>
      <w:r w:rsidRPr="00583514">
        <w:rPr>
          <w:rFonts w:ascii="Verdana" w:eastAsia="Calibri" w:hAnsi="Verdana" w:cs="Times New Roman"/>
          <w:lang w:val="es-ES"/>
        </w:rPr>
        <w:t xml:space="preserve"> </w:t>
      </w:r>
      <w:r w:rsidRPr="00583514">
        <w:rPr>
          <w:rFonts w:ascii="Verdana" w:eastAsia="Calibri" w:hAnsi="Verdana" w:cs="Times New Roman"/>
          <w:b/>
          <w:bCs/>
          <w:lang w:val="es-ES"/>
        </w:rPr>
        <w:t>– Documentos tipo – Vigentes</w:t>
      </w:r>
    </w:p>
    <w:p w14:paraId="18B9CBBF" w14:textId="77777777" w:rsidR="00583514" w:rsidRPr="00583514" w:rsidRDefault="00583514" w:rsidP="00583514">
      <w:pPr>
        <w:widowControl w:val="0"/>
        <w:autoSpaceDE w:val="0"/>
        <w:autoSpaceDN w:val="0"/>
        <w:spacing w:after="0" w:line="276" w:lineRule="auto"/>
        <w:jc w:val="both"/>
        <w:rPr>
          <w:rFonts w:ascii="Verdana" w:eastAsia="Calibri" w:hAnsi="Verdana" w:cs="Times New Roman"/>
          <w:b/>
          <w:bCs/>
          <w:lang w:val="es-ES"/>
        </w:rPr>
      </w:pPr>
    </w:p>
    <w:p w14:paraId="2ACA22F3" w14:textId="77777777" w:rsidR="00583514" w:rsidRPr="00583514" w:rsidRDefault="00583514" w:rsidP="00583514">
      <w:pPr>
        <w:widowControl w:val="0"/>
        <w:autoSpaceDE w:val="0"/>
        <w:autoSpaceDN w:val="0"/>
        <w:spacing w:after="0" w:line="240" w:lineRule="auto"/>
        <w:jc w:val="both"/>
        <w:rPr>
          <w:rFonts w:ascii="Verdana" w:eastAsia="Calibri" w:hAnsi="Verdana" w:cs="Times New Roman"/>
          <w:b/>
          <w:bCs/>
          <w:sz w:val="20"/>
          <w:szCs w:val="20"/>
          <w:lang w:val="es-ES"/>
        </w:rPr>
      </w:pPr>
      <w:r w:rsidRPr="00583514">
        <w:rPr>
          <w:rFonts w:ascii="Verdana" w:eastAsia="Aptos" w:hAnsi="Verdana" w:cs="Times New Roman"/>
          <w:kern w:val="2"/>
          <w:sz w:val="20"/>
          <w:szCs w:val="20"/>
          <w14:ligatures w14:val="standardContextual"/>
        </w:rPr>
        <w:t xml:space="preserve">Las Resoluciones 539, 540 y 541 del 21 de agosto de 2025, así como las Resoluciones 952 y 953 del 15 de diciembre de 2025, adoptadas en el sector de infraestructura social, aplican de forma transversal a las modalidades de selección indicadas y a los proyectos de infraestructura, interventoría y consultoría enmarcados dentro de los sectores educativo, de salud, cultura, recreación y deporte, institucional y vivienda, en los procesos de selección cuyo aviso de convocatoria se publique a partir del 16 de febrero de 2026. </w:t>
      </w:r>
    </w:p>
    <w:p w14:paraId="27AB7F79" w14:textId="77777777" w:rsidR="00583514" w:rsidRPr="00583514" w:rsidRDefault="00583514" w:rsidP="00583514">
      <w:pPr>
        <w:widowControl w:val="0"/>
        <w:autoSpaceDE w:val="0"/>
        <w:autoSpaceDN w:val="0"/>
        <w:spacing w:after="0" w:line="276" w:lineRule="auto"/>
        <w:jc w:val="both"/>
        <w:rPr>
          <w:rFonts w:ascii="Verdana" w:eastAsia="Calibri" w:hAnsi="Verdana" w:cs="Times New Roman"/>
          <w:lang w:val="es-ES"/>
        </w:rPr>
      </w:pPr>
    </w:p>
    <w:p w14:paraId="79460B76" w14:textId="77777777" w:rsidR="00583514" w:rsidRPr="00583514" w:rsidRDefault="00583514" w:rsidP="00583514">
      <w:pPr>
        <w:spacing w:after="0" w:line="276" w:lineRule="auto"/>
        <w:jc w:val="both"/>
        <w:rPr>
          <w:rFonts w:ascii="Verdana" w:eastAsia="Calibri" w:hAnsi="Verdana" w:cs="Times New Roman"/>
          <w:sz w:val="20"/>
          <w:szCs w:val="20"/>
          <w:lang w:val="es-ES"/>
        </w:rPr>
      </w:pPr>
      <w:r w:rsidRPr="00583514">
        <w:rPr>
          <w:rFonts w:ascii="Verdana" w:eastAsia="Calibri" w:hAnsi="Verdana" w:cs="Times New Roman"/>
          <w:b/>
          <w:bCs/>
          <w:lang w:val="es-ES"/>
        </w:rPr>
        <w:t xml:space="preserve">DOCUMENTOS TIPO – Aplicación – Matriz de Experiencia </w:t>
      </w:r>
    </w:p>
    <w:p w14:paraId="0F32AB27" w14:textId="77777777" w:rsidR="00583514" w:rsidRPr="00583514" w:rsidRDefault="00583514" w:rsidP="00583514">
      <w:pPr>
        <w:spacing w:after="0" w:line="240" w:lineRule="auto"/>
        <w:rPr>
          <w:rFonts w:ascii="Verdana" w:eastAsia="Geomanist Light" w:hAnsi="Verdana" w:cs="Arial"/>
          <w:lang w:val="es-MX"/>
        </w:rPr>
      </w:pPr>
    </w:p>
    <w:p w14:paraId="25DC9F42" w14:textId="77777777" w:rsidR="00583514" w:rsidRPr="00583514" w:rsidRDefault="00583514" w:rsidP="00583514">
      <w:pPr>
        <w:widowControl w:val="0"/>
        <w:autoSpaceDE w:val="0"/>
        <w:autoSpaceDN w:val="0"/>
        <w:spacing w:after="0" w:line="240" w:lineRule="auto"/>
        <w:jc w:val="both"/>
        <w:rPr>
          <w:rFonts w:ascii="Verdana" w:eastAsia="Calibri" w:hAnsi="Verdana" w:cs="Times New Roman"/>
          <w:sz w:val="20"/>
          <w:szCs w:val="20"/>
          <w:lang w:val="es-ES"/>
        </w:rPr>
      </w:pPr>
      <w:r w:rsidRPr="00583514">
        <w:rPr>
          <w:rFonts w:ascii="Verdana" w:eastAsia="Calibri" w:hAnsi="Verdana" w:cs="Times New Roman"/>
          <w:sz w:val="20"/>
          <w:szCs w:val="20"/>
          <w:lang w:val="es-ES"/>
        </w:rPr>
        <w:t>Para establecer si determinado objeto contractual se encuentra cobijado o no por los documentos tipo, es necesario determinar si el mismo se enmarca en los tipos de infraestructura, modalidades de selección y tipos de obra estandarizadas en las respectivas matrices de experiencia. De esta manera, solo resulta obligatoria la aplicación de un documento tipo en particular cuando se ha establecido que el objeto contractual y la modalidad en la que debe contratarse están dentro del ámbito de aplicación de las resoluciones expedidas por esta Agencia mediante las cuales se adoptan documentos tipo.</w:t>
      </w:r>
    </w:p>
    <w:p w14:paraId="1BD66146" w14:textId="77777777" w:rsidR="00583514" w:rsidRPr="00583514" w:rsidRDefault="00583514" w:rsidP="00583514">
      <w:pPr>
        <w:widowControl w:val="0"/>
        <w:autoSpaceDE w:val="0"/>
        <w:autoSpaceDN w:val="0"/>
        <w:spacing w:after="0" w:line="240" w:lineRule="auto"/>
        <w:jc w:val="both"/>
        <w:rPr>
          <w:rFonts w:ascii="Verdana" w:eastAsia="Calibri" w:hAnsi="Verdana" w:cs="Times New Roman"/>
          <w:sz w:val="20"/>
          <w:szCs w:val="20"/>
          <w:lang w:val="es-ES"/>
        </w:rPr>
      </w:pPr>
    </w:p>
    <w:p w14:paraId="0A5E7A0C" w14:textId="77777777" w:rsidR="00583514" w:rsidRPr="00583514" w:rsidRDefault="00583514" w:rsidP="00583514">
      <w:pPr>
        <w:widowControl w:val="0"/>
        <w:autoSpaceDE w:val="0"/>
        <w:autoSpaceDN w:val="0"/>
        <w:spacing w:after="0" w:line="240" w:lineRule="auto"/>
        <w:jc w:val="both"/>
        <w:rPr>
          <w:rFonts w:ascii="Verdana" w:eastAsia="Calibri" w:hAnsi="Verdana" w:cs="Times New Roman"/>
          <w:sz w:val="20"/>
          <w:szCs w:val="20"/>
          <w:lang w:val="es-ES"/>
        </w:rPr>
      </w:pPr>
      <w:r w:rsidRPr="00583514">
        <w:rPr>
          <w:rFonts w:ascii="Verdana" w:eastAsia="Calibri" w:hAnsi="Verdana" w:cs="Times New Roman"/>
          <w:sz w:val="20"/>
          <w:szCs w:val="20"/>
          <w:lang w:val="es-ES"/>
        </w:rPr>
        <w:t>Uno de los elementos comunes a los diferentes documentos tipo es la “Matriz – Experiencia”. Esta consta de unas celdas en las que se describe la experiencia requerida en relación con el objeto a contratar, definiendo además qué tipo de actividades relacionadas con cada sector deben acogerse a los pliegos tipo. Por otro lado, encontramos el “Anexo – Glosario”, el cual contiene las definiciones de los términos usados en los documentos del proceso. Utilizando estos dos documentos, la entidad estatal puede definir si el objeto a contratarse debe emplear los documentos tipo adoptados por esta Agencia.</w:t>
      </w:r>
    </w:p>
    <w:p w14:paraId="657CDA00" w14:textId="77777777" w:rsidR="00583514" w:rsidRPr="00583514" w:rsidRDefault="00583514" w:rsidP="00583514">
      <w:pPr>
        <w:widowControl w:val="0"/>
        <w:autoSpaceDE w:val="0"/>
        <w:autoSpaceDN w:val="0"/>
        <w:spacing w:after="0" w:line="240" w:lineRule="auto"/>
        <w:jc w:val="both"/>
        <w:rPr>
          <w:rFonts w:ascii="Verdana" w:eastAsia="Calibri" w:hAnsi="Verdana" w:cs="Times New Roman"/>
          <w:sz w:val="20"/>
          <w:szCs w:val="20"/>
          <w:lang w:val="es-ES"/>
        </w:rPr>
      </w:pPr>
    </w:p>
    <w:p w14:paraId="01C42252" w14:textId="77777777" w:rsidR="00583514" w:rsidRPr="00583514" w:rsidRDefault="00583514" w:rsidP="00583514">
      <w:pPr>
        <w:spacing w:after="0" w:line="240" w:lineRule="auto"/>
        <w:rPr>
          <w:rFonts w:ascii="Verdana" w:eastAsia="Calibri" w:hAnsi="Verdana" w:cs="Times New Roman"/>
          <w:b/>
          <w:bCs/>
          <w:lang w:val="es-ES"/>
        </w:rPr>
      </w:pPr>
      <w:r w:rsidRPr="00583514">
        <w:rPr>
          <w:rFonts w:ascii="Verdana" w:eastAsia="Calibri" w:hAnsi="Verdana" w:cs="Times New Roman"/>
          <w:b/>
          <w:bCs/>
          <w:lang w:val="es-ES"/>
        </w:rPr>
        <w:t>DOCUMENTOS TIPO – Sector Vivienda – Actividad 1.1 – Porcentaje de dimensionamiento</w:t>
      </w:r>
    </w:p>
    <w:p w14:paraId="5C6561FA" w14:textId="77777777" w:rsidR="00583514" w:rsidRPr="00583514" w:rsidRDefault="00583514" w:rsidP="00583514">
      <w:pPr>
        <w:spacing w:after="0" w:line="240" w:lineRule="auto"/>
        <w:rPr>
          <w:rFonts w:ascii="Verdana" w:eastAsia="Calibri" w:hAnsi="Verdana" w:cs="Times New Roman"/>
          <w:b/>
          <w:bCs/>
          <w:lang w:val="es-ES"/>
        </w:rPr>
      </w:pPr>
    </w:p>
    <w:p w14:paraId="386CAAE2" w14:textId="77777777" w:rsidR="00583514" w:rsidRPr="00583514" w:rsidRDefault="00583514" w:rsidP="00583514">
      <w:pPr>
        <w:spacing w:after="0" w:line="240" w:lineRule="auto"/>
        <w:jc w:val="both"/>
        <w:rPr>
          <w:rFonts w:ascii="Verdana" w:eastAsia="Aptos" w:hAnsi="Verdana" w:cs="Aptos"/>
          <w:kern w:val="2"/>
          <w:sz w:val="20"/>
          <w:szCs w:val="20"/>
          <w14:ligatures w14:val="standardContextual"/>
        </w:rPr>
      </w:pPr>
      <w:r w:rsidRPr="00583514">
        <w:rPr>
          <w:rFonts w:ascii="Verdana" w:eastAsia="Aptos" w:hAnsi="Verdana" w:cs="Aptos"/>
          <w:kern w:val="2"/>
          <w:sz w:val="20"/>
          <w:szCs w:val="20"/>
          <w14:ligatures w14:val="standardContextual"/>
        </w:rPr>
        <w:t xml:space="preserve">De acuerdo con lo señalado en el documento base, la entidad deberá indicar el área estimada de intervención del proceso de contratación, siguiendo las instrucciones allí </w:t>
      </w:r>
      <w:r w:rsidRPr="00583514">
        <w:rPr>
          <w:rFonts w:ascii="Verdana" w:eastAsia="Aptos" w:hAnsi="Verdana" w:cs="Aptos"/>
          <w:kern w:val="2"/>
          <w:sz w:val="20"/>
          <w:szCs w:val="20"/>
          <w14:ligatures w14:val="standardContextual"/>
        </w:rPr>
        <w:lastRenderedPageBreak/>
        <w:t>establecidas; es decir, señalando el área a construir y/o intervenir en m² y el valor correspondiente al presupuesto oficial.</w:t>
      </w:r>
    </w:p>
    <w:p w14:paraId="3BE482A2" w14:textId="77777777" w:rsidR="00583514" w:rsidRPr="00583514" w:rsidRDefault="00583514" w:rsidP="00583514">
      <w:pPr>
        <w:spacing w:after="0" w:line="240" w:lineRule="auto"/>
        <w:jc w:val="both"/>
        <w:rPr>
          <w:rFonts w:ascii="Verdana" w:eastAsia="Aptos" w:hAnsi="Verdana" w:cs="Aptos"/>
          <w:kern w:val="2"/>
          <w:sz w:val="20"/>
          <w:szCs w:val="20"/>
          <w14:ligatures w14:val="standardContextual"/>
        </w:rPr>
      </w:pPr>
    </w:p>
    <w:p w14:paraId="48745538" w14:textId="77777777" w:rsidR="00583514" w:rsidRPr="00583514" w:rsidRDefault="00583514" w:rsidP="00583514">
      <w:pPr>
        <w:spacing w:after="0" w:line="240" w:lineRule="auto"/>
        <w:jc w:val="both"/>
        <w:rPr>
          <w:rFonts w:ascii="Verdana" w:eastAsia="Aptos" w:hAnsi="Verdana" w:cs="Aptos"/>
          <w:kern w:val="2"/>
          <w:sz w:val="20"/>
          <w:szCs w:val="20"/>
          <w14:ligatures w14:val="standardContextual"/>
        </w:rPr>
      </w:pPr>
      <w:r w:rsidRPr="00583514">
        <w:rPr>
          <w:rFonts w:ascii="Verdana" w:eastAsia="Aptos" w:hAnsi="Verdana" w:cs="Aptos"/>
          <w:kern w:val="2"/>
          <w:sz w:val="20"/>
          <w:szCs w:val="20"/>
          <w14:ligatures w14:val="standardContextual"/>
        </w:rPr>
        <w:t>De esta forma, según lo determinado en el documento base —numeral 3.5— y en la Matriz 1 – Experiencia Sector Vivienda, las entidades deben definir los metros cuadrados (m²) que solicitarán, de acuerdo con las características técnicas del proceso de selección. Así, respecto de la pregunta: “¿Cómo se calcula el porcentaje de dimensionamiento de toda la obra, teniendo en cuenta que existe un número determinado de viviendas por intervenir, pero se desconoce la magnitud de la obra en m² (…)?”.</w:t>
      </w:r>
    </w:p>
    <w:p w14:paraId="31F6336A" w14:textId="77777777" w:rsidR="00583514" w:rsidRPr="00583514" w:rsidRDefault="00583514" w:rsidP="00583514">
      <w:pPr>
        <w:spacing w:after="0" w:line="240" w:lineRule="auto"/>
        <w:jc w:val="both"/>
        <w:rPr>
          <w:rFonts w:ascii="Verdana" w:eastAsia="Aptos" w:hAnsi="Verdana" w:cs="Aptos"/>
          <w:kern w:val="2"/>
          <w:sz w:val="20"/>
          <w:szCs w:val="20"/>
          <w14:ligatures w14:val="standardContextual"/>
        </w:rPr>
      </w:pPr>
    </w:p>
    <w:p w14:paraId="4D1F3CD4" w14:textId="77777777" w:rsidR="00583514" w:rsidRPr="00583514" w:rsidRDefault="00583514" w:rsidP="00583514">
      <w:pPr>
        <w:spacing w:after="0" w:line="240" w:lineRule="auto"/>
        <w:jc w:val="both"/>
        <w:rPr>
          <w:rFonts w:ascii="Verdana" w:eastAsia="Aptos" w:hAnsi="Verdana" w:cs="Aptos"/>
          <w:kern w:val="2"/>
          <w:sz w:val="20"/>
          <w:szCs w:val="20"/>
          <w14:ligatures w14:val="standardContextual"/>
        </w:rPr>
      </w:pPr>
      <w:r w:rsidRPr="00583514">
        <w:rPr>
          <w:rFonts w:ascii="Verdana" w:eastAsia="Aptos" w:hAnsi="Verdana" w:cs="Aptos"/>
          <w:kern w:val="2"/>
          <w:sz w:val="20"/>
          <w:szCs w:val="20"/>
          <w14:ligatures w14:val="standardContextual"/>
        </w:rPr>
        <w:t>Sobre el particular, debe indicarse que, para calcular el área cuando el proceso de selección se relaciona con el mejoramiento de vivienda, en los que esta no puede definirse de forma exacta desde el inicio del proyecto, y en los que la ejecución de las actividades, por ejemplo, depende del diagnóstico técnico de cada vivienda, se pueden utilizar criterios de estimación de cantidades o unidades de referencia para definir el área del proyecto.</w:t>
      </w:r>
    </w:p>
    <w:p w14:paraId="426D6A41" w14:textId="77777777" w:rsidR="00583514" w:rsidRPr="00583514" w:rsidRDefault="00583514" w:rsidP="00583514">
      <w:pPr>
        <w:spacing w:after="0" w:line="240" w:lineRule="auto"/>
        <w:rPr>
          <w:rFonts w:ascii="Verdana" w:eastAsia="Aptos" w:hAnsi="Verdana" w:cs="Aptos"/>
          <w:kern w:val="2"/>
          <w14:ligatures w14:val="standardContextual"/>
        </w:rPr>
      </w:pPr>
    </w:p>
    <w:p w14:paraId="7A922643" w14:textId="77777777" w:rsidR="00583514" w:rsidRPr="00583514" w:rsidRDefault="00583514" w:rsidP="00583514">
      <w:pPr>
        <w:spacing w:after="0" w:line="240" w:lineRule="auto"/>
        <w:rPr>
          <w:rFonts w:ascii="Verdana" w:eastAsia="Aptos" w:hAnsi="Verdana" w:cs="Aptos"/>
          <w:kern w:val="2"/>
          <w14:ligatures w14:val="standardContextual"/>
        </w:rPr>
      </w:pPr>
    </w:p>
    <w:p w14:paraId="53D2D2B2" w14:textId="77777777" w:rsidR="00583514" w:rsidRPr="00583514" w:rsidRDefault="00583514" w:rsidP="00583514">
      <w:pPr>
        <w:spacing w:after="0" w:line="240" w:lineRule="auto"/>
        <w:rPr>
          <w:rFonts w:ascii="Verdana" w:eastAsia="Aptos" w:hAnsi="Verdana" w:cs="Aptos"/>
          <w:kern w:val="2"/>
          <w14:ligatures w14:val="standardContextual"/>
        </w:rPr>
      </w:pPr>
    </w:p>
    <w:p w14:paraId="59E9E854" w14:textId="77777777" w:rsidR="00583514" w:rsidRPr="00583514" w:rsidRDefault="00583514" w:rsidP="00583514">
      <w:pPr>
        <w:spacing w:after="0" w:line="240" w:lineRule="auto"/>
        <w:rPr>
          <w:rFonts w:ascii="Verdana" w:eastAsia="Aptos" w:hAnsi="Verdana" w:cs="Aptos"/>
          <w:kern w:val="2"/>
          <w14:ligatures w14:val="standardContextual"/>
        </w:rPr>
      </w:pPr>
    </w:p>
    <w:p w14:paraId="7D82CD68" w14:textId="77777777" w:rsidR="00583514" w:rsidRPr="00583514" w:rsidRDefault="00583514" w:rsidP="00583514">
      <w:pPr>
        <w:spacing w:after="0" w:line="240" w:lineRule="auto"/>
        <w:rPr>
          <w:rFonts w:ascii="Verdana" w:eastAsia="Aptos" w:hAnsi="Verdana" w:cs="Aptos"/>
          <w:kern w:val="2"/>
          <w14:ligatures w14:val="standardContextual"/>
        </w:rPr>
      </w:pPr>
    </w:p>
    <w:p w14:paraId="1E0F0864" w14:textId="77777777" w:rsidR="00583514" w:rsidRPr="00583514" w:rsidRDefault="00583514" w:rsidP="00583514">
      <w:pPr>
        <w:spacing w:after="0" w:line="240" w:lineRule="auto"/>
        <w:rPr>
          <w:rFonts w:ascii="Verdana" w:eastAsia="Aptos" w:hAnsi="Verdana" w:cs="Aptos"/>
          <w:kern w:val="2"/>
          <w14:ligatures w14:val="standardContextual"/>
        </w:rPr>
      </w:pPr>
    </w:p>
    <w:p w14:paraId="41C1B6AD" w14:textId="77777777" w:rsidR="00583514" w:rsidRPr="00583514" w:rsidRDefault="00583514" w:rsidP="00583514">
      <w:pPr>
        <w:spacing w:after="0" w:line="240" w:lineRule="auto"/>
        <w:rPr>
          <w:rFonts w:ascii="Verdana" w:eastAsia="Aptos" w:hAnsi="Verdana" w:cs="Aptos"/>
          <w:kern w:val="2"/>
          <w14:ligatures w14:val="standardContextual"/>
        </w:rPr>
      </w:pPr>
    </w:p>
    <w:p w14:paraId="3F89D63A" w14:textId="77777777" w:rsidR="00583514" w:rsidRPr="00583514" w:rsidRDefault="00583514" w:rsidP="00583514">
      <w:pPr>
        <w:spacing w:after="0" w:line="240" w:lineRule="auto"/>
        <w:rPr>
          <w:rFonts w:ascii="Verdana" w:eastAsia="Aptos" w:hAnsi="Verdana" w:cs="Aptos"/>
          <w:kern w:val="2"/>
          <w14:ligatures w14:val="standardContextual"/>
        </w:rPr>
      </w:pPr>
    </w:p>
    <w:p w14:paraId="25EC3E92" w14:textId="77777777" w:rsidR="00583514" w:rsidRPr="00583514" w:rsidRDefault="00583514" w:rsidP="00583514">
      <w:pPr>
        <w:spacing w:after="0" w:line="240" w:lineRule="auto"/>
        <w:rPr>
          <w:rFonts w:ascii="Verdana" w:eastAsia="Aptos" w:hAnsi="Verdana" w:cs="Aptos"/>
          <w:kern w:val="2"/>
          <w14:ligatures w14:val="standardContextual"/>
        </w:rPr>
      </w:pPr>
    </w:p>
    <w:p w14:paraId="73293629" w14:textId="77777777" w:rsidR="00583514" w:rsidRPr="00583514" w:rsidRDefault="00583514" w:rsidP="00583514">
      <w:pPr>
        <w:spacing w:after="0" w:line="240" w:lineRule="auto"/>
        <w:rPr>
          <w:rFonts w:ascii="Verdana" w:eastAsia="Aptos" w:hAnsi="Verdana" w:cs="Aptos"/>
          <w:kern w:val="2"/>
          <w14:ligatures w14:val="standardContextual"/>
        </w:rPr>
      </w:pPr>
    </w:p>
    <w:p w14:paraId="0F0FBBE8" w14:textId="77777777" w:rsidR="00583514" w:rsidRPr="00583514" w:rsidRDefault="00583514" w:rsidP="00583514">
      <w:pPr>
        <w:spacing w:after="0" w:line="240" w:lineRule="auto"/>
        <w:rPr>
          <w:rFonts w:ascii="Verdana" w:eastAsia="Aptos" w:hAnsi="Verdana" w:cs="Aptos"/>
          <w:kern w:val="2"/>
          <w14:ligatures w14:val="standardContextual"/>
        </w:rPr>
      </w:pPr>
    </w:p>
    <w:p w14:paraId="69A8743E" w14:textId="77777777" w:rsidR="00583514" w:rsidRPr="00583514" w:rsidRDefault="00583514" w:rsidP="00583514">
      <w:pPr>
        <w:spacing w:after="0" w:line="240" w:lineRule="auto"/>
        <w:rPr>
          <w:rFonts w:ascii="Verdana" w:eastAsia="Aptos" w:hAnsi="Verdana" w:cs="Aptos"/>
          <w:kern w:val="2"/>
          <w14:ligatures w14:val="standardContextual"/>
        </w:rPr>
      </w:pPr>
    </w:p>
    <w:p w14:paraId="7E805ADE" w14:textId="77777777" w:rsidR="00583514" w:rsidRPr="00583514" w:rsidRDefault="00583514" w:rsidP="00583514">
      <w:pPr>
        <w:spacing w:after="0" w:line="240" w:lineRule="auto"/>
        <w:rPr>
          <w:rFonts w:ascii="Verdana" w:eastAsia="Aptos" w:hAnsi="Verdana" w:cs="Aptos"/>
          <w:kern w:val="2"/>
          <w14:ligatures w14:val="standardContextual"/>
        </w:rPr>
      </w:pPr>
    </w:p>
    <w:p w14:paraId="1D2AE984" w14:textId="77777777" w:rsidR="00583514" w:rsidRPr="00583514" w:rsidRDefault="00583514" w:rsidP="00583514">
      <w:pPr>
        <w:spacing w:after="0" w:line="240" w:lineRule="auto"/>
        <w:rPr>
          <w:rFonts w:ascii="Verdana" w:eastAsia="Aptos" w:hAnsi="Verdana" w:cs="Aptos"/>
          <w:kern w:val="2"/>
          <w14:ligatures w14:val="standardContextual"/>
        </w:rPr>
      </w:pPr>
    </w:p>
    <w:p w14:paraId="124D31F7" w14:textId="77777777" w:rsidR="00583514" w:rsidRPr="00583514" w:rsidRDefault="00583514" w:rsidP="00583514">
      <w:pPr>
        <w:spacing w:after="0" w:line="240" w:lineRule="auto"/>
        <w:rPr>
          <w:rFonts w:ascii="Verdana" w:eastAsia="Aptos" w:hAnsi="Verdana" w:cs="Aptos"/>
          <w:kern w:val="2"/>
          <w14:ligatures w14:val="standardContextual"/>
        </w:rPr>
      </w:pPr>
    </w:p>
    <w:p w14:paraId="36828F5F" w14:textId="77777777" w:rsidR="00583514" w:rsidRPr="00583514" w:rsidRDefault="00583514" w:rsidP="00583514">
      <w:pPr>
        <w:spacing w:after="0" w:line="240" w:lineRule="auto"/>
        <w:rPr>
          <w:rFonts w:ascii="Verdana" w:eastAsia="Aptos" w:hAnsi="Verdana" w:cs="Aptos"/>
          <w:kern w:val="2"/>
          <w14:ligatures w14:val="standardContextual"/>
        </w:rPr>
      </w:pPr>
    </w:p>
    <w:p w14:paraId="49C303A8" w14:textId="77777777" w:rsidR="00583514" w:rsidRPr="00583514" w:rsidRDefault="00583514" w:rsidP="00583514">
      <w:pPr>
        <w:spacing w:after="0" w:line="240" w:lineRule="auto"/>
        <w:rPr>
          <w:rFonts w:ascii="Verdana" w:eastAsia="Aptos" w:hAnsi="Verdana" w:cs="Aptos"/>
          <w:kern w:val="2"/>
          <w14:ligatures w14:val="standardContextual"/>
        </w:rPr>
      </w:pPr>
    </w:p>
    <w:p w14:paraId="59701D32" w14:textId="77777777" w:rsidR="00583514" w:rsidRPr="00583514" w:rsidRDefault="00583514" w:rsidP="00583514">
      <w:pPr>
        <w:spacing w:after="0" w:line="240" w:lineRule="auto"/>
        <w:rPr>
          <w:rFonts w:ascii="Verdana" w:eastAsia="Aptos" w:hAnsi="Verdana" w:cs="Aptos"/>
          <w:kern w:val="2"/>
          <w14:ligatures w14:val="standardContextual"/>
        </w:rPr>
      </w:pPr>
    </w:p>
    <w:p w14:paraId="3D1CE6D9" w14:textId="77777777" w:rsidR="00583514" w:rsidRPr="00583514" w:rsidRDefault="00583514" w:rsidP="00583514">
      <w:pPr>
        <w:spacing w:after="0" w:line="240" w:lineRule="auto"/>
        <w:rPr>
          <w:rFonts w:ascii="Verdana" w:eastAsia="Aptos" w:hAnsi="Verdana" w:cs="Aptos"/>
          <w:kern w:val="2"/>
          <w14:ligatures w14:val="standardContextual"/>
        </w:rPr>
      </w:pPr>
    </w:p>
    <w:p w14:paraId="18D0EAF3" w14:textId="77777777" w:rsidR="00583514" w:rsidRPr="00583514" w:rsidRDefault="00583514" w:rsidP="00583514">
      <w:pPr>
        <w:spacing w:after="0" w:line="240" w:lineRule="auto"/>
        <w:rPr>
          <w:rFonts w:ascii="Verdana" w:eastAsia="Aptos" w:hAnsi="Verdana" w:cs="Aptos"/>
          <w:kern w:val="2"/>
          <w14:ligatures w14:val="standardContextual"/>
        </w:rPr>
      </w:pPr>
    </w:p>
    <w:p w14:paraId="21D23722" w14:textId="77777777" w:rsidR="00583514" w:rsidRPr="00583514" w:rsidRDefault="00583514" w:rsidP="00583514">
      <w:pPr>
        <w:spacing w:after="0" w:line="240" w:lineRule="auto"/>
        <w:rPr>
          <w:rFonts w:ascii="Verdana" w:eastAsia="Geomanist Light" w:hAnsi="Verdana" w:cs="Arial"/>
          <w:lang w:val="es-MX"/>
        </w:rPr>
      </w:pPr>
    </w:p>
    <w:p w14:paraId="1899D870" w14:textId="77777777" w:rsidR="00583514" w:rsidRPr="00583514" w:rsidRDefault="00583514" w:rsidP="00583514">
      <w:pPr>
        <w:spacing w:after="0" w:line="240" w:lineRule="auto"/>
        <w:rPr>
          <w:rFonts w:ascii="Verdana" w:eastAsia="Geomanist Light" w:hAnsi="Verdana" w:cs="Arial"/>
          <w:lang w:val="es-MX"/>
        </w:rPr>
      </w:pPr>
    </w:p>
    <w:p w14:paraId="6111064B" w14:textId="77777777" w:rsidR="00583514" w:rsidRPr="00583514" w:rsidRDefault="00583514" w:rsidP="00583514">
      <w:pPr>
        <w:spacing w:after="0" w:line="240" w:lineRule="auto"/>
        <w:rPr>
          <w:rFonts w:ascii="Verdana" w:eastAsia="Geomanist Light" w:hAnsi="Verdana" w:cs="Arial"/>
          <w:lang w:val="es-MX"/>
        </w:rPr>
      </w:pPr>
    </w:p>
    <w:p w14:paraId="652B61A1" w14:textId="77777777" w:rsidR="00583514" w:rsidRPr="00583514" w:rsidRDefault="00583514" w:rsidP="00583514">
      <w:pPr>
        <w:spacing w:after="0" w:line="240" w:lineRule="auto"/>
        <w:rPr>
          <w:rFonts w:ascii="Verdana" w:eastAsia="Geomanist Light" w:hAnsi="Verdana" w:cs="Arial"/>
          <w:lang w:val="es-MX"/>
        </w:rPr>
      </w:pPr>
    </w:p>
    <w:p w14:paraId="4C4D5D64" w14:textId="77777777" w:rsidR="00583514" w:rsidRPr="00583514" w:rsidRDefault="00583514" w:rsidP="00583514">
      <w:pPr>
        <w:spacing w:after="0" w:line="240" w:lineRule="auto"/>
        <w:rPr>
          <w:rFonts w:ascii="Verdana" w:eastAsia="Geomanist Light" w:hAnsi="Verdana" w:cs="Arial"/>
          <w:lang w:val="es-MX"/>
        </w:rPr>
      </w:pPr>
    </w:p>
    <w:p w14:paraId="4F04A17D" w14:textId="77777777" w:rsidR="00583514" w:rsidRDefault="00583514" w:rsidP="00583514">
      <w:pPr>
        <w:spacing w:after="0" w:line="240" w:lineRule="auto"/>
        <w:rPr>
          <w:rFonts w:ascii="Verdana" w:eastAsia="Geomanist Light" w:hAnsi="Verdana" w:cs="Arial"/>
          <w:lang w:val="es-MX"/>
        </w:rPr>
      </w:pPr>
    </w:p>
    <w:p w14:paraId="1A0C6D6B" w14:textId="77777777" w:rsidR="0041550C" w:rsidRPr="00583514" w:rsidRDefault="0041550C" w:rsidP="00583514">
      <w:pPr>
        <w:spacing w:after="0" w:line="240" w:lineRule="auto"/>
        <w:rPr>
          <w:rFonts w:ascii="Verdana" w:eastAsia="Geomanist Light" w:hAnsi="Verdana" w:cs="Arial"/>
          <w:lang w:val="es-MX"/>
        </w:rPr>
      </w:pPr>
    </w:p>
    <w:p w14:paraId="7FB42248" w14:textId="1D8651E3" w:rsidR="00583514" w:rsidRPr="00583514" w:rsidRDefault="00583514" w:rsidP="00583514">
      <w:pPr>
        <w:spacing w:after="0" w:line="240" w:lineRule="auto"/>
        <w:rPr>
          <w:rFonts w:ascii="Verdana" w:eastAsia="Aptos" w:hAnsi="Verdana" w:cs="Times New Roman"/>
          <w:kern w:val="2"/>
          <w:sz w:val="24"/>
          <w:szCs w:val="24"/>
          <w14:ligatures w14:val="standardContextual"/>
        </w:rPr>
      </w:pPr>
      <w:r w:rsidRPr="00583514">
        <w:rPr>
          <w:rFonts w:ascii="Verdana" w:eastAsia="Aptos" w:hAnsi="Verdana" w:cs="Times New Roman"/>
          <w:kern w:val="2"/>
          <w:sz w:val="24"/>
          <w:szCs w:val="24"/>
          <w14:ligatures w14:val="standardContextual"/>
        </w:rPr>
        <w:lastRenderedPageBreak/>
        <w:t xml:space="preserve">Bogotá D.C., </w:t>
      </w:r>
      <w:r w:rsidR="00883A98">
        <w:rPr>
          <w:rFonts w:ascii="Verdana" w:eastAsia="Aptos" w:hAnsi="Verdana" w:cs="Times New Roman"/>
          <w:kern w:val="2"/>
          <w:sz w:val="24"/>
          <w:szCs w:val="24"/>
          <w14:ligatures w14:val="standardContextual"/>
        </w:rPr>
        <w:t>14 de abril de 2026</w:t>
      </w:r>
    </w:p>
    <w:p w14:paraId="3C94173F" w14:textId="77777777" w:rsidR="00583514" w:rsidRDefault="00583514" w:rsidP="00583514">
      <w:pPr>
        <w:spacing w:after="0" w:line="240" w:lineRule="auto"/>
        <w:rPr>
          <w:rFonts w:ascii="Verdana" w:eastAsia="Calibri" w:hAnsi="Verdana" w:cs="Arial"/>
          <w:kern w:val="2"/>
          <w:lang w:val="es-ES" w:eastAsia="es-ES"/>
          <w14:ligatures w14:val="standardContextual"/>
        </w:rPr>
      </w:pPr>
    </w:p>
    <w:p w14:paraId="69623C98" w14:textId="77777777" w:rsidR="00B760B5" w:rsidRDefault="00B760B5" w:rsidP="00583514">
      <w:pPr>
        <w:spacing w:after="0" w:line="240" w:lineRule="auto"/>
        <w:rPr>
          <w:rFonts w:ascii="Verdana" w:eastAsia="Calibri" w:hAnsi="Verdana" w:cs="Arial"/>
          <w:kern w:val="2"/>
          <w:lang w:val="es-ES" w:eastAsia="es-ES"/>
          <w14:ligatures w14:val="standardContextual"/>
        </w:rPr>
      </w:pPr>
    </w:p>
    <w:p w14:paraId="5F8A9AB8" w14:textId="485467F4" w:rsidR="00B760B5" w:rsidRDefault="00395827" w:rsidP="00583514">
      <w:pPr>
        <w:spacing w:after="0" w:line="240" w:lineRule="auto"/>
        <w:rPr>
          <w:rFonts w:ascii="Verdana" w:eastAsia="Calibri" w:hAnsi="Verdana" w:cs="Arial"/>
          <w:kern w:val="2"/>
          <w:lang w:val="es-ES" w:eastAsia="es-ES"/>
          <w14:ligatures w14:val="standardContextual"/>
        </w:rPr>
      </w:pPr>
      <w:r w:rsidRPr="00883A98">
        <w:rPr>
          <w:rFonts w:ascii="Verdana" w:eastAsia="Calibri" w:hAnsi="Verdana" w:cs="Arial"/>
          <w:noProof/>
          <w:kern w:val="2"/>
          <w:lang w:val="es-ES" w:eastAsia="es-ES"/>
          <w14:ligatures w14:val="standardContextual"/>
        </w:rPr>
        <w:drawing>
          <wp:anchor distT="0" distB="0" distL="114300" distR="114300" simplePos="0" relativeHeight="251658240" behindDoc="0" locked="0" layoutInCell="1" allowOverlap="1" wp14:anchorId="584309B5" wp14:editId="2107AFC7">
            <wp:simplePos x="0" y="0"/>
            <wp:positionH relativeFrom="margin">
              <wp:align>right</wp:align>
            </wp:positionH>
            <wp:positionV relativeFrom="paragraph">
              <wp:posOffset>168275</wp:posOffset>
            </wp:positionV>
            <wp:extent cx="2477770" cy="897890"/>
            <wp:effectExtent l="0" t="0" r="0" b="0"/>
            <wp:wrapSquare wrapText="bothSides"/>
            <wp:docPr id="1716406824"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16406824" name=""/>
                    <pic:cNvPicPr/>
                  </pic:nvPicPr>
                  <pic:blipFill>
                    <a:blip r:embed="rId10">
                      <a:extLst>
                        <a:ext uri="{28A0092B-C50C-407E-A947-70E740481C1C}">
                          <a14:useLocalDpi xmlns:a14="http://schemas.microsoft.com/office/drawing/2010/main" val="0"/>
                        </a:ext>
                      </a:extLst>
                    </a:blip>
                    <a:stretch>
                      <a:fillRect/>
                    </a:stretch>
                  </pic:blipFill>
                  <pic:spPr>
                    <a:xfrm>
                      <a:off x="0" y="0"/>
                      <a:ext cx="2477770" cy="897890"/>
                    </a:xfrm>
                    <a:prstGeom prst="rect">
                      <a:avLst/>
                    </a:prstGeom>
                  </pic:spPr>
                </pic:pic>
              </a:graphicData>
            </a:graphic>
            <wp14:sizeRelH relativeFrom="margin">
              <wp14:pctWidth>0</wp14:pctWidth>
            </wp14:sizeRelH>
            <wp14:sizeRelV relativeFrom="margin">
              <wp14:pctHeight>0</wp14:pctHeight>
            </wp14:sizeRelV>
          </wp:anchor>
        </w:drawing>
      </w:r>
    </w:p>
    <w:p w14:paraId="330BB269" w14:textId="34234680" w:rsidR="00883A98" w:rsidRPr="00583514" w:rsidRDefault="00883A98" w:rsidP="00883A98">
      <w:pPr>
        <w:spacing w:after="0" w:line="240" w:lineRule="auto"/>
        <w:jc w:val="right"/>
        <w:rPr>
          <w:rFonts w:ascii="Verdana" w:eastAsia="Calibri" w:hAnsi="Verdana" w:cs="Arial"/>
          <w:kern w:val="2"/>
          <w:lang w:val="es-ES" w:eastAsia="es-ES"/>
          <w14:ligatures w14:val="standardContextual"/>
        </w:rPr>
      </w:pPr>
    </w:p>
    <w:p w14:paraId="184CA5BA" w14:textId="77777777" w:rsidR="00583514" w:rsidRPr="00583514" w:rsidRDefault="00583514" w:rsidP="00583514">
      <w:pPr>
        <w:spacing w:after="0" w:line="240" w:lineRule="auto"/>
        <w:rPr>
          <w:rFonts w:ascii="Verdana" w:eastAsia="Aptos" w:hAnsi="Verdana" w:cs="Times New Roman"/>
          <w:kern w:val="2"/>
          <w14:ligatures w14:val="standardContextual"/>
        </w:rPr>
      </w:pPr>
      <w:r w:rsidRPr="00583514">
        <w:rPr>
          <w:rFonts w:ascii="Verdana" w:eastAsia="Calibri" w:hAnsi="Verdana" w:cs="Arial"/>
          <w:kern w:val="2"/>
          <w:lang w:val="es-ES" w:eastAsia="es-ES"/>
          <w14:ligatures w14:val="standardContextual"/>
        </w:rPr>
        <w:t>Señora</w:t>
      </w:r>
    </w:p>
    <w:p w14:paraId="4F7EA23E" w14:textId="77777777" w:rsidR="00583514" w:rsidRPr="00583514" w:rsidRDefault="00583514" w:rsidP="00583514">
      <w:pPr>
        <w:spacing w:after="0" w:line="240" w:lineRule="auto"/>
        <w:rPr>
          <w:rFonts w:ascii="Verdana" w:eastAsia="Calibri" w:hAnsi="Verdana" w:cs="Arial"/>
          <w:b/>
          <w:bCs/>
          <w:kern w:val="2"/>
          <w:lang w:eastAsia="es-ES_tradnl"/>
          <w14:ligatures w14:val="standardContextual"/>
        </w:rPr>
      </w:pPr>
      <w:r w:rsidRPr="00583514">
        <w:rPr>
          <w:rFonts w:ascii="Verdana" w:eastAsia="Aptos" w:hAnsi="Verdana" w:cs="Times New Roman"/>
          <w:b/>
          <w:bCs/>
          <w:kern w:val="2"/>
          <w14:ligatures w14:val="standardContextual"/>
        </w:rPr>
        <w:t>Anyela Isabel Schorborgth Serrano</w:t>
      </w:r>
    </w:p>
    <w:p w14:paraId="4822FDEA" w14:textId="77777777" w:rsidR="00583514" w:rsidRPr="00583514" w:rsidRDefault="00583514" w:rsidP="00583514">
      <w:pPr>
        <w:spacing w:after="0" w:line="240" w:lineRule="auto"/>
        <w:rPr>
          <w:rFonts w:ascii="Verdana" w:eastAsia="Calibri" w:hAnsi="Verdana" w:cs="Arial"/>
          <w:kern w:val="2"/>
          <w:lang w:val="es-ES_tradnl" w:eastAsia="es-ES_tradnl"/>
          <w14:ligatures w14:val="standardContextual"/>
        </w:rPr>
      </w:pPr>
      <w:r w:rsidRPr="00583514">
        <w:rPr>
          <w:rFonts w:ascii="Verdana" w:eastAsia="Calibri" w:hAnsi="Verdana" w:cs="Arial"/>
          <w:kern w:val="2"/>
          <w:lang w:val="es-ES_tradnl" w:eastAsia="es-ES_tradnl"/>
          <w14:ligatures w14:val="standardContextual"/>
        </w:rPr>
        <w:t>Cartagena, Bolívar</w:t>
      </w:r>
    </w:p>
    <w:p w14:paraId="0173C83D" w14:textId="77777777" w:rsidR="00583514" w:rsidRPr="00583514" w:rsidRDefault="00583514" w:rsidP="00583514">
      <w:pPr>
        <w:spacing w:after="0" w:line="240" w:lineRule="auto"/>
        <w:rPr>
          <w:rFonts w:ascii="Verdana" w:eastAsia="Calibri" w:hAnsi="Verdana" w:cs="Arial"/>
          <w:b/>
          <w:bCs/>
          <w:lang w:val="es-ES_tradnl" w:eastAsia="es-ES_tradnl"/>
        </w:rPr>
      </w:pPr>
    </w:p>
    <w:p w14:paraId="51D5718C" w14:textId="77777777" w:rsidR="00583514" w:rsidRDefault="00583514" w:rsidP="00583514">
      <w:pPr>
        <w:spacing w:after="0" w:line="240" w:lineRule="auto"/>
        <w:rPr>
          <w:rFonts w:ascii="Verdana" w:eastAsia="Calibri" w:hAnsi="Verdana" w:cs="Arial"/>
          <w:b/>
          <w:bCs/>
          <w:lang w:val="es-ES_tradnl" w:eastAsia="es-ES_tradnl"/>
        </w:rPr>
      </w:pPr>
    </w:p>
    <w:p w14:paraId="36888F91" w14:textId="77777777" w:rsidR="00B760B5" w:rsidRPr="00583514" w:rsidRDefault="00B760B5" w:rsidP="00583514">
      <w:pPr>
        <w:spacing w:after="0" w:line="240" w:lineRule="auto"/>
        <w:rPr>
          <w:rFonts w:ascii="Verdana" w:eastAsia="Calibri" w:hAnsi="Verdana" w:cs="Arial"/>
          <w:b/>
          <w:bCs/>
          <w:lang w:val="es-ES_tradnl" w:eastAsia="es-ES_tradnl"/>
        </w:rPr>
      </w:pPr>
    </w:p>
    <w:tbl>
      <w:tblPr>
        <w:tblStyle w:val="Tablaconcuadrcula"/>
        <w:tblW w:w="836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1985"/>
        <w:gridCol w:w="6383"/>
      </w:tblGrid>
      <w:tr w:rsidR="00583514" w:rsidRPr="00583514" w14:paraId="5B0B9F85" w14:textId="77777777" w:rsidTr="001B7C5C">
        <w:trPr>
          <w:trHeight w:val="229"/>
        </w:trPr>
        <w:tc>
          <w:tcPr>
            <w:tcW w:w="1985" w:type="dxa"/>
          </w:tcPr>
          <w:p w14:paraId="0471FA34" w14:textId="77777777" w:rsidR="00583514" w:rsidRPr="00583514" w:rsidRDefault="00583514" w:rsidP="00583514">
            <w:pPr>
              <w:jc w:val="both"/>
              <w:rPr>
                <w:rFonts w:ascii="Verdana" w:eastAsia="Calibri" w:hAnsi="Verdana" w:cs="Arial"/>
                <w:b/>
                <w:bCs/>
                <w:lang w:val="es-ES_tradnl" w:eastAsia="es-ES_tradnl"/>
              </w:rPr>
            </w:pPr>
          </w:p>
        </w:tc>
        <w:tc>
          <w:tcPr>
            <w:tcW w:w="6383" w:type="dxa"/>
          </w:tcPr>
          <w:p w14:paraId="239862E0" w14:textId="77777777" w:rsidR="00583514" w:rsidRPr="00583514" w:rsidRDefault="00583514" w:rsidP="00583514">
            <w:pPr>
              <w:jc w:val="both"/>
              <w:rPr>
                <w:rFonts w:ascii="Verdana" w:eastAsia="Calibri" w:hAnsi="Verdana" w:cs="Arial"/>
                <w:b/>
                <w:bCs/>
                <w:lang w:val="es-ES" w:eastAsia="es-ES"/>
              </w:rPr>
            </w:pPr>
            <w:r w:rsidRPr="00583514">
              <w:rPr>
                <w:rFonts w:ascii="Verdana" w:eastAsia="Calibri" w:hAnsi="Verdana" w:cs="Arial"/>
                <w:b/>
                <w:bCs/>
                <w:lang w:val="es-ES" w:eastAsia="es-ES"/>
              </w:rPr>
              <w:t>Concepto C-328 de 2026</w:t>
            </w:r>
          </w:p>
          <w:p w14:paraId="2815F7E1" w14:textId="77777777" w:rsidR="00583514" w:rsidRPr="00583514" w:rsidRDefault="00583514" w:rsidP="00583514">
            <w:pPr>
              <w:jc w:val="both"/>
              <w:rPr>
                <w:rFonts w:ascii="Verdana" w:eastAsia="Calibri" w:hAnsi="Verdana" w:cs="Arial"/>
                <w:b/>
                <w:bCs/>
                <w:lang w:val="es-ES" w:eastAsia="es-ES"/>
              </w:rPr>
            </w:pPr>
          </w:p>
          <w:p w14:paraId="6DD337AB" w14:textId="77777777" w:rsidR="00583514" w:rsidRPr="00583514" w:rsidRDefault="00583514" w:rsidP="00583514">
            <w:pPr>
              <w:jc w:val="both"/>
              <w:rPr>
                <w:rFonts w:ascii="Verdana" w:eastAsia="Calibri" w:hAnsi="Verdana" w:cs="Arial"/>
                <w:b/>
                <w:bCs/>
                <w:lang w:val="es-ES" w:eastAsia="es-ES"/>
              </w:rPr>
            </w:pPr>
          </w:p>
        </w:tc>
      </w:tr>
      <w:tr w:rsidR="00583514" w:rsidRPr="00583514" w14:paraId="72A7EF53" w14:textId="77777777" w:rsidTr="001B7C5C">
        <w:trPr>
          <w:trHeight w:val="884"/>
        </w:trPr>
        <w:tc>
          <w:tcPr>
            <w:tcW w:w="1985" w:type="dxa"/>
          </w:tcPr>
          <w:p w14:paraId="67F389A8" w14:textId="77777777" w:rsidR="00583514" w:rsidRPr="00583514" w:rsidRDefault="00583514" w:rsidP="00583514">
            <w:pPr>
              <w:jc w:val="both"/>
              <w:rPr>
                <w:rFonts w:ascii="Verdana" w:eastAsia="Calibri" w:hAnsi="Verdana" w:cs="Arial"/>
                <w:lang w:val="es-ES_tradnl" w:eastAsia="es-ES_tradnl"/>
              </w:rPr>
            </w:pPr>
            <w:r w:rsidRPr="00583514">
              <w:rPr>
                <w:rFonts w:ascii="Verdana" w:eastAsia="Calibri" w:hAnsi="Verdana" w:cs="Arial"/>
                <w:b/>
                <w:lang w:val="es-ES_tradnl" w:eastAsia="es-ES_tradnl"/>
              </w:rPr>
              <w:t>Temas:</w:t>
            </w:r>
            <w:r w:rsidRPr="00583514">
              <w:rPr>
                <w:rFonts w:ascii="Verdana" w:eastAsia="Calibri" w:hAnsi="Verdana" w:cs="Arial"/>
                <w:lang w:val="es-ES_tradnl" w:eastAsia="es-ES_tradnl"/>
              </w:rPr>
              <w:t xml:space="preserve">                   </w:t>
            </w:r>
          </w:p>
        </w:tc>
        <w:tc>
          <w:tcPr>
            <w:tcW w:w="6383" w:type="dxa"/>
          </w:tcPr>
          <w:p w14:paraId="04F4D1CB" w14:textId="77777777" w:rsidR="00583514" w:rsidRPr="00583514" w:rsidRDefault="00583514" w:rsidP="00583514">
            <w:pPr>
              <w:jc w:val="both"/>
              <w:rPr>
                <w:rFonts w:ascii="Verdana" w:eastAsia="Calibri" w:hAnsi="Verdana" w:cs="Times New Roman"/>
                <w:lang w:val="es-ES"/>
              </w:rPr>
            </w:pPr>
            <w:r w:rsidRPr="00583514">
              <w:rPr>
                <w:rFonts w:ascii="Verdana" w:eastAsia="Calibri" w:hAnsi="Verdana" w:cs="Arial"/>
                <w:lang w:val="es-ES_tradnl"/>
              </w:rPr>
              <w:t>DOCUMENTOS TIPO – Fundamento normativo – Obligatoriedad / SECTOR SOCIAL</w:t>
            </w:r>
            <w:r w:rsidRPr="00583514">
              <w:rPr>
                <w:rFonts w:ascii="Verdana" w:eastAsia="Calibri" w:hAnsi="Verdana" w:cs="Times New Roman"/>
                <w:lang w:val="es-ES"/>
              </w:rPr>
              <w:t xml:space="preserve"> – Documentos tipo – Vigentes / DOCUMENTOS TIPO – Aplicación – Matriz de Experiencia / DOCUMENTOS TIPO – Sector Vivienda – Actividad 1.1 – Porcentaje de dimensionamiento</w:t>
            </w:r>
          </w:p>
          <w:p w14:paraId="3F211178" w14:textId="77777777" w:rsidR="00583514" w:rsidRPr="00583514" w:rsidRDefault="00583514" w:rsidP="00583514">
            <w:pPr>
              <w:jc w:val="both"/>
              <w:rPr>
                <w:rFonts w:ascii="Verdana" w:eastAsia="Calibri" w:hAnsi="Verdana" w:cs="Arial"/>
                <w:bCs/>
                <w:lang w:val="es-ES" w:eastAsia="es-ES"/>
              </w:rPr>
            </w:pPr>
          </w:p>
        </w:tc>
      </w:tr>
      <w:tr w:rsidR="00583514" w:rsidRPr="00583514" w14:paraId="41D7FBEF" w14:textId="77777777" w:rsidTr="001B7C5C">
        <w:tc>
          <w:tcPr>
            <w:tcW w:w="1985" w:type="dxa"/>
          </w:tcPr>
          <w:p w14:paraId="2F952EFA" w14:textId="77777777" w:rsidR="00583514" w:rsidRPr="00583514" w:rsidRDefault="00583514" w:rsidP="00583514">
            <w:pPr>
              <w:jc w:val="both"/>
              <w:rPr>
                <w:rFonts w:ascii="Verdana" w:eastAsia="Calibri" w:hAnsi="Verdana" w:cs="Arial"/>
                <w:b/>
                <w:lang w:val="es-ES_tradnl" w:eastAsia="es-ES_tradnl"/>
              </w:rPr>
            </w:pPr>
            <w:r w:rsidRPr="00583514">
              <w:rPr>
                <w:rFonts w:ascii="Verdana" w:eastAsia="Calibri" w:hAnsi="Verdana" w:cs="Arial"/>
                <w:b/>
                <w:lang w:val="es-ES_tradnl" w:eastAsia="es-ES_tradnl"/>
              </w:rPr>
              <w:t>Radicación:</w:t>
            </w:r>
            <w:r w:rsidRPr="00583514">
              <w:rPr>
                <w:rFonts w:ascii="Verdana" w:eastAsia="Calibri" w:hAnsi="Verdana" w:cs="Arial"/>
                <w:lang w:val="es-ES_tradnl" w:eastAsia="es-ES_tradnl"/>
              </w:rPr>
              <w:t xml:space="preserve">               </w:t>
            </w:r>
          </w:p>
        </w:tc>
        <w:tc>
          <w:tcPr>
            <w:tcW w:w="6383" w:type="dxa"/>
          </w:tcPr>
          <w:p w14:paraId="0937EEFC" w14:textId="77777777" w:rsidR="00583514" w:rsidRPr="00583514" w:rsidRDefault="00583514" w:rsidP="00583514">
            <w:pPr>
              <w:ind w:left="3" w:hanging="3"/>
              <w:jc w:val="both"/>
              <w:rPr>
                <w:rFonts w:ascii="Verdana" w:eastAsia="Calibri" w:hAnsi="Verdana" w:cs="Arial"/>
                <w:lang w:val="es-ES_tradnl" w:eastAsia="es-ES_tradnl"/>
              </w:rPr>
            </w:pPr>
            <w:r w:rsidRPr="00583514">
              <w:rPr>
                <w:rFonts w:ascii="Verdana" w:eastAsia="Calibri" w:hAnsi="Verdana" w:cs="Arial"/>
                <w:lang w:val="es-ES_tradnl" w:eastAsia="es-ES_tradnl"/>
              </w:rPr>
              <w:t>Respuesta a consulta con radicado No. 1_2026_03_02_002884</w:t>
            </w:r>
          </w:p>
        </w:tc>
      </w:tr>
    </w:tbl>
    <w:p w14:paraId="15E8D71E" w14:textId="77777777" w:rsidR="00583514" w:rsidRPr="00583514" w:rsidRDefault="00583514" w:rsidP="00583514">
      <w:pPr>
        <w:spacing w:after="0" w:line="240" w:lineRule="auto"/>
        <w:jc w:val="both"/>
        <w:rPr>
          <w:rFonts w:ascii="Verdana" w:eastAsia="Calibri" w:hAnsi="Verdana" w:cs="Arial"/>
          <w:lang w:eastAsia="es-ES_tradnl"/>
        </w:rPr>
      </w:pPr>
    </w:p>
    <w:p w14:paraId="209164D4" w14:textId="77777777" w:rsidR="00583514" w:rsidRPr="00583514" w:rsidRDefault="00583514" w:rsidP="00583514">
      <w:pPr>
        <w:spacing w:after="0" w:line="276" w:lineRule="auto"/>
        <w:jc w:val="both"/>
        <w:rPr>
          <w:rFonts w:ascii="Verdana" w:eastAsia="Calibri" w:hAnsi="Verdana" w:cs="Arial"/>
          <w:lang w:val="es-ES" w:eastAsia="es-ES"/>
        </w:rPr>
      </w:pPr>
      <w:r w:rsidRPr="00583514">
        <w:rPr>
          <w:rFonts w:ascii="Verdana" w:eastAsia="Calibri" w:hAnsi="Verdana" w:cs="Arial"/>
          <w:lang w:val="es-ES" w:eastAsia="es-ES"/>
        </w:rPr>
        <w:t xml:space="preserve">Estimada señora </w:t>
      </w:r>
      <w:proofErr w:type="spellStart"/>
      <w:r w:rsidRPr="00583514">
        <w:rPr>
          <w:rFonts w:ascii="Verdana" w:eastAsia="Aptos" w:hAnsi="Verdana" w:cs="Times New Roman"/>
          <w:kern w:val="2"/>
          <w14:ligatures w14:val="standardContextual"/>
        </w:rPr>
        <w:t>Schorborgth</w:t>
      </w:r>
      <w:proofErr w:type="spellEnd"/>
      <w:r w:rsidRPr="00583514">
        <w:rPr>
          <w:rFonts w:ascii="Verdana" w:eastAsia="Aptos" w:hAnsi="Verdana" w:cs="Times New Roman"/>
          <w:kern w:val="2"/>
          <w14:ligatures w14:val="standardContextual"/>
        </w:rPr>
        <w:t xml:space="preserve"> Serrano</w:t>
      </w:r>
      <w:r w:rsidRPr="00583514">
        <w:rPr>
          <w:rFonts w:ascii="Verdana" w:eastAsia="Calibri" w:hAnsi="Verdana" w:cs="Arial"/>
          <w:lang w:val="es-ES" w:eastAsia="es-ES"/>
        </w:rPr>
        <w:t xml:space="preserve">: </w:t>
      </w:r>
    </w:p>
    <w:p w14:paraId="04D5E512" w14:textId="77777777" w:rsidR="00583514" w:rsidRPr="00583514" w:rsidRDefault="00583514" w:rsidP="00583514">
      <w:pPr>
        <w:tabs>
          <w:tab w:val="left" w:pos="3768"/>
        </w:tabs>
        <w:spacing w:after="0" w:line="276" w:lineRule="auto"/>
        <w:jc w:val="both"/>
        <w:rPr>
          <w:rFonts w:ascii="Verdana" w:eastAsia="Calibri" w:hAnsi="Verdana" w:cs="Arial"/>
          <w:lang w:val="es-ES" w:eastAsia="es-ES"/>
        </w:rPr>
      </w:pPr>
      <w:r w:rsidRPr="00583514">
        <w:rPr>
          <w:rFonts w:ascii="Verdana" w:eastAsia="Calibri" w:hAnsi="Verdana" w:cs="Arial"/>
          <w:lang w:val="es-ES" w:eastAsia="es-ES"/>
        </w:rPr>
        <w:tab/>
      </w:r>
    </w:p>
    <w:p w14:paraId="1CC1A507" w14:textId="77777777" w:rsidR="00583514" w:rsidRPr="00583514" w:rsidRDefault="00583514" w:rsidP="00583514">
      <w:pPr>
        <w:snapToGrid w:val="0"/>
        <w:spacing w:after="0" w:line="276" w:lineRule="auto"/>
        <w:jc w:val="both"/>
        <w:rPr>
          <w:rFonts w:ascii="Verdana" w:eastAsia="Calibri" w:hAnsi="Verdana" w:cs="Arial"/>
          <w:lang w:val="es-ES" w:eastAsia="es-ES"/>
        </w:rPr>
      </w:pPr>
      <w:r w:rsidRPr="00583514">
        <w:rPr>
          <w:rFonts w:ascii="Verdana" w:eastAsia="Calibri" w:hAnsi="Verdana" w:cs="Arial"/>
          <w:lang w:val="es-ES" w:eastAsia="es-ES"/>
        </w:rPr>
        <w:t>En ejercicio de la competencia otorgada por los artículos 3, numeral 5º, y 11, numeral 8º, del Decreto Ley 4170 de 2011,</w:t>
      </w:r>
      <w:r w:rsidRPr="00583514">
        <w:rPr>
          <w:rFonts w:ascii="Verdana" w:eastAsia="Arial MT" w:hAnsi="Verdana" w:cs="Arial MT"/>
          <w:lang w:val="es-ES" w:eastAsia="es-ES"/>
        </w:rPr>
        <w:t xml:space="preserve"> </w:t>
      </w:r>
      <w:r w:rsidRPr="00583514">
        <w:rPr>
          <w:rFonts w:ascii="Verdana" w:eastAsia="Calibri" w:hAnsi="Verdana" w:cs="Arial"/>
        </w:rPr>
        <w:t xml:space="preserve">así como lo establecido en la Resolución 469 de 2025 expedida por esta Entidad, </w:t>
      </w:r>
      <w:r w:rsidRPr="00583514">
        <w:rPr>
          <w:rFonts w:ascii="Verdana" w:eastAsia="Calibri" w:hAnsi="Verdana" w:cs="Arial"/>
          <w:lang w:val="es-ES" w:eastAsia="es-ES"/>
        </w:rPr>
        <w:t xml:space="preserve">la Agencia Nacional de Contratación Pública – Colombia Compra Eficiente– responde su solicitud de consulta del 02 de marzo de 2026, en la cual manifiesta lo siguiente: </w:t>
      </w:r>
    </w:p>
    <w:p w14:paraId="4BE4CDF1" w14:textId="77777777" w:rsidR="00583514" w:rsidRPr="00583514" w:rsidRDefault="00583514" w:rsidP="00583514">
      <w:pPr>
        <w:tabs>
          <w:tab w:val="left" w:pos="142"/>
          <w:tab w:val="left" w:pos="284"/>
        </w:tabs>
        <w:snapToGrid w:val="0"/>
        <w:spacing w:after="0" w:line="240" w:lineRule="auto"/>
        <w:jc w:val="both"/>
        <w:rPr>
          <w:rFonts w:ascii="Verdana" w:eastAsia="Century Gothic" w:hAnsi="Verdana" w:cs="Century Gothic"/>
          <w:b/>
          <w:bCs/>
        </w:rPr>
      </w:pPr>
    </w:p>
    <w:p w14:paraId="23BD6C92" w14:textId="080269CB" w:rsidR="00583514" w:rsidRPr="00583514" w:rsidRDefault="00583514" w:rsidP="0058351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napToGrid w:val="0"/>
        <w:spacing w:after="0" w:line="240" w:lineRule="auto"/>
        <w:ind w:left="709" w:right="709"/>
        <w:jc w:val="both"/>
        <w:rPr>
          <w:rFonts w:ascii="Verdana" w:eastAsia="Aptos" w:hAnsi="Verdana" w:cs="Helvetica"/>
          <w:color w:val="000000"/>
          <w:sz w:val="20"/>
          <w:szCs w:val="20"/>
          <w:lang w:val="es-MX"/>
          <w14:ligatures w14:val="standardContextual"/>
        </w:rPr>
      </w:pPr>
      <w:r w:rsidRPr="00583514">
        <w:rPr>
          <w:rFonts w:ascii="Verdana" w:eastAsia="Century Gothic" w:hAnsi="Verdana" w:cs="Century Gothic"/>
          <w:sz w:val="20"/>
          <w:szCs w:val="20"/>
          <w:lang w:val="es-ES"/>
        </w:rPr>
        <w:t>“</w:t>
      </w:r>
      <w:r w:rsidRPr="00583514">
        <w:rPr>
          <w:rFonts w:ascii="Verdana" w:eastAsia="Aptos" w:hAnsi="Verdana" w:cs="Times New Roman"/>
          <w:kern w:val="2"/>
          <w:sz w:val="20"/>
          <w:szCs w:val="20"/>
          <w14:ligatures w14:val="standardContextual"/>
        </w:rPr>
        <w:t xml:space="preserve">Matriz de experiencia en Pliego tipo de infraestructura social para el sector vivienda: En proyectos de mejoramiento de vivienda por asignación de subsidio, en la que existe listado maestro de ítems de obra por precio unitario, ¿Cómo se calcula el porcentaje de dimensionamiento de toda la obra?, teniendo en cuenta que, existe un </w:t>
      </w:r>
      <w:r w:rsidR="002D50D3" w:rsidRPr="00583514">
        <w:rPr>
          <w:rFonts w:ascii="Verdana" w:eastAsia="Aptos" w:hAnsi="Verdana" w:cs="Times New Roman"/>
          <w:kern w:val="2"/>
          <w:sz w:val="20"/>
          <w:szCs w:val="20"/>
          <w14:ligatures w14:val="standardContextual"/>
        </w:rPr>
        <w:t>número</w:t>
      </w:r>
      <w:r w:rsidRPr="00583514">
        <w:rPr>
          <w:rFonts w:ascii="Verdana" w:eastAsia="Aptos" w:hAnsi="Verdana" w:cs="Times New Roman"/>
          <w:kern w:val="2"/>
          <w:sz w:val="20"/>
          <w:szCs w:val="20"/>
          <w14:ligatures w14:val="standardContextual"/>
        </w:rPr>
        <w:t xml:space="preserve"> determinado de viviendas a intervenir pero se desconoce la magnitud de la obra en m2, porque la estructura portable de cada vivienda varía, así como la necesidad puntual de la intervención por la naturaleza del subsidio. Por ejemplo, en un proceso de selección cuyo alcance corresponde al mejoramiento de 200 viviendas ubicadas en sector urbano y rural, cuyo valor a ejecutar por vivienda corresponde a 15 SMMLV de conformidad con </w:t>
      </w:r>
      <w:r w:rsidRPr="00583514">
        <w:rPr>
          <w:rFonts w:ascii="Verdana" w:eastAsia="Aptos" w:hAnsi="Verdana" w:cs="Times New Roman"/>
          <w:kern w:val="2"/>
          <w:sz w:val="20"/>
          <w:szCs w:val="20"/>
          <w14:ligatures w14:val="standardContextual"/>
        </w:rPr>
        <w:lastRenderedPageBreak/>
        <w:t xml:space="preserve">el subsidio asignado ¿Cómo se calcula el porcentaje de dimensionamiento de esas 200 viviendas, si las cantidades totales de obra intervenida se tiene al final de la ejecución de cada mejoramiento?”. </w:t>
      </w:r>
    </w:p>
    <w:p w14:paraId="34FAE499" w14:textId="77777777" w:rsidR="00583514" w:rsidRPr="00583514" w:rsidRDefault="00583514" w:rsidP="00583514">
      <w:pPr>
        <w:spacing w:after="0" w:line="276" w:lineRule="auto"/>
        <w:jc w:val="both"/>
        <w:rPr>
          <w:rFonts w:ascii="Verdana" w:eastAsia="Calibri" w:hAnsi="Verdana" w:cs="Arial"/>
          <w:lang w:val="es-ES" w:eastAsia="es-ES"/>
        </w:rPr>
      </w:pPr>
    </w:p>
    <w:p w14:paraId="182086F8" w14:textId="77777777" w:rsidR="00583514" w:rsidRPr="00583514" w:rsidRDefault="00583514" w:rsidP="00583514">
      <w:pPr>
        <w:numPr>
          <w:ilvl w:val="0"/>
          <w:numId w:val="17"/>
        </w:numPr>
        <w:tabs>
          <w:tab w:val="left" w:pos="142"/>
          <w:tab w:val="left" w:pos="284"/>
        </w:tabs>
        <w:spacing w:after="0" w:line="276" w:lineRule="auto"/>
        <w:jc w:val="both"/>
        <w:rPr>
          <w:rFonts w:ascii="Verdana" w:eastAsia="Century Gothic" w:hAnsi="Verdana" w:cs="Century Gothic"/>
          <w:b/>
          <w:bCs/>
        </w:rPr>
      </w:pPr>
      <w:r w:rsidRPr="00583514">
        <w:rPr>
          <w:rFonts w:ascii="Verdana" w:eastAsia="Century Gothic" w:hAnsi="Verdana" w:cs="Century Gothic"/>
          <w:b/>
          <w:bCs/>
        </w:rPr>
        <w:t>Problema planteado:</w:t>
      </w:r>
    </w:p>
    <w:p w14:paraId="32E69337" w14:textId="77777777" w:rsidR="00583514" w:rsidRPr="00583514" w:rsidRDefault="00583514" w:rsidP="00583514">
      <w:pPr>
        <w:tabs>
          <w:tab w:val="left" w:pos="426"/>
        </w:tabs>
        <w:spacing w:after="0" w:line="276" w:lineRule="auto"/>
        <w:jc w:val="both"/>
        <w:rPr>
          <w:rFonts w:ascii="Verdana" w:eastAsia="Century Gothic" w:hAnsi="Verdana" w:cs="Century Gothic"/>
          <w:lang w:val="es-ES"/>
        </w:rPr>
      </w:pPr>
    </w:p>
    <w:p w14:paraId="52AA6485" w14:textId="77777777" w:rsidR="00583514" w:rsidRPr="00583514" w:rsidRDefault="00583514" w:rsidP="00583514">
      <w:pPr>
        <w:spacing w:after="0" w:line="276" w:lineRule="auto"/>
        <w:jc w:val="both"/>
        <w:rPr>
          <w:rFonts w:ascii="Verdana" w:eastAsia="Aptos" w:hAnsi="Verdana" w:cs="Times New Roman"/>
          <w:kern w:val="2"/>
          <w14:ligatures w14:val="standardContextual"/>
        </w:rPr>
      </w:pPr>
      <w:r w:rsidRPr="00583514">
        <w:rPr>
          <w:rFonts w:ascii="Verdana" w:eastAsia="Century Gothic" w:hAnsi="Verdana" w:cs="Century Gothic"/>
        </w:rPr>
        <w:t xml:space="preserve">De acuerdo con el contenido de su solicitud, esta Agencia en relación con los </w:t>
      </w:r>
      <w:r w:rsidRPr="00583514">
        <w:rPr>
          <w:rFonts w:ascii="Verdana" w:eastAsia="Calibri" w:hAnsi="Verdana" w:cs="Times New Roman"/>
          <w:lang w:val="es-ES"/>
        </w:rPr>
        <w:t>documentos tipo complementarios para los procesos de licitación de obra pública de infraestructura social relacionados con el sector educativo,</w:t>
      </w:r>
      <w:r w:rsidRPr="00583514">
        <w:rPr>
          <w:rFonts w:ascii="Verdana" w:eastAsia="Century Gothic" w:hAnsi="Verdana" w:cs="Century Gothic"/>
        </w:rPr>
        <w:t xml:space="preserve"> resolverá el siguiente problema jurídico: ¿Cómo se </w:t>
      </w:r>
      <w:r w:rsidRPr="00583514">
        <w:rPr>
          <w:rFonts w:ascii="Verdana" w:eastAsia="Aptos" w:hAnsi="Verdana" w:cs="Times New Roman"/>
          <w:kern w:val="2"/>
          <w14:ligatures w14:val="standardContextual"/>
        </w:rPr>
        <w:t>calcula el porcentaje de dimensionamiento del mejoramiento de viviendas, cuando existe un número determinado de estas por intervenir, pero se desconoce la magnitud de la obra en metros cuadrados (m²)?</w:t>
      </w:r>
    </w:p>
    <w:p w14:paraId="6DDF1D5A" w14:textId="77777777" w:rsidR="00583514" w:rsidRPr="00583514" w:rsidRDefault="00583514" w:rsidP="00583514">
      <w:pPr>
        <w:spacing w:after="0" w:line="276" w:lineRule="auto"/>
        <w:jc w:val="both"/>
        <w:rPr>
          <w:rFonts w:ascii="Verdana" w:eastAsia="Century Gothic" w:hAnsi="Verdana" w:cs="Century Gothic"/>
        </w:rPr>
      </w:pPr>
    </w:p>
    <w:p w14:paraId="2375FA23" w14:textId="77777777" w:rsidR="00583514" w:rsidRPr="00583514" w:rsidRDefault="00583514" w:rsidP="00583514">
      <w:pPr>
        <w:tabs>
          <w:tab w:val="left" w:pos="142"/>
          <w:tab w:val="left" w:pos="284"/>
        </w:tabs>
        <w:spacing w:after="0" w:line="276" w:lineRule="auto"/>
        <w:contextualSpacing/>
        <w:jc w:val="both"/>
        <w:rPr>
          <w:rFonts w:ascii="Verdana" w:eastAsia="Century Gothic" w:hAnsi="Verdana" w:cs="Century Gothic"/>
          <w:b/>
          <w:bCs/>
          <w:lang w:val="es-ES"/>
        </w:rPr>
      </w:pPr>
      <w:r w:rsidRPr="00583514">
        <w:rPr>
          <w:rFonts w:ascii="Verdana" w:eastAsia="Century Gothic" w:hAnsi="Verdana" w:cs="Century Gothic"/>
          <w:b/>
          <w:bCs/>
          <w:lang w:val="es-ES"/>
        </w:rPr>
        <w:t>2. Respuestas:</w:t>
      </w:r>
    </w:p>
    <w:p w14:paraId="0009CE89" w14:textId="77777777" w:rsidR="00583514" w:rsidRPr="00583514" w:rsidRDefault="00583514" w:rsidP="00583514">
      <w:pPr>
        <w:tabs>
          <w:tab w:val="left" w:pos="142"/>
          <w:tab w:val="left" w:pos="284"/>
        </w:tabs>
        <w:spacing w:after="0" w:line="276" w:lineRule="auto"/>
        <w:contextualSpacing/>
        <w:jc w:val="both"/>
        <w:rPr>
          <w:rFonts w:ascii="Verdana" w:eastAsia="Century Gothic" w:hAnsi="Verdana" w:cs="Century Gothic"/>
          <w:b/>
          <w:bCs/>
          <w:lang w:val="es-ES"/>
        </w:rPr>
      </w:pPr>
    </w:p>
    <w:tbl>
      <w:tblPr>
        <w:tblStyle w:val="Tablaconcuadrcula1"/>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583514" w:rsidRPr="00583514" w14:paraId="0421D8A7" w14:textId="77777777" w:rsidTr="001B7C5C">
        <w:trPr>
          <w:trHeight w:val="40"/>
        </w:trPr>
        <w:tc>
          <w:tcPr>
            <w:tcW w:w="8828" w:type="dxa"/>
            <w:tcBorders>
              <w:top w:val="dotted" w:sz="4" w:space="0" w:color="auto"/>
              <w:left w:val="dotted" w:sz="4" w:space="0" w:color="auto"/>
              <w:bottom w:val="dotted" w:sz="4" w:space="0" w:color="auto"/>
              <w:right w:val="dotted" w:sz="4" w:space="0" w:color="auto"/>
            </w:tcBorders>
          </w:tcPr>
          <w:p w14:paraId="13450BA1" w14:textId="77777777" w:rsidR="00583514" w:rsidRPr="00583514" w:rsidRDefault="00583514" w:rsidP="00583514">
            <w:pPr>
              <w:widowControl w:val="0"/>
              <w:autoSpaceDE w:val="0"/>
              <w:autoSpaceDN w:val="0"/>
              <w:spacing w:line="276" w:lineRule="auto"/>
              <w:jc w:val="both"/>
              <w:rPr>
                <w:rFonts w:ascii="Verdana" w:eastAsia="Aptos" w:hAnsi="Verdana" w:cs="Times New Roman"/>
              </w:rPr>
            </w:pPr>
            <w:r w:rsidRPr="00583514">
              <w:rPr>
                <w:rFonts w:ascii="Verdana" w:eastAsia="Aptos" w:hAnsi="Verdana" w:cs="Times New Roman"/>
              </w:rPr>
              <w:t>La Matriz 1 – Sector Vivienda de los documentos tipo, adoptados mediante la Resolución 359 de 2025, establece en el capítulo ‘1. Obras en proyectos de viviendas urbanas’ la siguiente actividad:”</w:t>
            </w:r>
          </w:p>
          <w:p w14:paraId="5ADBD942" w14:textId="77777777" w:rsidR="00583514" w:rsidRPr="00583514" w:rsidRDefault="00583514" w:rsidP="00583514">
            <w:pPr>
              <w:widowControl w:val="0"/>
              <w:autoSpaceDE w:val="0"/>
              <w:autoSpaceDN w:val="0"/>
              <w:spacing w:line="276" w:lineRule="auto"/>
              <w:ind w:firstLine="708"/>
              <w:jc w:val="both"/>
              <w:rPr>
                <w:rFonts w:ascii="Verdana" w:eastAsia="Calibri" w:hAnsi="Verdana" w:cs="Times New Roman"/>
                <w:lang w:val="es-ES"/>
              </w:rPr>
            </w:pPr>
          </w:p>
          <w:p w14:paraId="3F2AA232" w14:textId="77777777" w:rsidR="00583514" w:rsidRPr="00583514" w:rsidRDefault="00583514" w:rsidP="00583514">
            <w:pPr>
              <w:widowControl w:val="0"/>
              <w:autoSpaceDE w:val="0"/>
              <w:autoSpaceDN w:val="0"/>
              <w:spacing w:line="276" w:lineRule="auto"/>
              <w:ind w:left="709" w:right="709"/>
              <w:jc w:val="both"/>
              <w:rPr>
                <w:rFonts w:ascii="Verdana" w:eastAsia="Aptos" w:hAnsi="Verdana" w:cs="Aptos"/>
                <w:sz w:val="21"/>
                <w:szCs w:val="21"/>
              </w:rPr>
            </w:pPr>
            <w:r w:rsidRPr="00583514">
              <w:rPr>
                <w:rFonts w:ascii="Verdana" w:eastAsia="Aptos" w:hAnsi="Verdana" w:cs="Aptos"/>
                <w:sz w:val="21"/>
                <w:szCs w:val="21"/>
              </w:rPr>
              <w:t xml:space="preserve">“1.2. PROYECTOS DE ADECUACIÓN Y/O CONSERVACIÓN Y/O INTERVENCIÓN Y/O INSTALACIÓN Y/O MANTENIMIENTO Y/O MEJORAMIENTO Y/O MODIFICACIÓN U OPTIMIZACIÓN Y/O REHABILITACIÓN Y/O REMODELACIÓN Y/O REPOSICIÓN Y/O REPARACIÓN LOCATIVA Y/O RESTAURACIÓN Y/O RECONSTRUCCIÓN Y/O RESTITUCIÓN Y/O TERMINACIÓN Y/O AISLAMIENTO TÉRMICO DE VIVIENDA(S) URBANA(S)”. </w:t>
            </w:r>
          </w:p>
          <w:p w14:paraId="619D2B08" w14:textId="77777777" w:rsidR="00583514" w:rsidRPr="00583514" w:rsidRDefault="00583514" w:rsidP="00583514">
            <w:pPr>
              <w:widowControl w:val="0"/>
              <w:autoSpaceDE w:val="0"/>
              <w:autoSpaceDN w:val="0"/>
              <w:spacing w:line="276" w:lineRule="auto"/>
              <w:ind w:firstLine="708"/>
              <w:jc w:val="both"/>
              <w:rPr>
                <w:rFonts w:ascii="Arial" w:eastAsia="Times New Roman" w:hAnsi="Arial" w:cs="Arial"/>
                <w:lang w:eastAsia="es-MX"/>
              </w:rPr>
            </w:pPr>
          </w:p>
          <w:p w14:paraId="6588CE0F" w14:textId="77777777" w:rsidR="00583514" w:rsidRPr="00583514" w:rsidRDefault="00583514" w:rsidP="00583514">
            <w:pPr>
              <w:widowControl w:val="0"/>
              <w:autoSpaceDE w:val="0"/>
              <w:autoSpaceDN w:val="0"/>
              <w:spacing w:line="276" w:lineRule="auto"/>
              <w:ind w:firstLine="708"/>
              <w:jc w:val="both"/>
              <w:rPr>
                <w:rFonts w:ascii="Arial" w:eastAsia="Times New Roman" w:hAnsi="Arial" w:cs="Arial"/>
                <w:lang w:eastAsia="es-MX"/>
              </w:rPr>
            </w:pPr>
            <w:r w:rsidRPr="00583514">
              <w:rPr>
                <w:rFonts w:ascii="Verdana" w:eastAsia="Times New Roman" w:hAnsi="Verdana" w:cs="Arial"/>
                <w:lang w:eastAsia="es-MX"/>
              </w:rPr>
              <w:t>Para la actividad señalada, la “</w:t>
            </w:r>
            <w:r w:rsidRPr="00583514">
              <w:rPr>
                <w:rFonts w:ascii="Verdana" w:eastAsia="Calibri" w:hAnsi="Verdana" w:cs="Times New Roman"/>
                <w:lang w:val="es-ES"/>
              </w:rPr>
              <w:t>Matriz 1 – Experiencia Sector Vivienda” establece los siguientes requisitos de experiencia general y específica, además de un porcentaje (%) de dimensionamiento según la magnitud requerida en el proceso de contratación:</w:t>
            </w:r>
          </w:p>
          <w:p w14:paraId="4C5614D4" w14:textId="77777777" w:rsidR="00583514" w:rsidRPr="00583514" w:rsidRDefault="00583514" w:rsidP="00583514">
            <w:pPr>
              <w:rPr>
                <w:rFonts w:ascii="Arial" w:eastAsia="Times New Roman" w:hAnsi="Arial" w:cs="Arial"/>
                <w:lang w:eastAsia="es-MX"/>
              </w:rPr>
            </w:pPr>
          </w:p>
          <w:p w14:paraId="1D69DAC4" w14:textId="77777777" w:rsidR="00583514" w:rsidRPr="00583514" w:rsidRDefault="00583514" w:rsidP="00583514">
            <w:pPr>
              <w:ind w:left="709" w:right="709"/>
              <w:jc w:val="both"/>
              <w:rPr>
                <w:rFonts w:ascii="Verdana" w:eastAsia="Aptos" w:hAnsi="Verdana" w:cs="Aptos"/>
                <w:b/>
                <w:bCs/>
                <w:sz w:val="21"/>
                <w:szCs w:val="21"/>
                <w:u w:val="single"/>
              </w:rPr>
            </w:pPr>
            <w:r w:rsidRPr="00583514">
              <w:rPr>
                <w:rFonts w:ascii="Verdana" w:eastAsia="Aptos" w:hAnsi="Verdana" w:cs="Aptos"/>
                <w:b/>
                <w:bCs/>
                <w:sz w:val="21"/>
                <w:szCs w:val="21"/>
                <w:u w:val="single"/>
              </w:rPr>
              <w:t>“General</w:t>
            </w:r>
          </w:p>
          <w:p w14:paraId="00FA4B34" w14:textId="77777777" w:rsidR="00583514" w:rsidRPr="00583514" w:rsidRDefault="00583514" w:rsidP="00583514">
            <w:pPr>
              <w:spacing w:after="120"/>
              <w:ind w:left="709" w:right="709"/>
              <w:jc w:val="both"/>
              <w:rPr>
                <w:rFonts w:ascii="Verdana" w:eastAsia="Aptos" w:hAnsi="Verdana" w:cs="Aptos"/>
                <w:sz w:val="21"/>
                <w:szCs w:val="21"/>
              </w:rPr>
            </w:pPr>
            <w:r w:rsidRPr="00583514">
              <w:rPr>
                <w:rFonts w:ascii="Verdana" w:eastAsia="Aptos" w:hAnsi="Verdana" w:cs="Aptos"/>
                <w:sz w:val="21"/>
                <w:szCs w:val="21"/>
              </w:rPr>
              <w:t xml:space="preserve">“PROYECTOS QUE CORRESPONDAN Y/O CONTEMPLEN ACTIVIDADES DE: CONSTRUCCIÓN Y/O AMPLIACIÓN Y/O RECONSTRUCCIÓN Y/O ADECUACIÓN Y/O CONSERVACIÓN Y/O INTERVENCIÓN Y/O INSTALACIÓN Y/O MANTENIMIENTO Y/O </w:t>
            </w:r>
            <w:r w:rsidRPr="00583514">
              <w:rPr>
                <w:rFonts w:ascii="Verdana" w:eastAsia="Aptos" w:hAnsi="Verdana" w:cs="Aptos"/>
                <w:sz w:val="21"/>
                <w:szCs w:val="21"/>
              </w:rPr>
              <w:lastRenderedPageBreak/>
              <w:t>MEJORAMIENTO Y/O MODIFICACIÓN Y/U OPTIMIZACIÓN Y/O REHABILITACIÓN Y/O REMODELACIÓN Y/O REPOSICIÓN Y/O REPARACIÓN LOCATIVA Y/O RESTAURACIÓN Y/O RECONSTRUCCION Y/O RESTITUCIÓN Y/O TERMINACIÓN  DE  EDIFICACIONES”</w:t>
            </w:r>
          </w:p>
          <w:p w14:paraId="1D23ADA2" w14:textId="77777777" w:rsidR="00583514" w:rsidRPr="00583514" w:rsidRDefault="00583514" w:rsidP="00583514">
            <w:pPr>
              <w:spacing w:after="120"/>
              <w:ind w:left="709" w:right="709"/>
              <w:jc w:val="both"/>
              <w:rPr>
                <w:rFonts w:ascii="Verdana" w:eastAsia="Aptos" w:hAnsi="Verdana" w:cs="Aptos"/>
                <w:sz w:val="21"/>
                <w:szCs w:val="21"/>
              </w:rPr>
            </w:pPr>
            <w:r w:rsidRPr="00583514">
              <w:rPr>
                <w:rFonts w:ascii="Verdana" w:eastAsia="Aptos" w:hAnsi="Verdana" w:cs="Aptos"/>
                <w:b/>
                <w:bCs/>
                <w:sz w:val="21"/>
                <w:szCs w:val="21"/>
              </w:rPr>
              <w:t>Nota general para experiencia específica</w:t>
            </w:r>
            <w:r w:rsidRPr="00583514">
              <w:rPr>
                <w:rFonts w:ascii="Verdana" w:eastAsia="Aptos" w:hAnsi="Verdana" w:cs="Aptos"/>
                <w:sz w:val="21"/>
                <w:szCs w:val="21"/>
              </w:rPr>
              <w:t>: En el caso en el cual, debido a la magnitud física que sea empleada como variable para establecimiento del (F%) de dimensionamiento como experiencia específica, la Entidad podrá aceptar que el mismo sea acreditado con la sumatoria de máximo dos (2) de los contratos válidos aportados como experiencia, garantizando condiciones pluralistas y participativas, siendo requisitos adecuados y proporcionales.”</w:t>
            </w:r>
          </w:p>
          <w:p w14:paraId="7CC8EBFA" w14:textId="77777777" w:rsidR="00583514" w:rsidRPr="00583514" w:rsidRDefault="00583514" w:rsidP="00583514">
            <w:pPr>
              <w:spacing w:after="120"/>
              <w:ind w:left="709" w:right="709"/>
              <w:jc w:val="both"/>
              <w:rPr>
                <w:rFonts w:ascii="Verdana" w:eastAsia="Aptos" w:hAnsi="Verdana" w:cs="Aptos"/>
                <w:b/>
                <w:bCs/>
                <w:sz w:val="21"/>
                <w:szCs w:val="21"/>
                <w:u w:val="single"/>
              </w:rPr>
            </w:pPr>
            <w:r w:rsidRPr="00583514">
              <w:rPr>
                <w:rFonts w:ascii="Verdana" w:eastAsia="Aptos" w:hAnsi="Verdana" w:cs="Aptos"/>
                <w:b/>
                <w:bCs/>
                <w:sz w:val="21"/>
                <w:szCs w:val="21"/>
                <w:u w:val="single"/>
              </w:rPr>
              <w:t>Especifica:</w:t>
            </w:r>
          </w:p>
          <w:p w14:paraId="4311D024" w14:textId="77777777" w:rsidR="00583514" w:rsidRPr="00583514" w:rsidRDefault="00583514" w:rsidP="00583514">
            <w:pPr>
              <w:ind w:left="709" w:right="709"/>
              <w:jc w:val="both"/>
              <w:rPr>
                <w:rFonts w:ascii="Verdana" w:eastAsia="Aptos" w:hAnsi="Verdana" w:cs="Aptos"/>
                <w:sz w:val="21"/>
                <w:szCs w:val="21"/>
              </w:rPr>
            </w:pPr>
            <w:r w:rsidRPr="00583514">
              <w:rPr>
                <w:rFonts w:ascii="Verdana" w:eastAsia="Aptos" w:hAnsi="Verdana" w:cs="Aptos"/>
                <w:sz w:val="21"/>
                <w:szCs w:val="21"/>
              </w:rPr>
              <w:t>“Por lo menos uno (1) de los contratos válidos aportados como experiencia general debe contemplar un área intervenida o construida igual o superior al (F%) del total de metros cuadrados del proceso de selección, el cuál corresponde a [</w:t>
            </w:r>
            <w:r w:rsidRPr="00583514">
              <w:rPr>
                <w:rFonts w:ascii="Verdana" w:eastAsia="Aptos" w:hAnsi="Verdana" w:cs="Aptos"/>
                <w:sz w:val="21"/>
                <w:szCs w:val="21"/>
                <w:highlight w:val="lightGray"/>
              </w:rPr>
              <w:t>La Entidad indicará los metros cuadrados para el proceso de selección</w:t>
            </w:r>
            <w:r w:rsidRPr="00583514">
              <w:rPr>
                <w:rFonts w:ascii="Verdana" w:eastAsia="Aptos" w:hAnsi="Verdana" w:cs="Aptos"/>
                <w:sz w:val="21"/>
                <w:szCs w:val="21"/>
              </w:rPr>
              <w:t xml:space="preserve">]”. </w:t>
            </w:r>
          </w:p>
          <w:p w14:paraId="1D6ACFF8" w14:textId="77777777" w:rsidR="00583514" w:rsidRPr="00583514" w:rsidRDefault="00583514" w:rsidP="00583514">
            <w:pPr>
              <w:ind w:left="709" w:right="709"/>
              <w:jc w:val="both"/>
              <w:rPr>
                <w:rFonts w:ascii="Arial" w:eastAsia="Times New Roman" w:hAnsi="Arial" w:cs="Arial"/>
                <w:sz w:val="21"/>
                <w:szCs w:val="21"/>
                <w:lang w:eastAsia="es-MX"/>
              </w:rPr>
            </w:pPr>
            <w:r w:rsidRPr="00583514">
              <w:rPr>
                <w:rFonts w:ascii="Aptos" w:eastAsia="Aptos" w:hAnsi="Aptos" w:cs="Times New Roman"/>
              </w:rPr>
              <w:tab/>
            </w:r>
            <w:r w:rsidRPr="00583514">
              <w:rPr>
                <w:rFonts w:ascii="Aptos" w:eastAsia="Aptos" w:hAnsi="Aptos" w:cs="Times New Roman"/>
              </w:rPr>
              <w:tab/>
            </w:r>
            <w:r w:rsidRPr="00583514">
              <w:rPr>
                <w:rFonts w:ascii="Aptos" w:eastAsia="Aptos" w:hAnsi="Aptos" w:cs="Times New Roman"/>
              </w:rPr>
              <w:tab/>
            </w:r>
            <w:r w:rsidRPr="00583514">
              <w:rPr>
                <w:rFonts w:ascii="Aptos" w:eastAsia="Aptos" w:hAnsi="Aptos" w:cs="Times New Roman"/>
              </w:rPr>
              <w:tab/>
            </w:r>
          </w:p>
          <w:p w14:paraId="25B91D3C" w14:textId="77777777" w:rsidR="00583514" w:rsidRPr="00583514" w:rsidRDefault="00583514" w:rsidP="00583514">
            <w:pPr>
              <w:spacing w:after="120" w:line="276" w:lineRule="auto"/>
              <w:ind w:firstLine="708"/>
              <w:jc w:val="both"/>
              <w:rPr>
                <w:rFonts w:ascii="Verdana" w:eastAsia="Aptos" w:hAnsi="Verdana" w:cs="Aptos"/>
              </w:rPr>
            </w:pPr>
            <w:r w:rsidRPr="00583514">
              <w:rPr>
                <w:rFonts w:ascii="Verdana" w:eastAsia="Aptos" w:hAnsi="Verdana" w:cs="Aptos"/>
              </w:rPr>
              <w:t xml:space="preserve">Así mismo, el numeral </w:t>
            </w:r>
            <w:r w:rsidRPr="00583514">
              <w:rPr>
                <w:rFonts w:ascii="Verdana" w:eastAsia="Aptos" w:hAnsi="Verdana" w:cs="Aptos"/>
                <w:i/>
                <w:iCs/>
              </w:rPr>
              <w:t xml:space="preserve">3.5. </w:t>
            </w:r>
            <w:r w:rsidRPr="00583514">
              <w:rPr>
                <w:rFonts w:ascii="Verdana" w:eastAsia="Aptos" w:hAnsi="Verdana" w:cs="Aptos"/>
              </w:rPr>
              <w:t>“Experiencia” del documentos base de los documentos tipo de licitación de obra pública de infraestructura social – versión 2</w:t>
            </w:r>
            <w:r w:rsidRPr="00583514">
              <w:rPr>
                <w:rFonts w:ascii="Verdana" w:eastAsia="Aptos" w:hAnsi="Verdana" w:cs="Aptos"/>
                <w:i/>
                <w:iCs/>
              </w:rPr>
              <w:t xml:space="preserve">, </w:t>
            </w:r>
            <w:r w:rsidRPr="00583514">
              <w:rPr>
                <w:rFonts w:ascii="Verdana" w:eastAsia="Aptos" w:hAnsi="Verdana" w:cs="Aptos"/>
              </w:rPr>
              <w:t>la entidad deberá indicar el área estimada de intervención del proceso de contratación, siguiendo las instrucciones allí establecidas; es decir, señalando el área a construir y/o intervenir en m² y el valor correspondiente al presupuesto oficial.</w:t>
            </w:r>
          </w:p>
          <w:p w14:paraId="49A34CDB" w14:textId="194802DA" w:rsidR="00583514" w:rsidRPr="00583514" w:rsidRDefault="00583514" w:rsidP="00583514">
            <w:pPr>
              <w:spacing w:after="120" w:line="276" w:lineRule="auto"/>
              <w:ind w:firstLine="708"/>
              <w:jc w:val="both"/>
              <w:rPr>
                <w:rFonts w:ascii="Verdana" w:eastAsia="Aptos" w:hAnsi="Verdana" w:cs="Aptos"/>
                <w:kern w:val="2"/>
                <w14:ligatures w14:val="standardContextual"/>
              </w:rPr>
            </w:pPr>
            <w:r w:rsidRPr="00583514">
              <w:rPr>
                <w:rFonts w:ascii="Verdana" w:eastAsia="Aptos" w:hAnsi="Verdana" w:cs="Aptos"/>
                <w:kern w:val="2"/>
                <w14:ligatures w14:val="standardContextual"/>
              </w:rPr>
              <w:t xml:space="preserve">De esta forma, según lo determinado en el documento base —numeral 3.5— y en la Matriz 1 – Experiencia Sector Vivienda, las entidades deben definir los metros cuadrados (m²) que solicitarán, de acuerdo con las características técnicas del proceso de selección. Así, respecto de la pregunta planteada en este concepto, para responder a esta, </w:t>
            </w:r>
            <w:r w:rsidRPr="00583514">
              <w:rPr>
                <w:rFonts w:ascii="Verdana" w:eastAsia="Aptos" w:hAnsi="Verdana" w:cs="Aptos"/>
              </w:rPr>
              <w:t xml:space="preserve">debe indicarse que, para calcular el área cuando el proceso de selección se relaciona con el mejoramiento de vivienda, en los que esta no puede definirse de forma exacta desde el inicio del proyecto, y en los que la ejecución de las actividades, por ejemplo, depende del diagnóstico técnico de cada vivienda, se pueden utilizar </w:t>
            </w:r>
            <w:r w:rsidR="00032A70">
              <w:rPr>
                <w:rFonts w:ascii="Verdana" w:eastAsia="Aptos" w:hAnsi="Verdana" w:cs="Aptos"/>
              </w:rPr>
              <w:t xml:space="preserve">alguno de los </w:t>
            </w:r>
            <w:r w:rsidRPr="00583514">
              <w:rPr>
                <w:rFonts w:ascii="Verdana" w:eastAsia="Aptos" w:hAnsi="Verdana" w:cs="Aptos"/>
              </w:rPr>
              <w:t>criterios de estimación de cantidades o unidades de referencia para definir el área del proyecto.</w:t>
            </w:r>
          </w:p>
          <w:p w14:paraId="18C84108" w14:textId="12F94286" w:rsidR="00583514" w:rsidRPr="00583514" w:rsidRDefault="00583514" w:rsidP="00583514">
            <w:pPr>
              <w:ind w:firstLine="708"/>
              <w:jc w:val="both"/>
              <w:rPr>
                <w:rFonts w:ascii="Verdana" w:eastAsia="Aptos" w:hAnsi="Verdana" w:cs="Aptos"/>
              </w:rPr>
            </w:pPr>
            <w:r w:rsidRPr="00583514">
              <w:rPr>
                <w:rFonts w:ascii="Verdana" w:eastAsia="Aptos" w:hAnsi="Verdana" w:cs="Aptos"/>
              </w:rPr>
              <w:t xml:space="preserve">En este contexto, se debe indicar que el área de intervención corresponderá a la superficie construida de la vivienda en la que se ejecutarán </w:t>
            </w:r>
            <w:r w:rsidRPr="00583514">
              <w:rPr>
                <w:rFonts w:ascii="Verdana" w:eastAsia="Aptos" w:hAnsi="Verdana" w:cs="Aptos"/>
              </w:rPr>
              <w:lastRenderedPageBreak/>
              <w:t>las actividades de mejoramiento, determinada a partir del levantamiento físico de los espacios objeto de intervención, definidos en el diagnóstico técnico; dichas áreas podr</w:t>
            </w:r>
            <w:r w:rsidR="001C0913">
              <w:rPr>
                <w:rFonts w:ascii="Verdana" w:eastAsia="Aptos" w:hAnsi="Verdana" w:cs="Aptos"/>
              </w:rPr>
              <w:t>ía</w:t>
            </w:r>
            <w:r w:rsidRPr="00583514">
              <w:rPr>
                <w:rFonts w:ascii="Verdana" w:eastAsia="Aptos" w:hAnsi="Verdana" w:cs="Aptos"/>
              </w:rPr>
              <w:t>n calcularse</w:t>
            </w:r>
            <w:r w:rsidR="00BF0AC9">
              <w:rPr>
                <w:rFonts w:ascii="Verdana" w:eastAsia="Aptos" w:hAnsi="Verdana" w:cs="Aptos"/>
              </w:rPr>
              <w:t>,</w:t>
            </w:r>
            <w:r w:rsidRPr="00583514">
              <w:rPr>
                <w:rFonts w:ascii="Verdana" w:eastAsia="Aptos" w:hAnsi="Verdana" w:cs="Aptos"/>
              </w:rPr>
              <w:t xml:space="preserve"> </w:t>
            </w:r>
            <w:r w:rsidR="00BF0AC9" w:rsidRPr="00EE0311">
              <w:rPr>
                <w:rFonts w:ascii="Verdana" w:eastAsia="Aptos" w:hAnsi="Verdana" w:cs="Aptos"/>
              </w:rPr>
              <w:t>entre otros métodos,</w:t>
            </w:r>
            <w:r w:rsidR="00BF0AC9">
              <w:rPr>
                <w:rFonts w:ascii="Verdana" w:eastAsia="Aptos" w:hAnsi="Verdana" w:cs="Aptos"/>
              </w:rPr>
              <w:t xml:space="preserve"> </w:t>
            </w:r>
            <w:r w:rsidRPr="00583514">
              <w:rPr>
                <w:rFonts w:ascii="Verdana" w:eastAsia="Aptos" w:hAnsi="Verdana" w:cs="Aptos"/>
              </w:rPr>
              <w:t>de la siguiente manera:</w:t>
            </w:r>
          </w:p>
          <w:p w14:paraId="557390B8" w14:textId="77777777" w:rsidR="00583514" w:rsidRPr="00583514" w:rsidRDefault="00583514" w:rsidP="00583514">
            <w:pPr>
              <w:ind w:firstLine="708"/>
              <w:jc w:val="both"/>
              <w:rPr>
                <w:rFonts w:ascii="Verdana" w:eastAsia="Aptos" w:hAnsi="Verdana" w:cs="Aptos"/>
              </w:rPr>
            </w:pPr>
          </w:p>
          <w:p w14:paraId="4D83C141" w14:textId="01837B68" w:rsidR="00583514" w:rsidRPr="00583514" w:rsidRDefault="00583514" w:rsidP="00583514">
            <w:pPr>
              <w:numPr>
                <w:ilvl w:val="0"/>
                <w:numId w:val="18"/>
              </w:numPr>
              <w:contextualSpacing/>
              <w:jc w:val="both"/>
              <w:rPr>
                <w:rFonts w:ascii="Verdana" w:eastAsia="Aptos" w:hAnsi="Verdana" w:cs="Aptos"/>
              </w:rPr>
            </w:pPr>
            <w:r w:rsidRPr="00583514">
              <w:rPr>
                <w:rFonts w:ascii="Verdana" w:eastAsia="Aptos" w:hAnsi="Verdana" w:cs="Aptos"/>
              </w:rPr>
              <w:t>Realizando un levantamiento o plano de la vivienda en donde se identifiquen los espacios a intervenir, por ejemplo: cocina, habitaciones, baños, cubiertas, pisos</w:t>
            </w:r>
            <w:r w:rsidR="00C151DC">
              <w:rPr>
                <w:rFonts w:ascii="Verdana" w:eastAsia="Aptos" w:hAnsi="Verdana" w:cs="Aptos"/>
              </w:rPr>
              <w:t xml:space="preserve"> y</w:t>
            </w:r>
            <w:r w:rsidRPr="00583514">
              <w:rPr>
                <w:rFonts w:ascii="Verdana" w:eastAsia="Aptos" w:hAnsi="Verdana" w:cs="Aptos"/>
              </w:rPr>
              <w:t xml:space="preserve"> muros, entre otros. </w:t>
            </w:r>
          </w:p>
          <w:p w14:paraId="5299AF5B" w14:textId="08C8F5E1" w:rsidR="00583514" w:rsidRPr="00583514" w:rsidRDefault="00583514" w:rsidP="00583514">
            <w:pPr>
              <w:numPr>
                <w:ilvl w:val="0"/>
                <w:numId w:val="18"/>
              </w:numPr>
              <w:contextualSpacing/>
              <w:jc w:val="both"/>
              <w:rPr>
                <w:rFonts w:ascii="Verdana" w:eastAsia="Aptos" w:hAnsi="Verdana" w:cs="Aptos"/>
              </w:rPr>
            </w:pPr>
            <w:r w:rsidRPr="00583514">
              <w:rPr>
                <w:rFonts w:ascii="Verdana" w:eastAsia="Aptos" w:hAnsi="Verdana" w:cs="Aptos"/>
              </w:rPr>
              <w:t>Calculando el área de cada uno de los espacios, según las tipologías de mejoramiento</w:t>
            </w:r>
            <w:r w:rsidR="000C5626">
              <w:rPr>
                <w:rFonts w:ascii="Verdana" w:eastAsia="Aptos" w:hAnsi="Verdana" w:cs="Aptos"/>
              </w:rPr>
              <w:t xml:space="preserve"> o intervención</w:t>
            </w:r>
            <w:r w:rsidRPr="00583514">
              <w:rPr>
                <w:rFonts w:ascii="Verdana" w:eastAsia="Aptos" w:hAnsi="Verdana" w:cs="Aptos"/>
              </w:rPr>
              <w:t>.</w:t>
            </w:r>
          </w:p>
          <w:p w14:paraId="6CE9209B" w14:textId="77777777" w:rsidR="00583514" w:rsidRPr="00583514" w:rsidRDefault="00583514" w:rsidP="00583514">
            <w:pPr>
              <w:numPr>
                <w:ilvl w:val="0"/>
                <w:numId w:val="18"/>
              </w:numPr>
              <w:contextualSpacing/>
              <w:jc w:val="both"/>
              <w:rPr>
                <w:rFonts w:ascii="Verdana" w:eastAsia="Aptos" w:hAnsi="Verdana" w:cs="Aptos"/>
              </w:rPr>
            </w:pPr>
            <w:r w:rsidRPr="00583514">
              <w:rPr>
                <w:rFonts w:ascii="Verdana" w:eastAsia="Aptos" w:hAnsi="Verdana" w:cs="Aptos"/>
              </w:rPr>
              <w:t>El área total de la vivienda corresponderá a la sumatoria de cada una de las áreas de los espacios a intervenir, la cual será el área promedio estimada por vivienda.</w:t>
            </w:r>
          </w:p>
          <w:p w14:paraId="4694BF63" w14:textId="77777777" w:rsidR="00583514" w:rsidRPr="00583514" w:rsidRDefault="00583514" w:rsidP="00583514">
            <w:pPr>
              <w:numPr>
                <w:ilvl w:val="0"/>
                <w:numId w:val="18"/>
              </w:numPr>
              <w:contextualSpacing/>
              <w:jc w:val="both"/>
              <w:rPr>
                <w:rFonts w:ascii="Verdana" w:eastAsia="Aptos" w:hAnsi="Verdana" w:cs="Aptos"/>
              </w:rPr>
            </w:pPr>
            <w:r w:rsidRPr="00583514">
              <w:rPr>
                <w:rFonts w:ascii="Verdana" w:eastAsia="Aptos" w:hAnsi="Verdana" w:cs="Aptos"/>
              </w:rPr>
              <w:t>De acuerdo con el diagnóstico técnico estimado de cada vivienda, se definirá el área real; esta podrá multiplicarse por el número de viviendas intervenidas, de acuerdo con los componentes o tipos de mejoramiento.</w:t>
            </w:r>
          </w:p>
          <w:p w14:paraId="537F1427" w14:textId="77777777" w:rsidR="00583514" w:rsidRPr="00583514" w:rsidRDefault="00583514" w:rsidP="00583514">
            <w:pPr>
              <w:ind w:left="720"/>
              <w:contextualSpacing/>
              <w:jc w:val="both"/>
              <w:rPr>
                <w:rFonts w:ascii="Verdana" w:eastAsia="Aptos" w:hAnsi="Verdana" w:cs="Aptos"/>
              </w:rPr>
            </w:pPr>
          </w:p>
          <w:p w14:paraId="10D5617A" w14:textId="77777777" w:rsidR="00583514" w:rsidRDefault="00583514" w:rsidP="007376A4">
            <w:pPr>
              <w:spacing w:after="120"/>
              <w:ind w:firstLine="708"/>
              <w:jc w:val="both"/>
              <w:rPr>
                <w:rFonts w:ascii="Verdana" w:eastAsia="Aptos" w:hAnsi="Verdana" w:cs="Times New Roman"/>
              </w:rPr>
            </w:pPr>
            <w:r w:rsidRPr="00583514">
              <w:rPr>
                <w:rFonts w:ascii="Verdana" w:eastAsia="Aptos" w:hAnsi="Verdana" w:cs="Times New Roman"/>
              </w:rPr>
              <w:t xml:space="preserve">Por otro lado, la entidad podrá determinar un área máxima de intervención para cada una de las viviendas y utilizarla como parámetro </w:t>
            </w:r>
            <w:r w:rsidR="00330799">
              <w:rPr>
                <w:rFonts w:ascii="Verdana" w:eastAsia="Aptos" w:hAnsi="Verdana" w:cs="Times New Roman"/>
              </w:rPr>
              <w:t>para el total de viviendas</w:t>
            </w:r>
            <w:r w:rsidRPr="00583514">
              <w:rPr>
                <w:rFonts w:ascii="Verdana" w:eastAsia="Aptos" w:hAnsi="Verdana" w:cs="Times New Roman"/>
              </w:rPr>
              <w:t xml:space="preserve">. </w:t>
            </w:r>
          </w:p>
          <w:p w14:paraId="4D34F82E" w14:textId="2048C822" w:rsidR="007376A4" w:rsidRPr="00583514" w:rsidRDefault="007376A4" w:rsidP="007376A4">
            <w:pPr>
              <w:spacing w:after="120" w:line="276" w:lineRule="auto"/>
              <w:ind w:firstLine="708"/>
              <w:jc w:val="both"/>
              <w:rPr>
                <w:rFonts w:ascii="Verdana" w:eastAsia="Aptos" w:hAnsi="Verdana" w:cs="Times New Roman"/>
              </w:rPr>
            </w:pPr>
            <w:r w:rsidRPr="007376A4">
              <w:rPr>
                <w:rFonts w:ascii="Verdana" w:eastAsia="Aptos" w:hAnsi="Verdana" w:cs="Times New Roman"/>
              </w:rPr>
              <w:t>Sin perjuicio de lo anterior, se aclara que, a través del presente concepto, se presentan ejemplos de cómo determinar el área de intervención; no obstante, corresponde a la entidad que adelanta el proceso de selección definir las alternativas para establecerla, con base en criterios técnicos, el alcance del proyecto y los estudios previos del respectivo proceso.</w:t>
            </w:r>
          </w:p>
        </w:tc>
      </w:tr>
    </w:tbl>
    <w:p w14:paraId="21812D47" w14:textId="77777777" w:rsidR="00583514" w:rsidRPr="00583514" w:rsidRDefault="00583514" w:rsidP="00583514">
      <w:pPr>
        <w:tabs>
          <w:tab w:val="left" w:pos="142"/>
          <w:tab w:val="left" w:pos="284"/>
        </w:tabs>
        <w:spacing w:after="0" w:line="276" w:lineRule="auto"/>
        <w:jc w:val="both"/>
        <w:rPr>
          <w:rFonts w:ascii="Verdana" w:eastAsia="Century Gothic" w:hAnsi="Verdana" w:cs="Century Gothic"/>
          <w:b/>
          <w:bCs/>
          <w:lang w:val="es-ES"/>
        </w:rPr>
      </w:pPr>
    </w:p>
    <w:p w14:paraId="73B2AF84" w14:textId="77777777" w:rsidR="00583514" w:rsidRPr="00583514" w:rsidRDefault="00583514" w:rsidP="00583514">
      <w:pPr>
        <w:tabs>
          <w:tab w:val="left" w:pos="142"/>
          <w:tab w:val="left" w:pos="284"/>
        </w:tabs>
        <w:spacing w:after="0" w:line="276" w:lineRule="auto"/>
        <w:jc w:val="both"/>
        <w:rPr>
          <w:rFonts w:ascii="Verdana" w:eastAsia="Century Gothic" w:hAnsi="Verdana" w:cs="Century Gothic"/>
          <w:b/>
          <w:bCs/>
          <w:lang w:val="es-ES"/>
        </w:rPr>
      </w:pPr>
      <w:r w:rsidRPr="00583514">
        <w:rPr>
          <w:rFonts w:ascii="Verdana" w:eastAsia="Century Gothic" w:hAnsi="Verdana" w:cs="Century Gothic"/>
          <w:b/>
          <w:bCs/>
          <w:lang w:val="es-ES"/>
        </w:rPr>
        <w:t>3. Razones de la respuesta:</w:t>
      </w:r>
    </w:p>
    <w:p w14:paraId="29045A09" w14:textId="77777777" w:rsidR="00583514" w:rsidRPr="00583514" w:rsidRDefault="00583514" w:rsidP="00583514">
      <w:pPr>
        <w:spacing w:after="0" w:line="276" w:lineRule="auto"/>
        <w:jc w:val="both"/>
        <w:rPr>
          <w:rFonts w:ascii="Verdana" w:eastAsia="Calibri" w:hAnsi="Verdana" w:cs="Arial"/>
          <w:lang w:val="es-ES"/>
        </w:rPr>
      </w:pPr>
    </w:p>
    <w:p w14:paraId="26FEC125" w14:textId="77777777" w:rsidR="00583514" w:rsidRPr="00583514" w:rsidRDefault="00583514" w:rsidP="00583514">
      <w:pPr>
        <w:spacing w:after="0" w:line="276" w:lineRule="auto"/>
        <w:jc w:val="both"/>
        <w:rPr>
          <w:rFonts w:ascii="Verdana" w:eastAsia="Calibri" w:hAnsi="Verdana" w:cs="Arial"/>
          <w:lang w:val="es-ES"/>
        </w:rPr>
      </w:pPr>
      <w:r w:rsidRPr="00583514">
        <w:rPr>
          <w:rFonts w:ascii="Verdana" w:eastAsia="Calibri" w:hAnsi="Verdana" w:cs="Arial"/>
          <w:lang w:val="es-ES"/>
        </w:rPr>
        <w:t xml:space="preserve">Lo anterior se sustenta en las siguientes consideraciones: </w:t>
      </w:r>
    </w:p>
    <w:p w14:paraId="164472EC" w14:textId="77777777" w:rsidR="00583514" w:rsidRPr="00583514" w:rsidRDefault="00583514" w:rsidP="00583514">
      <w:pPr>
        <w:spacing w:after="0" w:line="276" w:lineRule="auto"/>
        <w:jc w:val="both"/>
        <w:rPr>
          <w:rFonts w:ascii="Verdana" w:eastAsia="Calibri" w:hAnsi="Verdana" w:cs="Arial"/>
          <w:lang w:val="es-ES"/>
        </w:rPr>
      </w:pPr>
    </w:p>
    <w:p w14:paraId="5AF99057" w14:textId="77777777" w:rsidR="00583514" w:rsidRPr="00583514" w:rsidRDefault="00583514" w:rsidP="00583514">
      <w:pPr>
        <w:widowControl w:val="0"/>
        <w:autoSpaceDE w:val="0"/>
        <w:autoSpaceDN w:val="0"/>
        <w:spacing w:after="120" w:line="276" w:lineRule="auto"/>
        <w:jc w:val="both"/>
        <w:rPr>
          <w:rFonts w:ascii="Verdana" w:eastAsia="Calibri" w:hAnsi="Verdana" w:cs="Times New Roman"/>
          <w:lang w:val="es-ES"/>
        </w:rPr>
      </w:pPr>
      <w:bookmarkStart w:id="1" w:name="_Hlk113022941"/>
      <w:r w:rsidRPr="00583514">
        <w:rPr>
          <w:rFonts w:ascii="Verdana" w:eastAsia="Calibri" w:hAnsi="Verdana" w:cs="Times New Roman"/>
          <w:lang w:val="es-ES"/>
        </w:rPr>
        <w:t>El artículo 1 de la Ley 2022 de 2020 “Por la cual modifica el artículo 4 de la Ley 1882 de 2018 y se dictan otras disposiciones” otorga a la Agencia Nacional de Contratación Pública – Colombia Compra Eficiente la competencia para adoptar los documentos tipo que serán de obligatorio cumplimiento en la actividad contractual de todas las entidades sometidas al Estatuto General de la Administración Pública.</w:t>
      </w:r>
    </w:p>
    <w:p w14:paraId="332333D2" w14:textId="77777777" w:rsidR="00583514" w:rsidRPr="00583514" w:rsidRDefault="00583514" w:rsidP="00583514">
      <w:pPr>
        <w:widowControl w:val="0"/>
        <w:autoSpaceDE w:val="0"/>
        <w:autoSpaceDN w:val="0"/>
        <w:spacing w:after="120" w:line="276" w:lineRule="auto"/>
        <w:ind w:firstLine="708"/>
        <w:jc w:val="both"/>
        <w:rPr>
          <w:rFonts w:ascii="Verdana" w:eastAsia="Calibri" w:hAnsi="Verdana" w:cs="Times New Roman"/>
          <w:lang w:val="es-ES"/>
        </w:rPr>
      </w:pPr>
      <w:r w:rsidRPr="00583514">
        <w:rPr>
          <w:rFonts w:ascii="Verdana" w:eastAsia="Calibri" w:hAnsi="Verdana" w:cs="Times New Roman"/>
          <w:lang w:val="es-ES"/>
        </w:rPr>
        <w:t xml:space="preserve">Con sustento en esta competencia, esta Agencia expidió diversos grupos de documentos tipo aplicables principalmente a la contratación de obras públicas de infraestructura de transporte, agua potable, saneamiento básico y social, </w:t>
      </w:r>
      <w:r w:rsidRPr="00583514">
        <w:rPr>
          <w:rFonts w:ascii="Verdana" w:eastAsia="Calibri" w:hAnsi="Verdana" w:cs="Times New Roman"/>
          <w:lang w:val="es-ES"/>
        </w:rPr>
        <w:lastRenderedPageBreak/>
        <w:t>para interventoría y consultoría de estudios de ingeniería, pero también, para la celebración de convenios solidarios con Juntas de Acción Comunal y para los procesos de gestión catastral con enfoque multipropósito. De conformidad con las modalidades de selección establecidas en el artículo 2 de la Ley 1150 de 2007, estos documentos tipo se han expedido para las modalidades de selección de licitación pública, selección abreviada de menor cuantía, mínima cuantía, concurso de méritos y contratación directa.</w:t>
      </w:r>
    </w:p>
    <w:p w14:paraId="6887CD70" w14:textId="77777777" w:rsidR="00583514" w:rsidRPr="00583514" w:rsidRDefault="00583514" w:rsidP="00583514">
      <w:pPr>
        <w:spacing w:after="120" w:line="276" w:lineRule="auto"/>
        <w:ind w:firstLine="708"/>
        <w:jc w:val="both"/>
        <w:rPr>
          <w:rFonts w:ascii="Verdana" w:eastAsia="Times New Roman" w:hAnsi="Verdana" w:cs="Times New Roman"/>
          <w:color w:val="000000"/>
          <w:lang w:eastAsia="es-CO"/>
        </w:rPr>
      </w:pPr>
      <w:r w:rsidRPr="00583514">
        <w:rPr>
          <w:rFonts w:ascii="Verdana" w:eastAsia="Aptos" w:hAnsi="Verdana" w:cs="Arial"/>
        </w:rPr>
        <w:t xml:space="preserve">En el sector social, </w:t>
      </w:r>
      <w:r w:rsidRPr="00583514">
        <w:rPr>
          <w:rFonts w:ascii="Verdana" w:eastAsia="Calibri" w:hAnsi="Verdana" w:cs="Arial"/>
          <w:lang w:val="es-MX"/>
        </w:rPr>
        <w:t xml:space="preserve">la Agencia Nacional de Contratación Pública – Colombia Compra </w:t>
      </w:r>
      <w:r w:rsidRPr="00583514">
        <w:rPr>
          <w:rFonts w:ascii="Verdana" w:eastAsia="Calibri" w:hAnsi="Verdana" w:cs="Arial"/>
        </w:rPr>
        <w:t xml:space="preserve">Eficiente </w:t>
      </w:r>
      <w:r w:rsidRPr="00583514">
        <w:rPr>
          <w:rFonts w:ascii="Verdana" w:eastAsia="Times New Roman" w:hAnsi="Verdana" w:cs="Times New Roman"/>
          <w:color w:val="000000"/>
          <w:lang w:eastAsia="es-CO"/>
        </w:rPr>
        <w:t>en el segundo semestre del año 2025 adoptó las siguientes Resoluciones para contratar obra pública y concurso de méritos:</w:t>
      </w:r>
    </w:p>
    <w:p w14:paraId="3CE12CD6" w14:textId="77777777" w:rsidR="00583514" w:rsidRPr="00583514" w:rsidRDefault="00583514" w:rsidP="00583514">
      <w:pPr>
        <w:spacing w:after="120" w:line="276" w:lineRule="auto"/>
        <w:ind w:firstLine="708"/>
        <w:jc w:val="both"/>
        <w:rPr>
          <w:rFonts w:ascii="Verdana" w:eastAsia="Times New Roman" w:hAnsi="Verdana" w:cs="Times New Roman"/>
          <w:color w:val="000000"/>
          <w:lang w:eastAsia="es-CO"/>
        </w:rPr>
      </w:pPr>
      <w:r w:rsidRPr="00583514">
        <w:rPr>
          <w:rFonts w:ascii="Verdana" w:eastAsia="Times New Roman" w:hAnsi="Verdana" w:cs="Times New Roman"/>
          <w:color w:val="000000"/>
          <w:lang w:eastAsia="es-CO"/>
        </w:rPr>
        <w:t>i) Resolución 539 del 21 de agosto de 2015 "Por la cual se adopta la versión -2- de los documentos tipo para los procesos de selección de licitación de obra pública del sector de infraestructura social y se deroga la Resolución 219 de 2021; se adoptan los documentos tipo complementarios para los procesos de licitación de obra pública de infraestructura social relacionados con los sectores de educación, salud, cultura, recreación y deporte - versión 2 y se derogan las Resoluciones 220, 392 у 454 de 2021; y se adoptan los documentos tipo complementarios para los procesos de licitación de obra pública de infraestructura social relacionados con los sectores institucional y vivienda".</w:t>
      </w:r>
    </w:p>
    <w:p w14:paraId="2581DDD8" w14:textId="77777777" w:rsidR="00583514" w:rsidRPr="00583514" w:rsidRDefault="00583514" w:rsidP="00583514">
      <w:pPr>
        <w:spacing w:after="120" w:line="276" w:lineRule="auto"/>
        <w:ind w:firstLine="708"/>
        <w:jc w:val="both"/>
        <w:rPr>
          <w:rFonts w:ascii="Verdana" w:eastAsia="Times New Roman" w:hAnsi="Verdana" w:cs="Times New Roman"/>
          <w:color w:val="000000"/>
          <w:lang w:eastAsia="es-CO"/>
        </w:rPr>
      </w:pPr>
      <w:r w:rsidRPr="00583514">
        <w:rPr>
          <w:rFonts w:ascii="Verdana" w:eastAsia="Times New Roman" w:hAnsi="Verdana" w:cs="Times New Roman"/>
          <w:color w:val="000000"/>
          <w:lang w:eastAsia="es-CO"/>
        </w:rPr>
        <w:t xml:space="preserve"> </w:t>
      </w:r>
      <w:proofErr w:type="spellStart"/>
      <w:r w:rsidRPr="00583514">
        <w:rPr>
          <w:rFonts w:ascii="Verdana" w:eastAsia="Times New Roman" w:hAnsi="Verdana" w:cs="Times New Roman"/>
          <w:color w:val="000000"/>
          <w:lang w:eastAsia="es-CO"/>
        </w:rPr>
        <w:t>ii</w:t>
      </w:r>
      <w:proofErr w:type="spellEnd"/>
      <w:r w:rsidRPr="00583514">
        <w:rPr>
          <w:rFonts w:ascii="Verdana" w:eastAsia="Times New Roman" w:hAnsi="Verdana" w:cs="Times New Roman"/>
          <w:color w:val="000000"/>
          <w:lang w:eastAsia="es-CO"/>
        </w:rPr>
        <w:t>) Resolución 540 del 21 de agosto de 2025 "Por la cual se adoptan los documentos tipo para los procesos de selección abreviada de menor cuantía de obra pública de infraestructura social; y los documentos tipo complementarios para los procesos de selección abreviada de menor cuantía de obra pública de infraestructura social relacionados con los sectores educación, salud, cultura, recreación y deporte, institucional y vivienda".</w:t>
      </w:r>
    </w:p>
    <w:p w14:paraId="0228619E" w14:textId="77777777" w:rsidR="00583514" w:rsidRPr="00583514" w:rsidRDefault="00583514" w:rsidP="00583514">
      <w:pPr>
        <w:spacing w:after="120" w:line="276" w:lineRule="auto"/>
        <w:ind w:firstLine="708"/>
        <w:jc w:val="both"/>
        <w:rPr>
          <w:rFonts w:ascii="Verdana" w:eastAsia="Times New Roman" w:hAnsi="Verdana" w:cs="Times New Roman"/>
          <w:color w:val="000000"/>
          <w:lang w:eastAsia="es-CO"/>
        </w:rPr>
      </w:pPr>
      <w:proofErr w:type="spellStart"/>
      <w:r w:rsidRPr="00583514">
        <w:rPr>
          <w:rFonts w:ascii="Verdana" w:eastAsia="Times New Roman" w:hAnsi="Verdana" w:cs="Times New Roman"/>
          <w:color w:val="000000"/>
          <w:lang w:eastAsia="es-CO"/>
        </w:rPr>
        <w:t>iii</w:t>
      </w:r>
      <w:proofErr w:type="spellEnd"/>
      <w:r w:rsidRPr="00583514">
        <w:rPr>
          <w:rFonts w:ascii="Verdana" w:eastAsia="Times New Roman" w:hAnsi="Verdana" w:cs="Times New Roman"/>
          <w:color w:val="000000"/>
          <w:lang w:eastAsia="es-CO"/>
        </w:rPr>
        <w:t xml:space="preserve">) Resolución 541 del 21 de agosto de 2025 “Por la cual se adoptan los documentos tipo para los procesos de mínima cuantía de obra pública de infraestructura social; y los documentos tipo complementarios para los procesos de mínima cuantía de obra pública de infraestructura social relacionados con los sectores educación, salud, cultura, recreación y deporte, institucional y vivienda”. </w:t>
      </w:r>
    </w:p>
    <w:p w14:paraId="62359C13" w14:textId="77777777" w:rsidR="00583514" w:rsidRPr="00583514" w:rsidRDefault="00583514" w:rsidP="00583514">
      <w:pPr>
        <w:spacing w:after="120" w:line="276" w:lineRule="auto"/>
        <w:ind w:firstLine="708"/>
        <w:jc w:val="both"/>
        <w:rPr>
          <w:rFonts w:ascii="Verdana" w:eastAsia="Times New Roman" w:hAnsi="Verdana" w:cs="Times New Roman"/>
          <w:color w:val="000000"/>
          <w:lang w:eastAsia="es-CO"/>
        </w:rPr>
      </w:pPr>
      <w:proofErr w:type="spellStart"/>
      <w:r w:rsidRPr="00583514">
        <w:rPr>
          <w:rFonts w:ascii="Verdana" w:eastAsia="Times New Roman" w:hAnsi="Verdana" w:cs="Times New Roman"/>
          <w:color w:val="000000"/>
          <w:lang w:eastAsia="es-CO"/>
        </w:rPr>
        <w:t>iv</w:t>
      </w:r>
      <w:proofErr w:type="spellEnd"/>
      <w:r w:rsidRPr="00583514">
        <w:rPr>
          <w:rFonts w:ascii="Verdana" w:eastAsia="Times New Roman" w:hAnsi="Verdana" w:cs="Times New Roman"/>
          <w:color w:val="000000"/>
          <w:lang w:eastAsia="es-CO"/>
        </w:rPr>
        <w:t xml:space="preserve">) Resolución 952 del 15 de diciembre de 2025 “Por la cual se adoptan los documentos tipo para los procesos de selección de concurso de méritos, para contratar la consultoría de estudios de ingeniería de infraestructura social; que </w:t>
      </w:r>
      <w:r w:rsidRPr="00583514">
        <w:rPr>
          <w:rFonts w:ascii="Verdana" w:eastAsia="Times New Roman" w:hAnsi="Verdana" w:cs="Times New Roman"/>
          <w:color w:val="000000"/>
          <w:lang w:eastAsia="es-CO"/>
        </w:rPr>
        <w:lastRenderedPageBreak/>
        <w:t>agrupa los sectores de educación, salud, cultura, recreación y deporte, institucional y vivienda”.</w:t>
      </w:r>
    </w:p>
    <w:p w14:paraId="3DB16F27" w14:textId="77777777" w:rsidR="00583514" w:rsidRPr="00583514" w:rsidRDefault="00583514" w:rsidP="00583514">
      <w:pPr>
        <w:spacing w:after="120" w:line="276" w:lineRule="auto"/>
        <w:ind w:firstLine="708"/>
        <w:jc w:val="both"/>
        <w:rPr>
          <w:rFonts w:ascii="Verdana" w:eastAsia="Times New Roman" w:hAnsi="Verdana" w:cs="Times New Roman"/>
          <w:color w:val="000000"/>
          <w:lang w:eastAsia="es-CO"/>
        </w:rPr>
      </w:pPr>
      <w:r w:rsidRPr="00583514">
        <w:rPr>
          <w:rFonts w:ascii="Verdana" w:eastAsia="Times New Roman" w:hAnsi="Verdana" w:cs="Times New Roman"/>
          <w:color w:val="000000"/>
          <w:lang w:eastAsia="es-CO"/>
        </w:rPr>
        <w:t>v) Resolución 953 del 15 de diciembre de 2025 “Por la cual se adopta la versión - 2 de los documentos tipo transversales para los procesos de concurso de méritos para contratar la interventoría de obras públicas de infraestructura social, los documentos tipo complementarios para los procesos de concurso de méritos para contratar la interventoría de obras públicas de infraestructura social relacionados con el sector educación, salud, cultura, recreación y deporte, institucional y vivienda y se deroga la Resolución 798 del 29 de diciembre de 2023".</w:t>
      </w:r>
      <w:r w:rsidRPr="00583514">
        <w:rPr>
          <w:rFonts w:ascii="Verdana" w:eastAsia="Aptos" w:hAnsi="Verdana" w:cs="Times New Roman"/>
          <w:kern w:val="2"/>
          <w14:ligatures w14:val="standardContextual"/>
        </w:rPr>
        <w:t xml:space="preserve"> </w:t>
      </w:r>
    </w:p>
    <w:p w14:paraId="5B020B60" w14:textId="77777777" w:rsidR="00583514" w:rsidRPr="00583514" w:rsidRDefault="00583514" w:rsidP="00583514">
      <w:pPr>
        <w:spacing w:after="120" w:line="276" w:lineRule="auto"/>
        <w:ind w:firstLine="708"/>
        <w:jc w:val="both"/>
        <w:textAlignment w:val="baseline"/>
        <w:rPr>
          <w:rFonts w:ascii="Verdana" w:eastAsia="Calibri" w:hAnsi="Verdana" w:cs="Arial"/>
        </w:rPr>
      </w:pPr>
      <w:r w:rsidRPr="00583514">
        <w:rPr>
          <w:rFonts w:ascii="Verdana" w:eastAsia="Aptos" w:hAnsi="Verdana" w:cs="Times New Roman"/>
          <w:kern w:val="2"/>
          <w14:ligatures w14:val="standardContextual"/>
        </w:rPr>
        <w:t>Las Resoluciones 539, 540 y 541 del 21 de agosto de 2025, así como las Resoluciones 952 y 953 del 15 de diciembre de 2025, adoptadas en el sector de infraestructura social, aplican de forma transversal a las modalidades de selección indicadas y a los proyectos de infraestructura, interventoría y consultoría enmarcados dentro de los sectores educativo, salud, cultura, recreación y deporte, institucional y vivienda, en los procesos de selección cuyo aviso de convocatoria se publique a partir del 16 de febrero de 2026</w:t>
      </w:r>
      <w:r w:rsidRPr="00583514">
        <w:rPr>
          <w:rFonts w:ascii="Verdana" w:eastAsia="Calibri" w:hAnsi="Verdana" w:cs="Arial"/>
          <w:vertAlign w:val="superscript"/>
        </w:rPr>
        <w:footnoteReference w:id="2"/>
      </w:r>
      <w:r w:rsidRPr="00583514">
        <w:rPr>
          <w:rFonts w:ascii="Verdana" w:eastAsia="Calibri" w:hAnsi="Verdana" w:cs="Arial"/>
        </w:rPr>
        <w:t>.</w:t>
      </w:r>
    </w:p>
    <w:p w14:paraId="787B4467" w14:textId="77777777" w:rsidR="00583514" w:rsidRPr="00583514" w:rsidRDefault="00583514" w:rsidP="00583514">
      <w:pPr>
        <w:widowControl w:val="0"/>
        <w:autoSpaceDE w:val="0"/>
        <w:autoSpaceDN w:val="0"/>
        <w:spacing w:after="120" w:line="276" w:lineRule="auto"/>
        <w:ind w:firstLine="708"/>
        <w:jc w:val="both"/>
        <w:rPr>
          <w:rFonts w:ascii="Verdana" w:eastAsia="Calibri" w:hAnsi="Verdana" w:cs="Arial"/>
          <w:kern w:val="2"/>
          <w14:ligatures w14:val="standardContextual"/>
        </w:rPr>
      </w:pPr>
      <w:r w:rsidRPr="00583514">
        <w:rPr>
          <w:rFonts w:ascii="Verdana" w:eastAsia="Calibri" w:hAnsi="Verdana" w:cs="Arial"/>
          <w:kern w:val="2"/>
          <w14:ligatures w14:val="standardContextual"/>
        </w:rPr>
        <w:lastRenderedPageBreak/>
        <w:t>De acuerdo con el artículo tercero de las Resoluciones 539, 540 y 541 del 21 de agosto de 2025, los Documentos Tipo que estas adoptan son de carácter obligatorio en la actividad contractual de las Entidades Estatales sometidas al Estatuto General de Contratación de la Administración Pública. Asimismo, su aplicación es exigible a los patrimonios autónomos y a las personas naturales o jurídicas de derecho público que, por mandato legal, estén obligadas a su implementación.</w:t>
      </w:r>
    </w:p>
    <w:p w14:paraId="2BFC1E27" w14:textId="77777777" w:rsidR="00583514" w:rsidRPr="00583514" w:rsidRDefault="00583514" w:rsidP="00583514">
      <w:pPr>
        <w:widowControl w:val="0"/>
        <w:autoSpaceDE w:val="0"/>
        <w:autoSpaceDN w:val="0"/>
        <w:spacing w:after="120" w:line="276" w:lineRule="auto"/>
        <w:ind w:firstLine="708"/>
        <w:jc w:val="both"/>
        <w:rPr>
          <w:rFonts w:ascii="Verdana" w:eastAsia="Calibri" w:hAnsi="Verdana" w:cs="Arial"/>
          <w:kern w:val="2"/>
          <w14:ligatures w14:val="standardContextual"/>
        </w:rPr>
      </w:pPr>
      <w:r w:rsidRPr="00583514">
        <w:rPr>
          <w:rFonts w:ascii="Verdana" w:eastAsia="Calibri" w:hAnsi="Verdana" w:cs="Arial"/>
          <w:kern w:val="2"/>
          <w14:ligatures w14:val="standardContextual"/>
        </w:rPr>
        <w:t xml:space="preserve">En consecuencia, los obligados a su aplicación, al adelantar sus procedimientos de selección, solo podrán modificarlos en los aspectos que los Documentos Tipo lo permitan. </w:t>
      </w:r>
      <w:r w:rsidRPr="00583514">
        <w:rPr>
          <w:rFonts w:ascii="Verdana" w:eastAsia="Calibri" w:hAnsi="Verdana" w:cs="Times New Roman"/>
          <w:kern w:val="2"/>
          <w:lang w:val="es-ES"/>
          <w14:ligatures w14:val="standardContextual"/>
        </w:rPr>
        <w:t xml:space="preserve">Esto corresponde a aquellos aspectos que se encuentran entre corchetes y resaltados en gris </w:t>
      </w:r>
      <w:r w:rsidRPr="00583514">
        <w:rPr>
          <w:rFonts w:ascii="Verdana" w:eastAsia="Calibri" w:hAnsi="Verdana" w:cs="Times New Roman"/>
          <w:kern w:val="2"/>
          <w:shd w:val="clear" w:color="auto" w:fill="E8E8E8"/>
          <w:lang w:val="es-ES"/>
          <w14:ligatures w14:val="standardContextual"/>
        </w:rPr>
        <w:t>–[texto]–,</w:t>
      </w:r>
      <w:r w:rsidRPr="00583514">
        <w:rPr>
          <w:rFonts w:ascii="Verdana" w:eastAsia="Calibri" w:hAnsi="Verdana" w:cs="Times New Roman"/>
          <w:kern w:val="2"/>
          <w:lang w:val="es-ES"/>
          <w14:ligatures w14:val="standardContextual"/>
        </w:rPr>
        <w:t xml:space="preserve"> para lo cual deberán observarse las instrucciones contenidas en los mismos para su diligenciamiento.</w:t>
      </w:r>
    </w:p>
    <w:p w14:paraId="021D85E1" w14:textId="77777777" w:rsidR="00583514" w:rsidRPr="00583514" w:rsidRDefault="00583514" w:rsidP="00583514">
      <w:pPr>
        <w:widowControl w:val="0"/>
        <w:autoSpaceDE w:val="0"/>
        <w:autoSpaceDN w:val="0"/>
        <w:spacing w:after="120" w:line="276" w:lineRule="auto"/>
        <w:ind w:firstLine="708"/>
        <w:jc w:val="both"/>
        <w:rPr>
          <w:rFonts w:ascii="Verdana" w:eastAsia="Calibri" w:hAnsi="Verdana" w:cs="Times New Roman"/>
          <w:lang w:val="es-ES"/>
        </w:rPr>
      </w:pPr>
      <w:r w:rsidRPr="00583514">
        <w:rPr>
          <w:rFonts w:ascii="Verdana" w:eastAsia="Calibri" w:hAnsi="Verdana" w:cs="Times New Roman"/>
          <w:lang w:val="es-ES"/>
        </w:rPr>
        <w:t xml:space="preserve">Por lo tanto, la entidad solo podrá modificar aspectos de los Documentos Tipo cuando así esté permitido, en los términos expuestos. Lo anterior implica que, en los apartes en que los Documentos Tipo no lo permitan, la entidad deberá integrar el contenido de estos a su proceso de contratación sin ningún tipo de alteración. </w:t>
      </w:r>
    </w:p>
    <w:p w14:paraId="41A5B5B2" w14:textId="77777777" w:rsidR="00583514" w:rsidRPr="00583514" w:rsidRDefault="00583514" w:rsidP="00583514">
      <w:pPr>
        <w:widowControl w:val="0"/>
        <w:autoSpaceDE w:val="0"/>
        <w:autoSpaceDN w:val="0"/>
        <w:spacing w:after="120" w:line="276" w:lineRule="auto"/>
        <w:ind w:firstLine="708"/>
        <w:jc w:val="both"/>
        <w:rPr>
          <w:rFonts w:ascii="Verdana" w:eastAsia="Calibri" w:hAnsi="Verdana" w:cs="Times New Roman"/>
          <w:lang w:val="es-ES"/>
        </w:rPr>
      </w:pPr>
      <w:r w:rsidRPr="00583514">
        <w:rPr>
          <w:rFonts w:ascii="Verdana" w:eastAsia="Calibri" w:hAnsi="Verdana" w:cs="Times New Roman"/>
          <w:lang w:val="es-ES"/>
        </w:rPr>
        <w:t>Para establecer si determinado objeto contractual se encuentra cobijado o no por los Documentos Tipo, es necesario determinar si el mismo se enmarca en los tipos de infraestructura, modalidades de selección y tipos de obra estandarizadas en las respectivas matrices de experiencia. De esta manera, solo resulta obligatoria la aplicación de un Documento Tipo en particular cuando se ha establecido que el objeto contractual y la modalidad en la que debe contratarse están dentro del ámbito de aplicación de las resoluciones expedidas por esta Agencia mediante las cuales se adoptan Documentos Tipo.</w:t>
      </w:r>
    </w:p>
    <w:p w14:paraId="0D3846E9" w14:textId="77777777" w:rsidR="00583514" w:rsidRPr="00583514" w:rsidRDefault="00583514" w:rsidP="00583514">
      <w:pPr>
        <w:widowControl w:val="0"/>
        <w:autoSpaceDE w:val="0"/>
        <w:autoSpaceDN w:val="0"/>
        <w:spacing w:after="120" w:line="276" w:lineRule="auto"/>
        <w:ind w:firstLine="708"/>
        <w:jc w:val="both"/>
        <w:rPr>
          <w:rFonts w:ascii="Verdana" w:eastAsia="Calibri" w:hAnsi="Verdana" w:cs="Times New Roman"/>
          <w:lang w:val="es-ES"/>
        </w:rPr>
      </w:pPr>
      <w:r w:rsidRPr="00583514">
        <w:rPr>
          <w:rFonts w:ascii="Verdana" w:eastAsia="Calibri" w:hAnsi="Verdana" w:cs="Times New Roman"/>
          <w:lang w:val="es-ES"/>
        </w:rPr>
        <w:t xml:space="preserve">Uno de los elementos comunes a los diferentes Documentos Tipo es la “Matriz – Experiencia”. Esta consta de unas celdas en las que se describe la experiencia requerida en relación con el objeto a contratar, definiendo además qué tipo de actividades relacionadas con cada sector deben acogerse a los </w:t>
      </w:r>
      <w:r w:rsidRPr="00583514">
        <w:rPr>
          <w:rFonts w:ascii="Verdana" w:eastAsia="Calibri" w:hAnsi="Verdana" w:cs="Times New Roman"/>
          <w:lang w:val="es-ES"/>
        </w:rPr>
        <w:lastRenderedPageBreak/>
        <w:t>pliegos tipo. Por otro lado, encontramos el “Anexo – Glosario”, el cual contiene las definiciones de los términos usados en los documentos del proceso. Utilizando estos dos documentos, la entidad estatal puede definir si el objeto a contratarse debe emplear los Documentos Tipo adoptados por esta Agencia.</w:t>
      </w:r>
    </w:p>
    <w:p w14:paraId="43050993" w14:textId="77777777" w:rsidR="00583514" w:rsidRPr="00583514" w:rsidRDefault="00583514" w:rsidP="00583514">
      <w:pPr>
        <w:widowControl w:val="0"/>
        <w:autoSpaceDE w:val="0"/>
        <w:autoSpaceDN w:val="0"/>
        <w:spacing w:after="120" w:line="276" w:lineRule="auto"/>
        <w:ind w:firstLine="708"/>
        <w:jc w:val="both"/>
        <w:rPr>
          <w:rFonts w:ascii="Verdana" w:eastAsia="Calibri" w:hAnsi="Verdana" w:cs="Times New Roman"/>
          <w:lang w:val="es-ES"/>
        </w:rPr>
      </w:pPr>
      <w:r w:rsidRPr="00583514">
        <w:rPr>
          <w:rFonts w:ascii="Verdana" w:eastAsia="Calibri" w:hAnsi="Verdana" w:cs="Times New Roman"/>
          <w:lang w:val="es-ES"/>
        </w:rPr>
        <w:t>La Matriz – Experiencia, cumple una doble función: Por un lado, sirve para estandarizar las condiciones de experiencia, conforme al parágrafo 7 del artículo 2 de la Ley 1150 de 2007. De otro lado, dicha matriz permite determinar el ámbito de aplicación de los Documentos Tipo respecto de objetos contractuales asociados, ya que son las actividades descritas en esta las que, obligatoriamente, deben contratarse aplicando Documentos Tipo.</w:t>
      </w:r>
    </w:p>
    <w:p w14:paraId="334D1755" w14:textId="77777777" w:rsidR="00583514" w:rsidRPr="00583514" w:rsidRDefault="00583514" w:rsidP="00583514">
      <w:pPr>
        <w:widowControl w:val="0"/>
        <w:autoSpaceDE w:val="0"/>
        <w:autoSpaceDN w:val="0"/>
        <w:spacing w:after="0" w:line="276" w:lineRule="auto"/>
        <w:ind w:firstLine="708"/>
        <w:jc w:val="both"/>
        <w:rPr>
          <w:rFonts w:ascii="Verdana" w:eastAsia="Calibri" w:hAnsi="Verdana" w:cs="Times New Roman"/>
          <w:lang w:val="es-ES"/>
        </w:rPr>
      </w:pPr>
      <w:r w:rsidRPr="00583514">
        <w:rPr>
          <w:rFonts w:ascii="Verdana" w:eastAsia="Calibri" w:hAnsi="Verdana" w:cs="Times New Roman"/>
          <w:lang w:val="es-ES"/>
        </w:rPr>
        <w:t>De esta manera, para saber a qué actividades deben aplicarse los Documentos Tipo de licitación de obra pública de infraestructura social expedidos por esta Agencia, la entidad debe verificar que estos apliquen para la modalidad de selección en la que debe celebrarse el proceso, subsumiendo el objeto a contratar en los tipos de proyectos de infraestructura a contratarse. Por tanto, si el objeto contractual a ejecutar se encuadra materialmente dentro de alguno de los tipos actividades concretas señaladas en cada una de las matrices de experiencia, se tendrán que aplicar estos Documentos Tipo para los mencionados sectores −según corresponda−, mientras que en el caso contrario no será forzosa su aplicación.</w:t>
      </w:r>
    </w:p>
    <w:p w14:paraId="2F84E3EF" w14:textId="77777777" w:rsidR="00583514" w:rsidRPr="00583514" w:rsidRDefault="00583514" w:rsidP="00583514">
      <w:pPr>
        <w:widowControl w:val="0"/>
        <w:autoSpaceDE w:val="0"/>
        <w:autoSpaceDN w:val="0"/>
        <w:spacing w:after="0" w:line="276" w:lineRule="auto"/>
        <w:ind w:firstLine="708"/>
        <w:jc w:val="both"/>
        <w:rPr>
          <w:rFonts w:ascii="Verdana" w:eastAsia="Calibri" w:hAnsi="Verdana" w:cs="Times New Roman"/>
          <w:lang w:val="es-ES"/>
        </w:rPr>
      </w:pPr>
    </w:p>
    <w:p w14:paraId="18290950" w14:textId="77777777" w:rsidR="00583514" w:rsidRPr="00583514" w:rsidRDefault="00583514" w:rsidP="00583514">
      <w:pPr>
        <w:widowControl w:val="0"/>
        <w:autoSpaceDE w:val="0"/>
        <w:autoSpaceDN w:val="0"/>
        <w:spacing w:after="120" w:line="276" w:lineRule="auto"/>
        <w:jc w:val="both"/>
        <w:rPr>
          <w:rFonts w:ascii="Verdana" w:eastAsia="Calibri" w:hAnsi="Verdana" w:cs="Times New Roman"/>
          <w:lang w:val="es-ES"/>
        </w:rPr>
      </w:pPr>
      <w:proofErr w:type="spellStart"/>
      <w:r w:rsidRPr="00583514">
        <w:rPr>
          <w:rFonts w:ascii="Verdana" w:eastAsia="Calibri" w:hAnsi="Verdana" w:cs="Times New Roman"/>
          <w:lang w:val="es-ES"/>
        </w:rPr>
        <w:t>ii</w:t>
      </w:r>
      <w:proofErr w:type="spellEnd"/>
      <w:r w:rsidRPr="00583514">
        <w:rPr>
          <w:rFonts w:ascii="Verdana" w:eastAsia="Calibri" w:hAnsi="Verdana" w:cs="Times New Roman"/>
          <w:lang w:val="es-ES"/>
        </w:rPr>
        <w:t xml:space="preserve">. A efectos de la estandarización de las condiciones de experiencia, cada una de las actividades descritas en las matrices de experiencia tienen asignados unos requisitos generales y/o específicos, que puede exigir la entidad estatal y que deben acreditar los proponentes para participar en los procesos de contratación cuyos objetos correspondan con la actividad para la que se contemplan los mencionados requerimientos. </w:t>
      </w:r>
    </w:p>
    <w:p w14:paraId="79571275" w14:textId="77777777" w:rsidR="00583514" w:rsidRPr="00583514" w:rsidRDefault="00583514" w:rsidP="00583514">
      <w:pPr>
        <w:widowControl w:val="0"/>
        <w:autoSpaceDE w:val="0"/>
        <w:autoSpaceDN w:val="0"/>
        <w:spacing w:after="120" w:line="276" w:lineRule="auto"/>
        <w:ind w:firstLine="708"/>
        <w:jc w:val="both"/>
        <w:rPr>
          <w:rFonts w:ascii="Verdana" w:eastAsia="Calibri" w:hAnsi="Verdana" w:cs="Times New Roman"/>
          <w:lang w:val="es-ES"/>
        </w:rPr>
      </w:pPr>
      <w:r w:rsidRPr="00583514">
        <w:rPr>
          <w:rFonts w:ascii="Verdana" w:eastAsia="Calibri" w:hAnsi="Verdana" w:cs="Times New Roman"/>
          <w:lang w:val="es-ES"/>
        </w:rPr>
        <w:t xml:space="preserve">En ese orden, cada entidad estatal deberá determinar la experiencia general y específica que debe acreditarse en cada procedimiento de selección, en función del objeto contractual. En desarrollo de ese análisis, teniendo en cuenta también las definiciones del Glosario, la entidad estatal deberá determinar si el objeto contractual se enmarca en alguno de los tipos de actividades, identificadas con un número y su descripción en la matriz de experiencia. De esta manera, deberá aplicar estrictamente lo contenido en dicha matriz. Por tanto, no podrá incluir, modificar, suprimir o alterar las condiciones </w:t>
      </w:r>
      <w:r w:rsidRPr="00583514">
        <w:rPr>
          <w:rFonts w:ascii="Verdana" w:eastAsia="Calibri" w:hAnsi="Verdana" w:cs="Times New Roman"/>
          <w:lang w:val="es-ES"/>
        </w:rPr>
        <w:lastRenderedPageBreak/>
        <w:t>de experiencia allí establecidas, salvo cuando de forma expresa esta lo determine.</w:t>
      </w:r>
    </w:p>
    <w:p w14:paraId="1C6C0EE3" w14:textId="77777777" w:rsidR="00583514" w:rsidRPr="00583514" w:rsidRDefault="00583514" w:rsidP="00583514">
      <w:pPr>
        <w:widowControl w:val="0"/>
        <w:autoSpaceDE w:val="0"/>
        <w:autoSpaceDN w:val="0"/>
        <w:spacing w:after="0" w:line="276" w:lineRule="auto"/>
        <w:ind w:firstLine="708"/>
        <w:jc w:val="both"/>
        <w:rPr>
          <w:rFonts w:ascii="Verdana" w:eastAsia="Calibri" w:hAnsi="Verdana" w:cs="Times New Roman"/>
          <w:lang w:val="es-ES"/>
        </w:rPr>
      </w:pPr>
      <w:r w:rsidRPr="00583514">
        <w:rPr>
          <w:rFonts w:ascii="Verdana" w:eastAsia="Calibri" w:hAnsi="Verdana" w:cs="Times New Roman"/>
          <w:lang w:val="es-ES"/>
        </w:rPr>
        <w:t>Conforme a lo anterior, las entidades estatales que adelanten procesos de contratación de licitación de obra pública de infraestructura social asociados a los sectores educativo, salud, cultura, recreación y deporte, institucional o vivienda, deben definir la experiencia exigible, teniendo en cuenta las condiciones fijadas en las matrices de experiencia, de acuerdo con los siguientes pasos</w:t>
      </w:r>
      <w:r w:rsidRPr="00583514">
        <w:rPr>
          <w:rFonts w:ascii="Verdana" w:eastAsia="Calibri" w:hAnsi="Verdana" w:cs="Times New Roman"/>
          <w:vertAlign w:val="superscript"/>
          <w:lang w:val="es-ES"/>
        </w:rPr>
        <w:footnoteReference w:id="3"/>
      </w:r>
      <w:r w:rsidRPr="00583514">
        <w:rPr>
          <w:rFonts w:ascii="Verdana" w:eastAsia="Calibri" w:hAnsi="Verdana" w:cs="Times New Roman"/>
          <w:lang w:val="es-ES"/>
        </w:rPr>
        <w:t>:</w:t>
      </w:r>
    </w:p>
    <w:p w14:paraId="7883E205" w14:textId="77777777" w:rsidR="00583514" w:rsidRPr="00583514" w:rsidRDefault="00583514" w:rsidP="00583514">
      <w:pPr>
        <w:widowControl w:val="0"/>
        <w:autoSpaceDE w:val="0"/>
        <w:autoSpaceDN w:val="0"/>
        <w:spacing w:after="0" w:line="276" w:lineRule="auto"/>
        <w:ind w:left="709" w:right="709"/>
        <w:jc w:val="both"/>
        <w:rPr>
          <w:rFonts w:ascii="Verdana" w:eastAsia="Calibri" w:hAnsi="Verdana" w:cs="Times New Roman"/>
          <w:lang w:val="es-ES"/>
        </w:rPr>
      </w:pPr>
    </w:p>
    <w:p w14:paraId="7682C58F" w14:textId="77777777" w:rsidR="00583514" w:rsidRPr="00583514" w:rsidRDefault="00583514" w:rsidP="00583514">
      <w:pPr>
        <w:spacing w:after="0" w:line="240" w:lineRule="auto"/>
        <w:ind w:left="709" w:right="709" w:firstLine="708"/>
        <w:jc w:val="both"/>
        <w:rPr>
          <w:rFonts w:ascii="Verdana" w:eastAsia="Calibri" w:hAnsi="Verdana" w:cs="Arial"/>
          <w:color w:val="000000"/>
          <w:sz w:val="21"/>
          <w:szCs w:val="21"/>
          <w:lang w:val="es-MX"/>
        </w:rPr>
      </w:pPr>
      <w:r w:rsidRPr="00583514">
        <w:rPr>
          <w:rFonts w:ascii="Verdana" w:eastAsia="Calibri" w:hAnsi="Verdana" w:cs="Arial"/>
          <w:color w:val="000000"/>
          <w:sz w:val="21"/>
          <w:szCs w:val="21"/>
          <w:lang w:val="es-MX"/>
        </w:rPr>
        <w:t xml:space="preserve">a) </w:t>
      </w:r>
      <w:r w:rsidRPr="00583514">
        <w:rPr>
          <w:rFonts w:ascii="Verdana" w:eastAsia="Calibri" w:hAnsi="Verdana" w:cs="Arial"/>
          <w:sz w:val="21"/>
          <w:szCs w:val="21"/>
          <w:lang w:val="es-MX"/>
        </w:rPr>
        <w:t xml:space="preserve">Determinar la matriz de experiencia aplicable en atención al tipo de proyecto de infraestructura social a contratarse, ya sea de educación, salud, cultura, recreación y deporte, institucional o vivienda. </w:t>
      </w:r>
    </w:p>
    <w:p w14:paraId="11E206CC" w14:textId="77777777" w:rsidR="00583514" w:rsidRPr="00583514" w:rsidRDefault="00583514" w:rsidP="00583514">
      <w:pPr>
        <w:spacing w:before="120" w:after="0" w:line="240" w:lineRule="auto"/>
        <w:ind w:left="709" w:right="709" w:firstLine="708"/>
        <w:jc w:val="both"/>
        <w:rPr>
          <w:rFonts w:ascii="Verdana" w:eastAsia="Calibri" w:hAnsi="Verdana" w:cs="Arial"/>
          <w:color w:val="000000"/>
          <w:sz w:val="21"/>
          <w:szCs w:val="21"/>
          <w:lang w:val="es-MX"/>
        </w:rPr>
      </w:pPr>
      <w:r w:rsidRPr="00583514">
        <w:rPr>
          <w:rFonts w:ascii="Verdana" w:eastAsia="Calibri" w:hAnsi="Verdana" w:cs="Arial"/>
          <w:color w:val="000000"/>
          <w:sz w:val="21"/>
          <w:szCs w:val="21"/>
          <w:lang w:val="es-MX"/>
        </w:rPr>
        <w:t>b) Identificada la respectiva Matriz de experiencia, la entidad deberá determinar el tipo de infraestructura sobre el cual recae la obra a ejecutar. Los tipos de infraestructuras se encuentran establecidos como un “título principal” en la Matriz de experiencia, el cual permitirá a la entidad establecer cuál sería la “actividad a contratar” requerida.</w:t>
      </w:r>
    </w:p>
    <w:p w14:paraId="272B7FBA" w14:textId="77777777" w:rsidR="00583514" w:rsidRPr="00583514" w:rsidRDefault="00583514" w:rsidP="00583514">
      <w:pPr>
        <w:spacing w:before="120" w:after="0" w:line="240" w:lineRule="auto"/>
        <w:ind w:left="709" w:right="709" w:firstLine="708"/>
        <w:jc w:val="both"/>
        <w:rPr>
          <w:rFonts w:ascii="Verdana" w:eastAsia="Calibri" w:hAnsi="Verdana" w:cs="Arial"/>
          <w:color w:val="000000"/>
          <w:sz w:val="21"/>
          <w:szCs w:val="21"/>
          <w:lang w:val="es-MX"/>
        </w:rPr>
      </w:pPr>
      <w:r w:rsidRPr="00583514">
        <w:rPr>
          <w:rFonts w:ascii="Verdana" w:eastAsia="Calibri" w:hAnsi="Verdana" w:cs="Arial"/>
          <w:color w:val="000000"/>
          <w:sz w:val="21"/>
          <w:szCs w:val="21"/>
          <w:lang w:val="es-MX"/>
        </w:rPr>
        <w:t>c) Definido el tipo de infraestructura, la columna denominada como “ACTIVIDAD A CONTRATAR” dispone las diferentes actividades contempladas en la Matriz de experiencia. Por lo tanto, la entidad identificará y establecerá la actividad a contratar en la cual se enmarca su proceso de contratación.</w:t>
      </w:r>
    </w:p>
    <w:p w14:paraId="4ACFBE37" w14:textId="77777777" w:rsidR="00583514" w:rsidRPr="00583514" w:rsidRDefault="00583514" w:rsidP="00583514">
      <w:pPr>
        <w:spacing w:before="120" w:after="120" w:line="240" w:lineRule="auto"/>
        <w:ind w:left="709" w:right="709" w:firstLine="708"/>
        <w:jc w:val="both"/>
        <w:rPr>
          <w:rFonts w:ascii="Verdana" w:eastAsia="Calibri" w:hAnsi="Verdana" w:cs="Arial"/>
          <w:color w:val="000000"/>
          <w:sz w:val="21"/>
          <w:szCs w:val="21"/>
          <w:lang w:val="es-MX"/>
        </w:rPr>
      </w:pPr>
      <w:r w:rsidRPr="00583514">
        <w:rPr>
          <w:rFonts w:ascii="Verdana" w:eastAsia="Calibri" w:hAnsi="Verdana" w:cs="Arial"/>
          <w:color w:val="000000"/>
          <w:sz w:val="21"/>
          <w:szCs w:val="21"/>
          <w:lang w:val="es-MX"/>
        </w:rPr>
        <w:t xml:space="preserve">d) Una vez determinada la “actividad a contratar” requerida por la entidad estatal, se procederá a identificar la experiencia general, específica y el porcentaje de dimensionamiento. Es importante mencionar que ciertas actividades a contratar contemplan como parte del requisito de experiencia específica un “% de dimensionamiento” el cual se encuentra en función de una magnitud física establecida; y que dicho porcentaje de dimensionamiento se determina en función del rango de valores expresados en SMMLV en el cual se encuentre el valor del presupuesto oficial del proceso de contratación. Finalmente, es necesario tener en cuenta que el valor de “% de dimensionamiento” establecerá el valor por el cual será reemplazado el factor (F%). </w:t>
      </w:r>
    </w:p>
    <w:p w14:paraId="1EC10DF0" w14:textId="77777777" w:rsidR="00583514" w:rsidRPr="00583514" w:rsidRDefault="00583514" w:rsidP="00583514">
      <w:pPr>
        <w:spacing w:after="0" w:line="240" w:lineRule="auto"/>
        <w:ind w:left="709" w:right="709" w:firstLine="709"/>
        <w:jc w:val="both"/>
        <w:rPr>
          <w:rFonts w:ascii="Verdana" w:eastAsia="Calibri" w:hAnsi="Verdana" w:cs="Arial"/>
          <w:color w:val="000000"/>
          <w:sz w:val="21"/>
          <w:szCs w:val="21"/>
          <w:lang w:val="es-MX"/>
        </w:rPr>
      </w:pPr>
      <w:r w:rsidRPr="00583514">
        <w:rPr>
          <w:rFonts w:ascii="Verdana" w:eastAsia="Calibri" w:hAnsi="Verdana" w:cs="Arial"/>
          <w:color w:val="000000"/>
          <w:sz w:val="21"/>
          <w:szCs w:val="21"/>
          <w:lang w:val="es-MX"/>
        </w:rPr>
        <w:t xml:space="preserve">e) Establecidos los requisitos de experiencia exigibles, la entidad deberá consignarlos en los apartados grises entre corchetes del literal </w:t>
      </w:r>
      <w:r w:rsidRPr="00583514">
        <w:rPr>
          <w:rFonts w:ascii="Verdana" w:eastAsia="Calibri" w:hAnsi="Verdana" w:cs="Arial"/>
          <w:color w:val="000000"/>
          <w:sz w:val="21"/>
          <w:szCs w:val="21"/>
          <w:lang w:val="es-MX"/>
        </w:rPr>
        <w:lastRenderedPageBreak/>
        <w:t>A del numeral 3.5.1 del documento base, para que los oferentes puedan conocer los requisitos de experiencia general y específica exigidos por la entidad.</w:t>
      </w:r>
    </w:p>
    <w:p w14:paraId="6F406E60" w14:textId="77777777" w:rsidR="00583514" w:rsidRPr="00583514" w:rsidRDefault="00583514" w:rsidP="00583514">
      <w:pPr>
        <w:spacing w:after="0" w:line="276" w:lineRule="auto"/>
        <w:ind w:left="709" w:firstLine="709"/>
        <w:jc w:val="both"/>
        <w:rPr>
          <w:rFonts w:ascii="Verdana" w:eastAsia="Times New Roman" w:hAnsi="Verdana" w:cs="Arial"/>
          <w:sz w:val="21"/>
          <w:szCs w:val="21"/>
          <w:lang w:val="es-ES" w:eastAsia="es-MX"/>
        </w:rPr>
      </w:pPr>
    </w:p>
    <w:p w14:paraId="15D74FF0" w14:textId="77777777" w:rsidR="00583514" w:rsidRPr="00583514" w:rsidRDefault="00583514" w:rsidP="00583514">
      <w:pPr>
        <w:widowControl w:val="0"/>
        <w:autoSpaceDE w:val="0"/>
        <w:autoSpaceDN w:val="0"/>
        <w:spacing w:after="0" w:line="276" w:lineRule="auto"/>
        <w:ind w:firstLine="708"/>
        <w:jc w:val="both"/>
        <w:rPr>
          <w:rFonts w:ascii="Verdana" w:eastAsia="Aptos" w:hAnsi="Verdana" w:cs="Times New Roman"/>
          <w:kern w:val="2"/>
          <w14:ligatures w14:val="standardContextual"/>
        </w:rPr>
      </w:pPr>
      <w:r w:rsidRPr="00583514">
        <w:rPr>
          <w:rFonts w:ascii="Verdana" w:eastAsia="Aptos" w:hAnsi="Verdana" w:cs="Times New Roman"/>
          <w:kern w:val="2"/>
          <w14:ligatures w14:val="standardContextual"/>
        </w:rPr>
        <w:t>Teniendo en cuenta que el problema jurídico planteado en este concepto se dirige a determinar la forma de calcular el porcentaje de dimensionamiento del mejoramiento de viviendas, cuando existe un número determinado de estas por intervenir, pero se desconoce la magnitud de la obra en metros cuadrados (m²), para responder a su solicitud le indicamos que la Matriz 1 – Sector Vivienda de los documentos tipo, adoptados mediante la Resolución 359 de 2025, establece en el capítulo ‘1. Obras en proyectos de viviendas urbanas’ la siguiente actividad:”</w:t>
      </w:r>
    </w:p>
    <w:p w14:paraId="002275CB" w14:textId="77777777" w:rsidR="00583514" w:rsidRPr="00583514" w:rsidRDefault="00583514" w:rsidP="00583514">
      <w:pPr>
        <w:widowControl w:val="0"/>
        <w:autoSpaceDE w:val="0"/>
        <w:autoSpaceDN w:val="0"/>
        <w:spacing w:after="0" w:line="276" w:lineRule="auto"/>
        <w:ind w:firstLine="708"/>
        <w:jc w:val="both"/>
        <w:rPr>
          <w:rFonts w:ascii="Verdana" w:eastAsia="Calibri" w:hAnsi="Verdana" w:cs="Times New Roman"/>
          <w:lang w:val="es-ES"/>
        </w:rPr>
      </w:pPr>
    </w:p>
    <w:p w14:paraId="450DAAC9" w14:textId="77777777" w:rsidR="00583514" w:rsidRPr="00583514" w:rsidRDefault="00583514" w:rsidP="00583514">
      <w:pPr>
        <w:widowControl w:val="0"/>
        <w:autoSpaceDE w:val="0"/>
        <w:autoSpaceDN w:val="0"/>
        <w:spacing w:after="0" w:line="276" w:lineRule="auto"/>
        <w:ind w:left="709" w:right="709"/>
        <w:jc w:val="both"/>
        <w:rPr>
          <w:rFonts w:ascii="Verdana" w:eastAsia="Aptos" w:hAnsi="Verdana" w:cs="Aptos"/>
          <w:kern w:val="2"/>
          <w:sz w:val="21"/>
          <w:szCs w:val="21"/>
          <w14:ligatures w14:val="standardContextual"/>
        </w:rPr>
      </w:pPr>
      <w:r w:rsidRPr="00583514">
        <w:rPr>
          <w:rFonts w:ascii="Verdana" w:eastAsia="Aptos" w:hAnsi="Verdana" w:cs="Aptos"/>
          <w:kern w:val="2"/>
          <w:sz w:val="21"/>
          <w:szCs w:val="21"/>
          <w14:ligatures w14:val="standardContextual"/>
        </w:rPr>
        <w:t xml:space="preserve">“1.2. PROYECTOS DE ADECUACIÓN Y/O CONSERVACIÓN Y/O INTERVENCIÓN Y/O INSTALACIÓN Y/O MANTENIMIENTO Y/O MEJORAMIENTO Y/O MODIFICACIÓN U OPTIMIZACIÓN Y/O REHABILITACIÓN Y/O REMODELACIÓN Y/O REPOSICIÓN Y/O REPARACIÓN LOCATIVA Y/O RESTAURACIÓN Y/O RECONSTRUCCIÓN Y/O RESTITUCIÓN Y/O TERMINACIÓN Y/O AISLAMIENTO TÉRMICO DE VIVIENDA(S) URBANA(S)”. </w:t>
      </w:r>
    </w:p>
    <w:p w14:paraId="385DCA25" w14:textId="77777777" w:rsidR="00583514" w:rsidRPr="00583514" w:rsidRDefault="00583514" w:rsidP="00583514">
      <w:pPr>
        <w:widowControl w:val="0"/>
        <w:autoSpaceDE w:val="0"/>
        <w:autoSpaceDN w:val="0"/>
        <w:spacing w:after="0" w:line="276" w:lineRule="auto"/>
        <w:ind w:firstLine="708"/>
        <w:jc w:val="both"/>
        <w:rPr>
          <w:rFonts w:ascii="Arial" w:eastAsia="Times New Roman" w:hAnsi="Arial" w:cs="Arial"/>
          <w:lang w:eastAsia="es-MX"/>
        </w:rPr>
      </w:pPr>
    </w:p>
    <w:p w14:paraId="0120CF9A" w14:textId="77777777" w:rsidR="00583514" w:rsidRPr="00583514" w:rsidRDefault="00583514" w:rsidP="00583514">
      <w:pPr>
        <w:widowControl w:val="0"/>
        <w:autoSpaceDE w:val="0"/>
        <w:autoSpaceDN w:val="0"/>
        <w:spacing w:after="0" w:line="276" w:lineRule="auto"/>
        <w:ind w:firstLine="708"/>
        <w:jc w:val="both"/>
        <w:rPr>
          <w:rFonts w:ascii="Arial" w:eastAsia="Times New Roman" w:hAnsi="Arial" w:cs="Arial"/>
          <w:lang w:eastAsia="es-MX"/>
        </w:rPr>
      </w:pPr>
      <w:r w:rsidRPr="00583514">
        <w:rPr>
          <w:rFonts w:ascii="Verdana" w:eastAsia="Times New Roman" w:hAnsi="Verdana" w:cs="Arial"/>
          <w:lang w:eastAsia="es-MX"/>
        </w:rPr>
        <w:t>Para la actividad señalada, la “</w:t>
      </w:r>
      <w:r w:rsidRPr="00583514">
        <w:rPr>
          <w:rFonts w:ascii="Verdana" w:eastAsia="Calibri" w:hAnsi="Verdana" w:cs="Times New Roman"/>
          <w:lang w:val="es-ES"/>
        </w:rPr>
        <w:t>Matriz 1 – Experiencia Sector Vivienda” establece los siguientes requisitos de experiencia general y específica, además de un porcentaje (%) de dimensionamiento según la magnitud requerida en el proceso de contratación:</w:t>
      </w:r>
    </w:p>
    <w:p w14:paraId="62C8F879" w14:textId="77777777" w:rsidR="00583514" w:rsidRPr="00583514" w:rsidRDefault="00583514" w:rsidP="00583514">
      <w:pPr>
        <w:spacing w:after="0" w:line="278" w:lineRule="auto"/>
        <w:rPr>
          <w:rFonts w:ascii="Arial" w:eastAsia="Times New Roman" w:hAnsi="Arial" w:cs="Arial"/>
          <w:lang w:eastAsia="es-MX"/>
        </w:rPr>
      </w:pPr>
    </w:p>
    <w:p w14:paraId="52F11645" w14:textId="77777777" w:rsidR="00583514" w:rsidRPr="00583514" w:rsidRDefault="00583514" w:rsidP="00583514">
      <w:pPr>
        <w:spacing w:line="240" w:lineRule="auto"/>
        <w:ind w:left="709" w:right="709"/>
        <w:jc w:val="both"/>
        <w:rPr>
          <w:rFonts w:ascii="Verdana" w:eastAsia="Aptos" w:hAnsi="Verdana" w:cs="Aptos"/>
          <w:b/>
          <w:bCs/>
          <w:kern w:val="2"/>
          <w:sz w:val="21"/>
          <w:szCs w:val="21"/>
          <w:u w:val="single"/>
          <w14:ligatures w14:val="standardContextual"/>
        </w:rPr>
      </w:pPr>
      <w:r w:rsidRPr="00583514">
        <w:rPr>
          <w:rFonts w:ascii="Verdana" w:eastAsia="Aptos" w:hAnsi="Verdana" w:cs="Aptos"/>
          <w:b/>
          <w:bCs/>
          <w:kern w:val="2"/>
          <w:sz w:val="21"/>
          <w:szCs w:val="21"/>
          <w:u w:val="single"/>
          <w14:ligatures w14:val="standardContextual"/>
        </w:rPr>
        <w:t>“General</w:t>
      </w:r>
    </w:p>
    <w:p w14:paraId="05F031FB" w14:textId="77777777" w:rsidR="00583514" w:rsidRPr="00583514" w:rsidRDefault="00583514" w:rsidP="00583514">
      <w:pPr>
        <w:spacing w:line="240" w:lineRule="auto"/>
        <w:ind w:left="709" w:right="709"/>
        <w:jc w:val="both"/>
        <w:rPr>
          <w:rFonts w:ascii="Verdana" w:eastAsia="Aptos" w:hAnsi="Verdana" w:cs="Aptos"/>
          <w:kern w:val="2"/>
          <w:sz w:val="21"/>
          <w:szCs w:val="21"/>
          <w14:ligatures w14:val="standardContextual"/>
        </w:rPr>
      </w:pPr>
      <w:r w:rsidRPr="00583514">
        <w:rPr>
          <w:rFonts w:ascii="Verdana" w:eastAsia="Aptos" w:hAnsi="Verdana" w:cs="Aptos"/>
          <w:kern w:val="2"/>
          <w:sz w:val="21"/>
          <w:szCs w:val="21"/>
          <w14:ligatures w14:val="standardContextual"/>
        </w:rPr>
        <w:t>“PROYECTOS QUE CORRESPONDAN Y/O CONTEMPLEN ACTIVIDADES DE: CONSTRUCCIÓN Y/O AMPLIACIÓN Y/O RECONSTRUCCIÓN Y/O ADECUACIÓN Y/O CONSERVACIÓN Y/O INTERVENCIÓN Y/O INSTALACIÓN Y/O MANTENIMIENTO Y/O MEJORAMIENTO Y/O MODIFICACIÓN Y/U OPTIMIZACIÓN Y/O REHABILITACIÓN Y/O REMODELACIÓN Y/O REPOSICIÓN Y/O REPARACIÓN LOCATIVA Y/O RESTAURACIÓN Y/O RECONSTRUCCION Y/O RESTITUCIÓN Y/O TERMINACIÓN  DE  EDIFICACIONES”</w:t>
      </w:r>
    </w:p>
    <w:p w14:paraId="6ABA26A6" w14:textId="77777777" w:rsidR="00583514" w:rsidRPr="00583514" w:rsidRDefault="00583514" w:rsidP="00583514">
      <w:pPr>
        <w:spacing w:after="120" w:line="240" w:lineRule="auto"/>
        <w:ind w:left="709" w:right="709"/>
        <w:jc w:val="both"/>
        <w:rPr>
          <w:rFonts w:ascii="Verdana" w:eastAsia="Aptos" w:hAnsi="Verdana" w:cs="Aptos"/>
          <w:kern w:val="2"/>
          <w:sz w:val="21"/>
          <w:szCs w:val="21"/>
          <w14:ligatures w14:val="standardContextual"/>
        </w:rPr>
      </w:pPr>
      <w:r w:rsidRPr="00583514">
        <w:rPr>
          <w:rFonts w:ascii="Verdana" w:eastAsia="Aptos" w:hAnsi="Verdana" w:cs="Aptos"/>
          <w:b/>
          <w:bCs/>
          <w:kern w:val="2"/>
          <w:sz w:val="21"/>
          <w:szCs w:val="21"/>
          <w14:ligatures w14:val="standardContextual"/>
        </w:rPr>
        <w:t>Nota general para experiencia específica</w:t>
      </w:r>
      <w:r w:rsidRPr="00583514">
        <w:rPr>
          <w:rFonts w:ascii="Verdana" w:eastAsia="Aptos" w:hAnsi="Verdana" w:cs="Aptos"/>
          <w:kern w:val="2"/>
          <w:sz w:val="21"/>
          <w:szCs w:val="21"/>
          <w14:ligatures w14:val="standardContextual"/>
        </w:rPr>
        <w:t xml:space="preserve">: En el caso en el cual, debido a la magnitud física que sea empleada como variable para establecimiento del (F%) de dimensionamiento como experiencia </w:t>
      </w:r>
      <w:r w:rsidRPr="00583514">
        <w:rPr>
          <w:rFonts w:ascii="Verdana" w:eastAsia="Aptos" w:hAnsi="Verdana" w:cs="Aptos"/>
          <w:kern w:val="2"/>
          <w:sz w:val="21"/>
          <w:szCs w:val="21"/>
          <w14:ligatures w14:val="standardContextual"/>
        </w:rPr>
        <w:lastRenderedPageBreak/>
        <w:t>específica, la Entidad podrá aceptar que el mismo sea acreditado con la sumatoria de máximo dos (2) de los contratos válidos aportados como experiencia, garantizando condiciones pluralistas y participativas, siendo requisitos adecuados y proporcionales.”</w:t>
      </w:r>
    </w:p>
    <w:p w14:paraId="02699E8D" w14:textId="77777777" w:rsidR="00583514" w:rsidRPr="00583514" w:rsidRDefault="00583514" w:rsidP="00583514">
      <w:pPr>
        <w:spacing w:after="120" w:line="240" w:lineRule="auto"/>
        <w:ind w:left="709" w:right="709"/>
        <w:jc w:val="both"/>
        <w:rPr>
          <w:rFonts w:ascii="Verdana" w:eastAsia="Aptos" w:hAnsi="Verdana" w:cs="Aptos"/>
          <w:b/>
          <w:bCs/>
          <w:kern w:val="2"/>
          <w:sz w:val="21"/>
          <w:szCs w:val="21"/>
          <w:u w:val="single"/>
          <w14:ligatures w14:val="standardContextual"/>
        </w:rPr>
      </w:pPr>
      <w:r w:rsidRPr="00583514">
        <w:rPr>
          <w:rFonts w:ascii="Verdana" w:eastAsia="Aptos" w:hAnsi="Verdana" w:cs="Aptos"/>
          <w:b/>
          <w:bCs/>
          <w:kern w:val="2"/>
          <w:sz w:val="21"/>
          <w:szCs w:val="21"/>
          <w:u w:val="single"/>
          <w14:ligatures w14:val="standardContextual"/>
        </w:rPr>
        <w:t>Especifica:</w:t>
      </w:r>
    </w:p>
    <w:p w14:paraId="28F43E72" w14:textId="77777777" w:rsidR="00583514" w:rsidRPr="00583514" w:rsidRDefault="00583514" w:rsidP="00583514">
      <w:pPr>
        <w:spacing w:after="0" w:line="240" w:lineRule="auto"/>
        <w:ind w:left="709" w:right="709"/>
        <w:jc w:val="both"/>
        <w:rPr>
          <w:rFonts w:ascii="Verdana" w:eastAsia="Aptos" w:hAnsi="Verdana" w:cs="Aptos"/>
          <w:kern w:val="2"/>
          <w:sz w:val="21"/>
          <w:szCs w:val="21"/>
          <w14:ligatures w14:val="standardContextual"/>
        </w:rPr>
      </w:pPr>
      <w:r w:rsidRPr="00583514">
        <w:rPr>
          <w:rFonts w:ascii="Verdana" w:eastAsia="Aptos" w:hAnsi="Verdana" w:cs="Aptos"/>
          <w:kern w:val="2"/>
          <w:sz w:val="21"/>
          <w:szCs w:val="21"/>
          <w14:ligatures w14:val="standardContextual"/>
        </w:rPr>
        <w:t>“Por lo menos uno (1) de los contratos válidos aportados como experiencia general debe contemplar un área intervenida o construida igual o superior al (F%) del total de metros cuadrados del proceso de selección, el cuál corresponde a [</w:t>
      </w:r>
      <w:r w:rsidRPr="00583514">
        <w:rPr>
          <w:rFonts w:ascii="Verdana" w:eastAsia="Aptos" w:hAnsi="Verdana" w:cs="Aptos"/>
          <w:kern w:val="2"/>
          <w:sz w:val="21"/>
          <w:szCs w:val="21"/>
          <w:highlight w:val="lightGray"/>
          <w14:ligatures w14:val="standardContextual"/>
        </w:rPr>
        <w:t>La Entidad indicará los metros cuadrados para el proceso de selección</w:t>
      </w:r>
      <w:r w:rsidRPr="00583514">
        <w:rPr>
          <w:rFonts w:ascii="Verdana" w:eastAsia="Aptos" w:hAnsi="Verdana" w:cs="Aptos"/>
          <w:kern w:val="2"/>
          <w:sz w:val="21"/>
          <w:szCs w:val="21"/>
          <w14:ligatures w14:val="standardContextual"/>
        </w:rPr>
        <w:t xml:space="preserve">]”. </w:t>
      </w:r>
    </w:p>
    <w:p w14:paraId="3D0C703C" w14:textId="77777777" w:rsidR="00583514" w:rsidRPr="00583514" w:rsidRDefault="00583514" w:rsidP="00583514">
      <w:pPr>
        <w:spacing w:after="0" w:line="240" w:lineRule="auto"/>
        <w:ind w:left="709" w:right="709"/>
        <w:jc w:val="both"/>
        <w:rPr>
          <w:rFonts w:ascii="Arial" w:eastAsia="Times New Roman" w:hAnsi="Arial" w:cs="Arial"/>
          <w:sz w:val="21"/>
          <w:szCs w:val="21"/>
          <w:lang w:eastAsia="es-MX"/>
        </w:rPr>
      </w:pPr>
      <w:r w:rsidRPr="00583514">
        <w:rPr>
          <w:rFonts w:ascii="Aptos" w:eastAsia="Aptos" w:hAnsi="Aptos" w:cs="Times New Roman"/>
        </w:rPr>
        <w:tab/>
      </w:r>
      <w:r w:rsidRPr="00583514">
        <w:rPr>
          <w:rFonts w:ascii="Aptos" w:eastAsia="Aptos" w:hAnsi="Aptos" w:cs="Times New Roman"/>
        </w:rPr>
        <w:tab/>
      </w:r>
      <w:r w:rsidRPr="00583514">
        <w:rPr>
          <w:rFonts w:ascii="Aptos" w:eastAsia="Aptos" w:hAnsi="Aptos" w:cs="Times New Roman"/>
        </w:rPr>
        <w:tab/>
      </w:r>
      <w:r w:rsidRPr="00583514">
        <w:rPr>
          <w:rFonts w:ascii="Aptos" w:eastAsia="Aptos" w:hAnsi="Aptos" w:cs="Times New Roman"/>
        </w:rPr>
        <w:tab/>
      </w:r>
    </w:p>
    <w:p w14:paraId="213A8FF5" w14:textId="77777777" w:rsidR="00583514" w:rsidRPr="00583514" w:rsidRDefault="00583514" w:rsidP="00583514">
      <w:pPr>
        <w:spacing w:after="0" w:line="278" w:lineRule="auto"/>
        <w:ind w:firstLine="708"/>
        <w:jc w:val="both"/>
        <w:rPr>
          <w:rFonts w:ascii="Verdana" w:eastAsia="Aptos" w:hAnsi="Verdana" w:cs="Aptos"/>
          <w:kern w:val="2"/>
          <w14:ligatures w14:val="standardContextual"/>
        </w:rPr>
      </w:pPr>
      <w:r w:rsidRPr="00583514">
        <w:rPr>
          <w:rFonts w:ascii="Verdana" w:eastAsia="Aptos" w:hAnsi="Verdana" w:cs="Aptos"/>
          <w:kern w:val="2"/>
          <w14:ligatures w14:val="standardContextual"/>
        </w:rPr>
        <w:t xml:space="preserve">Así mismo, el numeral </w:t>
      </w:r>
      <w:r w:rsidRPr="00583514">
        <w:rPr>
          <w:rFonts w:ascii="Verdana" w:eastAsia="Aptos" w:hAnsi="Verdana" w:cs="Aptos"/>
          <w:i/>
          <w:iCs/>
          <w:kern w:val="2"/>
          <w14:ligatures w14:val="standardContextual"/>
        </w:rPr>
        <w:t xml:space="preserve">3.5. </w:t>
      </w:r>
      <w:r w:rsidRPr="00583514">
        <w:rPr>
          <w:rFonts w:ascii="Verdana" w:eastAsia="Aptos" w:hAnsi="Verdana" w:cs="Aptos"/>
          <w:kern w:val="2"/>
          <w14:ligatures w14:val="standardContextual"/>
        </w:rPr>
        <w:t>“Experiencia” del documentos base de los documentos tipo de licitación de obra pública de infraestructura social – versión 2</w:t>
      </w:r>
      <w:r w:rsidRPr="00583514">
        <w:rPr>
          <w:rFonts w:ascii="Verdana" w:eastAsia="Aptos" w:hAnsi="Verdana" w:cs="Aptos"/>
          <w:i/>
          <w:iCs/>
          <w:kern w:val="2"/>
          <w14:ligatures w14:val="standardContextual"/>
        </w:rPr>
        <w:t xml:space="preserve">, </w:t>
      </w:r>
      <w:r w:rsidRPr="00583514">
        <w:rPr>
          <w:rFonts w:ascii="Verdana" w:eastAsia="Aptos" w:hAnsi="Verdana" w:cs="Aptos"/>
          <w:kern w:val="2"/>
          <w14:ligatures w14:val="standardContextual"/>
        </w:rPr>
        <w:t xml:space="preserve">indica que el área estimada de intervención del proceso de Contratación corresponde a: </w:t>
      </w:r>
    </w:p>
    <w:p w14:paraId="5EB15B88" w14:textId="77777777" w:rsidR="00583514" w:rsidRPr="00583514" w:rsidRDefault="00583514" w:rsidP="00583514">
      <w:pPr>
        <w:spacing w:after="0" w:line="278" w:lineRule="auto"/>
        <w:ind w:firstLine="708"/>
        <w:jc w:val="both"/>
        <w:rPr>
          <w:rFonts w:ascii="Verdana" w:eastAsia="Aptos" w:hAnsi="Verdana" w:cs="Aptos"/>
          <w:kern w:val="2"/>
          <w14:ligatures w14:val="standardContextual"/>
        </w:rPr>
      </w:pPr>
    </w:p>
    <w:p w14:paraId="55114CB8" w14:textId="77777777" w:rsidR="00583514" w:rsidRPr="00583514" w:rsidRDefault="00583514" w:rsidP="00583514">
      <w:pPr>
        <w:spacing w:after="0" w:line="276" w:lineRule="auto"/>
        <w:ind w:left="709" w:right="709"/>
        <w:jc w:val="both"/>
        <w:rPr>
          <w:rFonts w:ascii="Verdana" w:eastAsia="Aptos" w:hAnsi="Verdana" w:cs="Times New Roman"/>
          <w:kern w:val="2"/>
          <w:szCs w:val="24"/>
          <w:lang w:val="es-MX"/>
          <w14:ligatures w14:val="standardContextual"/>
        </w:rPr>
      </w:pPr>
      <w:r w:rsidRPr="00583514">
        <w:rPr>
          <w:rFonts w:ascii="Verdana" w:eastAsia="Aptos" w:hAnsi="Verdana" w:cs="Times New Roman"/>
          <w:kern w:val="2"/>
          <w:szCs w:val="24"/>
          <w:lang w:val="es-MX"/>
          <w14:ligatures w14:val="standardContextual"/>
        </w:rPr>
        <w:t xml:space="preserve">“El área estimada de intervención del presente Proceso de Contratación corresponde a </w:t>
      </w:r>
      <w:r w:rsidRPr="00583514">
        <w:rPr>
          <w:rFonts w:ascii="Verdana" w:eastAsia="Aptos" w:hAnsi="Verdana" w:cs="Times New Roman"/>
          <w:kern w:val="2"/>
          <w:szCs w:val="24"/>
          <w:highlight w:val="lightGray"/>
          <w:lang w:val="es-MX"/>
          <w14:ligatures w14:val="standardContextual"/>
        </w:rPr>
        <w:t>[la Entidad no podrá adicionar volúmenes o magnitudes diferentes a los enunciados a continuación]</w:t>
      </w:r>
      <w:r w:rsidRPr="00583514">
        <w:rPr>
          <w:rFonts w:ascii="Verdana" w:eastAsia="Aptos" w:hAnsi="Verdana" w:cs="Times New Roman"/>
          <w:kern w:val="2"/>
          <w:szCs w:val="24"/>
          <w:lang w:val="es-MX"/>
          <w14:ligatures w14:val="standardContextual"/>
        </w:rPr>
        <w:t xml:space="preserve">: </w:t>
      </w:r>
    </w:p>
    <w:p w14:paraId="13B9004B" w14:textId="77777777" w:rsidR="00583514" w:rsidRPr="00583514" w:rsidRDefault="00583514" w:rsidP="00583514">
      <w:pPr>
        <w:spacing w:after="120" w:line="276" w:lineRule="auto"/>
        <w:ind w:left="709" w:right="709"/>
        <w:contextualSpacing/>
        <w:jc w:val="both"/>
        <w:rPr>
          <w:rFonts w:ascii="Verdana" w:eastAsia="Aptos" w:hAnsi="Verdana" w:cs="Times New Roman"/>
          <w:kern w:val="2"/>
          <w:szCs w:val="24"/>
          <w:lang w:val="es-MX"/>
          <w14:ligatures w14:val="standardContextual"/>
        </w:rPr>
      </w:pPr>
      <w:r w:rsidRPr="00583514">
        <w:rPr>
          <w:rFonts w:ascii="Verdana" w:eastAsia="Aptos" w:hAnsi="Verdana" w:cs="Times New Roman"/>
          <w:b/>
          <w:kern w:val="2"/>
          <w:szCs w:val="24"/>
          <w:lang w:val="es-MX"/>
          <w14:ligatures w14:val="standardContextual"/>
        </w:rPr>
        <w:t>Área para construir/intervenir:</w:t>
      </w:r>
      <w:r w:rsidRPr="00583514">
        <w:rPr>
          <w:rFonts w:ascii="Verdana" w:eastAsia="Aptos" w:hAnsi="Verdana" w:cs="Times New Roman"/>
          <w:kern w:val="2"/>
          <w:szCs w:val="24"/>
          <w:lang w:val="es-MX"/>
          <w14:ligatures w14:val="standardContextual"/>
        </w:rPr>
        <w:t xml:space="preserve"> </w:t>
      </w:r>
      <w:r w:rsidRPr="00583514">
        <w:rPr>
          <w:rFonts w:ascii="Verdana" w:eastAsia="Aptos" w:hAnsi="Verdana" w:cs="Times New Roman"/>
          <w:kern w:val="2"/>
          <w:szCs w:val="24"/>
          <w:highlight w:val="lightGray"/>
          <w:lang w:val="es-MX"/>
          <w14:ligatures w14:val="standardContextual"/>
        </w:rPr>
        <w:t>[indicar el valor en m</w:t>
      </w:r>
      <w:r w:rsidRPr="00583514">
        <w:rPr>
          <w:rFonts w:ascii="Verdana" w:eastAsia="Aptos" w:hAnsi="Verdana" w:cs="Times New Roman"/>
          <w:kern w:val="2"/>
          <w:szCs w:val="24"/>
          <w:highlight w:val="lightGray"/>
          <w:vertAlign w:val="superscript"/>
          <w:lang w:val="es-MX"/>
          <w14:ligatures w14:val="standardContextual"/>
        </w:rPr>
        <w:t>2</w:t>
      </w:r>
      <w:r w:rsidRPr="00583514">
        <w:rPr>
          <w:rFonts w:ascii="Verdana" w:eastAsia="Aptos" w:hAnsi="Verdana" w:cs="Times New Roman"/>
          <w:kern w:val="2"/>
          <w:szCs w:val="24"/>
          <w:highlight w:val="lightGray"/>
          <w:lang w:val="es-MX"/>
          <w14:ligatures w14:val="standardContextual"/>
        </w:rPr>
        <w:t xml:space="preserve"> que corresponde al área a intervenir o construir, en los casos que aplique]</w:t>
      </w:r>
      <w:r w:rsidRPr="00583514">
        <w:rPr>
          <w:rFonts w:ascii="Verdana" w:eastAsia="Aptos" w:hAnsi="Verdana" w:cs="Times New Roman"/>
          <w:kern w:val="2"/>
          <w:szCs w:val="24"/>
          <w:lang w:val="es-MX"/>
          <w14:ligatures w14:val="standardContextual"/>
        </w:rPr>
        <w:t>.</w:t>
      </w:r>
    </w:p>
    <w:p w14:paraId="3B4D01BB" w14:textId="77777777" w:rsidR="00583514" w:rsidRPr="00583514" w:rsidRDefault="00583514" w:rsidP="00583514">
      <w:pPr>
        <w:spacing w:after="0" w:line="276" w:lineRule="auto"/>
        <w:ind w:left="709" w:right="709"/>
        <w:contextualSpacing/>
        <w:jc w:val="both"/>
        <w:rPr>
          <w:rFonts w:ascii="Verdana" w:eastAsia="Aptos" w:hAnsi="Verdana" w:cs="Times New Roman"/>
          <w:kern w:val="2"/>
          <w:szCs w:val="24"/>
          <w:lang w:val="es-MX"/>
          <w14:ligatures w14:val="standardContextual"/>
        </w:rPr>
      </w:pPr>
      <w:r w:rsidRPr="00583514">
        <w:rPr>
          <w:rFonts w:ascii="Verdana" w:eastAsia="Arial" w:hAnsi="Verdana" w:cs="Arial"/>
          <w:b/>
          <w:kern w:val="2"/>
          <w:szCs w:val="24"/>
          <w:lang w:val="es-MX"/>
          <w14:ligatures w14:val="standardContextual"/>
        </w:rPr>
        <w:t>Presupuesto Oficial:</w:t>
      </w:r>
      <w:r w:rsidRPr="00583514">
        <w:rPr>
          <w:rFonts w:ascii="Verdana" w:eastAsia="Arial" w:hAnsi="Verdana" w:cs="Arial"/>
          <w:kern w:val="2"/>
          <w:szCs w:val="24"/>
          <w:lang w:val="es-MX"/>
          <w14:ligatures w14:val="standardContextual"/>
        </w:rPr>
        <w:t xml:space="preserve"> </w:t>
      </w:r>
      <w:r w:rsidRPr="00583514">
        <w:rPr>
          <w:rFonts w:ascii="Verdana" w:eastAsia="Arial" w:hAnsi="Verdana" w:cs="Arial"/>
          <w:kern w:val="2"/>
          <w:szCs w:val="24"/>
          <w:highlight w:val="lightGray"/>
          <w:lang w:val="es-MX"/>
          <w14:ligatures w14:val="standardContextual"/>
        </w:rPr>
        <w:t>[indicar el valor que corresponde al proceso de selección, en los casos que aplique]</w:t>
      </w:r>
      <w:r w:rsidRPr="00583514">
        <w:rPr>
          <w:rFonts w:ascii="Verdana" w:eastAsia="Arial" w:hAnsi="Verdana" w:cs="Arial"/>
          <w:kern w:val="2"/>
          <w:szCs w:val="24"/>
          <w:lang w:val="es-MX"/>
          <w14:ligatures w14:val="standardContextual"/>
        </w:rPr>
        <w:t xml:space="preserve">”.  </w:t>
      </w:r>
      <w:r w:rsidRPr="00583514">
        <w:rPr>
          <w:rFonts w:ascii="Verdana" w:eastAsia="Aptos" w:hAnsi="Verdana" w:cs="Times New Roman"/>
          <w:kern w:val="2"/>
          <w:szCs w:val="24"/>
          <w:lang w:val="es-MX"/>
          <w14:ligatures w14:val="standardContextual"/>
        </w:rPr>
        <w:t xml:space="preserve"> </w:t>
      </w:r>
    </w:p>
    <w:p w14:paraId="14483D86" w14:textId="77777777" w:rsidR="00583514" w:rsidRPr="00583514" w:rsidRDefault="00583514" w:rsidP="00583514">
      <w:pPr>
        <w:spacing w:after="0" w:line="276" w:lineRule="auto"/>
        <w:ind w:left="709" w:right="709"/>
        <w:contextualSpacing/>
        <w:jc w:val="both"/>
        <w:rPr>
          <w:rFonts w:ascii="Verdana" w:eastAsia="Aptos" w:hAnsi="Verdana" w:cs="Times New Roman"/>
          <w:kern w:val="2"/>
          <w:szCs w:val="24"/>
          <w:lang w:val="es-MX"/>
          <w14:ligatures w14:val="standardContextual"/>
        </w:rPr>
      </w:pPr>
    </w:p>
    <w:p w14:paraId="326D084F" w14:textId="77777777" w:rsidR="00583514" w:rsidRPr="00583514" w:rsidRDefault="00583514" w:rsidP="00583514">
      <w:pPr>
        <w:spacing w:after="120" w:line="278" w:lineRule="auto"/>
        <w:ind w:firstLine="708"/>
        <w:jc w:val="both"/>
        <w:rPr>
          <w:rFonts w:ascii="Verdana" w:eastAsia="Aptos" w:hAnsi="Verdana" w:cs="Aptos"/>
          <w:kern w:val="2"/>
          <w14:ligatures w14:val="standardContextual"/>
        </w:rPr>
      </w:pPr>
      <w:r w:rsidRPr="00583514">
        <w:rPr>
          <w:rFonts w:ascii="Verdana" w:eastAsia="Aptos" w:hAnsi="Verdana" w:cs="Aptos"/>
          <w:kern w:val="2"/>
          <w14:ligatures w14:val="standardContextual"/>
        </w:rPr>
        <w:t>De acuerdo con lo señalado en el documento base, la entidad deberá indicar el área estimada de intervención del proceso de contratación, siguiendo las instrucciones allí establecidas; es decir, señalando el área a construir y/o intervenir en m² y el valor correspondiente al presupuesto oficial.</w:t>
      </w:r>
    </w:p>
    <w:p w14:paraId="1BE4953E" w14:textId="77777777" w:rsidR="00583514" w:rsidRPr="00583514" w:rsidRDefault="00583514" w:rsidP="00583514">
      <w:pPr>
        <w:spacing w:after="120" w:line="278" w:lineRule="auto"/>
        <w:ind w:firstLine="708"/>
        <w:jc w:val="both"/>
        <w:rPr>
          <w:rFonts w:ascii="Verdana" w:eastAsia="Aptos" w:hAnsi="Verdana" w:cs="Aptos"/>
          <w:kern w:val="2"/>
          <w14:ligatures w14:val="standardContextual"/>
        </w:rPr>
      </w:pPr>
      <w:r w:rsidRPr="00583514">
        <w:rPr>
          <w:rFonts w:ascii="Verdana" w:eastAsia="Aptos" w:hAnsi="Verdana" w:cs="Aptos"/>
          <w:kern w:val="2"/>
          <w14:ligatures w14:val="standardContextual"/>
        </w:rPr>
        <w:t>De esta forma, según lo determinado en el documento base —numeral 3.5— y en la Matriz 1 – Experiencia Sector Vivienda, las entidades deben definir los metros cuadrados (m²) que solicitarán, de acuerdo con las características técnicas del proceso de selección. Así, respecto de la pregunta: “¿Cómo se calcula el porcentaje de dimensionamiento de toda la obra, teniendo en cuenta que existe un número determinado de viviendas por intervenir, pero se desconoce la magnitud de la obra en m² (…)?”.</w:t>
      </w:r>
    </w:p>
    <w:p w14:paraId="2B3E3D7F" w14:textId="77777777" w:rsidR="00583514" w:rsidRPr="00583514" w:rsidRDefault="00583514" w:rsidP="00583514">
      <w:pPr>
        <w:spacing w:after="120" w:line="278" w:lineRule="auto"/>
        <w:ind w:firstLine="708"/>
        <w:jc w:val="both"/>
        <w:rPr>
          <w:rFonts w:ascii="Verdana" w:eastAsia="Aptos" w:hAnsi="Verdana" w:cs="Aptos"/>
          <w:kern w:val="2"/>
          <w14:ligatures w14:val="standardContextual"/>
        </w:rPr>
      </w:pPr>
      <w:r w:rsidRPr="00583514">
        <w:rPr>
          <w:rFonts w:ascii="Verdana" w:eastAsia="Aptos" w:hAnsi="Verdana" w:cs="Aptos"/>
          <w:kern w:val="2"/>
          <w14:ligatures w14:val="standardContextual"/>
        </w:rPr>
        <w:lastRenderedPageBreak/>
        <w:t>Sobre el particular, debe indicarse que, para calcular el área cuando el proceso de selección se relaciona con el mejoramiento de vivienda, en los que esta no puede definirse de forma exacta desde el inicio del proyecto, y en los que la ejecución de las actividades, por ejemplo, depende del diagnóstico técnico de cada vivienda, se pueden utilizar criterios de estimación de cantidades o unidades de referencia para definir el área del proyecto.</w:t>
      </w:r>
    </w:p>
    <w:p w14:paraId="0DCA000A" w14:textId="77777777" w:rsidR="00583514" w:rsidRPr="00583514" w:rsidRDefault="00583514" w:rsidP="00583514">
      <w:pPr>
        <w:spacing w:after="0" w:line="278" w:lineRule="auto"/>
        <w:ind w:firstLine="708"/>
        <w:jc w:val="both"/>
        <w:rPr>
          <w:rFonts w:ascii="Verdana" w:eastAsia="Aptos" w:hAnsi="Verdana" w:cs="Aptos"/>
          <w:kern w:val="2"/>
          <w14:ligatures w14:val="standardContextual"/>
        </w:rPr>
      </w:pPr>
      <w:r w:rsidRPr="00583514">
        <w:rPr>
          <w:rFonts w:ascii="Verdana" w:eastAsia="Aptos" w:hAnsi="Verdana" w:cs="Aptos"/>
          <w:kern w:val="2"/>
          <w14:ligatures w14:val="standardContextual"/>
        </w:rPr>
        <w:t>En este contexto, se debe indicar que el área de intervención corresponderá a la superficie construida de la vivienda en la que se ejecutarán las actividades de mejoramiento, determinada a partir del levantamiento físico de los espacios objeto de intervención, definidos en el diagnóstico técnico; dichas áreas podrán calcularse de la siguiente manera:</w:t>
      </w:r>
    </w:p>
    <w:p w14:paraId="19703D60" w14:textId="77777777" w:rsidR="00583514" w:rsidRPr="00583514" w:rsidRDefault="00583514" w:rsidP="00583514">
      <w:pPr>
        <w:spacing w:after="0" w:line="278" w:lineRule="auto"/>
        <w:ind w:firstLine="708"/>
        <w:jc w:val="both"/>
        <w:rPr>
          <w:rFonts w:ascii="Verdana" w:eastAsia="Aptos" w:hAnsi="Verdana" w:cs="Aptos"/>
          <w:kern w:val="2"/>
          <w14:ligatures w14:val="standardContextual"/>
        </w:rPr>
      </w:pPr>
    </w:p>
    <w:p w14:paraId="01EF5921" w14:textId="77777777" w:rsidR="00583514" w:rsidRPr="00583514" w:rsidRDefault="00583514" w:rsidP="00217E86">
      <w:pPr>
        <w:numPr>
          <w:ilvl w:val="0"/>
          <w:numId w:val="19"/>
        </w:numPr>
        <w:spacing w:after="0" w:line="240" w:lineRule="auto"/>
        <w:contextualSpacing/>
        <w:jc w:val="both"/>
        <w:rPr>
          <w:rFonts w:ascii="Verdana" w:eastAsia="Aptos" w:hAnsi="Verdana" w:cs="Aptos"/>
          <w:kern w:val="2"/>
          <w14:ligatures w14:val="standardContextual"/>
        </w:rPr>
      </w:pPr>
      <w:r w:rsidRPr="00583514">
        <w:rPr>
          <w:rFonts w:ascii="Verdana" w:eastAsia="Aptos" w:hAnsi="Verdana" w:cs="Aptos"/>
          <w:kern w:val="2"/>
          <w14:ligatures w14:val="standardContextual"/>
        </w:rPr>
        <w:t xml:space="preserve">Realizando un levantamiento o plano de la vivienda en donde se identifiquen los espacios a intervenir, por ejemplo: cocina, habitaciones, baños, cubiertas, pisos, muros, entre otros. </w:t>
      </w:r>
    </w:p>
    <w:p w14:paraId="563B04E1" w14:textId="77777777" w:rsidR="00583514" w:rsidRPr="00583514" w:rsidRDefault="00583514" w:rsidP="00217E86">
      <w:pPr>
        <w:numPr>
          <w:ilvl w:val="0"/>
          <w:numId w:val="19"/>
        </w:numPr>
        <w:spacing w:after="0" w:line="240" w:lineRule="auto"/>
        <w:contextualSpacing/>
        <w:jc w:val="both"/>
        <w:rPr>
          <w:rFonts w:ascii="Verdana" w:eastAsia="Aptos" w:hAnsi="Verdana" w:cs="Aptos"/>
          <w:kern w:val="2"/>
          <w14:ligatures w14:val="standardContextual"/>
        </w:rPr>
      </w:pPr>
      <w:r w:rsidRPr="00583514">
        <w:rPr>
          <w:rFonts w:ascii="Verdana" w:eastAsia="Aptos" w:hAnsi="Verdana" w:cs="Aptos"/>
          <w:kern w:val="2"/>
          <w14:ligatures w14:val="standardContextual"/>
        </w:rPr>
        <w:t>Calculando el área de cada uno de los espacios, según las tipologías de mejoramiento.</w:t>
      </w:r>
    </w:p>
    <w:p w14:paraId="313706EE" w14:textId="77777777" w:rsidR="00583514" w:rsidRPr="00583514" w:rsidRDefault="00583514" w:rsidP="00217E86">
      <w:pPr>
        <w:numPr>
          <w:ilvl w:val="0"/>
          <w:numId w:val="19"/>
        </w:numPr>
        <w:spacing w:after="0" w:line="240" w:lineRule="auto"/>
        <w:contextualSpacing/>
        <w:jc w:val="both"/>
        <w:rPr>
          <w:rFonts w:ascii="Verdana" w:eastAsia="Aptos" w:hAnsi="Verdana" w:cs="Aptos"/>
          <w:kern w:val="2"/>
          <w14:ligatures w14:val="standardContextual"/>
        </w:rPr>
      </w:pPr>
      <w:r w:rsidRPr="00583514">
        <w:rPr>
          <w:rFonts w:ascii="Verdana" w:eastAsia="Aptos" w:hAnsi="Verdana" w:cs="Aptos"/>
          <w:kern w:val="2"/>
          <w14:ligatures w14:val="standardContextual"/>
        </w:rPr>
        <w:t>El área total de la vivienda corresponderá a la sumatoria de cada una de las áreas de los espacios a intervenir, la cual será el área promedio estimada por vivienda.</w:t>
      </w:r>
    </w:p>
    <w:p w14:paraId="2711A51D" w14:textId="77777777" w:rsidR="00583514" w:rsidRPr="00583514" w:rsidRDefault="00583514" w:rsidP="00217E86">
      <w:pPr>
        <w:numPr>
          <w:ilvl w:val="0"/>
          <w:numId w:val="19"/>
        </w:numPr>
        <w:spacing w:after="0" w:line="240" w:lineRule="auto"/>
        <w:contextualSpacing/>
        <w:jc w:val="both"/>
        <w:rPr>
          <w:rFonts w:ascii="Verdana" w:eastAsia="Aptos" w:hAnsi="Verdana" w:cs="Aptos"/>
          <w:kern w:val="2"/>
          <w14:ligatures w14:val="standardContextual"/>
        </w:rPr>
      </w:pPr>
      <w:r w:rsidRPr="00583514">
        <w:rPr>
          <w:rFonts w:ascii="Verdana" w:eastAsia="Aptos" w:hAnsi="Verdana" w:cs="Aptos"/>
          <w:kern w:val="2"/>
          <w14:ligatures w14:val="standardContextual"/>
        </w:rPr>
        <w:t>De acuerdo con el diagnóstico técnico estimado de cada vivienda, se definirá el área real; esta podrá multiplicarse por el número de viviendas intervenidas, de acuerdo con los componentes o tipos de mejoramiento.</w:t>
      </w:r>
    </w:p>
    <w:p w14:paraId="6AF81C67" w14:textId="77777777" w:rsidR="00583514" w:rsidRPr="00583514" w:rsidRDefault="00583514" w:rsidP="00583514">
      <w:pPr>
        <w:spacing w:after="0" w:line="240" w:lineRule="auto"/>
        <w:ind w:left="720"/>
        <w:contextualSpacing/>
        <w:jc w:val="both"/>
        <w:rPr>
          <w:rFonts w:ascii="Verdana" w:eastAsia="Aptos" w:hAnsi="Verdana" w:cs="Aptos"/>
          <w:kern w:val="2"/>
          <w14:ligatures w14:val="standardContextual"/>
        </w:rPr>
      </w:pPr>
    </w:p>
    <w:bookmarkEnd w:id="1"/>
    <w:p w14:paraId="4B669793" w14:textId="77777777" w:rsidR="00583514" w:rsidRPr="00583514" w:rsidRDefault="00583514" w:rsidP="00583514">
      <w:pPr>
        <w:spacing w:after="0" w:line="278" w:lineRule="auto"/>
        <w:ind w:firstLine="708"/>
        <w:jc w:val="both"/>
        <w:rPr>
          <w:rFonts w:ascii="Verdana" w:eastAsia="Aptos" w:hAnsi="Verdana" w:cs="Times New Roman"/>
          <w:kern w:val="2"/>
          <w14:ligatures w14:val="standardContextual"/>
        </w:rPr>
      </w:pPr>
      <w:r w:rsidRPr="00583514">
        <w:rPr>
          <w:rFonts w:ascii="Verdana" w:eastAsia="Aptos" w:hAnsi="Verdana" w:cs="Times New Roman"/>
          <w:kern w:val="2"/>
          <w14:ligatures w14:val="standardContextual"/>
        </w:rPr>
        <w:t>Por otro lado, la entidad podrá determinar un área máxima de intervención para cada una de las viviendas y utilizarla como parámetro técnico. Sin embargo, corresponde a la entidad que adelanta el proceso de selección definir las alternativas para determinar el área de intervención, con base en criterios técnicos, el alcance del proyecto y los estudios previos del respectivo proceso de selección.</w:t>
      </w:r>
    </w:p>
    <w:p w14:paraId="39D1BB7E" w14:textId="77777777" w:rsidR="00583514" w:rsidRPr="00583514" w:rsidRDefault="00583514" w:rsidP="00583514">
      <w:pPr>
        <w:spacing w:after="0" w:line="278" w:lineRule="auto"/>
        <w:ind w:firstLine="708"/>
        <w:jc w:val="both"/>
        <w:rPr>
          <w:rFonts w:ascii="Verdana" w:eastAsia="Aptos" w:hAnsi="Verdana" w:cs="Aptos"/>
          <w:kern w:val="2"/>
          <w14:ligatures w14:val="standardContextual"/>
        </w:rPr>
      </w:pPr>
    </w:p>
    <w:p w14:paraId="3E12A97D" w14:textId="77777777" w:rsidR="00583514" w:rsidRPr="00583514" w:rsidRDefault="00583514" w:rsidP="00583514">
      <w:pPr>
        <w:spacing w:after="0" w:line="278" w:lineRule="auto"/>
        <w:jc w:val="both"/>
        <w:rPr>
          <w:rFonts w:ascii="Verdana" w:eastAsia="Aptos" w:hAnsi="Verdana" w:cs="Aptos"/>
          <w:kern w:val="2"/>
          <w14:ligatures w14:val="standardContextual"/>
        </w:rPr>
      </w:pPr>
      <w:proofErr w:type="spellStart"/>
      <w:r w:rsidRPr="00583514">
        <w:rPr>
          <w:rFonts w:ascii="Verdana" w:eastAsia="Calibri" w:hAnsi="Verdana" w:cs="Times New Roman"/>
          <w:lang w:val="es-ES"/>
        </w:rPr>
        <w:t>iii</w:t>
      </w:r>
      <w:proofErr w:type="spellEnd"/>
      <w:r w:rsidRPr="00583514">
        <w:rPr>
          <w:rFonts w:ascii="Verdana" w:eastAsia="Calibri" w:hAnsi="Verdana" w:cs="Times New Roman"/>
          <w:lang w:val="es-ES"/>
        </w:rPr>
        <w:t xml:space="preserve">. Finalmente, debe advertirse que, el análisis requerido para resolver problemas específicos en torno a la contratación de las entidades estatales debe ser realizado por quienes tengan interés en ello. De esta manera, las afirmaciones aquí realizadas no pueden ser interpretadas como juicios de valor sobre circunstancias concretas relacionadas con los hechos que motivan la consulta. Por lo anterior, previo concepto de sus asesores, la solución de </w:t>
      </w:r>
      <w:r w:rsidRPr="00583514">
        <w:rPr>
          <w:rFonts w:ascii="Verdana" w:eastAsia="Calibri" w:hAnsi="Verdana" w:cs="Times New Roman"/>
          <w:lang w:val="es-ES"/>
        </w:rPr>
        <w:lastRenderedPageBreak/>
        <w:t>situaciones particulares corresponde a los interesados adoptar la decisión correspondiente y, en caso de conflicto, a las autoridades judiciales, fiscales y disciplinarias</w:t>
      </w:r>
      <w:r w:rsidRPr="00583514">
        <w:rPr>
          <w:rFonts w:ascii="Verdana" w:eastAsia="Aptos" w:hAnsi="Verdana" w:cs="Arial"/>
          <w:color w:val="000000"/>
          <w:kern w:val="2"/>
          <w14:ligatures w14:val="standardContextual"/>
        </w:rPr>
        <w:t>.</w:t>
      </w:r>
    </w:p>
    <w:p w14:paraId="6CFCFCA5" w14:textId="77777777" w:rsidR="00583514" w:rsidRPr="00583514" w:rsidRDefault="00583514" w:rsidP="00583514">
      <w:pPr>
        <w:spacing w:after="0" w:line="240" w:lineRule="auto"/>
        <w:ind w:firstLine="708"/>
        <w:jc w:val="both"/>
        <w:rPr>
          <w:rFonts w:ascii="Century Gothic" w:eastAsia="Times New Roman" w:hAnsi="Century Gothic" w:cs="Times New Roman"/>
          <w:color w:val="000000"/>
          <w:lang w:eastAsia="es-MX"/>
        </w:rPr>
      </w:pPr>
      <w:r w:rsidRPr="00583514">
        <w:rPr>
          <w:rFonts w:ascii="Verdana" w:eastAsia="Calibri" w:hAnsi="Verdana" w:cs="Times New Roman"/>
          <w:lang w:val="es-ES"/>
        </w:rPr>
        <w:t>Dentro de este marco, la entidad contratante 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w:t>
      </w:r>
    </w:p>
    <w:p w14:paraId="407536C9" w14:textId="77777777" w:rsidR="00583514" w:rsidRPr="00583514" w:rsidRDefault="00583514" w:rsidP="00583514">
      <w:pPr>
        <w:spacing w:after="0"/>
        <w:jc w:val="both"/>
        <w:rPr>
          <w:rFonts w:ascii="Verdana" w:eastAsia="Calibri" w:hAnsi="Verdana" w:cs="Times New Roman"/>
        </w:rPr>
      </w:pPr>
    </w:p>
    <w:p w14:paraId="6BC3859F" w14:textId="77777777" w:rsidR="00583514" w:rsidRPr="00583514" w:rsidRDefault="00583514" w:rsidP="00583514">
      <w:pPr>
        <w:tabs>
          <w:tab w:val="left" w:pos="142"/>
          <w:tab w:val="left" w:pos="284"/>
        </w:tabs>
        <w:spacing w:after="0" w:line="276" w:lineRule="auto"/>
        <w:jc w:val="both"/>
        <w:rPr>
          <w:rFonts w:ascii="Verdana" w:eastAsia="Century Gothic" w:hAnsi="Verdana" w:cs="Century Gothic"/>
          <w:b/>
          <w:bCs/>
          <w:lang w:val="es-ES_tradnl"/>
        </w:rPr>
      </w:pPr>
      <w:r w:rsidRPr="00583514">
        <w:rPr>
          <w:rFonts w:ascii="Verdana" w:eastAsia="Century Gothic" w:hAnsi="Verdana" w:cs="Century Gothic"/>
          <w:b/>
          <w:bCs/>
          <w:lang w:val="es-ES_tradnl"/>
        </w:rPr>
        <w:t>4. Referencias normativas, jurisprudenciales y otras fuentes:</w:t>
      </w:r>
    </w:p>
    <w:p w14:paraId="46EA2557" w14:textId="77777777" w:rsidR="00583514" w:rsidRPr="00583514" w:rsidRDefault="00583514" w:rsidP="00583514">
      <w:pPr>
        <w:spacing w:after="0"/>
        <w:ind w:left="-15840"/>
        <w:jc w:val="both"/>
        <w:rPr>
          <w:rFonts w:ascii="Verdana" w:eastAsia="Calibri" w:hAnsi="Verdana" w:cs="Arial"/>
          <w:b/>
          <w:bCs/>
        </w:rPr>
      </w:pPr>
      <w:r w:rsidRPr="00583514">
        <w:rPr>
          <w:rFonts w:ascii="Verdana" w:eastAsia="Calibri" w:hAnsi="Verdana" w:cs="Arial"/>
          <w:b/>
          <w:bCs/>
        </w:rPr>
        <w:t>4. Referencias normativas, jurisprudenciales y otras fuentes:</w:t>
      </w:r>
    </w:p>
    <w:tbl>
      <w:tblPr>
        <w:tblStyle w:val="Tablaconcuadrcula1"/>
        <w:tblW w:w="8640"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0"/>
      </w:tblGrid>
      <w:tr w:rsidR="00583514" w:rsidRPr="00583514" w14:paraId="1DE01246" w14:textId="77777777" w:rsidTr="001B7C5C">
        <w:trPr>
          <w:trHeight w:val="632"/>
        </w:trPr>
        <w:tc>
          <w:tcPr>
            <w:tcW w:w="8647" w:type="dxa"/>
            <w:tcBorders>
              <w:top w:val="dotted" w:sz="4" w:space="0" w:color="auto"/>
              <w:left w:val="dotted" w:sz="4" w:space="0" w:color="auto"/>
              <w:bottom w:val="dotted" w:sz="4" w:space="0" w:color="auto"/>
              <w:right w:val="dotted" w:sz="4" w:space="0" w:color="auto"/>
            </w:tcBorders>
          </w:tcPr>
          <w:p w14:paraId="1FA748C2" w14:textId="77777777" w:rsidR="00583514" w:rsidRPr="00583514" w:rsidRDefault="00583514" w:rsidP="00583514">
            <w:pPr>
              <w:widowControl w:val="0"/>
              <w:numPr>
                <w:ilvl w:val="0"/>
                <w:numId w:val="16"/>
              </w:numPr>
              <w:autoSpaceDE w:val="0"/>
              <w:autoSpaceDN w:val="0"/>
              <w:spacing w:line="276" w:lineRule="auto"/>
              <w:ind w:left="714" w:hanging="357"/>
              <w:jc w:val="both"/>
              <w:rPr>
                <w:rFonts w:ascii="Verdana" w:eastAsia="Calibri" w:hAnsi="Verdana" w:cs="Arial"/>
                <w:lang w:val="es-ES_tradnl"/>
              </w:rPr>
            </w:pPr>
            <w:r w:rsidRPr="00583514">
              <w:rPr>
                <w:rFonts w:ascii="Verdana" w:eastAsia="Calibri" w:hAnsi="Verdana" w:cs="Arial"/>
                <w:lang w:val="es-ES_tradnl"/>
              </w:rPr>
              <w:t xml:space="preserve">Ley 2022 de 2020, artículo 1. </w:t>
            </w:r>
          </w:p>
          <w:p w14:paraId="6F9EFF42" w14:textId="77777777" w:rsidR="00583514" w:rsidRPr="00583514" w:rsidRDefault="00583514" w:rsidP="00583514">
            <w:pPr>
              <w:widowControl w:val="0"/>
              <w:numPr>
                <w:ilvl w:val="0"/>
                <w:numId w:val="16"/>
              </w:numPr>
              <w:autoSpaceDE w:val="0"/>
              <w:autoSpaceDN w:val="0"/>
              <w:spacing w:line="276" w:lineRule="auto"/>
              <w:jc w:val="both"/>
              <w:rPr>
                <w:rFonts w:ascii="Verdana" w:eastAsia="Calibri" w:hAnsi="Verdana" w:cs="Arial"/>
              </w:rPr>
            </w:pPr>
            <w:r w:rsidRPr="00583514">
              <w:rPr>
                <w:rFonts w:ascii="Verdana" w:eastAsia="Calibri" w:hAnsi="Verdana" w:cs="Arial"/>
              </w:rPr>
              <w:t>Ley 1150 de 2007, artículo 2.</w:t>
            </w:r>
          </w:p>
          <w:p w14:paraId="41B37D70" w14:textId="77777777" w:rsidR="00583514" w:rsidRPr="00583514" w:rsidRDefault="00583514" w:rsidP="00583514">
            <w:pPr>
              <w:widowControl w:val="0"/>
              <w:numPr>
                <w:ilvl w:val="0"/>
                <w:numId w:val="16"/>
              </w:numPr>
              <w:autoSpaceDE w:val="0"/>
              <w:autoSpaceDN w:val="0"/>
              <w:spacing w:line="276" w:lineRule="auto"/>
              <w:contextualSpacing/>
              <w:jc w:val="both"/>
              <w:rPr>
                <w:rFonts w:ascii="Verdana" w:eastAsia="Calibri" w:hAnsi="Verdana" w:cs="Arial"/>
              </w:rPr>
            </w:pPr>
            <w:r w:rsidRPr="00583514">
              <w:rPr>
                <w:rFonts w:ascii="Verdana" w:eastAsia="Calibri" w:hAnsi="Verdana" w:cs="Arial"/>
                <w:lang w:val="es-ES_tradnl"/>
              </w:rPr>
              <w:t xml:space="preserve">Documentos Tipo. Disponibles en: </w:t>
            </w:r>
            <w:hyperlink r:id="rId11" w:history="1">
              <w:r w:rsidRPr="00583514">
                <w:rPr>
                  <w:rFonts w:ascii="Verdana" w:eastAsia="Calibri" w:hAnsi="Verdana" w:cs="Arial"/>
                  <w:color w:val="0000FF"/>
                  <w:u w:val="single"/>
                  <w:lang w:val="es-ES_tradnl"/>
                </w:rPr>
                <w:t>https://www.colombiacompra.gov.co/documentos-tipo/documentos-tipo</w:t>
              </w:r>
            </w:hyperlink>
            <w:r w:rsidRPr="00583514">
              <w:rPr>
                <w:rFonts w:ascii="Verdana" w:eastAsia="Calibri" w:hAnsi="Verdana" w:cs="Arial"/>
                <w:lang w:val="es-ES_tradnl"/>
              </w:rPr>
              <w:t>.</w:t>
            </w:r>
          </w:p>
        </w:tc>
      </w:tr>
    </w:tbl>
    <w:p w14:paraId="3829C014" w14:textId="77777777" w:rsidR="00583514" w:rsidRPr="00583514" w:rsidRDefault="00583514" w:rsidP="00583514">
      <w:pPr>
        <w:tabs>
          <w:tab w:val="left" w:pos="142"/>
          <w:tab w:val="left" w:pos="284"/>
        </w:tabs>
        <w:spacing w:after="0" w:line="276" w:lineRule="auto"/>
        <w:jc w:val="both"/>
        <w:rPr>
          <w:rFonts w:ascii="Verdana" w:eastAsia="Calibri" w:hAnsi="Verdana" w:cs="Arial"/>
        </w:rPr>
      </w:pPr>
    </w:p>
    <w:p w14:paraId="34BA7F08" w14:textId="77777777" w:rsidR="00583514" w:rsidRPr="00583514" w:rsidRDefault="00583514" w:rsidP="00583514">
      <w:pPr>
        <w:tabs>
          <w:tab w:val="left" w:pos="142"/>
          <w:tab w:val="left" w:pos="284"/>
        </w:tabs>
        <w:spacing w:after="0" w:line="276" w:lineRule="auto"/>
        <w:jc w:val="both"/>
        <w:rPr>
          <w:rFonts w:ascii="Verdana" w:eastAsia="Century Gothic" w:hAnsi="Verdana" w:cs="Century Gothic"/>
          <w:b/>
          <w:bCs/>
          <w:lang w:val="es-ES"/>
        </w:rPr>
      </w:pPr>
      <w:r w:rsidRPr="00583514">
        <w:rPr>
          <w:rFonts w:ascii="Verdana" w:eastAsia="Calibri" w:hAnsi="Verdana" w:cs="Arial"/>
          <w:b/>
          <w:bCs/>
        </w:rPr>
        <w:t>5</w:t>
      </w:r>
      <w:r w:rsidRPr="00583514">
        <w:rPr>
          <w:rFonts w:ascii="Verdana" w:eastAsia="Calibri" w:hAnsi="Verdana" w:cs="Arial"/>
        </w:rPr>
        <w:t>.</w:t>
      </w:r>
      <w:r w:rsidRPr="00583514">
        <w:rPr>
          <w:rFonts w:ascii="Verdana" w:eastAsia="Century Gothic" w:hAnsi="Verdana" w:cs="Century Gothic"/>
          <w:b/>
          <w:bCs/>
          <w:lang w:val="es-ES"/>
        </w:rPr>
        <w:t>Doctrina de la Agencia Nacional de Contratación Pública:</w:t>
      </w:r>
    </w:p>
    <w:p w14:paraId="71A81F7C" w14:textId="77777777" w:rsidR="00583514" w:rsidRPr="00583514" w:rsidRDefault="00583514" w:rsidP="00583514">
      <w:pPr>
        <w:widowControl w:val="0"/>
        <w:autoSpaceDE w:val="0"/>
        <w:autoSpaceDN w:val="0"/>
        <w:spacing w:after="0" w:line="276" w:lineRule="auto"/>
        <w:jc w:val="both"/>
        <w:rPr>
          <w:rFonts w:ascii="Verdana" w:eastAsia="Calibri" w:hAnsi="Verdana" w:cs="Arial"/>
        </w:rPr>
      </w:pPr>
    </w:p>
    <w:p w14:paraId="59CCC01F" w14:textId="77777777" w:rsidR="00583514" w:rsidRPr="00583514" w:rsidRDefault="00583514" w:rsidP="00583514">
      <w:pPr>
        <w:spacing w:after="0" w:line="276" w:lineRule="auto"/>
        <w:jc w:val="both"/>
        <w:rPr>
          <w:rFonts w:ascii="Verdana" w:eastAsia="Calibri" w:hAnsi="Verdana" w:cs="Arial"/>
          <w:lang w:val="es-ES"/>
        </w:rPr>
      </w:pPr>
      <w:r w:rsidRPr="00583514">
        <w:rPr>
          <w:rFonts w:ascii="Verdana" w:eastAsia="Calibri" w:hAnsi="Verdana" w:cs="Arial"/>
          <w:shd w:val="clear" w:color="auto" w:fill="FFFFFF"/>
          <w:lang w:val="es-ES"/>
        </w:rPr>
        <w:t>La Agencia Nacional de Contratación Pública – Colombia Compra Eficiente se pronunció</w:t>
      </w:r>
      <w:r w:rsidRPr="00583514">
        <w:rPr>
          <w:rFonts w:ascii="Verdana" w:eastAsia="Calibri" w:hAnsi="Verdana" w:cs="Times New Roman"/>
        </w:rPr>
        <w:t xml:space="preserve"> </w:t>
      </w:r>
      <w:r w:rsidRPr="00583514">
        <w:rPr>
          <w:rFonts w:ascii="Verdana" w:eastAsia="Calibri" w:hAnsi="Verdana" w:cs="Arial"/>
          <w:shd w:val="clear" w:color="auto" w:fill="FFFFFF"/>
          <w:lang w:val="es-ES"/>
        </w:rPr>
        <w:t>sobre el ámbito de aplicación de los documentos tipo de infraestructura social, en los conceptos C-375 del 27 de septiembre de 2021, C-536 del 29 de septiembre de 2021, P20210826007696 del 6 de octubre de 2021, C-729 del 24 de enero de 2022, C-090 del 16 de marzo de 2022, C-287 del 11 de mayo de 2022, C-334 del 25 de mayo de 2022, C-344 del 9 de junio de 2022, C-436 del 6 de julio de 2022, C-951 del 18 enero de 2023,C-231 del 30 de junio de 2023, C-587 del 23 de octubre de 2024,</w:t>
      </w:r>
      <w:r w:rsidRPr="00583514">
        <w:rPr>
          <w:rFonts w:ascii="Verdana" w:eastAsia="Calibri" w:hAnsi="Verdana" w:cs="Arial"/>
          <w:shd w:val="clear" w:color="auto" w:fill="FFFFFF"/>
          <w:lang w:val="es-ES"/>
        </w:rPr>
        <w:tab/>
        <w:t xml:space="preserve">C-636 del 1 de noviembre de 2024, C-777 del 9 de diciembre de 2024 y C-971 del 21 de enero de 2025, entre otros. </w:t>
      </w:r>
    </w:p>
    <w:p w14:paraId="1EF34AA4" w14:textId="77777777" w:rsidR="00583514" w:rsidRPr="00583514" w:rsidRDefault="00583514" w:rsidP="00583514">
      <w:pPr>
        <w:spacing w:after="0" w:line="276" w:lineRule="auto"/>
        <w:jc w:val="both"/>
        <w:rPr>
          <w:rFonts w:ascii="Verdana" w:eastAsia="Times New Roman" w:hAnsi="Verdana" w:cs="Arial"/>
          <w:shd w:val="clear" w:color="auto" w:fill="FFFFFF"/>
          <w:lang w:val="es-ES"/>
        </w:rPr>
      </w:pPr>
    </w:p>
    <w:p w14:paraId="76834633" w14:textId="77777777" w:rsidR="00583514" w:rsidRPr="00583514" w:rsidRDefault="00583514" w:rsidP="00583514">
      <w:pPr>
        <w:widowControl w:val="0"/>
        <w:autoSpaceDE w:val="0"/>
        <w:autoSpaceDN w:val="0"/>
        <w:spacing w:after="0" w:line="276" w:lineRule="auto"/>
        <w:jc w:val="both"/>
        <w:rPr>
          <w:rFonts w:ascii="Verdana" w:eastAsia="Calibri" w:hAnsi="Verdana" w:cs="Arial"/>
          <w:kern w:val="2"/>
          <w:shd w:val="clear" w:color="auto" w:fill="FFFFFF"/>
          <w:lang w:val="es-ES_tradnl"/>
          <w14:ligatures w14:val="standardContextual"/>
        </w:rPr>
      </w:pPr>
      <w:r w:rsidRPr="00583514">
        <w:rPr>
          <w:rFonts w:ascii="Verdana" w:eastAsia="Calibri" w:hAnsi="Verdana" w:cs="Arial"/>
          <w:kern w:val="2"/>
          <w:shd w:val="clear" w:color="auto" w:fill="FFFFFF"/>
          <w:lang w:val="es-ES_tradnl"/>
          <w14:ligatures w14:val="standardContextual"/>
        </w:rPr>
        <w:t>Por otra parte, la Agencia Nacional de Contratación Pública – Colombia Compra Eficiente se</w:t>
      </w:r>
      <w:r w:rsidRPr="00583514">
        <w:rPr>
          <w:rFonts w:ascii="Verdana" w:eastAsia="Aptos" w:hAnsi="Verdana" w:cs="Times New Roman"/>
          <w:kern w:val="2"/>
          <w14:ligatures w14:val="standardContextual"/>
        </w:rPr>
        <w:t xml:space="preserve"> </w:t>
      </w:r>
      <w:r w:rsidRPr="00583514">
        <w:rPr>
          <w:rFonts w:ascii="Verdana" w:eastAsia="Calibri" w:hAnsi="Verdana" w:cs="Arial"/>
          <w:kern w:val="2"/>
          <w:shd w:val="clear" w:color="auto" w:fill="FFFFFF"/>
          <w:lang w:val="es-ES_tradnl"/>
          <w14:ligatures w14:val="standardContextual"/>
        </w:rPr>
        <w:t>pronunció</w:t>
      </w:r>
      <w:r w:rsidRPr="00583514">
        <w:rPr>
          <w:rFonts w:ascii="Verdana" w:eastAsia="Aptos" w:hAnsi="Verdana" w:cs="Times New Roman"/>
          <w:kern w:val="2"/>
          <w:lang w:val="es-ES_tradnl"/>
          <w14:ligatures w14:val="standardContextual"/>
        </w:rPr>
        <w:t xml:space="preserve"> </w:t>
      </w:r>
      <w:r w:rsidRPr="00583514">
        <w:rPr>
          <w:rFonts w:ascii="Verdana" w:eastAsia="Calibri" w:hAnsi="Verdana" w:cs="Arial"/>
          <w:kern w:val="2"/>
          <w:shd w:val="clear" w:color="auto" w:fill="FFFFFF"/>
          <w:lang w:val="es-ES"/>
          <w14:ligatures w14:val="standardContextual"/>
        </w:rPr>
        <w:t xml:space="preserve">sobre la forma de establecer y acreditar la experiencia exigible en procesos de contratación adelantados con documentos tipo, en los conceptos  C-056 del 8 de enero de 2020, C-069 del 24 de enero de 2020, C-097 del 5 de febrero de 2020, C-198 del 17 de abril de 2020, C-325 del 26 de </w:t>
      </w:r>
      <w:r w:rsidRPr="00583514">
        <w:rPr>
          <w:rFonts w:ascii="Verdana" w:eastAsia="Calibri" w:hAnsi="Verdana" w:cs="Arial"/>
          <w:kern w:val="2"/>
          <w:shd w:val="clear" w:color="auto" w:fill="FFFFFF"/>
          <w:lang w:val="es-ES"/>
          <w14:ligatures w14:val="standardContextual"/>
        </w:rPr>
        <w:lastRenderedPageBreak/>
        <w:t xml:space="preserve">mayo de 2020, C-444 del 13 de julio de 2020, C-466 del 24 de julio de 2020, C-485 del 29 de julio de 2020, C-501 del 29 de julio de 2020, C-478 del 30 de julio de 2020, C-450 de 3 de agosto de 2020, C-497 del 6 de agosto de 2020, C-528 del 18 de agosto de 2020, C-531 del 21 de agosto de 2020, C-546 del 26 de agosto de 2020, C-597 del 14 de septiembre de 2020, C-618 del 17 de septiembre de 2020, C-630 del 21 de octubre de 2020, C-633 del 2 de octubre de 2020, C-643 del 26 de octubre de 2020, C-635 del 29 de octubre de 2020, C-716 del 30 de octubre de 2020, C-653 del 9 de noviembre de 2020, C-665 del 11 de noviembre de 2020, C-697 del 21 de diciembre de 2020, C-698 del 19 de noviembre de 2020 y C-018 del 23 de febrero de 2021, C-233 del 24 de mayo de 2021, C-355 del 19 de julio de 2021, C-452 del 31 de agosto de 2021, C-454 del 31 de agosto de 2021, C-502 del 21 de septiembre de 2021, C-526 del 27 de septiembre de 2021, C-605 del 2 de noviembre de 2021, C-665 del 23 de diciembre de 2021, C-735 del 28 de enero de 2022, C-437 del  6 de septiembre de 2022, C-195 del 1 de agosto de 2024, C-790 del 12 de diciembre de 2024, C-971 del 21 de enero de 2025, C-064 del 27 de marzo de 2025 y C-337 del 25 de abril de 2025, C-567 del 6 de junio de 2025 y C-629 del 24 de junio de 2025 y </w:t>
      </w:r>
      <w:r w:rsidRPr="00583514">
        <w:rPr>
          <w:rFonts w:ascii="Verdana" w:eastAsia="Calibri" w:hAnsi="Verdana" w:cs="Arial"/>
          <w:shd w:val="clear" w:color="auto" w:fill="FFFFFF"/>
          <w:lang w:val="es-ES"/>
        </w:rPr>
        <w:t xml:space="preserve">C-854 del 4 de agosto de 2025, </w:t>
      </w:r>
      <w:r w:rsidRPr="00583514">
        <w:rPr>
          <w:rFonts w:ascii="Verdana" w:eastAsia="Calibri" w:hAnsi="Verdana" w:cs="Arial"/>
          <w:kern w:val="2"/>
          <w:shd w:val="clear" w:color="auto" w:fill="FFFFFF"/>
          <w:lang w:val="es-ES"/>
          <w14:ligatures w14:val="standardContextual"/>
        </w:rPr>
        <w:t>entre otros</w:t>
      </w:r>
      <w:r w:rsidRPr="00583514">
        <w:rPr>
          <w:rFonts w:ascii="Verdana" w:eastAsia="Calibri" w:hAnsi="Verdana" w:cs="Arial"/>
          <w:kern w:val="2"/>
          <w:shd w:val="clear" w:color="auto" w:fill="FFFFFF"/>
          <w:lang w:val="es-ES_tradnl"/>
          <w14:ligatures w14:val="standardContextual"/>
        </w:rPr>
        <w:t xml:space="preserve">. </w:t>
      </w:r>
      <w:r w:rsidRPr="00583514">
        <w:rPr>
          <w:rFonts w:ascii="Verdana" w:eastAsia="Aptos" w:hAnsi="Verdana" w:cs="Times New Roman"/>
          <w:kern w:val="2"/>
          <w:lang w:val="es-ES_tradnl"/>
          <w14:ligatures w14:val="standardContextual"/>
        </w:rPr>
        <w:t xml:space="preserve"> </w:t>
      </w:r>
    </w:p>
    <w:p w14:paraId="2528FD74" w14:textId="77777777" w:rsidR="00583514" w:rsidRPr="00583514" w:rsidRDefault="00583514" w:rsidP="00583514">
      <w:pPr>
        <w:widowControl w:val="0"/>
        <w:autoSpaceDE w:val="0"/>
        <w:autoSpaceDN w:val="0"/>
        <w:spacing w:after="0" w:line="276" w:lineRule="auto"/>
        <w:jc w:val="both"/>
        <w:rPr>
          <w:rFonts w:ascii="Verdana" w:eastAsia="Times New Roman" w:hAnsi="Verdana" w:cs="Arial"/>
          <w:shd w:val="clear" w:color="auto" w:fill="FFFFFF"/>
          <w:lang w:val="es-ES"/>
        </w:rPr>
      </w:pPr>
    </w:p>
    <w:p w14:paraId="30900669" w14:textId="77777777" w:rsidR="00583514" w:rsidRPr="00583514" w:rsidRDefault="00583514" w:rsidP="00583514">
      <w:pPr>
        <w:widowControl w:val="0"/>
        <w:autoSpaceDE w:val="0"/>
        <w:autoSpaceDN w:val="0"/>
        <w:spacing w:after="0" w:line="276" w:lineRule="auto"/>
        <w:jc w:val="both"/>
        <w:rPr>
          <w:rFonts w:ascii="Verdana" w:eastAsia="Times New Roman" w:hAnsi="Verdana" w:cs="Arial"/>
          <w:shd w:val="clear" w:color="auto" w:fill="FFFFFF"/>
          <w:lang w:val="es-ES"/>
        </w:rPr>
      </w:pPr>
      <w:r w:rsidRPr="00583514">
        <w:rPr>
          <w:rFonts w:ascii="Verdana" w:eastAsia="Calibri" w:hAnsi="Verdana" w:cs="Arial"/>
          <w:color w:val="000000"/>
          <w:shd w:val="clear" w:color="auto" w:fill="FFFFFF"/>
        </w:rPr>
        <w:t>Estos y otros conceptos se encuentran disponibles para consulta en el Sistema de Relatoría de la Agencia, en el cual también podrás encontrar jurisprudencia del Consejo de Estado, laudos arbitrales y la normativa de la contratación concordada con la doctrina de la Subdirección de Gestión Contractual. Accede a través del siguiente enlace: </w:t>
      </w:r>
      <w:hyperlink r:id="rId12" w:tgtFrame="_blank" w:tooltip="Dirección URL original: https://relatoria.colombiacompra.gov.co/. Haga clic o pulse si confía en este vínculo." w:history="1">
        <w:r w:rsidRPr="00583514">
          <w:rPr>
            <w:rFonts w:ascii="Verdana" w:eastAsia="Calibri" w:hAnsi="Verdana" w:cs="Arial"/>
            <w:color w:val="000000"/>
            <w:u w:val="single"/>
            <w:shd w:val="clear" w:color="auto" w:fill="FFFFFF"/>
          </w:rPr>
          <w:t>https://relatoria.colombiacompra.gov.co/</w:t>
        </w:r>
      </w:hyperlink>
      <w:r w:rsidRPr="00583514">
        <w:rPr>
          <w:rFonts w:ascii="Verdana" w:eastAsia="Calibri" w:hAnsi="Verdana" w:cs="Arial"/>
          <w:color w:val="000000"/>
          <w:shd w:val="clear" w:color="auto" w:fill="FFFFFF"/>
        </w:rPr>
        <w:t> .</w:t>
      </w:r>
    </w:p>
    <w:p w14:paraId="2052B79F" w14:textId="77777777" w:rsidR="00583514" w:rsidRPr="00583514" w:rsidRDefault="00583514" w:rsidP="00583514">
      <w:pPr>
        <w:spacing w:after="0" w:line="240" w:lineRule="auto"/>
        <w:jc w:val="both"/>
        <w:rPr>
          <w:rFonts w:ascii="Verdana" w:eastAsia="Calibri" w:hAnsi="Verdana" w:cs="Arial"/>
          <w:color w:val="000000"/>
          <w:shd w:val="clear" w:color="auto" w:fill="FFFFFF"/>
        </w:rPr>
      </w:pPr>
    </w:p>
    <w:p w14:paraId="205B218F" w14:textId="77777777" w:rsidR="00583514" w:rsidRPr="00583514" w:rsidRDefault="00583514" w:rsidP="00583514">
      <w:pPr>
        <w:spacing w:after="0" w:line="276" w:lineRule="auto"/>
        <w:jc w:val="both"/>
        <w:rPr>
          <w:rFonts w:ascii="Verdana" w:eastAsia="Aptos" w:hAnsi="Verdana" w:cs="Arial"/>
          <w:kern w:val="2"/>
          <w14:ligatures w14:val="standardContextual"/>
        </w:rPr>
      </w:pPr>
      <w:r w:rsidRPr="00583514">
        <w:rPr>
          <w:rFonts w:ascii="Verdana" w:eastAsia="Aptos" w:hAnsi="Verdana" w:cs="Arial"/>
          <w:kern w:val="2"/>
          <w14:ligatures w14:val="standardContextual"/>
        </w:rPr>
        <w:t xml:space="preserve">La sostenibilidad no es una opción, es una obligación. Por ello, la Agencia Nacional de Contratación Pública –Colombia Compra Eficiente– te invita a realizar el </w:t>
      </w:r>
      <w:r w:rsidRPr="00583514">
        <w:rPr>
          <w:rFonts w:ascii="Verdana" w:eastAsia="Aptos" w:hAnsi="Verdana" w:cs="Arial"/>
          <w:b/>
          <w:bCs/>
          <w:kern w:val="2"/>
          <w14:ligatures w14:val="standardContextual"/>
        </w:rPr>
        <w:t>Curso de Contratación Pública Sostenible y Socialmente Responsable</w:t>
      </w:r>
      <w:r w:rsidRPr="00583514">
        <w:rPr>
          <w:rFonts w:ascii="Verdana" w:eastAsia="Aptos" w:hAnsi="Verdana" w:cs="Arial"/>
          <w:kern w:val="2"/>
          <w14:ligatures w14:val="standardContextual"/>
        </w:rPr>
        <w:t>, una herramienta clave para fortalecer las capacidades de todos los compradores públicos, proveedores, servidores públicos y para generar mayor valor público. Accede al curso y aprende como implementar criterios sociales y ambientales en las diferentes etapas del proceso de contratación:</w:t>
      </w:r>
      <w:r w:rsidRPr="00583514">
        <w:rPr>
          <w:rFonts w:ascii="Verdana" w:eastAsia="Aptos" w:hAnsi="Verdana" w:cs="Arial"/>
          <w:kern w:val="2"/>
          <w14:ligatures w14:val="standardContextual"/>
        </w:rPr>
        <w:br/>
      </w:r>
      <w:hyperlink r:id="rId13" w:tgtFrame="_new" w:history="1">
        <w:r w:rsidRPr="00583514">
          <w:rPr>
            <w:rFonts w:ascii="Verdana" w:eastAsia="Aptos" w:hAnsi="Verdana" w:cs="Arial"/>
            <w:color w:val="0000FF"/>
            <w:kern w:val="2"/>
            <w:u w:val="single"/>
            <w14:ligatures w14:val="standardContextual"/>
          </w:rPr>
          <w:t>https://formacionvirtual.colombiacompra.gov.co/mod/page/view.php?id=3718</w:t>
        </w:r>
      </w:hyperlink>
    </w:p>
    <w:p w14:paraId="632339C6" w14:textId="77777777" w:rsidR="00583514" w:rsidRPr="00583514" w:rsidRDefault="00583514" w:rsidP="00583514">
      <w:pPr>
        <w:spacing w:after="0" w:line="276" w:lineRule="auto"/>
        <w:jc w:val="both"/>
        <w:rPr>
          <w:rFonts w:ascii="Verdana" w:eastAsia="Aptos" w:hAnsi="Verdana" w:cs="Arial"/>
          <w:kern w:val="2"/>
          <w14:ligatures w14:val="standardContextual"/>
        </w:rPr>
      </w:pPr>
      <w:r w:rsidRPr="00583514">
        <w:rPr>
          <w:rFonts w:ascii="Verdana" w:eastAsia="Aptos" w:hAnsi="Verdana" w:cs="Arial"/>
          <w:kern w:val="2"/>
          <w14:ligatures w14:val="standardContextual"/>
        </w:rPr>
        <w:t xml:space="preserve">De otro lado, te contamos que esta Agencia ha da un paso decisivo en la estandarización y modernización del </w:t>
      </w:r>
      <w:r w:rsidRPr="00583514">
        <w:rPr>
          <w:rFonts w:ascii="Verdana" w:eastAsia="Aptos" w:hAnsi="Verdana" w:cs="Arial"/>
          <w:b/>
          <w:bCs/>
          <w:kern w:val="2"/>
          <w14:ligatures w14:val="standardContextual"/>
        </w:rPr>
        <w:t>sector  social</w:t>
      </w:r>
      <w:r w:rsidRPr="00583514">
        <w:rPr>
          <w:rFonts w:ascii="Verdana" w:eastAsia="Aptos" w:hAnsi="Verdana" w:cs="Arial"/>
          <w:kern w:val="2"/>
          <w14:ligatures w14:val="standardContextual"/>
        </w:rPr>
        <w:t xml:space="preserve"> con la expedición de las </w:t>
      </w:r>
      <w:r w:rsidRPr="00583514">
        <w:rPr>
          <w:rFonts w:ascii="Verdana" w:eastAsia="Aptos" w:hAnsi="Verdana" w:cs="Arial"/>
          <w:b/>
          <w:bCs/>
          <w:kern w:val="2"/>
          <w14:ligatures w14:val="standardContextual"/>
        </w:rPr>
        <w:t>Resoluciones 539, 540, 541, 952 y 953 de 2025</w:t>
      </w:r>
      <w:r w:rsidRPr="00583514">
        <w:rPr>
          <w:rFonts w:ascii="Verdana" w:eastAsia="Aptos" w:hAnsi="Verdana" w:cs="Arial"/>
          <w:kern w:val="2"/>
          <w14:ligatures w14:val="standardContextual"/>
        </w:rPr>
        <w:t xml:space="preserve">, </w:t>
      </w:r>
      <w:r w:rsidRPr="00583514">
        <w:rPr>
          <w:rFonts w:ascii="Verdana" w:eastAsia="Aptos" w:hAnsi="Verdana" w:cs="Arial"/>
          <w:b/>
          <w:bCs/>
          <w:kern w:val="2"/>
          <w14:ligatures w14:val="standardContextual"/>
        </w:rPr>
        <w:t xml:space="preserve">mediante las cuales </w:t>
      </w:r>
      <w:r w:rsidRPr="00583514">
        <w:rPr>
          <w:rFonts w:ascii="Verdana" w:eastAsia="Aptos" w:hAnsi="Verdana" w:cs="Arial"/>
          <w:b/>
          <w:bCs/>
          <w:kern w:val="2"/>
          <w14:ligatures w14:val="standardContextual"/>
        </w:rPr>
        <w:lastRenderedPageBreak/>
        <w:t>adoptó Documentos Tipo</w:t>
      </w:r>
      <w:r w:rsidRPr="00583514">
        <w:rPr>
          <w:rFonts w:ascii="Verdana" w:eastAsia="Aptos" w:hAnsi="Verdana" w:cs="Arial"/>
          <w:kern w:val="2"/>
          <w14:ligatures w14:val="standardContextual"/>
        </w:rPr>
        <w:t xml:space="preserve"> para las modalidades de selección de</w:t>
      </w:r>
      <w:r w:rsidRPr="00583514">
        <w:rPr>
          <w:rFonts w:ascii="Verdana" w:eastAsia="Aptos" w:hAnsi="Verdana" w:cs="Arial"/>
          <w:b/>
          <w:bCs/>
          <w:kern w:val="2"/>
          <w14:ligatures w14:val="standardContextual"/>
        </w:rPr>
        <w:t xml:space="preserve"> licitación pública (versión 2), selección abreviada de menor cuantía, mínima cuantía, consultoría e interventoría</w:t>
      </w:r>
      <w:r w:rsidRPr="00583514">
        <w:rPr>
          <w:rFonts w:ascii="Verdana" w:eastAsia="Aptos" w:hAnsi="Verdana" w:cs="Arial"/>
          <w:kern w:val="2"/>
          <w14:ligatures w14:val="standardContextual"/>
        </w:rPr>
        <w:t xml:space="preserve">, promoviendo procesos más transparentes, eficientes  competitivos y sostenibles en sectores estratégicos como educación, salud, cultura, recreación, deporte, institucional y vivienda. Consulta y descarga los documentos aquí: </w:t>
      </w:r>
      <w:hyperlink r:id="rId14" w:tgtFrame="_new" w:history="1">
        <w:r w:rsidRPr="00583514">
          <w:rPr>
            <w:rFonts w:ascii="Verdana" w:eastAsia="Aptos" w:hAnsi="Verdana" w:cs="Arial"/>
            <w:color w:val="0000FF"/>
            <w:kern w:val="2"/>
            <w:u w:val="single"/>
            <w14:ligatures w14:val="standardContextual"/>
          </w:rPr>
          <w:t>https://www.colombiacompra.gov.co/normativa-y-relatoria/documentos-tipo</w:t>
        </w:r>
      </w:hyperlink>
    </w:p>
    <w:p w14:paraId="596C3E10" w14:textId="77777777" w:rsidR="00583514" w:rsidRPr="00583514" w:rsidRDefault="00583514" w:rsidP="00583514">
      <w:pPr>
        <w:spacing w:after="0" w:line="276" w:lineRule="auto"/>
        <w:jc w:val="both"/>
        <w:rPr>
          <w:rFonts w:ascii="Verdana" w:eastAsia="Aptos" w:hAnsi="Verdana" w:cs="Arial"/>
          <w:kern w:val="2"/>
          <w14:ligatures w14:val="standardContextual"/>
        </w:rPr>
      </w:pPr>
    </w:p>
    <w:p w14:paraId="2895E38D" w14:textId="77777777" w:rsidR="00583514" w:rsidRPr="00583514" w:rsidRDefault="00583514" w:rsidP="00583514">
      <w:pPr>
        <w:spacing w:after="0" w:line="276" w:lineRule="auto"/>
        <w:jc w:val="both"/>
        <w:rPr>
          <w:rFonts w:ascii="Verdana" w:eastAsia="Aptos" w:hAnsi="Verdana" w:cs="Arial"/>
          <w:kern w:val="2"/>
          <w14:ligatures w14:val="standardContextual"/>
        </w:rPr>
      </w:pPr>
      <w:r w:rsidRPr="00583514">
        <w:rPr>
          <w:rFonts w:ascii="Verdana" w:eastAsia="Aptos" w:hAnsi="Verdana" w:cs="Arial"/>
          <w:kern w:val="2"/>
          <w14:ligatures w14:val="standardContextual"/>
        </w:rPr>
        <w:t xml:space="preserve">Si quieres conocer más sobre la aplicación de Documentos Tipo puedes consultar la última versión de la </w:t>
      </w:r>
      <w:r w:rsidRPr="00583514">
        <w:rPr>
          <w:rFonts w:ascii="Verdana" w:eastAsia="Aptos" w:hAnsi="Verdana" w:cs="Arial"/>
          <w:b/>
          <w:bCs/>
          <w:kern w:val="2"/>
          <w14:ligatures w14:val="standardContextual"/>
        </w:rPr>
        <w:t>Guía para la comprensión e implementación de los Documentos Tipo de obra pública de infraestructura de transporte</w:t>
      </w:r>
      <w:r w:rsidRPr="00583514">
        <w:rPr>
          <w:rFonts w:ascii="Verdana" w:eastAsia="Aptos" w:hAnsi="Verdana" w:cs="Arial"/>
          <w:kern w:val="2"/>
          <w14:ligatures w14:val="standardContextual"/>
        </w:rPr>
        <w:t>. En esta actualización se incorporaron orientaciones prácticas dirigidas a entidades públicas, proveedores, organismos de control y demás interesados, con el propósito de facilitar la adecuada implementación de estos instrumentos en los procesos contractuales. Además se incluyeron lineamientos que orientan la implementación de los criterios ambientales y sociales incluidos en los documentos tipo: Consulta la guía aquí:</w:t>
      </w:r>
      <w:r w:rsidRPr="00583514">
        <w:rPr>
          <w:rFonts w:ascii="Verdana" w:eastAsia="Aptos" w:hAnsi="Verdana" w:cs="Arial"/>
          <w:kern w:val="2"/>
          <w14:ligatures w14:val="standardContextual"/>
        </w:rPr>
        <w:br/>
      </w:r>
      <w:hyperlink r:id="rId15" w:tgtFrame="_new" w:history="1">
        <w:r w:rsidRPr="00583514">
          <w:rPr>
            <w:rFonts w:ascii="Verdana" w:eastAsia="Aptos" w:hAnsi="Verdana" w:cs="Arial"/>
            <w:color w:val="0000FF"/>
            <w:kern w:val="2"/>
            <w:u w:val="single"/>
            <w14:ligatures w14:val="standardContextual"/>
          </w:rPr>
          <w:t>https://www.colombiacompra.gov.co/archivos/manual/guia-para-la-comprension-e-implementacion-de-los-documentos-tipo-de-obra-publica-de-infraestructura-de-transporte-bajo-las-diferentes-modalidades-de-contratacion-vigentes</w:t>
        </w:r>
      </w:hyperlink>
    </w:p>
    <w:p w14:paraId="194755BE" w14:textId="77777777" w:rsidR="00583514" w:rsidRPr="00583514" w:rsidRDefault="00583514" w:rsidP="00583514">
      <w:pPr>
        <w:spacing w:after="0"/>
        <w:jc w:val="both"/>
        <w:rPr>
          <w:rFonts w:ascii="Verdana" w:eastAsia="Aptos" w:hAnsi="Verdana" w:cs="Times New Roman"/>
          <w:color w:val="212121"/>
        </w:rPr>
      </w:pPr>
    </w:p>
    <w:p w14:paraId="60B1125E" w14:textId="77777777" w:rsidR="00583514" w:rsidRPr="00583514" w:rsidRDefault="00583514" w:rsidP="00583514">
      <w:pPr>
        <w:spacing w:after="0" w:line="240" w:lineRule="auto"/>
        <w:jc w:val="both"/>
        <w:rPr>
          <w:rFonts w:ascii="Verdana" w:eastAsia="Calibri" w:hAnsi="Verdana" w:cs="Times New Roman"/>
        </w:rPr>
      </w:pPr>
      <w:r w:rsidRPr="00583514">
        <w:rPr>
          <w:rFonts w:ascii="Verdana" w:eastAsia="Aptos" w:hAnsi="Verdana" w:cs="Times New Roman"/>
        </w:rPr>
        <w:t xml:space="preserve">Por último, lo invitamos a seguirnos en las redes sociales en las cuales se difunde información institucional: </w:t>
      </w:r>
    </w:p>
    <w:p w14:paraId="041A90C5" w14:textId="77777777" w:rsidR="00583514" w:rsidRPr="00583514" w:rsidRDefault="00583514" w:rsidP="00583514">
      <w:pPr>
        <w:spacing w:after="0" w:line="240" w:lineRule="auto"/>
        <w:jc w:val="both"/>
        <w:rPr>
          <w:rFonts w:ascii="Verdana" w:eastAsia="Aptos" w:hAnsi="Verdana" w:cs="Times New Roman"/>
        </w:rPr>
      </w:pPr>
    </w:p>
    <w:p w14:paraId="0A308945" w14:textId="77777777" w:rsidR="00583514" w:rsidRPr="00583514" w:rsidRDefault="00583514" w:rsidP="00583514">
      <w:pPr>
        <w:spacing w:after="0" w:line="240" w:lineRule="auto"/>
        <w:jc w:val="both"/>
        <w:rPr>
          <w:rFonts w:ascii="Verdana" w:eastAsia="Aptos" w:hAnsi="Verdana" w:cs="Times New Roman"/>
        </w:rPr>
      </w:pPr>
      <w:r w:rsidRPr="00583514">
        <w:rPr>
          <w:rFonts w:ascii="Verdana" w:eastAsia="Aptos" w:hAnsi="Verdana" w:cs="Times New Roman"/>
        </w:rPr>
        <w:t xml:space="preserve">Twitter: </w:t>
      </w:r>
      <w:r w:rsidRPr="00583514">
        <w:rPr>
          <w:rFonts w:ascii="Verdana" w:eastAsia="Calibri" w:hAnsi="Verdana" w:cs="Times New Roman"/>
          <w:color w:val="156082"/>
          <w:u w:val="single"/>
        </w:rPr>
        <w:t>@colombiacompra</w:t>
      </w:r>
      <w:r w:rsidRPr="00583514">
        <w:rPr>
          <w:rFonts w:ascii="Verdana" w:eastAsia="Calibri" w:hAnsi="Verdana" w:cs="Times New Roman"/>
          <w:color w:val="156082"/>
        </w:rPr>
        <w:t xml:space="preserve"> </w:t>
      </w:r>
    </w:p>
    <w:p w14:paraId="030EDC49" w14:textId="77777777" w:rsidR="00583514" w:rsidRPr="00583514" w:rsidRDefault="00583514" w:rsidP="00583514">
      <w:pPr>
        <w:spacing w:after="0" w:line="240" w:lineRule="auto"/>
        <w:jc w:val="both"/>
        <w:rPr>
          <w:rFonts w:ascii="Verdana" w:eastAsia="Aptos" w:hAnsi="Verdana" w:cs="Times New Roman"/>
        </w:rPr>
      </w:pPr>
      <w:r w:rsidRPr="00583514">
        <w:rPr>
          <w:rFonts w:ascii="Verdana" w:eastAsia="Aptos" w:hAnsi="Verdana" w:cs="Times New Roman"/>
        </w:rPr>
        <w:t xml:space="preserve">Facebook: </w:t>
      </w:r>
      <w:proofErr w:type="spellStart"/>
      <w:r w:rsidRPr="00583514">
        <w:rPr>
          <w:rFonts w:ascii="Verdana" w:eastAsia="Calibri" w:hAnsi="Verdana" w:cs="Times New Roman"/>
          <w:color w:val="156082"/>
          <w:u w:val="single"/>
        </w:rPr>
        <w:t>ColombiaCompraEficiente</w:t>
      </w:r>
      <w:proofErr w:type="spellEnd"/>
    </w:p>
    <w:p w14:paraId="6C25832E" w14:textId="77777777" w:rsidR="00583514" w:rsidRPr="00583514" w:rsidRDefault="00583514" w:rsidP="00583514">
      <w:pPr>
        <w:spacing w:after="0" w:line="240" w:lineRule="auto"/>
        <w:jc w:val="both"/>
        <w:rPr>
          <w:rFonts w:ascii="Verdana" w:eastAsia="Aptos" w:hAnsi="Verdana" w:cs="Times New Roman"/>
        </w:rPr>
      </w:pPr>
      <w:r w:rsidRPr="00583514">
        <w:rPr>
          <w:rFonts w:ascii="Verdana" w:eastAsia="Aptos" w:hAnsi="Verdana" w:cs="Times New Roman"/>
        </w:rPr>
        <w:t xml:space="preserve">LinkedIn: </w:t>
      </w:r>
      <w:r w:rsidRPr="00583514">
        <w:rPr>
          <w:rFonts w:ascii="Verdana" w:eastAsia="Calibri" w:hAnsi="Verdana" w:cs="Times New Roman"/>
          <w:color w:val="156082"/>
          <w:u w:val="single"/>
        </w:rPr>
        <w:t>Agencia Nacional de Contratación Pública - Colombia Compra Eficiente</w:t>
      </w:r>
      <w:r w:rsidRPr="00583514">
        <w:rPr>
          <w:rFonts w:ascii="Verdana" w:eastAsia="Calibri" w:hAnsi="Verdana" w:cs="Times New Roman"/>
          <w:color w:val="156082"/>
        </w:rPr>
        <w:t xml:space="preserve"> </w:t>
      </w:r>
      <w:r w:rsidRPr="00583514">
        <w:rPr>
          <w:rFonts w:ascii="Verdana" w:eastAsia="Aptos" w:hAnsi="Verdana" w:cs="Times New Roman"/>
        </w:rPr>
        <w:t xml:space="preserve">Instagram: </w:t>
      </w:r>
      <w:r w:rsidRPr="00583514">
        <w:rPr>
          <w:rFonts w:ascii="Verdana" w:eastAsia="Calibri" w:hAnsi="Verdana" w:cs="Times New Roman"/>
          <w:color w:val="156082"/>
          <w:u w:val="single"/>
        </w:rPr>
        <w:t>@colombiacompraeficiente_cce</w:t>
      </w:r>
    </w:p>
    <w:p w14:paraId="7626716C" w14:textId="77777777" w:rsidR="00583514" w:rsidRPr="00583514" w:rsidRDefault="00583514" w:rsidP="00583514">
      <w:pPr>
        <w:spacing w:after="0" w:line="276" w:lineRule="auto"/>
        <w:jc w:val="both"/>
        <w:rPr>
          <w:rFonts w:ascii="Verdana" w:eastAsia="Aptos" w:hAnsi="Verdana" w:cs="Times New Roman"/>
        </w:rPr>
      </w:pPr>
    </w:p>
    <w:p w14:paraId="3BDA3ACA" w14:textId="77777777" w:rsidR="00583514" w:rsidRPr="00583514" w:rsidRDefault="00583514" w:rsidP="00583514">
      <w:pPr>
        <w:spacing w:after="0" w:line="276" w:lineRule="auto"/>
        <w:jc w:val="both"/>
        <w:rPr>
          <w:rFonts w:ascii="Verdana" w:eastAsia="Calibri" w:hAnsi="Verdana" w:cs="Times New Roman"/>
          <w:bCs/>
          <w:lang w:val="es-ES_tradnl"/>
        </w:rPr>
      </w:pPr>
      <w:r w:rsidRPr="00583514">
        <w:rPr>
          <w:rFonts w:ascii="Verdana" w:eastAsia="Calibri" w:hAnsi="Verdana" w:cs="Times New Roman"/>
          <w:lang w:val="es-ES_tradnl"/>
        </w:rPr>
        <w:t>Este concepto tiene el alcance previsto en el artículo 28 del Código de Procedimiento Administrativo y de lo Contencioso Administrativo y las expresiones utilizadas con mayúscula inicial deben ser entendidas con el significado que les otorga el artículo 2.2.1.1.1.3.1 del Decreto 1082 de 2015.</w:t>
      </w:r>
    </w:p>
    <w:p w14:paraId="3E0E2948" w14:textId="77777777" w:rsidR="00583514" w:rsidRPr="00583514" w:rsidRDefault="00583514" w:rsidP="00583514">
      <w:pPr>
        <w:spacing w:after="0" w:line="276" w:lineRule="auto"/>
        <w:jc w:val="both"/>
        <w:rPr>
          <w:rFonts w:ascii="Verdana" w:eastAsia="Calibri" w:hAnsi="Verdana" w:cs="Times New Roman"/>
        </w:rPr>
      </w:pPr>
    </w:p>
    <w:p w14:paraId="40527716" w14:textId="77777777" w:rsidR="00583514" w:rsidRPr="00583514" w:rsidRDefault="00583514" w:rsidP="00583514">
      <w:pPr>
        <w:spacing w:after="0" w:line="276" w:lineRule="auto"/>
        <w:jc w:val="both"/>
        <w:rPr>
          <w:rFonts w:ascii="Verdana" w:eastAsia="Calibri" w:hAnsi="Verdana" w:cs="Times New Roman"/>
        </w:rPr>
      </w:pPr>
      <w:r w:rsidRPr="00583514">
        <w:rPr>
          <w:rFonts w:ascii="Verdana" w:eastAsia="Calibri" w:hAnsi="Verdana" w:cs="Times New Roman"/>
        </w:rPr>
        <w:t>Atentamente,</w:t>
      </w:r>
    </w:p>
    <w:p w14:paraId="36AF6F38" w14:textId="612D79D5" w:rsidR="00583514" w:rsidRPr="00583514" w:rsidRDefault="0047597E" w:rsidP="00583514">
      <w:pPr>
        <w:tabs>
          <w:tab w:val="left" w:pos="1320"/>
        </w:tabs>
        <w:jc w:val="center"/>
        <w:rPr>
          <w:rFonts w:ascii="Century Gothic" w:eastAsia="Calibri" w:hAnsi="Century Gothic" w:cs="Times New Roman"/>
        </w:rPr>
      </w:pPr>
      <w:r w:rsidRPr="004D5C25">
        <w:rPr>
          <w:rFonts w:ascii="Century Gothic" w:hAnsi="Century Gothic"/>
          <w:noProof/>
        </w:rPr>
        <w:lastRenderedPageBreak/>
        <w:drawing>
          <wp:inline distT="0" distB="0" distL="0" distR="0" wp14:anchorId="28A7DCB0" wp14:editId="4ACA0C86">
            <wp:extent cx="2547937" cy="1093844"/>
            <wp:effectExtent l="0" t="0" r="5080" b="0"/>
            <wp:docPr id="1822740040"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2740040" name="Imagen 1" descr="Texto&#10;&#10;Descripción generada automáticamente"/>
                    <pic:cNvPicPr/>
                  </pic:nvPicPr>
                  <pic:blipFill>
                    <a:blip r:embed="rId16"/>
                    <a:stretch>
                      <a:fillRect/>
                    </a:stretch>
                  </pic:blipFill>
                  <pic:spPr>
                    <a:xfrm>
                      <a:off x="0" y="0"/>
                      <a:ext cx="2553823" cy="1096371"/>
                    </a:xfrm>
                    <a:prstGeom prst="rect">
                      <a:avLst/>
                    </a:prstGeom>
                  </pic:spPr>
                </pic:pic>
              </a:graphicData>
            </a:graphic>
          </wp:inline>
        </w:drawing>
      </w:r>
    </w:p>
    <w:tbl>
      <w:tblPr>
        <w:tblStyle w:val="Tablaconcuadrcula"/>
        <w:tblW w:w="760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41"/>
        <w:gridCol w:w="6561"/>
      </w:tblGrid>
      <w:tr w:rsidR="00583514" w:rsidRPr="00583514" w14:paraId="7EBFAC87" w14:textId="77777777" w:rsidTr="3AF4672B">
        <w:trPr>
          <w:trHeight w:val="323"/>
        </w:trPr>
        <w:tc>
          <w:tcPr>
            <w:tcW w:w="1041" w:type="dxa"/>
            <w:vAlign w:val="center"/>
            <w:hideMark/>
          </w:tcPr>
          <w:p w14:paraId="034A8439" w14:textId="77777777" w:rsidR="00583514" w:rsidRPr="00583514" w:rsidRDefault="00583514" w:rsidP="00583514">
            <w:pPr>
              <w:rPr>
                <w:rFonts w:ascii="Verdana" w:eastAsia="Calibri" w:hAnsi="Verdana" w:cs="Arial"/>
                <w:sz w:val="16"/>
                <w:szCs w:val="16"/>
                <w:lang w:val="es-ES_tradnl" w:eastAsia="es-ES"/>
              </w:rPr>
            </w:pPr>
            <w:r w:rsidRPr="00583514">
              <w:rPr>
                <w:rFonts w:ascii="Verdana" w:eastAsia="Calibri" w:hAnsi="Verdana" w:cs="Arial"/>
                <w:sz w:val="16"/>
                <w:szCs w:val="16"/>
                <w:lang w:val="es-ES_tradnl" w:eastAsia="es-ES"/>
              </w:rPr>
              <w:t>Elaboró:</w:t>
            </w:r>
          </w:p>
        </w:tc>
        <w:tc>
          <w:tcPr>
            <w:tcW w:w="6561" w:type="dxa"/>
            <w:tcBorders>
              <w:top w:val="nil"/>
              <w:left w:val="nil"/>
              <w:bottom w:val="dotted" w:sz="4" w:space="0" w:color="7F7F7F" w:themeColor="text1" w:themeTint="80"/>
              <w:right w:val="nil"/>
            </w:tcBorders>
            <w:vAlign w:val="center"/>
            <w:hideMark/>
          </w:tcPr>
          <w:p w14:paraId="5CBF401E" w14:textId="77777777" w:rsidR="00583514" w:rsidRPr="00583514" w:rsidRDefault="00583514" w:rsidP="00583514">
            <w:pPr>
              <w:rPr>
                <w:rFonts w:ascii="Verdana" w:eastAsia="Arial" w:hAnsi="Verdana" w:cs="Arial"/>
                <w:sz w:val="16"/>
                <w:szCs w:val="16"/>
                <w:lang w:val="es-ES"/>
              </w:rPr>
            </w:pPr>
            <w:r w:rsidRPr="00583514">
              <w:rPr>
                <w:rFonts w:ascii="Verdana" w:eastAsia="Arial" w:hAnsi="Verdana" w:cs="Arial"/>
                <w:sz w:val="16"/>
                <w:szCs w:val="16"/>
                <w:lang w:val="es-ES"/>
              </w:rPr>
              <w:t xml:space="preserve">Carlos Mario Castrillón Endo </w:t>
            </w:r>
          </w:p>
          <w:p w14:paraId="300BAEB2" w14:textId="77777777" w:rsidR="00583514" w:rsidRPr="00583514" w:rsidRDefault="00583514" w:rsidP="00583514">
            <w:pPr>
              <w:rPr>
                <w:rFonts w:ascii="Verdana" w:eastAsia="Arial" w:hAnsi="Verdana" w:cs="Arial"/>
                <w:sz w:val="16"/>
                <w:szCs w:val="16"/>
                <w:lang w:val="es-ES_tradnl"/>
              </w:rPr>
            </w:pPr>
            <w:r w:rsidRPr="00583514">
              <w:rPr>
                <w:rFonts w:ascii="Verdana" w:eastAsia="Arial" w:hAnsi="Verdana" w:cs="Arial"/>
                <w:sz w:val="16"/>
                <w:szCs w:val="16"/>
                <w:lang w:val="es-ES_tradnl"/>
              </w:rPr>
              <w:t>Contratista de la Subdirección de Gestión Contractual</w:t>
            </w:r>
          </w:p>
          <w:p w14:paraId="4B39AD71" w14:textId="77777777" w:rsidR="00583514" w:rsidRPr="00583514" w:rsidRDefault="00583514" w:rsidP="00583514">
            <w:pPr>
              <w:rPr>
                <w:rFonts w:ascii="Verdana" w:eastAsia="Arial" w:hAnsi="Verdana" w:cs="Arial"/>
                <w:sz w:val="16"/>
                <w:szCs w:val="16"/>
                <w:lang w:val="es-ES_tradnl"/>
              </w:rPr>
            </w:pPr>
          </w:p>
        </w:tc>
      </w:tr>
      <w:tr w:rsidR="00583514" w:rsidRPr="00583514" w14:paraId="510C8D64" w14:textId="77777777" w:rsidTr="3AF4672B">
        <w:trPr>
          <w:trHeight w:val="338"/>
        </w:trPr>
        <w:tc>
          <w:tcPr>
            <w:tcW w:w="1041" w:type="dxa"/>
            <w:vAlign w:val="center"/>
            <w:hideMark/>
          </w:tcPr>
          <w:p w14:paraId="1A4AA723" w14:textId="77777777" w:rsidR="00583514" w:rsidRPr="00583514" w:rsidRDefault="00583514" w:rsidP="00583514">
            <w:pPr>
              <w:rPr>
                <w:rFonts w:ascii="Verdana" w:eastAsia="Calibri" w:hAnsi="Verdana" w:cs="Arial"/>
                <w:sz w:val="16"/>
                <w:szCs w:val="16"/>
                <w:lang w:val="es-ES_tradnl" w:eastAsia="es-ES"/>
              </w:rPr>
            </w:pPr>
            <w:r w:rsidRPr="00583514">
              <w:rPr>
                <w:rFonts w:ascii="Verdana" w:eastAsia="Calibri" w:hAnsi="Verdana" w:cs="Arial"/>
                <w:sz w:val="16"/>
                <w:szCs w:val="16"/>
                <w:lang w:val="es-ES_tradnl" w:eastAsia="es-ES"/>
              </w:rPr>
              <w:t>Revisó:</w:t>
            </w:r>
          </w:p>
        </w:tc>
        <w:tc>
          <w:tcPr>
            <w:tcW w:w="6561" w:type="dxa"/>
            <w:tcBorders>
              <w:top w:val="dotted" w:sz="4" w:space="0" w:color="7F7F7F" w:themeColor="text1" w:themeTint="80"/>
              <w:left w:val="nil"/>
              <w:bottom w:val="dotted" w:sz="4" w:space="0" w:color="7F7F7F" w:themeColor="text1" w:themeTint="80"/>
              <w:right w:val="nil"/>
            </w:tcBorders>
            <w:vAlign w:val="center"/>
            <w:hideMark/>
          </w:tcPr>
          <w:p w14:paraId="3CFAB95D" w14:textId="77777777" w:rsidR="00583514" w:rsidRPr="00583514" w:rsidRDefault="00583514" w:rsidP="3AF4672B">
            <w:pPr>
              <w:rPr>
                <w:rFonts w:ascii="Verdana" w:eastAsia="Arial" w:hAnsi="Verdana" w:cs="Arial"/>
                <w:sz w:val="16"/>
                <w:szCs w:val="16"/>
                <w:lang w:val="es-ES"/>
              </w:rPr>
            </w:pPr>
            <w:r w:rsidRPr="3AF4672B">
              <w:rPr>
                <w:rFonts w:ascii="Verdana" w:eastAsia="Arial" w:hAnsi="Verdana" w:cs="Arial"/>
                <w:sz w:val="16"/>
                <w:szCs w:val="16"/>
                <w:lang w:val="es-ES"/>
              </w:rPr>
              <w:t>Lida Milena Guanumen Pacheco</w:t>
            </w:r>
          </w:p>
          <w:p w14:paraId="79A601D8" w14:textId="77777777" w:rsidR="00583514" w:rsidRPr="00583514" w:rsidRDefault="00583514" w:rsidP="00583514">
            <w:pPr>
              <w:rPr>
                <w:rFonts w:ascii="Verdana" w:eastAsia="Arial" w:hAnsi="Verdana" w:cs="Arial"/>
                <w:sz w:val="16"/>
                <w:szCs w:val="16"/>
                <w:lang w:val="es-ES"/>
              </w:rPr>
            </w:pPr>
            <w:r w:rsidRPr="00583514">
              <w:rPr>
                <w:rFonts w:ascii="Verdana" w:eastAsia="Arial" w:hAnsi="Verdana" w:cs="Arial"/>
                <w:sz w:val="16"/>
                <w:szCs w:val="16"/>
                <w:lang w:val="es-ES_tradnl"/>
              </w:rPr>
              <w:t>Contratista de la Subdirección de Gestión Contractual</w:t>
            </w:r>
          </w:p>
          <w:p w14:paraId="7044543D" w14:textId="78ECE235" w:rsidR="00F537D0" w:rsidRDefault="00F537D0" w:rsidP="00583514">
            <w:pPr>
              <w:rPr>
                <w:rFonts w:ascii="Verdana" w:eastAsia="Arial" w:hAnsi="Verdana" w:cs="Arial"/>
                <w:sz w:val="16"/>
                <w:szCs w:val="16"/>
                <w:lang w:val="es-ES"/>
              </w:rPr>
            </w:pPr>
            <w:r>
              <w:rPr>
                <w:rFonts w:ascii="Verdana" w:eastAsia="Arial" w:hAnsi="Verdana" w:cs="Arial"/>
                <w:sz w:val="16"/>
                <w:szCs w:val="16"/>
                <w:lang w:val="es-ES"/>
              </w:rPr>
              <w:t xml:space="preserve">Adriana Katherine López </w:t>
            </w:r>
            <w:r w:rsidR="001B7C5C">
              <w:rPr>
                <w:rFonts w:ascii="Verdana" w:eastAsia="Arial" w:hAnsi="Verdana" w:cs="Arial"/>
                <w:sz w:val="16"/>
                <w:szCs w:val="16"/>
                <w:lang w:val="es-ES"/>
              </w:rPr>
              <w:t xml:space="preserve">Rodríguez </w:t>
            </w:r>
          </w:p>
          <w:p w14:paraId="055961E0" w14:textId="77777777" w:rsidR="00583514" w:rsidRPr="00583514" w:rsidRDefault="00583514" w:rsidP="00583514">
            <w:pPr>
              <w:rPr>
                <w:rFonts w:ascii="Verdana" w:eastAsia="Arial" w:hAnsi="Verdana" w:cs="Arial"/>
                <w:sz w:val="16"/>
                <w:szCs w:val="16"/>
                <w:lang w:val="es-ES_tradnl"/>
              </w:rPr>
            </w:pPr>
            <w:r w:rsidRPr="00583514">
              <w:rPr>
                <w:rFonts w:ascii="Verdana" w:eastAsia="Arial" w:hAnsi="Verdana" w:cs="Arial"/>
                <w:sz w:val="16"/>
                <w:szCs w:val="16"/>
                <w:lang w:val="es-ES_tradnl"/>
              </w:rPr>
              <w:t>Contratista de la Subdirección de Gestión Contractual</w:t>
            </w:r>
          </w:p>
        </w:tc>
      </w:tr>
      <w:tr w:rsidR="00583514" w:rsidRPr="00583514" w14:paraId="68CA967F" w14:textId="77777777" w:rsidTr="3AF4672B">
        <w:trPr>
          <w:trHeight w:val="308"/>
        </w:trPr>
        <w:tc>
          <w:tcPr>
            <w:tcW w:w="1041" w:type="dxa"/>
            <w:vAlign w:val="center"/>
          </w:tcPr>
          <w:p w14:paraId="699905F3" w14:textId="77777777" w:rsidR="00583514" w:rsidRPr="00583514" w:rsidRDefault="00583514" w:rsidP="00583514">
            <w:pPr>
              <w:rPr>
                <w:rFonts w:ascii="Verdana" w:eastAsia="Calibri" w:hAnsi="Verdana" w:cs="Arial"/>
                <w:sz w:val="16"/>
                <w:szCs w:val="16"/>
                <w:lang w:val="es-ES_tradnl" w:eastAsia="es-ES"/>
              </w:rPr>
            </w:pPr>
            <w:r w:rsidRPr="00583514">
              <w:rPr>
                <w:rFonts w:ascii="Verdana" w:eastAsia="Calibri" w:hAnsi="Verdana" w:cs="Arial"/>
                <w:sz w:val="16"/>
                <w:szCs w:val="16"/>
                <w:lang w:val="es-ES_tradnl" w:eastAsia="es-ES"/>
              </w:rPr>
              <w:t>Aprobó:</w:t>
            </w:r>
          </w:p>
        </w:tc>
        <w:tc>
          <w:tcPr>
            <w:tcW w:w="6561" w:type="dxa"/>
            <w:tcBorders>
              <w:top w:val="dotted" w:sz="4" w:space="0" w:color="7F7F7F" w:themeColor="text1" w:themeTint="80"/>
              <w:left w:val="nil"/>
              <w:bottom w:val="dotted" w:sz="4" w:space="0" w:color="7F7F7F" w:themeColor="text1" w:themeTint="80"/>
              <w:right w:val="nil"/>
            </w:tcBorders>
            <w:vAlign w:val="center"/>
          </w:tcPr>
          <w:p w14:paraId="2E862634" w14:textId="77777777" w:rsidR="00583514" w:rsidRPr="00583514" w:rsidRDefault="00583514" w:rsidP="00583514">
            <w:pPr>
              <w:rPr>
                <w:rFonts w:ascii="Verdana" w:eastAsia="Calibri" w:hAnsi="Verdana" w:cs="Arial"/>
                <w:sz w:val="16"/>
                <w:szCs w:val="16"/>
                <w:lang w:val="es-ES" w:eastAsia="es-ES"/>
              </w:rPr>
            </w:pPr>
            <w:r w:rsidRPr="00583514">
              <w:rPr>
                <w:rFonts w:ascii="Verdana" w:eastAsia="Calibri" w:hAnsi="Verdana" w:cs="Arial"/>
                <w:sz w:val="16"/>
                <w:szCs w:val="16"/>
                <w:lang w:val="es-ES" w:eastAsia="es-ES"/>
              </w:rPr>
              <w:t>Carolina Quintero Gacharná</w:t>
            </w:r>
          </w:p>
          <w:p w14:paraId="6B745415" w14:textId="77777777" w:rsidR="00583514" w:rsidRPr="00583514" w:rsidRDefault="00583514" w:rsidP="00583514">
            <w:pPr>
              <w:rPr>
                <w:rFonts w:ascii="Verdana" w:eastAsia="Calibri" w:hAnsi="Verdana" w:cs="Arial"/>
                <w:sz w:val="16"/>
                <w:szCs w:val="16"/>
                <w:lang w:val="es-ES_tradnl" w:eastAsia="es-ES"/>
              </w:rPr>
            </w:pPr>
            <w:r w:rsidRPr="00583514">
              <w:rPr>
                <w:rFonts w:ascii="Verdana" w:eastAsia="Calibri" w:hAnsi="Verdana" w:cs="Arial"/>
                <w:sz w:val="16"/>
                <w:szCs w:val="16"/>
                <w:lang w:val="es-ES_tradnl" w:eastAsia="es-ES"/>
              </w:rPr>
              <w:t>Subdirectora de Gestión Contractual ANCP – CCE</w:t>
            </w:r>
          </w:p>
        </w:tc>
      </w:tr>
    </w:tbl>
    <w:p w14:paraId="3EFC837E" w14:textId="77777777" w:rsidR="00583514" w:rsidRPr="00583514" w:rsidRDefault="00583514" w:rsidP="00583514">
      <w:pPr>
        <w:spacing w:after="0" w:line="276" w:lineRule="auto"/>
        <w:jc w:val="both"/>
        <w:rPr>
          <w:rFonts w:ascii="Aptos" w:eastAsia="Aptos" w:hAnsi="Aptos" w:cs="Times New Roman"/>
        </w:rPr>
      </w:pPr>
    </w:p>
    <w:p w14:paraId="7050908F" w14:textId="77777777" w:rsidR="005431D7" w:rsidRPr="000E2B93" w:rsidRDefault="005431D7" w:rsidP="30821638">
      <w:pPr>
        <w:spacing w:after="0" w:line="240" w:lineRule="auto"/>
        <w:textAlignment w:val="baseline"/>
        <w:rPr>
          <w:rFonts w:ascii="Verdana" w:eastAsia="Verdana" w:hAnsi="Verdana" w:cs="Verdana"/>
          <w:lang w:eastAsia="es-CO"/>
        </w:rPr>
      </w:pPr>
    </w:p>
    <w:bookmarkEnd w:id="0"/>
    <w:p w14:paraId="0F293BF4" w14:textId="760B57AC" w:rsidR="00127233" w:rsidRPr="0015699B" w:rsidRDefault="00127233" w:rsidP="005431D7">
      <w:pPr>
        <w:spacing w:after="0" w:line="240" w:lineRule="auto"/>
        <w:textAlignment w:val="baseline"/>
        <w:rPr>
          <w:rFonts w:ascii="Verdana" w:eastAsia="Verdana" w:hAnsi="Verdana" w:cs="Verdana"/>
          <w:lang w:eastAsia="es-CO"/>
        </w:rPr>
      </w:pPr>
    </w:p>
    <w:sectPr w:rsidR="00127233" w:rsidRPr="0015699B" w:rsidSect="007C0C0F">
      <w:headerReference w:type="default" r:id="rId17"/>
      <w:footerReference w:type="default" r:id="rId18"/>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A0228ED" w14:textId="77777777" w:rsidR="003842E9" w:rsidRDefault="003842E9" w:rsidP="004A1847">
      <w:pPr>
        <w:spacing w:after="0" w:line="240" w:lineRule="auto"/>
      </w:pPr>
      <w:r>
        <w:separator/>
      </w:r>
    </w:p>
  </w:endnote>
  <w:endnote w:type="continuationSeparator" w:id="0">
    <w:p w14:paraId="43C74580" w14:textId="77777777" w:rsidR="003842E9" w:rsidRDefault="003842E9" w:rsidP="004A1847">
      <w:pPr>
        <w:spacing w:after="0" w:line="240" w:lineRule="auto"/>
      </w:pPr>
      <w:r>
        <w:continuationSeparator/>
      </w:r>
    </w:p>
  </w:endnote>
  <w:endnote w:type="continuationNotice" w:id="1">
    <w:p w14:paraId="0559070B" w14:textId="77777777" w:rsidR="003842E9" w:rsidRDefault="003842E9">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ptos">
    <w:charset w:val="00"/>
    <w:family w:val="swiss"/>
    <w:pitch w:val="variable"/>
    <w:sig w:usb0="20000287" w:usb1="00000003" w:usb2="00000000" w:usb3="00000000" w:csb0="0000019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Helvetica">
    <w:panose1 w:val="020B0604020202020204"/>
    <w:charset w:val="00"/>
    <w:family w:val="auto"/>
    <w:pitch w:val="variable"/>
    <w:sig w:usb0="E00002FF" w:usb1="5000785B" w:usb2="00000000" w:usb3="00000000" w:csb0="000001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7C73DD1" w:rsidP="07C73DD1">
    <w:pPr>
      <w:pBdr>
        <w:top w:val="single" w:sz="4" w:space="1" w:color="000000"/>
      </w:pBdr>
      <w:spacing w:after="0"/>
      <w:rPr>
        <w:rFonts w:ascii="Verdana" w:eastAsia="Verdana" w:hAnsi="Verdana" w:cs="Verdana"/>
        <w:b/>
        <w:bCs/>
        <w:sz w:val="18"/>
        <w:szCs w:val="18"/>
      </w:rPr>
    </w:pPr>
    <w:r w:rsidRPr="07C73DD1">
      <w:rPr>
        <w:rFonts w:ascii="Verdana" w:eastAsia="Verdana" w:hAnsi="Verdana" w:cs="Verdana"/>
        <w:b/>
        <w:bCs/>
        <w:sz w:val="18"/>
        <w:szCs w:val="18"/>
      </w:rPr>
      <w:t xml:space="preserve">Agencia Nacional de Contratación Pública                                              </w:t>
    </w:r>
    <w:r w:rsidRPr="07C73DD1">
      <w:rPr>
        <w:rFonts w:ascii="Verdana" w:eastAsia="Verdana" w:hAnsi="Verdana" w:cs="Verdana"/>
        <w:b/>
        <w:bCs/>
        <w:sz w:val="18"/>
        <w:szCs w:val="18"/>
        <w:lang w:val="es-ES"/>
      </w:rPr>
      <w:t xml:space="preserve">pág. </w:t>
    </w:r>
    <w:r w:rsidR="00D520D8" w:rsidRPr="07C73DD1">
      <w:rPr>
        <w:rFonts w:ascii="Verdana" w:eastAsia="Verdana" w:hAnsi="Verdana" w:cs="Verdana"/>
        <w:b/>
        <w:bCs/>
        <w:sz w:val="18"/>
        <w:szCs w:val="18"/>
      </w:rPr>
      <w:fldChar w:fldCharType="begin"/>
    </w:r>
    <w:r w:rsidR="00D520D8" w:rsidRPr="07C73DD1">
      <w:rPr>
        <w:rFonts w:ascii="Verdana" w:hAnsi="Verdana"/>
        <w:b/>
        <w:bCs/>
        <w:sz w:val="16"/>
        <w:szCs w:val="16"/>
      </w:rPr>
      <w:instrText>PAGE    \* MERGEFORMAT</w:instrText>
    </w:r>
    <w:r w:rsidR="00D520D8" w:rsidRPr="07C73DD1">
      <w:rPr>
        <w:rFonts w:ascii="Verdana" w:eastAsia="Times New Roman" w:hAnsi="Verdana"/>
        <w:b/>
        <w:bCs/>
        <w:sz w:val="16"/>
        <w:szCs w:val="16"/>
      </w:rPr>
      <w:fldChar w:fldCharType="separate"/>
    </w:r>
    <w:r w:rsidRPr="07C73DD1">
      <w:rPr>
        <w:rFonts w:ascii="Verdana" w:eastAsia="Verdana" w:hAnsi="Verdana" w:cs="Verdana"/>
        <w:b/>
        <w:bCs/>
        <w:sz w:val="18"/>
        <w:szCs w:val="18"/>
      </w:rPr>
      <w:t>1</w:t>
    </w:r>
    <w:r w:rsidR="00D520D8" w:rsidRPr="07C73DD1">
      <w:rPr>
        <w:rFonts w:ascii="Verdana" w:eastAsia="Verdana" w:hAnsi="Verdana" w:cs="Verdana"/>
        <w:b/>
        <w:bCs/>
        <w:sz w:val="18"/>
        <w:szCs w:val="18"/>
      </w:rPr>
      <w:fldChar w:fldCharType="end"/>
    </w:r>
    <w:r w:rsidRPr="07C73DD1">
      <w:rPr>
        <w:rFonts w:ascii="Verdana" w:eastAsia="Verdana" w:hAnsi="Verdana" w:cs="Verdana"/>
        <w:b/>
        <w:bCs/>
        <w:sz w:val="18"/>
        <w:szCs w:val="18"/>
      </w:rPr>
      <w:t xml:space="preserve">              Colombia Compra Eficiente         </w:t>
    </w:r>
    <w:r w:rsidRPr="07C73DD1">
      <w:rPr>
        <w:rFonts w:ascii="Verdana" w:eastAsia="Verdana" w:hAnsi="Verdana" w:cs="Verdana"/>
        <w:b/>
        <w:bCs/>
        <w:sz w:val="18"/>
        <w:szCs w:val="18"/>
        <w:lang w:val="es-ES"/>
      </w:rPr>
      <w:t xml:space="preserve"> </w:t>
    </w:r>
    <w:r w:rsidRPr="07C73DD1">
      <w:rPr>
        <w:rFonts w:ascii="Verdana" w:eastAsia="Verdana" w:hAnsi="Verdana" w:cs="Verdana"/>
        <w:b/>
        <w:bCs/>
        <w:sz w:val="18"/>
        <w:szCs w:val="18"/>
      </w:rPr>
      <w:t xml:space="preserve">                                                  </w:t>
    </w:r>
  </w:p>
  <w:p w14:paraId="0A735DD5" w14:textId="77777777" w:rsidR="00D520D8"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Dirección: Carrera 7 # 26 – 20 - Bogotá, Colombia</w:t>
    </w:r>
  </w:p>
  <w:p w14:paraId="06E36B88" w14:textId="77777777" w:rsidR="00D520D8" w:rsidRPr="00E41027"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Mesa de servicio: (+57) 601 7456788</w:t>
    </w:r>
  </w:p>
  <w:p w14:paraId="744661F5" w14:textId="22B9E88F" w:rsidR="006219F8" w:rsidRPr="00A404D3" w:rsidRDefault="07C73DD1" w:rsidP="07C73DD1">
    <w:pPr>
      <w:pBdr>
        <w:top w:val="nil"/>
        <w:left w:val="nil"/>
        <w:bottom w:val="nil"/>
        <w:right w:val="nil"/>
        <w:between w:val="nil"/>
      </w:pBdr>
      <w:tabs>
        <w:tab w:val="center" w:pos="4419"/>
        <w:tab w:val="right" w:pos="8838"/>
        <w:tab w:val="center" w:pos="5400"/>
      </w:tabs>
      <w:spacing w:after="0"/>
      <w:jc w:val="right"/>
      <w:rPr>
        <w:rFonts w:ascii="Verdana" w:eastAsia="Verdana" w:hAnsi="Verdana" w:cs="Verdana"/>
        <w:sz w:val="18"/>
        <w:szCs w:val="18"/>
        <w:lang w:val="pt-BR" w:eastAsia="es-CO"/>
      </w:rPr>
    </w:pPr>
    <w:r w:rsidRPr="00A404D3">
      <w:rPr>
        <w:rFonts w:ascii="Verdana" w:eastAsia="Verdana" w:hAnsi="Verdana" w:cs="Verdana"/>
        <w:b/>
        <w:color w:val="000000"/>
        <w:sz w:val="18"/>
        <w:szCs w:val="18"/>
        <w:lang w:val="pt-BR" w:eastAsia="es-CO"/>
      </w:rPr>
      <w:t xml:space="preserve">Código: </w:t>
    </w:r>
    <w:r w:rsidRPr="00A404D3">
      <w:rPr>
        <w:rFonts w:ascii="Verdana" w:eastAsia="Verdana" w:hAnsi="Verdana" w:cs="Verdana"/>
        <w:color w:val="000000"/>
        <w:sz w:val="18"/>
        <w:szCs w:val="18"/>
        <w:lang w:val="pt-BR" w:eastAsia="es-CO"/>
      </w:rPr>
      <w:t xml:space="preserve">CCE-REC-FM-17 </w:t>
    </w:r>
    <w:r w:rsidRPr="00A404D3">
      <w:rPr>
        <w:rFonts w:ascii="Verdana" w:eastAsia="Verdana" w:hAnsi="Verdana" w:cs="Verdana"/>
        <w:b/>
        <w:color w:val="000000"/>
        <w:sz w:val="18"/>
        <w:szCs w:val="18"/>
        <w:lang w:val="pt-BR" w:eastAsia="es-CO"/>
      </w:rPr>
      <w:t xml:space="preserve">V: </w:t>
    </w:r>
    <w:r w:rsidRPr="00A404D3">
      <w:rPr>
        <w:rFonts w:ascii="Verdana" w:eastAsia="Verdana" w:hAnsi="Verdana" w:cs="Verdana"/>
        <w:sz w:val="18"/>
        <w:szCs w:val="18"/>
        <w:lang w:val="pt-BR"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C9928AB" w14:textId="77777777" w:rsidR="003842E9" w:rsidRDefault="003842E9" w:rsidP="004A1847">
      <w:pPr>
        <w:spacing w:after="0" w:line="240" w:lineRule="auto"/>
      </w:pPr>
      <w:r>
        <w:separator/>
      </w:r>
    </w:p>
  </w:footnote>
  <w:footnote w:type="continuationSeparator" w:id="0">
    <w:p w14:paraId="18B13CAB" w14:textId="77777777" w:rsidR="003842E9" w:rsidRDefault="003842E9" w:rsidP="004A1847">
      <w:pPr>
        <w:spacing w:after="0" w:line="240" w:lineRule="auto"/>
      </w:pPr>
      <w:r>
        <w:continuationSeparator/>
      </w:r>
    </w:p>
  </w:footnote>
  <w:footnote w:type="continuationNotice" w:id="1">
    <w:p w14:paraId="2B03A92B" w14:textId="77777777" w:rsidR="003842E9" w:rsidRDefault="003842E9">
      <w:pPr>
        <w:spacing w:after="0" w:line="240" w:lineRule="auto"/>
      </w:pPr>
    </w:p>
  </w:footnote>
  <w:footnote w:id="2">
    <w:p w14:paraId="3506B2FF" w14:textId="77777777" w:rsidR="00583514" w:rsidRPr="00ED5638" w:rsidRDefault="00583514" w:rsidP="00583514">
      <w:pPr>
        <w:pStyle w:val="Textonotapie"/>
        <w:ind w:firstLine="708"/>
        <w:jc w:val="both"/>
        <w:rPr>
          <w:rFonts w:ascii="Verdana" w:hAnsi="Verdana"/>
          <w:sz w:val="18"/>
          <w:szCs w:val="18"/>
        </w:rPr>
      </w:pPr>
      <w:r w:rsidRPr="00ED5638">
        <w:rPr>
          <w:rStyle w:val="Refdenotaalpie"/>
          <w:rFonts w:ascii="Verdana" w:hAnsi="Verdana"/>
          <w:sz w:val="18"/>
          <w:szCs w:val="18"/>
        </w:rPr>
        <w:footnoteRef/>
      </w:r>
      <w:r w:rsidRPr="00ED5638">
        <w:rPr>
          <w:rFonts w:ascii="Verdana" w:hAnsi="Verdana"/>
          <w:sz w:val="18"/>
          <w:szCs w:val="18"/>
        </w:rPr>
        <w:t xml:space="preserve"> Resolución 539 del 21 de agosto de 2025, artículo 23. “Vigencia. La presente resolución rige a partir de su publicación y aplicará a los procedimientos de selección de licitación de obra pública de infraestructura social en los sectores educación, salud, cultura, recreación y deporte, institucional y vivienda, cuyo aviso de convocatoria sea publicado a partir del 16 de febrero de 2026”.</w:t>
      </w:r>
    </w:p>
    <w:p w14:paraId="5D0DA113" w14:textId="77777777" w:rsidR="00583514" w:rsidRPr="00ED5638" w:rsidRDefault="00583514" w:rsidP="00583514">
      <w:pPr>
        <w:pStyle w:val="Textonotapie"/>
        <w:ind w:firstLine="708"/>
        <w:jc w:val="both"/>
        <w:rPr>
          <w:rFonts w:ascii="Verdana" w:hAnsi="Verdana"/>
          <w:sz w:val="18"/>
          <w:szCs w:val="18"/>
        </w:rPr>
      </w:pPr>
    </w:p>
    <w:p w14:paraId="6EE937D5" w14:textId="77777777" w:rsidR="00583514" w:rsidRPr="00ED5638" w:rsidRDefault="00583514" w:rsidP="00583514">
      <w:pPr>
        <w:pStyle w:val="Textonotapie"/>
        <w:ind w:firstLine="708"/>
        <w:jc w:val="both"/>
        <w:rPr>
          <w:rFonts w:ascii="Verdana" w:hAnsi="Verdana"/>
          <w:sz w:val="18"/>
          <w:szCs w:val="18"/>
        </w:rPr>
      </w:pPr>
      <w:r w:rsidRPr="00ED5638">
        <w:rPr>
          <w:rFonts w:ascii="Verdana" w:hAnsi="Verdana"/>
          <w:sz w:val="18"/>
          <w:szCs w:val="18"/>
        </w:rPr>
        <w:t>Resolución 540 del 21 de agosto de 2025, artículo 22. Vigencia. La presente resolución rige a partir de su publicación y aplicará a los procedimientos de selección abreviada de menor cuantía de obra pública de infraestructura social de los sectores educación, salud, cultura, recreación y deporte, institucional y vivienda, cuyo aviso de convocatoria sea publicado a partir del 16 de febrero de 2026.</w:t>
      </w:r>
    </w:p>
    <w:p w14:paraId="040FCFBB" w14:textId="77777777" w:rsidR="00583514" w:rsidRPr="00ED5638" w:rsidRDefault="00583514" w:rsidP="00583514">
      <w:pPr>
        <w:pStyle w:val="Textonotapie"/>
        <w:ind w:firstLine="708"/>
        <w:jc w:val="both"/>
        <w:rPr>
          <w:rFonts w:ascii="Verdana" w:hAnsi="Verdana"/>
          <w:sz w:val="18"/>
          <w:szCs w:val="18"/>
        </w:rPr>
      </w:pPr>
    </w:p>
    <w:p w14:paraId="6DA0FB3E" w14:textId="77777777" w:rsidR="00583514" w:rsidRPr="00ED5638" w:rsidRDefault="00583514" w:rsidP="00583514">
      <w:pPr>
        <w:pStyle w:val="Textonotapie"/>
        <w:ind w:firstLine="708"/>
        <w:jc w:val="both"/>
        <w:rPr>
          <w:rFonts w:ascii="Verdana" w:hAnsi="Verdana"/>
          <w:sz w:val="18"/>
          <w:szCs w:val="18"/>
        </w:rPr>
      </w:pPr>
      <w:r w:rsidRPr="00ED5638">
        <w:rPr>
          <w:rFonts w:ascii="Verdana" w:hAnsi="Verdana"/>
          <w:sz w:val="18"/>
          <w:szCs w:val="18"/>
        </w:rPr>
        <w:t>Resolución 541 del 21 de agosto de 2025, artículo 22. Vigencia. La presente resolución rige a partir de su publicación y aplicará a los procedimientos de mínima cuantía de obra pública de infraestructura de los sectores educación, salud, cultura, recreación y deporte, institucional y vivienda, cuyo aviso de convocatoria sea publicado a partir del 16 de febrero de 2026.</w:t>
      </w:r>
    </w:p>
    <w:p w14:paraId="53D37035" w14:textId="77777777" w:rsidR="00583514" w:rsidRPr="00ED5638" w:rsidRDefault="00583514" w:rsidP="00583514">
      <w:pPr>
        <w:pStyle w:val="Textonotapie"/>
        <w:ind w:firstLine="708"/>
        <w:jc w:val="both"/>
        <w:rPr>
          <w:rFonts w:ascii="Verdana" w:hAnsi="Verdana"/>
          <w:sz w:val="18"/>
          <w:szCs w:val="18"/>
        </w:rPr>
      </w:pPr>
    </w:p>
    <w:p w14:paraId="718496AA" w14:textId="77777777" w:rsidR="00583514" w:rsidRPr="00ED5638" w:rsidRDefault="00583514" w:rsidP="00583514">
      <w:pPr>
        <w:pStyle w:val="Textonotapie"/>
        <w:ind w:firstLine="708"/>
        <w:jc w:val="both"/>
        <w:rPr>
          <w:rFonts w:ascii="Verdana" w:hAnsi="Verdana"/>
          <w:sz w:val="18"/>
          <w:szCs w:val="18"/>
        </w:rPr>
      </w:pPr>
      <w:r w:rsidRPr="00ED5638">
        <w:rPr>
          <w:rFonts w:ascii="Verdana" w:hAnsi="Verdana"/>
          <w:sz w:val="18"/>
          <w:szCs w:val="18"/>
        </w:rPr>
        <w:t>Resolución 952 del 15 de diciembre de 2025, artículo 22. Vigencia. La presente resolución rige a partir de su publicación, y aplicará para los procesos de selección de concurso de méritos para contratar la consultoría de estudios de ingeniería de infraestructura social en los sectores educación, salud, cultura, recreación y deporte, institucional y vivienda, cuyo aviso de convocatoria se publique a partir del 16 de febrero de 2026.</w:t>
      </w:r>
    </w:p>
    <w:p w14:paraId="0694E9CD" w14:textId="77777777" w:rsidR="00583514" w:rsidRPr="00ED5638" w:rsidRDefault="00583514" w:rsidP="00583514">
      <w:pPr>
        <w:pStyle w:val="Textonotapie"/>
        <w:ind w:firstLine="708"/>
        <w:jc w:val="both"/>
        <w:rPr>
          <w:rFonts w:ascii="Verdana" w:hAnsi="Verdana"/>
          <w:sz w:val="18"/>
          <w:szCs w:val="18"/>
        </w:rPr>
      </w:pPr>
    </w:p>
    <w:p w14:paraId="19DA227C" w14:textId="77777777" w:rsidR="00583514" w:rsidRPr="00ED5638" w:rsidRDefault="00583514" w:rsidP="00583514">
      <w:pPr>
        <w:pStyle w:val="Textonotapie"/>
        <w:ind w:firstLine="708"/>
        <w:jc w:val="both"/>
        <w:rPr>
          <w:rFonts w:ascii="Verdana" w:hAnsi="Verdana"/>
          <w:sz w:val="18"/>
          <w:szCs w:val="18"/>
        </w:rPr>
      </w:pPr>
      <w:r w:rsidRPr="00ED5638">
        <w:rPr>
          <w:rFonts w:ascii="Verdana" w:hAnsi="Verdana"/>
          <w:sz w:val="18"/>
          <w:szCs w:val="18"/>
        </w:rPr>
        <w:t>Resolución 953 del 15 de diciembre de 2025, artículo 22. Vigencia y derogatorias. La presente resolución rige a partir de su publicación, deroga la Resolución 798 del 29 de diciembre de 2023 y sus modificaciones posteriores, y aplicará para los procesos de selección de concurso de méritos para contratar la interventoría de obras públicas de infraestructura social en los sectores educación, salud, cultura, recreación y deporte, institucional y vivienda, cuyo aviso de convocatoria se publique a partir del 16 de febrero de 2026.</w:t>
      </w:r>
    </w:p>
  </w:footnote>
  <w:footnote w:id="3">
    <w:p w14:paraId="6069ADAF" w14:textId="77777777" w:rsidR="00583514" w:rsidRPr="00BE2863" w:rsidRDefault="00583514" w:rsidP="00583514">
      <w:pPr>
        <w:pStyle w:val="Textonotapie"/>
        <w:ind w:firstLine="708"/>
        <w:jc w:val="both"/>
        <w:rPr>
          <w:rFonts w:ascii="Verdana" w:hAnsi="Verdana" w:cs="Arial"/>
          <w:sz w:val="18"/>
          <w:szCs w:val="18"/>
        </w:rPr>
      </w:pPr>
      <w:r w:rsidRPr="00BE2863">
        <w:rPr>
          <w:rStyle w:val="Refdenotaalpie"/>
          <w:rFonts w:ascii="Verdana" w:hAnsi="Verdana" w:cs="Arial"/>
          <w:sz w:val="18"/>
          <w:szCs w:val="18"/>
        </w:rPr>
        <w:footnoteRef/>
      </w:r>
      <w:r w:rsidRPr="00BE2863">
        <w:rPr>
          <w:rFonts w:ascii="Verdana" w:hAnsi="Verdana" w:cs="Arial"/>
          <w:sz w:val="18"/>
          <w:szCs w:val="18"/>
        </w:rPr>
        <w:t xml:space="preserve"> Estos parámetros se encuentran dispuestos de forma gráfica en la segunda página “Interpretación de la matriz 1 – experiencia” de cada una de las Matrices de experiencia adoptadas mediante las </w:t>
      </w:r>
      <w:r w:rsidRPr="00BE2863">
        <w:rPr>
          <w:rFonts w:ascii="Verdana" w:eastAsia="Times New Roman" w:hAnsi="Verdana" w:cs="Arial"/>
          <w:sz w:val="18"/>
          <w:szCs w:val="18"/>
          <w:lang w:val="es-ES" w:eastAsia="en-GB"/>
        </w:rPr>
        <w:t>Resoluciones Nos.</w:t>
      </w:r>
      <w:r>
        <w:rPr>
          <w:rFonts w:ascii="Verdana" w:eastAsia="Times New Roman" w:hAnsi="Verdana" w:cs="Arial"/>
          <w:sz w:val="18"/>
          <w:szCs w:val="18"/>
          <w:lang w:val="es-ES" w:eastAsia="en-GB"/>
        </w:rPr>
        <w:t xml:space="preserve"> 539, 540 y 541 de 2025</w:t>
      </w:r>
      <w:r w:rsidRPr="00BE2863">
        <w:rPr>
          <w:rFonts w:ascii="Verdana" w:eastAsia="Times New Roman" w:hAnsi="Verdana" w:cs="Arial"/>
          <w:sz w:val="18"/>
          <w:szCs w:val="18"/>
          <w:lang w:val="es-ES" w:eastAsia="en-GB"/>
        </w:rPr>
        <w: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7.5pt;height:7.5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360" w:hanging="360"/>
      </w:pPr>
      <w:rPr>
        <w:b/>
        <w:color w:val="000000" w:themeColor="text1"/>
      </w:rPr>
    </w:lvl>
    <w:lvl w:ilvl="1">
      <w:start w:val="2"/>
      <w:numFmt w:val="decimal"/>
      <w:isLgl/>
      <w:lvlText w:val="%1.%2"/>
      <w:lvlJc w:val="left"/>
      <w:pPr>
        <w:ind w:left="0" w:hanging="360"/>
      </w:pPr>
    </w:lvl>
    <w:lvl w:ilvl="2">
      <w:start w:val="1"/>
      <w:numFmt w:val="decimal"/>
      <w:isLgl/>
      <w:lvlText w:val="%1.%2.%3"/>
      <w:lvlJc w:val="left"/>
      <w:pPr>
        <w:ind w:left="720" w:hanging="720"/>
      </w:pPr>
    </w:lvl>
    <w:lvl w:ilvl="3">
      <w:start w:val="1"/>
      <w:numFmt w:val="decimal"/>
      <w:isLgl/>
      <w:lvlText w:val="%1.%2.%3.%4"/>
      <w:lvlJc w:val="left"/>
      <w:pPr>
        <w:ind w:left="720" w:hanging="720"/>
      </w:pPr>
    </w:lvl>
    <w:lvl w:ilvl="4">
      <w:start w:val="1"/>
      <w:numFmt w:val="decimal"/>
      <w:isLgl/>
      <w:lvlText w:val="%1.%2.%3.%4.%5"/>
      <w:lvlJc w:val="left"/>
      <w:pPr>
        <w:ind w:left="1080" w:hanging="1080"/>
      </w:pPr>
    </w:lvl>
    <w:lvl w:ilvl="5">
      <w:start w:val="1"/>
      <w:numFmt w:val="decimal"/>
      <w:isLgl/>
      <w:lvlText w:val="%1.%2.%3.%4.%5.%6"/>
      <w:lvlJc w:val="left"/>
      <w:pPr>
        <w:ind w:left="1080" w:hanging="1080"/>
      </w:pPr>
    </w:lvl>
    <w:lvl w:ilvl="6">
      <w:start w:val="1"/>
      <w:numFmt w:val="decimal"/>
      <w:isLgl/>
      <w:lvlText w:val="%1.%2.%3.%4.%5.%6.%7"/>
      <w:lvlJc w:val="left"/>
      <w:pPr>
        <w:ind w:left="1440" w:hanging="1440"/>
      </w:pPr>
    </w:lvl>
    <w:lvl w:ilvl="7">
      <w:start w:val="1"/>
      <w:numFmt w:val="decimal"/>
      <w:isLgl/>
      <w:lvlText w:val="%1.%2.%3.%4.%5.%6.%7.%8"/>
      <w:lvlJc w:val="left"/>
      <w:pPr>
        <w:ind w:left="1440" w:hanging="1440"/>
      </w:pPr>
    </w:lvl>
    <w:lvl w:ilvl="8">
      <w:start w:val="1"/>
      <w:numFmt w:val="decimal"/>
      <w:isLgl/>
      <w:lvlText w:val="%1.%2.%3.%4.%5.%6.%7.%8.%9"/>
      <w:lvlJc w:val="left"/>
      <w:pPr>
        <w:ind w:left="1800"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6051C4"/>
    <w:multiLevelType w:val="hybridMultilevel"/>
    <w:tmpl w:val="23BA17CA"/>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4"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6"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8"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39D726F5"/>
    <w:multiLevelType w:val="hybridMultilevel"/>
    <w:tmpl w:val="C9903574"/>
    <w:lvl w:ilvl="0" w:tplc="040A0001">
      <w:start w:val="1"/>
      <w:numFmt w:val="bullet"/>
      <w:lvlText w:val=""/>
      <w:lvlJc w:val="left"/>
      <w:pPr>
        <w:ind w:left="720" w:hanging="360"/>
      </w:pPr>
      <w:rPr>
        <w:rFonts w:ascii="Symbol" w:hAnsi="Symbol" w:hint="default"/>
      </w:rPr>
    </w:lvl>
    <w:lvl w:ilvl="1" w:tplc="040A0003">
      <w:start w:val="1"/>
      <w:numFmt w:val="bullet"/>
      <w:lvlText w:val="o"/>
      <w:lvlJc w:val="left"/>
      <w:pPr>
        <w:ind w:left="1440" w:hanging="360"/>
      </w:pPr>
      <w:rPr>
        <w:rFonts w:ascii="Courier New" w:hAnsi="Courier New" w:cs="Courier New" w:hint="default"/>
      </w:rPr>
    </w:lvl>
    <w:lvl w:ilvl="2" w:tplc="040A0005">
      <w:start w:val="1"/>
      <w:numFmt w:val="bullet"/>
      <w:lvlText w:val=""/>
      <w:lvlJc w:val="left"/>
      <w:pPr>
        <w:ind w:left="2160" w:hanging="360"/>
      </w:pPr>
      <w:rPr>
        <w:rFonts w:ascii="Wingdings" w:hAnsi="Wingdings" w:hint="default"/>
      </w:rPr>
    </w:lvl>
    <w:lvl w:ilvl="3" w:tplc="040A0001">
      <w:start w:val="1"/>
      <w:numFmt w:val="bullet"/>
      <w:lvlText w:val=""/>
      <w:lvlJc w:val="left"/>
      <w:pPr>
        <w:ind w:left="2880" w:hanging="360"/>
      </w:pPr>
      <w:rPr>
        <w:rFonts w:ascii="Symbol" w:hAnsi="Symbol" w:hint="default"/>
      </w:rPr>
    </w:lvl>
    <w:lvl w:ilvl="4" w:tplc="040A0003">
      <w:start w:val="1"/>
      <w:numFmt w:val="bullet"/>
      <w:lvlText w:val="o"/>
      <w:lvlJc w:val="left"/>
      <w:pPr>
        <w:ind w:left="3600" w:hanging="360"/>
      </w:pPr>
      <w:rPr>
        <w:rFonts w:ascii="Courier New" w:hAnsi="Courier New" w:cs="Courier New" w:hint="default"/>
      </w:rPr>
    </w:lvl>
    <w:lvl w:ilvl="5" w:tplc="040A0005">
      <w:start w:val="1"/>
      <w:numFmt w:val="bullet"/>
      <w:lvlText w:val=""/>
      <w:lvlJc w:val="left"/>
      <w:pPr>
        <w:ind w:left="4320" w:hanging="360"/>
      </w:pPr>
      <w:rPr>
        <w:rFonts w:ascii="Wingdings" w:hAnsi="Wingdings" w:hint="default"/>
      </w:rPr>
    </w:lvl>
    <w:lvl w:ilvl="6" w:tplc="040A0001">
      <w:start w:val="1"/>
      <w:numFmt w:val="bullet"/>
      <w:lvlText w:val=""/>
      <w:lvlJc w:val="left"/>
      <w:pPr>
        <w:ind w:left="5040" w:hanging="360"/>
      </w:pPr>
      <w:rPr>
        <w:rFonts w:ascii="Symbol" w:hAnsi="Symbol" w:hint="default"/>
      </w:rPr>
    </w:lvl>
    <w:lvl w:ilvl="7" w:tplc="040A0003">
      <w:start w:val="1"/>
      <w:numFmt w:val="bullet"/>
      <w:lvlText w:val="o"/>
      <w:lvlJc w:val="left"/>
      <w:pPr>
        <w:ind w:left="5760" w:hanging="360"/>
      </w:pPr>
      <w:rPr>
        <w:rFonts w:ascii="Courier New" w:hAnsi="Courier New" w:cs="Courier New" w:hint="default"/>
      </w:rPr>
    </w:lvl>
    <w:lvl w:ilvl="8" w:tplc="040A0005">
      <w:start w:val="1"/>
      <w:numFmt w:val="bullet"/>
      <w:lvlText w:val=""/>
      <w:lvlJc w:val="left"/>
      <w:pPr>
        <w:ind w:left="6480" w:hanging="360"/>
      </w:pPr>
      <w:rPr>
        <w:rFonts w:ascii="Wingdings" w:hAnsi="Wingdings" w:hint="default"/>
      </w:rPr>
    </w:lvl>
  </w:abstractNum>
  <w:abstractNum w:abstractNumId="11"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2" w15:restartNumberingAfterBreak="0">
    <w:nsid w:val="6ACB342F"/>
    <w:multiLevelType w:val="hybridMultilevel"/>
    <w:tmpl w:val="23BA17CA"/>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3"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7"/>
  </w:num>
  <w:num w:numId="2" w16cid:durableId="19822139">
    <w:abstractNumId w:val="3"/>
  </w:num>
  <w:num w:numId="3" w16cid:durableId="876742304">
    <w:abstractNumId w:val="5"/>
  </w:num>
  <w:num w:numId="4" w16cid:durableId="245186406">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3"/>
  </w:num>
  <w:num w:numId="6" w16cid:durableId="316692925">
    <w:abstractNumId w:val="15"/>
  </w:num>
  <w:num w:numId="7" w16cid:durableId="1946422806">
    <w:abstractNumId w:val="6"/>
  </w:num>
  <w:num w:numId="8" w16cid:durableId="152644682">
    <w:abstractNumId w:val="14"/>
  </w:num>
  <w:num w:numId="9" w16cid:durableId="1317221377">
    <w:abstractNumId w:val="8"/>
  </w:num>
  <w:num w:numId="10" w16cid:durableId="1471245386">
    <w:abstractNumId w:val="13"/>
  </w:num>
  <w:num w:numId="11" w16cid:durableId="289172385">
    <w:abstractNumId w:val="9"/>
  </w:num>
  <w:num w:numId="12" w16cid:durableId="1470781324">
    <w:abstractNumId w:val="1"/>
  </w:num>
  <w:num w:numId="13" w16cid:durableId="1512908409">
    <w:abstractNumId w:val="4"/>
  </w:num>
  <w:num w:numId="14" w16cid:durableId="895897244">
    <w:abstractNumId w:val="16"/>
  </w:num>
  <w:num w:numId="15" w16cid:durableId="390349800">
    <w:abstractNumId w:val="11"/>
  </w:num>
  <w:num w:numId="16" w16cid:durableId="827985604">
    <w:abstractNumId w:val="10"/>
  </w:num>
  <w:num w:numId="17" w16cid:durableId="341274352">
    <w:abstractNumId w:val="0"/>
  </w:num>
  <w:num w:numId="18" w16cid:durableId="1449737473">
    <w:abstractNumId w:val="2"/>
  </w:num>
  <w:num w:numId="19" w16cid:durableId="890533176">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32A70"/>
    <w:rsid w:val="00040DE8"/>
    <w:rsid w:val="00046945"/>
    <w:rsid w:val="00061B2A"/>
    <w:rsid w:val="00082362"/>
    <w:rsid w:val="000A683E"/>
    <w:rsid w:val="000B19B9"/>
    <w:rsid w:val="000C5626"/>
    <w:rsid w:val="000D0334"/>
    <w:rsid w:val="000D5DA7"/>
    <w:rsid w:val="000F6486"/>
    <w:rsid w:val="00113290"/>
    <w:rsid w:val="00116940"/>
    <w:rsid w:val="00125105"/>
    <w:rsid w:val="00127233"/>
    <w:rsid w:val="0014456F"/>
    <w:rsid w:val="0015699B"/>
    <w:rsid w:val="00161BB8"/>
    <w:rsid w:val="001A33BF"/>
    <w:rsid w:val="001B7C5C"/>
    <w:rsid w:val="001C0913"/>
    <w:rsid w:val="001E4177"/>
    <w:rsid w:val="001F0B24"/>
    <w:rsid w:val="001F7DC6"/>
    <w:rsid w:val="00217E86"/>
    <w:rsid w:val="0022400B"/>
    <w:rsid w:val="002421BB"/>
    <w:rsid w:val="0025796E"/>
    <w:rsid w:val="00265327"/>
    <w:rsid w:val="002707A2"/>
    <w:rsid w:val="00281F34"/>
    <w:rsid w:val="00292631"/>
    <w:rsid w:val="002951A0"/>
    <w:rsid w:val="002962BC"/>
    <w:rsid w:val="002A093D"/>
    <w:rsid w:val="002A0DD0"/>
    <w:rsid w:val="002A49AC"/>
    <w:rsid w:val="002A64FD"/>
    <w:rsid w:val="002C682F"/>
    <w:rsid w:val="002C7A84"/>
    <w:rsid w:val="002D50D3"/>
    <w:rsid w:val="002E2BF8"/>
    <w:rsid w:val="002E4FD9"/>
    <w:rsid w:val="003029A4"/>
    <w:rsid w:val="0030657A"/>
    <w:rsid w:val="00322A85"/>
    <w:rsid w:val="00324168"/>
    <w:rsid w:val="00330799"/>
    <w:rsid w:val="00330834"/>
    <w:rsid w:val="003448F4"/>
    <w:rsid w:val="0036463E"/>
    <w:rsid w:val="00374F5E"/>
    <w:rsid w:val="00377E3E"/>
    <w:rsid w:val="003842E9"/>
    <w:rsid w:val="00395827"/>
    <w:rsid w:val="003A779E"/>
    <w:rsid w:val="003B1C02"/>
    <w:rsid w:val="003C2995"/>
    <w:rsid w:val="003D0F4D"/>
    <w:rsid w:val="003D5B0D"/>
    <w:rsid w:val="003E0499"/>
    <w:rsid w:val="003E292B"/>
    <w:rsid w:val="003E4F80"/>
    <w:rsid w:val="003E6439"/>
    <w:rsid w:val="003F0545"/>
    <w:rsid w:val="003F0F76"/>
    <w:rsid w:val="003F3941"/>
    <w:rsid w:val="00406575"/>
    <w:rsid w:val="00414C74"/>
    <w:rsid w:val="0041550C"/>
    <w:rsid w:val="0042046D"/>
    <w:rsid w:val="004207D8"/>
    <w:rsid w:val="0042722E"/>
    <w:rsid w:val="00427762"/>
    <w:rsid w:val="0044528D"/>
    <w:rsid w:val="00466E39"/>
    <w:rsid w:val="004723EF"/>
    <w:rsid w:val="0047597E"/>
    <w:rsid w:val="004A1847"/>
    <w:rsid w:val="004A305D"/>
    <w:rsid w:val="004F21C4"/>
    <w:rsid w:val="004F685F"/>
    <w:rsid w:val="00507509"/>
    <w:rsid w:val="00533A6D"/>
    <w:rsid w:val="00534BFC"/>
    <w:rsid w:val="005431D7"/>
    <w:rsid w:val="005566E8"/>
    <w:rsid w:val="00567622"/>
    <w:rsid w:val="00574867"/>
    <w:rsid w:val="00574EE0"/>
    <w:rsid w:val="00583514"/>
    <w:rsid w:val="00591460"/>
    <w:rsid w:val="00597D60"/>
    <w:rsid w:val="005A65E0"/>
    <w:rsid w:val="005C3777"/>
    <w:rsid w:val="005C5CDC"/>
    <w:rsid w:val="005C672C"/>
    <w:rsid w:val="005D476C"/>
    <w:rsid w:val="006200BF"/>
    <w:rsid w:val="006219F8"/>
    <w:rsid w:val="006302F7"/>
    <w:rsid w:val="006314F6"/>
    <w:rsid w:val="00646B9F"/>
    <w:rsid w:val="00665D70"/>
    <w:rsid w:val="006900D9"/>
    <w:rsid w:val="00706C16"/>
    <w:rsid w:val="007101D3"/>
    <w:rsid w:val="007340C3"/>
    <w:rsid w:val="007348EA"/>
    <w:rsid w:val="00736204"/>
    <w:rsid w:val="007376A4"/>
    <w:rsid w:val="0075235A"/>
    <w:rsid w:val="00756841"/>
    <w:rsid w:val="007649AB"/>
    <w:rsid w:val="00771D0C"/>
    <w:rsid w:val="00780794"/>
    <w:rsid w:val="007833AC"/>
    <w:rsid w:val="00790292"/>
    <w:rsid w:val="007B268C"/>
    <w:rsid w:val="007B7171"/>
    <w:rsid w:val="007C0C0F"/>
    <w:rsid w:val="007C284E"/>
    <w:rsid w:val="007C3DC2"/>
    <w:rsid w:val="007E5497"/>
    <w:rsid w:val="00806F5F"/>
    <w:rsid w:val="00820278"/>
    <w:rsid w:val="00823597"/>
    <w:rsid w:val="008258C9"/>
    <w:rsid w:val="00844AE9"/>
    <w:rsid w:val="00867F95"/>
    <w:rsid w:val="008727E4"/>
    <w:rsid w:val="00883A98"/>
    <w:rsid w:val="008843B6"/>
    <w:rsid w:val="0088749B"/>
    <w:rsid w:val="00891928"/>
    <w:rsid w:val="008A446D"/>
    <w:rsid w:val="008B25F1"/>
    <w:rsid w:val="008B61A6"/>
    <w:rsid w:val="008B71FA"/>
    <w:rsid w:val="008D180B"/>
    <w:rsid w:val="008E6E6F"/>
    <w:rsid w:val="008F0EA7"/>
    <w:rsid w:val="008F50C2"/>
    <w:rsid w:val="00923EEF"/>
    <w:rsid w:val="009419F9"/>
    <w:rsid w:val="0095685E"/>
    <w:rsid w:val="00961B09"/>
    <w:rsid w:val="00965334"/>
    <w:rsid w:val="0097093E"/>
    <w:rsid w:val="00986ADF"/>
    <w:rsid w:val="0099756D"/>
    <w:rsid w:val="009A0DFA"/>
    <w:rsid w:val="009A1C6F"/>
    <w:rsid w:val="009B2D26"/>
    <w:rsid w:val="009C71FA"/>
    <w:rsid w:val="009C72E7"/>
    <w:rsid w:val="009C7F7E"/>
    <w:rsid w:val="009D3058"/>
    <w:rsid w:val="009D3857"/>
    <w:rsid w:val="009F3A13"/>
    <w:rsid w:val="00A122D3"/>
    <w:rsid w:val="00A14468"/>
    <w:rsid w:val="00A17F13"/>
    <w:rsid w:val="00A20739"/>
    <w:rsid w:val="00A23AF9"/>
    <w:rsid w:val="00A33C78"/>
    <w:rsid w:val="00A404D3"/>
    <w:rsid w:val="00AB0ADB"/>
    <w:rsid w:val="00AF09C5"/>
    <w:rsid w:val="00B00C0E"/>
    <w:rsid w:val="00B01B1A"/>
    <w:rsid w:val="00B0381D"/>
    <w:rsid w:val="00B0573C"/>
    <w:rsid w:val="00B17754"/>
    <w:rsid w:val="00B44A47"/>
    <w:rsid w:val="00B71801"/>
    <w:rsid w:val="00B72CD3"/>
    <w:rsid w:val="00B72FFF"/>
    <w:rsid w:val="00B760B5"/>
    <w:rsid w:val="00BC3D36"/>
    <w:rsid w:val="00BD54A6"/>
    <w:rsid w:val="00BD7F72"/>
    <w:rsid w:val="00BE2A0E"/>
    <w:rsid w:val="00BF0AC9"/>
    <w:rsid w:val="00BF7425"/>
    <w:rsid w:val="00C04FB3"/>
    <w:rsid w:val="00C11D8B"/>
    <w:rsid w:val="00C13E86"/>
    <w:rsid w:val="00C15139"/>
    <w:rsid w:val="00C151DC"/>
    <w:rsid w:val="00C3277D"/>
    <w:rsid w:val="00C330EB"/>
    <w:rsid w:val="00C46E3C"/>
    <w:rsid w:val="00C50D69"/>
    <w:rsid w:val="00C5365C"/>
    <w:rsid w:val="00C731B9"/>
    <w:rsid w:val="00C754BE"/>
    <w:rsid w:val="00C76B1C"/>
    <w:rsid w:val="00C925AC"/>
    <w:rsid w:val="00C9405F"/>
    <w:rsid w:val="00C97E3A"/>
    <w:rsid w:val="00CB6357"/>
    <w:rsid w:val="00CC1B26"/>
    <w:rsid w:val="00D13A47"/>
    <w:rsid w:val="00D14D36"/>
    <w:rsid w:val="00D361FD"/>
    <w:rsid w:val="00D423A2"/>
    <w:rsid w:val="00D44E26"/>
    <w:rsid w:val="00D520D8"/>
    <w:rsid w:val="00D63AC2"/>
    <w:rsid w:val="00D67ED0"/>
    <w:rsid w:val="00D67F80"/>
    <w:rsid w:val="00D7383B"/>
    <w:rsid w:val="00D7788A"/>
    <w:rsid w:val="00DA231B"/>
    <w:rsid w:val="00DC016A"/>
    <w:rsid w:val="00DC39FC"/>
    <w:rsid w:val="00DD7613"/>
    <w:rsid w:val="00DF5254"/>
    <w:rsid w:val="00E02524"/>
    <w:rsid w:val="00E16408"/>
    <w:rsid w:val="00E20894"/>
    <w:rsid w:val="00E245AB"/>
    <w:rsid w:val="00E2764C"/>
    <w:rsid w:val="00E27F2E"/>
    <w:rsid w:val="00E34FFA"/>
    <w:rsid w:val="00E50AFE"/>
    <w:rsid w:val="00E75C92"/>
    <w:rsid w:val="00E771DC"/>
    <w:rsid w:val="00E8772A"/>
    <w:rsid w:val="00E90F6B"/>
    <w:rsid w:val="00E92C27"/>
    <w:rsid w:val="00EA0E3D"/>
    <w:rsid w:val="00EC38A7"/>
    <w:rsid w:val="00EE0311"/>
    <w:rsid w:val="00EE1AA8"/>
    <w:rsid w:val="00EF08D8"/>
    <w:rsid w:val="00F202CF"/>
    <w:rsid w:val="00F23FEA"/>
    <w:rsid w:val="00F31EDC"/>
    <w:rsid w:val="00F43F06"/>
    <w:rsid w:val="00F462B3"/>
    <w:rsid w:val="00F50E37"/>
    <w:rsid w:val="00F537D0"/>
    <w:rsid w:val="00F5664F"/>
    <w:rsid w:val="00F666C4"/>
    <w:rsid w:val="00F66986"/>
    <w:rsid w:val="00F76AFC"/>
    <w:rsid w:val="00FA47C0"/>
    <w:rsid w:val="00FB5DD1"/>
    <w:rsid w:val="00FC2735"/>
    <w:rsid w:val="00FC2B5D"/>
    <w:rsid w:val="00FF1449"/>
    <w:rsid w:val="00FF7963"/>
    <w:rsid w:val="071B8F93"/>
    <w:rsid w:val="07C73DD1"/>
    <w:rsid w:val="09908A09"/>
    <w:rsid w:val="0EFE6349"/>
    <w:rsid w:val="0FF4CCA8"/>
    <w:rsid w:val="13CFC91B"/>
    <w:rsid w:val="19A2EC2C"/>
    <w:rsid w:val="21779BE6"/>
    <w:rsid w:val="2859CA1B"/>
    <w:rsid w:val="2C4D2425"/>
    <w:rsid w:val="2EE1E026"/>
    <w:rsid w:val="30821638"/>
    <w:rsid w:val="32A4F9CF"/>
    <w:rsid w:val="33A1FF93"/>
    <w:rsid w:val="356CEDFD"/>
    <w:rsid w:val="3AF4672B"/>
    <w:rsid w:val="3C591AFD"/>
    <w:rsid w:val="42183F0A"/>
    <w:rsid w:val="545B112A"/>
    <w:rsid w:val="5BEB1497"/>
    <w:rsid w:val="69614A15"/>
    <w:rsid w:val="74BA017B"/>
    <w:rsid w:val="7677286E"/>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46F585F4-8AB7-4D94-8A0C-9BA62B7129D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symbol,Footnote,Ref. de nota al pie2,F"/>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table" w:customStyle="1" w:styleId="Tablaconcuadrcula1">
    <w:name w:val="Tabla con cuadrícula1"/>
    <w:basedOn w:val="Tablanormal"/>
    <w:next w:val="Tablaconcuadrcula"/>
    <w:uiPriority w:val="39"/>
    <w:qFormat/>
    <w:rsid w:val="0058351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ppelnotedebasde">
    <w:name w:val="Appel note de bas de..."/>
    <w:basedOn w:val="Normal"/>
    <w:link w:val="Refdenotaalpie"/>
    <w:uiPriority w:val="99"/>
    <w:rsid w:val="00583514"/>
    <w:pPr>
      <w:spacing w:line="240" w:lineRule="exact"/>
    </w:pPr>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24454764">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568075362">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816871884">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953637238">
          <w:marLeft w:val="0"/>
          <w:marRight w:val="0"/>
          <w:marTop w:val="0"/>
          <w:marBottom w:val="0"/>
          <w:divBdr>
            <w:top w:val="none" w:sz="0" w:space="0" w:color="auto"/>
            <w:left w:val="none" w:sz="0" w:space="0" w:color="auto"/>
            <w:bottom w:val="none" w:sz="0" w:space="0" w:color="auto"/>
            <w:right w:val="none" w:sz="0" w:space="0" w:color="auto"/>
          </w:divBdr>
          <w:divsChild>
            <w:div w:id="220364327">
              <w:marLeft w:val="0"/>
              <w:marRight w:val="0"/>
              <w:marTop w:val="0"/>
              <w:marBottom w:val="0"/>
              <w:divBdr>
                <w:top w:val="none" w:sz="0" w:space="0" w:color="auto"/>
                <w:left w:val="none" w:sz="0" w:space="0" w:color="auto"/>
                <w:bottom w:val="none" w:sz="0" w:space="0" w:color="auto"/>
                <w:right w:val="none" w:sz="0" w:space="0" w:color="auto"/>
              </w:divBdr>
            </w:div>
            <w:div w:id="330067371">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sChild>
        </w:div>
        <w:div w:id="1002320289">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1134103737">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521668105">
                      <w:marLeft w:val="0"/>
                      <w:marRight w:val="0"/>
                      <w:marTop w:val="0"/>
                      <w:marBottom w:val="0"/>
                      <w:divBdr>
                        <w:top w:val="none" w:sz="0" w:space="0" w:color="auto"/>
                        <w:left w:val="none" w:sz="0" w:space="0" w:color="auto"/>
                        <w:bottom w:val="none" w:sz="0" w:space="0" w:color="auto"/>
                        <w:right w:val="none" w:sz="0" w:space="0" w:color="auto"/>
                      </w:divBdr>
                    </w:div>
                    <w:div w:id="1617329362">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061059177">
                      <w:marLeft w:val="0"/>
                      <w:marRight w:val="0"/>
                      <w:marTop w:val="0"/>
                      <w:marBottom w:val="0"/>
                      <w:divBdr>
                        <w:top w:val="none" w:sz="0" w:space="0" w:color="auto"/>
                        <w:left w:val="none" w:sz="0" w:space="0" w:color="auto"/>
                        <w:bottom w:val="none" w:sz="0" w:space="0" w:color="auto"/>
                        <w:right w:val="none" w:sz="0" w:space="0" w:color="auto"/>
                      </w:divBdr>
                    </w:div>
                    <w:div w:id="1669867117">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1791318772">
          <w:marLeft w:val="0"/>
          <w:marRight w:val="0"/>
          <w:marTop w:val="0"/>
          <w:marBottom w:val="0"/>
          <w:divBdr>
            <w:top w:val="none" w:sz="0" w:space="0" w:color="auto"/>
            <w:left w:val="none" w:sz="0" w:space="0" w:color="auto"/>
            <w:bottom w:val="none" w:sz="0" w:space="0" w:color="auto"/>
            <w:right w:val="none" w:sz="0" w:space="0" w:color="auto"/>
          </w:divBdr>
        </w:div>
        <w:div w:id="1814251553">
          <w:marLeft w:val="0"/>
          <w:marRight w:val="0"/>
          <w:marTop w:val="0"/>
          <w:marBottom w:val="0"/>
          <w:divBdr>
            <w:top w:val="none" w:sz="0" w:space="0" w:color="auto"/>
            <w:left w:val="none" w:sz="0" w:space="0" w:color="auto"/>
            <w:bottom w:val="none" w:sz="0" w:space="0" w:color="auto"/>
            <w:right w:val="none" w:sz="0" w:space="0" w:color="auto"/>
          </w:divBdr>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15305961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916237550">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524707673">
              <w:marLeft w:val="0"/>
              <w:marRight w:val="0"/>
              <w:marTop w:val="0"/>
              <w:marBottom w:val="0"/>
              <w:divBdr>
                <w:top w:val="none" w:sz="0" w:space="0" w:color="auto"/>
                <w:left w:val="none" w:sz="0" w:space="0" w:color="auto"/>
                <w:bottom w:val="none" w:sz="0" w:space="0" w:color="auto"/>
                <w:right w:val="none" w:sz="0" w:space="0" w:color="auto"/>
              </w:divBdr>
            </w:div>
            <w:div w:id="1192113255">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932930429">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52644634">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375154655">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sChild>
        </w:div>
        <w:div w:id="2033648475">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539319864">
                      <w:marLeft w:val="0"/>
                      <w:marRight w:val="0"/>
                      <w:marTop w:val="0"/>
                      <w:marBottom w:val="0"/>
                      <w:divBdr>
                        <w:top w:val="none" w:sz="0" w:space="0" w:color="auto"/>
                        <w:left w:val="none" w:sz="0" w:space="0" w:color="auto"/>
                        <w:bottom w:val="none" w:sz="0" w:space="0" w:color="auto"/>
                        <w:right w:val="none" w:sz="0" w:space="0" w:color="auto"/>
                      </w:divBdr>
                    </w:div>
                    <w:div w:id="111262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0836280">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formacionvirtual.colombiacompra.gov.co/mod/page/view.php?id=3718" TargetMode="External"/><Relationship Id="rId18"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nam02.safelinks.protection.outlook.com/?url=https%3A%2F%2Frelatoria.colombiacompra.gov.co%2F&amp;data=05%7C02%7Cjuan.avendano%40colombiacompra.gov.co%7C5aad36a736844ec87b2108dcc1fa4639%7C7b09041e245149d08cb179d5e3d8c1be%7C0%7C0%7C638598527916578281%7CUnknown%7CTWFpbGZsb3d8eyJWIjoiMC4wLjAwMDAiLCJQIjoiV2luMzIiLCJBTiI6Ik1haWwiLCJXVCI6Mn0%3D%7C0%7C%7C%7C&amp;sdata=ULogXxqZhlbRGnXip3V5oi2tcjWOQqeurmNDisBXQv0%3D&amp;reserved=0" TargetMode="External"/><Relationship Id="rId17"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image" Target="media/image3.pn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colombiacompra.gov.co/documentos-tipo/documentos-tipo" TargetMode="External"/><Relationship Id="rId5" Type="http://schemas.openxmlformats.org/officeDocument/2006/relationships/styles" Target="styles.xml"/><Relationship Id="rId15" Type="http://schemas.openxmlformats.org/officeDocument/2006/relationships/hyperlink" Target="https://www.colombiacompra.gov.co/archivos/manual/guia-para-la-comprension-e-implementacion-de-los-documentos-tipo-de-obra-publica-de-infraestructura-de-transporte-bajo-las-diferentes-modalidades-de-contratacion-vigentes" TargetMode="External"/><Relationship Id="rId10" Type="http://schemas.openxmlformats.org/officeDocument/2006/relationships/image" Target="media/image2.png"/><Relationship Id="rId19"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www.colombiacompra.gov.co/normativa-y-relatoria/documentos-tipo"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2.xml><?xml version="1.0" encoding="utf-8"?>
<ds:datastoreItem xmlns:ds="http://schemas.openxmlformats.org/officeDocument/2006/customXml" ds:itemID="{A55205CA-19C0-499C-BF9D-8F24B50D036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4</TotalTime>
  <Pages>18</Pages>
  <Words>5518</Words>
  <Characters>30791</Characters>
  <Application>Microsoft Office Word</Application>
  <DocSecurity>0</DocSecurity>
  <Lines>669</Lines>
  <Paragraphs>147</Paragraphs>
  <ScaleCrop>false</ScaleCrop>
  <Company/>
  <LinksUpToDate>false</LinksUpToDate>
  <CharactersWithSpaces>36162</CharactersWithSpaces>
  <SharedDoc>false</SharedDoc>
  <HLinks>
    <vt:vector size="30" baseType="variant">
      <vt:variant>
        <vt:i4>5505101</vt:i4>
      </vt:variant>
      <vt:variant>
        <vt:i4>12</vt:i4>
      </vt:variant>
      <vt:variant>
        <vt:i4>0</vt:i4>
      </vt:variant>
      <vt:variant>
        <vt:i4>5</vt:i4>
      </vt:variant>
      <vt:variant>
        <vt:lpwstr>https://www.colombiacompra.gov.co/archivos/manual/guia-para-la-comprension-e-implementacion-de-los-documentos-tipo-de-obra-publica-de-infraestructura-de-transporte-bajo-las-diferentes-modalidades-de-contratacion-vigentes</vt:lpwstr>
      </vt:variant>
      <vt:variant>
        <vt:lpwstr/>
      </vt:variant>
      <vt:variant>
        <vt:i4>3735661</vt:i4>
      </vt:variant>
      <vt:variant>
        <vt:i4>9</vt:i4>
      </vt:variant>
      <vt:variant>
        <vt:i4>0</vt:i4>
      </vt:variant>
      <vt:variant>
        <vt:i4>5</vt:i4>
      </vt:variant>
      <vt:variant>
        <vt:lpwstr>https://www.colombiacompra.gov.co/normativa-y-relatoria/documentos-tipo</vt:lpwstr>
      </vt:variant>
      <vt:variant>
        <vt:lpwstr/>
      </vt:variant>
      <vt:variant>
        <vt:i4>65544</vt:i4>
      </vt:variant>
      <vt:variant>
        <vt:i4>6</vt:i4>
      </vt:variant>
      <vt:variant>
        <vt:i4>0</vt:i4>
      </vt:variant>
      <vt:variant>
        <vt:i4>5</vt:i4>
      </vt:variant>
      <vt:variant>
        <vt:lpwstr>https://formacionvirtual.colombiacompra.gov.co/mod/page/view.php?id=3718</vt:lpwstr>
      </vt:variant>
      <vt:variant>
        <vt:lpwstr/>
      </vt:variant>
      <vt:variant>
        <vt:i4>2162739</vt:i4>
      </vt:variant>
      <vt:variant>
        <vt:i4>3</vt:i4>
      </vt:variant>
      <vt:variant>
        <vt:i4>0</vt:i4>
      </vt:variant>
      <vt:variant>
        <vt:i4>5</vt:i4>
      </vt:variant>
      <vt:variant>
        <vt:lpwstr>https://nam02.safelinks.protection.outlook.com/?url=https%3A%2F%2Frelatoria.colombiacompra.gov.co%2F&amp;data=05%7C02%7Cjuan.avendano%40colombiacompra.gov.co%7C5aad36a736844ec87b2108dcc1fa4639%7C7b09041e245149d08cb179d5e3d8c1be%7C0%7C0%7C638598527916578281%7CUnknown%7CTWFpbGZsb3d8eyJWIjoiMC4wLjAwMDAiLCJQIjoiV2luMzIiLCJBTiI6Ik1haWwiLCJXVCI6Mn0%3D%7C0%7C%7C%7C&amp;sdata=ULogXxqZhlbRGnXip3V5oi2tcjWOQqeurmNDisBXQv0%3D&amp;reserved=0</vt:lpwstr>
      </vt:variant>
      <vt:variant>
        <vt:lpwstr/>
      </vt:variant>
      <vt:variant>
        <vt:i4>4653144</vt:i4>
      </vt:variant>
      <vt:variant>
        <vt:i4>0</vt:i4>
      </vt:variant>
      <vt:variant>
        <vt:i4>0</vt:i4>
      </vt:variant>
      <vt:variant>
        <vt:i4>5</vt:i4>
      </vt:variant>
      <vt:variant>
        <vt:lpwstr>https://www.colombiacompra.gov.co/documentos-tipo/documentos-tipo</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Sergio Andrés Rivera Cano</cp:lastModifiedBy>
  <cp:revision>7</cp:revision>
  <cp:lastPrinted>2023-01-11T03:18:00Z</cp:lastPrinted>
  <dcterms:created xsi:type="dcterms:W3CDTF">2026-04-14T01:49:00Z</dcterms:created>
  <dcterms:modified xsi:type="dcterms:W3CDTF">2026-04-14T21:24:00Z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