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E2D0162" w14:textId="591B1A96" w:rsidR="0096722F" w:rsidRPr="006861EE" w:rsidRDefault="0096722F" w:rsidP="0096722F">
      <w:pPr>
        <w:spacing w:after="0" w:line="240" w:lineRule="auto"/>
        <w:contextualSpacing/>
        <w:jc w:val="both"/>
        <w:rPr>
          <w:rFonts w:ascii="Verdana" w:hAnsi="Verdana"/>
          <w:sz w:val="20"/>
          <w:szCs w:val="20"/>
          <w:lang w:val="es-ES_tradnl"/>
        </w:rPr>
      </w:pPr>
      <w:bookmarkStart w:id="0" w:name="_Hlk143780582"/>
      <w:r w:rsidRPr="006861EE">
        <w:rPr>
          <w:rFonts w:ascii="Verdana" w:eastAsia="Calibri" w:hAnsi="Verdana" w:cs="Arial"/>
          <w:b/>
          <w:lang w:val="es-ES_tradnl"/>
        </w:rPr>
        <w:t>SECOP II –</w:t>
      </w:r>
      <w:r w:rsidRPr="006861EE">
        <w:rPr>
          <w:rFonts w:ascii="Verdana" w:hAnsi="Verdana" w:cs="Arial"/>
          <w:b/>
          <w:bCs/>
          <w:iCs/>
          <w:lang w:val="es-ES_tradnl"/>
        </w:rPr>
        <w:t xml:space="preserve"> </w:t>
      </w:r>
      <w:r w:rsidR="00F654E2" w:rsidRPr="006861EE">
        <w:rPr>
          <w:rFonts w:ascii="Verdana" w:hAnsi="Verdana" w:cs="Arial"/>
          <w:b/>
          <w:bCs/>
          <w:iCs/>
          <w:lang w:val="es-ES_tradnl"/>
        </w:rPr>
        <w:t>Plataforma transaccional</w:t>
      </w:r>
      <w:r w:rsidRPr="006861EE">
        <w:rPr>
          <w:rFonts w:ascii="Verdana" w:hAnsi="Verdana" w:cs="Arial"/>
          <w:b/>
          <w:bCs/>
          <w:iCs/>
          <w:lang w:val="es-ES_tradnl"/>
        </w:rPr>
        <w:t xml:space="preserve"> </w:t>
      </w:r>
      <w:r w:rsidRPr="006861EE">
        <w:rPr>
          <w:rFonts w:ascii="Verdana" w:eastAsia="Calibri" w:hAnsi="Verdana" w:cs="Arial"/>
          <w:b/>
          <w:lang w:val="es-ES_tradnl"/>
        </w:rPr>
        <w:t>–</w:t>
      </w:r>
      <w:r w:rsidRPr="006861EE">
        <w:rPr>
          <w:rFonts w:ascii="Verdana" w:hAnsi="Verdana" w:cs="Arial"/>
          <w:b/>
          <w:bCs/>
          <w:iCs/>
          <w:lang w:val="es-ES_tradnl"/>
        </w:rPr>
        <w:t xml:space="preserve"> </w:t>
      </w:r>
      <w:r w:rsidR="003D0E5C" w:rsidRPr="006861EE">
        <w:rPr>
          <w:rFonts w:ascii="Verdana" w:hAnsi="Verdana" w:cs="Arial"/>
          <w:b/>
          <w:bCs/>
          <w:iCs/>
          <w:lang w:val="es-ES_tradnl"/>
        </w:rPr>
        <w:t xml:space="preserve">Publicidad – </w:t>
      </w:r>
      <w:r w:rsidR="00333536" w:rsidRPr="006861EE">
        <w:rPr>
          <w:rFonts w:ascii="Verdana" w:hAnsi="Verdana" w:cs="Arial"/>
          <w:b/>
          <w:bCs/>
          <w:iCs/>
          <w:lang w:val="es-ES_tradnl"/>
        </w:rPr>
        <w:t xml:space="preserve">Actividad Contractual - </w:t>
      </w:r>
      <w:r w:rsidRPr="006861EE">
        <w:rPr>
          <w:rFonts w:ascii="Verdana" w:hAnsi="Verdana" w:cs="Arial"/>
          <w:b/>
          <w:bCs/>
          <w:iCs/>
          <w:lang w:val="es-ES_tradnl"/>
        </w:rPr>
        <w:t>Entidades</w:t>
      </w:r>
      <w:r w:rsidR="003D0E5C" w:rsidRPr="006861EE">
        <w:rPr>
          <w:rFonts w:ascii="Verdana" w:hAnsi="Verdana" w:cs="Arial"/>
          <w:b/>
          <w:bCs/>
          <w:iCs/>
          <w:lang w:val="es-ES_tradnl"/>
        </w:rPr>
        <w:t xml:space="preserve"> Estatales</w:t>
      </w:r>
    </w:p>
    <w:p w14:paraId="63877A3B" w14:textId="77777777" w:rsidR="0096722F" w:rsidRPr="00DE43B6" w:rsidRDefault="0096722F" w:rsidP="00276133">
      <w:pPr>
        <w:spacing w:after="0" w:line="240" w:lineRule="auto"/>
        <w:rPr>
          <w:rFonts w:ascii="Verdana" w:hAnsi="Verdana"/>
        </w:rPr>
      </w:pPr>
    </w:p>
    <w:p w14:paraId="66A46B8A" w14:textId="7C00B928" w:rsidR="0096722F" w:rsidRDefault="0096722F" w:rsidP="0096722F">
      <w:pPr>
        <w:spacing w:after="0" w:line="240" w:lineRule="auto"/>
        <w:jc w:val="both"/>
        <w:rPr>
          <w:rFonts w:ascii="Verdana" w:hAnsi="Verdana"/>
          <w:sz w:val="20"/>
          <w:szCs w:val="20"/>
          <w:lang w:val="es-ES"/>
        </w:rPr>
      </w:pPr>
      <w:r w:rsidRPr="0096722F">
        <w:rPr>
          <w:rFonts w:ascii="Verdana" w:hAnsi="Verdana"/>
          <w:sz w:val="20"/>
          <w:szCs w:val="20"/>
        </w:rPr>
        <w:t xml:space="preserve">Al tratarse de un sistema totalmente transaccional, el trámite se realiza en línea y la publicidad de las actuaciones es concomitante con el avance de cada etapa, lo que descarta la necesidad de cargar documentación física, salvo excepciones específicas. </w:t>
      </w:r>
      <w:r w:rsidRPr="0096722F">
        <w:rPr>
          <w:rFonts w:ascii="Verdana" w:hAnsi="Verdana"/>
          <w:sz w:val="20"/>
          <w:szCs w:val="20"/>
          <w:lang w:val="es-ES"/>
        </w:rPr>
        <w:t xml:space="preserve">Además, de acuerdo con lo prescrito en el artículo 14 de la Ley 527 de 1999, en la formación del contrato, salvo acuerdo expreso entre las partes, la oferta y su aceptación podrán expresarse por medio de un mensaje de datos, lo que implica que “[n]o se negará validez o fuerza obligatoria a un contrato por la sola razón de haberse utilizado en su formación uno o más mensajes de datos”. Igualmente, el artículo 22 ibidem dispone que los contratos electrónicos compuestos por mensajes de datos tienen los efectos jurídicos según las normas aplicables al negocio jurídico contenido en dichos mensajes, esto es, las normas que regulan el sistema de contratación pública. </w:t>
      </w:r>
    </w:p>
    <w:p w14:paraId="2FDAFA2E" w14:textId="77777777" w:rsidR="0096722F" w:rsidRPr="0096722F" w:rsidRDefault="0096722F" w:rsidP="0096722F">
      <w:pPr>
        <w:spacing w:after="0" w:line="240" w:lineRule="auto"/>
        <w:jc w:val="both"/>
        <w:rPr>
          <w:rFonts w:ascii="Verdana" w:hAnsi="Verdana"/>
          <w:sz w:val="20"/>
          <w:szCs w:val="20"/>
          <w:lang w:val="es-ES"/>
        </w:rPr>
      </w:pPr>
    </w:p>
    <w:p w14:paraId="4CBE780E" w14:textId="77777777" w:rsidR="0096722F" w:rsidRDefault="0096722F" w:rsidP="0096722F">
      <w:pPr>
        <w:spacing w:after="0" w:line="240" w:lineRule="auto"/>
        <w:jc w:val="both"/>
        <w:rPr>
          <w:rFonts w:ascii="Verdana" w:hAnsi="Verdana"/>
          <w:sz w:val="20"/>
          <w:szCs w:val="20"/>
          <w:lang w:val="es-ES"/>
        </w:rPr>
      </w:pPr>
      <w:r w:rsidRPr="0096722F">
        <w:rPr>
          <w:rFonts w:ascii="Verdana" w:hAnsi="Verdana"/>
          <w:sz w:val="20"/>
          <w:szCs w:val="20"/>
          <w:lang w:val="es-ES"/>
        </w:rPr>
        <w:t>En este sentido, la implementación del SECOP II como plataforma transaccional para la actividad contractual del Estado, permite que los contratos que se publiquen sean firmados electrónicamente. De este modo, el proceso mediante el cual se efectúa la firma del contrato y su consecuente aprobación o rechazo es realizado a través del SECOP II. Así, después de que se adjudica el proceso de contratación en la plataforma se inicia el procedimiento por parte de la Entidad Estatal para que se cambie el estado del proceso a “adjudicado”, con lo cual se genera el contrato electrónico en estado “en edición”.</w:t>
      </w:r>
    </w:p>
    <w:p w14:paraId="31C75793" w14:textId="77777777" w:rsidR="00C92574" w:rsidRDefault="00C92574" w:rsidP="0096722F">
      <w:pPr>
        <w:spacing w:after="0" w:line="240" w:lineRule="auto"/>
        <w:jc w:val="both"/>
        <w:rPr>
          <w:rFonts w:ascii="Verdana" w:hAnsi="Verdana"/>
          <w:sz w:val="20"/>
          <w:szCs w:val="20"/>
          <w:lang w:val="es-ES"/>
        </w:rPr>
      </w:pPr>
    </w:p>
    <w:p w14:paraId="4EB7FEC1" w14:textId="74B14391" w:rsidR="00C92574" w:rsidRDefault="00C92574" w:rsidP="0096722F">
      <w:pPr>
        <w:spacing w:after="0" w:line="240" w:lineRule="auto"/>
        <w:contextualSpacing/>
        <w:jc w:val="both"/>
        <w:rPr>
          <w:rFonts w:ascii="Verdana" w:hAnsi="Verdana" w:cs="Arial"/>
          <w:b/>
          <w:bCs/>
          <w:iCs/>
          <w:lang w:val="es-ES_tradnl"/>
        </w:rPr>
      </w:pPr>
      <w:r w:rsidRPr="006861EE">
        <w:rPr>
          <w:rFonts w:ascii="Verdana" w:eastAsia="Calibri" w:hAnsi="Verdana" w:cs="Arial"/>
          <w:b/>
          <w:lang w:val="es-ES_tradnl"/>
        </w:rPr>
        <w:t>SECOP II –</w:t>
      </w:r>
      <w:r w:rsidRPr="006861EE">
        <w:rPr>
          <w:rFonts w:ascii="Verdana" w:hAnsi="Verdana" w:cs="Arial"/>
          <w:b/>
          <w:bCs/>
          <w:iCs/>
          <w:lang w:val="es-ES_tradnl"/>
        </w:rPr>
        <w:t xml:space="preserve"> Plataforma transaccional </w:t>
      </w:r>
      <w:r w:rsidRPr="006861EE">
        <w:rPr>
          <w:rFonts w:ascii="Verdana" w:eastAsia="Calibri" w:hAnsi="Verdana" w:cs="Arial"/>
          <w:b/>
          <w:lang w:val="es-ES_tradnl"/>
        </w:rPr>
        <w:t>–</w:t>
      </w:r>
      <w:r w:rsidR="0089090C">
        <w:rPr>
          <w:rFonts w:ascii="Verdana" w:eastAsia="Calibri" w:hAnsi="Verdana" w:cs="Arial"/>
          <w:b/>
          <w:lang w:val="es-ES_tradnl"/>
        </w:rPr>
        <w:t xml:space="preserve"> </w:t>
      </w:r>
      <w:r w:rsidR="0089090C" w:rsidRPr="006861EE">
        <w:rPr>
          <w:rFonts w:ascii="Verdana" w:hAnsi="Verdana" w:cs="Arial"/>
          <w:b/>
          <w:bCs/>
          <w:iCs/>
          <w:lang w:val="es-ES_tradnl"/>
        </w:rPr>
        <w:t>Flujo de aprobación</w:t>
      </w:r>
      <w:r w:rsidR="0089090C">
        <w:rPr>
          <w:rFonts w:ascii="Verdana" w:hAnsi="Verdana" w:cs="Arial"/>
          <w:b/>
          <w:bCs/>
          <w:iCs/>
          <w:lang w:val="es-ES_tradnl"/>
        </w:rPr>
        <w:t xml:space="preserve"> – Procedimiento</w:t>
      </w:r>
      <w:r w:rsidR="00135824">
        <w:rPr>
          <w:rFonts w:ascii="Verdana" w:hAnsi="Verdana" w:cs="Arial"/>
          <w:b/>
          <w:bCs/>
          <w:iCs/>
          <w:lang w:val="es-ES_tradnl"/>
        </w:rPr>
        <w:t xml:space="preserve"> - Firma</w:t>
      </w:r>
    </w:p>
    <w:p w14:paraId="4B6AE349" w14:textId="77777777" w:rsidR="0089090C" w:rsidRDefault="0089090C" w:rsidP="0096722F">
      <w:pPr>
        <w:spacing w:after="0" w:line="240" w:lineRule="auto"/>
        <w:contextualSpacing/>
        <w:jc w:val="both"/>
        <w:rPr>
          <w:rFonts w:ascii="Verdana" w:hAnsi="Verdana"/>
          <w:sz w:val="20"/>
          <w:szCs w:val="20"/>
          <w:lang w:val="es-ES"/>
        </w:rPr>
      </w:pPr>
    </w:p>
    <w:p w14:paraId="4196902B" w14:textId="2F4F93E7" w:rsidR="00C92574" w:rsidRDefault="00C92574" w:rsidP="00C92574">
      <w:pPr>
        <w:spacing w:after="0" w:line="240" w:lineRule="auto"/>
        <w:jc w:val="both"/>
        <w:rPr>
          <w:rFonts w:ascii="Verdana" w:hAnsi="Verdana"/>
          <w:sz w:val="20"/>
          <w:szCs w:val="20"/>
        </w:rPr>
      </w:pPr>
      <w:r w:rsidRPr="00C92574">
        <w:rPr>
          <w:rFonts w:ascii="Verdana" w:hAnsi="Verdana"/>
          <w:sz w:val="20"/>
          <w:szCs w:val="20"/>
          <w:lang w:val="es-ES"/>
        </w:rPr>
        <w:t xml:space="preserve">Conforme lo señala “Guía SECOP II – Gestión Contractual Para Entidades Estatales” </w:t>
      </w:r>
      <w:r w:rsidRPr="00C92574">
        <w:rPr>
          <w:rFonts w:ascii="Verdana" w:hAnsi="Verdana"/>
          <w:sz w:val="20"/>
          <w:szCs w:val="20"/>
        </w:rPr>
        <w:t>es importante que previamente el usuario administrador de la Entidad Estatal haya configurado flujos de aprobación en este hito del proceso con el fin de que el contrato electrónico sea enviado al ordenador del gasto representante legal de la entidad para su aprobación final.</w:t>
      </w:r>
      <w:r w:rsidRPr="00C92574">
        <w:rPr>
          <w:rFonts w:ascii="Verdana" w:hAnsi="Verdana"/>
          <w:sz w:val="20"/>
          <w:szCs w:val="20"/>
          <w:lang w:val="es-ES"/>
        </w:rPr>
        <w:t xml:space="preserve"> </w:t>
      </w:r>
      <w:r w:rsidRPr="00C92574">
        <w:rPr>
          <w:rFonts w:ascii="Verdana" w:hAnsi="Verdana"/>
          <w:sz w:val="20"/>
          <w:szCs w:val="20"/>
        </w:rPr>
        <w:t>Una vez el ordenador del gasto de la entidad realice la aprobación el estado del contrato cambia a “Firmado” y quedará público para consulta de cualquier interesado.</w:t>
      </w:r>
    </w:p>
    <w:p w14:paraId="0B2FC6FA" w14:textId="77777777" w:rsidR="00C92574" w:rsidRPr="00C92574" w:rsidRDefault="00C92574" w:rsidP="00C92574">
      <w:pPr>
        <w:spacing w:after="0" w:line="240" w:lineRule="auto"/>
        <w:jc w:val="both"/>
        <w:rPr>
          <w:rFonts w:ascii="Verdana" w:hAnsi="Verdana"/>
          <w:sz w:val="20"/>
          <w:szCs w:val="20"/>
          <w:lang w:val="es-ES"/>
        </w:rPr>
      </w:pPr>
    </w:p>
    <w:p w14:paraId="48259192" w14:textId="77777777" w:rsidR="00C92574" w:rsidRDefault="00C92574" w:rsidP="00C92574">
      <w:pPr>
        <w:spacing w:after="0" w:line="240" w:lineRule="auto"/>
        <w:jc w:val="both"/>
        <w:rPr>
          <w:rFonts w:ascii="Verdana" w:hAnsi="Verdana"/>
          <w:sz w:val="20"/>
          <w:szCs w:val="20"/>
        </w:rPr>
      </w:pPr>
      <w:r w:rsidRPr="00C92574">
        <w:rPr>
          <w:rFonts w:ascii="Verdana" w:hAnsi="Verdana"/>
          <w:sz w:val="20"/>
          <w:szCs w:val="20"/>
        </w:rPr>
        <w:t>De conformidad con este procedimiento, una vez el proveedor aprueba el contrato en la plataforma, este se remite a la entidad estatal para que adelante los flujos internos de aprobación correspondientes. La aprobación del ordenador del gasto constituye el último paso de dicho flujo y es el hito que permite a SECOP II cambiar el estado del contrato a “Firmado”, así como habilitar las secciones de “Modificaciones del contrato” e “Incumplimientos”, lo que evidencia que el negocio jurídico ha quedado formalmente firmado en el sistema.</w:t>
      </w:r>
    </w:p>
    <w:p w14:paraId="273781D1" w14:textId="77777777" w:rsidR="00C92574" w:rsidRPr="00C92574" w:rsidRDefault="00C92574" w:rsidP="00C92574">
      <w:pPr>
        <w:spacing w:after="0" w:line="240" w:lineRule="auto"/>
        <w:jc w:val="both"/>
        <w:rPr>
          <w:rFonts w:ascii="Verdana" w:hAnsi="Verdana"/>
          <w:sz w:val="20"/>
          <w:szCs w:val="20"/>
          <w:lang w:val="es-ES"/>
        </w:rPr>
      </w:pPr>
    </w:p>
    <w:p w14:paraId="644E609C" w14:textId="77777777" w:rsidR="00C92574" w:rsidRPr="00C92574" w:rsidRDefault="00C92574" w:rsidP="00C92574">
      <w:pPr>
        <w:spacing w:after="0" w:line="240" w:lineRule="auto"/>
        <w:jc w:val="both"/>
        <w:rPr>
          <w:rFonts w:ascii="Verdana" w:hAnsi="Verdana"/>
          <w:sz w:val="20"/>
          <w:szCs w:val="20"/>
          <w:lang w:val="es-ES"/>
        </w:rPr>
      </w:pPr>
      <w:r w:rsidRPr="00C92574">
        <w:rPr>
          <w:rFonts w:ascii="Verdana" w:hAnsi="Verdana"/>
          <w:sz w:val="20"/>
          <w:szCs w:val="20"/>
          <w:lang w:val="es-ES"/>
        </w:rPr>
        <w:t xml:space="preserve">Así las cosas, cuando el proceso de contratación se adelanta por el SECOP II la aprobación del contrato para su perfeccionamiento y posterior ejecución deberá </w:t>
      </w:r>
      <w:r w:rsidRPr="00C92574">
        <w:rPr>
          <w:rFonts w:ascii="Verdana" w:hAnsi="Verdana"/>
          <w:sz w:val="20"/>
          <w:szCs w:val="20"/>
          <w:lang w:val="es-ES"/>
        </w:rPr>
        <w:lastRenderedPageBreak/>
        <w:t xml:space="preserve">efectuarse en dicha plataforma de conformidad con el procedimiento descrito. En todo caso, hasta que no se efectué la aprobación en el SECOP II por parte del ordenador del gasto de la Entidad no se entiende perfeccionado el contrato. </w:t>
      </w:r>
    </w:p>
    <w:p w14:paraId="546FF79D" w14:textId="77777777" w:rsidR="00C92574" w:rsidRPr="0096722F" w:rsidRDefault="00C92574" w:rsidP="0096722F">
      <w:pPr>
        <w:spacing w:after="0" w:line="240" w:lineRule="auto"/>
        <w:jc w:val="both"/>
        <w:rPr>
          <w:rFonts w:ascii="Verdana" w:hAnsi="Verdana"/>
          <w:sz w:val="20"/>
          <w:szCs w:val="20"/>
          <w:lang w:val="es-ES"/>
        </w:rPr>
      </w:pPr>
    </w:p>
    <w:p w14:paraId="573F04F2" w14:textId="77777777" w:rsidR="0096722F" w:rsidRPr="006861EE" w:rsidRDefault="0096722F" w:rsidP="00276133">
      <w:pPr>
        <w:spacing w:after="0" w:line="240" w:lineRule="auto"/>
        <w:rPr>
          <w:rFonts w:ascii="Verdana" w:hAnsi="Verdana"/>
          <w:sz w:val="20"/>
          <w:szCs w:val="20"/>
          <w:lang w:val="es-ES_tradnl"/>
        </w:rPr>
      </w:pPr>
    </w:p>
    <w:p w14:paraId="5C3BE28E" w14:textId="7389327E" w:rsidR="00964C09" w:rsidRPr="006861EE" w:rsidRDefault="00DE43B6" w:rsidP="00DE43B6">
      <w:pPr>
        <w:spacing w:after="0" w:line="240" w:lineRule="auto"/>
        <w:contextualSpacing/>
        <w:jc w:val="both"/>
        <w:rPr>
          <w:rFonts w:ascii="Verdana" w:hAnsi="Verdana" w:cs="Arial"/>
          <w:b/>
          <w:bCs/>
          <w:iCs/>
          <w:lang w:val="es-ES_tradnl"/>
        </w:rPr>
      </w:pPr>
      <w:r w:rsidRPr="006861EE">
        <w:rPr>
          <w:rFonts w:ascii="Verdana" w:eastAsia="Calibri" w:hAnsi="Verdana" w:cs="Arial"/>
          <w:b/>
          <w:lang w:val="es-ES_tradnl"/>
        </w:rPr>
        <w:t>SECOP II –</w:t>
      </w:r>
      <w:r w:rsidRPr="006861EE">
        <w:rPr>
          <w:rFonts w:ascii="Verdana" w:hAnsi="Verdana" w:cs="Arial"/>
          <w:b/>
          <w:bCs/>
          <w:iCs/>
          <w:lang w:val="es-ES_tradnl"/>
        </w:rPr>
        <w:t xml:space="preserve"> Plataforma transaccional </w:t>
      </w:r>
      <w:r w:rsidRPr="006861EE">
        <w:rPr>
          <w:rFonts w:ascii="Verdana" w:eastAsia="Calibri" w:hAnsi="Verdana" w:cs="Arial"/>
          <w:b/>
          <w:lang w:val="es-ES_tradnl"/>
        </w:rPr>
        <w:t>–</w:t>
      </w:r>
      <w:r w:rsidRPr="006861EE">
        <w:rPr>
          <w:rFonts w:ascii="Verdana" w:hAnsi="Verdana" w:cs="Arial"/>
          <w:b/>
          <w:bCs/>
          <w:iCs/>
          <w:lang w:val="es-ES_tradnl"/>
        </w:rPr>
        <w:t xml:space="preserve"> Flujo de aprobació</w:t>
      </w:r>
      <w:r w:rsidR="00373F6A" w:rsidRPr="006861EE">
        <w:rPr>
          <w:rFonts w:ascii="Verdana" w:hAnsi="Verdana" w:cs="Arial"/>
          <w:b/>
          <w:bCs/>
          <w:iCs/>
          <w:lang w:val="es-ES_tradnl"/>
        </w:rPr>
        <w:t xml:space="preserve">n – </w:t>
      </w:r>
      <w:r w:rsidR="006861EE" w:rsidRPr="006861EE">
        <w:rPr>
          <w:rFonts w:ascii="Verdana" w:hAnsi="Verdana" w:cs="Arial"/>
          <w:b/>
          <w:bCs/>
          <w:iCs/>
          <w:lang w:val="es-ES_tradnl"/>
        </w:rPr>
        <w:t>Perfeccionamiento</w:t>
      </w:r>
    </w:p>
    <w:p w14:paraId="3883E4C3" w14:textId="77777777" w:rsidR="00373F6A" w:rsidRDefault="00373F6A" w:rsidP="00DE43B6">
      <w:pPr>
        <w:spacing w:after="0" w:line="240" w:lineRule="auto"/>
        <w:contextualSpacing/>
        <w:jc w:val="both"/>
        <w:rPr>
          <w:rFonts w:ascii="Verdana" w:hAnsi="Verdana"/>
          <w:lang w:val="es-ES_tradnl"/>
        </w:rPr>
      </w:pPr>
    </w:p>
    <w:p w14:paraId="48C8996E" w14:textId="38B6E41E" w:rsidR="00964C09" w:rsidRDefault="00964C09" w:rsidP="00DE43B6">
      <w:pPr>
        <w:spacing w:after="0" w:line="240" w:lineRule="auto"/>
        <w:jc w:val="both"/>
        <w:rPr>
          <w:rFonts w:ascii="Verdana" w:hAnsi="Verdana"/>
          <w:sz w:val="20"/>
          <w:szCs w:val="20"/>
        </w:rPr>
      </w:pPr>
      <w:r w:rsidRPr="00DE43B6">
        <w:rPr>
          <w:rFonts w:ascii="Verdana" w:hAnsi="Verdana"/>
          <w:sz w:val="20"/>
          <w:szCs w:val="20"/>
        </w:rPr>
        <w:t>En este orden de ideas, dentro del flujo de aprobación que la entidad haya configurado en el SECOP II, el momento en que el ordenador del gasto emite su aprobación final constituye el hito en el cual se consolida efectivamente la concurrencia de voluntades y el acuerdo contractual. Ello obedece a que, de manera previa, el proveedor ya ha otorgado su aprobación al contrato, manifestando su aceptación integral de las condiciones pactadas. Así, con la aprobación posterior del ordenador del gasto se perfecciona el consentimiento recíproco sobre el objeto y la contraprestación y queda formalmente estructurado el acuerdo.</w:t>
      </w:r>
    </w:p>
    <w:p w14:paraId="323F04BC" w14:textId="77777777" w:rsidR="006861EE" w:rsidRPr="00DE43B6" w:rsidRDefault="006861EE" w:rsidP="00DE43B6">
      <w:pPr>
        <w:spacing w:after="0" w:line="240" w:lineRule="auto"/>
        <w:jc w:val="both"/>
        <w:rPr>
          <w:rFonts w:ascii="Verdana" w:hAnsi="Verdana"/>
          <w:sz w:val="20"/>
          <w:szCs w:val="20"/>
        </w:rPr>
      </w:pPr>
    </w:p>
    <w:p w14:paraId="0F6B5C7C" w14:textId="77777777" w:rsidR="0022587B" w:rsidRPr="0022587B" w:rsidRDefault="0022587B" w:rsidP="0022587B">
      <w:pPr>
        <w:spacing w:after="0" w:line="240" w:lineRule="auto"/>
        <w:jc w:val="both"/>
        <w:rPr>
          <w:rFonts w:ascii="Verdana" w:hAnsi="Verdana"/>
          <w:b/>
          <w:lang w:val="es-ES_tradnl"/>
        </w:rPr>
      </w:pPr>
      <w:r w:rsidRPr="0022587B">
        <w:rPr>
          <w:rFonts w:ascii="Verdana" w:hAnsi="Verdana"/>
          <w:b/>
          <w:lang w:val="es-ES_tradnl"/>
        </w:rPr>
        <w:t>SECOP II –</w:t>
      </w:r>
      <w:r w:rsidRPr="0022587B">
        <w:rPr>
          <w:rFonts w:ascii="Verdana" w:hAnsi="Verdana"/>
          <w:b/>
          <w:bCs/>
          <w:iCs/>
          <w:lang w:val="es-ES_tradnl"/>
        </w:rPr>
        <w:t xml:space="preserve"> Deber de publicidad </w:t>
      </w:r>
      <w:r w:rsidRPr="0022587B">
        <w:rPr>
          <w:rFonts w:ascii="Verdana" w:hAnsi="Verdana"/>
          <w:b/>
          <w:lang w:val="es-ES_tradnl"/>
        </w:rPr>
        <w:t>–</w:t>
      </w:r>
      <w:r w:rsidRPr="0022587B">
        <w:rPr>
          <w:rFonts w:ascii="Verdana" w:hAnsi="Verdana"/>
          <w:b/>
          <w:bCs/>
          <w:iCs/>
          <w:lang w:val="es-ES_tradnl"/>
        </w:rPr>
        <w:t xml:space="preserve"> Entidades estatales exceptuadas del estatuto general de contratación de la administración pública </w:t>
      </w:r>
      <w:r w:rsidRPr="0022587B">
        <w:rPr>
          <w:rFonts w:ascii="Verdana" w:hAnsi="Verdana"/>
          <w:b/>
          <w:lang w:val="es-ES_tradnl"/>
        </w:rPr>
        <w:t>–</w:t>
      </w:r>
      <w:r w:rsidRPr="0022587B">
        <w:rPr>
          <w:rFonts w:ascii="Verdana" w:hAnsi="Verdana"/>
          <w:b/>
          <w:bCs/>
          <w:iCs/>
          <w:lang w:val="es-ES_tradnl"/>
        </w:rPr>
        <w:t xml:space="preserve"> </w:t>
      </w:r>
      <w:r w:rsidRPr="0022587B">
        <w:rPr>
          <w:rFonts w:ascii="Verdana" w:hAnsi="Verdana"/>
          <w:b/>
          <w:lang w:val="es-ES_tradnl"/>
        </w:rPr>
        <w:t xml:space="preserve">Documentos relacionados con la actividad contractual  </w:t>
      </w:r>
    </w:p>
    <w:p w14:paraId="47CED585" w14:textId="77777777" w:rsidR="0096722F" w:rsidRPr="00333D23" w:rsidRDefault="0096722F" w:rsidP="0022587B">
      <w:pPr>
        <w:spacing w:after="0" w:line="240" w:lineRule="auto"/>
        <w:jc w:val="both"/>
        <w:rPr>
          <w:rFonts w:ascii="Verdana" w:hAnsi="Verdana"/>
          <w:sz w:val="20"/>
          <w:szCs w:val="20"/>
          <w:lang w:val="es-ES_tradnl"/>
        </w:rPr>
      </w:pPr>
    </w:p>
    <w:p w14:paraId="3A5DFA14" w14:textId="77777777" w:rsidR="00644E4E" w:rsidRDefault="00644E4E" w:rsidP="00644E4E">
      <w:pPr>
        <w:spacing w:after="0" w:line="240" w:lineRule="auto"/>
        <w:jc w:val="both"/>
        <w:rPr>
          <w:rFonts w:ascii="Verdana" w:hAnsi="Verdana"/>
          <w:sz w:val="20"/>
          <w:szCs w:val="20"/>
        </w:rPr>
      </w:pPr>
      <w:r w:rsidRPr="00644E4E">
        <w:rPr>
          <w:rFonts w:ascii="Verdana" w:hAnsi="Verdana"/>
          <w:sz w:val="20"/>
          <w:szCs w:val="20"/>
        </w:rPr>
        <w:t>En el segundo caso, si decide utilizar el SECOP II como herramienta de publicidad, deberá crear el proceso de contratación en el SECOP II mediante el módulo “</w:t>
      </w:r>
      <w:r w:rsidRPr="00644E4E">
        <w:rPr>
          <w:rFonts w:ascii="Verdana" w:hAnsi="Verdana"/>
          <w:i/>
          <w:iCs/>
          <w:sz w:val="20"/>
          <w:szCs w:val="20"/>
        </w:rPr>
        <w:t>Contratación Régimen Especial (sin ofertas)”</w:t>
      </w:r>
      <w:r w:rsidRPr="00644E4E">
        <w:rPr>
          <w:rFonts w:ascii="Verdana" w:hAnsi="Verdana"/>
          <w:sz w:val="20"/>
          <w:szCs w:val="20"/>
        </w:rPr>
        <w:t>, cargar todos los documentos del proceso en la sección dispuesta para ello y publicar el proceso. La publicación de los documentos de la gestión contractual, incluido el contrato firmado manuscritamente, debe realizarse mediante modificaciones al proceso a través de la opción “Modificaciones/Adendas”. Sin embargo, las entidades públicas deberán tener en cuenta que, si utilizan esta opción, no deben dar clic en “</w:t>
      </w:r>
      <w:r w:rsidRPr="00644E4E">
        <w:rPr>
          <w:rFonts w:ascii="Verdana" w:hAnsi="Verdana"/>
          <w:i/>
          <w:iCs/>
          <w:sz w:val="20"/>
          <w:szCs w:val="20"/>
        </w:rPr>
        <w:t>Finalizar</w:t>
      </w:r>
      <w:r w:rsidRPr="00644E4E">
        <w:rPr>
          <w:rFonts w:ascii="Verdana" w:hAnsi="Verdana"/>
          <w:sz w:val="20"/>
          <w:szCs w:val="20"/>
        </w:rPr>
        <w:t xml:space="preserve">” después de publicar el proceso, en tanto que la plataforma cierra el expediente y no permite la publicación posterior de ningún otro documento. </w:t>
      </w:r>
    </w:p>
    <w:p w14:paraId="57269DD2" w14:textId="77777777" w:rsidR="007A7831" w:rsidRPr="00644E4E" w:rsidRDefault="007A7831" w:rsidP="00644E4E">
      <w:pPr>
        <w:spacing w:after="0" w:line="240" w:lineRule="auto"/>
        <w:jc w:val="both"/>
        <w:rPr>
          <w:rFonts w:ascii="Verdana" w:hAnsi="Verdana"/>
          <w:sz w:val="20"/>
          <w:szCs w:val="20"/>
        </w:rPr>
      </w:pPr>
    </w:p>
    <w:p w14:paraId="424F9587" w14:textId="77777777" w:rsidR="00644E4E" w:rsidRPr="00644E4E" w:rsidRDefault="00644E4E" w:rsidP="00644E4E">
      <w:pPr>
        <w:spacing w:after="0" w:line="240" w:lineRule="auto"/>
        <w:jc w:val="both"/>
        <w:rPr>
          <w:rFonts w:ascii="Verdana" w:hAnsi="Verdana"/>
          <w:sz w:val="20"/>
          <w:szCs w:val="20"/>
        </w:rPr>
      </w:pPr>
      <w:r w:rsidRPr="00644E4E">
        <w:rPr>
          <w:rFonts w:ascii="Verdana" w:hAnsi="Verdana"/>
          <w:sz w:val="20"/>
          <w:szCs w:val="20"/>
        </w:rPr>
        <w:t xml:space="preserve">En este segundo evento si es posible que se firme el contrato de forma manuscrita y, posteriormente, se cargue a la plataforma para realizar la debida publicidad </w:t>
      </w:r>
      <w:proofErr w:type="gramStart"/>
      <w:r w:rsidRPr="00644E4E">
        <w:rPr>
          <w:rFonts w:ascii="Verdana" w:hAnsi="Verdana"/>
          <w:sz w:val="20"/>
          <w:szCs w:val="20"/>
        </w:rPr>
        <w:t>del mismo</w:t>
      </w:r>
      <w:proofErr w:type="gramEnd"/>
      <w:r w:rsidRPr="00644E4E">
        <w:rPr>
          <w:rFonts w:ascii="Verdana" w:hAnsi="Verdana"/>
          <w:sz w:val="20"/>
          <w:szCs w:val="20"/>
        </w:rPr>
        <w:t xml:space="preserve">. La fecha de perfeccionamiento del contrato será aquella en la cual el contrato fue suscrito por ambas partes. </w:t>
      </w:r>
    </w:p>
    <w:p w14:paraId="52C4DB8A" w14:textId="77777777" w:rsidR="0096722F" w:rsidRPr="00333D23" w:rsidRDefault="0096722F" w:rsidP="0022587B">
      <w:pPr>
        <w:spacing w:after="0" w:line="240" w:lineRule="auto"/>
        <w:jc w:val="both"/>
        <w:rPr>
          <w:rFonts w:ascii="Verdana" w:hAnsi="Verdana"/>
          <w:sz w:val="20"/>
          <w:szCs w:val="20"/>
        </w:rPr>
      </w:pPr>
    </w:p>
    <w:p w14:paraId="291BEF73" w14:textId="77777777" w:rsidR="0096722F" w:rsidRPr="00333D23" w:rsidRDefault="0096722F" w:rsidP="0022587B">
      <w:pPr>
        <w:spacing w:after="0" w:line="240" w:lineRule="auto"/>
        <w:jc w:val="both"/>
        <w:rPr>
          <w:rFonts w:ascii="Verdana" w:hAnsi="Verdana"/>
          <w:sz w:val="20"/>
          <w:szCs w:val="20"/>
          <w:lang w:val="es-ES_tradnl"/>
        </w:rPr>
      </w:pPr>
    </w:p>
    <w:p w14:paraId="1E92A09F" w14:textId="77777777" w:rsidR="0096722F" w:rsidRPr="00333D23" w:rsidRDefault="0096722F" w:rsidP="0022587B">
      <w:pPr>
        <w:spacing w:after="0" w:line="240" w:lineRule="auto"/>
        <w:jc w:val="both"/>
        <w:rPr>
          <w:rFonts w:ascii="Verdana" w:hAnsi="Verdana"/>
          <w:sz w:val="20"/>
          <w:szCs w:val="20"/>
          <w:lang w:val="es-ES_tradnl"/>
        </w:rPr>
      </w:pPr>
    </w:p>
    <w:p w14:paraId="0930CC75" w14:textId="77777777" w:rsidR="0096722F" w:rsidRPr="00333D23" w:rsidRDefault="0096722F" w:rsidP="00276133">
      <w:pPr>
        <w:spacing w:after="0" w:line="240" w:lineRule="auto"/>
        <w:rPr>
          <w:rFonts w:ascii="Verdana" w:hAnsi="Verdana"/>
          <w:sz w:val="20"/>
          <w:szCs w:val="20"/>
          <w:lang w:val="es-ES_tradnl"/>
        </w:rPr>
      </w:pPr>
    </w:p>
    <w:p w14:paraId="66A4E9C8" w14:textId="77777777" w:rsidR="0096722F" w:rsidRPr="00333D23" w:rsidRDefault="0096722F" w:rsidP="00276133">
      <w:pPr>
        <w:spacing w:after="0" w:line="240" w:lineRule="auto"/>
        <w:rPr>
          <w:rFonts w:ascii="Verdana" w:hAnsi="Verdana"/>
          <w:sz w:val="20"/>
          <w:szCs w:val="20"/>
          <w:lang w:val="es-ES_tradnl"/>
        </w:rPr>
      </w:pPr>
    </w:p>
    <w:p w14:paraId="0559BDCB" w14:textId="77777777" w:rsidR="0096722F" w:rsidRPr="00333D23" w:rsidRDefault="0096722F" w:rsidP="00276133">
      <w:pPr>
        <w:spacing w:after="0" w:line="240" w:lineRule="auto"/>
        <w:rPr>
          <w:rFonts w:ascii="Verdana" w:hAnsi="Verdana"/>
          <w:sz w:val="20"/>
          <w:szCs w:val="20"/>
          <w:lang w:val="es-ES_tradnl"/>
        </w:rPr>
      </w:pPr>
    </w:p>
    <w:p w14:paraId="56948D2C" w14:textId="77777777" w:rsidR="0096722F" w:rsidRPr="00333D23" w:rsidRDefault="0096722F" w:rsidP="00276133">
      <w:pPr>
        <w:spacing w:after="0" w:line="240" w:lineRule="auto"/>
        <w:rPr>
          <w:rFonts w:ascii="Verdana" w:hAnsi="Verdana"/>
          <w:sz w:val="20"/>
          <w:szCs w:val="20"/>
          <w:lang w:val="es-ES_tradnl"/>
        </w:rPr>
      </w:pPr>
    </w:p>
    <w:p w14:paraId="2F6D5EED" w14:textId="77777777" w:rsidR="0096722F" w:rsidRPr="00333D23" w:rsidRDefault="0096722F" w:rsidP="00276133">
      <w:pPr>
        <w:spacing w:after="0" w:line="240" w:lineRule="auto"/>
        <w:rPr>
          <w:rFonts w:ascii="Verdana" w:hAnsi="Verdana"/>
          <w:sz w:val="20"/>
          <w:szCs w:val="20"/>
          <w:lang w:val="es-ES_tradnl"/>
        </w:rPr>
      </w:pPr>
    </w:p>
    <w:p w14:paraId="461D6823" w14:textId="77777777" w:rsidR="0096722F" w:rsidRPr="00333D23" w:rsidRDefault="0096722F" w:rsidP="00276133">
      <w:pPr>
        <w:spacing w:after="0" w:line="240" w:lineRule="auto"/>
        <w:rPr>
          <w:rFonts w:ascii="Verdana" w:hAnsi="Verdana"/>
          <w:sz w:val="20"/>
          <w:szCs w:val="20"/>
          <w:lang w:val="es-ES_tradnl"/>
        </w:rPr>
      </w:pPr>
    </w:p>
    <w:p w14:paraId="7A5A424F" w14:textId="77777777" w:rsidR="0096722F" w:rsidRPr="00333D23" w:rsidRDefault="0096722F" w:rsidP="00276133">
      <w:pPr>
        <w:spacing w:after="0" w:line="240" w:lineRule="auto"/>
        <w:rPr>
          <w:rFonts w:ascii="Verdana" w:hAnsi="Verdana"/>
          <w:sz w:val="20"/>
          <w:szCs w:val="20"/>
          <w:lang w:val="es-ES_tradnl"/>
        </w:rPr>
      </w:pPr>
    </w:p>
    <w:p w14:paraId="11BCA042" w14:textId="7989EC7F" w:rsidR="0096722F" w:rsidRDefault="0096722F" w:rsidP="00276133">
      <w:pPr>
        <w:spacing w:after="0" w:line="240" w:lineRule="auto"/>
        <w:rPr>
          <w:rFonts w:ascii="Verdana" w:hAnsi="Verdana"/>
          <w:lang w:val="es-ES_tradnl"/>
        </w:rPr>
      </w:pPr>
    </w:p>
    <w:p w14:paraId="610A59E5" w14:textId="322CAEE0" w:rsidR="0048320C" w:rsidRDefault="00276133" w:rsidP="00276133">
      <w:pPr>
        <w:spacing w:after="0" w:line="240" w:lineRule="auto"/>
        <w:rPr>
          <w:rFonts w:ascii="Verdana" w:hAnsi="Verdana"/>
        </w:rPr>
      </w:pPr>
      <w:r w:rsidRPr="004A54E1">
        <w:rPr>
          <w:rFonts w:ascii="Verdana" w:hAnsi="Verdana"/>
        </w:rPr>
        <w:t xml:space="preserve">Bogotá D.C., </w:t>
      </w:r>
      <w:r w:rsidR="0048320C" w:rsidRPr="0048320C">
        <w:rPr>
          <w:rFonts w:ascii="Verdana" w:hAnsi="Verdana"/>
        </w:rPr>
        <w:t xml:space="preserve">10 </w:t>
      </w:r>
      <w:proofErr w:type="gramStart"/>
      <w:r w:rsidR="0048320C" w:rsidRPr="0048320C">
        <w:rPr>
          <w:rFonts w:ascii="Verdana" w:hAnsi="Verdana"/>
        </w:rPr>
        <w:t>Abril</w:t>
      </w:r>
      <w:proofErr w:type="gramEnd"/>
      <w:r w:rsidR="0048320C" w:rsidRPr="0048320C">
        <w:rPr>
          <w:rFonts w:ascii="Verdana" w:hAnsi="Verdana"/>
        </w:rPr>
        <w:t xml:space="preserve"> 202</w:t>
      </w:r>
      <w:r w:rsidR="0048320C">
        <w:rPr>
          <w:rFonts w:ascii="Verdana" w:hAnsi="Verdana"/>
        </w:rPr>
        <w:t>6</w:t>
      </w:r>
    </w:p>
    <w:p w14:paraId="1429DD07" w14:textId="4BE24C2A" w:rsidR="00276133" w:rsidRPr="004A54E1" w:rsidRDefault="0059007A" w:rsidP="00276133">
      <w:pPr>
        <w:spacing w:after="0" w:line="240" w:lineRule="auto"/>
        <w:rPr>
          <w:rFonts w:ascii="Verdana" w:hAnsi="Verdana"/>
        </w:rPr>
      </w:pPr>
      <w:r w:rsidRPr="0059007A">
        <w:rPr>
          <w:rFonts w:ascii="Verdana" w:hAnsi="Verdana"/>
        </w:rPr>
        <w:drawing>
          <wp:anchor distT="0" distB="0" distL="114300" distR="114300" simplePos="0" relativeHeight="251659264" behindDoc="0" locked="0" layoutInCell="1" allowOverlap="1" wp14:anchorId="4390B5C8" wp14:editId="17DA8843">
            <wp:simplePos x="1079770" y="1848255"/>
            <wp:positionH relativeFrom="margin">
              <wp:align>right</wp:align>
            </wp:positionH>
            <wp:positionV relativeFrom="margin">
              <wp:align>top</wp:align>
            </wp:positionV>
            <wp:extent cx="2838450" cy="1019175"/>
            <wp:effectExtent l="0" t="0" r="0" b="9525"/>
            <wp:wrapSquare wrapText="bothSides"/>
            <wp:docPr id="1305603616"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5603616" name=""/>
                    <pic:cNvPicPr/>
                  </pic:nvPicPr>
                  <pic:blipFill>
                    <a:blip r:embed="rId10">
                      <a:extLst>
                        <a:ext uri="{28A0092B-C50C-407E-A947-70E740481C1C}">
                          <a14:useLocalDpi xmlns:a14="http://schemas.microsoft.com/office/drawing/2010/main" val="0"/>
                        </a:ext>
                      </a:extLst>
                    </a:blip>
                    <a:stretch>
                      <a:fillRect/>
                    </a:stretch>
                  </pic:blipFill>
                  <pic:spPr>
                    <a:xfrm>
                      <a:off x="0" y="0"/>
                      <a:ext cx="2838450" cy="1019175"/>
                    </a:xfrm>
                    <a:prstGeom prst="rect">
                      <a:avLst/>
                    </a:prstGeom>
                  </pic:spPr>
                </pic:pic>
              </a:graphicData>
            </a:graphic>
          </wp:anchor>
        </w:drawing>
      </w:r>
      <w:r w:rsidR="00276133" w:rsidRPr="004A54E1">
        <w:rPr>
          <w:rFonts w:ascii="Verdana" w:hAnsi="Verdana"/>
        </w:rPr>
        <w:tab/>
      </w:r>
    </w:p>
    <w:p w14:paraId="2511044D" w14:textId="77777777" w:rsidR="00276133" w:rsidRPr="004A54E1" w:rsidRDefault="00276133" w:rsidP="00276133">
      <w:pPr>
        <w:spacing w:after="0" w:line="240" w:lineRule="auto"/>
        <w:jc w:val="both"/>
        <w:rPr>
          <w:rFonts w:ascii="Verdana" w:eastAsia="Calibri" w:hAnsi="Verdana" w:cs="Arial"/>
          <w:lang w:eastAsia="es-ES"/>
        </w:rPr>
      </w:pPr>
      <w:r w:rsidRPr="004A54E1">
        <w:rPr>
          <w:rFonts w:ascii="Verdana" w:eastAsia="Calibri" w:hAnsi="Verdana" w:cs="Arial"/>
          <w:lang w:eastAsia="es-ES"/>
        </w:rPr>
        <w:t>Señora</w:t>
      </w:r>
    </w:p>
    <w:p w14:paraId="18DEBEA3" w14:textId="307E0E29" w:rsidR="00276133" w:rsidRPr="004A54E1" w:rsidRDefault="004A54E1" w:rsidP="00276133">
      <w:pPr>
        <w:spacing w:after="0" w:line="240" w:lineRule="auto"/>
        <w:rPr>
          <w:rFonts w:ascii="Verdana" w:eastAsia="Calibri" w:hAnsi="Verdana" w:cs="Arial"/>
          <w:b/>
          <w:bCs/>
          <w:lang w:eastAsia="es-ES"/>
        </w:rPr>
      </w:pPr>
      <w:r w:rsidRPr="004A54E1">
        <w:rPr>
          <w:rFonts w:ascii="Verdana" w:eastAsia="Calibri" w:hAnsi="Verdana" w:cs="Arial"/>
          <w:b/>
          <w:bCs/>
          <w:lang w:eastAsia="es-ES"/>
        </w:rPr>
        <w:t>Marcela Alejandra Herrán Prieto</w:t>
      </w:r>
    </w:p>
    <w:p w14:paraId="09BD6E0C" w14:textId="321B0009" w:rsidR="004A54E1" w:rsidRPr="004A54E1" w:rsidRDefault="004A54E1" w:rsidP="00276133">
      <w:pPr>
        <w:spacing w:after="0" w:line="240" w:lineRule="auto"/>
        <w:rPr>
          <w:rFonts w:ascii="Verdana" w:hAnsi="Verdana"/>
        </w:rPr>
      </w:pPr>
      <w:hyperlink r:id="rId11" w:history="1">
        <w:r w:rsidRPr="004A54E1">
          <w:rPr>
            <w:rStyle w:val="Hipervnculo"/>
            <w:rFonts w:ascii="Verdana" w:hAnsi="Verdana"/>
          </w:rPr>
          <w:t>alejandraherran71@gmail.com</w:t>
        </w:r>
      </w:hyperlink>
    </w:p>
    <w:p w14:paraId="39E593ED" w14:textId="551B15FB" w:rsidR="00276133" w:rsidRPr="004A54E1" w:rsidRDefault="004A54E1" w:rsidP="00276133">
      <w:pPr>
        <w:spacing w:after="0" w:line="240" w:lineRule="auto"/>
        <w:rPr>
          <w:rFonts w:ascii="Verdana" w:hAnsi="Verdana"/>
        </w:rPr>
      </w:pPr>
      <w:r w:rsidRPr="004A54E1">
        <w:rPr>
          <w:rFonts w:ascii="Verdana" w:hAnsi="Verdana"/>
        </w:rPr>
        <w:t>Bogotá D.C.</w:t>
      </w:r>
    </w:p>
    <w:p w14:paraId="3768AE89" w14:textId="77777777" w:rsidR="00276133" w:rsidRPr="00C07051" w:rsidRDefault="00276133" w:rsidP="00276133">
      <w:pPr>
        <w:spacing w:after="0" w:line="240" w:lineRule="auto"/>
        <w:rPr>
          <w:rFonts w:ascii="Verdana" w:hAnsi="Verdana"/>
          <w:color w:val="000099"/>
        </w:rPr>
      </w:pPr>
    </w:p>
    <w:p w14:paraId="45FC8387" w14:textId="77777777" w:rsidR="00276133" w:rsidRPr="00C07051" w:rsidRDefault="00276133" w:rsidP="00276133">
      <w:pPr>
        <w:spacing w:after="0" w:line="240" w:lineRule="auto"/>
        <w:jc w:val="both"/>
        <w:rPr>
          <w:rFonts w:ascii="Verdana" w:eastAsia="Calibri" w:hAnsi="Verdana" w:cs="Arial"/>
          <w:b/>
          <w:bCs/>
          <w:color w:val="000099"/>
          <w:lang w:val="it-CH" w:eastAsia="es-ES_tradnl"/>
        </w:rPr>
      </w:pPr>
    </w:p>
    <w:tbl>
      <w:tblPr>
        <w:tblStyle w:val="Tablaconcuadrcula"/>
        <w:tblW w:w="878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3119"/>
        <w:gridCol w:w="5670"/>
      </w:tblGrid>
      <w:tr w:rsidR="00276133" w:rsidRPr="00C07051" w14:paraId="5C3E1B4E" w14:textId="77777777">
        <w:trPr>
          <w:trHeight w:val="162"/>
        </w:trPr>
        <w:tc>
          <w:tcPr>
            <w:tcW w:w="3119" w:type="dxa"/>
          </w:tcPr>
          <w:p w14:paraId="034EB002" w14:textId="77777777" w:rsidR="00276133" w:rsidRPr="00CF7326" w:rsidRDefault="00276133">
            <w:pPr>
              <w:spacing w:before="100" w:beforeAutospacing="1" w:after="100" w:afterAutospacing="1"/>
              <w:jc w:val="both"/>
              <w:rPr>
                <w:rFonts w:ascii="Verdana" w:eastAsia="Calibri" w:hAnsi="Verdana" w:cs="Arial"/>
                <w:b/>
                <w:bCs/>
                <w:sz w:val="24"/>
                <w:szCs w:val="24"/>
                <w:lang w:val="it-CH" w:eastAsia="es-ES_tradnl"/>
              </w:rPr>
            </w:pPr>
          </w:p>
        </w:tc>
        <w:tc>
          <w:tcPr>
            <w:tcW w:w="5670" w:type="dxa"/>
          </w:tcPr>
          <w:p w14:paraId="0C43649C" w14:textId="5AE2EA7F" w:rsidR="00412994" w:rsidRDefault="00276133">
            <w:pPr>
              <w:spacing w:before="100" w:beforeAutospacing="1" w:after="100" w:afterAutospacing="1"/>
              <w:jc w:val="both"/>
              <w:rPr>
                <w:rFonts w:ascii="Verdana" w:eastAsia="Calibri" w:hAnsi="Verdana" w:cs="Arial"/>
                <w:b/>
                <w:bCs/>
                <w:sz w:val="24"/>
                <w:szCs w:val="24"/>
                <w:lang w:eastAsia="es-ES"/>
              </w:rPr>
            </w:pPr>
            <w:r w:rsidRPr="00CF7326">
              <w:rPr>
                <w:rFonts w:ascii="Verdana" w:eastAsia="Calibri" w:hAnsi="Verdana" w:cs="Arial"/>
                <w:b/>
                <w:bCs/>
                <w:sz w:val="24"/>
                <w:szCs w:val="24"/>
                <w:lang w:eastAsia="es-ES"/>
              </w:rPr>
              <w:t xml:space="preserve">Concepto C- </w:t>
            </w:r>
            <w:r w:rsidR="004A54E1">
              <w:rPr>
                <w:rFonts w:ascii="Verdana" w:eastAsia="Calibri" w:hAnsi="Verdana" w:cs="Arial"/>
                <w:b/>
                <w:bCs/>
                <w:sz w:val="24"/>
                <w:szCs w:val="24"/>
                <w:lang w:eastAsia="es-ES"/>
              </w:rPr>
              <w:t>3</w:t>
            </w:r>
            <w:r w:rsidR="007A2703">
              <w:rPr>
                <w:rFonts w:ascii="Verdana" w:eastAsia="Calibri" w:hAnsi="Verdana" w:cs="Arial"/>
                <w:b/>
                <w:bCs/>
                <w:sz w:val="24"/>
                <w:szCs w:val="24"/>
                <w:lang w:eastAsia="es-ES"/>
              </w:rPr>
              <w:t>29</w:t>
            </w:r>
            <w:r w:rsidRPr="00CF7326">
              <w:rPr>
                <w:rFonts w:ascii="Verdana" w:eastAsia="Calibri" w:hAnsi="Verdana" w:cs="Arial"/>
                <w:b/>
                <w:bCs/>
                <w:sz w:val="24"/>
                <w:szCs w:val="24"/>
                <w:lang w:eastAsia="es-ES"/>
              </w:rPr>
              <w:t xml:space="preserve"> de 2026</w:t>
            </w:r>
          </w:p>
          <w:p w14:paraId="7CC2E7A8" w14:textId="00254B75" w:rsidR="00412994" w:rsidRPr="00CF7326" w:rsidRDefault="00412994">
            <w:pPr>
              <w:spacing w:before="100" w:beforeAutospacing="1" w:after="100" w:afterAutospacing="1"/>
              <w:jc w:val="both"/>
              <w:rPr>
                <w:rFonts w:ascii="Verdana" w:eastAsia="Calibri" w:hAnsi="Verdana" w:cs="Arial"/>
                <w:b/>
                <w:bCs/>
                <w:sz w:val="24"/>
                <w:szCs w:val="24"/>
                <w:lang w:eastAsia="es-ES"/>
              </w:rPr>
            </w:pPr>
          </w:p>
        </w:tc>
      </w:tr>
      <w:tr w:rsidR="00276133" w:rsidRPr="00C07051" w14:paraId="23B6D369" w14:textId="77777777">
        <w:trPr>
          <w:trHeight w:val="884"/>
        </w:trPr>
        <w:tc>
          <w:tcPr>
            <w:tcW w:w="3119" w:type="dxa"/>
          </w:tcPr>
          <w:p w14:paraId="55AA793E" w14:textId="77777777" w:rsidR="00276133" w:rsidRPr="00CF7326" w:rsidRDefault="00276133" w:rsidP="00412994">
            <w:pPr>
              <w:spacing w:before="100" w:beforeAutospacing="1" w:after="100" w:afterAutospacing="1"/>
              <w:jc w:val="both"/>
              <w:rPr>
                <w:rFonts w:ascii="Verdana" w:eastAsia="Calibri" w:hAnsi="Verdana" w:cs="Arial"/>
                <w:sz w:val="24"/>
                <w:szCs w:val="24"/>
                <w:lang w:eastAsia="es-ES_tradnl"/>
              </w:rPr>
            </w:pPr>
            <w:r w:rsidRPr="00CF7326">
              <w:rPr>
                <w:rFonts w:ascii="Verdana" w:eastAsia="Calibri" w:hAnsi="Verdana" w:cs="Arial"/>
                <w:b/>
                <w:sz w:val="24"/>
                <w:szCs w:val="24"/>
                <w:lang w:eastAsia="es-ES_tradnl"/>
              </w:rPr>
              <w:t>Temas:</w:t>
            </w:r>
            <w:r w:rsidRPr="00CF7326">
              <w:rPr>
                <w:rFonts w:ascii="Verdana" w:eastAsia="Calibri" w:hAnsi="Verdana" w:cs="Arial"/>
                <w:sz w:val="24"/>
                <w:szCs w:val="24"/>
                <w:lang w:eastAsia="es-ES_tradnl"/>
              </w:rPr>
              <w:t xml:space="preserve">                   </w:t>
            </w:r>
          </w:p>
        </w:tc>
        <w:tc>
          <w:tcPr>
            <w:tcW w:w="5670" w:type="dxa"/>
          </w:tcPr>
          <w:p w14:paraId="07FA2DAC" w14:textId="6635EFE9" w:rsidR="002350B9" w:rsidRPr="00555118" w:rsidRDefault="00555118" w:rsidP="004A54E1">
            <w:pPr>
              <w:jc w:val="both"/>
              <w:rPr>
                <w:rFonts w:ascii="Verdana" w:eastAsia="Calibri" w:hAnsi="Verdana" w:cs="Times New Roman"/>
                <w:bCs/>
                <w:iCs/>
                <w:color w:val="000000"/>
              </w:rPr>
            </w:pPr>
            <w:r w:rsidRPr="00555118">
              <w:rPr>
                <w:rFonts w:ascii="Verdana" w:eastAsia="Calibri" w:hAnsi="Verdana" w:cs="Times New Roman"/>
                <w:bCs/>
                <w:color w:val="000000"/>
                <w:lang w:val="es-ES_tradnl"/>
              </w:rPr>
              <w:t>SECOP II –</w:t>
            </w:r>
            <w:r w:rsidRPr="00555118">
              <w:rPr>
                <w:rFonts w:ascii="Verdana" w:eastAsia="Calibri" w:hAnsi="Verdana" w:cs="Times New Roman"/>
                <w:bCs/>
                <w:iCs/>
                <w:color w:val="000000"/>
                <w:lang w:val="es-ES_tradnl"/>
              </w:rPr>
              <w:t xml:space="preserve"> Plataforma transaccional </w:t>
            </w:r>
            <w:r w:rsidRPr="00555118">
              <w:rPr>
                <w:rFonts w:ascii="Verdana" w:eastAsia="Calibri" w:hAnsi="Verdana" w:cs="Times New Roman"/>
                <w:bCs/>
                <w:color w:val="000000"/>
                <w:lang w:val="es-ES_tradnl"/>
              </w:rPr>
              <w:t>–</w:t>
            </w:r>
            <w:r w:rsidRPr="00555118">
              <w:rPr>
                <w:rFonts w:ascii="Verdana" w:eastAsia="Calibri" w:hAnsi="Verdana" w:cs="Times New Roman"/>
                <w:bCs/>
                <w:iCs/>
                <w:color w:val="000000"/>
                <w:lang w:val="es-ES_tradnl"/>
              </w:rPr>
              <w:t xml:space="preserve"> Publicidad – Actividad Contractual - Entidades Estatales / SECOP II – Plataforma transaccional – Flujo de aprobación – Procedimiento – Firma / SECOP II – Plataforma transaccional – Flujo de aprobación – Perfeccionamiento / SECOP II – Deber de publicidad – Entidades estatales exceptuadas del estatuto general de contratación de la administración pública – Documentos relacionados con la actividad contractual  </w:t>
            </w:r>
          </w:p>
        </w:tc>
      </w:tr>
      <w:tr w:rsidR="00276133" w:rsidRPr="00C07051" w14:paraId="68FC8FBF" w14:textId="77777777">
        <w:tc>
          <w:tcPr>
            <w:tcW w:w="3119" w:type="dxa"/>
          </w:tcPr>
          <w:p w14:paraId="37D93844" w14:textId="77777777" w:rsidR="00276133" w:rsidRPr="00CF7326" w:rsidRDefault="00276133">
            <w:pPr>
              <w:spacing w:before="100" w:beforeAutospacing="1" w:after="100" w:afterAutospacing="1"/>
              <w:jc w:val="both"/>
              <w:rPr>
                <w:rFonts w:ascii="Verdana" w:eastAsia="Calibri" w:hAnsi="Verdana" w:cs="Arial"/>
                <w:b/>
                <w:sz w:val="24"/>
                <w:szCs w:val="24"/>
                <w:lang w:eastAsia="es-ES_tradnl"/>
              </w:rPr>
            </w:pPr>
            <w:r w:rsidRPr="00CF7326">
              <w:rPr>
                <w:rFonts w:ascii="Verdana" w:eastAsia="Calibri" w:hAnsi="Verdana" w:cs="Arial"/>
                <w:b/>
                <w:sz w:val="24"/>
                <w:szCs w:val="24"/>
                <w:lang w:eastAsia="es-ES_tradnl"/>
              </w:rPr>
              <w:t>Radicación:</w:t>
            </w:r>
            <w:r w:rsidRPr="00CF7326">
              <w:rPr>
                <w:rFonts w:ascii="Verdana" w:eastAsia="Calibri" w:hAnsi="Verdana" w:cs="Arial"/>
                <w:sz w:val="24"/>
                <w:szCs w:val="24"/>
                <w:lang w:eastAsia="es-ES_tradnl"/>
              </w:rPr>
              <w:t xml:space="preserve">               </w:t>
            </w:r>
          </w:p>
        </w:tc>
        <w:tc>
          <w:tcPr>
            <w:tcW w:w="5670" w:type="dxa"/>
          </w:tcPr>
          <w:p w14:paraId="47943009" w14:textId="77777777" w:rsidR="00276133" w:rsidRDefault="00276133">
            <w:pPr>
              <w:spacing w:before="100" w:beforeAutospacing="1" w:after="100" w:afterAutospacing="1"/>
              <w:jc w:val="both"/>
              <w:rPr>
                <w:rFonts w:ascii="Verdana" w:eastAsia="Calibri" w:hAnsi="Verdana" w:cs="Arial"/>
                <w:sz w:val="24"/>
                <w:szCs w:val="24"/>
                <w:lang w:eastAsia="es-ES_tradnl"/>
              </w:rPr>
            </w:pPr>
            <w:r w:rsidRPr="00CF7326">
              <w:rPr>
                <w:rFonts w:ascii="Verdana" w:eastAsia="Calibri" w:hAnsi="Verdana" w:cs="Arial"/>
                <w:sz w:val="24"/>
                <w:szCs w:val="24"/>
                <w:lang w:eastAsia="es-ES_tradnl"/>
              </w:rPr>
              <w:t xml:space="preserve">Respuesta a consulta con radicado No. </w:t>
            </w:r>
            <w:r w:rsidR="007A2703" w:rsidRPr="007A2703">
              <w:rPr>
                <w:rFonts w:ascii="Verdana" w:eastAsia="Calibri" w:hAnsi="Verdana" w:cs="Arial"/>
                <w:sz w:val="24"/>
                <w:szCs w:val="24"/>
                <w:lang w:eastAsia="es-ES_tradnl"/>
              </w:rPr>
              <w:t>1_2026_03_03_002899</w:t>
            </w:r>
          </w:p>
          <w:p w14:paraId="5A1B6B9F" w14:textId="0FF296BC" w:rsidR="007A2703" w:rsidRPr="00CF7326" w:rsidRDefault="007A2703">
            <w:pPr>
              <w:spacing w:before="100" w:beforeAutospacing="1" w:after="100" w:afterAutospacing="1"/>
              <w:jc w:val="both"/>
              <w:rPr>
                <w:rFonts w:ascii="Verdana" w:eastAsia="Calibri" w:hAnsi="Verdana" w:cs="Arial"/>
                <w:sz w:val="24"/>
                <w:szCs w:val="24"/>
                <w:lang w:eastAsia="es-ES_tradnl"/>
              </w:rPr>
            </w:pPr>
          </w:p>
        </w:tc>
      </w:tr>
    </w:tbl>
    <w:p w14:paraId="3C237C30" w14:textId="63574317" w:rsidR="00276133" w:rsidRPr="006A77EB" w:rsidRDefault="00276133" w:rsidP="00276133">
      <w:pPr>
        <w:spacing w:after="0" w:line="276" w:lineRule="auto"/>
        <w:jc w:val="both"/>
        <w:rPr>
          <w:rFonts w:ascii="Verdana" w:eastAsia="Calibri" w:hAnsi="Verdana" w:cs="Arial"/>
          <w:lang w:eastAsia="es-ES"/>
        </w:rPr>
      </w:pPr>
      <w:r w:rsidRPr="006A77EB">
        <w:rPr>
          <w:rFonts w:ascii="Verdana" w:eastAsia="Calibri" w:hAnsi="Verdana" w:cs="Arial"/>
          <w:lang w:eastAsia="es-ES"/>
        </w:rPr>
        <w:t xml:space="preserve">Estimada señora </w:t>
      </w:r>
      <w:r w:rsidR="004A54E1">
        <w:rPr>
          <w:rFonts w:ascii="Verdana" w:eastAsia="Calibri" w:hAnsi="Verdana" w:cs="Arial"/>
          <w:lang w:eastAsia="es-ES"/>
        </w:rPr>
        <w:t>Marcela Alejandra</w:t>
      </w:r>
      <w:r w:rsidRPr="006A77EB">
        <w:rPr>
          <w:rFonts w:ascii="Verdana" w:eastAsia="Calibri" w:hAnsi="Verdana" w:cs="Arial"/>
          <w:lang w:eastAsia="es-ES"/>
        </w:rPr>
        <w:t xml:space="preserve">: </w:t>
      </w:r>
    </w:p>
    <w:p w14:paraId="38600332" w14:textId="77777777" w:rsidR="00276133" w:rsidRPr="006A77EB" w:rsidRDefault="00276133" w:rsidP="00276133">
      <w:pPr>
        <w:tabs>
          <w:tab w:val="left" w:pos="3768"/>
        </w:tabs>
        <w:spacing w:after="0" w:line="276" w:lineRule="auto"/>
        <w:jc w:val="both"/>
        <w:rPr>
          <w:rFonts w:ascii="Verdana" w:eastAsia="Calibri" w:hAnsi="Verdana" w:cs="Arial"/>
          <w:lang w:eastAsia="es-ES"/>
        </w:rPr>
      </w:pPr>
    </w:p>
    <w:p w14:paraId="56677320" w14:textId="16F8F47B" w:rsidR="00276133" w:rsidRPr="006A77EB" w:rsidRDefault="00276133" w:rsidP="00276133">
      <w:pPr>
        <w:tabs>
          <w:tab w:val="left" w:pos="3768"/>
        </w:tabs>
        <w:spacing w:after="0" w:line="276" w:lineRule="auto"/>
        <w:jc w:val="both"/>
        <w:rPr>
          <w:rFonts w:ascii="Verdana" w:eastAsia="Calibri" w:hAnsi="Verdana" w:cs="Arial"/>
          <w:lang w:eastAsia="es-ES"/>
        </w:rPr>
      </w:pPr>
      <w:r w:rsidRPr="006A77EB">
        <w:rPr>
          <w:rFonts w:ascii="Verdana" w:eastAsia="Calibri" w:hAnsi="Verdana" w:cs="Arial"/>
          <w:lang w:eastAsia="es-ES"/>
        </w:rPr>
        <w:t>En ejercicio de la competencia otorgada por los artículos 3, numeral 5º, y 11, numeral 8º, del Decreto Ley 4170 de 2011,</w:t>
      </w:r>
      <w:r w:rsidRPr="006A77EB">
        <w:rPr>
          <w:rFonts w:ascii="Verdana" w:eastAsia="Arial MT" w:hAnsi="Verdana" w:cs="Arial MT"/>
          <w:lang w:eastAsia="es-ES"/>
        </w:rPr>
        <w:t xml:space="preserve"> </w:t>
      </w:r>
      <w:r w:rsidRPr="006A77EB">
        <w:rPr>
          <w:rFonts w:ascii="Verdana" w:hAnsi="Verdana" w:cs="Arial"/>
        </w:rPr>
        <w:t xml:space="preserve">así como lo establecido en la Resolución 469 de 2025 expedida por esta Entidad, </w:t>
      </w:r>
      <w:r w:rsidRPr="006A77EB">
        <w:rPr>
          <w:rFonts w:ascii="Verdana" w:eastAsia="Calibri" w:hAnsi="Verdana" w:cs="Arial"/>
          <w:lang w:eastAsia="es-ES"/>
        </w:rPr>
        <w:t xml:space="preserve">la Agencia Nacional de Contratación Pública – Colombia Compra Eficiente– responde su solicitud de consulta de fecha </w:t>
      </w:r>
      <w:r w:rsidR="004A54E1">
        <w:rPr>
          <w:rFonts w:ascii="Verdana" w:eastAsia="Calibri" w:hAnsi="Verdana" w:cs="Arial"/>
          <w:lang w:eastAsia="es-ES"/>
        </w:rPr>
        <w:t>02</w:t>
      </w:r>
      <w:r w:rsidRPr="006A77EB">
        <w:rPr>
          <w:rFonts w:ascii="Verdana" w:eastAsia="Calibri" w:hAnsi="Verdana" w:cs="Arial"/>
          <w:lang w:eastAsia="es-ES"/>
        </w:rPr>
        <w:t xml:space="preserve"> de</w:t>
      </w:r>
      <w:r w:rsidR="004A54E1">
        <w:rPr>
          <w:rFonts w:ascii="Verdana" w:eastAsia="Calibri" w:hAnsi="Verdana" w:cs="Arial"/>
          <w:lang w:eastAsia="es-ES"/>
        </w:rPr>
        <w:t xml:space="preserve"> marzo</w:t>
      </w:r>
      <w:r w:rsidRPr="006A77EB">
        <w:rPr>
          <w:rFonts w:ascii="Verdana" w:eastAsia="Calibri" w:hAnsi="Verdana" w:cs="Arial"/>
          <w:lang w:eastAsia="es-ES"/>
        </w:rPr>
        <w:t xml:space="preserve"> de 2026, en la cual manifiesta lo siguiente: </w:t>
      </w:r>
    </w:p>
    <w:p w14:paraId="59B863EC" w14:textId="77777777" w:rsidR="00276133" w:rsidRPr="006A77EB" w:rsidRDefault="00276133" w:rsidP="00276133">
      <w:pPr>
        <w:tabs>
          <w:tab w:val="left" w:pos="142"/>
          <w:tab w:val="left" w:pos="284"/>
        </w:tabs>
        <w:spacing w:after="0" w:line="276" w:lineRule="auto"/>
        <w:ind w:left="142"/>
        <w:jc w:val="both"/>
        <w:rPr>
          <w:rFonts w:ascii="Verdana" w:eastAsia="Century Gothic" w:hAnsi="Verdana" w:cs="Century Gothic"/>
          <w:b/>
          <w:bCs/>
          <w:i/>
          <w:iCs/>
          <w:sz w:val="20"/>
          <w:szCs w:val="20"/>
          <w:lang w:val="es-ES"/>
        </w:rPr>
      </w:pPr>
    </w:p>
    <w:p w14:paraId="6664F4DF" w14:textId="31AF77C3" w:rsidR="004A54E1" w:rsidRDefault="00276133" w:rsidP="004A54E1">
      <w:pPr>
        <w:spacing w:after="0" w:line="240" w:lineRule="auto"/>
        <w:ind w:left="709" w:right="709"/>
        <w:jc w:val="both"/>
        <w:rPr>
          <w:rFonts w:ascii="Verdana" w:eastAsia="Century Gothic" w:hAnsi="Verdana" w:cs="Century Gothic"/>
          <w:i/>
          <w:iCs/>
          <w:sz w:val="20"/>
          <w:szCs w:val="20"/>
        </w:rPr>
      </w:pPr>
      <w:bookmarkStart w:id="1" w:name="_Hlk192699624"/>
      <w:bookmarkStart w:id="2" w:name="_Hlk199394899"/>
      <w:r w:rsidRPr="006A77EB">
        <w:rPr>
          <w:rFonts w:ascii="Verdana" w:eastAsia="Century Gothic" w:hAnsi="Verdana" w:cs="Century Gothic"/>
          <w:i/>
          <w:iCs/>
          <w:sz w:val="20"/>
          <w:szCs w:val="20"/>
        </w:rPr>
        <w:t>“</w:t>
      </w:r>
      <w:bookmarkEnd w:id="1"/>
      <w:bookmarkEnd w:id="2"/>
      <w:r w:rsidRPr="006A77EB">
        <w:rPr>
          <w:rFonts w:ascii="Verdana" w:eastAsia="Century Gothic" w:hAnsi="Verdana" w:cs="Century Gothic"/>
          <w:i/>
          <w:iCs/>
          <w:sz w:val="20"/>
          <w:szCs w:val="20"/>
        </w:rPr>
        <w:t>(…)</w:t>
      </w:r>
      <w:r w:rsidR="004A54E1">
        <w:rPr>
          <w:rFonts w:ascii="Verdana" w:eastAsia="Century Gothic" w:hAnsi="Verdana" w:cs="Century Gothic"/>
          <w:i/>
          <w:iCs/>
          <w:sz w:val="20"/>
          <w:szCs w:val="20"/>
        </w:rPr>
        <w:t xml:space="preserve"> </w:t>
      </w:r>
      <w:r w:rsidR="004A54E1" w:rsidRPr="004A54E1">
        <w:rPr>
          <w:rFonts w:ascii="Verdana" w:eastAsia="Century Gothic" w:hAnsi="Verdana" w:cs="Century Gothic"/>
          <w:i/>
          <w:iCs/>
          <w:sz w:val="20"/>
          <w:szCs w:val="20"/>
        </w:rPr>
        <w:t xml:space="preserve">en aras de solicitar se indique que si la firma manuscrita tiene validez en la suscripción de un contrato estatal o por el contrario solo es válido y se entiende firmado hasta que el Ordenador del Gasto de la Entidad apruebe y concluya el flujo en la plataforma transaccional para que se modifique el estado del proceso y pase de adjudicado a firmado. </w:t>
      </w:r>
    </w:p>
    <w:p w14:paraId="53CEF59B" w14:textId="77777777" w:rsidR="004A54E1" w:rsidRDefault="004A54E1" w:rsidP="004A54E1">
      <w:pPr>
        <w:spacing w:after="0" w:line="240" w:lineRule="auto"/>
        <w:ind w:left="709" w:right="709"/>
        <w:jc w:val="both"/>
        <w:rPr>
          <w:rFonts w:ascii="Verdana" w:eastAsia="Century Gothic" w:hAnsi="Verdana" w:cs="Century Gothic"/>
          <w:i/>
          <w:iCs/>
          <w:sz w:val="20"/>
          <w:szCs w:val="20"/>
        </w:rPr>
      </w:pPr>
    </w:p>
    <w:p w14:paraId="37510FC9" w14:textId="77777777" w:rsidR="004A54E1" w:rsidRDefault="004A54E1" w:rsidP="004A54E1">
      <w:pPr>
        <w:spacing w:after="0" w:line="240" w:lineRule="auto"/>
        <w:ind w:left="709" w:right="709"/>
        <w:jc w:val="both"/>
        <w:rPr>
          <w:rFonts w:ascii="Verdana" w:eastAsia="Century Gothic" w:hAnsi="Verdana" w:cs="Century Gothic"/>
          <w:i/>
          <w:iCs/>
          <w:sz w:val="20"/>
          <w:szCs w:val="20"/>
        </w:rPr>
      </w:pPr>
      <w:r w:rsidRPr="004A54E1">
        <w:rPr>
          <w:rFonts w:ascii="Verdana" w:eastAsia="Century Gothic" w:hAnsi="Verdana" w:cs="Century Gothic"/>
          <w:i/>
          <w:iCs/>
          <w:sz w:val="20"/>
          <w:szCs w:val="20"/>
        </w:rPr>
        <w:lastRenderedPageBreak/>
        <w:t xml:space="preserve">Así mismo solicito se indique actualmente frente a la plataforma transaccional </w:t>
      </w:r>
      <w:proofErr w:type="spellStart"/>
      <w:r w:rsidRPr="004A54E1">
        <w:rPr>
          <w:rFonts w:ascii="Verdana" w:eastAsia="Century Gothic" w:hAnsi="Verdana" w:cs="Century Gothic"/>
          <w:i/>
          <w:iCs/>
          <w:sz w:val="20"/>
          <w:szCs w:val="20"/>
        </w:rPr>
        <w:t>Secop</w:t>
      </w:r>
      <w:proofErr w:type="spellEnd"/>
      <w:r w:rsidRPr="004A54E1">
        <w:rPr>
          <w:rFonts w:ascii="Verdana" w:eastAsia="Century Gothic" w:hAnsi="Verdana" w:cs="Century Gothic"/>
          <w:i/>
          <w:iCs/>
          <w:sz w:val="20"/>
          <w:szCs w:val="20"/>
        </w:rPr>
        <w:t xml:space="preserve"> </w:t>
      </w:r>
      <w:proofErr w:type="spellStart"/>
      <w:r w:rsidRPr="004A54E1">
        <w:rPr>
          <w:rFonts w:ascii="Verdana" w:eastAsia="Century Gothic" w:hAnsi="Verdana" w:cs="Century Gothic"/>
          <w:i/>
          <w:iCs/>
          <w:sz w:val="20"/>
          <w:szCs w:val="20"/>
        </w:rPr>
        <w:t>ii</w:t>
      </w:r>
      <w:proofErr w:type="spellEnd"/>
      <w:r w:rsidRPr="004A54E1">
        <w:rPr>
          <w:rFonts w:ascii="Verdana" w:eastAsia="Century Gothic" w:hAnsi="Verdana" w:cs="Century Gothic"/>
          <w:i/>
          <w:iCs/>
          <w:sz w:val="20"/>
          <w:szCs w:val="20"/>
        </w:rPr>
        <w:t xml:space="preserve">, que firma tiene validez si la firma realizada de manera manuscrita o por el contrario las firmadas realizadas en los flujos de aprobación en la plataforma en mención. </w:t>
      </w:r>
    </w:p>
    <w:p w14:paraId="512C75C9" w14:textId="77777777" w:rsidR="004A54E1" w:rsidRDefault="004A54E1" w:rsidP="004A54E1">
      <w:pPr>
        <w:spacing w:after="0" w:line="240" w:lineRule="auto"/>
        <w:ind w:left="709" w:right="709"/>
        <w:jc w:val="both"/>
        <w:rPr>
          <w:rFonts w:ascii="Verdana" w:eastAsia="Century Gothic" w:hAnsi="Verdana" w:cs="Century Gothic"/>
          <w:i/>
          <w:iCs/>
          <w:sz w:val="20"/>
          <w:szCs w:val="20"/>
        </w:rPr>
      </w:pPr>
    </w:p>
    <w:p w14:paraId="1248D4CA" w14:textId="3BD76437" w:rsidR="00276133" w:rsidRPr="006A77EB" w:rsidRDefault="004A54E1" w:rsidP="004A54E1">
      <w:pPr>
        <w:spacing w:after="0" w:line="240" w:lineRule="auto"/>
        <w:ind w:left="709" w:right="709"/>
        <w:jc w:val="both"/>
        <w:rPr>
          <w:rFonts w:ascii="Verdana" w:eastAsia="Century Gothic" w:hAnsi="Verdana" w:cs="Century Gothic"/>
          <w:i/>
          <w:iCs/>
          <w:sz w:val="20"/>
          <w:szCs w:val="20"/>
        </w:rPr>
      </w:pPr>
      <w:r w:rsidRPr="004A54E1">
        <w:rPr>
          <w:rFonts w:ascii="Verdana" w:eastAsia="Century Gothic" w:hAnsi="Verdana" w:cs="Century Gothic"/>
          <w:i/>
          <w:iCs/>
          <w:sz w:val="20"/>
          <w:szCs w:val="20"/>
        </w:rPr>
        <w:t>De igual forma, respetuosamente solicito de existir lineamientos emitidos por parte de Colombia Compra Eficiente, frente a la abstención de duplicidad en la información con lo que respecta a documentos firmados de manera manuscrita y posteriormente digitalizados y publicados en la plataforma transaccional para que sean aceptados (firmados) por las partes que intervienen en el proceso de selección sea remitidos de maneja adjunta a la emisión de la respuesta.</w:t>
      </w:r>
    </w:p>
    <w:p w14:paraId="0F17F7D7" w14:textId="77777777" w:rsidR="00276133" w:rsidRPr="006A77EB" w:rsidRDefault="00276133" w:rsidP="00276133">
      <w:pPr>
        <w:spacing w:after="0" w:line="240" w:lineRule="auto"/>
        <w:ind w:right="709"/>
        <w:jc w:val="both"/>
        <w:rPr>
          <w:rFonts w:ascii="Verdana" w:eastAsia="Century Gothic" w:hAnsi="Verdana" w:cs="Century Gothic"/>
          <w:i/>
          <w:iCs/>
          <w:sz w:val="20"/>
          <w:szCs w:val="20"/>
        </w:rPr>
      </w:pPr>
    </w:p>
    <w:p w14:paraId="258BBE43" w14:textId="77777777" w:rsidR="00276133" w:rsidRPr="006A77EB" w:rsidRDefault="00276133" w:rsidP="00276133">
      <w:pPr>
        <w:spacing w:after="0" w:line="240" w:lineRule="auto"/>
        <w:ind w:left="709" w:right="709"/>
        <w:jc w:val="both"/>
        <w:rPr>
          <w:rFonts w:ascii="Verdana" w:hAnsi="Verdana"/>
          <w:i/>
          <w:iCs/>
          <w:sz w:val="20"/>
          <w:szCs w:val="20"/>
        </w:rPr>
      </w:pPr>
      <w:r w:rsidRPr="006A77EB">
        <w:rPr>
          <w:rFonts w:ascii="Verdana" w:eastAsia="Century Gothic" w:hAnsi="Verdana" w:cs="Century Gothic"/>
          <w:i/>
          <w:iCs/>
          <w:sz w:val="20"/>
          <w:szCs w:val="20"/>
        </w:rPr>
        <w:t>(…)”.</w:t>
      </w:r>
    </w:p>
    <w:p w14:paraId="7D0ECAEE" w14:textId="77777777" w:rsidR="00276133" w:rsidRPr="006A77EB" w:rsidRDefault="00276133" w:rsidP="00276133">
      <w:pPr>
        <w:spacing w:after="0" w:line="276" w:lineRule="auto"/>
        <w:ind w:left="709" w:right="709"/>
        <w:jc w:val="both"/>
        <w:rPr>
          <w:rFonts w:ascii="Verdana" w:hAnsi="Verdana"/>
        </w:rPr>
      </w:pPr>
    </w:p>
    <w:p w14:paraId="3B8C0E50" w14:textId="77777777" w:rsidR="00276133" w:rsidRPr="00B513CF" w:rsidRDefault="00276133" w:rsidP="00276133">
      <w:pPr>
        <w:spacing w:after="0" w:line="276" w:lineRule="auto"/>
        <w:ind w:firstLine="709"/>
        <w:jc w:val="both"/>
        <w:rPr>
          <w:rFonts w:ascii="Verdana" w:eastAsia="Calibri" w:hAnsi="Verdana" w:cs="Arial"/>
          <w:lang w:eastAsia="es-ES_tradnl"/>
        </w:rPr>
      </w:pPr>
      <w:r w:rsidRPr="006A77EB">
        <w:rPr>
          <w:rFonts w:ascii="Verdana" w:eastAsia="Calibri" w:hAnsi="Verdana" w:cs="Arial"/>
          <w:lang w:eastAsia="es-ES"/>
        </w:rPr>
        <w:t xml:space="preserve">De manera preliminar, resulta necesario acotar que esta entidad solo tiene competencia para responder consultas sobre la aplicación de normas de carácter general en materia de compras y contratación pública. En ese sentido, resolver casos particulares desborda las atribuciones asignadas por el legislador extraordinario que no concibió a la Agencia Nacional de Contratación Pública – </w:t>
      </w:r>
      <w:r w:rsidRPr="00B513CF">
        <w:rPr>
          <w:rFonts w:ascii="Verdana" w:eastAsia="Calibri" w:hAnsi="Verdana" w:cs="Arial"/>
          <w:lang w:eastAsia="es-ES"/>
        </w:rPr>
        <w:t xml:space="preserve">Colombia Compra Eficiente como una autoridad para solucionar problemas jurídicos particulares de todos los partícipes del Sistema de Compras y Contratación Pública. La competencia de esta entidad se fija con límites claros, con el objeto de evitar que la Agencia actúe como una instancia de validación de las actuaciones de las entidades sujetas a la Ley 80 de 1993 o de los demás participantes de la contratación pública. Esta competencia de interpretación de normas generales, por definición, no puede extenderse a la resolución de controversias, ni a brindar asesorías sobre casos puntuales. </w:t>
      </w:r>
    </w:p>
    <w:p w14:paraId="070DE4AA" w14:textId="77777777" w:rsidR="00276133" w:rsidRPr="00B513CF" w:rsidRDefault="00276133" w:rsidP="00276133">
      <w:pPr>
        <w:spacing w:before="120" w:after="0" w:line="276" w:lineRule="auto"/>
        <w:ind w:firstLine="709"/>
        <w:jc w:val="both"/>
        <w:rPr>
          <w:rFonts w:ascii="Verdana" w:eastAsia="Calibri" w:hAnsi="Verdana" w:cs="Arial"/>
          <w:lang w:eastAsia="es-ES_tradnl"/>
        </w:rPr>
      </w:pPr>
      <w:r w:rsidRPr="00B513CF">
        <w:rPr>
          <w:rFonts w:ascii="Verdana" w:eastAsia="Calibri" w:hAnsi="Verdana" w:cs="Arial"/>
          <w:lang w:eastAsia="es-ES"/>
        </w:rPr>
        <w:t xml:space="preserve">Conforme lo expuesto, en aras de garantizar el derecho fundamental de petición, se resolverá su petición dentro de los límites de la referida competencia consultiva, esto es, haciendo abstracción del caso particular y concreto señalado en su petición, pero señalando algunas consideraciones sobre las normas generales relacionadas con el problema jurídico de su consulta.  </w:t>
      </w:r>
    </w:p>
    <w:p w14:paraId="3B09F9D1" w14:textId="77777777" w:rsidR="00276133" w:rsidRPr="00B513CF" w:rsidRDefault="00276133" w:rsidP="00276133">
      <w:pPr>
        <w:spacing w:after="0" w:line="276" w:lineRule="auto"/>
        <w:ind w:firstLine="709"/>
        <w:jc w:val="both"/>
        <w:rPr>
          <w:rFonts w:ascii="Verdana" w:eastAsia="Calibri" w:hAnsi="Verdana" w:cs="Arial"/>
          <w:lang w:eastAsia="es-ES"/>
        </w:rPr>
      </w:pPr>
    </w:p>
    <w:p w14:paraId="08C19947" w14:textId="77777777" w:rsidR="00276133" w:rsidRPr="007D0D7F" w:rsidRDefault="00276133" w:rsidP="00276133">
      <w:pPr>
        <w:numPr>
          <w:ilvl w:val="0"/>
          <w:numId w:val="16"/>
        </w:numPr>
        <w:tabs>
          <w:tab w:val="left" w:pos="142"/>
          <w:tab w:val="left" w:pos="284"/>
        </w:tabs>
        <w:spacing w:after="0" w:line="276" w:lineRule="auto"/>
        <w:ind w:left="0" w:firstLine="0"/>
        <w:jc w:val="both"/>
        <w:rPr>
          <w:rFonts w:ascii="Verdana" w:eastAsia="Century Gothic" w:hAnsi="Verdana" w:cs="Century Gothic"/>
          <w:b/>
          <w:bCs/>
          <w:lang w:val="es-ES"/>
        </w:rPr>
      </w:pPr>
      <w:r w:rsidRPr="007D0D7F">
        <w:rPr>
          <w:rFonts w:ascii="Verdana" w:eastAsia="Century Gothic" w:hAnsi="Verdana" w:cs="Century Gothic"/>
          <w:b/>
          <w:bCs/>
          <w:lang w:val="es-ES"/>
        </w:rPr>
        <w:t>Problema planteado:</w:t>
      </w:r>
    </w:p>
    <w:p w14:paraId="0621DDD0" w14:textId="77777777" w:rsidR="00276133" w:rsidRPr="007D0D7F" w:rsidRDefault="00276133" w:rsidP="00276133">
      <w:pPr>
        <w:spacing w:after="0" w:line="276" w:lineRule="auto"/>
        <w:jc w:val="both"/>
        <w:rPr>
          <w:rFonts w:ascii="Verdana" w:eastAsia="Calibri" w:hAnsi="Verdana" w:cs="Arial"/>
          <w:color w:val="000099"/>
          <w:lang w:eastAsia="es-ES"/>
        </w:rPr>
      </w:pPr>
    </w:p>
    <w:p w14:paraId="2F4B2B27" w14:textId="11C012D7" w:rsidR="00276133" w:rsidRDefault="00276133" w:rsidP="00276133">
      <w:pPr>
        <w:spacing w:after="0" w:line="276" w:lineRule="auto"/>
        <w:jc w:val="both"/>
        <w:rPr>
          <w:rFonts w:ascii="Verdana" w:eastAsia="Calibri" w:hAnsi="Verdana" w:cs="Arial"/>
          <w:lang w:val="es-ES" w:eastAsia="es-ES"/>
        </w:rPr>
      </w:pPr>
      <w:r w:rsidRPr="007D0D7F">
        <w:rPr>
          <w:rFonts w:ascii="Verdana" w:eastAsia="Calibri" w:hAnsi="Verdana" w:cs="Arial"/>
          <w:lang w:eastAsia="es-ES"/>
        </w:rPr>
        <w:t xml:space="preserve">De acuerdo con el contenido de su solicitud, esta Agencia resolverá el siguiente problema jurídico: </w:t>
      </w:r>
      <w:r w:rsidR="00F031BE" w:rsidRPr="007D0D7F">
        <w:rPr>
          <w:rFonts w:ascii="Verdana" w:eastAsia="Calibri" w:hAnsi="Verdana" w:cs="Arial"/>
          <w:lang w:eastAsia="es-ES"/>
        </w:rPr>
        <w:t xml:space="preserve">¿Cómo afecta el uso transaccional o publicitario de SECOP II </w:t>
      </w:r>
      <w:r w:rsidR="00F031BE" w:rsidRPr="007D0D7F">
        <w:rPr>
          <w:rFonts w:ascii="Verdana" w:eastAsia="Calibri" w:hAnsi="Verdana" w:cs="Arial"/>
          <w:lang w:eastAsia="es-ES"/>
        </w:rPr>
        <w:lastRenderedPageBreak/>
        <w:t>en la validez de la firma (manuscrita o electrónica) en el perfeccionamiento jurídico de los contratos estatales?</w:t>
      </w:r>
    </w:p>
    <w:p w14:paraId="5293AE19" w14:textId="77777777" w:rsidR="007D0D7F" w:rsidRPr="007D0D7F" w:rsidRDefault="007D0D7F" w:rsidP="00276133">
      <w:pPr>
        <w:spacing w:after="0" w:line="276" w:lineRule="auto"/>
        <w:jc w:val="both"/>
        <w:rPr>
          <w:rFonts w:ascii="Verdana" w:eastAsia="Calibri" w:hAnsi="Verdana" w:cs="Arial"/>
          <w:lang w:val="es-ES" w:eastAsia="es-ES"/>
        </w:rPr>
      </w:pPr>
    </w:p>
    <w:p w14:paraId="71C349D0" w14:textId="77777777" w:rsidR="00276133" w:rsidRPr="00AF6E8F" w:rsidRDefault="00276133" w:rsidP="00276133">
      <w:pPr>
        <w:spacing w:after="0" w:line="276" w:lineRule="auto"/>
        <w:jc w:val="both"/>
        <w:rPr>
          <w:rFonts w:ascii="Verdana" w:eastAsia="Century Gothic" w:hAnsi="Verdana" w:cs="Century Gothic"/>
          <w:b/>
          <w:bCs/>
        </w:rPr>
      </w:pPr>
      <w:r w:rsidRPr="00AF6E8F">
        <w:rPr>
          <w:rFonts w:ascii="Verdana" w:eastAsia="Century Gothic" w:hAnsi="Verdana" w:cs="Century Gothic"/>
          <w:b/>
          <w:bCs/>
        </w:rPr>
        <w:t>2. Respuesta:</w:t>
      </w:r>
    </w:p>
    <w:p w14:paraId="6BF397D0" w14:textId="77777777" w:rsidR="00276133" w:rsidRPr="00C07051" w:rsidRDefault="00276133" w:rsidP="00276133">
      <w:pPr>
        <w:tabs>
          <w:tab w:val="left" w:pos="142"/>
          <w:tab w:val="left" w:pos="284"/>
        </w:tabs>
        <w:spacing w:after="0" w:line="276" w:lineRule="auto"/>
        <w:jc w:val="both"/>
        <w:rPr>
          <w:rFonts w:ascii="Verdana" w:eastAsia="Century Gothic" w:hAnsi="Verdana" w:cs="Century Gothic"/>
          <w:b/>
          <w:bCs/>
          <w:color w:val="000099"/>
        </w:rPr>
      </w:pPr>
    </w:p>
    <w:tbl>
      <w:tblPr>
        <w:tblStyle w:val="Tablaconcuadrcula"/>
        <w:tblW w:w="0" w:type="auto"/>
        <w:tblInd w:w="-113" w:type="dxa"/>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ook w:val="04A0" w:firstRow="1" w:lastRow="0" w:firstColumn="1" w:lastColumn="0" w:noHBand="0" w:noVBand="1"/>
      </w:tblPr>
      <w:tblGrid>
        <w:gridCol w:w="8828"/>
      </w:tblGrid>
      <w:tr w:rsidR="00276133" w:rsidRPr="00C07051" w14:paraId="3CCE4569" w14:textId="77777777">
        <w:tc>
          <w:tcPr>
            <w:tcW w:w="8828" w:type="dxa"/>
          </w:tcPr>
          <w:p w14:paraId="127CFC61" w14:textId="77777777" w:rsidR="000C4110" w:rsidRDefault="004A54E1" w:rsidP="000C4110">
            <w:pPr>
              <w:spacing w:after="120" w:line="276" w:lineRule="auto"/>
              <w:jc w:val="both"/>
              <w:rPr>
                <w:rFonts w:ascii="Verdana" w:hAnsi="Verdana" w:cs="Arial"/>
                <w:bCs/>
                <w:lang w:val="es-ES"/>
              </w:rPr>
            </w:pPr>
            <w:r>
              <w:rPr>
                <w:rFonts w:ascii="Verdana" w:eastAsia="Times New Roman" w:hAnsi="Verdana" w:cs="Arial"/>
                <w:bCs/>
                <w:lang w:eastAsia="es-CO"/>
              </w:rPr>
              <w:t>L</w:t>
            </w:r>
            <w:r w:rsidR="000C4110" w:rsidRPr="000C4110">
              <w:rPr>
                <w:rFonts w:ascii="Verdana" w:hAnsi="Verdana" w:cs="Arial"/>
                <w:bCs/>
                <w:lang w:val="es-ES"/>
              </w:rPr>
              <w:t>a implementación de SECOP II como plataforma transaccional para la actividad contractual del Estado implica que los contratos se suscriben electrónicamente, y que tanto el proceso de firma como su aprobación o rechazo se realizan íntegramente dentro de dicha plataforma.</w:t>
            </w:r>
          </w:p>
          <w:p w14:paraId="175EDE5C" w14:textId="77777777" w:rsidR="000C4110" w:rsidRPr="000C4110" w:rsidRDefault="000C4110" w:rsidP="000C4110">
            <w:pPr>
              <w:spacing w:after="120" w:line="276" w:lineRule="auto"/>
              <w:ind w:firstLine="709"/>
              <w:jc w:val="both"/>
              <w:rPr>
                <w:rFonts w:ascii="Verdana" w:eastAsia="Times New Roman" w:hAnsi="Verdana" w:cs="Arial"/>
                <w:bCs/>
                <w:lang w:val="es-ES" w:eastAsia="es-CO"/>
              </w:rPr>
            </w:pPr>
            <w:r w:rsidRPr="000C4110">
              <w:rPr>
                <w:rFonts w:ascii="Verdana" w:eastAsia="Times New Roman" w:hAnsi="Verdana" w:cs="Arial"/>
                <w:bCs/>
                <w:lang w:val="es-ES" w:eastAsia="es-CO"/>
              </w:rPr>
              <w:t>Una vez adjudicado el proceso, la Entidad Estatal cambia su estado a “adjudicado”, lo que da lugar a la generación del contrato electrónico en estado “en edición”. De conformidad con la Guía SECOP II – Gestión Contractual para Entidades Estatales, es indispensable que, previamente, el usuario administrador haya configurado los flujos de aprobación correspondientes, de modo que el contrato sea remitido al ordenador del gasto o representante legal para su aprobación final.</w:t>
            </w:r>
          </w:p>
          <w:p w14:paraId="0D25D4F6" w14:textId="77777777" w:rsidR="000C4110" w:rsidRDefault="000C4110" w:rsidP="000C4110">
            <w:pPr>
              <w:spacing w:after="120" w:line="276" w:lineRule="auto"/>
              <w:ind w:firstLine="709"/>
              <w:jc w:val="both"/>
              <w:rPr>
                <w:rFonts w:ascii="Verdana" w:eastAsia="Times New Roman" w:hAnsi="Verdana" w:cs="Arial"/>
                <w:bCs/>
                <w:lang w:val="es-ES" w:eastAsia="es-CO"/>
              </w:rPr>
            </w:pPr>
            <w:r w:rsidRPr="000C4110">
              <w:rPr>
                <w:rFonts w:ascii="Verdana" w:eastAsia="Times New Roman" w:hAnsi="Verdana" w:cs="Arial"/>
                <w:bCs/>
                <w:lang w:val="es-ES" w:eastAsia="es-CO"/>
              </w:rPr>
              <w:t>Una vez este emite su aprobación, el estado del contrato cambia a “firmado”, quedando disponible para consulta pública y entendiéndose, en ese momento, perfeccionado. En consecuencia, las actuaciones previas —</w:t>
            </w:r>
            <w:r w:rsidRPr="000C4110">
              <w:rPr>
                <w:rFonts w:ascii="Verdana" w:eastAsia="Times New Roman" w:hAnsi="Verdana" w:cs="Arial"/>
                <w:bCs/>
                <w:i/>
                <w:iCs/>
                <w:lang w:val="es-ES" w:eastAsia="es-CO"/>
              </w:rPr>
              <w:t>como la elaboración del documento contractual, la adjudicación del proceso o incluso la suscripción manuscrita—</w:t>
            </w:r>
            <w:r w:rsidRPr="000C4110">
              <w:rPr>
                <w:rFonts w:ascii="Verdana" w:eastAsia="Times New Roman" w:hAnsi="Verdana" w:cs="Arial"/>
                <w:bCs/>
                <w:lang w:val="es-ES" w:eastAsia="es-CO"/>
              </w:rPr>
              <w:t xml:space="preserve"> no son suficientes para considerar perfeccionado el contrato cuando este se gestiona a través de SECOP II.</w:t>
            </w:r>
          </w:p>
          <w:p w14:paraId="47C44E4B" w14:textId="7F67A0E7" w:rsidR="004A54E1" w:rsidRPr="000C4110" w:rsidRDefault="004A54E1" w:rsidP="000C4110">
            <w:pPr>
              <w:spacing w:after="120" w:line="276" w:lineRule="auto"/>
              <w:ind w:firstLine="709"/>
              <w:jc w:val="both"/>
              <w:rPr>
                <w:rFonts w:ascii="Verdana" w:eastAsia="Times New Roman" w:hAnsi="Verdana" w:cs="Arial"/>
                <w:bCs/>
                <w:lang w:val="es-ES" w:eastAsia="es-CO"/>
              </w:rPr>
            </w:pPr>
            <w:r w:rsidRPr="009E20E3">
              <w:rPr>
                <w:rFonts w:ascii="Verdana" w:eastAsia="Times New Roman" w:hAnsi="Verdana" w:cs="Arial"/>
                <w:bCs/>
                <w:lang w:eastAsia="es-CO"/>
              </w:rPr>
              <w:t xml:space="preserve">Dado que el concepto “celebrar” se asocia al perfeccionamiento del contrato estatal, resulta determinante identificar este hito en los procesos gestionados a través de SECOP II. En tanto sistema transaccional, el contrato se entiende celebrado únicamente cuando se surte la aprobación final y se registra el estado “Firmado”. Dentro del flujo de aprobación configurado por la entidad, el momento en que el ordenador del gasto emite su aprobación final constituye el hito en que se consolida la concurrencia de voluntades y el acuerdo contractual, ya que previamente el proveedor ha manifestado su aceptación integral del contrato. </w:t>
            </w:r>
          </w:p>
          <w:p w14:paraId="50FC72EE" w14:textId="3538672C" w:rsidR="004A54E1" w:rsidRPr="00E00888" w:rsidRDefault="004A54E1" w:rsidP="004A54E1">
            <w:pPr>
              <w:pStyle w:val="NormalWeb"/>
              <w:spacing w:before="0" w:beforeAutospacing="0" w:after="120" w:afterAutospacing="0" w:line="276" w:lineRule="auto"/>
              <w:ind w:firstLine="709"/>
              <w:jc w:val="both"/>
              <w:rPr>
                <w:rFonts w:ascii="Verdana" w:hAnsi="Verdana" w:cs="Arial"/>
                <w:bCs/>
                <w:sz w:val="22"/>
                <w:szCs w:val="22"/>
              </w:rPr>
            </w:pPr>
            <w:r w:rsidRPr="00E00888">
              <w:rPr>
                <w:rFonts w:ascii="Verdana" w:hAnsi="Verdana" w:cs="Segoe UI"/>
                <w:sz w:val="22"/>
                <w:szCs w:val="22"/>
              </w:rPr>
              <w:t xml:space="preserve">Ahora bien, es </w:t>
            </w:r>
            <w:r w:rsidR="00432192">
              <w:rPr>
                <w:rFonts w:ascii="Verdana" w:hAnsi="Verdana" w:cs="Segoe UI"/>
                <w:sz w:val="22"/>
                <w:szCs w:val="22"/>
              </w:rPr>
              <w:t>pertinente</w:t>
            </w:r>
            <w:r w:rsidRPr="00E00888">
              <w:rPr>
                <w:rFonts w:ascii="Verdana" w:hAnsi="Verdana" w:cs="Segoe UI"/>
                <w:sz w:val="22"/>
                <w:szCs w:val="22"/>
              </w:rPr>
              <w:t xml:space="preserve"> </w:t>
            </w:r>
            <w:r w:rsidR="00432192">
              <w:rPr>
                <w:rFonts w:ascii="Verdana" w:hAnsi="Verdana" w:cs="Segoe UI"/>
                <w:sz w:val="22"/>
                <w:szCs w:val="22"/>
              </w:rPr>
              <w:t xml:space="preserve">mencionar </w:t>
            </w:r>
            <w:r w:rsidRPr="00E00888">
              <w:rPr>
                <w:rFonts w:ascii="Verdana" w:hAnsi="Verdana" w:cs="Segoe UI"/>
                <w:sz w:val="22"/>
                <w:szCs w:val="22"/>
              </w:rPr>
              <w:t xml:space="preserve">que, la Ley 2195 de 2022 impuso a las entidades con régimen contractual excepcional la obligación de publicar en SECOP II todos los documentos asociados a su actividad contractual, incluyendo información generada en las etapas precontractual, contractual y </w:t>
            </w:r>
            <w:proofErr w:type="spellStart"/>
            <w:r w:rsidRPr="00E00888">
              <w:rPr>
                <w:rFonts w:ascii="Verdana" w:hAnsi="Verdana" w:cs="Segoe UI"/>
                <w:sz w:val="22"/>
                <w:szCs w:val="22"/>
              </w:rPr>
              <w:lastRenderedPageBreak/>
              <w:t>postcontractual</w:t>
            </w:r>
            <w:proofErr w:type="spellEnd"/>
            <w:r w:rsidRPr="00E00888">
              <w:rPr>
                <w:rFonts w:ascii="Verdana" w:hAnsi="Verdana" w:cs="Segoe UI"/>
                <w:sz w:val="22"/>
                <w:szCs w:val="22"/>
              </w:rPr>
              <w:t xml:space="preserve">. Para facilitar el cumplimiento de este deber de publicidad, la Agencia Nacional de Contratación Pública - Colombia Compra Eficiente dispuso dos módulos en SECOP II para estas entidades: </w:t>
            </w:r>
            <w:r w:rsidRPr="00E00888">
              <w:rPr>
                <w:rFonts w:ascii="Verdana" w:hAnsi="Verdana" w:cs="Arial"/>
                <w:bCs/>
                <w:sz w:val="22"/>
                <w:szCs w:val="22"/>
              </w:rPr>
              <w:t xml:space="preserve">Contratación Régimen Especial (con ofertas), el cual permite a las entidades gestionar sus procesos competitivos de contratación de manera transaccional, es decir, que a través de este módulo las entidades estatales pueden estructurar el proceso de contratación, recibir ofertas de los proveedores, generar el contrato de electrónico y realizar la gestión contractual y; Contratación Régimen Especial (sin ofertas) el cual permite a las entidades gestionar sus procesos de selección directos y estructurar los procesos de contratación, publicar documentos generados por fuera de la plataforma y realizar la gestión contractual en línea. </w:t>
            </w:r>
          </w:p>
          <w:p w14:paraId="7FD1EC93" w14:textId="77777777" w:rsidR="004A54E1" w:rsidRPr="00E00888" w:rsidRDefault="004A54E1" w:rsidP="004A54E1">
            <w:pPr>
              <w:pStyle w:val="NormalWeb"/>
              <w:spacing w:before="0" w:beforeAutospacing="0" w:after="120" w:afterAutospacing="0" w:line="276" w:lineRule="auto"/>
              <w:ind w:firstLine="709"/>
              <w:jc w:val="both"/>
              <w:rPr>
                <w:rFonts w:ascii="Verdana" w:hAnsi="Verdana" w:cs="Arial"/>
                <w:bCs/>
                <w:sz w:val="22"/>
                <w:szCs w:val="22"/>
              </w:rPr>
            </w:pPr>
            <w:r w:rsidRPr="00E00888">
              <w:rPr>
                <w:rFonts w:ascii="Verdana" w:hAnsi="Verdana" w:cs="Arial"/>
                <w:bCs/>
                <w:sz w:val="22"/>
                <w:szCs w:val="22"/>
              </w:rPr>
              <w:t xml:space="preserve">Así las cosas, las entidades exceptuadas, para cumplir con el deber de publicidad que les asiste podrán elegir cualquiera de las siguientes opciones: 1. Firmar el contrato electrónicamente, es decir, realizar un uso transaccional de la plataforma. 2. Firmar el contrato en físico y publicar los documentos de ejecución en la etapa precontractual del SECOP II, es decir, realizar un uso publicitario de la plataforma. En el primer caso, si la entidad opta por hacer uso de la plataforma de manera transaccional (firmando el contrato electrónicamente), deberá utilizar el módulo de “Contratación Régimen Especial”, estructurar el proceso de contratación, generar el contrato electrónico y realizar la gestión contractual en línea a través de la plataforma. En este caso, no será posible firmar el contrato de forma manuscrita y posteriormente cargarlo. Por lo cual, a efectos de determinar la fecha exacta en que se suscribió el contrato, a efectos de la aplicación de la restricción de la Ley de Garantías Electorales se aplicará lo explicado en el numeral anterior. </w:t>
            </w:r>
          </w:p>
          <w:p w14:paraId="336DB49F" w14:textId="77777777" w:rsidR="004A54E1" w:rsidRPr="00E00888" w:rsidRDefault="004A54E1" w:rsidP="004A54E1">
            <w:pPr>
              <w:pStyle w:val="NormalWeb"/>
              <w:spacing w:before="0" w:beforeAutospacing="0" w:after="120" w:afterAutospacing="0" w:line="276" w:lineRule="auto"/>
              <w:ind w:firstLine="709"/>
              <w:jc w:val="both"/>
              <w:rPr>
                <w:rFonts w:ascii="Verdana" w:hAnsi="Verdana" w:cs="Arial"/>
                <w:bCs/>
                <w:sz w:val="22"/>
                <w:szCs w:val="22"/>
              </w:rPr>
            </w:pPr>
            <w:r w:rsidRPr="00E00888">
              <w:rPr>
                <w:rFonts w:ascii="Verdana" w:hAnsi="Verdana" w:cs="Arial"/>
                <w:bCs/>
                <w:sz w:val="22"/>
                <w:szCs w:val="22"/>
              </w:rPr>
              <w:t xml:space="preserve">En el segundo caso, si decide utilizar el SECOP II como herramienta de publicidad, deberá crear el proceso de contratación en el SECOP II mediante el módulo “Contratación Régimen Especial (sin ofertas)”, cargar todos los documentos del proceso en la sección dispuesta para ello y publicar el proceso. La publicación de los documentos de la gestión contractual, incluido el contrato firmado manuscritamente, debe realizarse mediante modificaciones al proceso a través de la opción “Modificaciones/Adendas”. Sin embargo, las entidades públicas deberán tener en cuenta que, si utilizan esta opción, no deben dar clic en “Finalizar” después de publicar el proceso, en tanto que la plataforma </w:t>
            </w:r>
            <w:r w:rsidRPr="00E00888">
              <w:rPr>
                <w:rFonts w:ascii="Verdana" w:hAnsi="Verdana" w:cs="Arial"/>
                <w:bCs/>
                <w:sz w:val="22"/>
                <w:szCs w:val="22"/>
              </w:rPr>
              <w:lastRenderedPageBreak/>
              <w:t xml:space="preserve">cierra el expediente y no permite la publicación posterior de ningún otro documento. </w:t>
            </w:r>
          </w:p>
          <w:p w14:paraId="12B6FCEC" w14:textId="6FFBC51C" w:rsidR="004A54E1" w:rsidRPr="00E00888" w:rsidRDefault="004A54E1" w:rsidP="004A54E1">
            <w:pPr>
              <w:pStyle w:val="NormalWeb"/>
              <w:spacing w:before="0" w:beforeAutospacing="0" w:after="120" w:afterAutospacing="0" w:line="276" w:lineRule="auto"/>
              <w:ind w:firstLine="709"/>
              <w:jc w:val="both"/>
              <w:rPr>
                <w:rFonts w:ascii="Verdana" w:hAnsi="Verdana" w:cs="Arial"/>
                <w:bCs/>
                <w:sz w:val="22"/>
                <w:szCs w:val="22"/>
              </w:rPr>
            </w:pPr>
            <w:r w:rsidRPr="00E00888">
              <w:rPr>
                <w:rFonts w:ascii="Verdana" w:hAnsi="Verdana" w:cs="Arial"/>
                <w:bCs/>
                <w:sz w:val="22"/>
                <w:szCs w:val="22"/>
              </w:rPr>
              <w:t xml:space="preserve">En este segundo evento si es posible que se firme el contrato de forma manuscrita y, posteriormente, se cargue a la plataforma para realizar la debida publicidad </w:t>
            </w:r>
            <w:proofErr w:type="gramStart"/>
            <w:r w:rsidRPr="00E00888">
              <w:rPr>
                <w:rFonts w:ascii="Verdana" w:hAnsi="Verdana" w:cs="Arial"/>
                <w:bCs/>
                <w:sz w:val="22"/>
                <w:szCs w:val="22"/>
              </w:rPr>
              <w:t>del mismo</w:t>
            </w:r>
            <w:proofErr w:type="gramEnd"/>
            <w:r w:rsidRPr="00E00888">
              <w:rPr>
                <w:rFonts w:ascii="Verdana" w:hAnsi="Verdana" w:cs="Arial"/>
                <w:bCs/>
                <w:sz w:val="22"/>
                <w:szCs w:val="22"/>
              </w:rPr>
              <w:t xml:space="preserve">. La fecha de perfeccionamiento del contrato será aquella en la cual el contrato fue suscrito por ambas partes. </w:t>
            </w:r>
          </w:p>
          <w:p w14:paraId="1111B650" w14:textId="77777777" w:rsidR="004A54E1" w:rsidRDefault="004A54E1" w:rsidP="004A54E1">
            <w:pPr>
              <w:pStyle w:val="NormalWeb"/>
              <w:spacing w:before="0" w:beforeAutospacing="0" w:after="120" w:afterAutospacing="0" w:line="276" w:lineRule="auto"/>
              <w:ind w:firstLine="709"/>
              <w:jc w:val="both"/>
              <w:rPr>
                <w:rFonts w:ascii="Verdana" w:hAnsi="Verdana" w:cs="Arial"/>
                <w:bCs/>
                <w:sz w:val="22"/>
                <w:szCs w:val="22"/>
              </w:rPr>
            </w:pPr>
            <w:r w:rsidRPr="00E00888">
              <w:rPr>
                <w:rFonts w:ascii="Verdana" w:hAnsi="Verdana" w:cs="Arial"/>
                <w:bCs/>
                <w:sz w:val="22"/>
                <w:szCs w:val="22"/>
              </w:rPr>
              <w:t>No obstante, es importante resaltar que el uso de la plataforma SECOP II para fines netamente publicitarios, solo es una opción para aquellas entidades exceptuadas del Estatuto General de Contratación de la Administración Pública, mediante el módulo “Contratación Régimen Especial (sin ofertas)”. Lo cual excluye la posibilidad de que las entidades sometidas al Estatuto General de Contratación utilicen el SECOP II con fines netamente publicitarios, sino que están obligadas a tranzar por dicha plataforma.</w:t>
            </w:r>
          </w:p>
          <w:p w14:paraId="191DA4B9" w14:textId="77777777" w:rsidR="00432192" w:rsidRDefault="00432192" w:rsidP="000C4110">
            <w:pPr>
              <w:pStyle w:val="NormalWeb"/>
              <w:spacing w:before="0" w:beforeAutospacing="0" w:after="120" w:afterAutospacing="0" w:line="276" w:lineRule="auto"/>
              <w:ind w:firstLine="709"/>
              <w:jc w:val="both"/>
              <w:rPr>
                <w:rFonts w:ascii="Verdana" w:hAnsi="Verdana" w:cs="Arial"/>
                <w:bCs/>
                <w:sz w:val="22"/>
                <w:szCs w:val="22"/>
              </w:rPr>
            </w:pPr>
            <w:r w:rsidRPr="00432192">
              <w:rPr>
                <w:rFonts w:ascii="Verdana" w:hAnsi="Verdana" w:cs="Arial"/>
                <w:bCs/>
                <w:sz w:val="22"/>
                <w:szCs w:val="22"/>
              </w:rPr>
              <w:t>En consecuencia, la validez y eficacia de la firma manuscrita en el marco de SECOP II no es absoluta, sino que depende del uso que la entidad estatal haga de la plataforma. Cuando se emplea de manera transaccional, caso en el cual la gestión contractual se realiza íntegramente en línea, la firma manuscrita carece de efectos para el perfeccionamiento del contrato, el cual solo se entiende celebrado una vez se surte el flujo de aprobación y el sistema registra el estado “Firmado”.</w:t>
            </w:r>
          </w:p>
          <w:p w14:paraId="6F66621B" w14:textId="435B1ABD" w:rsidR="000C4110" w:rsidRPr="000C4110" w:rsidRDefault="000C4110" w:rsidP="000C4110">
            <w:pPr>
              <w:pStyle w:val="NormalWeb"/>
              <w:spacing w:before="0" w:beforeAutospacing="0" w:after="120" w:afterAutospacing="0" w:line="276" w:lineRule="auto"/>
              <w:ind w:firstLine="709"/>
              <w:jc w:val="both"/>
              <w:rPr>
                <w:rFonts w:ascii="Verdana" w:hAnsi="Verdana" w:cs="Arial"/>
                <w:bCs/>
                <w:sz w:val="22"/>
                <w:szCs w:val="22"/>
                <w:lang w:val="es-ES"/>
              </w:rPr>
            </w:pPr>
            <w:r w:rsidRPr="000C4110">
              <w:rPr>
                <w:rFonts w:ascii="Verdana" w:hAnsi="Verdana" w:cs="Arial"/>
                <w:bCs/>
                <w:sz w:val="22"/>
                <w:szCs w:val="22"/>
                <w:lang w:val="es-ES"/>
              </w:rPr>
              <w:t>Por el contrario, cuando SECOP II es utilizado exclusivamente como herramienta de publicidad por entidades con régimen excepcional, la firma manuscrita sí conserva plena validez jurídica, siendo este el momento en que se perfecciona el contrato, sin perjuicio de su posterior publicación en la plataforma.</w:t>
            </w:r>
          </w:p>
          <w:p w14:paraId="7ECDEB71" w14:textId="0CDDBCEB" w:rsidR="00276133" w:rsidRPr="00C07051" w:rsidRDefault="00432192" w:rsidP="000C4110">
            <w:pPr>
              <w:pStyle w:val="NormalWeb"/>
              <w:spacing w:before="0" w:beforeAutospacing="0" w:after="120" w:afterAutospacing="0" w:line="276" w:lineRule="auto"/>
              <w:ind w:firstLine="709"/>
              <w:jc w:val="both"/>
              <w:rPr>
                <w:rFonts w:ascii="Verdana" w:hAnsi="Verdana"/>
                <w:color w:val="000099"/>
              </w:rPr>
            </w:pPr>
            <w:r w:rsidRPr="00432192">
              <w:rPr>
                <w:rFonts w:ascii="Verdana" w:hAnsi="Verdana" w:cs="Arial"/>
                <w:bCs/>
                <w:sz w:val="22"/>
                <w:szCs w:val="22"/>
              </w:rPr>
              <w:t>Así, el elemento determinante no radica en la naturaleza de la firma —manuscrita o electrónica— de manera aislada, sino en el régimen jurídico aplicable a la entidad y en el esquema de gestión contractual que esta adopte. Este define el mecanismo jurídicamente válido de formación del consentimiento, el hito de perfeccionamiento del contrato y, en consecuencia, la eficacia jurídica de las actuaciones adelantadas por las partes, en concordancia con el marco normativo aplicable al uso de medios electrónicos en la contratación estatal.</w:t>
            </w:r>
          </w:p>
        </w:tc>
      </w:tr>
    </w:tbl>
    <w:p w14:paraId="5049B49F" w14:textId="77777777" w:rsidR="00276133" w:rsidRPr="00AF6E8F" w:rsidRDefault="00276133" w:rsidP="00276133">
      <w:pPr>
        <w:tabs>
          <w:tab w:val="left" w:pos="142"/>
          <w:tab w:val="left" w:pos="284"/>
        </w:tabs>
        <w:spacing w:after="0" w:line="276" w:lineRule="auto"/>
        <w:jc w:val="both"/>
        <w:rPr>
          <w:rFonts w:ascii="Verdana" w:eastAsia="Century Gothic" w:hAnsi="Verdana" w:cs="Century Gothic"/>
          <w:b/>
          <w:bCs/>
        </w:rPr>
      </w:pPr>
    </w:p>
    <w:p w14:paraId="36A30BAF" w14:textId="77777777" w:rsidR="00276133" w:rsidRPr="00AF6E8F" w:rsidRDefault="00276133" w:rsidP="00276133">
      <w:pPr>
        <w:tabs>
          <w:tab w:val="left" w:pos="142"/>
          <w:tab w:val="left" w:pos="284"/>
        </w:tabs>
        <w:spacing w:after="0" w:line="276" w:lineRule="auto"/>
        <w:jc w:val="both"/>
        <w:rPr>
          <w:rFonts w:ascii="Verdana" w:eastAsia="Century Gothic" w:hAnsi="Verdana" w:cs="Century Gothic"/>
          <w:b/>
          <w:bCs/>
        </w:rPr>
      </w:pPr>
      <w:r w:rsidRPr="00AF6E8F">
        <w:rPr>
          <w:rFonts w:ascii="Verdana" w:eastAsia="Century Gothic" w:hAnsi="Verdana" w:cs="Century Gothic"/>
          <w:b/>
          <w:bCs/>
        </w:rPr>
        <w:lastRenderedPageBreak/>
        <w:t>3. Razones de la respuesta:</w:t>
      </w:r>
    </w:p>
    <w:p w14:paraId="2803FCD6" w14:textId="77777777" w:rsidR="00276133" w:rsidRPr="00C07051" w:rsidRDefault="00276133" w:rsidP="00276133">
      <w:pPr>
        <w:tabs>
          <w:tab w:val="left" w:pos="142"/>
          <w:tab w:val="left" w:pos="284"/>
        </w:tabs>
        <w:spacing w:after="0" w:line="276" w:lineRule="auto"/>
        <w:jc w:val="both"/>
        <w:rPr>
          <w:rFonts w:ascii="Verdana" w:eastAsia="Calibri" w:hAnsi="Verdana" w:cs="Arial"/>
          <w:color w:val="000099"/>
          <w:lang w:val="es-ES"/>
        </w:rPr>
      </w:pPr>
    </w:p>
    <w:p w14:paraId="3C07636D" w14:textId="77777777" w:rsidR="00276133" w:rsidRPr="00523AA0" w:rsidRDefault="00276133" w:rsidP="00276133">
      <w:pPr>
        <w:spacing w:after="0" w:line="276" w:lineRule="auto"/>
        <w:jc w:val="both"/>
        <w:rPr>
          <w:rFonts w:ascii="Verdana" w:eastAsia="Calibri" w:hAnsi="Verdana" w:cs="Arial"/>
        </w:rPr>
      </w:pPr>
      <w:r w:rsidRPr="00523AA0">
        <w:rPr>
          <w:rFonts w:ascii="Verdana" w:eastAsia="Calibri" w:hAnsi="Verdana" w:cs="Arial"/>
        </w:rPr>
        <w:t xml:space="preserve">Lo anterior se sustenta en las siguientes consideraciones: </w:t>
      </w:r>
    </w:p>
    <w:p w14:paraId="4010D44C" w14:textId="77777777" w:rsidR="007F3087" w:rsidRDefault="007F3087" w:rsidP="007F3087">
      <w:pPr>
        <w:spacing w:after="120" w:line="276" w:lineRule="auto"/>
        <w:jc w:val="both"/>
        <w:rPr>
          <w:rFonts w:ascii="Verdana" w:eastAsia="Calibri" w:hAnsi="Verdana" w:cs="Arial"/>
        </w:rPr>
      </w:pPr>
    </w:p>
    <w:p w14:paraId="6D775B4D" w14:textId="271086D1" w:rsidR="00432192" w:rsidRPr="00965861" w:rsidRDefault="00432192" w:rsidP="007F3087">
      <w:pPr>
        <w:spacing w:after="120" w:line="276" w:lineRule="auto"/>
        <w:jc w:val="both"/>
        <w:rPr>
          <w:rFonts w:ascii="Verdana" w:eastAsia="Times New Roman" w:hAnsi="Verdana" w:cs="Arial"/>
          <w:bCs/>
          <w:lang w:val="es-MX" w:eastAsia="x-none"/>
        </w:rPr>
      </w:pPr>
      <w:r>
        <w:rPr>
          <w:rFonts w:ascii="Verdana" w:eastAsia="Times New Roman" w:hAnsi="Verdana" w:cs="Arial"/>
          <w:bCs/>
          <w:lang w:val="es-MX" w:eastAsia="x-none"/>
        </w:rPr>
        <w:t xml:space="preserve">El </w:t>
      </w:r>
      <w:r>
        <w:rPr>
          <w:rFonts w:ascii="Verdana" w:eastAsia="Calibri" w:hAnsi="Verdana" w:cs="Arial"/>
          <w:color w:val="000000" w:themeColor="text1"/>
        </w:rPr>
        <w:t xml:space="preserve">SECOP II es una plataforma transaccional, que permite gestionar en línea todos los procedimientos de contratación, </w:t>
      </w:r>
      <w:r>
        <w:rPr>
          <w:rFonts w:ascii="Verdana" w:eastAsia="Calibri" w:hAnsi="Verdana" w:cs="Arial"/>
          <w:lang w:val="es-ES"/>
        </w:rPr>
        <w:t>con cuentas y usuarios asociados a estas, para las entidades y los proveedores, y vista pública para cualquier interesado en hacer seguimiento a la contratación pública. Desde sus cuentas, las entidades crean, evalúan y adjudican procedimientos de contratación, y gestionan la fase de ejecución del contrato. Los proveedores pueden hacer comentarios a los documentos del procedimiento, presentar ofertas y seguir el procedimiento de selección en línea.</w:t>
      </w:r>
    </w:p>
    <w:p w14:paraId="16F67D3B" w14:textId="77777777" w:rsidR="00432192" w:rsidRPr="00C92574" w:rsidRDefault="00432192" w:rsidP="00432192">
      <w:pPr>
        <w:spacing w:after="120" w:line="276" w:lineRule="auto"/>
        <w:ind w:firstLine="567"/>
        <w:jc w:val="both"/>
        <w:rPr>
          <w:rFonts w:ascii="Verdana" w:eastAsia="Calibri" w:hAnsi="Verdana" w:cs="Arial"/>
          <w:lang w:val="es-ES"/>
        </w:rPr>
      </w:pPr>
      <w:r w:rsidRPr="00C92574">
        <w:rPr>
          <w:rFonts w:ascii="Verdana" w:eastAsia="Calibri" w:hAnsi="Verdana" w:cs="Arial"/>
        </w:rPr>
        <w:t xml:space="preserve">Al tratarse de un sistema totalmente transaccional, el trámite se realiza en línea y la publicidad de las actuaciones es concomitante con el avance de cada etapa, lo que descarta la necesidad de cargar documentación física, salvo excepciones específicas. </w:t>
      </w:r>
      <w:r w:rsidRPr="00C92574">
        <w:rPr>
          <w:rFonts w:ascii="Verdana" w:eastAsia="Calibri" w:hAnsi="Verdana" w:cs="Arial"/>
          <w:lang w:val="es-ES"/>
        </w:rPr>
        <w:t xml:space="preserve">Además, de acuerdo con lo prescrito en el artículo 14 de la Ley 527 de 1999, en la formación del contrato, salvo acuerdo expreso entre las partes, la oferta y su aceptación podrán expresarse por medio de un mensaje de datos, lo que implica que “[n]o se negará validez o fuerza obligatoria a un contrato por la sola razón de haberse utilizado en su formación uno o más mensajes de datos”. Igualmente, el artículo 22 ibidem dispone que los contratos electrónicos compuestos por mensajes de datos tienen los efectos jurídicos según las normas aplicables al negocio jurídico contenido en dichos mensajes, esto es, las normas que regulan el sistema de contratación pública. </w:t>
      </w:r>
    </w:p>
    <w:p w14:paraId="092EF543" w14:textId="77777777" w:rsidR="00432192" w:rsidRDefault="00432192" w:rsidP="00432192">
      <w:pPr>
        <w:spacing w:after="120" w:line="276" w:lineRule="auto"/>
        <w:ind w:firstLine="567"/>
        <w:jc w:val="both"/>
        <w:rPr>
          <w:rFonts w:ascii="Verdana" w:eastAsia="Calibri" w:hAnsi="Verdana" w:cs="Arial"/>
          <w:lang w:val="es-ES"/>
        </w:rPr>
      </w:pPr>
      <w:r w:rsidRPr="00C92574">
        <w:rPr>
          <w:rFonts w:ascii="Verdana" w:eastAsia="Calibri" w:hAnsi="Verdana" w:cs="Arial"/>
          <w:lang w:val="es-ES"/>
        </w:rPr>
        <w:t>En este sentido, la implementación del SECOP II como plataforma transaccional para la actividad contractual del Estado, permite que los contratos que se publiquen sean firmados electrónicamente. De este modo, el proceso mediante el cual se efectúa la firma del contrato y su consecuente aprobación o rechazo es realizado a través del SECOP II. Así, después de que se adjudica el proceso de contratación en la plataforma se inicia el procedimiento por parte de la Entidad Estatal para que se cambie el estado del proceso a “adjudicado”, con lo cual se genera el contrato electrónico en estado “en edición”.</w:t>
      </w:r>
    </w:p>
    <w:p w14:paraId="6983C0FC" w14:textId="77777777" w:rsidR="00432192" w:rsidRDefault="00432192" w:rsidP="00432192">
      <w:pPr>
        <w:spacing w:after="120" w:line="276" w:lineRule="auto"/>
        <w:ind w:firstLine="567"/>
        <w:jc w:val="both"/>
        <w:rPr>
          <w:rFonts w:ascii="Verdana" w:eastAsia="Calibri" w:hAnsi="Verdana" w:cs="Arial"/>
          <w:lang w:val="es-ES"/>
        </w:rPr>
      </w:pPr>
      <w:r>
        <w:rPr>
          <w:rFonts w:ascii="Verdana" w:eastAsia="Calibri" w:hAnsi="Verdana" w:cs="Arial"/>
          <w:lang w:val="es-ES"/>
        </w:rPr>
        <w:t xml:space="preserve">El documento “Procesos de Contratación: Gestión Contractual en el SECOP II” expedido por esta entidad, detallas los pasos para aprobación del contrato </w:t>
      </w:r>
      <w:r>
        <w:rPr>
          <w:rFonts w:ascii="Verdana" w:eastAsia="Calibri" w:hAnsi="Verdana" w:cs="Arial"/>
          <w:lang w:val="es-ES"/>
        </w:rPr>
        <w:lastRenderedPageBreak/>
        <w:t>en el SECOP II</w:t>
      </w:r>
      <w:r>
        <w:rPr>
          <w:vertAlign w:val="superscript"/>
          <w:lang w:val="es-ES"/>
        </w:rPr>
        <w:footnoteReference w:id="1"/>
      </w:r>
      <w:r>
        <w:rPr>
          <w:rFonts w:ascii="Verdana" w:eastAsia="Calibri" w:hAnsi="Verdana" w:cs="Arial"/>
          <w:lang w:val="es-ES"/>
        </w:rPr>
        <w:t xml:space="preserve">. Específicamente, el literal III establece el procedimiento a seguir para aprobar o rechazar el contrato, según el cual el proveedor, </w:t>
      </w:r>
      <w:r>
        <w:rPr>
          <w:rFonts w:ascii="Verdana" w:eastAsia="Calibri" w:hAnsi="Verdana" w:cs="Arial"/>
        </w:rPr>
        <w:t>u</w:t>
      </w:r>
      <w:r w:rsidRPr="00B72E30">
        <w:rPr>
          <w:rFonts w:ascii="Verdana" w:eastAsia="Calibri" w:hAnsi="Verdana" w:cs="Arial"/>
        </w:rPr>
        <w:t xml:space="preserve">na vez revise el contrato electrónico puede “Aprobar” o “Rechazar” el contrato. En caso de estar de acuerdo con las condiciones establecidas por la Entidad Estatal, </w:t>
      </w:r>
      <w:r>
        <w:rPr>
          <w:rFonts w:ascii="Verdana" w:eastAsia="Calibri" w:hAnsi="Verdana" w:cs="Arial"/>
        </w:rPr>
        <w:t xml:space="preserve">se debe dar </w:t>
      </w:r>
      <w:r w:rsidRPr="00B72E30">
        <w:rPr>
          <w:rFonts w:ascii="Verdana" w:eastAsia="Calibri" w:hAnsi="Verdana" w:cs="Arial"/>
        </w:rPr>
        <w:t>clic en “Aprobar contrato”</w:t>
      </w:r>
      <w:r>
        <w:rPr>
          <w:rFonts w:ascii="Verdana" w:eastAsia="Calibri" w:hAnsi="Verdana" w:cs="Arial"/>
        </w:rPr>
        <w:t xml:space="preserve"> y a</w:t>
      </w:r>
      <w:r w:rsidRPr="00591700">
        <w:rPr>
          <w:rFonts w:ascii="Verdana" w:eastAsia="Calibri" w:hAnsi="Verdana" w:cs="Arial"/>
        </w:rPr>
        <w:t>utomáticamente el SECOP II guarda los cambios y el estado del contrato cambia a “Firmado y enviado a la Entidad Estatal”.</w:t>
      </w:r>
      <w:r>
        <w:rPr>
          <w:rFonts w:ascii="Verdana" w:eastAsia="Calibri" w:hAnsi="Verdana" w:cs="Arial"/>
          <w:lang w:val="es-ES"/>
        </w:rPr>
        <w:t xml:space="preserve"> Una vez la Entidad Estatal reciba el contrato electrónico aprobado por el proveedor debe publicarlo y a “partir de este momento el contrato queda para conocimiento del público en general, su estado cambia a “Firmado” para que se cumplan con los requisitos para iniciar la ejecución del contrato”. </w:t>
      </w:r>
    </w:p>
    <w:p w14:paraId="7E8F85D8" w14:textId="77777777" w:rsidR="00432192" w:rsidRPr="007A7831" w:rsidRDefault="00432192" w:rsidP="00432192">
      <w:pPr>
        <w:spacing w:after="120" w:line="276" w:lineRule="auto"/>
        <w:ind w:firstLine="567"/>
        <w:jc w:val="both"/>
        <w:rPr>
          <w:rFonts w:ascii="Verdana" w:eastAsia="Calibri" w:hAnsi="Verdana" w:cs="Arial"/>
          <w:lang w:val="es-ES"/>
        </w:rPr>
      </w:pPr>
      <w:r>
        <w:rPr>
          <w:rFonts w:ascii="Verdana" w:eastAsia="Calibri" w:hAnsi="Verdana" w:cs="Arial"/>
          <w:lang w:val="es-ES"/>
        </w:rPr>
        <w:t xml:space="preserve"> </w:t>
      </w:r>
      <w:r w:rsidRPr="007A7831">
        <w:rPr>
          <w:rFonts w:ascii="Verdana" w:eastAsia="Calibri" w:hAnsi="Verdana" w:cs="Arial"/>
          <w:lang w:val="es-ES"/>
        </w:rPr>
        <w:t>Conforme lo señala “Guía SECOP II – Gestión Contractual Para Entidades Estatales</w:t>
      </w:r>
      <w:r w:rsidRPr="007A7831">
        <w:rPr>
          <w:rStyle w:val="Refdenotaalpie"/>
          <w:rFonts w:ascii="Verdana" w:eastAsia="Calibri" w:hAnsi="Verdana" w:cs="Arial"/>
          <w:lang w:val="es-ES"/>
        </w:rPr>
        <w:footnoteReference w:id="2"/>
      </w:r>
      <w:r w:rsidRPr="007A7831">
        <w:rPr>
          <w:rFonts w:ascii="Verdana" w:eastAsia="Calibri" w:hAnsi="Verdana" w:cs="Arial"/>
          <w:lang w:val="es-ES"/>
        </w:rPr>
        <w:t xml:space="preserve">” </w:t>
      </w:r>
      <w:r w:rsidRPr="007A7831">
        <w:rPr>
          <w:rFonts w:ascii="Verdana" w:eastAsia="Calibri" w:hAnsi="Verdana" w:cs="Arial"/>
        </w:rPr>
        <w:t>es importante que previamente el usuario administrador de la Entidad Estatal haya configurado flujos de aprobación</w:t>
      </w:r>
      <w:r w:rsidRPr="007A7831">
        <w:rPr>
          <w:rStyle w:val="Refdenotaalpie"/>
          <w:rFonts w:ascii="Verdana" w:eastAsia="Calibri" w:hAnsi="Verdana" w:cs="Arial"/>
        </w:rPr>
        <w:footnoteReference w:id="3"/>
      </w:r>
      <w:r w:rsidRPr="007A7831">
        <w:rPr>
          <w:rFonts w:ascii="Verdana" w:eastAsia="Calibri" w:hAnsi="Verdana" w:cs="Arial"/>
        </w:rPr>
        <w:t xml:space="preserve"> en este hito del proceso con el fin de que el contrato electrónico sea enviado al ordenador del gasto representante legal de la entidad para su aprobación final.</w:t>
      </w:r>
      <w:r w:rsidRPr="007A7831">
        <w:rPr>
          <w:rFonts w:ascii="Verdana" w:eastAsia="Calibri" w:hAnsi="Verdana" w:cs="Arial"/>
          <w:lang w:val="es-ES"/>
        </w:rPr>
        <w:t xml:space="preserve"> </w:t>
      </w:r>
      <w:r w:rsidRPr="007A7831">
        <w:rPr>
          <w:rFonts w:ascii="Verdana" w:eastAsia="Calibri" w:hAnsi="Verdana" w:cs="Arial"/>
        </w:rPr>
        <w:t>Una vez el ordenador del gasto de la entidad realice la aprobación el estado del contrato cambia a “Firmado” y quedará público para consulta de cualquier interesado.</w:t>
      </w:r>
    </w:p>
    <w:p w14:paraId="630EAACD" w14:textId="77777777" w:rsidR="00432192" w:rsidRPr="007A7831" w:rsidRDefault="00432192" w:rsidP="00432192">
      <w:pPr>
        <w:spacing w:after="120" w:line="276" w:lineRule="auto"/>
        <w:ind w:firstLine="567"/>
        <w:jc w:val="both"/>
        <w:rPr>
          <w:rFonts w:ascii="Verdana" w:eastAsia="Calibri" w:hAnsi="Verdana" w:cs="Arial"/>
          <w:lang w:val="es-ES"/>
        </w:rPr>
      </w:pPr>
      <w:r w:rsidRPr="007A7831">
        <w:rPr>
          <w:rFonts w:ascii="Verdana" w:hAnsi="Verdana"/>
        </w:rPr>
        <w:t>De conformidad con este procedimiento, una vez el proveedor aprueba el contrato en la plataforma, este se remite a la entidad estatal para que adelante los flujos internos de aprobación correspondientes. La aprobación del ordenador del gasto constituye el último paso de dicho flujo y es el hito que permite a SECOP II cambiar el estado del contrato a “Firmado”, así como habilitar las secciones de “Modificaciones del contrato” e “Incumplimientos”, lo que evidencia que el negocio jurídico ha quedado formalmente firmado en el sistema.</w:t>
      </w:r>
    </w:p>
    <w:p w14:paraId="44BB5390" w14:textId="77777777" w:rsidR="00432192" w:rsidRPr="007A7831" w:rsidRDefault="00432192" w:rsidP="00432192">
      <w:pPr>
        <w:spacing w:after="120" w:line="276" w:lineRule="auto"/>
        <w:ind w:firstLine="709"/>
        <w:jc w:val="both"/>
        <w:rPr>
          <w:rFonts w:ascii="Verdana" w:eastAsia="Calibri" w:hAnsi="Verdana" w:cs="Arial"/>
          <w:lang w:val="es-ES"/>
        </w:rPr>
      </w:pPr>
      <w:r w:rsidRPr="007A7831">
        <w:rPr>
          <w:rFonts w:ascii="Verdana" w:eastAsia="Calibri" w:hAnsi="Verdana" w:cs="Arial"/>
          <w:lang w:val="es-ES"/>
        </w:rPr>
        <w:t xml:space="preserve">Así las cosas, cuando el proceso de contratación se adelanta por el SECOP II la aprobación del contrato para su perfeccionamiento y posterior ejecución deberá efectuarse en dicha plataforma de conformidad con el procedimiento descrito. En todo caso, hasta que no se efectué la aprobación en el SECOP II por </w:t>
      </w:r>
      <w:r w:rsidRPr="007A7831">
        <w:rPr>
          <w:rFonts w:ascii="Verdana" w:eastAsia="Calibri" w:hAnsi="Verdana" w:cs="Arial"/>
          <w:lang w:val="es-ES"/>
        </w:rPr>
        <w:lastRenderedPageBreak/>
        <w:t xml:space="preserve">parte del ordenador del gasto de la Entidad no se entiende perfeccionado el contrato. </w:t>
      </w:r>
    </w:p>
    <w:p w14:paraId="5D12F954" w14:textId="77777777" w:rsidR="00432192" w:rsidRPr="007A7831" w:rsidRDefault="00432192" w:rsidP="00432192">
      <w:pPr>
        <w:spacing w:after="120" w:line="276" w:lineRule="auto"/>
        <w:ind w:firstLine="567"/>
        <w:jc w:val="both"/>
        <w:rPr>
          <w:rFonts w:ascii="Verdana" w:eastAsia="Calibri" w:hAnsi="Verdana" w:cs="Arial"/>
        </w:rPr>
      </w:pPr>
      <w:r w:rsidRPr="007A7831">
        <w:rPr>
          <w:rFonts w:ascii="Verdana" w:eastAsia="Calibri" w:hAnsi="Verdana" w:cs="Arial"/>
        </w:rPr>
        <w:t>Bajo este contexto, y en atención a la consulta planteada, es pertinente señalar que el concepto de “celebrar” se asocia al momento del perfeccionamiento del contrato estatal, por lo cual resulta necesario identificar dicho hito en los procesos adelantados a través de la plataforma SECOP II. En este sentido, al tratarse de un sistema transaccional, el contrato se entiende celebrado una vez se ha surtido la aprobación final por parte de la entidad estatal, momento en el cual la plataforma registra el estado de “Firmado”, dejando constancia de la concurrencia de voluntades y del cumplimiento de los requisitos de perfeccionamiento.</w:t>
      </w:r>
    </w:p>
    <w:p w14:paraId="4318ACC8" w14:textId="5AD29E62" w:rsidR="00432192" w:rsidRPr="007A7831" w:rsidRDefault="00432192" w:rsidP="00432192">
      <w:pPr>
        <w:spacing w:after="120" w:line="276" w:lineRule="auto"/>
        <w:ind w:firstLine="567"/>
        <w:jc w:val="both"/>
        <w:rPr>
          <w:rFonts w:ascii="Verdana" w:eastAsia="Calibri" w:hAnsi="Verdana" w:cs="Arial"/>
        </w:rPr>
      </w:pPr>
      <w:r w:rsidRPr="007A7831">
        <w:rPr>
          <w:rFonts w:ascii="Verdana" w:eastAsia="Calibri" w:hAnsi="Verdana" w:cs="Arial"/>
        </w:rPr>
        <w:t>En este orden de ideas, dentro del flujo de aprobación que la entidad haya configurado en el SECOP II, el momento en que el ordenador del gasto emite su aprobación final constituye el hito en el cual se consolida efectivamente la concurrencia de voluntades y el acuerdo contractual. Ello obedece a que, de manera previa, el proveedor ya ha otorgado su aprobación al contrato, manifestando su aceptación integral de las condiciones pactadas. Así, con la aprobación posterior del ordenador del gasto se perfecciona el consentimiento recíproco sobre el objeto y la contraprestación y queda formalmente estructurado el acuerdo.</w:t>
      </w:r>
    </w:p>
    <w:p w14:paraId="24A93F23" w14:textId="77777777" w:rsidR="00432192" w:rsidRPr="007A7831" w:rsidRDefault="00432192" w:rsidP="00432192">
      <w:pPr>
        <w:spacing w:after="120" w:line="276" w:lineRule="auto"/>
        <w:ind w:firstLine="567"/>
        <w:jc w:val="both"/>
        <w:rPr>
          <w:rFonts w:ascii="Verdana" w:eastAsia="Calibri" w:hAnsi="Verdana" w:cs="Arial"/>
        </w:rPr>
      </w:pPr>
      <w:r w:rsidRPr="007A7831">
        <w:rPr>
          <w:rFonts w:ascii="Verdana" w:eastAsia="Calibri" w:hAnsi="Verdana" w:cs="Arial"/>
        </w:rPr>
        <w:t>Este hito es jurídicamente relevante, en la medida en que con él se satisface el requisito previsto en el artículo 41 de la Ley 80 de 1993, esto es, que el perfeccionamiento del contrato ocurre cuando existe acuerdo sobre el objeto y la contraprestación y este se eleva a escrito. En el sistema transaccional del SECOP II, esto se materializa a través del documento electrónico del contrato y de las aprobaciones efectuadas en la plataforma, las cuales dejan trazabilidad y constancia del consentimiento de las partes. Por consiguiente, es en la aprobación final del ordenador del gasto, como último paso del flujo de aprobación, donde se entiende cumplido el requisito de perfeccionamiento al quedar configurado el acuerdo exigido por la norma señalada.</w:t>
      </w:r>
    </w:p>
    <w:p w14:paraId="4365AD8C" w14:textId="77777777" w:rsidR="00B20018" w:rsidRPr="007A7831" w:rsidRDefault="00B20018" w:rsidP="00B20018">
      <w:pPr>
        <w:spacing w:after="120" w:line="276" w:lineRule="auto"/>
        <w:ind w:firstLine="567"/>
        <w:jc w:val="both"/>
        <w:rPr>
          <w:rFonts w:ascii="Verdana" w:eastAsia="Calibri" w:hAnsi="Verdana" w:cs="Arial"/>
          <w:lang w:val="es-ES"/>
        </w:rPr>
      </w:pPr>
      <w:r w:rsidRPr="007A7831">
        <w:rPr>
          <w:rFonts w:ascii="Verdana" w:eastAsia="Calibri" w:hAnsi="Verdana" w:cs="Arial"/>
          <w:lang w:val="es-ES"/>
        </w:rPr>
        <w:t xml:space="preserve">En consecuencia, tratándose de procesos gestionados en SECOP II, las actuaciones necesarias para que el contrato adquiera el estado de “Firmado” deben surtirse dentro del flujo de aprobación definido por la entidad. En este sentido, el perfeccionamiento del contrato se configura con la aprobación final </w:t>
      </w:r>
      <w:r w:rsidRPr="007A7831">
        <w:rPr>
          <w:rFonts w:ascii="Verdana" w:eastAsia="Calibri" w:hAnsi="Verdana" w:cs="Arial"/>
          <w:lang w:val="es-ES"/>
        </w:rPr>
        <w:lastRenderedPageBreak/>
        <w:t>por parte del ordenador del gasto y su registro como estado “Firmado” en la plataforma, momento a partir del cual se entiende celebrado.</w:t>
      </w:r>
    </w:p>
    <w:p w14:paraId="7CA95CC2" w14:textId="039EBC5A" w:rsidR="00432192" w:rsidRPr="007A7831" w:rsidRDefault="00432192" w:rsidP="008D0086">
      <w:pPr>
        <w:spacing w:after="120" w:line="276" w:lineRule="auto"/>
        <w:ind w:firstLine="567"/>
        <w:jc w:val="both"/>
        <w:rPr>
          <w:rFonts w:ascii="Verdana" w:eastAsia="Calibri" w:hAnsi="Verdana" w:cs="Arial"/>
        </w:rPr>
      </w:pPr>
      <w:r w:rsidRPr="007A7831">
        <w:rPr>
          <w:rFonts w:ascii="Times New Roman" w:eastAsia="Times New Roman" w:hAnsi="Times New Roman" w:cs="Times New Roman"/>
          <w:b/>
          <w:bCs/>
          <w:sz w:val="24"/>
          <w:szCs w:val="24"/>
          <w:lang w:eastAsia="es-CO"/>
        </w:rPr>
        <w:t xml:space="preserve"> </w:t>
      </w:r>
      <w:r w:rsidRPr="007A7831">
        <w:rPr>
          <w:rFonts w:ascii="Verdana" w:eastAsia="Times New Roman" w:hAnsi="Verdana" w:cs="Arial"/>
          <w:bCs/>
          <w:lang w:eastAsia="x-none"/>
        </w:rPr>
        <w:t xml:space="preserve">Ahora bien, teniendo en cuenta el contenido de la consulta, </w:t>
      </w:r>
      <w:r w:rsidR="00B20018" w:rsidRPr="007A7831">
        <w:rPr>
          <w:rFonts w:ascii="Verdana" w:eastAsia="Times New Roman" w:hAnsi="Verdana" w:cs="Arial"/>
          <w:bCs/>
          <w:lang w:eastAsia="x-none"/>
        </w:rPr>
        <w:t xml:space="preserve">resulta </w:t>
      </w:r>
      <w:r w:rsidRPr="007A7831">
        <w:rPr>
          <w:rFonts w:ascii="Verdana" w:eastAsia="Times New Roman" w:hAnsi="Verdana" w:cs="Arial"/>
          <w:bCs/>
          <w:lang w:eastAsia="x-none"/>
        </w:rPr>
        <w:t xml:space="preserve">relevante considerar </w:t>
      </w:r>
      <w:r w:rsidR="003C176B" w:rsidRPr="007A7831">
        <w:rPr>
          <w:rFonts w:ascii="Verdana" w:eastAsia="Times New Roman" w:hAnsi="Verdana" w:cs="Arial"/>
          <w:bCs/>
          <w:lang w:eastAsia="x-none"/>
        </w:rPr>
        <w:t xml:space="preserve">otras de </w:t>
      </w:r>
      <w:r w:rsidRPr="007A7831">
        <w:rPr>
          <w:rFonts w:ascii="Verdana" w:eastAsia="Times New Roman" w:hAnsi="Verdana" w:cs="Arial"/>
          <w:bCs/>
          <w:lang w:eastAsia="x-none"/>
        </w:rPr>
        <w:t xml:space="preserve">las particularidades del Sistema Electrónico para la Contratación Pública –SECOP II–. </w:t>
      </w:r>
      <w:r w:rsidRPr="007A7831">
        <w:rPr>
          <w:rFonts w:ascii="Verdana" w:eastAsia="Calibri" w:hAnsi="Verdana" w:cs="Arial"/>
        </w:rPr>
        <w:t xml:space="preserve">La Ley 2195 de 2022, mediante el artículo 53, adicionó el artículo 13 de la Ley 1150 de 2007, imponiendo a las entidades con régimen contractual excepcional la obligación de publicar los documentos relacionados con su actividad contractual en SECOP II o plataforma equivalente. Por actividad contractual se entiende la documentación generada por oferentes, contratistas, entidades contratantes, supervisores o interventores, en las etapas precontractual, contractual y </w:t>
      </w:r>
      <w:proofErr w:type="spellStart"/>
      <w:r w:rsidRPr="007A7831">
        <w:rPr>
          <w:rFonts w:ascii="Verdana" w:eastAsia="Calibri" w:hAnsi="Verdana" w:cs="Arial"/>
        </w:rPr>
        <w:t>postcontractual</w:t>
      </w:r>
      <w:proofErr w:type="spellEnd"/>
      <w:r w:rsidRPr="007A7831">
        <w:rPr>
          <w:rFonts w:ascii="Verdana" w:eastAsia="Calibri" w:hAnsi="Verdana" w:cs="Arial"/>
        </w:rPr>
        <w:t>.</w:t>
      </w:r>
      <w:r w:rsidRPr="007A7831">
        <w:rPr>
          <w:rFonts w:ascii="Verdana" w:hAnsi="Verdana" w:cs="Arial"/>
        </w:rPr>
        <w:t xml:space="preserve"> Al respecto, la norma citada de manera expresa señala:</w:t>
      </w:r>
    </w:p>
    <w:p w14:paraId="08587039" w14:textId="77777777" w:rsidR="00432192" w:rsidRPr="007A7831" w:rsidRDefault="00432192" w:rsidP="00432192">
      <w:pPr>
        <w:spacing w:after="0" w:line="240" w:lineRule="auto"/>
        <w:ind w:left="709" w:right="709"/>
        <w:contextualSpacing/>
        <w:jc w:val="both"/>
        <w:rPr>
          <w:rFonts w:ascii="Verdana" w:eastAsia="Calibri" w:hAnsi="Verdana" w:cs="Arial"/>
          <w:sz w:val="20"/>
          <w:szCs w:val="20"/>
        </w:rPr>
      </w:pPr>
      <w:r w:rsidRPr="007A7831">
        <w:rPr>
          <w:rFonts w:ascii="Verdana" w:eastAsia="Calibri" w:hAnsi="Verdana" w:cs="Arial"/>
          <w:sz w:val="20"/>
          <w:szCs w:val="20"/>
        </w:rPr>
        <w:t>Adiciónese los siguientes incisos al artículo 13 de la Ley 1150 de 2007, el cual quedará así:</w:t>
      </w:r>
    </w:p>
    <w:p w14:paraId="43D5E3D8" w14:textId="77777777" w:rsidR="00432192" w:rsidRPr="007A7831" w:rsidRDefault="00432192" w:rsidP="00432192">
      <w:pPr>
        <w:spacing w:after="0" w:line="240" w:lineRule="auto"/>
        <w:ind w:left="709" w:right="709"/>
        <w:contextualSpacing/>
        <w:jc w:val="both"/>
        <w:rPr>
          <w:rFonts w:ascii="Verdana" w:eastAsia="Calibri" w:hAnsi="Verdana" w:cs="Arial"/>
          <w:sz w:val="20"/>
          <w:szCs w:val="20"/>
        </w:rPr>
      </w:pPr>
    </w:p>
    <w:p w14:paraId="7F92A497" w14:textId="77777777" w:rsidR="00432192" w:rsidRPr="007A7831" w:rsidRDefault="00432192" w:rsidP="00432192">
      <w:pPr>
        <w:spacing w:after="0" w:line="240" w:lineRule="auto"/>
        <w:ind w:left="709" w:right="709"/>
        <w:contextualSpacing/>
        <w:jc w:val="both"/>
        <w:rPr>
          <w:rFonts w:ascii="Verdana" w:eastAsia="Calibri" w:hAnsi="Verdana" w:cs="Arial"/>
          <w:sz w:val="20"/>
          <w:szCs w:val="20"/>
        </w:rPr>
      </w:pPr>
      <w:r w:rsidRPr="007A7831">
        <w:rPr>
          <w:rFonts w:ascii="Verdana" w:eastAsia="Calibri" w:hAnsi="Verdana" w:cs="Arial"/>
          <w:sz w:val="20"/>
          <w:szCs w:val="20"/>
        </w:rPr>
        <w:t>Artículo 13. PRINCIPIOS GENERALES DE LA ACTIVIDAD CONTRACTUAL PARA ENTIDADES NO SOMETIDAS AL ESTATUTO GENERAL DE CONTRATACIÓN DE LA ADMINISTRACIÓN PÚBLICA. Las entidades estatales que por disposición legal cuenten con un régimen contractual excepcional al del Estatuto General de Contratación de la Administración Pública, aplicarán en desarrollo de su actividad contractual, acorde con su régimen legal especial, los principios de la función administrativa y de la gestión fiscal de que tratan los artículos 209 y 267 de la Constitución Política, respectivamente según sea el caso y estarán sometidas al régimen de inhabilidades e incompatibilidades previsto legalmente para la contratación estatal.</w:t>
      </w:r>
    </w:p>
    <w:p w14:paraId="37C12DDE" w14:textId="77777777" w:rsidR="00432192" w:rsidRPr="007A7831" w:rsidRDefault="00432192" w:rsidP="00432192">
      <w:pPr>
        <w:spacing w:after="0" w:line="240" w:lineRule="auto"/>
        <w:ind w:left="709" w:right="709"/>
        <w:contextualSpacing/>
        <w:jc w:val="both"/>
        <w:rPr>
          <w:rFonts w:ascii="Verdana" w:eastAsia="Calibri" w:hAnsi="Verdana" w:cs="Arial"/>
          <w:sz w:val="20"/>
          <w:szCs w:val="20"/>
        </w:rPr>
      </w:pPr>
    </w:p>
    <w:p w14:paraId="09095E9D" w14:textId="77777777" w:rsidR="00432192" w:rsidRPr="007A7831" w:rsidRDefault="00432192" w:rsidP="00432192">
      <w:pPr>
        <w:spacing w:after="0" w:line="240" w:lineRule="auto"/>
        <w:ind w:left="709" w:right="709"/>
        <w:contextualSpacing/>
        <w:jc w:val="both"/>
        <w:rPr>
          <w:rFonts w:ascii="Verdana" w:eastAsia="Calibri" w:hAnsi="Verdana" w:cs="Arial"/>
          <w:i/>
          <w:iCs/>
          <w:sz w:val="20"/>
          <w:szCs w:val="20"/>
        </w:rPr>
      </w:pPr>
      <w:r w:rsidRPr="007A7831">
        <w:rPr>
          <w:rFonts w:ascii="Verdana" w:eastAsia="Calibri" w:hAnsi="Verdana" w:cs="Arial"/>
          <w:i/>
          <w:iCs/>
          <w:sz w:val="20"/>
          <w:szCs w:val="20"/>
        </w:rPr>
        <w:t xml:space="preserve">En desarrollo de los anteriores principios, deberán publicar los documentos relacionados con su actividad contractual en el Sistema Electrónico para la Contratación Pública –SECOP II– o la plataforma transaccional que haga sus veces. Para los efectos de este artículo, se entiende por actividad contractual los documentos, contratos, actos e información generada por oferentes, contratista, contratante, supervisor o interventor, tanto en la etapa precontractual, como en la contractual y la </w:t>
      </w:r>
      <w:proofErr w:type="spellStart"/>
      <w:r w:rsidRPr="007A7831">
        <w:rPr>
          <w:rFonts w:ascii="Verdana" w:eastAsia="Calibri" w:hAnsi="Verdana" w:cs="Arial"/>
          <w:i/>
          <w:iCs/>
          <w:sz w:val="20"/>
          <w:szCs w:val="20"/>
        </w:rPr>
        <w:t>postcontractual</w:t>
      </w:r>
      <w:proofErr w:type="spellEnd"/>
      <w:r w:rsidRPr="007A7831">
        <w:rPr>
          <w:rFonts w:ascii="Verdana" w:eastAsia="Calibri" w:hAnsi="Verdana" w:cs="Arial"/>
          <w:i/>
          <w:iCs/>
          <w:sz w:val="20"/>
          <w:szCs w:val="20"/>
        </w:rPr>
        <w:t>.</w:t>
      </w:r>
    </w:p>
    <w:p w14:paraId="477F7305" w14:textId="77777777" w:rsidR="00432192" w:rsidRPr="007A7831" w:rsidRDefault="00432192" w:rsidP="00432192">
      <w:pPr>
        <w:spacing w:after="0" w:line="240" w:lineRule="auto"/>
        <w:ind w:left="709" w:right="709"/>
        <w:contextualSpacing/>
        <w:jc w:val="both"/>
        <w:rPr>
          <w:rFonts w:ascii="Verdana" w:eastAsia="Calibri" w:hAnsi="Verdana" w:cs="Arial"/>
          <w:sz w:val="20"/>
          <w:szCs w:val="20"/>
        </w:rPr>
      </w:pPr>
    </w:p>
    <w:p w14:paraId="7F6C5351" w14:textId="77777777" w:rsidR="00432192" w:rsidRPr="007A7831" w:rsidRDefault="00432192" w:rsidP="00432192">
      <w:pPr>
        <w:spacing w:after="0" w:line="240" w:lineRule="auto"/>
        <w:ind w:left="709" w:right="709"/>
        <w:contextualSpacing/>
        <w:jc w:val="both"/>
        <w:rPr>
          <w:rFonts w:ascii="Verdana" w:eastAsia="Calibri" w:hAnsi="Verdana" w:cs="Arial"/>
          <w:sz w:val="20"/>
          <w:szCs w:val="20"/>
        </w:rPr>
      </w:pPr>
      <w:r w:rsidRPr="007A7831">
        <w:rPr>
          <w:rFonts w:ascii="Verdana" w:eastAsia="Calibri" w:hAnsi="Verdana" w:cs="Arial"/>
          <w:sz w:val="20"/>
          <w:szCs w:val="20"/>
        </w:rPr>
        <w:t xml:space="preserve">A partir de la </w:t>
      </w:r>
      <w:proofErr w:type="gramStart"/>
      <w:r w:rsidRPr="007A7831">
        <w:rPr>
          <w:rFonts w:ascii="Verdana" w:eastAsia="Calibri" w:hAnsi="Verdana" w:cs="Arial"/>
          <w:sz w:val="20"/>
          <w:szCs w:val="20"/>
        </w:rPr>
        <w:t>entrada en vigencia</w:t>
      </w:r>
      <w:proofErr w:type="gramEnd"/>
      <w:r w:rsidRPr="007A7831">
        <w:rPr>
          <w:rFonts w:ascii="Verdana" w:eastAsia="Calibri" w:hAnsi="Verdana" w:cs="Arial"/>
          <w:sz w:val="20"/>
          <w:szCs w:val="20"/>
        </w:rPr>
        <w:t xml:space="preserve"> de la presente Ley, se establecerá un periodo de transición de seis (6) meses, para que las entidades den cumplimiento efectivo a lo aquí establecido. (Cursiva fuera del original).</w:t>
      </w:r>
    </w:p>
    <w:p w14:paraId="79C535B8" w14:textId="77777777" w:rsidR="00432192" w:rsidRPr="007A7831" w:rsidRDefault="00432192" w:rsidP="00432192">
      <w:pPr>
        <w:spacing w:after="0" w:line="276" w:lineRule="auto"/>
        <w:ind w:firstLine="709"/>
        <w:contextualSpacing/>
        <w:jc w:val="both"/>
        <w:rPr>
          <w:rFonts w:ascii="Arial" w:eastAsia="Calibri" w:hAnsi="Arial" w:cs="Arial"/>
          <w:sz w:val="20"/>
          <w:szCs w:val="20"/>
          <w:lang w:val="es-ES_tradnl"/>
        </w:rPr>
      </w:pPr>
    </w:p>
    <w:p w14:paraId="1DAAD83F" w14:textId="77777777" w:rsidR="00432192" w:rsidRPr="007A7831" w:rsidRDefault="00432192" w:rsidP="00432192">
      <w:pPr>
        <w:spacing w:line="276" w:lineRule="auto"/>
        <w:ind w:firstLine="567"/>
        <w:jc w:val="both"/>
        <w:rPr>
          <w:rFonts w:ascii="Verdana" w:eastAsia="Calibri" w:hAnsi="Verdana" w:cs="Arial"/>
          <w:lang w:val="es-ES_tradnl"/>
        </w:rPr>
      </w:pPr>
      <w:r w:rsidRPr="007A7831">
        <w:rPr>
          <w:rFonts w:ascii="Verdana" w:eastAsia="Calibri" w:hAnsi="Verdana" w:cs="Arial"/>
          <w:lang w:val="es-ES_tradnl"/>
        </w:rPr>
        <w:t xml:space="preserve">Con el propósito de garantizar el cumplimiento del mencionado deber de publicidad, la Agencia Nacional de Contratación Pública - Colombia Compra </w:t>
      </w:r>
      <w:r w:rsidRPr="007A7831">
        <w:rPr>
          <w:rFonts w:ascii="Verdana" w:eastAsia="Calibri" w:hAnsi="Verdana" w:cs="Arial"/>
          <w:lang w:val="es-ES_tradnl"/>
        </w:rPr>
        <w:lastRenderedPageBreak/>
        <w:t>Eficiente, en su calidad de administrador del SECOP, en los términos establecidos en el numeral 8 del artículo 3 del Decreto-Ley 4170</w:t>
      </w:r>
      <w:r w:rsidRPr="007A7831">
        <w:rPr>
          <w:rFonts w:ascii="Verdana" w:eastAsia="Calibri" w:hAnsi="Verdana" w:cs="Arial"/>
          <w:vertAlign w:val="superscript"/>
          <w:lang w:val="es-ES_tradnl"/>
        </w:rPr>
        <w:footnoteReference w:id="4"/>
      </w:r>
      <w:r w:rsidRPr="007A7831">
        <w:rPr>
          <w:rFonts w:ascii="Verdana" w:eastAsia="Calibri" w:hAnsi="Verdana" w:cs="Arial"/>
          <w:lang w:val="es-ES_tradnl"/>
        </w:rPr>
        <w:t>, tiene dispuesto dos módulos para las entidades estatales con régimen especial, los cuales son:</w:t>
      </w:r>
    </w:p>
    <w:p w14:paraId="3E369ADD" w14:textId="77777777" w:rsidR="00432192" w:rsidRPr="007A7831" w:rsidRDefault="00432192" w:rsidP="00432192">
      <w:pPr>
        <w:numPr>
          <w:ilvl w:val="0"/>
          <w:numId w:val="19"/>
        </w:numPr>
        <w:spacing w:line="276" w:lineRule="auto"/>
        <w:jc w:val="both"/>
        <w:rPr>
          <w:rFonts w:ascii="Verdana" w:eastAsia="Calibri" w:hAnsi="Verdana" w:cs="Arial"/>
          <w:u w:val="single"/>
          <w:lang w:val="es-MX"/>
        </w:rPr>
      </w:pPr>
      <w:r w:rsidRPr="007A7831">
        <w:rPr>
          <w:rFonts w:ascii="Verdana" w:eastAsia="Calibri" w:hAnsi="Verdana" w:cs="Arial"/>
          <w:b/>
          <w:bCs/>
          <w:lang w:val="es-MX"/>
        </w:rPr>
        <w:t>Contratación Régimen Especial (con ofertas)</w:t>
      </w:r>
      <w:r w:rsidRPr="007A7831">
        <w:rPr>
          <w:rFonts w:ascii="Verdana" w:eastAsia="Calibri" w:hAnsi="Verdana" w:cs="Arial"/>
          <w:iCs/>
          <w:vertAlign w:val="superscript"/>
          <w:lang w:val="es-ES"/>
        </w:rPr>
        <w:footnoteReference w:id="5"/>
      </w:r>
      <w:r w:rsidRPr="007A7831">
        <w:rPr>
          <w:rFonts w:ascii="Verdana" w:eastAsia="Calibri" w:hAnsi="Verdana" w:cs="Arial"/>
          <w:b/>
          <w:bCs/>
          <w:lang w:val="es-MX"/>
        </w:rPr>
        <w:t>:</w:t>
      </w:r>
      <w:r w:rsidRPr="007A7831">
        <w:rPr>
          <w:rFonts w:ascii="Verdana" w:eastAsia="Calibri" w:hAnsi="Verdana" w:cs="Arial"/>
          <w:lang w:val="es-MX"/>
        </w:rPr>
        <w:t xml:space="preserve"> Permite a las entidades gestionar sus procesos competitivos de contratación. Mediante este módulo las entidades pueden adelantar el proceso de contratación de manera transaccional, es decir, que a través de este módulo las entidades estatales pueden estructurar el proceso de contratación, recibir ofertas de los proveedores, generar el contrato de electrónico y realizar la gestión contractual. </w:t>
      </w:r>
    </w:p>
    <w:p w14:paraId="4FDFF00B" w14:textId="77777777" w:rsidR="00432192" w:rsidRPr="007A7831" w:rsidRDefault="00432192" w:rsidP="00432192">
      <w:pPr>
        <w:numPr>
          <w:ilvl w:val="0"/>
          <w:numId w:val="19"/>
        </w:numPr>
        <w:spacing w:line="276" w:lineRule="auto"/>
        <w:jc w:val="both"/>
        <w:rPr>
          <w:rFonts w:ascii="Verdana" w:eastAsia="Calibri" w:hAnsi="Verdana" w:cs="Arial"/>
          <w:u w:val="single"/>
          <w:lang w:val="es-MX"/>
        </w:rPr>
      </w:pPr>
      <w:r w:rsidRPr="007A7831">
        <w:rPr>
          <w:rFonts w:ascii="Verdana" w:eastAsia="Calibri" w:hAnsi="Verdana" w:cs="Arial"/>
          <w:b/>
          <w:bCs/>
          <w:lang w:val="es-MX"/>
        </w:rPr>
        <w:t>Contratación Régimen Especial (sin ofertas)</w:t>
      </w:r>
      <w:r w:rsidRPr="007A7831">
        <w:rPr>
          <w:rFonts w:ascii="Verdana" w:eastAsia="Calibri" w:hAnsi="Verdana" w:cs="Arial"/>
          <w:iCs/>
          <w:vertAlign w:val="superscript"/>
          <w:lang w:val="es-ES"/>
        </w:rPr>
        <w:footnoteReference w:id="6"/>
      </w:r>
      <w:r w:rsidRPr="007A7831">
        <w:rPr>
          <w:rFonts w:ascii="Verdana" w:eastAsia="Calibri" w:hAnsi="Verdana" w:cs="Arial"/>
          <w:b/>
          <w:bCs/>
          <w:lang w:val="es-MX"/>
        </w:rPr>
        <w:t>:</w:t>
      </w:r>
      <w:r w:rsidRPr="007A7831">
        <w:rPr>
          <w:rFonts w:ascii="Verdana" w:eastAsia="Calibri" w:hAnsi="Verdana" w:cs="Arial"/>
          <w:lang w:val="es-MX"/>
        </w:rPr>
        <w:t xml:space="preserve"> Este módulo permite a las entidades gestionar sus procesos de selección directos. Asimismo, este módulo permite estructurar los procesos de contratación, publicar documentos generados por fuera de la plataforma y realizar la gestión contractual en línea. </w:t>
      </w:r>
    </w:p>
    <w:p w14:paraId="5D08B514" w14:textId="77777777" w:rsidR="00432192" w:rsidRPr="007A7831" w:rsidRDefault="00432192" w:rsidP="00432192">
      <w:pPr>
        <w:spacing w:line="276" w:lineRule="auto"/>
        <w:ind w:firstLine="567"/>
        <w:jc w:val="both"/>
        <w:rPr>
          <w:rFonts w:ascii="Verdana" w:eastAsia="Calibri" w:hAnsi="Verdana" w:cs="Arial"/>
          <w:iCs/>
          <w:lang w:val="es-ES"/>
        </w:rPr>
      </w:pPr>
      <w:r w:rsidRPr="007A7831">
        <w:rPr>
          <w:rFonts w:ascii="Verdana" w:eastAsia="Calibri" w:hAnsi="Verdana" w:cs="Arial"/>
          <w:iCs/>
          <w:lang w:val="es-ES"/>
        </w:rPr>
        <w:t xml:space="preserve">Ahora bien, </w:t>
      </w:r>
      <w:bookmarkStart w:id="3" w:name="_Hlk109112150"/>
      <w:r w:rsidRPr="007A7831">
        <w:rPr>
          <w:rFonts w:ascii="Verdana" w:eastAsia="Calibri" w:hAnsi="Verdana" w:cs="Arial"/>
          <w:iCs/>
          <w:lang w:val="es-ES"/>
        </w:rPr>
        <w:t>dado que el artículo 53 de la Ley 2195 de 2022 no cambió la forma en que se perfeccionan los contratos suscritos por estas entidades exceptuadas, para cumplir con el deber de publicidad que les asiste, estas podrán elegir cualquiera de las siguientes opciones:</w:t>
      </w:r>
    </w:p>
    <w:p w14:paraId="3217AD5D" w14:textId="77777777" w:rsidR="00432192" w:rsidRPr="007A7831" w:rsidRDefault="00432192" w:rsidP="00432192">
      <w:pPr>
        <w:numPr>
          <w:ilvl w:val="0"/>
          <w:numId w:val="18"/>
        </w:numPr>
        <w:spacing w:line="276" w:lineRule="auto"/>
        <w:jc w:val="both"/>
        <w:rPr>
          <w:rFonts w:ascii="Verdana" w:eastAsia="Calibri" w:hAnsi="Verdana" w:cs="Arial"/>
          <w:iCs/>
          <w:lang w:val="es-ES"/>
        </w:rPr>
      </w:pPr>
      <w:r w:rsidRPr="007A7831">
        <w:rPr>
          <w:rFonts w:ascii="Verdana" w:eastAsia="Calibri" w:hAnsi="Verdana" w:cs="Arial"/>
          <w:lang w:val="es-ES"/>
        </w:rPr>
        <w:t>Firmar</w:t>
      </w:r>
      <w:r w:rsidRPr="007A7831">
        <w:rPr>
          <w:rFonts w:ascii="Verdana" w:eastAsia="Calibri" w:hAnsi="Verdana" w:cs="Arial"/>
          <w:lang w:val="es-MX"/>
        </w:rPr>
        <w:t xml:space="preserve"> el contrato electrónicamente, es decir, realizar un uso transaccional de la plataforma.</w:t>
      </w:r>
    </w:p>
    <w:p w14:paraId="51628E3E" w14:textId="77777777" w:rsidR="00432192" w:rsidRPr="007A7831" w:rsidRDefault="00432192" w:rsidP="00432192">
      <w:pPr>
        <w:numPr>
          <w:ilvl w:val="0"/>
          <w:numId w:val="18"/>
        </w:numPr>
        <w:spacing w:line="276" w:lineRule="auto"/>
        <w:jc w:val="both"/>
        <w:rPr>
          <w:rFonts w:ascii="Verdana" w:eastAsia="Calibri" w:hAnsi="Verdana" w:cs="Arial"/>
          <w:lang w:val="es-MX"/>
        </w:rPr>
      </w:pPr>
      <w:r w:rsidRPr="007A7831">
        <w:rPr>
          <w:rFonts w:ascii="Verdana" w:eastAsia="Calibri" w:hAnsi="Verdana" w:cs="Arial"/>
          <w:lang w:val="es-MX"/>
        </w:rPr>
        <w:t>Firmar el contrato en físico y publicar los documentos de ejecución en la etapa precontractual del SECOP II, es decir, realizar un uso publicitario de la plataforma.</w:t>
      </w:r>
    </w:p>
    <w:p w14:paraId="4CF7C8F9" w14:textId="77777777" w:rsidR="00432192" w:rsidRPr="007A7831" w:rsidRDefault="00432192" w:rsidP="00432192">
      <w:pPr>
        <w:spacing w:line="276" w:lineRule="auto"/>
        <w:ind w:firstLine="567"/>
        <w:jc w:val="both"/>
        <w:rPr>
          <w:rFonts w:ascii="Verdana" w:eastAsia="Calibri" w:hAnsi="Verdana" w:cs="Arial"/>
        </w:rPr>
      </w:pPr>
      <w:r w:rsidRPr="007A7831">
        <w:rPr>
          <w:rFonts w:ascii="Verdana" w:eastAsia="Calibri" w:hAnsi="Verdana" w:cs="Arial"/>
        </w:rPr>
        <w:lastRenderedPageBreak/>
        <w:t xml:space="preserve">En el primer caso, si la entidad opta por hacer uso de la plataforma de manera transaccional (firmando el contrato electrónicamente), deberá utilizar el módulo de “Contratación Régimen Especial”, estructurar el proceso de contratación, generar el contrato electrónico y realizar la gestión contractual en línea a través de la plataforma. En este caso, no será posible firmar el contrato de forma manuscrita y posteriormente cargarlo. Por lo cual, a efectos de determinar la fecha exacta en que se suscribió el contrato, a efectos de la aplicación de la restricción de la Ley de Garantías Electorales se aplicará lo explicado en el numeral anterior. </w:t>
      </w:r>
    </w:p>
    <w:p w14:paraId="58E5DA3D" w14:textId="77777777" w:rsidR="00432192" w:rsidRPr="007A7831" w:rsidRDefault="00432192" w:rsidP="00432192">
      <w:pPr>
        <w:spacing w:line="276" w:lineRule="auto"/>
        <w:ind w:firstLine="567"/>
        <w:jc w:val="both"/>
        <w:rPr>
          <w:rFonts w:ascii="Verdana" w:eastAsia="Calibri" w:hAnsi="Verdana" w:cs="Arial"/>
        </w:rPr>
      </w:pPr>
      <w:r w:rsidRPr="007A7831">
        <w:rPr>
          <w:rFonts w:ascii="Verdana" w:eastAsia="Calibri" w:hAnsi="Verdana" w:cs="Arial"/>
        </w:rPr>
        <w:t>En el segundo caso, si decide utilizar el SECOP II como herramienta de publicidad, deberá crear el proceso de contratación en el SECOP II mediante el módulo “</w:t>
      </w:r>
      <w:r w:rsidRPr="007A7831">
        <w:rPr>
          <w:rFonts w:ascii="Verdana" w:eastAsia="Calibri" w:hAnsi="Verdana" w:cs="Arial"/>
          <w:i/>
          <w:iCs/>
        </w:rPr>
        <w:t>Contratación Régimen Especial (sin ofertas)”</w:t>
      </w:r>
      <w:r w:rsidRPr="007A7831">
        <w:rPr>
          <w:rFonts w:ascii="Verdana" w:eastAsia="Calibri" w:hAnsi="Verdana" w:cs="Arial"/>
        </w:rPr>
        <w:t>, cargar todos los documentos del proceso en la sección dispuesta para ello y publicar el proceso. La publicación de los documentos de la gestión contractual, incluido el contrato firmado manuscritamente, debe realizarse mediante modificaciones al proceso a través de la opción “Modificaciones/Adendas”. Sin embargo, las entidades públicas deberán tener en cuenta que, si utilizan esta opción, no deben dar clic en “</w:t>
      </w:r>
      <w:r w:rsidRPr="007A7831">
        <w:rPr>
          <w:rFonts w:ascii="Verdana" w:eastAsia="Calibri" w:hAnsi="Verdana" w:cs="Arial"/>
          <w:i/>
          <w:iCs/>
        </w:rPr>
        <w:t>Finalizar</w:t>
      </w:r>
      <w:r w:rsidRPr="007A7831">
        <w:rPr>
          <w:rFonts w:ascii="Verdana" w:eastAsia="Calibri" w:hAnsi="Verdana" w:cs="Arial"/>
        </w:rPr>
        <w:t xml:space="preserve">” después de publicar el proceso, en tanto que la plataforma cierra el expediente y no permite la publicación posterior de ningún otro documento. </w:t>
      </w:r>
    </w:p>
    <w:p w14:paraId="04F23194" w14:textId="1E8DF3EE" w:rsidR="00432192" w:rsidRPr="007A7831" w:rsidRDefault="00432192" w:rsidP="00432192">
      <w:pPr>
        <w:spacing w:line="276" w:lineRule="auto"/>
        <w:ind w:firstLine="567"/>
        <w:jc w:val="both"/>
        <w:rPr>
          <w:rFonts w:ascii="Verdana" w:eastAsia="Calibri" w:hAnsi="Verdana" w:cs="Arial"/>
        </w:rPr>
      </w:pPr>
      <w:r w:rsidRPr="007A7831">
        <w:rPr>
          <w:rFonts w:ascii="Verdana" w:eastAsia="Calibri" w:hAnsi="Verdana" w:cs="Arial"/>
        </w:rPr>
        <w:t xml:space="preserve">En este segundo evento si es posible que se firme el contrato de forma manuscrita y, posteriormente, se cargue a la plataforma para realizar la debida publicidad </w:t>
      </w:r>
      <w:proofErr w:type="gramStart"/>
      <w:r w:rsidRPr="007A7831">
        <w:rPr>
          <w:rFonts w:ascii="Verdana" w:eastAsia="Calibri" w:hAnsi="Verdana" w:cs="Arial"/>
        </w:rPr>
        <w:t>del mismo</w:t>
      </w:r>
      <w:proofErr w:type="gramEnd"/>
      <w:r w:rsidRPr="007A7831">
        <w:rPr>
          <w:rFonts w:ascii="Verdana" w:eastAsia="Calibri" w:hAnsi="Verdana" w:cs="Arial"/>
        </w:rPr>
        <w:t xml:space="preserve">. La fecha de perfeccionamiento del contrato será aquella en la cual el contrato fue suscrito por ambas partes. </w:t>
      </w:r>
    </w:p>
    <w:bookmarkEnd w:id="3"/>
    <w:p w14:paraId="5A649EF4" w14:textId="77777777" w:rsidR="00432192" w:rsidRPr="007A7831" w:rsidRDefault="00432192" w:rsidP="00432192">
      <w:pPr>
        <w:spacing w:line="276" w:lineRule="auto"/>
        <w:ind w:firstLine="567"/>
        <w:jc w:val="both"/>
        <w:rPr>
          <w:rFonts w:ascii="Verdana" w:eastAsia="Calibri" w:hAnsi="Verdana" w:cs="Arial"/>
          <w:lang w:val="es-ES"/>
        </w:rPr>
      </w:pPr>
      <w:r w:rsidRPr="007A7831">
        <w:rPr>
          <w:rFonts w:ascii="Verdana" w:eastAsia="Calibri" w:hAnsi="Verdana" w:cs="Arial"/>
        </w:rPr>
        <w:t>No obstante, es importante resaltar que el uso de la plataforma SECOP II para fines netamente publicitarios, solo es una opción para aquellas entidades exceptuadas del Estatuto General de Contratación de la Administración Pública, mediante el módulo “Contratación Régimen Especial (sin ofertas)”. Lo cual excluye la posibilidad de que las entidades sometidas al Estatuto General de Contratación utilicen el SECOP II con fines netamente publicitarios, sino que están obligadas a tranzar por dicha plataforma.</w:t>
      </w:r>
    </w:p>
    <w:p w14:paraId="55D9B7B7" w14:textId="033AEAD4" w:rsidR="00276133" w:rsidRPr="00B20018" w:rsidRDefault="00432192" w:rsidP="00B20018">
      <w:pPr>
        <w:spacing w:after="0" w:line="276" w:lineRule="auto"/>
        <w:ind w:firstLine="567"/>
        <w:jc w:val="both"/>
        <w:rPr>
          <w:rFonts w:ascii="Verdana" w:eastAsia="Times New Roman" w:hAnsi="Verdana" w:cs="Arial"/>
          <w:bCs/>
          <w:lang w:eastAsia="x-none"/>
        </w:rPr>
      </w:pPr>
      <w:r w:rsidRPr="007A7831">
        <w:rPr>
          <w:rFonts w:ascii="Verdana" w:eastAsia="Times New Roman" w:hAnsi="Verdana" w:cs="Arial"/>
          <w:bCs/>
          <w:lang w:eastAsia="x-none"/>
        </w:rPr>
        <w:t>.</w:t>
      </w:r>
      <w:r>
        <w:rPr>
          <w:rFonts w:ascii="Verdana" w:eastAsia="Times New Roman" w:hAnsi="Verdana" w:cs="Arial"/>
          <w:bCs/>
          <w:lang w:eastAsia="x-none"/>
        </w:rPr>
        <w:t xml:space="preserve"> </w:t>
      </w:r>
    </w:p>
    <w:p w14:paraId="2104AEA2" w14:textId="789B91F2" w:rsidR="00276133" w:rsidRPr="00842B0E" w:rsidRDefault="00276133" w:rsidP="00276133">
      <w:pPr>
        <w:tabs>
          <w:tab w:val="left" w:pos="142"/>
          <w:tab w:val="left" w:pos="284"/>
        </w:tabs>
        <w:spacing w:after="0" w:line="276" w:lineRule="auto"/>
        <w:rPr>
          <w:rFonts w:ascii="Verdana" w:eastAsia="Century Gothic" w:hAnsi="Verdana" w:cs="Century Gothic"/>
          <w:b/>
          <w:bCs/>
        </w:rPr>
      </w:pPr>
      <w:bookmarkStart w:id="4" w:name="_Hlk204854194"/>
      <w:r w:rsidRPr="00842B0E">
        <w:rPr>
          <w:rFonts w:ascii="Verdana" w:eastAsia="Century Gothic" w:hAnsi="Verdana" w:cs="Century Gothic"/>
          <w:b/>
          <w:bCs/>
        </w:rPr>
        <w:t>4. Referencias normativas:</w:t>
      </w:r>
    </w:p>
    <w:bookmarkEnd w:id="4"/>
    <w:p w14:paraId="4BAC4FF2" w14:textId="77777777" w:rsidR="00276133" w:rsidRPr="00842B0E" w:rsidRDefault="00276133" w:rsidP="00276133">
      <w:pPr>
        <w:widowControl w:val="0"/>
        <w:autoSpaceDE w:val="0"/>
        <w:autoSpaceDN w:val="0"/>
        <w:spacing w:after="0" w:line="276" w:lineRule="auto"/>
        <w:jc w:val="both"/>
        <w:rPr>
          <w:rFonts w:ascii="Verdana" w:hAnsi="Verdana" w:cs="Arial"/>
        </w:rPr>
      </w:pPr>
    </w:p>
    <w:tbl>
      <w:tblPr>
        <w:tblStyle w:val="Tablaconcuadrcula"/>
        <w:tblW w:w="8647" w:type="dxa"/>
        <w:jc w:val="center"/>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4A0" w:firstRow="1" w:lastRow="0" w:firstColumn="1" w:lastColumn="0" w:noHBand="0" w:noVBand="1"/>
      </w:tblPr>
      <w:tblGrid>
        <w:gridCol w:w="8647"/>
      </w:tblGrid>
      <w:tr w:rsidR="00276133" w:rsidRPr="00842B0E" w14:paraId="64ECAD49" w14:textId="77777777">
        <w:trPr>
          <w:trHeight w:val="870"/>
          <w:jc w:val="center"/>
        </w:trPr>
        <w:tc>
          <w:tcPr>
            <w:tcW w:w="8647" w:type="dxa"/>
          </w:tcPr>
          <w:p w14:paraId="39A86D26" w14:textId="2879472A" w:rsidR="00E25D7A" w:rsidRPr="00E25D7A" w:rsidRDefault="00CB2BCA" w:rsidP="00F900D9">
            <w:pPr>
              <w:widowControl w:val="0"/>
              <w:numPr>
                <w:ilvl w:val="0"/>
                <w:numId w:val="17"/>
              </w:numPr>
              <w:autoSpaceDE w:val="0"/>
              <w:autoSpaceDN w:val="0"/>
              <w:snapToGrid w:val="0"/>
              <w:spacing w:before="240" w:line="276" w:lineRule="auto"/>
              <w:jc w:val="both"/>
              <w:rPr>
                <w:rFonts w:ascii="Verdana" w:eastAsia="Calibri" w:hAnsi="Verdana" w:cs="Arial"/>
                <w:lang w:val="es-ES" w:eastAsia="es-CO"/>
              </w:rPr>
            </w:pPr>
            <w:r w:rsidRPr="00CB2BCA">
              <w:rPr>
                <w:rFonts w:ascii="Verdana" w:eastAsia="Calibri" w:hAnsi="Verdana" w:cs="Arial"/>
                <w:lang w:eastAsia="es-CO"/>
              </w:rPr>
              <w:lastRenderedPageBreak/>
              <w:t>Ley 80 de 1993</w:t>
            </w:r>
            <w:r w:rsidR="00040CA9">
              <w:rPr>
                <w:rFonts w:ascii="Verdana" w:eastAsia="Calibri" w:hAnsi="Verdana" w:cs="Arial"/>
                <w:lang w:eastAsia="es-CO"/>
              </w:rPr>
              <w:t>. A</w:t>
            </w:r>
            <w:r w:rsidRPr="00CB2BCA">
              <w:rPr>
                <w:rFonts w:ascii="Verdana" w:eastAsia="Calibri" w:hAnsi="Verdana" w:cs="Arial"/>
                <w:lang w:eastAsia="es-CO"/>
              </w:rPr>
              <w:t>rtículo 2</w:t>
            </w:r>
          </w:p>
          <w:p w14:paraId="22D798DB" w14:textId="242BD751" w:rsidR="007F0611" w:rsidRPr="00716C9A" w:rsidRDefault="00CB2BCA" w:rsidP="00F900D9">
            <w:pPr>
              <w:widowControl w:val="0"/>
              <w:numPr>
                <w:ilvl w:val="0"/>
                <w:numId w:val="17"/>
              </w:numPr>
              <w:autoSpaceDE w:val="0"/>
              <w:autoSpaceDN w:val="0"/>
              <w:snapToGrid w:val="0"/>
              <w:spacing w:before="240" w:line="276" w:lineRule="auto"/>
              <w:jc w:val="both"/>
              <w:rPr>
                <w:rFonts w:ascii="Verdana" w:eastAsia="Calibri" w:hAnsi="Verdana" w:cs="Arial"/>
                <w:lang w:val="es-ES" w:eastAsia="es-CO"/>
              </w:rPr>
            </w:pPr>
            <w:r w:rsidRPr="00CB2BCA">
              <w:rPr>
                <w:rFonts w:ascii="Verdana" w:eastAsia="Calibri" w:hAnsi="Verdana" w:cs="Arial"/>
                <w:lang w:eastAsia="es-CO"/>
              </w:rPr>
              <w:t xml:space="preserve">Decreto 1068 de 2015, </w:t>
            </w:r>
            <w:r w:rsidR="00040CA9">
              <w:rPr>
                <w:rFonts w:ascii="Verdana" w:eastAsia="Calibri" w:hAnsi="Verdana" w:cs="Arial"/>
                <w:lang w:eastAsia="es-CO"/>
              </w:rPr>
              <w:t>A</w:t>
            </w:r>
            <w:r w:rsidRPr="00CB2BCA">
              <w:rPr>
                <w:rFonts w:ascii="Verdana" w:eastAsia="Calibri" w:hAnsi="Verdana" w:cs="Arial"/>
                <w:lang w:eastAsia="es-CO"/>
              </w:rPr>
              <w:t xml:space="preserve">rtículo 2.2.1.1.1. </w:t>
            </w:r>
          </w:p>
          <w:p w14:paraId="3677FDB9" w14:textId="6B30B426" w:rsidR="00040CA9" w:rsidRDefault="00716C9A" w:rsidP="00F900D9">
            <w:pPr>
              <w:widowControl w:val="0"/>
              <w:numPr>
                <w:ilvl w:val="0"/>
                <w:numId w:val="17"/>
              </w:numPr>
              <w:autoSpaceDE w:val="0"/>
              <w:autoSpaceDN w:val="0"/>
              <w:snapToGrid w:val="0"/>
              <w:spacing w:before="240" w:line="276" w:lineRule="auto"/>
              <w:jc w:val="both"/>
              <w:rPr>
                <w:rFonts w:ascii="Verdana" w:eastAsia="Calibri" w:hAnsi="Verdana" w:cs="Arial"/>
                <w:lang w:val="es-ES" w:eastAsia="es-CO"/>
              </w:rPr>
            </w:pPr>
            <w:r>
              <w:rPr>
                <w:rFonts w:ascii="Verdana" w:eastAsia="Calibri" w:hAnsi="Verdana" w:cs="Arial"/>
                <w:lang w:eastAsia="es-CO"/>
              </w:rPr>
              <w:t>Decreto 4170 de 2011.</w:t>
            </w:r>
            <w:r w:rsidR="00040CA9" w:rsidRPr="00CB2BCA">
              <w:rPr>
                <w:rFonts w:ascii="Verdana" w:eastAsia="Calibri" w:hAnsi="Verdana" w:cs="Arial"/>
                <w:lang w:eastAsia="es-CO"/>
              </w:rPr>
              <w:t xml:space="preserve"> Artículo</w:t>
            </w:r>
            <w:r w:rsidR="00B73A48">
              <w:rPr>
                <w:rFonts w:ascii="Verdana" w:eastAsia="Calibri" w:hAnsi="Verdana" w:cs="Arial"/>
                <w:lang w:eastAsia="es-CO"/>
              </w:rPr>
              <w:t>s 3,</w:t>
            </w:r>
            <w:r w:rsidR="00040CA9">
              <w:rPr>
                <w:rFonts w:ascii="Verdana" w:eastAsia="Calibri" w:hAnsi="Verdana" w:cs="Arial"/>
                <w:lang w:eastAsia="es-CO"/>
              </w:rPr>
              <w:t xml:space="preserve"> 11</w:t>
            </w:r>
          </w:p>
          <w:p w14:paraId="14219B7D" w14:textId="498B117F" w:rsidR="00311EB8" w:rsidRPr="00311EB8" w:rsidRDefault="00716C9A" w:rsidP="00F900D9">
            <w:pPr>
              <w:widowControl w:val="0"/>
              <w:numPr>
                <w:ilvl w:val="0"/>
                <w:numId w:val="17"/>
              </w:numPr>
              <w:autoSpaceDE w:val="0"/>
              <w:autoSpaceDN w:val="0"/>
              <w:snapToGrid w:val="0"/>
              <w:spacing w:before="240" w:line="276" w:lineRule="auto"/>
              <w:jc w:val="both"/>
              <w:rPr>
                <w:rFonts w:ascii="Verdana" w:eastAsia="Calibri" w:hAnsi="Verdana" w:cs="Arial"/>
                <w:lang w:val="es-ES" w:eastAsia="es-CO"/>
              </w:rPr>
            </w:pPr>
            <w:r w:rsidRPr="00040CA9">
              <w:rPr>
                <w:rFonts w:ascii="Verdana" w:eastAsia="Calibri" w:hAnsi="Verdana" w:cs="Arial"/>
                <w:lang w:eastAsia="es-CO"/>
              </w:rPr>
              <w:t>Guía para gestionar o publicar los procesos de Régimen Especial con oferta en el SECOP II</w:t>
            </w:r>
            <w:r w:rsidR="00F548CE">
              <w:rPr>
                <w:rFonts w:ascii="Verdana" w:eastAsia="Calibri" w:hAnsi="Verdana" w:cs="Arial"/>
                <w:lang w:eastAsia="es-CO"/>
              </w:rPr>
              <w:t xml:space="preserve"> </w:t>
            </w:r>
            <w:r w:rsidR="00F548CE" w:rsidRPr="00F548CE">
              <w:rPr>
                <w:rFonts w:ascii="Verdana" w:eastAsia="Calibri" w:hAnsi="Verdana" w:cs="Arial"/>
                <w:lang w:val="es-ES" w:eastAsia="es-CO"/>
              </w:rPr>
              <w:t>de la ANCP-CCE</w:t>
            </w:r>
            <w:r w:rsidR="00F900D9">
              <w:rPr>
                <w:rFonts w:ascii="Verdana" w:eastAsia="Calibri" w:hAnsi="Verdana" w:cs="Arial"/>
                <w:lang w:val="es-ES" w:eastAsia="es-CO"/>
              </w:rPr>
              <w:t>.</w:t>
            </w:r>
            <w:r w:rsidR="00F548CE" w:rsidRPr="00F548CE">
              <w:rPr>
                <w:rFonts w:ascii="Verdana" w:eastAsia="Calibri" w:hAnsi="Verdana" w:cs="Arial"/>
                <w:lang w:eastAsia="es-CO"/>
              </w:rPr>
              <w:t> </w:t>
            </w:r>
          </w:p>
          <w:p w14:paraId="30FC94FE" w14:textId="63CFAF5C" w:rsidR="00276133" w:rsidRPr="00F900D9" w:rsidRDefault="00311EB8" w:rsidP="00F900D9">
            <w:pPr>
              <w:widowControl w:val="0"/>
              <w:numPr>
                <w:ilvl w:val="0"/>
                <w:numId w:val="17"/>
              </w:numPr>
              <w:autoSpaceDE w:val="0"/>
              <w:autoSpaceDN w:val="0"/>
              <w:snapToGrid w:val="0"/>
              <w:spacing w:before="240" w:after="160" w:line="276" w:lineRule="auto"/>
              <w:jc w:val="both"/>
              <w:rPr>
                <w:rFonts w:ascii="Verdana" w:eastAsia="Calibri" w:hAnsi="Verdana" w:cs="Arial"/>
                <w:lang w:val="es-ES" w:eastAsia="es-CO"/>
              </w:rPr>
            </w:pPr>
            <w:r w:rsidRPr="00DA39A2">
              <w:rPr>
                <w:rFonts w:ascii="Verdana" w:eastAsia="Calibri" w:hAnsi="Verdana" w:cs="Arial"/>
                <w:lang w:val="es-ES"/>
              </w:rPr>
              <w:t>Guía SECOP II – Gestión Contractual Para Entidades Estatales</w:t>
            </w:r>
            <w:r>
              <w:rPr>
                <w:rFonts w:ascii="Verdana" w:eastAsia="Calibri" w:hAnsi="Verdana" w:cs="Arial"/>
                <w:lang w:val="es-ES"/>
              </w:rPr>
              <w:t xml:space="preserve"> </w:t>
            </w:r>
            <w:r w:rsidRPr="00F548CE">
              <w:rPr>
                <w:rFonts w:ascii="Verdana" w:eastAsia="Calibri" w:hAnsi="Verdana" w:cs="Arial"/>
                <w:lang w:val="es-ES" w:eastAsia="es-CO"/>
              </w:rPr>
              <w:t>de la ANCP-C</w:t>
            </w:r>
            <w:r w:rsidR="00F900D9">
              <w:rPr>
                <w:rFonts w:ascii="Verdana" w:eastAsia="Calibri" w:hAnsi="Verdana" w:cs="Arial"/>
                <w:lang w:val="es-ES" w:eastAsia="es-CO"/>
              </w:rPr>
              <w:t>CE.</w:t>
            </w:r>
            <w:r w:rsidRPr="00F548CE">
              <w:rPr>
                <w:rFonts w:ascii="Verdana" w:eastAsia="Calibri" w:hAnsi="Verdana" w:cs="Arial"/>
                <w:lang w:eastAsia="es-CO"/>
              </w:rPr>
              <w:t> </w:t>
            </w:r>
          </w:p>
        </w:tc>
      </w:tr>
    </w:tbl>
    <w:p w14:paraId="66C0C1A1" w14:textId="77777777" w:rsidR="00276133" w:rsidRPr="00842B0E" w:rsidRDefault="00276133" w:rsidP="00276133">
      <w:pPr>
        <w:widowControl w:val="0"/>
        <w:autoSpaceDE w:val="0"/>
        <w:autoSpaceDN w:val="0"/>
        <w:spacing w:after="0" w:line="276" w:lineRule="auto"/>
        <w:jc w:val="both"/>
        <w:rPr>
          <w:rFonts w:ascii="Verdana" w:hAnsi="Verdana" w:cs="Arial"/>
        </w:rPr>
      </w:pPr>
    </w:p>
    <w:p w14:paraId="7072D7EF" w14:textId="1B559359" w:rsidR="00276133" w:rsidRDefault="00276133" w:rsidP="00276133">
      <w:pPr>
        <w:tabs>
          <w:tab w:val="left" w:pos="142"/>
          <w:tab w:val="left" w:pos="284"/>
        </w:tabs>
        <w:spacing w:after="0" w:line="276" w:lineRule="auto"/>
        <w:jc w:val="both"/>
        <w:rPr>
          <w:rFonts w:ascii="Verdana" w:eastAsia="Century Gothic" w:hAnsi="Verdana" w:cs="Century Gothic"/>
          <w:b/>
          <w:bCs/>
        </w:rPr>
      </w:pPr>
      <w:r w:rsidRPr="00842B0E">
        <w:rPr>
          <w:rFonts w:ascii="Verdana" w:eastAsia="Century Gothic" w:hAnsi="Verdana" w:cs="Century Gothic"/>
          <w:b/>
          <w:bCs/>
        </w:rPr>
        <w:t>5. Doctrina de la Agencia Nacional de Contratación Pública:</w:t>
      </w:r>
    </w:p>
    <w:p w14:paraId="00D2DE52" w14:textId="77777777" w:rsidR="00276133" w:rsidRPr="00842B0E" w:rsidRDefault="00276133" w:rsidP="00276133">
      <w:pPr>
        <w:tabs>
          <w:tab w:val="left" w:pos="142"/>
          <w:tab w:val="left" w:pos="284"/>
        </w:tabs>
        <w:spacing w:after="0" w:line="276" w:lineRule="auto"/>
        <w:jc w:val="both"/>
        <w:rPr>
          <w:rFonts w:ascii="Verdana" w:eastAsia="Century Gothic" w:hAnsi="Verdana" w:cs="Century Gothic"/>
          <w:b/>
          <w:bCs/>
        </w:rPr>
      </w:pPr>
    </w:p>
    <w:p w14:paraId="55B27D4D" w14:textId="11A286B1" w:rsidR="00B20018" w:rsidRPr="00182466" w:rsidRDefault="00276133" w:rsidP="00B20018">
      <w:pPr>
        <w:shd w:val="clear" w:color="auto" w:fill="FFFFFF"/>
        <w:spacing w:after="0" w:line="276" w:lineRule="auto"/>
        <w:jc w:val="both"/>
        <w:rPr>
          <w:rFonts w:ascii="Verdana" w:hAnsi="Verdana" w:cs="Arial"/>
          <w:shd w:val="clear" w:color="auto" w:fill="FFFFFF"/>
        </w:rPr>
      </w:pPr>
      <w:r w:rsidRPr="00523AA0">
        <w:rPr>
          <w:rFonts w:ascii="Verdana" w:eastAsia="Calibri" w:hAnsi="Verdana" w:cs="Arial"/>
          <w:shd w:val="clear" w:color="auto" w:fill="FFFFFF"/>
        </w:rPr>
        <w:t>L</w:t>
      </w:r>
      <w:r w:rsidRPr="00523AA0">
        <w:rPr>
          <w:rFonts w:ascii="Verdana" w:eastAsia="Calibri" w:hAnsi="Verdana" w:cs="Arial"/>
          <w:shd w:val="clear" w:color="auto" w:fill="FFFFFF"/>
          <w:lang w:val="es-ES"/>
        </w:rPr>
        <w:t xml:space="preserve">a Agencia Nacional de Contratación Pública – Colombia Compra Eficiente, se ha pronunciado </w:t>
      </w:r>
      <w:r w:rsidR="00B20018">
        <w:rPr>
          <w:rFonts w:ascii="Verdana" w:hAnsi="Verdana" w:cs="Arial"/>
          <w:shd w:val="clear" w:color="auto" w:fill="FFFFFF"/>
          <w:lang w:val="es-ES_tradnl"/>
        </w:rPr>
        <w:t>e</w:t>
      </w:r>
      <w:r w:rsidR="00B20018" w:rsidRPr="00182466">
        <w:rPr>
          <w:rFonts w:ascii="Verdana" w:hAnsi="Verdana" w:cs="Arial"/>
          <w:shd w:val="clear" w:color="auto" w:fill="FFFFFF"/>
          <w:lang w:val="es-ES_tradnl"/>
        </w:rPr>
        <w:t>n relación con</w:t>
      </w:r>
      <w:r w:rsidR="00B20018" w:rsidRPr="00182466">
        <w:rPr>
          <w:rFonts w:ascii="Verdana" w:hAnsi="Verdana" w:cs="Arial"/>
          <w:shd w:val="clear" w:color="auto" w:fill="FFFFFF"/>
        </w:rPr>
        <w:t xml:space="preserve"> los principios de publicidad y de acceso a la información pública en la contratación estatal, y sobre </w:t>
      </w:r>
      <w:r w:rsidR="00B20018" w:rsidRPr="00182466">
        <w:rPr>
          <w:rFonts w:ascii="Verdana" w:hAnsi="Verdana" w:cs="Arial"/>
          <w:shd w:val="clear" w:color="auto" w:fill="FFFFFF"/>
          <w:lang w:val="es-ES"/>
        </w:rPr>
        <w:t xml:space="preserve">los fundamentos normativos del deber de publicar la documentación contractual en las plataformas SECOP I y SECOP II, en conceptos como el </w:t>
      </w:r>
      <w:r w:rsidR="00B20018" w:rsidRPr="00182466">
        <w:rPr>
          <w:rFonts w:ascii="Verdana" w:hAnsi="Verdana" w:cs="Arial"/>
          <w:shd w:val="clear" w:color="auto" w:fill="FFFFFF"/>
        </w:rPr>
        <w:t>CU-367 del 23 de julio de 2020, reiterado en los conceptos: C−433 de 24 de julio de 2020, C−468 del 24 de julio de 2020, C−474 de 24 de julio de 2020, C−488 del 28 de julio de 2020, C−544 del 21 de agosto de 2020, C−575 del 27 de agosto de 2020, C−643 del 26 de octubre de 2020, C−661 del 17 de noviembre de 2020, C-094 del 13 de abril de 2021, C−068 del 22 de abril de 2021, C-185 del 29 de abril de 2021, C-472 del 6 de septiembre de 2021, C-074 del 10 de marzo de 2022, C-083 del 18 de marzo de 2022, C-135 del 28 de marzo de 2022, C-332 del 24 de mayo de 2022, C-337 del 25 de mayo de 2022, C-355 del 2 de junio de 2022 y C-379 del 22 de junio de 2022</w:t>
      </w:r>
      <w:r w:rsidR="00B20018" w:rsidRPr="00182466">
        <w:rPr>
          <w:rFonts w:ascii="Verdana" w:hAnsi="Verdana" w:cs="Arial"/>
          <w:shd w:val="clear" w:color="auto" w:fill="FFFFFF"/>
          <w:lang w:val="es-ES_tradnl"/>
        </w:rPr>
        <w:t>. De igual manera, recientemente se pronunció sobre la interpretación del artículo 53 de la Ley 2195 de 2022, en los conceptos C-049 del 7 de marzo de 2022, C-120 del 22 de marzo de 2022, C-124 del 22 de marzo de 2022, C-132 del 28 de marzo de 2022, C-337 del 25 de mayo de 2022, C-348 del 13 de junio de 2022, C-357 del 13 de junio de 2022, C-422 del 13 de julio de 2022, C-475 del 26 de julio de 2022, C-480 del 18 de julio de 2022, C-492 del 2 de agosto de 2022, C-495 del 2 de agosto de 2022 y C-510 del 8 de agosto de 2022, C-508 del 30 de agosto de 2022. Las ideas expuestas en dichas oportunidades se reiteran a continuación y se complementan en lo pertinente</w:t>
      </w:r>
      <w:r w:rsidR="00B20018" w:rsidRPr="00182466">
        <w:rPr>
          <w:rFonts w:ascii="Verdana" w:hAnsi="Verdana" w:cs="Arial"/>
          <w:shd w:val="clear" w:color="auto" w:fill="FFFFFF"/>
        </w:rPr>
        <w:t xml:space="preserve"> </w:t>
      </w:r>
    </w:p>
    <w:p w14:paraId="1B945762" w14:textId="77777777" w:rsidR="00276133" w:rsidRPr="00211D80" w:rsidRDefault="00276133" w:rsidP="00276133">
      <w:pPr>
        <w:widowControl w:val="0"/>
        <w:autoSpaceDE w:val="0"/>
        <w:autoSpaceDN w:val="0"/>
        <w:spacing w:after="0" w:line="276" w:lineRule="auto"/>
        <w:jc w:val="both"/>
        <w:rPr>
          <w:rFonts w:ascii="Verdana" w:eastAsia="Times New Roman" w:hAnsi="Verdana" w:cs="Arial"/>
          <w:shd w:val="clear" w:color="auto" w:fill="FFFFFF"/>
          <w:lang w:val="es-ES"/>
        </w:rPr>
      </w:pPr>
    </w:p>
    <w:p w14:paraId="24E90622" w14:textId="77777777" w:rsidR="00276133" w:rsidRPr="00842B0E" w:rsidRDefault="00276133" w:rsidP="00276133">
      <w:pPr>
        <w:spacing w:after="0" w:line="276" w:lineRule="auto"/>
        <w:jc w:val="both"/>
        <w:rPr>
          <w:rFonts w:ascii="Verdana" w:hAnsi="Verdana" w:cs="Arial"/>
          <w:color w:val="000000" w:themeColor="text1"/>
          <w:shd w:val="clear" w:color="auto" w:fill="FFFFFF"/>
          <w:lang w:val="es-MX"/>
        </w:rPr>
      </w:pPr>
      <w:r w:rsidRPr="00842B0E">
        <w:rPr>
          <w:rFonts w:ascii="Verdana" w:hAnsi="Verdana" w:cs="Arial"/>
          <w:color w:val="000000" w:themeColor="text1"/>
          <w:shd w:val="clear" w:color="auto" w:fill="FFFFFF"/>
          <w:lang w:val="es-MX"/>
        </w:rPr>
        <w:t xml:space="preserve">Estos y otros conceptos se encuentran disponibles para consulta en el Sistema de relatoría de la Agencia, al cual se puede acceder a través del siguiente enlace: </w:t>
      </w:r>
      <w:hyperlink r:id="rId12" w:history="1">
        <w:r w:rsidRPr="00842B0E">
          <w:rPr>
            <w:rFonts w:ascii="Verdana" w:hAnsi="Verdana" w:cs="Arial"/>
            <w:color w:val="0000FF"/>
            <w:u w:val="single"/>
            <w:shd w:val="clear" w:color="auto" w:fill="FFFFFF"/>
            <w:lang w:val="es-MX"/>
          </w:rPr>
          <w:t>https://relatoria.colombiacompra.gov.co/busqueda/conceptos</w:t>
        </w:r>
      </w:hyperlink>
      <w:r w:rsidRPr="00842B0E">
        <w:rPr>
          <w:rFonts w:ascii="Verdana" w:hAnsi="Verdana" w:cs="Arial"/>
          <w:color w:val="000000" w:themeColor="text1"/>
          <w:shd w:val="clear" w:color="auto" w:fill="FFFFFF"/>
          <w:lang w:val="es-MX"/>
        </w:rPr>
        <w:t>.</w:t>
      </w:r>
    </w:p>
    <w:p w14:paraId="1A9D190A" w14:textId="77777777" w:rsidR="00276133" w:rsidRDefault="00276133" w:rsidP="00276133">
      <w:pPr>
        <w:spacing w:after="0" w:line="276" w:lineRule="auto"/>
        <w:jc w:val="both"/>
        <w:rPr>
          <w:rFonts w:ascii="Verdana" w:hAnsi="Verdana" w:cs="Arial"/>
          <w:color w:val="000000" w:themeColor="text1"/>
          <w:shd w:val="clear" w:color="auto" w:fill="FFFFFF"/>
          <w:lang w:val="es-MX"/>
        </w:rPr>
      </w:pPr>
    </w:p>
    <w:p w14:paraId="12417FCB" w14:textId="3B2EB5D9" w:rsidR="00276133" w:rsidRPr="005A6D0B" w:rsidRDefault="00276133" w:rsidP="00276133">
      <w:pPr>
        <w:spacing w:after="0" w:line="276" w:lineRule="auto"/>
        <w:jc w:val="both"/>
      </w:pPr>
      <w:r w:rsidRPr="00601BF6">
        <w:rPr>
          <w:rFonts w:ascii="Verdana" w:hAnsi="Verdana"/>
        </w:rPr>
        <w:t xml:space="preserve">La sostenibilidad no es una opción, es una obligación. Por ello, la Agencia Nacional de Contratación Pública –Colombia Compra Eficiente– te invita a realizar el </w:t>
      </w:r>
      <w:r w:rsidRPr="00601BF6">
        <w:rPr>
          <w:rFonts w:ascii="Verdana" w:hAnsi="Verdana"/>
          <w:b/>
          <w:bCs/>
        </w:rPr>
        <w:t>Curso de Contratación Pública Sostenible y Socialmente Responsable</w:t>
      </w:r>
      <w:r w:rsidRPr="00601BF6">
        <w:rPr>
          <w:rFonts w:ascii="Verdana" w:hAnsi="Verdana"/>
        </w:rPr>
        <w:t>, una herramienta clave para fortalecer las capacidades de todos los compradores públicos, proveedores, servidores públicos v para generar mayor valor público. Accede al curso y aprende como implementar criterios sociales y ambientales en las diferentes etapas del proceso de contratación:</w:t>
      </w:r>
      <w:r w:rsidRPr="00601BF6">
        <w:rPr>
          <w:rFonts w:ascii="Verdana" w:hAnsi="Verdana"/>
        </w:rPr>
        <w:br/>
      </w:r>
      <w:hyperlink r:id="rId13" w:tgtFrame="_new" w:history="1">
        <w:r w:rsidRPr="00601BF6">
          <w:rPr>
            <w:rStyle w:val="Hipervnculo"/>
            <w:rFonts w:ascii="Verdana" w:hAnsi="Verdana"/>
          </w:rPr>
          <w:t>https://formacionvirtual.colombiacompra.gov.co/mod/page/view.php?id=3718</w:t>
        </w:r>
      </w:hyperlink>
    </w:p>
    <w:p w14:paraId="75D03931" w14:textId="77777777" w:rsidR="00276133" w:rsidRPr="00601BF6" w:rsidRDefault="00276133" w:rsidP="00276133">
      <w:pPr>
        <w:spacing w:after="0" w:line="276" w:lineRule="auto"/>
        <w:jc w:val="both"/>
        <w:rPr>
          <w:rFonts w:ascii="Verdana" w:hAnsi="Verdana"/>
        </w:rPr>
      </w:pPr>
    </w:p>
    <w:p w14:paraId="502EF5F6" w14:textId="77777777" w:rsidR="00276133" w:rsidRDefault="00276133" w:rsidP="00276133">
      <w:pPr>
        <w:spacing w:after="0" w:line="276" w:lineRule="auto"/>
        <w:jc w:val="both"/>
        <w:rPr>
          <w:rFonts w:ascii="Verdana" w:hAnsi="Verdana"/>
        </w:rPr>
      </w:pPr>
      <w:r w:rsidRPr="00601BF6">
        <w:rPr>
          <w:rFonts w:ascii="Verdana" w:hAnsi="Verdana"/>
        </w:rPr>
        <w:t xml:space="preserve">De otro lado, te contamos que esta Agencia ha da un paso decisivo en la estandarización y modernización del </w:t>
      </w:r>
      <w:r w:rsidRPr="00601BF6">
        <w:rPr>
          <w:rFonts w:ascii="Verdana" w:hAnsi="Verdana"/>
          <w:b/>
          <w:bCs/>
        </w:rPr>
        <w:t>sector  social</w:t>
      </w:r>
      <w:r w:rsidRPr="00601BF6">
        <w:rPr>
          <w:rFonts w:ascii="Verdana" w:hAnsi="Verdana"/>
        </w:rPr>
        <w:t xml:space="preserve"> con la expedición de las </w:t>
      </w:r>
      <w:r w:rsidRPr="00601BF6">
        <w:rPr>
          <w:rFonts w:ascii="Verdana" w:hAnsi="Verdana"/>
          <w:b/>
          <w:bCs/>
        </w:rPr>
        <w:t>Resoluciones 539, 540, 541, 952 y 953 de 2025</w:t>
      </w:r>
      <w:r w:rsidRPr="00601BF6">
        <w:rPr>
          <w:rFonts w:ascii="Verdana" w:hAnsi="Verdana"/>
        </w:rPr>
        <w:t xml:space="preserve">, </w:t>
      </w:r>
      <w:r w:rsidRPr="00601BF6">
        <w:rPr>
          <w:rFonts w:ascii="Verdana" w:hAnsi="Verdana"/>
          <w:b/>
          <w:bCs/>
        </w:rPr>
        <w:t>mediante las cuales adoptó Documentos Tipo</w:t>
      </w:r>
      <w:r w:rsidRPr="00601BF6">
        <w:rPr>
          <w:rFonts w:ascii="Verdana" w:hAnsi="Verdana"/>
        </w:rPr>
        <w:t xml:space="preserve"> para las modalidades de selección de</w:t>
      </w:r>
      <w:r w:rsidRPr="00601BF6">
        <w:rPr>
          <w:rFonts w:ascii="Verdana" w:hAnsi="Verdana"/>
          <w:b/>
          <w:bCs/>
        </w:rPr>
        <w:t xml:space="preserve"> licitación pública (versión 2), selección abreviada de menor cuantía, mínima cuantía, consultoría e interventoría</w:t>
      </w:r>
      <w:r w:rsidRPr="00601BF6">
        <w:rPr>
          <w:rFonts w:ascii="Verdana" w:hAnsi="Verdana"/>
        </w:rPr>
        <w:t xml:space="preserve">, promoviendo procesos más transparentes, eficientes  competitivos y sostenibles en sectores estratégicos como educación, salud, cultura, recreación, deporte, institucional y vivienda. Consulta y descarga los documentos aquí: </w:t>
      </w:r>
      <w:hyperlink r:id="rId14" w:tgtFrame="_new" w:history="1">
        <w:r w:rsidRPr="00601BF6">
          <w:rPr>
            <w:rStyle w:val="Hipervnculo"/>
            <w:rFonts w:ascii="Verdana" w:hAnsi="Verdana"/>
          </w:rPr>
          <w:t>https://www.colombiacompra.gov.co/normativa-y-relatoria/documentos-tipo</w:t>
        </w:r>
      </w:hyperlink>
    </w:p>
    <w:p w14:paraId="349EC8D7" w14:textId="77777777" w:rsidR="00276133" w:rsidRPr="00601BF6" w:rsidRDefault="00276133" w:rsidP="00276133">
      <w:pPr>
        <w:spacing w:after="0" w:line="276" w:lineRule="auto"/>
        <w:jc w:val="both"/>
        <w:rPr>
          <w:rFonts w:ascii="Verdana" w:hAnsi="Verdana"/>
        </w:rPr>
      </w:pPr>
    </w:p>
    <w:p w14:paraId="4A8BBE37" w14:textId="77777777" w:rsidR="00276133" w:rsidRPr="00601BF6" w:rsidRDefault="00276133" w:rsidP="00276133">
      <w:pPr>
        <w:spacing w:after="0" w:line="276" w:lineRule="auto"/>
        <w:jc w:val="both"/>
        <w:rPr>
          <w:rFonts w:ascii="Verdana" w:hAnsi="Verdana"/>
        </w:rPr>
      </w:pPr>
      <w:r w:rsidRPr="00601BF6">
        <w:rPr>
          <w:rFonts w:ascii="Verdana" w:hAnsi="Verdana"/>
        </w:rPr>
        <w:t xml:space="preserve">Si quieres conocer más sobre la aplicación de Documentos Tipo puedes consultar la última versión de la </w:t>
      </w:r>
      <w:r w:rsidRPr="00601BF6">
        <w:rPr>
          <w:rFonts w:ascii="Verdana" w:hAnsi="Verdana"/>
          <w:b/>
          <w:bCs/>
        </w:rPr>
        <w:t>Guía para la comprensión e implementación de los Documentos Tipo de obra pública de infraestructura de transporte</w:t>
      </w:r>
      <w:r w:rsidRPr="00601BF6">
        <w:rPr>
          <w:rFonts w:ascii="Verdana" w:hAnsi="Verdana"/>
        </w:rPr>
        <w:t>. En esta actualización se incorporaron orientaciones prácticas dirigidas a entidades públicas, proveedores, organismos de control y demás interesados, con el propósito de facilitar la adecuada implementación de estos instrumentos en los procesos contractuales. Además se incluyeron lineamientos que orientan la implementación de los criterios ambientales y sociales incluidos en los documentos tipo: Consulta la guía aquí:</w:t>
      </w:r>
      <w:r w:rsidRPr="00601BF6">
        <w:rPr>
          <w:rFonts w:ascii="Verdana" w:hAnsi="Verdana"/>
        </w:rPr>
        <w:br/>
      </w:r>
      <w:hyperlink r:id="rId15" w:tgtFrame="_new" w:history="1">
        <w:r w:rsidRPr="00601BF6">
          <w:rPr>
            <w:rStyle w:val="Hipervnculo"/>
            <w:rFonts w:ascii="Verdana" w:hAnsi="Verdana"/>
          </w:rPr>
          <w:t>https://www.colombiacompra.gov.co/archivos/manual/guia-para-la-comprension-e-implementacion-de-los-documentos-tipo-de-obra-publica-de-</w:t>
        </w:r>
        <w:r w:rsidRPr="00601BF6">
          <w:rPr>
            <w:rStyle w:val="Hipervnculo"/>
            <w:rFonts w:ascii="Verdana" w:hAnsi="Verdana"/>
          </w:rPr>
          <w:lastRenderedPageBreak/>
          <w:t>infraestructura-de-transporte-bajo-las-diferentes-modalidades-de-contratacion-vigentes</w:t>
        </w:r>
      </w:hyperlink>
    </w:p>
    <w:p w14:paraId="6E0D2336" w14:textId="77777777" w:rsidR="00276133" w:rsidRPr="00842B0E" w:rsidRDefault="00276133" w:rsidP="00276133">
      <w:pPr>
        <w:spacing w:after="0" w:line="276" w:lineRule="auto"/>
        <w:jc w:val="both"/>
        <w:rPr>
          <w:rFonts w:ascii="Verdana" w:hAnsi="Verdana" w:cs="Arial"/>
          <w:color w:val="000000" w:themeColor="text1"/>
          <w:shd w:val="clear" w:color="auto" w:fill="FFFFFF"/>
          <w:lang w:val="es-MX"/>
        </w:rPr>
      </w:pPr>
    </w:p>
    <w:p w14:paraId="090CC9A7" w14:textId="77777777" w:rsidR="00276133" w:rsidRPr="00842B0E" w:rsidRDefault="00276133" w:rsidP="00276133">
      <w:pPr>
        <w:spacing w:after="0" w:line="276" w:lineRule="auto"/>
        <w:jc w:val="both"/>
        <w:textAlignment w:val="baseline"/>
        <w:rPr>
          <w:rFonts w:ascii="Verdana" w:hAnsi="Verdana" w:cs="Segoe UI"/>
          <w:lang w:val="es-MX"/>
        </w:rPr>
      </w:pPr>
      <w:r w:rsidRPr="00842B0E">
        <w:rPr>
          <w:rFonts w:ascii="Verdana" w:eastAsia="Times New Roman" w:hAnsi="Verdana" w:cs="Segoe UI"/>
          <w:lang w:eastAsia="es-CO"/>
        </w:rPr>
        <w:t>Por último, lo invitamos a seguirnos en las redes sociales en las cuales se difunde información institucional:  </w:t>
      </w:r>
    </w:p>
    <w:p w14:paraId="4AA0C909" w14:textId="77777777" w:rsidR="00276133" w:rsidRPr="00842B0E" w:rsidRDefault="00276133" w:rsidP="00276133">
      <w:pPr>
        <w:spacing w:after="0" w:line="276" w:lineRule="auto"/>
        <w:jc w:val="both"/>
        <w:textAlignment w:val="baseline"/>
        <w:rPr>
          <w:rFonts w:ascii="Verdana" w:eastAsia="Times New Roman" w:hAnsi="Verdana" w:cs="Segoe UI"/>
          <w:lang w:eastAsia="es-CO"/>
        </w:rPr>
      </w:pPr>
    </w:p>
    <w:p w14:paraId="154D2F0C" w14:textId="77777777" w:rsidR="00276133" w:rsidRPr="00842B0E" w:rsidRDefault="00276133" w:rsidP="00276133">
      <w:pPr>
        <w:spacing w:after="0" w:line="276" w:lineRule="auto"/>
        <w:jc w:val="both"/>
        <w:textAlignment w:val="baseline"/>
        <w:rPr>
          <w:rFonts w:ascii="Verdana" w:eastAsia="Times New Roman" w:hAnsi="Verdana" w:cs="Segoe UI"/>
          <w:color w:val="EE0000"/>
          <w:lang w:eastAsia="es-CO"/>
        </w:rPr>
      </w:pPr>
      <w:r w:rsidRPr="00842B0E">
        <w:rPr>
          <w:rFonts w:ascii="Verdana" w:eastAsia="Times New Roman" w:hAnsi="Verdana" w:cs="Segoe UI"/>
          <w:lang w:eastAsia="es-CO"/>
        </w:rPr>
        <w:t>Twitter: </w:t>
      </w:r>
      <w:r w:rsidRPr="00842B0E">
        <w:rPr>
          <w:rFonts w:ascii="Verdana" w:hAnsi="Verdana" w:cs="Arial"/>
          <w:color w:val="0000FF"/>
          <w:u w:val="single"/>
          <w:shd w:val="clear" w:color="auto" w:fill="FFFFFF"/>
          <w:lang w:val="es-MX"/>
        </w:rPr>
        <w:t>@colombiacompra</w:t>
      </w:r>
      <w:r w:rsidRPr="00842B0E">
        <w:rPr>
          <w:rFonts w:ascii="Verdana" w:eastAsia="Times New Roman" w:hAnsi="Verdana" w:cs="Segoe UI"/>
          <w:color w:val="0000FF"/>
          <w:lang w:eastAsia="es-CO"/>
        </w:rPr>
        <w:t> </w:t>
      </w:r>
      <w:r w:rsidRPr="00842B0E">
        <w:rPr>
          <w:rFonts w:ascii="Verdana" w:eastAsia="Times New Roman" w:hAnsi="Verdana" w:cs="Segoe UI"/>
          <w:color w:val="EE0000"/>
          <w:lang w:eastAsia="es-CO"/>
        </w:rPr>
        <w:t> </w:t>
      </w:r>
    </w:p>
    <w:p w14:paraId="4D128B7E" w14:textId="77777777" w:rsidR="00276133" w:rsidRPr="00842B0E" w:rsidRDefault="00276133" w:rsidP="00276133">
      <w:pPr>
        <w:spacing w:after="0" w:line="276" w:lineRule="auto"/>
        <w:jc w:val="both"/>
        <w:textAlignment w:val="baseline"/>
        <w:rPr>
          <w:rFonts w:ascii="Verdana" w:eastAsia="Times New Roman" w:hAnsi="Verdana" w:cs="Segoe UI"/>
          <w:lang w:eastAsia="es-CO"/>
        </w:rPr>
      </w:pPr>
      <w:r w:rsidRPr="00842B0E">
        <w:rPr>
          <w:rFonts w:ascii="Verdana" w:eastAsia="Times New Roman" w:hAnsi="Verdana" w:cs="Segoe UI"/>
          <w:lang w:eastAsia="es-CO"/>
        </w:rPr>
        <w:t>Facebook: </w:t>
      </w:r>
      <w:proofErr w:type="spellStart"/>
      <w:r w:rsidRPr="00842B0E">
        <w:rPr>
          <w:rFonts w:ascii="Verdana" w:eastAsia="Times New Roman" w:hAnsi="Verdana" w:cs="Segoe UI"/>
          <w:color w:val="0000FF"/>
          <w:lang w:eastAsia="es-CO"/>
        </w:rPr>
        <w:t>ColombiaCompraEficie</w:t>
      </w:r>
      <w:r w:rsidRPr="005A6D0B">
        <w:rPr>
          <w:rFonts w:ascii="Verdana" w:eastAsia="Times New Roman" w:hAnsi="Verdana" w:cs="Segoe UI"/>
          <w:color w:val="0000FF"/>
          <w:lang w:eastAsia="es-CO"/>
        </w:rPr>
        <w:t>nte</w:t>
      </w:r>
      <w:proofErr w:type="spellEnd"/>
      <w:r w:rsidRPr="005A6D0B">
        <w:rPr>
          <w:rFonts w:ascii="Verdana" w:eastAsia="Times New Roman" w:hAnsi="Verdana" w:cs="Segoe UI"/>
          <w:color w:val="0000FF"/>
          <w:lang w:eastAsia="es-CO"/>
        </w:rPr>
        <w:t> </w:t>
      </w:r>
    </w:p>
    <w:p w14:paraId="3233DA11" w14:textId="77777777" w:rsidR="005A6D0B" w:rsidRDefault="00276133" w:rsidP="005A6D0B">
      <w:pPr>
        <w:spacing w:after="0" w:line="276" w:lineRule="auto"/>
        <w:textAlignment w:val="baseline"/>
        <w:rPr>
          <w:rFonts w:ascii="Verdana" w:eastAsia="Times New Roman" w:hAnsi="Verdana" w:cs="Segoe UI"/>
          <w:color w:val="156082"/>
          <w:lang w:eastAsia="es-CO"/>
        </w:rPr>
      </w:pPr>
      <w:r w:rsidRPr="00842B0E">
        <w:rPr>
          <w:rFonts w:ascii="Verdana" w:eastAsia="Times New Roman" w:hAnsi="Verdana" w:cs="Segoe UI"/>
          <w:lang w:eastAsia="es-CO"/>
        </w:rPr>
        <w:t>LinkedIn:</w:t>
      </w:r>
      <w:r w:rsidRPr="00842B0E">
        <w:rPr>
          <w:rFonts w:ascii="Verdana" w:eastAsia="Times New Roman" w:hAnsi="Verdana" w:cs="Segoe UI"/>
          <w:color w:val="0000FF"/>
          <w:lang w:eastAsia="es-CO"/>
        </w:rPr>
        <w:t> </w:t>
      </w:r>
      <w:r w:rsidRPr="005A6D0B">
        <w:rPr>
          <w:rFonts w:ascii="Verdana" w:eastAsia="Times New Roman" w:hAnsi="Verdana" w:cs="Segoe UI"/>
          <w:color w:val="0000FF"/>
          <w:lang w:eastAsia="es-CO"/>
        </w:rPr>
        <w:t>Agencia Nacional de Contratación Pública - Colombia Compra Eficiente </w:t>
      </w:r>
    </w:p>
    <w:p w14:paraId="5B7E3A16" w14:textId="0A030DC4" w:rsidR="00276133" w:rsidRDefault="00276133" w:rsidP="00276133">
      <w:pPr>
        <w:spacing w:after="0" w:line="276" w:lineRule="auto"/>
        <w:jc w:val="both"/>
        <w:textAlignment w:val="baseline"/>
        <w:rPr>
          <w:rFonts w:ascii="Verdana" w:eastAsia="Times New Roman" w:hAnsi="Verdana" w:cs="Segoe UI"/>
          <w:color w:val="0000FF"/>
          <w:lang w:eastAsia="es-CO"/>
        </w:rPr>
      </w:pPr>
      <w:r w:rsidRPr="00842B0E">
        <w:rPr>
          <w:rFonts w:ascii="Verdana" w:eastAsia="Times New Roman" w:hAnsi="Verdana" w:cs="Segoe UI"/>
          <w:lang w:eastAsia="es-CO"/>
        </w:rPr>
        <w:t>Instagram: </w:t>
      </w:r>
      <w:r w:rsidRPr="00842B0E">
        <w:rPr>
          <w:rFonts w:ascii="Verdana" w:eastAsia="Times New Roman" w:hAnsi="Verdana" w:cs="Segoe UI"/>
          <w:color w:val="0000FF"/>
          <w:lang w:eastAsia="es-CO"/>
        </w:rPr>
        <w:t>@colombiacompraeficiente_cce </w:t>
      </w:r>
    </w:p>
    <w:p w14:paraId="3F48BCC7" w14:textId="23B87570" w:rsidR="00D12712" w:rsidRDefault="00D12712" w:rsidP="1445055B">
      <w:pPr>
        <w:spacing w:after="0" w:line="276" w:lineRule="auto"/>
        <w:jc w:val="both"/>
        <w:rPr>
          <w:rFonts w:ascii="Verdana" w:hAnsi="Verdana"/>
          <w:lang w:val="es-MX"/>
        </w:rPr>
      </w:pPr>
    </w:p>
    <w:p w14:paraId="256C95E9" w14:textId="222A658B" w:rsidR="00276133" w:rsidRPr="00842B0E" w:rsidRDefault="00276133" w:rsidP="00276133">
      <w:pPr>
        <w:spacing w:after="0" w:line="276" w:lineRule="auto"/>
        <w:jc w:val="both"/>
        <w:rPr>
          <w:rFonts w:ascii="Verdana" w:hAnsi="Verdana" w:cs="Arial"/>
          <w:color w:val="000000" w:themeColor="text1"/>
          <w:shd w:val="clear" w:color="auto" w:fill="FFFFFF"/>
          <w:lang w:val="es-MX"/>
        </w:rPr>
      </w:pPr>
      <w:r w:rsidRPr="00842B0E">
        <w:rPr>
          <w:rFonts w:ascii="Verdana" w:hAnsi="Verdana"/>
          <w:lang w:val="es-MX"/>
        </w:rPr>
        <w:t>Este concepto tiene el alcance previsto en el artículo 28 del Código de Procedimiento Administrativo y de lo Contencioso Administrativo y las expresiones utilizadas con mayúscula inicial deben ser entendidas con el significado que les otorga el artículo 2.2.1.1.1.3.1 del Decreto 1082 de 2015.</w:t>
      </w:r>
    </w:p>
    <w:p w14:paraId="1B5FA1C9" w14:textId="38613684" w:rsidR="005A6D0B" w:rsidRPr="00842B0E" w:rsidRDefault="005A6D0B" w:rsidP="00276133">
      <w:pPr>
        <w:spacing w:after="0" w:line="276" w:lineRule="auto"/>
        <w:jc w:val="both"/>
        <w:rPr>
          <w:rFonts w:ascii="Verdana" w:eastAsia="Calibri" w:hAnsi="Verdana" w:cs="Times New Roman"/>
        </w:rPr>
      </w:pPr>
    </w:p>
    <w:p w14:paraId="47B1704A" w14:textId="122BE4EB" w:rsidR="00276133" w:rsidRDefault="00276133" w:rsidP="00276133">
      <w:pPr>
        <w:spacing w:after="0" w:line="276" w:lineRule="auto"/>
        <w:jc w:val="both"/>
        <w:rPr>
          <w:rFonts w:ascii="Verdana" w:eastAsia="Calibri" w:hAnsi="Verdana" w:cs="Times New Roman"/>
        </w:rPr>
      </w:pPr>
      <w:r w:rsidRPr="00842B0E">
        <w:rPr>
          <w:rFonts w:ascii="Verdana" w:eastAsia="Calibri" w:hAnsi="Verdana" w:cs="Times New Roman"/>
        </w:rPr>
        <w:t>Atentamente,</w:t>
      </w:r>
    </w:p>
    <w:p w14:paraId="5230718C" w14:textId="38F9BB8D" w:rsidR="00B20018" w:rsidRDefault="00AA59CD" w:rsidP="00276133">
      <w:pPr>
        <w:spacing w:after="0" w:line="276" w:lineRule="auto"/>
        <w:jc w:val="both"/>
        <w:rPr>
          <w:rFonts w:ascii="Verdana" w:eastAsia="Calibri" w:hAnsi="Verdana" w:cs="Times New Roman"/>
        </w:rPr>
      </w:pPr>
      <w:r>
        <w:rPr>
          <w:rFonts w:ascii="Verdana" w:eastAsia="Calibri" w:hAnsi="Verdana" w:cs="Times New Roman"/>
          <w:noProof/>
        </w:rPr>
        <w:drawing>
          <wp:anchor distT="0" distB="0" distL="114300" distR="114300" simplePos="0" relativeHeight="251660288" behindDoc="0" locked="0" layoutInCell="1" allowOverlap="1" wp14:anchorId="53D3CADA" wp14:editId="1DD3A42E">
            <wp:simplePos x="0" y="0"/>
            <wp:positionH relativeFrom="margin">
              <wp:posOffset>1233805</wp:posOffset>
            </wp:positionH>
            <wp:positionV relativeFrom="margin">
              <wp:posOffset>3559810</wp:posOffset>
            </wp:positionV>
            <wp:extent cx="3493135" cy="1297940"/>
            <wp:effectExtent l="0" t="0" r="0" b="0"/>
            <wp:wrapSquare wrapText="bothSides"/>
            <wp:docPr id="1088595184" name="Imagen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88595184" name="Imagen 1088595184"/>
                    <pic:cNvPicPr/>
                  </pic:nvPicPr>
                  <pic:blipFill>
                    <a:blip r:embed="rId16">
                      <a:extLst>
                        <a:ext uri="{28A0092B-C50C-407E-A947-70E740481C1C}">
                          <a14:useLocalDpi xmlns:a14="http://schemas.microsoft.com/office/drawing/2010/main" val="0"/>
                        </a:ext>
                      </a:extLst>
                    </a:blip>
                    <a:stretch>
                      <a:fillRect/>
                    </a:stretch>
                  </pic:blipFill>
                  <pic:spPr>
                    <a:xfrm>
                      <a:off x="0" y="0"/>
                      <a:ext cx="3493135" cy="1297940"/>
                    </a:xfrm>
                    <a:prstGeom prst="rect">
                      <a:avLst/>
                    </a:prstGeom>
                  </pic:spPr>
                </pic:pic>
              </a:graphicData>
            </a:graphic>
            <wp14:sizeRelH relativeFrom="margin">
              <wp14:pctWidth>0</wp14:pctWidth>
            </wp14:sizeRelH>
            <wp14:sizeRelV relativeFrom="margin">
              <wp14:pctHeight>0</wp14:pctHeight>
            </wp14:sizeRelV>
          </wp:anchor>
        </w:drawing>
      </w:r>
    </w:p>
    <w:p w14:paraId="5CC6107F" w14:textId="7B0A08FF" w:rsidR="00276133" w:rsidRDefault="00276133" w:rsidP="00621686">
      <w:pPr>
        <w:spacing w:after="0" w:line="276" w:lineRule="auto"/>
        <w:rPr>
          <w:rFonts w:ascii="Verdana" w:eastAsia="Calibri" w:hAnsi="Verdana" w:cs="Times New Roman"/>
          <w:noProof/>
        </w:rPr>
      </w:pPr>
    </w:p>
    <w:p w14:paraId="3573B4F9" w14:textId="33FE3E4B" w:rsidR="00276133" w:rsidRDefault="00276133" w:rsidP="00276133">
      <w:pPr>
        <w:spacing w:after="0" w:line="276" w:lineRule="auto"/>
        <w:jc w:val="center"/>
        <w:rPr>
          <w:rFonts w:ascii="Verdana" w:eastAsia="Calibri" w:hAnsi="Verdana" w:cs="Times New Roman"/>
          <w:noProof/>
        </w:rPr>
      </w:pPr>
    </w:p>
    <w:p w14:paraId="397FF428" w14:textId="77EAB766" w:rsidR="00621686" w:rsidRDefault="00621686" w:rsidP="00276133">
      <w:pPr>
        <w:spacing w:after="0" w:line="276" w:lineRule="auto"/>
        <w:jc w:val="center"/>
        <w:rPr>
          <w:rFonts w:ascii="Verdana" w:eastAsia="Calibri" w:hAnsi="Verdana" w:cs="Times New Roman"/>
          <w:noProof/>
        </w:rPr>
      </w:pPr>
    </w:p>
    <w:p w14:paraId="624238A9" w14:textId="64CA05DE" w:rsidR="00621686" w:rsidRDefault="00621686" w:rsidP="00276133">
      <w:pPr>
        <w:spacing w:after="0" w:line="276" w:lineRule="auto"/>
        <w:jc w:val="center"/>
        <w:rPr>
          <w:rFonts w:ascii="Verdana" w:eastAsia="Calibri" w:hAnsi="Verdana" w:cs="Times New Roman"/>
          <w:noProof/>
        </w:rPr>
      </w:pPr>
    </w:p>
    <w:p w14:paraId="618B0077" w14:textId="45596C4A" w:rsidR="00621686" w:rsidRDefault="00621686" w:rsidP="00276133">
      <w:pPr>
        <w:spacing w:after="0" w:line="276" w:lineRule="auto"/>
        <w:jc w:val="center"/>
        <w:rPr>
          <w:rFonts w:ascii="Verdana" w:eastAsia="Calibri" w:hAnsi="Verdana" w:cs="Times New Roman"/>
          <w:noProof/>
        </w:rPr>
      </w:pPr>
    </w:p>
    <w:p w14:paraId="60960BBA" w14:textId="77777777" w:rsidR="00EB61E9" w:rsidRDefault="00EB61E9" w:rsidP="00276133">
      <w:pPr>
        <w:spacing w:after="0" w:line="276" w:lineRule="auto"/>
        <w:jc w:val="center"/>
        <w:rPr>
          <w:rFonts w:ascii="Verdana" w:eastAsia="Calibri" w:hAnsi="Verdana" w:cs="Times New Roman"/>
          <w:noProof/>
        </w:rPr>
      </w:pPr>
    </w:p>
    <w:p w14:paraId="4922B900" w14:textId="7C07B137" w:rsidR="00EB61E9" w:rsidRPr="00DB6807" w:rsidRDefault="00EB61E9" w:rsidP="00276133">
      <w:pPr>
        <w:spacing w:after="0" w:line="276" w:lineRule="auto"/>
        <w:jc w:val="center"/>
        <w:rPr>
          <w:rFonts w:ascii="Verdana" w:eastAsia="Calibri" w:hAnsi="Verdana" w:cs="Times New Roman"/>
          <w:noProof/>
        </w:rPr>
      </w:pPr>
    </w:p>
    <w:tbl>
      <w:tblPr>
        <w:tblStyle w:val="Tablaconcuadrcula"/>
        <w:tblW w:w="652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93"/>
        <w:gridCol w:w="5628"/>
      </w:tblGrid>
      <w:tr w:rsidR="00276133" w:rsidRPr="00713B63" w14:paraId="4EDA8FD6" w14:textId="77777777">
        <w:trPr>
          <w:trHeight w:val="315"/>
        </w:trPr>
        <w:tc>
          <w:tcPr>
            <w:tcW w:w="893" w:type="dxa"/>
            <w:vAlign w:val="center"/>
            <w:hideMark/>
          </w:tcPr>
          <w:p w14:paraId="32F29052" w14:textId="77777777" w:rsidR="00276133" w:rsidRPr="00713B63" w:rsidRDefault="00276133">
            <w:pPr>
              <w:contextualSpacing/>
              <w:rPr>
                <w:rFonts w:ascii="Verdana" w:hAnsi="Verdana" w:cs="Arial"/>
                <w:sz w:val="16"/>
                <w:szCs w:val="16"/>
                <w:lang w:eastAsia="es-ES"/>
              </w:rPr>
            </w:pPr>
            <w:r w:rsidRPr="00713B63">
              <w:rPr>
                <w:rFonts w:ascii="Verdana" w:hAnsi="Verdana" w:cs="Arial"/>
                <w:sz w:val="16"/>
                <w:szCs w:val="16"/>
                <w:lang w:eastAsia="es-ES"/>
              </w:rPr>
              <w:t>Elaboró:</w:t>
            </w:r>
          </w:p>
        </w:tc>
        <w:tc>
          <w:tcPr>
            <w:tcW w:w="5628" w:type="dxa"/>
            <w:tcBorders>
              <w:top w:val="nil"/>
              <w:left w:val="nil"/>
              <w:bottom w:val="dotted" w:sz="4" w:space="0" w:color="7F7F7F" w:themeColor="text1" w:themeTint="80"/>
              <w:right w:val="nil"/>
            </w:tcBorders>
            <w:vAlign w:val="center"/>
            <w:hideMark/>
          </w:tcPr>
          <w:p w14:paraId="1E9767CB" w14:textId="1AF8CAC5" w:rsidR="00276133" w:rsidRPr="00713B63" w:rsidRDefault="00276133">
            <w:pPr>
              <w:contextualSpacing/>
              <w:rPr>
                <w:rFonts w:ascii="Verdana" w:hAnsi="Verdana"/>
                <w:sz w:val="16"/>
                <w:szCs w:val="16"/>
              </w:rPr>
            </w:pPr>
            <w:r>
              <w:rPr>
                <w:rFonts w:ascii="Verdana" w:hAnsi="Verdana"/>
                <w:sz w:val="16"/>
                <w:szCs w:val="16"/>
              </w:rPr>
              <w:t>Denis Andrea Cárdenas Hernández</w:t>
            </w:r>
          </w:p>
          <w:p w14:paraId="1211C5B6" w14:textId="4AA4A309" w:rsidR="00276133" w:rsidRPr="00B20018" w:rsidRDefault="00276133">
            <w:pPr>
              <w:contextualSpacing/>
              <w:rPr>
                <w:rFonts w:ascii="Verdana" w:hAnsi="Verdana" w:cs="Arial"/>
                <w:sz w:val="16"/>
                <w:szCs w:val="16"/>
                <w:lang w:val="es-ES_tradnl"/>
              </w:rPr>
            </w:pPr>
            <w:r>
              <w:rPr>
                <w:rFonts w:ascii="Verdana" w:hAnsi="Verdana"/>
                <w:sz w:val="16"/>
                <w:szCs w:val="16"/>
              </w:rPr>
              <w:t xml:space="preserve">Analista </w:t>
            </w:r>
            <w:r w:rsidRPr="00713B63">
              <w:rPr>
                <w:rFonts w:ascii="Verdana" w:hAnsi="Verdana" w:cs="Arial"/>
                <w:sz w:val="16"/>
                <w:szCs w:val="16"/>
                <w:lang w:val="es-ES_tradnl"/>
              </w:rPr>
              <w:t>T</w:t>
            </w:r>
            <w:r>
              <w:rPr>
                <w:rFonts w:ascii="Verdana" w:hAnsi="Verdana" w:cs="Arial"/>
                <w:sz w:val="16"/>
                <w:szCs w:val="16"/>
                <w:lang w:val="es-ES_tradnl"/>
              </w:rPr>
              <w:t>2</w:t>
            </w:r>
            <w:r w:rsidRPr="00713B63">
              <w:rPr>
                <w:rFonts w:ascii="Verdana" w:hAnsi="Verdana" w:cs="Arial"/>
                <w:sz w:val="16"/>
                <w:szCs w:val="16"/>
                <w:lang w:val="es-ES_tradnl"/>
              </w:rPr>
              <w:t xml:space="preserve"> ‒ 1</w:t>
            </w:r>
            <w:r>
              <w:rPr>
                <w:rFonts w:ascii="Verdana" w:hAnsi="Verdana" w:cs="Arial"/>
                <w:sz w:val="16"/>
                <w:szCs w:val="16"/>
                <w:lang w:val="es-ES_tradnl"/>
              </w:rPr>
              <w:t xml:space="preserve"> </w:t>
            </w:r>
            <w:r w:rsidRPr="00713B63">
              <w:rPr>
                <w:rFonts w:ascii="Verdana" w:hAnsi="Verdana" w:cs="Arial"/>
                <w:sz w:val="16"/>
                <w:szCs w:val="16"/>
                <w:lang w:val="es-ES_tradnl"/>
              </w:rPr>
              <w:t>de la Subdirección de Gestión Contractual</w:t>
            </w:r>
          </w:p>
        </w:tc>
      </w:tr>
      <w:tr w:rsidR="00276133" w:rsidRPr="00713B63" w14:paraId="1D7D80A0" w14:textId="77777777">
        <w:trPr>
          <w:trHeight w:val="330"/>
        </w:trPr>
        <w:tc>
          <w:tcPr>
            <w:tcW w:w="893" w:type="dxa"/>
            <w:vAlign w:val="center"/>
            <w:hideMark/>
          </w:tcPr>
          <w:p w14:paraId="31CCF1D7" w14:textId="77777777" w:rsidR="00276133" w:rsidRPr="00713B63" w:rsidRDefault="00276133">
            <w:pPr>
              <w:contextualSpacing/>
              <w:rPr>
                <w:rFonts w:ascii="Verdana" w:hAnsi="Verdana" w:cs="Arial"/>
                <w:sz w:val="16"/>
                <w:szCs w:val="16"/>
                <w:lang w:eastAsia="es-ES"/>
              </w:rPr>
            </w:pPr>
            <w:r w:rsidRPr="00713B63">
              <w:rPr>
                <w:rFonts w:ascii="Verdana" w:hAnsi="Verdana" w:cs="Arial"/>
                <w:sz w:val="16"/>
                <w:szCs w:val="16"/>
                <w:lang w:eastAsia="es-ES"/>
              </w:rPr>
              <w:t>Revisó:</w:t>
            </w:r>
          </w:p>
        </w:tc>
        <w:tc>
          <w:tcPr>
            <w:tcW w:w="5628" w:type="dxa"/>
            <w:tcBorders>
              <w:top w:val="dotted" w:sz="4" w:space="0" w:color="7F7F7F" w:themeColor="text1" w:themeTint="80"/>
              <w:left w:val="nil"/>
              <w:bottom w:val="dotted" w:sz="4" w:space="0" w:color="7F7F7F" w:themeColor="text1" w:themeTint="80"/>
              <w:right w:val="nil"/>
            </w:tcBorders>
            <w:vAlign w:val="center"/>
            <w:hideMark/>
          </w:tcPr>
          <w:p w14:paraId="1E668A91" w14:textId="0DF658CD" w:rsidR="00276133" w:rsidRPr="00713B63" w:rsidRDefault="00276133">
            <w:pPr>
              <w:textAlignment w:val="baseline"/>
              <w:rPr>
                <w:rFonts w:ascii="Verdana" w:eastAsia="Times New Roman" w:hAnsi="Verdana" w:cs="Arial"/>
                <w:sz w:val="16"/>
                <w:szCs w:val="16"/>
                <w:lang w:val="es-ES_tradnl"/>
              </w:rPr>
            </w:pPr>
            <w:r>
              <w:rPr>
                <w:rFonts w:ascii="Verdana" w:eastAsia="Times New Roman" w:hAnsi="Verdana" w:cs="Arial"/>
                <w:sz w:val="16"/>
                <w:szCs w:val="16"/>
                <w:lang w:val="es-ES_tradnl"/>
              </w:rPr>
              <w:t>Adriana Katherine López Rodríguez</w:t>
            </w:r>
          </w:p>
          <w:p w14:paraId="5EDE9EC3" w14:textId="77777777" w:rsidR="00276133" w:rsidRPr="00713B63" w:rsidRDefault="00276133">
            <w:pPr>
              <w:contextualSpacing/>
              <w:textAlignment w:val="baseline"/>
              <w:rPr>
                <w:rFonts w:ascii="Verdana" w:eastAsia="Times New Roman" w:hAnsi="Verdana" w:cs="Segoe UI"/>
                <w:sz w:val="16"/>
                <w:szCs w:val="16"/>
                <w:lang w:eastAsia="es-ES"/>
              </w:rPr>
            </w:pPr>
            <w:r w:rsidRPr="7FEAC2C5">
              <w:rPr>
                <w:rFonts w:ascii="Verdana" w:hAnsi="Verdana" w:cs="Arial"/>
                <w:sz w:val="16"/>
                <w:szCs w:val="16"/>
                <w:lang w:val="es-ES"/>
              </w:rPr>
              <w:t>Contratista de la Subdirección de Gestión Contractual</w:t>
            </w:r>
          </w:p>
        </w:tc>
      </w:tr>
      <w:tr w:rsidR="00276133" w:rsidRPr="00713B63" w14:paraId="2AADE3BD" w14:textId="77777777">
        <w:trPr>
          <w:trHeight w:val="300"/>
        </w:trPr>
        <w:tc>
          <w:tcPr>
            <w:tcW w:w="893" w:type="dxa"/>
            <w:vAlign w:val="center"/>
          </w:tcPr>
          <w:p w14:paraId="72BC2F2C" w14:textId="77777777" w:rsidR="00276133" w:rsidRPr="00713B63" w:rsidRDefault="00276133">
            <w:pPr>
              <w:contextualSpacing/>
              <w:rPr>
                <w:rFonts w:ascii="Verdana" w:hAnsi="Verdana" w:cs="Arial"/>
                <w:sz w:val="16"/>
                <w:szCs w:val="16"/>
                <w:lang w:eastAsia="es-ES"/>
              </w:rPr>
            </w:pPr>
            <w:r w:rsidRPr="00713B63">
              <w:rPr>
                <w:rFonts w:ascii="Verdana" w:hAnsi="Verdana" w:cs="Arial"/>
                <w:sz w:val="16"/>
                <w:szCs w:val="16"/>
                <w:lang w:eastAsia="es-ES"/>
              </w:rPr>
              <w:t>Aprobó:</w:t>
            </w:r>
          </w:p>
        </w:tc>
        <w:tc>
          <w:tcPr>
            <w:tcW w:w="5628" w:type="dxa"/>
            <w:tcBorders>
              <w:top w:val="dotted" w:sz="4" w:space="0" w:color="7F7F7F" w:themeColor="text1" w:themeTint="80"/>
              <w:left w:val="nil"/>
              <w:bottom w:val="dotted" w:sz="4" w:space="0" w:color="7F7F7F" w:themeColor="text1" w:themeTint="80"/>
              <w:right w:val="nil"/>
            </w:tcBorders>
            <w:vAlign w:val="center"/>
          </w:tcPr>
          <w:p w14:paraId="386A9BE7" w14:textId="77777777" w:rsidR="00276133" w:rsidRPr="00713B63" w:rsidRDefault="00276133">
            <w:pPr>
              <w:contextualSpacing/>
              <w:rPr>
                <w:rFonts w:ascii="Verdana" w:eastAsia="Calibri" w:hAnsi="Verdana" w:cs="Arial"/>
                <w:sz w:val="16"/>
                <w:szCs w:val="16"/>
                <w:lang w:eastAsia="es-ES"/>
              </w:rPr>
            </w:pPr>
            <w:r w:rsidRPr="00713B63">
              <w:rPr>
                <w:rFonts w:ascii="Verdana" w:eastAsia="Calibri" w:hAnsi="Verdana" w:cs="Arial"/>
                <w:sz w:val="16"/>
                <w:szCs w:val="16"/>
                <w:lang w:eastAsia="es-ES"/>
              </w:rPr>
              <w:t>Carolina Quintero Gacharná</w:t>
            </w:r>
          </w:p>
          <w:p w14:paraId="6CEBBC90" w14:textId="77777777" w:rsidR="00276133" w:rsidRPr="00713B63" w:rsidRDefault="00276133">
            <w:pPr>
              <w:contextualSpacing/>
              <w:rPr>
                <w:rFonts w:ascii="Verdana" w:eastAsia="Calibri" w:hAnsi="Verdana" w:cs="Arial"/>
                <w:sz w:val="16"/>
                <w:szCs w:val="16"/>
                <w:lang w:eastAsia="es-ES"/>
              </w:rPr>
            </w:pPr>
            <w:r w:rsidRPr="00713B63">
              <w:rPr>
                <w:rFonts w:ascii="Verdana" w:eastAsia="Calibri" w:hAnsi="Verdana" w:cs="Arial"/>
                <w:sz w:val="16"/>
                <w:szCs w:val="16"/>
                <w:lang w:eastAsia="es-ES"/>
              </w:rPr>
              <w:t>Subdirectora de Gestión Contractual ANCP – CCE</w:t>
            </w:r>
          </w:p>
        </w:tc>
      </w:tr>
    </w:tbl>
    <w:p w14:paraId="1006A388" w14:textId="7B5461DF" w:rsidR="00C15139" w:rsidRDefault="00C15139" w:rsidP="30821638">
      <w:pPr>
        <w:spacing w:after="0" w:line="240" w:lineRule="auto"/>
        <w:jc w:val="both"/>
        <w:textAlignment w:val="baseline"/>
        <w:rPr>
          <w:rFonts w:ascii="Verdana" w:eastAsia="Verdana" w:hAnsi="Verdana" w:cs="Verdana"/>
          <w:lang w:eastAsia="es-CO"/>
        </w:rPr>
      </w:pPr>
    </w:p>
    <w:p w14:paraId="2407592C" w14:textId="63785168" w:rsidR="00EB61E9" w:rsidRPr="000E2B93" w:rsidRDefault="00EB61E9" w:rsidP="30821638">
      <w:pPr>
        <w:spacing w:after="0" w:line="240" w:lineRule="auto"/>
        <w:jc w:val="both"/>
        <w:textAlignment w:val="baseline"/>
        <w:rPr>
          <w:rFonts w:ascii="Verdana" w:eastAsia="Verdana" w:hAnsi="Verdana" w:cs="Verdana"/>
          <w:lang w:eastAsia="es-CO"/>
        </w:rPr>
      </w:pPr>
      <w:r>
        <w:rPr>
          <w:rFonts w:ascii="Verdana" w:eastAsia="Verdana" w:hAnsi="Verdana" w:cs="Verdana"/>
          <w:lang w:eastAsia="es-CO"/>
        </w:rPr>
        <w:t xml:space="preserve"> </w:t>
      </w:r>
    </w:p>
    <w:p w14:paraId="69BC4D14" w14:textId="4455A652" w:rsidR="00C15139" w:rsidRPr="000E2B93" w:rsidRDefault="00C15139" w:rsidP="30821638">
      <w:pPr>
        <w:spacing w:after="0" w:line="240" w:lineRule="auto"/>
        <w:textAlignment w:val="baseline"/>
        <w:rPr>
          <w:rFonts w:ascii="Verdana" w:eastAsia="Verdana" w:hAnsi="Verdana" w:cs="Verdana"/>
          <w:lang w:eastAsia="es-CO"/>
        </w:rPr>
      </w:pPr>
      <w:r w:rsidRPr="30821638">
        <w:rPr>
          <w:rFonts w:ascii="Verdana" w:eastAsia="Verdana" w:hAnsi="Verdana" w:cs="Verdana"/>
          <w:lang w:eastAsia="es-CO"/>
        </w:rPr>
        <w:t> </w:t>
      </w:r>
      <w:bookmarkEnd w:id="0"/>
    </w:p>
    <w:sectPr w:rsidR="00C15139" w:rsidRPr="000E2B93" w:rsidSect="007C0C0F">
      <w:headerReference w:type="default" r:id="rId17"/>
      <w:footerReference w:type="default" r:id="rId18"/>
      <w:pgSz w:w="12240" w:h="15840" w:code="1"/>
      <w:pgMar w:top="1417" w:right="1701" w:bottom="1417" w:left="170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64A2C25" w14:textId="77777777" w:rsidR="005D79F4" w:rsidRDefault="005D79F4" w:rsidP="004A1847">
      <w:pPr>
        <w:spacing w:after="0" w:line="240" w:lineRule="auto"/>
      </w:pPr>
      <w:r>
        <w:separator/>
      </w:r>
    </w:p>
  </w:endnote>
  <w:endnote w:type="continuationSeparator" w:id="0">
    <w:p w14:paraId="259CACFA" w14:textId="77777777" w:rsidR="005D79F4" w:rsidRDefault="005D79F4" w:rsidP="004A184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manist Light">
    <w:altName w:val="Calibri"/>
    <w:panose1 w:val="00000000000000000000"/>
    <w:charset w:val="00"/>
    <w:family w:val="modern"/>
    <w:notTrueType/>
    <w:pitch w:val="variable"/>
    <w:sig w:usb0="A000002F" w:usb1="1000004A" w:usb2="00000000" w:usb3="00000000" w:csb0="00000193" w:csb1="00000000"/>
  </w:font>
  <w:font w:name="Geomanist">
    <w:altName w:val="Calibri"/>
    <w:panose1 w:val="00000000000000000000"/>
    <w:charset w:val="00"/>
    <w:family w:val="modern"/>
    <w:notTrueType/>
    <w:pitch w:val="variable"/>
    <w:sig w:usb0="A000002F" w:usb1="1000004A" w:usb2="00000000" w:usb3="00000000" w:csb0="00000193" w:csb1="00000000"/>
  </w:font>
  <w:font w:name="Yu Gothic Light">
    <w:panose1 w:val="020B0300000000000000"/>
    <w:charset w:val="80"/>
    <w:family w:val="swiss"/>
    <w:pitch w:val="variable"/>
    <w:sig w:usb0="E00002FF" w:usb1="2AC7FDFF" w:usb2="00000016" w:usb3="00000000" w:csb0="0002009F" w:csb1="00000000"/>
  </w:font>
  <w:font w:name="Verdana">
    <w:panose1 w:val="020B0604030504040204"/>
    <w:charset w:val="00"/>
    <w:family w:val="swiss"/>
    <w:pitch w:val="variable"/>
    <w:sig w:usb0="A00006FF" w:usb1="4000205B" w:usb2="00000010" w:usb3="00000000" w:csb0="0000019F" w:csb1="00000000"/>
  </w:font>
  <w:font w:name="Arial MT">
    <w:altName w:val="Arial"/>
    <w:charset w:val="01"/>
    <w:family w:val="swiss"/>
    <w:pitch w:val="variable"/>
  </w:font>
  <w:font w:name="Century Gothic">
    <w:panose1 w:val="020B0502020202020204"/>
    <w:charset w:val="00"/>
    <w:family w:val="swiss"/>
    <w:pitch w:val="variable"/>
    <w:sig w:usb0="00000287" w:usb1="00000000" w:usb2="00000000" w:usb3="00000000" w:csb0="0000009F" w:csb1="00000000"/>
  </w:font>
  <w:font w:name="Segoe UI">
    <w:panose1 w:val="020B0502040204020203"/>
    <w:charset w:val="00"/>
    <w:family w:val="swiss"/>
    <w:pitch w:val="variable"/>
    <w:sig w:usb0="E4002EFF" w:usb1="C000E47F" w:usb2="00000009" w:usb3="00000000" w:csb0="000001FF" w:csb1="00000000"/>
  </w:font>
  <w:font w:name="Geomanist Bold">
    <w:altName w:val="Calibri"/>
    <w:panose1 w:val="00000000000000000000"/>
    <w:charset w:val="00"/>
    <w:family w:val="modern"/>
    <w:notTrueType/>
    <w:pitch w:val="variable"/>
    <w:sig w:usb0="A000002F" w:usb1="1000004A" w:usb2="00000000" w:usb3="00000000" w:csb0="00000193" w:csb1="00000000"/>
  </w:font>
  <w:font w:name="Geo">
    <w:altName w:val="Calibri"/>
    <w:charset w:val="00"/>
    <w:family w:val="auto"/>
    <w:pitch w:val="variable"/>
    <w:sig w:usb0="8000002F" w:usb1="40000048" w:usb2="00000000" w:usb3="00000000" w:csb0="00000001" w:csb1="00000000"/>
  </w:font>
  <w:font w:name="Yu Mincho">
    <w:charset w:val="80"/>
    <w:family w:val="roman"/>
    <w:pitch w:val="variable"/>
    <w:sig w:usb0="800002E7" w:usb1="2AC7FCFF" w:usb2="00000012" w:usb3="00000000" w:csb0="0002009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8911A32" w14:textId="6CE791A4" w:rsidR="004A1847" w:rsidRDefault="004A1847">
    <w:pPr>
      <w:pStyle w:val="Piedepgina"/>
    </w:pPr>
  </w:p>
  <w:p w14:paraId="594D6D9F" w14:textId="77777777" w:rsidR="00D520D8" w:rsidRPr="00174B77" w:rsidRDefault="07C73DD1" w:rsidP="07C73DD1">
    <w:pPr>
      <w:pBdr>
        <w:top w:val="single" w:sz="4" w:space="1" w:color="000000"/>
      </w:pBdr>
      <w:spacing w:after="0"/>
      <w:rPr>
        <w:rFonts w:ascii="Verdana" w:eastAsia="Verdana" w:hAnsi="Verdana" w:cs="Verdana"/>
        <w:b/>
        <w:bCs/>
        <w:sz w:val="18"/>
        <w:szCs w:val="18"/>
      </w:rPr>
    </w:pPr>
    <w:r w:rsidRPr="07C73DD1">
      <w:rPr>
        <w:rFonts w:ascii="Verdana" w:eastAsia="Verdana" w:hAnsi="Verdana" w:cs="Verdana"/>
        <w:b/>
        <w:bCs/>
        <w:sz w:val="18"/>
        <w:szCs w:val="18"/>
      </w:rPr>
      <w:t xml:space="preserve">Agencia Nacional de Contratación Pública                                              </w:t>
    </w:r>
    <w:r w:rsidRPr="07C73DD1">
      <w:rPr>
        <w:rFonts w:ascii="Verdana" w:eastAsia="Verdana" w:hAnsi="Verdana" w:cs="Verdana"/>
        <w:b/>
        <w:bCs/>
        <w:sz w:val="18"/>
        <w:szCs w:val="18"/>
        <w:lang w:val="es-ES"/>
      </w:rPr>
      <w:t xml:space="preserve">pág. </w:t>
    </w:r>
    <w:r w:rsidR="00D520D8" w:rsidRPr="07C73DD1">
      <w:rPr>
        <w:rFonts w:ascii="Verdana" w:eastAsia="Verdana" w:hAnsi="Verdana" w:cs="Verdana"/>
        <w:b/>
        <w:bCs/>
        <w:sz w:val="18"/>
        <w:szCs w:val="18"/>
      </w:rPr>
      <w:fldChar w:fldCharType="begin"/>
    </w:r>
    <w:r w:rsidR="00D520D8" w:rsidRPr="07C73DD1">
      <w:rPr>
        <w:rFonts w:ascii="Verdana" w:hAnsi="Verdana"/>
        <w:b/>
        <w:bCs/>
        <w:sz w:val="16"/>
        <w:szCs w:val="16"/>
      </w:rPr>
      <w:instrText>PAGE    \* MERGEFORMAT</w:instrText>
    </w:r>
    <w:r w:rsidR="00D520D8" w:rsidRPr="07C73DD1">
      <w:rPr>
        <w:rFonts w:ascii="Verdana" w:eastAsiaTheme="minorEastAsia" w:hAnsi="Verdana"/>
        <w:b/>
        <w:bCs/>
        <w:sz w:val="16"/>
        <w:szCs w:val="16"/>
      </w:rPr>
      <w:fldChar w:fldCharType="separate"/>
    </w:r>
    <w:r w:rsidRPr="07C73DD1">
      <w:rPr>
        <w:rFonts w:ascii="Verdana" w:eastAsia="Verdana" w:hAnsi="Verdana" w:cs="Verdana"/>
        <w:b/>
        <w:bCs/>
        <w:sz w:val="18"/>
        <w:szCs w:val="18"/>
      </w:rPr>
      <w:t>1</w:t>
    </w:r>
    <w:r w:rsidR="00D520D8" w:rsidRPr="07C73DD1">
      <w:rPr>
        <w:rFonts w:ascii="Verdana" w:eastAsia="Verdana" w:hAnsi="Verdana" w:cs="Verdana"/>
        <w:b/>
        <w:bCs/>
        <w:sz w:val="18"/>
        <w:szCs w:val="18"/>
      </w:rPr>
      <w:fldChar w:fldCharType="end"/>
    </w:r>
    <w:r w:rsidRPr="07C73DD1">
      <w:rPr>
        <w:rFonts w:ascii="Verdana" w:eastAsia="Verdana" w:hAnsi="Verdana" w:cs="Verdana"/>
        <w:b/>
        <w:bCs/>
        <w:sz w:val="18"/>
        <w:szCs w:val="18"/>
      </w:rPr>
      <w:t xml:space="preserve">              Colombia Compra Eficiente         </w:t>
    </w:r>
    <w:r w:rsidRPr="07C73DD1">
      <w:rPr>
        <w:rFonts w:ascii="Verdana" w:eastAsia="Verdana" w:hAnsi="Verdana" w:cs="Verdana"/>
        <w:b/>
        <w:bCs/>
        <w:sz w:val="18"/>
        <w:szCs w:val="18"/>
        <w:lang w:val="es-ES"/>
      </w:rPr>
      <w:t xml:space="preserve"> </w:t>
    </w:r>
    <w:r w:rsidRPr="07C73DD1">
      <w:rPr>
        <w:rFonts w:ascii="Verdana" w:eastAsia="Verdana" w:hAnsi="Verdana" w:cs="Verdana"/>
        <w:b/>
        <w:bCs/>
        <w:sz w:val="18"/>
        <w:szCs w:val="18"/>
      </w:rPr>
      <w:t xml:space="preserve">                                                  </w:t>
    </w:r>
  </w:p>
  <w:p w14:paraId="0A735DD5" w14:textId="77777777" w:rsidR="00D520D8" w:rsidRDefault="07C73DD1" w:rsidP="07C73DD1">
    <w:pPr>
      <w:spacing w:after="0"/>
      <w:jc w:val="both"/>
      <w:rPr>
        <w:rFonts w:ascii="Verdana" w:eastAsia="Verdana" w:hAnsi="Verdana" w:cs="Verdana"/>
        <w:sz w:val="18"/>
        <w:szCs w:val="18"/>
      </w:rPr>
    </w:pPr>
    <w:r w:rsidRPr="07C73DD1">
      <w:rPr>
        <w:rFonts w:ascii="Verdana" w:eastAsia="Verdana" w:hAnsi="Verdana" w:cs="Verdana"/>
        <w:sz w:val="18"/>
        <w:szCs w:val="18"/>
      </w:rPr>
      <w:t>Dirección: Carrera 7 # 26 – 20 - Bogotá, Colombia</w:t>
    </w:r>
  </w:p>
  <w:p w14:paraId="06E36B88" w14:textId="77777777" w:rsidR="00D520D8" w:rsidRPr="00E41027" w:rsidRDefault="07C73DD1" w:rsidP="07C73DD1">
    <w:pPr>
      <w:spacing w:after="0"/>
      <w:jc w:val="both"/>
      <w:rPr>
        <w:rFonts w:ascii="Verdana" w:eastAsia="Verdana" w:hAnsi="Verdana" w:cs="Verdana"/>
        <w:sz w:val="18"/>
        <w:szCs w:val="18"/>
      </w:rPr>
    </w:pPr>
    <w:r w:rsidRPr="07C73DD1">
      <w:rPr>
        <w:rFonts w:ascii="Verdana" w:eastAsia="Verdana" w:hAnsi="Verdana" w:cs="Verdana"/>
        <w:sz w:val="18"/>
        <w:szCs w:val="18"/>
      </w:rPr>
      <w:t>Mesa de servicio: (+57) 601 7456788</w:t>
    </w:r>
  </w:p>
  <w:p w14:paraId="744661F5" w14:textId="22B9E88F" w:rsidR="006219F8" w:rsidRDefault="07C73DD1" w:rsidP="07C73DD1">
    <w:pPr>
      <w:pBdr>
        <w:top w:val="nil"/>
        <w:left w:val="nil"/>
        <w:bottom w:val="nil"/>
        <w:right w:val="nil"/>
        <w:between w:val="nil"/>
      </w:pBdr>
      <w:tabs>
        <w:tab w:val="center" w:pos="4419"/>
        <w:tab w:val="right" w:pos="8838"/>
        <w:tab w:val="center" w:pos="5400"/>
      </w:tabs>
      <w:spacing w:after="0"/>
      <w:jc w:val="right"/>
      <w:rPr>
        <w:rFonts w:ascii="Verdana" w:eastAsia="Verdana" w:hAnsi="Verdana" w:cs="Verdana"/>
        <w:sz w:val="18"/>
        <w:szCs w:val="18"/>
        <w:lang w:eastAsia="es-CO"/>
      </w:rPr>
    </w:pPr>
    <w:r w:rsidRPr="07C73DD1">
      <w:rPr>
        <w:rFonts w:ascii="Verdana" w:eastAsia="Verdana" w:hAnsi="Verdana" w:cs="Verdana"/>
        <w:b/>
        <w:bCs/>
        <w:color w:val="000000" w:themeColor="text1"/>
        <w:sz w:val="18"/>
        <w:szCs w:val="18"/>
        <w:lang w:eastAsia="es-CO"/>
      </w:rPr>
      <w:t xml:space="preserve">Código: </w:t>
    </w:r>
    <w:r w:rsidRPr="07C73DD1">
      <w:rPr>
        <w:rFonts w:ascii="Verdana" w:eastAsia="Verdana" w:hAnsi="Verdana" w:cs="Verdana"/>
        <w:color w:val="000000" w:themeColor="text1"/>
        <w:sz w:val="18"/>
        <w:szCs w:val="18"/>
        <w:lang w:eastAsia="es-CO"/>
      </w:rPr>
      <w:t xml:space="preserve">CCE-REC-FM-17 </w:t>
    </w:r>
    <w:r w:rsidRPr="07C73DD1">
      <w:rPr>
        <w:rFonts w:ascii="Verdana" w:eastAsia="Verdana" w:hAnsi="Verdana" w:cs="Verdana"/>
        <w:b/>
        <w:bCs/>
        <w:color w:val="000000" w:themeColor="text1"/>
        <w:sz w:val="18"/>
        <w:szCs w:val="18"/>
        <w:lang w:eastAsia="es-CO"/>
      </w:rPr>
      <w:t xml:space="preserve">V: </w:t>
    </w:r>
    <w:r w:rsidRPr="07C73DD1">
      <w:rPr>
        <w:rFonts w:ascii="Verdana" w:eastAsia="Verdana" w:hAnsi="Verdana" w:cs="Verdana"/>
        <w:sz w:val="18"/>
        <w:szCs w:val="18"/>
        <w:lang w:eastAsia="es-CO"/>
      </w:rPr>
      <w:t>03 Fecha: 21-10-2025</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284C6E1" w14:textId="77777777" w:rsidR="005D79F4" w:rsidRDefault="005D79F4" w:rsidP="004A1847">
      <w:pPr>
        <w:spacing w:after="0" w:line="240" w:lineRule="auto"/>
      </w:pPr>
      <w:r>
        <w:separator/>
      </w:r>
    </w:p>
  </w:footnote>
  <w:footnote w:type="continuationSeparator" w:id="0">
    <w:p w14:paraId="0009968B" w14:textId="77777777" w:rsidR="005D79F4" w:rsidRDefault="005D79F4" w:rsidP="004A1847">
      <w:pPr>
        <w:spacing w:after="0" w:line="240" w:lineRule="auto"/>
      </w:pPr>
      <w:r>
        <w:continuationSeparator/>
      </w:r>
    </w:p>
  </w:footnote>
  <w:footnote w:id="1">
    <w:p w14:paraId="79AABFDB" w14:textId="77777777" w:rsidR="00432192" w:rsidRDefault="00432192" w:rsidP="00432192">
      <w:pPr>
        <w:pStyle w:val="Textonotapie"/>
        <w:ind w:firstLine="709"/>
        <w:rPr>
          <w:sz w:val="14"/>
          <w:szCs w:val="14"/>
          <w:lang w:val="es-CO"/>
        </w:rPr>
      </w:pPr>
      <w:r>
        <w:rPr>
          <w:rStyle w:val="Refdenotaalpie"/>
          <w:sz w:val="14"/>
          <w:szCs w:val="14"/>
        </w:rPr>
        <w:footnoteRef/>
      </w:r>
      <w:r>
        <w:rPr>
          <w:sz w:val="14"/>
          <w:szCs w:val="14"/>
        </w:rPr>
        <w:t xml:space="preserve"> </w:t>
      </w:r>
      <w:r>
        <w:rPr>
          <w:rFonts w:ascii="Verdana" w:hAnsi="Verdana"/>
          <w:sz w:val="14"/>
          <w:szCs w:val="14"/>
          <w:lang w:val="es-CO"/>
        </w:rPr>
        <w:t xml:space="preserve">Disponible en: </w:t>
      </w:r>
      <w:hyperlink r:id="rId1" w:history="1">
        <w:r>
          <w:rPr>
            <w:rStyle w:val="Hipervnculo"/>
            <w:rFonts w:ascii="Verdana" w:hAnsi="Verdana"/>
            <w:sz w:val="14"/>
            <w:szCs w:val="14"/>
            <w:lang w:val="es-CO"/>
          </w:rPr>
          <w:t>https://www.colombiacompra.gov.co/node/23710</w:t>
        </w:r>
      </w:hyperlink>
      <w:r>
        <w:rPr>
          <w:sz w:val="14"/>
          <w:szCs w:val="14"/>
          <w:lang w:val="es-CO"/>
        </w:rPr>
        <w:t xml:space="preserve"> </w:t>
      </w:r>
    </w:p>
  </w:footnote>
  <w:footnote w:id="2">
    <w:p w14:paraId="268F2973" w14:textId="77777777" w:rsidR="00432192" w:rsidRPr="00C2547E" w:rsidRDefault="00432192" w:rsidP="00432192">
      <w:pPr>
        <w:pStyle w:val="Textonotapie"/>
        <w:ind w:firstLine="709"/>
        <w:jc w:val="both"/>
        <w:rPr>
          <w:rFonts w:ascii="Verdana" w:hAnsi="Verdana"/>
          <w:sz w:val="16"/>
          <w:szCs w:val="16"/>
          <w:lang w:val="es-CO"/>
        </w:rPr>
      </w:pPr>
      <w:r w:rsidRPr="00C2547E">
        <w:rPr>
          <w:rStyle w:val="Refdenotaalpie"/>
          <w:rFonts w:ascii="Verdana" w:hAnsi="Verdana"/>
          <w:sz w:val="16"/>
          <w:szCs w:val="16"/>
        </w:rPr>
        <w:footnoteRef/>
      </w:r>
      <w:r w:rsidRPr="00C2547E">
        <w:rPr>
          <w:rFonts w:ascii="Verdana" w:hAnsi="Verdana"/>
          <w:sz w:val="16"/>
          <w:szCs w:val="16"/>
        </w:rPr>
        <w:t xml:space="preserve"> Disponible en: </w:t>
      </w:r>
      <w:hyperlink r:id="rId2" w:history="1">
        <w:r w:rsidRPr="00C2547E">
          <w:rPr>
            <w:rStyle w:val="Hipervnculo"/>
            <w:rFonts w:ascii="Verdana" w:hAnsi="Verdana"/>
            <w:sz w:val="16"/>
            <w:szCs w:val="16"/>
          </w:rPr>
          <w:t>https://www.colombiacompra.gov.co/base-conocimiento/gestion-contractual-envio-del-contrato-secop-ii</w:t>
        </w:r>
      </w:hyperlink>
      <w:r w:rsidRPr="00C2547E">
        <w:rPr>
          <w:rFonts w:ascii="Verdana" w:hAnsi="Verdana"/>
          <w:sz w:val="16"/>
          <w:szCs w:val="16"/>
        </w:rPr>
        <w:t xml:space="preserve"> </w:t>
      </w:r>
    </w:p>
  </w:footnote>
  <w:footnote w:id="3">
    <w:p w14:paraId="5D35E20A" w14:textId="77777777" w:rsidR="00432192" w:rsidRPr="00C2547E" w:rsidRDefault="00432192" w:rsidP="00432192">
      <w:pPr>
        <w:pStyle w:val="Textonotapie"/>
        <w:ind w:firstLine="709"/>
        <w:jc w:val="both"/>
        <w:rPr>
          <w:lang w:val="es-CO"/>
        </w:rPr>
      </w:pPr>
      <w:r w:rsidRPr="00C2547E">
        <w:rPr>
          <w:rStyle w:val="Refdenotaalpie"/>
          <w:rFonts w:ascii="Verdana" w:hAnsi="Verdana"/>
          <w:sz w:val="16"/>
          <w:szCs w:val="16"/>
        </w:rPr>
        <w:footnoteRef/>
      </w:r>
      <w:r w:rsidRPr="00C2547E">
        <w:rPr>
          <w:rFonts w:ascii="Verdana" w:hAnsi="Verdana"/>
          <w:sz w:val="16"/>
          <w:szCs w:val="16"/>
        </w:rPr>
        <w:t xml:space="preserve"> </w:t>
      </w:r>
      <w:r w:rsidRPr="00C2547E">
        <w:rPr>
          <w:rFonts w:ascii="Verdana" w:hAnsi="Verdana"/>
          <w:sz w:val="16"/>
          <w:szCs w:val="16"/>
          <w:lang w:val="es-CO"/>
        </w:rPr>
        <w:t>Son secuencias para la aprobación de algunas tareas asignadas a los miembros del Equipo del Proceso de contratación, que por su relevancia requieren ser autorizadas por uno o varios usuarios de la Entidad Estatal (ej. publicación de pliegos definitivos, publicación del informe de evaluación, adendas, aprobación del contrato, etc.). El usuario administrador puede configurar plantillas tipo con secuencias de aprobación que use de manera frecuente (ej. primero aprueba el secretario general y luego el director general).</w:t>
      </w:r>
      <w:r w:rsidRPr="00D97CCD">
        <w:t xml:space="preserve"> </w:t>
      </w:r>
      <w:hyperlink r:id="rId3" w:history="1">
        <w:r w:rsidRPr="009965FB">
          <w:rPr>
            <w:rStyle w:val="Hipervnculo"/>
            <w:rFonts w:ascii="Verdana" w:hAnsi="Verdana"/>
            <w:sz w:val="16"/>
            <w:szCs w:val="16"/>
            <w:lang w:val="es-CO"/>
          </w:rPr>
          <w:t>https://www.colombiacompra.gov.co/base-conocimiento/configuracion-de-cuentas-secop-ii</w:t>
        </w:r>
      </w:hyperlink>
      <w:r>
        <w:rPr>
          <w:rFonts w:ascii="Verdana" w:hAnsi="Verdana"/>
          <w:sz w:val="16"/>
          <w:szCs w:val="16"/>
          <w:lang w:val="es-CO"/>
        </w:rPr>
        <w:t xml:space="preserve"> </w:t>
      </w:r>
    </w:p>
  </w:footnote>
  <w:footnote w:id="4">
    <w:p w14:paraId="6CC08702" w14:textId="77777777" w:rsidR="00432192" w:rsidRPr="00B73A48" w:rsidRDefault="00432192" w:rsidP="00B73A48">
      <w:pPr>
        <w:pStyle w:val="Textonotapie"/>
        <w:contextualSpacing/>
        <w:jc w:val="both"/>
        <w:rPr>
          <w:rFonts w:ascii="Verdana" w:hAnsi="Verdana" w:cs="Arial"/>
          <w:sz w:val="16"/>
          <w:szCs w:val="16"/>
        </w:rPr>
      </w:pPr>
    </w:p>
    <w:p w14:paraId="3108480C" w14:textId="77777777" w:rsidR="00432192" w:rsidRPr="00B73A48" w:rsidRDefault="00432192" w:rsidP="00432192">
      <w:pPr>
        <w:pStyle w:val="Textonotapie"/>
        <w:ind w:firstLine="708"/>
        <w:contextualSpacing/>
        <w:jc w:val="both"/>
        <w:rPr>
          <w:rFonts w:ascii="Verdana" w:hAnsi="Verdana" w:cs="Arial"/>
          <w:sz w:val="16"/>
          <w:szCs w:val="16"/>
        </w:rPr>
      </w:pPr>
      <w:r w:rsidRPr="00B73A48">
        <w:rPr>
          <w:rStyle w:val="Refdenotaalpie"/>
          <w:rFonts w:ascii="Verdana" w:hAnsi="Verdana" w:cs="Arial"/>
          <w:sz w:val="16"/>
          <w:szCs w:val="16"/>
        </w:rPr>
        <w:footnoteRef/>
      </w:r>
      <w:r w:rsidRPr="00B73A48">
        <w:rPr>
          <w:rFonts w:ascii="Verdana" w:hAnsi="Verdana" w:cs="Arial"/>
          <w:sz w:val="16"/>
          <w:szCs w:val="16"/>
        </w:rPr>
        <w:t xml:space="preserve"> Decreto 4170 de 2011: “Artículo 3. Funciones: La Agencia Nacional de Contratación Pública –Colombia Compra Eficiente– ejercerá las siguientes funciones: [...]</w:t>
      </w:r>
    </w:p>
    <w:p w14:paraId="4C10842E" w14:textId="77777777" w:rsidR="00716C9A" w:rsidRPr="00A51886" w:rsidRDefault="00716C9A" w:rsidP="00432192">
      <w:pPr>
        <w:pStyle w:val="Textonotapie"/>
        <w:ind w:firstLine="708"/>
        <w:contextualSpacing/>
        <w:jc w:val="both"/>
        <w:rPr>
          <w:rFonts w:ascii="Arial" w:hAnsi="Arial" w:cs="Arial"/>
          <w:sz w:val="19"/>
          <w:szCs w:val="19"/>
        </w:rPr>
      </w:pPr>
    </w:p>
    <w:p w14:paraId="25C0B2A0" w14:textId="77777777" w:rsidR="00432192" w:rsidRPr="00B73A48" w:rsidRDefault="00432192" w:rsidP="00432192">
      <w:pPr>
        <w:pStyle w:val="Textonotapie"/>
        <w:ind w:firstLine="708"/>
        <w:contextualSpacing/>
        <w:jc w:val="both"/>
        <w:rPr>
          <w:rFonts w:ascii="Verdana" w:hAnsi="Verdana" w:cs="Arial"/>
          <w:sz w:val="16"/>
          <w:szCs w:val="16"/>
        </w:rPr>
      </w:pPr>
      <w:r w:rsidRPr="00B73A48">
        <w:rPr>
          <w:rFonts w:ascii="Verdana" w:hAnsi="Verdana" w:cs="Arial"/>
          <w:sz w:val="16"/>
          <w:szCs w:val="16"/>
        </w:rPr>
        <w:t>8. Desarrollar y administrar el Sistema Electrónico para la Contratación Pública (SECOP) o el que haga sus veces, y gestionar nuevos desarrollos tecnológicos en los asuntos de su competencia, teniendo en cuenta los parámetros fijados por el Consejo Directivo. [...]”.</w:t>
      </w:r>
    </w:p>
    <w:p w14:paraId="6C917BCA" w14:textId="77777777" w:rsidR="00432192" w:rsidRPr="00B73A48" w:rsidRDefault="00432192" w:rsidP="00432192">
      <w:pPr>
        <w:pStyle w:val="Textonotapie"/>
        <w:contextualSpacing/>
        <w:jc w:val="both"/>
        <w:rPr>
          <w:rFonts w:ascii="Verdana" w:hAnsi="Verdana" w:cs="Arial"/>
          <w:sz w:val="16"/>
          <w:szCs w:val="16"/>
          <w:lang w:val="es-ES"/>
        </w:rPr>
      </w:pPr>
    </w:p>
  </w:footnote>
  <w:footnote w:id="5">
    <w:p w14:paraId="2446E228" w14:textId="77777777" w:rsidR="00432192" w:rsidRPr="00B73A48" w:rsidRDefault="00432192" w:rsidP="00432192">
      <w:pPr>
        <w:pStyle w:val="Textonotapie"/>
        <w:ind w:firstLine="708"/>
        <w:contextualSpacing/>
        <w:jc w:val="both"/>
        <w:rPr>
          <w:rStyle w:val="Hipervnculo"/>
          <w:rFonts w:ascii="Verdana" w:hAnsi="Verdana" w:cs="Arial"/>
          <w:sz w:val="16"/>
          <w:szCs w:val="16"/>
        </w:rPr>
      </w:pPr>
      <w:r w:rsidRPr="00B73A48">
        <w:rPr>
          <w:rStyle w:val="Refdenotaalpie"/>
          <w:rFonts w:ascii="Verdana" w:hAnsi="Verdana" w:cs="Arial"/>
          <w:sz w:val="16"/>
          <w:szCs w:val="16"/>
        </w:rPr>
        <w:footnoteRef/>
      </w:r>
      <w:r w:rsidRPr="00B73A48">
        <w:rPr>
          <w:rFonts w:ascii="Verdana" w:hAnsi="Verdana" w:cs="Arial"/>
          <w:sz w:val="16"/>
          <w:szCs w:val="16"/>
        </w:rPr>
        <w:t xml:space="preserve"> En el siguiente </w:t>
      </w:r>
      <w:r w:rsidRPr="00B73A48">
        <w:rPr>
          <w:rFonts w:ascii="Verdana" w:hAnsi="Verdana" w:cs="Arial"/>
          <w:sz w:val="16"/>
          <w:szCs w:val="16"/>
        </w:rPr>
        <w:t xml:space="preserve">link se puede consultar la Guía para gestionar o publicar los procesos de Régimen Especial con oferta en el SECOP II:  </w:t>
      </w:r>
      <w:hyperlink r:id="rId4" w:history="1">
        <w:r w:rsidRPr="00B73A48">
          <w:rPr>
            <w:rStyle w:val="Hipervnculo"/>
            <w:rFonts w:ascii="Verdana" w:hAnsi="Verdana" w:cs="Arial"/>
            <w:sz w:val="16"/>
            <w:szCs w:val="16"/>
          </w:rPr>
          <w:t>https://www.colombiacompra.gov.co/node/23628</w:t>
        </w:r>
      </w:hyperlink>
    </w:p>
    <w:p w14:paraId="4E5ED00D" w14:textId="77777777" w:rsidR="00432192" w:rsidRPr="00B73A48" w:rsidRDefault="00432192" w:rsidP="00432192">
      <w:pPr>
        <w:pStyle w:val="Textonotapie"/>
        <w:ind w:firstLine="708"/>
        <w:contextualSpacing/>
        <w:jc w:val="both"/>
        <w:rPr>
          <w:rFonts w:ascii="Verdana" w:hAnsi="Verdana" w:cs="Arial"/>
          <w:sz w:val="16"/>
          <w:szCs w:val="16"/>
        </w:rPr>
      </w:pPr>
      <w:r w:rsidRPr="00B73A48">
        <w:rPr>
          <w:rFonts w:ascii="Verdana" w:hAnsi="Verdana" w:cs="Arial"/>
          <w:sz w:val="16"/>
          <w:szCs w:val="16"/>
        </w:rPr>
        <w:t xml:space="preserve"> </w:t>
      </w:r>
    </w:p>
  </w:footnote>
  <w:footnote w:id="6">
    <w:p w14:paraId="2660736B" w14:textId="77777777" w:rsidR="00432192" w:rsidRPr="00B73A48" w:rsidRDefault="00432192" w:rsidP="00432192">
      <w:pPr>
        <w:pStyle w:val="Textonotapie"/>
        <w:ind w:firstLine="708"/>
        <w:contextualSpacing/>
        <w:jc w:val="both"/>
        <w:rPr>
          <w:rFonts w:ascii="Verdana" w:hAnsi="Verdana" w:cs="Arial"/>
          <w:sz w:val="19"/>
          <w:szCs w:val="19"/>
        </w:rPr>
      </w:pPr>
      <w:r w:rsidRPr="00B73A48">
        <w:rPr>
          <w:rStyle w:val="Refdenotaalpie"/>
          <w:rFonts w:ascii="Verdana" w:hAnsi="Verdana" w:cs="Arial"/>
          <w:sz w:val="16"/>
          <w:szCs w:val="16"/>
        </w:rPr>
        <w:footnoteRef/>
      </w:r>
      <w:r w:rsidRPr="00B73A48">
        <w:rPr>
          <w:rFonts w:ascii="Verdana" w:hAnsi="Verdana" w:cs="Arial"/>
          <w:sz w:val="16"/>
          <w:szCs w:val="16"/>
        </w:rPr>
        <w:t xml:space="preserve"> En el siguiente </w:t>
      </w:r>
      <w:r w:rsidRPr="00B73A48">
        <w:rPr>
          <w:rFonts w:ascii="Verdana" w:hAnsi="Verdana" w:cs="Arial"/>
          <w:sz w:val="16"/>
          <w:szCs w:val="16"/>
        </w:rPr>
        <w:t xml:space="preserve">link se puede consultar la Guía para gestionar o publicar los procesos de Régimen Especial sin oferta en el SECOP II:   </w:t>
      </w:r>
      <w:hyperlink r:id="rId5" w:history="1">
        <w:r w:rsidRPr="00B73A48">
          <w:rPr>
            <w:rStyle w:val="Hipervnculo"/>
            <w:rFonts w:ascii="Verdana" w:hAnsi="Verdana" w:cs="Arial"/>
            <w:sz w:val="16"/>
            <w:szCs w:val="16"/>
          </w:rPr>
          <w:t>https://www.colombiacompra.gov.co/node/30741</w:t>
        </w:r>
      </w:hyperlink>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35F4D03" w14:textId="0903BF04" w:rsidR="00756841" w:rsidRDefault="009D3058" w:rsidP="00844AE9">
    <w:pPr>
      <w:pStyle w:val="Encabezado"/>
      <w:spacing w:line="120" w:lineRule="auto"/>
    </w:pPr>
    <w:r>
      <w:rPr>
        <w:rFonts w:ascii="Geomanist Bold" w:hAnsi="Geomanist Bold"/>
        <w:b/>
        <w:bCs/>
        <w:noProof/>
        <w:color w:val="002060"/>
        <w:sz w:val="24"/>
        <w:szCs w:val="24"/>
      </w:rPr>
      <w:drawing>
        <wp:anchor distT="0" distB="0" distL="114300" distR="114300" simplePos="0" relativeHeight="251658241" behindDoc="1" locked="0" layoutInCell="1" allowOverlap="1" wp14:anchorId="6FC3B35F" wp14:editId="51872E67">
          <wp:simplePos x="0" y="0"/>
          <wp:positionH relativeFrom="margin">
            <wp:align>center</wp:align>
          </wp:positionH>
          <wp:positionV relativeFrom="paragraph">
            <wp:posOffset>-256388</wp:posOffset>
          </wp:positionV>
          <wp:extent cx="1924050" cy="856004"/>
          <wp:effectExtent l="0" t="0" r="0" b="1270"/>
          <wp:wrapNone/>
          <wp:docPr id="1309089902" name="Imagen 1" descr="Imagen que contiene Interfaz de usuario gráfic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9089902" name="Imagen 1" descr="Imagen que contiene Interfaz de usuario gráfica&#10;&#10;Descripción generada automáticamente"/>
                  <pic:cNvPicPr/>
                </pic:nvPicPr>
                <pic:blipFill>
                  <a:blip r:embed="rId1">
                    <a:extLst>
                      <a:ext uri="{28A0092B-C50C-407E-A947-70E740481C1C}">
                        <a14:useLocalDpi xmlns:a14="http://schemas.microsoft.com/office/drawing/2010/main" val="0"/>
                      </a:ext>
                    </a:extLst>
                  </a:blip>
                  <a:stretch>
                    <a:fillRect/>
                  </a:stretch>
                </pic:blipFill>
                <pic:spPr>
                  <a:xfrm>
                    <a:off x="0" y="0"/>
                    <a:ext cx="1924050" cy="856004"/>
                  </a:xfrm>
                  <a:prstGeom prst="rect">
                    <a:avLst/>
                  </a:prstGeom>
                </pic:spPr>
              </pic:pic>
            </a:graphicData>
          </a:graphic>
          <wp14:sizeRelH relativeFrom="margin">
            <wp14:pctWidth>0</wp14:pctWidth>
          </wp14:sizeRelH>
          <wp14:sizeRelV relativeFrom="margin">
            <wp14:pctHeight>0</wp14:pctHeight>
          </wp14:sizeRelV>
        </wp:anchor>
      </w:drawing>
    </w:r>
    <w:r w:rsidR="00E90F6B">
      <w:rPr>
        <w:rFonts w:ascii="Geomanist Bold" w:hAnsi="Geomanist Bold"/>
        <w:b/>
        <w:bCs/>
        <w:noProof/>
        <w:color w:val="002060"/>
        <w:sz w:val="24"/>
        <w:szCs w:val="24"/>
      </w:rPr>
      <w:drawing>
        <wp:anchor distT="0" distB="0" distL="114300" distR="114300" simplePos="0" relativeHeight="251658240" behindDoc="0" locked="0" layoutInCell="1" allowOverlap="1" wp14:anchorId="4F745D08" wp14:editId="02405FCC">
          <wp:simplePos x="0" y="0"/>
          <wp:positionH relativeFrom="margin">
            <wp:posOffset>8420100</wp:posOffset>
          </wp:positionH>
          <wp:positionV relativeFrom="margin">
            <wp:posOffset>-1377950</wp:posOffset>
          </wp:positionV>
          <wp:extent cx="665480" cy="3098800"/>
          <wp:effectExtent l="0" t="0" r="0" b="0"/>
          <wp:wrapThrough wrapText="bothSides">
            <wp:wrapPolygon edited="0">
              <wp:start x="6183" y="0"/>
              <wp:lineTo x="0" y="1416"/>
              <wp:lineTo x="5359" y="2833"/>
              <wp:lineTo x="2061" y="4249"/>
              <wp:lineTo x="412" y="4780"/>
              <wp:lineTo x="824" y="5134"/>
              <wp:lineTo x="3298" y="5666"/>
              <wp:lineTo x="4534" y="7082"/>
              <wp:lineTo x="412" y="7967"/>
              <wp:lineTo x="0" y="8233"/>
              <wp:lineTo x="5771" y="9915"/>
              <wp:lineTo x="0" y="11508"/>
              <wp:lineTo x="0" y="11685"/>
              <wp:lineTo x="4122" y="12748"/>
              <wp:lineTo x="2061" y="14164"/>
              <wp:lineTo x="0" y="14872"/>
              <wp:lineTo x="0" y="15049"/>
              <wp:lineTo x="2061" y="15580"/>
              <wp:lineTo x="4534" y="16997"/>
              <wp:lineTo x="0" y="18059"/>
              <wp:lineTo x="0" y="18413"/>
              <wp:lineTo x="10718" y="21246"/>
              <wp:lineTo x="12366" y="21511"/>
              <wp:lineTo x="14427" y="21511"/>
              <wp:lineTo x="14840" y="21511"/>
              <wp:lineTo x="17313" y="20980"/>
              <wp:lineTo x="20611" y="20007"/>
              <wp:lineTo x="20198" y="19830"/>
              <wp:lineTo x="13603" y="18413"/>
              <wp:lineTo x="21023" y="16643"/>
              <wp:lineTo x="16489" y="15580"/>
              <wp:lineTo x="17313" y="14164"/>
              <wp:lineTo x="21023" y="13279"/>
              <wp:lineTo x="18962" y="12748"/>
              <wp:lineTo x="15664" y="11331"/>
              <wp:lineTo x="21023" y="10003"/>
              <wp:lineTo x="21023" y="9826"/>
              <wp:lineTo x="18137" y="9207"/>
              <wp:lineTo x="15664" y="8498"/>
              <wp:lineTo x="19374" y="7082"/>
              <wp:lineTo x="21023" y="6639"/>
              <wp:lineTo x="21023" y="6374"/>
              <wp:lineTo x="18137" y="5666"/>
              <wp:lineTo x="16901" y="4249"/>
              <wp:lineTo x="21023" y="3275"/>
              <wp:lineTo x="21023" y="3098"/>
              <wp:lineTo x="20611" y="2833"/>
              <wp:lineTo x="8244" y="0"/>
              <wp:lineTo x="6183" y="0"/>
            </wp:wrapPolygon>
          </wp:wrapThrough>
          <wp:docPr id="962149914" name="Imagen 9621499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7974706" name="Imagen 1987974706"/>
                  <pic:cNvPicPr/>
                </pic:nvPicPr>
                <pic:blipFill>
                  <a:blip r:embed="rId2" cstate="print">
                    <a:extLst>
                      <a:ext uri="{28A0092B-C50C-407E-A947-70E740481C1C}">
                        <a14:useLocalDpi xmlns:a14="http://schemas.microsoft.com/office/drawing/2010/main" val="0"/>
                      </a:ext>
                    </a:extLst>
                  </a:blip>
                  <a:stretch>
                    <a:fillRect/>
                  </a:stretch>
                </pic:blipFill>
                <pic:spPr>
                  <a:xfrm>
                    <a:off x="0" y="0"/>
                    <a:ext cx="665480" cy="3098800"/>
                  </a:xfrm>
                  <a:prstGeom prst="rect">
                    <a:avLst/>
                  </a:prstGeom>
                </pic:spPr>
              </pic:pic>
            </a:graphicData>
          </a:graphic>
          <wp14:sizeRelH relativeFrom="margin">
            <wp14:pctWidth>0</wp14:pctWidth>
          </wp14:sizeRelH>
          <wp14:sizeRelV relativeFrom="margin">
            <wp14:pctHeight>0</wp14:pctHeight>
          </wp14:sizeRelV>
        </wp:anchor>
      </w:drawing>
    </w:r>
  </w:p>
  <w:p w14:paraId="1BE2B9AE" w14:textId="4B94DB3B" w:rsidR="00756841" w:rsidRDefault="00756841">
    <w:pPr>
      <w:pStyle w:val="Encabezado"/>
    </w:pPr>
  </w:p>
  <w:p w14:paraId="5E18350A" w14:textId="705F7B76" w:rsidR="004A305D" w:rsidRPr="004A305D" w:rsidRDefault="004A305D" w:rsidP="00B01B1A">
    <w:pPr>
      <w:spacing w:after="0" w:line="120" w:lineRule="auto"/>
      <w:rPr>
        <w:rFonts w:ascii="Century Gothic" w:eastAsia="Geo" w:hAnsi="Century Gothic" w:cs="Geo"/>
        <w:sz w:val="16"/>
        <w:szCs w:val="16"/>
        <w:lang w:eastAsia="es-CO"/>
      </w:rPr>
    </w:pPr>
  </w:p>
  <w:p w14:paraId="211B7F5D" w14:textId="77777777" w:rsidR="00C925AC" w:rsidRDefault="00C925AC" w:rsidP="00844AE9">
    <w:pPr>
      <w:spacing w:after="0" w:line="240" w:lineRule="auto"/>
      <w:rPr>
        <w:rFonts w:ascii="Verdana" w:hAnsi="Verdana"/>
        <w:sz w:val="24"/>
        <w:szCs w:val="24"/>
      </w:rPr>
    </w:pPr>
  </w:p>
  <w:p w14:paraId="5A0054B1" w14:textId="77777777" w:rsidR="00A14468" w:rsidRPr="00C925AC" w:rsidRDefault="00A14468" w:rsidP="00844AE9">
    <w:pPr>
      <w:spacing w:after="0" w:line="240" w:lineRule="auto"/>
      <w:rPr>
        <w:rFonts w:ascii="Verdana" w:hAnsi="Verdana"/>
        <w:sz w:val="24"/>
        <w:szCs w:val="24"/>
      </w:rPr>
    </w:pPr>
  </w:p>
  <w:p w14:paraId="1FD1C243" w14:textId="37C5500A" w:rsidR="008A446D" w:rsidRPr="00C925AC" w:rsidRDefault="00C925AC" w:rsidP="000D5DA7">
    <w:pPr>
      <w:spacing w:after="0" w:line="480" w:lineRule="auto"/>
      <w:rPr>
        <w:rFonts w:ascii="Verdana" w:hAnsi="Verdana"/>
        <w:b/>
        <w:bCs/>
        <w:sz w:val="24"/>
        <w:szCs w:val="24"/>
      </w:rPr>
    </w:pPr>
    <w:r w:rsidRPr="00C925AC">
      <w:rPr>
        <w:rFonts w:ascii="Verdana" w:hAnsi="Verdana"/>
        <w:b/>
        <w:bCs/>
        <w:sz w:val="24"/>
        <w:szCs w:val="24"/>
      </w:rPr>
      <w:t>FORMATO</w:t>
    </w:r>
    <w:r w:rsidR="00BF7425">
      <w:rPr>
        <w:rFonts w:ascii="Verdana" w:hAnsi="Verdana"/>
        <w:b/>
        <w:bCs/>
        <w:sz w:val="24"/>
        <w:szCs w:val="24"/>
      </w:rPr>
      <w:t xml:space="preserve"> DE RESPUESTA </w:t>
    </w:r>
    <w:r w:rsidRPr="00C925AC">
      <w:rPr>
        <w:rFonts w:ascii="Verdana" w:hAnsi="Verdana"/>
        <w:b/>
        <w:bCs/>
        <w:sz w:val="24"/>
        <w:szCs w:val="24"/>
      </w:rPr>
      <w:t>PQRSD</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1.1pt;height:11.1pt" o:bullet="t">
        <v:imagedata r:id="rId1" o:title="mso1B13"/>
      </v:shape>
    </w:pict>
  </w:numPicBullet>
  <w:abstractNum w:abstractNumId="0" w15:restartNumberingAfterBreak="0">
    <w:nsid w:val="01C06310"/>
    <w:multiLevelType w:val="multilevel"/>
    <w:tmpl w:val="25FEEF8E"/>
    <w:lvl w:ilvl="0">
      <w:start w:val="1"/>
      <w:numFmt w:val="decimal"/>
      <w:lvlText w:val="%1."/>
      <w:lvlJc w:val="left"/>
      <w:pPr>
        <w:ind w:left="6601" w:hanging="360"/>
      </w:pPr>
      <w:rPr>
        <w:b/>
        <w:color w:val="000000" w:themeColor="text1"/>
      </w:rPr>
    </w:lvl>
    <w:lvl w:ilvl="1">
      <w:start w:val="2"/>
      <w:numFmt w:val="decimal"/>
      <w:isLgl/>
      <w:lvlText w:val="%1.%2"/>
      <w:lvlJc w:val="left"/>
      <w:pPr>
        <w:ind w:left="6241" w:hanging="360"/>
      </w:pPr>
    </w:lvl>
    <w:lvl w:ilvl="2">
      <w:start w:val="1"/>
      <w:numFmt w:val="decimal"/>
      <w:isLgl/>
      <w:lvlText w:val="%1.%2.%3"/>
      <w:lvlJc w:val="left"/>
      <w:pPr>
        <w:ind w:left="6961" w:hanging="720"/>
      </w:pPr>
    </w:lvl>
    <w:lvl w:ilvl="3">
      <w:start w:val="1"/>
      <w:numFmt w:val="decimal"/>
      <w:isLgl/>
      <w:lvlText w:val="%1.%2.%3.%4"/>
      <w:lvlJc w:val="left"/>
      <w:pPr>
        <w:ind w:left="6961" w:hanging="720"/>
      </w:pPr>
    </w:lvl>
    <w:lvl w:ilvl="4">
      <w:start w:val="1"/>
      <w:numFmt w:val="decimal"/>
      <w:isLgl/>
      <w:lvlText w:val="%1.%2.%3.%4.%5"/>
      <w:lvlJc w:val="left"/>
      <w:pPr>
        <w:ind w:left="7321" w:hanging="1080"/>
      </w:pPr>
    </w:lvl>
    <w:lvl w:ilvl="5">
      <w:start w:val="1"/>
      <w:numFmt w:val="decimal"/>
      <w:isLgl/>
      <w:lvlText w:val="%1.%2.%3.%4.%5.%6"/>
      <w:lvlJc w:val="left"/>
      <w:pPr>
        <w:ind w:left="7321" w:hanging="1080"/>
      </w:pPr>
    </w:lvl>
    <w:lvl w:ilvl="6">
      <w:start w:val="1"/>
      <w:numFmt w:val="decimal"/>
      <w:isLgl/>
      <w:lvlText w:val="%1.%2.%3.%4.%5.%6.%7"/>
      <w:lvlJc w:val="left"/>
      <w:pPr>
        <w:ind w:left="7681" w:hanging="1440"/>
      </w:pPr>
    </w:lvl>
    <w:lvl w:ilvl="7">
      <w:start w:val="1"/>
      <w:numFmt w:val="decimal"/>
      <w:isLgl/>
      <w:lvlText w:val="%1.%2.%3.%4.%5.%6.%7.%8"/>
      <w:lvlJc w:val="left"/>
      <w:pPr>
        <w:ind w:left="7681" w:hanging="1440"/>
      </w:pPr>
    </w:lvl>
    <w:lvl w:ilvl="8">
      <w:start w:val="1"/>
      <w:numFmt w:val="decimal"/>
      <w:isLgl/>
      <w:lvlText w:val="%1.%2.%3.%4.%5.%6.%7.%8.%9"/>
      <w:lvlJc w:val="left"/>
      <w:pPr>
        <w:ind w:left="8041" w:hanging="1800"/>
      </w:pPr>
    </w:lvl>
  </w:abstractNum>
  <w:abstractNum w:abstractNumId="1" w15:restartNumberingAfterBreak="0">
    <w:nsid w:val="01E4309D"/>
    <w:multiLevelType w:val="hybridMultilevel"/>
    <w:tmpl w:val="B0E2594A"/>
    <w:lvl w:ilvl="0" w:tplc="008E945A">
      <w:start w:val="1"/>
      <w:numFmt w:val="bullet"/>
      <w:lvlText w:val=""/>
      <w:lvlJc w:val="left"/>
      <w:pPr>
        <w:ind w:left="720" w:hanging="360"/>
      </w:pPr>
      <w:rPr>
        <w:rFonts w:ascii="Symbol" w:hAnsi="Symbol" w:hint="default"/>
        <w:color w:val="000000" w:themeColor="text1"/>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 w15:restartNumberingAfterBreak="0">
    <w:nsid w:val="0337782A"/>
    <w:multiLevelType w:val="multilevel"/>
    <w:tmpl w:val="90D242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 w15:restartNumberingAfterBreak="0">
    <w:nsid w:val="06D30BDC"/>
    <w:multiLevelType w:val="hybridMultilevel"/>
    <w:tmpl w:val="734ED3EC"/>
    <w:lvl w:ilvl="0" w:tplc="834431CA">
      <w:numFmt w:val="bullet"/>
      <w:lvlText w:val="-"/>
      <w:lvlJc w:val="left"/>
      <w:pPr>
        <w:ind w:left="1080" w:hanging="360"/>
      </w:pPr>
      <w:rPr>
        <w:rFonts w:ascii="Arial" w:eastAsia="Times New Roman" w:hAnsi="Arial" w:cs="Arial" w:hint="default"/>
        <w:b/>
      </w:rPr>
    </w:lvl>
    <w:lvl w:ilvl="1" w:tplc="0C0A0003" w:tentative="1">
      <w:start w:val="1"/>
      <w:numFmt w:val="bullet"/>
      <w:lvlText w:val="o"/>
      <w:lvlJc w:val="left"/>
      <w:pPr>
        <w:ind w:left="1800" w:hanging="360"/>
      </w:pPr>
      <w:rPr>
        <w:rFonts w:ascii="Courier New" w:hAnsi="Courier New" w:cs="Courier New" w:hint="default"/>
      </w:rPr>
    </w:lvl>
    <w:lvl w:ilvl="2" w:tplc="0C0A0005" w:tentative="1">
      <w:start w:val="1"/>
      <w:numFmt w:val="bullet"/>
      <w:lvlText w:val=""/>
      <w:lvlJc w:val="left"/>
      <w:pPr>
        <w:ind w:left="2520" w:hanging="360"/>
      </w:pPr>
      <w:rPr>
        <w:rFonts w:ascii="Wingdings" w:hAnsi="Wingdings" w:hint="default"/>
      </w:rPr>
    </w:lvl>
    <w:lvl w:ilvl="3" w:tplc="0C0A0001" w:tentative="1">
      <w:start w:val="1"/>
      <w:numFmt w:val="bullet"/>
      <w:lvlText w:val=""/>
      <w:lvlJc w:val="left"/>
      <w:pPr>
        <w:ind w:left="3240" w:hanging="360"/>
      </w:pPr>
      <w:rPr>
        <w:rFonts w:ascii="Symbol" w:hAnsi="Symbol" w:hint="default"/>
      </w:rPr>
    </w:lvl>
    <w:lvl w:ilvl="4" w:tplc="0C0A0003" w:tentative="1">
      <w:start w:val="1"/>
      <w:numFmt w:val="bullet"/>
      <w:lvlText w:val="o"/>
      <w:lvlJc w:val="left"/>
      <w:pPr>
        <w:ind w:left="3960" w:hanging="360"/>
      </w:pPr>
      <w:rPr>
        <w:rFonts w:ascii="Courier New" w:hAnsi="Courier New" w:cs="Courier New" w:hint="default"/>
      </w:rPr>
    </w:lvl>
    <w:lvl w:ilvl="5" w:tplc="0C0A0005" w:tentative="1">
      <w:start w:val="1"/>
      <w:numFmt w:val="bullet"/>
      <w:lvlText w:val=""/>
      <w:lvlJc w:val="left"/>
      <w:pPr>
        <w:ind w:left="4680" w:hanging="360"/>
      </w:pPr>
      <w:rPr>
        <w:rFonts w:ascii="Wingdings" w:hAnsi="Wingdings" w:hint="default"/>
      </w:rPr>
    </w:lvl>
    <w:lvl w:ilvl="6" w:tplc="0C0A0001" w:tentative="1">
      <w:start w:val="1"/>
      <w:numFmt w:val="bullet"/>
      <w:lvlText w:val=""/>
      <w:lvlJc w:val="left"/>
      <w:pPr>
        <w:ind w:left="5400" w:hanging="360"/>
      </w:pPr>
      <w:rPr>
        <w:rFonts w:ascii="Symbol" w:hAnsi="Symbol" w:hint="default"/>
      </w:rPr>
    </w:lvl>
    <w:lvl w:ilvl="7" w:tplc="0C0A0003" w:tentative="1">
      <w:start w:val="1"/>
      <w:numFmt w:val="bullet"/>
      <w:lvlText w:val="o"/>
      <w:lvlJc w:val="left"/>
      <w:pPr>
        <w:ind w:left="6120" w:hanging="360"/>
      </w:pPr>
      <w:rPr>
        <w:rFonts w:ascii="Courier New" w:hAnsi="Courier New" w:cs="Courier New" w:hint="default"/>
      </w:rPr>
    </w:lvl>
    <w:lvl w:ilvl="8" w:tplc="0C0A0005" w:tentative="1">
      <w:start w:val="1"/>
      <w:numFmt w:val="bullet"/>
      <w:lvlText w:val=""/>
      <w:lvlJc w:val="left"/>
      <w:pPr>
        <w:ind w:left="6840" w:hanging="360"/>
      </w:pPr>
      <w:rPr>
        <w:rFonts w:ascii="Wingdings" w:hAnsi="Wingdings" w:hint="default"/>
      </w:rPr>
    </w:lvl>
  </w:abstractNum>
  <w:abstractNum w:abstractNumId="4" w15:restartNumberingAfterBreak="0">
    <w:nsid w:val="25352E86"/>
    <w:multiLevelType w:val="multilevel"/>
    <w:tmpl w:val="E81277DA"/>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15:restartNumberingAfterBreak="0">
    <w:nsid w:val="31280020"/>
    <w:multiLevelType w:val="hybridMultilevel"/>
    <w:tmpl w:val="DA8CAD24"/>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6" w15:restartNumberingAfterBreak="0">
    <w:nsid w:val="320B0C74"/>
    <w:multiLevelType w:val="multilevel"/>
    <w:tmpl w:val="FCE0A7D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15:restartNumberingAfterBreak="0">
    <w:nsid w:val="33614460"/>
    <w:multiLevelType w:val="hybridMultilevel"/>
    <w:tmpl w:val="7FC88522"/>
    <w:lvl w:ilvl="0" w:tplc="A22AAB2E">
      <w:start w:val="1"/>
      <w:numFmt w:val="decimal"/>
      <w:lvlText w:val="%1)"/>
      <w:lvlJc w:val="left"/>
      <w:pPr>
        <w:ind w:left="720" w:hanging="360"/>
      </w:pPr>
      <w:rPr>
        <w:rFonts w:hint="default"/>
        <w:b/>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8" w15:restartNumberingAfterBreak="0">
    <w:nsid w:val="370F0516"/>
    <w:multiLevelType w:val="multilevel"/>
    <w:tmpl w:val="BAD28BB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37D933EA"/>
    <w:multiLevelType w:val="multilevel"/>
    <w:tmpl w:val="8BFCD550"/>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 w15:restartNumberingAfterBreak="0">
    <w:nsid w:val="39D726F5"/>
    <w:multiLevelType w:val="hybridMultilevel"/>
    <w:tmpl w:val="7BDC1A10"/>
    <w:lvl w:ilvl="0" w:tplc="040A0001">
      <w:start w:val="1"/>
      <w:numFmt w:val="bullet"/>
      <w:lvlText w:val=""/>
      <w:lvlJc w:val="left"/>
      <w:pPr>
        <w:ind w:left="720" w:hanging="360"/>
      </w:pPr>
      <w:rPr>
        <w:rFonts w:ascii="Symbol" w:hAnsi="Symbol" w:hint="default"/>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11" w15:restartNumberingAfterBreak="0">
    <w:nsid w:val="40F82114"/>
    <w:multiLevelType w:val="hybridMultilevel"/>
    <w:tmpl w:val="B6C06020"/>
    <w:lvl w:ilvl="0" w:tplc="2F4CFC7C">
      <w:start w:val="1"/>
      <w:numFmt w:val="decimal"/>
      <w:lvlText w:val="%1."/>
      <w:lvlJc w:val="left"/>
      <w:pPr>
        <w:ind w:left="720" w:hanging="360"/>
      </w:pPr>
      <w:rPr>
        <w:rFonts w:ascii="Arial" w:eastAsiaTheme="minorHAnsi" w:hAnsi="Arial" w:cs="Arial"/>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2" w15:restartNumberingAfterBreak="0">
    <w:nsid w:val="636C03B0"/>
    <w:multiLevelType w:val="hybridMultilevel"/>
    <w:tmpl w:val="53AC8484"/>
    <w:lvl w:ilvl="0" w:tplc="1F14B5D2">
      <w:start w:val="1"/>
      <w:numFmt w:val="bullet"/>
      <w:lvlText w:val="·"/>
      <w:lvlJc w:val="left"/>
      <w:pPr>
        <w:ind w:left="785" w:hanging="360"/>
      </w:pPr>
      <w:rPr>
        <w:rFonts w:ascii="Symbol" w:hAnsi="Symbol" w:hint="default"/>
        <w:color w:val="auto"/>
      </w:rPr>
    </w:lvl>
    <w:lvl w:ilvl="1" w:tplc="240A0003" w:tentative="1">
      <w:start w:val="1"/>
      <w:numFmt w:val="bullet"/>
      <w:lvlText w:val="o"/>
      <w:lvlJc w:val="left"/>
      <w:pPr>
        <w:ind w:left="1505" w:hanging="360"/>
      </w:pPr>
      <w:rPr>
        <w:rFonts w:ascii="Courier New" w:hAnsi="Courier New" w:cs="Courier New" w:hint="default"/>
      </w:rPr>
    </w:lvl>
    <w:lvl w:ilvl="2" w:tplc="240A0005" w:tentative="1">
      <w:start w:val="1"/>
      <w:numFmt w:val="bullet"/>
      <w:lvlText w:val=""/>
      <w:lvlJc w:val="left"/>
      <w:pPr>
        <w:ind w:left="2225" w:hanging="360"/>
      </w:pPr>
      <w:rPr>
        <w:rFonts w:ascii="Wingdings" w:hAnsi="Wingdings" w:hint="default"/>
      </w:rPr>
    </w:lvl>
    <w:lvl w:ilvl="3" w:tplc="240A0001" w:tentative="1">
      <w:start w:val="1"/>
      <w:numFmt w:val="bullet"/>
      <w:lvlText w:val=""/>
      <w:lvlJc w:val="left"/>
      <w:pPr>
        <w:ind w:left="2945" w:hanging="360"/>
      </w:pPr>
      <w:rPr>
        <w:rFonts w:ascii="Symbol" w:hAnsi="Symbol" w:hint="default"/>
      </w:rPr>
    </w:lvl>
    <w:lvl w:ilvl="4" w:tplc="240A0003" w:tentative="1">
      <w:start w:val="1"/>
      <w:numFmt w:val="bullet"/>
      <w:lvlText w:val="o"/>
      <w:lvlJc w:val="left"/>
      <w:pPr>
        <w:ind w:left="3665" w:hanging="360"/>
      </w:pPr>
      <w:rPr>
        <w:rFonts w:ascii="Courier New" w:hAnsi="Courier New" w:cs="Courier New" w:hint="default"/>
      </w:rPr>
    </w:lvl>
    <w:lvl w:ilvl="5" w:tplc="240A0005" w:tentative="1">
      <w:start w:val="1"/>
      <w:numFmt w:val="bullet"/>
      <w:lvlText w:val=""/>
      <w:lvlJc w:val="left"/>
      <w:pPr>
        <w:ind w:left="4385" w:hanging="360"/>
      </w:pPr>
      <w:rPr>
        <w:rFonts w:ascii="Wingdings" w:hAnsi="Wingdings" w:hint="default"/>
      </w:rPr>
    </w:lvl>
    <w:lvl w:ilvl="6" w:tplc="240A0001" w:tentative="1">
      <w:start w:val="1"/>
      <w:numFmt w:val="bullet"/>
      <w:lvlText w:val=""/>
      <w:lvlJc w:val="left"/>
      <w:pPr>
        <w:ind w:left="5105" w:hanging="360"/>
      </w:pPr>
      <w:rPr>
        <w:rFonts w:ascii="Symbol" w:hAnsi="Symbol" w:hint="default"/>
      </w:rPr>
    </w:lvl>
    <w:lvl w:ilvl="7" w:tplc="240A0003" w:tentative="1">
      <w:start w:val="1"/>
      <w:numFmt w:val="bullet"/>
      <w:lvlText w:val="o"/>
      <w:lvlJc w:val="left"/>
      <w:pPr>
        <w:ind w:left="5825" w:hanging="360"/>
      </w:pPr>
      <w:rPr>
        <w:rFonts w:ascii="Courier New" w:hAnsi="Courier New" w:cs="Courier New" w:hint="default"/>
      </w:rPr>
    </w:lvl>
    <w:lvl w:ilvl="8" w:tplc="240A0005" w:tentative="1">
      <w:start w:val="1"/>
      <w:numFmt w:val="bullet"/>
      <w:lvlText w:val=""/>
      <w:lvlJc w:val="left"/>
      <w:pPr>
        <w:ind w:left="6545" w:hanging="360"/>
      </w:pPr>
      <w:rPr>
        <w:rFonts w:ascii="Wingdings" w:hAnsi="Wingdings" w:hint="default"/>
      </w:rPr>
    </w:lvl>
  </w:abstractNum>
  <w:abstractNum w:abstractNumId="13" w15:restartNumberingAfterBreak="0">
    <w:nsid w:val="6BF97060"/>
    <w:multiLevelType w:val="multilevel"/>
    <w:tmpl w:val="B3E004E0"/>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15:restartNumberingAfterBreak="0">
    <w:nsid w:val="6C3C082A"/>
    <w:multiLevelType w:val="multilevel"/>
    <w:tmpl w:val="A80420E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 w15:restartNumberingAfterBreak="0">
    <w:nsid w:val="6F4922CE"/>
    <w:multiLevelType w:val="multilevel"/>
    <w:tmpl w:val="E5E6373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6" w15:restartNumberingAfterBreak="0">
    <w:nsid w:val="6FB367B7"/>
    <w:multiLevelType w:val="multilevel"/>
    <w:tmpl w:val="4E0EF642"/>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948779781">
    <w:abstractNumId w:val="7"/>
  </w:num>
  <w:num w:numId="2" w16cid:durableId="19822139">
    <w:abstractNumId w:val="3"/>
  </w:num>
  <w:num w:numId="3" w16cid:durableId="876742304">
    <w:abstractNumId w:val="5"/>
  </w:num>
  <w:num w:numId="4" w16cid:durableId="245186406">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2049721115">
    <w:abstractNumId w:val="3"/>
  </w:num>
  <w:num w:numId="6" w16cid:durableId="316692925">
    <w:abstractNumId w:val="15"/>
  </w:num>
  <w:num w:numId="7" w16cid:durableId="1946422806">
    <w:abstractNumId w:val="6"/>
  </w:num>
  <w:num w:numId="8" w16cid:durableId="152644682">
    <w:abstractNumId w:val="14"/>
  </w:num>
  <w:num w:numId="9" w16cid:durableId="1317221377">
    <w:abstractNumId w:val="8"/>
  </w:num>
  <w:num w:numId="10" w16cid:durableId="1471245386">
    <w:abstractNumId w:val="13"/>
  </w:num>
  <w:num w:numId="11" w16cid:durableId="289172385">
    <w:abstractNumId w:val="9"/>
  </w:num>
  <w:num w:numId="12" w16cid:durableId="1470781324">
    <w:abstractNumId w:val="2"/>
  </w:num>
  <w:num w:numId="13" w16cid:durableId="1512908409">
    <w:abstractNumId w:val="4"/>
  </w:num>
  <w:num w:numId="14" w16cid:durableId="895897244">
    <w:abstractNumId w:val="16"/>
  </w:num>
  <w:num w:numId="15" w16cid:durableId="390349800">
    <w:abstractNumId w:val="12"/>
  </w:num>
  <w:num w:numId="16" w16cid:durableId="560793310">
    <w:abstractNumId w:val="0"/>
  </w:num>
  <w:num w:numId="17" w16cid:durableId="1009600534">
    <w:abstractNumId w:val="10"/>
  </w:num>
  <w:num w:numId="18" w16cid:durableId="730084240">
    <w:abstractNumId w:val="11"/>
  </w:num>
  <w:num w:numId="19" w16cid:durableId="136035676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96"/>
  <w:proofState w:spelling="clean" w:grammar="clean"/>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A1847"/>
    <w:rsid w:val="00005A41"/>
    <w:rsid w:val="00016F78"/>
    <w:rsid w:val="00020A1C"/>
    <w:rsid w:val="00040CA9"/>
    <w:rsid w:val="00046945"/>
    <w:rsid w:val="00061B2A"/>
    <w:rsid w:val="0007563A"/>
    <w:rsid w:val="00082362"/>
    <w:rsid w:val="0008716B"/>
    <w:rsid w:val="000A683E"/>
    <w:rsid w:val="000B117D"/>
    <w:rsid w:val="000B19B9"/>
    <w:rsid w:val="000C4110"/>
    <w:rsid w:val="000D0334"/>
    <w:rsid w:val="000D5DA7"/>
    <w:rsid w:val="000D6E0D"/>
    <w:rsid w:val="000F6486"/>
    <w:rsid w:val="00100F2A"/>
    <w:rsid w:val="00116940"/>
    <w:rsid w:val="001174E1"/>
    <w:rsid w:val="00125105"/>
    <w:rsid w:val="00127233"/>
    <w:rsid w:val="00130627"/>
    <w:rsid w:val="00133D8C"/>
    <w:rsid w:val="00135824"/>
    <w:rsid w:val="0015699B"/>
    <w:rsid w:val="00156D93"/>
    <w:rsid w:val="00163323"/>
    <w:rsid w:val="001A33BF"/>
    <w:rsid w:val="001C047D"/>
    <w:rsid w:val="001C3EF8"/>
    <w:rsid w:val="001D6800"/>
    <w:rsid w:val="001E4177"/>
    <w:rsid w:val="001F0345"/>
    <w:rsid w:val="001F0B24"/>
    <w:rsid w:val="001F0B2D"/>
    <w:rsid w:val="001F1B6F"/>
    <w:rsid w:val="001F7DC6"/>
    <w:rsid w:val="00210104"/>
    <w:rsid w:val="0021040A"/>
    <w:rsid w:val="00212463"/>
    <w:rsid w:val="00214F3D"/>
    <w:rsid w:val="0022400B"/>
    <w:rsid w:val="0022587B"/>
    <w:rsid w:val="0022696A"/>
    <w:rsid w:val="002350B9"/>
    <w:rsid w:val="002421BB"/>
    <w:rsid w:val="0025796E"/>
    <w:rsid w:val="002707A2"/>
    <w:rsid w:val="002740D3"/>
    <w:rsid w:val="00276133"/>
    <w:rsid w:val="00281495"/>
    <w:rsid w:val="00282C8A"/>
    <w:rsid w:val="00283F54"/>
    <w:rsid w:val="002951A0"/>
    <w:rsid w:val="002962BC"/>
    <w:rsid w:val="002A093D"/>
    <w:rsid w:val="002A0DD0"/>
    <w:rsid w:val="002A49AC"/>
    <w:rsid w:val="002A64FD"/>
    <w:rsid w:val="002B357F"/>
    <w:rsid w:val="002C3373"/>
    <w:rsid w:val="002C7A84"/>
    <w:rsid w:val="002D264F"/>
    <w:rsid w:val="002E2BF8"/>
    <w:rsid w:val="002E4FD9"/>
    <w:rsid w:val="002E5E5C"/>
    <w:rsid w:val="002F28AC"/>
    <w:rsid w:val="0030657A"/>
    <w:rsid w:val="00311EB8"/>
    <w:rsid w:val="003161DE"/>
    <w:rsid w:val="00322A85"/>
    <w:rsid w:val="00324168"/>
    <w:rsid w:val="003265A2"/>
    <w:rsid w:val="00330834"/>
    <w:rsid w:val="00333536"/>
    <w:rsid w:val="00333D23"/>
    <w:rsid w:val="003405D1"/>
    <w:rsid w:val="003448F4"/>
    <w:rsid w:val="00353AAA"/>
    <w:rsid w:val="00362563"/>
    <w:rsid w:val="00373F6A"/>
    <w:rsid w:val="00374F5E"/>
    <w:rsid w:val="00377E3E"/>
    <w:rsid w:val="003A779E"/>
    <w:rsid w:val="003B0C96"/>
    <w:rsid w:val="003C176B"/>
    <w:rsid w:val="003D0E5C"/>
    <w:rsid w:val="003D0F4D"/>
    <w:rsid w:val="003D179F"/>
    <w:rsid w:val="003D58EC"/>
    <w:rsid w:val="003D5B0D"/>
    <w:rsid w:val="003E0499"/>
    <w:rsid w:val="003E4F80"/>
    <w:rsid w:val="003E6439"/>
    <w:rsid w:val="003F1009"/>
    <w:rsid w:val="003F3941"/>
    <w:rsid w:val="00406575"/>
    <w:rsid w:val="00412994"/>
    <w:rsid w:val="00414C74"/>
    <w:rsid w:val="0042041B"/>
    <w:rsid w:val="00420E41"/>
    <w:rsid w:val="0042722E"/>
    <w:rsid w:val="00432192"/>
    <w:rsid w:val="0044528D"/>
    <w:rsid w:val="0045287C"/>
    <w:rsid w:val="00463E12"/>
    <w:rsid w:val="00466E39"/>
    <w:rsid w:val="00472607"/>
    <w:rsid w:val="00473DB5"/>
    <w:rsid w:val="0048320C"/>
    <w:rsid w:val="004A1847"/>
    <w:rsid w:val="004A305D"/>
    <w:rsid w:val="004A54E1"/>
    <w:rsid w:val="004B7797"/>
    <w:rsid w:val="004D3F06"/>
    <w:rsid w:val="004E719F"/>
    <w:rsid w:val="004F21C4"/>
    <w:rsid w:val="004F685F"/>
    <w:rsid w:val="00500FDD"/>
    <w:rsid w:val="0050672B"/>
    <w:rsid w:val="005301C9"/>
    <w:rsid w:val="00531700"/>
    <w:rsid w:val="005520CC"/>
    <w:rsid w:val="00552D8D"/>
    <w:rsid w:val="00555118"/>
    <w:rsid w:val="005566E8"/>
    <w:rsid w:val="0056035C"/>
    <w:rsid w:val="00561B4E"/>
    <w:rsid w:val="00570709"/>
    <w:rsid w:val="005730B4"/>
    <w:rsid w:val="00574867"/>
    <w:rsid w:val="00577D66"/>
    <w:rsid w:val="00586BCF"/>
    <w:rsid w:val="0059007A"/>
    <w:rsid w:val="00591460"/>
    <w:rsid w:val="005A3E9F"/>
    <w:rsid w:val="005A65E0"/>
    <w:rsid w:val="005A6D0B"/>
    <w:rsid w:val="005C1124"/>
    <w:rsid w:val="005C3777"/>
    <w:rsid w:val="005C5CDC"/>
    <w:rsid w:val="005D476C"/>
    <w:rsid w:val="005D79F4"/>
    <w:rsid w:val="005F43F9"/>
    <w:rsid w:val="006117F3"/>
    <w:rsid w:val="006200BF"/>
    <w:rsid w:val="00621686"/>
    <w:rsid w:val="006219F8"/>
    <w:rsid w:val="006302F7"/>
    <w:rsid w:val="00643DBD"/>
    <w:rsid w:val="00644E4E"/>
    <w:rsid w:val="00646B9F"/>
    <w:rsid w:val="0065561D"/>
    <w:rsid w:val="00665D70"/>
    <w:rsid w:val="00666A0C"/>
    <w:rsid w:val="0067632D"/>
    <w:rsid w:val="00676FF6"/>
    <w:rsid w:val="006828CB"/>
    <w:rsid w:val="00685C09"/>
    <w:rsid w:val="006861EE"/>
    <w:rsid w:val="006900D9"/>
    <w:rsid w:val="006906D7"/>
    <w:rsid w:val="00692B72"/>
    <w:rsid w:val="00697BC2"/>
    <w:rsid w:val="006A0C32"/>
    <w:rsid w:val="006C42C7"/>
    <w:rsid w:val="006C57BB"/>
    <w:rsid w:val="006F07BB"/>
    <w:rsid w:val="006F2B4C"/>
    <w:rsid w:val="006F4922"/>
    <w:rsid w:val="0070279E"/>
    <w:rsid w:val="00706C16"/>
    <w:rsid w:val="00716C9A"/>
    <w:rsid w:val="007340C3"/>
    <w:rsid w:val="00751D35"/>
    <w:rsid w:val="0075235A"/>
    <w:rsid w:val="00753BDF"/>
    <w:rsid w:val="00756841"/>
    <w:rsid w:val="007649AB"/>
    <w:rsid w:val="00771D0C"/>
    <w:rsid w:val="007833AC"/>
    <w:rsid w:val="00792420"/>
    <w:rsid w:val="007A2703"/>
    <w:rsid w:val="007A7831"/>
    <w:rsid w:val="007B2646"/>
    <w:rsid w:val="007B268C"/>
    <w:rsid w:val="007B7171"/>
    <w:rsid w:val="007C0C0F"/>
    <w:rsid w:val="007C1A94"/>
    <w:rsid w:val="007C3DC2"/>
    <w:rsid w:val="007D0D7F"/>
    <w:rsid w:val="007E5497"/>
    <w:rsid w:val="007F0611"/>
    <w:rsid w:val="007F3087"/>
    <w:rsid w:val="00806F5F"/>
    <w:rsid w:val="00807B41"/>
    <w:rsid w:val="00820278"/>
    <w:rsid w:val="008258C9"/>
    <w:rsid w:val="00844AE9"/>
    <w:rsid w:val="00853152"/>
    <w:rsid w:val="00866672"/>
    <w:rsid w:val="00867F95"/>
    <w:rsid w:val="008843B6"/>
    <w:rsid w:val="008862A4"/>
    <w:rsid w:val="0089090C"/>
    <w:rsid w:val="00891928"/>
    <w:rsid w:val="008A446D"/>
    <w:rsid w:val="008A45CD"/>
    <w:rsid w:val="008A69B2"/>
    <w:rsid w:val="008B25F1"/>
    <w:rsid w:val="008D0086"/>
    <w:rsid w:val="008D180B"/>
    <w:rsid w:val="008D7750"/>
    <w:rsid w:val="008F0EA7"/>
    <w:rsid w:val="0090171F"/>
    <w:rsid w:val="00913517"/>
    <w:rsid w:val="009226E0"/>
    <w:rsid w:val="0092275E"/>
    <w:rsid w:val="00923EEF"/>
    <w:rsid w:val="0093413D"/>
    <w:rsid w:val="00935883"/>
    <w:rsid w:val="009419F9"/>
    <w:rsid w:val="0095685E"/>
    <w:rsid w:val="00961B09"/>
    <w:rsid w:val="00964C09"/>
    <w:rsid w:val="00965334"/>
    <w:rsid w:val="0096722F"/>
    <w:rsid w:val="00967860"/>
    <w:rsid w:val="0097093E"/>
    <w:rsid w:val="009762CB"/>
    <w:rsid w:val="009954BD"/>
    <w:rsid w:val="009A0DFA"/>
    <w:rsid w:val="009A1C6F"/>
    <w:rsid w:val="009A48C7"/>
    <w:rsid w:val="009B2D26"/>
    <w:rsid w:val="009C71FA"/>
    <w:rsid w:val="009C72E7"/>
    <w:rsid w:val="009C7F7E"/>
    <w:rsid w:val="009D3058"/>
    <w:rsid w:val="009D4CC6"/>
    <w:rsid w:val="009E31E2"/>
    <w:rsid w:val="009F3A13"/>
    <w:rsid w:val="009F6813"/>
    <w:rsid w:val="00A07415"/>
    <w:rsid w:val="00A105D7"/>
    <w:rsid w:val="00A11992"/>
    <w:rsid w:val="00A122D3"/>
    <w:rsid w:val="00A14468"/>
    <w:rsid w:val="00A17F13"/>
    <w:rsid w:val="00A20739"/>
    <w:rsid w:val="00A23AF9"/>
    <w:rsid w:val="00A262D6"/>
    <w:rsid w:val="00A33C78"/>
    <w:rsid w:val="00A460A7"/>
    <w:rsid w:val="00A70F77"/>
    <w:rsid w:val="00A73EC0"/>
    <w:rsid w:val="00A86D21"/>
    <w:rsid w:val="00A91878"/>
    <w:rsid w:val="00A95D8F"/>
    <w:rsid w:val="00AA59CD"/>
    <w:rsid w:val="00AB0ADB"/>
    <w:rsid w:val="00AB1685"/>
    <w:rsid w:val="00AD3FBB"/>
    <w:rsid w:val="00AD74AF"/>
    <w:rsid w:val="00AE1B98"/>
    <w:rsid w:val="00AF3D91"/>
    <w:rsid w:val="00B00C0E"/>
    <w:rsid w:val="00B01B1A"/>
    <w:rsid w:val="00B01F29"/>
    <w:rsid w:val="00B0381D"/>
    <w:rsid w:val="00B20018"/>
    <w:rsid w:val="00B26E4E"/>
    <w:rsid w:val="00B34258"/>
    <w:rsid w:val="00B44A47"/>
    <w:rsid w:val="00B454CB"/>
    <w:rsid w:val="00B468A8"/>
    <w:rsid w:val="00B5514E"/>
    <w:rsid w:val="00B72CD3"/>
    <w:rsid w:val="00B72FFF"/>
    <w:rsid w:val="00B73A48"/>
    <w:rsid w:val="00B978C0"/>
    <w:rsid w:val="00BB21AF"/>
    <w:rsid w:val="00BC3D36"/>
    <w:rsid w:val="00BD2AE0"/>
    <w:rsid w:val="00BD54A6"/>
    <w:rsid w:val="00BD7F72"/>
    <w:rsid w:val="00BE04BF"/>
    <w:rsid w:val="00BE3BB7"/>
    <w:rsid w:val="00BE4B99"/>
    <w:rsid w:val="00BF1F0D"/>
    <w:rsid w:val="00BF7425"/>
    <w:rsid w:val="00BF749E"/>
    <w:rsid w:val="00C04FB3"/>
    <w:rsid w:val="00C11D8B"/>
    <w:rsid w:val="00C15139"/>
    <w:rsid w:val="00C20D0E"/>
    <w:rsid w:val="00C22ADF"/>
    <w:rsid w:val="00C25ED6"/>
    <w:rsid w:val="00C330EB"/>
    <w:rsid w:val="00C37131"/>
    <w:rsid w:val="00C45279"/>
    <w:rsid w:val="00C50D69"/>
    <w:rsid w:val="00C5365C"/>
    <w:rsid w:val="00C637B0"/>
    <w:rsid w:val="00C754BE"/>
    <w:rsid w:val="00C76B1C"/>
    <w:rsid w:val="00C82354"/>
    <w:rsid w:val="00C92574"/>
    <w:rsid w:val="00C925AC"/>
    <w:rsid w:val="00CB2BCA"/>
    <w:rsid w:val="00CB6357"/>
    <w:rsid w:val="00CC1B26"/>
    <w:rsid w:val="00CF7BD9"/>
    <w:rsid w:val="00D125AC"/>
    <w:rsid w:val="00D12712"/>
    <w:rsid w:val="00D177CB"/>
    <w:rsid w:val="00D32ACB"/>
    <w:rsid w:val="00D35582"/>
    <w:rsid w:val="00D361FD"/>
    <w:rsid w:val="00D423A2"/>
    <w:rsid w:val="00D43817"/>
    <w:rsid w:val="00D44E26"/>
    <w:rsid w:val="00D520D8"/>
    <w:rsid w:val="00D63AC2"/>
    <w:rsid w:val="00D7383B"/>
    <w:rsid w:val="00D753F4"/>
    <w:rsid w:val="00D76CB1"/>
    <w:rsid w:val="00D7788A"/>
    <w:rsid w:val="00D90496"/>
    <w:rsid w:val="00D920FF"/>
    <w:rsid w:val="00D9310A"/>
    <w:rsid w:val="00DA231B"/>
    <w:rsid w:val="00DB204D"/>
    <w:rsid w:val="00DC39FC"/>
    <w:rsid w:val="00DE43B6"/>
    <w:rsid w:val="00DF5254"/>
    <w:rsid w:val="00E02524"/>
    <w:rsid w:val="00E16408"/>
    <w:rsid w:val="00E20894"/>
    <w:rsid w:val="00E245AB"/>
    <w:rsid w:val="00E25BDC"/>
    <w:rsid w:val="00E25D7A"/>
    <w:rsid w:val="00E2764C"/>
    <w:rsid w:val="00E27F2E"/>
    <w:rsid w:val="00E32D97"/>
    <w:rsid w:val="00E34852"/>
    <w:rsid w:val="00E4202E"/>
    <w:rsid w:val="00E46D36"/>
    <w:rsid w:val="00E50AFE"/>
    <w:rsid w:val="00E545D0"/>
    <w:rsid w:val="00E72582"/>
    <w:rsid w:val="00E7369D"/>
    <w:rsid w:val="00E75C92"/>
    <w:rsid w:val="00E771DC"/>
    <w:rsid w:val="00E84154"/>
    <w:rsid w:val="00E8614D"/>
    <w:rsid w:val="00E8772A"/>
    <w:rsid w:val="00E90F6B"/>
    <w:rsid w:val="00E92C27"/>
    <w:rsid w:val="00E95287"/>
    <w:rsid w:val="00EA0E3D"/>
    <w:rsid w:val="00EA7ECE"/>
    <w:rsid w:val="00EB61E9"/>
    <w:rsid w:val="00EC38A7"/>
    <w:rsid w:val="00EE1AA8"/>
    <w:rsid w:val="00F031BE"/>
    <w:rsid w:val="00F12E30"/>
    <w:rsid w:val="00F211E4"/>
    <w:rsid w:val="00F23FEA"/>
    <w:rsid w:val="00F31EDC"/>
    <w:rsid w:val="00F40F9F"/>
    <w:rsid w:val="00F462B3"/>
    <w:rsid w:val="00F5334D"/>
    <w:rsid w:val="00F548CE"/>
    <w:rsid w:val="00F5664F"/>
    <w:rsid w:val="00F61187"/>
    <w:rsid w:val="00F654E2"/>
    <w:rsid w:val="00F666C4"/>
    <w:rsid w:val="00F76AFC"/>
    <w:rsid w:val="00F76CE4"/>
    <w:rsid w:val="00F8575D"/>
    <w:rsid w:val="00F900D9"/>
    <w:rsid w:val="00FA47C0"/>
    <w:rsid w:val="00FB0CC6"/>
    <w:rsid w:val="00FB5DD1"/>
    <w:rsid w:val="00FC2B5D"/>
    <w:rsid w:val="00FF1449"/>
    <w:rsid w:val="00FF7963"/>
    <w:rsid w:val="071B8F93"/>
    <w:rsid w:val="07C73DD1"/>
    <w:rsid w:val="09908A09"/>
    <w:rsid w:val="0EFE6349"/>
    <w:rsid w:val="0FF4CCA8"/>
    <w:rsid w:val="13CFC91B"/>
    <w:rsid w:val="1445055B"/>
    <w:rsid w:val="186AE453"/>
    <w:rsid w:val="19A2EC2C"/>
    <w:rsid w:val="21779BE6"/>
    <w:rsid w:val="2859CA1B"/>
    <w:rsid w:val="2C4D2425"/>
    <w:rsid w:val="2EE1E026"/>
    <w:rsid w:val="2F34DD83"/>
    <w:rsid w:val="30821638"/>
    <w:rsid w:val="321F9A3A"/>
    <w:rsid w:val="32A4F9CF"/>
    <w:rsid w:val="33A1FF93"/>
    <w:rsid w:val="356CEDFD"/>
    <w:rsid w:val="3C591AFD"/>
    <w:rsid w:val="42183F0A"/>
    <w:rsid w:val="545B112A"/>
    <w:rsid w:val="5BEB1497"/>
    <w:rsid w:val="69614A15"/>
    <w:rsid w:val="74BA017B"/>
    <w:rsid w:val="7677286E"/>
    <w:rsid w:val="7BB183BC"/>
  </w:rsids>
  <m:mathPr>
    <m:mathFont m:val="Cambria Math"/>
    <m:brkBin m:val="before"/>
    <m:brkBinSub m:val="--"/>
    <m:smallFrac m:val="0"/>
    <m:dispDef/>
    <m:lMargin m:val="0"/>
    <m:rMargin m:val="0"/>
    <m:defJc m:val="centerGroup"/>
    <m:wrapIndent m:val="1440"/>
    <m:intLim m:val="subSup"/>
    <m:naryLim m:val="undOvr"/>
  </m:mathPr>
  <w:themeFontLang w:val="es-CO"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79607BD"/>
  <w15:chartTrackingRefBased/>
  <w15:docId w15:val="{EE509A1C-39AD-4527-B34E-08626DF4F11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C92574"/>
  </w:style>
  <w:style w:type="character" w:default="1" w:styleId="Fuentedeprrafopredeter">
    <w:name w:val="Default Paragraph Font"/>
    <w:uiPriority w:val="1"/>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4A184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4A1847"/>
  </w:style>
  <w:style w:type="paragraph" w:styleId="Piedepgina">
    <w:name w:val="footer"/>
    <w:basedOn w:val="Normal"/>
    <w:link w:val="PiedepginaCar"/>
    <w:uiPriority w:val="99"/>
    <w:unhideWhenUsed/>
    <w:rsid w:val="004A1847"/>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4A1847"/>
  </w:style>
  <w:style w:type="paragraph" w:customStyle="1" w:styleId="Default">
    <w:name w:val="Default"/>
    <w:rsid w:val="006219F8"/>
    <w:pPr>
      <w:autoSpaceDE w:val="0"/>
      <w:autoSpaceDN w:val="0"/>
      <w:adjustRightInd w:val="0"/>
      <w:spacing w:after="0" w:line="240" w:lineRule="auto"/>
    </w:pPr>
    <w:rPr>
      <w:rFonts w:ascii="Arial" w:hAnsi="Arial" w:cs="Arial"/>
      <w:color w:val="000000"/>
      <w:sz w:val="24"/>
      <w:szCs w:val="24"/>
    </w:rPr>
  </w:style>
  <w:style w:type="character" w:customStyle="1" w:styleId="TextonotapieCar">
    <w:name w:val="Texto nota pie Car"/>
    <w:aliases w:val="Ref. de nota al pie1 Car,Texto de nota al pie Car,referencia nota al pie Car,Appel note de bas de page Car,Footnotes refss Car,Footnote number Car,BVI fnr Car,Footnote Text Char Char Char Char Char Car,Footnote reference Car,FA Fu Car"/>
    <w:basedOn w:val="Fuentedeprrafopredeter"/>
    <w:link w:val="Textonotapie"/>
    <w:uiPriority w:val="99"/>
    <w:qFormat/>
    <w:locked/>
    <w:rsid w:val="006219F8"/>
    <w:rPr>
      <w:sz w:val="20"/>
      <w:szCs w:val="20"/>
      <w:lang w:val="es-MX"/>
    </w:rPr>
  </w:style>
  <w:style w:type="paragraph" w:styleId="Textonotapie">
    <w:name w:val="footnote text"/>
    <w:aliases w:val="Ref. de nota al pie1,Texto de nota al pie,referencia nota al pie,Appel note de bas de page,Footnotes refss,Footnote number,BVI fnr,Footnote Text Char Char Char Char Char,Footnote Text Char Char Char Char,Footnote reference,FA Fu,ft,fn,Car"/>
    <w:basedOn w:val="Normal"/>
    <w:link w:val="TextonotapieCar"/>
    <w:uiPriority w:val="99"/>
    <w:unhideWhenUsed/>
    <w:qFormat/>
    <w:rsid w:val="006219F8"/>
    <w:pPr>
      <w:spacing w:after="0" w:line="240" w:lineRule="auto"/>
    </w:pPr>
    <w:rPr>
      <w:sz w:val="20"/>
      <w:szCs w:val="20"/>
      <w:lang w:val="es-MX"/>
    </w:rPr>
  </w:style>
  <w:style w:type="character" w:customStyle="1" w:styleId="TextonotapieCar1">
    <w:name w:val="Texto nota pie Car1"/>
    <w:basedOn w:val="Fuentedeprrafopredeter"/>
    <w:uiPriority w:val="99"/>
    <w:semiHidden/>
    <w:rsid w:val="006219F8"/>
    <w:rPr>
      <w:sz w:val="20"/>
      <w:szCs w:val="20"/>
    </w:rPr>
  </w:style>
  <w:style w:type="character" w:styleId="Refdenotaalpie">
    <w:name w:val="footnote reference"/>
    <w:aliases w:val="Ref. de nota al pie 2,Ref,de nota al pie,FC,Appel note de bas de p,f,4_G,16 Point,Superscript 6 Point,Texto nota al pie,Pie de Página,Texto de nota al pi,Nota de pie,Texto de nota al p,Footnote Reference Char3,Texto nota pie Car2,F,R"/>
    <w:basedOn w:val="Fuentedeprrafopredeter"/>
    <w:link w:val="Appelnotedebasde"/>
    <w:uiPriority w:val="99"/>
    <w:unhideWhenUsed/>
    <w:qFormat/>
    <w:rsid w:val="006219F8"/>
    <w:rPr>
      <w:vertAlign w:val="superscript"/>
    </w:rPr>
  </w:style>
  <w:style w:type="character" w:customStyle="1" w:styleId="normaltextrun">
    <w:name w:val="normaltextrun"/>
    <w:basedOn w:val="Fuentedeprrafopredeter"/>
    <w:rsid w:val="006219F8"/>
  </w:style>
  <w:style w:type="table" w:styleId="Tablaconcuadrcula">
    <w:name w:val="Table Grid"/>
    <w:basedOn w:val="Tablanormal"/>
    <w:uiPriority w:val="39"/>
    <w:qFormat/>
    <w:rsid w:val="006219F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rrafodelista">
    <w:name w:val="List Paragraph"/>
    <w:basedOn w:val="Normal"/>
    <w:uiPriority w:val="34"/>
    <w:qFormat/>
    <w:rsid w:val="005566E8"/>
    <w:pPr>
      <w:ind w:left="720"/>
      <w:contextualSpacing/>
    </w:pPr>
    <w:rPr>
      <w:rFonts w:ascii="Geomanist Light" w:hAnsi="Geomanist Light"/>
      <w:lang w:val="es-ES"/>
    </w:rPr>
  </w:style>
  <w:style w:type="paragraph" w:styleId="Ttulo">
    <w:name w:val="Title"/>
    <w:basedOn w:val="Normal"/>
    <w:next w:val="Normal"/>
    <w:link w:val="TtuloCar"/>
    <w:uiPriority w:val="10"/>
    <w:qFormat/>
    <w:rsid w:val="005566E8"/>
    <w:pPr>
      <w:spacing w:after="0" w:line="240" w:lineRule="auto"/>
      <w:contextualSpacing/>
    </w:pPr>
    <w:rPr>
      <w:rFonts w:ascii="Geomanist" w:eastAsiaTheme="majorEastAsia" w:hAnsi="Geomanist" w:cstheme="majorBidi"/>
      <w:spacing w:val="-10"/>
      <w:kern w:val="28"/>
      <w:szCs w:val="56"/>
      <w:lang w:val="es-ES"/>
    </w:rPr>
  </w:style>
  <w:style w:type="character" w:customStyle="1" w:styleId="TtuloCar">
    <w:name w:val="Título Car"/>
    <w:basedOn w:val="Fuentedeprrafopredeter"/>
    <w:link w:val="Ttulo"/>
    <w:uiPriority w:val="10"/>
    <w:rsid w:val="005566E8"/>
    <w:rPr>
      <w:rFonts w:ascii="Geomanist" w:eastAsiaTheme="majorEastAsia" w:hAnsi="Geomanist" w:cstheme="majorBidi"/>
      <w:spacing w:val="-10"/>
      <w:kern w:val="28"/>
      <w:szCs w:val="56"/>
      <w:lang w:val="es-ES"/>
    </w:rPr>
  </w:style>
  <w:style w:type="character" w:customStyle="1" w:styleId="ui-provider">
    <w:name w:val="ui-provider"/>
    <w:basedOn w:val="Fuentedeprrafopredeter"/>
    <w:rsid w:val="00DA231B"/>
  </w:style>
  <w:style w:type="character" w:styleId="Hipervnculo">
    <w:name w:val="Hyperlink"/>
    <w:basedOn w:val="Fuentedeprrafopredeter"/>
    <w:uiPriority w:val="99"/>
    <w:unhideWhenUsed/>
    <w:rsid w:val="00125105"/>
    <w:rPr>
      <w:color w:val="0000FF"/>
      <w:u w:val="single"/>
    </w:rPr>
  </w:style>
  <w:style w:type="character" w:styleId="Hipervnculovisitado">
    <w:name w:val="FollowedHyperlink"/>
    <w:basedOn w:val="Fuentedeprrafopredeter"/>
    <w:uiPriority w:val="99"/>
    <w:semiHidden/>
    <w:unhideWhenUsed/>
    <w:rsid w:val="00125105"/>
    <w:rPr>
      <w:color w:val="954F72" w:themeColor="followedHyperlink"/>
      <w:u w:val="single"/>
    </w:rPr>
  </w:style>
  <w:style w:type="paragraph" w:customStyle="1" w:styleId="paragraph">
    <w:name w:val="paragraph"/>
    <w:basedOn w:val="Normal"/>
    <w:rsid w:val="00322A85"/>
    <w:pPr>
      <w:spacing w:before="100" w:beforeAutospacing="1" w:after="100" w:afterAutospacing="1" w:line="240" w:lineRule="auto"/>
    </w:pPr>
    <w:rPr>
      <w:rFonts w:ascii="Times New Roman" w:eastAsia="Times New Roman" w:hAnsi="Times New Roman" w:cs="Times New Roman"/>
      <w:sz w:val="24"/>
      <w:szCs w:val="24"/>
      <w:lang w:eastAsia="es-CO"/>
    </w:rPr>
  </w:style>
  <w:style w:type="character" w:customStyle="1" w:styleId="tabchar">
    <w:name w:val="tabchar"/>
    <w:basedOn w:val="Fuentedeprrafopredeter"/>
    <w:rsid w:val="00322A85"/>
  </w:style>
  <w:style w:type="character" w:customStyle="1" w:styleId="eop">
    <w:name w:val="eop"/>
    <w:basedOn w:val="Fuentedeprrafopredeter"/>
    <w:rsid w:val="00322A85"/>
  </w:style>
  <w:style w:type="character" w:styleId="Mencinsinresolver">
    <w:name w:val="Unresolved Mention"/>
    <w:basedOn w:val="Fuentedeprrafopredeter"/>
    <w:uiPriority w:val="99"/>
    <w:semiHidden/>
    <w:unhideWhenUsed/>
    <w:rsid w:val="001F7DC6"/>
    <w:rPr>
      <w:color w:val="605E5C"/>
      <w:shd w:val="clear" w:color="auto" w:fill="E1DFDD"/>
    </w:rPr>
  </w:style>
  <w:style w:type="paragraph" w:styleId="NormalWeb">
    <w:name w:val="Normal (Web)"/>
    <w:basedOn w:val="Normal"/>
    <w:link w:val="NormalWebCar"/>
    <w:uiPriority w:val="99"/>
    <w:unhideWhenUsed/>
    <w:rsid w:val="00DF5254"/>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customStyle="1" w:styleId="blanco">
    <w:name w:val="blanco"/>
    <w:basedOn w:val="Normal"/>
    <w:rsid w:val="00C76B1C"/>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styleId="Revisin">
    <w:name w:val="Revision"/>
    <w:hidden/>
    <w:uiPriority w:val="99"/>
    <w:semiHidden/>
    <w:rsid w:val="009F3A13"/>
    <w:pPr>
      <w:spacing w:after="0" w:line="240" w:lineRule="auto"/>
    </w:pPr>
  </w:style>
  <w:style w:type="paragraph" w:customStyle="1" w:styleId="Appelnotedebasde">
    <w:name w:val="Appel note de bas de..."/>
    <w:basedOn w:val="Normal"/>
    <w:link w:val="Refdenotaalpie"/>
    <w:uiPriority w:val="99"/>
    <w:rsid w:val="00276133"/>
    <w:pPr>
      <w:spacing w:line="240" w:lineRule="exact"/>
    </w:pPr>
    <w:rPr>
      <w:vertAlign w:val="superscript"/>
    </w:rPr>
  </w:style>
  <w:style w:type="character" w:customStyle="1" w:styleId="NormalWebCar">
    <w:name w:val="Normal (Web) Car"/>
    <w:link w:val="NormalWeb"/>
    <w:uiPriority w:val="99"/>
    <w:rsid w:val="004A54E1"/>
    <w:rPr>
      <w:rFonts w:ascii="Times New Roman" w:eastAsia="Times New Roman" w:hAnsi="Times New Roman" w:cs="Times New Roman"/>
      <w:sz w:val="24"/>
      <w:szCs w:val="24"/>
      <w:lang w:eastAsia="es-CO"/>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41391568">
      <w:bodyDiv w:val="1"/>
      <w:marLeft w:val="0"/>
      <w:marRight w:val="0"/>
      <w:marTop w:val="0"/>
      <w:marBottom w:val="0"/>
      <w:divBdr>
        <w:top w:val="none" w:sz="0" w:space="0" w:color="auto"/>
        <w:left w:val="none" w:sz="0" w:space="0" w:color="auto"/>
        <w:bottom w:val="none" w:sz="0" w:space="0" w:color="auto"/>
        <w:right w:val="none" w:sz="0" w:space="0" w:color="auto"/>
      </w:divBdr>
    </w:div>
    <w:div w:id="352848655">
      <w:bodyDiv w:val="1"/>
      <w:marLeft w:val="0"/>
      <w:marRight w:val="0"/>
      <w:marTop w:val="0"/>
      <w:marBottom w:val="0"/>
      <w:divBdr>
        <w:top w:val="none" w:sz="0" w:space="0" w:color="auto"/>
        <w:left w:val="none" w:sz="0" w:space="0" w:color="auto"/>
        <w:bottom w:val="none" w:sz="0" w:space="0" w:color="auto"/>
        <w:right w:val="none" w:sz="0" w:space="0" w:color="auto"/>
      </w:divBdr>
    </w:div>
    <w:div w:id="597130707">
      <w:bodyDiv w:val="1"/>
      <w:marLeft w:val="0"/>
      <w:marRight w:val="0"/>
      <w:marTop w:val="0"/>
      <w:marBottom w:val="0"/>
      <w:divBdr>
        <w:top w:val="none" w:sz="0" w:space="0" w:color="auto"/>
        <w:left w:val="none" w:sz="0" w:space="0" w:color="auto"/>
        <w:bottom w:val="none" w:sz="0" w:space="0" w:color="auto"/>
        <w:right w:val="none" w:sz="0" w:space="0" w:color="auto"/>
      </w:divBdr>
    </w:div>
    <w:div w:id="621767828">
      <w:bodyDiv w:val="1"/>
      <w:marLeft w:val="0"/>
      <w:marRight w:val="0"/>
      <w:marTop w:val="0"/>
      <w:marBottom w:val="0"/>
      <w:divBdr>
        <w:top w:val="none" w:sz="0" w:space="0" w:color="auto"/>
        <w:left w:val="none" w:sz="0" w:space="0" w:color="auto"/>
        <w:bottom w:val="none" w:sz="0" w:space="0" w:color="auto"/>
        <w:right w:val="none" w:sz="0" w:space="0" w:color="auto"/>
      </w:divBdr>
    </w:div>
    <w:div w:id="671638255">
      <w:bodyDiv w:val="1"/>
      <w:marLeft w:val="0"/>
      <w:marRight w:val="0"/>
      <w:marTop w:val="0"/>
      <w:marBottom w:val="0"/>
      <w:divBdr>
        <w:top w:val="none" w:sz="0" w:space="0" w:color="auto"/>
        <w:left w:val="none" w:sz="0" w:space="0" w:color="auto"/>
        <w:bottom w:val="none" w:sz="0" w:space="0" w:color="auto"/>
        <w:right w:val="none" w:sz="0" w:space="0" w:color="auto"/>
      </w:divBdr>
    </w:div>
    <w:div w:id="755788902">
      <w:bodyDiv w:val="1"/>
      <w:marLeft w:val="0"/>
      <w:marRight w:val="0"/>
      <w:marTop w:val="0"/>
      <w:marBottom w:val="0"/>
      <w:divBdr>
        <w:top w:val="none" w:sz="0" w:space="0" w:color="auto"/>
        <w:left w:val="none" w:sz="0" w:space="0" w:color="auto"/>
        <w:bottom w:val="none" w:sz="0" w:space="0" w:color="auto"/>
        <w:right w:val="none" w:sz="0" w:space="0" w:color="auto"/>
      </w:divBdr>
    </w:div>
    <w:div w:id="1113860473">
      <w:bodyDiv w:val="1"/>
      <w:marLeft w:val="0"/>
      <w:marRight w:val="0"/>
      <w:marTop w:val="0"/>
      <w:marBottom w:val="0"/>
      <w:divBdr>
        <w:top w:val="none" w:sz="0" w:space="0" w:color="auto"/>
        <w:left w:val="none" w:sz="0" w:space="0" w:color="auto"/>
        <w:bottom w:val="none" w:sz="0" w:space="0" w:color="auto"/>
        <w:right w:val="none" w:sz="0" w:space="0" w:color="auto"/>
      </w:divBdr>
    </w:div>
    <w:div w:id="1132796275">
      <w:bodyDiv w:val="1"/>
      <w:marLeft w:val="0"/>
      <w:marRight w:val="0"/>
      <w:marTop w:val="0"/>
      <w:marBottom w:val="0"/>
      <w:divBdr>
        <w:top w:val="none" w:sz="0" w:space="0" w:color="auto"/>
        <w:left w:val="none" w:sz="0" w:space="0" w:color="auto"/>
        <w:bottom w:val="none" w:sz="0" w:space="0" w:color="auto"/>
        <w:right w:val="none" w:sz="0" w:space="0" w:color="auto"/>
      </w:divBdr>
    </w:div>
    <w:div w:id="1146773783">
      <w:bodyDiv w:val="1"/>
      <w:marLeft w:val="0"/>
      <w:marRight w:val="0"/>
      <w:marTop w:val="0"/>
      <w:marBottom w:val="0"/>
      <w:divBdr>
        <w:top w:val="none" w:sz="0" w:space="0" w:color="auto"/>
        <w:left w:val="none" w:sz="0" w:space="0" w:color="auto"/>
        <w:bottom w:val="none" w:sz="0" w:space="0" w:color="auto"/>
        <w:right w:val="none" w:sz="0" w:space="0" w:color="auto"/>
      </w:divBdr>
    </w:div>
    <w:div w:id="1270429918">
      <w:bodyDiv w:val="1"/>
      <w:marLeft w:val="0"/>
      <w:marRight w:val="0"/>
      <w:marTop w:val="0"/>
      <w:marBottom w:val="0"/>
      <w:divBdr>
        <w:top w:val="none" w:sz="0" w:space="0" w:color="auto"/>
        <w:left w:val="none" w:sz="0" w:space="0" w:color="auto"/>
        <w:bottom w:val="none" w:sz="0" w:space="0" w:color="auto"/>
        <w:right w:val="none" w:sz="0" w:space="0" w:color="auto"/>
      </w:divBdr>
    </w:div>
    <w:div w:id="1291863859">
      <w:bodyDiv w:val="1"/>
      <w:marLeft w:val="0"/>
      <w:marRight w:val="0"/>
      <w:marTop w:val="0"/>
      <w:marBottom w:val="0"/>
      <w:divBdr>
        <w:top w:val="none" w:sz="0" w:space="0" w:color="auto"/>
        <w:left w:val="none" w:sz="0" w:space="0" w:color="auto"/>
        <w:bottom w:val="none" w:sz="0" w:space="0" w:color="auto"/>
        <w:right w:val="none" w:sz="0" w:space="0" w:color="auto"/>
      </w:divBdr>
      <w:divsChild>
        <w:div w:id="24454764">
          <w:marLeft w:val="0"/>
          <w:marRight w:val="0"/>
          <w:marTop w:val="0"/>
          <w:marBottom w:val="0"/>
          <w:divBdr>
            <w:top w:val="none" w:sz="0" w:space="0" w:color="auto"/>
            <w:left w:val="none" w:sz="0" w:space="0" w:color="auto"/>
            <w:bottom w:val="none" w:sz="0" w:space="0" w:color="auto"/>
            <w:right w:val="none" w:sz="0" w:space="0" w:color="auto"/>
          </w:divBdr>
        </w:div>
        <w:div w:id="117142684">
          <w:marLeft w:val="0"/>
          <w:marRight w:val="0"/>
          <w:marTop w:val="0"/>
          <w:marBottom w:val="0"/>
          <w:divBdr>
            <w:top w:val="none" w:sz="0" w:space="0" w:color="auto"/>
            <w:left w:val="none" w:sz="0" w:space="0" w:color="auto"/>
            <w:bottom w:val="none" w:sz="0" w:space="0" w:color="auto"/>
            <w:right w:val="none" w:sz="0" w:space="0" w:color="auto"/>
          </w:divBdr>
        </w:div>
        <w:div w:id="165822881">
          <w:marLeft w:val="0"/>
          <w:marRight w:val="0"/>
          <w:marTop w:val="0"/>
          <w:marBottom w:val="0"/>
          <w:divBdr>
            <w:top w:val="none" w:sz="0" w:space="0" w:color="auto"/>
            <w:left w:val="none" w:sz="0" w:space="0" w:color="auto"/>
            <w:bottom w:val="none" w:sz="0" w:space="0" w:color="auto"/>
            <w:right w:val="none" w:sz="0" w:space="0" w:color="auto"/>
          </w:divBdr>
        </w:div>
        <w:div w:id="210045895">
          <w:marLeft w:val="0"/>
          <w:marRight w:val="0"/>
          <w:marTop w:val="0"/>
          <w:marBottom w:val="0"/>
          <w:divBdr>
            <w:top w:val="none" w:sz="0" w:space="0" w:color="auto"/>
            <w:left w:val="none" w:sz="0" w:space="0" w:color="auto"/>
            <w:bottom w:val="none" w:sz="0" w:space="0" w:color="auto"/>
            <w:right w:val="none" w:sz="0" w:space="0" w:color="auto"/>
          </w:divBdr>
        </w:div>
        <w:div w:id="238516275">
          <w:marLeft w:val="0"/>
          <w:marRight w:val="0"/>
          <w:marTop w:val="0"/>
          <w:marBottom w:val="0"/>
          <w:divBdr>
            <w:top w:val="none" w:sz="0" w:space="0" w:color="auto"/>
            <w:left w:val="none" w:sz="0" w:space="0" w:color="auto"/>
            <w:bottom w:val="none" w:sz="0" w:space="0" w:color="auto"/>
            <w:right w:val="none" w:sz="0" w:space="0" w:color="auto"/>
          </w:divBdr>
        </w:div>
        <w:div w:id="355544057">
          <w:marLeft w:val="0"/>
          <w:marRight w:val="0"/>
          <w:marTop w:val="0"/>
          <w:marBottom w:val="0"/>
          <w:divBdr>
            <w:top w:val="none" w:sz="0" w:space="0" w:color="auto"/>
            <w:left w:val="none" w:sz="0" w:space="0" w:color="auto"/>
            <w:bottom w:val="none" w:sz="0" w:space="0" w:color="auto"/>
            <w:right w:val="none" w:sz="0" w:space="0" w:color="auto"/>
          </w:divBdr>
        </w:div>
        <w:div w:id="390231839">
          <w:marLeft w:val="0"/>
          <w:marRight w:val="0"/>
          <w:marTop w:val="0"/>
          <w:marBottom w:val="0"/>
          <w:divBdr>
            <w:top w:val="none" w:sz="0" w:space="0" w:color="auto"/>
            <w:left w:val="none" w:sz="0" w:space="0" w:color="auto"/>
            <w:bottom w:val="none" w:sz="0" w:space="0" w:color="auto"/>
            <w:right w:val="none" w:sz="0" w:space="0" w:color="auto"/>
          </w:divBdr>
        </w:div>
        <w:div w:id="455296425">
          <w:marLeft w:val="0"/>
          <w:marRight w:val="0"/>
          <w:marTop w:val="0"/>
          <w:marBottom w:val="0"/>
          <w:divBdr>
            <w:top w:val="none" w:sz="0" w:space="0" w:color="auto"/>
            <w:left w:val="none" w:sz="0" w:space="0" w:color="auto"/>
            <w:bottom w:val="none" w:sz="0" w:space="0" w:color="auto"/>
            <w:right w:val="none" w:sz="0" w:space="0" w:color="auto"/>
          </w:divBdr>
        </w:div>
        <w:div w:id="511727059">
          <w:marLeft w:val="0"/>
          <w:marRight w:val="0"/>
          <w:marTop w:val="0"/>
          <w:marBottom w:val="0"/>
          <w:divBdr>
            <w:top w:val="none" w:sz="0" w:space="0" w:color="auto"/>
            <w:left w:val="none" w:sz="0" w:space="0" w:color="auto"/>
            <w:bottom w:val="none" w:sz="0" w:space="0" w:color="auto"/>
            <w:right w:val="none" w:sz="0" w:space="0" w:color="auto"/>
          </w:divBdr>
        </w:div>
        <w:div w:id="538082317">
          <w:marLeft w:val="0"/>
          <w:marRight w:val="0"/>
          <w:marTop w:val="0"/>
          <w:marBottom w:val="0"/>
          <w:divBdr>
            <w:top w:val="none" w:sz="0" w:space="0" w:color="auto"/>
            <w:left w:val="none" w:sz="0" w:space="0" w:color="auto"/>
            <w:bottom w:val="none" w:sz="0" w:space="0" w:color="auto"/>
            <w:right w:val="none" w:sz="0" w:space="0" w:color="auto"/>
          </w:divBdr>
        </w:div>
        <w:div w:id="541678020">
          <w:marLeft w:val="0"/>
          <w:marRight w:val="0"/>
          <w:marTop w:val="0"/>
          <w:marBottom w:val="0"/>
          <w:divBdr>
            <w:top w:val="none" w:sz="0" w:space="0" w:color="auto"/>
            <w:left w:val="none" w:sz="0" w:space="0" w:color="auto"/>
            <w:bottom w:val="none" w:sz="0" w:space="0" w:color="auto"/>
            <w:right w:val="none" w:sz="0" w:space="0" w:color="auto"/>
          </w:divBdr>
        </w:div>
        <w:div w:id="568075362">
          <w:marLeft w:val="0"/>
          <w:marRight w:val="0"/>
          <w:marTop w:val="0"/>
          <w:marBottom w:val="0"/>
          <w:divBdr>
            <w:top w:val="none" w:sz="0" w:space="0" w:color="auto"/>
            <w:left w:val="none" w:sz="0" w:space="0" w:color="auto"/>
            <w:bottom w:val="none" w:sz="0" w:space="0" w:color="auto"/>
            <w:right w:val="none" w:sz="0" w:space="0" w:color="auto"/>
          </w:divBdr>
        </w:div>
        <w:div w:id="596713425">
          <w:marLeft w:val="0"/>
          <w:marRight w:val="0"/>
          <w:marTop w:val="0"/>
          <w:marBottom w:val="0"/>
          <w:divBdr>
            <w:top w:val="none" w:sz="0" w:space="0" w:color="auto"/>
            <w:left w:val="none" w:sz="0" w:space="0" w:color="auto"/>
            <w:bottom w:val="none" w:sz="0" w:space="0" w:color="auto"/>
            <w:right w:val="none" w:sz="0" w:space="0" w:color="auto"/>
          </w:divBdr>
        </w:div>
        <w:div w:id="638808706">
          <w:marLeft w:val="0"/>
          <w:marRight w:val="0"/>
          <w:marTop w:val="0"/>
          <w:marBottom w:val="0"/>
          <w:divBdr>
            <w:top w:val="none" w:sz="0" w:space="0" w:color="auto"/>
            <w:left w:val="none" w:sz="0" w:space="0" w:color="auto"/>
            <w:bottom w:val="none" w:sz="0" w:space="0" w:color="auto"/>
            <w:right w:val="none" w:sz="0" w:space="0" w:color="auto"/>
          </w:divBdr>
        </w:div>
        <w:div w:id="679356651">
          <w:marLeft w:val="0"/>
          <w:marRight w:val="0"/>
          <w:marTop w:val="0"/>
          <w:marBottom w:val="0"/>
          <w:divBdr>
            <w:top w:val="none" w:sz="0" w:space="0" w:color="auto"/>
            <w:left w:val="none" w:sz="0" w:space="0" w:color="auto"/>
            <w:bottom w:val="none" w:sz="0" w:space="0" w:color="auto"/>
            <w:right w:val="none" w:sz="0" w:space="0" w:color="auto"/>
          </w:divBdr>
        </w:div>
        <w:div w:id="688798703">
          <w:marLeft w:val="0"/>
          <w:marRight w:val="0"/>
          <w:marTop w:val="0"/>
          <w:marBottom w:val="0"/>
          <w:divBdr>
            <w:top w:val="none" w:sz="0" w:space="0" w:color="auto"/>
            <w:left w:val="none" w:sz="0" w:space="0" w:color="auto"/>
            <w:bottom w:val="none" w:sz="0" w:space="0" w:color="auto"/>
            <w:right w:val="none" w:sz="0" w:space="0" w:color="auto"/>
          </w:divBdr>
        </w:div>
        <w:div w:id="715542045">
          <w:marLeft w:val="0"/>
          <w:marRight w:val="0"/>
          <w:marTop w:val="0"/>
          <w:marBottom w:val="0"/>
          <w:divBdr>
            <w:top w:val="none" w:sz="0" w:space="0" w:color="auto"/>
            <w:left w:val="none" w:sz="0" w:space="0" w:color="auto"/>
            <w:bottom w:val="none" w:sz="0" w:space="0" w:color="auto"/>
            <w:right w:val="none" w:sz="0" w:space="0" w:color="auto"/>
          </w:divBdr>
        </w:div>
        <w:div w:id="743262102">
          <w:marLeft w:val="0"/>
          <w:marRight w:val="0"/>
          <w:marTop w:val="0"/>
          <w:marBottom w:val="0"/>
          <w:divBdr>
            <w:top w:val="none" w:sz="0" w:space="0" w:color="auto"/>
            <w:left w:val="none" w:sz="0" w:space="0" w:color="auto"/>
            <w:bottom w:val="none" w:sz="0" w:space="0" w:color="auto"/>
            <w:right w:val="none" w:sz="0" w:space="0" w:color="auto"/>
          </w:divBdr>
        </w:div>
        <w:div w:id="807745514">
          <w:marLeft w:val="0"/>
          <w:marRight w:val="0"/>
          <w:marTop w:val="0"/>
          <w:marBottom w:val="0"/>
          <w:divBdr>
            <w:top w:val="none" w:sz="0" w:space="0" w:color="auto"/>
            <w:left w:val="none" w:sz="0" w:space="0" w:color="auto"/>
            <w:bottom w:val="none" w:sz="0" w:space="0" w:color="auto"/>
            <w:right w:val="none" w:sz="0" w:space="0" w:color="auto"/>
          </w:divBdr>
        </w:div>
        <w:div w:id="816871884">
          <w:marLeft w:val="0"/>
          <w:marRight w:val="0"/>
          <w:marTop w:val="0"/>
          <w:marBottom w:val="0"/>
          <w:divBdr>
            <w:top w:val="none" w:sz="0" w:space="0" w:color="auto"/>
            <w:left w:val="none" w:sz="0" w:space="0" w:color="auto"/>
            <w:bottom w:val="none" w:sz="0" w:space="0" w:color="auto"/>
            <w:right w:val="none" w:sz="0" w:space="0" w:color="auto"/>
          </w:divBdr>
        </w:div>
        <w:div w:id="860240521">
          <w:marLeft w:val="0"/>
          <w:marRight w:val="0"/>
          <w:marTop w:val="0"/>
          <w:marBottom w:val="0"/>
          <w:divBdr>
            <w:top w:val="none" w:sz="0" w:space="0" w:color="auto"/>
            <w:left w:val="none" w:sz="0" w:space="0" w:color="auto"/>
            <w:bottom w:val="none" w:sz="0" w:space="0" w:color="auto"/>
            <w:right w:val="none" w:sz="0" w:space="0" w:color="auto"/>
          </w:divBdr>
        </w:div>
        <w:div w:id="882060613">
          <w:marLeft w:val="0"/>
          <w:marRight w:val="0"/>
          <w:marTop w:val="0"/>
          <w:marBottom w:val="0"/>
          <w:divBdr>
            <w:top w:val="none" w:sz="0" w:space="0" w:color="auto"/>
            <w:left w:val="none" w:sz="0" w:space="0" w:color="auto"/>
            <w:bottom w:val="none" w:sz="0" w:space="0" w:color="auto"/>
            <w:right w:val="none" w:sz="0" w:space="0" w:color="auto"/>
          </w:divBdr>
        </w:div>
        <w:div w:id="892691556">
          <w:marLeft w:val="0"/>
          <w:marRight w:val="0"/>
          <w:marTop w:val="0"/>
          <w:marBottom w:val="0"/>
          <w:divBdr>
            <w:top w:val="none" w:sz="0" w:space="0" w:color="auto"/>
            <w:left w:val="none" w:sz="0" w:space="0" w:color="auto"/>
            <w:bottom w:val="none" w:sz="0" w:space="0" w:color="auto"/>
            <w:right w:val="none" w:sz="0" w:space="0" w:color="auto"/>
          </w:divBdr>
        </w:div>
        <w:div w:id="896629501">
          <w:marLeft w:val="0"/>
          <w:marRight w:val="0"/>
          <w:marTop w:val="0"/>
          <w:marBottom w:val="0"/>
          <w:divBdr>
            <w:top w:val="none" w:sz="0" w:space="0" w:color="auto"/>
            <w:left w:val="none" w:sz="0" w:space="0" w:color="auto"/>
            <w:bottom w:val="none" w:sz="0" w:space="0" w:color="auto"/>
            <w:right w:val="none" w:sz="0" w:space="0" w:color="auto"/>
          </w:divBdr>
        </w:div>
        <w:div w:id="953637238">
          <w:marLeft w:val="0"/>
          <w:marRight w:val="0"/>
          <w:marTop w:val="0"/>
          <w:marBottom w:val="0"/>
          <w:divBdr>
            <w:top w:val="none" w:sz="0" w:space="0" w:color="auto"/>
            <w:left w:val="none" w:sz="0" w:space="0" w:color="auto"/>
            <w:bottom w:val="none" w:sz="0" w:space="0" w:color="auto"/>
            <w:right w:val="none" w:sz="0" w:space="0" w:color="auto"/>
          </w:divBdr>
          <w:divsChild>
            <w:div w:id="220364327">
              <w:marLeft w:val="0"/>
              <w:marRight w:val="0"/>
              <w:marTop w:val="0"/>
              <w:marBottom w:val="0"/>
              <w:divBdr>
                <w:top w:val="none" w:sz="0" w:space="0" w:color="auto"/>
                <w:left w:val="none" w:sz="0" w:space="0" w:color="auto"/>
                <w:bottom w:val="none" w:sz="0" w:space="0" w:color="auto"/>
                <w:right w:val="none" w:sz="0" w:space="0" w:color="auto"/>
              </w:divBdr>
            </w:div>
            <w:div w:id="330067371">
              <w:marLeft w:val="0"/>
              <w:marRight w:val="0"/>
              <w:marTop w:val="0"/>
              <w:marBottom w:val="0"/>
              <w:divBdr>
                <w:top w:val="none" w:sz="0" w:space="0" w:color="auto"/>
                <w:left w:val="none" w:sz="0" w:space="0" w:color="auto"/>
                <w:bottom w:val="none" w:sz="0" w:space="0" w:color="auto"/>
                <w:right w:val="none" w:sz="0" w:space="0" w:color="auto"/>
              </w:divBdr>
            </w:div>
            <w:div w:id="543758897">
              <w:marLeft w:val="0"/>
              <w:marRight w:val="0"/>
              <w:marTop w:val="0"/>
              <w:marBottom w:val="0"/>
              <w:divBdr>
                <w:top w:val="none" w:sz="0" w:space="0" w:color="auto"/>
                <w:left w:val="none" w:sz="0" w:space="0" w:color="auto"/>
                <w:bottom w:val="none" w:sz="0" w:space="0" w:color="auto"/>
                <w:right w:val="none" w:sz="0" w:space="0" w:color="auto"/>
              </w:divBdr>
            </w:div>
            <w:div w:id="1286548090">
              <w:marLeft w:val="0"/>
              <w:marRight w:val="0"/>
              <w:marTop w:val="0"/>
              <w:marBottom w:val="0"/>
              <w:divBdr>
                <w:top w:val="none" w:sz="0" w:space="0" w:color="auto"/>
                <w:left w:val="none" w:sz="0" w:space="0" w:color="auto"/>
                <w:bottom w:val="none" w:sz="0" w:space="0" w:color="auto"/>
                <w:right w:val="none" w:sz="0" w:space="0" w:color="auto"/>
              </w:divBdr>
            </w:div>
            <w:div w:id="1721204122">
              <w:marLeft w:val="0"/>
              <w:marRight w:val="0"/>
              <w:marTop w:val="0"/>
              <w:marBottom w:val="0"/>
              <w:divBdr>
                <w:top w:val="none" w:sz="0" w:space="0" w:color="auto"/>
                <w:left w:val="none" w:sz="0" w:space="0" w:color="auto"/>
                <w:bottom w:val="none" w:sz="0" w:space="0" w:color="auto"/>
                <w:right w:val="none" w:sz="0" w:space="0" w:color="auto"/>
              </w:divBdr>
            </w:div>
          </w:divsChild>
        </w:div>
        <w:div w:id="1002320289">
          <w:marLeft w:val="0"/>
          <w:marRight w:val="0"/>
          <w:marTop w:val="0"/>
          <w:marBottom w:val="0"/>
          <w:divBdr>
            <w:top w:val="none" w:sz="0" w:space="0" w:color="auto"/>
            <w:left w:val="none" w:sz="0" w:space="0" w:color="auto"/>
            <w:bottom w:val="none" w:sz="0" w:space="0" w:color="auto"/>
            <w:right w:val="none" w:sz="0" w:space="0" w:color="auto"/>
          </w:divBdr>
        </w:div>
        <w:div w:id="1009718320">
          <w:marLeft w:val="0"/>
          <w:marRight w:val="0"/>
          <w:marTop w:val="0"/>
          <w:marBottom w:val="0"/>
          <w:divBdr>
            <w:top w:val="none" w:sz="0" w:space="0" w:color="auto"/>
            <w:left w:val="none" w:sz="0" w:space="0" w:color="auto"/>
            <w:bottom w:val="none" w:sz="0" w:space="0" w:color="auto"/>
            <w:right w:val="none" w:sz="0" w:space="0" w:color="auto"/>
          </w:divBdr>
        </w:div>
        <w:div w:id="1053582647">
          <w:marLeft w:val="0"/>
          <w:marRight w:val="0"/>
          <w:marTop w:val="0"/>
          <w:marBottom w:val="0"/>
          <w:divBdr>
            <w:top w:val="none" w:sz="0" w:space="0" w:color="auto"/>
            <w:left w:val="none" w:sz="0" w:space="0" w:color="auto"/>
            <w:bottom w:val="none" w:sz="0" w:space="0" w:color="auto"/>
            <w:right w:val="none" w:sz="0" w:space="0" w:color="auto"/>
          </w:divBdr>
        </w:div>
        <w:div w:id="1065952338">
          <w:marLeft w:val="0"/>
          <w:marRight w:val="0"/>
          <w:marTop w:val="0"/>
          <w:marBottom w:val="0"/>
          <w:divBdr>
            <w:top w:val="none" w:sz="0" w:space="0" w:color="auto"/>
            <w:left w:val="none" w:sz="0" w:space="0" w:color="auto"/>
            <w:bottom w:val="none" w:sz="0" w:space="0" w:color="auto"/>
            <w:right w:val="none" w:sz="0" w:space="0" w:color="auto"/>
          </w:divBdr>
        </w:div>
        <w:div w:id="1098216012">
          <w:marLeft w:val="0"/>
          <w:marRight w:val="0"/>
          <w:marTop w:val="0"/>
          <w:marBottom w:val="0"/>
          <w:divBdr>
            <w:top w:val="none" w:sz="0" w:space="0" w:color="auto"/>
            <w:left w:val="none" w:sz="0" w:space="0" w:color="auto"/>
            <w:bottom w:val="none" w:sz="0" w:space="0" w:color="auto"/>
            <w:right w:val="none" w:sz="0" w:space="0" w:color="auto"/>
          </w:divBdr>
        </w:div>
        <w:div w:id="1128550095">
          <w:marLeft w:val="0"/>
          <w:marRight w:val="0"/>
          <w:marTop w:val="0"/>
          <w:marBottom w:val="0"/>
          <w:divBdr>
            <w:top w:val="none" w:sz="0" w:space="0" w:color="auto"/>
            <w:left w:val="none" w:sz="0" w:space="0" w:color="auto"/>
            <w:bottom w:val="none" w:sz="0" w:space="0" w:color="auto"/>
            <w:right w:val="none" w:sz="0" w:space="0" w:color="auto"/>
          </w:divBdr>
          <w:divsChild>
            <w:div w:id="407390849">
              <w:marLeft w:val="0"/>
              <w:marRight w:val="0"/>
              <w:marTop w:val="0"/>
              <w:marBottom w:val="0"/>
              <w:divBdr>
                <w:top w:val="none" w:sz="0" w:space="0" w:color="auto"/>
                <w:left w:val="none" w:sz="0" w:space="0" w:color="auto"/>
                <w:bottom w:val="none" w:sz="0" w:space="0" w:color="auto"/>
                <w:right w:val="none" w:sz="0" w:space="0" w:color="auto"/>
              </w:divBdr>
            </w:div>
            <w:div w:id="1142380584">
              <w:marLeft w:val="0"/>
              <w:marRight w:val="0"/>
              <w:marTop w:val="0"/>
              <w:marBottom w:val="0"/>
              <w:divBdr>
                <w:top w:val="none" w:sz="0" w:space="0" w:color="auto"/>
                <w:left w:val="none" w:sz="0" w:space="0" w:color="auto"/>
                <w:bottom w:val="none" w:sz="0" w:space="0" w:color="auto"/>
                <w:right w:val="none" w:sz="0" w:space="0" w:color="auto"/>
              </w:divBdr>
            </w:div>
            <w:div w:id="1192953861">
              <w:marLeft w:val="0"/>
              <w:marRight w:val="0"/>
              <w:marTop w:val="0"/>
              <w:marBottom w:val="0"/>
              <w:divBdr>
                <w:top w:val="none" w:sz="0" w:space="0" w:color="auto"/>
                <w:left w:val="none" w:sz="0" w:space="0" w:color="auto"/>
                <w:bottom w:val="none" w:sz="0" w:space="0" w:color="auto"/>
                <w:right w:val="none" w:sz="0" w:space="0" w:color="auto"/>
              </w:divBdr>
            </w:div>
          </w:divsChild>
        </w:div>
        <w:div w:id="1134103737">
          <w:marLeft w:val="0"/>
          <w:marRight w:val="0"/>
          <w:marTop w:val="0"/>
          <w:marBottom w:val="0"/>
          <w:divBdr>
            <w:top w:val="none" w:sz="0" w:space="0" w:color="auto"/>
            <w:left w:val="none" w:sz="0" w:space="0" w:color="auto"/>
            <w:bottom w:val="none" w:sz="0" w:space="0" w:color="auto"/>
            <w:right w:val="none" w:sz="0" w:space="0" w:color="auto"/>
          </w:divBdr>
        </w:div>
        <w:div w:id="1227495006">
          <w:marLeft w:val="0"/>
          <w:marRight w:val="0"/>
          <w:marTop w:val="0"/>
          <w:marBottom w:val="0"/>
          <w:divBdr>
            <w:top w:val="none" w:sz="0" w:space="0" w:color="auto"/>
            <w:left w:val="none" w:sz="0" w:space="0" w:color="auto"/>
            <w:bottom w:val="none" w:sz="0" w:space="0" w:color="auto"/>
            <w:right w:val="none" w:sz="0" w:space="0" w:color="auto"/>
          </w:divBdr>
        </w:div>
        <w:div w:id="1252810003">
          <w:marLeft w:val="0"/>
          <w:marRight w:val="0"/>
          <w:marTop w:val="0"/>
          <w:marBottom w:val="0"/>
          <w:divBdr>
            <w:top w:val="none" w:sz="0" w:space="0" w:color="auto"/>
            <w:left w:val="none" w:sz="0" w:space="0" w:color="auto"/>
            <w:bottom w:val="none" w:sz="0" w:space="0" w:color="auto"/>
            <w:right w:val="none" w:sz="0" w:space="0" w:color="auto"/>
          </w:divBdr>
        </w:div>
        <w:div w:id="1324310022">
          <w:marLeft w:val="0"/>
          <w:marRight w:val="0"/>
          <w:marTop w:val="0"/>
          <w:marBottom w:val="0"/>
          <w:divBdr>
            <w:top w:val="none" w:sz="0" w:space="0" w:color="auto"/>
            <w:left w:val="none" w:sz="0" w:space="0" w:color="auto"/>
            <w:bottom w:val="none" w:sz="0" w:space="0" w:color="auto"/>
            <w:right w:val="none" w:sz="0" w:space="0" w:color="auto"/>
          </w:divBdr>
        </w:div>
        <w:div w:id="1343312156">
          <w:marLeft w:val="0"/>
          <w:marRight w:val="0"/>
          <w:marTop w:val="0"/>
          <w:marBottom w:val="0"/>
          <w:divBdr>
            <w:top w:val="none" w:sz="0" w:space="0" w:color="auto"/>
            <w:left w:val="none" w:sz="0" w:space="0" w:color="auto"/>
            <w:bottom w:val="none" w:sz="0" w:space="0" w:color="auto"/>
            <w:right w:val="none" w:sz="0" w:space="0" w:color="auto"/>
          </w:divBdr>
        </w:div>
        <w:div w:id="1404261026">
          <w:marLeft w:val="0"/>
          <w:marRight w:val="0"/>
          <w:marTop w:val="0"/>
          <w:marBottom w:val="0"/>
          <w:divBdr>
            <w:top w:val="none" w:sz="0" w:space="0" w:color="auto"/>
            <w:left w:val="none" w:sz="0" w:space="0" w:color="auto"/>
            <w:bottom w:val="none" w:sz="0" w:space="0" w:color="auto"/>
            <w:right w:val="none" w:sz="0" w:space="0" w:color="auto"/>
          </w:divBdr>
        </w:div>
        <w:div w:id="1464275602">
          <w:marLeft w:val="0"/>
          <w:marRight w:val="0"/>
          <w:marTop w:val="0"/>
          <w:marBottom w:val="0"/>
          <w:divBdr>
            <w:top w:val="none" w:sz="0" w:space="0" w:color="auto"/>
            <w:left w:val="none" w:sz="0" w:space="0" w:color="auto"/>
            <w:bottom w:val="none" w:sz="0" w:space="0" w:color="auto"/>
            <w:right w:val="none" w:sz="0" w:space="0" w:color="auto"/>
          </w:divBdr>
        </w:div>
        <w:div w:id="1492059971">
          <w:marLeft w:val="0"/>
          <w:marRight w:val="0"/>
          <w:marTop w:val="0"/>
          <w:marBottom w:val="0"/>
          <w:divBdr>
            <w:top w:val="none" w:sz="0" w:space="0" w:color="auto"/>
            <w:left w:val="none" w:sz="0" w:space="0" w:color="auto"/>
            <w:bottom w:val="none" w:sz="0" w:space="0" w:color="auto"/>
            <w:right w:val="none" w:sz="0" w:space="0" w:color="auto"/>
          </w:divBdr>
        </w:div>
        <w:div w:id="1538200560">
          <w:marLeft w:val="0"/>
          <w:marRight w:val="0"/>
          <w:marTop w:val="0"/>
          <w:marBottom w:val="0"/>
          <w:divBdr>
            <w:top w:val="none" w:sz="0" w:space="0" w:color="auto"/>
            <w:left w:val="none" w:sz="0" w:space="0" w:color="auto"/>
            <w:bottom w:val="none" w:sz="0" w:space="0" w:color="auto"/>
            <w:right w:val="none" w:sz="0" w:space="0" w:color="auto"/>
          </w:divBdr>
          <w:divsChild>
            <w:div w:id="1030690503">
              <w:marLeft w:val="-75"/>
              <w:marRight w:val="0"/>
              <w:marTop w:val="30"/>
              <w:marBottom w:val="30"/>
              <w:divBdr>
                <w:top w:val="none" w:sz="0" w:space="0" w:color="auto"/>
                <w:left w:val="none" w:sz="0" w:space="0" w:color="auto"/>
                <w:bottom w:val="none" w:sz="0" w:space="0" w:color="auto"/>
                <w:right w:val="none" w:sz="0" w:space="0" w:color="auto"/>
              </w:divBdr>
              <w:divsChild>
                <w:div w:id="252473224">
                  <w:marLeft w:val="0"/>
                  <w:marRight w:val="0"/>
                  <w:marTop w:val="0"/>
                  <w:marBottom w:val="0"/>
                  <w:divBdr>
                    <w:top w:val="none" w:sz="0" w:space="0" w:color="auto"/>
                    <w:left w:val="none" w:sz="0" w:space="0" w:color="auto"/>
                    <w:bottom w:val="none" w:sz="0" w:space="0" w:color="auto"/>
                    <w:right w:val="none" w:sz="0" w:space="0" w:color="auto"/>
                  </w:divBdr>
                  <w:divsChild>
                    <w:div w:id="1209220644">
                      <w:marLeft w:val="0"/>
                      <w:marRight w:val="0"/>
                      <w:marTop w:val="0"/>
                      <w:marBottom w:val="0"/>
                      <w:divBdr>
                        <w:top w:val="none" w:sz="0" w:space="0" w:color="auto"/>
                        <w:left w:val="none" w:sz="0" w:space="0" w:color="auto"/>
                        <w:bottom w:val="none" w:sz="0" w:space="0" w:color="auto"/>
                        <w:right w:val="none" w:sz="0" w:space="0" w:color="auto"/>
                      </w:divBdr>
                    </w:div>
                  </w:divsChild>
                </w:div>
                <w:div w:id="300615503">
                  <w:marLeft w:val="0"/>
                  <w:marRight w:val="0"/>
                  <w:marTop w:val="0"/>
                  <w:marBottom w:val="0"/>
                  <w:divBdr>
                    <w:top w:val="none" w:sz="0" w:space="0" w:color="auto"/>
                    <w:left w:val="none" w:sz="0" w:space="0" w:color="auto"/>
                    <w:bottom w:val="none" w:sz="0" w:space="0" w:color="auto"/>
                    <w:right w:val="none" w:sz="0" w:space="0" w:color="auto"/>
                  </w:divBdr>
                  <w:divsChild>
                    <w:div w:id="1767268462">
                      <w:marLeft w:val="0"/>
                      <w:marRight w:val="0"/>
                      <w:marTop w:val="0"/>
                      <w:marBottom w:val="0"/>
                      <w:divBdr>
                        <w:top w:val="none" w:sz="0" w:space="0" w:color="auto"/>
                        <w:left w:val="none" w:sz="0" w:space="0" w:color="auto"/>
                        <w:bottom w:val="none" w:sz="0" w:space="0" w:color="auto"/>
                        <w:right w:val="none" w:sz="0" w:space="0" w:color="auto"/>
                      </w:divBdr>
                    </w:div>
                    <w:div w:id="2067948171">
                      <w:marLeft w:val="0"/>
                      <w:marRight w:val="0"/>
                      <w:marTop w:val="0"/>
                      <w:marBottom w:val="0"/>
                      <w:divBdr>
                        <w:top w:val="none" w:sz="0" w:space="0" w:color="auto"/>
                        <w:left w:val="none" w:sz="0" w:space="0" w:color="auto"/>
                        <w:bottom w:val="none" w:sz="0" w:space="0" w:color="auto"/>
                        <w:right w:val="none" w:sz="0" w:space="0" w:color="auto"/>
                      </w:divBdr>
                    </w:div>
                  </w:divsChild>
                </w:div>
                <w:div w:id="439450645">
                  <w:marLeft w:val="0"/>
                  <w:marRight w:val="0"/>
                  <w:marTop w:val="0"/>
                  <w:marBottom w:val="0"/>
                  <w:divBdr>
                    <w:top w:val="none" w:sz="0" w:space="0" w:color="auto"/>
                    <w:left w:val="none" w:sz="0" w:space="0" w:color="auto"/>
                    <w:bottom w:val="none" w:sz="0" w:space="0" w:color="auto"/>
                    <w:right w:val="none" w:sz="0" w:space="0" w:color="auto"/>
                  </w:divBdr>
                  <w:divsChild>
                    <w:div w:id="1359618204">
                      <w:marLeft w:val="0"/>
                      <w:marRight w:val="0"/>
                      <w:marTop w:val="0"/>
                      <w:marBottom w:val="0"/>
                      <w:divBdr>
                        <w:top w:val="none" w:sz="0" w:space="0" w:color="auto"/>
                        <w:left w:val="none" w:sz="0" w:space="0" w:color="auto"/>
                        <w:bottom w:val="none" w:sz="0" w:space="0" w:color="auto"/>
                        <w:right w:val="none" w:sz="0" w:space="0" w:color="auto"/>
                      </w:divBdr>
                    </w:div>
                  </w:divsChild>
                </w:div>
                <w:div w:id="440225636">
                  <w:marLeft w:val="0"/>
                  <w:marRight w:val="0"/>
                  <w:marTop w:val="0"/>
                  <w:marBottom w:val="0"/>
                  <w:divBdr>
                    <w:top w:val="none" w:sz="0" w:space="0" w:color="auto"/>
                    <w:left w:val="none" w:sz="0" w:space="0" w:color="auto"/>
                    <w:bottom w:val="none" w:sz="0" w:space="0" w:color="auto"/>
                    <w:right w:val="none" w:sz="0" w:space="0" w:color="auto"/>
                  </w:divBdr>
                  <w:divsChild>
                    <w:div w:id="521668105">
                      <w:marLeft w:val="0"/>
                      <w:marRight w:val="0"/>
                      <w:marTop w:val="0"/>
                      <w:marBottom w:val="0"/>
                      <w:divBdr>
                        <w:top w:val="none" w:sz="0" w:space="0" w:color="auto"/>
                        <w:left w:val="none" w:sz="0" w:space="0" w:color="auto"/>
                        <w:bottom w:val="none" w:sz="0" w:space="0" w:color="auto"/>
                        <w:right w:val="none" w:sz="0" w:space="0" w:color="auto"/>
                      </w:divBdr>
                    </w:div>
                    <w:div w:id="1617329362">
                      <w:marLeft w:val="0"/>
                      <w:marRight w:val="0"/>
                      <w:marTop w:val="0"/>
                      <w:marBottom w:val="0"/>
                      <w:divBdr>
                        <w:top w:val="none" w:sz="0" w:space="0" w:color="auto"/>
                        <w:left w:val="none" w:sz="0" w:space="0" w:color="auto"/>
                        <w:bottom w:val="none" w:sz="0" w:space="0" w:color="auto"/>
                        <w:right w:val="none" w:sz="0" w:space="0" w:color="auto"/>
                      </w:divBdr>
                    </w:div>
                  </w:divsChild>
                </w:div>
                <w:div w:id="618798070">
                  <w:marLeft w:val="0"/>
                  <w:marRight w:val="0"/>
                  <w:marTop w:val="0"/>
                  <w:marBottom w:val="0"/>
                  <w:divBdr>
                    <w:top w:val="none" w:sz="0" w:space="0" w:color="auto"/>
                    <w:left w:val="none" w:sz="0" w:space="0" w:color="auto"/>
                    <w:bottom w:val="none" w:sz="0" w:space="0" w:color="auto"/>
                    <w:right w:val="none" w:sz="0" w:space="0" w:color="auto"/>
                  </w:divBdr>
                  <w:divsChild>
                    <w:div w:id="429785129">
                      <w:marLeft w:val="0"/>
                      <w:marRight w:val="0"/>
                      <w:marTop w:val="0"/>
                      <w:marBottom w:val="0"/>
                      <w:divBdr>
                        <w:top w:val="none" w:sz="0" w:space="0" w:color="auto"/>
                        <w:left w:val="none" w:sz="0" w:space="0" w:color="auto"/>
                        <w:bottom w:val="none" w:sz="0" w:space="0" w:color="auto"/>
                        <w:right w:val="none" w:sz="0" w:space="0" w:color="auto"/>
                      </w:divBdr>
                    </w:div>
                  </w:divsChild>
                </w:div>
                <w:div w:id="738094220">
                  <w:marLeft w:val="0"/>
                  <w:marRight w:val="0"/>
                  <w:marTop w:val="0"/>
                  <w:marBottom w:val="0"/>
                  <w:divBdr>
                    <w:top w:val="none" w:sz="0" w:space="0" w:color="auto"/>
                    <w:left w:val="none" w:sz="0" w:space="0" w:color="auto"/>
                    <w:bottom w:val="none" w:sz="0" w:space="0" w:color="auto"/>
                    <w:right w:val="none" w:sz="0" w:space="0" w:color="auto"/>
                  </w:divBdr>
                  <w:divsChild>
                    <w:div w:id="1453859116">
                      <w:marLeft w:val="0"/>
                      <w:marRight w:val="0"/>
                      <w:marTop w:val="0"/>
                      <w:marBottom w:val="0"/>
                      <w:divBdr>
                        <w:top w:val="none" w:sz="0" w:space="0" w:color="auto"/>
                        <w:left w:val="none" w:sz="0" w:space="0" w:color="auto"/>
                        <w:bottom w:val="none" w:sz="0" w:space="0" w:color="auto"/>
                        <w:right w:val="none" w:sz="0" w:space="0" w:color="auto"/>
                      </w:divBdr>
                    </w:div>
                  </w:divsChild>
                </w:div>
                <w:div w:id="784075614">
                  <w:marLeft w:val="0"/>
                  <w:marRight w:val="0"/>
                  <w:marTop w:val="0"/>
                  <w:marBottom w:val="0"/>
                  <w:divBdr>
                    <w:top w:val="none" w:sz="0" w:space="0" w:color="auto"/>
                    <w:left w:val="none" w:sz="0" w:space="0" w:color="auto"/>
                    <w:bottom w:val="none" w:sz="0" w:space="0" w:color="auto"/>
                    <w:right w:val="none" w:sz="0" w:space="0" w:color="auto"/>
                  </w:divBdr>
                  <w:divsChild>
                    <w:div w:id="1061059177">
                      <w:marLeft w:val="0"/>
                      <w:marRight w:val="0"/>
                      <w:marTop w:val="0"/>
                      <w:marBottom w:val="0"/>
                      <w:divBdr>
                        <w:top w:val="none" w:sz="0" w:space="0" w:color="auto"/>
                        <w:left w:val="none" w:sz="0" w:space="0" w:color="auto"/>
                        <w:bottom w:val="none" w:sz="0" w:space="0" w:color="auto"/>
                        <w:right w:val="none" w:sz="0" w:space="0" w:color="auto"/>
                      </w:divBdr>
                    </w:div>
                    <w:div w:id="1669867117">
                      <w:marLeft w:val="0"/>
                      <w:marRight w:val="0"/>
                      <w:marTop w:val="0"/>
                      <w:marBottom w:val="0"/>
                      <w:divBdr>
                        <w:top w:val="none" w:sz="0" w:space="0" w:color="auto"/>
                        <w:left w:val="none" w:sz="0" w:space="0" w:color="auto"/>
                        <w:bottom w:val="none" w:sz="0" w:space="0" w:color="auto"/>
                        <w:right w:val="none" w:sz="0" w:space="0" w:color="auto"/>
                      </w:divBdr>
                    </w:div>
                  </w:divsChild>
                </w:div>
                <w:div w:id="835262197">
                  <w:marLeft w:val="0"/>
                  <w:marRight w:val="0"/>
                  <w:marTop w:val="0"/>
                  <w:marBottom w:val="0"/>
                  <w:divBdr>
                    <w:top w:val="none" w:sz="0" w:space="0" w:color="auto"/>
                    <w:left w:val="none" w:sz="0" w:space="0" w:color="auto"/>
                    <w:bottom w:val="none" w:sz="0" w:space="0" w:color="auto"/>
                    <w:right w:val="none" w:sz="0" w:space="0" w:color="auto"/>
                  </w:divBdr>
                  <w:divsChild>
                    <w:div w:id="1468469984">
                      <w:marLeft w:val="0"/>
                      <w:marRight w:val="0"/>
                      <w:marTop w:val="0"/>
                      <w:marBottom w:val="0"/>
                      <w:divBdr>
                        <w:top w:val="none" w:sz="0" w:space="0" w:color="auto"/>
                        <w:left w:val="none" w:sz="0" w:space="0" w:color="auto"/>
                        <w:bottom w:val="none" w:sz="0" w:space="0" w:color="auto"/>
                        <w:right w:val="none" w:sz="0" w:space="0" w:color="auto"/>
                      </w:divBdr>
                    </w:div>
                  </w:divsChild>
                </w:div>
                <w:div w:id="837228363">
                  <w:marLeft w:val="0"/>
                  <w:marRight w:val="0"/>
                  <w:marTop w:val="0"/>
                  <w:marBottom w:val="0"/>
                  <w:divBdr>
                    <w:top w:val="none" w:sz="0" w:space="0" w:color="auto"/>
                    <w:left w:val="none" w:sz="0" w:space="0" w:color="auto"/>
                    <w:bottom w:val="none" w:sz="0" w:space="0" w:color="auto"/>
                    <w:right w:val="none" w:sz="0" w:space="0" w:color="auto"/>
                  </w:divBdr>
                  <w:divsChild>
                    <w:div w:id="1391149772">
                      <w:marLeft w:val="0"/>
                      <w:marRight w:val="0"/>
                      <w:marTop w:val="0"/>
                      <w:marBottom w:val="0"/>
                      <w:divBdr>
                        <w:top w:val="none" w:sz="0" w:space="0" w:color="auto"/>
                        <w:left w:val="none" w:sz="0" w:space="0" w:color="auto"/>
                        <w:bottom w:val="none" w:sz="0" w:space="0" w:color="auto"/>
                        <w:right w:val="none" w:sz="0" w:space="0" w:color="auto"/>
                      </w:divBdr>
                    </w:div>
                  </w:divsChild>
                </w:div>
                <w:div w:id="851533023">
                  <w:marLeft w:val="0"/>
                  <w:marRight w:val="0"/>
                  <w:marTop w:val="0"/>
                  <w:marBottom w:val="0"/>
                  <w:divBdr>
                    <w:top w:val="none" w:sz="0" w:space="0" w:color="auto"/>
                    <w:left w:val="none" w:sz="0" w:space="0" w:color="auto"/>
                    <w:bottom w:val="none" w:sz="0" w:space="0" w:color="auto"/>
                    <w:right w:val="none" w:sz="0" w:space="0" w:color="auto"/>
                  </w:divBdr>
                  <w:divsChild>
                    <w:div w:id="421223715">
                      <w:marLeft w:val="0"/>
                      <w:marRight w:val="0"/>
                      <w:marTop w:val="0"/>
                      <w:marBottom w:val="0"/>
                      <w:divBdr>
                        <w:top w:val="none" w:sz="0" w:space="0" w:color="auto"/>
                        <w:left w:val="none" w:sz="0" w:space="0" w:color="auto"/>
                        <w:bottom w:val="none" w:sz="0" w:space="0" w:color="auto"/>
                        <w:right w:val="none" w:sz="0" w:space="0" w:color="auto"/>
                      </w:divBdr>
                    </w:div>
                  </w:divsChild>
                </w:div>
                <w:div w:id="1081558220">
                  <w:marLeft w:val="0"/>
                  <w:marRight w:val="0"/>
                  <w:marTop w:val="0"/>
                  <w:marBottom w:val="0"/>
                  <w:divBdr>
                    <w:top w:val="none" w:sz="0" w:space="0" w:color="auto"/>
                    <w:left w:val="none" w:sz="0" w:space="0" w:color="auto"/>
                    <w:bottom w:val="none" w:sz="0" w:space="0" w:color="auto"/>
                    <w:right w:val="none" w:sz="0" w:space="0" w:color="auto"/>
                  </w:divBdr>
                  <w:divsChild>
                    <w:div w:id="520363348">
                      <w:marLeft w:val="0"/>
                      <w:marRight w:val="0"/>
                      <w:marTop w:val="0"/>
                      <w:marBottom w:val="0"/>
                      <w:divBdr>
                        <w:top w:val="none" w:sz="0" w:space="0" w:color="auto"/>
                        <w:left w:val="none" w:sz="0" w:space="0" w:color="auto"/>
                        <w:bottom w:val="none" w:sz="0" w:space="0" w:color="auto"/>
                        <w:right w:val="none" w:sz="0" w:space="0" w:color="auto"/>
                      </w:divBdr>
                    </w:div>
                  </w:divsChild>
                </w:div>
                <w:div w:id="1259679740">
                  <w:marLeft w:val="0"/>
                  <w:marRight w:val="0"/>
                  <w:marTop w:val="0"/>
                  <w:marBottom w:val="0"/>
                  <w:divBdr>
                    <w:top w:val="none" w:sz="0" w:space="0" w:color="auto"/>
                    <w:left w:val="none" w:sz="0" w:space="0" w:color="auto"/>
                    <w:bottom w:val="none" w:sz="0" w:space="0" w:color="auto"/>
                    <w:right w:val="none" w:sz="0" w:space="0" w:color="auto"/>
                  </w:divBdr>
                  <w:divsChild>
                    <w:div w:id="54084858">
                      <w:marLeft w:val="0"/>
                      <w:marRight w:val="0"/>
                      <w:marTop w:val="0"/>
                      <w:marBottom w:val="0"/>
                      <w:divBdr>
                        <w:top w:val="none" w:sz="0" w:space="0" w:color="auto"/>
                        <w:left w:val="none" w:sz="0" w:space="0" w:color="auto"/>
                        <w:bottom w:val="none" w:sz="0" w:space="0" w:color="auto"/>
                        <w:right w:val="none" w:sz="0" w:space="0" w:color="auto"/>
                      </w:divBdr>
                    </w:div>
                  </w:divsChild>
                </w:div>
                <w:div w:id="1393964384">
                  <w:marLeft w:val="0"/>
                  <w:marRight w:val="0"/>
                  <w:marTop w:val="0"/>
                  <w:marBottom w:val="0"/>
                  <w:divBdr>
                    <w:top w:val="none" w:sz="0" w:space="0" w:color="auto"/>
                    <w:left w:val="none" w:sz="0" w:space="0" w:color="auto"/>
                    <w:bottom w:val="none" w:sz="0" w:space="0" w:color="auto"/>
                    <w:right w:val="none" w:sz="0" w:space="0" w:color="auto"/>
                  </w:divBdr>
                  <w:divsChild>
                    <w:div w:id="1224876517">
                      <w:marLeft w:val="0"/>
                      <w:marRight w:val="0"/>
                      <w:marTop w:val="0"/>
                      <w:marBottom w:val="0"/>
                      <w:divBdr>
                        <w:top w:val="none" w:sz="0" w:space="0" w:color="auto"/>
                        <w:left w:val="none" w:sz="0" w:space="0" w:color="auto"/>
                        <w:bottom w:val="none" w:sz="0" w:space="0" w:color="auto"/>
                        <w:right w:val="none" w:sz="0" w:space="0" w:color="auto"/>
                      </w:divBdr>
                    </w:div>
                  </w:divsChild>
                </w:div>
                <w:div w:id="1439057601">
                  <w:marLeft w:val="0"/>
                  <w:marRight w:val="0"/>
                  <w:marTop w:val="0"/>
                  <w:marBottom w:val="0"/>
                  <w:divBdr>
                    <w:top w:val="none" w:sz="0" w:space="0" w:color="auto"/>
                    <w:left w:val="none" w:sz="0" w:space="0" w:color="auto"/>
                    <w:bottom w:val="none" w:sz="0" w:space="0" w:color="auto"/>
                    <w:right w:val="none" w:sz="0" w:space="0" w:color="auto"/>
                  </w:divBdr>
                  <w:divsChild>
                    <w:div w:id="1578132383">
                      <w:marLeft w:val="0"/>
                      <w:marRight w:val="0"/>
                      <w:marTop w:val="0"/>
                      <w:marBottom w:val="0"/>
                      <w:divBdr>
                        <w:top w:val="none" w:sz="0" w:space="0" w:color="auto"/>
                        <w:left w:val="none" w:sz="0" w:space="0" w:color="auto"/>
                        <w:bottom w:val="none" w:sz="0" w:space="0" w:color="auto"/>
                        <w:right w:val="none" w:sz="0" w:space="0" w:color="auto"/>
                      </w:divBdr>
                    </w:div>
                    <w:div w:id="1578437451">
                      <w:marLeft w:val="0"/>
                      <w:marRight w:val="0"/>
                      <w:marTop w:val="0"/>
                      <w:marBottom w:val="0"/>
                      <w:divBdr>
                        <w:top w:val="none" w:sz="0" w:space="0" w:color="auto"/>
                        <w:left w:val="none" w:sz="0" w:space="0" w:color="auto"/>
                        <w:bottom w:val="none" w:sz="0" w:space="0" w:color="auto"/>
                        <w:right w:val="none" w:sz="0" w:space="0" w:color="auto"/>
                      </w:divBdr>
                    </w:div>
                  </w:divsChild>
                </w:div>
                <w:div w:id="1620144540">
                  <w:marLeft w:val="0"/>
                  <w:marRight w:val="0"/>
                  <w:marTop w:val="0"/>
                  <w:marBottom w:val="0"/>
                  <w:divBdr>
                    <w:top w:val="none" w:sz="0" w:space="0" w:color="auto"/>
                    <w:left w:val="none" w:sz="0" w:space="0" w:color="auto"/>
                    <w:bottom w:val="none" w:sz="0" w:space="0" w:color="auto"/>
                    <w:right w:val="none" w:sz="0" w:space="0" w:color="auto"/>
                  </w:divBdr>
                  <w:divsChild>
                    <w:div w:id="419764345">
                      <w:marLeft w:val="0"/>
                      <w:marRight w:val="0"/>
                      <w:marTop w:val="0"/>
                      <w:marBottom w:val="0"/>
                      <w:divBdr>
                        <w:top w:val="none" w:sz="0" w:space="0" w:color="auto"/>
                        <w:left w:val="none" w:sz="0" w:space="0" w:color="auto"/>
                        <w:bottom w:val="none" w:sz="0" w:space="0" w:color="auto"/>
                        <w:right w:val="none" w:sz="0" w:space="0" w:color="auto"/>
                      </w:divBdr>
                    </w:div>
                  </w:divsChild>
                </w:div>
                <w:div w:id="1785539217">
                  <w:marLeft w:val="0"/>
                  <w:marRight w:val="0"/>
                  <w:marTop w:val="0"/>
                  <w:marBottom w:val="0"/>
                  <w:divBdr>
                    <w:top w:val="none" w:sz="0" w:space="0" w:color="auto"/>
                    <w:left w:val="none" w:sz="0" w:space="0" w:color="auto"/>
                    <w:bottom w:val="none" w:sz="0" w:space="0" w:color="auto"/>
                    <w:right w:val="none" w:sz="0" w:space="0" w:color="auto"/>
                  </w:divBdr>
                  <w:divsChild>
                    <w:div w:id="1682002375">
                      <w:marLeft w:val="0"/>
                      <w:marRight w:val="0"/>
                      <w:marTop w:val="0"/>
                      <w:marBottom w:val="0"/>
                      <w:divBdr>
                        <w:top w:val="none" w:sz="0" w:space="0" w:color="auto"/>
                        <w:left w:val="none" w:sz="0" w:space="0" w:color="auto"/>
                        <w:bottom w:val="none" w:sz="0" w:space="0" w:color="auto"/>
                        <w:right w:val="none" w:sz="0" w:space="0" w:color="auto"/>
                      </w:divBdr>
                    </w:div>
                  </w:divsChild>
                </w:div>
                <w:div w:id="1874032042">
                  <w:marLeft w:val="0"/>
                  <w:marRight w:val="0"/>
                  <w:marTop w:val="0"/>
                  <w:marBottom w:val="0"/>
                  <w:divBdr>
                    <w:top w:val="none" w:sz="0" w:space="0" w:color="auto"/>
                    <w:left w:val="none" w:sz="0" w:space="0" w:color="auto"/>
                    <w:bottom w:val="none" w:sz="0" w:space="0" w:color="auto"/>
                    <w:right w:val="none" w:sz="0" w:space="0" w:color="auto"/>
                  </w:divBdr>
                  <w:divsChild>
                    <w:div w:id="1346664389">
                      <w:marLeft w:val="0"/>
                      <w:marRight w:val="0"/>
                      <w:marTop w:val="0"/>
                      <w:marBottom w:val="0"/>
                      <w:divBdr>
                        <w:top w:val="none" w:sz="0" w:space="0" w:color="auto"/>
                        <w:left w:val="none" w:sz="0" w:space="0" w:color="auto"/>
                        <w:bottom w:val="none" w:sz="0" w:space="0" w:color="auto"/>
                        <w:right w:val="none" w:sz="0" w:space="0" w:color="auto"/>
                      </w:divBdr>
                    </w:div>
                  </w:divsChild>
                </w:div>
                <w:div w:id="1896239809">
                  <w:marLeft w:val="0"/>
                  <w:marRight w:val="0"/>
                  <w:marTop w:val="0"/>
                  <w:marBottom w:val="0"/>
                  <w:divBdr>
                    <w:top w:val="none" w:sz="0" w:space="0" w:color="auto"/>
                    <w:left w:val="none" w:sz="0" w:space="0" w:color="auto"/>
                    <w:bottom w:val="none" w:sz="0" w:space="0" w:color="auto"/>
                    <w:right w:val="none" w:sz="0" w:space="0" w:color="auto"/>
                  </w:divBdr>
                  <w:divsChild>
                    <w:div w:id="3856396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2491009">
          <w:marLeft w:val="0"/>
          <w:marRight w:val="0"/>
          <w:marTop w:val="0"/>
          <w:marBottom w:val="0"/>
          <w:divBdr>
            <w:top w:val="none" w:sz="0" w:space="0" w:color="auto"/>
            <w:left w:val="none" w:sz="0" w:space="0" w:color="auto"/>
            <w:bottom w:val="none" w:sz="0" w:space="0" w:color="auto"/>
            <w:right w:val="none" w:sz="0" w:space="0" w:color="auto"/>
          </w:divBdr>
        </w:div>
        <w:div w:id="1638532409">
          <w:marLeft w:val="0"/>
          <w:marRight w:val="0"/>
          <w:marTop w:val="0"/>
          <w:marBottom w:val="0"/>
          <w:divBdr>
            <w:top w:val="none" w:sz="0" w:space="0" w:color="auto"/>
            <w:left w:val="none" w:sz="0" w:space="0" w:color="auto"/>
            <w:bottom w:val="none" w:sz="0" w:space="0" w:color="auto"/>
            <w:right w:val="none" w:sz="0" w:space="0" w:color="auto"/>
          </w:divBdr>
        </w:div>
        <w:div w:id="1668825297">
          <w:marLeft w:val="0"/>
          <w:marRight w:val="0"/>
          <w:marTop w:val="0"/>
          <w:marBottom w:val="0"/>
          <w:divBdr>
            <w:top w:val="none" w:sz="0" w:space="0" w:color="auto"/>
            <w:left w:val="none" w:sz="0" w:space="0" w:color="auto"/>
            <w:bottom w:val="none" w:sz="0" w:space="0" w:color="auto"/>
            <w:right w:val="none" w:sz="0" w:space="0" w:color="auto"/>
          </w:divBdr>
        </w:div>
        <w:div w:id="1672679863">
          <w:marLeft w:val="0"/>
          <w:marRight w:val="0"/>
          <w:marTop w:val="0"/>
          <w:marBottom w:val="0"/>
          <w:divBdr>
            <w:top w:val="none" w:sz="0" w:space="0" w:color="auto"/>
            <w:left w:val="none" w:sz="0" w:space="0" w:color="auto"/>
            <w:bottom w:val="none" w:sz="0" w:space="0" w:color="auto"/>
            <w:right w:val="none" w:sz="0" w:space="0" w:color="auto"/>
          </w:divBdr>
        </w:div>
        <w:div w:id="1694109704">
          <w:marLeft w:val="0"/>
          <w:marRight w:val="0"/>
          <w:marTop w:val="0"/>
          <w:marBottom w:val="0"/>
          <w:divBdr>
            <w:top w:val="none" w:sz="0" w:space="0" w:color="auto"/>
            <w:left w:val="none" w:sz="0" w:space="0" w:color="auto"/>
            <w:bottom w:val="none" w:sz="0" w:space="0" w:color="auto"/>
            <w:right w:val="none" w:sz="0" w:space="0" w:color="auto"/>
          </w:divBdr>
        </w:div>
        <w:div w:id="1791318772">
          <w:marLeft w:val="0"/>
          <w:marRight w:val="0"/>
          <w:marTop w:val="0"/>
          <w:marBottom w:val="0"/>
          <w:divBdr>
            <w:top w:val="none" w:sz="0" w:space="0" w:color="auto"/>
            <w:left w:val="none" w:sz="0" w:space="0" w:color="auto"/>
            <w:bottom w:val="none" w:sz="0" w:space="0" w:color="auto"/>
            <w:right w:val="none" w:sz="0" w:space="0" w:color="auto"/>
          </w:divBdr>
        </w:div>
        <w:div w:id="1814251553">
          <w:marLeft w:val="0"/>
          <w:marRight w:val="0"/>
          <w:marTop w:val="0"/>
          <w:marBottom w:val="0"/>
          <w:divBdr>
            <w:top w:val="none" w:sz="0" w:space="0" w:color="auto"/>
            <w:left w:val="none" w:sz="0" w:space="0" w:color="auto"/>
            <w:bottom w:val="none" w:sz="0" w:space="0" w:color="auto"/>
            <w:right w:val="none" w:sz="0" w:space="0" w:color="auto"/>
          </w:divBdr>
        </w:div>
        <w:div w:id="1836526458">
          <w:marLeft w:val="0"/>
          <w:marRight w:val="0"/>
          <w:marTop w:val="0"/>
          <w:marBottom w:val="0"/>
          <w:divBdr>
            <w:top w:val="none" w:sz="0" w:space="0" w:color="auto"/>
            <w:left w:val="none" w:sz="0" w:space="0" w:color="auto"/>
            <w:bottom w:val="none" w:sz="0" w:space="0" w:color="auto"/>
            <w:right w:val="none" w:sz="0" w:space="0" w:color="auto"/>
          </w:divBdr>
          <w:divsChild>
            <w:div w:id="252974095">
              <w:marLeft w:val="0"/>
              <w:marRight w:val="0"/>
              <w:marTop w:val="0"/>
              <w:marBottom w:val="0"/>
              <w:divBdr>
                <w:top w:val="none" w:sz="0" w:space="0" w:color="auto"/>
                <w:left w:val="none" w:sz="0" w:space="0" w:color="auto"/>
                <w:bottom w:val="none" w:sz="0" w:space="0" w:color="auto"/>
                <w:right w:val="none" w:sz="0" w:space="0" w:color="auto"/>
              </w:divBdr>
            </w:div>
            <w:div w:id="465974370">
              <w:marLeft w:val="0"/>
              <w:marRight w:val="0"/>
              <w:marTop w:val="0"/>
              <w:marBottom w:val="0"/>
              <w:divBdr>
                <w:top w:val="none" w:sz="0" w:space="0" w:color="auto"/>
                <w:left w:val="none" w:sz="0" w:space="0" w:color="auto"/>
                <w:bottom w:val="none" w:sz="0" w:space="0" w:color="auto"/>
                <w:right w:val="none" w:sz="0" w:space="0" w:color="auto"/>
              </w:divBdr>
            </w:div>
            <w:div w:id="762535188">
              <w:marLeft w:val="0"/>
              <w:marRight w:val="0"/>
              <w:marTop w:val="0"/>
              <w:marBottom w:val="0"/>
              <w:divBdr>
                <w:top w:val="none" w:sz="0" w:space="0" w:color="auto"/>
                <w:left w:val="none" w:sz="0" w:space="0" w:color="auto"/>
                <w:bottom w:val="none" w:sz="0" w:space="0" w:color="auto"/>
                <w:right w:val="none" w:sz="0" w:space="0" w:color="auto"/>
              </w:divBdr>
            </w:div>
            <w:div w:id="1153059618">
              <w:marLeft w:val="0"/>
              <w:marRight w:val="0"/>
              <w:marTop w:val="0"/>
              <w:marBottom w:val="0"/>
              <w:divBdr>
                <w:top w:val="none" w:sz="0" w:space="0" w:color="auto"/>
                <w:left w:val="none" w:sz="0" w:space="0" w:color="auto"/>
                <w:bottom w:val="none" w:sz="0" w:space="0" w:color="auto"/>
                <w:right w:val="none" w:sz="0" w:space="0" w:color="auto"/>
              </w:divBdr>
            </w:div>
            <w:div w:id="1513228375">
              <w:marLeft w:val="0"/>
              <w:marRight w:val="0"/>
              <w:marTop w:val="0"/>
              <w:marBottom w:val="0"/>
              <w:divBdr>
                <w:top w:val="none" w:sz="0" w:space="0" w:color="auto"/>
                <w:left w:val="none" w:sz="0" w:space="0" w:color="auto"/>
                <w:bottom w:val="none" w:sz="0" w:space="0" w:color="auto"/>
                <w:right w:val="none" w:sz="0" w:space="0" w:color="auto"/>
              </w:divBdr>
            </w:div>
          </w:divsChild>
        </w:div>
        <w:div w:id="1916237550">
          <w:marLeft w:val="0"/>
          <w:marRight w:val="0"/>
          <w:marTop w:val="0"/>
          <w:marBottom w:val="0"/>
          <w:divBdr>
            <w:top w:val="none" w:sz="0" w:space="0" w:color="auto"/>
            <w:left w:val="none" w:sz="0" w:space="0" w:color="auto"/>
            <w:bottom w:val="none" w:sz="0" w:space="0" w:color="auto"/>
            <w:right w:val="none" w:sz="0" w:space="0" w:color="auto"/>
          </w:divBdr>
        </w:div>
        <w:div w:id="1919947877">
          <w:marLeft w:val="0"/>
          <w:marRight w:val="0"/>
          <w:marTop w:val="0"/>
          <w:marBottom w:val="0"/>
          <w:divBdr>
            <w:top w:val="none" w:sz="0" w:space="0" w:color="auto"/>
            <w:left w:val="none" w:sz="0" w:space="0" w:color="auto"/>
            <w:bottom w:val="none" w:sz="0" w:space="0" w:color="auto"/>
            <w:right w:val="none" w:sz="0" w:space="0" w:color="auto"/>
          </w:divBdr>
          <w:divsChild>
            <w:div w:id="524707673">
              <w:marLeft w:val="0"/>
              <w:marRight w:val="0"/>
              <w:marTop w:val="0"/>
              <w:marBottom w:val="0"/>
              <w:divBdr>
                <w:top w:val="none" w:sz="0" w:space="0" w:color="auto"/>
                <w:left w:val="none" w:sz="0" w:space="0" w:color="auto"/>
                <w:bottom w:val="none" w:sz="0" w:space="0" w:color="auto"/>
                <w:right w:val="none" w:sz="0" w:space="0" w:color="auto"/>
              </w:divBdr>
            </w:div>
            <w:div w:id="1192113255">
              <w:marLeft w:val="0"/>
              <w:marRight w:val="0"/>
              <w:marTop w:val="0"/>
              <w:marBottom w:val="0"/>
              <w:divBdr>
                <w:top w:val="none" w:sz="0" w:space="0" w:color="auto"/>
                <w:left w:val="none" w:sz="0" w:space="0" w:color="auto"/>
                <w:bottom w:val="none" w:sz="0" w:space="0" w:color="auto"/>
                <w:right w:val="none" w:sz="0" w:space="0" w:color="auto"/>
              </w:divBdr>
            </w:div>
            <w:div w:id="1477457551">
              <w:marLeft w:val="0"/>
              <w:marRight w:val="0"/>
              <w:marTop w:val="0"/>
              <w:marBottom w:val="0"/>
              <w:divBdr>
                <w:top w:val="none" w:sz="0" w:space="0" w:color="auto"/>
                <w:left w:val="none" w:sz="0" w:space="0" w:color="auto"/>
                <w:bottom w:val="none" w:sz="0" w:space="0" w:color="auto"/>
                <w:right w:val="none" w:sz="0" w:space="0" w:color="auto"/>
              </w:divBdr>
            </w:div>
            <w:div w:id="1905212490">
              <w:marLeft w:val="0"/>
              <w:marRight w:val="0"/>
              <w:marTop w:val="0"/>
              <w:marBottom w:val="0"/>
              <w:divBdr>
                <w:top w:val="none" w:sz="0" w:space="0" w:color="auto"/>
                <w:left w:val="none" w:sz="0" w:space="0" w:color="auto"/>
                <w:bottom w:val="none" w:sz="0" w:space="0" w:color="auto"/>
                <w:right w:val="none" w:sz="0" w:space="0" w:color="auto"/>
              </w:divBdr>
            </w:div>
            <w:div w:id="1960529064">
              <w:marLeft w:val="0"/>
              <w:marRight w:val="0"/>
              <w:marTop w:val="0"/>
              <w:marBottom w:val="0"/>
              <w:divBdr>
                <w:top w:val="none" w:sz="0" w:space="0" w:color="auto"/>
                <w:left w:val="none" w:sz="0" w:space="0" w:color="auto"/>
                <w:bottom w:val="none" w:sz="0" w:space="0" w:color="auto"/>
                <w:right w:val="none" w:sz="0" w:space="0" w:color="auto"/>
              </w:divBdr>
            </w:div>
          </w:divsChild>
        </w:div>
        <w:div w:id="1932930429">
          <w:marLeft w:val="0"/>
          <w:marRight w:val="0"/>
          <w:marTop w:val="0"/>
          <w:marBottom w:val="0"/>
          <w:divBdr>
            <w:top w:val="none" w:sz="0" w:space="0" w:color="auto"/>
            <w:left w:val="none" w:sz="0" w:space="0" w:color="auto"/>
            <w:bottom w:val="none" w:sz="0" w:space="0" w:color="auto"/>
            <w:right w:val="none" w:sz="0" w:space="0" w:color="auto"/>
          </w:divBdr>
        </w:div>
        <w:div w:id="1963534490">
          <w:marLeft w:val="0"/>
          <w:marRight w:val="0"/>
          <w:marTop w:val="0"/>
          <w:marBottom w:val="0"/>
          <w:divBdr>
            <w:top w:val="none" w:sz="0" w:space="0" w:color="auto"/>
            <w:left w:val="none" w:sz="0" w:space="0" w:color="auto"/>
            <w:bottom w:val="none" w:sz="0" w:space="0" w:color="auto"/>
            <w:right w:val="none" w:sz="0" w:space="0" w:color="auto"/>
          </w:divBdr>
        </w:div>
        <w:div w:id="1966614619">
          <w:marLeft w:val="0"/>
          <w:marRight w:val="0"/>
          <w:marTop w:val="0"/>
          <w:marBottom w:val="0"/>
          <w:divBdr>
            <w:top w:val="none" w:sz="0" w:space="0" w:color="auto"/>
            <w:left w:val="none" w:sz="0" w:space="0" w:color="auto"/>
            <w:bottom w:val="none" w:sz="0" w:space="0" w:color="auto"/>
            <w:right w:val="none" w:sz="0" w:space="0" w:color="auto"/>
          </w:divBdr>
          <w:divsChild>
            <w:div w:id="152644634">
              <w:marLeft w:val="0"/>
              <w:marRight w:val="0"/>
              <w:marTop w:val="0"/>
              <w:marBottom w:val="0"/>
              <w:divBdr>
                <w:top w:val="none" w:sz="0" w:space="0" w:color="auto"/>
                <w:left w:val="none" w:sz="0" w:space="0" w:color="auto"/>
                <w:bottom w:val="none" w:sz="0" w:space="0" w:color="auto"/>
                <w:right w:val="none" w:sz="0" w:space="0" w:color="auto"/>
              </w:divBdr>
            </w:div>
            <w:div w:id="293171294">
              <w:marLeft w:val="0"/>
              <w:marRight w:val="0"/>
              <w:marTop w:val="0"/>
              <w:marBottom w:val="0"/>
              <w:divBdr>
                <w:top w:val="none" w:sz="0" w:space="0" w:color="auto"/>
                <w:left w:val="none" w:sz="0" w:space="0" w:color="auto"/>
                <w:bottom w:val="none" w:sz="0" w:space="0" w:color="auto"/>
                <w:right w:val="none" w:sz="0" w:space="0" w:color="auto"/>
              </w:divBdr>
            </w:div>
            <w:div w:id="1193155926">
              <w:marLeft w:val="0"/>
              <w:marRight w:val="0"/>
              <w:marTop w:val="0"/>
              <w:marBottom w:val="0"/>
              <w:divBdr>
                <w:top w:val="none" w:sz="0" w:space="0" w:color="auto"/>
                <w:left w:val="none" w:sz="0" w:space="0" w:color="auto"/>
                <w:bottom w:val="none" w:sz="0" w:space="0" w:color="auto"/>
                <w:right w:val="none" w:sz="0" w:space="0" w:color="auto"/>
              </w:divBdr>
            </w:div>
            <w:div w:id="1375154655">
              <w:marLeft w:val="0"/>
              <w:marRight w:val="0"/>
              <w:marTop w:val="0"/>
              <w:marBottom w:val="0"/>
              <w:divBdr>
                <w:top w:val="none" w:sz="0" w:space="0" w:color="auto"/>
                <w:left w:val="none" w:sz="0" w:space="0" w:color="auto"/>
                <w:bottom w:val="none" w:sz="0" w:space="0" w:color="auto"/>
                <w:right w:val="none" w:sz="0" w:space="0" w:color="auto"/>
              </w:divBdr>
            </w:div>
            <w:div w:id="1745906066">
              <w:marLeft w:val="0"/>
              <w:marRight w:val="0"/>
              <w:marTop w:val="0"/>
              <w:marBottom w:val="0"/>
              <w:divBdr>
                <w:top w:val="none" w:sz="0" w:space="0" w:color="auto"/>
                <w:left w:val="none" w:sz="0" w:space="0" w:color="auto"/>
                <w:bottom w:val="none" w:sz="0" w:space="0" w:color="auto"/>
                <w:right w:val="none" w:sz="0" w:space="0" w:color="auto"/>
              </w:divBdr>
            </w:div>
          </w:divsChild>
        </w:div>
        <w:div w:id="2033648475">
          <w:marLeft w:val="0"/>
          <w:marRight w:val="0"/>
          <w:marTop w:val="0"/>
          <w:marBottom w:val="0"/>
          <w:divBdr>
            <w:top w:val="none" w:sz="0" w:space="0" w:color="auto"/>
            <w:left w:val="none" w:sz="0" w:space="0" w:color="auto"/>
            <w:bottom w:val="none" w:sz="0" w:space="0" w:color="auto"/>
            <w:right w:val="none" w:sz="0" w:space="0" w:color="auto"/>
          </w:divBdr>
        </w:div>
        <w:div w:id="2036272205">
          <w:marLeft w:val="0"/>
          <w:marRight w:val="0"/>
          <w:marTop w:val="0"/>
          <w:marBottom w:val="0"/>
          <w:divBdr>
            <w:top w:val="none" w:sz="0" w:space="0" w:color="auto"/>
            <w:left w:val="none" w:sz="0" w:space="0" w:color="auto"/>
            <w:bottom w:val="none" w:sz="0" w:space="0" w:color="auto"/>
            <w:right w:val="none" w:sz="0" w:space="0" w:color="auto"/>
          </w:divBdr>
        </w:div>
        <w:div w:id="2075656958">
          <w:marLeft w:val="0"/>
          <w:marRight w:val="0"/>
          <w:marTop w:val="0"/>
          <w:marBottom w:val="0"/>
          <w:divBdr>
            <w:top w:val="none" w:sz="0" w:space="0" w:color="auto"/>
            <w:left w:val="none" w:sz="0" w:space="0" w:color="auto"/>
            <w:bottom w:val="none" w:sz="0" w:space="0" w:color="auto"/>
            <w:right w:val="none" w:sz="0" w:space="0" w:color="auto"/>
          </w:divBdr>
        </w:div>
        <w:div w:id="2092659859">
          <w:marLeft w:val="0"/>
          <w:marRight w:val="0"/>
          <w:marTop w:val="0"/>
          <w:marBottom w:val="0"/>
          <w:divBdr>
            <w:top w:val="none" w:sz="0" w:space="0" w:color="auto"/>
            <w:left w:val="none" w:sz="0" w:space="0" w:color="auto"/>
            <w:bottom w:val="none" w:sz="0" w:space="0" w:color="auto"/>
            <w:right w:val="none" w:sz="0" w:space="0" w:color="auto"/>
          </w:divBdr>
        </w:div>
        <w:div w:id="2095541977">
          <w:marLeft w:val="0"/>
          <w:marRight w:val="0"/>
          <w:marTop w:val="0"/>
          <w:marBottom w:val="0"/>
          <w:divBdr>
            <w:top w:val="none" w:sz="0" w:space="0" w:color="auto"/>
            <w:left w:val="none" w:sz="0" w:space="0" w:color="auto"/>
            <w:bottom w:val="none" w:sz="0" w:space="0" w:color="auto"/>
            <w:right w:val="none" w:sz="0" w:space="0" w:color="auto"/>
          </w:divBdr>
          <w:divsChild>
            <w:div w:id="1488938398">
              <w:marLeft w:val="-75"/>
              <w:marRight w:val="0"/>
              <w:marTop w:val="30"/>
              <w:marBottom w:val="30"/>
              <w:divBdr>
                <w:top w:val="none" w:sz="0" w:space="0" w:color="auto"/>
                <w:left w:val="none" w:sz="0" w:space="0" w:color="auto"/>
                <w:bottom w:val="none" w:sz="0" w:space="0" w:color="auto"/>
                <w:right w:val="none" w:sz="0" w:space="0" w:color="auto"/>
              </w:divBdr>
              <w:divsChild>
                <w:div w:id="231042282">
                  <w:marLeft w:val="0"/>
                  <w:marRight w:val="0"/>
                  <w:marTop w:val="0"/>
                  <w:marBottom w:val="0"/>
                  <w:divBdr>
                    <w:top w:val="none" w:sz="0" w:space="0" w:color="auto"/>
                    <w:left w:val="none" w:sz="0" w:space="0" w:color="auto"/>
                    <w:bottom w:val="none" w:sz="0" w:space="0" w:color="auto"/>
                    <w:right w:val="none" w:sz="0" w:space="0" w:color="auto"/>
                  </w:divBdr>
                  <w:divsChild>
                    <w:div w:id="1200582818">
                      <w:marLeft w:val="0"/>
                      <w:marRight w:val="0"/>
                      <w:marTop w:val="0"/>
                      <w:marBottom w:val="0"/>
                      <w:divBdr>
                        <w:top w:val="none" w:sz="0" w:space="0" w:color="auto"/>
                        <w:left w:val="none" w:sz="0" w:space="0" w:color="auto"/>
                        <w:bottom w:val="none" w:sz="0" w:space="0" w:color="auto"/>
                        <w:right w:val="none" w:sz="0" w:space="0" w:color="auto"/>
                      </w:divBdr>
                    </w:div>
                  </w:divsChild>
                </w:div>
                <w:div w:id="233929418">
                  <w:marLeft w:val="0"/>
                  <w:marRight w:val="0"/>
                  <w:marTop w:val="0"/>
                  <w:marBottom w:val="0"/>
                  <w:divBdr>
                    <w:top w:val="none" w:sz="0" w:space="0" w:color="auto"/>
                    <w:left w:val="none" w:sz="0" w:space="0" w:color="auto"/>
                    <w:bottom w:val="none" w:sz="0" w:space="0" w:color="auto"/>
                    <w:right w:val="none" w:sz="0" w:space="0" w:color="auto"/>
                  </w:divBdr>
                  <w:divsChild>
                    <w:div w:id="193542531">
                      <w:marLeft w:val="0"/>
                      <w:marRight w:val="0"/>
                      <w:marTop w:val="0"/>
                      <w:marBottom w:val="0"/>
                      <w:divBdr>
                        <w:top w:val="none" w:sz="0" w:space="0" w:color="auto"/>
                        <w:left w:val="none" w:sz="0" w:space="0" w:color="auto"/>
                        <w:bottom w:val="none" w:sz="0" w:space="0" w:color="auto"/>
                        <w:right w:val="none" w:sz="0" w:space="0" w:color="auto"/>
                      </w:divBdr>
                    </w:div>
                    <w:div w:id="2029217062">
                      <w:marLeft w:val="0"/>
                      <w:marRight w:val="0"/>
                      <w:marTop w:val="0"/>
                      <w:marBottom w:val="0"/>
                      <w:divBdr>
                        <w:top w:val="none" w:sz="0" w:space="0" w:color="auto"/>
                        <w:left w:val="none" w:sz="0" w:space="0" w:color="auto"/>
                        <w:bottom w:val="none" w:sz="0" w:space="0" w:color="auto"/>
                        <w:right w:val="none" w:sz="0" w:space="0" w:color="auto"/>
                      </w:divBdr>
                    </w:div>
                  </w:divsChild>
                </w:div>
                <w:div w:id="283007184">
                  <w:marLeft w:val="0"/>
                  <w:marRight w:val="0"/>
                  <w:marTop w:val="0"/>
                  <w:marBottom w:val="0"/>
                  <w:divBdr>
                    <w:top w:val="none" w:sz="0" w:space="0" w:color="auto"/>
                    <w:left w:val="none" w:sz="0" w:space="0" w:color="auto"/>
                    <w:bottom w:val="none" w:sz="0" w:space="0" w:color="auto"/>
                    <w:right w:val="none" w:sz="0" w:space="0" w:color="auto"/>
                  </w:divBdr>
                  <w:divsChild>
                    <w:div w:id="928538327">
                      <w:marLeft w:val="0"/>
                      <w:marRight w:val="0"/>
                      <w:marTop w:val="0"/>
                      <w:marBottom w:val="0"/>
                      <w:divBdr>
                        <w:top w:val="none" w:sz="0" w:space="0" w:color="auto"/>
                        <w:left w:val="none" w:sz="0" w:space="0" w:color="auto"/>
                        <w:bottom w:val="none" w:sz="0" w:space="0" w:color="auto"/>
                        <w:right w:val="none" w:sz="0" w:space="0" w:color="auto"/>
                      </w:divBdr>
                    </w:div>
                  </w:divsChild>
                </w:div>
                <w:div w:id="344208591">
                  <w:marLeft w:val="0"/>
                  <w:marRight w:val="0"/>
                  <w:marTop w:val="0"/>
                  <w:marBottom w:val="0"/>
                  <w:divBdr>
                    <w:top w:val="none" w:sz="0" w:space="0" w:color="auto"/>
                    <w:left w:val="none" w:sz="0" w:space="0" w:color="auto"/>
                    <w:bottom w:val="none" w:sz="0" w:space="0" w:color="auto"/>
                    <w:right w:val="none" w:sz="0" w:space="0" w:color="auto"/>
                  </w:divBdr>
                  <w:divsChild>
                    <w:div w:id="1723020549">
                      <w:marLeft w:val="0"/>
                      <w:marRight w:val="0"/>
                      <w:marTop w:val="0"/>
                      <w:marBottom w:val="0"/>
                      <w:divBdr>
                        <w:top w:val="none" w:sz="0" w:space="0" w:color="auto"/>
                        <w:left w:val="none" w:sz="0" w:space="0" w:color="auto"/>
                        <w:bottom w:val="none" w:sz="0" w:space="0" w:color="auto"/>
                        <w:right w:val="none" w:sz="0" w:space="0" w:color="auto"/>
                      </w:divBdr>
                    </w:div>
                  </w:divsChild>
                </w:div>
                <w:div w:id="431166015">
                  <w:marLeft w:val="0"/>
                  <w:marRight w:val="0"/>
                  <w:marTop w:val="0"/>
                  <w:marBottom w:val="0"/>
                  <w:divBdr>
                    <w:top w:val="none" w:sz="0" w:space="0" w:color="auto"/>
                    <w:left w:val="none" w:sz="0" w:space="0" w:color="auto"/>
                    <w:bottom w:val="none" w:sz="0" w:space="0" w:color="auto"/>
                    <w:right w:val="none" w:sz="0" w:space="0" w:color="auto"/>
                  </w:divBdr>
                  <w:divsChild>
                    <w:div w:id="63383742">
                      <w:marLeft w:val="0"/>
                      <w:marRight w:val="0"/>
                      <w:marTop w:val="0"/>
                      <w:marBottom w:val="0"/>
                      <w:divBdr>
                        <w:top w:val="none" w:sz="0" w:space="0" w:color="auto"/>
                        <w:left w:val="none" w:sz="0" w:space="0" w:color="auto"/>
                        <w:bottom w:val="none" w:sz="0" w:space="0" w:color="auto"/>
                        <w:right w:val="none" w:sz="0" w:space="0" w:color="auto"/>
                      </w:divBdr>
                    </w:div>
                  </w:divsChild>
                </w:div>
                <w:div w:id="1080567943">
                  <w:marLeft w:val="0"/>
                  <w:marRight w:val="0"/>
                  <w:marTop w:val="0"/>
                  <w:marBottom w:val="0"/>
                  <w:divBdr>
                    <w:top w:val="none" w:sz="0" w:space="0" w:color="auto"/>
                    <w:left w:val="none" w:sz="0" w:space="0" w:color="auto"/>
                    <w:bottom w:val="none" w:sz="0" w:space="0" w:color="auto"/>
                    <w:right w:val="none" w:sz="0" w:space="0" w:color="auto"/>
                  </w:divBdr>
                  <w:divsChild>
                    <w:div w:id="539319864">
                      <w:marLeft w:val="0"/>
                      <w:marRight w:val="0"/>
                      <w:marTop w:val="0"/>
                      <w:marBottom w:val="0"/>
                      <w:divBdr>
                        <w:top w:val="none" w:sz="0" w:space="0" w:color="auto"/>
                        <w:left w:val="none" w:sz="0" w:space="0" w:color="auto"/>
                        <w:bottom w:val="none" w:sz="0" w:space="0" w:color="auto"/>
                        <w:right w:val="none" w:sz="0" w:space="0" w:color="auto"/>
                      </w:divBdr>
                    </w:div>
                    <w:div w:id="11126249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20836280">
          <w:marLeft w:val="0"/>
          <w:marRight w:val="0"/>
          <w:marTop w:val="0"/>
          <w:marBottom w:val="0"/>
          <w:divBdr>
            <w:top w:val="none" w:sz="0" w:space="0" w:color="auto"/>
            <w:left w:val="none" w:sz="0" w:space="0" w:color="auto"/>
            <w:bottom w:val="none" w:sz="0" w:space="0" w:color="auto"/>
            <w:right w:val="none" w:sz="0" w:space="0" w:color="auto"/>
          </w:divBdr>
        </w:div>
      </w:divsChild>
    </w:div>
    <w:div w:id="1312372117">
      <w:bodyDiv w:val="1"/>
      <w:marLeft w:val="0"/>
      <w:marRight w:val="0"/>
      <w:marTop w:val="0"/>
      <w:marBottom w:val="0"/>
      <w:divBdr>
        <w:top w:val="none" w:sz="0" w:space="0" w:color="auto"/>
        <w:left w:val="none" w:sz="0" w:space="0" w:color="auto"/>
        <w:bottom w:val="none" w:sz="0" w:space="0" w:color="auto"/>
        <w:right w:val="none" w:sz="0" w:space="0" w:color="auto"/>
      </w:divBdr>
    </w:div>
    <w:div w:id="1330209155">
      <w:bodyDiv w:val="1"/>
      <w:marLeft w:val="0"/>
      <w:marRight w:val="0"/>
      <w:marTop w:val="0"/>
      <w:marBottom w:val="0"/>
      <w:divBdr>
        <w:top w:val="none" w:sz="0" w:space="0" w:color="auto"/>
        <w:left w:val="none" w:sz="0" w:space="0" w:color="auto"/>
        <w:bottom w:val="none" w:sz="0" w:space="0" w:color="auto"/>
        <w:right w:val="none" w:sz="0" w:space="0" w:color="auto"/>
      </w:divBdr>
    </w:div>
    <w:div w:id="1355379568">
      <w:bodyDiv w:val="1"/>
      <w:marLeft w:val="0"/>
      <w:marRight w:val="0"/>
      <w:marTop w:val="0"/>
      <w:marBottom w:val="0"/>
      <w:divBdr>
        <w:top w:val="none" w:sz="0" w:space="0" w:color="auto"/>
        <w:left w:val="none" w:sz="0" w:space="0" w:color="auto"/>
        <w:bottom w:val="none" w:sz="0" w:space="0" w:color="auto"/>
        <w:right w:val="none" w:sz="0" w:space="0" w:color="auto"/>
      </w:divBdr>
    </w:div>
    <w:div w:id="1481850592">
      <w:bodyDiv w:val="1"/>
      <w:marLeft w:val="0"/>
      <w:marRight w:val="0"/>
      <w:marTop w:val="0"/>
      <w:marBottom w:val="0"/>
      <w:divBdr>
        <w:top w:val="none" w:sz="0" w:space="0" w:color="auto"/>
        <w:left w:val="none" w:sz="0" w:space="0" w:color="auto"/>
        <w:bottom w:val="none" w:sz="0" w:space="0" w:color="auto"/>
        <w:right w:val="none" w:sz="0" w:space="0" w:color="auto"/>
      </w:divBdr>
    </w:div>
    <w:div w:id="1849560964">
      <w:bodyDiv w:val="1"/>
      <w:marLeft w:val="0"/>
      <w:marRight w:val="0"/>
      <w:marTop w:val="0"/>
      <w:marBottom w:val="0"/>
      <w:divBdr>
        <w:top w:val="none" w:sz="0" w:space="0" w:color="auto"/>
        <w:left w:val="none" w:sz="0" w:space="0" w:color="auto"/>
        <w:bottom w:val="none" w:sz="0" w:space="0" w:color="auto"/>
        <w:right w:val="none" w:sz="0" w:space="0" w:color="auto"/>
      </w:divBdr>
    </w:div>
    <w:div w:id="2134253827">
      <w:bodyDiv w:val="1"/>
      <w:marLeft w:val="0"/>
      <w:marRight w:val="0"/>
      <w:marTop w:val="0"/>
      <w:marBottom w:val="0"/>
      <w:divBdr>
        <w:top w:val="none" w:sz="0" w:space="0" w:color="auto"/>
        <w:left w:val="none" w:sz="0" w:space="0" w:color="auto"/>
        <w:bottom w:val="none" w:sz="0" w:space="0" w:color="auto"/>
        <w:right w:val="none" w:sz="0" w:space="0" w:color="auto"/>
      </w:divBdr>
    </w:div>
    <w:div w:id="214323356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yperlink" Target="https://formacionvirtual.colombiacompra.gov.co/mod/page/view.php?id=3718" TargetMode="External"/><Relationship Id="rId18" Type="http://schemas.openxmlformats.org/officeDocument/2006/relationships/footer" Target="footer1.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hyperlink" Target="https://relatoria.colombiacompra.gov.co/busqueda/conceptos" TargetMode="External"/><Relationship Id="rId17" Type="http://schemas.openxmlformats.org/officeDocument/2006/relationships/header" Target="header1.xml"/><Relationship Id="rId2" Type="http://schemas.openxmlformats.org/officeDocument/2006/relationships/customXml" Target="../customXml/item2.xml"/><Relationship Id="rId16" Type="http://schemas.openxmlformats.org/officeDocument/2006/relationships/image" Target="media/image3.png"/><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mailto:alejandraherran71@gmail.com" TargetMode="External"/><Relationship Id="rId5" Type="http://schemas.openxmlformats.org/officeDocument/2006/relationships/styles" Target="styles.xml"/><Relationship Id="rId15" Type="http://schemas.openxmlformats.org/officeDocument/2006/relationships/hyperlink" Target="https://www.colombiacompra.gov.co/archivos/manual/guia-para-la-comprension-e-implementacion-de-los-documentos-tipo-de-obra-publica-de-infraestructura-de-transporte-bajo-las-diferentes-modalidades-de-contratacion-vigentes" TargetMode="External"/><Relationship Id="rId10" Type="http://schemas.openxmlformats.org/officeDocument/2006/relationships/image" Target="media/image2.png"/><Relationship Id="rId19"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hyperlink" Target="https://www.colombiacompra.gov.co/normativa-y-relatoria/documentos-tipo" TargetMode="External"/></Relationships>
</file>

<file path=word/_rels/footnotes.xml.rels><?xml version="1.0" encoding="UTF-8" standalone="yes"?>
<Relationships xmlns="http://schemas.openxmlformats.org/package/2006/relationships"><Relationship Id="rId3" Type="http://schemas.openxmlformats.org/officeDocument/2006/relationships/hyperlink" Target="https://www.colombiacompra.gov.co/base-conocimiento/configuracion-de-cuentas-secop-ii" TargetMode="External"/><Relationship Id="rId2" Type="http://schemas.openxmlformats.org/officeDocument/2006/relationships/hyperlink" Target="https://www.colombiacompra.gov.co/base-conocimiento/gestion-contractual-envio-del-contrato-secop-ii" TargetMode="External"/><Relationship Id="rId1" Type="http://schemas.openxmlformats.org/officeDocument/2006/relationships/hyperlink" Target="https://www.colombiacompra.gov.co/node/23710" TargetMode="External"/><Relationship Id="rId5" Type="http://schemas.openxmlformats.org/officeDocument/2006/relationships/hyperlink" Target="https://www.colombiacompra.gov.co/node/30741" TargetMode="External"/><Relationship Id="rId4" Type="http://schemas.openxmlformats.org/officeDocument/2006/relationships/hyperlink" Target="https://www.colombiacompra.gov.co/node/23628" TargetMode="External"/></Relationships>
</file>

<file path=word/_rels/header1.xml.rels><?xml version="1.0" encoding="UTF-8" standalone="yes"?>
<Relationships xmlns="http://schemas.openxmlformats.org/package/2006/relationships"><Relationship Id="rId2" Type="http://schemas.openxmlformats.org/officeDocument/2006/relationships/image" Target="media/image5.png"/><Relationship Id="rId1" Type="http://schemas.openxmlformats.org/officeDocument/2006/relationships/image" Target="media/image4.png"/></Relationships>
</file>

<file path=word/_rels/numbering.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No xmlns="9d85dbaf-23eb-4e57-a637-93dcacc8b1a1" xsi:nil="true"/>
    <TaxCatchAll xmlns="a6cb9e4b-f1d1-4245-83ec-6cad768d538a" xsi:nil="true"/>
    <_Flow_SignoffStatus xmlns="9d85dbaf-23eb-4e57-a637-93dcacc8b1a1" xsi:nil="true"/>
    <lcf76f155ced4ddcb4097134ff3c332f xmlns="9d85dbaf-23eb-4e57-a637-93dcacc8b1a1">
      <Terms xmlns="http://schemas.microsoft.com/office/infopath/2007/PartnerControls"/>
    </lcf76f155ced4ddcb4097134ff3c332f>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o" ma:contentTypeID="0x010100F2E0F32964D9B84EA054B84E5D4157A0" ma:contentTypeVersion="20" ma:contentTypeDescription="Crear nuevo documento." ma:contentTypeScope="" ma:versionID="3aa158c1e2510b50ba9620437d74e4ff">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41aa8ca4bdcfc2e304923d637cfc37a1"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element ref="ns2:MediaLengthInSeconds" minOccurs="0"/>
                <xsd:element ref="ns2:lcf76f155ced4ddcb4097134ff3c332f" minOccurs="0"/>
                <xsd:element ref="ns3:TaxCatchAll" minOccurs="0"/>
                <xsd:element ref="ns2:MediaServiceObjectDetectorVersions" minOccurs="0"/>
                <xsd:element ref="ns2:_Flow_SignoffStatus"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Etiquetas de imagen" ma:readOnly="false" ma:fieldId="{5cf76f15-5ced-4ddc-b409-7134ff3c332f}" ma:taxonomyMulti="true" ma:sspId="d11a0eb6-ad86-4071-a759-4f0356bdcc6a"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_Flow_SignoffStatus" ma:index="25" nillable="true" ma:displayName="Estado de aprobación" ma:internalName="Estado_x0020_de_x0020_aprobaci_x00f3_n">
      <xsd:simpleType>
        <xsd:restriction base="dms:Text"/>
      </xsd:simpleType>
    </xsd:element>
    <xsd:element name="MediaServiceLocation" ma:index="26" nillable="true" ma:displayName="Location" ma:description="" ma:indexed="true" ma:internalName="MediaServiceLocation" ma:readOnly="true">
      <xsd:simpleType>
        <xsd:restriction base="dms:Text"/>
      </xsd:simpleType>
    </xsd:element>
    <xsd:element name="MediaServiceSearchProperties" ma:index="27"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Detalles de uso compartido" ma:internalName="SharedWithDetails" ma:readOnly="true">
      <xsd:simpleType>
        <xsd:restriction base="dms:Note">
          <xsd:maxLength value="255"/>
        </xsd:restriction>
      </xsd:simpleType>
    </xsd:element>
    <xsd:element name="TaxCatchAll" ma:index="23" nillable="true" ma:displayName="Taxonomy Catch All Column" ma:hidden="true" ma:list="{1105a6f2-09f1-4f7d-bab9-e03f1dc4ac6e}" ma:internalName="TaxCatchAll" ma:showField="CatchAllData" ma:web="a6cb9e4b-f1d1-4245-83ec-6cad768d538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163618BE-28CB-4D69-955E-CDA788483BED}">
  <ds:schemaRefs>
    <ds:schemaRef ds:uri="http://schemas.microsoft.com/office/2006/metadata/properties"/>
    <ds:schemaRef ds:uri="http://schemas.microsoft.com/office/infopath/2007/PartnerControls"/>
  </ds:schemaRefs>
</ds:datastoreItem>
</file>

<file path=customXml/itemProps2.xml><?xml version="1.0" encoding="utf-8"?>
<ds:datastoreItem xmlns:ds="http://schemas.openxmlformats.org/officeDocument/2006/customXml" ds:itemID="{19B0637E-D058-473B-8FE7-AA861F69C797}">
  <ds:schemaRefs>
    <ds:schemaRef ds:uri="http://schemas.microsoft.com/sharepoint/v3/contenttype/forms"/>
  </ds:schemaRefs>
</ds:datastoreItem>
</file>

<file path=customXml/itemProps3.xml><?xml version="1.0" encoding="utf-8"?>
<ds:datastoreItem xmlns:ds="http://schemas.openxmlformats.org/officeDocument/2006/customXml" ds:itemID="{D845D778-60CB-4BB6-A634-B35F6E7B7AD0}"/>
</file>

<file path=docMetadata/LabelInfo.xml><?xml version="1.0" encoding="utf-8"?>
<clbl:labelList xmlns:clbl="http://schemas.microsoft.com/office/2020/mipLabelMetadata">
  <clbl:label id="{7b09041e-2451-49d0-8cb1-79d5e3d8c1be}" enabled="0" method="" siteId="{7b09041e-2451-49d0-8cb1-79d5e3d8c1be}" removed="1"/>
</clbl:labelList>
</file>

<file path=docProps/app.xml><?xml version="1.0" encoding="utf-8"?>
<Properties xmlns="http://schemas.openxmlformats.org/officeDocument/2006/extended-properties" xmlns:vt="http://schemas.openxmlformats.org/officeDocument/2006/docPropsVTypes">
  <Template>Normal</Template>
  <TotalTime>7</TotalTime>
  <Pages>16</Pages>
  <Words>5344</Words>
  <Characters>29611</Characters>
  <Application>Microsoft Office Word</Application>
  <DocSecurity>0</DocSecurity>
  <Lines>592</Lines>
  <Paragraphs>122</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34833</CharactersWithSpaces>
  <SharedDoc>false</SharedDoc>
  <HLinks>
    <vt:vector size="60" baseType="variant">
      <vt:variant>
        <vt:i4>5505101</vt:i4>
      </vt:variant>
      <vt:variant>
        <vt:i4>12</vt:i4>
      </vt:variant>
      <vt:variant>
        <vt:i4>0</vt:i4>
      </vt:variant>
      <vt:variant>
        <vt:i4>5</vt:i4>
      </vt:variant>
      <vt:variant>
        <vt:lpwstr>https://www.colombiacompra.gov.co/archivos/manual/guia-para-la-comprension-e-implementacion-de-los-documentos-tipo-de-obra-publica-de-infraestructura-de-transporte-bajo-las-diferentes-modalidades-de-contratacion-vigentes</vt:lpwstr>
      </vt:variant>
      <vt:variant>
        <vt:lpwstr/>
      </vt:variant>
      <vt:variant>
        <vt:i4>3735661</vt:i4>
      </vt:variant>
      <vt:variant>
        <vt:i4>9</vt:i4>
      </vt:variant>
      <vt:variant>
        <vt:i4>0</vt:i4>
      </vt:variant>
      <vt:variant>
        <vt:i4>5</vt:i4>
      </vt:variant>
      <vt:variant>
        <vt:lpwstr>https://www.colombiacompra.gov.co/normativa-y-relatoria/documentos-tipo</vt:lpwstr>
      </vt:variant>
      <vt:variant>
        <vt:lpwstr/>
      </vt:variant>
      <vt:variant>
        <vt:i4>65544</vt:i4>
      </vt:variant>
      <vt:variant>
        <vt:i4>6</vt:i4>
      </vt:variant>
      <vt:variant>
        <vt:i4>0</vt:i4>
      </vt:variant>
      <vt:variant>
        <vt:i4>5</vt:i4>
      </vt:variant>
      <vt:variant>
        <vt:lpwstr>https://formacionvirtual.colombiacompra.gov.co/mod/page/view.php?id=3718</vt:lpwstr>
      </vt:variant>
      <vt:variant>
        <vt:lpwstr/>
      </vt:variant>
      <vt:variant>
        <vt:i4>7471218</vt:i4>
      </vt:variant>
      <vt:variant>
        <vt:i4>3</vt:i4>
      </vt:variant>
      <vt:variant>
        <vt:i4>0</vt:i4>
      </vt:variant>
      <vt:variant>
        <vt:i4>5</vt:i4>
      </vt:variant>
      <vt:variant>
        <vt:lpwstr>https://relatoria.colombiacompra.gov.co/busqueda/conceptos</vt:lpwstr>
      </vt:variant>
      <vt:variant>
        <vt:lpwstr/>
      </vt:variant>
      <vt:variant>
        <vt:i4>3014681</vt:i4>
      </vt:variant>
      <vt:variant>
        <vt:i4>0</vt:i4>
      </vt:variant>
      <vt:variant>
        <vt:i4>0</vt:i4>
      </vt:variant>
      <vt:variant>
        <vt:i4>5</vt:i4>
      </vt:variant>
      <vt:variant>
        <vt:lpwstr>mailto:alejandraherran71@gmail.com</vt:lpwstr>
      </vt:variant>
      <vt:variant>
        <vt:lpwstr/>
      </vt:variant>
      <vt:variant>
        <vt:i4>5701654</vt:i4>
      </vt:variant>
      <vt:variant>
        <vt:i4>12</vt:i4>
      </vt:variant>
      <vt:variant>
        <vt:i4>0</vt:i4>
      </vt:variant>
      <vt:variant>
        <vt:i4>5</vt:i4>
      </vt:variant>
      <vt:variant>
        <vt:lpwstr>https://www.colombiacompra.gov.co/node/30741</vt:lpwstr>
      </vt:variant>
      <vt:variant>
        <vt:lpwstr/>
      </vt:variant>
      <vt:variant>
        <vt:i4>6160403</vt:i4>
      </vt:variant>
      <vt:variant>
        <vt:i4>9</vt:i4>
      </vt:variant>
      <vt:variant>
        <vt:i4>0</vt:i4>
      </vt:variant>
      <vt:variant>
        <vt:i4>5</vt:i4>
      </vt:variant>
      <vt:variant>
        <vt:lpwstr>https://www.colombiacompra.gov.co/node/23628</vt:lpwstr>
      </vt:variant>
      <vt:variant>
        <vt:lpwstr/>
      </vt:variant>
      <vt:variant>
        <vt:i4>65604</vt:i4>
      </vt:variant>
      <vt:variant>
        <vt:i4>6</vt:i4>
      </vt:variant>
      <vt:variant>
        <vt:i4>0</vt:i4>
      </vt:variant>
      <vt:variant>
        <vt:i4>5</vt:i4>
      </vt:variant>
      <vt:variant>
        <vt:lpwstr>https://www.colombiacompra.gov.co/base-conocimiento/configuracion-de-cuentas-secop-ii</vt:lpwstr>
      </vt:variant>
      <vt:variant>
        <vt:lpwstr/>
      </vt:variant>
      <vt:variant>
        <vt:i4>4063337</vt:i4>
      </vt:variant>
      <vt:variant>
        <vt:i4>3</vt:i4>
      </vt:variant>
      <vt:variant>
        <vt:i4>0</vt:i4>
      </vt:variant>
      <vt:variant>
        <vt:i4>5</vt:i4>
      </vt:variant>
      <vt:variant>
        <vt:lpwstr>https://www.colombiacompra.gov.co/base-conocimiento/gestion-contractual-envio-del-contrato-secop-ii</vt:lpwstr>
      </vt:variant>
      <vt:variant>
        <vt:lpwstr/>
      </vt:variant>
      <vt:variant>
        <vt:i4>5701648</vt:i4>
      </vt:variant>
      <vt:variant>
        <vt:i4>0</vt:i4>
      </vt:variant>
      <vt:variant>
        <vt:i4>0</vt:i4>
      </vt:variant>
      <vt:variant>
        <vt:i4>5</vt:i4>
      </vt:variant>
      <vt:variant>
        <vt:lpwstr>https://www.colombiacompra.gov.co/node/23710</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Andrés Felipe Ospina Acosta</dc:creator>
  <cp:keywords/>
  <dc:description/>
  <cp:lastModifiedBy>Denis Andrea Cárdenas Hernández</cp:lastModifiedBy>
  <cp:revision>11</cp:revision>
  <cp:lastPrinted>2023-01-11T00:18:00Z</cp:lastPrinted>
  <dcterms:created xsi:type="dcterms:W3CDTF">2026-04-14T14:15:00Z</dcterms:created>
  <dcterms:modified xsi:type="dcterms:W3CDTF">2026-04-14T14:22:00Z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0x010100F2E0F32964D9B84EA054B84E5D4157A0</vt:lpwstr>
  </property>
  <property fmtid="{D5CDD505-2E9C-101B-9397-08002B2CF9AE}" pid="3" name="MediaServiceImageTags">
    <vt:lpwstr/>
  </property>
</Properties>
</file>