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4E4E8" w14:textId="77777777" w:rsidR="00F235C5" w:rsidRPr="00C55BDE" w:rsidRDefault="00F235C5" w:rsidP="00F235C5">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563E63E2" w14:textId="77777777" w:rsidR="00F235C5" w:rsidRPr="00C55BDE" w:rsidRDefault="00F235C5" w:rsidP="00F235C5">
      <w:pPr>
        <w:snapToGrid w:val="0"/>
        <w:contextualSpacing/>
        <w:jc w:val="both"/>
        <w:rPr>
          <w:rFonts w:ascii="Verdana" w:hAnsi="Verdana" w:cs="Arial"/>
          <w:b/>
          <w:bCs/>
          <w:lang w:val="es-ES" w:eastAsia="es-ES"/>
        </w:rPr>
      </w:pPr>
    </w:p>
    <w:p w14:paraId="328AB982" w14:textId="77777777" w:rsidR="00F235C5" w:rsidRPr="00C55BDE" w:rsidRDefault="00F235C5" w:rsidP="004A4033">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7CB409B0" w14:textId="77777777" w:rsidR="00F235C5" w:rsidRDefault="00F235C5" w:rsidP="008430E7">
      <w:pPr>
        <w:spacing w:after="0" w:line="240" w:lineRule="auto"/>
        <w:rPr>
          <w:rFonts w:ascii="Verdana" w:eastAsia="Geomanist Light" w:hAnsi="Verdana" w:cs="Arial"/>
          <w:lang w:val="es-MX"/>
        </w:rPr>
      </w:pPr>
    </w:p>
    <w:p w14:paraId="19ED75CC" w14:textId="77777777" w:rsidR="005711CC" w:rsidRPr="00C55BDE" w:rsidRDefault="005711CC" w:rsidP="005711CC">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w:t>
      </w:r>
      <w:r w:rsidRPr="00C55BDE">
        <w:rPr>
          <w:rFonts w:ascii="Verdana" w:hAnsi="Verdana" w:cs="Arial"/>
          <w:b/>
          <w:bCs/>
          <w:lang w:val="es-ES" w:eastAsia="es-ES"/>
        </w:rPr>
        <w:t>‒</w:t>
      </w:r>
      <w:r>
        <w:rPr>
          <w:rFonts w:ascii="Verdana" w:hAnsi="Verdana" w:cs="Arial"/>
          <w:b/>
          <w:bCs/>
          <w:lang w:val="es-ES" w:eastAsia="es-ES"/>
        </w:rPr>
        <w:t xml:space="preserve"> Celebración </w:t>
      </w:r>
    </w:p>
    <w:p w14:paraId="45CCD4D2" w14:textId="77777777" w:rsidR="005711CC" w:rsidRPr="00C55BDE" w:rsidRDefault="005711CC" w:rsidP="005711CC">
      <w:pPr>
        <w:snapToGrid w:val="0"/>
        <w:spacing w:after="0" w:line="240" w:lineRule="auto"/>
        <w:contextualSpacing/>
        <w:jc w:val="both"/>
        <w:rPr>
          <w:rFonts w:ascii="Verdana" w:hAnsi="Verdana" w:cs="Arial"/>
          <w:sz w:val="20"/>
          <w:szCs w:val="20"/>
          <w:lang w:val="es-ES" w:eastAsia="es-ES"/>
        </w:rPr>
      </w:pPr>
    </w:p>
    <w:p w14:paraId="4265CDE0" w14:textId="15B1BCAB" w:rsidR="005711CC" w:rsidRPr="00C55BDE" w:rsidRDefault="005711CC" w:rsidP="005711CC">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988A145" w14:textId="691FE6BB" w:rsidR="005711CC" w:rsidRDefault="005711CC" w:rsidP="004A4033">
      <w:pPr>
        <w:widowControl w:val="0"/>
        <w:autoSpaceDE w:val="0"/>
        <w:autoSpaceDN w:val="0"/>
        <w:snapToGrid w:val="0"/>
        <w:spacing w:after="0" w:line="240" w:lineRule="auto"/>
        <w:ind w:right="113"/>
        <w:contextualSpacing/>
        <w:jc w:val="both"/>
        <w:rPr>
          <w:rFonts w:ascii="Verdana" w:hAnsi="Verdana" w:cs="Arial"/>
          <w:b/>
          <w:lang w:val="es-MX" w:eastAsia="es-ES_tradnl"/>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299F9E19" w14:textId="77777777" w:rsidR="005711CC" w:rsidRPr="009B5A20" w:rsidRDefault="005711CC" w:rsidP="005711CC">
      <w:pPr>
        <w:spacing w:after="0"/>
        <w:jc w:val="both"/>
        <w:rPr>
          <w:rFonts w:ascii="Verdana" w:hAnsi="Verdana" w:cs="Arial"/>
          <w:b/>
          <w:lang w:val="es-MX" w:eastAsia="es-ES_tradnl"/>
        </w:rPr>
      </w:pPr>
      <w:r w:rsidRPr="00C55BDE">
        <w:rPr>
          <w:rFonts w:ascii="Verdana" w:hAnsi="Verdana" w:cs="Arial"/>
          <w:sz w:val="20"/>
          <w:szCs w:val="20"/>
          <w:lang w:val="es-ES"/>
        </w:rPr>
        <w:t>[…]</w:t>
      </w:r>
    </w:p>
    <w:p w14:paraId="6B80EA3D" w14:textId="77777777" w:rsidR="005711CC" w:rsidRDefault="005711CC" w:rsidP="005711CC">
      <w:pPr>
        <w:spacing w:after="0" w:line="240" w:lineRule="auto"/>
        <w:jc w:val="both"/>
        <w:rPr>
          <w:rFonts w:ascii="Verdana" w:hAnsi="Verdana" w:cs="Arial"/>
          <w:sz w:val="20"/>
          <w:szCs w:val="20"/>
          <w:lang w:val="es-ES"/>
        </w:rPr>
      </w:pPr>
      <w:r w:rsidRPr="002D1555">
        <w:rPr>
          <w:rFonts w:ascii="Verdana" w:hAnsi="Verdana" w:cs="Arial"/>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0103BD8" w14:textId="77777777" w:rsidR="004A4033" w:rsidRPr="002D1555" w:rsidRDefault="004A4033" w:rsidP="005711CC">
      <w:pPr>
        <w:spacing w:after="0" w:line="240" w:lineRule="auto"/>
        <w:jc w:val="both"/>
        <w:rPr>
          <w:rFonts w:ascii="Verdana" w:hAnsi="Verdana" w:cs="Arial"/>
          <w:sz w:val="20"/>
          <w:szCs w:val="20"/>
          <w:lang w:val="es-ES"/>
        </w:rPr>
      </w:pPr>
    </w:p>
    <w:p w14:paraId="63EE3A3A" w14:textId="77777777" w:rsidR="00E32711" w:rsidRDefault="00E32711" w:rsidP="00E32711">
      <w:pPr>
        <w:spacing w:line="276" w:lineRule="auto"/>
        <w:jc w:val="both"/>
        <w:rPr>
          <w:rFonts w:ascii="Verdana" w:hAnsi="Verdana" w:cs="Arial"/>
          <w:b/>
          <w:bCs/>
          <w:lang w:val="es-MX" w:eastAsia="es-ES_tradnl"/>
        </w:rPr>
      </w:pPr>
      <w:r w:rsidRPr="009B5A20">
        <w:rPr>
          <w:rFonts w:ascii="Verdana" w:eastAsia="Calibri" w:hAnsi="Verdana" w:cs="Arial"/>
          <w:b/>
          <w:bCs/>
          <w:lang w:val="es-ES" w:eastAsia="es-ES"/>
        </w:rPr>
        <w:lastRenderedPageBreak/>
        <w:t xml:space="preserve">LEY DE GARANTÍAS ELECTORALES ‒ Artículo 33 ‒ Ámbito material ‒ Destinatarios </w:t>
      </w:r>
    </w:p>
    <w:p w14:paraId="453CB303" w14:textId="694395E5" w:rsidR="00E32711" w:rsidRPr="009B5A20" w:rsidRDefault="004A4033" w:rsidP="00E32711">
      <w:pPr>
        <w:spacing w:after="0" w:line="240" w:lineRule="auto"/>
        <w:jc w:val="both"/>
        <w:rPr>
          <w:rFonts w:ascii="Verdana" w:eastAsia="Calibri" w:hAnsi="Verdana" w:cs="Arial"/>
          <w:sz w:val="20"/>
          <w:szCs w:val="20"/>
          <w:lang w:eastAsia="x-none"/>
        </w:rPr>
      </w:pPr>
      <w:r w:rsidRPr="004A4033">
        <w:rPr>
          <w:rFonts w:ascii="Verdana" w:eastAsia="Times New Roman" w:hAnsi="Verdana" w:cs="Arial"/>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243ECA90" w14:textId="76D69B79" w:rsidR="00E32711" w:rsidRPr="009B5A20" w:rsidRDefault="00E32711" w:rsidP="00E32711">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16EA55C7" w14:textId="77777777" w:rsidR="00E32711" w:rsidRPr="009B5A20" w:rsidRDefault="00E32711" w:rsidP="00E32711">
      <w:pPr>
        <w:spacing w:after="0" w:line="240" w:lineRule="auto"/>
        <w:jc w:val="both"/>
        <w:rPr>
          <w:rFonts w:ascii="Verdana" w:hAnsi="Verdana" w:cs="Arial"/>
          <w:b/>
          <w:bCs/>
          <w:sz w:val="20"/>
          <w:szCs w:val="20"/>
          <w:lang w:val="es-MX" w:eastAsia="es-ES_tradnl"/>
        </w:rPr>
      </w:pPr>
    </w:p>
    <w:p w14:paraId="36E96E1D" w14:textId="77777777" w:rsidR="00E32711" w:rsidRDefault="00E32711" w:rsidP="00E32711">
      <w:pPr>
        <w:spacing w:line="276" w:lineRule="auto"/>
        <w:jc w:val="both"/>
        <w:rPr>
          <w:rFonts w:ascii="Verdana" w:hAnsi="Verdana" w:cs="Arial"/>
          <w:b/>
          <w:bCs/>
          <w:color w:val="000000" w:themeColor="text1"/>
          <w:shd w:val="clear" w:color="auto" w:fill="FFFFFF"/>
          <w:lang w:val="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Plataforma Transaccional </w:t>
      </w:r>
    </w:p>
    <w:p w14:paraId="00E537D7" w14:textId="07FC7212" w:rsidR="00E32711" w:rsidRPr="009B5A20" w:rsidRDefault="00E32711" w:rsidP="00E32711">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749BD951" w14:textId="77777777" w:rsidR="00E32711" w:rsidRDefault="00E32711" w:rsidP="00E32711">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19ECEAB2" w14:textId="77777777" w:rsidR="00E32711" w:rsidRPr="009B5A20" w:rsidRDefault="00E32711" w:rsidP="00E32711">
      <w:pPr>
        <w:spacing w:after="0" w:line="240" w:lineRule="auto"/>
        <w:jc w:val="both"/>
        <w:rPr>
          <w:rFonts w:ascii="Verdana" w:eastAsia="Times New Roman" w:hAnsi="Verdana" w:cs="Arial"/>
          <w:sz w:val="20"/>
          <w:szCs w:val="20"/>
          <w:lang w:eastAsia="x-none"/>
        </w:rPr>
      </w:pPr>
    </w:p>
    <w:p w14:paraId="30F46DD4" w14:textId="77777777" w:rsidR="00E32711" w:rsidRDefault="00E32711" w:rsidP="00E32711">
      <w:pPr>
        <w:spacing w:line="276" w:lineRule="auto"/>
        <w:jc w:val="both"/>
        <w:rPr>
          <w:rFonts w:ascii="Verdana" w:hAnsi="Verdana" w:cs="Arial"/>
          <w:b/>
          <w:bCs/>
          <w:color w:val="000000" w:themeColor="text1"/>
          <w:shd w:val="clear" w:color="auto" w:fill="FFFFFF"/>
          <w:lang w:val="es-MX"/>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Contrato electrónico </w:t>
      </w:r>
      <w:r w:rsidRPr="009B5A20">
        <w:rPr>
          <w:rFonts w:ascii="Verdana" w:eastAsia="Calibri" w:hAnsi="Verdana" w:cs="Arial"/>
          <w:b/>
          <w:bCs/>
          <w:lang w:val="es-ES" w:eastAsia="es-ES"/>
        </w:rPr>
        <w:t xml:space="preserve">– Aprobación </w:t>
      </w:r>
      <w:r w:rsidRPr="009B5A20">
        <w:rPr>
          <w:rFonts w:ascii="Verdana" w:hAnsi="Verdana" w:cs="Arial"/>
          <w:b/>
          <w:bCs/>
          <w:color w:val="000000" w:themeColor="text1"/>
          <w:shd w:val="clear" w:color="auto" w:fill="FFFFFF"/>
          <w:lang w:val="es-MX"/>
        </w:rPr>
        <w:t>– Perfeccionamiento</w:t>
      </w:r>
    </w:p>
    <w:p w14:paraId="26F8A69B" w14:textId="77777777" w:rsidR="000504F6" w:rsidRPr="000504F6" w:rsidRDefault="000504F6" w:rsidP="000504F6">
      <w:pPr>
        <w:spacing w:after="0" w:line="240" w:lineRule="auto"/>
        <w:jc w:val="both"/>
        <w:rPr>
          <w:rFonts w:ascii="Verdana" w:eastAsia="Times New Roman" w:hAnsi="Verdana" w:cs="Arial"/>
          <w:sz w:val="20"/>
          <w:szCs w:val="20"/>
          <w:lang w:eastAsia="x-none"/>
        </w:rPr>
      </w:pPr>
      <w:r w:rsidRPr="000504F6">
        <w:rPr>
          <w:rFonts w:ascii="Verdana" w:eastAsia="Times New Roman" w:hAnsi="Verdana" w:cs="Arial"/>
          <w:sz w:val="20"/>
          <w:szCs w:val="20"/>
          <w:lang w:eastAsia="x-none"/>
        </w:rPr>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ibidem, en la medida en que el hito jurídico de perfeccionamiento ocurrió dentro del período de restricción. </w:t>
      </w:r>
    </w:p>
    <w:p w14:paraId="2BD827A7" w14:textId="2C1C4381" w:rsidR="00E32711" w:rsidRDefault="000504F6" w:rsidP="000504F6">
      <w:pPr>
        <w:spacing w:after="0" w:line="240" w:lineRule="auto"/>
        <w:jc w:val="both"/>
        <w:rPr>
          <w:rFonts w:ascii="Verdana" w:eastAsia="Times New Roman" w:hAnsi="Verdana" w:cs="Arial"/>
          <w:sz w:val="20"/>
          <w:szCs w:val="20"/>
          <w:lang w:eastAsia="x-none"/>
        </w:rPr>
      </w:pPr>
      <w:r w:rsidRPr="000504F6">
        <w:rPr>
          <w:rFonts w:ascii="Verdana" w:eastAsia="Times New Roman" w:hAnsi="Verdana" w:cs="Arial"/>
          <w:sz w:val="20"/>
          <w:szCs w:val="20"/>
          <w:lang w:eastAsia="x-none"/>
        </w:rPr>
        <w:t xml:space="preserve">En consecuencia, corresponderá a la Entidad Estatal efectuar el análisis jurídico integral del caso concreto y determinar la procedencia de las medidas a que haya lugar, a la luz </w:t>
      </w:r>
      <w:r w:rsidRPr="000504F6">
        <w:rPr>
          <w:rFonts w:ascii="Verdana" w:eastAsia="Times New Roman" w:hAnsi="Verdana" w:cs="Arial"/>
          <w:sz w:val="20"/>
          <w:szCs w:val="20"/>
          <w:lang w:eastAsia="x-none"/>
        </w:rPr>
        <w:lastRenderedPageBreak/>
        <w:t>de lo dispuesto en los artículos 44 y 45 de la Ley 80 de 1993. Lo anterior, sin perjuicio de las responsabilidades de tipo disciplinario, fiscal y penal que puedan generarse.</w:t>
      </w:r>
    </w:p>
    <w:p w14:paraId="26D9BC95" w14:textId="77777777" w:rsidR="000504F6" w:rsidRPr="00B652CB" w:rsidRDefault="000504F6" w:rsidP="000504F6">
      <w:pPr>
        <w:spacing w:after="0" w:line="240" w:lineRule="auto"/>
        <w:jc w:val="both"/>
        <w:rPr>
          <w:rFonts w:ascii="Verdana" w:eastAsia="Times New Roman" w:hAnsi="Verdana" w:cs="Arial"/>
          <w:sz w:val="20"/>
          <w:szCs w:val="20"/>
          <w:lang w:eastAsia="x-none"/>
        </w:rPr>
      </w:pPr>
    </w:p>
    <w:p w14:paraId="1E7605BD" w14:textId="77777777" w:rsidR="00E32711" w:rsidRPr="009B5A20" w:rsidRDefault="00E32711" w:rsidP="00E32711">
      <w:pPr>
        <w:spacing w:line="276" w:lineRule="auto"/>
        <w:jc w:val="both"/>
        <w:rPr>
          <w:rFonts w:ascii="Verdana" w:hAnsi="Verdana" w:cs="Arial"/>
          <w:b/>
          <w:bCs/>
          <w:lang w:val="es-ES" w:eastAsia="es-ES"/>
        </w:rPr>
      </w:pPr>
      <w:r w:rsidRPr="009B5A20">
        <w:rPr>
          <w:rFonts w:ascii="Verdana" w:hAnsi="Verdana" w:cs="Arial"/>
          <w:b/>
          <w:bCs/>
          <w:color w:val="000000" w:themeColor="text1"/>
          <w:shd w:val="clear" w:color="auto" w:fill="FFFFFF"/>
          <w:lang w:val="es-MX"/>
        </w:rPr>
        <w:t xml:space="preserve"> </w:t>
      </w: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 xml:space="preserve">– Aplicación ley de garantías – Nulidad </w:t>
      </w:r>
    </w:p>
    <w:p w14:paraId="30C6F5DC" w14:textId="77777777" w:rsidR="00E32711" w:rsidRDefault="00E32711" w:rsidP="00E32711">
      <w:pPr>
        <w:spacing w:after="0" w:line="240" w:lineRule="auto"/>
        <w:rPr>
          <w:rFonts w:ascii="Verdana" w:hAnsi="Verdana"/>
        </w:rPr>
      </w:pPr>
    </w:p>
    <w:p w14:paraId="31A3263D" w14:textId="6922B3A3" w:rsidR="00E32711" w:rsidRDefault="004F3404" w:rsidP="00E32711">
      <w:pPr>
        <w:spacing w:after="0" w:line="240" w:lineRule="auto"/>
        <w:jc w:val="both"/>
        <w:rPr>
          <w:rFonts w:ascii="Verdana" w:eastAsia="Times New Roman" w:hAnsi="Verdana" w:cs="Arial"/>
          <w:sz w:val="20"/>
          <w:szCs w:val="20"/>
          <w:lang w:eastAsia="x-none"/>
        </w:rPr>
      </w:pPr>
      <w:r w:rsidRPr="004F3404">
        <w:rPr>
          <w:rFonts w:ascii="Verdana" w:eastAsia="Times New Roman" w:hAnsi="Verdana" w:cs="Arial"/>
          <w:sz w:val="20"/>
          <w:szCs w:val="20"/>
          <w:lang w:eastAsia="x-none"/>
        </w:rPr>
        <w:t>A partir de la norma precitada, se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 el contrato se celebre con personas incursas en causales de inhabilidad o incompatibilidad previstas en la Constitución y la ley, que se celebre contra expresa prohibición constitucional o legal, o que se declaren nulos los actos administrativos en que se fundamenten</w:t>
      </w:r>
    </w:p>
    <w:p w14:paraId="575BA733" w14:textId="77777777" w:rsidR="004F3404" w:rsidRDefault="004F3404" w:rsidP="00E32711">
      <w:pPr>
        <w:spacing w:after="0" w:line="240" w:lineRule="auto"/>
        <w:jc w:val="both"/>
        <w:rPr>
          <w:rFonts w:ascii="Verdana" w:eastAsia="Times New Roman" w:hAnsi="Verdana" w:cs="Arial"/>
          <w:sz w:val="20"/>
          <w:szCs w:val="20"/>
          <w:lang w:eastAsia="x-none"/>
        </w:rPr>
      </w:pPr>
    </w:p>
    <w:p w14:paraId="7A977CAC" w14:textId="51F2E027" w:rsidR="00E32711" w:rsidRPr="00E32711" w:rsidRDefault="00E32711" w:rsidP="00E32711">
      <w:pPr>
        <w:spacing w:after="0" w:line="240" w:lineRule="auto"/>
        <w:jc w:val="both"/>
        <w:rPr>
          <w:rFonts w:ascii="Verdana" w:eastAsia="Times New Roman" w:hAnsi="Verdana" w:cs="Arial"/>
          <w:b/>
          <w:bCs/>
          <w:sz w:val="20"/>
          <w:szCs w:val="20"/>
          <w:lang w:eastAsia="x-none"/>
        </w:rPr>
      </w:pPr>
      <w:r w:rsidRPr="00E32711">
        <w:rPr>
          <w:rFonts w:ascii="Verdana" w:eastAsia="Calibri" w:hAnsi="Verdana" w:cs="Arial"/>
          <w:b/>
          <w:bCs/>
          <w:lang w:val="es-ES" w:eastAsia="es-ES"/>
        </w:rPr>
        <w:t>CONTRATO DE PRESTACIÓN DE SERVICIOS PROFESIONALES ─ Contratación Directa – Excepciones</w:t>
      </w:r>
    </w:p>
    <w:p w14:paraId="33DA9D43" w14:textId="77777777" w:rsidR="004D2E3F" w:rsidRDefault="004D2E3F" w:rsidP="008430E7">
      <w:pPr>
        <w:spacing w:after="0" w:line="240" w:lineRule="auto"/>
        <w:rPr>
          <w:rFonts w:ascii="Verdana" w:eastAsia="Geomanist Light" w:hAnsi="Verdana" w:cs="Arial"/>
          <w:lang w:val="es-MX"/>
        </w:rPr>
      </w:pPr>
    </w:p>
    <w:p w14:paraId="17A57111" w14:textId="46FCE989" w:rsidR="004D2E3F" w:rsidRPr="004302E1" w:rsidRDefault="004302E1" w:rsidP="004302E1">
      <w:pPr>
        <w:spacing w:after="0" w:line="240" w:lineRule="auto"/>
        <w:jc w:val="both"/>
        <w:rPr>
          <w:rFonts w:ascii="Verdana" w:eastAsia="Times New Roman" w:hAnsi="Verdana" w:cs="Arial"/>
          <w:sz w:val="20"/>
          <w:szCs w:val="20"/>
          <w:lang w:eastAsia="x-none"/>
        </w:rPr>
      </w:pPr>
      <w:r w:rsidRPr="004302E1">
        <w:rPr>
          <w:rFonts w:ascii="Verdana" w:eastAsia="Times New Roman" w:hAnsi="Verdana" w:cs="Arial"/>
          <w:sz w:val="20"/>
          <w:szCs w:val="20"/>
          <w:lang w:eastAsia="x-none"/>
        </w:rPr>
        <w:t>Visto el ámbito de aplicación del artículo 33 de la Ley 996 de 2005, es importante mencionar que, 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00FEE9C1" w14:textId="77777777" w:rsidR="00E32711" w:rsidRDefault="00E32711" w:rsidP="008430E7">
      <w:pPr>
        <w:spacing w:after="0" w:line="240" w:lineRule="auto"/>
        <w:rPr>
          <w:rFonts w:ascii="Verdana" w:eastAsia="Geomanist Light" w:hAnsi="Verdana" w:cs="Arial"/>
          <w:lang w:val="es-MX"/>
        </w:rPr>
      </w:pPr>
    </w:p>
    <w:p w14:paraId="75544590" w14:textId="77777777" w:rsidR="00E32711" w:rsidRDefault="00E32711" w:rsidP="008430E7">
      <w:pPr>
        <w:spacing w:after="0" w:line="240" w:lineRule="auto"/>
        <w:rPr>
          <w:rFonts w:ascii="Verdana" w:eastAsia="Geomanist Light" w:hAnsi="Verdana" w:cs="Arial"/>
          <w:lang w:val="es-MX"/>
        </w:rPr>
      </w:pPr>
    </w:p>
    <w:p w14:paraId="6A28263F" w14:textId="77777777" w:rsidR="00E32711" w:rsidRDefault="00E32711" w:rsidP="008430E7">
      <w:pPr>
        <w:spacing w:after="0" w:line="240" w:lineRule="auto"/>
        <w:rPr>
          <w:rFonts w:ascii="Verdana" w:eastAsia="Geomanist Light" w:hAnsi="Verdana" w:cs="Arial"/>
          <w:lang w:val="es-MX"/>
        </w:rPr>
      </w:pPr>
    </w:p>
    <w:p w14:paraId="1C38620F" w14:textId="77777777" w:rsidR="00E32711" w:rsidRDefault="00E32711" w:rsidP="008430E7">
      <w:pPr>
        <w:spacing w:after="0" w:line="240" w:lineRule="auto"/>
        <w:rPr>
          <w:rFonts w:ascii="Verdana" w:eastAsia="Geomanist Light" w:hAnsi="Verdana" w:cs="Arial"/>
          <w:lang w:val="es-MX"/>
        </w:rPr>
      </w:pPr>
    </w:p>
    <w:p w14:paraId="7063E509" w14:textId="77777777" w:rsidR="004C4E1F" w:rsidRDefault="004C4E1F" w:rsidP="008430E7">
      <w:pPr>
        <w:spacing w:after="0" w:line="240" w:lineRule="auto"/>
        <w:rPr>
          <w:rFonts w:ascii="Verdana" w:eastAsia="Geomanist Light" w:hAnsi="Verdana" w:cs="Arial"/>
          <w:lang w:val="es-MX"/>
        </w:rPr>
      </w:pPr>
    </w:p>
    <w:p w14:paraId="697B5C2B" w14:textId="77777777" w:rsidR="004C4E1F" w:rsidRDefault="004C4E1F" w:rsidP="008430E7">
      <w:pPr>
        <w:spacing w:after="0" w:line="240" w:lineRule="auto"/>
        <w:rPr>
          <w:rFonts w:ascii="Verdana" w:eastAsia="Geomanist Light" w:hAnsi="Verdana" w:cs="Arial"/>
          <w:lang w:val="es-MX"/>
        </w:rPr>
      </w:pPr>
    </w:p>
    <w:p w14:paraId="5A2637B7" w14:textId="77777777" w:rsidR="004C4E1F" w:rsidRDefault="004C4E1F" w:rsidP="008430E7">
      <w:pPr>
        <w:spacing w:after="0" w:line="240" w:lineRule="auto"/>
        <w:rPr>
          <w:rFonts w:ascii="Verdana" w:eastAsia="Geomanist Light" w:hAnsi="Verdana" w:cs="Arial"/>
          <w:lang w:val="es-MX"/>
        </w:rPr>
      </w:pPr>
    </w:p>
    <w:p w14:paraId="7C10C911" w14:textId="77777777" w:rsidR="004C4E1F" w:rsidRDefault="004C4E1F" w:rsidP="008430E7">
      <w:pPr>
        <w:spacing w:after="0" w:line="240" w:lineRule="auto"/>
        <w:rPr>
          <w:rFonts w:ascii="Verdana" w:eastAsia="Geomanist Light" w:hAnsi="Verdana" w:cs="Arial"/>
          <w:lang w:val="es-MX"/>
        </w:rPr>
      </w:pPr>
    </w:p>
    <w:p w14:paraId="0449DA56" w14:textId="77777777" w:rsidR="004C4E1F" w:rsidRDefault="004C4E1F" w:rsidP="008430E7">
      <w:pPr>
        <w:spacing w:after="0" w:line="240" w:lineRule="auto"/>
        <w:rPr>
          <w:rFonts w:ascii="Verdana" w:eastAsia="Geomanist Light" w:hAnsi="Verdana" w:cs="Arial"/>
          <w:lang w:val="es-MX"/>
        </w:rPr>
      </w:pPr>
    </w:p>
    <w:p w14:paraId="47F9BFC9" w14:textId="77777777" w:rsidR="004C4E1F" w:rsidRDefault="004C4E1F" w:rsidP="008430E7">
      <w:pPr>
        <w:spacing w:after="0" w:line="240" w:lineRule="auto"/>
        <w:rPr>
          <w:rFonts w:ascii="Verdana" w:eastAsia="Geomanist Light" w:hAnsi="Verdana" w:cs="Arial"/>
          <w:lang w:val="es-MX"/>
        </w:rPr>
      </w:pPr>
    </w:p>
    <w:p w14:paraId="40AB38FB" w14:textId="77777777" w:rsidR="004C4E1F" w:rsidRDefault="004C4E1F" w:rsidP="008430E7">
      <w:pPr>
        <w:spacing w:after="0" w:line="240" w:lineRule="auto"/>
        <w:rPr>
          <w:rFonts w:ascii="Verdana" w:eastAsia="Geomanist Light" w:hAnsi="Verdana" w:cs="Arial"/>
          <w:lang w:val="es-MX"/>
        </w:rPr>
      </w:pPr>
    </w:p>
    <w:p w14:paraId="729CF649" w14:textId="77777777" w:rsidR="004C4E1F" w:rsidRDefault="004C4E1F" w:rsidP="008430E7">
      <w:pPr>
        <w:spacing w:after="0" w:line="240" w:lineRule="auto"/>
        <w:rPr>
          <w:rFonts w:ascii="Verdana" w:eastAsia="Geomanist Light" w:hAnsi="Verdana" w:cs="Arial"/>
          <w:lang w:val="es-MX"/>
        </w:rPr>
      </w:pPr>
    </w:p>
    <w:p w14:paraId="68CEC6F4" w14:textId="77777777" w:rsidR="004C4E1F" w:rsidRDefault="004C4E1F" w:rsidP="008430E7">
      <w:pPr>
        <w:spacing w:after="0" w:line="240" w:lineRule="auto"/>
        <w:rPr>
          <w:rFonts w:ascii="Verdana" w:eastAsia="Geomanist Light" w:hAnsi="Verdana" w:cs="Arial"/>
          <w:lang w:val="es-MX"/>
        </w:rPr>
      </w:pPr>
    </w:p>
    <w:p w14:paraId="044C93B0" w14:textId="77777777" w:rsidR="004C4E1F" w:rsidRDefault="004C4E1F" w:rsidP="008430E7">
      <w:pPr>
        <w:spacing w:after="0" w:line="240" w:lineRule="auto"/>
        <w:rPr>
          <w:rFonts w:ascii="Verdana" w:eastAsia="Geomanist Light" w:hAnsi="Verdana" w:cs="Arial"/>
          <w:lang w:val="es-MX"/>
        </w:rPr>
      </w:pPr>
    </w:p>
    <w:p w14:paraId="5A7969AC" w14:textId="77777777" w:rsidR="004C4E1F" w:rsidRDefault="004C4E1F" w:rsidP="008430E7">
      <w:pPr>
        <w:spacing w:after="0" w:line="240" w:lineRule="auto"/>
        <w:rPr>
          <w:rFonts w:ascii="Verdana" w:eastAsia="Geomanist Light" w:hAnsi="Verdana" w:cs="Arial"/>
          <w:lang w:val="es-MX"/>
        </w:rPr>
      </w:pPr>
    </w:p>
    <w:p w14:paraId="5B8C08A7" w14:textId="77777777" w:rsidR="00F235C5" w:rsidRDefault="00F235C5" w:rsidP="008430E7">
      <w:pPr>
        <w:spacing w:after="0" w:line="240" w:lineRule="auto"/>
        <w:rPr>
          <w:rFonts w:ascii="Verdana" w:eastAsia="Geomanist Light" w:hAnsi="Verdana" w:cs="Arial"/>
          <w:lang w:val="es-MX"/>
        </w:rPr>
      </w:pPr>
    </w:p>
    <w:p w14:paraId="31570C90" w14:textId="21E4A49E" w:rsidR="008430E7" w:rsidRPr="007C55B9" w:rsidRDefault="008430E7" w:rsidP="008430E7">
      <w:pPr>
        <w:spacing w:after="0" w:line="240" w:lineRule="auto"/>
        <w:rPr>
          <w:rFonts w:ascii="Verdana" w:eastAsia="Geomanist Light" w:hAnsi="Verdana" w:cs="Arial"/>
          <w:lang w:val="es-MX"/>
        </w:rPr>
      </w:pPr>
      <w:r w:rsidRPr="007C55B9">
        <w:rPr>
          <w:rFonts w:ascii="Verdana" w:eastAsia="Geomanist Light" w:hAnsi="Verdana" w:cs="Arial"/>
          <w:lang w:val="es-MX"/>
        </w:rPr>
        <w:t>Bogotá D.C., </w:t>
      </w:r>
      <w:r w:rsidR="007D72D9">
        <w:rPr>
          <w:rFonts w:ascii="Verdana" w:eastAsia="Geomanist Light" w:hAnsi="Verdana" w:cs="Arial"/>
        </w:rPr>
        <w:t>15 abril de 2026</w:t>
      </w:r>
    </w:p>
    <w:p w14:paraId="7389BBB0" w14:textId="0BA73156" w:rsidR="008430E7" w:rsidRPr="007C55B9" w:rsidRDefault="0076053A" w:rsidP="008430E7">
      <w:pPr>
        <w:spacing w:after="0" w:line="240" w:lineRule="auto"/>
        <w:jc w:val="both"/>
        <w:rPr>
          <w:rFonts w:ascii="Verdana" w:eastAsia="Calibri" w:hAnsi="Verdana" w:cs="Arial"/>
          <w:lang w:val="es-ES"/>
        </w:rPr>
      </w:pPr>
      <w:r w:rsidRPr="0076053A">
        <w:rPr>
          <w:rFonts w:ascii="Verdana" w:eastAsia="Calibri" w:hAnsi="Verdana" w:cs="Arial"/>
          <w:lang w:val="es-ES"/>
        </w:rPr>
        <w:drawing>
          <wp:anchor distT="0" distB="0" distL="114300" distR="114300" simplePos="0" relativeHeight="251658240" behindDoc="1" locked="0" layoutInCell="1" allowOverlap="1" wp14:anchorId="72B88622" wp14:editId="364EE87D">
            <wp:simplePos x="0" y="0"/>
            <wp:positionH relativeFrom="column">
              <wp:posOffset>3443943</wp:posOffset>
            </wp:positionH>
            <wp:positionV relativeFrom="paragraph">
              <wp:posOffset>15801</wp:posOffset>
            </wp:positionV>
            <wp:extent cx="2467319" cy="685896"/>
            <wp:effectExtent l="0" t="0" r="0" b="0"/>
            <wp:wrapTight wrapText="bothSides">
              <wp:wrapPolygon edited="0">
                <wp:start x="0" y="0"/>
                <wp:lineTo x="0" y="21000"/>
                <wp:lineTo x="21350" y="21000"/>
                <wp:lineTo x="21350" y="0"/>
                <wp:lineTo x="0" y="0"/>
              </wp:wrapPolygon>
            </wp:wrapTight>
            <wp:docPr id="8207646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764661" name=""/>
                    <pic:cNvPicPr/>
                  </pic:nvPicPr>
                  <pic:blipFill>
                    <a:blip r:embed="rId7">
                      <a:extLst>
                        <a:ext uri="{28A0092B-C50C-407E-A947-70E740481C1C}">
                          <a14:useLocalDpi xmlns:a14="http://schemas.microsoft.com/office/drawing/2010/main" val="0"/>
                        </a:ext>
                      </a:extLst>
                    </a:blip>
                    <a:stretch>
                      <a:fillRect/>
                    </a:stretch>
                  </pic:blipFill>
                  <pic:spPr>
                    <a:xfrm>
                      <a:off x="0" y="0"/>
                      <a:ext cx="2467319" cy="685896"/>
                    </a:xfrm>
                    <a:prstGeom prst="rect">
                      <a:avLst/>
                    </a:prstGeom>
                  </pic:spPr>
                </pic:pic>
              </a:graphicData>
            </a:graphic>
          </wp:anchor>
        </w:drawing>
      </w:r>
    </w:p>
    <w:p w14:paraId="05F244CE" w14:textId="55C542F9" w:rsidR="008430E7" w:rsidRPr="007C55B9" w:rsidRDefault="008430E7" w:rsidP="008430E7">
      <w:pPr>
        <w:spacing w:after="0" w:line="240" w:lineRule="auto"/>
        <w:jc w:val="right"/>
        <w:rPr>
          <w:rFonts w:ascii="Verdana" w:eastAsia="Calibri" w:hAnsi="Verdana" w:cs="Arial"/>
          <w:lang w:val="es-ES"/>
        </w:rPr>
      </w:pPr>
    </w:p>
    <w:p w14:paraId="3A463BAC" w14:textId="77777777" w:rsidR="008430E7" w:rsidRPr="007C55B9" w:rsidRDefault="008430E7" w:rsidP="008430E7">
      <w:pPr>
        <w:spacing w:after="0" w:line="240" w:lineRule="auto"/>
        <w:jc w:val="both"/>
        <w:rPr>
          <w:rFonts w:ascii="Verdana" w:eastAsia="Calibri" w:hAnsi="Verdana" w:cs="Arial"/>
          <w:lang w:val="es-ES" w:eastAsia="es-ES"/>
        </w:rPr>
      </w:pPr>
      <w:r>
        <w:rPr>
          <w:rFonts w:ascii="Verdana" w:eastAsia="Calibri" w:hAnsi="Verdana" w:cs="Arial"/>
          <w:lang w:val="es-ES" w:eastAsia="es-ES"/>
        </w:rPr>
        <w:t>Mayor</w:t>
      </w:r>
    </w:p>
    <w:p w14:paraId="336C0F1A" w14:textId="77777777" w:rsidR="008430E7" w:rsidRDefault="008430E7" w:rsidP="008430E7">
      <w:pPr>
        <w:spacing w:after="0" w:line="240" w:lineRule="auto"/>
        <w:rPr>
          <w:rFonts w:ascii="Verdana" w:eastAsia="Calibri" w:hAnsi="Verdana" w:cs="Arial"/>
          <w:b/>
          <w:lang w:val="es-ES" w:eastAsia="es-ES"/>
        </w:rPr>
      </w:pPr>
      <w:r>
        <w:rPr>
          <w:rFonts w:ascii="Verdana" w:eastAsia="Calibri" w:hAnsi="Verdana" w:cs="Arial"/>
          <w:b/>
          <w:lang w:val="es-ES" w:eastAsia="es-ES"/>
        </w:rPr>
        <w:t>Diana Sánchez Ramírez</w:t>
      </w:r>
    </w:p>
    <w:p w14:paraId="538C1536" w14:textId="77777777" w:rsidR="008430E7" w:rsidRDefault="008430E7" w:rsidP="008430E7">
      <w:pPr>
        <w:spacing w:after="0" w:line="240" w:lineRule="auto"/>
        <w:rPr>
          <w:rFonts w:ascii="Verdana" w:eastAsia="Calibri" w:hAnsi="Verdana" w:cs="Arial"/>
          <w:bCs/>
          <w:lang w:val="es-ES" w:eastAsia="es-ES"/>
        </w:rPr>
      </w:pPr>
      <w:r w:rsidRPr="0067012D">
        <w:rPr>
          <w:rFonts w:ascii="Verdana" w:eastAsia="Calibri" w:hAnsi="Verdana" w:cs="Arial"/>
          <w:bCs/>
          <w:lang w:val="es-ES" w:eastAsia="es-ES"/>
        </w:rPr>
        <w:t>Funcionaria de Instrucción</w:t>
      </w:r>
    </w:p>
    <w:p w14:paraId="40169E5F" w14:textId="77777777" w:rsidR="008430E7" w:rsidRDefault="008430E7" w:rsidP="008430E7">
      <w:pPr>
        <w:spacing w:after="0" w:line="240" w:lineRule="auto"/>
        <w:rPr>
          <w:rFonts w:ascii="Verdana" w:eastAsia="Calibri" w:hAnsi="Verdana" w:cs="Arial"/>
          <w:bCs/>
          <w:lang w:val="es-ES" w:eastAsia="es-ES"/>
        </w:rPr>
      </w:pPr>
      <w:r>
        <w:rPr>
          <w:rFonts w:ascii="Verdana" w:eastAsia="Calibri" w:hAnsi="Verdana" w:cs="Arial"/>
          <w:bCs/>
          <w:lang w:val="es-ES" w:eastAsia="es-ES"/>
        </w:rPr>
        <w:t>Contadora Central Administrativa y Contable Regional de Usaquén</w:t>
      </w:r>
    </w:p>
    <w:p w14:paraId="3EC66F9D" w14:textId="77777777" w:rsidR="008430E7" w:rsidRDefault="008430E7" w:rsidP="008430E7">
      <w:pPr>
        <w:spacing w:after="0" w:line="240" w:lineRule="auto"/>
        <w:rPr>
          <w:rFonts w:ascii="Verdana" w:eastAsia="Calibri" w:hAnsi="Verdana" w:cs="Arial"/>
          <w:bCs/>
          <w:lang w:val="es-ES" w:eastAsia="es-ES"/>
        </w:rPr>
      </w:pPr>
      <w:hyperlink r:id="rId8" w:history="1">
        <w:r w:rsidRPr="008B3D94">
          <w:rPr>
            <w:rStyle w:val="Hipervnculo"/>
            <w:rFonts w:ascii="Verdana" w:eastAsia="Calibri" w:hAnsi="Verdana" w:cs="Arial"/>
            <w:bCs/>
            <w:lang w:val="es-ES" w:eastAsia="es-ES"/>
          </w:rPr>
          <w:t>Diana.sanchez@ejercito.mil.co</w:t>
        </w:r>
      </w:hyperlink>
    </w:p>
    <w:p w14:paraId="5DB4B05A" w14:textId="77777777" w:rsidR="008430E7" w:rsidRDefault="008430E7" w:rsidP="008430E7">
      <w:pPr>
        <w:spacing w:after="0" w:line="240" w:lineRule="auto"/>
        <w:rPr>
          <w:rFonts w:ascii="Verdana" w:eastAsia="Calibri" w:hAnsi="Verdana" w:cs="Arial"/>
          <w:bCs/>
          <w:lang w:val="es-ES" w:eastAsia="es-ES"/>
        </w:rPr>
      </w:pPr>
      <w:hyperlink r:id="rId9" w:history="1">
        <w:r w:rsidRPr="008B3D94">
          <w:rPr>
            <w:rStyle w:val="Hipervnculo"/>
            <w:rFonts w:ascii="Verdana" w:eastAsia="Calibri" w:hAnsi="Verdana" w:cs="Arial"/>
            <w:bCs/>
            <w:lang w:val="es-ES" w:eastAsia="es-ES"/>
          </w:rPr>
          <w:t>Dana.cardozo@ejercito.mil.co</w:t>
        </w:r>
      </w:hyperlink>
    </w:p>
    <w:p w14:paraId="77DE501F" w14:textId="77777777" w:rsidR="008430E7" w:rsidRPr="007C55B9" w:rsidRDefault="008430E7" w:rsidP="008430E7">
      <w:pPr>
        <w:spacing w:after="0" w:line="240" w:lineRule="auto"/>
        <w:rPr>
          <w:rFonts w:ascii="Verdana" w:eastAsia="Calibri" w:hAnsi="Verdana" w:cs="Arial"/>
          <w:b/>
          <w:bCs/>
          <w:lang w:val="es-ES" w:eastAsia="es-ES"/>
        </w:rPr>
      </w:pPr>
      <w:r w:rsidRPr="007C55B9">
        <w:rPr>
          <w:rFonts w:ascii="Verdana" w:eastAsia="Calibri" w:hAnsi="Verdana" w:cs="Arial"/>
          <w:lang w:val="es-ES" w:eastAsia="es-ES"/>
        </w:rPr>
        <w:t>Ciudad</w:t>
      </w:r>
    </w:p>
    <w:p w14:paraId="26B4B6E4" w14:textId="77777777" w:rsidR="008430E7" w:rsidRPr="007C55B9" w:rsidRDefault="008430E7" w:rsidP="008430E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430E7" w:rsidRPr="007C55B9" w14:paraId="05CDB203" w14:textId="77777777" w:rsidTr="00EE6597">
        <w:trPr>
          <w:trHeight w:val="308"/>
        </w:trPr>
        <w:tc>
          <w:tcPr>
            <w:tcW w:w="2689" w:type="dxa"/>
          </w:tcPr>
          <w:p w14:paraId="7DD90597" w14:textId="77777777" w:rsidR="008430E7" w:rsidRPr="007C55B9" w:rsidRDefault="008430E7" w:rsidP="00EE6597">
            <w:pPr>
              <w:jc w:val="both"/>
              <w:rPr>
                <w:rFonts w:ascii="Verdana" w:eastAsia="Calibri" w:hAnsi="Verdana" w:cs="Arial"/>
                <w:b/>
                <w:bCs/>
                <w:lang w:val="es-ES_tradnl" w:eastAsia="es-ES_tradnl"/>
              </w:rPr>
            </w:pPr>
          </w:p>
        </w:tc>
        <w:tc>
          <w:tcPr>
            <w:tcW w:w="6100" w:type="dxa"/>
          </w:tcPr>
          <w:p w14:paraId="09B87DFA" w14:textId="77777777" w:rsidR="008430E7" w:rsidRDefault="008430E7" w:rsidP="00EE6597">
            <w:pPr>
              <w:jc w:val="both"/>
              <w:rPr>
                <w:rFonts w:ascii="Verdana" w:eastAsia="Calibri" w:hAnsi="Verdana" w:cs="Arial"/>
                <w:b/>
                <w:bCs/>
                <w:lang w:val="es-ES" w:eastAsia="es-ES"/>
              </w:rPr>
            </w:pPr>
            <w:r w:rsidRPr="007C55B9">
              <w:rPr>
                <w:rFonts w:ascii="Verdana" w:eastAsia="Calibri" w:hAnsi="Verdana" w:cs="Arial"/>
                <w:b/>
                <w:bCs/>
                <w:lang w:val="es-ES" w:eastAsia="es-ES"/>
              </w:rPr>
              <w:t>Concepto C-</w:t>
            </w:r>
            <w:r>
              <w:rPr>
                <w:rFonts w:ascii="Verdana" w:eastAsia="Calibri" w:hAnsi="Verdana" w:cs="Arial"/>
                <w:b/>
                <w:bCs/>
                <w:lang w:val="es-ES" w:eastAsia="es-ES"/>
              </w:rPr>
              <w:t>336</w:t>
            </w:r>
            <w:r w:rsidRPr="007C55B9">
              <w:rPr>
                <w:rFonts w:ascii="Verdana" w:eastAsia="Calibri" w:hAnsi="Verdana" w:cs="Arial"/>
                <w:b/>
                <w:bCs/>
                <w:lang w:val="es-ES" w:eastAsia="es-ES"/>
              </w:rPr>
              <w:t xml:space="preserve"> de 2026</w:t>
            </w:r>
          </w:p>
          <w:p w14:paraId="05C586B6" w14:textId="77777777" w:rsidR="008430E7" w:rsidRPr="007C55B9" w:rsidRDefault="008430E7" w:rsidP="00EE6597">
            <w:pPr>
              <w:jc w:val="both"/>
              <w:rPr>
                <w:rFonts w:ascii="Verdana" w:eastAsia="Calibri" w:hAnsi="Verdana" w:cs="Arial"/>
                <w:b/>
                <w:bCs/>
                <w:lang w:val="es-ES" w:eastAsia="es-ES"/>
              </w:rPr>
            </w:pPr>
          </w:p>
        </w:tc>
      </w:tr>
      <w:tr w:rsidR="008430E7" w:rsidRPr="007C55B9" w14:paraId="2AD7CDC1" w14:textId="77777777" w:rsidTr="00EE6597">
        <w:trPr>
          <w:trHeight w:val="884"/>
        </w:trPr>
        <w:tc>
          <w:tcPr>
            <w:tcW w:w="2689" w:type="dxa"/>
          </w:tcPr>
          <w:p w14:paraId="3F32D1EA" w14:textId="77777777" w:rsidR="008430E7" w:rsidRPr="007C55B9" w:rsidRDefault="008430E7" w:rsidP="00EE6597">
            <w:pPr>
              <w:jc w:val="both"/>
              <w:rPr>
                <w:rFonts w:ascii="Verdana" w:eastAsia="Calibri" w:hAnsi="Verdana" w:cs="Arial"/>
                <w:lang w:val="es-ES_tradnl" w:eastAsia="es-ES_tradnl"/>
              </w:rPr>
            </w:pPr>
            <w:r w:rsidRPr="007C55B9">
              <w:rPr>
                <w:rFonts w:ascii="Verdana" w:eastAsia="Calibri" w:hAnsi="Verdana" w:cs="Arial"/>
                <w:b/>
                <w:lang w:val="es-ES_tradnl" w:eastAsia="es-ES_tradnl"/>
              </w:rPr>
              <w:t>Temas:</w:t>
            </w:r>
            <w:r w:rsidRPr="007C55B9">
              <w:rPr>
                <w:rFonts w:ascii="Verdana" w:eastAsia="Calibri" w:hAnsi="Verdana" w:cs="Arial"/>
                <w:lang w:val="es-ES_tradnl" w:eastAsia="es-ES_tradnl"/>
              </w:rPr>
              <w:t xml:space="preserve">                   </w:t>
            </w:r>
          </w:p>
        </w:tc>
        <w:tc>
          <w:tcPr>
            <w:tcW w:w="6100" w:type="dxa"/>
          </w:tcPr>
          <w:p w14:paraId="1BABDA06" w14:textId="77777777" w:rsidR="008430E7" w:rsidRPr="00646C72" w:rsidRDefault="008430E7" w:rsidP="00EE6597">
            <w:pPr>
              <w:spacing w:line="276" w:lineRule="auto"/>
              <w:jc w:val="both"/>
              <w:rPr>
                <w:rFonts w:ascii="Verdana" w:hAnsi="Verdana" w:cs="Arial"/>
                <w:lang w:val="es-ES" w:eastAsia="es-ES"/>
              </w:rPr>
            </w:pPr>
            <w:r w:rsidRPr="00C55BDE">
              <w:rPr>
                <w:rFonts w:ascii="Verdana" w:hAnsi="Verdana" w:cs="Arial"/>
                <w:lang w:val="es-ES" w:eastAsia="es-ES"/>
              </w:rPr>
              <w:t>LEY DE GARANTÍAS ELECTORALES – Finalidad / LEY DE GARANTÍAS ELECTORALES ‒ Restricciones ‒ Contratación ‒ Tipos de elección ‒</w:t>
            </w:r>
            <w:r>
              <w:rPr>
                <w:rFonts w:ascii="Verdana" w:hAnsi="Verdana" w:cs="Arial"/>
                <w:lang w:val="es-ES" w:eastAsia="es-ES"/>
              </w:rPr>
              <w:t xml:space="preserve"> Celebración </w:t>
            </w:r>
            <w:r w:rsidRPr="00C55BDE">
              <w:rPr>
                <w:rFonts w:ascii="Verdana" w:hAnsi="Verdana" w:cs="Arial"/>
                <w:lang w:val="es-MX" w:eastAsia="es-ES_tradnl"/>
              </w:rPr>
              <w:t>/</w:t>
            </w:r>
            <w:r w:rsidRPr="00C55BDE">
              <w:rPr>
                <w:rFonts w:ascii="Verdana" w:hAnsi="Verdana"/>
              </w:rPr>
              <w:t xml:space="preserve"> </w:t>
            </w:r>
            <w:r w:rsidRPr="00686D64">
              <w:rPr>
                <w:rFonts w:ascii="Verdana" w:eastAsia="Calibri" w:hAnsi="Verdana" w:cs="Arial"/>
                <w:lang w:val="es-ES" w:eastAsia="es-ES"/>
              </w:rPr>
              <w:t>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w:t>
            </w:r>
            <w:r>
              <w:rPr>
                <w:rFonts w:ascii="Verdana" w:eastAsia="Calibri" w:hAnsi="Verdana" w:cs="Arial"/>
                <w:lang w:val="es-ES" w:eastAsia="es-ES"/>
              </w:rPr>
              <w:t xml:space="preserve"> Destinatarios </w:t>
            </w:r>
            <w:r w:rsidRPr="00C55BDE">
              <w:rPr>
                <w:rFonts w:ascii="Verdana" w:hAnsi="Verdana" w:cs="Arial"/>
                <w:lang w:val="es-MX" w:eastAsia="es-ES_tradnl"/>
              </w:rPr>
              <w:t>/</w:t>
            </w:r>
            <w:r>
              <w:rPr>
                <w:rFonts w:ascii="Verdana" w:hAnsi="Verdana" w:cs="Arial"/>
                <w:lang w:val="es-MX" w:eastAsia="es-ES_tradnl"/>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Plataforma Transaccional </w:t>
            </w:r>
            <w:r>
              <w:rPr>
                <w:rFonts w:ascii="Verdana" w:eastAsia="Calibri" w:hAnsi="Verdana" w:cs="Arial"/>
                <w:lang w:val="es-ES" w:eastAsia="es-ES"/>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Contrato electrónico </w:t>
            </w:r>
            <w:r>
              <w:rPr>
                <w:rFonts w:ascii="Verdana" w:eastAsia="Calibri" w:hAnsi="Verdana" w:cs="Arial"/>
                <w:lang w:val="es-ES" w:eastAsia="es-ES"/>
              </w:rPr>
              <w:t xml:space="preserve">– Aprobación </w:t>
            </w:r>
            <w:r>
              <w:rPr>
                <w:rFonts w:ascii="Verdana" w:hAnsi="Verdana" w:cs="Arial"/>
                <w:color w:val="000000" w:themeColor="text1"/>
                <w:shd w:val="clear" w:color="auto" w:fill="FFFFFF"/>
                <w:lang w:val="es-MX"/>
              </w:rPr>
              <w:t xml:space="preserve">– Perfeccionamiento /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 Aplicación ley de gara</w:t>
            </w:r>
            <w:r w:rsidRPr="00562602">
              <w:rPr>
                <w:rFonts w:ascii="Verdana" w:hAnsi="Verdana" w:cs="Arial"/>
                <w:color w:val="000000" w:themeColor="text1"/>
                <w:shd w:val="clear" w:color="auto" w:fill="FFFFFF"/>
                <w:lang w:val="es-MX"/>
              </w:rPr>
              <w:t>ntías</w:t>
            </w:r>
            <w:r>
              <w:rPr>
                <w:rFonts w:ascii="Verdana" w:hAnsi="Verdana" w:cs="Arial"/>
                <w:color w:val="000000" w:themeColor="text1"/>
                <w:shd w:val="clear" w:color="auto" w:fill="FFFFFF"/>
                <w:lang w:val="es-MX"/>
              </w:rPr>
              <w:t xml:space="preserve"> – Nulidad </w:t>
            </w:r>
            <w:r w:rsidRPr="00F12E75">
              <w:rPr>
                <w:rFonts w:ascii="Verdana" w:eastAsia="Calibri" w:hAnsi="Verdana" w:cs="Arial"/>
                <w:lang w:val="es-ES" w:eastAsia="es-ES"/>
              </w:rPr>
              <w:t xml:space="preserve">/ </w:t>
            </w:r>
            <w:r>
              <w:rPr>
                <w:rFonts w:ascii="Verdana" w:eastAsia="Calibri" w:hAnsi="Verdana" w:cs="Arial"/>
                <w:lang w:val="es-ES" w:eastAsia="es-ES"/>
              </w:rPr>
              <w:t>CONTRATO DE PRESTACIÓN DE SERVICIOS PROFESIONALES</w:t>
            </w:r>
            <w:r w:rsidRPr="00F12E75">
              <w:rPr>
                <w:rFonts w:ascii="Verdana" w:eastAsia="Calibri" w:hAnsi="Verdana" w:cs="Arial"/>
                <w:lang w:val="es-ES" w:eastAsia="es-ES"/>
              </w:rPr>
              <w:t xml:space="preserve"> ─ Contratación Directa </w:t>
            </w:r>
            <w:r>
              <w:rPr>
                <w:rFonts w:ascii="Verdana" w:eastAsia="Calibri" w:hAnsi="Verdana" w:cs="Arial"/>
                <w:lang w:val="es-ES" w:eastAsia="es-ES"/>
              </w:rPr>
              <w:t xml:space="preserve">– </w:t>
            </w:r>
            <w:r w:rsidRPr="00F12E75">
              <w:rPr>
                <w:rFonts w:ascii="Verdana" w:eastAsia="Calibri" w:hAnsi="Verdana" w:cs="Arial"/>
                <w:lang w:val="es-ES" w:eastAsia="es-ES"/>
              </w:rPr>
              <w:t xml:space="preserve">Excepciones </w:t>
            </w:r>
          </w:p>
        </w:tc>
      </w:tr>
    </w:tbl>
    <w:p w14:paraId="33FD3A15" w14:textId="77777777" w:rsidR="008430E7" w:rsidRPr="007C55B9" w:rsidRDefault="008430E7" w:rsidP="008430E7">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430E7" w:rsidRPr="007C55B9" w14:paraId="3009B930" w14:textId="77777777" w:rsidTr="00EE6597">
        <w:tc>
          <w:tcPr>
            <w:tcW w:w="2689" w:type="dxa"/>
          </w:tcPr>
          <w:p w14:paraId="14AA10B9" w14:textId="77777777" w:rsidR="008430E7" w:rsidRPr="007C55B9" w:rsidRDefault="008430E7" w:rsidP="00EE6597">
            <w:pPr>
              <w:jc w:val="both"/>
              <w:rPr>
                <w:rFonts w:ascii="Verdana" w:eastAsia="Calibri" w:hAnsi="Verdana" w:cs="Arial"/>
                <w:b/>
                <w:lang w:val="es-ES_tradnl" w:eastAsia="es-ES_tradnl"/>
              </w:rPr>
            </w:pPr>
            <w:r w:rsidRPr="007C55B9">
              <w:rPr>
                <w:rFonts w:ascii="Verdana" w:eastAsia="Calibri" w:hAnsi="Verdana" w:cs="Arial"/>
                <w:b/>
                <w:lang w:val="es-ES_tradnl" w:eastAsia="es-ES_tradnl"/>
              </w:rPr>
              <w:t>Radicación:</w:t>
            </w:r>
            <w:r w:rsidRPr="007C55B9">
              <w:rPr>
                <w:rFonts w:ascii="Verdana" w:eastAsia="Calibri" w:hAnsi="Verdana" w:cs="Arial"/>
                <w:lang w:val="es-ES_tradnl" w:eastAsia="es-ES_tradnl"/>
              </w:rPr>
              <w:t xml:space="preserve">               </w:t>
            </w:r>
          </w:p>
        </w:tc>
        <w:tc>
          <w:tcPr>
            <w:tcW w:w="6100" w:type="dxa"/>
          </w:tcPr>
          <w:p w14:paraId="5B503B8F" w14:textId="77777777" w:rsidR="008430E7" w:rsidRPr="007C55B9" w:rsidRDefault="008430E7" w:rsidP="00EE6597">
            <w:pPr>
              <w:jc w:val="both"/>
              <w:rPr>
                <w:rFonts w:ascii="Verdana" w:eastAsia="Calibri" w:hAnsi="Verdana" w:cs="Arial"/>
                <w:lang w:val="es-ES_tradnl" w:eastAsia="es-ES_tradnl"/>
              </w:rPr>
            </w:pPr>
            <w:r w:rsidRPr="007C55B9">
              <w:rPr>
                <w:rFonts w:ascii="Verdana" w:eastAsia="Calibri" w:hAnsi="Verdana" w:cs="Arial"/>
                <w:lang w:val="es-ES_tradnl" w:eastAsia="es-ES_tradnl"/>
              </w:rPr>
              <w:t xml:space="preserve">Respuesta a consulta con radicado No. </w:t>
            </w:r>
            <w:r w:rsidRPr="00FE1740">
              <w:rPr>
                <w:rFonts w:ascii="Verdana" w:eastAsia="Calibri" w:hAnsi="Verdana" w:cs="Arial"/>
                <w:lang w:val="es-ES_tradnl" w:eastAsia="es-ES_tradnl"/>
              </w:rPr>
              <w:t>1_2026_03_03_002934</w:t>
            </w:r>
          </w:p>
        </w:tc>
      </w:tr>
    </w:tbl>
    <w:p w14:paraId="001230EC" w14:textId="77777777" w:rsidR="008430E7" w:rsidRPr="007C55B9" w:rsidRDefault="008430E7" w:rsidP="008430E7">
      <w:pPr>
        <w:spacing w:after="0" w:line="240" w:lineRule="auto"/>
        <w:jc w:val="both"/>
        <w:rPr>
          <w:rFonts w:ascii="Verdana" w:eastAsia="Calibri" w:hAnsi="Verdana" w:cs="Arial"/>
          <w:lang w:val="es-ES_tradnl" w:eastAsia="es-ES_tradnl"/>
        </w:rPr>
      </w:pPr>
    </w:p>
    <w:p w14:paraId="54EB6FFA" w14:textId="77777777" w:rsidR="008430E7" w:rsidRPr="007C55B9" w:rsidRDefault="008430E7" w:rsidP="008430E7">
      <w:pPr>
        <w:spacing w:after="0" w:line="240" w:lineRule="auto"/>
        <w:jc w:val="both"/>
        <w:rPr>
          <w:rFonts w:ascii="Verdana" w:eastAsia="Calibri" w:hAnsi="Verdana" w:cs="Arial"/>
          <w:lang w:val="es-ES_tradnl" w:eastAsia="es-ES_tradnl"/>
        </w:rPr>
      </w:pPr>
    </w:p>
    <w:p w14:paraId="6733A409" w14:textId="77777777" w:rsidR="008430E7" w:rsidRPr="007C55B9" w:rsidRDefault="008430E7" w:rsidP="008430E7">
      <w:pPr>
        <w:spacing w:after="0" w:line="276" w:lineRule="auto"/>
        <w:jc w:val="both"/>
        <w:rPr>
          <w:rFonts w:ascii="Verdana" w:eastAsia="Calibri" w:hAnsi="Verdana" w:cs="Arial"/>
          <w:lang w:val="es-ES" w:eastAsia="es-ES"/>
        </w:rPr>
      </w:pPr>
      <w:r w:rsidRPr="007C55B9">
        <w:rPr>
          <w:rFonts w:ascii="Verdana" w:eastAsia="Calibri" w:hAnsi="Verdana" w:cs="Arial"/>
          <w:lang w:val="es-ES" w:eastAsia="es-ES"/>
        </w:rPr>
        <w:t>Estima</w:t>
      </w:r>
      <w:r>
        <w:rPr>
          <w:rFonts w:ascii="Verdana" w:eastAsia="Calibri" w:hAnsi="Verdana" w:cs="Arial"/>
          <w:lang w:val="es-ES" w:eastAsia="es-ES"/>
        </w:rPr>
        <w:t>da Mayor Sánchez</w:t>
      </w:r>
      <w:r w:rsidRPr="007C55B9">
        <w:rPr>
          <w:rFonts w:ascii="Verdana" w:eastAsia="Calibri" w:hAnsi="Verdana" w:cs="Arial"/>
          <w:lang w:val="es-ES" w:eastAsia="es-ES"/>
        </w:rPr>
        <w:t xml:space="preserve">: </w:t>
      </w:r>
    </w:p>
    <w:p w14:paraId="4328C90F" w14:textId="77777777" w:rsidR="008430E7" w:rsidRPr="007C55B9" w:rsidRDefault="008430E7" w:rsidP="008430E7">
      <w:pPr>
        <w:tabs>
          <w:tab w:val="left" w:pos="3768"/>
        </w:tabs>
        <w:spacing w:after="0" w:line="276" w:lineRule="auto"/>
        <w:jc w:val="both"/>
        <w:rPr>
          <w:rFonts w:ascii="Verdana" w:eastAsia="Calibri" w:hAnsi="Verdana" w:cs="Arial"/>
          <w:lang w:val="es-ES" w:eastAsia="es-ES"/>
        </w:rPr>
      </w:pPr>
    </w:p>
    <w:p w14:paraId="0EB60B7C" w14:textId="77777777" w:rsidR="008430E7" w:rsidRPr="007C55B9" w:rsidRDefault="008430E7" w:rsidP="008430E7">
      <w:pPr>
        <w:spacing w:after="0" w:line="276" w:lineRule="auto"/>
        <w:jc w:val="both"/>
        <w:rPr>
          <w:rFonts w:ascii="Verdana" w:eastAsia="Calibri" w:hAnsi="Verdana" w:cs="Arial"/>
          <w:lang w:val="es-ES" w:eastAsia="es-ES"/>
        </w:rPr>
      </w:pPr>
      <w:r w:rsidRPr="007C55B9">
        <w:rPr>
          <w:rFonts w:ascii="Verdana" w:eastAsia="Calibri" w:hAnsi="Verdana" w:cs="Arial"/>
          <w:lang w:val="es-ES" w:eastAsia="es-ES"/>
        </w:rPr>
        <w:t>En ejercicio de la competencia otorgada por los artículos 3, numeral 5º, y 11, numeral 8º, del Decreto Ley 4170 de 2011,</w:t>
      </w:r>
      <w:r w:rsidRPr="007C55B9">
        <w:rPr>
          <w:rFonts w:ascii="Verdana" w:eastAsia="Arial MT" w:hAnsi="Verdana" w:cs="Arial MT"/>
          <w:lang w:val="es-ES" w:eastAsia="es-ES"/>
        </w:rPr>
        <w:t xml:space="preserve"> </w:t>
      </w:r>
      <w:r w:rsidRPr="007C55B9">
        <w:rPr>
          <w:rFonts w:ascii="Verdana" w:eastAsia="Aptos" w:hAnsi="Verdana" w:cs="Arial"/>
        </w:rPr>
        <w:t xml:space="preserve">así como lo establecido en el artículo 4 de la Resolución 1707 de 2018 expedida por esta Entidad, </w:t>
      </w:r>
      <w:r w:rsidRPr="007C55B9">
        <w:rPr>
          <w:rFonts w:ascii="Verdana" w:eastAsia="Calibri" w:hAnsi="Verdana" w:cs="Arial"/>
          <w:lang w:val="es-ES" w:eastAsia="es-ES"/>
        </w:rPr>
        <w:t xml:space="preserve">la Agencia Nacional de Contratación Pública – Colombia Compra Eficiente– responde su petición del 13 de febrero de 2026, en la que realiza la siguiente consulta: </w:t>
      </w:r>
    </w:p>
    <w:p w14:paraId="78E34F03" w14:textId="77777777" w:rsidR="008430E7" w:rsidRPr="007C55B9" w:rsidRDefault="008430E7" w:rsidP="008430E7">
      <w:pPr>
        <w:spacing w:after="0" w:line="276" w:lineRule="auto"/>
        <w:jc w:val="both"/>
        <w:rPr>
          <w:rFonts w:ascii="Verdana" w:eastAsia="Calibri" w:hAnsi="Verdana" w:cs="Arial"/>
          <w:lang w:val="es-ES" w:eastAsia="es-ES"/>
        </w:rPr>
      </w:pPr>
    </w:p>
    <w:p w14:paraId="435B246B" w14:textId="77777777" w:rsidR="008430E7" w:rsidRDefault="008430E7" w:rsidP="008430E7">
      <w:pPr>
        <w:spacing w:after="0" w:line="240" w:lineRule="auto"/>
        <w:ind w:left="709" w:right="709"/>
        <w:jc w:val="both"/>
        <w:rPr>
          <w:rFonts w:ascii="Verdana" w:eastAsia="Calibri" w:hAnsi="Verdana" w:cs="Arial"/>
          <w:sz w:val="20"/>
          <w:szCs w:val="20"/>
          <w:lang w:val="es-MX"/>
        </w:rPr>
      </w:pPr>
      <w:r w:rsidRPr="007C55B9">
        <w:rPr>
          <w:rFonts w:ascii="Verdana" w:eastAsia="Calibri" w:hAnsi="Verdana" w:cs="Arial"/>
          <w:sz w:val="20"/>
          <w:szCs w:val="20"/>
          <w:lang w:val="es-MX"/>
        </w:rPr>
        <w:t>“</w:t>
      </w:r>
      <w:r>
        <w:rPr>
          <w:rFonts w:ascii="Verdana" w:eastAsia="Calibri" w:hAnsi="Verdana" w:cs="Arial"/>
          <w:sz w:val="20"/>
          <w:szCs w:val="20"/>
          <w:lang w:val="es-MX"/>
        </w:rPr>
        <w:t xml:space="preserve"> […] </w:t>
      </w:r>
    </w:p>
    <w:p w14:paraId="1A91004E" w14:textId="77777777" w:rsidR="008430E7" w:rsidRDefault="008430E7" w:rsidP="008430E7">
      <w:pPr>
        <w:pStyle w:val="Prrafodelista"/>
        <w:numPr>
          <w:ilvl w:val="0"/>
          <w:numId w:val="2"/>
        </w:numPr>
        <w:spacing w:after="0" w:line="240" w:lineRule="auto"/>
        <w:ind w:right="709"/>
        <w:jc w:val="both"/>
        <w:rPr>
          <w:rFonts w:ascii="Verdana" w:eastAsia="Calibri" w:hAnsi="Verdana" w:cs="Arial"/>
          <w:sz w:val="20"/>
          <w:szCs w:val="20"/>
          <w:lang w:val="es-MX"/>
        </w:rPr>
      </w:pPr>
      <w:r>
        <w:rPr>
          <w:rFonts w:ascii="Verdana" w:eastAsia="Calibri" w:hAnsi="Verdana" w:cs="Arial"/>
          <w:sz w:val="20"/>
          <w:szCs w:val="20"/>
          <w:lang w:val="es-MX"/>
        </w:rPr>
        <w:lastRenderedPageBreak/>
        <w:t>Fecha de la cual inicio el periodo de restricción electoral conocido como ley de garantías.</w:t>
      </w:r>
    </w:p>
    <w:p w14:paraId="47C5653C" w14:textId="77777777" w:rsidR="008430E7" w:rsidRDefault="008430E7" w:rsidP="008430E7">
      <w:pPr>
        <w:pStyle w:val="Prrafodelista"/>
        <w:numPr>
          <w:ilvl w:val="0"/>
          <w:numId w:val="2"/>
        </w:numPr>
        <w:spacing w:after="0" w:line="240" w:lineRule="auto"/>
        <w:ind w:right="709"/>
        <w:jc w:val="both"/>
        <w:rPr>
          <w:rFonts w:ascii="Verdana" w:eastAsia="Calibri" w:hAnsi="Verdana" w:cs="Arial"/>
          <w:sz w:val="20"/>
          <w:szCs w:val="20"/>
          <w:lang w:val="es-MX"/>
        </w:rPr>
      </w:pPr>
      <w:r>
        <w:rPr>
          <w:rFonts w:ascii="Verdana" w:eastAsia="Calibri" w:hAnsi="Verdana" w:cs="Arial"/>
          <w:sz w:val="20"/>
          <w:szCs w:val="20"/>
          <w:lang w:val="es-MX"/>
        </w:rPr>
        <w:t>Si la celebración de contratos de prestación de servicios profesionales en el periodo de restricción electoral constituye una vulneración de la Ley de Garantías.</w:t>
      </w:r>
    </w:p>
    <w:p w14:paraId="7AC991C6" w14:textId="77777777" w:rsidR="008430E7" w:rsidRDefault="008430E7" w:rsidP="008430E7">
      <w:pPr>
        <w:pStyle w:val="Prrafodelista"/>
        <w:numPr>
          <w:ilvl w:val="0"/>
          <w:numId w:val="2"/>
        </w:numPr>
        <w:spacing w:after="0" w:line="240" w:lineRule="auto"/>
        <w:ind w:right="709"/>
        <w:jc w:val="both"/>
        <w:rPr>
          <w:rFonts w:ascii="Verdana" w:eastAsia="Calibri" w:hAnsi="Verdana" w:cs="Arial"/>
          <w:sz w:val="20"/>
          <w:szCs w:val="20"/>
          <w:lang w:val="es-MX"/>
        </w:rPr>
      </w:pPr>
      <w:r>
        <w:rPr>
          <w:rFonts w:ascii="Verdana" w:eastAsia="Calibri" w:hAnsi="Verdana" w:cs="Arial"/>
          <w:sz w:val="20"/>
          <w:szCs w:val="20"/>
          <w:lang w:val="es-MX"/>
        </w:rPr>
        <w:t xml:space="preserve">Cuáles son las excepciones previstas en la normativa y si los contratos que han sido suscritos en el mes de febrero 2026 </w:t>
      </w:r>
      <w:proofErr w:type="gramStart"/>
      <w:r>
        <w:rPr>
          <w:rFonts w:ascii="Verdana" w:eastAsia="Calibri" w:hAnsi="Verdana" w:cs="Arial"/>
          <w:sz w:val="20"/>
          <w:szCs w:val="20"/>
          <w:lang w:val="es-MX"/>
        </w:rPr>
        <w:t>se enmarcan dentro de</w:t>
      </w:r>
      <w:proofErr w:type="gramEnd"/>
      <w:r>
        <w:rPr>
          <w:rFonts w:ascii="Verdana" w:eastAsia="Calibri" w:hAnsi="Verdana" w:cs="Arial"/>
          <w:sz w:val="20"/>
          <w:szCs w:val="20"/>
          <w:lang w:val="es-MX"/>
        </w:rPr>
        <w:t xml:space="preserve"> ellas.</w:t>
      </w:r>
    </w:p>
    <w:p w14:paraId="21EA571C" w14:textId="77777777" w:rsidR="008430E7" w:rsidRDefault="008430E7" w:rsidP="008430E7">
      <w:pPr>
        <w:pStyle w:val="Prrafodelista"/>
        <w:numPr>
          <w:ilvl w:val="0"/>
          <w:numId w:val="2"/>
        </w:numPr>
        <w:spacing w:after="0" w:line="240" w:lineRule="auto"/>
        <w:ind w:right="709"/>
        <w:jc w:val="both"/>
        <w:rPr>
          <w:rFonts w:ascii="Verdana" w:eastAsia="Calibri" w:hAnsi="Verdana" w:cs="Arial"/>
          <w:sz w:val="20"/>
          <w:szCs w:val="20"/>
          <w:lang w:val="es-MX"/>
        </w:rPr>
      </w:pPr>
      <w:r>
        <w:rPr>
          <w:rFonts w:ascii="Verdana" w:eastAsia="Calibri" w:hAnsi="Verdana" w:cs="Arial"/>
          <w:sz w:val="20"/>
          <w:szCs w:val="20"/>
          <w:lang w:val="es-MX"/>
        </w:rPr>
        <w:t>Las consecuencias jurídicas y administrativas que pueden derivarse de la suscripción de dichos contratos en contravía de la Ley de Garantías.</w:t>
      </w:r>
    </w:p>
    <w:p w14:paraId="361CA284" w14:textId="77777777" w:rsidR="008430E7" w:rsidRDefault="008430E7" w:rsidP="008430E7">
      <w:pPr>
        <w:pStyle w:val="Prrafodelista"/>
        <w:numPr>
          <w:ilvl w:val="0"/>
          <w:numId w:val="2"/>
        </w:numPr>
        <w:spacing w:after="0" w:line="240" w:lineRule="auto"/>
        <w:ind w:right="709"/>
        <w:jc w:val="both"/>
        <w:rPr>
          <w:rFonts w:ascii="Verdana" w:eastAsia="Calibri" w:hAnsi="Verdana" w:cs="Arial"/>
          <w:sz w:val="20"/>
          <w:szCs w:val="20"/>
          <w:lang w:val="es-MX"/>
        </w:rPr>
      </w:pPr>
      <w:r>
        <w:rPr>
          <w:rFonts w:ascii="Verdana" w:eastAsia="Calibri" w:hAnsi="Verdana" w:cs="Arial"/>
          <w:sz w:val="20"/>
          <w:szCs w:val="20"/>
          <w:lang w:val="es-MX"/>
        </w:rPr>
        <w:t xml:space="preserve">Las responsabilidades que recaen sobre el ordenador del gasto, el jefe de la sección de contratos y los asesores jurídicos contratistas en este tipo de actuaciones. </w:t>
      </w:r>
    </w:p>
    <w:p w14:paraId="03937786" w14:textId="77777777" w:rsidR="008430E7" w:rsidRPr="004F30DC" w:rsidRDefault="008430E7" w:rsidP="008430E7">
      <w:pPr>
        <w:pStyle w:val="Prrafodelista"/>
        <w:spacing w:after="0" w:line="240" w:lineRule="auto"/>
        <w:ind w:left="1429" w:right="709"/>
        <w:jc w:val="both"/>
        <w:rPr>
          <w:rFonts w:ascii="Verdana" w:eastAsia="Calibri" w:hAnsi="Verdana" w:cs="Arial"/>
          <w:sz w:val="20"/>
          <w:szCs w:val="20"/>
          <w:lang w:val="es-MX"/>
        </w:rPr>
      </w:pPr>
      <w:r>
        <w:rPr>
          <w:rFonts w:ascii="Verdana" w:eastAsia="Calibri" w:hAnsi="Verdana" w:cs="Arial"/>
          <w:sz w:val="20"/>
          <w:szCs w:val="20"/>
          <w:lang w:val="es-MX"/>
        </w:rPr>
        <w:t>[…] “</w:t>
      </w:r>
    </w:p>
    <w:p w14:paraId="4B5D13CA" w14:textId="77777777" w:rsidR="008430E7" w:rsidRPr="007C55B9" w:rsidRDefault="008430E7" w:rsidP="008430E7">
      <w:pPr>
        <w:spacing w:after="0" w:line="276" w:lineRule="auto"/>
        <w:jc w:val="both"/>
        <w:rPr>
          <w:rFonts w:ascii="Verdana" w:eastAsia="Calibri" w:hAnsi="Verdana" w:cs="Arial"/>
          <w:lang w:val="es-ES" w:eastAsia="es-ES"/>
        </w:rPr>
      </w:pPr>
    </w:p>
    <w:p w14:paraId="4CCD0A7E" w14:textId="77777777" w:rsidR="008430E7" w:rsidRPr="007C55B9" w:rsidRDefault="008430E7" w:rsidP="008430E7">
      <w:pPr>
        <w:spacing w:after="120" w:line="276" w:lineRule="auto"/>
        <w:jc w:val="both"/>
        <w:rPr>
          <w:rFonts w:ascii="Verdana" w:eastAsia="Calibri" w:hAnsi="Verdana" w:cs="Arial"/>
          <w:szCs w:val="24"/>
          <w:lang w:val="es-ES_tradnl" w:eastAsia="es-ES_tradnl"/>
        </w:rPr>
      </w:pPr>
      <w:r w:rsidRPr="007C55B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7C55B9">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1186301" w14:textId="77777777" w:rsidR="008430E7" w:rsidRPr="007C55B9" w:rsidRDefault="008430E7" w:rsidP="008430E7">
      <w:pPr>
        <w:spacing w:after="0" w:line="276" w:lineRule="auto"/>
        <w:ind w:firstLine="709"/>
        <w:jc w:val="both"/>
        <w:rPr>
          <w:rFonts w:ascii="Verdana" w:eastAsia="Calibri" w:hAnsi="Verdana" w:cs="Arial"/>
          <w:lang w:val="es-ES" w:eastAsia="es-ES"/>
        </w:rPr>
      </w:pPr>
      <w:r w:rsidRPr="007C55B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7C55B9">
        <w:rPr>
          <w:rFonts w:ascii="Verdana" w:eastAsia="Calibri" w:hAnsi="Verdana" w:cs="Arial"/>
          <w:lang w:val="es-ES" w:eastAsia="es-ES"/>
        </w:rPr>
        <w:t xml:space="preserve"> </w:t>
      </w:r>
      <w:r>
        <w:rPr>
          <w:rFonts w:ascii="Verdana" w:eastAsia="Calibri" w:hAnsi="Verdana" w:cs="Arial"/>
          <w:lang w:val="es-ES" w:eastAsia="es-ES"/>
        </w:rPr>
        <w:t>alg</w:t>
      </w:r>
      <w:r w:rsidRPr="007C55B9">
        <w:rPr>
          <w:rFonts w:ascii="Verdana" w:eastAsia="Calibri" w:hAnsi="Verdana" w:cs="Arial"/>
          <w:lang w:val="es-ES" w:eastAsia="es-ES"/>
        </w:rPr>
        <w:t xml:space="preserve">unas consideraciones sobre las normas generales relacionadas con los problemas jurídicos de su consulta. </w:t>
      </w:r>
    </w:p>
    <w:p w14:paraId="4F9B1865" w14:textId="77777777" w:rsidR="008430E7" w:rsidRPr="007C55B9" w:rsidRDefault="008430E7" w:rsidP="008430E7">
      <w:pPr>
        <w:spacing w:after="0" w:line="276" w:lineRule="auto"/>
        <w:ind w:firstLine="709"/>
        <w:jc w:val="both"/>
        <w:rPr>
          <w:rFonts w:ascii="Verdana" w:eastAsia="Calibri" w:hAnsi="Verdana" w:cs="Arial"/>
          <w:lang w:val="es-ES" w:eastAsia="es-ES"/>
        </w:rPr>
      </w:pPr>
    </w:p>
    <w:p w14:paraId="0C03BE6D" w14:textId="77777777" w:rsidR="008430E7" w:rsidRPr="007C55B9" w:rsidRDefault="008430E7" w:rsidP="008430E7">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7C55B9">
        <w:rPr>
          <w:rFonts w:ascii="Verdana" w:eastAsia="Arial" w:hAnsi="Verdana" w:cs="Arial"/>
          <w:b/>
          <w:bCs/>
          <w:lang w:val="es-ES"/>
        </w:rPr>
        <w:t>1. Problema planteado:</w:t>
      </w:r>
    </w:p>
    <w:p w14:paraId="06AD0603" w14:textId="77777777" w:rsidR="008430E7" w:rsidRPr="007C55B9" w:rsidRDefault="008430E7" w:rsidP="008430E7">
      <w:pPr>
        <w:tabs>
          <w:tab w:val="left" w:pos="426"/>
        </w:tabs>
        <w:spacing w:after="0" w:line="276" w:lineRule="auto"/>
        <w:jc w:val="both"/>
        <w:rPr>
          <w:rFonts w:ascii="Verdana" w:eastAsia="Century Gothic" w:hAnsi="Verdana" w:cs="Century Gothic"/>
          <w:lang w:val="es-ES"/>
        </w:rPr>
      </w:pPr>
    </w:p>
    <w:p w14:paraId="36CC4D39" w14:textId="77777777" w:rsidR="008430E7" w:rsidRPr="007C55B9" w:rsidRDefault="008430E7" w:rsidP="008430E7">
      <w:pPr>
        <w:spacing w:after="0"/>
        <w:jc w:val="both"/>
        <w:rPr>
          <w:rFonts w:ascii="Verdana" w:hAnsi="Verdana"/>
        </w:rPr>
      </w:pPr>
      <w:r w:rsidRPr="007C55B9">
        <w:rPr>
          <w:rFonts w:ascii="Verdana" w:eastAsia="Century Gothic" w:hAnsi="Verdana" w:cs="Century Gothic"/>
        </w:rPr>
        <w:lastRenderedPageBreak/>
        <w:t xml:space="preserve">De acuerdo con el contenido de su solicitud, le informamos que la misma se resolverá desde el siguiente </w:t>
      </w:r>
      <w:bookmarkStart w:id="1" w:name="_Hlk171070029"/>
      <w:r w:rsidRPr="007C55B9">
        <w:rPr>
          <w:rFonts w:ascii="Verdana" w:eastAsia="Century Gothic" w:hAnsi="Verdana" w:cs="Century Gothic"/>
        </w:rPr>
        <w:t>interrogante</w:t>
      </w:r>
      <w:r w:rsidRPr="00550E37">
        <w:rPr>
          <w:rFonts w:ascii="Verdana" w:eastAsia="Century Gothic" w:hAnsi="Verdana" w:cs="Century Gothic"/>
        </w:rPr>
        <w:t xml:space="preserve">: i) </w:t>
      </w:r>
      <w:r w:rsidRPr="00550E37">
        <w:rPr>
          <w:rFonts w:ascii="Verdana" w:hAnsi="Verdana"/>
        </w:rPr>
        <w:t xml:space="preserve">¿Cómo operan las restricciones y excepciones de la Ley de Garantías Electorales –Ley 996 de 2005? y </w:t>
      </w:r>
      <w:proofErr w:type="spellStart"/>
      <w:r w:rsidRPr="00550E37">
        <w:rPr>
          <w:rFonts w:ascii="Verdana" w:hAnsi="Verdana"/>
        </w:rPr>
        <w:t>ii</w:t>
      </w:r>
      <w:proofErr w:type="spellEnd"/>
      <w:r w:rsidRPr="00550E37">
        <w:rPr>
          <w:rFonts w:ascii="Verdana" w:hAnsi="Verdana"/>
        </w:rPr>
        <w:t>) ¿cuáles son las consecuencias jurídicas que se derivan de la no observancia de esta norma?</w:t>
      </w:r>
    </w:p>
    <w:p w14:paraId="56BB5D05" w14:textId="77777777" w:rsidR="008430E7" w:rsidRPr="007C55B9" w:rsidRDefault="008430E7" w:rsidP="008430E7">
      <w:pPr>
        <w:spacing w:after="0"/>
        <w:jc w:val="both"/>
        <w:rPr>
          <w:rFonts w:ascii="Verdana" w:hAnsi="Verdana"/>
        </w:rPr>
      </w:pPr>
    </w:p>
    <w:bookmarkEnd w:id="1"/>
    <w:p w14:paraId="6CEC766F" w14:textId="77777777" w:rsidR="008430E7" w:rsidRPr="007C55B9" w:rsidRDefault="008430E7" w:rsidP="008430E7">
      <w:pPr>
        <w:widowControl w:val="0"/>
        <w:autoSpaceDE w:val="0"/>
        <w:autoSpaceDN w:val="0"/>
        <w:spacing w:before="1" w:after="0" w:line="240" w:lineRule="auto"/>
        <w:jc w:val="both"/>
        <w:outlineLvl w:val="0"/>
        <w:rPr>
          <w:rFonts w:ascii="Verdana" w:eastAsia="Arial" w:hAnsi="Verdana" w:cs="Arial"/>
          <w:b/>
          <w:bCs/>
          <w:lang w:val="es-ES"/>
        </w:rPr>
      </w:pPr>
      <w:r w:rsidRPr="007C55B9">
        <w:rPr>
          <w:rFonts w:ascii="Verdana" w:eastAsia="Arial" w:hAnsi="Verdana" w:cs="Arial"/>
          <w:b/>
          <w:bCs/>
          <w:lang w:val="es-ES"/>
        </w:rPr>
        <w:t>2. Respuesta:</w:t>
      </w:r>
    </w:p>
    <w:p w14:paraId="46887690" w14:textId="77777777" w:rsidR="008430E7" w:rsidRPr="007C55B9" w:rsidRDefault="008430E7" w:rsidP="008430E7">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430E7" w:rsidRPr="007C55B9" w14:paraId="35EB0A38" w14:textId="77777777" w:rsidTr="00EE6597">
        <w:tc>
          <w:tcPr>
            <w:tcW w:w="8828" w:type="dxa"/>
          </w:tcPr>
          <w:p w14:paraId="7C393E10" w14:textId="77777777" w:rsidR="008430E7" w:rsidRDefault="008430E7" w:rsidP="00EE6597">
            <w:pPr>
              <w:spacing w:after="120" w:line="276" w:lineRule="auto"/>
              <w:jc w:val="both"/>
              <w:rPr>
                <w:rFonts w:ascii="Verdana" w:eastAsia="Arial" w:hAnsi="Verdana" w:cs="Arial"/>
                <w:lang w:val="es-ES" w:eastAsia="es-ES" w:bidi="es-ES"/>
              </w:rPr>
            </w:pPr>
            <w:bookmarkStart w:id="2" w:name="_Hlk171067516"/>
            <w:r>
              <w:rPr>
                <w:rFonts w:ascii="Verdana" w:eastAsia="Arial" w:hAnsi="Verdana" w:cs="Arial"/>
                <w:lang w:val="es-ES" w:eastAsia="es-ES" w:bidi="es-ES"/>
              </w:rPr>
              <w:t>i. 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p>
          <w:p w14:paraId="3B0EDE27" w14:textId="77777777" w:rsidR="008430E7" w:rsidRDefault="008430E7" w:rsidP="00EE6597">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46D5F33" w14:textId="77777777" w:rsidR="008430E7" w:rsidRDefault="008430E7" w:rsidP="00EE6597">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F31AC8">
              <w:rPr>
                <w:rFonts w:ascii="Verdana" w:eastAsia="Calibri" w:hAnsi="Verdana" w:cs="Arial"/>
                <w:i/>
                <w:iCs/>
              </w:rPr>
              <w:t xml:space="preserve">“[…] </w:t>
            </w:r>
            <w:r w:rsidRPr="00F31AC8">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1AC8">
              <w:rPr>
                <w:rFonts w:ascii="Verdana" w:eastAsia="Calibri" w:hAnsi="Verdana" w:cs="Arial"/>
                <w:i/>
                <w:iCs/>
              </w:rPr>
              <w:t>”</w:t>
            </w:r>
            <w:r w:rsidRPr="00F31AC8">
              <w:rPr>
                <w:rFonts w:ascii="Verdana" w:eastAsia="Calibri" w:hAnsi="Verdana" w:cs="Arial"/>
                <w:i/>
                <w:iCs/>
                <w:lang w:val="es-MX"/>
              </w:rPr>
              <w:t>.</w:t>
            </w:r>
            <w:r>
              <w:rPr>
                <w:rFonts w:ascii="Verdana" w:eastAsia="Arial" w:hAnsi="Verdana" w:cs="Arial"/>
                <w:lang w:val="es-ES" w:eastAsia="es-ES" w:bidi="es-ES"/>
              </w:rPr>
              <w:t xml:space="preserve"> </w:t>
            </w:r>
          </w:p>
          <w:p w14:paraId="32EA09FC" w14:textId="77777777" w:rsidR="008430E7" w:rsidRPr="00612D63" w:rsidRDefault="008430E7" w:rsidP="00EE6597">
            <w:pPr>
              <w:spacing w:after="120" w:line="276" w:lineRule="auto"/>
              <w:ind w:firstLine="709"/>
              <w:jc w:val="both"/>
              <w:rPr>
                <w:rFonts w:ascii="Verdana" w:eastAsia="Times New Roman" w:hAnsi="Verdana" w:cs="Open Sans"/>
                <w:lang w:eastAsia="es-CO"/>
                <w14:ligatures w14:val="standardContextual"/>
              </w:rPr>
            </w:pPr>
            <w:r w:rsidRPr="00E66C77">
              <w:rPr>
                <w:rFonts w:ascii="Verdana" w:eastAsia="Calibri" w:hAnsi="Verdana" w:cs="Arial"/>
                <w:lang w:val="es-ES"/>
              </w:rPr>
              <w:t>Teniendo en cuenta el contenido de su consulta, es importante referirse al ámbito de aplicación de</w:t>
            </w:r>
            <w:r w:rsidRPr="00612D63">
              <w:rPr>
                <w:rFonts w:ascii="Verdana" w:eastAsia="Times New Roman" w:hAnsi="Verdana" w:cs="Open Sans"/>
                <w:lang w:eastAsia="es-CO"/>
                <w14:ligatures w14:val="standardContextual"/>
              </w:rPr>
              <w:t xml:space="preserve">l artículo 33 de la Ley 996 de 2205. Este prohíbe la contratación directa por parte de todos los entes estatales durante los cuatro (4) meses anteriores a las elecciones presidenciales y dispone las excepciones </w:t>
            </w:r>
            <w:r w:rsidRPr="00612D63">
              <w:rPr>
                <w:rFonts w:ascii="Verdana" w:eastAsia="Times New Roman" w:hAnsi="Verdana" w:cs="Open Sans"/>
                <w:lang w:eastAsia="es-CO"/>
                <w14:ligatures w14:val="standardContextual"/>
              </w:rPr>
              <w:lastRenderedPageBreak/>
              <w:t>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78DD5F2" w14:textId="77777777" w:rsidR="008430E7" w:rsidRDefault="008430E7" w:rsidP="00EE6597">
            <w:pPr>
              <w:spacing w:line="276" w:lineRule="auto"/>
              <w:ind w:firstLine="708"/>
              <w:jc w:val="both"/>
              <w:rPr>
                <w:rFonts w:ascii="Verdana" w:eastAsia="Times New Roman" w:hAnsi="Verdana" w:cs="Open Sans"/>
                <w:lang w:eastAsia="es-CO"/>
              </w:rPr>
            </w:pPr>
            <w:r w:rsidRPr="00E66C77">
              <w:rPr>
                <w:rFonts w:ascii="Verdana" w:eastAsia="Times New Roman" w:hAnsi="Verdana" w:cs="Open Sans"/>
                <w:lang w:eastAsia="es-CO"/>
              </w:rPr>
              <w:t xml:space="preserve">De lo anterior se desprende que la restricción aplica, sin perjuicio de las excepciones establecidas en la misma ley, para celebrar cualquier contrato de forma directa, esto es, sin que exista un proceso abierto y competitivo. Así, esta restricción aplica para la celebración de contratos de prestación de servicios dado que su modalidad de selección es la contratación directa. </w:t>
            </w:r>
          </w:p>
          <w:p w14:paraId="7755971A" w14:textId="77777777" w:rsidR="008430E7" w:rsidRPr="008C225B" w:rsidRDefault="008430E7" w:rsidP="00EE6597">
            <w:pPr>
              <w:spacing w:line="276" w:lineRule="auto"/>
              <w:ind w:firstLine="708"/>
              <w:jc w:val="both"/>
              <w:rPr>
                <w:rFonts w:ascii="Verdana" w:hAnsi="Verdana"/>
                <w14:ligatures w14:val="standardContextual"/>
              </w:rPr>
            </w:pPr>
          </w:p>
          <w:p w14:paraId="2992B9C2" w14:textId="77777777" w:rsidR="008430E7" w:rsidRDefault="008430E7" w:rsidP="00EE6597">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t>ii</w:t>
            </w:r>
            <w:proofErr w:type="spellEnd"/>
            <w:r>
              <w:rPr>
                <w:rFonts w:ascii="Verdana" w:eastAsia="Times New Roman" w:hAnsi="Verdana" w:cs="Arial"/>
                <w:bCs/>
                <w:lang w:val="es-ES" w:eastAsia="es-CO"/>
              </w:rPr>
              <w:t xml:space="preserve">. Cuando el perfeccionamiento del contrato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w:t>
            </w:r>
            <w:r w:rsidRPr="008D2665">
              <w:rPr>
                <w:rFonts w:ascii="Verdana" w:eastAsia="Calibri" w:hAnsi="Verdana" w:cs="Arial"/>
              </w:rPr>
              <w:t xml:space="preserve">señala como causales de nulidad del contrato estatal, las siguientes: </w:t>
            </w:r>
            <w:r>
              <w:rPr>
                <w:rFonts w:ascii="Verdana" w:eastAsia="Calibri" w:hAnsi="Verdana" w:cs="Arial"/>
              </w:rPr>
              <w:t>1.</w:t>
            </w:r>
            <w:r w:rsidRPr="008D2665">
              <w:rPr>
                <w:rFonts w:ascii="Verdana" w:eastAsia="Calibri" w:hAnsi="Verdana" w:cs="Arial"/>
              </w:rPr>
              <w:t xml:space="preserve"> </w:t>
            </w:r>
            <w:r>
              <w:rPr>
                <w:rFonts w:ascii="Verdana" w:eastAsia="Calibri" w:hAnsi="Verdana" w:cs="Arial"/>
              </w:rPr>
              <w:t>Q</w:t>
            </w:r>
            <w:r w:rsidRPr="008D2665">
              <w:rPr>
                <w:rFonts w:ascii="Verdana" w:eastAsia="Calibri" w:hAnsi="Verdana" w:cs="Arial"/>
              </w:rPr>
              <w:t>ue el contrato se celebre con personas incursas en causales de inhabilidad o incompatibilidad previstas en la Constitución y la ley</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2. Que</w:t>
            </w:r>
            <w:r w:rsidRPr="008D2665">
              <w:rPr>
                <w:rFonts w:ascii="Verdana" w:eastAsia="Calibri" w:hAnsi="Verdana" w:cs="Arial"/>
              </w:rPr>
              <w:t xml:space="preserve"> se celebre contra expresa prohibición constitucional o legal</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3.</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celebre con abuso o desviación de poder</w:t>
            </w:r>
            <w:r>
              <w:rPr>
                <w:rFonts w:ascii="Verdana" w:eastAsia="Calibri" w:hAnsi="Verdana" w:cs="Arial"/>
              </w:rPr>
              <w:t>. 4.</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declaren nulos los actos administrativos en que se fundamenten</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5. Que</w:t>
            </w:r>
            <w:r w:rsidRPr="008D2665">
              <w:rPr>
                <w:rFonts w:ascii="Verdana" w:eastAsia="Calibri" w:hAnsi="Verdana" w:cs="Arial"/>
              </w:rPr>
              <w:t xml:space="preserve"> se hubieren celebrado con desconocimiento de los criterios previstos para el tratamiento de ofertas nacionales y extranjeras o con violación de la reciprocidad</w:t>
            </w:r>
            <w:r>
              <w:rPr>
                <w:rFonts w:ascii="Verdana" w:eastAsia="Calibri" w:hAnsi="Verdana" w:cs="Arial"/>
              </w:rPr>
              <w:t>.</w:t>
            </w:r>
          </w:p>
          <w:p w14:paraId="7CECFDF2" w14:textId="77777777" w:rsidR="008430E7" w:rsidRDefault="008430E7" w:rsidP="00EE6597">
            <w:pPr>
              <w:spacing w:after="120" w:line="276" w:lineRule="auto"/>
              <w:ind w:firstLine="743"/>
              <w:jc w:val="both"/>
              <w:rPr>
                <w:rFonts w:ascii="Verdana" w:eastAsia="Calibri" w:hAnsi="Verdana" w:cs="Arial"/>
              </w:rPr>
            </w:pPr>
            <w:r>
              <w:rPr>
                <w:rFonts w:ascii="Verdana" w:eastAsia="Calibri" w:hAnsi="Verdana" w:cs="Arial"/>
                <w:bCs/>
              </w:rPr>
              <w:t xml:space="preserve">En concordancia con lo anterior, el artículo 45 de la Ley 80 de 1993 </w:t>
            </w:r>
            <w:r w:rsidRPr="00D53326">
              <w:rPr>
                <w:rFonts w:ascii="Verdana" w:eastAsia="Calibri" w:hAnsi="Verdana" w:cs="Arial"/>
                <w:bCs/>
              </w:rPr>
              <w:t>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D53326">
              <w:rPr>
                <w:rFonts w:ascii="Verdana" w:eastAsia="Calibri" w:hAnsi="Verdana" w:cs="Arial"/>
              </w:rPr>
              <w:t xml:space="preserve"> el contrato se celebre con personas incursas en causales de inhabilidad o incompatibilidad previstas en la Constitución y la ley, que se </w:t>
            </w:r>
            <w:r w:rsidRPr="00D53326">
              <w:rPr>
                <w:rFonts w:ascii="Verdana" w:eastAsia="Calibri" w:hAnsi="Verdana" w:cs="Arial"/>
              </w:rPr>
              <w:lastRenderedPageBreak/>
              <w:t xml:space="preserve">celebre contra expresa prohibición constitucional o legal, o que se declaren nulos los actos administrativos en que se fundamenten. </w:t>
            </w:r>
          </w:p>
          <w:p w14:paraId="2AD72F24" w14:textId="77777777" w:rsidR="008430E7" w:rsidRDefault="008430E7" w:rsidP="00EE6597">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1C38463B" w14:textId="77777777" w:rsidR="008430E7" w:rsidRPr="007C55B9" w:rsidRDefault="008430E7" w:rsidP="00EE6597">
            <w:pPr>
              <w:spacing w:before="120" w:line="276" w:lineRule="auto"/>
              <w:ind w:firstLine="708"/>
              <w:jc w:val="both"/>
              <w:rPr>
                <w:rFonts w:ascii="Verdana" w:eastAsia="Times New Roman" w:hAnsi="Verdana" w:cs="Arial"/>
                <w:color w:val="000000"/>
                <w:bdr w:val="none" w:sz="0" w:space="0" w:color="auto" w:frame="1"/>
                <w:shd w:val="clear" w:color="auto" w:fill="FFFFFF"/>
                <w:lang w:val="es-ES" w:eastAsia="es-ES_tradnl"/>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Lo anterior, sin perjuicio de las responsabilidades de tipo disciplinario, fiscal y penal que puedan generarse.</w:t>
            </w:r>
          </w:p>
        </w:tc>
      </w:tr>
      <w:bookmarkEnd w:id="2"/>
    </w:tbl>
    <w:p w14:paraId="14F3D672" w14:textId="77777777" w:rsidR="008430E7" w:rsidRPr="007C55B9" w:rsidRDefault="008430E7" w:rsidP="008430E7">
      <w:pPr>
        <w:widowControl w:val="0"/>
        <w:autoSpaceDE w:val="0"/>
        <w:autoSpaceDN w:val="0"/>
        <w:spacing w:after="0" w:line="276" w:lineRule="auto"/>
        <w:ind w:left="360" w:hanging="360"/>
        <w:outlineLvl w:val="0"/>
        <w:rPr>
          <w:rFonts w:ascii="Verdana" w:eastAsia="Arial" w:hAnsi="Verdana" w:cs="Arial"/>
          <w:b/>
        </w:rPr>
      </w:pPr>
    </w:p>
    <w:p w14:paraId="69768D8E" w14:textId="77777777" w:rsidR="008430E7" w:rsidRPr="007C55B9" w:rsidRDefault="008430E7" w:rsidP="008430E7">
      <w:pPr>
        <w:widowControl w:val="0"/>
        <w:autoSpaceDE w:val="0"/>
        <w:autoSpaceDN w:val="0"/>
        <w:spacing w:after="0" w:line="276" w:lineRule="auto"/>
        <w:ind w:left="360" w:hanging="360"/>
        <w:outlineLvl w:val="0"/>
        <w:rPr>
          <w:rFonts w:ascii="Verdana" w:eastAsia="Arial" w:hAnsi="Verdana" w:cs="Arial"/>
          <w:b/>
          <w:bCs/>
          <w:lang w:val="es-ES"/>
        </w:rPr>
      </w:pPr>
      <w:r w:rsidRPr="007C55B9">
        <w:rPr>
          <w:rFonts w:ascii="Verdana" w:eastAsia="Arial" w:hAnsi="Verdana" w:cs="Arial"/>
          <w:b/>
          <w:bCs/>
          <w:lang w:val="es-ES"/>
        </w:rPr>
        <w:t>3. Razones de la respuesta</w:t>
      </w:r>
    </w:p>
    <w:p w14:paraId="04217EFE" w14:textId="77777777" w:rsidR="008430E7" w:rsidRPr="007C55B9" w:rsidRDefault="008430E7" w:rsidP="008430E7">
      <w:pPr>
        <w:spacing w:after="0" w:line="276" w:lineRule="auto"/>
        <w:jc w:val="both"/>
        <w:rPr>
          <w:rFonts w:ascii="Verdana" w:eastAsia="Calibri" w:hAnsi="Verdana" w:cs="Arial"/>
          <w:lang w:val="es-ES"/>
        </w:rPr>
      </w:pPr>
    </w:p>
    <w:p w14:paraId="14119A29" w14:textId="77777777" w:rsidR="008430E7" w:rsidRPr="007C55B9" w:rsidRDefault="008430E7" w:rsidP="008430E7">
      <w:pPr>
        <w:spacing w:after="0" w:line="276" w:lineRule="auto"/>
        <w:jc w:val="both"/>
        <w:rPr>
          <w:rFonts w:ascii="Verdana" w:eastAsia="Calibri" w:hAnsi="Verdana" w:cs="Arial"/>
          <w:lang w:val="es-ES"/>
        </w:rPr>
      </w:pPr>
      <w:r w:rsidRPr="007C55B9">
        <w:rPr>
          <w:rFonts w:ascii="Verdana" w:eastAsia="Calibri" w:hAnsi="Verdana" w:cs="Arial"/>
          <w:lang w:val="es-ES"/>
        </w:rPr>
        <w:t xml:space="preserve">Las respuestas anteriores se sustentan en las siguientes consideraciones: </w:t>
      </w:r>
    </w:p>
    <w:p w14:paraId="0253E01B" w14:textId="77777777" w:rsidR="008430E7" w:rsidRPr="007C55B9" w:rsidRDefault="008430E7" w:rsidP="008430E7">
      <w:pPr>
        <w:spacing w:after="0" w:line="276" w:lineRule="auto"/>
        <w:jc w:val="both"/>
        <w:rPr>
          <w:rFonts w:ascii="Verdana" w:eastAsia="Calibri" w:hAnsi="Verdana" w:cs="Arial"/>
          <w:lang w:val="es-ES"/>
        </w:rPr>
      </w:pPr>
    </w:p>
    <w:p w14:paraId="66C90AAD" w14:textId="77777777" w:rsidR="008430E7" w:rsidRPr="00C13395" w:rsidRDefault="008430E7" w:rsidP="008430E7">
      <w:pPr>
        <w:spacing w:after="120" w:line="276" w:lineRule="auto"/>
        <w:jc w:val="both"/>
        <w:rPr>
          <w:rFonts w:ascii="Verdana" w:eastAsia="Century Gothic" w:hAnsi="Verdana" w:cs="Century Gothic"/>
          <w:bCs/>
          <w:lang w:val="es-ES_tradnl"/>
        </w:rPr>
      </w:pPr>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49AB88C2"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54AA5943" w14:textId="77777777" w:rsidR="008430E7" w:rsidRDefault="008430E7" w:rsidP="008430E7">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En armonía con lo anterior, la Corte Constitucional ha abordado la definición de la Ley de Garantías Electorales. De esta manera, explica que tiene como propósito:</w:t>
      </w:r>
    </w:p>
    <w:p w14:paraId="262F3090" w14:textId="77777777" w:rsidR="008430E7" w:rsidRPr="00C13395" w:rsidRDefault="008430E7" w:rsidP="008430E7">
      <w:pPr>
        <w:spacing w:after="0" w:line="276" w:lineRule="auto"/>
        <w:ind w:firstLine="708"/>
        <w:jc w:val="both"/>
        <w:rPr>
          <w:rFonts w:ascii="Verdana" w:eastAsia="Century Gothic" w:hAnsi="Verdana" w:cs="Century Gothic"/>
          <w:bCs/>
          <w:lang w:val="es-ES_tradnl"/>
        </w:rPr>
      </w:pPr>
    </w:p>
    <w:p w14:paraId="7B66DA40" w14:textId="77777777" w:rsidR="008430E7"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33CFD691" w14:textId="77777777" w:rsidR="008430E7" w:rsidRPr="00C13395" w:rsidRDefault="008430E7" w:rsidP="008430E7">
      <w:pPr>
        <w:spacing w:after="0" w:line="240" w:lineRule="auto"/>
        <w:ind w:left="709" w:right="709"/>
        <w:jc w:val="both"/>
        <w:rPr>
          <w:rFonts w:ascii="Verdana" w:eastAsia="Century Gothic" w:hAnsi="Verdana" w:cs="Century Gothic"/>
          <w:bCs/>
          <w:sz w:val="20"/>
          <w:szCs w:val="20"/>
          <w:lang w:val="es-ES_tradnl"/>
        </w:rPr>
      </w:pPr>
    </w:p>
    <w:p w14:paraId="47674255" w14:textId="77777777" w:rsidR="008430E7" w:rsidRPr="00C13395"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5F687F8F" w14:textId="77777777" w:rsidR="008430E7" w:rsidRDefault="008430E7" w:rsidP="008430E7">
      <w:pPr>
        <w:spacing w:after="0" w:line="240" w:lineRule="auto"/>
        <w:ind w:left="709" w:right="709"/>
        <w:jc w:val="both"/>
        <w:rPr>
          <w:rFonts w:ascii="Verdana" w:eastAsia="Century Gothic" w:hAnsi="Verdana" w:cs="Century Gothic"/>
          <w:bCs/>
          <w:sz w:val="20"/>
          <w:szCs w:val="20"/>
          <w:lang w:val="es-ES_tradnl"/>
        </w:rPr>
      </w:pPr>
    </w:p>
    <w:p w14:paraId="46F27222" w14:textId="77777777" w:rsidR="008430E7"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5E114C61" w14:textId="77777777" w:rsidR="008430E7" w:rsidRPr="000E6C92" w:rsidRDefault="008430E7" w:rsidP="008430E7">
      <w:pPr>
        <w:spacing w:after="0" w:line="276" w:lineRule="auto"/>
        <w:ind w:left="709" w:right="709"/>
        <w:jc w:val="both"/>
        <w:rPr>
          <w:rFonts w:ascii="Verdana" w:eastAsia="Century Gothic" w:hAnsi="Verdana" w:cs="Century Gothic"/>
          <w:bCs/>
          <w:lang w:val="es-ES_tradnl"/>
        </w:rPr>
      </w:pPr>
    </w:p>
    <w:p w14:paraId="58AC10C2" w14:textId="77777777" w:rsidR="008430E7" w:rsidRDefault="008430E7" w:rsidP="008430E7">
      <w:pPr>
        <w:spacing w:after="120" w:line="276" w:lineRule="auto"/>
        <w:ind w:firstLine="709"/>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w:t>
      </w:r>
    </w:p>
    <w:p w14:paraId="5C0BD56A" w14:textId="77777777" w:rsidR="008430E7" w:rsidRDefault="008430E7" w:rsidP="008430E7">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efecto, la Sala de Consulta y Servicio Civil del Consejo de Estado, precisó:</w:t>
      </w:r>
    </w:p>
    <w:p w14:paraId="4D0735C6" w14:textId="77777777" w:rsidR="008430E7" w:rsidRPr="00C13395" w:rsidRDefault="008430E7" w:rsidP="008430E7">
      <w:pPr>
        <w:spacing w:after="0" w:line="276" w:lineRule="auto"/>
        <w:ind w:firstLine="708"/>
        <w:jc w:val="both"/>
        <w:rPr>
          <w:rFonts w:ascii="Verdana" w:eastAsia="Century Gothic" w:hAnsi="Verdana" w:cs="Century Gothic"/>
          <w:bCs/>
          <w:lang w:val="es-ES_tradnl"/>
        </w:rPr>
      </w:pPr>
    </w:p>
    <w:p w14:paraId="28A6C6D8" w14:textId="77777777" w:rsidR="008430E7" w:rsidRDefault="008430E7" w:rsidP="008430E7">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127251C" w14:textId="77777777" w:rsidR="008430E7" w:rsidRPr="00C13395" w:rsidRDefault="008430E7" w:rsidP="008430E7">
      <w:pPr>
        <w:spacing w:after="0" w:line="240" w:lineRule="auto"/>
        <w:ind w:left="709" w:right="709"/>
        <w:jc w:val="both"/>
        <w:rPr>
          <w:rFonts w:ascii="Verdana" w:eastAsia="Century Gothic" w:hAnsi="Verdana" w:cs="Century Gothic"/>
          <w:sz w:val="20"/>
          <w:szCs w:val="20"/>
          <w:lang w:val="es-ES"/>
        </w:rPr>
      </w:pPr>
    </w:p>
    <w:p w14:paraId="75C77870" w14:textId="77777777" w:rsidR="008430E7"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lastRenderedPageBreak/>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006455A8" w14:textId="77777777" w:rsidR="008430E7" w:rsidRPr="00C13395" w:rsidRDefault="008430E7" w:rsidP="008430E7">
      <w:pPr>
        <w:spacing w:after="0" w:line="276" w:lineRule="auto"/>
        <w:ind w:left="709" w:right="709"/>
        <w:jc w:val="both"/>
        <w:rPr>
          <w:rFonts w:ascii="Verdana" w:eastAsia="Century Gothic" w:hAnsi="Verdana" w:cs="Century Gothic"/>
          <w:bCs/>
          <w:sz w:val="20"/>
          <w:szCs w:val="20"/>
          <w:lang w:val="es-ES_tradnl"/>
        </w:rPr>
      </w:pPr>
    </w:p>
    <w:p w14:paraId="2436AFFA" w14:textId="77777777" w:rsidR="008430E7" w:rsidRPr="000E6C92" w:rsidRDefault="008430E7" w:rsidP="008430E7">
      <w:pPr>
        <w:spacing w:after="0" w:line="276" w:lineRule="auto"/>
        <w:ind w:firstLine="709"/>
        <w:jc w:val="both"/>
        <w:rPr>
          <w:rFonts w:ascii="Verdana" w:eastAsia="Arial" w:hAnsi="Verdana" w:cs="Arial"/>
          <w:lang w:val="es-ES" w:eastAsia="es-ES" w:bidi="es-ES"/>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w:t>
      </w:r>
      <w:r>
        <w:rPr>
          <w:rFonts w:ascii="Verdana" w:eastAsia="Century Gothic" w:hAnsi="Verdana" w:cs="Century Gothic"/>
          <w:bCs/>
          <w:lang w:val="es-ES_tradnl"/>
        </w:rPr>
        <w:t>Así las cosas, c</w:t>
      </w:r>
      <w:r w:rsidRPr="00C13395">
        <w:rPr>
          <w:rFonts w:ascii="Verdana" w:eastAsia="Century Gothic" w:hAnsi="Verdana" w:cs="Century Gothic"/>
          <w:bCs/>
          <w:lang w:val="es-ES_tradnl"/>
        </w:rPr>
        <w:t xml:space="preserve">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F43CC7">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6109C829" w14:textId="77777777" w:rsidR="008430E7" w:rsidRDefault="008430E7" w:rsidP="008430E7">
      <w:pPr>
        <w:spacing w:after="0" w:line="276" w:lineRule="auto"/>
        <w:jc w:val="both"/>
        <w:rPr>
          <w:rFonts w:ascii="Verdana" w:eastAsia="Century Gothic" w:hAnsi="Verdana" w:cs="Century Gothic"/>
          <w:bCs/>
          <w:lang w:val="es-ES_tradnl"/>
        </w:rPr>
      </w:pPr>
    </w:p>
    <w:p w14:paraId="4F50B9EA" w14:textId="77777777" w:rsidR="008430E7" w:rsidRPr="00C13395" w:rsidRDefault="008430E7" w:rsidP="008430E7">
      <w:pPr>
        <w:spacing w:after="120" w:line="276" w:lineRule="auto"/>
        <w:jc w:val="both"/>
        <w:rPr>
          <w:rFonts w:ascii="Verdana" w:eastAsia="Century Gothic" w:hAnsi="Verdana" w:cs="Century Gothic"/>
          <w:lang w:val="es-ES"/>
        </w:rPr>
      </w:pPr>
      <w:proofErr w:type="spellStart"/>
      <w:r w:rsidRPr="5F29C245">
        <w:rPr>
          <w:rFonts w:ascii="Verdana" w:eastAsia="Century Gothic" w:hAnsi="Verdana" w:cs="Century Gothic"/>
          <w:lang w:val="es-ES"/>
        </w:rPr>
        <w:t>ii</w:t>
      </w:r>
      <w:proofErr w:type="spellEnd"/>
      <w:r w:rsidRPr="5F29C245">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66F92ADC"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Por un lado, 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551BFA">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7FEE267D"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w:t>
      </w:r>
      <w:r w:rsidRPr="00C13395">
        <w:rPr>
          <w:rFonts w:ascii="Verdana" w:eastAsia="Century Gothic" w:hAnsi="Verdana" w:cs="Century Gothic"/>
          <w:bCs/>
          <w:lang w:val="es-ES_tradnl"/>
        </w:rPr>
        <w:lastRenderedPageBreak/>
        <w:t>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entury Gothic" w:hAnsi="Verdana" w:cs="Century Gothic"/>
          <w:bCs/>
          <w:lang w:val="es-ES_tradnl"/>
        </w:rPr>
        <w:t xml:space="preserve">. </w:t>
      </w:r>
      <w:r w:rsidRPr="00C13395">
        <w:rPr>
          <w:rFonts w:ascii="Verdana" w:eastAsia="Century Gothic" w:hAnsi="Verdana" w:cs="Century Gothic"/>
          <w:bCs/>
          <w:lang w:val="es-ES_tradnl"/>
        </w:rPr>
        <w:t xml:space="preserve"> </w:t>
      </w:r>
    </w:p>
    <w:p w14:paraId="6E47912D" w14:textId="77777777" w:rsidR="008430E7" w:rsidRDefault="008430E7" w:rsidP="008430E7">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4A9970A5" w14:textId="77777777" w:rsidR="008430E7" w:rsidRPr="00C13395" w:rsidRDefault="008430E7" w:rsidP="008430E7">
      <w:pPr>
        <w:spacing w:after="0" w:line="276" w:lineRule="auto"/>
        <w:ind w:firstLine="708"/>
        <w:jc w:val="both"/>
        <w:rPr>
          <w:rFonts w:ascii="Verdana" w:eastAsia="Century Gothic" w:hAnsi="Verdana" w:cs="Century Gothic"/>
          <w:bCs/>
          <w:lang w:val="es-ES_tradnl"/>
        </w:rPr>
      </w:pPr>
    </w:p>
    <w:p w14:paraId="7B83492C" w14:textId="77777777" w:rsidR="008430E7"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769B1803" w14:textId="77777777" w:rsidR="008430E7" w:rsidRPr="00551BFA" w:rsidRDefault="008430E7" w:rsidP="008430E7">
      <w:pPr>
        <w:spacing w:after="0" w:line="276" w:lineRule="auto"/>
        <w:ind w:left="709" w:right="709"/>
        <w:jc w:val="both"/>
        <w:rPr>
          <w:rFonts w:ascii="Verdana" w:eastAsia="Century Gothic" w:hAnsi="Verdana" w:cs="Century Gothic"/>
          <w:bCs/>
          <w:lang w:val="es-ES_tradnl"/>
        </w:rPr>
      </w:pPr>
    </w:p>
    <w:p w14:paraId="36F5352F" w14:textId="77777777" w:rsidR="008430E7" w:rsidRPr="00C13395" w:rsidRDefault="008430E7" w:rsidP="008430E7">
      <w:pPr>
        <w:spacing w:after="120" w:line="276" w:lineRule="auto"/>
        <w:ind w:firstLine="709"/>
        <w:jc w:val="both"/>
        <w:rPr>
          <w:rFonts w:ascii="Verdana" w:eastAsia="Century Gothic" w:hAnsi="Verdana" w:cs="Century Gothic"/>
          <w:lang w:val="es-ES"/>
        </w:rPr>
      </w:pPr>
      <w:r>
        <w:rPr>
          <w:rFonts w:ascii="Verdana" w:eastAsia="Century Gothic" w:hAnsi="Verdana" w:cs="Century Gothic"/>
          <w:lang w:val="es-ES"/>
        </w:rPr>
        <w:t xml:space="preserve">Cabe anotar que las restricciones señaladas anteriormente </w:t>
      </w:r>
      <w:r w:rsidRPr="122F1934">
        <w:rPr>
          <w:rFonts w:ascii="Verdana" w:eastAsia="Century Gothic" w:hAnsi="Verdana" w:cs="Century Gothic"/>
          <w:lang w:val="es-ES"/>
        </w:rPr>
        <w:t xml:space="preserve">no son excluyentes, lo que permite concluir que, en el período preelectoral para elección de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las autoridades allí mencionadas sólo deben aplicar las restricciones contenidas en el parágrafo del artículo 38.</w:t>
      </w:r>
    </w:p>
    <w:p w14:paraId="78061CEB" w14:textId="77777777" w:rsidR="008430E7" w:rsidRDefault="008430E7" w:rsidP="008430E7">
      <w:pPr>
        <w:spacing w:after="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o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w:t>
      </w:r>
      <w:r w:rsidRPr="122F1934">
        <w:rPr>
          <w:rFonts w:ascii="Verdana" w:eastAsia="Century Gothic" w:hAnsi="Verdana" w:cs="Century Gothic"/>
          <w:lang w:val="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y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1D906334" w14:textId="77777777" w:rsidR="008430E7" w:rsidRPr="00C13395" w:rsidRDefault="008430E7" w:rsidP="008430E7">
      <w:pPr>
        <w:spacing w:after="0" w:line="276" w:lineRule="auto"/>
        <w:ind w:firstLine="709"/>
        <w:jc w:val="both"/>
        <w:rPr>
          <w:rFonts w:ascii="Verdana" w:eastAsia="Century Gothic" w:hAnsi="Verdana" w:cs="Century Gothic"/>
          <w:lang w:val="es-ES"/>
        </w:rPr>
      </w:pPr>
    </w:p>
    <w:p w14:paraId="473A70DF" w14:textId="77777777" w:rsidR="008430E7" w:rsidRDefault="008430E7" w:rsidP="008430E7">
      <w:pPr>
        <w:spacing w:after="120" w:line="276" w:lineRule="auto"/>
        <w:jc w:val="both"/>
        <w:rPr>
          <w:rFonts w:ascii="Verdana" w:eastAsia="Century Gothic" w:hAnsi="Verdana" w:cs="Century Gothic"/>
          <w:lang w:val="es-ES"/>
        </w:rPr>
      </w:pPr>
      <w:proofErr w:type="spellStart"/>
      <w:r>
        <w:rPr>
          <w:rFonts w:ascii="Verdana" w:eastAsia="Century Gothic" w:hAnsi="Verdana" w:cs="Century Gothic"/>
          <w:lang w:val="es-ES"/>
        </w:rPr>
        <w:t>i</w:t>
      </w:r>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w:t>
      </w:r>
      <w:r>
        <w:rPr>
          <w:rFonts w:ascii="Verdana" w:eastAsia="Century Gothic" w:hAnsi="Verdana" w:cs="Century Gothic"/>
          <w:lang w:val="es-ES"/>
        </w:rPr>
        <w:t>En línea con lo anterior, y en razón a que su consulta versa sobre la celebración de contratos de prestación de servicios profesionales, se procede a referenciar el asunto hacia la modalidad de contratación directa, y la naturaleza de esta tipología de contratos.</w:t>
      </w:r>
    </w:p>
    <w:p w14:paraId="2808F095" w14:textId="77777777" w:rsidR="008430E7" w:rsidRPr="00C13395" w:rsidRDefault="008430E7" w:rsidP="008430E7">
      <w:pPr>
        <w:spacing w:after="0" w:line="276" w:lineRule="auto"/>
        <w:ind w:firstLine="708"/>
        <w:jc w:val="both"/>
        <w:rPr>
          <w:rFonts w:ascii="Verdana" w:eastAsia="Century Gothic" w:hAnsi="Verdana" w:cs="Century Gothic"/>
          <w:lang w:val="es-ES"/>
        </w:rPr>
      </w:pPr>
      <w:r>
        <w:rPr>
          <w:rFonts w:ascii="Verdana" w:eastAsia="Century Gothic" w:hAnsi="Verdana" w:cs="Century Gothic"/>
          <w:bCs/>
          <w:lang w:val="es-ES_tradnl"/>
        </w:rPr>
        <w:t>E</w:t>
      </w:r>
      <w:r w:rsidRPr="61CFEC75">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7A02483C" w14:textId="77777777" w:rsidR="008430E7" w:rsidRPr="00C13395" w:rsidRDefault="008430E7" w:rsidP="008430E7">
      <w:pPr>
        <w:spacing w:after="0" w:line="276" w:lineRule="auto"/>
        <w:jc w:val="both"/>
        <w:rPr>
          <w:rFonts w:ascii="Verdana" w:eastAsia="Century Gothic" w:hAnsi="Verdana" w:cs="Century Gothic"/>
          <w:bCs/>
          <w:lang w:val="es-ES_tradnl"/>
        </w:rPr>
      </w:pPr>
    </w:p>
    <w:p w14:paraId="449A2A45" w14:textId="77777777" w:rsidR="008430E7" w:rsidRPr="00C13395"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6954784C" w14:textId="77777777" w:rsidR="008430E7" w:rsidRPr="00C13395" w:rsidRDefault="008430E7" w:rsidP="008430E7">
      <w:pPr>
        <w:spacing w:after="0" w:line="240" w:lineRule="auto"/>
        <w:ind w:left="709" w:right="709"/>
        <w:jc w:val="both"/>
        <w:rPr>
          <w:rFonts w:ascii="Verdana" w:eastAsia="Century Gothic" w:hAnsi="Verdana" w:cs="Century Gothic"/>
          <w:bCs/>
          <w:sz w:val="20"/>
          <w:szCs w:val="20"/>
          <w:lang w:val="es-ES_tradnl"/>
        </w:rPr>
      </w:pPr>
    </w:p>
    <w:p w14:paraId="6897F6A4" w14:textId="77777777" w:rsidR="008430E7" w:rsidRPr="00C13395" w:rsidRDefault="008430E7" w:rsidP="008430E7">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28DDD529" w14:textId="77777777" w:rsidR="008430E7" w:rsidRDefault="008430E7" w:rsidP="008430E7">
      <w:pPr>
        <w:spacing w:after="0" w:line="276" w:lineRule="auto"/>
        <w:ind w:firstLine="708"/>
        <w:jc w:val="both"/>
        <w:rPr>
          <w:rFonts w:ascii="Verdana" w:eastAsia="Century Gothic" w:hAnsi="Verdana" w:cs="Century Gothic"/>
          <w:bCs/>
          <w:lang w:val="es-ES_tradnl"/>
        </w:rPr>
      </w:pPr>
    </w:p>
    <w:p w14:paraId="614748BB"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w:t>
      </w:r>
      <w:r>
        <w:rPr>
          <w:rFonts w:ascii="Verdana" w:eastAsia="Century Gothic" w:hAnsi="Verdana" w:cs="Century Gothic"/>
          <w:bCs/>
          <w:lang w:val="es-ES_tradnl"/>
        </w:rPr>
        <w:t>. A</w:t>
      </w:r>
      <w:r w:rsidRPr="00C13395">
        <w:rPr>
          <w:rFonts w:ascii="Verdana" w:eastAsia="Century Gothic" w:hAnsi="Verdana" w:cs="Century Gothic"/>
          <w:bCs/>
          <w:lang w:val="es-ES_tradnl"/>
        </w:rPr>
        <w:t>demás</w:t>
      </w:r>
      <w:r>
        <w:rPr>
          <w:rFonts w:ascii="Verdana" w:eastAsia="Century Gothic" w:hAnsi="Verdana" w:cs="Century Gothic"/>
          <w:bCs/>
          <w:lang w:val="es-ES_tradnl"/>
        </w:rPr>
        <w:t>,</w:t>
      </w:r>
      <w:r w:rsidRPr="00C13395">
        <w:rPr>
          <w:rFonts w:ascii="Verdana" w:eastAsia="Century Gothic" w:hAnsi="Verdana" w:cs="Century Gothic"/>
          <w:bCs/>
          <w:lang w:val="es-ES_tradnl"/>
        </w:rPr>
        <w:t xml:space="preserve"> lo es con la posterior creación de la modalidad de mínima cuantía establecida actualmente en el numeral 5 del artículo 2 de la Ley 1150 de 2007, de acuerdo con las modificaciones realizadas por leyes posteriores.</w:t>
      </w:r>
    </w:p>
    <w:p w14:paraId="06BE08AD"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435F870D"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2CCCC06" w14:textId="77777777" w:rsidR="008430E7" w:rsidRPr="00C13395" w:rsidRDefault="008430E7" w:rsidP="008430E7">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Como se advierte de lo anterior, el Consejo de Estado realiza una interpretación amplia de la contratación directa, para efectos de aplicar las restricciones establecidas en la Ley de Garantías Electorales, al señalar que no </w:t>
      </w:r>
      <w:r w:rsidRPr="122F1934">
        <w:rPr>
          <w:rFonts w:ascii="Verdana" w:eastAsia="Century Gothic" w:hAnsi="Verdana" w:cs="Century Gothic"/>
          <w:lang w:val="es-ES"/>
        </w:rPr>
        <w:lastRenderedPageBreak/>
        <w:t>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5BBD4E7"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1E369C6" w14:textId="77777777" w:rsidR="008430E7" w:rsidRDefault="008430E7" w:rsidP="008430E7">
      <w:pPr>
        <w:spacing w:after="120" w:line="276" w:lineRule="auto"/>
        <w:ind w:firstLine="709"/>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1C5DB230" w14:textId="77777777" w:rsidR="008430E7" w:rsidRPr="004D09C6" w:rsidRDefault="008430E7" w:rsidP="008430E7">
      <w:pPr>
        <w:spacing w:after="0" w:line="276" w:lineRule="auto"/>
        <w:jc w:val="both"/>
        <w:rPr>
          <w:rFonts w:ascii="Verdana" w:eastAsia="Calibri" w:hAnsi="Verdana" w:cs="Arial"/>
          <w:color w:val="000000" w:themeColor="text1"/>
          <w:lang w:val="es-ES_tradnl"/>
        </w:rPr>
      </w:pPr>
      <w:r>
        <w:rPr>
          <w:rFonts w:ascii="Verdana" w:eastAsia="Century Gothic" w:hAnsi="Verdana" w:cs="Century Gothic"/>
          <w:lang w:val="es-ES"/>
        </w:rPr>
        <w:t xml:space="preserve"> </w:t>
      </w:r>
      <w:r>
        <w:rPr>
          <w:rFonts w:ascii="Verdana" w:eastAsia="Century Gothic" w:hAnsi="Verdana" w:cs="Century Gothic"/>
          <w:lang w:val="es-ES"/>
        </w:rPr>
        <w:tab/>
        <w:t>Visto el ámbito de aplicación del artículo 33 de la Ley 996 de 2005, es importante mencionar que, e</w:t>
      </w:r>
      <w:r w:rsidRPr="004D09C6">
        <w:rPr>
          <w:rFonts w:ascii="Verdana" w:hAnsi="Verdana" w:cs="Arial"/>
          <w:color w:val="000000" w:themeColor="text1"/>
          <w:lang w:val="es-MX"/>
        </w:rPr>
        <w:t xml:space="preserv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4D09C6">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4D09C6">
        <w:rPr>
          <w:rFonts w:ascii="Verdana" w:hAnsi="Verdana" w:cs="Arial"/>
          <w:color w:val="000000" w:themeColor="text1"/>
          <w:lang w:val="es-MX"/>
        </w:rPr>
        <w:t>.</w:t>
      </w:r>
      <w:r w:rsidRPr="004D09C6">
        <w:rPr>
          <w:rFonts w:ascii="Verdana" w:eastAsia="Calibri" w:hAnsi="Verdana" w:cs="Arial"/>
          <w:color w:val="000000" w:themeColor="text1"/>
          <w:lang w:val="es-ES_tradnl"/>
        </w:rPr>
        <w:t xml:space="preserve"> La celebración de dicho contrato debe efectuarse a través de la modalidad de contratación directa. Así lo dispone el</w:t>
      </w:r>
      <w:r>
        <w:rPr>
          <w:rFonts w:ascii="Verdana" w:eastAsia="Calibri" w:hAnsi="Verdana" w:cs="Arial"/>
          <w:color w:val="000000" w:themeColor="text1"/>
          <w:lang w:val="es-ES_tradnl"/>
        </w:rPr>
        <w:t xml:space="preserve"> literal h), </w:t>
      </w:r>
      <w:r w:rsidRPr="004D09C6">
        <w:rPr>
          <w:rFonts w:ascii="Verdana" w:eastAsia="Calibri" w:hAnsi="Verdana" w:cs="Arial"/>
          <w:color w:val="000000" w:themeColor="text1"/>
          <w:lang w:val="es-ES_tradnl"/>
        </w:rPr>
        <w:t xml:space="preserve">numeral 4º, </w:t>
      </w:r>
      <w:r>
        <w:rPr>
          <w:rFonts w:ascii="Verdana" w:eastAsia="Calibri" w:hAnsi="Verdana" w:cs="Arial"/>
          <w:color w:val="000000" w:themeColor="text1"/>
          <w:lang w:val="es-ES_tradnl"/>
        </w:rPr>
        <w:t>del artículo 2</w:t>
      </w:r>
      <w:r w:rsidRPr="004D09C6">
        <w:rPr>
          <w:rFonts w:ascii="Verdana" w:eastAsia="Calibri" w:hAnsi="Verdana" w:cs="Arial"/>
          <w:color w:val="000000" w:themeColor="text1"/>
          <w:lang w:val="es-ES_tradnl"/>
        </w:rPr>
        <w:t xml:space="preserve"> de la Ley 1150 de 2007:</w:t>
      </w:r>
    </w:p>
    <w:p w14:paraId="5189AC6F" w14:textId="77777777" w:rsidR="008430E7" w:rsidRPr="004D09C6" w:rsidRDefault="008430E7" w:rsidP="008430E7">
      <w:pPr>
        <w:spacing w:after="0" w:line="276" w:lineRule="auto"/>
        <w:jc w:val="both"/>
        <w:rPr>
          <w:rFonts w:ascii="Verdana" w:eastAsia="Calibri" w:hAnsi="Verdana" w:cs="Arial"/>
          <w:color w:val="000000" w:themeColor="text1"/>
          <w:lang w:val="es-ES_tradnl"/>
        </w:rPr>
      </w:pPr>
    </w:p>
    <w:p w14:paraId="29A905BA" w14:textId="77777777" w:rsidR="008430E7" w:rsidRPr="00FD5C7C" w:rsidRDefault="008430E7" w:rsidP="008430E7">
      <w:pPr>
        <w:spacing w:after="0" w:line="240" w:lineRule="auto"/>
        <w:ind w:left="709" w:right="709"/>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544D7D85" w14:textId="77777777" w:rsidR="008430E7" w:rsidRPr="00FD5C7C" w:rsidRDefault="008430E7" w:rsidP="008430E7">
      <w:pPr>
        <w:spacing w:after="0" w:line="240" w:lineRule="auto"/>
        <w:ind w:left="709" w:right="709"/>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lastRenderedPageBreak/>
        <w:t>[…]</w:t>
      </w:r>
    </w:p>
    <w:p w14:paraId="3BD54610" w14:textId="77777777" w:rsidR="008430E7" w:rsidRPr="00FD5C7C" w:rsidRDefault="008430E7" w:rsidP="008430E7">
      <w:pPr>
        <w:spacing w:after="0" w:line="240" w:lineRule="auto"/>
        <w:ind w:left="709" w:right="709"/>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 xml:space="preserve">4. Contratación directa. La modalidad de selección de contratación </w:t>
      </w:r>
      <w:proofErr w:type="gramStart"/>
      <w:r w:rsidRPr="00FD5C7C">
        <w:rPr>
          <w:rFonts w:ascii="Verdana" w:eastAsia="Calibri" w:hAnsi="Verdana" w:cs="Arial"/>
          <w:color w:val="000000" w:themeColor="text1"/>
          <w:sz w:val="20"/>
          <w:szCs w:val="20"/>
          <w:lang w:val="es-MX"/>
        </w:rPr>
        <w:t>directa,</w:t>
      </w:r>
      <w:proofErr w:type="gramEnd"/>
      <w:r w:rsidRPr="00FD5C7C">
        <w:rPr>
          <w:rFonts w:ascii="Verdana" w:eastAsia="Calibri" w:hAnsi="Verdana" w:cs="Arial"/>
          <w:color w:val="000000" w:themeColor="text1"/>
          <w:sz w:val="20"/>
          <w:szCs w:val="20"/>
          <w:lang w:val="es-MX"/>
        </w:rPr>
        <w:t xml:space="preserve"> solamente procederá en los siguientes casos:</w:t>
      </w:r>
    </w:p>
    <w:p w14:paraId="7FED991E" w14:textId="77777777" w:rsidR="008430E7" w:rsidRPr="00FD5C7C" w:rsidRDefault="008430E7" w:rsidP="008430E7">
      <w:pPr>
        <w:spacing w:after="0" w:line="240" w:lineRule="auto"/>
        <w:ind w:left="709" w:right="709"/>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w:t>
      </w:r>
    </w:p>
    <w:p w14:paraId="591814C6" w14:textId="77777777" w:rsidR="008430E7" w:rsidRPr="00FD5C7C" w:rsidRDefault="008430E7" w:rsidP="008430E7">
      <w:pPr>
        <w:spacing w:after="0" w:line="240" w:lineRule="auto"/>
        <w:ind w:left="709" w:right="709"/>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p>
    <w:p w14:paraId="0BE1D9F5" w14:textId="77777777" w:rsidR="008430E7" w:rsidRPr="004D09C6" w:rsidRDefault="008430E7" w:rsidP="008430E7">
      <w:pPr>
        <w:tabs>
          <w:tab w:val="left" w:pos="0"/>
        </w:tabs>
        <w:spacing w:after="0" w:line="276" w:lineRule="auto"/>
        <w:contextualSpacing/>
        <w:jc w:val="both"/>
        <w:rPr>
          <w:rFonts w:ascii="Verdana" w:hAnsi="Verdana" w:cs="Arial"/>
          <w:noProof/>
          <w:lang w:val="es-ES_tradnl"/>
        </w:rPr>
      </w:pPr>
      <w:r w:rsidRPr="004D09C6">
        <w:rPr>
          <w:rFonts w:ascii="Verdana" w:hAnsi="Verdana" w:cs="Arial"/>
          <w:noProof/>
          <w:lang w:val="es-ES_tradnl"/>
        </w:rPr>
        <w:tab/>
      </w:r>
    </w:p>
    <w:p w14:paraId="7273404D" w14:textId="77777777" w:rsidR="008430E7" w:rsidRPr="004D09C6" w:rsidRDefault="008430E7" w:rsidP="008430E7">
      <w:pPr>
        <w:tabs>
          <w:tab w:val="left" w:pos="0"/>
        </w:tabs>
        <w:spacing w:after="0" w:line="276" w:lineRule="auto"/>
        <w:contextualSpacing/>
        <w:jc w:val="both"/>
        <w:rPr>
          <w:rFonts w:ascii="Verdana" w:hAnsi="Verdana" w:cs="Arial"/>
          <w:noProof/>
          <w:lang w:val="es-ES_tradnl"/>
        </w:rPr>
      </w:pPr>
      <w:r w:rsidRPr="004D09C6">
        <w:rPr>
          <w:rFonts w:ascii="Verdana" w:hAnsi="Verdana" w:cs="Arial"/>
          <w:noProof/>
          <w:lang w:val="es-ES_tradnl"/>
        </w:rPr>
        <w:tab/>
        <w:t xml:space="preserve">En tal sentido, el </w:t>
      </w:r>
      <w:r>
        <w:rPr>
          <w:rFonts w:ascii="Verdana" w:hAnsi="Verdana" w:cs="Arial"/>
          <w:noProof/>
          <w:lang w:val="es-ES_tradnl"/>
        </w:rPr>
        <w:t>a</w:t>
      </w:r>
      <w:r w:rsidRPr="004D09C6">
        <w:rPr>
          <w:rFonts w:ascii="Verdana" w:hAnsi="Verdana" w:cs="Arial"/>
          <w:noProof/>
          <w:lang w:val="es-ES_tradnl"/>
        </w:rPr>
        <w:t xml:space="preserve">rtículo 2.2.1.2.1.4.9 </w:t>
      </w:r>
      <w:r>
        <w:rPr>
          <w:rFonts w:ascii="Verdana" w:hAnsi="Verdana" w:cs="Arial"/>
          <w:noProof/>
          <w:lang w:val="es-ES_tradnl"/>
        </w:rPr>
        <w:t xml:space="preserve">del </w:t>
      </w:r>
      <w:r w:rsidRPr="004D09C6">
        <w:rPr>
          <w:rFonts w:ascii="Verdana" w:hAnsi="Verdana" w:cs="Arial"/>
          <w:noProof/>
          <w:lang w:val="es-ES_tradnl"/>
        </w:rPr>
        <w:t>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4A76C1EF" w14:textId="77777777" w:rsidR="008430E7" w:rsidRPr="004D09C6" w:rsidRDefault="008430E7" w:rsidP="008430E7">
      <w:pPr>
        <w:tabs>
          <w:tab w:val="left" w:pos="0"/>
        </w:tabs>
        <w:spacing w:after="0" w:line="276" w:lineRule="auto"/>
        <w:contextualSpacing/>
        <w:jc w:val="both"/>
        <w:rPr>
          <w:rFonts w:ascii="Verdana" w:hAnsi="Verdana" w:cs="Arial"/>
          <w:noProof/>
          <w:lang w:val="es-ES_tradnl"/>
        </w:rPr>
      </w:pPr>
    </w:p>
    <w:p w14:paraId="48FAC052" w14:textId="77777777" w:rsidR="008430E7" w:rsidRPr="00FD5C7C" w:rsidRDefault="008430E7" w:rsidP="008430E7">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 xml:space="preserve">“Las Entidades Estatales </w:t>
      </w:r>
      <w:r w:rsidRPr="00FD5C7C">
        <w:rPr>
          <w:rFonts w:ascii="Verdana" w:hAnsi="Verdana" w:cs="Arial"/>
          <w:i/>
          <w:iCs/>
          <w:sz w:val="20"/>
          <w:szCs w:val="20"/>
          <w:u w:val="single"/>
          <w:lang w:val="es-MX"/>
        </w:rPr>
        <w:t>pueden contratar bajo la modalidad de contratación directa la prestación de servicios profesionales y de apoyo a la gestión</w:t>
      </w:r>
      <w:r w:rsidRPr="00FD5C7C">
        <w:rPr>
          <w:rFonts w:ascii="Verdana"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6B0E31A" w14:textId="77777777" w:rsidR="008430E7" w:rsidRPr="00FD5C7C" w:rsidRDefault="008430E7" w:rsidP="008430E7">
      <w:pPr>
        <w:spacing w:after="0" w:line="240" w:lineRule="auto"/>
        <w:ind w:left="709" w:right="760"/>
        <w:contextualSpacing/>
        <w:jc w:val="both"/>
        <w:rPr>
          <w:rFonts w:ascii="Verdana" w:hAnsi="Verdana" w:cs="Arial"/>
          <w:sz w:val="20"/>
          <w:szCs w:val="20"/>
        </w:rPr>
      </w:pPr>
    </w:p>
    <w:p w14:paraId="5B054A10" w14:textId="77777777" w:rsidR="008430E7" w:rsidRPr="00FD5C7C" w:rsidRDefault="008430E7" w:rsidP="008430E7">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4F73E0C" w14:textId="77777777" w:rsidR="008430E7" w:rsidRPr="00FD5C7C" w:rsidRDefault="008430E7" w:rsidP="008430E7">
      <w:pPr>
        <w:spacing w:after="0" w:line="240" w:lineRule="auto"/>
        <w:ind w:left="709" w:right="760"/>
        <w:contextualSpacing/>
        <w:jc w:val="both"/>
        <w:rPr>
          <w:rFonts w:ascii="Verdana" w:hAnsi="Verdana" w:cs="Arial"/>
          <w:sz w:val="20"/>
          <w:szCs w:val="20"/>
          <w:lang w:val="es-MX"/>
        </w:rPr>
      </w:pPr>
    </w:p>
    <w:p w14:paraId="4C144453" w14:textId="77777777" w:rsidR="008430E7" w:rsidRPr="00FD5C7C" w:rsidRDefault="008430E7" w:rsidP="008430E7">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La Entidad Estatal, para la contratación de trabajos artísticos que solamente puedan en</w:t>
      </w:r>
      <w:r w:rsidRPr="00FD5C7C">
        <w:rPr>
          <w:rFonts w:ascii="Verdana" w:hAnsi="Verdana" w:cs="Arial"/>
          <w:sz w:val="20"/>
          <w:szCs w:val="20"/>
          <w:lang w:val="es-MX"/>
        </w:rPr>
        <w:softHyphen/>
        <w:t>comendarse a determinadas personas naturales, debe justificar esta situación en los estudios y documentos previos”. [Énfasis fuera de texto]</w:t>
      </w:r>
    </w:p>
    <w:p w14:paraId="408E08A2" w14:textId="77777777" w:rsidR="008430E7" w:rsidRPr="004D09C6" w:rsidRDefault="008430E7" w:rsidP="008430E7">
      <w:pPr>
        <w:tabs>
          <w:tab w:val="left" w:pos="0"/>
        </w:tabs>
        <w:spacing w:after="0" w:line="276" w:lineRule="auto"/>
        <w:jc w:val="both"/>
        <w:rPr>
          <w:rFonts w:ascii="Verdana" w:hAnsi="Verdana" w:cs="Arial"/>
          <w:noProof/>
          <w:sz w:val="21"/>
          <w:szCs w:val="21"/>
        </w:rPr>
      </w:pPr>
    </w:p>
    <w:p w14:paraId="23EDF895" w14:textId="77777777" w:rsidR="008430E7" w:rsidRPr="008C225B" w:rsidRDefault="008430E7" w:rsidP="008430E7">
      <w:pPr>
        <w:spacing w:after="120" w:line="276" w:lineRule="auto"/>
        <w:ind w:firstLine="708"/>
        <w:jc w:val="both"/>
        <w:rPr>
          <w:rFonts w:ascii="Verdana" w:hAnsi="Verdana"/>
          <w14:ligatures w14:val="standardContextual"/>
        </w:rPr>
      </w:pPr>
      <w:r>
        <w:rPr>
          <w:rFonts w:ascii="Verdana" w:hAnsi="Verdana" w:cs="Arial"/>
          <w:color w:val="000000" w:themeColor="text1"/>
          <w:lang w:val="es-ES_tradnl"/>
        </w:rPr>
        <w:t xml:space="preserve">La anterior precisión tiene lugar, toda vez que se enmarca claramente la modalidad de contratación para celebrar el contrato objeto de su consulta en las prohibiciones ya señaladas anteriormente. </w:t>
      </w:r>
      <w:r w:rsidRPr="00E66C77">
        <w:rPr>
          <w:rFonts w:ascii="Verdana" w:eastAsia="Times New Roman" w:hAnsi="Verdana" w:cs="Open Sans"/>
          <w:lang w:eastAsia="es-CO"/>
        </w:rPr>
        <w:t>Así, esta restricción aplica para la celebración de contratos de prestación de servicios dado que su modalidad de selección es la contratación directa.</w:t>
      </w:r>
    </w:p>
    <w:p w14:paraId="7B663BC6" w14:textId="77777777" w:rsidR="008430E7" w:rsidRDefault="008430E7" w:rsidP="008430E7">
      <w:pPr>
        <w:tabs>
          <w:tab w:val="left" w:pos="0"/>
        </w:tabs>
        <w:spacing w:after="0" w:line="276" w:lineRule="auto"/>
        <w:jc w:val="both"/>
        <w:rPr>
          <w:rFonts w:ascii="Verdana" w:hAnsi="Verdana" w:cs="Arial"/>
          <w:color w:val="000000" w:themeColor="text1"/>
          <w:lang w:val="es-ES_tradnl"/>
        </w:rPr>
      </w:pPr>
      <w:r>
        <w:rPr>
          <w:rFonts w:ascii="Verdana" w:hAnsi="Verdana" w:cs="Arial"/>
          <w:color w:val="000000" w:themeColor="text1"/>
          <w:lang w:val="es-ES_tradnl"/>
        </w:rPr>
        <w:tab/>
        <w:t xml:space="preserve">A continuación, se abordará lo atinente al momento a partir del cual se entiende celebrado el contrato de prestación de servicios, y de esta manera </w:t>
      </w:r>
      <w:r>
        <w:rPr>
          <w:rFonts w:ascii="Verdana" w:hAnsi="Verdana" w:cs="Arial"/>
          <w:color w:val="000000" w:themeColor="text1"/>
          <w:lang w:val="es-ES_tradnl"/>
        </w:rPr>
        <w:lastRenderedPageBreak/>
        <w:t xml:space="preserve">precisar </w:t>
      </w:r>
      <w:proofErr w:type="spellStart"/>
      <w:r>
        <w:rPr>
          <w:rFonts w:ascii="Verdana" w:hAnsi="Verdana" w:cs="Arial"/>
          <w:color w:val="000000" w:themeColor="text1"/>
          <w:lang w:val="es-ES_tradnl"/>
        </w:rPr>
        <w:t>cuando</w:t>
      </w:r>
      <w:proofErr w:type="spellEnd"/>
      <w:r>
        <w:rPr>
          <w:rFonts w:ascii="Verdana" w:hAnsi="Verdana" w:cs="Arial"/>
          <w:color w:val="000000" w:themeColor="text1"/>
          <w:lang w:val="es-ES_tradnl"/>
        </w:rPr>
        <w:t xml:space="preserve"> se incurre o no en una violación a la norma o la prohibición del artículo 33 de la Ley 996 de 2005 con la celebración de estos contratos. </w:t>
      </w:r>
    </w:p>
    <w:p w14:paraId="1C101E5B" w14:textId="77777777" w:rsidR="008430E7" w:rsidRDefault="008430E7" w:rsidP="008430E7">
      <w:pPr>
        <w:tabs>
          <w:tab w:val="left" w:pos="0"/>
        </w:tabs>
        <w:spacing w:after="0" w:line="276" w:lineRule="auto"/>
        <w:jc w:val="both"/>
        <w:rPr>
          <w:rFonts w:ascii="Verdana" w:eastAsia="Century Gothic" w:hAnsi="Verdana" w:cs="Century Gothic"/>
          <w:lang w:val="es-ES"/>
        </w:rPr>
      </w:pPr>
    </w:p>
    <w:p w14:paraId="3169539D" w14:textId="77777777" w:rsidR="008430E7" w:rsidRPr="00C13395" w:rsidRDefault="008430E7" w:rsidP="008430E7">
      <w:pPr>
        <w:spacing w:after="120" w:line="276" w:lineRule="auto"/>
        <w:jc w:val="both"/>
        <w:rPr>
          <w:rFonts w:ascii="Verdana" w:eastAsia="Century Gothic" w:hAnsi="Verdana" w:cs="Century Gothic"/>
          <w:lang w:val="es-ES"/>
        </w:rPr>
      </w:pPr>
      <w:proofErr w:type="spellStart"/>
      <w:r>
        <w:rPr>
          <w:rFonts w:ascii="Verdana" w:eastAsia="Century Gothic" w:hAnsi="Verdana" w:cs="Century Gothic"/>
          <w:lang w:val="es-ES"/>
        </w:rPr>
        <w:t>iv</w:t>
      </w:r>
      <w:proofErr w:type="spellEnd"/>
      <w:r>
        <w:rPr>
          <w:rFonts w:ascii="Verdana" w:eastAsia="Century Gothic" w:hAnsi="Verdana" w:cs="Century Gothic"/>
          <w:lang w:val="es-ES"/>
        </w:rPr>
        <w:t xml:space="preserve">. </w:t>
      </w:r>
      <w:r w:rsidRPr="122F1934">
        <w:rPr>
          <w:rFonts w:ascii="Verdana" w:eastAsia="Century Gothic" w:hAnsi="Verdana" w:cs="Century Gothic"/>
          <w:lang w:val="es-ES"/>
        </w:rPr>
        <w:t xml:space="preserve">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30B97D9C"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7149FC3" w14:textId="77777777" w:rsidR="008430E7" w:rsidRPr="00C13395" w:rsidRDefault="008430E7" w:rsidP="008430E7">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D41F0BA" w14:textId="77777777" w:rsidR="008430E7" w:rsidRDefault="008430E7" w:rsidP="008430E7">
      <w:pPr>
        <w:spacing w:after="0" w:line="276" w:lineRule="auto"/>
        <w:ind w:firstLine="709"/>
        <w:jc w:val="both"/>
        <w:rPr>
          <w:rFonts w:ascii="Verdana" w:eastAsia="Century Gothic" w:hAnsi="Verdana" w:cs="Century Gothic"/>
          <w:bCs/>
          <w:lang w:val="es-ES_tradnl"/>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w:t>
      </w:r>
      <w:r w:rsidRPr="122F1934">
        <w:rPr>
          <w:rFonts w:ascii="Verdana" w:eastAsia="Century Gothic" w:hAnsi="Verdana" w:cs="Century Gothic"/>
          <w:lang w:val="es-ES"/>
        </w:rPr>
        <w:lastRenderedPageBreak/>
        <w:t xml:space="preserve">y siempre que cumplan los principios de planeación, transparencia y </w:t>
      </w:r>
      <w:r w:rsidRPr="001F38BF">
        <w:rPr>
          <w:rFonts w:ascii="Verdana" w:eastAsia="Century Gothic" w:hAnsi="Verdana" w:cs="Century Gothic"/>
          <w:bCs/>
          <w:lang w:val="es-ES_tradnl"/>
        </w:rPr>
        <w:t xml:space="preserve">responsabilidad. </w:t>
      </w:r>
    </w:p>
    <w:p w14:paraId="75BCF731" w14:textId="77777777" w:rsidR="008430E7" w:rsidRDefault="008430E7" w:rsidP="008430E7">
      <w:pPr>
        <w:spacing w:after="0" w:line="276" w:lineRule="auto"/>
        <w:ind w:firstLine="709"/>
        <w:jc w:val="both"/>
        <w:rPr>
          <w:rFonts w:ascii="Verdana" w:eastAsia="Century Gothic" w:hAnsi="Verdana" w:cs="Century Gothic"/>
          <w:bCs/>
          <w:lang w:val="es-ES_tradnl"/>
        </w:rPr>
      </w:pPr>
    </w:p>
    <w:p w14:paraId="6D641B05" w14:textId="77777777" w:rsidR="008430E7" w:rsidRPr="00C13395" w:rsidRDefault="008430E7" w:rsidP="008430E7">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 xml:space="preserve">v. En lo referente a </w:t>
      </w:r>
      <w:r w:rsidRPr="122F1934">
        <w:rPr>
          <w:rFonts w:ascii="Verdana" w:eastAsia="Century Gothic" w:hAnsi="Verdana" w:cs="Century Gothic"/>
          <w:lang w:val="es-ES"/>
        </w:rPr>
        <w:t xml:space="preserve">las excepciones </w:t>
      </w:r>
      <w:r>
        <w:rPr>
          <w:rFonts w:ascii="Verdana" w:eastAsia="Century Gothic" w:hAnsi="Verdana" w:cs="Century Gothic"/>
          <w:lang w:val="es-ES"/>
        </w:rPr>
        <w:t xml:space="preserve">previstas a </w:t>
      </w:r>
      <w:r w:rsidRPr="122F1934">
        <w:rPr>
          <w:rFonts w:ascii="Verdana" w:eastAsia="Century Gothic" w:hAnsi="Verdana" w:cs="Century Gothic"/>
          <w:lang w:val="es-ES"/>
        </w:rPr>
        <w:t xml:space="preserve">la restricción </w:t>
      </w:r>
      <w:r>
        <w:rPr>
          <w:rFonts w:ascii="Verdana" w:eastAsia="Century Gothic" w:hAnsi="Verdana" w:cs="Century Gothic"/>
          <w:lang w:val="es-ES"/>
        </w:rPr>
        <w:t>dictada</w:t>
      </w:r>
      <w:r w:rsidRPr="122F1934">
        <w:rPr>
          <w:rFonts w:ascii="Verdana" w:eastAsia="Century Gothic" w:hAnsi="Verdana" w:cs="Century Gothic"/>
          <w:lang w:val="es-ES"/>
        </w:rPr>
        <w:t xml:space="preserve">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551BFA">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46D7159" w14:textId="77777777" w:rsidR="008430E7" w:rsidRDefault="008430E7" w:rsidP="008430E7">
      <w:pPr>
        <w:spacing w:before="120"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5A237C6" w14:textId="77777777" w:rsidR="008430E7" w:rsidRDefault="008430E7" w:rsidP="008430E7">
      <w:pPr>
        <w:spacing w:after="0" w:line="276" w:lineRule="auto"/>
        <w:ind w:firstLine="708"/>
        <w:jc w:val="both"/>
        <w:rPr>
          <w:rFonts w:ascii="Verdana" w:eastAsia="Century Gothic" w:hAnsi="Verdana" w:cs="Century Gothic"/>
          <w:bCs/>
          <w:lang w:val="es-ES_tradnl"/>
        </w:rPr>
      </w:pPr>
    </w:p>
    <w:p w14:paraId="1B429BF8" w14:textId="77777777" w:rsidR="008430E7" w:rsidRPr="00E16931" w:rsidRDefault="008430E7" w:rsidP="008430E7">
      <w:pPr>
        <w:spacing w:after="120" w:line="276" w:lineRule="auto"/>
        <w:jc w:val="both"/>
        <w:rPr>
          <w:rFonts w:ascii="Verdana" w:eastAsia="Calibri" w:hAnsi="Verdana" w:cs="Arial"/>
        </w:rPr>
      </w:pPr>
      <w:r>
        <w:rPr>
          <w:rFonts w:ascii="Verdana" w:eastAsia="Century Gothic" w:hAnsi="Verdana" w:cs="Century Gothic"/>
          <w:bCs/>
          <w:lang w:val="es-ES_tradnl"/>
        </w:rPr>
        <w:t xml:space="preserve">vi. </w:t>
      </w:r>
      <w:r w:rsidRPr="00E16931">
        <w:rPr>
          <w:rFonts w:ascii="Verdana" w:eastAsia="Times New Roman" w:hAnsi="Verdana" w:cs="Arial"/>
          <w:bCs/>
          <w:lang w:val="es-ES" w:eastAsia="es-CO"/>
        </w:rPr>
        <w:t xml:space="preserve">Sobre el régimen de nulidad, la norma en cita </w:t>
      </w:r>
      <w:r w:rsidRPr="00E16931">
        <w:rPr>
          <w:rFonts w:ascii="Verdana" w:eastAsia="Calibri" w:hAnsi="Verdana" w:cs="Arial"/>
        </w:rPr>
        <w:t xml:space="preserve">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w:t>
      </w:r>
      <w:r w:rsidRPr="00E16931">
        <w:rPr>
          <w:rFonts w:ascii="Verdana" w:eastAsia="Calibri" w:hAnsi="Verdana" w:cs="Arial"/>
        </w:rPr>
        <w:lastRenderedPageBreak/>
        <w:t>actos administrativos en que se fundamenten. 5. se hubieren celebrado con desconocimiento de los criterios previstos para el tratamiento de ofertas nacionales y extranjeras o con violación de la reciprocidad</w:t>
      </w:r>
      <w:r w:rsidRPr="00E16931">
        <w:rPr>
          <w:rFonts w:ascii="Verdana" w:eastAsia="Arial" w:hAnsi="Verdana" w:cs="Arial"/>
          <w:vertAlign w:val="superscript"/>
          <w:lang w:val="es-ES"/>
        </w:rPr>
        <w:footnoteReference w:id="1"/>
      </w:r>
      <w:r w:rsidRPr="00E16931">
        <w:rPr>
          <w:rFonts w:ascii="Verdana" w:eastAsia="Calibri" w:hAnsi="Verdana" w:cs="Arial"/>
        </w:rPr>
        <w:t>.</w:t>
      </w:r>
    </w:p>
    <w:p w14:paraId="6566484A" w14:textId="77777777" w:rsidR="008430E7" w:rsidRDefault="008430E7" w:rsidP="008430E7">
      <w:pPr>
        <w:spacing w:after="0" w:line="276" w:lineRule="auto"/>
        <w:ind w:firstLine="709"/>
        <w:jc w:val="both"/>
        <w:rPr>
          <w:rFonts w:ascii="Verdana" w:eastAsia="Calibri" w:hAnsi="Verdana" w:cs="Times New Roman"/>
          <w:bCs/>
        </w:rPr>
      </w:pPr>
      <w:r>
        <w:rPr>
          <w:rFonts w:ascii="Verdana" w:eastAsia="Calibri" w:hAnsi="Verdana" w:cs="Times New Roman"/>
          <w:bCs/>
        </w:rPr>
        <w:t>En concordancia con lo anterior, el artículo 45 de la Ley 80 de 1993 prescribe:</w:t>
      </w:r>
    </w:p>
    <w:p w14:paraId="1FF03EDD" w14:textId="77777777" w:rsidR="008430E7" w:rsidRPr="00A72235" w:rsidRDefault="008430E7" w:rsidP="008430E7">
      <w:pPr>
        <w:spacing w:after="0" w:line="276" w:lineRule="auto"/>
        <w:ind w:firstLine="709"/>
        <w:jc w:val="both"/>
        <w:rPr>
          <w:rFonts w:ascii="Verdana" w:eastAsia="Calibri" w:hAnsi="Verdana" w:cs="Times New Roman"/>
          <w:bCs/>
        </w:rPr>
      </w:pPr>
    </w:p>
    <w:p w14:paraId="5EA8610D" w14:textId="77777777" w:rsidR="008430E7" w:rsidRDefault="008430E7" w:rsidP="008430E7">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7CA01579" w14:textId="77777777" w:rsidR="008430E7" w:rsidRPr="002E1F8D" w:rsidRDefault="008430E7" w:rsidP="008430E7">
      <w:pPr>
        <w:spacing w:after="0" w:line="240" w:lineRule="auto"/>
        <w:ind w:left="709" w:right="709"/>
        <w:jc w:val="both"/>
        <w:rPr>
          <w:rFonts w:ascii="Verdana" w:eastAsia="Calibri" w:hAnsi="Verdana" w:cs="Times New Roman"/>
          <w:sz w:val="20"/>
          <w:szCs w:val="20"/>
        </w:rPr>
      </w:pPr>
    </w:p>
    <w:p w14:paraId="2464B66C" w14:textId="77777777" w:rsidR="008430E7" w:rsidRPr="002E1F8D" w:rsidRDefault="008430E7" w:rsidP="008430E7">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w:t>
      </w:r>
      <w:r>
        <w:rPr>
          <w:rFonts w:ascii="Verdana" w:eastAsia="Calibri" w:hAnsi="Verdana" w:cs="Times New Roman"/>
          <w:sz w:val="20"/>
          <w:szCs w:val="20"/>
        </w:rPr>
        <w:t xml:space="preserve"> </w:t>
      </w:r>
      <w:r w:rsidRPr="6746F96C">
        <w:rPr>
          <w:rFonts w:ascii="Verdana" w:eastAsia="Calibri" w:hAnsi="Verdana" w:cs="Times New Roman"/>
          <w:sz w:val="20"/>
          <w:szCs w:val="20"/>
        </w:rPr>
        <w:t>debidamente motivado y ordenará su liquidación en el estado en que se encuentre”. </w:t>
      </w:r>
    </w:p>
    <w:p w14:paraId="46B723A0" w14:textId="77777777" w:rsidR="008430E7" w:rsidRDefault="008430E7" w:rsidP="008430E7">
      <w:pPr>
        <w:spacing w:after="0" w:line="276" w:lineRule="auto"/>
        <w:jc w:val="both"/>
        <w:rPr>
          <w:rFonts w:ascii="Verdana" w:eastAsia="Calibri" w:hAnsi="Verdana" w:cs="Times New Roman"/>
          <w:bCs/>
        </w:rPr>
      </w:pPr>
    </w:p>
    <w:p w14:paraId="7ADE9B85" w14:textId="77777777" w:rsidR="008430E7" w:rsidRDefault="008430E7" w:rsidP="008430E7">
      <w:pPr>
        <w:spacing w:after="120" w:line="276" w:lineRule="auto"/>
        <w:jc w:val="both"/>
        <w:rPr>
          <w:rFonts w:ascii="Verdana" w:eastAsia="Calibri" w:hAnsi="Verdana" w:cs="Arial"/>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xml:space="preserve">, </w:t>
      </w:r>
      <w:r w:rsidRPr="00F31AC8">
        <w:rPr>
          <w:rFonts w:ascii="Verdana" w:eastAsia="Calibri" w:hAnsi="Verdana" w:cs="Arial"/>
          <w:i/>
          <w:iCs/>
        </w:rPr>
        <w:t>que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49013AD2" w14:textId="77777777" w:rsidR="008430E7" w:rsidRDefault="008430E7" w:rsidP="008430E7">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w:t>
      </w:r>
      <w:r w:rsidRPr="00D53326">
        <w:rPr>
          <w:rFonts w:ascii="Verdana" w:eastAsia="Calibri" w:hAnsi="Verdana" w:cs="Arial"/>
        </w:rPr>
        <w:lastRenderedPageBreak/>
        <w:t xml:space="preserve">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4F3A6DB8" w14:textId="77777777" w:rsidR="008430E7" w:rsidRPr="0075226F" w:rsidRDefault="008430E7" w:rsidP="008430E7">
      <w:pPr>
        <w:spacing w:after="120" w:line="276" w:lineRule="auto"/>
        <w:ind w:firstLine="567"/>
        <w:jc w:val="both"/>
        <w:rPr>
          <w:rFonts w:ascii="Verdana" w:eastAsia="Calibri" w:hAnsi="Verdana" w:cs="Arial"/>
          <w:lang w:val="es-ES"/>
        </w:rPr>
      </w:pPr>
      <w:r>
        <w:rPr>
          <w:rFonts w:ascii="Verdana" w:eastAsia="Calibri" w:hAnsi="Verdana" w:cs="Arial"/>
        </w:rPr>
        <w:t xml:space="preserve">Sobre </w:t>
      </w:r>
      <w:r w:rsidRPr="0091487B">
        <w:rPr>
          <w:rFonts w:ascii="Verdana" w:eastAsia="Calibri" w:hAnsi="Verdana" w:cs="Arial"/>
        </w:rPr>
        <w:t>el alcance de la causal de nulidad contenida en el numeral 2 del artículo 44 de la Ley 80 de 1993,</w:t>
      </w:r>
      <w:r>
        <w:rPr>
          <w:rFonts w:ascii="Verdana" w:eastAsia="Calibri" w:hAnsi="Verdana" w:cs="Arial"/>
        </w:rPr>
        <w:t xml:space="preserve"> el Consejo de Estado ha señalado que “</w:t>
      </w:r>
      <w:r w:rsidRPr="0075226F">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Pr>
          <w:rStyle w:val="Refdenotaalpie"/>
          <w:rFonts w:ascii="Verdana" w:eastAsia="Calibri" w:hAnsi="Verdana" w:cs="Arial"/>
          <w:bCs/>
          <w:iCs/>
        </w:rPr>
        <w:footnoteReference w:id="2"/>
      </w:r>
      <w:r>
        <w:rPr>
          <w:rFonts w:ascii="Verdana" w:eastAsia="Calibri" w:hAnsi="Verdana" w:cs="Arial"/>
          <w:bCs/>
          <w:iCs/>
        </w:rPr>
        <w:t>”</w:t>
      </w:r>
      <w:r w:rsidRPr="0075226F">
        <w:rPr>
          <w:rFonts w:ascii="Verdana" w:eastAsia="Calibri" w:hAnsi="Verdana" w:cs="Arial"/>
          <w:bCs/>
          <w:iCs/>
        </w:rPr>
        <w:t xml:space="preserve">. </w:t>
      </w:r>
      <w:r>
        <w:rPr>
          <w:rFonts w:ascii="Verdana" w:eastAsia="Calibri" w:hAnsi="Verdana" w:cs="Arial"/>
          <w:bCs/>
          <w:iCs/>
        </w:rPr>
        <w:t xml:space="preserve">Tal es el caso de los </w:t>
      </w:r>
      <w:r>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0F90071C" w14:textId="77777777" w:rsidR="008430E7" w:rsidRPr="007B2BC2" w:rsidRDefault="008430E7" w:rsidP="008430E7">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236D79CA" w14:textId="77777777" w:rsidR="008430E7" w:rsidRDefault="008430E7" w:rsidP="008430E7">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p w14:paraId="39E61233" w14:textId="77777777" w:rsidR="008430E7" w:rsidRDefault="008430E7" w:rsidP="008430E7">
      <w:pPr>
        <w:spacing w:after="0" w:line="276" w:lineRule="auto"/>
        <w:ind w:firstLine="567"/>
        <w:jc w:val="both"/>
        <w:rPr>
          <w:rFonts w:ascii="Verdana" w:eastAsia="Times New Roman" w:hAnsi="Verdana" w:cs="Arial"/>
          <w:bCs/>
          <w:lang w:eastAsia="x-none"/>
        </w:rPr>
      </w:pPr>
      <w:r>
        <w:rPr>
          <w:rFonts w:ascii="Verdana" w:eastAsia="Times New Roman" w:hAnsi="Verdana" w:cs="Arial"/>
          <w:bCs/>
          <w:lang w:val="es-MX" w:eastAsia="x-none"/>
        </w:rPr>
        <w:t xml:space="preserve">En este punto, </w:t>
      </w:r>
      <w:r w:rsidRPr="00F85BDC">
        <w:rPr>
          <w:rFonts w:ascii="Verdana" w:eastAsia="Times New Roman" w:hAnsi="Verdana" w:cs="Arial"/>
          <w:bCs/>
          <w:lang w:eastAsia="x-none"/>
        </w:rPr>
        <w:t xml:space="preserve">resulta pertinente </w:t>
      </w:r>
      <w:r>
        <w:rPr>
          <w:rFonts w:ascii="Verdana" w:eastAsia="Times New Roman" w:hAnsi="Verdana" w:cs="Arial"/>
          <w:bCs/>
          <w:lang w:eastAsia="x-none"/>
        </w:rPr>
        <w:t>enfatizar</w:t>
      </w:r>
      <w:r w:rsidRPr="00F85BDC">
        <w:rPr>
          <w:rFonts w:ascii="Verdana" w:eastAsia="Times New Roman" w:hAnsi="Verdana" w:cs="Arial"/>
          <w:bCs/>
          <w:lang w:eastAsia="x-none"/>
        </w:rPr>
        <w:t xml:space="preserve"> en el deber de planeación que asiste a las Entidades Estatales, el cual impone la obligación de estructurar y adelantar oportunamente las actuaciones precontractuales y contractuales necesarias para el cumplimiento de sus fines. Una adecuada </w:t>
      </w:r>
      <w:r>
        <w:rPr>
          <w:rFonts w:ascii="Verdana" w:eastAsia="Times New Roman" w:hAnsi="Verdana" w:cs="Arial"/>
          <w:bCs/>
          <w:lang w:eastAsia="x-none"/>
        </w:rPr>
        <w:t xml:space="preserve">planeación en la gestión de los procesos, </w:t>
      </w:r>
      <w:r w:rsidRPr="00F85BDC">
        <w:rPr>
          <w:rFonts w:ascii="Verdana" w:eastAsia="Times New Roman" w:hAnsi="Verdana" w:cs="Arial"/>
          <w:bCs/>
          <w:lang w:eastAsia="x-none"/>
        </w:rPr>
        <w:t xml:space="preserve">especialmente en contextos sujetos a restricciones </w:t>
      </w:r>
      <w:r w:rsidRPr="00F85BDC">
        <w:rPr>
          <w:rFonts w:ascii="Verdana" w:eastAsia="Times New Roman" w:hAnsi="Verdana" w:cs="Arial"/>
          <w:bCs/>
          <w:lang w:eastAsia="x-none"/>
        </w:rPr>
        <w:lastRenderedPageBreak/>
        <w:t>temporales como las derivadas de la Ley de Garantías</w:t>
      </w:r>
      <w:r>
        <w:rPr>
          <w:rFonts w:ascii="Verdana" w:eastAsia="Times New Roman" w:hAnsi="Verdana" w:cs="Arial"/>
          <w:bCs/>
          <w:lang w:eastAsia="x-none"/>
        </w:rPr>
        <w:t xml:space="preserve"> Electorales,</w:t>
      </w:r>
      <w:r w:rsidRPr="00F85BDC">
        <w:rPr>
          <w:rFonts w:ascii="Verdana" w:eastAsia="Times New Roman" w:hAnsi="Verdana" w:cs="Arial"/>
          <w:bCs/>
          <w:lang w:eastAsia="x-none"/>
        </w:rPr>
        <w:t xml:space="preserve"> permite mitigar riesgos jurídicos y evitar que, por deficiencias</w:t>
      </w:r>
      <w:r>
        <w:rPr>
          <w:rFonts w:ascii="Verdana" w:eastAsia="Times New Roman" w:hAnsi="Verdana" w:cs="Arial"/>
          <w:bCs/>
          <w:lang w:eastAsia="x-none"/>
        </w:rPr>
        <w:t xml:space="preserve"> o retrasos</w:t>
      </w:r>
      <w:r w:rsidRPr="00F85BDC">
        <w:rPr>
          <w:rFonts w:ascii="Verdana" w:eastAsia="Times New Roman" w:hAnsi="Verdana" w:cs="Arial"/>
          <w:bCs/>
          <w:lang w:eastAsia="x-none"/>
        </w:rPr>
        <w:t xml:space="preserve"> en la gestión, se configuren situaciones que puedan dar lugar a eventuales causales de nulidad</w:t>
      </w:r>
      <w:r>
        <w:rPr>
          <w:rFonts w:ascii="Verdana" w:eastAsia="Times New Roman" w:hAnsi="Verdana" w:cs="Arial"/>
          <w:bCs/>
          <w:lang w:eastAsia="x-none"/>
        </w:rPr>
        <w:t xml:space="preserve">. </w:t>
      </w:r>
    </w:p>
    <w:p w14:paraId="4A5503DF" w14:textId="77777777" w:rsidR="008430E7" w:rsidRDefault="008430E7" w:rsidP="008430E7">
      <w:pPr>
        <w:autoSpaceDE w:val="0"/>
        <w:autoSpaceDN w:val="0"/>
        <w:adjustRightInd w:val="0"/>
        <w:spacing w:after="0" w:line="276" w:lineRule="auto"/>
        <w:jc w:val="both"/>
        <w:rPr>
          <w:rFonts w:ascii="Verdana" w:eastAsia="Century Gothic" w:hAnsi="Verdana" w:cs="Century Gothic"/>
          <w:bCs/>
          <w:lang w:val="es-ES_tradnl"/>
        </w:rPr>
      </w:pPr>
    </w:p>
    <w:p w14:paraId="3A825795" w14:textId="77777777" w:rsidR="008430E7" w:rsidRDefault="008430E7" w:rsidP="008430E7">
      <w:pPr>
        <w:autoSpaceDE w:val="0"/>
        <w:autoSpaceDN w:val="0"/>
        <w:adjustRightInd w:val="0"/>
        <w:spacing w:after="0" w:line="276" w:lineRule="auto"/>
        <w:jc w:val="both"/>
        <w:rPr>
          <w:rFonts w:ascii="Verdana" w:hAnsi="Verdana" w:cs="BCDHEE+Verdana"/>
          <w:color w:val="000000"/>
        </w:rPr>
      </w:pPr>
      <w:proofErr w:type="spellStart"/>
      <w:r>
        <w:rPr>
          <w:rFonts w:ascii="Verdana" w:eastAsia="Century Gothic" w:hAnsi="Verdana" w:cs="Century Gothic"/>
          <w:bCs/>
          <w:lang w:val="es-ES_tradnl"/>
        </w:rPr>
        <w:t>vii</w:t>
      </w:r>
      <w:proofErr w:type="spellEnd"/>
      <w:r>
        <w:rPr>
          <w:rFonts w:ascii="Verdana" w:eastAsia="Century Gothic" w:hAnsi="Verdana" w:cs="Century Gothic"/>
          <w:bCs/>
          <w:lang w:val="es-ES_tradnl"/>
        </w:rPr>
        <w:t xml:space="preserve">. </w:t>
      </w:r>
      <w:r>
        <w:rPr>
          <w:rFonts w:ascii="Verdana" w:hAnsi="Verdana" w:cs="BCDHEE+Verdana"/>
          <w:color w:val="000000"/>
        </w:rPr>
        <w:t>S</w:t>
      </w:r>
      <w:r w:rsidRPr="00E66C77">
        <w:rPr>
          <w:rFonts w:ascii="Verdana" w:hAnsi="Verdana" w:cs="BCDHEE+Verdana"/>
          <w:color w:val="000000"/>
        </w:rPr>
        <w:t xml:space="preserve">obre las fechas en </w:t>
      </w:r>
      <w:r>
        <w:rPr>
          <w:rFonts w:ascii="Verdana" w:hAnsi="Verdana" w:cs="BCDHEE+Verdana"/>
          <w:color w:val="000000"/>
        </w:rPr>
        <w:t xml:space="preserve">las </w:t>
      </w:r>
      <w:r w:rsidRPr="00E66C77">
        <w:rPr>
          <w:rFonts w:ascii="Verdana" w:hAnsi="Verdana" w:cs="BCDHEE+Verdana"/>
          <w:color w:val="000000"/>
        </w:rPr>
        <w:t>que</w:t>
      </w:r>
      <w:r>
        <w:rPr>
          <w:rFonts w:ascii="Verdana" w:hAnsi="Verdana" w:cs="BCDHEE+Verdana"/>
          <w:color w:val="000000"/>
        </w:rPr>
        <w:t xml:space="preserve"> se</w:t>
      </w:r>
      <w:r w:rsidRPr="00E66C77">
        <w:rPr>
          <w:rFonts w:ascii="Verdana" w:hAnsi="Verdana" w:cs="BCDHEE+Verdana"/>
          <w:color w:val="000000"/>
        </w:rPr>
        <w:t xml:space="preserve"> aplica la</w:t>
      </w:r>
      <w:r>
        <w:rPr>
          <w:rFonts w:ascii="Verdana" w:hAnsi="Verdana" w:cs="BCDHEE+Verdana"/>
          <w:color w:val="000000"/>
        </w:rPr>
        <w:t>s restricciones establecidas en la</w:t>
      </w:r>
      <w:r w:rsidRPr="00E66C77">
        <w:rPr>
          <w:rFonts w:ascii="Verdana" w:hAnsi="Verdana" w:cs="BCDHEE+Verdana"/>
          <w:color w:val="000000"/>
        </w:rPr>
        <w:t xml:space="preserve"> Ley de </w:t>
      </w:r>
      <w:r>
        <w:rPr>
          <w:rFonts w:ascii="Verdana" w:hAnsi="Verdana" w:cs="BCDHEE+Verdana"/>
          <w:color w:val="000000"/>
        </w:rPr>
        <w:t>G</w:t>
      </w:r>
      <w:r w:rsidRPr="00E66C77">
        <w:rPr>
          <w:rFonts w:ascii="Verdana" w:hAnsi="Verdana" w:cs="BCDHEE+Verdana"/>
          <w:color w:val="000000"/>
        </w:rPr>
        <w:t>arantías</w:t>
      </w:r>
      <w:r>
        <w:rPr>
          <w:rFonts w:ascii="Verdana" w:hAnsi="Verdana" w:cs="BCDHEE+Verdana"/>
          <w:color w:val="000000"/>
        </w:rPr>
        <w:t xml:space="preserve"> Electorales</w:t>
      </w:r>
      <w:r w:rsidRPr="00E66C77">
        <w:rPr>
          <w:rFonts w:ascii="Verdana" w:hAnsi="Verdana" w:cs="BCDHEE+Verdana"/>
          <w:color w:val="000000"/>
        </w:rPr>
        <w:t>, se debe tener en cuenta que el Consejo Nacional Electoral</w:t>
      </w:r>
      <w:r>
        <w:rPr>
          <w:rFonts w:ascii="Verdana" w:hAnsi="Verdana" w:cs="BCDHEE+Verdana"/>
          <w:color w:val="000000"/>
        </w:rPr>
        <w:t>,</w:t>
      </w:r>
      <w:r w:rsidRPr="00E66C77">
        <w:rPr>
          <w:rFonts w:ascii="Verdana" w:hAnsi="Verdana" w:cs="BCDHEE+Verdana"/>
          <w:color w:val="000000"/>
        </w:rPr>
        <w:t xml:space="preserve"> mediante Resolución No. 2580 del 5 de marzo de 2025</w:t>
      </w:r>
      <w:r>
        <w:rPr>
          <w:rFonts w:ascii="Verdana" w:hAnsi="Verdana" w:cs="BCDHEE+Verdana"/>
          <w:color w:val="000000"/>
        </w:rPr>
        <w:t>,</w:t>
      </w:r>
      <w:r w:rsidRPr="00E66C77">
        <w:rPr>
          <w:rFonts w:ascii="Verdana" w:hAnsi="Verdana" w:cs="BCDHEE+Verdana"/>
          <w:color w:val="000000"/>
        </w:rPr>
        <w:t xml:space="preserve"> fijó el calendario electoral para las elecciones de </w:t>
      </w:r>
      <w:proofErr w:type="gramStart"/>
      <w:r w:rsidRPr="00E66C77">
        <w:rPr>
          <w:rFonts w:ascii="Verdana" w:hAnsi="Verdana" w:cs="BCDHEE+Verdana"/>
          <w:color w:val="000000"/>
        </w:rPr>
        <w:t>Presidente</w:t>
      </w:r>
      <w:proofErr w:type="gramEnd"/>
      <w:r w:rsidRPr="00E66C77">
        <w:rPr>
          <w:rFonts w:ascii="Verdana" w:hAnsi="Verdana" w:cs="BCDHEE+Verdana"/>
          <w:color w:val="000000"/>
        </w:rPr>
        <w:t xml:space="preserve"> y </w:t>
      </w:r>
      <w:proofErr w:type="gramStart"/>
      <w:r w:rsidRPr="00E66C77">
        <w:rPr>
          <w:rFonts w:ascii="Verdana" w:hAnsi="Verdana" w:cs="BCDHEE+Verdana"/>
          <w:color w:val="000000"/>
        </w:rPr>
        <w:t>Vicepresidente</w:t>
      </w:r>
      <w:proofErr w:type="gramEnd"/>
      <w:r w:rsidRPr="00E66C77">
        <w:rPr>
          <w:rFonts w:ascii="Verdana" w:hAnsi="Verdana" w:cs="BCDHEE+Verdana"/>
          <w:color w:val="000000"/>
        </w:rPr>
        <w:t xml:space="preserve"> de la República</w:t>
      </w:r>
      <w:r>
        <w:rPr>
          <w:rFonts w:ascii="Verdana" w:hAnsi="Verdana" w:cs="BCDHEE+Verdana"/>
          <w:color w:val="000000"/>
        </w:rPr>
        <w:t>, las cuales</w:t>
      </w:r>
      <w:r w:rsidRPr="00E66C77">
        <w:rPr>
          <w:rFonts w:ascii="Verdana" w:hAnsi="Verdana" w:cs="BCDHEE+Verdana"/>
          <w:color w:val="000000"/>
        </w:rPr>
        <w:t xml:space="preserve"> en primera vuelta que se celebrarán el 31 de mayo de 2026</w:t>
      </w:r>
      <w:r>
        <w:rPr>
          <w:rFonts w:ascii="Verdana" w:hAnsi="Verdana" w:cs="BCDHEE+Verdana"/>
          <w:color w:val="000000"/>
        </w:rPr>
        <w:t xml:space="preserve">. Como se explicó en el presente concepto, frente a las elecciones de </w:t>
      </w:r>
      <w:proofErr w:type="gramStart"/>
      <w:r>
        <w:rPr>
          <w:rFonts w:ascii="Verdana" w:hAnsi="Verdana" w:cs="BCDHEE+Verdana"/>
          <w:color w:val="000000"/>
        </w:rPr>
        <w:t>Presidente</w:t>
      </w:r>
      <w:proofErr w:type="gramEnd"/>
      <w:r>
        <w:rPr>
          <w:rFonts w:ascii="Verdana" w:hAnsi="Verdana" w:cs="BCDHEE+Verdana"/>
          <w:color w:val="000000"/>
        </w:rPr>
        <w:t xml:space="preserve"> de la República aplica </w:t>
      </w:r>
      <w:r w:rsidRPr="00E66C77">
        <w:rPr>
          <w:rFonts w:ascii="Verdana" w:hAnsi="Verdana" w:cs="BCDHEE+Verdana"/>
          <w:color w:val="000000"/>
        </w:rPr>
        <w:t>las restricciones del artículo 33 de la Ley 996 de 2005</w:t>
      </w:r>
      <w:r>
        <w:rPr>
          <w:rFonts w:ascii="Verdana" w:hAnsi="Verdana" w:cs="BCDHEE+Verdana"/>
          <w:color w:val="000000"/>
        </w:rPr>
        <w:t>,</w:t>
      </w:r>
      <w:r w:rsidRPr="00E66C77">
        <w:rPr>
          <w:rFonts w:ascii="Verdana" w:hAnsi="Verdana" w:cs="BCDHEE+Verdana"/>
          <w:color w:val="000000"/>
        </w:rPr>
        <w:t xml:space="preserve"> que dispone </w:t>
      </w:r>
      <w:r>
        <w:rPr>
          <w:rFonts w:ascii="Verdana" w:hAnsi="Verdana" w:cs="BCDHEE+Verdana"/>
          <w:color w:val="000000"/>
        </w:rPr>
        <w:t>un ámbito temporal correspondiente a</w:t>
      </w:r>
      <w:r w:rsidRPr="00E66C77">
        <w:rPr>
          <w:rFonts w:ascii="Verdana" w:hAnsi="Verdana" w:cs="BCDHEE+Verdana"/>
          <w:color w:val="000000"/>
        </w:rPr>
        <w:t xml:space="preserve"> los </w:t>
      </w:r>
      <w:r>
        <w:rPr>
          <w:rFonts w:ascii="Verdana" w:hAnsi="Verdana" w:cs="BCDHEE+Verdana"/>
          <w:color w:val="000000"/>
        </w:rPr>
        <w:t>cuatro (</w:t>
      </w:r>
      <w:r w:rsidRPr="00E66C77">
        <w:rPr>
          <w:rFonts w:ascii="Verdana" w:hAnsi="Verdana" w:cs="BCDHEE+Verdana"/>
          <w:color w:val="000000"/>
        </w:rPr>
        <w:t>4</w:t>
      </w:r>
      <w:r>
        <w:rPr>
          <w:rFonts w:ascii="Verdana" w:hAnsi="Verdana" w:cs="BCDHEE+Verdana"/>
          <w:color w:val="000000"/>
        </w:rPr>
        <w:t>)</w:t>
      </w:r>
      <w:r w:rsidRPr="00E66C77">
        <w:rPr>
          <w:rFonts w:ascii="Verdana" w:hAnsi="Verdana" w:cs="BCDHEE+Verdana"/>
          <w:color w:val="000000"/>
        </w:rPr>
        <w:t xml:space="preserve"> meses anteriores a la elección presidencial, es decir</w:t>
      </w:r>
      <w:r>
        <w:rPr>
          <w:rFonts w:ascii="Verdana" w:hAnsi="Verdana" w:cs="BCDHEE+Verdana"/>
          <w:color w:val="000000"/>
        </w:rPr>
        <w:t xml:space="preserve">, </w:t>
      </w:r>
      <w:proofErr w:type="gramStart"/>
      <w:r>
        <w:rPr>
          <w:rFonts w:ascii="Verdana" w:hAnsi="Verdana" w:cs="BCDHEE+Verdana"/>
          <w:color w:val="000000"/>
        </w:rPr>
        <w:t>que</w:t>
      </w:r>
      <w:proofErr w:type="gramEnd"/>
      <w:r>
        <w:rPr>
          <w:rFonts w:ascii="Verdana" w:hAnsi="Verdana" w:cs="BCDHEE+Verdana"/>
          <w:color w:val="000000"/>
        </w:rPr>
        <w:t xml:space="preserve"> para las elecciones próximas a suceder,</w:t>
      </w:r>
      <w:r w:rsidRPr="00E66C77">
        <w:rPr>
          <w:rFonts w:ascii="Verdana" w:hAnsi="Verdana" w:cs="BCDHEE+Verdana"/>
          <w:color w:val="000000"/>
        </w:rPr>
        <w:t xml:space="preserve"> desde el 31 de enero de 2026 y hasta el momento de la celebración</w:t>
      </w:r>
      <w:r>
        <w:rPr>
          <w:rFonts w:ascii="Verdana" w:hAnsi="Verdana" w:cs="BCDHEE+Verdana"/>
          <w:color w:val="000000"/>
        </w:rPr>
        <w:t xml:space="preserve"> de las elecciones, </w:t>
      </w:r>
      <w:r w:rsidRPr="009F7290">
        <w:rPr>
          <w:rFonts w:ascii="Verdana" w:hAnsi="Verdana" w:cs="BCDHEE+Verdana"/>
          <w:color w:val="000000"/>
        </w:rPr>
        <w:t>queda prohibida la contratación directa por parte de todos los entes del Estado.</w:t>
      </w:r>
      <w:r>
        <w:rPr>
          <w:rFonts w:ascii="Verdana" w:hAnsi="Verdana" w:cs="BCDHEE+Verdana"/>
          <w:color w:val="000000"/>
        </w:rPr>
        <w:t xml:space="preserve"> Esta restricción podría extenderse incluso hasta </w:t>
      </w:r>
      <w:r w:rsidRPr="00E66C77">
        <w:rPr>
          <w:rFonts w:ascii="Verdana" w:hAnsi="Verdana" w:cs="BCDHEE+Verdana"/>
          <w:color w:val="000000"/>
        </w:rPr>
        <w:t>la segunda vuelta, si fuere el caso</w:t>
      </w:r>
      <w:r>
        <w:rPr>
          <w:rFonts w:ascii="Verdana" w:hAnsi="Verdana" w:cs="BCDHEE+Verdana"/>
          <w:color w:val="000000"/>
        </w:rPr>
        <w:t xml:space="preserve"> de que ella </w:t>
      </w:r>
      <w:proofErr w:type="spellStart"/>
      <w:r>
        <w:rPr>
          <w:rFonts w:ascii="Verdana" w:hAnsi="Verdana" w:cs="BCDHEE+Verdana"/>
          <w:color w:val="000000"/>
        </w:rPr>
        <w:t>se de</w:t>
      </w:r>
      <w:proofErr w:type="spellEnd"/>
      <w:r>
        <w:rPr>
          <w:rFonts w:ascii="Verdana" w:hAnsi="Verdana" w:cs="BCDHEE+Verdana"/>
          <w:color w:val="000000"/>
        </w:rPr>
        <w:t xml:space="preserve">. </w:t>
      </w:r>
    </w:p>
    <w:p w14:paraId="3566B33D" w14:textId="77777777" w:rsidR="008430E7" w:rsidRPr="00E66C77" w:rsidRDefault="008430E7" w:rsidP="008430E7">
      <w:pPr>
        <w:autoSpaceDE w:val="0"/>
        <w:autoSpaceDN w:val="0"/>
        <w:adjustRightInd w:val="0"/>
        <w:spacing w:after="0" w:line="276" w:lineRule="auto"/>
        <w:jc w:val="both"/>
        <w:rPr>
          <w:rFonts w:ascii="Verdana" w:eastAsia="Times New Roman" w:hAnsi="Verdana" w:cs="Arial"/>
          <w:bCs/>
          <w:lang w:val="es-ES" w:eastAsia="es-CO"/>
        </w:rPr>
      </w:pPr>
    </w:p>
    <w:p w14:paraId="3FF70945" w14:textId="77777777" w:rsidR="008430E7" w:rsidRPr="007C55B9" w:rsidRDefault="008430E7" w:rsidP="008430E7">
      <w:pPr>
        <w:spacing w:after="120" w:line="276" w:lineRule="auto"/>
        <w:jc w:val="both"/>
        <w:rPr>
          <w:rFonts w:ascii="Verdana" w:eastAsia="Calibri" w:hAnsi="Verdana" w:cs="Arial"/>
        </w:rPr>
      </w:pPr>
      <w:proofErr w:type="spellStart"/>
      <w:r>
        <w:rPr>
          <w:rFonts w:ascii="Verdana" w:eastAsia="Century Gothic" w:hAnsi="Verdana" w:cs="Century Gothic"/>
          <w:bCs/>
          <w:lang w:val="es-ES_tradnl"/>
        </w:rPr>
        <w:t>viii</w:t>
      </w:r>
      <w:proofErr w:type="spellEnd"/>
      <w:r>
        <w:rPr>
          <w:rFonts w:ascii="Verdana" w:eastAsia="Century Gothic" w:hAnsi="Verdana" w:cs="Century Gothic"/>
          <w:bCs/>
          <w:lang w:val="es-ES_tradnl"/>
        </w:rPr>
        <w:t xml:space="preserve">. </w:t>
      </w:r>
      <w:r w:rsidRPr="007C55B9">
        <w:rPr>
          <w:rFonts w:ascii="Verdana" w:eastAsia="Calibri" w:hAnsi="Verdana" w:cs="Arial"/>
        </w:rPr>
        <w:t xml:space="preserve">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032B7B4E" w14:textId="77777777" w:rsidR="008430E7" w:rsidRPr="007C55B9" w:rsidRDefault="008430E7" w:rsidP="008430E7">
      <w:pPr>
        <w:spacing w:after="0" w:line="276" w:lineRule="auto"/>
        <w:ind w:firstLine="709"/>
        <w:jc w:val="both"/>
        <w:rPr>
          <w:rFonts w:ascii="Verdana" w:eastAsia="Calibri" w:hAnsi="Verdana" w:cs="Arial"/>
        </w:rPr>
      </w:pPr>
      <w:r w:rsidRPr="007C55B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w:t>
      </w:r>
      <w:r w:rsidRPr="007C55B9">
        <w:rPr>
          <w:rFonts w:ascii="Verdana" w:eastAsia="Calibri" w:hAnsi="Verdana" w:cs="Arial"/>
        </w:rPr>
        <w:lastRenderedPageBreak/>
        <w:t xml:space="preserve">su gestión contractual, sin que sea atribución de la Agencia Nacional de Contratación Pública - Colombia Compra Eficiente validar sus actuaciones.  </w:t>
      </w:r>
    </w:p>
    <w:p w14:paraId="36260DA4" w14:textId="77777777" w:rsidR="008430E7" w:rsidRPr="007C55B9" w:rsidRDefault="008430E7" w:rsidP="008430E7">
      <w:pPr>
        <w:spacing w:after="0" w:line="276" w:lineRule="auto"/>
        <w:ind w:firstLine="709"/>
        <w:jc w:val="both"/>
        <w:rPr>
          <w:rFonts w:ascii="Verdana" w:eastAsia="Calibri" w:hAnsi="Verdana" w:cs="Arial"/>
        </w:rPr>
      </w:pPr>
    </w:p>
    <w:p w14:paraId="6CE63028" w14:textId="77777777" w:rsidR="008430E7" w:rsidRPr="007C55B9" w:rsidRDefault="008430E7" w:rsidP="008430E7">
      <w:pPr>
        <w:widowControl w:val="0"/>
        <w:autoSpaceDE w:val="0"/>
        <w:autoSpaceDN w:val="0"/>
        <w:spacing w:before="1" w:after="0" w:line="240" w:lineRule="auto"/>
        <w:outlineLvl w:val="0"/>
        <w:rPr>
          <w:rFonts w:ascii="Verdana" w:eastAsia="Arial" w:hAnsi="Verdana" w:cs="Arial"/>
          <w:b/>
          <w:bCs/>
          <w:lang w:val="es-ES"/>
        </w:rPr>
      </w:pPr>
      <w:r w:rsidRPr="007C55B9">
        <w:rPr>
          <w:rFonts w:ascii="Verdana" w:eastAsia="Arial" w:hAnsi="Verdana" w:cs="Arial"/>
          <w:b/>
          <w:bCs/>
          <w:lang w:val="es-ES"/>
        </w:rPr>
        <w:t>4.Referencias normativas, jurisprudenciales y otras fuentes:</w:t>
      </w:r>
    </w:p>
    <w:p w14:paraId="55D26EBC" w14:textId="77777777" w:rsidR="008430E7" w:rsidRPr="007C55B9" w:rsidRDefault="008430E7" w:rsidP="008430E7">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430E7" w:rsidRPr="007C55B9" w14:paraId="4B0EEC45" w14:textId="77777777" w:rsidTr="00EE6597">
        <w:trPr>
          <w:trHeight w:val="870"/>
        </w:trPr>
        <w:tc>
          <w:tcPr>
            <w:tcW w:w="8647" w:type="dxa"/>
          </w:tcPr>
          <w:p w14:paraId="04EEF40C"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Constitución Política: Artículo 127.</w:t>
            </w:r>
          </w:p>
          <w:p w14:paraId="5E152A5A"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Ley 80 de 1993, artículos 39, 41. </w:t>
            </w:r>
          </w:p>
          <w:p w14:paraId="6D06AF29"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Ley 996 de 2005: artículos 33 y 38 parágrafo.</w:t>
            </w:r>
          </w:p>
          <w:p w14:paraId="347AAA63"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Ley 1150 de 2007, Artículo 2, numeral 4. </w:t>
            </w:r>
          </w:p>
          <w:p w14:paraId="60E7606B" w14:textId="77777777" w:rsidR="008430E7" w:rsidRPr="007C55B9" w:rsidRDefault="008430E7" w:rsidP="008430E7">
            <w:pPr>
              <w:widowControl w:val="0"/>
              <w:numPr>
                <w:ilvl w:val="0"/>
                <w:numId w:val="1"/>
              </w:numPr>
              <w:autoSpaceDE w:val="0"/>
              <w:autoSpaceDN w:val="0"/>
              <w:spacing w:line="276" w:lineRule="auto"/>
              <w:contextualSpacing/>
              <w:jc w:val="both"/>
              <w:rPr>
                <w:rFonts w:ascii="Verdana" w:eastAsia="Calibri" w:hAnsi="Verdana" w:cs="Arial"/>
                <w:lang w:val="es-ES"/>
              </w:rPr>
            </w:pPr>
            <w:r w:rsidRPr="007C55B9">
              <w:rPr>
                <w:rFonts w:ascii="Verdana" w:eastAsia="Calibri" w:hAnsi="Verdana" w:cs="Arial"/>
                <w:lang w:val="es-ES"/>
              </w:rPr>
              <w:t>Corte Constitucional, Sentencia C- 1153 de 2005, M.P. Marco Gerardo Monroy Cabra</w:t>
            </w:r>
            <w:r>
              <w:rPr>
                <w:rFonts w:ascii="Verdana" w:eastAsia="Calibri" w:hAnsi="Verdana" w:cs="Arial"/>
                <w:lang w:val="es-ES"/>
              </w:rPr>
              <w:t>.</w:t>
            </w:r>
          </w:p>
          <w:p w14:paraId="276ADB83"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Consejo de Estado, Sala de Consulta y Servicio Civil de fecha 24 de julio de 2013, Rad. 2166, C. P. Álvaro Namén Vargas. </w:t>
            </w:r>
          </w:p>
          <w:p w14:paraId="497406FB" w14:textId="77777777" w:rsidR="008430E7" w:rsidRPr="007C55B9" w:rsidRDefault="008430E7" w:rsidP="008430E7">
            <w:pPr>
              <w:widowControl w:val="0"/>
              <w:numPr>
                <w:ilvl w:val="0"/>
                <w:numId w:val="1"/>
              </w:numPr>
              <w:autoSpaceDE w:val="0"/>
              <w:autoSpaceDN w:val="0"/>
              <w:spacing w:line="276" w:lineRule="auto"/>
              <w:contextualSpacing/>
              <w:jc w:val="both"/>
              <w:rPr>
                <w:rFonts w:ascii="Verdana" w:eastAsia="Calibri" w:hAnsi="Verdana" w:cs="Arial"/>
                <w:lang w:val="es-ES"/>
              </w:rPr>
            </w:pPr>
            <w:r w:rsidRPr="007C55B9">
              <w:rPr>
                <w:rFonts w:ascii="Verdana" w:eastAsia="Calibri" w:hAnsi="Verdana" w:cs="Arial"/>
                <w:lang w:val="es-ES"/>
              </w:rPr>
              <w:t>Consejo de Estado. Sala de Consulta y Servicio Civil. Concepto del 17 de febrero de 2015. C.P. William Zambrano Cetina. Radicación No. 11001-03-06-000-2015-00164-00(2269).</w:t>
            </w:r>
          </w:p>
          <w:p w14:paraId="033CB596" w14:textId="77777777" w:rsidR="008430E7" w:rsidRPr="007C55B9" w:rsidRDefault="008430E7" w:rsidP="008430E7">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Consejo de Estado, Sala de lo Contencioso Administrativo, Sección Tercera. Auto del 4 de octubre de 2024. Radicado No. 70.313. MP: Fredy Ibarra Martínez</w:t>
            </w:r>
            <w:r>
              <w:rPr>
                <w:rFonts w:ascii="Verdana" w:eastAsia="Calibri" w:hAnsi="Verdana" w:cs="Arial"/>
                <w:lang w:val="es-ES"/>
              </w:rPr>
              <w:t>.</w:t>
            </w:r>
          </w:p>
        </w:tc>
      </w:tr>
    </w:tbl>
    <w:p w14:paraId="168AF66D" w14:textId="77777777" w:rsidR="008430E7" w:rsidRPr="002F119A" w:rsidRDefault="008430E7" w:rsidP="008430E7">
      <w:pPr>
        <w:widowControl w:val="0"/>
        <w:autoSpaceDE w:val="0"/>
        <w:autoSpaceDN w:val="0"/>
        <w:spacing w:after="0" w:line="276" w:lineRule="auto"/>
        <w:jc w:val="both"/>
        <w:rPr>
          <w:rFonts w:ascii="Verdana" w:eastAsia="Aptos" w:hAnsi="Verdana" w:cs="Arial"/>
        </w:rPr>
      </w:pPr>
    </w:p>
    <w:p w14:paraId="6C1C7888" w14:textId="77777777" w:rsidR="008430E7" w:rsidRPr="002F119A" w:rsidRDefault="008430E7" w:rsidP="008430E7">
      <w:pPr>
        <w:widowControl w:val="0"/>
        <w:autoSpaceDE w:val="0"/>
        <w:autoSpaceDN w:val="0"/>
        <w:spacing w:before="1" w:after="0" w:line="276" w:lineRule="auto"/>
        <w:outlineLvl w:val="0"/>
        <w:rPr>
          <w:rFonts w:ascii="Verdana" w:eastAsia="Arial" w:hAnsi="Verdana" w:cs="Arial"/>
          <w:b/>
          <w:bCs/>
          <w:lang w:val="es-ES"/>
        </w:rPr>
      </w:pPr>
      <w:r w:rsidRPr="002F119A">
        <w:rPr>
          <w:rFonts w:ascii="Verdana" w:eastAsia="Arial" w:hAnsi="Verdana" w:cs="Arial"/>
          <w:b/>
          <w:bCs/>
          <w:lang w:val="es-ES"/>
        </w:rPr>
        <w:t>5. Doctrina de la Agencia Nacional de Contratación Pública:</w:t>
      </w:r>
    </w:p>
    <w:p w14:paraId="1B48D772" w14:textId="77777777" w:rsidR="008430E7" w:rsidRPr="002F119A" w:rsidRDefault="008430E7" w:rsidP="008430E7">
      <w:pPr>
        <w:widowControl w:val="0"/>
        <w:autoSpaceDE w:val="0"/>
        <w:autoSpaceDN w:val="0"/>
        <w:spacing w:after="0" w:line="276" w:lineRule="auto"/>
        <w:jc w:val="both"/>
        <w:rPr>
          <w:rFonts w:ascii="Verdana" w:eastAsia="Aptos" w:hAnsi="Verdana" w:cs="Arial"/>
        </w:rPr>
      </w:pPr>
    </w:p>
    <w:p w14:paraId="547DE264" w14:textId="77777777" w:rsidR="008430E7" w:rsidRPr="002F119A" w:rsidRDefault="008430E7" w:rsidP="008430E7">
      <w:pPr>
        <w:widowControl w:val="0"/>
        <w:autoSpaceDE w:val="0"/>
        <w:autoSpaceDN w:val="0"/>
        <w:spacing w:after="0" w:line="276" w:lineRule="auto"/>
        <w:jc w:val="both"/>
        <w:rPr>
          <w:rFonts w:ascii="Verdana" w:eastAsia="Aptos" w:hAnsi="Verdana" w:cs="Arial"/>
          <w:shd w:val="clear" w:color="auto" w:fill="FFFFFF"/>
          <w:lang w:val="es-ES"/>
        </w:rPr>
      </w:pPr>
      <w:r w:rsidRPr="002F119A">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w:t>
      </w:r>
      <w:r w:rsidRPr="002F119A">
        <w:rPr>
          <w:rFonts w:ascii="Verdana" w:eastAsia="Calibri" w:hAnsi="Verdana" w:cs="Arial"/>
          <w:bCs/>
          <w:shd w:val="clear" w:color="auto" w:fill="FFFFFF"/>
        </w:rPr>
        <w:lastRenderedPageBreak/>
        <w:t>octubre de 2025, C-1488 del 30 de octubre de 2025, C-1596 del 6 de noviembre de 2025,</w:t>
      </w:r>
      <w:r>
        <w:rPr>
          <w:rFonts w:ascii="Verdana" w:eastAsia="Calibri" w:hAnsi="Verdana" w:cs="Arial"/>
          <w:bCs/>
          <w:shd w:val="clear" w:color="auto" w:fill="FFFFFF"/>
        </w:rPr>
        <w:t xml:space="preserve"> C – 211 del 26 de marzo de 2026, C-264 del 30 de marzo de 2026,  </w:t>
      </w:r>
      <w:r w:rsidRPr="002F119A">
        <w:rPr>
          <w:rFonts w:ascii="Verdana" w:eastAsia="Calibri" w:hAnsi="Verdana" w:cs="Arial"/>
          <w:bCs/>
          <w:shd w:val="clear" w:color="auto" w:fill="FFFFFF"/>
        </w:rPr>
        <w:t xml:space="preserve"> entre otros.</w:t>
      </w:r>
      <w:r>
        <w:rPr>
          <w:rFonts w:ascii="Verdana" w:eastAsia="Calibri" w:hAnsi="Verdana" w:cs="Arial"/>
          <w:bCs/>
          <w:shd w:val="clear" w:color="auto" w:fill="FFFFFF"/>
        </w:rPr>
        <w:t xml:space="preserve"> </w:t>
      </w:r>
      <w:r w:rsidRPr="002F119A">
        <w:rPr>
          <w:rFonts w:ascii="Verdana" w:eastAsia="Calibri" w:hAnsi="Verdana" w:cs="Arial"/>
          <w:bCs/>
          <w:shd w:val="clear" w:color="auto" w:fill="FFFFFF"/>
          <w:lang w:val="es-ES"/>
        </w:rPr>
        <w:t xml:space="preserve">En tal sentido, recoge los conceptos expuestos, sin perjuicio de otras consideraciones. </w:t>
      </w:r>
      <w:r w:rsidRPr="002F119A">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0" w:history="1">
        <w:r w:rsidRPr="002F119A">
          <w:rPr>
            <w:rFonts w:ascii="Verdana" w:eastAsia="Aptos" w:hAnsi="Verdana" w:cs="Arial"/>
            <w:color w:val="0000FF"/>
            <w:u w:val="single"/>
            <w:shd w:val="clear" w:color="auto" w:fill="FFFFFF"/>
            <w:lang w:val="es-ES"/>
          </w:rPr>
          <w:t>https://relatoria.colombiacompra.gov.co/</w:t>
        </w:r>
      </w:hyperlink>
      <w:r w:rsidRPr="002F119A">
        <w:rPr>
          <w:rFonts w:ascii="Verdana" w:eastAsia="Aptos" w:hAnsi="Verdana" w:cs="Arial"/>
          <w:shd w:val="clear" w:color="auto" w:fill="FFFFFF"/>
          <w:lang w:val="es-ES"/>
        </w:rPr>
        <w:t xml:space="preserve">. </w:t>
      </w:r>
    </w:p>
    <w:p w14:paraId="7C62F615" w14:textId="77777777" w:rsidR="008430E7" w:rsidRPr="002F119A" w:rsidRDefault="008430E7" w:rsidP="008430E7">
      <w:pPr>
        <w:spacing w:before="120" w:after="120" w:line="276" w:lineRule="auto"/>
        <w:ind w:firstLine="709"/>
        <w:jc w:val="both"/>
        <w:rPr>
          <w:rFonts w:ascii="Verdana" w:eastAsia="Aptos" w:hAnsi="Verdana" w:cs="Times New Roman"/>
        </w:rPr>
      </w:pPr>
      <w:r w:rsidRPr="002F119A">
        <w:rPr>
          <w:rFonts w:ascii="Verdana" w:eastAsia="Aptos" w:hAnsi="Verdana" w:cs="Times New Roman"/>
        </w:rPr>
        <w:t xml:space="preserve">La sostenibilidad no es una opción, es una obligación. Por ello, la Agencia Nacional de Contratación Pública –Colombia Compra Eficiente– te invita a realizar el </w:t>
      </w:r>
      <w:r w:rsidRPr="002F119A">
        <w:rPr>
          <w:rFonts w:ascii="Verdana" w:eastAsia="Aptos" w:hAnsi="Verdana" w:cs="Times New Roman"/>
          <w:b/>
          <w:bCs/>
        </w:rPr>
        <w:t>Curso de Contratación Pública Sostenible y Socialmente Responsable</w:t>
      </w:r>
      <w:r w:rsidRPr="002F119A">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F119A">
        <w:rPr>
          <w:rFonts w:ascii="Verdana" w:eastAsia="Aptos" w:hAnsi="Verdana" w:cs="Times New Roman"/>
        </w:rPr>
        <w:br/>
      </w:r>
      <w:hyperlink r:id="rId11" w:tgtFrame="_new" w:history="1">
        <w:r w:rsidRPr="002F119A">
          <w:rPr>
            <w:rFonts w:ascii="Verdana" w:eastAsia="Aptos" w:hAnsi="Verdana" w:cs="Times New Roman"/>
            <w:color w:val="0000FF"/>
            <w:u w:val="single"/>
          </w:rPr>
          <w:t>https://formacionvirtual.colombiacompra.gov.co/mod/page/view.php?id=3718</w:t>
        </w:r>
      </w:hyperlink>
    </w:p>
    <w:p w14:paraId="7B878913" w14:textId="77777777" w:rsidR="008430E7" w:rsidRPr="002F119A" w:rsidRDefault="008430E7" w:rsidP="008430E7">
      <w:pPr>
        <w:spacing w:line="276" w:lineRule="auto"/>
        <w:ind w:firstLine="708"/>
        <w:jc w:val="both"/>
        <w:rPr>
          <w:rFonts w:ascii="Verdana" w:eastAsia="Aptos" w:hAnsi="Verdana" w:cs="Times New Roman"/>
        </w:rPr>
      </w:pPr>
      <w:r w:rsidRPr="002F119A">
        <w:rPr>
          <w:rFonts w:ascii="Verdana" w:eastAsia="Aptos" w:hAnsi="Verdana" w:cs="Times New Roman"/>
        </w:rPr>
        <w:t xml:space="preserve">De otro lado, te contamos que esta Agencia ha da un paso decisivo en la estandarización y modernización del </w:t>
      </w:r>
      <w:r w:rsidRPr="002F119A">
        <w:rPr>
          <w:rFonts w:ascii="Verdana" w:eastAsia="Aptos" w:hAnsi="Verdana" w:cs="Times New Roman"/>
          <w:b/>
          <w:bCs/>
        </w:rPr>
        <w:t>sector  social</w:t>
      </w:r>
      <w:r w:rsidRPr="002F119A">
        <w:rPr>
          <w:rFonts w:ascii="Verdana" w:eastAsia="Aptos" w:hAnsi="Verdana" w:cs="Times New Roman"/>
        </w:rPr>
        <w:t xml:space="preserve"> con la expedición de las </w:t>
      </w:r>
      <w:r w:rsidRPr="002F119A">
        <w:rPr>
          <w:rFonts w:ascii="Verdana" w:eastAsia="Aptos" w:hAnsi="Verdana" w:cs="Times New Roman"/>
          <w:b/>
          <w:bCs/>
        </w:rPr>
        <w:t>Resoluciones 539, 540, 541, 952 y 953 de 2025</w:t>
      </w:r>
      <w:r w:rsidRPr="002F119A">
        <w:rPr>
          <w:rFonts w:ascii="Verdana" w:eastAsia="Aptos" w:hAnsi="Verdana" w:cs="Times New Roman"/>
        </w:rPr>
        <w:t xml:space="preserve">, </w:t>
      </w:r>
      <w:r w:rsidRPr="002F119A">
        <w:rPr>
          <w:rFonts w:ascii="Verdana" w:eastAsia="Aptos" w:hAnsi="Verdana" w:cs="Times New Roman"/>
          <w:b/>
          <w:bCs/>
        </w:rPr>
        <w:t>mediante las cuales adoptó Documentos Tipo</w:t>
      </w:r>
      <w:r w:rsidRPr="002F119A">
        <w:rPr>
          <w:rFonts w:ascii="Verdana" w:eastAsia="Aptos" w:hAnsi="Verdana" w:cs="Times New Roman"/>
        </w:rPr>
        <w:t xml:space="preserve"> para las modalidades de selección de</w:t>
      </w:r>
      <w:r w:rsidRPr="002F119A">
        <w:rPr>
          <w:rFonts w:ascii="Verdana" w:eastAsia="Aptos" w:hAnsi="Verdana" w:cs="Times New Roman"/>
          <w:b/>
          <w:bCs/>
        </w:rPr>
        <w:t xml:space="preserve"> licitación pública (versión 2), selección abreviada de menor cuantía, mínima cuantía, consultoría e interventoría</w:t>
      </w:r>
      <w:r w:rsidRPr="002F119A">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2" w:tgtFrame="_new" w:history="1">
        <w:r w:rsidRPr="002F119A">
          <w:rPr>
            <w:rFonts w:ascii="Verdana" w:eastAsia="Aptos" w:hAnsi="Verdana" w:cs="Times New Roman"/>
            <w:color w:val="0000FF"/>
            <w:u w:val="single"/>
          </w:rPr>
          <w:t>https://www.colombiacompra.gov.co/normativa-y-relatoria/documentos-tipo</w:t>
        </w:r>
      </w:hyperlink>
    </w:p>
    <w:p w14:paraId="19A28B13" w14:textId="77777777" w:rsidR="008430E7" w:rsidRPr="002F119A" w:rsidRDefault="008430E7" w:rsidP="008430E7">
      <w:pPr>
        <w:spacing w:after="0" w:line="276" w:lineRule="auto"/>
        <w:ind w:firstLine="708"/>
        <w:jc w:val="both"/>
        <w:rPr>
          <w:rFonts w:ascii="Verdana" w:eastAsia="Aptos" w:hAnsi="Verdana" w:cs="Times New Roman"/>
        </w:rPr>
      </w:pPr>
      <w:r w:rsidRPr="002F119A">
        <w:rPr>
          <w:rFonts w:ascii="Verdana" w:eastAsia="Aptos" w:hAnsi="Verdana" w:cs="Times New Roman"/>
        </w:rPr>
        <w:t xml:space="preserve">Si quieres conocer más sobre la aplicación de Documentos Tipo puedes consultar la última versión de la </w:t>
      </w:r>
      <w:r w:rsidRPr="002F119A">
        <w:rPr>
          <w:rFonts w:ascii="Verdana" w:eastAsia="Aptos" w:hAnsi="Verdana" w:cs="Times New Roman"/>
          <w:b/>
          <w:bCs/>
        </w:rPr>
        <w:t>Guía para la comprensión e implementación de los Documentos Tipo de obra pública de infraestructura de transporte</w:t>
      </w:r>
      <w:r w:rsidRPr="002F119A">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w:t>
      </w:r>
      <w:r w:rsidRPr="002F119A">
        <w:rPr>
          <w:rFonts w:ascii="Verdana" w:eastAsia="Aptos" w:hAnsi="Verdana" w:cs="Times New Roman"/>
        </w:rPr>
        <w:lastRenderedPageBreak/>
        <w:t>ambientales y sociales incluidos en los documentos tipo: Consulta la guía aquí:</w:t>
      </w:r>
      <w:r w:rsidRPr="002F119A">
        <w:rPr>
          <w:rFonts w:ascii="Verdana" w:eastAsia="Aptos" w:hAnsi="Verdana" w:cs="Times New Roman"/>
        </w:rPr>
        <w:br/>
      </w:r>
      <w:hyperlink r:id="rId13" w:tgtFrame="_new" w:history="1">
        <w:r w:rsidRPr="002F119A">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BBE2468" w14:textId="77777777" w:rsidR="008430E7" w:rsidRPr="002F119A" w:rsidRDefault="008430E7" w:rsidP="008430E7">
      <w:pPr>
        <w:spacing w:before="120" w:after="0" w:line="276" w:lineRule="auto"/>
        <w:ind w:firstLine="708"/>
        <w:jc w:val="both"/>
        <w:rPr>
          <w:rFonts w:ascii="Verdana" w:eastAsia="Aptos" w:hAnsi="Verdana" w:cs="Times New Roman"/>
        </w:rPr>
      </w:pPr>
      <w:r w:rsidRPr="002F119A">
        <w:rPr>
          <w:rFonts w:ascii="Verdana" w:eastAsia="Aptos" w:hAnsi="Verdana" w:cs="Times New Roman"/>
        </w:rPr>
        <w:t xml:space="preserve">Por último, lo invitamos a seguirnos en las redes sociales en las cuales se difunde información institucional: </w:t>
      </w:r>
    </w:p>
    <w:p w14:paraId="18876EB8" w14:textId="77777777" w:rsidR="008430E7" w:rsidRPr="002F119A" w:rsidRDefault="008430E7" w:rsidP="008430E7">
      <w:pPr>
        <w:spacing w:after="0" w:line="276" w:lineRule="auto"/>
        <w:jc w:val="both"/>
        <w:rPr>
          <w:rFonts w:ascii="Verdana" w:eastAsia="Aptos" w:hAnsi="Verdana" w:cs="Times New Roman"/>
        </w:rPr>
      </w:pPr>
    </w:p>
    <w:p w14:paraId="1EAF4085" w14:textId="77777777" w:rsidR="008430E7" w:rsidRPr="002F119A" w:rsidRDefault="008430E7" w:rsidP="008430E7">
      <w:pPr>
        <w:spacing w:after="0" w:line="276" w:lineRule="auto"/>
        <w:jc w:val="both"/>
        <w:rPr>
          <w:rFonts w:ascii="Verdana" w:eastAsia="Aptos" w:hAnsi="Verdana" w:cs="Times New Roman"/>
        </w:rPr>
      </w:pPr>
      <w:r w:rsidRPr="002F119A">
        <w:rPr>
          <w:rFonts w:ascii="Verdana" w:eastAsia="Aptos" w:hAnsi="Verdana" w:cs="Times New Roman"/>
        </w:rPr>
        <w:t xml:space="preserve">Twitter: </w:t>
      </w:r>
      <w:r w:rsidRPr="002F119A">
        <w:rPr>
          <w:rFonts w:ascii="Verdana" w:eastAsia="Aptos" w:hAnsi="Verdana" w:cs="Arial"/>
          <w:color w:val="0000FF"/>
          <w:u w:val="single"/>
          <w:shd w:val="clear" w:color="auto" w:fill="FFFFFF"/>
          <w:lang w:val="es-ES"/>
        </w:rPr>
        <w:t>@colombiacompra</w:t>
      </w:r>
      <w:r w:rsidRPr="002F119A">
        <w:rPr>
          <w:rFonts w:ascii="Verdana" w:eastAsia="Aptos" w:hAnsi="Verdana" w:cs="Times New Roman"/>
          <w:color w:val="156082"/>
        </w:rPr>
        <w:t xml:space="preserve"> </w:t>
      </w:r>
    </w:p>
    <w:p w14:paraId="444AE038" w14:textId="77777777" w:rsidR="008430E7" w:rsidRPr="002F119A" w:rsidRDefault="008430E7" w:rsidP="008430E7">
      <w:pPr>
        <w:spacing w:after="0" w:line="276" w:lineRule="auto"/>
        <w:jc w:val="both"/>
        <w:rPr>
          <w:rFonts w:ascii="Verdana" w:eastAsia="Aptos" w:hAnsi="Verdana" w:cs="Times New Roman"/>
        </w:rPr>
      </w:pPr>
      <w:r w:rsidRPr="002F119A">
        <w:rPr>
          <w:rFonts w:ascii="Verdana" w:eastAsia="Aptos" w:hAnsi="Verdana" w:cs="Times New Roman"/>
        </w:rPr>
        <w:t xml:space="preserve">Facebook: </w:t>
      </w:r>
      <w:proofErr w:type="spellStart"/>
      <w:r w:rsidRPr="002F119A">
        <w:rPr>
          <w:rFonts w:ascii="Verdana" w:eastAsia="Aptos" w:hAnsi="Verdana" w:cs="Arial"/>
          <w:color w:val="0000FF"/>
          <w:u w:val="single"/>
          <w:shd w:val="clear" w:color="auto" w:fill="FFFFFF"/>
          <w:lang w:val="es-ES"/>
        </w:rPr>
        <w:t>ColombiaCompraEficiente</w:t>
      </w:r>
      <w:proofErr w:type="spellEnd"/>
    </w:p>
    <w:p w14:paraId="07889D23" w14:textId="77777777" w:rsidR="008430E7" w:rsidRPr="002F119A" w:rsidRDefault="008430E7" w:rsidP="008430E7">
      <w:pPr>
        <w:spacing w:after="0" w:line="276" w:lineRule="auto"/>
        <w:jc w:val="both"/>
        <w:rPr>
          <w:rFonts w:ascii="Verdana" w:eastAsia="Aptos" w:hAnsi="Verdana" w:cs="Times New Roman"/>
        </w:rPr>
      </w:pPr>
      <w:r w:rsidRPr="002F119A">
        <w:rPr>
          <w:rFonts w:ascii="Verdana" w:eastAsia="Aptos" w:hAnsi="Verdana" w:cs="Times New Roman"/>
        </w:rPr>
        <w:t xml:space="preserve">LinkedIn: </w:t>
      </w:r>
      <w:r w:rsidRPr="002F119A">
        <w:rPr>
          <w:rFonts w:ascii="Verdana" w:eastAsia="Aptos" w:hAnsi="Verdana" w:cs="Arial"/>
          <w:color w:val="0000FF"/>
          <w:u w:val="single"/>
          <w:shd w:val="clear" w:color="auto" w:fill="FFFFFF"/>
          <w:lang w:val="es-ES"/>
        </w:rPr>
        <w:t>Agencia Nacional de Contratación Pública - Colombia Compra Eficiente</w:t>
      </w:r>
      <w:r w:rsidRPr="002F119A">
        <w:rPr>
          <w:rFonts w:ascii="Verdana" w:eastAsia="Aptos" w:hAnsi="Verdana" w:cs="Times New Roman"/>
          <w:color w:val="156082"/>
        </w:rPr>
        <w:t xml:space="preserve"> </w:t>
      </w:r>
      <w:r w:rsidRPr="002F119A">
        <w:rPr>
          <w:rFonts w:ascii="Verdana" w:eastAsia="Aptos" w:hAnsi="Verdana" w:cs="Times New Roman"/>
        </w:rPr>
        <w:t xml:space="preserve">Instagram: </w:t>
      </w:r>
      <w:r w:rsidRPr="002F119A">
        <w:rPr>
          <w:rFonts w:ascii="Verdana" w:eastAsia="Aptos" w:hAnsi="Verdana" w:cs="Arial"/>
          <w:color w:val="0000FF"/>
          <w:u w:val="single"/>
          <w:shd w:val="clear" w:color="auto" w:fill="FFFFFF"/>
          <w:lang w:val="es-ES"/>
        </w:rPr>
        <w:t>@colombiacompraeficiente_cce</w:t>
      </w:r>
    </w:p>
    <w:p w14:paraId="1F01048F" w14:textId="77777777" w:rsidR="008430E7" w:rsidRPr="002F119A" w:rsidRDefault="008430E7" w:rsidP="008430E7">
      <w:pPr>
        <w:widowControl w:val="0"/>
        <w:autoSpaceDE w:val="0"/>
        <w:autoSpaceDN w:val="0"/>
        <w:spacing w:after="0" w:line="276" w:lineRule="auto"/>
        <w:jc w:val="both"/>
        <w:rPr>
          <w:rFonts w:ascii="Verdana" w:eastAsia="Aptos" w:hAnsi="Verdana" w:cs="Arial"/>
        </w:rPr>
      </w:pPr>
    </w:p>
    <w:p w14:paraId="0518A850" w14:textId="77777777" w:rsidR="008430E7" w:rsidRPr="002F119A" w:rsidRDefault="008430E7" w:rsidP="008430E7">
      <w:pPr>
        <w:widowControl w:val="0"/>
        <w:autoSpaceDE w:val="0"/>
        <w:autoSpaceDN w:val="0"/>
        <w:spacing w:after="0" w:line="276" w:lineRule="auto"/>
        <w:jc w:val="both"/>
        <w:rPr>
          <w:rFonts w:ascii="Verdana" w:eastAsia="Aptos" w:hAnsi="Verdana" w:cs="Arial"/>
          <w:lang w:val="es-ES_tradnl"/>
        </w:rPr>
      </w:pPr>
      <w:r w:rsidRPr="002F119A">
        <w:rPr>
          <w:rFonts w:ascii="Verdana" w:eastAsia="Aptos" w:hAnsi="Verdana" w:cs="Arial"/>
        </w:rPr>
        <w:t xml:space="preserve">Este concepto tiene el alcance previsto en el artículo 28 del Código de Procedimiento Administrativo y de lo Contencioso Administrativo </w:t>
      </w:r>
      <w:r w:rsidRPr="002F119A">
        <w:rPr>
          <w:rFonts w:ascii="Verdana" w:eastAsia="Aptos" w:hAnsi="Verdana" w:cs="Arial"/>
          <w:lang w:val="es-ES_tradnl"/>
        </w:rPr>
        <w:t>y las expresiones aquí utilizadas con mayúscula inicial deben ser entendidas con el significado que les otorga el artículo 2.2.1.1.1.3.1. del Decreto 1082 de 2015.</w:t>
      </w:r>
    </w:p>
    <w:p w14:paraId="1DFDA7AF" w14:textId="77777777" w:rsidR="008430E7" w:rsidRPr="002F119A" w:rsidRDefault="008430E7" w:rsidP="008430E7">
      <w:pPr>
        <w:widowControl w:val="0"/>
        <w:autoSpaceDE w:val="0"/>
        <w:autoSpaceDN w:val="0"/>
        <w:spacing w:after="0" w:line="276" w:lineRule="auto"/>
        <w:jc w:val="both"/>
        <w:rPr>
          <w:rFonts w:ascii="Verdana" w:eastAsia="Aptos" w:hAnsi="Verdana" w:cs="Arial"/>
        </w:rPr>
      </w:pPr>
    </w:p>
    <w:p w14:paraId="271694E8" w14:textId="77777777" w:rsidR="008430E7" w:rsidRPr="002F119A" w:rsidRDefault="008430E7" w:rsidP="008430E7">
      <w:pPr>
        <w:spacing w:after="0" w:line="276" w:lineRule="auto"/>
        <w:rPr>
          <w:rFonts w:ascii="Verdana" w:eastAsia="Aptos" w:hAnsi="Verdana" w:cs="Arial"/>
          <w:lang w:eastAsia="es-CO"/>
        </w:rPr>
      </w:pPr>
      <w:r w:rsidRPr="002F119A">
        <w:rPr>
          <w:rFonts w:ascii="Verdana" w:eastAsia="Times New Roman" w:hAnsi="Verdana" w:cs="Arial"/>
          <w:lang w:eastAsia="es-CO"/>
        </w:rPr>
        <w:t>Atentamente,</w:t>
      </w:r>
      <w:r w:rsidRPr="002F119A">
        <w:rPr>
          <w:rFonts w:ascii="Verdana" w:eastAsia="Aptos" w:hAnsi="Verdana" w:cs="Arial"/>
          <w:lang w:eastAsia="es-CO"/>
        </w:rPr>
        <w:t xml:space="preserve"> </w:t>
      </w:r>
    </w:p>
    <w:p w14:paraId="40B5D98B" w14:textId="03FB7DAE" w:rsidR="007D72D9" w:rsidRPr="007D72D9" w:rsidRDefault="007D72D9" w:rsidP="007D72D9">
      <w:pPr>
        <w:spacing w:after="0" w:line="276" w:lineRule="auto"/>
        <w:jc w:val="center"/>
        <w:rPr>
          <w:rFonts w:ascii="Verdana" w:eastAsia="Aptos" w:hAnsi="Verdana" w:cs="Arial"/>
          <w:lang w:eastAsia="es-CO"/>
        </w:rPr>
      </w:pPr>
      <w:r w:rsidRPr="007D72D9">
        <w:rPr>
          <w:rFonts w:ascii="Verdana" w:eastAsia="Aptos" w:hAnsi="Verdana" w:cs="Arial"/>
          <w:lang w:eastAsia="es-CO"/>
        </w:rPr>
        <w:drawing>
          <wp:inline distT="0" distB="0" distL="0" distR="0" wp14:anchorId="58C60B8C" wp14:editId="27C67822">
            <wp:extent cx="3771900" cy="1400175"/>
            <wp:effectExtent l="0" t="0" r="0" b="9525"/>
            <wp:docPr id="12406628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285B41D4" w14:textId="37C49141" w:rsidR="008430E7" w:rsidRDefault="008430E7" w:rsidP="008430E7">
      <w:pPr>
        <w:spacing w:after="0" w:line="276" w:lineRule="auto"/>
        <w:jc w:val="center"/>
        <w:rPr>
          <w:rFonts w:ascii="Verdana" w:eastAsia="Aptos" w:hAnsi="Verdana" w:cs="Arial"/>
          <w:lang w:val="es-ES_tradnl" w:eastAsia="es-CO"/>
        </w:rPr>
      </w:pPr>
    </w:p>
    <w:p w14:paraId="4FF928AC" w14:textId="77777777" w:rsidR="008430E7" w:rsidRPr="007C55B9" w:rsidRDefault="008430E7" w:rsidP="008430E7">
      <w:pPr>
        <w:spacing w:after="0" w:line="276" w:lineRule="auto"/>
        <w:jc w:val="center"/>
        <w:rPr>
          <w:rFonts w:ascii="Verdana" w:eastAsia="Aptos" w:hAnsi="Verdana" w:cs="Arial"/>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8430E7" w:rsidRPr="007C55B9" w14:paraId="01EBEB08" w14:textId="77777777" w:rsidTr="00EE6597">
        <w:trPr>
          <w:trHeight w:val="286"/>
        </w:trPr>
        <w:tc>
          <w:tcPr>
            <w:tcW w:w="901" w:type="dxa"/>
            <w:vAlign w:val="center"/>
            <w:hideMark/>
          </w:tcPr>
          <w:p w14:paraId="249A3357"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4AB056D0" w14:textId="77777777" w:rsidR="008430E7" w:rsidRPr="007C55B9" w:rsidRDefault="008430E7" w:rsidP="00EE6597">
            <w:pPr>
              <w:rPr>
                <w:rFonts w:ascii="Verdana" w:eastAsia="Aptos" w:hAnsi="Verdana" w:cs="Arial"/>
                <w:sz w:val="14"/>
                <w:szCs w:val="14"/>
                <w:lang w:eastAsia="es-ES"/>
              </w:rPr>
            </w:pPr>
            <w:r>
              <w:rPr>
                <w:rFonts w:ascii="Verdana" w:eastAsia="Aptos" w:hAnsi="Verdana" w:cs="Arial"/>
                <w:sz w:val="14"/>
                <w:szCs w:val="14"/>
                <w:lang w:eastAsia="es-ES"/>
              </w:rPr>
              <w:t>Natalia Montoya Jiménez</w:t>
            </w:r>
          </w:p>
          <w:p w14:paraId="69FF4AF8" w14:textId="77777777" w:rsidR="008430E7" w:rsidRPr="007C55B9" w:rsidRDefault="008430E7" w:rsidP="00EE6597">
            <w:pPr>
              <w:rPr>
                <w:rFonts w:ascii="Verdana" w:eastAsia="Aptos" w:hAnsi="Verdana" w:cs="Arial"/>
                <w:sz w:val="14"/>
                <w:szCs w:val="14"/>
                <w:lang w:eastAsia="es-ES"/>
              </w:rPr>
            </w:pPr>
            <w:r>
              <w:rPr>
                <w:rFonts w:ascii="Verdana" w:eastAsia="Aptos" w:hAnsi="Verdana" w:cs="Arial"/>
                <w:sz w:val="14"/>
                <w:szCs w:val="14"/>
                <w:lang w:eastAsia="es-ES"/>
              </w:rPr>
              <w:t>Gestor T1 - 15</w:t>
            </w:r>
            <w:r w:rsidRPr="007C55B9">
              <w:rPr>
                <w:rFonts w:ascii="Verdana" w:eastAsia="Aptos" w:hAnsi="Verdana" w:cs="Arial"/>
                <w:sz w:val="14"/>
                <w:szCs w:val="14"/>
                <w:lang w:eastAsia="es-ES"/>
              </w:rPr>
              <w:t xml:space="preserve"> de la Subdirección de Gestión Contractual</w:t>
            </w:r>
          </w:p>
        </w:tc>
      </w:tr>
      <w:tr w:rsidR="008430E7" w:rsidRPr="007C55B9" w14:paraId="7EF9DD34" w14:textId="77777777" w:rsidTr="00EE6597">
        <w:trPr>
          <w:trHeight w:val="299"/>
        </w:trPr>
        <w:tc>
          <w:tcPr>
            <w:tcW w:w="901" w:type="dxa"/>
            <w:vAlign w:val="center"/>
          </w:tcPr>
          <w:p w14:paraId="52A44AB3"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03D2A919" w14:textId="77777777" w:rsidR="008430E7" w:rsidRPr="007C55B9" w:rsidRDefault="008430E7" w:rsidP="00EE6597">
            <w:pPr>
              <w:rPr>
                <w:rFonts w:ascii="Verdana" w:eastAsia="Aptos" w:hAnsi="Verdana" w:cs="Arial"/>
                <w:sz w:val="14"/>
                <w:szCs w:val="14"/>
                <w:lang w:eastAsia="es-ES"/>
              </w:rPr>
            </w:pPr>
            <w:r>
              <w:rPr>
                <w:rFonts w:ascii="Verdana" w:eastAsia="Aptos" w:hAnsi="Verdana" w:cs="Arial"/>
                <w:sz w:val="14"/>
                <w:szCs w:val="14"/>
                <w:lang w:eastAsia="es-ES"/>
              </w:rPr>
              <w:t>Diana Lucía Saavedra Castañeda</w:t>
            </w:r>
          </w:p>
          <w:p w14:paraId="43ADD60F"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Contratista de la Subdirección de Gestión Contractual</w:t>
            </w:r>
          </w:p>
        </w:tc>
      </w:tr>
      <w:tr w:rsidR="008430E7" w:rsidRPr="007C55B9" w14:paraId="4814B827" w14:textId="77777777" w:rsidTr="00EE6597">
        <w:trPr>
          <w:trHeight w:val="272"/>
        </w:trPr>
        <w:tc>
          <w:tcPr>
            <w:tcW w:w="901" w:type="dxa"/>
            <w:vAlign w:val="center"/>
            <w:hideMark/>
          </w:tcPr>
          <w:p w14:paraId="52A81956"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15E0E56A"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Carolina Quintero Gacharná</w:t>
            </w:r>
          </w:p>
          <w:p w14:paraId="6FCDDFEF" w14:textId="77777777" w:rsidR="008430E7" w:rsidRPr="007C55B9" w:rsidRDefault="008430E7" w:rsidP="00EE6597">
            <w:pPr>
              <w:rPr>
                <w:rFonts w:ascii="Verdana" w:eastAsia="Aptos" w:hAnsi="Verdana" w:cs="Arial"/>
                <w:sz w:val="14"/>
                <w:szCs w:val="14"/>
                <w:lang w:eastAsia="es-ES"/>
              </w:rPr>
            </w:pPr>
            <w:r w:rsidRPr="007C55B9">
              <w:rPr>
                <w:rFonts w:ascii="Verdana" w:eastAsia="Aptos" w:hAnsi="Verdana" w:cs="Arial"/>
                <w:sz w:val="14"/>
                <w:szCs w:val="14"/>
                <w:lang w:eastAsia="es-ES"/>
              </w:rPr>
              <w:t>Subdirectora de Gestión Contractual ANCP – CCE</w:t>
            </w:r>
          </w:p>
        </w:tc>
      </w:tr>
    </w:tbl>
    <w:p w14:paraId="5DE99266" w14:textId="77777777" w:rsidR="008430E7" w:rsidRPr="007C55B9" w:rsidRDefault="008430E7" w:rsidP="008430E7">
      <w:pPr>
        <w:spacing w:after="0" w:line="240" w:lineRule="auto"/>
        <w:rPr>
          <w:rFonts w:ascii="Verdana" w:eastAsia="Times New Roman" w:hAnsi="Verdana" w:cs="Arial"/>
          <w:sz w:val="24"/>
          <w:szCs w:val="24"/>
          <w:lang w:eastAsia="es-ES"/>
        </w:rPr>
      </w:pPr>
    </w:p>
    <w:p w14:paraId="64A231E9" w14:textId="77777777" w:rsidR="008430E7" w:rsidRPr="007C55B9" w:rsidRDefault="008430E7" w:rsidP="008430E7">
      <w:pPr>
        <w:rPr>
          <w:rFonts w:ascii="Verdana" w:eastAsia="Aptos" w:hAnsi="Verdana" w:cs="Times New Roman"/>
        </w:rPr>
      </w:pPr>
    </w:p>
    <w:p w14:paraId="3D61B633" w14:textId="77777777" w:rsidR="008430E7" w:rsidRPr="007C55B9" w:rsidRDefault="008430E7" w:rsidP="008430E7">
      <w:pPr>
        <w:rPr>
          <w:rFonts w:ascii="Verdana" w:hAnsi="Verdana"/>
        </w:rPr>
      </w:pPr>
    </w:p>
    <w:p w14:paraId="68979459" w14:textId="77777777" w:rsidR="008430E7" w:rsidRPr="000E2B93" w:rsidRDefault="008430E7" w:rsidP="008430E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1A2301A9" w14:textId="575250C3" w:rsidR="008430E7" w:rsidRDefault="008430E7" w:rsidP="008430E7"/>
    <w:p w14:paraId="27794DF5" w14:textId="77777777" w:rsidR="008430E7" w:rsidRDefault="008430E7"/>
    <w:sectPr w:rsidR="008430E7" w:rsidSect="008430E7">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69FAA" w14:textId="77777777" w:rsidR="00A16DE9" w:rsidRDefault="00A16DE9" w:rsidP="008430E7">
      <w:pPr>
        <w:spacing w:after="0" w:line="240" w:lineRule="auto"/>
      </w:pPr>
      <w:r>
        <w:separator/>
      </w:r>
    </w:p>
  </w:endnote>
  <w:endnote w:type="continuationSeparator" w:id="0">
    <w:p w14:paraId="3DB82914" w14:textId="77777777" w:rsidR="00A16DE9" w:rsidRDefault="00A16DE9" w:rsidP="00843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F2114" w14:textId="77777777" w:rsidR="008430E7" w:rsidRDefault="008430E7">
    <w:pPr>
      <w:pStyle w:val="Piedepgina"/>
    </w:pPr>
  </w:p>
  <w:p w14:paraId="06B4E8C4" w14:textId="77777777" w:rsidR="008430E7" w:rsidRPr="00174B77" w:rsidRDefault="008430E7"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5525B47" w14:textId="77777777" w:rsidR="008430E7" w:rsidRDefault="008430E7"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38495DA" w14:textId="77777777" w:rsidR="008430E7" w:rsidRPr="00E41027" w:rsidRDefault="008430E7"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075849E" w14:textId="77777777" w:rsidR="008430E7" w:rsidRDefault="008430E7"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15BDA" w14:textId="77777777" w:rsidR="00A16DE9" w:rsidRDefault="00A16DE9" w:rsidP="008430E7">
      <w:pPr>
        <w:spacing w:after="0" w:line="240" w:lineRule="auto"/>
      </w:pPr>
      <w:r>
        <w:separator/>
      </w:r>
    </w:p>
  </w:footnote>
  <w:footnote w:type="continuationSeparator" w:id="0">
    <w:p w14:paraId="1471F41E" w14:textId="77777777" w:rsidR="00A16DE9" w:rsidRDefault="00A16DE9" w:rsidP="008430E7">
      <w:pPr>
        <w:spacing w:after="0" w:line="240" w:lineRule="auto"/>
      </w:pPr>
      <w:r>
        <w:continuationSeparator/>
      </w:r>
    </w:p>
  </w:footnote>
  <w:footnote w:id="1">
    <w:p w14:paraId="1513BC7F" w14:textId="77777777" w:rsidR="008430E7" w:rsidRPr="00424C0D" w:rsidRDefault="008430E7" w:rsidP="008430E7">
      <w:pPr>
        <w:spacing w:after="0" w:line="240" w:lineRule="auto"/>
        <w:ind w:firstLine="709"/>
        <w:jc w:val="both"/>
        <w:rPr>
          <w:rFonts w:ascii="Verdana" w:hAnsi="Verdana" w:cs="Arial"/>
          <w:sz w:val="16"/>
          <w:szCs w:val="16"/>
        </w:rPr>
      </w:pPr>
      <w:r w:rsidRPr="00424C0D">
        <w:rPr>
          <w:rStyle w:val="Refdenotaalpie"/>
          <w:rFonts w:ascii="Verdana" w:hAnsi="Verdana" w:cs="Arial"/>
          <w:sz w:val="16"/>
          <w:szCs w:val="16"/>
        </w:rPr>
        <w:footnoteRef/>
      </w:r>
      <w:r w:rsidRPr="00424C0D">
        <w:rPr>
          <w:rFonts w:ascii="Verdana" w:hAnsi="Verdana" w:cs="Arial"/>
          <w:sz w:val="16"/>
          <w:szCs w:val="16"/>
        </w:rPr>
        <w:t xml:space="preserve"> “Artículo 44. Los contratos del Estado son absolutamente nulos en los casos previstos en el derecho común y además cuando:</w:t>
      </w:r>
    </w:p>
    <w:p w14:paraId="31331EEB" w14:textId="77777777" w:rsidR="008430E7" w:rsidRPr="00424C0D" w:rsidRDefault="008430E7" w:rsidP="008430E7">
      <w:pPr>
        <w:spacing w:after="0" w:line="240" w:lineRule="auto"/>
        <w:ind w:firstLine="709"/>
        <w:jc w:val="both"/>
        <w:rPr>
          <w:rFonts w:ascii="Verdana" w:hAnsi="Verdana" w:cs="Arial"/>
          <w:sz w:val="16"/>
          <w:szCs w:val="16"/>
        </w:rPr>
      </w:pPr>
      <w:r w:rsidRPr="00424C0D">
        <w:rPr>
          <w:rFonts w:ascii="Verdana" w:hAnsi="Verdana" w:cs="Arial"/>
          <w:sz w:val="16"/>
          <w:szCs w:val="16"/>
        </w:rPr>
        <w:t>1o. Se celebren con personas incursas en causales de inhabilidad o incompatibilidad previstas en la Constitución y la ley;</w:t>
      </w:r>
    </w:p>
    <w:p w14:paraId="1135DB7D" w14:textId="77777777" w:rsidR="008430E7" w:rsidRPr="00424C0D" w:rsidRDefault="008430E7" w:rsidP="008430E7">
      <w:pPr>
        <w:spacing w:after="0" w:line="240" w:lineRule="auto"/>
        <w:ind w:firstLine="709"/>
        <w:jc w:val="both"/>
        <w:rPr>
          <w:rFonts w:ascii="Verdana" w:hAnsi="Verdana" w:cs="Arial"/>
          <w:sz w:val="16"/>
          <w:szCs w:val="16"/>
        </w:rPr>
      </w:pPr>
      <w:r w:rsidRPr="00424C0D">
        <w:rPr>
          <w:rFonts w:ascii="Verdana" w:hAnsi="Verdana" w:cs="Arial"/>
          <w:sz w:val="16"/>
          <w:szCs w:val="16"/>
        </w:rPr>
        <w:t xml:space="preserve">2o. Se celebren contra expresa prohibición constitucional o legal; </w:t>
      </w:r>
    </w:p>
    <w:p w14:paraId="5A321423" w14:textId="77777777" w:rsidR="008430E7" w:rsidRPr="00424C0D" w:rsidRDefault="008430E7" w:rsidP="008430E7">
      <w:pPr>
        <w:spacing w:after="0" w:line="240" w:lineRule="auto"/>
        <w:ind w:firstLine="709"/>
        <w:jc w:val="both"/>
        <w:rPr>
          <w:rFonts w:ascii="Verdana" w:hAnsi="Verdana" w:cs="Arial"/>
          <w:sz w:val="16"/>
          <w:szCs w:val="16"/>
        </w:rPr>
      </w:pPr>
      <w:r w:rsidRPr="00424C0D">
        <w:rPr>
          <w:rFonts w:ascii="Verdana" w:hAnsi="Verdana" w:cs="Arial"/>
          <w:sz w:val="16"/>
          <w:szCs w:val="16"/>
        </w:rPr>
        <w:t>3o. Se celebren con abuso o desviación de poder;</w:t>
      </w:r>
    </w:p>
    <w:p w14:paraId="4E3B78BA" w14:textId="77777777" w:rsidR="008430E7" w:rsidRPr="00424C0D" w:rsidRDefault="008430E7" w:rsidP="008430E7">
      <w:pPr>
        <w:spacing w:after="0" w:line="240" w:lineRule="auto"/>
        <w:ind w:firstLine="709"/>
        <w:jc w:val="both"/>
        <w:rPr>
          <w:rFonts w:ascii="Verdana" w:hAnsi="Verdana" w:cs="Arial"/>
          <w:sz w:val="16"/>
          <w:szCs w:val="16"/>
        </w:rPr>
      </w:pPr>
      <w:r w:rsidRPr="00424C0D">
        <w:rPr>
          <w:rFonts w:ascii="Verdana" w:hAnsi="Verdana" w:cs="Arial"/>
          <w:sz w:val="16"/>
          <w:szCs w:val="16"/>
        </w:rPr>
        <w:t>4o. Se declaren nulos los actos administrativos en que se fundamenten; y</w:t>
      </w:r>
    </w:p>
    <w:p w14:paraId="5A9354A1" w14:textId="77777777" w:rsidR="008430E7" w:rsidRPr="00424C0D" w:rsidRDefault="008430E7" w:rsidP="008430E7">
      <w:pPr>
        <w:spacing w:after="0" w:line="240" w:lineRule="auto"/>
        <w:ind w:firstLine="709"/>
        <w:jc w:val="both"/>
        <w:rPr>
          <w:rFonts w:ascii="Verdana" w:hAnsi="Verdana" w:cs="Arial"/>
          <w:sz w:val="16"/>
          <w:szCs w:val="16"/>
        </w:rPr>
      </w:pPr>
      <w:r w:rsidRPr="00424C0D">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
    <w:p w14:paraId="61229541" w14:textId="77777777" w:rsidR="008430E7" w:rsidRPr="008C225B" w:rsidRDefault="008430E7" w:rsidP="008430E7">
      <w:pPr>
        <w:pStyle w:val="Textonotapie"/>
        <w:ind w:firstLine="709"/>
        <w:jc w:val="both"/>
        <w:rPr>
          <w:rFonts w:ascii="Verdana" w:hAnsi="Verdana"/>
          <w:sz w:val="16"/>
          <w:szCs w:val="16"/>
          <w:lang w:val="es-CO"/>
        </w:rPr>
      </w:pPr>
      <w:r w:rsidRPr="008C225B">
        <w:rPr>
          <w:rStyle w:val="Refdenotaalpie"/>
          <w:rFonts w:ascii="Verdana" w:hAnsi="Verdana"/>
          <w:sz w:val="16"/>
          <w:szCs w:val="16"/>
        </w:rPr>
        <w:footnoteRef/>
      </w:r>
      <w:r w:rsidRPr="008C225B">
        <w:rPr>
          <w:rFonts w:ascii="Verdana" w:hAnsi="Verdana"/>
          <w:sz w:val="16"/>
          <w:szCs w:val="16"/>
        </w:rPr>
        <w:t xml:space="preserve"> </w:t>
      </w:r>
      <w:r w:rsidRPr="00424C0D">
        <w:rPr>
          <w:rFonts w:ascii="Verdana" w:hAnsi="Verdana" w:cs="Arial"/>
          <w:sz w:val="16"/>
          <w:szCs w:val="16"/>
          <w:lang w:val="es-CO"/>
        </w:rPr>
        <w:t xml:space="preserve">Consejo de Estado, Sala de lo Contencioso Administrativo, Sección Tercera, Subsección A.  Primera. Sentencia de 11 de junio de 2014, expediente número 34649.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4C69E" w14:textId="77777777" w:rsidR="008430E7" w:rsidRDefault="008430E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591C563" wp14:editId="544E4D2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AF33B2B" wp14:editId="4031C49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604535F" w14:textId="77777777" w:rsidR="008430E7" w:rsidRDefault="008430E7">
    <w:pPr>
      <w:pStyle w:val="Encabezado"/>
    </w:pPr>
  </w:p>
  <w:p w14:paraId="2EFF314A" w14:textId="77777777" w:rsidR="008430E7" w:rsidRPr="004A305D" w:rsidRDefault="008430E7" w:rsidP="00B01B1A">
    <w:pPr>
      <w:spacing w:after="0" w:line="120" w:lineRule="auto"/>
      <w:rPr>
        <w:rFonts w:ascii="Century Gothic" w:eastAsia="Geo" w:hAnsi="Century Gothic" w:cs="Geo"/>
        <w:sz w:val="16"/>
        <w:szCs w:val="16"/>
        <w:lang w:eastAsia="es-CO"/>
      </w:rPr>
    </w:pPr>
  </w:p>
  <w:p w14:paraId="0F12AC31" w14:textId="77777777" w:rsidR="008430E7" w:rsidRDefault="008430E7" w:rsidP="00844AE9">
    <w:pPr>
      <w:spacing w:after="0" w:line="240" w:lineRule="auto"/>
      <w:rPr>
        <w:rFonts w:ascii="Verdana" w:hAnsi="Verdana"/>
        <w:sz w:val="24"/>
        <w:szCs w:val="24"/>
      </w:rPr>
    </w:pPr>
  </w:p>
  <w:p w14:paraId="5A649224" w14:textId="77777777" w:rsidR="008430E7" w:rsidRPr="00C925AC" w:rsidRDefault="008430E7" w:rsidP="00844AE9">
    <w:pPr>
      <w:spacing w:after="0" w:line="240" w:lineRule="auto"/>
      <w:rPr>
        <w:rFonts w:ascii="Verdana" w:hAnsi="Verdana"/>
        <w:sz w:val="24"/>
        <w:szCs w:val="24"/>
      </w:rPr>
    </w:pPr>
  </w:p>
  <w:p w14:paraId="5F474DB6" w14:textId="77777777" w:rsidR="008430E7" w:rsidRPr="00C925AC" w:rsidRDefault="008430E7"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21A3EBF"/>
    <w:multiLevelType w:val="hybridMultilevel"/>
    <w:tmpl w:val="C4B274C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num w:numId="1" w16cid:durableId="679089576">
    <w:abstractNumId w:val="0"/>
  </w:num>
  <w:num w:numId="2" w16cid:durableId="1615668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0E7"/>
    <w:rsid w:val="000504F6"/>
    <w:rsid w:val="001E28FD"/>
    <w:rsid w:val="003F61E5"/>
    <w:rsid w:val="004302E1"/>
    <w:rsid w:val="004A4033"/>
    <w:rsid w:val="004C4E1F"/>
    <w:rsid w:val="004D2E3F"/>
    <w:rsid w:val="004F3404"/>
    <w:rsid w:val="005711CC"/>
    <w:rsid w:val="0076053A"/>
    <w:rsid w:val="007D72D9"/>
    <w:rsid w:val="008430E7"/>
    <w:rsid w:val="00A16DE9"/>
    <w:rsid w:val="00D5665C"/>
    <w:rsid w:val="00DD7374"/>
    <w:rsid w:val="00E32711"/>
    <w:rsid w:val="00F235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50218"/>
  <w15:chartTrackingRefBased/>
  <w15:docId w15:val="{E0ED6606-12F0-451E-9E2C-EDEE7A0E9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0E7"/>
    <w:pPr>
      <w:spacing w:line="259" w:lineRule="auto"/>
    </w:pPr>
    <w:rPr>
      <w:kern w:val="0"/>
      <w:sz w:val="22"/>
      <w:szCs w:val="22"/>
      <w14:ligatures w14:val="none"/>
    </w:rPr>
  </w:style>
  <w:style w:type="paragraph" w:styleId="Ttulo1">
    <w:name w:val="heading 1"/>
    <w:basedOn w:val="Normal"/>
    <w:next w:val="Normal"/>
    <w:link w:val="Ttulo1Car"/>
    <w:uiPriority w:val="9"/>
    <w:qFormat/>
    <w:rsid w:val="008430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430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430E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430E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430E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430E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430E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430E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430E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430E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430E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430E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430E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430E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430E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430E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430E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430E7"/>
    <w:rPr>
      <w:rFonts w:eastAsiaTheme="majorEastAsia" w:cstheme="majorBidi"/>
      <w:color w:val="272727" w:themeColor="text1" w:themeTint="D8"/>
    </w:rPr>
  </w:style>
  <w:style w:type="paragraph" w:styleId="Ttulo">
    <w:name w:val="Title"/>
    <w:basedOn w:val="Normal"/>
    <w:next w:val="Normal"/>
    <w:link w:val="TtuloCar"/>
    <w:uiPriority w:val="10"/>
    <w:qFormat/>
    <w:rsid w:val="008430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430E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430E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430E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430E7"/>
    <w:pPr>
      <w:spacing w:before="160"/>
      <w:jc w:val="center"/>
    </w:pPr>
    <w:rPr>
      <w:i/>
      <w:iCs/>
      <w:color w:val="404040" w:themeColor="text1" w:themeTint="BF"/>
    </w:rPr>
  </w:style>
  <w:style w:type="character" w:customStyle="1" w:styleId="CitaCar">
    <w:name w:val="Cita Car"/>
    <w:basedOn w:val="Fuentedeprrafopredeter"/>
    <w:link w:val="Cita"/>
    <w:uiPriority w:val="29"/>
    <w:rsid w:val="008430E7"/>
    <w:rPr>
      <w:i/>
      <w:iCs/>
      <w:color w:val="404040" w:themeColor="text1" w:themeTint="BF"/>
    </w:rPr>
  </w:style>
  <w:style w:type="paragraph" w:styleId="Prrafodelista">
    <w:name w:val="List Paragraph"/>
    <w:basedOn w:val="Normal"/>
    <w:uiPriority w:val="34"/>
    <w:qFormat/>
    <w:rsid w:val="008430E7"/>
    <w:pPr>
      <w:ind w:left="720"/>
      <w:contextualSpacing/>
    </w:pPr>
  </w:style>
  <w:style w:type="character" w:styleId="nfasisintenso">
    <w:name w:val="Intense Emphasis"/>
    <w:basedOn w:val="Fuentedeprrafopredeter"/>
    <w:uiPriority w:val="21"/>
    <w:qFormat/>
    <w:rsid w:val="008430E7"/>
    <w:rPr>
      <w:i/>
      <w:iCs/>
      <w:color w:val="0F4761" w:themeColor="accent1" w:themeShade="BF"/>
    </w:rPr>
  </w:style>
  <w:style w:type="paragraph" w:styleId="Citadestacada">
    <w:name w:val="Intense Quote"/>
    <w:basedOn w:val="Normal"/>
    <w:next w:val="Normal"/>
    <w:link w:val="CitadestacadaCar"/>
    <w:uiPriority w:val="30"/>
    <w:qFormat/>
    <w:rsid w:val="008430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430E7"/>
    <w:rPr>
      <w:i/>
      <w:iCs/>
      <w:color w:val="0F4761" w:themeColor="accent1" w:themeShade="BF"/>
    </w:rPr>
  </w:style>
  <w:style w:type="character" w:styleId="Referenciaintensa">
    <w:name w:val="Intense Reference"/>
    <w:basedOn w:val="Fuentedeprrafopredeter"/>
    <w:uiPriority w:val="32"/>
    <w:qFormat/>
    <w:rsid w:val="008430E7"/>
    <w:rPr>
      <w:b/>
      <w:bCs/>
      <w:smallCaps/>
      <w:color w:val="0F4761" w:themeColor="accent1" w:themeShade="BF"/>
      <w:spacing w:val="5"/>
    </w:rPr>
  </w:style>
  <w:style w:type="paragraph" w:styleId="Encabezado">
    <w:name w:val="header"/>
    <w:basedOn w:val="Normal"/>
    <w:link w:val="EncabezadoCar"/>
    <w:uiPriority w:val="99"/>
    <w:unhideWhenUsed/>
    <w:rsid w:val="008430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30E7"/>
    <w:rPr>
      <w:kern w:val="0"/>
      <w:sz w:val="22"/>
      <w:szCs w:val="22"/>
      <w14:ligatures w14:val="none"/>
    </w:rPr>
  </w:style>
  <w:style w:type="paragraph" w:styleId="Piedepgina">
    <w:name w:val="footer"/>
    <w:basedOn w:val="Normal"/>
    <w:link w:val="PiedepginaCar"/>
    <w:uiPriority w:val="99"/>
    <w:unhideWhenUsed/>
    <w:rsid w:val="008430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30E7"/>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430E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8430E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430E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430E7"/>
    <w:rPr>
      <w:vertAlign w:val="superscript"/>
    </w:rPr>
  </w:style>
  <w:style w:type="table" w:styleId="Tablaconcuadrcula">
    <w:name w:val="Table Grid"/>
    <w:basedOn w:val="Tablanormal"/>
    <w:uiPriority w:val="39"/>
    <w:qFormat/>
    <w:rsid w:val="008430E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430E7"/>
    <w:rPr>
      <w:color w:val="0000FF"/>
      <w:u w:val="single"/>
    </w:rPr>
  </w:style>
  <w:style w:type="paragraph" w:customStyle="1" w:styleId="Appelnotedebasde">
    <w:name w:val="Appel note de bas de..."/>
    <w:basedOn w:val="Normal"/>
    <w:link w:val="Refdenotaalpie"/>
    <w:uiPriority w:val="99"/>
    <w:rsid w:val="008430E7"/>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8430E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ana.sanchez@ejercito.mil.co" TargetMode="External"/><Relationship Id="rId13"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colombiacompra.gov.co/normativa-y-relatoria/documentos-tip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acionvirtual.colombiacompra.gov.co/mod/page/view.php?id=3718"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relatoria.colombiacompra.gov.co/"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mailto:Dana.cardozo@ejercito.mil.co"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7CD788-C101-4F87-8C3C-0C3964149FE7}"/>
</file>

<file path=customXml/itemProps2.xml><?xml version="1.0" encoding="utf-8"?>
<ds:datastoreItem xmlns:ds="http://schemas.openxmlformats.org/officeDocument/2006/customXml" ds:itemID="{C4DCDF88-A619-467E-8380-C16FB14CE21C}"/>
</file>

<file path=customXml/itemProps3.xml><?xml version="1.0" encoding="utf-8"?>
<ds:datastoreItem xmlns:ds="http://schemas.openxmlformats.org/officeDocument/2006/customXml" ds:itemID="{0ABCA3CA-B410-41B4-AE08-B9F080455B4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23</Pages>
  <Words>8379</Words>
  <Characters>45419</Characters>
  <Application>Microsoft Office Word</Application>
  <DocSecurity>0</DocSecurity>
  <Lines>841</Lines>
  <Paragraphs>151</Paragraphs>
  <ScaleCrop>false</ScaleCrop>
  <Company/>
  <LinksUpToDate>false</LinksUpToDate>
  <CharactersWithSpaces>53647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15</cp:revision>
  <dcterms:created xsi:type="dcterms:W3CDTF">2026-04-15T15:17:00Z</dcterms:created>
  <dcterms:modified xsi:type="dcterms:W3CDTF">2026-04-15T17:50:00Z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