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EA9F2" w14:textId="77777777" w:rsidR="00474D78" w:rsidRDefault="00474D78" w:rsidP="00C14429">
      <w:pPr>
        <w:spacing w:after="0" w:line="240" w:lineRule="auto"/>
        <w:jc w:val="both"/>
        <w:rPr>
          <w:rFonts w:ascii="Verdana" w:eastAsia="Geomanist Light" w:hAnsi="Verdana" w:cs="Arial"/>
          <w:b/>
          <w:bCs/>
          <w:color w:val="000000" w:themeColor="text1"/>
        </w:rPr>
      </w:pPr>
      <w:r w:rsidRPr="00474D78">
        <w:rPr>
          <w:rFonts w:ascii="Verdana" w:eastAsia="Geomanist Light" w:hAnsi="Verdana" w:cs="Arial"/>
          <w:b/>
          <w:bCs/>
          <w:color w:val="000000" w:themeColor="text1"/>
        </w:rPr>
        <w:t>LEY DE GARANTÍAS ELECTORALES – Finalidad</w:t>
      </w:r>
    </w:p>
    <w:p w14:paraId="3A82E415" w14:textId="77777777" w:rsidR="00474D78" w:rsidRPr="00474D78" w:rsidRDefault="00474D78" w:rsidP="00C14429">
      <w:pPr>
        <w:spacing w:after="0" w:line="240" w:lineRule="auto"/>
        <w:jc w:val="both"/>
        <w:rPr>
          <w:rFonts w:ascii="Verdana" w:eastAsia="Geomanist Light" w:hAnsi="Verdana" w:cs="Arial"/>
          <w:color w:val="000000" w:themeColor="text1"/>
          <w:sz w:val="20"/>
          <w:szCs w:val="20"/>
        </w:rPr>
      </w:pPr>
    </w:p>
    <w:p w14:paraId="0A9A860E" w14:textId="77777777" w:rsidR="00474D78" w:rsidRPr="00474D78" w:rsidRDefault="00474D78" w:rsidP="00C14429">
      <w:pPr>
        <w:spacing w:after="0" w:line="240" w:lineRule="auto"/>
        <w:jc w:val="both"/>
        <w:rPr>
          <w:rFonts w:ascii="Verdana" w:eastAsia="Geomanist Light" w:hAnsi="Verdana" w:cs="Arial"/>
          <w:color w:val="000000" w:themeColor="text1"/>
          <w:sz w:val="20"/>
          <w:szCs w:val="20"/>
        </w:rPr>
      </w:pPr>
      <w:r w:rsidRPr="00474D78">
        <w:rPr>
          <w:rFonts w:ascii="Verdana" w:eastAsia="Geomanist Light" w:hAnsi="Verdana" w:cs="Arial"/>
          <w:color w:val="000000" w:themeColor="text1"/>
          <w:sz w:val="20"/>
          <w:szCs w:val="20"/>
        </w:rPr>
        <w:t>[…] 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47AB8106" w14:textId="77777777" w:rsidR="00BA4332" w:rsidRDefault="00BA4332" w:rsidP="00C14429">
      <w:pPr>
        <w:spacing w:after="0" w:line="240" w:lineRule="auto"/>
        <w:jc w:val="both"/>
        <w:rPr>
          <w:rFonts w:ascii="Verdana" w:eastAsia="Geomanist Light" w:hAnsi="Verdana" w:cs="Arial"/>
          <w:color w:val="000000" w:themeColor="text1"/>
          <w:lang w:val="es-MX"/>
        </w:rPr>
      </w:pPr>
    </w:p>
    <w:p w14:paraId="63F31142" w14:textId="5569B816" w:rsidR="00C14429" w:rsidRDefault="00C14429" w:rsidP="00C14429">
      <w:pPr>
        <w:spacing w:after="0" w:line="240" w:lineRule="auto"/>
        <w:jc w:val="both"/>
        <w:rPr>
          <w:rFonts w:ascii="Verdana" w:eastAsia="Geomanist Light" w:hAnsi="Verdana" w:cs="Arial"/>
          <w:b/>
          <w:bCs/>
          <w:color w:val="000000" w:themeColor="text1"/>
        </w:rPr>
      </w:pPr>
      <w:r w:rsidRPr="00C14429">
        <w:rPr>
          <w:rFonts w:ascii="Verdana" w:eastAsia="Geomanist Light" w:hAnsi="Verdana" w:cs="Arial"/>
          <w:b/>
          <w:bCs/>
          <w:color w:val="000000" w:themeColor="text1"/>
        </w:rPr>
        <w:t>LEY DE GARANTÍAS ELECTORALES – Tipos de restricciones – Artículo 33 – Excepciones</w:t>
      </w:r>
    </w:p>
    <w:p w14:paraId="3CE868F4" w14:textId="77777777" w:rsidR="00C14429" w:rsidRPr="00C14429" w:rsidRDefault="00C14429" w:rsidP="00C14429">
      <w:pPr>
        <w:spacing w:after="0" w:line="240" w:lineRule="auto"/>
        <w:jc w:val="both"/>
        <w:rPr>
          <w:rFonts w:ascii="Verdana" w:eastAsia="Geomanist Light" w:hAnsi="Verdana" w:cs="Arial"/>
          <w:color w:val="000000" w:themeColor="text1"/>
          <w:sz w:val="20"/>
          <w:szCs w:val="20"/>
        </w:rPr>
      </w:pPr>
    </w:p>
    <w:p w14:paraId="7EEA0902" w14:textId="4AB25B17" w:rsidR="00C14429" w:rsidRDefault="00C14429" w:rsidP="00C14429">
      <w:pPr>
        <w:spacing w:after="0" w:line="240" w:lineRule="auto"/>
        <w:jc w:val="both"/>
        <w:rPr>
          <w:rFonts w:ascii="Verdana" w:eastAsia="Geomanist Light" w:hAnsi="Verdana" w:cs="Arial"/>
          <w:color w:val="000000" w:themeColor="text1"/>
          <w:sz w:val="20"/>
          <w:szCs w:val="20"/>
        </w:rPr>
      </w:pPr>
      <w:r w:rsidRPr="00C14429">
        <w:rPr>
          <w:rFonts w:ascii="Verdana" w:eastAsia="Geomanist Light" w:hAnsi="Verdana" w:cs="Arial"/>
          <w:color w:val="000000" w:themeColor="text1"/>
          <w:sz w:val="20"/>
          <w:szCs w:val="20"/>
        </w:rPr>
        <w:t>[…] las restricciones consagradas en la citada Ley se dirigen a dos (2) tipos de campañas electorales claramente diferenciadas: las presidenciales y las demás que se adelanten para la elección de los demás cargos de elección popular, tanto a nivel nacional como territorial 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Geomanist Light" w:hAnsi="Verdana" w:cs="Arial"/>
          <w:color w:val="000000" w:themeColor="text1"/>
          <w:sz w:val="20"/>
          <w:szCs w:val="20"/>
        </w:rPr>
        <w:t>.</w:t>
      </w:r>
    </w:p>
    <w:p w14:paraId="1191F515" w14:textId="77777777" w:rsidR="00C14429" w:rsidRDefault="00C14429" w:rsidP="00C14429">
      <w:pPr>
        <w:spacing w:after="0" w:line="240" w:lineRule="auto"/>
        <w:jc w:val="both"/>
        <w:rPr>
          <w:rFonts w:ascii="Verdana" w:eastAsia="Geomanist Light" w:hAnsi="Verdana" w:cs="Arial"/>
          <w:color w:val="000000" w:themeColor="text1"/>
          <w:sz w:val="20"/>
          <w:szCs w:val="20"/>
        </w:rPr>
      </w:pPr>
    </w:p>
    <w:p w14:paraId="252F30B4" w14:textId="1CAC4A1D" w:rsidR="00C14429" w:rsidRPr="00C14429" w:rsidRDefault="00C14429" w:rsidP="00C14429">
      <w:pPr>
        <w:spacing w:after="0" w:line="240" w:lineRule="auto"/>
        <w:jc w:val="both"/>
        <w:rPr>
          <w:rFonts w:ascii="Verdana" w:eastAsia="Geomanist Light" w:hAnsi="Verdana" w:cs="Arial"/>
          <w:color w:val="000000" w:themeColor="text1"/>
          <w:sz w:val="20"/>
          <w:szCs w:val="20"/>
        </w:rPr>
      </w:pPr>
      <w:r w:rsidRPr="00C14429">
        <w:rPr>
          <w:rFonts w:ascii="Verdana" w:eastAsia="Geomanist Light" w:hAnsi="Verdana" w:cs="Arial"/>
          <w:color w:val="000000" w:themeColor="text1"/>
          <w:sz w:val="20"/>
          <w:szCs w:val="20"/>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0079A1E8" w14:textId="77777777" w:rsidR="00474D78" w:rsidRPr="00C14429" w:rsidRDefault="00474D78" w:rsidP="00C14429">
      <w:pPr>
        <w:spacing w:after="0" w:line="240" w:lineRule="auto"/>
        <w:jc w:val="both"/>
        <w:rPr>
          <w:rFonts w:ascii="Verdana" w:eastAsia="Geomanist Light" w:hAnsi="Verdana" w:cs="Arial"/>
          <w:color w:val="000000" w:themeColor="text1"/>
          <w:sz w:val="20"/>
          <w:szCs w:val="20"/>
          <w:lang w:val="es-MX"/>
        </w:rPr>
      </w:pPr>
    </w:p>
    <w:p w14:paraId="76FFCDAC" w14:textId="77777777" w:rsidR="00605659" w:rsidRPr="00605659" w:rsidRDefault="00605659" w:rsidP="00605659">
      <w:pPr>
        <w:jc w:val="both"/>
        <w:rPr>
          <w:rFonts w:ascii="Verdana" w:eastAsia="Geomanist Light" w:hAnsi="Verdana" w:cs="Arial"/>
          <w:color w:val="000000" w:themeColor="text1"/>
        </w:rPr>
      </w:pPr>
      <w:r w:rsidRPr="00605659">
        <w:rPr>
          <w:rFonts w:ascii="Verdana" w:eastAsia="Geomanist Light" w:hAnsi="Verdana" w:cs="Arial"/>
          <w:b/>
          <w:bCs/>
          <w:color w:val="000000" w:themeColor="text1"/>
        </w:rPr>
        <w:t>CONTRATACIÓN ESTATAL – Modalidades de selección</w:t>
      </w:r>
    </w:p>
    <w:p w14:paraId="4E82387E" w14:textId="77777777" w:rsidR="00605659" w:rsidRDefault="00605659" w:rsidP="00605659">
      <w:pPr>
        <w:jc w:val="both"/>
        <w:rPr>
          <w:rFonts w:ascii="Verdana" w:eastAsia="Geomanist Light" w:hAnsi="Verdana" w:cs="Arial"/>
          <w:color w:val="000000" w:themeColor="text1"/>
          <w:sz w:val="20"/>
          <w:szCs w:val="20"/>
        </w:rPr>
      </w:pPr>
      <w:r w:rsidRPr="00605659">
        <w:rPr>
          <w:rFonts w:ascii="Verdana" w:eastAsia="Geomanist Light" w:hAnsi="Verdana" w:cs="Arial"/>
          <w:color w:val="000000" w:themeColor="text1"/>
          <w:sz w:val="20"/>
          <w:szCs w:val="20"/>
        </w:rPr>
        <w:t>[…] No están sujetas a la prohibición las demás modalidades de selección previstas en la Ley 1150 de 2007, es decir, la licitación pública, el concurso de méritos y la selección abreviada.</w:t>
      </w:r>
    </w:p>
    <w:p w14:paraId="1786E958" w14:textId="77777777" w:rsidR="00605659" w:rsidRPr="00605659" w:rsidRDefault="00605659" w:rsidP="00605659">
      <w:pPr>
        <w:jc w:val="both"/>
        <w:rPr>
          <w:rFonts w:ascii="Verdana" w:eastAsia="Geomanist Light" w:hAnsi="Verdana" w:cs="Arial"/>
          <w:color w:val="000000" w:themeColor="text1"/>
        </w:rPr>
      </w:pPr>
      <w:r w:rsidRPr="00605659">
        <w:rPr>
          <w:rFonts w:ascii="Verdana" w:eastAsia="Geomanist Light" w:hAnsi="Verdana" w:cs="Arial"/>
          <w:b/>
          <w:bCs/>
          <w:color w:val="000000" w:themeColor="text1"/>
        </w:rPr>
        <w:t>CONTRATACIÓN DIRECTA – Concepto</w:t>
      </w:r>
    </w:p>
    <w:p w14:paraId="2DB28E24" w14:textId="77777777" w:rsidR="00605659" w:rsidRPr="00605659" w:rsidRDefault="00605659" w:rsidP="00605659">
      <w:pPr>
        <w:jc w:val="both"/>
        <w:rPr>
          <w:rFonts w:ascii="Verdana" w:eastAsia="Geomanist Light" w:hAnsi="Verdana" w:cs="Arial"/>
          <w:color w:val="000000" w:themeColor="text1"/>
          <w:sz w:val="20"/>
          <w:szCs w:val="20"/>
        </w:rPr>
      </w:pPr>
      <w:r w:rsidRPr="00605659">
        <w:rPr>
          <w:rFonts w:ascii="Verdana" w:eastAsia="Geomanist Light" w:hAnsi="Verdana" w:cs="Arial"/>
          <w:color w:val="000000" w:themeColor="text1"/>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 y cumpliendo siempre los principios que rigen la contratación pública.</w:t>
      </w:r>
    </w:p>
    <w:p w14:paraId="4D6F5EB4" w14:textId="77777777" w:rsidR="00605659" w:rsidRPr="00605659" w:rsidRDefault="00605659" w:rsidP="00605659">
      <w:pPr>
        <w:jc w:val="both"/>
        <w:rPr>
          <w:rFonts w:ascii="Verdana" w:eastAsia="Geomanist Light" w:hAnsi="Verdana" w:cs="Arial"/>
          <w:color w:val="000000" w:themeColor="text1"/>
        </w:rPr>
      </w:pPr>
      <w:r w:rsidRPr="00605659">
        <w:rPr>
          <w:rFonts w:ascii="Verdana" w:eastAsia="Geomanist Light" w:hAnsi="Verdana" w:cs="Arial"/>
          <w:b/>
          <w:bCs/>
          <w:color w:val="000000" w:themeColor="text1"/>
        </w:rPr>
        <w:lastRenderedPageBreak/>
        <w:t>CONTRATACIÓN DIRECTA – Contratos celebrados en el exterior – Procedimientos contractuales sin pluralidad de oferentes</w:t>
      </w:r>
    </w:p>
    <w:p w14:paraId="44910D16" w14:textId="77777777" w:rsidR="00605659" w:rsidRPr="00605659" w:rsidRDefault="00605659" w:rsidP="00605659">
      <w:pPr>
        <w:jc w:val="both"/>
        <w:rPr>
          <w:rFonts w:ascii="Verdana" w:eastAsia="Geomanist Light" w:hAnsi="Verdana" w:cs="Arial"/>
          <w:color w:val="000000" w:themeColor="text1"/>
          <w:sz w:val="20"/>
          <w:szCs w:val="20"/>
        </w:rPr>
      </w:pPr>
      <w:r w:rsidRPr="00605659">
        <w:rPr>
          <w:rFonts w:ascii="Verdana" w:eastAsia="Geomanist Light" w:hAnsi="Verdana" w:cs="Arial"/>
          <w:color w:val="000000" w:themeColor="text1"/>
          <w:sz w:val="20"/>
          <w:szCs w:val="20"/>
        </w:rPr>
        <w:t>El ordenamiento jurídico colombiano posibilita a las Entidades Públicas a celebrar contratos en el exterior cuando ello resuelte necesario para el cumplimiento de sus funciones. […]</w:t>
      </w:r>
    </w:p>
    <w:p w14:paraId="0BAFDBD6" w14:textId="77777777" w:rsidR="00605659" w:rsidRPr="00605659" w:rsidRDefault="00605659" w:rsidP="00605659">
      <w:pPr>
        <w:jc w:val="both"/>
        <w:rPr>
          <w:rFonts w:ascii="Verdana" w:eastAsia="Geomanist Light" w:hAnsi="Verdana" w:cs="Arial"/>
          <w:color w:val="000000" w:themeColor="text1"/>
          <w:sz w:val="20"/>
          <w:szCs w:val="20"/>
        </w:rPr>
      </w:pPr>
      <w:r w:rsidRPr="00605659">
        <w:rPr>
          <w:rFonts w:ascii="Verdana" w:eastAsia="Geomanist Light" w:hAnsi="Verdana" w:cs="Arial"/>
          <w:color w:val="000000" w:themeColor="text1"/>
          <w:sz w:val="20"/>
          <w:szCs w:val="20"/>
        </w:rPr>
        <w:t>No obstante, el hecho de que la Entidad Estatal celebre un contrato en el exterior no implica la exoneración de las normas del derecho público colombiano, particularmente en materia de contratación estatal. […] todas las Entidades Públicas deben sujetarse a las disposiciones del régimen contractual que le sea aplicable, incluso cuando la ejecución del contrato tenga lugar fuera del territorio nacional.</w:t>
      </w:r>
    </w:p>
    <w:p w14:paraId="04420522" w14:textId="77777777" w:rsidR="00813112" w:rsidRPr="00813112" w:rsidRDefault="00813112" w:rsidP="00813112">
      <w:pPr>
        <w:jc w:val="both"/>
        <w:rPr>
          <w:rFonts w:ascii="Verdana" w:eastAsia="Geomanist Light" w:hAnsi="Verdana" w:cs="Arial"/>
          <w:color w:val="000000" w:themeColor="text1"/>
        </w:rPr>
      </w:pPr>
      <w:r w:rsidRPr="00813112">
        <w:rPr>
          <w:rFonts w:ascii="Verdana" w:eastAsia="Geomanist Light" w:hAnsi="Verdana" w:cs="Arial"/>
          <w:b/>
          <w:bCs/>
          <w:color w:val="000000" w:themeColor="text1"/>
        </w:rPr>
        <w:t>CONTRATACIÓN ESTATAL – Principio de planeación</w:t>
      </w:r>
    </w:p>
    <w:p w14:paraId="73CB8D50" w14:textId="609E84E5" w:rsidR="00813112" w:rsidRPr="00813112" w:rsidRDefault="00813112" w:rsidP="00813112">
      <w:pPr>
        <w:jc w:val="both"/>
        <w:rPr>
          <w:rFonts w:ascii="Verdana" w:eastAsia="Geomanist Light" w:hAnsi="Verdana" w:cs="Arial"/>
          <w:color w:val="000000" w:themeColor="text1"/>
          <w:sz w:val="20"/>
          <w:szCs w:val="20"/>
        </w:rPr>
      </w:pPr>
      <w:r w:rsidRPr="00813112">
        <w:rPr>
          <w:rFonts w:ascii="Verdana" w:eastAsia="Geomanist Light" w:hAnsi="Verdana" w:cs="Arial"/>
          <w:color w:val="000000" w:themeColor="text1"/>
          <w:sz w:val="20"/>
          <w:szCs w:val="20"/>
        </w:rPr>
        <w:t>[…] uno de los principios estructurales que rige la contratación estatal, es el principio de planeación. De acuerdo con el cual, las entidades estatales deben estructurar y programar oportunamente sus necesidades contractuales, con el fin de garantizar que los procesos de selección se adelanten de manera ordenada, eficiente y conforme a las normas que regulan la gestión pública.</w:t>
      </w:r>
    </w:p>
    <w:p w14:paraId="62F93D75" w14:textId="77777777" w:rsidR="00813112" w:rsidRPr="00813112" w:rsidRDefault="00813112" w:rsidP="00813112">
      <w:pPr>
        <w:jc w:val="both"/>
        <w:rPr>
          <w:rFonts w:ascii="Verdana" w:eastAsia="Geomanist Light" w:hAnsi="Verdana" w:cs="Arial"/>
          <w:color w:val="000000" w:themeColor="text1"/>
          <w:sz w:val="20"/>
          <w:szCs w:val="20"/>
        </w:rPr>
      </w:pPr>
      <w:r w:rsidRPr="00813112">
        <w:rPr>
          <w:rFonts w:ascii="Verdana" w:eastAsia="Geomanist Light" w:hAnsi="Verdana" w:cs="Arial"/>
          <w:color w:val="000000" w:themeColor="text1"/>
          <w:sz w:val="20"/>
          <w:szCs w:val="20"/>
        </w:rPr>
        <w:t>Este principio impone a los servidores públicos responsables de la gestión contractual, el deber de identificar, prever y planificar con suficiente antelación las necesidades que deben satisfacerse a través de la celebración de contratos estatales. […]</w:t>
      </w:r>
    </w:p>
    <w:p w14:paraId="0EB7940A" w14:textId="77777777" w:rsidR="00813112" w:rsidRPr="00813112" w:rsidRDefault="00813112" w:rsidP="00813112">
      <w:pPr>
        <w:jc w:val="both"/>
        <w:rPr>
          <w:rFonts w:ascii="Verdana" w:eastAsia="Geomanist Light" w:hAnsi="Verdana" w:cs="Arial"/>
          <w:color w:val="000000" w:themeColor="text1"/>
          <w:sz w:val="20"/>
          <w:szCs w:val="20"/>
        </w:rPr>
      </w:pPr>
      <w:r w:rsidRPr="00813112">
        <w:rPr>
          <w:rFonts w:ascii="Verdana" w:eastAsia="Geomanist Light" w:hAnsi="Verdana" w:cs="Arial"/>
          <w:color w:val="000000" w:themeColor="text1"/>
          <w:sz w:val="20"/>
          <w:szCs w:val="20"/>
        </w:rPr>
        <w:t>[…]</w:t>
      </w:r>
    </w:p>
    <w:p w14:paraId="33B6F1A4" w14:textId="77777777" w:rsidR="00813112" w:rsidRPr="00813112" w:rsidRDefault="00813112" w:rsidP="00813112">
      <w:pPr>
        <w:jc w:val="both"/>
        <w:rPr>
          <w:rFonts w:ascii="Verdana" w:eastAsia="Geomanist Light" w:hAnsi="Verdana" w:cs="Arial"/>
          <w:color w:val="000000" w:themeColor="text1"/>
          <w:sz w:val="20"/>
          <w:szCs w:val="20"/>
        </w:rPr>
      </w:pPr>
      <w:r w:rsidRPr="00813112">
        <w:rPr>
          <w:rFonts w:ascii="Verdana" w:eastAsia="Geomanist Light" w:hAnsi="Verdana" w:cs="Arial"/>
          <w:color w:val="000000" w:themeColor="text1"/>
          <w:sz w:val="20"/>
          <w:szCs w:val="20"/>
        </w:rPr>
        <w:t>Así, el principio de planeación exige que las entidades adopten las medidas necesarias para anticipar y gestionar adecuadamente las limitaciones derivadas del ordenamiento jurídico colombiano, evitando que la no previsión administrativa conduzca a la imposibilidad de desarrollar determinadas actividades institucionales.</w:t>
      </w:r>
    </w:p>
    <w:p w14:paraId="3131F9F6" w14:textId="77777777" w:rsidR="00605659" w:rsidRPr="00605659" w:rsidRDefault="00605659" w:rsidP="00605659">
      <w:pPr>
        <w:jc w:val="both"/>
        <w:rPr>
          <w:rFonts w:ascii="Verdana" w:eastAsia="Geomanist Light" w:hAnsi="Verdana" w:cs="Arial"/>
          <w:color w:val="000000" w:themeColor="text1"/>
          <w:sz w:val="20"/>
          <w:szCs w:val="20"/>
        </w:rPr>
      </w:pPr>
    </w:p>
    <w:p w14:paraId="2752ABE1" w14:textId="77777777" w:rsidR="00813112" w:rsidRDefault="00813112" w:rsidP="00813112">
      <w:pPr>
        <w:jc w:val="both"/>
        <w:rPr>
          <w:rFonts w:ascii="Verdana" w:eastAsia="Geomanist Light" w:hAnsi="Verdana" w:cs="Arial"/>
          <w:color w:val="000000" w:themeColor="text1"/>
          <w:lang w:val="es-MX"/>
        </w:rPr>
      </w:pPr>
    </w:p>
    <w:p w14:paraId="5ECF9110" w14:textId="77777777" w:rsidR="00813112" w:rsidRDefault="00813112" w:rsidP="00813112">
      <w:pPr>
        <w:jc w:val="both"/>
        <w:rPr>
          <w:rFonts w:ascii="Verdana" w:eastAsia="Geomanist Light" w:hAnsi="Verdana" w:cs="Arial"/>
          <w:color w:val="000000" w:themeColor="text1"/>
          <w:lang w:val="es-MX"/>
        </w:rPr>
      </w:pPr>
    </w:p>
    <w:p w14:paraId="1096D9C6" w14:textId="77777777" w:rsidR="00813112" w:rsidRDefault="00813112" w:rsidP="00813112">
      <w:pPr>
        <w:jc w:val="both"/>
        <w:rPr>
          <w:rFonts w:ascii="Verdana" w:eastAsia="Geomanist Light" w:hAnsi="Verdana" w:cs="Arial"/>
          <w:color w:val="000000" w:themeColor="text1"/>
          <w:lang w:val="es-MX"/>
        </w:rPr>
      </w:pPr>
    </w:p>
    <w:p w14:paraId="12202A59" w14:textId="77777777" w:rsidR="00813112" w:rsidRDefault="00813112" w:rsidP="00813112">
      <w:pPr>
        <w:jc w:val="both"/>
        <w:rPr>
          <w:rFonts w:ascii="Verdana" w:eastAsia="Geomanist Light" w:hAnsi="Verdana" w:cs="Arial"/>
          <w:color w:val="000000" w:themeColor="text1"/>
          <w:lang w:val="es-MX"/>
        </w:rPr>
      </w:pPr>
    </w:p>
    <w:p w14:paraId="2408B58B" w14:textId="77777777" w:rsidR="00813112" w:rsidRDefault="00813112" w:rsidP="00813112">
      <w:pPr>
        <w:jc w:val="both"/>
        <w:rPr>
          <w:rFonts w:ascii="Verdana" w:eastAsia="Geomanist Light" w:hAnsi="Verdana" w:cs="Arial"/>
          <w:color w:val="000000" w:themeColor="text1"/>
          <w:lang w:val="es-MX"/>
        </w:rPr>
      </w:pPr>
    </w:p>
    <w:p w14:paraId="34A4C156" w14:textId="77777777" w:rsidR="00813112" w:rsidRDefault="00813112" w:rsidP="00813112">
      <w:pPr>
        <w:jc w:val="both"/>
        <w:rPr>
          <w:rFonts w:ascii="Verdana" w:eastAsia="Geomanist Light" w:hAnsi="Verdana" w:cs="Arial"/>
          <w:color w:val="000000" w:themeColor="text1"/>
          <w:lang w:val="es-MX"/>
        </w:rPr>
      </w:pPr>
    </w:p>
    <w:p w14:paraId="3A843DFE" w14:textId="77777777" w:rsidR="00813112" w:rsidRDefault="00813112" w:rsidP="00813112">
      <w:pPr>
        <w:jc w:val="both"/>
        <w:rPr>
          <w:rFonts w:ascii="Verdana" w:eastAsia="Geomanist Light" w:hAnsi="Verdana" w:cs="Arial"/>
          <w:color w:val="000000" w:themeColor="text1"/>
          <w:lang w:val="es-MX"/>
        </w:rPr>
      </w:pPr>
    </w:p>
    <w:p w14:paraId="222BC592" w14:textId="77777777" w:rsidR="00813112" w:rsidRDefault="00813112" w:rsidP="00813112">
      <w:pPr>
        <w:jc w:val="both"/>
        <w:rPr>
          <w:rFonts w:ascii="Verdana" w:eastAsia="Geomanist Light" w:hAnsi="Verdana" w:cs="Arial"/>
          <w:color w:val="000000" w:themeColor="text1"/>
          <w:lang w:val="es-MX"/>
        </w:rPr>
      </w:pPr>
    </w:p>
    <w:p w14:paraId="3A4E756B" w14:textId="77777777" w:rsidR="00813112" w:rsidRDefault="00813112" w:rsidP="00813112">
      <w:pPr>
        <w:jc w:val="both"/>
        <w:rPr>
          <w:rFonts w:ascii="Verdana" w:eastAsia="Geomanist Light" w:hAnsi="Verdana" w:cs="Arial"/>
          <w:color w:val="000000" w:themeColor="text1"/>
          <w:lang w:val="es-MX"/>
        </w:rPr>
      </w:pPr>
    </w:p>
    <w:p w14:paraId="04806777" w14:textId="68DAD73C" w:rsidR="00487321" w:rsidRPr="00813112" w:rsidRDefault="00871B59" w:rsidP="00813112">
      <w:pPr>
        <w:jc w:val="both"/>
        <w:rPr>
          <w:rFonts w:ascii="Verdana" w:eastAsia="Geomanist Light" w:hAnsi="Verdana" w:cs="Arial"/>
          <w:color w:val="000000" w:themeColor="text1"/>
          <w:lang w:val="es-MX"/>
        </w:rPr>
      </w:pPr>
      <w:r w:rsidRPr="00593A5F">
        <w:rPr>
          <w:rFonts w:ascii="Verdana" w:eastAsia="Geomanist Light" w:hAnsi="Verdana" w:cs="Arial"/>
          <w:color w:val="000000" w:themeColor="text1"/>
          <w:lang w:val="es-MX"/>
        </w:rPr>
        <w:lastRenderedPageBreak/>
        <w:t>Bogotá D.C., </w:t>
      </w:r>
      <w:r w:rsidR="00976363">
        <w:rPr>
          <w:rFonts w:ascii="Verdana" w:eastAsia="Geomanist Light" w:hAnsi="Verdana" w:cs="Arial"/>
          <w:color w:val="201F1E"/>
          <w:lang w:val="es-MX"/>
        </w:rPr>
        <w:t>01</w:t>
      </w:r>
      <w:r w:rsidR="0077101F">
        <w:rPr>
          <w:rFonts w:ascii="Verdana" w:eastAsia="Geomanist Light" w:hAnsi="Verdana" w:cs="Arial"/>
          <w:color w:val="201F1E"/>
          <w:lang w:val="es-MX"/>
        </w:rPr>
        <w:t xml:space="preserve"> de</w:t>
      </w:r>
      <w:r w:rsidR="00976363">
        <w:rPr>
          <w:rFonts w:ascii="Verdana" w:eastAsia="Geomanist Light" w:hAnsi="Verdana" w:cs="Arial"/>
          <w:color w:val="201F1E"/>
          <w:lang w:val="es-MX"/>
        </w:rPr>
        <w:t xml:space="preserve"> </w:t>
      </w:r>
      <w:r w:rsidR="0077101F">
        <w:rPr>
          <w:rFonts w:ascii="Verdana" w:eastAsia="Geomanist Light" w:hAnsi="Verdana" w:cs="Arial"/>
          <w:color w:val="201F1E"/>
          <w:lang w:val="es-MX"/>
        </w:rPr>
        <w:t>abril de</w:t>
      </w:r>
      <w:r w:rsidR="00976363">
        <w:rPr>
          <w:rFonts w:ascii="Verdana" w:eastAsia="Geomanist Light" w:hAnsi="Verdana" w:cs="Arial"/>
          <w:color w:val="201F1E"/>
          <w:lang w:val="es-MX"/>
        </w:rPr>
        <w:t xml:space="preserve"> 2026</w:t>
      </w:r>
    </w:p>
    <w:p w14:paraId="263F56BE" w14:textId="1E2A8B17" w:rsidR="00871B59" w:rsidRPr="00487321" w:rsidRDefault="00871B59" w:rsidP="00487321">
      <w:pPr>
        <w:spacing w:after="0" w:line="240" w:lineRule="auto"/>
        <w:jc w:val="right"/>
        <w:rPr>
          <w:rFonts w:ascii="Verdana" w:eastAsia="Geomanist Light" w:hAnsi="Verdana" w:cs="Arial"/>
          <w:color w:val="201F1E"/>
          <w:lang w:val="es-MX"/>
        </w:rPr>
      </w:pPr>
    </w:p>
    <w:p w14:paraId="70C331B1" w14:textId="10C5073C" w:rsidR="00253089" w:rsidRDefault="0077101F" w:rsidP="00253089">
      <w:pPr>
        <w:spacing w:after="0" w:line="240" w:lineRule="auto"/>
        <w:jc w:val="both"/>
        <w:rPr>
          <w:rFonts w:ascii="Verdana" w:eastAsia="Calibri" w:hAnsi="Verdana" w:cs="Arial"/>
          <w:b/>
          <w:lang w:val="es-ES_tradnl" w:eastAsia="es-ES_tradnl"/>
        </w:rPr>
      </w:pPr>
      <w:r w:rsidRPr="00487321">
        <w:rPr>
          <w:rFonts w:ascii="Verdana" w:eastAsia="Geomanist Light" w:hAnsi="Verdana" w:cs="Arial"/>
          <w:noProof/>
          <w:color w:val="201F1E"/>
          <w:lang w:val="es-MX"/>
        </w:rPr>
        <w:drawing>
          <wp:anchor distT="0" distB="0" distL="114300" distR="114300" simplePos="0" relativeHeight="251658240" behindDoc="0" locked="0" layoutInCell="1" allowOverlap="1" wp14:anchorId="3D3B157B" wp14:editId="71B33740">
            <wp:simplePos x="0" y="0"/>
            <wp:positionH relativeFrom="margin">
              <wp:align>right</wp:align>
            </wp:positionH>
            <wp:positionV relativeFrom="paragraph">
              <wp:posOffset>4113</wp:posOffset>
            </wp:positionV>
            <wp:extent cx="2673350" cy="834390"/>
            <wp:effectExtent l="0" t="0" r="0" b="3810"/>
            <wp:wrapSquare wrapText="bothSides"/>
            <wp:docPr id="14691242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124290" name=""/>
                    <pic:cNvPicPr/>
                  </pic:nvPicPr>
                  <pic:blipFill>
                    <a:blip r:embed="rId11">
                      <a:extLst>
                        <a:ext uri="{28A0092B-C50C-407E-A947-70E740481C1C}">
                          <a14:useLocalDpi xmlns:a14="http://schemas.microsoft.com/office/drawing/2010/main" val="0"/>
                        </a:ext>
                      </a:extLst>
                    </a:blip>
                    <a:stretch>
                      <a:fillRect/>
                    </a:stretch>
                  </pic:blipFill>
                  <pic:spPr>
                    <a:xfrm>
                      <a:off x="0" y="0"/>
                      <a:ext cx="2673350" cy="834390"/>
                    </a:xfrm>
                    <a:prstGeom prst="rect">
                      <a:avLst/>
                    </a:prstGeom>
                  </pic:spPr>
                </pic:pic>
              </a:graphicData>
            </a:graphic>
            <wp14:sizeRelH relativeFrom="margin">
              <wp14:pctWidth>0</wp14:pctWidth>
            </wp14:sizeRelH>
            <wp14:sizeRelV relativeFrom="margin">
              <wp14:pctHeight>0</wp14:pctHeight>
            </wp14:sizeRelV>
          </wp:anchor>
        </w:drawing>
      </w:r>
      <w:r w:rsidR="00114F4E">
        <w:rPr>
          <w:rFonts w:ascii="Verdana" w:eastAsia="Calibri" w:hAnsi="Verdana" w:cs="Arial"/>
          <w:lang w:val="es-ES" w:eastAsia="es-ES"/>
        </w:rPr>
        <w:t>Doctor</w:t>
      </w:r>
    </w:p>
    <w:p w14:paraId="64E2E152" w14:textId="77777777" w:rsidR="008E0D0D" w:rsidRDefault="00253089" w:rsidP="008E0D0D">
      <w:pPr>
        <w:spacing w:after="0" w:line="240" w:lineRule="auto"/>
        <w:jc w:val="both"/>
        <w:rPr>
          <w:rFonts w:ascii="Verdana" w:eastAsia="Calibri" w:hAnsi="Verdana" w:cs="Arial"/>
          <w:bCs/>
          <w:lang w:val="es-ES_tradnl" w:eastAsia="es-ES_tradnl"/>
        </w:rPr>
      </w:pPr>
      <w:r>
        <w:rPr>
          <w:rFonts w:ascii="Verdana" w:eastAsia="Calibri" w:hAnsi="Verdana" w:cs="Arial"/>
          <w:b/>
          <w:lang w:val="es-ES_tradnl" w:eastAsia="es-ES_tradnl"/>
        </w:rPr>
        <w:t>Miguel Alberto Gómez Vélez</w:t>
      </w:r>
    </w:p>
    <w:p w14:paraId="5FBEDA97" w14:textId="5086F7BB" w:rsidR="008E0D0D" w:rsidRDefault="00567375" w:rsidP="008E0D0D">
      <w:pPr>
        <w:spacing w:after="0" w:line="240" w:lineRule="auto"/>
        <w:jc w:val="both"/>
        <w:rPr>
          <w:rFonts w:ascii="Verdana" w:eastAsia="Calibri" w:hAnsi="Verdana" w:cs="Arial"/>
          <w:b/>
          <w:bCs/>
          <w:lang w:eastAsia="es-ES_tradnl"/>
        </w:rPr>
      </w:pPr>
      <w:r w:rsidRPr="00567375">
        <w:rPr>
          <w:rFonts w:ascii="Verdana" w:eastAsia="Calibri" w:hAnsi="Verdana" w:cs="Arial"/>
          <w:b/>
          <w:bCs/>
          <w:lang w:eastAsia="es-ES_tradnl"/>
        </w:rPr>
        <w:t xml:space="preserve">Cónsul General </w:t>
      </w:r>
    </w:p>
    <w:p w14:paraId="0BBCD347" w14:textId="5A6B2EA3" w:rsidR="00390693" w:rsidRDefault="00390693" w:rsidP="008E0D0D">
      <w:pPr>
        <w:spacing w:after="0" w:line="240" w:lineRule="auto"/>
        <w:jc w:val="both"/>
        <w:rPr>
          <w:rFonts w:ascii="Verdana" w:eastAsia="Calibri" w:hAnsi="Verdana" w:cs="Arial"/>
          <w:b/>
          <w:bCs/>
          <w:lang w:eastAsia="es-ES_tradnl"/>
        </w:rPr>
      </w:pPr>
      <w:r>
        <w:rPr>
          <w:rFonts w:ascii="Verdana" w:eastAsia="Calibri" w:hAnsi="Verdana" w:cs="Arial"/>
          <w:b/>
          <w:bCs/>
          <w:lang w:eastAsia="es-ES_tradnl"/>
        </w:rPr>
        <w:t xml:space="preserve">Consulado General de Colombia </w:t>
      </w:r>
    </w:p>
    <w:p w14:paraId="1D0776DB" w14:textId="44952DDA" w:rsidR="00114F4E" w:rsidRPr="00114F4E" w:rsidRDefault="00114F4E" w:rsidP="008E0D0D">
      <w:pPr>
        <w:spacing w:after="0" w:line="240" w:lineRule="auto"/>
        <w:jc w:val="both"/>
        <w:rPr>
          <w:rFonts w:ascii="Verdana" w:eastAsia="Calibri" w:hAnsi="Verdana" w:cs="Arial"/>
          <w:b/>
          <w:color w:val="0000FF"/>
          <w:lang w:val="es-ES_tradnl" w:eastAsia="es-ES_tradnl"/>
        </w:rPr>
      </w:pPr>
      <w:hyperlink r:id="rId12" w:history="1">
        <w:r w:rsidRPr="00114F4E">
          <w:rPr>
            <w:rStyle w:val="Hipervnculo"/>
            <w:rFonts w:ascii="Verdana" w:eastAsia="Calibri" w:hAnsi="Verdana" w:cs="Arial"/>
            <w:b/>
            <w:color w:val="0000FF"/>
            <w:lang w:val="es-ES_tradnl" w:eastAsia="es-ES_tradnl"/>
          </w:rPr>
          <w:t>miguel.gomez@cancilleria.gov.co</w:t>
        </w:r>
      </w:hyperlink>
    </w:p>
    <w:p w14:paraId="450C174C" w14:textId="2E7FFB41" w:rsidR="00CC2DCE" w:rsidRPr="00CC2DCE" w:rsidRDefault="00CC2DCE" w:rsidP="00CC2DCE">
      <w:pPr>
        <w:spacing w:after="0" w:line="240" w:lineRule="auto"/>
        <w:jc w:val="both"/>
        <w:rPr>
          <w:rFonts w:ascii="Verdana" w:eastAsia="Calibri" w:hAnsi="Verdana" w:cs="Arial"/>
          <w:lang w:eastAsia="es-ES_tradnl"/>
        </w:rPr>
      </w:pPr>
      <w:r w:rsidRPr="00CC2DCE">
        <w:rPr>
          <w:rFonts w:ascii="Verdana" w:eastAsia="Calibri" w:hAnsi="Verdana" w:cs="Arial"/>
          <w:lang w:eastAsia="es-ES_tradnl"/>
        </w:rPr>
        <w:t>Shanghái</w:t>
      </w:r>
      <w:r>
        <w:rPr>
          <w:rFonts w:ascii="Verdana" w:eastAsia="Calibri" w:hAnsi="Verdana" w:cs="Arial"/>
          <w:lang w:eastAsia="es-ES_tradnl"/>
        </w:rPr>
        <w:t>, China</w:t>
      </w:r>
    </w:p>
    <w:p w14:paraId="40764CBF" w14:textId="77777777" w:rsidR="00871B59" w:rsidRPr="00E9728D"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E9728D" w14:paraId="6AC1791A" w14:textId="77777777" w:rsidTr="002607A7">
        <w:trPr>
          <w:trHeight w:val="884"/>
        </w:trPr>
        <w:tc>
          <w:tcPr>
            <w:tcW w:w="2689" w:type="dxa"/>
          </w:tcPr>
          <w:p w14:paraId="156B1AEC" w14:textId="77777777" w:rsidR="00871B59" w:rsidRPr="00114F4E" w:rsidRDefault="00871B59" w:rsidP="002607A7">
            <w:pPr>
              <w:jc w:val="both"/>
              <w:rPr>
                <w:rFonts w:ascii="Verdana" w:eastAsia="Calibri" w:hAnsi="Verdana" w:cs="Arial"/>
                <w:b/>
                <w:bCs/>
                <w:color w:val="7030A0"/>
                <w:highlight w:val="green"/>
                <w:lang w:val="es-ES_tradnl" w:eastAsia="es-ES_tradnl"/>
              </w:rPr>
            </w:pPr>
          </w:p>
        </w:tc>
        <w:tc>
          <w:tcPr>
            <w:tcW w:w="6100" w:type="dxa"/>
          </w:tcPr>
          <w:p w14:paraId="48F499EA" w14:textId="09BB4B13" w:rsidR="00871B59" w:rsidRPr="004267FD" w:rsidRDefault="00871B59" w:rsidP="002607A7">
            <w:pPr>
              <w:jc w:val="both"/>
              <w:rPr>
                <w:rFonts w:ascii="Verdana" w:eastAsia="Calibri" w:hAnsi="Verdana" w:cs="Arial"/>
                <w:b/>
                <w:bCs/>
                <w:lang w:val="es-ES" w:eastAsia="es-ES"/>
              </w:rPr>
            </w:pPr>
            <w:r w:rsidRPr="004267FD">
              <w:rPr>
                <w:rFonts w:ascii="Verdana" w:eastAsia="Calibri" w:hAnsi="Verdana" w:cs="Arial"/>
                <w:b/>
                <w:bCs/>
                <w:lang w:val="es-ES" w:eastAsia="es-ES"/>
              </w:rPr>
              <w:t>Concepto C-</w:t>
            </w:r>
            <w:r w:rsidR="00C52E6A" w:rsidRPr="004267FD">
              <w:rPr>
                <w:rFonts w:ascii="Verdana" w:eastAsia="Calibri" w:hAnsi="Verdana" w:cs="Arial"/>
                <w:b/>
                <w:bCs/>
                <w:lang w:val="es-ES" w:eastAsia="es-ES"/>
              </w:rPr>
              <w:t>339</w:t>
            </w:r>
            <w:r w:rsidR="00FF7B9A" w:rsidRPr="004267FD">
              <w:rPr>
                <w:rFonts w:ascii="Verdana" w:eastAsia="Calibri" w:hAnsi="Verdana" w:cs="Arial"/>
                <w:b/>
                <w:bCs/>
                <w:lang w:val="es-ES" w:eastAsia="es-ES"/>
              </w:rPr>
              <w:t xml:space="preserve"> de</w:t>
            </w:r>
            <w:r w:rsidRPr="004267FD">
              <w:rPr>
                <w:rFonts w:ascii="Verdana" w:eastAsia="Calibri" w:hAnsi="Verdana" w:cs="Arial"/>
                <w:b/>
                <w:bCs/>
                <w:lang w:val="es-ES" w:eastAsia="es-ES"/>
              </w:rPr>
              <w:t xml:space="preserve"> 202</w:t>
            </w:r>
            <w:r w:rsidR="00397536" w:rsidRPr="004267FD">
              <w:rPr>
                <w:rFonts w:ascii="Verdana" w:eastAsia="Calibri" w:hAnsi="Verdana" w:cs="Arial"/>
                <w:b/>
                <w:bCs/>
                <w:lang w:val="es-ES" w:eastAsia="es-ES"/>
              </w:rPr>
              <w:t>6</w:t>
            </w:r>
          </w:p>
        </w:tc>
      </w:tr>
      <w:tr w:rsidR="00871B59" w:rsidRPr="00E9728D" w14:paraId="0DD246A7" w14:textId="77777777" w:rsidTr="002607A7">
        <w:trPr>
          <w:trHeight w:val="884"/>
        </w:trPr>
        <w:tc>
          <w:tcPr>
            <w:tcW w:w="2689" w:type="dxa"/>
          </w:tcPr>
          <w:p w14:paraId="1B4FC525" w14:textId="77777777" w:rsidR="00871B59" w:rsidRPr="00650CFD" w:rsidRDefault="00871B59" w:rsidP="002607A7">
            <w:pPr>
              <w:jc w:val="both"/>
              <w:rPr>
                <w:rFonts w:ascii="Verdana" w:eastAsia="Calibri" w:hAnsi="Verdana" w:cs="Arial"/>
                <w:color w:val="000000"/>
                <w:highlight w:val="green"/>
                <w:lang w:val="es-ES_tradnl" w:eastAsia="es-ES_tradnl"/>
              </w:rPr>
            </w:pPr>
            <w:r w:rsidRPr="004267FD">
              <w:rPr>
                <w:rFonts w:ascii="Verdana" w:eastAsia="Calibri" w:hAnsi="Verdana" w:cs="Arial"/>
                <w:b/>
                <w:color w:val="000000"/>
                <w:lang w:val="es-ES_tradnl" w:eastAsia="es-ES_tradnl"/>
              </w:rPr>
              <w:t>Temas:</w:t>
            </w:r>
            <w:r w:rsidRPr="004267FD">
              <w:rPr>
                <w:rFonts w:ascii="Verdana" w:eastAsia="Calibri" w:hAnsi="Verdana" w:cs="Arial"/>
                <w:color w:val="000000"/>
                <w:lang w:val="es-ES_tradnl" w:eastAsia="es-ES_tradnl"/>
              </w:rPr>
              <w:t xml:space="preserve">                   </w:t>
            </w:r>
          </w:p>
        </w:tc>
        <w:tc>
          <w:tcPr>
            <w:tcW w:w="6100" w:type="dxa"/>
          </w:tcPr>
          <w:p w14:paraId="7817600F" w14:textId="3EBD0F95" w:rsidR="00695062" w:rsidRPr="004267FD" w:rsidRDefault="00706909" w:rsidP="00BF36E7">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Finalidad / LEY DE GARANTÍAS ELECTORALES – Tipos de restricciones – Artículo 33 – Excepciones / CONTRATACIÓN ESTATAL </w:t>
            </w:r>
            <w:r w:rsidR="003337A7">
              <w:rPr>
                <w:rFonts w:ascii="Verdana" w:eastAsia="Calibri" w:hAnsi="Verdana" w:cs="Arial"/>
                <w:lang w:val="es-ES" w:eastAsia="es-ES"/>
              </w:rPr>
              <w:t xml:space="preserve">– Modalidades de selección / CONTRATACIÓN DIRECTA – Concepto / CONTRATACIÓN DIRECTA </w:t>
            </w:r>
            <w:r w:rsidR="00E6018B">
              <w:rPr>
                <w:rFonts w:ascii="Verdana" w:eastAsia="Calibri" w:hAnsi="Verdana" w:cs="Arial"/>
                <w:lang w:val="es-ES" w:eastAsia="es-ES"/>
              </w:rPr>
              <w:t xml:space="preserve">– Contratos celebrados en el exterior – Procedimientos contractuales sin pluralidad de oferentes / CONTRATACIÓN ESTATAL – Principio de planeación </w:t>
            </w:r>
          </w:p>
          <w:p w14:paraId="7ADD1096" w14:textId="26D200BE" w:rsidR="00BF36E7" w:rsidRPr="004267FD" w:rsidRDefault="00BF36E7" w:rsidP="00BF36E7">
            <w:pPr>
              <w:spacing w:line="276" w:lineRule="auto"/>
              <w:jc w:val="both"/>
              <w:rPr>
                <w:rFonts w:ascii="Verdana" w:eastAsia="Calibri" w:hAnsi="Verdana" w:cs="Arial"/>
                <w:lang w:val="es-ES" w:eastAsia="es-ES"/>
              </w:rPr>
            </w:pPr>
          </w:p>
        </w:tc>
      </w:tr>
      <w:tr w:rsidR="00871B59" w:rsidRPr="00E9728D" w14:paraId="0A874006" w14:textId="77777777" w:rsidTr="002607A7">
        <w:tc>
          <w:tcPr>
            <w:tcW w:w="2689" w:type="dxa"/>
          </w:tcPr>
          <w:p w14:paraId="56ED2765" w14:textId="328B513D" w:rsidR="00871B59" w:rsidRPr="00E9728D" w:rsidRDefault="00871B59" w:rsidP="002607A7">
            <w:pPr>
              <w:jc w:val="both"/>
              <w:rPr>
                <w:rFonts w:ascii="Verdana" w:eastAsia="Calibri" w:hAnsi="Verdana" w:cs="Arial"/>
                <w:b/>
                <w:lang w:val="es-ES_tradnl" w:eastAsia="es-ES_tradnl"/>
              </w:rPr>
            </w:pPr>
            <w:r w:rsidRPr="00E9728D">
              <w:rPr>
                <w:rFonts w:ascii="Verdana" w:eastAsia="Calibri" w:hAnsi="Verdana" w:cs="Arial"/>
                <w:b/>
                <w:lang w:val="es-ES_tradnl" w:eastAsia="es-ES_tradnl"/>
              </w:rPr>
              <w:t>Radicación:</w:t>
            </w:r>
            <w:r w:rsidRPr="00E9728D">
              <w:rPr>
                <w:rFonts w:ascii="Verdana" w:eastAsia="Calibri" w:hAnsi="Verdana" w:cs="Arial"/>
                <w:lang w:val="es-ES_tradnl" w:eastAsia="es-ES_tradnl"/>
              </w:rPr>
              <w:t xml:space="preserve">               </w:t>
            </w:r>
          </w:p>
        </w:tc>
        <w:tc>
          <w:tcPr>
            <w:tcW w:w="6100" w:type="dxa"/>
          </w:tcPr>
          <w:p w14:paraId="630D2668" w14:textId="1677240B" w:rsidR="00871B59" w:rsidRPr="004267FD" w:rsidRDefault="00871B59" w:rsidP="002607A7">
            <w:pPr>
              <w:jc w:val="both"/>
              <w:rPr>
                <w:rFonts w:ascii="Verdana" w:eastAsia="Calibri" w:hAnsi="Verdana" w:cs="Arial"/>
                <w:lang w:val="es-ES_tradnl" w:eastAsia="es-ES_tradnl"/>
              </w:rPr>
            </w:pPr>
            <w:r w:rsidRPr="004267FD">
              <w:rPr>
                <w:rFonts w:ascii="Verdana" w:eastAsia="Calibri" w:hAnsi="Verdana" w:cs="Arial"/>
                <w:lang w:val="es-ES_tradnl" w:eastAsia="es-ES_tradnl"/>
              </w:rPr>
              <w:t xml:space="preserve">Respuesta a consulta con radicado No. </w:t>
            </w:r>
            <w:r w:rsidR="006221A6" w:rsidRPr="004267FD">
              <w:rPr>
                <w:rFonts w:ascii="Verdana" w:eastAsia="Calibri" w:hAnsi="Verdana" w:cs="Arial"/>
                <w:lang w:eastAsia="es-ES_tradnl"/>
              </w:rPr>
              <w:t>1_2026_03_03_002944</w:t>
            </w:r>
            <w:r w:rsidR="006844A4" w:rsidRPr="004267FD">
              <w:rPr>
                <w:rFonts w:ascii="Verdana" w:eastAsia="Calibri" w:hAnsi="Verdana" w:cs="Arial"/>
                <w:lang w:val="es-ES_tradnl" w:eastAsia="es-ES_tradnl"/>
              </w:rPr>
              <w:t xml:space="preserve"> </w:t>
            </w:r>
          </w:p>
        </w:tc>
      </w:tr>
    </w:tbl>
    <w:p w14:paraId="01AFCA4D" w14:textId="77777777" w:rsidR="00871B59" w:rsidRPr="00E9728D" w:rsidRDefault="00871B59" w:rsidP="00871B59">
      <w:pPr>
        <w:spacing w:after="0" w:line="240" w:lineRule="auto"/>
        <w:jc w:val="both"/>
        <w:rPr>
          <w:rFonts w:ascii="Verdana" w:eastAsia="Calibri" w:hAnsi="Verdana" w:cs="Arial"/>
          <w:lang w:val="es-ES_tradnl" w:eastAsia="es-ES_tradnl"/>
        </w:rPr>
      </w:pPr>
    </w:p>
    <w:p w14:paraId="4FF08E37" w14:textId="77777777" w:rsidR="00871B59" w:rsidRPr="00E9728D" w:rsidRDefault="00871B59" w:rsidP="00871B59">
      <w:pPr>
        <w:spacing w:after="0" w:line="240" w:lineRule="auto"/>
        <w:jc w:val="both"/>
        <w:rPr>
          <w:rFonts w:ascii="Verdana" w:eastAsia="Calibri" w:hAnsi="Verdana" w:cs="Arial"/>
          <w:color w:val="000000"/>
          <w:lang w:val="es-ES_tradnl" w:eastAsia="es-ES_tradnl"/>
        </w:rPr>
      </w:pPr>
    </w:p>
    <w:p w14:paraId="5A8CAE32" w14:textId="7B4A6718" w:rsidR="00871B59" w:rsidRPr="00E9728D" w:rsidRDefault="00871B59" w:rsidP="00871B59">
      <w:pPr>
        <w:spacing w:after="0" w:line="276" w:lineRule="auto"/>
        <w:jc w:val="both"/>
        <w:rPr>
          <w:rFonts w:ascii="Verdana" w:eastAsia="Calibri" w:hAnsi="Verdana" w:cs="Arial"/>
          <w:color w:val="000000" w:themeColor="text1"/>
          <w:lang w:val="es-ES" w:eastAsia="es-ES"/>
        </w:rPr>
      </w:pPr>
      <w:r w:rsidRPr="00E9728D">
        <w:rPr>
          <w:rFonts w:ascii="Verdana" w:eastAsia="Calibri" w:hAnsi="Verdana" w:cs="Arial"/>
          <w:color w:val="000000" w:themeColor="text1"/>
          <w:lang w:val="es-ES" w:eastAsia="es-ES"/>
        </w:rPr>
        <w:t xml:space="preserve">Estimado </w:t>
      </w:r>
      <w:r w:rsidR="00114F4E">
        <w:rPr>
          <w:rFonts w:ascii="Verdana" w:eastAsia="Calibri" w:hAnsi="Verdana" w:cs="Arial"/>
          <w:color w:val="000000" w:themeColor="text1"/>
          <w:lang w:val="es-ES" w:eastAsia="es-ES"/>
        </w:rPr>
        <w:t>Doctor Gómez Vélez,</w:t>
      </w:r>
    </w:p>
    <w:p w14:paraId="62039951" w14:textId="77777777" w:rsidR="00871B59" w:rsidRPr="00E9728D" w:rsidRDefault="00871B59" w:rsidP="00871B59">
      <w:pPr>
        <w:tabs>
          <w:tab w:val="left" w:pos="3768"/>
        </w:tabs>
        <w:spacing w:after="0" w:line="276" w:lineRule="auto"/>
        <w:jc w:val="both"/>
        <w:rPr>
          <w:rFonts w:ascii="Verdana" w:eastAsia="Calibri" w:hAnsi="Verdana" w:cs="Arial"/>
          <w:color w:val="000000" w:themeColor="text1"/>
          <w:lang w:val="es-ES" w:eastAsia="es-ES"/>
        </w:rPr>
      </w:pPr>
      <w:r w:rsidRPr="00E9728D">
        <w:rPr>
          <w:rFonts w:ascii="Verdana" w:eastAsia="Calibri" w:hAnsi="Verdana" w:cs="Arial"/>
          <w:color w:val="000000" w:themeColor="text1"/>
          <w:lang w:val="es-ES" w:eastAsia="es-ES"/>
        </w:rPr>
        <w:tab/>
      </w:r>
    </w:p>
    <w:p w14:paraId="6DBD3E26" w14:textId="37F8128B" w:rsidR="00871B59" w:rsidRDefault="00871B59" w:rsidP="00973E1B">
      <w:pPr>
        <w:spacing w:after="0" w:line="276" w:lineRule="auto"/>
        <w:jc w:val="both"/>
        <w:rPr>
          <w:rFonts w:ascii="Verdana" w:eastAsia="Calibri" w:hAnsi="Verdana" w:cs="Arial"/>
          <w:lang w:val="es-ES" w:eastAsia="es-ES"/>
        </w:rPr>
      </w:pPr>
      <w:r w:rsidRPr="00E9728D">
        <w:rPr>
          <w:rFonts w:ascii="Verdana" w:eastAsia="Calibri" w:hAnsi="Verdana" w:cs="Arial"/>
          <w:color w:val="000000" w:themeColor="text1"/>
          <w:lang w:val="es-ES" w:eastAsia="es-ES"/>
        </w:rPr>
        <w:t>En ejercicio de la competencia otorgada por los artículos 3, numeral 5º, y 11, numeral 8º, del Decreto Ley 4170 de 2011,</w:t>
      </w:r>
      <w:r w:rsidRPr="00E9728D">
        <w:rPr>
          <w:rFonts w:ascii="Verdana" w:eastAsia="Arial MT" w:hAnsi="Verdana" w:cs="Arial MT"/>
          <w:lang w:val="es-ES" w:eastAsia="es-ES"/>
        </w:rPr>
        <w:t xml:space="preserve"> </w:t>
      </w:r>
      <w:r w:rsidRPr="00E9728D">
        <w:rPr>
          <w:rFonts w:ascii="Verdana" w:hAnsi="Verdana" w:cs="Arial"/>
        </w:rPr>
        <w:t xml:space="preserve">así como lo establecido la </w:t>
      </w:r>
      <w:r w:rsidR="43C9AAE4" w:rsidRPr="00E9728D">
        <w:rPr>
          <w:rFonts w:ascii="Verdana" w:eastAsia="Verdana" w:hAnsi="Verdana" w:cs="Verdana"/>
          <w:color w:val="000000" w:themeColor="text1"/>
        </w:rPr>
        <w:t>Resolución 469 de 2025</w:t>
      </w:r>
      <w:r w:rsidRPr="00E9728D">
        <w:rPr>
          <w:rFonts w:ascii="Verdana" w:hAnsi="Verdana" w:cs="Arial"/>
        </w:rPr>
        <w:t xml:space="preserve"> expedida por esta Entidad, </w:t>
      </w:r>
      <w:r w:rsidRPr="00E9728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114F4E">
        <w:rPr>
          <w:rFonts w:ascii="Verdana" w:eastAsia="Calibri" w:hAnsi="Verdana" w:cs="Arial"/>
          <w:lang w:val="es-ES" w:eastAsia="es-ES"/>
        </w:rPr>
        <w:t>03 de marzo</w:t>
      </w:r>
      <w:r w:rsidRPr="00E9728D">
        <w:rPr>
          <w:rFonts w:ascii="Verdana" w:eastAsia="Calibri" w:hAnsi="Verdana" w:cs="Arial"/>
          <w:lang w:val="es-ES" w:eastAsia="es-ES"/>
        </w:rPr>
        <w:t xml:space="preserve"> de 20</w:t>
      </w:r>
      <w:r w:rsidR="00152A9D" w:rsidRPr="00E9728D">
        <w:rPr>
          <w:rFonts w:ascii="Verdana" w:eastAsia="Calibri" w:hAnsi="Verdana" w:cs="Arial"/>
          <w:lang w:val="es-ES" w:eastAsia="es-ES"/>
        </w:rPr>
        <w:t>26</w:t>
      </w:r>
      <w:r w:rsidRPr="00E9728D">
        <w:rPr>
          <w:rFonts w:ascii="Verdana" w:eastAsia="Calibri" w:hAnsi="Verdana" w:cs="Arial"/>
          <w:lang w:val="es-ES" w:eastAsia="es-ES"/>
        </w:rPr>
        <w:t xml:space="preserve">, en la cual manifiesta lo siguiente: </w:t>
      </w:r>
    </w:p>
    <w:p w14:paraId="50E9639A" w14:textId="77777777" w:rsidR="0077101F" w:rsidRPr="00973E1B" w:rsidRDefault="0077101F" w:rsidP="00973E1B">
      <w:pPr>
        <w:spacing w:after="0" w:line="276" w:lineRule="auto"/>
        <w:jc w:val="both"/>
        <w:rPr>
          <w:rFonts w:ascii="Verdana" w:eastAsia="Calibri" w:hAnsi="Verdana" w:cs="Arial"/>
          <w:color w:val="7030A0"/>
          <w:lang w:val="es-ES" w:eastAsia="es-ES"/>
        </w:rPr>
      </w:pPr>
    </w:p>
    <w:p w14:paraId="29EB752A" w14:textId="60C57F99" w:rsidR="00CA4F26" w:rsidRPr="008E48E0" w:rsidRDefault="00871B59" w:rsidP="00CA4F26">
      <w:pPr>
        <w:spacing w:after="0" w:line="240" w:lineRule="auto"/>
        <w:ind w:left="709" w:right="709"/>
        <w:jc w:val="both"/>
        <w:rPr>
          <w:rFonts w:ascii="Verdana" w:eastAsia="Century Gothic" w:hAnsi="Verdana" w:cs="Century Gothic"/>
          <w:i/>
          <w:iCs/>
          <w:sz w:val="20"/>
          <w:szCs w:val="20"/>
          <w:lang w:val="es-ES"/>
        </w:rPr>
      </w:pPr>
      <w:bookmarkStart w:id="0" w:name="_Hlk95313578"/>
      <w:r w:rsidRPr="008E48E0">
        <w:rPr>
          <w:rFonts w:ascii="Verdana" w:eastAsia="Century Gothic" w:hAnsi="Verdana" w:cs="Century Gothic"/>
          <w:i/>
          <w:iCs/>
          <w:sz w:val="20"/>
          <w:szCs w:val="20"/>
          <w:lang w:val="es-ES"/>
        </w:rPr>
        <w:t>“</w:t>
      </w:r>
      <w:bookmarkEnd w:id="0"/>
      <w:r w:rsidR="006844A4" w:rsidRPr="008E48E0">
        <w:rPr>
          <w:rFonts w:ascii="Verdana" w:eastAsia="Century Gothic" w:hAnsi="Verdana" w:cs="Century Gothic"/>
          <w:i/>
          <w:iCs/>
          <w:sz w:val="20"/>
          <w:szCs w:val="20"/>
          <w:lang w:val="es-ES"/>
        </w:rPr>
        <w:t>[…]</w:t>
      </w:r>
      <w:r w:rsidR="00CA4F26" w:rsidRPr="008E48E0">
        <w:rPr>
          <w:rFonts w:ascii="Verdana" w:eastAsia="Century Gothic" w:hAnsi="Verdana" w:cs="Century Gothic"/>
          <w:i/>
          <w:iCs/>
          <w:sz w:val="20"/>
          <w:szCs w:val="20"/>
          <w:lang w:val="es-ES"/>
        </w:rPr>
        <w:t xml:space="preserve"> “Teniendo en cuenta las dificultades de comunicación que tenemos por la distancia y la diferencia horaria (13 horas) me tomo la libertad de escribirle para solicitar su opinión sobre si el asunto que le expongo a continuación puede ser objeto de consulta con la Función Pública, posiblemente con la dependencia a su cargo, o si considera que el tema está por fuera de las competencias temáticas que ustedes manejan.</w:t>
      </w:r>
    </w:p>
    <w:p w14:paraId="60DAF761" w14:textId="77777777" w:rsidR="00CA4F26" w:rsidRPr="008E48E0" w:rsidRDefault="00CA4F26" w:rsidP="00CA4F26">
      <w:pPr>
        <w:spacing w:after="0" w:line="240" w:lineRule="auto"/>
        <w:ind w:left="709" w:right="709"/>
        <w:jc w:val="both"/>
        <w:rPr>
          <w:rFonts w:ascii="Verdana" w:eastAsia="Century Gothic" w:hAnsi="Verdana" w:cs="Century Gothic"/>
          <w:i/>
          <w:iCs/>
          <w:sz w:val="20"/>
          <w:szCs w:val="20"/>
          <w:lang w:val="es-ES"/>
        </w:rPr>
      </w:pPr>
    </w:p>
    <w:p w14:paraId="7E9270A1" w14:textId="77777777" w:rsidR="00CA4F26" w:rsidRPr="008E48E0" w:rsidRDefault="00CA4F26" w:rsidP="00CA4F26">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 xml:space="preserve">Estoy seguro de que su experiencia ya le ha mostrado como las necesidades del manejo administrativo y presupuestal en las misiones </w:t>
      </w:r>
      <w:r w:rsidRPr="008E48E0">
        <w:rPr>
          <w:rFonts w:ascii="Verdana" w:eastAsia="Century Gothic" w:hAnsi="Verdana" w:cs="Century Gothic"/>
          <w:i/>
          <w:iCs/>
          <w:sz w:val="20"/>
          <w:szCs w:val="20"/>
          <w:lang w:val="es-ES"/>
        </w:rPr>
        <w:lastRenderedPageBreak/>
        <w:t xml:space="preserve">diplomáticas y consulares del Ministerio de Relaciones Exteriores, tienen particularidades que a veces hacen difícil la interpretación de normas que han sido expedidas para ser implementadas casi que exclusivamente, dentro del territorio nacional. </w:t>
      </w:r>
    </w:p>
    <w:p w14:paraId="6B5504B9" w14:textId="77777777" w:rsidR="00CA4F26" w:rsidRPr="008E48E0" w:rsidRDefault="00CA4F26" w:rsidP="00CA4F26">
      <w:pPr>
        <w:spacing w:after="0" w:line="240" w:lineRule="auto"/>
        <w:ind w:left="709" w:right="709"/>
        <w:jc w:val="both"/>
        <w:rPr>
          <w:rFonts w:ascii="Verdana" w:eastAsia="Century Gothic" w:hAnsi="Verdana" w:cs="Century Gothic"/>
          <w:i/>
          <w:iCs/>
          <w:sz w:val="20"/>
          <w:szCs w:val="20"/>
          <w:lang w:val="es-ES"/>
        </w:rPr>
      </w:pPr>
    </w:p>
    <w:p w14:paraId="52CC481E" w14:textId="245577E3" w:rsidR="00CA4F26" w:rsidRPr="008E48E0" w:rsidRDefault="00CA4F26" w:rsidP="00451FD4">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Mi consulta está relacionada con el cumplimiento del artículo 33 de la Ley 965 de 2005 sobre garantías electorales y la expresa prohibición que tenemos los servidores públicos de la Rama Ejecutiva de ejecutar, dentro de los 4 meses anteriores a la elección presidencial cualquier tipo de contratación directa, con la única salvedad de las excepciones que expresamente menciona el párrafo segundo de la misma norma.</w:t>
      </w:r>
    </w:p>
    <w:p w14:paraId="676C047F" w14:textId="77777777" w:rsidR="002415FA" w:rsidRPr="008E48E0" w:rsidRDefault="002415FA" w:rsidP="00451FD4">
      <w:pPr>
        <w:spacing w:after="0" w:line="240" w:lineRule="auto"/>
        <w:ind w:left="709" w:right="709"/>
        <w:jc w:val="both"/>
        <w:rPr>
          <w:rFonts w:ascii="Verdana" w:eastAsia="Century Gothic" w:hAnsi="Verdana" w:cs="Century Gothic"/>
          <w:i/>
          <w:iCs/>
          <w:sz w:val="20"/>
          <w:szCs w:val="20"/>
          <w:lang w:val="es-ES"/>
        </w:rPr>
      </w:pPr>
    </w:p>
    <w:p w14:paraId="0B1F0DAD" w14:textId="6867854A" w:rsidR="002415FA" w:rsidRPr="008E48E0" w:rsidRDefault="002415FA" w:rsidP="002415FA">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 xml:space="preserve">Luego de revisar la doctrina que he podido encontrar online, como los conceptos del Consejo de Estado: 1863 de 2007 y 1712 de 2006, mi percepción es la de que no existen excepciones a la prohibición establecida </w:t>
      </w:r>
    </w:p>
    <w:p w14:paraId="06547063" w14:textId="77777777" w:rsidR="002415FA" w:rsidRPr="008E48E0" w:rsidRDefault="002415FA" w:rsidP="002415FA">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 xml:space="preserve">por el artículo 33 de la Ley 965 de 2005, salvo las taxativamente mencionadas en el párrafo segundo de la norma, más aún si tenemos en cuenta que el inciso final del párrafo segundo que señalaba como Adicionalmente se exceptúan aquellos gastos inaplazables e imprescindibles que afecten el normal funcionamiento de la administración fue declarado inexequible por la Corte Constitucional mediante </w:t>
      </w:r>
    </w:p>
    <w:p w14:paraId="1E20B261" w14:textId="706846A0" w:rsidR="002415FA" w:rsidRPr="008E48E0" w:rsidRDefault="002415FA" w:rsidP="002415FA">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Sentencia C-1153 de 2005.</w:t>
      </w:r>
    </w:p>
    <w:p w14:paraId="00C89E23" w14:textId="77777777" w:rsidR="005B2777" w:rsidRPr="008E48E0" w:rsidRDefault="005B2777" w:rsidP="002415FA">
      <w:pPr>
        <w:spacing w:after="0" w:line="240" w:lineRule="auto"/>
        <w:ind w:left="709" w:right="709"/>
        <w:jc w:val="both"/>
        <w:rPr>
          <w:rFonts w:ascii="Verdana" w:eastAsia="Century Gothic" w:hAnsi="Verdana" w:cs="Century Gothic"/>
          <w:i/>
          <w:iCs/>
          <w:sz w:val="20"/>
          <w:szCs w:val="20"/>
          <w:lang w:val="es-ES"/>
        </w:rPr>
      </w:pPr>
    </w:p>
    <w:p w14:paraId="38474F1C" w14:textId="6F1E7C03" w:rsidR="005B2777" w:rsidRPr="008E48E0" w:rsidRDefault="005B2777" w:rsidP="005B2777">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Dicho lo anterior, se nos presenta la siguiente situación: El Grupo Interno de Trabajo COLOMBIA NOS UNE, del Ministerio de Relaciones Exteriores cuenta con un presupuesto destinado a desarrollar varios proyectos, entre ellos, apoyar a pequeños productores colombianos para que puedan participar en eventos feriales en el exterior.</w:t>
      </w:r>
    </w:p>
    <w:p w14:paraId="31B93B4E" w14:textId="77777777" w:rsidR="005B2777" w:rsidRPr="008E48E0" w:rsidRDefault="005B2777" w:rsidP="005B2777">
      <w:pPr>
        <w:spacing w:after="0" w:line="240" w:lineRule="auto"/>
        <w:ind w:left="709" w:right="709"/>
        <w:jc w:val="both"/>
        <w:rPr>
          <w:rFonts w:ascii="Verdana" w:eastAsia="Century Gothic" w:hAnsi="Verdana" w:cs="Century Gothic"/>
          <w:i/>
          <w:iCs/>
          <w:sz w:val="20"/>
          <w:szCs w:val="20"/>
          <w:lang w:val="es-ES"/>
        </w:rPr>
      </w:pPr>
    </w:p>
    <w:p w14:paraId="66EE0B3A" w14:textId="40DF82BA" w:rsidR="005B2777" w:rsidRPr="008E48E0" w:rsidRDefault="005B2777" w:rsidP="005B2777">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 xml:space="preserve">En el marco de esta iniciativa, están proyectando promover la participación de un grupo de expositores de café en la Feria de Alimentos y Bebidas HOTELEX, una de las más importantes del mundo en su género, </w:t>
      </w:r>
      <w:proofErr w:type="spellStart"/>
      <w:r w:rsidRPr="008E48E0">
        <w:rPr>
          <w:rFonts w:ascii="Verdana" w:eastAsia="Century Gothic" w:hAnsi="Verdana" w:cs="Century Gothic"/>
          <w:i/>
          <w:iCs/>
          <w:sz w:val="20"/>
          <w:szCs w:val="20"/>
          <w:lang w:val="es-ES"/>
        </w:rPr>
        <w:t>lacual</w:t>
      </w:r>
      <w:proofErr w:type="spellEnd"/>
      <w:r w:rsidRPr="008E48E0">
        <w:rPr>
          <w:rFonts w:ascii="Verdana" w:eastAsia="Century Gothic" w:hAnsi="Verdana" w:cs="Century Gothic"/>
          <w:i/>
          <w:iCs/>
          <w:sz w:val="20"/>
          <w:szCs w:val="20"/>
          <w:lang w:val="es-ES"/>
        </w:rPr>
        <w:t xml:space="preserve"> se realizará en </w:t>
      </w:r>
      <w:proofErr w:type="spellStart"/>
      <w:r w:rsidRPr="008E48E0">
        <w:rPr>
          <w:rFonts w:ascii="Verdana" w:eastAsia="Century Gothic" w:hAnsi="Verdana" w:cs="Century Gothic"/>
          <w:i/>
          <w:iCs/>
          <w:sz w:val="20"/>
          <w:szCs w:val="20"/>
          <w:lang w:val="es-ES"/>
        </w:rPr>
        <w:t>Shanghai</w:t>
      </w:r>
      <w:proofErr w:type="spellEnd"/>
      <w:r w:rsidRPr="008E48E0">
        <w:rPr>
          <w:rFonts w:ascii="Verdana" w:eastAsia="Century Gothic" w:hAnsi="Verdana" w:cs="Century Gothic"/>
          <w:i/>
          <w:iCs/>
          <w:sz w:val="20"/>
          <w:szCs w:val="20"/>
          <w:lang w:val="es-ES"/>
        </w:rPr>
        <w:t xml:space="preserve"> entre el 30 de marzo y el 04 de abril del presente año.</w:t>
      </w:r>
    </w:p>
    <w:p w14:paraId="77504932" w14:textId="6135B516" w:rsidR="008E48E0" w:rsidRPr="008E48E0" w:rsidRDefault="008E48E0" w:rsidP="008E48E0">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 xml:space="preserve">Para hacer posible esta participación, el consulado a mi cargo tendría que, con fondos enviados por la Cancillería, suscribir varios contratos relacionados con: Pago del espacio para los expositores en el área de </w:t>
      </w:r>
    </w:p>
    <w:p w14:paraId="17474EAF" w14:textId="7FBDAD3E" w:rsidR="008E48E0" w:rsidRPr="008E48E0" w:rsidRDefault="008E48E0" w:rsidP="008E48E0">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 xml:space="preserve">la feria; construcción y adecuación del stand para los expositores; alojamiento y transporte de los expositores durante su permanencia en </w:t>
      </w:r>
      <w:proofErr w:type="spellStart"/>
      <w:r w:rsidRPr="008E48E0">
        <w:rPr>
          <w:rFonts w:ascii="Verdana" w:eastAsia="Century Gothic" w:hAnsi="Verdana" w:cs="Century Gothic"/>
          <w:i/>
          <w:iCs/>
          <w:sz w:val="20"/>
          <w:szCs w:val="20"/>
          <w:lang w:val="es-ES"/>
        </w:rPr>
        <w:t>Shanghai</w:t>
      </w:r>
      <w:proofErr w:type="spellEnd"/>
      <w:r w:rsidRPr="008E48E0">
        <w:rPr>
          <w:rFonts w:ascii="Verdana" w:eastAsia="Century Gothic" w:hAnsi="Verdana" w:cs="Century Gothic"/>
          <w:i/>
          <w:iCs/>
          <w:sz w:val="20"/>
          <w:szCs w:val="20"/>
          <w:lang w:val="es-ES"/>
        </w:rPr>
        <w:t>; y todo ello obviamente requeriría de contratación directa con los organizadores de la feria, los hoteles, etc.</w:t>
      </w:r>
    </w:p>
    <w:p w14:paraId="10A1409A" w14:textId="7E2F15EE" w:rsidR="008E48E0" w:rsidRPr="008E48E0" w:rsidRDefault="008E48E0" w:rsidP="008E48E0">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 xml:space="preserve">Es por eso por lo que acudo ante su despacho para consultar si, en su experta opinión, la contratación que acabo de describir estaría también sujeta a la prohibición establecida por el artículo 33 de la Ley 965 de </w:t>
      </w:r>
    </w:p>
    <w:p w14:paraId="3F215CFA" w14:textId="15382000" w:rsidR="00451FD4" w:rsidRPr="008E48E0" w:rsidRDefault="008E48E0" w:rsidP="008E48E0">
      <w:pPr>
        <w:spacing w:after="0" w:line="240" w:lineRule="auto"/>
        <w:ind w:left="709" w:right="709"/>
        <w:jc w:val="both"/>
        <w:rPr>
          <w:rFonts w:ascii="Verdana" w:eastAsia="Century Gothic" w:hAnsi="Verdana" w:cs="Century Gothic"/>
          <w:i/>
          <w:iCs/>
          <w:sz w:val="20"/>
          <w:szCs w:val="20"/>
          <w:lang w:val="es-ES"/>
        </w:rPr>
      </w:pPr>
      <w:r w:rsidRPr="008E48E0">
        <w:rPr>
          <w:rFonts w:ascii="Verdana" w:eastAsia="Century Gothic" w:hAnsi="Verdana" w:cs="Century Gothic"/>
          <w:i/>
          <w:iCs/>
          <w:sz w:val="20"/>
          <w:szCs w:val="20"/>
          <w:lang w:val="es-ES"/>
        </w:rPr>
        <w:t>2005.”</w:t>
      </w:r>
    </w:p>
    <w:p w14:paraId="54DCAD4E" w14:textId="77777777" w:rsidR="00871B59" w:rsidRPr="007D17C3"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0F17EAD" w14:textId="2F8E2EFE"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593A5F">
        <w:rPr>
          <w:rFonts w:ascii="Verdana" w:eastAsia="Calibri" w:hAnsi="Verdana" w:cs="Arial"/>
          <w:color w:val="000000"/>
          <w:lang w:val="es-ES" w:eastAsia="es-ES"/>
        </w:rPr>
        <w:lastRenderedPageBreak/>
        <w:t>general en materia de compras y contratación pública. En ese sentido, resolver casos particulares desborda las atribuciones asignadas por el legislador extraordinario, que no concibió a</w:t>
      </w:r>
      <w:r w:rsidR="004F7A9F">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23B0306C"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4F7A9F">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sidR="00826871" w:rsidRPr="00826871">
        <w:rPr>
          <w:rFonts w:ascii="Verdana" w:eastAsia="Calibri" w:hAnsi="Verdana" w:cs="Arial"/>
          <w:lang w:val="es-ES" w:eastAsia="es-ES"/>
        </w:rPr>
        <w:t>el problema</w:t>
      </w:r>
      <w:r w:rsidRPr="00826871">
        <w:rPr>
          <w:rFonts w:ascii="Verdana" w:eastAsia="Calibri" w:hAnsi="Verdana" w:cs="Arial"/>
          <w:lang w:val="es-ES" w:eastAsia="es-ES"/>
        </w:rPr>
        <w:t xml:space="preserve"> </w:t>
      </w:r>
      <w:r w:rsidR="00826871">
        <w:rPr>
          <w:rFonts w:ascii="Verdana" w:eastAsia="Calibri" w:hAnsi="Verdana" w:cs="Arial"/>
          <w:color w:val="000000"/>
          <w:lang w:val="es-ES" w:eastAsia="es-ES"/>
        </w:rPr>
        <w:t>jurídico de</w:t>
      </w:r>
      <w:r>
        <w:rPr>
          <w:rFonts w:ascii="Verdana" w:eastAsia="Calibri" w:hAnsi="Verdana" w:cs="Arial"/>
          <w:color w:val="000000"/>
          <w:lang w:val="es-ES" w:eastAsia="es-ES"/>
        </w:rPr>
        <w:t xml:space="preserv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A11028"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A11028">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5CD6DABD" w14:textId="31C27671" w:rsidR="00151579" w:rsidRDefault="00871B59" w:rsidP="1F9252E4">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w:t>
      </w:r>
      <w:r w:rsidR="00480F01" w:rsidRPr="1F9252E4">
        <w:rPr>
          <w:rFonts w:ascii="Verdana" w:eastAsia="Century Gothic" w:hAnsi="Verdana" w:cs="Century Gothic"/>
        </w:rPr>
        <w:t>siguiente</w:t>
      </w:r>
      <w:r w:rsidR="00480F01">
        <w:rPr>
          <w:rFonts w:ascii="Verdana" w:eastAsia="Century Gothic" w:hAnsi="Verdana" w:cs="Century Gothic"/>
        </w:rPr>
        <w:t xml:space="preserve"> </w:t>
      </w:r>
      <w:r w:rsidR="00480F01" w:rsidRPr="1F9252E4">
        <w:rPr>
          <w:rFonts w:ascii="Verdana" w:eastAsia="Century Gothic" w:hAnsi="Verdana" w:cs="Century Gothic"/>
        </w:rPr>
        <w:t>problema</w:t>
      </w:r>
      <w:r w:rsidRPr="1F9252E4">
        <w:rPr>
          <w:rFonts w:ascii="Verdana" w:eastAsia="Century Gothic" w:hAnsi="Verdana" w:cs="Century Gothic"/>
        </w:rPr>
        <w:t xml:space="preserve"> jurídico: </w:t>
      </w:r>
      <w:r w:rsidR="0039183E">
        <w:rPr>
          <w:rFonts w:ascii="Verdana" w:eastAsia="Century Gothic" w:hAnsi="Verdana" w:cs="Century Gothic"/>
        </w:rPr>
        <w:t xml:space="preserve"> </w:t>
      </w:r>
      <w:r w:rsidR="00B23517" w:rsidRPr="00B23517">
        <w:rPr>
          <w:rFonts w:ascii="Verdana" w:eastAsia="Century Gothic" w:hAnsi="Verdana" w:cs="Century Gothic"/>
        </w:rPr>
        <w:t>¿Se encuentra el Ministerio de Relaciones Exteriores, a través de sus misiones diplomáticas y consulares en el exterior, sujeto a la prohibición de celebrar contratos mediante contratación directa dentro de los cuatro</w:t>
      </w:r>
      <w:r w:rsidR="00871A6D">
        <w:rPr>
          <w:rFonts w:ascii="Verdana" w:eastAsia="Century Gothic" w:hAnsi="Verdana" w:cs="Century Gothic"/>
        </w:rPr>
        <w:t xml:space="preserve"> (4) </w:t>
      </w:r>
      <w:r w:rsidR="00B23517" w:rsidRPr="00B23517">
        <w:rPr>
          <w:rFonts w:ascii="Verdana" w:eastAsia="Century Gothic" w:hAnsi="Verdana" w:cs="Century Gothic"/>
        </w:rPr>
        <w:t xml:space="preserve"> meses anteriores a la elección presidencial prevista en el artículo 33 de la Ley 996 de 2005, cuando dicha contratación resulta necesaria para ejecutar actividades institucionales en el exterior</w:t>
      </w:r>
      <w:r w:rsidR="00B23517">
        <w:rPr>
          <w:rFonts w:ascii="Verdana" w:eastAsia="Century Gothic" w:hAnsi="Verdana" w:cs="Century Gothic"/>
        </w:rPr>
        <w:t>?</w:t>
      </w:r>
    </w:p>
    <w:p w14:paraId="57640A16" w14:textId="77777777" w:rsidR="00871B59" w:rsidRPr="00593A5F" w:rsidRDefault="00871B59" w:rsidP="00871B59">
      <w:pPr>
        <w:spacing w:after="0" w:line="276" w:lineRule="auto"/>
        <w:jc w:val="both"/>
        <w:rPr>
          <w:rFonts w:ascii="Verdana" w:eastAsia="Calibri" w:hAnsi="Verdana" w:cs="Arial"/>
          <w:color w:val="7030A0"/>
          <w:lang w:val="es-ES"/>
        </w:rPr>
      </w:pPr>
    </w:p>
    <w:p w14:paraId="33E3D3F8" w14:textId="52C8F38B" w:rsidR="00871B59" w:rsidRPr="00593A5F" w:rsidRDefault="00046556"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 xml:space="preserve"> </w:t>
      </w:r>
      <w:r w:rsidR="00871B59"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tcPr>
          <w:p w14:paraId="5CA29E66" w14:textId="77777777" w:rsidR="007308C9" w:rsidRDefault="007308C9" w:rsidP="007267EE">
            <w:pPr>
              <w:spacing w:line="276" w:lineRule="auto"/>
              <w:jc w:val="both"/>
              <w:rPr>
                <w:rFonts w:ascii="Verdana" w:eastAsia="Calibri" w:hAnsi="Verdana" w:cs="Arial"/>
                <w:lang w:val="es-ES"/>
              </w:rPr>
            </w:pPr>
          </w:p>
          <w:p w14:paraId="7C038DD4" w14:textId="0B8DCEE3" w:rsidR="00871A6D" w:rsidRDefault="00871A6D" w:rsidP="006D3591">
            <w:pPr>
              <w:spacing w:line="276" w:lineRule="auto"/>
              <w:ind w:left="708" w:hanging="708"/>
              <w:jc w:val="both"/>
              <w:rPr>
                <w:rFonts w:ascii="Verdana" w:eastAsia="Calibri" w:hAnsi="Verdana" w:cs="Arial"/>
              </w:rPr>
            </w:pPr>
            <w:r w:rsidRPr="00871A6D">
              <w:rPr>
                <w:rFonts w:ascii="Verdana" w:eastAsia="Calibri" w:hAnsi="Verdana" w:cs="Arial"/>
              </w:rPr>
              <w:t xml:space="preserve">Frente al problema jurídico planteado es necesario indicar que, en el marco de lo establecido por la Ley 996 de 2005, el artículo 33 prohíbe “[…] la contratación directa por parte de todos los entes del estado” durante los cuatro (4) meses previos a las elecciones presidenciales. </w:t>
            </w:r>
          </w:p>
          <w:p w14:paraId="10BF8D37" w14:textId="77777777" w:rsidR="00871A6D" w:rsidRDefault="00871A6D" w:rsidP="006D3591">
            <w:pPr>
              <w:spacing w:line="276" w:lineRule="auto"/>
              <w:ind w:left="708" w:hanging="708"/>
              <w:jc w:val="both"/>
              <w:rPr>
                <w:rFonts w:ascii="Verdana" w:eastAsia="Calibri" w:hAnsi="Verdana" w:cs="Arial"/>
                <w:lang w:val="es-ES"/>
              </w:rPr>
            </w:pPr>
          </w:p>
          <w:p w14:paraId="1DFBB639" w14:textId="2BE04558" w:rsidR="008528FD" w:rsidRDefault="008528FD" w:rsidP="00A4731C">
            <w:pPr>
              <w:spacing w:line="276" w:lineRule="auto"/>
              <w:ind w:left="708" w:hanging="708"/>
              <w:jc w:val="both"/>
              <w:rPr>
                <w:rFonts w:ascii="Verdana" w:eastAsia="Calibri" w:hAnsi="Verdana" w:cs="Arial"/>
                <w:lang w:val="es-ES"/>
              </w:rPr>
            </w:pPr>
            <w:r w:rsidRPr="008528FD">
              <w:rPr>
                <w:rFonts w:ascii="Verdana" w:eastAsia="Calibri" w:hAnsi="Verdana" w:cs="Arial"/>
              </w:rPr>
              <w:t xml:space="preserve">Dicho artículo contempla excepciones expresas a la restricción de celebrar contratos mediante la modalidad de selección directa durante los períodos previstos a la elección presidencial. Tales excepciones, </w:t>
            </w:r>
            <w:r w:rsidRPr="008528FD">
              <w:rPr>
                <w:rFonts w:ascii="Verdana" w:eastAsia="Calibri" w:hAnsi="Verdana" w:cs="Arial"/>
              </w:rPr>
              <w:lastRenderedPageBreak/>
              <w:t xml:space="preserve">consagradas de manera taxativa en el inciso final del referido artículo, permiten a las entidades adelantar procesos contractuales sin necesidad de surtir procesos de selección pública, siempre que se enmarquen en alguno de los siguientes escenarios, los cuales no limitan desproporcionadamente la acción del Estado en el cumplimiento de sus fines, en procura de la igualdad entre los candidatos como garantía electoral, son: </w:t>
            </w:r>
          </w:p>
          <w:p w14:paraId="60687758" w14:textId="24298C74" w:rsidR="00B54038" w:rsidRDefault="00E046B2" w:rsidP="00755F7B">
            <w:pPr>
              <w:pStyle w:val="Prrafodelista"/>
              <w:numPr>
                <w:ilvl w:val="0"/>
                <w:numId w:val="25"/>
              </w:numPr>
              <w:spacing w:line="276" w:lineRule="auto"/>
              <w:jc w:val="both"/>
              <w:rPr>
                <w:rFonts w:ascii="Verdana" w:eastAsia="Calibri" w:hAnsi="Verdana" w:cs="Arial"/>
                <w:lang w:val="es-ES"/>
              </w:rPr>
            </w:pPr>
            <w:r>
              <w:rPr>
                <w:rFonts w:ascii="Verdana" w:eastAsia="Calibri" w:hAnsi="Verdana" w:cs="Arial"/>
                <w:lang w:val="es-ES"/>
              </w:rPr>
              <w:t>Contratos que se celebren con el objeto de garantizar la defensa y la seguridad del Estado.</w:t>
            </w:r>
          </w:p>
          <w:p w14:paraId="7466E6D2" w14:textId="441B6F80" w:rsidR="00E046B2" w:rsidRDefault="00E046B2" w:rsidP="00755F7B">
            <w:pPr>
              <w:pStyle w:val="Prrafodelista"/>
              <w:numPr>
                <w:ilvl w:val="0"/>
                <w:numId w:val="25"/>
              </w:numPr>
              <w:spacing w:line="276" w:lineRule="auto"/>
              <w:jc w:val="both"/>
              <w:rPr>
                <w:rFonts w:ascii="Verdana" w:eastAsia="Calibri" w:hAnsi="Verdana" w:cs="Arial"/>
                <w:lang w:val="es-ES"/>
              </w:rPr>
            </w:pPr>
            <w:r>
              <w:rPr>
                <w:rFonts w:ascii="Verdana" w:eastAsia="Calibri" w:hAnsi="Verdana" w:cs="Arial"/>
                <w:lang w:val="es-ES"/>
              </w:rPr>
              <w:t>Operaciones de crédito público.</w:t>
            </w:r>
          </w:p>
          <w:p w14:paraId="4067616D" w14:textId="0C2EA943" w:rsidR="00E046B2" w:rsidRDefault="00425DB6" w:rsidP="00755F7B">
            <w:pPr>
              <w:pStyle w:val="Prrafodelista"/>
              <w:numPr>
                <w:ilvl w:val="0"/>
                <w:numId w:val="25"/>
              </w:numPr>
              <w:spacing w:line="276" w:lineRule="auto"/>
              <w:jc w:val="both"/>
              <w:rPr>
                <w:rFonts w:ascii="Verdana" w:eastAsia="Calibri" w:hAnsi="Verdana" w:cs="Arial"/>
                <w:lang w:val="es-ES"/>
              </w:rPr>
            </w:pPr>
            <w:r>
              <w:rPr>
                <w:rFonts w:ascii="Verdana" w:eastAsia="Calibri" w:hAnsi="Verdana" w:cs="Arial"/>
                <w:lang w:val="es-ES"/>
              </w:rPr>
              <w:t xml:space="preserve">Contratos requeridos para atender emergencias </w:t>
            </w:r>
            <w:r w:rsidR="00C94F76">
              <w:rPr>
                <w:rFonts w:ascii="Verdana" w:eastAsia="Calibri" w:hAnsi="Verdana" w:cs="Arial"/>
                <w:lang w:val="es-ES"/>
              </w:rPr>
              <w:t>en los sectores educativo</w:t>
            </w:r>
            <w:r w:rsidR="000334F0">
              <w:rPr>
                <w:rFonts w:ascii="Verdana" w:eastAsia="Calibri" w:hAnsi="Verdana" w:cs="Arial"/>
                <w:lang w:val="es-ES"/>
              </w:rPr>
              <w:t xml:space="preserve">, sanitario o ante situaciones de desastres. </w:t>
            </w:r>
          </w:p>
          <w:p w14:paraId="6EBEC842" w14:textId="683E5414" w:rsidR="000334F0" w:rsidRDefault="000334F0" w:rsidP="00755F7B">
            <w:pPr>
              <w:pStyle w:val="Prrafodelista"/>
              <w:numPr>
                <w:ilvl w:val="0"/>
                <w:numId w:val="25"/>
              </w:numPr>
              <w:spacing w:line="276" w:lineRule="auto"/>
              <w:jc w:val="both"/>
              <w:rPr>
                <w:rFonts w:ascii="Verdana" w:eastAsia="Calibri" w:hAnsi="Verdana" w:cs="Arial"/>
                <w:lang w:val="es-ES"/>
              </w:rPr>
            </w:pPr>
            <w:r>
              <w:rPr>
                <w:rFonts w:ascii="Verdana" w:eastAsia="Calibri" w:hAnsi="Verdana" w:cs="Arial"/>
                <w:lang w:val="es-ES"/>
              </w:rPr>
              <w:t>Contratación orientada a la reco</w:t>
            </w:r>
            <w:r w:rsidR="009B3693">
              <w:rPr>
                <w:rFonts w:ascii="Verdana" w:eastAsia="Calibri" w:hAnsi="Verdana" w:cs="Arial"/>
                <w:lang w:val="es-ES"/>
              </w:rPr>
              <w:t xml:space="preserve">nstrucción de infraestructura vial, energética o de comunicaciones, cuando esta haya sido afectada </w:t>
            </w:r>
            <w:r w:rsidR="00712DB3">
              <w:rPr>
                <w:rFonts w:ascii="Verdana" w:eastAsia="Calibri" w:hAnsi="Verdana" w:cs="Arial"/>
                <w:lang w:val="es-ES"/>
              </w:rPr>
              <w:t xml:space="preserve">por atentados, acciones terroristas, desastres naturales o casos de fuerza mayor. </w:t>
            </w:r>
          </w:p>
          <w:p w14:paraId="33ACD868" w14:textId="2C249028" w:rsidR="00CE65F4" w:rsidRPr="00FF63A2" w:rsidRDefault="00CE65F4" w:rsidP="00755F7B">
            <w:pPr>
              <w:pStyle w:val="Prrafodelista"/>
              <w:numPr>
                <w:ilvl w:val="0"/>
                <w:numId w:val="25"/>
              </w:numPr>
              <w:spacing w:line="276" w:lineRule="auto"/>
              <w:jc w:val="both"/>
              <w:rPr>
                <w:rFonts w:ascii="Verdana" w:eastAsia="Calibri" w:hAnsi="Verdana" w:cs="Arial"/>
                <w:lang w:val="es-ES"/>
              </w:rPr>
            </w:pPr>
            <w:r w:rsidRPr="00FF63A2">
              <w:rPr>
                <w:rFonts w:ascii="Verdana" w:eastAsia="Calibri" w:hAnsi="Verdana" w:cs="Arial"/>
                <w:lang w:val="es-ES"/>
              </w:rPr>
              <w:t xml:space="preserve">Contratos necesarios para garantizar la operatividad y funcionalidad </w:t>
            </w:r>
            <w:r w:rsidR="00A419C4" w:rsidRPr="00FF63A2">
              <w:rPr>
                <w:rFonts w:ascii="Verdana" w:eastAsia="Calibri" w:hAnsi="Verdana" w:cs="Arial"/>
                <w:lang w:val="es-ES"/>
              </w:rPr>
              <w:t xml:space="preserve">de las entidades del sector salud y hospitalario. </w:t>
            </w:r>
          </w:p>
          <w:p w14:paraId="22E2FCE9" w14:textId="77777777" w:rsidR="00DA401E" w:rsidRDefault="00DA401E" w:rsidP="00A419C4">
            <w:pPr>
              <w:spacing w:line="276" w:lineRule="auto"/>
              <w:jc w:val="both"/>
              <w:rPr>
                <w:rFonts w:ascii="Verdana" w:eastAsia="Calibri" w:hAnsi="Verdana" w:cs="Arial"/>
                <w:lang w:val="es-ES"/>
              </w:rPr>
            </w:pPr>
          </w:p>
          <w:p w14:paraId="263F4197" w14:textId="77777777" w:rsidR="001B504D" w:rsidRDefault="00CA6FA6" w:rsidP="001C6E21">
            <w:pPr>
              <w:spacing w:line="276" w:lineRule="auto"/>
              <w:ind w:left="708" w:hanging="708"/>
              <w:jc w:val="both"/>
              <w:rPr>
                <w:rFonts w:ascii="Verdana" w:eastAsia="Calibri" w:hAnsi="Verdana" w:cs="Arial"/>
              </w:rPr>
            </w:pPr>
            <w:r w:rsidRPr="00CA6FA6">
              <w:rPr>
                <w:rFonts w:ascii="Verdana" w:eastAsia="Calibri" w:hAnsi="Verdana" w:cs="Arial"/>
              </w:rPr>
              <w:t>En ese orden de ideas, el artículo 33 ibidem señala expresamente quienes son los destinatarios de la mencionada prohibición, indicando que aplica a “todos los entes del Estado”, expresión que contempla a las diferentes entidades y actores autorizados por la ley para suscribir contratos. Al respecto, el Consejo de Estado ha sostenido que, la palabra “todos” empleado por el legislador engloba la totalidad de los entes del Estado, es decir, sin distinción del régimen jurídico, naturaleza, destinación económica, e incluso si las entidades estatales tienen régimen especial de contratación y están exceptuadas del ámbito de aplicación del Estatuto General de Contratación de la Administración Pública.</w:t>
            </w:r>
          </w:p>
          <w:p w14:paraId="2A26BDA1" w14:textId="77777777" w:rsidR="00CA6FA6" w:rsidRDefault="00CA6FA6" w:rsidP="001C6E21">
            <w:pPr>
              <w:spacing w:line="276" w:lineRule="auto"/>
              <w:ind w:left="708" w:hanging="708"/>
              <w:jc w:val="both"/>
              <w:rPr>
                <w:rFonts w:ascii="Verdana" w:eastAsia="Calibri" w:hAnsi="Verdana" w:cs="Arial"/>
              </w:rPr>
            </w:pPr>
          </w:p>
          <w:p w14:paraId="29164502" w14:textId="77777777" w:rsidR="00CA6FA6" w:rsidRDefault="00CA6FA6" w:rsidP="001C6E21">
            <w:pPr>
              <w:spacing w:line="276" w:lineRule="auto"/>
              <w:ind w:left="708" w:hanging="708"/>
              <w:jc w:val="both"/>
              <w:rPr>
                <w:rFonts w:ascii="Verdana" w:eastAsia="Calibri" w:hAnsi="Verdana" w:cs="Arial"/>
              </w:rPr>
            </w:pPr>
            <w:r w:rsidRPr="00CA6FA6">
              <w:rPr>
                <w:rFonts w:ascii="Verdana" w:eastAsia="Calibri" w:hAnsi="Verdana" w:cs="Arial"/>
              </w:rPr>
              <w:t xml:space="preserve">En atención a la consulta planteado debe señalarse que, el ordenamiento jurídico colombiano posibilita a las Entidades Públicas a celebrar contratos en el exterior cuando ello resuelte necesario para el cumplimiento de sus funciones. En ese orden de ideas, en el escenario del Ministerio de Relaciones Exteriores y sus misiones diplomáticas o consulares, la contratación en el exterior se constituye como una herramienta indispensable para el desarrollo de sus actividades propias del servicio exterior, dentro de las que se encuentra la organización de eventos institucionales, promoción de productos colombianos, </w:t>
            </w:r>
            <w:r w:rsidRPr="00CA6FA6">
              <w:rPr>
                <w:rFonts w:ascii="Verdana" w:eastAsia="Calibri" w:hAnsi="Verdana" w:cs="Arial"/>
              </w:rPr>
              <w:lastRenderedPageBreak/>
              <w:t>participación en ferias internacionales, logística y planeación de actividades diplomáticas o comerciales.</w:t>
            </w:r>
          </w:p>
          <w:p w14:paraId="0FF4F31F" w14:textId="77777777" w:rsidR="00CA6FA6" w:rsidRDefault="00CA6FA6" w:rsidP="001C6E21">
            <w:pPr>
              <w:spacing w:line="276" w:lineRule="auto"/>
              <w:ind w:left="708" w:hanging="708"/>
              <w:jc w:val="both"/>
              <w:rPr>
                <w:rFonts w:ascii="Verdana" w:eastAsia="Calibri" w:hAnsi="Verdana" w:cs="Arial"/>
                <w:lang w:val="es-ES"/>
              </w:rPr>
            </w:pPr>
          </w:p>
          <w:p w14:paraId="0BD86260" w14:textId="77777777" w:rsidR="00CA6FA6" w:rsidRDefault="00CA6FA6" w:rsidP="001C6E21">
            <w:pPr>
              <w:spacing w:line="276" w:lineRule="auto"/>
              <w:ind w:left="708" w:hanging="708"/>
              <w:jc w:val="both"/>
              <w:rPr>
                <w:rFonts w:ascii="Verdana" w:eastAsia="Calibri" w:hAnsi="Verdana" w:cs="Arial"/>
              </w:rPr>
            </w:pPr>
            <w:r w:rsidRPr="00CA6FA6">
              <w:rPr>
                <w:rFonts w:ascii="Verdana" w:eastAsia="Calibri" w:hAnsi="Verdana" w:cs="Arial"/>
              </w:rPr>
              <w:t>No obstante, el hecho de que la Entidad Estatal celebre un contrato en el exterior no implica la exoneración de las normas del derecho público colombiano, particularmente en materia de contratación estatal. En consecuencia, todas las Entidades Públicas deben sujetarse a las disposiciones del régimen contractual que le sea aplicable, incluso cuando la ejecución del contrato tenga lugar fuera del territorio nacional.</w:t>
            </w:r>
          </w:p>
          <w:p w14:paraId="26292AB6" w14:textId="77777777" w:rsidR="00CA6FA6" w:rsidRDefault="00CA6FA6" w:rsidP="001C6E21">
            <w:pPr>
              <w:spacing w:line="276" w:lineRule="auto"/>
              <w:ind w:left="708" w:hanging="708"/>
              <w:jc w:val="both"/>
              <w:rPr>
                <w:rFonts w:ascii="Verdana" w:eastAsia="Calibri" w:hAnsi="Verdana" w:cs="Arial"/>
                <w:lang w:val="es-ES"/>
              </w:rPr>
            </w:pPr>
          </w:p>
          <w:p w14:paraId="47AEB666" w14:textId="4BFB3843" w:rsidR="00CA6FA6" w:rsidRPr="0006284D" w:rsidRDefault="00CA6FA6" w:rsidP="001C6E21">
            <w:pPr>
              <w:spacing w:line="276" w:lineRule="auto"/>
              <w:ind w:left="708" w:hanging="708"/>
              <w:jc w:val="both"/>
              <w:rPr>
                <w:rFonts w:ascii="Verdana" w:eastAsia="Calibri" w:hAnsi="Verdana" w:cs="Arial"/>
                <w:lang w:val="es-ES"/>
              </w:rPr>
            </w:pPr>
            <w:r w:rsidRPr="00CA6FA6">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06284D"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06284D">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6DB5BA6B" w14:textId="4F7D4226" w:rsidR="00871B5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r w:rsidR="00480179">
        <w:rPr>
          <w:rFonts w:ascii="Verdana" w:eastAsia="Calibri" w:hAnsi="Verdana" w:cs="Arial"/>
          <w:lang w:val="es-ES"/>
        </w:rPr>
        <w:t xml:space="preserve">: </w:t>
      </w:r>
    </w:p>
    <w:p w14:paraId="432BEF0A" w14:textId="77777777" w:rsidR="00702DD6" w:rsidRDefault="00702DD6" w:rsidP="00702DD6">
      <w:pPr>
        <w:spacing w:after="0" w:line="276" w:lineRule="auto"/>
        <w:jc w:val="both"/>
        <w:rPr>
          <w:rFonts w:ascii="Verdana" w:eastAsia="Times New Roman" w:hAnsi="Verdana" w:cs="Arial"/>
          <w:lang w:val="es-MX" w:eastAsia="es-CO"/>
        </w:rPr>
      </w:pPr>
    </w:p>
    <w:p w14:paraId="22146473" w14:textId="109486DF" w:rsidR="0042642E" w:rsidRDefault="0042642E" w:rsidP="00E67FE5">
      <w:pPr>
        <w:spacing w:after="0" w:line="276" w:lineRule="auto"/>
        <w:ind w:firstLine="709"/>
        <w:jc w:val="both"/>
        <w:rPr>
          <w:rFonts w:ascii="Verdana" w:eastAsia="Times New Roman" w:hAnsi="Verdana" w:cs="Arial"/>
          <w:lang w:eastAsia="es-CO"/>
        </w:rPr>
      </w:pPr>
      <w:r w:rsidRPr="0042642E">
        <w:rPr>
          <w:rFonts w:ascii="Verdana" w:eastAsia="Times New Roman" w:hAnsi="Verdana" w:cs="Arial"/>
          <w:lang w:eastAsia="es-CO"/>
        </w:rPr>
        <w:t>i. El ordenamiento jurídico colombiano contempla una serie de previsiones para evitar la obtención de beneficios personales en asuntos propios de la administración. Un destacado ejemplo de lo anterior es la Ley 996 de 2005, conocida como “Ley de Garantías Electorales”, cuyo propósito es asegurar la</w:t>
      </w:r>
      <w:r w:rsidR="00E67FE5">
        <w:rPr>
          <w:rFonts w:ascii="Verdana" w:eastAsia="Times New Roman" w:hAnsi="Verdana" w:cs="Arial"/>
          <w:lang w:eastAsia="es-CO"/>
        </w:rPr>
        <w:t xml:space="preserve"> </w:t>
      </w:r>
      <w:r w:rsidR="00E67FE5" w:rsidRPr="00E67FE5">
        <w:rPr>
          <w:rFonts w:ascii="Verdana" w:eastAsia="Times New Roman" w:hAnsi="Verdana" w:cs="Arial"/>
          <w:lang w:eastAsia="es-CO"/>
        </w:rPr>
        <w:t>neutralidad, transparencia e imparcialidad en los procesos electorales. Esta Ley busca impedir que quienes ejercen el poder público utilicen los recursos del Estado para incidir en la voluntad del electorado.</w:t>
      </w:r>
    </w:p>
    <w:p w14:paraId="039BC1C6" w14:textId="77777777" w:rsidR="00E67FE5" w:rsidRDefault="00E67FE5" w:rsidP="00E67FE5">
      <w:pPr>
        <w:spacing w:after="0" w:line="276" w:lineRule="auto"/>
        <w:ind w:firstLine="709"/>
        <w:jc w:val="both"/>
        <w:rPr>
          <w:rFonts w:ascii="Verdana" w:eastAsia="Times New Roman" w:hAnsi="Verdana" w:cs="Arial"/>
          <w:lang w:eastAsia="es-CO"/>
        </w:rPr>
      </w:pPr>
    </w:p>
    <w:p w14:paraId="1B9D3375" w14:textId="7139E3B5" w:rsidR="00E67FE5" w:rsidRDefault="00E67FE5" w:rsidP="006404E9">
      <w:pPr>
        <w:spacing w:after="0" w:line="276" w:lineRule="auto"/>
        <w:ind w:firstLine="709"/>
        <w:jc w:val="both"/>
        <w:rPr>
          <w:rFonts w:ascii="Verdana" w:eastAsia="Times New Roman" w:hAnsi="Verdana" w:cs="Arial"/>
          <w:lang w:eastAsia="es-CO"/>
        </w:rPr>
      </w:pPr>
      <w:r w:rsidRPr="00E67FE5">
        <w:rPr>
          <w:rFonts w:ascii="Verdana" w:eastAsia="Times New Roman" w:hAnsi="Verdana" w:cs="Arial"/>
          <w:lang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w:t>
      </w:r>
      <w:r w:rsidRPr="00E67FE5">
        <w:rPr>
          <w:rFonts w:ascii="Verdana" w:eastAsia="Times New Roman" w:hAnsi="Verdana" w:cs="Arial"/>
          <w:lang w:eastAsia="es-CO"/>
        </w:rPr>
        <w:lastRenderedPageBreak/>
        <w:t>o falta de garantías en la elección presidencial</w:t>
      </w:r>
      <w:r w:rsidR="0015691B">
        <w:rPr>
          <w:rStyle w:val="Refdenotaalpie"/>
          <w:rFonts w:ascii="Verdana" w:eastAsia="Times New Roman" w:hAnsi="Verdana" w:cs="Arial"/>
          <w:lang w:eastAsia="es-CO"/>
        </w:rPr>
        <w:footnoteReference w:id="2"/>
      </w:r>
      <w:r w:rsidRPr="00E67FE5">
        <w:rPr>
          <w:rFonts w:ascii="Verdana" w:eastAsia="Times New Roman" w:hAnsi="Verdana" w:cs="Arial"/>
          <w:lang w:eastAsia="es-CO"/>
        </w:rPr>
        <w:t>. En esta medida, introduce limitaciones para realizar nombramientos, postulaciones, contrataciones o cualquier otro tipo de actividad que implique destinación de recursos públicos bajo el devenir propio de las Entidades Estatales.</w:t>
      </w:r>
    </w:p>
    <w:p w14:paraId="6A04EDCE" w14:textId="77777777" w:rsidR="006404E9" w:rsidRDefault="006404E9" w:rsidP="006404E9">
      <w:pPr>
        <w:spacing w:after="0" w:line="276" w:lineRule="auto"/>
        <w:ind w:firstLine="709"/>
        <w:jc w:val="both"/>
        <w:rPr>
          <w:rFonts w:ascii="Verdana" w:eastAsia="Times New Roman" w:hAnsi="Verdana" w:cs="Arial"/>
          <w:lang w:eastAsia="es-CO"/>
        </w:rPr>
      </w:pPr>
    </w:p>
    <w:p w14:paraId="208DD4E6" w14:textId="77777777" w:rsidR="006404E9" w:rsidRDefault="006404E9" w:rsidP="006404E9">
      <w:pPr>
        <w:spacing w:after="0" w:line="276" w:lineRule="auto"/>
        <w:ind w:firstLine="709"/>
        <w:jc w:val="both"/>
        <w:rPr>
          <w:rFonts w:ascii="Verdana" w:eastAsia="Times New Roman" w:hAnsi="Verdana" w:cs="Arial"/>
          <w:lang w:eastAsia="es-CO"/>
        </w:rPr>
      </w:pPr>
      <w:r w:rsidRPr="006404E9">
        <w:rPr>
          <w:rFonts w:ascii="Verdana" w:eastAsia="Times New Roman" w:hAnsi="Verdana" w:cs="Arial"/>
          <w:lang w:eastAsia="es-CO"/>
        </w:rPr>
        <w:t xml:space="preserve">En armonía con lo anterior, la Corte Constitucional ha abordado la definición de la Ley de Garantías Electorales. De esta manera, explica que tiene como propósito: </w:t>
      </w:r>
    </w:p>
    <w:p w14:paraId="16420A91" w14:textId="77777777" w:rsidR="006404E9" w:rsidRDefault="006404E9" w:rsidP="006404E9">
      <w:pPr>
        <w:spacing w:after="0" w:line="276" w:lineRule="auto"/>
        <w:ind w:firstLine="709"/>
        <w:jc w:val="both"/>
        <w:rPr>
          <w:rFonts w:ascii="Verdana" w:eastAsia="Times New Roman" w:hAnsi="Verdana" w:cs="Arial"/>
          <w:lang w:eastAsia="es-CO"/>
        </w:rPr>
      </w:pPr>
    </w:p>
    <w:p w14:paraId="2EB3630B" w14:textId="304ECC56" w:rsidR="006404E9" w:rsidRPr="006404E9" w:rsidRDefault="006404E9" w:rsidP="006404E9">
      <w:pPr>
        <w:spacing w:after="0" w:line="276" w:lineRule="auto"/>
        <w:ind w:left="708"/>
        <w:jc w:val="both"/>
        <w:rPr>
          <w:rFonts w:ascii="Verdana" w:eastAsia="Times New Roman" w:hAnsi="Verdana" w:cs="Arial"/>
          <w:sz w:val="20"/>
          <w:szCs w:val="20"/>
          <w:lang w:eastAsia="es-CO"/>
        </w:rPr>
      </w:pPr>
      <w:r w:rsidRPr="006404E9">
        <w:rPr>
          <w:rFonts w:ascii="Verdana" w:eastAsia="Times New Roman" w:hAnsi="Verdana" w:cs="Arial"/>
          <w:sz w:val="20"/>
          <w:szCs w:val="20"/>
          <w:lang w:eastAsia="es-CO"/>
        </w:rPr>
        <w:t>“[…] la definición de reglas claras que permitan acceder a los canales de expresión democrática de manera efectiva e igualitaria. El objetivo de una ley de garantías es definir esas reglas. […] 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00596070">
        <w:rPr>
          <w:rFonts w:ascii="Verdana" w:eastAsia="Times New Roman" w:hAnsi="Verdana" w:cs="Arial"/>
          <w:sz w:val="20"/>
          <w:szCs w:val="20"/>
          <w:lang w:eastAsia="es-CO"/>
        </w:rPr>
        <w:t>.</w:t>
      </w:r>
      <w:r>
        <w:rPr>
          <w:rStyle w:val="Refdenotaalpie"/>
          <w:rFonts w:ascii="Verdana" w:eastAsia="Times New Roman" w:hAnsi="Verdana" w:cs="Arial"/>
          <w:sz w:val="20"/>
          <w:szCs w:val="20"/>
          <w:lang w:eastAsia="es-CO"/>
        </w:rPr>
        <w:footnoteReference w:id="3"/>
      </w:r>
    </w:p>
    <w:p w14:paraId="5D2D04BC" w14:textId="77777777" w:rsidR="00900F28" w:rsidRDefault="00900F28" w:rsidP="00871B59">
      <w:pPr>
        <w:widowControl w:val="0"/>
        <w:autoSpaceDE w:val="0"/>
        <w:autoSpaceDN w:val="0"/>
        <w:spacing w:after="0" w:line="276" w:lineRule="auto"/>
        <w:jc w:val="both"/>
        <w:rPr>
          <w:rFonts w:ascii="Verdana" w:eastAsia="Calibri" w:hAnsi="Verdana" w:cs="Arial"/>
          <w:lang w:val="es-ES"/>
        </w:rPr>
      </w:pPr>
    </w:p>
    <w:p w14:paraId="72DB3C62"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5E9F5433" w14:textId="58CBEE90" w:rsidR="0042642E" w:rsidRDefault="00596070" w:rsidP="00596070">
      <w:pPr>
        <w:widowControl w:val="0"/>
        <w:autoSpaceDE w:val="0"/>
        <w:autoSpaceDN w:val="0"/>
        <w:spacing w:after="0" w:line="276" w:lineRule="auto"/>
        <w:ind w:firstLine="709"/>
        <w:jc w:val="both"/>
        <w:rPr>
          <w:rFonts w:ascii="Verdana" w:eastAsia="Calibri" w:hAnsi="Verdana" w:cs="Arial"/>
        </w:rPr>
      </w:pPr>
      <w:r w:rsidRPr="00596070">
        <w:rPr>
          <w:rFonts w:ascii="Verdana" w:eastAsia="Calibri" w:hAnsi="Verdana" w:cs="Arial"/>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w:t>
      </w:r>
      <w:r w:rsidR="000C6A08">
        <w:rPr>
          <w:rFonts w:ascii="Verdana" w:eastAsia="Calibri" w:hAnsi="Verdana" w:cs="Arial"/>
        </w:rPr>
        <w:t xml:space="preserve"> </w:t>
      </w:r>
      <w:r w:rsidR="000C6A08" w:rsidRPr="000C6A08">
        <w:rPr>
          <w:rFonts w:ascii="Verdana" w:eastAsia="Calibri" w:hAnsi="Verdana" w:cs="Arial"/>
        </w:rPr>
        <w:t>electoral, así como la posible desviación de recursos públicos de estas. Por ello, varias de las disposiciones de la Ley 996 de 2005, al contener normas prohibitivas, no admiten una interpretación amplia, sino que deben interpretarse restrictivamente. En efecto, la Sala de Consulta y Servicio Civil del Consejo de Estado, precisó:</w:t>
      </w:r>
    </w:p>
    <w:p w14:paraId="3075870E" w14:textId="77777777" w:rsidR="000C6A08" w:rsidRDefault="000C6A08" w:rsidP="000C6A08">
      <w:pPr>
        <w:widowControl w:val="0"/>
        <w:autoSpaceDE w:val="0"/>
        <w:autoSpaceDN w:val="0"/>
        <w:spacing w:after="0" w:line="276" w:lineRule="auto"/>
        <w:ind w:left="708" w:firstLine="709"/>
        <w:jc w:val="both"/>
        <w:rPr>
          <w:rFonts w:ascii="Verdana" w:eastAsia="Calibri" w:hAnsi="Verdana" w:cs="Arial"/>
        </w:rPr>
      </w:pPr>
    </w:p>
    <w:p w14:paraId="2DD8E8AC" w14:textId="779EF3B0" w:rsidR="000C6A08" w:rsidRDefault="000C6A08" w:rsidP="000C6A08">
      <w:pPr>
        <w:widowControl w:val="0"/>
        <w:autoSpaceDE w:val="0"/>
        <w:autoSpaceDN w:val="0"/>
        <w:spacing w:after="0" w:line="276" w:lineRule="auto"/>
        <w:ind w:left="708"/>
        <w:jc w:val="both"/>
        <w:rPr>
          <w:rFonts w:ascii="Verdana" w:eastAsia="Calibri" w:hAnsi="Verdana" w:cs="Arial"/>
          <w:sz w:val="20"/>
          <w:szCs w:val="20"/>
        </w:rPr>
      </w:pPr>
      <w:r w:rsidRPr="000C6A08">
        <w:rPr>
          <w:rFonts w:ascii="Verdana" w:eastAsia="Calibri" w:hAnsi="Verdana" w:cs="Arial"/>
          <w:sz w:val="20"/>
          <w:szCs w:val="20"/>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w:t>
      </w:r>
      <w:r w:rsidRPr="000C6A08">
        <w:rPr>
          <w:rFonts w:ascii="Verdana" w:eastAsia="Calibri" w:hAnsi="Verdana" w:cs="Arial"/>
          <w:sz w:val="20"/>
          <w:szCs w:val="20"/>
        </w:rPr>
        <w:lastRenderedPageBreak/>
        <w:t>público, razón por la cual no son disponibles ni pueden ser derogadas, modificadas, ampliadas o adicionadas por acuerdo o convenio o acto unilateral.</w:t>
      </w:r>
    </w:p>
    <w:p w14:paraId="566A94CE" w14:textId="77777777" w:rsidR="003A1B06" w:rsidRDefault="003A1B06" w:rsidP="000C6A08">
      <w:pPr>
        <w:widowControl w:val="0"/>
        <w:autoSpaceDE w:val="0"/>
        <w:autoSpaceDN w:val="0"/>
        <w:spacing w:after="0" w:line="276" w:lineRule="auto"/>
        <w:ind w:left="708"/>
        <w:jc w:val="both"/>
        <w:rPr>
          <w:rFonts w:ascii="Verdana" w:eastAsia="Calibri" w:hAnsi="Verdana" w:cs="Arial"/>
          <w:sz w:val="20"/>
          <w:szCs w:val="20"/>
        </w:rPr>
      </w:pPr>
    </w:p>
    <w:p w14:paraId="5FD8C4E6" w14:textId="199C6E62" w:rsidR="003A1B06" w:rsidRPr="000C6A08" w:rsidRDefault="003A1B06" w:rsidP="000C6A08">
      <w:pPr>
        <w:widowControl w:val="0"/>
        <w:autoSpaceDE w:val="0"/>
        <w:autoSpaceDN w:val="0"/>
        <w:spacing w:after="0" w:line="276" w:lineRule="auto"/>
        <w:ind w:left="708"/>
        <w:jc w:val="both"/>
        <w:rPr>
          <w:rFonts w:ascii="Verdana" w:eastAsia="Calibri" w:hAnsi="Verdana" w:cs="Arial"/>
          <w:sz w:val="20"/>
          <w:szCs w:val="20"/>
          <w:lang w:val="es-ES"/>
        </w:rPr>
      </w:pPr>
      <w:r w:rsidRPr="003A1B06">
        <w:rPr>
          <w:rFonts w:ascii="Verdana" w:eastAsia="Calibri" w:hAnsi="Verdana" w:cs="Arial"/>
          <w:sz w:val="20"/>
          <w:szCs w:val="20"/>
        </w:rPr>
        <w:t>La jurisprudencia de la Corte Constituciona</w:t>
      </w:r>
      <w:r>
        <w:rPr>
          <w:rFonts w:ascii="Verdana" w:eastAsia="Calibri" w:hAnsi="Verdana" w:cs="Arial"/>
          <w:sz w:val="20"/>
          <w:szCs w:val="20"/>
        </w:rPr>
        <w:t>l</w:t>
      </w:r>
      <w:r>
        <w:rPr>
          <w:rStyle w:val="Refdenotaalpie"/>
          <w:rFonts w:ascii="Verdana" w:eastAsia="Calibri" w:hAnsi="Verdana" w:cs="Arial"/>
          <w:sz w:val="20"/>
          <w:szCs w:val="20"/>
        </w:rPr>
        <w:footnoteReference w:id="4"/>
      </w:r>
      <w:r w:rsidRPr="003A1B06">
        <w:rPr>
          <w:rFonts w:ascii="Verdana" w:eastAsia="Calibri" w:hAnsi="Verdana" w:cs="Arial"/>
          <w:sz w:val="20"/>
          <w:szCs w:val="20"/>
        </w:rPr>
        <w:t xml:space="preserve"> y del Consejo de Estado</w:t>
      </w:r>
      <w:r w:rsidR="004A55CC">
        <w:rPr>
          <w:rStyle w:val="Refdenotaalpie"/>
          <w:rFonts w:ascii="Verdana" w:eastAsia="Calibri" w:hAnsi="Verdana" w:cs="Arial"/>
          <w:sz w:val="20"/>
          <w:szCs w:val="20"/>
        </w:rPr>
        <w:footnoteReference w:id="5"/>
      </w:r>
      <w:r w:rsidRPr="003A1B06">
        <w:rPr>
          <w:rFonts w:ascii="Verdana" w:eastAsia="Calibri" w:hAnsi="Verdana" w:cs="Arial"/>
          <w:sz w:val="20"/>
          <w:szCs w:val="20"/>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004A55CC">
        <w:rPr>
          <w:rStyle w:val="Refdenotaalpie"/>
          <w:rFonts w:ascii="Verdana" w:eastAsia="Calibri" w:hAnsi="Verdana" w:cs="Arial"/>
          <w:sz w:val="20"/>
          <w:szCs w:val="20"/>
        </w:rPr>
        <w:footnoteReference w:id="6"/>
      </w:r>
      <w:r w:rsidRPr="003A1B06">
        <w:rPr>
          <w:rFonts w:ascii="Verdana" w:eastAsia="Calibri" w:hAnsi="Verdana" w:cs="Arial"/>
          <w:sz w:val="20"/>
          <w:szCs w:val="20"/>
        </w:rPr>
        <w:t>.</w:t>
      </w:r>
    </w:p>
    <w:p w14:paraId="187C925C" w14:textId="77777777" w:rsidR="0042642E" w:rsidRDefault="0042642E" w:rsidP="00596070">
      <w:pPr>
        <w:widowControl w:val="0"/>
        <w:autoSpaceDE w:val="0"/>
        <w:autoSpaceDN w:val="0"/>
        <w:spacing w:after="0" w:line="276" w:lineRule="auto"/>
        <w:ind w:firstLine="709"/>
        <w:jc w:val="both"/>
        <w:rPr>
          <w:rFonts w:ascii="Verdana" w:eastAsia="Calibri" w:hAnsi="Verdana" w:cs="Arial"/>
          <w:lang w:val="es-ES"/>
        </w:rPr>
      </w:pPr>
    </w:p>
    <w:p w14:paraId="050DB1DB"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5E71F890" w14:textId="3C7E1668" w:rsidR="0042642E" w:rsidRDefault="00AB52DB" w:rsidP="00AB52DB">
      <w:pPr>
        <w:widowControl w:val="0"/>
        <w:autoSpaceDE w:val="0"/>
        <w:autoSpaceDN w:val="0"/>
        <w:spacing w:after="0" w:line="276" w:lineRule="auto"/>
        <w:ind w:firstLine="709"/>
        <w:jc w:val="both"/>
        <w:rPr>
          <w:rFonts w:ascii="Verdana" w:eastAsia="Calibri" w:hAnsi="Verdana" w:cs="Arial"/>
        </w:rPr>
      </w:pPr>
      <w:r w:rsidRPr="00AB52DB">
        <w:rPr>
          <w:rFonts w:ascii="Verdana" w:eastAsia="Calibri" w:hAnsi="Verdana" w:cs="Arial"/>
        </w:rPr>
        <w:t>ii. Precisado el propósito de la Ley, es pertinente señalar que las restricciones consagradas en la citada Ley se dirigen a dos (2) tipos de campañas electorales claramente diferenciadas: las presidenciales y las demás que se adelanten para</w:t>
      </w:r>
      <w:r>
        <w:rPr>
          <w:rFonts w:ascii="Verdana" w:eastAsia="Calibri" w:hAnsi="Verdana" w:cs="Arial"/>
        </w:rPr>
        <w:t xml:space="preserve"> </w:t>
      </w:r>
      <w:r w:rsidRPr="00AB52DB">
        <w:rPr>
          <w:rFonts w:ascii="Verdana" w:eastAsia="Calibri" w:hAnsi="Verdana" w:cs="Arial"/>
        </w:rPr>
        <w:t>la elección de los demás cargos de elección popular, tanto a nivel nacional como territorial. 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Style w:val="Refdenotaalpie"/>
          <w:rFonts w:ascii="Verdana" w:eastAsia="Calibri" w:hAnsi="Verdana" w:cs="Arial"/>
        </w:rPr>
        <w:footnoteReference w:id="7"/>
      </w:r>
      <w:r>
        <w:rPr>
          <w:rFonts w:ascii="Verdana" w:eastAsia="Calibri" w:hAnsi="Verdana" w:cs="Arial"/>
        </w:rPr>
        <w:t>.</w:t>
      </w:r>
    </w:p>
    <w:p w14:paraId="0DC314AA" w14:textId="19182E30" w:rsidR="00BE418D" w:rsidRDefault="00BE418D" w:rsidP="00AB52DB">
      <w:pPr>
        <w:widowControl w:val="0"/>
        <w:autoSpaceDE w:val="0"/>
        <w:autoSpaceDN w:val="0"/>
        <w:spacing w:after="0" w:line="276" w:lineRule="auto"/>
        <w:ind w:firstLine="709"/>
        <w:jc w:val="both"/>
        <w:rPr>
          <w:rFonts w:ascii="Verdana" w:eastAsia="Calibri" w:hAnsi="Verdana" w:cs="Arial"/>
          <w:lang w:val="es-ES"/>
        </w:rPr>
      </w:pPr>
      <w:r w:rsidRPr="00BE418D">
        <w:rPr>
          <w:rFonts w:ascii="Verdana" w:eastAsia="Calibri" w:hAnsi="Verdana" w:cs="Arial"/>
        </w:rPr>
        <w:t xml:space="preserve">Por otro lado, el parágrafo del artículo 38 de la Ley 996 de 2005 prevé </w:t>
      </w:r>
      <w:r w:rsidRPr="00BE418D">
        <w:rPr>
          <w:rFonts w:ascii="Verdana" w:eastAsia="Calibri" w:hAnsi="Verdana" w:cs="Arial"/>
        </w:rPr>
        <w:lastRenderedPageBreak/>
        <w:t>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Style w:val="Refdenotaalpie"/>
          <w:rFonts w:ascii="Verdana" w:eastAsia="Calibri" w:hAnsi="Verdana" w:cs="Arial"/>
        </w:rPr>
        <w:footnoteReference w:id="8"/>
      </w:r>
    </w:p>
    <w:p w14:paraId="667C57D6"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53C7AB2D" w14:textId="3F8B966E" w:rsidR="00EF37C5" w:rsidRDefault="00EF37C5" w:rsidP="00EF37C5">
      <w:pPr>
        <w:widowControl w:val="0"/>
        <w:autoSpaceDE w:val="0"/>
        <w:autoSpaceDN w:val="0"/>
        <w:spacing w:after="0" w:line="276" w:lineRule="auto"/>
        <w:ind w:firstLine="709"/>
        <w:jc w:val="both"/>
        <w:rPr>
          <w:rFonts w:ascii="Verdana" w:eastAsia="Calibri" w:hAnsi="Verdana" w:cs="Arial"/>
        </w:rPr>
      </w:pPr>
      <w:r w:rsidRPr="00EF37C5">
        <w:rPr>
          <w:rFonts w:ascii="Verdana" w:eastAsia="Calibri" w:hAnsi="Verdana" w:cs="Arial"/>
        </w:rPr>
        <w:t>La Sala de Consulta y Servicio Civil del Consejo de Estado ha aclarado la distinción en la aplicación de las prohibiciones de la Ley 996 de 2005, dependiendo del tipo de elección que se trate. Al respecto, considera:</w:t>
      </w:r>
    </w:p>
    <w:p w14:paraId="4814C9DA" w14:textId="77777777" w:rsidR="00EF37C5" w:rsidRPr="00EF37C5" w:rsidRDefault="00EF37C5" w:rsidP="00EF37C5">
      <w:pPr>
        <w:widowControl w:val="0"/>
        <w:autoSpaceDE w:val="0"/>
        <w:autoSpaceDN w:val="0"/>
        <w:spacing w:after="0" w:line="276" w:lineRule="auto"/>
        <w:ind w:left="708" w:firstLine="709"/>
        <w:jc w:val="both"/>
        <w:rPr>
          <w:rFonts w:ascii="Verdana" w:eastAsia="Calibri" w:hAnsi="Verdana" w:cs="Arial"/>
          <w:sz w:val="20"/>
          <w:szCs w:val="20"/>
        </w:rPr>
      </w:pPr>
    </w:p>
    <w:p w14:paraId="233A7662" w14:textId="7234BF18" w:rsidR="00EF37C5" w:rsidRPr="00EF37C5" w:rsidRDefault="00EF37C5" w:rsidP="00EF37C5">
      <w:pPr>
        <w:widowControl w:val="0"/>
        <w:autoSpaceDE w:val="0"/>
        <w:autoSpaceDN w:val="0"/>
        <w:spacing w:after="0" w:line="276" w:lineRule="auto"/>
        <w:ind w:left="708"/>
        <w:jc w:val="both"/>
        <w:rPr>
          <w:rFonts w:ascii="Verdana" w:eastAsia="Calibri" w:hAnsi="Verdana" w:cs="Arial"/>
          <w:sz w:val="20"/>
          <w:szCs w:val="20"/>
          <w:lang w:val="es-ES"/>
        </w:rPr>
      </w:pPr>
      <w:r w:rsidRPr="00EF37C5">
        <w:rPr>
          <w:rFonts w:ascii="Verdana" w:eastAsia="Calibri" w:hAnsi="Verdana" w:cs="Arial"/>
          <w:sz w:val="20"/>
          <w:szCs w:val="20"/>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F37C5">
        <w:rPr>
          <w:rFonts w:ascii="Verdana" w:eastAsia="Calibri" w:hAnsi="Verdana" w:cs="Arial"/>
          <w:sz w:val="20"/>
          <w:szCs w:val="20"/>
        </w:rPr>
        <w:t>Presidente</w:t>
      </w:r>
      <w:proofErr w:type="gramEnd"/>
      <w:r w:rsidRPr="00EF37C5">
        <w:rPr>
          <w:rFonts w:ascii="Verdana" w:eastAsia="Calibri" w:hAnsi="Verdana" w:cs="Arial"/>
          <w:sz w:val="20"/>
          <w:szCs w:val="20"/>
        </w:rPr>
        <w:t xml:space="preserve"> de la República, a las autoridades territoriales allí mencionadas sólo se aplican las restricciones contenidas en el parágrafo del artículo 38”</w:t>
      </w:r>
      <w:r>
        <w:rPr>
          <w:rStyle w:val="Refdenotaalpie"/>
          <w:rFonts w:ascii="Verdana" w:eastAsia="Calibri" w:hAnsi="Verdana" w:cs="Arial"/>
          <w:sz w:val="20"/>
          <w:szCs w:val="20"/>
        </w:rPr>
        <w:footnoteReference w:id="9"/>
      </w:r>
    </w:p>
    <w:p w14:paraId="57E0525C" w14:textId="77777777" w:rsidR="0042642E" w:rsidRPr="00EF37C5" w:rsidRDefault="0042642E" w:rsidP="00EF37C5">
      <w:pPr>
        <w:widowControl w:val="0"/>
        <w:autoSpaceDE w:val="0"/>
        <w:autoSpaceDN w:val="0"/>
        <w:spacing w:after="0" w:line="276" w:lineRule="auto"/>
        <w:ind w:left="708" w:firstLine="709"/>
        <w:jc w:val="both"/>
        <w:rPr>
          <w:rFonts w:ascii="Verdana" w:eastAsia="Calibri" w:hAnsi="Verdana" w:cs="Arial"/>
          <w:sz w:val="20"/>
          <w:szCs w:val="20"/>
          <w:lang w:val="es-ES"/>
        </w:rPr>
      </w:pPr>
    </w:p>
    <w:p w14:paraId="3543CB1C" w14:textId="0488CDFD" w:rsidR="0042642E" w:rsidRDefault="001644CD" w:rsidP="001644CD">
      <w:pPr>
        <w:widowControl w:val="0"/>
        <w:autoSpaceDE w:val="0"/>
        <w:autoSpaceDN w:val="0"/>
        <w:spacing w:after="0" w:line="276" w:lineRule="auto"/>
        <w:ind w:firstLine="709"/>
        <w:jc w:val="both"/>
        <w:rPr>
          <w:rFonts w:ascii="Verdana" w:eastAsia="Calibri" w:hAnsi="Verdana" w:cs="Arial"/>
          <w:lang w:val="es-ES"/>
        </w:rPr>
      </w:pPr>
      <w:r w:rsidRPr="001644CD">
        <w:rPr>
          <w:rFonts w:ascii="Verdana" w:eastAsia="Calibri" w:hAnsi="Verdana" w:cs="Arial"/>
        </w:rPr>
        <w:t>iii. En primer lugar,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4D2E379B"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01D7F90E" w14:textId="02658269" w:rsidR="00911313" w:rsidRDefault="00911313" w:rsidP="00911313">
      <w:pPr>
        <w:widowControl w:val="0"/>
        <w:autoSpaceDE w:val="0"/>
        <w:autoSpaceDN w:val="0"/>
        <w:spacing w:after="0" w:line="276" w:lineRule="auto"/>
        <w:ind w:left="708"/>
        <w:jc w:val="both"/>
        <w:rPr>
          <w:rFonts w:ascii="Verdana" w:eastAsia="Calibri" w:hAnsi="Verdana" w:cs="Arial"/>
          <w:sz w:val="20"/>
          <w:szCs w:val="20"/>
        </w:rPr>
      </w:pPr>
      <w:r w:rsidRPr="00911313">
        <w:rPr>
          <w:rFonts w:ascii="Verdana" w:eastAsia="Calibri" w:hAnsi="Verdana" w:cs="Arial"/>
          <w:sz w:val="20"/>
          <w:szCs w:val="20"/>
        </w:rPr>
        <w:t xml:space="preserve">“La contratación directa es un mecanismo de selección de carácter excepcional, </w:t>
      </w:r>
      <w:r w:rsidRPr="00911313">
        <w:rPr>
          <w:rFonts w:ascii="Verdana" w:eastAsia="Calibri" w:hAnsi="Verdana" w:cs="Arial"/>
          <w:sz w:val="20"/>
          <w:szCs w:val="20"/>
        </w:rPr>
        <w:lastRenderedPageBreak/>
        <w:t>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Style w:val="Refdenotaalpie"/>
          <w:rFonts w:ascii="Verdana" w:eastAsia="Calibri" w:hAnsi="Verdana" w:cs="Arial"/>
          <w:sz w:val="20"/>
          <w:szCs w:val="20"/>
        </w:rPr>
        <w:footnoteReference w:id="10"/>
      </w:r>
      <w:r w:rsidR="00577749">
        <w:rPr>
          <w:rFonts w:ascii="Verdana" w:eastAsia="Calibri" w:hAnsi="Verdana" w:cs="Arial"/>
          <w:sz w:val="20"/>
          <w:szCs w:val="20"/>
        </w:rPr>
        <w:t>.</w:t>
      </w:r>
    </w:p>
    <w:p w14:paraId="7BD41F20" w14:textId="49718000" w:rsidR="00577749" w:rsidRPr="00911313" w:rsidRDefault="00577749" w:rsidP="00911313">
      <w:pPr>
        <w:widowControl w:val="0"/>
        <w:autoSpaceDE w:val="0"/>
        <w:autoSpaceDN w:val="0"/>
        <w:spacing w:after="0" w:line="276" w:lineRule="auto"/>
        <w:ind w:left="708"/>
        <w:jc w:val="both"/>
        <w:rPr>
          <w:rFonts w:ascii="Verdana" w:eastAsia="Calibri" w:hAnsi="Verdana" w:cs="Arial"/>
          <w:sz w:val="20"/>
          <w:szCs w:val="20"/>
          <w:lang w:val="es-ES"/>
        </w:rPr>
      </w:pPr>
      <w:r w:rsidRPr="00577749">
        <w:rPr>
          <w:rFonts w:ascii="Verdana" w:eastAsia="Calibri" w:hAnsi="Verdana" w:cs="Arial"/>
          <w:sz w:val="20"/>
          <w:szCs w:val="20"/>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Style w:val="Refdenotaalpie"/>
          <w:rFonts w:ascii="Verdana" w:eastAsia="Calibri" w:hAnsi="Verdana" w:cs="Arial"/>
          <w:sz w:val="20"/>
          <w:szCs w:val="20"/>
        </w:rPr>
        <w:footnoteReference w:id="11"/>
      </w:r>
      <w:r>
        <w:rPr>
          <w:rFonts w:ascii="Verdana" w:eastAsia="Calibri" w:hAnsi="Verdana" w:cs="Arial"/>
          <w:sz w:val="20"/>
          <w:szCs w:val="20"/>
        </w:rPr>
        <w:t xml:space="preserve">. </w:t>
      </w:r>
      <w:r w:rsidRPr="00577749">
        <w:rPr>
          <w:rFonts w:ascii="Verdana" w:eastAsia="Calibri" w:hAnsi="Verdana" w:cs="Arial"/>
          <w:sz w:val="20"/>
          <w:szCs w:val="20"/>
        </w:rPr>
        <w:t>Por tanto, no son materia de la prohibición las demás</w:t>
      </w:r>
      <w:r w:rsidR="00547499">
        <w:rPr>
          <w:rFonts w:ascii="Verdana" w:eastAsia="Calibri" w:hAnsi="Verdana" w:cs="Arial"/>
          <w:sz w:val="20"/>
          <w:szCs w:val="20"/>
        </w:rPr>
        <w:t xml:space="preserve"> </w:t>
      </w:r>
      <w:r w:rsidR="00547499" w:rsidRPr="00547499">
        <w:rPr>
          <w:rFonts w:ascii="Verdana" w:eastAsia="Calibri" w:hAnsi="Verdana" w:cs="Arial"/>
          <w:sz w:val="20"/>
          <w:szCs w:val="20"/>
        </w:rPr>
        <w:t>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547499">
        <w:rPr>
          <w:rStyle w:val="Refdenotaalpie"/>
          <w:rFonts w:ascii="Verdana" w:eastAsia="Calibri" w:hAnsi="Verdana" w:cs="Arial"/>
          <w:sz w:val="20"/>
          <w:szCs w:val="20"/>
        </w:rPr>
        <w:footnoteReference w:id="12"/>
      </w:r>
    </w:p>
    <w:p w14:paraId="1268FDB9" w14:textId="77777777" w:rsidR="0042642E" w:rsidRPr="00911313" w:rsidRDefault="0042642E" w:rsidP="00911313">
      <w:pPr>
        <w:widowControl w:val="0"/>
        <w:autoSpaceDE w:val="0"/>
        <w:autoSpaceDN w:val="0"/>
        <w:spacing w:after="0" w:line="276" w:lineRule="auto"/>
        <w:ind w:left="708"/>
        <w:jc w:val="both"/>
        <w:rPr>
          <w:rFonts w:ascii="Verdana" w:eastAsia="Calibri" w:hAnsi="Verdana" w:cs="Arial"/>
          <w:sz w:val="20"/>
          <w:szCs w:val="20"/>
          <w:lang w:val="es-ES"/>
        </w:rPr>
      </w:pPr>
    </w:p>
    <w:p w14:paraId="331BB77D"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466E4EB4" w14:textId="07F2EE88" w:rsidR="0042642E" w:rsidRDefault="00AD0899" w:rsidP="00AD0899">
      <w:pPr>
        <w:widowControl w:val="0"/>
        <w:autoSpaceDE w:val="0"/>
        <w:autoSpaceDN w:val="0"/>
        <w:spacing w:after="0" w:line="276" w:lineRule="auto"/>
        <w:ind w:firstLine="709"/>
        <w:jc w:val="both"/>
        <w:rPr>
          <w:rFonts w:ascii="Verdana" w:eastAsia="Calibri" w:hAnsi="Verdana" w:cs="Arial"/>
        </w:rPr>
      </w:pPr>
      <w:r w:rsidRPr="00AD0899">
        <w:rPr>
          <w:rFonts w:ascii="Verdana" w:eastAsia="Calibri" w:hAnsi="Verdana" w:cs="Arial"/>
        </w:rPr>
        <w:t>Según el concepto mencionado, la prohibición establecida en el artículo 33 de la Ley de Garantías Electorales se aplica a “todo mecanismo que no contemple una convocatoria pública ni permita la participación de múltiples oferentes”. En consecuencia, quedan excluidas las demás modalidades de contratación contempladas en la Ley 1150 de 2007, entre ellos, la licitación pública, la selección abreviada y el concurso de méritos, así como aquellas previstas en disposiciones especiales que impliquen un procedimiento abierto u con pluralidad de oferentes. Esta postura es congruente con la expedición de la Ley 1150 de 2007 que, entre otras reformas, introdujo la selección abreviada, rediseñó el concurso de méritos</w:t>
      </w:r>
      <w:r>
        <w:rPr>
          <w:rStyle w:val="Refdenotaalpie"/>
          <w:rFonts w:ascii="Verdana" w:eastAsia="Calibri" w:hAnsi="Verdana" w:cs="Arial"/>
        </w:rPr>
        <w:footnoteReference w:id="13"/>
      </w:r>
      <w:r>
        <w:rPr>
          <w:rFonts w:ascii="Verdana" w:eastAsia="Calibri" w:hAnsi="Verdana" w:cs="Arial"/>
        </w:rPr>
        <w:t xml:space="preserve"> </w:t>
      </w:r>
      <w:r w:rsidR="00E15534" w:rsidRPr="00E15534">
        <w:rPr>
          <w:rFonts w:ascii="Verdana" w:eastAsia="Calibri" w:hAnsi="Verdana" w:cs="Arial"/>
        </w:rPr>
        <w:t>y sistematizó las causales de contratación directa</w:t>
      </w:r>
      <w:r w:rsidR="00E15534">
        <w:rPr>
          <w:rStyle w:val="Refdenotaalpie"/>
          <w:rFonts w:ascii="Verdana" w:eastAsia="Calibri" w:hAnsi="Verdana" w:cs="Arial"/>
        </w:rPr>
        <w:footnoteReference w:id="14"/>
      </w:r>
      <w:r w:rsidR="00E15534">
        <w:rPr>
          <w:rFonts w:ascii="Verdana" w:eastAsia="Calibri" w:hAnsi="Verdana" w:cs="Arial"/>
        </w:rPr>
        <w:t xml:space="preserve">. </w:t>
      </w:r>
    </w:p>
    <w:p w14:paraId="2AD9A53D" w14:textId="77777777" w:rsidR="0059640F" w:rsidRDefault="0059640F" w:rsidP="00AD0899">
      <w:pPr>
        <w:widowControl w:val="0"/>
        <w:autoSpaceDE w:val="0"/>
        <w:autoSpaceDN w:val="0"/>
        <w:spacing w:after="0" w:line="276" w:lineRule="auto"/>
        <w:ind w:firstLine="709"/>
        <w:jc w:val="both"/>
        <w:rPr>
          <w:rFonts w:ascii="Verdana" w:eastAsia="Calibri" w:hAnsi="Verdana" w:cs="Arial"/>
        </w:rPr>
      </w:pPr>
    </w:p>
    <w:p w14:paraId="099506A8" w14:textId="1CB04A71" w:rsidR="0059640F" w:rsidRDefault="0059640F" w:rsidP="00AD0899">
      <w:pPr>
        <w:widowControl w:val="0"/>
        <w:autoSpaceDE w:val="0"/>
        <w:autoSpaceDN w:val="0"/>
        <w:spacing w:after="0" w:line="276" w:lineRule="auto"/>
        <w:ind w:firstLine="709"/>
        <w:jc w:val="both"/>
        <w:rPr>
          <w:rFonts w:ascii="Verdana" w:eastAsia="Calibri" w:hAnsi="Verdana" w:cs="Arial"/>
        </w:rPr>
      </w:pPr>
      <w:r w:rsidRPr="0059640F">
        <w:rPr>
          <w:rFonts w:ascii="Verdana" w:eastAsia="Calibri" w:hAnsi="Verdana" w:cs="Arial"/>
        </w:rPr>
        <w:t xml:space="preserve">De tal manera, debe entenderse que, para los efectos de la Ley de Garantías Electorales y, en particular, para la prohibición o restricción temporal contenida en su artículo 33, la “contratación directa” se refiere a cualquier sistema de selección o procedimiento de contratación utilizado por las Entidades Estatales que excluya la convocatoria pública en alguna de sus etapas y que no </w:t>
      </w:r>
      <w:r w:rsidRPr="0059640F">
        <w:rPr>
          <w:rFonts w:ascii="Verdana" w:eastAsia="Calibri" w:hAnsi="Verdana" w:cs="Arial"/>
        </w:rPr>
        <w:lastRenderedPageBreak/>
        <w:t>permita la participación de una pluralidad de oferentes</w:t>
      </w:r>
      <w:r>
        <w:rPr>
          <w:rStyle w:val="Refdenotaalpie"/>
          <w:rFonts w:ascii="Verdana" w:eastAsia="Calibri" w:hAnsi="Verdana" w:cs="Arial"/>
        </w:rPr>
        <w:footnoteReference w:id="15"/>
      </w:r>
      <w:r w:rsidR="00C93EE2">
        <w:rPr>
          <w:rFonts w:ascii="Verdana" w:eastAsia="Calibri" w:hAnsi="Verdana" w:cs="Arial"/>
        </w:rPr>
        <w:t>.</w:t>
      </w:r>
    </w:p>
    <w:p w14:paraId="418C37B8" w14:textId="77777777" w:rsidR="00C93EE2" w:rsidRDefault="00C93EE2" w:rsidP="00AD0899">
      <w:pPr>
        <w:widowControl w:val="0"/>
        <w:autoSpaceDE w:val="0"/>
        <w:autoSpaceDN w:val="0"/>
        <w:spacing w:after="0" w:line="276" w:lineRule="auto"/>
        <w:ind w:firstLine="709"/>
        <w:jc w:val="both"/>
        <w:rPr>
          <w:rFonts w:ascii="Verdana" w:eastAsia="Calibri" w:hAnsi="Verdana" w:cs="Arial"/>
        </w:rPr>
      </w:pPr>
    </w:p>
    <w:p w14:paraId="7D319A83" w14:textId="1EB294EC" w:rsidR="00C93EE2" w:rsidRDefault="00C93EE2" w:rsidP="00AD0899">
      <w:pPr>
        <w:widowControl w:val="0"/>
        <w:autoSpaceDE w:val="0"/>
        <w:autoSpaceDN w:val="0"/>
        <w:spacing w:after="0" w:line="276" w:lineRule="auto"/>
        <w:ind w:firstLine="709"/>
        <w:jc w:val="both"/>
        <w:rPr>
          <w:rFonts w:ascii="Verdana" w:eastAsia="Calibri" w:hAnsi="Verdana" w:cs="Arial"/>
        </w:rPr>
      </w:pPr>
      <w:r w:rsidRPr="00C93EE2">
        <w:rPr>
          <w:rFonts w:ascii="Verdana" w:eastAsia="Calibri" w:hAnsi="Verdana" w:cs="Arial"/>
        </w:rPr>
        <w:t>De lo anterior se desprende que la restricción aplica, sin perjuicio de las excepciones establecidas en la misma Ley, para celebrar cualquier contrato de forma directa, esto es, sin que exista un proceso abierto y competitivo. Por tanto, no están sujetas a la prohibición las demás modalidades de selección previstas en la Ley 1150 de 2007, es decir, la licitación pública, el concurso de méritos y la selección abreviada. De este modo, las entidades públicas, en el período preelectoral de que trata la disposición pueden seguir contratando bajo estos sistemas de selección.</w:t>
      </w:r>
    </w:p>
    <w:p w14:paraId="0B99783E" w14:textId="77777777" w:rsidR="00C93EE2" w:rsidRDefault="00C93EE2" w:rsidP="00AD0899">
      <w:pPr>
        <w:widowControl w:val="0"/>
        <w:autoSpaceDE w:val="0"/>
        <w:autoSpaceDN w:val="0"/>
        <w:spacing w:after="0" w:line="276" w:lineRule="auto"/>
        <w:ind w:firstLine="709"/>
        <w:jc w:val="both"/>
        <w:rPr>
          <w:rFonts w:ascii="Verdana" w:eastAsia="Calibri" w:hAnsi="Verdana" w:cs="Arial"/>
        </w:rPr>
      </w:pPr>
    </w:p>
    <w:p w14:paraId="27176CB3" w14:textId="77777777" w:rsidR="00C93EE2" w:rsidRDefault="00C93EE2" w:rsidP="00AD0899">
      <w:pPr>
        <w:widowControl w:val="0"/>
        <w:autoSpaceDE w:val="0"/>
        <w:autoSpaceDN w:val="0"/>
        <w:spacing w:after="0" w:line="276" w:lineRule="auto"/>
        <w:ind w:firstLine="709"/>
        <w:jc w:val="both"/>
        <w:rPr>
          <w:rFonts w:ascii="Verdana" w:eastAsia="Calibri" w:hAnsi="Verdana" w:cs="Arial"/>
        </w:rPr>
      </w:pPr>
      <w:r w:rsidRPr="00C93EE2">
        <w:rPr>
          <w:rFonts w:ascii="Verdana" w:eastAsia="Calibri" w:hAnsi="Verdana" w:cs="Arial"/>
        </w:rPr>
        <w:t xml:space="preserve">De otro lado, tal como se mencionó, las excepciones a la restricción prevista en la Ley de Garantías Electorales, con fundamento en las cuales las Entidades Públicas podrán adelantar procedimientos de selección directa en períodos previos a la contienda electoral por la Presidencia, se encuentran consagradas de manera taxativa en el inciso final del citado artículo 33 de la Ley 996 de 2005, dichas excepciones corresponden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69795E43" w14:textId="77777777" w:rsidR="00C93EE2" w:rsidRDefault="00C93EE2" w:rsidP="00AD0899">
      <w:pPr>
        <w:widowControl w:val="0"/>
        <w:autoSpaceDE w:val="0"/>
        <w:autoSpaceDN w:val="0"/>
        <w:spacing w:after="0" w:line="276" w:lineRule="auto"/>
        <w:ind w:firstLine="709"/>
        <w:jc w:val="both"/>
        <w:rPr>
          <w:rFonts w:ascii="Verdana" w:eastAsia="Calibri" w:hAnsi="Verdana" w:cs="Arial"/>
        </w:rPr>
      </w:pPr>
    </w:p>
    <w:p w14:paraId="67ECD5DA" w14:textId="77777777" w:rsidR="00C93EE2" w:rsidRDefault="00C93EE2" w:rsidP="00AD0899">
      <w:pPr>
        <w:widowControl w:val="0"/>
        <w:autoSpaceDE w:val="0"/>
        <w:autoSpaceDN w:val="0"/>
        <w:spacing w:after="0" w:line="276" w:lineRule="auto"/>
        <w:ind w:firstLine="709"/>
        <w:jc w:val="both"/>
        <w:rPr>
          <w:rFonts w:ascii="Verdana" w:eastAsia="Calibri" w:hAnsi="Verdana" w:cs="Arial"/>
        </w:rPr>
      </w:pPr>
      <w:r w:rsidRPr="00C93EE2">
        <w:rPr>
          <w:rFonts w:ascii="Verdana" w:eastAsia="Calibri" w:hAnsi="Verdana" w:cs="Arial"/>
        </w:rPr>
        <w:t>Conforme a lo consagrado en esta disposición,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B4FE483" w14:textId="77777777" w:rsidR="00C93EE2" w:rsidRDefault="00C93EE2" w:rsidP="00AD0899">
      <w:pPr>
        <w:widowControl w:val="0"/>
        <w:autoSpaceDE w:val="0"/>
        <w:autoSpaceDN w:val="0"/>
        <w:spacing w:after="0" w:line="276" w:lineRule="auto"/>
        <w:ind w:firstLine="709"/>
        <w:jc w:val="both"/>
        <w:rPr>
          <w:rFonts w:ascii="Verdana" w:eastAsia="Calibri" w:hAnsi="Verdana" w:cs="Arial"/>
        </w:rPr>
      </w:pPr>
    </w:p>
    <w:p w14:paraId="7F6A7A43" w14:textId="4DBD00CB" w:rsidR="00C93EE2" w:rsidRDefault="00C93EE2" w:rsidP="00AD0899">
      <w:pPr>
        <w:widowControl w:val="0"/>
        <w:autoSpaceDE w:val="0"/>
        <w:autoSpaceDN w:val="0"/>
        <w:spacing w:after="0" w:line="276" w:lineRule="auto"/>
        <w:ind w:firstLine="709"/>
        <w:jc w:val="both"/>
        <w:rPr>
          <w:rFonts w:ascii="Verdana" w:eastAsia="Calibri" w:hAnsi="Verdana" w:cs="Arial"/>
        </w:rPr>
      </w:pPr>
      <w:r w:rsidRPr="00C93EE2">
        <w:rPr>
          <w:rFonts w:ascii="Verdana" w:eastAsia="Calibri" w:hAnsi="Verdana" w:cs="Arial"/>
        </w:rPr>
        <w:t xml:space="preserve">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w:t>
      </w:r>
      <w:r w:rsidRPr="00C93EE2">
        <w:rPr>
          <w:rFonts w:ascii="Verdana" w:eastAsia="Calibri" w:hAnsi="Verdana" w:cs="Arial"/>
        </w:rPr>
        <w:lastRenderedPageBreak/>
        <w:t>las excepciones para la prohibición de contratación”</w:t>
      </w:r>
      <w:r w:rsidR="000116D0">
        <w:rPr>
          <w:rStyle w:val="Refdenotaalpie"/>
          <w:rFonts w:ascii="Verdana" w:eastAsia="Calibri" w:hAnsi="Verdana" w:cs="Arial"/>
        </w:rPr>
        <w:footnoteReference w:id="16"/>
      </w:r>
      <w:r w:rsidR="000116D0">
        <w:rPr>
          <w:rFonts w:ascii="Verdana" w:eastAsia="Calibri" w:hAnsi="Verdana" w:cs="Arial"/>
        </w:rPr>
        <w:t xml:space="preserve">. </w:t>
      </w:r>
      <w:r w:rsidR="000116D0" w:rsidRPr="000116D0">
        <w:rPr>
          <w:rFonts w:ascii="Verdana" w:eastAsia="Calibri" w:hAnsi="Verdana" w:cs="Arial"/>
        </w:rPr>
        <w:t>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persecución de la igualdad entre los candidatos como garantía electoral.</w:t>
      </w:r>
    </w:p>
    <w:p w14:paraId="6207674B" w14:textId="77777777" w:rsidR="00D40F08" w:rsidRDefault="00D40F08" w:rsidP="00AD0899">
      <w:pPr>
        <w:widowControl w:val="0"/>
        <w:autoSpaceDE w:val="0"/>
        <w:autoSpaceDN w:val="0"/>
        <w:spacing w:after="0" w:line="276" w:lineRule="auto"/>
        <w:ind w:firstLine="709"/>
        <w:jc w:val="both"/>
        <w:rPr>
          <w:rFonts w:ascii="Verdana" w:eastAsia="Calibri" w:hAnsi="Verdana" w:cs="Arial"/>
        </w:rPr>
      </w:pPr>
    </w:p>
    <w:p w14:paraId="4E96B1D8" w14:textId="262B3A1A" w:rsidR="00D40F08" w:rsidRDefault="00D40F08" w:rsidP="00AD0899">
      <w:pPr>
        <w:widowControl w:val="0"/>
        <w:autoSpaceDE w:val="0"/>
        <w:autoSpaceDN w:val="0"/>
        <w:spacing w:after="0" w:line="276" w:lineRule="auto"/>
        <w:ind w:firstLine="709"/>
        <w:jc w:val="both"/>
        <w:rPr>
          <w:rFonts w:ascii="Verdana" w:eastAsia="Calibri" w:hAnsi="Verdana" w:cs="Arial"/>
        </w:rPr>
      </w:pPr>
      <w:r w:rsidRPr="00D40F08">
        <w:rPr>
          <w:rFonts w:ascii="Verdana" w:eastAsia="Calibri" w:hAnsi="Verdana" w:cs="Arial"/>
        </w:rPr>
        <w:t>iv. En relación con los destinatarios de la restricción analizada, el artículo 33 de la Ley 996 de 2005 los señala expresamente, en el sentido de que son “todos</w:t>
      </w:r>
      <w:r>
        <w:rPr>
          <w:rFonts w:ascii="Verdana" w:eastAsia="Calibri" w:hAnsi="Verdana" w:cs="Arial"/>
        </w:rPr>
        <w:t xml:space="preserve"> </w:t>
      </w:r>
      <w:r w:rsidRPr="00D40F08">
        <w:rPr>
          <w:rFonts w:ascii="Verdana" w:eastAsia="Calibri" w:hAnsi="Verdana" w:cs="Arial"/>
        </w:rPr>
        <w:t>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691DB6AF" w14:textId="77777777" w:rsidR="00D40F08" w:rsidRDefault="00D40F08" w:rsidP="00AD0899">
      <w:pPr>
        <w:widowControl w:val="0"/>
        <w:autoSpaceDE w:val="0"/>
        <w:autoSpaceDN w:val="0"/>
        <w:spacing w:after="0" w:line="276" w:lineRule="auto"/>
        <w:ind w:firstLine="709"/>
        <w:jc w:val="both"/>
        <w:rPr>
          <w:rFonts w:ascii="Verdana" w:eastAsia="Calibri" w:hAnsi="Verdana" w:cs="Arial"/>
        </w:rPr>
      </w:pPr>
    </w:p>
    <w:p w14:paraId="0A70178A" w14:textId="7FE372B0" w:rsidR="00D40F08" w:rsidRDefault="00D40F08" w:rsidP="00AD0899">
      <w:pPr>
        <w:widowControl w:val="0"/>
        <w:autoSpaceDE w:val="0"/>
        <w:autoSpaceDN w:val="0"/>
        <w:spacing w:after="0" w:line="276" w:lineRule="auto"/>
        <w:ind w:firstLine="709"/>
        <w:jc w:val="both"/>
        <w:rPr>
          <w:rFonts w:ascii="Verdana" w:eastAsia="Calibri" w:hAnsi="Verdana" w:cs="Arial"/>
          <w:lang w:val="es-ES"/>
        </w:rPr>
      </w:pPr>
      <w:r w:rsidRPr="00D40F08">
        <w:rPr>
          <w:rFonts w:ascii="Verdana" w:eastAsia="Calibri" w:hAnsi="Verdana" w:cs="Arial"/>
        </w:rPr>
        <w:t>Respecto de lo anterior, la Sala de Consulta y Servicio Civil del Consejo de Estado, en Concepto 1727 de fecha 20 de febrero de 2006, consideró que:</w:t>
      </w:r>
    </w:p>
    <w:p w14:paraId="52F34CDE"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49A7A5DD" w14:textId="3FAD7F68" w:rsidR="0042642E" w:rsidRPr="00D40F08" w:rsidRDefault="00D40F08" w:rsidP="00D40F08">
      <w:pPr>
        <w:widowControl w:val="0"/>
        <w:autoSpaceDE w:val="0"/>
        <w:autoSpaceDN w:val="0"/>
        <w:spacing w:after="0" w:line="276" w:lineRule="auto"/>
        <w:ind w:left="708"/>
        <w:jc w:val="both"/>
        <w:rPr>
          <w:rFonts w:ascii="Verdana" w:eastAsia="Calibri" w:hAnsi="Verdana" w:cs="Arial"/>
          <w:sz w:val="20"/>
          <w:szCs w:val="20"/>
          <w:lang w:val="es-ES"/>
        </w:rPr>
      </w:pPr>
      <w:r w:rsidRPr="00D40F08">
        <w:rPr>
          <w:rFonts w:ascii="Verdana" w:eastAsia="Calibri" w:hAnsi="Verdana" w:cs="Arial"/>
          <w:sz w:val="20"/>
          <w:szCs w:val="20"/>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Style w:val="Refdenotaalpie"/>
          <w:rFonts w:ascii="Verdana" w:eastAsia="Calibri" w:hAnsi="Verdana" w:cs="Arial"/>
          <w:sz w:val="20"/>
          <w:szCs w:val="20"/>
        </w:rPr>
        <w:footnoteReference w:id="17"/>
      </w:r>
    </w:p>
    <w:p w14:paraId="02429F96"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44CF5D7C" w14:textId="367263E1" w:rsidR="0042642E" w:rsidRDefault="00E35C28" w:rsidP="00871B59">
      <w:pPr>
        <w:widowControl w:val="0"/>
        <w:autoSpaceDE w:val="0"/>
        <w:autoSpaceDN w:val="0"/>
        <w:spacing w:after="0" w:line="276" w:lineRule="auto"/>
        <w:jc w:val="both"/>
        <w:rPr>
          <w:rFonts w:ascii="Verdana" w:eastAsia="Calibri" w:hAnsi="Verdana" w:cs="Arial"/>
          <w:lang w:val="es-ES"/>
        </w:rPr>
      </w:pPr>
      <w:r w:rsidRPr="00E35C28">
        <w:rPr>
          <w:rFonts w:ascii="Verdana" w:eastAsia="Calibri" w:hAnsi="Verdana" w:cs="Arial"/>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w:t>
      </w:r>
      <w:r w:rsidRPr="00E35C28">
        <w:rPr>
          <w:rFonts w:ascii="Verdana" w:eastAsia="Calibri" w:hAnsi="Verdana" w:cs="Arial"/>
        </w:rPr>
        <w:lastRenderedPageBreak/>
        <w:t>Sociedades de Economía Mixta, salvo cuando la celebración de un convenio interadministrativo sea ordenada, para ambas partes, por el Legislador”</w:t>
      </w:r>
      <w:r>
        <w:rPr>
          <w:rStyle w:val="Refdenotaalpie"/>
          <w:rFonts w:ascii="Verdana" w:eastAsia="Calibri" w:hAnsi="Verdana" w:cs="Arial"/>
        </w:rPr>
        <w:footnoteReference w:id="18"/>
      </w:r>
    </w:p>
    <w:p w14:paraId="23273CF7"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33BB8AAB" w14:textId="3B6FA838" w:rsidR="0042642E" w:rsidRDefault="004C7C31" w:rsidP="004C7C31">
      <w:pPr>
        <w:widowControl w:val="0"/>
        <w:autoSpaceDE w:val="0"/>
        <w:autoSpaceDN w:val="0"/>
        <w:spacing w:after="0" w:line="276" w:lineRule="auto"/>
        <w:ind w:firstLine="709"/>
        <w:jc w:val="both"/>
        <w:rPr>
          <w:rFonts w:ascii="Verdana" w:eastAsia="Calibri" w:hAnsi="Verdana" w:cs="Arial"/>
          <w:lang w:val="es-ES"/>
        </w:rPr>
      </w:pPr>
      <w:r w:rsidRPr="004C7C31">
        <w:rPr>
          <w:rFonts w:ascii="Verdana" w:eastAsia="Calibri" w:hAnsi="Verdana" w:cs="Arial"/>
        </w:rPr>
        <w:t>Además, la Sala de Consulta y Servicio Civil del Consejo de Estado realizó la siguiente distinción, retomando el pronunciamiento de la misma sala del 20 de febrero de 2006, citado anteriormente:</w:t>
      </w:r>
    </w:p>
    <w:p w14:paraId="334F2B90"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50532AA0" w14:textId="0EB8D974" w:rsidR="00564D36" w:rsidRPr="00564D36" w:rsidRDefault="00564D36" w:rsidP="00564D36">
      <w:pPr>
        <w:widowControl w:val="0"/>
        <w:autoSpaceDE w:val="0"/>
        <w:autoSpaceDN w:val="0"/>
        <w:spacing w:after="0" w:line="276" w:lineRule="auto"/>
        <w:ind w:left="708"/>
        <w:jc w:val="both"/>
        <w:rPr>
          <w:rFonts w:ascii="Verdana" w:eastAsia="Calibri" w:hAnsi="Verdana" w:cs="Arial"/>
          <w:sz w:val="20"/>
          <w:szCs w:val="20"/>
          <w:lang w:val="es-ES"/>
        </w:rPr>
      </w:pPr>
      <w:r w:rsidRPr="00564D36">
        <w:rPr>
          <w:rFonts w:ascii="Verdana" w:eastAsia="Calibri" w:hAnsi="Verdana" w:cs="Arial"/>
          <w:sz w:val="20"/>
          <w:szCs w:val="20"/>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 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Style w:val="Refdenotaalpie"/>
          <w:rFonts w:ascii="Verdana" w:eastAsia="Calibri" w:hAnsi="Verdana" w:cs="Arial"/>
          <w:sz w:val="20"/>
          <w:szCs w:val="20"/>
        </w:rPr>
        <w:footnoteReference w:id="19"/>
      </w:r>
    </w:p>
    <w:p w14:paraId="62AB3007" w14:textId="77777777" w:rsidR="0042642E" w:rsidRDefault="0042642E" w:rsidP="00871B59">
      <w:pPr>
        <w:widowControl w:val="0"/>
        <w:autoSpaceDE w:val="0"/>
        <w:autoSpaceDN w:val="0"/>
        <w:spacing w:after="0" w:line="276" w:lineRule="auto"/>
        <w:jc w:val="both"/>
        <w:rPr>
          <w:rFonts w:ascii="Verdana" w:eastAsia="Calibri" w:hAnsi="Verdana" w:cs="Arial"/>
          <w:lang w:val="es-ES"/>
        </w:rPr>
      </w:pPr>
    </w:p>
    <w:p w14:paraId="2F9400AE" w14:textId="53C9496C" w:rsidR="0042642E" w:rsidRDefault="002E6B1B" w:rsidP="00871B59">
      <w:pPr>
        <w:widowControl w:val="0"/>
        <w:autoSpaceDE w:val="0"/>
        <w:autoSpaceDN w:val="0"/>
        <w:spacing w:after="0" w:line="276" w:lineRule="auto"/>
        <w:jc w:val="both"/>
        <w:rPr>
          <w:rFonts w:ascii="Verdana" w:eastAsia="Calibri" w:hAnsi="Verdana" w:cs="Arial"/>
          <w:lang w:val="es-ES"/>
        </w:rPr>
      </w:pPr>
      <w:r w:rsidRPr="002E6B1B">
        <w:rPr>
          <w:rFonts w:ascii="Verdana" w:eastAsia="Calibri" w:hAnsi="Verdana" w:cs="Arial"/>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como es el caso de las loterías. Sin embargo, señaló que algunas de estas entidades, como sucede con las empresas de servicios públicos </w:t>
      </w:r>
      <w:r w:rsidRPr="002E6B1B">
        <w:rPr>
          <w:rFonts w:ascii="Verdana" w:eastAsia="Calibri" w:hAnsi="Verdana" w:cs="Arial"/>
        </w:rPr>
        <w:lastRenderedPageBreak/>
        <w:t>domiciliarios, los establecimientos de crédito, las sociedades de servicios financieros y las entidades aseguradoras no pueden adquirir los</w:t>
      </w:r>
      <w:r w:rsidR="002B61D9">
        <w:rPr>
          <w:rFonts w:ascii="Verdana" w:eastAsia="Calibri" w:hAnsi="Verdana" w:cs="Arial"/>
        </w:rPr>
        <w:t xml:space="preserve"> </w:t>
      </w:r>
      <w:r w:rsidR="002B61D9" w:rsidRPr="002B61D9">
        <w:rPr>
          <w:rFonts w:ascii="Verdana" w:eastAsia="Calibri" w:hAnsi="Verdana" w:cs="Arial"/>
        </w:rPr>
        <w:t>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002B61D9">
        <w:rPr>
          <w:rStyle w:val="Refdenotaalpie"/>
          <w:rFonts w:ascii="Verdana" w:eastAsia="Calibri" w:hAnsi="Verdana" w:cs="Arial"/>
        </w:rPr>
        <w:footnoteReference w:id="20"/>
      </w:r>
    </w:p>
    <w:p w14:paraId="5E8F1DA7" w14:textId="77777777" w:rsidR="0042642E" w:rsidRDefault="0042642E" w:rsidP="00871B59">
      <w:pPr>
        <w:widowControl w:val="0"/>
        <w:autoSpaceDE w:val="0"/>
        <w:autoSpaceDN w:val="0"/>
        <w:spacing w:after="0" w:line="276" w:lineRule="auto"/>
        <w:jc w:val="both"/>
        <w:rPr>
          <w:rFonts w:ascii="Verdana" w:hAnsi="Verdana" w:cs="Arial"/>
        </w:rPr>
      </w:pPr>
    </w:p>
    <w:p w14:paraId="1B355309" w14:textId="35E14C41" w:rsidR="002B61D9" w:rsidRDefault="002B61D9" w:rsidP="002B61D9">
      <w:pPr>
        <w:widowControl w:val="0"/>
        <w:autoSpaceDE w:val="0"/>
        <w:autoSpaceDN w:val="0"/>
        <w:spacing w:after="0" w:line="276" w:lineRule="auto"/>
        <w:ind w:firstLine="709"/>
        <w:jc w:val="both"/>
        <w:rPr>
          <w:rFonts w:ascii="Verdana" w:hAnsi="Verdana" w:cs="Arial"/>
        </w:rPr>
      </w:pPr>
      <w:r w:rsidRPr="002B61D9">
        <w:rPr>
          <w:rFonts w:ascii="Verdana" w:hAnsi="Verdana" w:cs="Arial"/>
        </w:rPr>
        <w:t>Conforme a los expuesto, en atención al planteamiento de su consulta, debe señalarse que la restricción prevista en la Ley 996 de 2005 cobija a cualquier entidad pública, independiente del régimen jurídico, que pueda mediante la contratación directa romper el equilibrio entre los candidatos en desarrollo de las elecciones presidenciales. Así las cosas, no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336A644B" w14:textId="77777777" w:rsidR="002B61D9" w:rsidRDefault="002B61D9" w:rsidP="002B61D9">
      <w:pPr>
        <w:widowControl w:val="0"/>
        <w:autoSpaceDE w:val="0"/>
        <w:autoSpaceDN w:val="0"/>
        <w:spacing w:after="0" w:line="276" w:lineRule="auto"/>
        <w:ind w:firstLine="709"/>
        <w:jc w:val="both"/>
        <w:rPr>
          <w:rFonts w:ascii="Verdana" w:hAnsi="Verdana" w:cs="Arial"/>
        </w:rPr>
      </w:pPr>
    </w:p>
    <w:p w14:paraId="0D8591EF" w14:textId="09FE8DFB" w:rsidR="002B61D9" w:rsidRDefault="00FB6B15" w:rsidP="002B61D9">
      <w:pPr>
        <w:widowControl w:val="0"/>
        <w:autoSpaceDE w:val="0"/>
        <w:autoSpaceDN w:val="0"/>
        <w:spacing w:after="0" w:line="276" w:lineRule="auto"/>
        <w:ind w:firstLine="709"/>
        <w:jc w:val="both"/>
        <w:rPr>
          <w:rFonts w:ascii="Verdana" w:hAnsi="Verdana" w:cs="Arial"/>
        </w:rPr>
      </w:pPr>
      <w:r w:rsidRPr="00FB6B15">
        <w:rPr>
          <w:rFonts w:ascii="Verdana" w:hAnsi="Verdana" w:cs="Arial"/>
        </w:rPr>
        <w:t>En atención a la consulta planteado debe señalarse que, el ordenamiento jurídico colombiano posibilita a las Entidades Públicas a celebrar contratos en el exterior cuando ello resuelte necesario para el cumplimiento de sus funciones. En ese orden de ideas, en el escenario del Ministerio de Relaciones Exteriores y sus misiones diplomáticas o consulares, la contratación en el exterior se constituye como una herramienta indispensable para el desarrollo de sus actividades propias del servicio exterior, dentro de las que se encuentra la organización de eventos institucionales, promoción de productos colombianos, participación en ferias internacionales, logística y planeación de actividades diplomáticas o comerciales.</w:t>
      </w:r>
    </w:p>
    <w:p w14:paraId="18A683DD" w14:textId="77777777" w:rsidR="002B61D9" w:rsidRDefault="002B61D9" w:rsidP="002B61D9">
      <w:pPr>
        <w:widowControl w:val="0"/>
        <w:autoSpaceDE w:val="0"/>
        <w:autoSpaceDN w:val="0"/>
        <w:spacing w:after="0" w:line="276" w:lineRule="auto"/>
        <w:ind w:firstLine="709"/>
        <w:jc w:val="both"/>
        <w:rPr>
          <w:rFonts w:ascii="Verdana" w:hAnsi="Verdana" w:cs="Arial"/>
        </w:rPr>
      </w:pPr>
    </w:p>
    <w:p w14:paraId="4E5CF19B" w14:textId="511CEFB7" w:rsidR="002B61D9" w:rsidRDefault="00FB6B15" w:rsidP="002B61D9">
      <w:pPr>
        <w:widowControl w:val="0"/>
        <w:autoSpaceDE w:val="0"/>
        <w:autoSpaceDN w:val="0"/>
        <w:spacing w:after="0" w:line="276" w:lineRule="auto"/>
        <w:ind w:firstLine="709"/>
        <w:jc w:val="both"/>
        <w:rPr>
          <w:rFonts w:ascii="Verdana" w:hAnsi="Verdana" w:cs="Arial"/>
        </w:rPr>
      </w:pPr>
      <w:r w:rsidRPr="00FB6B15">
        <w:rPr>
          <w:rFonts w:ascii="Verdana" w:hAnsi="Verdana" w:cs="Arial"/>
        </w:rPr>
        <w:t>No obstante, el hecho de que la Entidad Estatal celebre un contrato en el exterior no implica la exoneración de las normas del derecho público colombiano, particularmente en materia de contratación estatal. En consecuencia, todas las Entidades Públicas deben sujetarse a las disposiciones del régimen contractual</w:t>
      </w:r>
      <w:r>
        <w:rPr>
          <w:rFonts w:ascii="Verdana" w:hAnsi="Verdana" w:cs="Arial"/>
        </w:rPr>
        <w:t xml:space="preserve"> </w:t>
      </w:r>
      <w:r w:rsidRPr="00FB6B15">
        <w:rPr>
          <w:rFonts w:ascii="Verdana" w:hAnsi="Verdana" w:cs="Arial"/>
        </w:rPr>
        <w:lastRenderedPageBreak/>
        <w:t>que le sea aplicable, incluso cuando la ejecución del contrato tenga lugar fuera del territorio nacional.</w:t>
      </w:r>
    </w:p>
    <w:p w14:paraId="38218C89" w14:textId="77777777" w:rsidR="00FB6B15" w:rsidRDefault="00FB6B15" w:rsidP="002B61D9">
      <w:pPr>
        <w:widowControl w:val="0"/>
        <w:autoSpaceDE w:val="0"/>
        <w:autoSpaceDN w:val="0"/>
        <w:spacing w:after="0" w:line="276" w:lineRule="auto"/>
        <w:ind w:firstLine="709"/>
        <w:jc w:val="both"/>
        <w:rPr>
          <w:rFonts w:ascii="Verdana" w:hAnsi="Verdana" w:cs="Arial"/>
        </w:rPr>
      </w:pPr>
    </w:p>
    <w:p w14:paraId="338BB04C" w14:textId="4A55201F" w:rsidR="00FB6B15" w:rsidRDefault="00FB6B15" w:rsidP="002B61D9">
      <w:pPr>
        <w:widowControl w:val="0"/>
        <w:autoSpaceDE w:val="0"/>
        <w:autoSpaceDN w:val="0"/>
        <w:spacing w:after="0" w:line="276" w:lineRule="auto"/>
        <w:ind w:firstLine="709"/>
        <w:jc w:val="both"/>
        <w:rPr>
          <w:rFonts w:ascii="Verdana" w:hAnsi="Verdana" w:cs="Arial"/>
        </w:rPr>
      </w:pPr>
      <w:r w:rsidRPr="00FB6B15">
        <w:rPr>
          <w:rFonts w:ascii="Verdana" w:hAnsi="Verdana" w:cs="Arial"/>
        </w:rPr>
        <w:t>v. En el caso concreto, es importante mencionar que uno de los principios estructurales que rige la contratación estatal, es el principio de planeación. De acuerdo con el cual, las entidades estatales deben estructurar y programar oportunamente sus necesidades contractuales, con el fin de garantizar que los procesos de selección se adelanten de manera ordenada, eficiente y conforme a las normas que regulan la gestión pública.</w:t>
      </w:r>
    </w:p>
    <w:p w14:paraId="4767D0D4" w14:textId="77777777" w:rsidR="002B61D9" w:rsidRDefault="002B61D9" w:rsidP="002B61D9">
      <w:pPr>
        <w:widowControl w:val="0"/>
        <w:autoSpaceDE w:val="0"/>
        <w:autoSpaceDN w:val="0"/>
        <w:spacing w:after="0" w:line="276" w:lineRule="auto"/>
        <w:ind w:firstLine="709"/>
        <w:jc w:val="both"/>
        <w:rPr>
          <w:rFonts w:ascii="Verdana" w:hAnsi="Verdana" w:cs="Arial"/>
        </w:rPr>
      </w:pPr>
    </w:p>
    <w:p w14:paraId="7EDAF9E0" w14:textId="77777777" w:rsidR="002B61D9" w:rsidRDefault="002B61D9" w:rsidP="00FB6B15">
      <w:pPr>
        <w:widowControl w:val="0"/>
        <w:autoSpaceDE w:val="0"/>
        <w:autoSpaceDN w:val="0"/>
        <w:spacing w:after="0" w:line="276" w:lineRule="auto"/>
        <w:jc w:val="both"/>
        <w:rPr>
          <w:rFonts w:ascii="Verdana" w:hAnsi="Verdana" w:cs="Arial"/>
        </w:rPr>
      </w:pPr>
    </w:p>
    <w:p w14:paraId="6C9E8CCF" w14:textId="1CD10EAF" w:rsidR="002B61D9" w:rsidRDefault="00FB6B15" w:rsidP="002B61D9">
      <w:pPr>
        <w:widowControl w:val="0"/>
        <w:autoSpaceDE w:val="0"/>
        <w:autoSpaceDN w:val="0"/>
        <w:spacing w:after="0" w:line="276" w:lineRule="auto"/>
        <w:ind w:firstLine="709"/>
        <w:jc w:val="both"/>
        <w:rPr>
          <w:rFonts w:ascii="Verdana" w:hAnsi="Verdana" w:cs="Arial"/>
        </w:rPr>
      </w:pPr>
      <w:r w:rsidRPr="00FB6B15">
        <w:rPr>
          <w:rFonts w:ascii="Verdana" w:hAnsi="Verdana" w:cs="Arial"/>
        </w:rPr>
        <w:t>Este principio impone a los servidores públicos responsables de la gestión contractual, el deber de identificar, prever y planificar con suficiente antelación las necesidades que deben satisfacerse a través de la celebración de contratos estatales. En este sentido, las entidades deben tener en cuenta no solo las condiciones técnicas, presupuestales y operativas de la contratación, sino también las restricciones normativas que pueden afectar la oportunidad o la modalidad de los procesos contractuales, entre ellas las limitaciones derivadas de la legislación electoral, como por ejemplo, la establecida en el artículo 33 de la Ley 996 de 2005, que goza de carácter previsible, cuya ocurrencia se encuentra determinada por el calendario electoral, y por tanto, puede ser anticipada por las entidades estatales en ejercicio de su planeación contractual y presupuestal.</w:t>
      </w:r>
    </w:p>
    <w:p w14:paraId="47E49550" w14:textId="77777777" w:rsidR="002B61D9" w:rsidRDefault="002B61D9" w:rsidP="002B61D9">
      <w:pPr>
        <w:widowControl w:val="0"/>
        <w:autoSpaceDE w:val="0"/>
        <w:autoSpaceDN w:val="0"/>
        <w:spacing w:after="0" w:line="276" w:lineRule="auto"/>
        <w:ind w:firstLine="709"/>
        <w:jc w:val="both"/>
        <w:rPr>
          <w:rFonts w:ascii="Verdana" w:hAnsi="Verdana" w:cs="Arial"/>
        </w:rPr>
      </w:pPr>
    </w:p>
    <w:p w14:paraId="01A15409" w14:textId="4AAF767A" w:rsidR="002B61D9" w:rsidRDefault="00B95EA1" w:rsidP="002B61D9">
      <w:pPr>
        <w:widowControl w:val="0"/>
        <w:autoSpaceDE w:val="0"/>
        <w:autoSpaceDN w:val="0"/>
        <w:spacing w:after="0" w:line="276" w:lineRule="auto"/>
        <w:ind w:firstLine="709"/>
        <w:jc w:val="both"/>
        <w:rPr>
          <w:rFonts w:ascii="Verdana" w:hAnsi="Verdana" w:cs="Arial"/>
        </w:rPr>
      </w:pPr>
      <w:r w:rsidRPr="00B95EA1">
        <w:rPr>
          <w:rFonts w:ascii="Verdana" w:hAnsi="Verdana" w:cs="Arial"/>
        </w:rPr>
        <w:t>En consecuencia, corresponde a las entidades actuar con diligencia, previsión y adecuada programación administrativa, de manera que las necesidades institucionales o el ejercicio de sus funciones, que impliquen contratación directa, puedan ser evaluadas y tramitadas con anterioridad al inicio del período de restricciones electorales. De tal forma, la eventual necesidad de celebrar contratos mediante contratación directa, durante el vigor de las restricciones de la Ley de Garantías, no puede justificarse en razones de conveniencia administrativa o existencia de actividades institucionales programadas, cuando dichas circunstancias pudieron ser razonablemente previstas por la entidad en el ejercicio de su planeación.</w:t>
      </w:r>
    </w:p>
    <w:p w14:paraId="12C0AC50" w14:textId="77777777" w:rsidR="002B61D9" w:rsidRDefault="002B61D9" w:rsidP="002B61D9">
      <w:pPr>
        <w:widowControl w:val="0"/>
        <w:autoSpaceDE w:val="0"/>
        <w:autoSpaceDN w:val="0"/>
        <w:spacing w:after="0" w:line="276" w:lineRule="auto"/>
        <w:ind w:firstLine="709"/>
        <w:jc w:val="both"/>
        <w:rPr>
          <w:rFonts w:ascii="Verdana" w:hAnsi="Verdana" w:cs="Arial"/>
        </w:rPr>
      </w:pPr>
    </w:p>
    <w:p w14:paraId="6D2141D6" w14:textId="70E6D37A" w:rsidR="002B61D9" w:rsidRDefault="00B95EA1" w:rsidP="002B61D9">
      <w:pPr>
        <w:widowControl w:val="0"/>
        <w:autoSpaceDE w:val="0"/>
        <w:autoSpaceDN w:val="0"/>
        <w:spacing w:after="0" w:line="276" w:lineRule="auto"/>
        <w:ind w:firstLine="709"/>
        <w:jc w:val="both"/>
        <w:rPr>
          <w:rFonts w:ascii="Verdana" w:hAnsi="Verdana" w:cs="Arial"/>
        </w:rPr>
      </w:pPr>
      <w:r w:rsidRPr="00B95EA1">
        <w:rPr>
          <w:rFonts w:ascii="Verdana" w:hAnsi="Verdana" w:cs="Arial"/>
        </w:rPr>
        <w:t>En particular, en el caso de actividades que hacen parte de la gestión ordinaria de una entidad, el ordenador del gasto debe incorporar estas actuaciones dentro de la programación contractual y presupuestal correspondiente, con el fin de evitar que la ejecución de tales iniciativas coincida</w:t>
      </w:r>
      <w:r>
        <w:rPr>
          <w:rFonts w:ascii="Verdana" w:hAnsi="Verdana" w:cs="Arial"/>
        </w:rPr>
        <w:t xml:space="preserve"> </w:t>
      </w:r>
      <w:r w:rsidRPr="00B95EA1">
        <w:rPr>
          <w:rFonts w:ascii="Verdana" w:hAnsi="Verdana" w:cs="Arial"/>
        </w:rPr>
        <w:lastRenderedPageBreak/>
        <w:t>con los períodos en los cuales el ordenamiento jurídico impone restricciones especiales a la contratación estatal</w:t>
      </w:r>
      <w:r>
        <w:rPr>
          <w:rFonts w:ascii="Verdana" w:hAnsi="Verdana" w:cs="Arial"/>
        </w:rPr>
        <w:t>.</w:t>
      </w:r>
    </w:p>
    <w:p w14:paraId="640E9421" w14:textId="77777777" w:rsidR="002B61D9" w:rsidRDefault="002B61D9" w:rsidP="002B61D9">
      <w:pPr>
        <w:widowControl w:val="0"/>
        <w:autoSpaceDE w:val="0"/>
        <w:autoSpaceDN w:val="0"/>
        <w:spacing w:after="0" w:line="276" w:lineRule="auto"/>
        <w:ind w:firstLine="709"/>
        <w:jc w:val="both"/>
        <w:rPr>
          <w:rFonts w:ascii="Verdana" w:hAnsi="Verdana" w:cs="Arial"/>
        </w:rPr>
      </w:pPr>
    </w:p>
    <w:p w14:paraId="55FC8CD9" w14:textId="285428AA" w:rsidR="002B61D9" w:rsidRDefault="00B95EA1" w:rsidP="002B61D9">
      <w:pPr>
        <w:widowControl w:val="0"/>
        <w:autoSpaceDE w:val="0"/>
        <w:autoSpaceDN w:val="0"/>
        <w:spacing w:after="0" w:line="276" w:lineRule="auto"/>
        <w:ind w:firstLine="709"/>
        <w:jc w:val="both"/>
        <w:rPr>
          <w:rFonts w:ascii="Verdana" w:hAnsi="Verdana" w:cs="Arial"/>
        </w:rPr>
      </w:pPr>
      <w:r w:rsidRPr="00B95EA1">
        <w:rPr>
          <w:rFonts w:ascii="Verdana" w:hAnsi="Verdana" w:cs="Arial"/>
        </w:rPr>
        <w:t>Así, el principio de planeación exige que las entidades adopten las medidas necesarias para anticipar y gestionar adecuadamente las limitaciones derivadas del ordenamiento jurídico colombiano, evitando que la no previsión administrativa conduzca a la imposibilidad de desarrollar determinadas actividades institucionales.</w:t>
      </w:r>
    </w:p>
    <w:p w14:paraId="2BC57771" w14:textId="77777777" w:rsidR="001F5355" w:rsidRDefault="001F5355" w:rsidP="002B61D9">
      <w:pPr>
        <w:widowControl w:val="0"/>
        <w:autoSpaceDE w:val="0"/>
        <w:autoSpaceDN w:val="0"/>
        <w:spacing w:after="0" w:line="276" w:lineRule="auto"/>
        <w:ind w:firstLine="709"/>
        <w:jc w:val="both"/>
        <w:rPr>
          <w:rFonts w:ascii="Verdana" w:hAnsi="Verdana" w:cs="Arial"/>
        </w:rPr>
      </w:pPr>
    </w:p>
    <w:p w14:paraId="4F26240E" w14:textId="01BF087E" w:rsidR="001F5355" w:rsidRDefault="001F5355" w:rsidP="002B61D9">
      <w:pPr>
        <w:widowControl w:val="0"/>
        <w:autoSpaceDE w:val="0"/>
        <w:autoSpaceDN w:val="0"/>
        <w:spacing w:after="0" w:line="276" w:lineRule="auto"/>
        <w:ind w:firstLine="709"/>
        <w:jc w:val="both"/>
        <w:rPr>
          <w:rFonts w:ascii="Verdana" w:hAnsi="Verdana" w:cs="Arial"/>
        </w:rPr>
      </w:pPr>
      <w:r>
        <w:rPr>
          <w:rFonts w:ascii="Verdana" w:hAnsi="Verdana" w:cs="Arial"/>
        </w:rPr>
        <w:t>v</w:t>
      </w:r>
      <w:r w:rsidRPr="001F5355">
        <w:rPr>
          <w:rFonts w:ascii="Verdana" w:hAnsi="Verdana" w:cs="Arial"/>
        </w:rPr>
        <w:t>i. Finalmente, sobre las fechas en que aplica esta restricción la Ley de Garantías Electorales,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inició el 8 de noviembre de 2025, es decir, cuatro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3D8965BF" w14:textId="77777777" w:rsidR="001F5355" w:rsidRDefault="001F5355" w:rsidP="002B61D9">
      <w:pPr>
        <w:widowControl w:val="0"/>
        <w:autoSpaceDE w:val="0"/>
        <w:autoSpaceDN w:val="0"/>
        <w:spacing w:after="0" w:line="276" w:lineRule="auto"/>
        <w:ind w:firstLine="709"/>
        <w:jc w:val="both"/>
        <w:rPr>
          <w:rFonts w:ascii="Verdana" w:hAnsi="Verdana" w:cs="Arial"/>
        </w:rPr>
      </w:pPr>
    </w:p>
    <w:p w14:paraId="06EBC269" w14:textId="4FBA6A35" w:rsidR="001F5355" w:rsidRDefault="001F5355" w:rsidP="002B61D9">
      <w:pPr>
        <w:widowControl w:val="0"/>
        <w:autoSpaceDE w:val="0"/>
        <w:autoSpaceDN w:val="0"/>
        <w:spacing w:after="0" w:line="276" w:lineRule="auto"/>
        <w:ind w:firstLine="709"/>
        <w:jc w:val="both"/>
        <w:rPr>
          <w:rFonts w:ascii="Verdana" w:hAnsi="Verdana" w:cs="Arial"/>
        </w:rPr>
      </w:pPr>
      <w:proofErr w:type="spellStart"/>
      <w:r w:rsidRPr="001F5355">
        <w:rPr>
          <w:rFonts w:ascii="Verdana" w:hAnsi="Verdana" w:cs="Arial"/>
        </w:rPr>
        <w:t>vii</w:t>
      </w:r>
      <w:proofErr w:type="spellEnd"/>
      <w:r w:rsidRPr="001F5355">
        <w:rPr>
          <w:rFonts w:ascii="Verdana" w:hAnsi="Verdana" w:cs="Arial"/>
        </w:rPr>
        <w:t>.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16C87F6" w14:textId="77777777" w:rsidR="002B61D9" w:rsidRDefault="002B61D9" w:rsidP="002B61D9">
      <w:pPr>
        <w:widowControl w:val="0"/>
        <w:autoSpaceDE w:val="0"/>
        <w:autoSpaceDN w:val="0"/>
        <w:spacing w:after="0" w:line="276" w:lineRule="auto"/>
        <w:ind w:firstLine="709"/>
        <w:jc w:val="both"/>
        <w:rPr>
          <w:rFonts w:ascii="Verdana" w:hAnsi="Verdana" w:cs="Arial"/>
        </w:rPr>
      </w:pPr>
    </w:p>
    <w:p w14:paraId="6F5E1467" w14:textId="77777777" w:rsidR="002B61D9" w:rsidRDefault="002B61D9" w:rsidP="001F5355">
      <w:pPr>
        <w:widowControl w:val="0"/>
        <w:autoSpaceDE w:val="0"/>
        <w:autoSpaceDN w:val="0"/>
        <w:spacing w:after="0" w:line="276" w:lineRule="auto"/>
        <w:jc w:val="both"/>
        <w:rPr>
          <w:rFonts w:ascii="Verdana" w:hAnsi="Verdana" w:cs="Arial"/>
        </w:rPr>
      </w:pPr>
    </w:p>
    <w:p w14:paraId="0CF02273" w14:textId="27D7506F" w:rsidR="002B61D9" w:rsidRPr="003769D2" w:rsidRDefault="001F5355" w:rsidP="007B6AE2">
      <w:pPr>
        <w:widowControl w:val="0"/>
        <w:autoSpaceDE w:val="0"/>
        <w:autoSpaceDN w:val="0"/>
        <w:spacing w:after="0" w:line="276" w:lineRule="auto"/>
        <w:ind w:firstLine="709"/>
        <w:jc w:val="both"/>
        <w:rPr>
          <w:rFonts w:ascii="Verdana" w:hAnsi="Verdana" w:cs="Arial"/>
        </w:rPr>
      </w:pPr>
      <w:r w:rsidRPr="001F5355">
        <w:rPr>
          <w:rFonts w:ascii="Verdana" w:hAnsi="Verdana" w:cs="Ari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w:t>
      </w:r>
      <w:r w:rsidR="007B6AE2">
        <w:rPr>
          <w:rFonts w:ascii="Verdana" w:hAnsi="Verdana" w:cs="Arial"/>
        </w:rPr>
        <w:t xml:space="preserve"> </w:t>
      </w:r>
      <w:r w:rsidR="007B6AE2" w:rsidRPr="007B6AE2">
        <w:rPr>
          <w:rFonts w:ascii="Verdana" w:hAnsi="Verdana" w:cs="Arial"/>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Pr>
          <w:rFonts w:ascii="Verdana" w:hAnsi="Verdana" w:cs="Arial"/>
        </w:rPr>
        <w:t xml:space="preserve"> </w:t>
      </w:r>
    </w:p>
    <w:p w14:paraId="53133908" w14:textId="77777777" w:rsidR="00871B59" w:rsidRPr="006A7062"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6A7062">
        <w:rPr>
          <w:rFonts w:ascii="Verdana" w:eastAsia="Century Gothic" w:hAnsi="Verdana" w:cs="Century Gothic"/>
          <w:b/>
          <w:bCs/>
          <w:lang w:val="es-ES"/>
        </w:rPr>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4DD651FE" w14:textId="77777777" w:rsidR="00524DB1" w:rsidRDefault="007B6AE2" w:rsidP="00524DB1">
            <w:pPr>
              <w:widowControl w:val="0"/>
              <w:numPr>
                <w:ilvl w:val="0"/>
                <w:numId w:val="8"/>
              </w:numPr>
              <w:tabs>
                <w:tab w:val="num" w:pos="720"/>
              </w:tabs>
              <w:autoSpaceDE w:val="0"/>
              <w:autoSpaceDN w:val="0"/>
              <w:spacing w:after="120" w:line="276" w:lineRule="auto"/>
              <w:jc w:val="both"/>
              <w:rPr>
                <w:rFonts w:ascii="Verdana" w:hAnsi="Verdana" w:cs="Arial"/>
              </w:rPr>
            </w:pPr>
            <w:r w:rsidRPr="007B6AE2">
              <w:rPr>
                <w:rFonts w:ascii="Verdana" w:hAnsi="Verdana" w:cs="Arial"/>
              </w:rPr>
              <w:t>Ley 996 de 2005, artículos 33 y 38.</w:t>
            </w:r>
          </w:p>
          <w:p w14:paraId="6A7A0B28" w14:textId="77777777" w:rsidR="007B6AE2" w:rsidRDefault="001120ED" w:rsidP="00524DB1">
            <w:pPr>
              <w:widowControl w:val="0"/>
              <w:numPr>
                <w:ilvl w:val="0"/>
                <w:numId w:val="8"/>
              </w:numPr>
              <w:tabs>
                <w:tab w:val="num" w:pos="720"/>
              </w:tabs>
              <w:autoSpaceDE w:val="0"/>
              <w:autoSpaceDN w:val="0"/>
              <w:spacing w:after="120" w:line="276" w:lineRule="auto"/>
              <w:jc w:val="both"/>
              <w:rPr>
                <w:rFonts w:ascii="Verdana" w:hAnsi="Verdana" w:cs="Arial"/>
              </w:rPr>
            </w:pPr>
            <w:r w:rsidRPr="001120ED">
              <w:rPr>
                <w:rFonts w:ascii="Verdana" w:hAnsi="Verdana" w:cs="Arial"/>
              </w:rPr>
              <w:t>Corte Constitucional. Sentencias: C-233 de 4 de abril de 2002, expediente: D-3704; C-551 de 9 de julio de 2003, expediente: CRF 001 de 9 de julio de 2003, C-652 de 5 de agosto de 2003, expediente: D-4330; C-353 de 20 de mayo de 2009, expediente: D-7518, C-541 de 30 de junio de 2010, expediente: DD7966; entre otras.</w:t>
            </w:r>
          </w:p>
          <w:p w14:paraId="617215AF" w14:textId="77777777" w:rsidR="001120ED" w:rsidRDefault="001120ED" w:rsidP="00524DB1">
            <w:pPr>
              <w:widowControl w:val="0"/>
              <w:numPr>
                <w:ilvl w:val="0"/>
                <w:numId w:val="8"/>
              </w:numPr>
              <w:tabs>
                <w:tab w:val="num" w:pos="720"/>
              </w:tabs>
              <w:autoSpaceDE w:val="0"/>
              <w:autoSpaceDN w:val="0"/>
              <w:spacing w:after="120" w:line="276" w:lineRule="auto"/>
              <w:jc w:val="both"/>
              <w:rPr>
                <w:rFonts w:ascii="Verdana" w:hAnsi="Verdana" w:cs="Arial"/>
              </w:rPr>
            </w:pPr>
            <w:r w:rsidRPr="001120ED">
              <w:rPr>
                <w:rFonts w:ascii="Verdana" w:hAnsi="Verdana" w:cs="Arial"/>
              </w:rPr>
              <w:t>Consejo de Estado, Sala de lo Contencioso Administrativo, Sección Primera. Sentencia de 3 de marzo de 2005, expediente número 2004 00823-01(PI).</w:t>
            </w:r>
          </w:p>
          <w:p w14:paraId="078734B9" w14:textId="77777777" w:rsidR="001120ED" w:rsidRDefault="001120ED" w:rsidP="00524DB1">
            <w:pPr>
              <w:widowControl w:val="0"/>
              <w:numPr>
                <w:ilvl w:val="0"/>
                <w:numId w:val="8"/>
              </w:numPr>
              <w:tabs>
                <w:tab w:val="num" w:pos="720"/>
              </w:tabs>
              <w:autoSpaceDE w:val="0"/>
              <w:autoSpaceDN w:val="0"/>
              <w:spacing w:after="120" w:line="276" w:lineRule="auto"/>
              <w:jc w:val="both"/>
              <w:rPr>
                <w:rFonts w:ascii="Verdana" w:hAnsi="Verdana" w:cs="Arial"/>
              </w:rPr>
            </w:pPr>
            <w:r w:rsidRPr="001120ED">
              <w:rPr>
                <w:rFonts w:ascii="Verdana" w:hAnsi="Verdana" w:cs="Arial"/>
              </w:rPr>
              <w:t>Consejo de Estado, Sala de lo Contencioso Administrativo, Sección Primera. Sentencia de 3 de marzo de 2005, expediente número 2004 00823-01(PI). Ver también, de la Sección Tercera. Sentencia de 22 de enero de 2002, expediente número 2001-0148-01 y, Sección Tercera. Sentencia de 20 de noviembre de 2001, expediente número 2001 0130-01(PI), entre otras.</w:t>
            </w:r>
          </w:p>
          <w:p w14:paraId="7E468FC6" w14:textId="77777777" w:rsidR="001120ED" w:rsidRDefault="001120ED" w:rsidP="00524DB1">
            <w:pPr>
              <w:widowControl w:val="0"/>
              <w:numPr>
                <w:ilvl w:val="0"/>
                <w:numId w:val="8"/>
              </w:numPr>
              <w:tabs>
                <w:tab w:val="num" w:pos="720"/>
              </w:tabs>
              <w:autoSpaceDE w:val="0"/>
              <w:autoSpaceDN w:val="0"/>
              <w:spacing w:after="120" w:line="276" w:lineRule="auto"/>
              <w:jc w:val="both"/>
              <w:rPr>
                <w:rFonts w:ascii="Verdana" w:hAnsi="Verdana" w:cs="Arial"/>
              </w:rPr>
            </w:pPr>
            <w:r w:rsidRPr="001120ED">
              <w:rPr>
                <w:rFonts w:ascii="Verdana" w:hAnsi="Verdana" w:cs="Arial"/>
              </w:rPr>
              <w:t>Consejo de Estado, Sala de Consulta y Servicio Civil de fecha 24 de julio de 2013, radicado 2166, C. P. Álvaro Namén Vargas.</w:t>
            </w:r>
          </w:p>
          <w:p w14:paraId="045FA311" w14:textId="77777777" w:rsidR="001120ED" w:rsidRDefault="001120ED" w:rsidP="00524DB1">
            <w:pPr>
              <w:widowControl w:val="0"/>
              <w:numPr>
                <w:ilvl w:val="0"/>
                <w:numId w:val="8"/>
              </w:numPr>
              <w:tabs>
                <w:tab w:val="num" w:pos="720"/>
              </w:tabs>
              <w:autoSpaceDE w:val="0"/>
              <w:autoSpaceDN w:val="0"/>
              <w:spacing w:after="120" w:line="276" w:lineRule="auto"/>
              <w:jc w:val="both"/>
              <w:rPr>
                <w:rFonts w:ascii="Verdana" w:hAnsi="Verdana" w:cs="Arial"/>
              </w:rPr>
            </w:pPr>
            <w:r w:rsidRPr="001120ED">
              <w:rPr>
                <w:rFonts w:ascii="Verdana" w:hAnsi="Verdana" w:cs="Arial"/>
              </w:rPr>
              <w:t>Consejo de Estado. Sección Tercera. Sentencia de 3 de diciembre de 2007. Radicados: 24.715, 25.206, 25.409, 24.524, 27.834, 25.410, 26.105, 28.244, 31.447 -acumulados</w:t>
            </w:r>
          </w:p>
          <w:p w14:paraId="658CC040" w14:textId="77777777" w:rsidR="00C144D7" w:rsidRDefault="00C144D7" w:rsidP="00524DB1">
            <w:pPr>
              <w:widowControl w:val="0"/>
              <w:numPr>
                <w:ilvl w:val="0"/>
                <w:numId w:val="8"/>
              </w:numPr>
              <w:tabs>
                <w:tab w:val="num" w:pos="720"/>
              </w:tabs>
              <w:autoSpaceDE w:val="0"/>
              <w:autoSpaceDN w:val="0"/>
              <w:spacing w:after="120" w:line="276" w:lineRule="auto"/>
              <w:jc w:val="both"/>
              <w:rPr>
                <w:rFonts w:ascii="Verdana" w:hAnsi="Verdana" w:cs="Arial"/>
              </w:rPr>
            </w:pPr>
            <w:r w:rsidRPr="00C144D7">
              <w:rPr>
                <w:rFonts w:ascii="Verdana" w:hAnsi="Verdana" w:cs="Arial"/>
              </w:rPr>
              <w:t xml:space="preserve">Consejo de Estado, Sala de Consulta y Servicio Civil de fecha 24 de julio </w:t>
            </w:r>
            <w:r>
              <w:rPr>
                <w:rFonts w:ascii="Verdana" w:hAnsi="Verdana" w:cs="Arial"/>
              </w:rPr>
              <w:t xml:space="preserve">de </w:t>
            </w:r>
            <w:r w:rsidRPr="00C144D7">
              <w:rPr>
                <w:rFonts w:ascii="Verdana" w:hAnsi="Verdana" w:cs="Arial"/>
              </w:rPr>
              <w:t xml:space="preserve">2013, Álvaro Namén Vargas. radicado 2166, </w:t>
            </w:r>
            <w:proofErr w:type="gramStart"/>
            <w:r w:rsidRPr="00C144D7">
              <w:rPr>
                <w:rFonts w:ascii="Verdana" w:hAnsi="Verdana" w:cs="Arial"/>
              </w:rPr>
              <w:t>Consejero</w:t>
            </w:r>
            <w:proofErr w:type="gramEnd"/>
            <w:r w:rsidRPr="00C144D7">
              <w:rPr>
                <w:rFonts w:ascii="Verdana" w:hAnsi="Verdana" w:cs="Arial"/>
              </w:rPr>
              <w:t xml:space="preserve"> Ponent</w:t>
            </w:r>
            <w:r>
              <w:rPr>
                <w:rFonts w:ascii="Verdana" w:hAnsi="Verdana" w:cs="Arial"/>
              </w:rPr>
              <w:t xml:space="preserve">e: Álvaro Namén Vargas. </w:t>
            </w:r>
          </w:p>
          <w:p w14:paraId="15506CF8" w14:textId="77777777" w:rsidR="00921880" w:rsidRDefault="00921880"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21880">
              <w:rPr>
                <w:rFonts w:ascii="Verdana" w:hAnsi="Verdana" w:cs="Arial"/>
              </w:rPr>
              <w:t>Consejo de Estado. Sala de Consulta y Servicio Civil. Concepto del 17 de febrero de 2015. C.P. William Zambrano Cetina. Radicación No. 11001-03-06-000-2015-00164-00(2269).</w:t>
            </w:r>
          </w:p>
          <w:p w14:paraId="5B78E7C0" w14:textId="77777777" w:rsidR="00921880" w:rsidRDefault="00921880"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21880">
              <w:rPr>
                <w:rFonts w:ascii="Verdana" w:hAnsi="Verdana" w:cs="Arial"/>
              </w:rPr>
              <w:t>Corte Constitucional, en la Sentencia C-1153 del 11 de noviembre de 2005 Magistrado Ponente Marco Gerardo Monroy Cabra</w:t>
            </w:r>
            <w:r>
              <w:rPr>
                <w:rFonts w:ascii="Verdana" w:hAnsi="Verdana" w:cs="Arial"/>
              </w:rPr>
              <w:t>.</w:t>
            </w:r>
          </w:p>
          <w:p w14:paraId="48E1B94F" w14:textId="77777777" w:rsidR="00921880" w:rsidRDefault="00921880"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21880">
              <w:rPr>
                <w:rFonts w:ascii="Verdana" w:hAnsi="Verdana" w:cs="Arial"/>
              </w:rPr>
              <w:lastRenderedPageBreak/>
              <w:t>Consejo de Estado. Sección Tercera. Sentencia de 3 de diciembre de 2007. Radicados: 24.715, 25.206, 25.409, 24.524, 27.834, 25.410, 26.105, 28.244, 31.447 -acumulados-”.</w:t>
            </w:r>
          </w:p>
          <w:p w14:paraId="6460F637" w14:textId="77777777" w:rsidR="00921880" w:rsidRDefault="00921880"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21880">
              <w:rPr>
                <w:rFonts w:ascii="Verdana" w:hAnsi="Verdana" w:cs="Arial"/>
              </w:rPr>
              <w:t>Consejo de Estado Sala de Consulta y Servicio Civil, Concepto 1712 de 2 de febrero de 2006.</w:t>
            </w:r>
          </w:p>
          <w:p w14:paraId="7697019A" w14:textId="77777777" w:rsidR="00921880" w:rsidRDefault="00921880"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21880">
              <w:rPr>
                <w:rFonts w:ascii="Verdana" w:hAnsi="Verdana" w:cs="Arial"/>
              </w:rPr>
              <w:t>Consejo de Estado. Sala de Consulta y Servicio Civil. Concepto del 2 de septiembre de 2013. Radicación número: 11001-03-06-000-2013 00412-00 (2168). Consejero Ponente: Álvaro Namén Vargas.</w:t>
            </w:r>
          </w:p>
          <w:p w14:paraId="5BDF48BB" w14:textId="77777777" w:rsidR="00F84058" w:rsidRDefault="00F84058" w:rsidP="00524DB1">
            <w:pPr>
              <w:widowControl w:val="0"/>
              <w:numPr>
                <w:ilvl w:val="0"/>
                <w:numId w:val="8"/>
              </w:numPr>
              <w:tabs>
                <w:tab w:val="num" w:pos="720"/>
              </w:tabs>
              <w:autoSpaceDE w:val="0"/>
              <w:autoSpaceDN w:val="0"/>
              <w:spacing w:after="120" w:line="276" w:lineRule="auto"/>
              <w:jc w:val="both"/>
              <w:rPr>
                <w:rFonts w:ascii="Verdana" w:hAnsi="Verdana" w:cs="Arial"/>
              </w:rPr>
            </w:pPr>
            <w:r w:rsidRPr="00F84058">
              <w:rPr>
                <w:rFonts w:ascii="Verdana" w:hAnsi="Verdana" w:cs="Arial"/>
              </w:rPr>
              <w:t>Consejo de Estado. Sala de Consulta y Servicio Civil, Concepto de 8 de mayo de 2018. Radicación Número: 11001-03-06-000-2018 00095-00(2382). Consejero Ponente: Álvaro Namén Vargas</w:t>
            </w:r>
            <w:r>
              <w:rPr>
                <w:rFonts w:ascii="Verdana" w:hAnsi="Verdana" w:cs="Arial"/>
              </w:rPr>
              <w:t>.</w:t>
            </w:r>
          </w:p>
          <w:p w14:paraId="26DDBCB7" w14:textId="77777777" w:rsidR="00F84058" w:rsidRDefault="00F84058" w:rsidP="00524DB1">
            <w:pPr>
              <w:widowControl w:val="0"/>
              <w:numPr>
                <w:ilvl w:val="0"/>
                <w:numId w:val="8"/>
              </w:numPr>
              <w:tabs>
                <w:tab w:val="num" w:pos="720"/>
              </w:tabs>
              <w:autoSpaceDE w:val="0"/>
              <w:autoSpaceDN w:val="0"/>
              <w:spacing w:after="120" w:line="276" w:lineRule="auto"/>
              <w:jc w:val="both"/>
              <w:rPr>
                <w:rFonts w:ascii="Verdana" w:hAnsi="Verdana" w:cs="Arial"/>
              </w:rPr>
            </w:pPr>
            <w:r w:rsidRPr="00F84058">
              <w:rPr>
                <w:rFonts w:ascii="Verdana" w:hAnsi="Verdana" w:cs="Arial"/>
              </w:rPr>
              <w:t xml:space="preserve">Consejo de Estado. Sala de Consulta y Servicio Civil. Concepto del 08 de mayo de 2018. </w:t>
            </w:r>
            <w:proofErr w:type="spellStart"/>
            <w:r w:rsidRPr="00F84058">
              <w:rPr>
                <w:rFonts w:ascii="Verdana" w:hAnsi="Verdana" w:cs="Arial"/>
              </w:rPr>
              <w:t>Exp</w:t>
            </w:r>
            <w:proofErr w:type="spellEnd"/>
            <w:r w:rsidRPr="00F84058">
              <w:rPr>
                <w:rFonts w:ascii="Verdana" w:hAnsi="Verdana" w:cs="Arial"/>
              </w:rPr>
              <w:t>. 2.382. C.P. Álvaro Namén Vargas.</w:t>
            </w:r>
          </w:p>
          <w:p w14:paraId="3BDD9871" w14:textId="77777777" w:rsidR="00F84058" w:rsidRDefault="00F84058" w:rsidP="00524DB1">
            <w:pPr>
              <w:widowControl w:val="0"/>
              <w:numPr>
                <w:ilvl w:val="0"/>
                <w:numId w:val="8"/>
              </w:numPr>
              <w:tabs>
                <w:tab w:val="num" w:pos="720"/>
              </w:tabs>
              <w:autoSpaceDE w:val="0"/>
              <w:autoSpaceDN w:val="0"/>
              <w:spacing w:after="120" w:line="276" w:lineRule="auto"/>
              <w:jc w:val="both"/>
              <w:rPr>
                <w:rFonts w:ascii="Verdana" w:hAnsi="Verdana" w:cs="Arial"/>
              </w:rPr>
            </w:pPr>
            <w:r w:rsidRPr="00F84058">
              <w:rPr>
                <w:rFonts w:ascii="Verdana" w:hAnsi="Verdana" w:cs="Arial"/>
              </w:rPr>
              <w:t xml:space="preserve">Consejo de Estado. Sala de Consulta y Servicio Civil. Concepto de 20 de febrero de 2006. Radicación Número: 11001-03-06-000-2006 </w:t>
            </w:r>
            <w:r>
              <w:rPr>
                <w:rFonts w:ascii="Verdana" w:hAnsi="Verdana" w:cs="Arial"/>
              </w:rPr>
              <w:t xml:space="preserve">- </w:t>
            </w:r>
            <w:r w:rsidRPr="00F84058">
              <w:rPr>
                <w:rFonts w:ascii="Verdana" w:hAnsi="Verdana" w:cs="Arial"/>
              </w:rPr>
              <w:t>00026-00(1727). Consejero Ponente: Enrique José Arboleda Perdomo.</w:t>
            </w:r>
          </w:p>
          <w:p w14:paraId="610CAC9D" w14:textId="77777777" w:rsidR="00F84058" w:rsidRDefault="00F84058" w:rsidP="00524DB1">
            <w:pPr>
              <w:widowControl w:val="0"/>
              <w:numPr>
                <w:ilvl w:val="0"/>
                <w:numId w:val="8"/>
              </w:numPr>
              <w:tabs>
                <w:tab w:val="num" w:pos="720"/>
              </w:tabs>
              <w:autoSpaceDE w:val="0"/>
              <w:autoSpaceDN w:val="0"/>
              <w:spacing w:after="120" w:line="276" w:lineRule="auto"/>
              <w:jc w:val="both"/>
              <w:rPr>
                <w:rFonts w:ascii="Verdana" w:hAnsi="Verdana" w:cs="Arial"/>
              </w:rPr>
            </w:pPr>
            <w:r w:rsidRPr="00F84058">
              <w:rPr>
                <w:rFonts w:ascii="Verdana" w:hAnsi="Verdana" w:cs="Arial"/>
              </w:rPr>
              <w:t>Corte Constitucional. Sentencia C-736 de 2007. C.P. Marco Gerardo Monroy Cabra</w:t>
            </w:r>
            <w:r w:rsidR="00630170">
              <w:rPr>
                <w:rFonts w:ascii="Verdana" w:hAnsi="Verdana" w:cs="Arial"/>
              </w:rPr>
              <w:t>.</w:t>
            </w:r>
          </w:p>
          <w:p w14:paraId="7A146F3E" w14:textId="77777777" w:rsidR="00630170" w:rsidRDefault="00630170" w:rsidP="00524DB1">
            <w:pPr>
              <w:widowControl w:val="0"/>
              <w:numPr>
                <w:ilvl w:val="0"/>
                <w:numId w:val="8"/>
              </w:numPr>
              <w:tabs>
                <w:tab w:val="num" w:pos="720"/>
              </w:tabs>
              <w:autoSpaceDE w:val="0"/>
              <w:autoSpaceDN w:val="0"/>
              <w:spacing w:after="120" w:line="276" w:lineRule="auto"/>
              <w:jc w:val="both"/>
              <w:rPr>
                <w:rFonts w:ascii="Verdana" w:hAnsi="Verdana" w:cs="Arial"/>
              </w:rPr>
            </w:pPr>
            <w:r w:rsidRPr="00630170">
              <w:rPr>
                <w:rFonts w:ascii="Verdana" w:hAnsi="Verdana" w:cs="Arial"/>
              </w:rPr>
              <w:t>Consejo de Estado -Sección Tercera-. Sentencia del 21 de febrero de 2025. Radicación Número: 68.280. CP: José Roberto Sáchica Méndez.</w:t>
            </w:r>
          </w:p>
          <w:p w14:paraId="4C5DEAEA" w14:textId="77777777" w:rsidR="00630170" w:rsidRDefault="00630170" w:rsidP="00524DB1">
            <w:pPr>
              <w:widowControl w:val="0"/>
              <w:numPr>
                <w:ilvl w:val="0"/>
                <w:numId w:val="8"/>
              </w:numPr>
              <w:tabs>
                <w:tab w:val="num" w:pos="720"/>
              </w:tabs>
              <w:autoSpaceDE w:val="0"/>
              <w:autoSpaceDN w:val="0"/>
              <w:spacing w:after="120" w:line="276" w:lineRule="auto"/>
              <w:jc w:val="both"/>
              <w:rPr>
                <w:rFonts w:ascii="Verdana" w:hAnsi="Verdana" w:cs="Arial"/>
              </w:rPr>
            </w:pPr>
            <w:r w:rsidRPr="00630170">
              <w:rPr>
                <w:rFonts w:ascii="Verdana" w:hAnsi="Verdana" w:cs="Arial"/>
              </w:rPr>
              <w:t xml:space="preserve">Consejo de Estado, Sección Tercera. Auto del 4 de octubre de 2024. </w:t>
            </w:r>
            <w:proofErr w:type="spellStart"/>
            <w:r w:rsidRPr="00630170">
              <w:rPr>
                <w:rFonts w:ascii="Verdana" w:hAnsi="Verdana" w:cs="Arial"/>
              </w:rPr>
              <w:t>Exp</w:t>
            </w:r>
            <w:proofErr w:type="spellEnd"/>
            <w:r w:rsidRPr="00630170">
              <w:rPr>
                <w:rFonts w:ascii="Verdana" w:hAnsi="Verdana" w:cs="Arial"/>
              </w:rPr>
              <w:t>. 70.313. C.P: Fredy Ibarra Martínez.</w:t>
            </w:r>
          </w:p>
          <w:p w14:paraId="6ACEA7FD" w14:textId="5DF5EAAD" w:rsidR="00630170" w:rsidRPr="00524DB1" w:rsidRDefault="00630170" w:rsidP="00524DB1">
            <w:pPr>
              <w:widowControl w:val="0"/>
              <w:numPr>
                <w:ilvl w:val="0"/>
                <w:numId w:val="8"/>
              </w:numPr>
              <w:tabs>
                <w:tab w:val="num" w:pos="720"/>
              </w:tabs>
              <w:autoSpaceDE w:val="0"/>
              <w:autoSpaceDN w:val="0"/>
              <w:spacing w:after="120" w:line="276" w:lineRule="auto"/>
              <w:jc w:val="both"/>
              <w:rPr>
                <w:rFonts w:ascii="Verdana" w:hAnsi="Verdana" w:cs="Arial"/>
              </w:rPr>
            </w:pPr>
            <w:r w:rsidRPr="00630170">
              <w:rPr>
                <w:rFonts w:ascii="Verdana" w:hAnsi="Verdana" w:cs="Arial"/>
              </w:rPr>
              <w:t>Consejo de Estado. Sala de lo Contencioso Administrativo. Sección Tercera. Subsección B. 17 de octubre de 2025. Magistrado Ponente: Fredy Ibarra Martínez</w:t>
            </w: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24DB1"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24DB1">
        <w:rPr>
          <w:rFonts w:ascii="Verdana" w:eastAsia="Century Gothic" w:hAnsi="Verdana" w:cs="Century Gothic"/>
          <w:b/>
          <w:bCs/>
          <w:lang w:val="es-ES"/>
        </w:rPr>
        <w:t>Doctrina de la Agencia Nacional de Contratación Pública:</w:t>
      </w:r>
    </w:p>
    <w:p w14:paraId="41294D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284E3662" w14:textId="60E092EC" w:rsidR="00BD722F" w:rsidRPr="00667CD6" w:rsidRDefault="00BD722F" w:rsidP="00BD722F">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w:t>
      </w:r>
      <w:r w:rsidRPr="005D334E">
        <w:rPr>
          <w:rFonts w:ascii="Verdana" w:hAnsi="Verdana" w:cs="Arial"/>
          <w:shd w:val="clear" w:color="auto" w:fill="FFFFFF"/>
        </w:rPr>
        <w:lastRenderedPageBreak/>
        <w:t>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5D334E">
        <w:rPr>
          <w:rFonts w:ascii="Verdana" w:hAnsi="Verdana" w:cs="Arial"/>
          <w:shd w:val="clear" w:color="auto" w:fill="FFFFFF"/>
        </w:rPr>
        <w:t xml:space="preserve"> C-1430 del 12 de noviembre del 2025</w:t>
      </w:r>
      <w:r>
        <w:rPr>
          <w:rFonts w:ascii="Verdana" w:hAnsi="Verdana" w:cs="Arial"/>
          <w:shd w:val="clear" w:color="auto" w:fill="FFFFFF"/>
        </w:rPr>
        <w:t>, C-1661 del 22 de diciembre del 2025.</w:t>
      </w:r>
      <w:r w:rsidRPr="005D334E">
        <w:rPr>
          <w:rFonts w:ascii="Verdana" w:hAnsi="Verdana" w:cs="Arial"/>
          <w:shd w:val="clear" w:color="auto" w:fill="FFFFFF"/>
        </w:rPr>
        <w:t xml:space="preserve">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2400C909" w14:textId="77777777" w:rsidR="000C0179" w:rsidRDefault="000C0179" w:rsidP="008815E5">
      <w:pPr>
        <w:spacing w:after="0" w:line="240" w:lineRule="auto"/>
        <w:jc w:val="both"/>
        <w:rPr>
          <w:rFonts w:ascii="Verdana" w:hAnsi="Verdana"/>
        </w:rPr>
      </w:pPr>
    </w:p>
    <w:p w14:paraId="1570ED43" w14:textId="3886BCAB"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630170">
        <w:rPr>
          <w:rStyle w:val="Hipervnculo"/>
          <w:rFonts w:ascii="Verdana" w:hAnsi="Verdana"/>
          <w:color w:val="0000FF"/>
        </w:rPr>
        <w:t>@colombiacompra</w:t>
      </w:r>
      <w:r w:rsidRPr="003E2460">
        <w:rPr>
          <w:rFonts w:ascii="Verdana" w:hAnsi="Verdana"/>
          <w:color w:val="4472C4" w:themeColor="accent1"/>
        </w:rPr>
        <w:t xml:space="preserve"> </w:t>
      </w:r>
    </w:p>
    <w:p w14:paraId="0F76F019" w14:textId="77777777" w:rsidR="008815E5" w:rsidRPr="003E2460" w:rsidRDefault="008815E5" w:rsidP="1F9252E4">
      <w:pPr>
        <w:spacing w:after="0" w:line="240" w:lineRule="auto"/>
        <w:jc w:val="both"/>
        <w:rPr>
          <w:rFonts w:ascii="Verdana" w:hAnsi="Verdana"/>
        </w:rPr>
      </w:pPr>
      <w:r w:rsidRPr="1F9252E4">
        <w:rPr>
          <w:rFonts w:ascii="Verdana" w:hAnsi="Verdana"/>
        </w:rPr>
        <w:t xml:space="preserve">Facebook: </w:t>
      </w:r>
      <w:proofErr w:type="spellStart"/>
      <w:r w:rsidRPr="00630170">
        <w:rPr>
          <w:rStyle w:val="Hipervnculo"/>
          <w:rFonts w:ascii="Verdana" w:hAnsi="Verdana"/>
          <w:color w:val="0000FF"/>
        </w:rPr>
        <w:t>ColombiaCompraEficiente</w:t>
      </w:r>
      <w:proofErr w:type="spellEnd"/>
    </w:p>
    <w:p w14:paraId="60E5B357" w14:textId="77777777" w:rsidR="008815E5" w:rsidRPr="00630170" w:rsidRDefault="008815E5" w:rsidP="008815E5">
      <w:pPr>
        <w:spacing w:after="0" w:line="240" w:lineRule="auto"/>
        <w:jc w:val="both"/>
        <w:rPr>
          <w:rFonts w:ascii="Verdana" w:hAnsi="Verdana"/>
          <w:color w:val="0000FF"/>
        </w:rPr>
      </w:pPr>
      <w:r w:rsidRPr="003E2460">
        <w:rPr>
          <w:rFonts w:ascii="Verdana" w:hAnsi="Verdana"/>
        </w:rPr>
        <w:t xml:space="preserve">LinkedIn: </w:t>
      </w:r>
      <w:r w:rsidRPr="00630170">
        <w:rPr>
          <w:rStyle w:val="Hipervnculo"/>
          <w:rFonts w:ascii="Verdana" w:hAnsi="Verdana"/>
          <w:color w:val="0000FF"/>
        </w:rPr>
        <w:t>Agencia Nacional de Contratación Pública - Colombia Compra Eficiente</w:t>
      </w:r>
      <w:r w:rsidRPr="00630170">
        <w:rPr>
          <w:rFonts w:ascii="Verdana" w:hAnsi="Verdana"/>
          <w:color w:val="0000FF"/>
        </w:rPr>
        <w:t xml:space="preserve"> </w:t>
      </w:r>
      <w:r w:rsidRPr="003E2460">
        <w:rPr>
          <w:rFonts w:ascii="Verdana" w:hAnsi="Verdana"/>
        </w:rPr>
        <w:t xml:space="preserve">Instagram: </w:t>
      </w:r>
      <w:r w:rsidRPr="00630170">
        <w:rPr>
          <w:rStyle w:val="Hipervnculo"/>
          <w:rFonts w:ascii="Verdana" w:hAnsi="Verdana"/>
          <w:color w:val="0000FF"/>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0B3FCB9" w14:textId="55A3AACF" w:rsidR="00630170" w:rsidRPr="005B181B" w:rsidRDefault="005B181B" w:rsidP="005B181B">
      <w:pPr>
        <w:spacing w:line="276" w:lineRule="auto"/>
        <w:jc w:val="center"/>
        <w:rPr>
          <w:rFonts w:ascii="Verdana" w:hAnsi="Verdana"/>
          <w:noProof/>
        </w:rPr>
      </w:pPr>
      <w:r w:rsidRPr="005B181B">
        <w:rPr>
          <w:rFonts w:ascii="Verdana" w:hAnsi="Verdana"/>
          <w:noProof/>
        </w:rPr>
        <w:drawing>
          <wp:inline distT="0" distB="0" distL="0" distR="0" wp14:anchorId="6CE39462" wp14:editId="7689169A">
            <wp:extent cx="4369981" cy="1730123"/>
            <wp:effectExtent l="0" t="0" r="0" b="3810"/>
            <wp:docPr id="188328116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74364" cy="1731858"/>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0C0179" w14:paraId="2A20789D" w14:textId="77777777" w:rsidTr="1F9252E4">
        <w:trPr>
          <w:trHeight w:val="315"/>
        </w:trPr>
        <w:tc>
          <w:tcPr>
            <w:tcW w:w="893" w:type="dxa"/>
            <w:vAlign w:val="center"/>
            <w:hideMark/>
          </w:tcPr>
          <w:p w14:paraId="56E3D94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71FC5517" w:rsidR="00871B59" w:rsidRPr="000C0179" w:rsidRDefault="00BD722F" w:rsidP="1F9252E4">
            <w:pPr>
              <w:contextualSpacing/>
              <w:rPr>
                <w:rFonts w:ascii="Verdana" w:eastAsia="Arial" w:hAnsi="Verdana" w:cs="Arial"/>
                <w:sz w:val="16"/>
                <w:szCs w:val="16"/>
              </w:rPr>
            </w:pPr>
            <w:r w:rsidRPr="000C0179">
              <w:rPr>
                <w:rFonts w:ascii="Verdana" w:eastAsia="Arial" w:hAnsi="Verdana" w:cs="Arial"/>
                <w:sz w:val="16"/>
                <w:szCs w:val="16"/>
              </w:rPr>
              <w:t>Andrea Camila Polo Paz</w:t>
            </w:r>
          </w:p>
          <w:p w14:paraId="27134A92" w14:textId="30C7584F" w:rsidR="00871B59" w:rsidRPr="000C0179" w:rsidRDefault="00BD722F" w:rsidP="1F9252E4">
            <w:pPr>
              <w:contextualSpacing/>
              <w:rPr>
                <w:rFonts w:ascii="Verdana" w:eastAsia="Arial" w:hAnsi="Verdana" w:cs="Arial"/>
                <w:sz w:val="16"/>
                <w:szCs w:val="16"/>
              </w:rPr>
            </w:pPr>
            <w:r w:rsidRPr="000C0179">
              <w:rPr>
                <w:rStyle w:val="normaltextrun"/>
                <w:rFonts w:ascii="Verdana" w:eastAsia="Arial" w:hAnsi="Verdana" w:cs="Arial"/>
                <w:sz w:val="16"/>
                <w:szCs w:val="16"/>
              </w:rPr>
              <w:t>Analista T02-1</w:t>
            </w:r>
            <w:r w:rsidR="00871B59" w:rsidRPr="000C0179">
              <w:rPr>
                <w:rStyle w:val="normaltextrun"/>
                <w:rFonts w:ascii="Verdana" w:eastAsia="Arial" w:hAnsi="Verdana" w:cs="Arial"/>
                <w:sz w:val="16"/>
                <w:szCs w:val="16"/>
              </w:rPr>
              <w:t xml:space="preserve"> de la Subdirección de Gestión Contractual</w:t>
            </w:r>
          </w:p>
        </w:tc>
      </w:tr>
      <w:tr w:rsidR="00871B59" w:rsidRPr="000C0179" w14:paraId="409BBACC" w14:textId="77777777" w:rsidTr="1F9252E4">
        <w:trPr>
          <w:trHeight w:val="330"/>
        </w:trPr>
        <w:tc>
          <w:tcPr>
            <w:tcW w:w="893" w:type="dxa"/>
            <w:vAlign w:val="center"/>
            <w:hideMark/>
          </w:tcPr>
          <w:p w14:paraId="3ABFF40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EBF57F" w14:textId="0663211A" w:rsidR="00BD722F" w:rsidRPr="000C0179" w:rsidRDefault="000C0179" w:rsidP="002607A7">
            <w:pPr>
              <w:pStyle w:val="paragraph"/>
              <w:spacing w:before="0" w:beforeAutospacing="0" w:after="0" w:afterAutospacing="0"/>
              <w:contextualSpacing/>
              <w:textAlignment w:val="baseline"/>
              <w:rPr>
                <w:rStyle w:val="normaltextrun"/>
                <w:rFonts w:ascii="Verdana" w:hAnsi="Verdana" w:cs="Arial"/>
                <w:sz w:val="16"/>
                <w:szCs w:val="16"/>
                <w:lang w:val="es-ES"/>
              </w:rPr>
            </w:pPr>
            <w:r w:rsidRPr="000C0179">
              <w:rPr>
                <w:rStyle w:val="normaltextrun"/>
                <w:rFonts w:ascii="Verdana" w:hAnsi="Verdana" w:cs="Arial"/>
                <w:sz w:val="16"/>
                <w:szCs w:val="16"/>
                <w:lang w:val="es-ES"/>
              </w:rPr>
              <w:t>Dian</w:t>
            </w:r>
            <w:r w:rsidR="00363E49">
              <w:rPr>
                <w:rStyle w:val="normaltextrun"/>
                <w:rFonts w:ascii="Verdana" w:hAnsi="Verdana" w:cs="Arial"/>
                <w:sz w:val="16"/>
                <w:szCs w:val="16"/>
                <w:lang w:val="es-ES"/>
              </w:rPr>
              <w:t xml:space="preserve">a Lucia </w:t>
            </w:r>
            <w:r w:rsidRPr="000C0179">
              <w:rPr>
                <w:rStyle w:val="normaltextrun"/>
                <w:rFonts w:ascii="Verdana" w:hAnsi="Verdana" w:cs="Arial"/>
                <w:sz w:val="16"/>
                <w:szCs w:val="16"/>
                <w:lang w:val="es-ES"/>
              </w:rPr>
              <w:t>Saavedra</w:t>
            </w:r>
            <w:r w:rsidR="00363E49">
              <w:rPr>
                <w:rStyle w:val="normaltextrun"/>
                <w:rFonts w:ascii="Verdana" w:hAnsi="Verdana" w:cs="Arial"/>
                <w:sz w:val="16"/>
                <w:szCs w:val="16"/>
                <w:lang w:val="es-ES"/>
              </w:rPr>
              <w:t xml:space="preserve"> Castañeda</w:t>
            </w:r>
          </w:p>
          <w:p w14:paraId="408B71DB" w14:textId="50612EAC" w:rsidR="00871B59" w:rsidRPr="000C0179" w:rsidRDefault="000C0179" w:rsidP="002607A7">
            <w:pPr>
              <w:pStyle w:val="paragraph"/>
              <w:spacing w:before="0" w:beforeAutospacing="0" w:after="0" w:afterAutospacing="0"/>
              <w:contextualSpacing/>
              <w:textAlignment w:val="baseline"/>
              <w:rPr>
                <w:rFonts w:ascii="Verdana" w:hAnsi="Verdana" w:cs="Segoe UI"/>
                <w:sz w:val="16"/>
                <w:szCs w:val="16"/>
              </w:rPr>
            </w:pPr>
            <w:r w:rsidRPr="000C0179">
              <w:rPr>
                <w:rStyle w:val="normaltextrun"/>
                <w:rFonts w:ascii="Verdana" w:hAnsi="Verdana" w:cs="Arial"/>
                <w:sz w:val="16"/>
                <w:szCs w:val="16"/>
                <w:lang w:val="es-ES"/>
              </w:rPr>
              <w:t xml:space="preserve">Contratista </w:t>
            </w:r>
            <w:r w:rsidR="00871B59" w:rsidRPr="000C0179">
              <w:rPr>
                <w:rStyle w:val="normaltextrun"/>
                <w:rFonts w:ascii="Verdana" w:hAnsi="Verdana" w:cs="Arial"/>
                <w:sz w:val="16"/>
                <w:szCs w:val="16"/>
                <w:lang w:val="es-ES"/>
              </w:rPr>
              <w:t>de la Subdirección de Gestión Contractual</w:t>
            </w:r>
            <w:r w:rsidR="00871B59" w:rsidRPr="000C0179">
              <w:rPr>
                <w:rStyle w:val="eop"/>
                <w:rFonts w:ascii="Verdana" w:hAnsi="Verdana" w:cs="Arial"/>
                <w:sz w:val="16"/>
                <w:szCs w:val="16"/>
              </w:rPr>
              <w:t> </w:t>
            </w:r>
          </w:p>
        </w:tc>
      </w:tr>
      <w:tr w:rsidR="00871B59" w:rsidRPr="000C0179" w14:paraId="2A81CFC8" w14:textId="77777777" w:rsidTr="1F9252E4">
        <w:trPr>
          <w:trHeight w:val="300"/>
        </w:trPr>
        <w:tc>
          <w:tcPr>
            <w:tcW w:w="893" w:type="dxa"/>
            <w:vAlign w:val="center"/>
          </w:tcPr>
          <w:p w14:paraId="3159EE97"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0C0179" w:rsidRDefault="00871B59" w:rsidP="002607A7">
            <w:pPr>
              <w:contextualSpacing/>
              <w:rPr>
                <w:rFonts w:ascii="Verdana" w:eastAsia="Calibri" w:hAnsi="Verdana" w:cs="Arial"/>
                <w:sz w:val="16"/>
                <w:szCs w:val="16"/>
                <w:lang w:val="pt-BR" w:eastAsia="es-ES"/>
              </w:rPr>
            </w:pPr>
            <w:r w:rsidRPr="000C0179">
              <w:rPr>
                <w:rFonts w:ascii="Verdana" w:eastAsia="Calibri" w:hAnsi="Verdana" w:cs="Arial"/>
                <w:sz w:val="16"/>
                <w:szCs w:val="16"/>
                <w:lang w:val="pt-BR" w:eastAsia="es-ES"/>
              </w:rPr>
              <w:t>Carolina Quintero Gacharná</w:t>
            </w:r>
          </w:p>
          <w:p w14:paraId="6EE38C14" w14:textId="77777777" w:rsidR="00871B59" w:rsidRPr="000C0179" w:rsidRDefault="00871B59" w:rsidP="002607A7">
            <w:pPr>
              <w:contextualSpacing/>
              <w:rPr>
                <w:rFonts w:ascii="Verdana" w:eastAsia="Calibri" w:hAnsi="Verdana" w:cs="Arial"/>
                <w:sz w:val="16"/>
                <w:szCs w:val="16"/>
                <w:lang w:val="pt-BR" w:eastAsia="es-ES"/>
              </w:rPr>
            </w:pPr>
            <w:r w:rsidRPr="000C0179">
              <w:rPr>
                <w:rFonts w:ascii="Verdana" w:eastAsia="Calibri" w:hAnsi="Verdana" w:cs="Arial"/>
                <w:sz w:val="16"/>
                <w:szCs w:val="16"/>
                <w:lang w:eastAsia="es-ES"/>
              </w:rPr>
              <w:t>Subdirectora</w:t>
            </w:r>
            <w:r w:rsidRPr="000C0179">
              <w:rPr>
                <w:rFonts w:ascii="Verdana" w:eastAsia="Calibri" w:hAnsi="Verdana" w:cs="Arial"/>
                <w:sz w:val="16"/>
                <w:szCs w:val="16"/>
                <w:lang w:val="pt-BR" w:eastAsia="es-ES"/>
              </w:rPr>
              <w:t xml:space="preserve"> de Gestión Contractual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9057A" w14:textId="77777777" w:rsidR="00893FA7" w:rsidRDefault="00893FA7" w:rsidP="00B30448">
      <w:pPr>
        <w:spacing w:after="0" w:line="240" w:lineRule="auto"/>
      </w:pPr>
      <w:r>
        <w:separator/>
      </w:r>
    </w:p>
  </w:endnote>
  <w:endnote w:type="continuationSeparator" w:id="0">
    <w:p w14:paraId="433178A7" w14:textId="77777777" w:rsidR="00893FA7" w:rsidRDefault="00893FA7" w:rsidP="00B30448">
      <w:pPr>
        <w:spacing w:after="0" w:line="240" w:lineRule="auto"/>
      </w:pPr>
      <w:r>
        <w:continuationSeparator/>
      </w:r>
    </w:p>
  </w:endnote>
  <w:endnote w:type="continuationNotice" w:id="1">
    <w:p w14:paraId="6607EB1B" w14:textId="77777777" w:rsidR="00893FA7" w:rsidRDefault="00893F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4930A" w14:textId="4937BE98" w:rsidR="00924606" w:rsidRDefault="00924606">
    <w:pPr>
      <w:pStyle w:val="Piedepgina"/>
    </w:pPr>
  </w:p>
  <w:p w14:paraId="769219E2" w14:textId="0E7AD052"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EE721" w14:textId="77777777" w:rsidR="00893FA7" w:rsidRDefault="00893FA7" w:rsidP="00B30448">
      <w:pPr>
        <w:spacing w:after="0" w:line="240" w:lineRule="auto"/>
      </w:pPr>
      <w:r>
        <w:separator/>
      </w:r>
    </w:p>
  </w:footnote>
  <w:footnote w:type="continuationSeparator" w:id="0">
    <w:p w14:paraId="7117725B" w14:textId="77777777" w:rsidR="00893FA7" w:rsidRDefault="00893FA7" w:rsidP="00B30448">
      <w:pPr>
        <w:spacing w:after="0" w:line="240" w:lineRule="auto"/>
      </w:pPr>
      <w:r>
        <w:continuationSeparator/>
      </w:r>
    </w:p>
  </w:footnote>
  <w:footnote w:type="continuationNotice" w:id="1">
    <w:p w14:paraId="10D91178" w14:textId="77777777" w:rsidR="00893FA7" w:rsidRDefault="00893FA7">
      <w:pPr>
        <w:spacing w:after="0" w:line="240" w:lineRule="auto"/>
      </w:pPr>
    </w:p>
  </w:footnote>
  <w:footnote w:id="2">
    <w:p w14:paraId="2733180D" w14:textId="304E3585" w:rsidR="0015691B" w:rsidRDefault="0015691B">
      <w:pPr>
        <w:pStyle w:val="Textonotapie"/>
      </w:pPr>
      <w:r>
        <w:rPr>
          <w:rStyle w:val="Refdenotaalpie"/>
        </w:rPr>
        <w:footnoteRef/>
      </w:r>
      <w:r>
        <w:t xml:space="preserve"> </w:t>
      </w:r>
      <w:r w:rsidRPr="0015691B">
        <w:rPr>
          <w:rFonts w:cstheme="minorHAnsi"/>
          <w:sz w:val="16"/>
          <w:szCs w:val="16"/>
          <w:lang w:val="es-CO"/>
        </w:rPr>
        <w:t>Gaceta del Congreso de la República No. 71 del 2005.</w:t>
      </w:r>
    </w:p>
  </w:footnote>
  <w:footnote w:id="3">
    <w:p w14:paraId="6B7ED416" w14:textId="16861135" w:rsidR="006404E9" w:rsidRDefault="006404E9">
      <w:pPr>
        <w:pStyle w:val="Textonotapie"/>
      </w:pPr>
      <w:r>
        <w:rPr>
          <w:rStyle w:val="Refdenotaalpie"/>
        </w:rPr>
        <w:footnoteRef/>
      </w:r>
      <w:r>
        <w:t xml:space="preserve"> </w:t>
      </w:r>
      <w:r w:rsidR="00596070" w:rsidRPr="00596070">
        <w:rPr>
          <w:sz w:val="16"/>
          <w:szCs w:val="16"/>
        </w:rPr>
        <w:t>Corte Constitucional, Sentencia C- 1153 de 2005, M.P. Marco Gerardo Monroy Cabra.</w:t>
      </w:r>
    </w:p>
  </w:footnote>
  <w:footnote w:id="4">
    <w:p w14:paraId="70826E2A" w14:textId="38A1B55F" w:rsidR="003A1B06" w:rsidRDefault="003A1B06" w:rsidP="00BE418D">
      <w:pPr>
        <w:pStyle w:val="Textonotapie"/>
        <w:jc w:val="both"/>
      </w:pPr>
      <w:r>
        <w:rPr>
          <w:rStyle w:val="Refdenotaalpie"/>
        </w:rPr>
        <w:footnoteRef/>
      </w:r>
      <w:r>
        <w:t xml:space="preserve"> </w:t>
      </w:r>
      <w:r w:rsidRPr="003A1B06">
        <w:rPr>
          <w:sz w:val="16"/>
          <w:szCs w:val="16"/>
          <w:lang w:val="es-CO"/>
        </w:rPr>
        <w:t>Corte Constitucional. Sentencias: C-233 de 4 de abril de 2002, expediente: D-3704; C-551 de 9 de julio de 2003, expediente: CRF-001 de 9 de julio de 2003; C-652 de 5 de agosto de 2003, expediente: D 4330; C-353 de 20 de mayo de 2009, expediente: D-7518, C-541 de 30 de junio de 2010, expediente: DD7966; entre otras.</w:t>
      </w:r>
    </w:p>
  </w:footnote>
  <w:footnote w:id="5">
    <w:p w14:paraId="0F9058D4" w14:textId="4C840CBD" w:rsidR="004A55CC" w:rsidRDefault="004A55CC" w:rsidP="00BE418D">
      <w:pPr>
        <w:pStyle w:val="Textonotapie"/>
        <w:jc w:val="both"/>
      </w:pPr>
      <w:r>
        <w:rPr>
          <w:rStyle w:val="Refdenotaalpie"/>
        </w:rPr>
        <w:footnoteRef/>
      </w:r>
      <w:r>
        <w:t xml:space="preserve"> </w:t>
      </w:r>
      <w:r w:rsidRPr="004A55CC">
        <w:rPr>
          <w:sz w:val="16"/>
          <w:szCs w:val="16"/>
          <w:lang w:val="es-CO"/>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21435EA0" w14:textId="1FEC7EFD" w:rsidR="004A55CC" w:rsidRDefault="004A55CC" w:rsidP="00BE418D">
      <w:pPr>
        <w:pStyle w:val="Textonotapie"/>
        <w:jc w:val="both"/>
      </w:pPr>
      <w:r>
        <w:rPr>
          <w:rStyle w:val="Refdenotaalpie"/>
        </w:rPr>
        <w:footnoteRef/>
      </w:r>
      <w:r>
        <w:t xml:space="preserve"> </w:t>
      </w:r>
      <w:r w:rsidRPr="004A55CC">
        <w:rPr>
          <w:sz w:val="16"/>
          <w:szCs w:val="16"/>
          <w:lang w:val="es-CO"/>
        </w:rPr>
        <w:t>Consejo de Estado, Sala de Consulta y Servicio Civil de fecha 24 de julio de 2013, radicado 2166, C. P. Álvaro Namén Vargas.</w:t>
      </w:r>
    </w:p>
  </w:footnote>
  <w:footnote w:id="7">
    <w:p w14:paraId="7973E37E" w14:textId="3209FC93" w:rsidR="00AB52DB" w:rsidRDefault="00AB52DB" w:rsidP="00BE418D">
      <w:pPr>
        <w:pStyle w:val="Textonotapie"/>
        <w:jc w:val="both"/>
      </w:pPr>
      <w:r>
        <w:rPr>
          <w:rStyle w:val="Refdenotaalpie"/>
        </w:rPr>
        <w:footnoteRef/>
      </w:r>
      <w:r>
        <w:t xml:space="preserve"> </w:t>
      </w:r>
      <w:r w:rsidRPr="00AB52DB">
        <w:rPr>
          <w:sz w:val="16"/>
          <w:szCs w:val="16"/>
          <w:lang w:val="es-CO"/>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footnote>
  <w:footnote w:id="8">
    <w:p w14:paraId="4FB09F55" w14:textId="3DDC7017" w:rsidR="00BE418D" w:rsidRDefault="00BE418D" w:rsidP="00BE418D">
      <w:pPr>
        <w:pStyle w:val="Textonotapie"/>
        <w:jc w:val="both"/>
      </w:pPr>
      <w:r>
        <w:rPr>
          <w:rStyle w:val="Refdenotaalpie"/>
        </w:rPr>
        <w:footnoteRef/>
      </w:r>
      <w:r>
        <w:t xml:space="preserve"> </w:t>
      </w:r>
      <w:r w:rsidRPr="00BE418D">
        <w:rPr>
          <w:sz w:val="16"/>
          <w:szCs w:val="16"/>
          <w:lang w:val="es-CO"/>
        </w:rPr>
        <w:t>“Artículo 38. Prohibiciones para los servidores públicos. A los empleados del Estado les está prohibido: […] Parágrafo.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footnote>
  <w:footnote w:id="9">
    <w:p w14:paraId="6C93F879" w14:textId="76120C1E" w:rsidR="00EF37C5" w:rsidRDefault="00EF37C5" w:rsidP="001644CD">
      <w:pPr>
        <w:pStyle w:val="Textonotapie"/>
        <w:jc w:val="both"/>
      </w:pPr>
      <w:r>
        <w:rPr>
          <w:rStyle w:val="Refdenotaalpie"/>
        </w:rPr>
        <w:footnoteRef/>
      </w:r>
      <w:r>
        <w:t xml:space="preserve"> </w:t>
      </w:r>
      <w:r w:rsidR="001644CD" w:rsidRPr="001644CD">
        <w:rPr>
          <w:sz w:val="16"/>
          <w:szCs w:val="16"/>
          <w:lang w:val="es-CO"/>
        </w:rPr>
        <w:t>Consejo de Estado. Sala de Consulta y Servicio Civil. Concepto del 17 de febrero de 2015. C.P. William Zambrano Cetina. Radicación No. 11001-03-06-000-2015-00164-00(2269).</w:t>
      </w:r>
    </w:p>
  </w:footnote>
  <w:footnote w:id="10">
    <w:p w14:paraId="23AA36A1" w14:textId="203E6A0E" w:rsidR="00911313" w:rsidRDefault="00911313" w:rsidP="004F6DBD">
      <w:pPr>
        <w:pStyle w:val="Textonotapie"/>
        <w:jc w:val="both"/>
      </w:pPr>
      <w:r>
        <w:rPr>
          <w:rStyle w:val="Refdenotaalpie"/>
        </w:rPr>
        <w:footnoteRef/>
      </w:r>
      <w:r>
        <w:t xml:space="preserve"> </w:t>
      </w:r>
      <w:r w:rsidR="004F6DBD" w:rsidRPr="004F6DBD">
        <w:rPr>
          <w:sz w:val="16"/>
          <w:szCs w:val="16"/>
          <w:lang w:val="es-CO"/>
        </w:rPr>
        <w:t>“[25] Cfr. Consejo de Estado. Sección Tercera. Sentencia de 3 de diciembre de 2007. Radicados: 24.715, 25.206, 25.409, 24.524, 27.834, 25.410, 26.105, 28.244, 31.447 -acumulados-”.</w:t>
      </w:r>
    </w:p>
  </w:footnote>
  <w:footnote w:id="11">
    <w:p w14:paraId="03BCB29A" w14:textId="7992D655" w:rsidR="00577749" w:rsidRDefault="00577749" w:rsidP="00577749">
      <w:pPr>
        <w:pStyle w:val="Textonotapie"/>
        <w:jc w:val="both"/>
      </w:pPr>
      <w:r>
        <w:rPr>
          <w:rStyle w:val="Refdenotaalpie"/>
        </w:rPr>
        <w:footnoteRef/>
      </w:r>
      <w:r>
        <w:t xml:space="preserve"> </w:t>
      </w:r>
      <w:r w:rsidRPr="00577749">
        <w:rPr>
          <w:sz w:val="16"/>
          <w:szCs w:val="16"/>
          <w:lang w:val="es-CO"/>
        </w:rPr>
        <w:t>“[26] Al respecto ver el concepto 1712 de 2 de febrero de 2006. Consejo de Estado Sala de Consulta y Servicio Civil”.</w:t>
      </w:r>
    </w:p>
  </w:footnote>
  <w:footnote w:id="12">
    <w:p w14:paraId="2248557F" w14:textId="35069C5C" w:rsidR="00547499" w:rsidRPr="00547499" w:rsidRDefault="00547499" w:rsidP="00547499">
      <w:pPr>
        <w:pStyle w:val="Textonotapie"/>
        <w:jc w:val="both"/>
        <w:rPr>
          <w:sz w:val="16"/>
          <w:szCs w:val="16"/>
        </w:rPr>
      </w:pPr>
      <w:r>
        <w:rPr>
          <w:rStyle w:val="Refdenotaalpie"/>
        </w:rPr>
        <w:footnoteRef/>
      </w:r>
      <w:r>
        <w:t xml:space="preserve">  </w:t>
      </w:r>
      <w:r w:rsidRPr="00547499">
        <w:rPr>
          <w:sz w:val="16"/>
          <w:szCs w:val="16"/>
        </w:rPr>
        <w:t xml:space="preserve">Consejo de Estado. Sala de Consulta y Servicio Civil. Concepto del 2 de septiembre de 2013. </w:t>
      </w:r>
      <w:r>
        <w:rPr>
          <w:sz w:val="16"/>
          <w:szCs w:val="16"/>
        </w:rPr>
        <w:t xml:space="preserve"> </w:t>
      </w:r>
      <w:r w:rsidRPr="00547499">
        <w:rPr>
          <w:sz w:val="16"/>
          <w:szCs w:val="16"/>
        </w:rPr>
        <w:t>Radicación número: 11001-03-06-000-2013-00412-00 (2168). Consejero Ponente: Álvaro Namén Vargas.</w:t>
      </w:r>
    </w:p>
  </w:footnote>
  <w:footnote w:id="13">
    <w:p w14:paraId="716AF339" w14:textId="70670312" w:rsidR="00AD0899" w:rsidRDefault="00AD0899">
      <w:pPr>
        <w:pStyle w:val="Textonotapie"/>
      </w:pPr>
      <w:r>
        <w:rPr>
          <w:rStyle w:val="Refdenotaalpie"/>
        </w:rPr>
        <w:footnoteRef/>
      </w:r>
      <w:r>
        <w:t xml:space="preserve"> </w:t>
      </w:r>
      <w:r w:rsidRPr="00AD0899">
        <w:rPr>
          <w:sz w:val="16"/>
          <w:szCs w:val="16"/>
          <w:lang w:val="es-CO"/>
        </w:rPr>
        <w:t>Artículo 2.</w:t>
      </w:r>
    </w:p>
  </w:footnote>
  <w:footnote w:id="14">
    <w:p w14:paraId="05D0DA24" w14:textId="52F8F160" w:rsidR="00E15534" w:rsidRDefault="00E15534">
      <w:pPr>
        <w:pStyle w:val="Textonotapie"/>
      </w:pPr>
      <w:r>
        <w:rPr>
          <w:rStyle w:val="Refdenotaalpie"/>
        </w:rPr>
        <w:footnoteRef/>
      </w:r>
      <w:r>
        <w:t xml:space="preserve"> </w:t>
      </w:r>
      <w:r w:rsidRPr="00E15534">
        <w:rPr>
          <w:sz w:val="16"/>
          <w:szCs w:val="16"/>
        </w:rPr>
        <w:t xml:space="preserve">Ibidem. </w:t>
      </w:r>
    </w:p>
  </w:footnote>
  <w:footnote w:id="15">
    <w:p w14:paraId="20279614" w14:textId="44AE8B52" w:rsidR="0059640F" w:rsidRDefault="0059640F">
      <w:pPr>
        <w:pStyle w:val="Textonotapie"/>
      </w:pPr>
      <w:r>
        <w:rPr>
          <w:rStyle w:val="Refdenotaalpie"/>
        </w:rPr>
        <w:footnoteRef/>
      </w:r>
      <w:r>
        <w:t xml:space="preserve"> </w:t>
      </w:r>
      <w:r w:rsidRPr="0059640F">
        <w:rPr>
          <w:sz w:val="16"/>
          <w:szCs w:val="16"/>
          <w:lang w:val="es-CO"/>
        </w:rPr>
        <w:t xml:space="preserve">Consejo de Estado. Sala de Consulta y Servicio Civil. Concepto del 08 de mayo de 2018. </w:t>
      </w:r>
      <w:r w:rsidRPr="0059640F">
        <w:rPr>
          <w:sz w:val="16"/>
          <w:szCs w:val="16"/>
          <w:lang w:val="es-CO"/>
        </w:rPr>
        <w:t>Exp. 2.382. C.P. Álvaro Namén Vargas</w:t>
      </w:r>
      <w:r>
        <w:rPr>
          <w:sz w:val="16"/>
          <w:szCs w:val="16"/>
          <w:lang w:val="es-CO"/>
        </w:rPr>
        <w:t>.</w:t>
      </w:r>
    </w:p>
  </w:footnote>
  <w:footnote w:id="16">
    <w:p w14:paraId="66324AA4" w14:textId="31E28115" w:rsidR="000116D0" w:rsidRDefault="000116D0" w:rsidP="000116D0">
      <w:pPr>
        <w:pStyle w:val="Textonotapie"/>
        <w:jc w:val="both"/>
      </w:pPr>
      <w:r>
        <w:rPr>
          <w:rStyle w:val="Refdenotaalpie"/>
        </w:rPr>
        <w:footnoteRef/>
      </w:r>
      <w:r>
        <w:t xml:space="preserve"> </w:t>
      </w:r>
      <w:r w:rsidRPr="000116D0">
        <w:rPr>
          <w:sz w:val="16"/>
          <w:szCs w:val="16"/>
          <w:lang w:val="es-CO"/>
        </w:rPr>
        <w:t>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7">
    <w:p w14:paraId="7DFD8C53" w14:textId="039AF157" w:rsidR="00D40F08" w:rsidRDefault="00D40F08" w:rsidP="00E35C28">
      <w:pPr>
        <w:pStyle w:val="Textonotapie"/>
        <w:jc w:val="both"/>
      </w:pPr>
      <w:r>
        <w:rPr>
          <w:rStyle w:val="Refdenotaalpie"/>
        </w:rPr>
        <w:footnoteRef/>
      </w:r>
      <w:r>
        <w:t xml:space="preserve"> </w:t>
      </w:r>
      <w:r w:rsidR="00E35C28" w:rsidRPr="00E35C28">
        <w:rPr>
          <w:sz w:val="16"/>
          <w:szCs w:val="16"/>
          <w:lang w:val="es-CO"/>
        </w:rPr>
        <w:t>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5D6E79AA" w14:textId="2F08032E" w:rsidR="00E35C28" w:rsidRDefault="00E35C28" w:rsidP="00E35C28">
      <w:pPr>
        <w:pStyle w:val="Textonotapie"/>
        <w:jc w:val="both"/>
      </w:pPr>
      <w:r>
        <w:rPr>
          <w:rStyle w:val="Refdenotaalpie"/>
        </w:rPr>
        <w:footnoteRef/>
      </w:r>
      <w:r>
        <w:t xml:space="preserve"> </w:t>
      </w:r>
      <w:r w:rsidRPr="00E35C28">
        <w:rPr>
          <w:sz w:val="16"/>
          <w:szCs w:val="16"/>
          <w:lang w:val="es-CO"/>
        </w:rPr>
        <w:t>Consejo de Estado. Sala de Consulta y Servicio Civil. Concepto de 6 de abril de 2006. Radicación Número: 11001-03-06-000-2006-00038-00 (1738). C.P. Enrique José Arboleda Perdomo: “Si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004C7C31">
        <w:rPr>
          <w:sz w:val="16"/>
          <w:szCs w:val="16"/>
          <w:lang w:val="es-CO"/>
        </w:rPr>
        <w:t>”.</w:t>
      </w:r>
    </w:p>
  </w:footnote>
  <w:footnote w:id="19">
    <w:p w14:paraId="647AFC73" w14:textId="6D613012" w:rsidR="00564D36" w:rsidRDefault="00564D36">
      <w:pPr>
        <w:pStyle w:val="Textonotapie"/>
      </w:pPr>
      <w:r w:rsidRPr="002E6B1B">
        <w:rPr>
          <w:rStyle w:val="Refdenotaalpie"/>
          <w:sz w:val="18"/>
          <w:szCs w:val="18"/>
        </w:rPr>
        <w:footnoteRef/>
      </w:r>
      <w:r w:rsidRPr="002E6B1B">
        <w:rPr>
          <w:sz w:val="18"/>
          <w:szCs w:val="18"/>
        </w:rPr>
        <w:t xml:space="preserve"> </w:t>
      </w:r>
      <w:r w:rsidR="002E6B1B" w:rsidRPr="002E6B1B">
        <w:rPr>
          <w:sz w:val="16"/>
          <w:szCs w:val="16"/>
          <w:lang w:val="es-CO"/>
        </w:rPr>
        <w:t>Consejo de Estado. Sala de Consulta y Servicio Civil. Concepto de 6 de abril de 2006. Radicación Número: 11001-03-06-000-2006-00038-00(1738). Consejero Ponente: Enrique José Arboleda Perdomo.</w:t>
      </w:r>
    </w:p>
  </w:footnote>
  <w:footnote w:id="20">
    <w:p w14:paraId="6C129E55" w14:textId="0DFB51C4" w:rsidR="002B61D9" w:rsidRDefault="002B61D9">
      <w:pPr>
        <w:pStyle w:val="Textonotapie"/>
      </w:pPr>
      <w:r>
        <w:rPr>
          <w:rStyle w:val="Refdenotaalpie"/>
        </w:rPr>
        <w:footnoteRef/>
      </w:r>
      <w:r>
        <w:t xml:space="preserve"> </w:t>
      </w:r>
      <w:r w:rsidRPr="002B61D9">
        <w:rPr>
          <w:sz w:val="16"/>
          <w:szCs w:val="16"/>
          <w:lang w:val="es-CO"/>
        </w:rPr>
        <w:t>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5B09E1"/>
    <w:multiLevelType w:val="multilevel"/>
    <w:tmpl w:val="3E7A3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2F57F6"/>
    <w:multiLevelType w:val="multilevel"/>
    <w:tmpl w:val="A7B0B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D4507B2"/>
    <w:multiLevelType w:val="multilevel"/>
    <w:tmpl w:val="B100C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DD4726B"/>
    <w:multiLevelType w:val="hybridMultilevel"/>
    <w:tmpl w:val="BDD29704"/>
    <w:lvl w:ilvl="0" w:tplc="240A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8323489"/>
    <w:multiLevelType w:val="multilevel"/>
    <w:tmpl w:val="31FAB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C40893"/>
    <w:multiLevelType w:val="multilevel"/>
    <w:tmpl w:val="39721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AE55F55"/>
    <w:multiLevelType w:val="multilevel"/>
    <w:tmpl w:val="03729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0697C0B"/>
    <w:multiLevelType w:val="multilevel"/>
    <w:tmpl w:val="2C0C4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19858B6"/>
    <w:multiLevelType w:val="multilevel"/>
    <w:tmpl w:val="00AC4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DBC1366"/>
    <w:multiLevelType w:val="hybridMultilevel"/>
    <w:tmpl w:val="6FA0AF46"/>
    <w:lvl w:ilvl="0" w:tplc="240A001B">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5297BFA"/>
    <w:multiLevelType w:val="multilevel"/>
    <w:tmpl w:val="CCFE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624AC3"/>
    <w:multiLevelType w:val="multilevel"/>
    <w:tmpl w:val="A7E48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0" w15:restartNumberingAfterBreak="0">
    <w:nsid w:val="4D9F13BF"/>
    <w:multiLevelType w:val="hybridMultilevel"/>
    <w:tmpl w:val="DE5E56D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8615BE6"/>
    <w:multiLevelType w:val="multilevel"/>
    <w:tmpl w:val="A6407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CC94489"/>
    <w:multiLevelType w:val="multilevel"/>
    <w:tmpl w:val="1D547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B8B0B5D"/>
    <w:multiLevelType w:val="multilevel"/>
    <w:tmpl w:val="4B22B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37B01C7"/>
    <w:multiLevelType w:val="multilevel"/>
    <w:tmpl w:val="D3526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51519448">
    <w:abstractNumId w:val="14"/>
  </w:num>
  <w:num w:numId="2" w16cid:durableId="288321748">
    <w:abstractNumId w:val="4"/>
  </w:num>
  <w:num w:numId="3" w16cid:durableId="1425682749">
    <w:abstractNumId w:val="5"/>
  </w:num>
  <w:num w:numId="4" w16cid:durableId="1227110730">
    <w:abstractNumId w:val="0"/>
  </w:num>
  <w:num w:numId="5" w16cid:durableId="53050407">
    <w:abstractNumId w:val="19"/>
  </w:num>
  <w:num w:numId="6" w16cid:durableId="2107847440">
    <w:abstractNumId w:val="3"/>
  </w:num>
  <w:num w:numId="7" w16cid:durableId="144056749">
    <w:abstractNumId w:val="12"/>
  </w:num>
  <w:num w:numId="8" w16cid:durableId="531266698">
    <w:abstractNumId w:val="15"/>
  </w:num>
  <w:num w:numId="9" w16cid:durableId="1195463567">
    <w:abstractNumId w:val="13"/>
  </w:num>
  <w:num w:numId="10" w16cid:durableId="1486701116">
    <w:abstractNumId w:val="22"/>
  </w:num>
  <w:num w:numId="11" w16cid:durableId="320037402">
    <w:abstractNumId w:val="11"/>
  </w:num>
  <w:num w:numId="12" w16cid:durableId="584993783">
    <w:abstractNumId w:val="17"/>
  </w:num>
  <w:num w:numId="13" w16cid:durableId="1476605231">
    <w:abstractNumId w:val="1"/>
  </w:num>
  <w:num w:numId="14" w16cid:durableId="1268468373">
    <w:abstractNumId w:val="6"/>
  </w:num>
  <w:num w:numId="15" w16cid:durableId="1713798584">
    <w:abstractNumId w:val="24"/>
  </w:num>
  <w:num w:numId="16" w16cid:durableId="830215544">
    <w:abstractNumId w:val="21"/>
  </w:num>
  <w:num w:numId="17" w16cid:durableId="1172642617">
    <w:abstractNumId w:val="18"/>
  </w:num>
  <w:num w:numId="18" w16cid:durableId="205409613">
    <w:abstractNumId w:val="2"/>
  </w:num>
  <w:num w:numId="19" w16cid:durableId="390619676">
    <w:abstractNumId w:val="9"/>
  </w:num>
  <w:num w:numId="20" w16cid:durableId="582181800">
    <w:abstractNumId w:val="10"/>
  </w:num>
  <w:num w:numId="21" w16cid:durableId="841042455">
    <w:abstractNumId w:val="23"/>
  </w:num>
  <w:num w:numId="22" w16cid:durableId="738359244">
    <w:abstractNumId w:val="8"/>
  </w:num>
  <w:num w:numId="23" w16cid:durableId="406538267">
    <w:abstractNumId w:val="20"/>
  </w:num>
  <w:num w:numId="24" w16cid:durableId="1740707658">
    <w:abstractNumId w:val="16"/>
  </w:num>
  <w:num w:numId="25" w16cid:durableId="11482054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03E4"/>
    <w:rsid w:val="00000577"/>
    <w:rsid w:val="000016F3"/>
    <w:rsid w:val="000037AE"/>
    <w:rsid w:val="00005BB0"/>
    <w:rsid w:val="0001025F"/>
    <w:rsid w:val="000113DF"/>
    <w:rsid w:val="000116D0"/>
    <w:rsid w:val="0001222D"/>
    <w:rsid w:val="000135EB"/>
    <w:rsid w:val="00015D2B"/>
    <w:rsid w:val="00031584"/>
    <w:rsid w:val="00032A0E"/>
    <w:rsid w:val="000334F0"/>
    <w:rsid w:val="00037347"/>
    <w:rsid w:val="000442CC"/>
    <w:rsid w:val="00046556"/>
    <w:rsid w:val="00051F68"/>
    <w:rsid w:val="00052D60"/>
    <w:rsid w:val="000556D4"/>
    <w:rsid w:val="0006284D"/>
    <w:rsid w:val="00067485"/>
    <w:rsid w:val="000716AB"/>
    <w:rsid w:val="000768DE"/>
    <w:rsid w:val="00077564"/>
    <w:rsid w:val="00082E4C"/>
    <w:rsid w:val="000849D5"/>
    <w:rsid w:val="0008528F"/>
    <w:rsid w:val="00093611"/>
    <w:rsid w:val="000A4569"/>
    <w:rsid w:val="000A52D9"/>
    <w:rsid w:val="000A6E0C"/>
    <w:rsid w:val="000A7A56"/>
    <w:rsid w:val="000B1FF7"/>
    <w:rsid w:val="000B2513"/>
    <w:rsid w:val="000B2D4B"/>
    <w:rsid w:val="000B4024"/>
    <w:rsid w:val="000C0179"/>
    <w:rsid w:val="000C3C51"/>
    <w:rsid w:val="000C6A08"/>
    <w:rsid w:val="000C7262"/>
    <w:rsid w:val="000D2A7F"/>
    <w:rsid w:val="000D4FCE"/>
    <w:rsid w:val="000F79BE"/>
    <w:rsid w:val="0010073D"/>
    <w:rsid w:val="00107332"/>
    <w:rsid w:val="0011037E"/>
    <w:rsid w:val="001120ED"/>
    <w:rsid w:val="00114F4E"/>
    <w:rsid w:val="00124E06"/>
    <w:rsid w:val="00130752"/>
    <w:rsid w:val="001363C7"/>
    <w:rsid w:val="00141AC5"/>
    <w:rsid w:val="00146B11"/>
    <w:rsid w:val="00147A04"/>
    <w:rsid w:val="00151579"/>
    <w:rsid w:val="00152A9D"/>
    <w:rsid w:val="0015476D"/>
    <w:rsid w:val="0015691B"/>
    <w:rsid w:val="001572A7"/>
    <w:rsid w:val="00161E13"/>
    <w:rsid w:val="001633B7"/>
    <w:rsid w:val="00163EEB"/>
    <w:rsid w:val="001644CD"/>
    <w:rsid w:val="00164AE0"/>
    <w:rsid w:val="00165CA3"/>
    <w:rsid w:val="00165E83"/>
    <w:rsid w:val="00166CD7"/>
    <w:rsid w:val="0017120C"/>
    <w:rsid w:val="00172F3A"/>
    <w:rsid w:val="0019532A"/>
    <w:rsid w:val="0019670E"/>
    <w:rsid w:val="00197205"/>
    <w:rsid w:val="001A1FF9"/>
    <w:rsid w:val="001A2ADA"/>
    <w:rsid w:val="001A5DD4"/>
    <w:rsid w:val="001A67E9"/>
    <w:rsid w:val="001B143B"/>
    <w:rsid w:val="001B21CA"/>
    <w:rsid w:val="001B504D"/>
    <w:rsid w:val="001C04FC"/>
    <w:rsid w:val="001C25A3"/>
    <w:rsid w:val="001C4CC3"/>
    <w:rsid w:val="001C5D03"/>
    <w:rsid w:val="001C6E21"/>
    <w:rsid w:val="001C7771"/>
    <w:rsid w:val="001D62FF"/>
    <w:rsid w:val="001E2529"/>
    <w:rsid w:val="001E5DFF"/>
    <w:rsid w:val="001F1F4E"/>
    <w:rsid w:val="001F3F48"/>
    <w:rsid w:val="001F5355"/>
    <w:rsid w:val="001F6B20"/>
    <w:rsid w:val="002000AA"/>
    <w:rsid w:val="002038E8"/>
    <w:rsid w:val="00204109"/>
    <w:rsid w:val="00211E6E"/>
    <w:rsid w:val="00212A46"/>
    <w:rsid w:val="00213139"/>
    <w:rsid w:val="0021401D"/>
    <w:rsid w:val="002146B8"/>
    <w:rsid w:val="00215516"/>
    <w:rsid w:val="00220C1E"/>
    <w:rsid w:val="00230CDC"/>
    <w:rsid w:val="002359EC"/>
    <w:rsid w:val="00235CB7"/>
    <w:rsid w:val="002415FA"/>
    <w:rsid w:val="00243948"/>
    <w:rsid w:val="00251883"/>
    <w:rsid w:val="002527C2"/>
    <w:rsid w:val="00253089"/>
    <w:rsid w:val="002560BB"/>
    <w:rsid w:val="00263BD3"/>
    <w:rsid w:val="00270443"/>
    <w:rsid w:val="00270EE2"/>
    <w:rsid w:val="00272972"/>
    <w:rsid w:val="00280242"/>
    <w:rsid w:val="00281C77"/>
    <w:rsid w:val="00283C59"/>
    <w:rsid w:val="00286491"/>
    <w:rsid w:val="002913A4"/>
    <w:rsid w:val="002A0F8D"/>
    <w:rsid w:val="002A2E02"/>
    <w:rsid w:val="002A3CC8"/>
    <w:rsid w:val="002A46D3"/>
    <w:rsid w:val="002B3B94"/>
    <w:rsid w:val="002B61D9"/>
    <w:rsid w:val="002B6753"/>
    <w:rsid w:val="002B6E44"/>
    <w:rsid w:val="002B6F76"/>
    <w:rsid w:val="002B74B1"/>
    <w:rsid w:val="002D4700"/>
    <w:rsid w:val="002E1DB5"/>
    <w:rsid w:val="002E59FF"/>
    <w:rsid w:val="002E6B1B"/>
    <w:rsid w:val="002F6CCB"/>
    <w:rsid w:val="00303D9F"/>
    <w:rsid w:val="0030461E"/>
    <w:rsid w:val="003058CB"/>
    <w:rsid w:val="0030733C"/>
    <w:rsid w:val="003076A1"/>
    <w:rsid w:val="0031294B"/>
    <w:rsid w:val="0031434E"/>
    <w:rsid w:val="00315796"/>
    <w:rsid w:val="0032756A"/>
    <w:rsid w:val="00332185"/>
    <w:rsid w:val="003337A7"/>
    <w:rsid w:val="00334EF8"/>
    <w:rsid w:val="00335204"/>
    <w:rsid w:val="00336408"/>
    <w:rsid w:val="00340DFB"/>
    <w:rsid w:val="0034404F"/>
    <w:rsid w:val="00350994"/>
    <w:rsid w:val="003542F2"/>
    <w:rsid w:val="00356980"/>
    <w:rsid w:val="00360B43"/>
    <w:rsid w:val="00363E49"/>
    <w:rsid w:val="00366E10"/>
    <w:rsid w:val="00367462"/>
    <w:rsid w:val="00371ECA"/>
    <w:rsid w:val="00372748"/>
    <w:rsid w:val="0037332A"/>
    <w:rsid w:val="003769D2"/>
    <w:rsid w:val="0038011E"/>
    <w:rsid w:val="003811DF"/>
    <w:rsid w:val="0038151A"/>
    <w:rsid w:val="0038331A"/>
    <w:rsid w:val="003844E6"/>
    <w:rsid w:val="00390693"/>
    <w:rsid w:val="0039082A"/>
    <w:rsid w:val="00390C21"/>
    <w:rsid w:val="0039183E"/>
    <w:rsid w:val="00397536"/>
    <w:rsid w:val="003A1B06"/>
    <w:rsid w:val="003A37BD"/>
    <w:rsid w:val="003A381A"/>
    <w:rsid w:val="003B3F86"/>
    <w:rsid w:val="003B6D94"/>
    <w:rsid w:val="003C4C96"/>
    <w:rsid w:val="003C55E0"/>
    <w:rsid w:val="003D39D8"/>
    <w:rsid w:val="003D6FCA"/>
    <w:rsid w:val="003E5237"/>
    <w:rsid w:val="003F519B"/>
    <w:rsid w:val="0040544F"/>
    <w:rsid w:val="00406A19"/>
    <w:rsid w:val="004120A9"/>
    <w:rsid w:val="0041222D"/>
    <w:rsid w:val="0041483E"/>
    <w:rsid w:val="00415369"/>
    <w:rsid w:val="00415B95"/>
    <w:rsid w:val="00425DB6"/>
    <w:rsid w:val="0042642E"/>
    <w:rsid w:val="004267FD"/>
    <w:rsid w:val="00430492"/>
    <w:rsid w:val="00431F46"/>
    <w:rsid w:val="00450BE7"/>
    <w:rsid w:val="00451FD4"/>
    <w:rsid w:val="00454320"/>
    <w:rsid w:val="00456901"/>
    <w:rsid w:val="0046741E"/>
    <w:rsid w:val="00472CC6"/>
    <w:rsid w:val="00474D78"/>
    <w:rsid w:val="00480179"/>
    <w:rsid w:val="0048026E"/>
    <w:rsid w:val="004807A9"/>
    <w:rsid w:val="00480F01"/>
    <w:rsid w:val="004813EE"/>
    <w:rsid w:val="0048168A"/>
    <w:rsid w:val="00481D2B"/>
    <w:rsid w:val="00487321"/>
    <w:rsid w:val="00493278"/>
    <w:rsid w:val="004943D9"/>
    <w:rsid w:val="004A0E7B"/>
    <w:rsid w:val="004A3498"/>
    <w:rsid w:val="004A55CC"/>
    <w:rsid w:val="004B0C45"/>
    <w:rsid w:val="004B788D"/>
    <w:rsid w:val="004C0620"/>
    <w:rsid w:val="004C0AB2"/>
    <w:rsid w:val="004C1619"/>
    <w:rsid w:val="004C1A26"/>
    <w:rsid w:val="004C1CC9"/>
    <w:rsid w:val="004C3755"/>
    <w:rsid w:val="004C4485"/>
    <w:rsid w:val="004C7C31"/>
    <w:rsid w:val="004D11AF"/>
    <w:rsid w:val="004D12ED"/>
    <w:rsid w:val="004E6A02"/>
    <w:rsid w:val="004F6DBD"/>
    <w:rsid w:val="004F7A9F"/>
    <w:rsid w:val="00500DFA"/>
    <w:rsid w:val="005019AA"/>
    <w:rsid w:val="005021BB"/>
    <w:rsid w:val="005139E7"/>
    <w:rsid w:val="005147DA"/>
    <w:rsid w:val="00515FB5"/>
    <w:rsid w:val="00517C3F"/>
    <w:rsid w:val="0052365C"/>
    <w:rsid w:val="00524DB1"/>
    <w:rsid w:val="005271EB"/>
    <w:rsid w:val="005426DB"/>
    <w:rsid w:val="00547499"/>
    <w:rsid w:val="005504FD"/>
    <w:rsid w:val="0055082B"/>
    <w:rsid w:val="00551FEC"/>
    <w:rsid w:val="00552503"/>
    <w:rsid w:val="00552B57"/>
    <w:rsid w:val="0055758B"/>
    <w:rsid w:val="00557DA1"/>
    <w:rsid w:val="0056322C"/>
    <w:rsid w:val="00564B17"/>
    <w:rsid w:val="00564D36"/>
    <w:rsid w:val="00567375"/>
    <w:rsid w:val="00576062"/>
    <w:rsid w:val="00577749"/>
    <w:rsid w:val="00577A31"/>
    <w:rsid w:val="0058743A"/>
    <w:rsid w:val="00590DDE"/>
    <w:rsid w:val="00592C19"/>
    <w:rsid w:val="00596070"/>
    <w:rsid w:val="0059640F"/>
    <w:rsid w:val="005A00B1"/>
    <w:rsid w:val="005A4DB0"/>
    <w:rsid w:val="005A7B8E"/>
    <w:rsid w:val="005B012B"/>
    <w:rsid w:val="005B0C87"/>
    <w:rsid w:val="005B181B"/>
    <w:rsid w:val="005B2777"/>
    <w:rsid w:val="005B6383"/>
    <w:rsid w:val="005C01AB"/>
    <w:rsid w:val="005D1D18"/>
    <w:rsid w:val="005D23F6"/>
    <w:rsid w:val="005D2FA8"/>
    <w:rsid w:val="005E2281"/>
    <w:rsid w:val="005E667C"/>
    <w:rsid w:val="005F077C"/>
    <w:rsid w:val="005F63D0"/>
    <w:rsid w:val="005F7973"/>
    <w:rsid w:val="00602ADF"/>
    <w:rsid w:val="00605659"/>
    <w:rsid w:val="0061302D"/>
    <w:rsid w:val="0061690E"/>
    <w:rsid w:val="00621CEC"/>
    <w:rsid w:val="006221A6"/>
    <w:rsid w:val="00627361"/>
    <w:rsid w:val="00630170"/>
    <w:rsid w:val="0063017E"/>
    <w:rsid w:val="00631B28"/>
    <w:rsid w:val="006404E9"/>
    <w:rsid w:val="00642891"/>
    <w:rsid w:val="00645B90"/>
    <w:rsid w:val="00650991"/>
    <w:rsid w:val="00650CFD"/>
    <w:rsid w:val="006511D7"/>
    <w:rsid w:val="00653E3D"/>
    <w:rsid w:val="00655F91"/>
    <w:rsid w:val="00656528"/>
    <w:rsid w:val="00663D75"/>
    <w:rsid w:val="00670AEF"/>
    <w:rsid w:val="00670F3D"/>
    <w:rsid w:val="00675678"/>
    <w:rsid w:val="00676B92"/>
    <w:rsid w:val="00676DAC"/>
    <w:rsid w:val="00677012"/>
    <w:rsid w:val="006825B4"/>
    <w:rsid w:val="00682AF2"/>
    <w:rsid w:val="006844A4"/>
    <w:rsid w:val="006864DF"/>
    <w:rsid w:val="00695062"/>
    <w:rsid w:val="00697C8B"/>
    <w:rsid w:val="006A3C8A"/>
    <w:rsid w:val="006A7062"/>
    <w:rsid w:val="006A7552"/>
    <w:rsid w:val="006B5953"/>
    <w:rsid w:val="006B7A81"/>
    <w:rsid w:val="006C4BAC"/>
    <w:rsid w:val="006C52F3"/>
    <w:rsid w:val="006D0E25"/>
    <w:rsid w:val="006D34D9"/>
    <w:rsid w:val="006D3591"/>
    <w:rsid w:val="006E2DC0"/>
    <w:rsid w:val="006E7F37"/>
    <w:rsid w:val="006F28D6"/>
    <w:rsid w:val="006F3B68"/>
    <w:rsid w:val="006F3B81"/>
    <w:rsid w:val="006F4F79"/>
    <w:rsid w:val="006F78D4"/>
    <w:rsid w:val="00702DD6"/>
    <w:rsid w:val="00705B37"/>
    <w:rsid w:val="00706909"/>
    <w:rsid w:val="00711FD9"/>
    <w:rsid w:val="00712DB3"/>
    <w:rsid w:val="00720DDD"/>
    <w:rsid w:val="007267EE"/>
    <w:rsid w:val="007277BE"/>
    <w:rsid w:val="007308C9"/>
    <w:rsid w:val="00735062"/>
    <w:rsid w:val="00740E30"/>
    <w:rsid w:val="00746BA5"/>
    <w:rsid w:val="00747CA7"/>
    <w:rsid w:val="00751D23"/>
    <w:rsid w:val="00755F7B"/>
    <w:rsid w:val="00770577"/>
    <w:rsid w:val="0077101F"/>
    <w:rsid w:val="00777666"/>
    <w:rsid w:val="0078159B"/>
    <w:rsid w:val="00782E10"/>
    <w:rsid w:val="0078706B"/>
    <w:rsid w:val="00790836"/>
    <w:rsid w:val="00797131"/>
    <w:rsid w:val="007A3C1D"/>
    <w:rsid w:val="007B27F1"/>
    <w:rsid w:val="007B285D"/>
    <w:rsid w:val="007B6AE2"/>
    <w:rsid w:val="007C3BB5"/>
    <w:rsid w:val="007C6BC6"/>
    <w:rsid w:val="007D17C3"/>
    <w:rsid w:val="008067C5"/>
    <w:rsid w:val="00807D79"/>
    <w:rsid w:val="00813112"/>
    <w:rsid w:val="00813634"/>
    <w:rsid w:val="00820EDF"/>
    <w:rsid w:val="00821C99"/>
    <w:rsid w:val="00822821"/>
    <w:rsid w:val="00826871"/>
    <w:rsid w:val="00831C29"/>
    <w:rsid w:val="008340DC"/>
    <w:rsid w:val="00840E0E"/>
    <w:rsid w:val="008431EF"/>
    <w:rsid w:val="008468E0"/>
    <w:rsid w:val="00847CBA"/>
    <w:rsid w:val="008526E9"/>
    <w:rsid w:val="008528FD"/>
    <w:rsid w:val="00852D8F"/>
    <w:rsid w:val="00861585"/>
    <w:rsid w:val="00871A6D"/>
    <w:rsid w:val="00871B59"/>
    <w:rsid w:val="00877D03"/>
    <w:rsid w:val="00877E96"/>
    <w:rsid w:val="008806CA"/>
    <w:rsid w:val="008815E5"/>
    <w:rsid w:val="00887B37"/>
    <w:rsid w:val="008909B9"/>
    <w:rsid w:val="00891DFC"/>
    <w:rsid w:val="00893FA7"/>
    <w:rsid w:val="008B12B4"/>
    <w:rsid w:val="008B5B30"/>
    <w:rsid w:val="008B7914"/>
    <w:rsid w:val="008C5D2A"/>
    <w:rsid w:val="008C7AF4"/>
    <w:rsid w:val="008D4911"/>
    <w:rsid w:val="008D529F"/>
    <w:rsid w:val="008E0D0D"/>
    <w:rsid w:val="008E48E0"/>
    <w:rsid w:val="008F5CC8"/>
    <w:rsid w:val="00900F28"/>
    <w:rsid w:val="009061B8"/>
    <w:rsid w:val="00907737"/>
    <w:rsid w:val="0091008B"/>
    <w:rsid w:val="00911313"/>
    <w:rsid w:val="00911EA2"/>
    <w:rsid w:val="00916C7D"/>
    <w:rsid w:val="00921880"/>
    <w:rsid w:val="00924606"/>
    <w:rsid w:val="00925377"/>
    <w:rsid w:val="00925708"/>
    <w:rsid w:val="0092575D"/>
    <w:rsid w:val="009341DA"/>
    <w:rsid w:val="009430F9"/>
    <w:rsid w:val="009442E8"/>
    <w:rsid w:val="00946BD0"/>
    <w:rsid w:val="00947823"/>
    <w:rsid w:val="009518B0"/>
    <w:rsid w:val="0095426C"/>
    <w:rsid w:val="009636D5"/>
    <w:rsid w:val="00970087"/>
    <w:rsid w:val="00971074"/>
    <w:rsid w:val="00973E1B"/>
    <w:rsid w:val="00976363"/>
    <w:rsid w:val="00977DC9"/>
    <w:rsid w:val="00980852"/>
    <w:rsid w:val="00983695"/>
    <w:rsid w:val="00995D86"/>
    <w:rsid w:val="009A5453"/>
    <w:rsid w:val="009B3693"/>
    <w:rsid w:val="009B4D94"/>
    <w:rsid w:val="009B79CE"/>
    <w:rsid w:val="009C2871"/>
    <w:rsid w:val="009D2530"/>
    <w:rsid w:val="009D3C33"/>
    <w:rsid w:val="009D7F3A"/>
    <w:rsid w:val="009E4885"/>
    <w:rsid w:val="009F0577"/>
    <w:rsid w:val="009F0C9A"/>
    <w:rsid w:val="00A051E7"/>
    <w:rsid w:val="00A07DB6"/>
    <w:rsid w:val="00A10A73"/>
    <w:rsid w:val="00A11028"/>
    <w:rsid w:val="00A170B3"/>
    <w:rsid w:val="00A223D5"/>
    <w:rsid w:val="00A37D1C"/>
    <w:rsid w:val="00A419C4"/>
    <w:rsid w:val="00A4731C"/>
    <w:rsid w:val="00A5453E"/>
    <w:rsid w:val="00A56F6C"/>
    <w:rsid w:val="00A666A1"/>
    <w:rsid w:val="00A71E95"/>
    <w:rsid w:val="00A76C8C"/>
    <w:rsid w:val="00A8297F"/>
    <w:rsid w:val="00A85F30"/>
    <w:rsid w:val="00A9099E"/>
    <w:rsid w:val="00A91FB7"/>
    <w:rsid w:val="00A9253D"/>
    <w:rsid w:val="00A9298F"/>
    <w:rsid w:val="00AA0351"/>
    <w:rsid w:val="00AA5F4A"/>
    <w:rsid w:val="00AB1984"/>
    <w:rsid w:val="00AB52B1"/>
    <w:rsid w:val="00AB52DB"/>
    <w:rsid w:val="00AB6D75"/>
    <w:rsid w:val="00AB7DAB"/>
    <w:rsid w:val="00AC0AF4"/>
    <w:rsid w:val="00AC3290"/>
    <w:rsid w:val="00AC4CB3"/>
    <w:rsid w:val="00AC780D"/>
    <w:rsid w:val="00AD036B"/>
    <w:rsid w:val="00AD0899"/>
    <w:rsid w:val="00AD1537"/>
    <w:rsid w:val="00AD1996"/>
    <w:rsid w:val="00AD37B3"/>
    <w:rsid w:val="00AD4099"/>
    <w:rsid w:val="00AD4901"/>
    <w:rsid w:val="00AD50CD"/>
    <w:rsid w:val="00AD6AA0"/>
    <w:rsid w:val="00AF0471"/>
    <w:rsid w:val="00AF05D4"/>
    <w:rsid w:val="00B02FE0"/>
    <w:rsid w:val="00B04510"/>
    <w:rsid w:val="00B057B6"/>
    <w:rsid w:val="00B23517"/>
    <w:rsid w:val="00B2575B"/>
    <w:rsid w:val="00B30448"/>
    <w:rsid w:val="00B337A1"/>
    <w:rsid w:val="00B34786"/>
    <w:rsid w:val="00B3516A"/>
    <w:rsid w:val="00B400EC"/>
    <w:rsid w:val="00B40162"/>
    <w:rsid w:val="00B41A27"/>
    <w:rsid w:val="00B41ACE"/>
    <w:rsid w:val="00B428E5"/>
    <w:rsid w:val="00B50156"/>
    <w:rsid w:val="00B518AD"/>
    <w:rsid w:val="00B54038"/>
    <w:rsid w:val="00B60A96"/>
    <w:rsid w:val="00B63384"/>
    <w:rsid w:val="00B6780A"/>
    <w:rsid w:val="00B678EC"/>
    <w:rsid w:val="00B76C94"/>
    <w:rsid w:val="00B772D0"/>
    <w:rsid w:val="00B82DBB"/>
    <w:rsid w:val="00B836EA"/>
    <w:rsid w:val="00B84C05"/>
    <w:rsid w:val="00B91B81"/>
    <w:rsid w:val="00B95B5C"/>
    <w:rsid w:val="00B95EA1"/>
    <w:rsid w:val="00B9707B"/>
    <w:rsid w:val="00B97135"/>
    <w:rsid w:val="00BA4332"/>
    <w:rsid w:val="00BB3072"/>
    <w:rsid w:val="00BB546C"/>
    <w:rsid w:val="00BC7632"/>
    <w:rsid w:val="00BD419F"/>
    <w:rsid w:val="00BD48A9"/>
    <w:rsid w:val="00BD630F"/>
    <w:rsid w:val="00BD722F"/>
    <w:rsid w:val="00BD7EC6"/>
    <w:rsid w:val="00BE418D"/>
    <w:rsid w:val="00BE73FA"/>
    <w:rsid w:val="00BF0AD2"/>
    <w:rsid w:val="00BF36E7"/>
    <w:rsid w:val="00BF6B4B"/>
    <w:rsid w:val="00BF6EFF"/>
    <w:rsid w:val="00C0511C"/>
    <w:rsid w:val="00C14429"/>
    <w:rsid w:val="00C144D7"/>
    <w:rsid w:val="00C165E6"/>
    <w:rsid w:val="00C20ACF"/>
    <w:rsid w:val="00C20E03"/>
    <w:rsid w:val="00C22307"/>
    <w:rsid w:val="00C23469"/>
    <w:rsid w:val="00C274F8"/>
    <w:rsid w:val="00C30AD0"/>
    <w:rsid w:val="00C30C62"/>
    <w:rsid w:val="00C371DF"/>
    <w:rsid w:val="00C42055"/>
    <w:rsid w:val="00C44B4C"/>
    <w:rsid w:val="00C46734"/>
    <w:rsid w:val="00C47A86"/>
    <w:rsid w:val="00C52E6A"/>
    <w:rsid w:val="00C53220"/>
    <w:rsid w:val="00C8706F"/>
    <w:rsid w:val="00C92D73"/>
    <w:rsid w:val="00C93EE2"/>
    <w:rsid w:val="00C94F76"/>
    <w:rsid w:val="00CA1DE8"/>
    <w:rsid w:val="00CA3347"/>
    <w:rsid w:val="00CA4F26"/>
    <w:rsid w:val="00CA6F3A"/>
    <w:rsid w:val="00CA6FA6"/>
    <w:rsid w:val="00CB394B"/>
    <w:rsid w:val="00CB6B1E"/>
    <w:rsid w:val="00CB790D"/>
    <w:rsid w:val="00CC299A"/>
    <w:rsid w:val="00CC2DCE"/>
    <w:rsid w:val="00CD03E3"/>
    <w:rsid w:val="00CE65F4"/>
    <w:rsid w:val="00CE6BDA"/>
    <w:rsid w:val="00D03DBE"/>
    <w:rsid w:val="00D072C0"/>
    <w:rsid w:val="00D22AD4"/>
    <w:rsid w:val="00D34C82"/>
    <w:rsid w:val="00D3757A"/>
    <w:rsid w:val="00D377C9"/>
    <w:rsid w:val="00D40F08"/>
    <w:rsid w:val="00D42681"/>
    <w:rsid w:val="00D504A9"/>
    <w:rsid w:val="00D5206D"/>
    <w:rsid w:val="00D54013"/>
    <w:rsid w:val="00D5499A"/>
    <w:rsid w:val="00D7177D"/>
    <w:rsid w:val="00D81311"/>
    <w:rsid w:val="00D859D3"/>
    <w:rsid w:val="00DA401E"/>
    <w:rsid w:val="00DB201E"/>
    <w:rsid w:val="00DB3039"/>
    <w:rsid w:val="00DB3897"/>
    <w:rsid w:val="00DB6EA7"/>
    <w:rsid w:val="00DC0E68"/>
    <w:rsid w:val="00DD25ED"/>
    <w:rsid w:val="00DD353D"/>
    <w:rsid w:val="00DD49EB"/>
    <w:rsid w:val="00DE0D6E"/>
    <w:rsid w:val="00DE39F0"/>
    <w:rsid w:val="00DE4EAE"/>
    <w:rsid w:val="00DF478B"/>
    <w:rsid w:val="00DF548B"/>
    <w:rsid w:val="00E046B2"/>
    <w:rsid w:val="00E13DC0"/>
    <w:rsid w:val="00E15534"/>
    <w:rsid w:val="00E1610C"/>
    <w:rsid w:val="00E16D73"/>
    <w:rsid w:val="00E23E9E"/>
    <w:rsid w:val="00E25722"/>
    <w:rsid w:val="00E27F0A"/>
    <w:rsid w:val="00E3014F"/>
    <w:rsid w:val="00E35C28"/>
    <w:rsid w:val="00E4231E"/>
    <w:rsid w:val="00E4302C"/>
    <w:rsid w:val="00E43DB0"/>
    <w:rsid w:val="00E44AC7"/>
    <w:rsid w:val="00E45F4B"/>
    <w:rsid w:val="00E504CC"/>
    <w:rsid w:val="00E517CB"/>
    <w:rsid w:val="00E6018B"/>
    <w:rsid w:val="00E60A16"/>
    <w:rsid w:val="00E67FE5"/>
    <w:rsid w:val="00E71626"/>
    <w:rsid w:val="00E72D20"/>
    <w:rsid w:val="00E73B5C"/>
    <w:rsid w:val="00E82B6E"/>
    <w:rsid w:val="00E86F55"/>
    <w:rsid w:val="00E94258"/>
    <w:rsid w:val="00E96C18"/>
    <w:rsid w:val="00E9728D"/>
    <w:rsid w:val="00EA2E61"/>
    <w:rsid w:val="00EA7D7F"/>
    <w:rsid w:val="00EB02F4"/>
    <w:rsid w:val="00EB08FC"/>
    <w:rsid w:val="00EB2FA2"/>
    <w:rsid w:val="00EB769A"/>
    <w:rsid w:val="00EC3A35"/>
    <w:rsid w:val="00ED571A"/>
    <w:rsid w:val="00ED7D7A"/>
    <w:rsid w:val="00EE17F2"/>
    <w:rsid w:val="00EE3138"/>
    <w:rsid w:val="00EE5444"/>
    <w:rsid w:val="00EF2AC7"/>
    <w:rsid w:val="00EF37C5"/>
    <w:rsid w:val="00EF400A"/>
    <w:rsid w:val="00EF6BE4"/>
    <w:rsid w:val="00EF6E5D"/>
    <w:rsid w:val="00F01BF1"/>
    <w:rsid w:val="00F026CB"/>
    <w:rsid w:val="00F07764"/>
    <w:rsid w:val="00F11D81"/>
    <w:rsid w:val="00F12517"/>
    <w:rsid w:val="00F131DD"/>
    <w:rsid w:val="00F16BA1"/>
    <w:rsid w:val="00F21ADE"/>
    <w:rsid w:val="00F24435"/>
    <w:rsid w:val="00F26741"/>
    <w:rsid w:val="00F30C0F"/>
    <w:rsid w:val="00F30F01"/>
    <w:rsid w:val="00F314E8"/>
    <w:rsid w:val="00F323A2"/>
    <w:rsid w:val="00F33B57"/>
    <w:rsid w:val="00F33D5C"/>
    <w:rsid w:val="00F34E90"/>
    <w:rsid w:val="00F356D6"/>
    <w:rsid w:val="00F40174"/>
    <w:rsid w:val="00F53BE2"/>
    <w:rsid w:val="00F55684"/>
    <w:rsid w:val="00F60DEC"/>
    <w:rsid w:val="00F64D5A"/>
    <w:rsid w:val="00F709CD"/>
    <w:rsid w:val="00F70A1F"/>
    <w:rsid w:val="00F84058"/>
    <w:rsid w:val="00F8706C"/>
    <w:rsid w:val="00F905F2"/>
    <w:rsid w:val="00F906F4"/>
    <w:rsid w:val="00FA0716"/>
    <w:rsid w:val="00FA7A5F"/>
    <w:rsid w:val="00FB4629"/>
    <w:rsid w:val="00FB6B15"/>
    <w:rsid w:val="00FB6FB1"/>
    <w:rsid w:val="00FB7063"/>
    <w:rsid w:val="00FC7056"/>
    <w:rsid w:val="00FC72B5"/>
    <w:rsid w:val="00FD12F7"/>
    <w:rsid w:val="00FE1A00"/>
    <w:rsid w:val="00FF63A2"/>
    <w:rsid w:val="00FF7B9A"/>
    <w:rsid w:val="024D7E2C"/>
    <w:rsid w:val="0D2EB883"/>
    <w:rsid w:val="0D8163B6"/>
    <w:rsid w:val="13A69650"/>
    <w:rsid w:val="18C10F1C"/>
    <w:rsid w:val="1BB32F19"/>
    <w:rsid w:val="1F2C3AF5"/>
    <w:rsid w:val="1F9252E4"/>
    <w:rsid w:val="1FF4886A"/>
    <w:rsid w:val="22D2584A"/>
    <w:rsid w:val="28751A95"/>
    <w:rsid w:val="29ACEACC"/>
    <w:rsid w:val="29FA8189"/>
    <w:rsid w:val="2C00A012"/>
    <w:rsid w:val="2F421DDF"/>
    <w:rsid w:val="389994B3"/>
    <w:rsid w:val="3B30A011"/>
    <w:rsid w:val="3B93C128"/>
    <w:rsid w:val="3CFBE104"/>
    <w:rsid w:val="43C9AAE4"/>
    <w:rsid w:val="510454D8"/>
    <w:rsid w:val="521E120A"/>
    <w:rsid w:val="5D8505AD"/>
    <w:rsid w:val="681364DF"/>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NormalWebCar">
    <w:name w:val="Normal (Web) Car"/>
    <w:link w:val="NormalWeb"/>
    <w:uiPriority w:val="99"/>
    <w:locked/>
    <w:rsid w:val="00213139"/>
    <w:rPr>
      <w:rFonts w:ascii="Times New Roman" w:hAnsi="Times New Roman" w:cs="Times New Roman"/>
      <w:sz w:val="24"/>
      <w:szCs w:val="24"/>
    </w:rPr>
  </w:style>
  <w:style w:type="character" w:customStyle="1" w:styleId="baj">
    <w:name w:val="b_aj"/>
    <w:basedOn w:val="Fuentedeprrafopredeter"/>
    <w:rsid w:val="002131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208422421">
      <w:bodyDiv w:val="1"/>
      <w:marLeft w:val="0"/>
      <w:marRight w:val="0"/>
      <w:marTop w:val="0"/>
      <w:marBottom w:val="0"/>
      <w:divBdr>
        <w:top w:val="none" w:sz="0" w:space="0" w:color="auto"/>
        <w:left w:val="none" w:sz="0" w:space="0" w:color="auto"/>
        <w:bottom w:val="none" w:sz="0" w:space="0" w:color="auto"/>
        <w:right w:val="none" w:sz="0" w:space="0" w:color="auto"/>
      </w:divBdr>
    </w:div>
    <w:div w:id="242567529">
      <w:bodyDiv w:val="1"/>
      <w:marLeft w:val="0"/>
      <w:marRight w:val="0"/>
      <w:marTop w:val="0"/>
      <w:marBottom w:val="0"/>
      <w:divBdr>
        <w:top w:val="none" w:sz="0" w:space="0" w:color="auto"/>
        <w:left w:val="none" w:sz="0" w:space="0" w:color="auto"/>
        <w:bottom w:val="none" w:sz="0" w:space="0" w:color="auto"/>
        <w:right w:val="none" w:sz="0" w:space="0" w:color="auto"/>
      </w:divBdr>
    </w:div>
    <w:div w:id="344720552">
      <w:bodyDiv w:val="1"/>
      <w:marLeft w:val="0"/>
      <w:marRight w:val="0"/>
      <w:marTop w:val="0"/>
      <w:marBottom w:val="0"/>
      <w:divBdr>
        <w:top w:val="none" w:sz="0" w:space="0" w:color="auto"/>
        <w:left w:val="none" w:sz="0" w:space="0" w:color="auto"/>
        <w:bottom w:val="none" w:sz="0" w:space="0" w:color="auto"/>
        <w:right w:val="none" w:sz="0" w:space="0" w:color="auto"/>
      </w:divBdr>
    </w:div>
    <w:div w:id="454639623">
      <w:bodyDiv w:val="1"/>
      <w:marLeft w:val="0"/>
      <w:marRight w:val="0"/>
      <w:marTop w:val="0"/>
      <w:marBottom w:val="0"/>
      <w:divBdr>
        <w:top w:val="none" w:sz="0" w:space="0" w:color="auto"/>
        <w:left w:val="none" w:sz="0" w:space="0" w:color="auto"/>
        <w:bottom w:val="none" w:sz="0" w:space="0" w:color="auto"/>
        <w:right w:val="none" w:sz="0" w:space="0" w:color="auto"/>
      </w:divBdr>
    </w:div>
    <w:div w:id="491651832">
      <w:bodyDiv w:val="1"/>
      <w:marLeft w:val="0"/>
      <w:marRight w:val="0"/>
      <w:marTop w:val="0"/>
      <w:marBottom w:val="0"/>
      <w:divBdr>
        <w:top w:val="none" w:sz="0" w:space="0" w:color="auto"/>
        <w:left w:val="none" w:sz="0" w:space="0" w:color="auto"/>
        <w:bottom w:val="none" w:sz="0" w:space="0" w:color="auto"/>
        <w:right w:val="none" w:sz="0" w:space="0" w:color="auto"/>
      </w:divBdr>
    </w:div>
    <w:div w:id="542717078">
      <w:bodyDiv w:val="1"/>
      <w:marLeft w:val="0"/>
      <w:marRight w:val="0"/>
      <w:marTop w:val="0"/>
      <w:marBottom w:val="0"/>
      <w:divBdr>
        <w:top w:val="none" w:sz="0" w:space="0" w:color="auto"/>
        <w:left w:val="none" w:sz="0" w:space="0" w:color="auto"/>
        <w:bottom w:val="none" w:sz="0" w:space="0" w:color="auto"/>
        <w:right w:val="none" w:sz="0" w:space="0" w:color="auto"/>
      </w:divBdr>
    </w:div>
    <w:div w:id="553855654">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730268345">
      <w:bodyDiv w:val="1"/>
      <w:marLeft w:val="0"/>
      <w:marRight w:val="0"/>
      <w:marTop w:val="0"/>
      <w:marBottom w:val="0"/>
      <w:divBdr>
        <w:top w:val="none" w:sz="0" w:space="0" w:color="auto"/>
        <w:left w:val="none" w:sz="0" w:space="0" w:color="auto"/>
        <w:bottom w:val="none" w:sz="0" w:space="0" w:color="auto"/>
        <w:right w:val="none" w:sz="0" w:space="0" w:color="auto"/>
      </w:divBdr>
    </w:div>
    <w:div w:id="891581394">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03308595">
      <w:bodyDiv w:val="1"/>
      <w:marLeft w:val="0"/>
      <w:marRight w:val="0"/>
      <w:marTop w:val="0"/>
      <w:marBottom w:val="0"/>
      <w:divBdr>
        <w:top w:val="none" w:sz="0" w:space="0" w:color="auto"/>
        <w:left w:val="none" w:sz="0" w:space="0" w:color="auto"/>
        <w:bottom w:val="none" w:sz="0" w:space="0" w:color="auto"/>
        <w:right w:val="none" w:sz="0" w:space="0" w:color="auto"/>
      </w:divBdr>
    </w:div>
    <w:div w:id="1155074090">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24756411">
      <w:bodyDiv w:val="1"/>
      <w:marLeft w:val="0"/>
      <w:marRight w:val="0"/>
      <w:marTop w:val="0"/>
      <w:marBottom w:val="0"/>
      <w:divBdr>
        <w:top w:val="none" w:sz="0" w:space="0" w:color="auto"/>
        <w:left w:val="none" w:sz="0" w:space="0" w:color="auto"/>
        <w:bottom w:val="none" w:sz="0" w:space="0" w:color="auto"/>
        <w:right w:val="none" w:sz="0" w:space="0" w:color="auto"/>
      </w:divBdr>
    </w:div>
    <w:div w:id="1290745129">
      <w:bodyDiv w:val="1"/>
      <w:marLeft w:val="0"/>
      <w:marRight w:val="0"/>
      <w:marTop w:val="0"/>
      <w:marBottom w:val="0"/>
      <w:divBdr>
        <w:top w:val="none" w:sz="0" w:space="0" w:color="auto"/>
        <w:left w:val="none" w:sz="0" w:space="0" w:color="auto"/>
        <w:bottom w:val="none" w:sz="0" w:space="0" w:color="auto"/>
        <w:right w:val="none" w:sz="0" w:space="0" w:color="auto"/>
      </w:divBdr>
    </w:div>
    <w:div w:id="1304384808">
      <w:bodyDiv w:val="1"/>
      <w:marLeft w:val="0"/>
      <w:marRight w:val="0"/>
      <w:marTop w:val="0"/>
      <w:marBottom w:val="0"/>
      <w:divBdr>
        <w:top w:val="none" w:sz="0" w:space="0" w:color="auto"/>
        <w:left w:val="none" w:sz="0" w:space="0" w:color="auto"/>
        <w:bottom w:val="none" w:sz="0" w:space="0" w:color="auto"/>
        <w:right w:val="none" w:sz="0" w:space="0" w:color="auto"/>
      </w:divBdr>
    </w:div>
    <w:div w:id="1357081579">
      <w:bodyDiv w:val="1"/>
      <w:marLeft w:val="0"/>
      <w:marRight w:val="0"/>
      <w:marTop w:val="0"/>
      <w:marBottom w:val="0"/>
      <w:divBdr>
        <w:top w:val="none" w:sz="0" w:space="0" w:color="auto"/>
        <w:left w:val="none" w:sz="0" w:space="0" w:color="auto"/>
        <w:bottom w:val="none" w:sz="0" w:space="0" w:color="auto"/>
        <w:right w:val="none" w:sz="0" w:space="0" w:color="auto"/>
      </w:divBdr>
    </w:div>
    <w:div w:id="1387223638">
      <w:bodyDiv w:val="1"/>
      <w:marLeft w:val="0"/>
      <w:marRight w:val="0"/>
      <w:marTop w:val="0"/>
      <w:marBottom w:val="0"/>
      <w:divBdr>
        <w:top w:val="none" w:sz="0" w:space="0" w:color="auto"/>
        <w:left w:val="none" w:sz="0" w:space="0" w:color="auto"/>
        <w:bottom w:val="none" w:sz="0" w:space="0" w:color="auto"/>
        <w:right w:val="none" w:sz="0" w:space="0" w:color="auto"/>
      </w:divBdr>
    </w:div>
    <w:div w:id="1490361908">
      <w:bodyDiv w:val="1"/>
      <w:marLeft w:val="0"/>
      <w:marRight w:val="0"/>
      <w:marTop w:val="0"/>
      <w:marBottom w:val="0"/>
      <w:divBdr>
        <w:top w:val="none" w:sz="0" w:space="0" w:color="auto"/>
        <w:left w:val="none" w:sz="0" w:space="0" w:color="auto"/>
        <w:bottom w:val="none" w:sz="0" w:space="0" w:color="auto"/>
        <w:right w:val="none" w:sz="0" w:space="0" w:color="auto"/>
      </w:divBdr>
    </w:div>
    <w:div w:id="1577204901">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342122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iguel.gomez@cancilleri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03E6D57-401D-40D9-9400-9C67FDAED9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1554</TotalTime>
  <Pages>20</Pages>
  <Words>6881</Words>
  <Characters>38264</Characters>
  <Application>Microsoft Office Word</Application>
  <DocSecurity>0</DocSecurity>
  <Lines>750</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257</cp:revision>
  <dcterms:created xsi:type="dcterms:W3CDTF">2024-07-04T20:24:00Z</dcterms:created>
  <dcterms:modified xsi:type="dcterms:W3CDTF">2026-04-15T22:43:00Z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