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92CA4" w14:textId="77777777" w:rsidR="006A7453" w:rsidRPr="007E19FB" w:rsidRDefault="006A7453" w:rsidP="006A7453">
      <w:pPr>
        <w:tabs>
          <w:tab w:val="left" w:pos="709"/>
        </w:tabs>
        <w:spacing w:after="0" w:line="240" w:lineRule="auto"/>
        <w:jc w:val="both"/>
        <w:rPr>
          <w:rFonts w:ascii="Verdana" w:eastAsia="Calibri" w:hAnsi="Verdana" w:cs="Arial"/>
          <w:b/>
          <w:sz w:val="24"/>
          <w:szCs w:val="24"/>
          <w:lang w:val="es-ES"/>
        </w:rPr>
      </w:pPr>
      <w:bookmarkStart w:id="0" w:name="_Hlk143780582"/>
      <w:r w:rsidRPr="007E19FB">
        <w:rPr>
          <w:rFonts w:ascii="Verdana" w:eastAsia="Calibri" w:hAnsi="Verdana" w:cs="Arial"/>
          <w:b/>
          <w:sz w:val="24"/>
          <w:szCs w:val="24"/>
          <w:lang w:val="es-ES"/>
        </w:rPr>
        <w:t>CONTRATOS ESTATALES – Noción – Listado enunciativo – Aplicación derecho privado</w:t>
      </w:r>
    </w:p>
    <w:p w14:paraId="3642801F"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p>
    <w:p w14:paraId="3039F882"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p>
    <w:p w14:paraId="3AFF6580"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p>
    <w:p w14:paraId="72E5A3E8"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[…]el artículo 32 de la Ley 80 de 1993, define como contratos estatales los de obra, consultoría, prestación de servicios, concesión, encargos fiduciarios y fiducia pública. Sin embargo, se trata de un listado enunciativo, pues la Ley 80 de 1993 se integra con las tipologías contractuales previstas en el derecho privado. Por ello, el inciso primero del artículo 13 ibidem dispone que “Los contratos que celebren las entidades a que se refiere el artículo 2o. del presente estatuto se regirán por las disposiciones comerciales y civiles pertinentes, salvo en las materias particularmente reguladas en esta ley”.</w:t>
      </w:r>
    </w:p>
    <w:p w14:paraId="6ECDF543"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p>
    <w:p w14:paraId="6E470073"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De esta forma, los contratos de las entidades sometidas al EGCAP se rigen generalmente por el derecho privado y excepcionalmente por el derecho público, pues las normas civiles y comerciales son el derecho común de los contratos estatales.</w:t>
      </w:r>
    </w:p>
    <w:p w14:paraId="34E93862"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p>
    <w:p w14:paraId="7224E423" w14:textId="77777777" w:rsidR="006A7453" w:rsidRPr="007E19FB" w:rsidRDefault="006A7453" w:rsidP="006A7453">
      <w:pPr>
        <w:tabs>
          <w:tab w:val="left" w:pos="709"/>
        </w:tabs>
        <w:spacing w:after="0" w:line="240" w:lineRule="auto"/>
        <w:jc w:val="both"/>
        <w:rPr>
          <w:rFonts w:ascii="Verdana" w:eastAsia="Calibri" w:hAnsi="Verdana" w:cs="Arial"/>
          <w:b/>
          <w:lang w:val="es-ES_tradnl" w:eastAsia="es-ES_tradnl"/>
        </w:rPr>
      </w:pPr>
      <w:r w:rsidRPr="007E19FB">
        <w:rPr>
          <w:rFonts w:ascii="Verdana" w:eastAsia="Calibri" w:hAnsi="Verdana" w:cs="Arial"/>
          <w:b/>
          <w:lang w:val="es-ES_tradnl" w:eastAsia="es-ES_tradnl"/>
        </w:rPr>
        <w:t xml:space="preserve">CONTRATO DE ARRENDAMIENTO – Noción – Modalidad de selección aplicable - Bienes inmuebles – </w:t>
      </w:r>
    </w:p>
    <w:p w14:paraId="0C50F912"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p>
    <w:p w14:paraId="196FDFD0"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 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73E9F1D8"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w:t>
      </w:r>
    </w:p>
    <w:p w14:paraId="70EFF004"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 para el caso de las Entidades Estatales sujetas al EGCAP, el literal i), del numeral 4 del artículo 2 de la Ley 1150 de 2007, estableció la modalidad de contratación directa para “[e]l arrendamiento […] de inmuebles”, disposición que fue reiterada en el artículo 2.2.1.2.4.11 del Decreto 1082 de 2015 que en su tenor literal señaló que “[l]as Entidades Estatales pueden alquilar o arrendar inmuebles mediante contratación directa […]”.</w:t>
      </w:r>
    </w:p>
    <w:p w14:paraId="3FD7AFBB" w14:textId="77777777" w:rsidR="006A7453" w:rsidRPr="007E19FB" w:rsidRDefault="006A7453" w:rsidP="006A7453">
      <w:pPr>
        <w:tabs>
          <w:tab w:val="left" w:pos="709"/>
        </w:tabs>
        <w:spacing w:after="0" w:line="240" w:lineRule="auto"/>
        <w:jc w:val="both"/>
        <w:rPr>
          <w:rFonts w:ascii="Verdana" w:eastAsia="Calibri" w:hAnsi="Verdana" w:cs="Arial"/>
          <w:bCs/>
          <w:sz w:val="20"/>
          <w:szCs w:val="20"/>
          <w:lang w:val="es-ES_tradnl" w:eastAsia="es-ES_tradnl"/>
        </w:rPr>
      </w:pPr>
      <w:r w:rsidRPr="007E19FB">
        <w:rPr>
          <w:rFonts w:ascii="Verdana" w:eastAsia="Calibri" w:hAnsi="Verdana" w:cs="Arial"/>
          <w:bCs/>
          <w:sz w:val="20"/>
          <w:szCs w:val="20"/>
          <w:lang w:val="es-ES_tradnl" w:eastAsia="es-ES_tradnl"/>
        </w:rPr>
        <w:t>[…]</w:t>
      </w:r>
    </w:p>
    <w:p w14:paraId="507D7086" w14:textId="77777777" w:rsidR="006A7453" w:rsidRPr="007E19FB" w:rsidRDefault="006A7453" w:rsidP="006A7453">
      <w:pPr>
        <w:tabs>
          <w:tab w:val="left" w:pos="709"/>
        </w:tabs>
        <w:spacing w:after="0" w:line="240" w:lineRule="auto"/>
        <w:jc w:val="both"/>
        <w:rPr>
          <w:rFonts w:ascii="Verdana" w:eastAsia="Aptos" w:hAnsi="Verdana" w:cs="Times New Roman"/>
          <w:sz w:val="20"/>
          <w:szCs w:val="20"/>
        </w:rPr>
      </w:pPr>
      <w:r w:rsidRPr="007E19FB">
        <w:rPr>
          <w:rFonts w:ascii="Verdana" w:eastAsia="Calibri" w:hAnsi="Verdana" w:cs="Arial"/>
          <w:bCs/>
          <w:sz w:val="20"/>
          <w:szCs w:val="20"/>
          <w:lang w:val="es-ES_tradnl" w:eastAsia="es-ES_tradnl"/>
        </w:rPr>
        <w:t>[…]</w:t>
      </w:r>
      <w:r w:rsidRPr="00495616">
        <w:rPr>
          <w:rFonts w:ascii="Verdana" w:eastAsia="Calibri" w:hAnsi="Verdana" w:cs="Arial"/>
          <w:bCs/>
          <w:sz w:val="20"/>
          <w:szCs w:val="20"/>
          <w:lang w:val="es-ES_tradnl" w:eastAsia="es-ES_tradnl"/>
        </w:rPr>
        <w:t xml:space="preserve"> pese a que el referido decreto dispuso un vocablo facultativo con el verbo “pueden”, no podría interpretarse esto como una habilitación para que las Entidades Estatales desconozcan las reglas dispuestas por el Legislador en el literal i), del numeral 4 del artículo 2 de la Ley 1150 de 2007 para la celebración de contratos de arrendamiento de bienes inmuebles de manera directa, pues para cada modalidad de selección estableció situaciones fácticas y jurídicas que determinan su aplicación. </w:t>
      </w:r>
    </w:p>
    <w:p w14:paraId="7752AB7A" w14:textId="2B0C689D" w:rsidR="006A7453" w:rsidRPr="007E19FB" w:rsidRDefault="006A7453" w:rsidP="006A7453">
      <w:pPr>
        <w:spacing w:after="0" w:line="240" w:lineRule="auto"/>
        <w:rPr>
          <w:rFonts w:ascii="Verdana" w:eastAsia="Geomanist Light" w:hAnsi="Verdana" w:cs="Arial"/>
          <w:lang w:val="es-MX"/>
        </w:rPr>
      </w:pPr>
      <w:r w:rsidRPr="007E19FB">
        <w:rPr>
          <w:rFonts w:ascii="Verdana" w:eastAsia="Geomanist Light" w:hAnsi="Verdana" w:cs="Arial"/>
          <w:lang w:val="es-MX"/>
        </w:rPr>
        <w:lastRenderedPageBreak/>
        <w:t>Bogotá D.C., </w:t>
      </w:r>
      <w:r w:rsidR="00B7763A">
        <w:rPr>
          <w:rFonts w:ascii="Verdana" w:eastAsia="Geomanist Light" w:hAnsi="Verdana" w:cs="Arial"/>
          <w:lang w:val="es-MX"/>
        </w:rPr>
        <w:t>13</w:t>
      </w:r>
      <w:r w:rsidRPr="007E19FB">
        <w:rPr>
          <w:rFonts w:ascii="Verdana" w:eastAsia="Geomanist Light" w:hAnsi="Verdana" w:cs="Arial"/>
          <w:lang w:val="es-MX"/>
        </w:rPr>
        <w:t xml:space="preserve"> de </w:t>
      </w:r>
      <w:r w:rsidR="00B7763A">
        <w:rPr>
          <w:rFonts w:ascii="Verdana" w:eastAsia="Geomanist Light" w:hAnsi="Verdana" w:cs="Arial"/>
          <w:lang w:val="es-MX"/>
        </w:rPr>
        <w:t>abril de 2026</w:t>
      </w:r>
    </w:p>
    <w:p w14:paraId="39896F9E" w14:textId="77777777" w:rsidR="006A7453" w:rsidRPr="007E19FB" w:rsidRDefault="006A7453" w:rsidP="006A7453">
      <w:pPr>
        <w:spacing w:after="0" w:line="240" w:lineRule="auto"/>
        <w:jc w:val="both"/>
        <w:rPr>
          <w:rFonts w:ascii="Verdana" w:eastAsia="Calibri" w:hAnsi="Verdana" w:cs="Arial"/>
          <w:lang w:val="es-ES"/>
        </w:rPr>
      </w:pPr>
    </w:p>
    <w:p w14:paraId="22233B73" w14:textId="77777777" w:rsidR="00694B9F" w:rsidRDefault="00694B9F" w:rsidP="00694B9F">
      <w:pPr>
        <w:spacing w:after="0" w:line="240" w:lineRule="auto"/>
        <w:jc w:val="right"/>
        <w:rPr>
          <w:rFonts w:ascii="Verdana" w:eastAsia="Calibri" w:hAnsi="Verdana" w:cs="Arial"/>
          <w:lang w:val="es-ES" w:eastAsia="es-ES"/>
        </w:rPr>
      </w:pPr>
      <w:r w:rsidRPr="00694B9F">
        <w:rPr>
          <w:rFonts w:ascii="Verdana" w:eastAsia="Calibri" w:hAnsi="Verdana" w:cs="Arial"/>
          <w:lang w:val="es-ES"/>
        </w:rPr>
        <w:drawing>
          <wp:inline distT="0" distB="0" distL="0" distR="0" wp14:anchorId="2211CC5E" wp14:editId="1FD9EC38">
            <wp:extent cx="2772162" cy="781159"/>
            <wp:effectExtent l="0" t="0" r="9525" b="0"/>
            <wp:docPr id="19826115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611544" name=""/>
                    <pic:cNvPicPr/>
                  </pic:nvPicPr>
                  <pic:blipFill>
                    <a:blip r:embed="rId10"/>
                    <a:stretch>
                      <a:fillRect/>
                    </a:stretch>
                  </pic:blipFill>
                  <pic:spPr>
                    <a:xfrm>
                      <a:off x="0" y="0"/>
                      <a:ext cx="2772162" cy="781159"/>
                    </a:xfrm>
                    <a:prstGeom prst="rect">
                      <a:avLst/>
                    </a:prstGeom>
                  </pic:spPr>
                </pic:pic>
              </a:graphicData>
            </a:graphic>
          </wp:inline>
        </w:drawing>
      </w:r>
    </w:p>
    <w:p w14:paraId="3DBF5D3B" w14:textId="77777777" w:rsidR="00694B9F" w:rsidRDefault="00694B9F" w:rsidP="00694B9F">
      <w:pPr>
        <w:spacing w:after="0" w:line="240" w:lineRule="auto"/>
        <w:jc w:val="right"/>
        <w:rPr>
          <w:rFonts w:ascii="Verdana" w:eastAsia="Calibri" w:hAnsi="Verdana" w:cs="Arial"/>
          <w:lang w:val="es-ES" w:eastAsia="es-ES"/>
        </w:rPr>
      </w:pPr>
    </w:p>
    <w:p w14:paraId="54D64F25" w14:textId="3CAC6C31" w:rsidR="006A7453" w:rsidRPr="007E19FB" w:rsidRDefault="006A7453" w:rsidP="00694B9F">
      <w:pPr>
        <w:spacing w:after="0" w:line="240" w:lineRule="auto"/>
        <w:rPr>
          <w:rFonts w:ascii="Verdana" w:eastAsia="Calibri" w:hAnsi="Verdana" w:cs="Arial"/>
          <w:lang w:val="es-ES" w:eastAsia="es-ES"/>
        </w:rPr>
      </w:pPr>
      <w:r w:rsidRPr="007E19FB">
        <w:rPr>
          <w:rFonts w:ascii="Verdana" w:eastAsia="Calibri" w:hAnsi="Verdana" w:cs="Arial"/>
          <w:lang w:val="es-ES" w:eastAsia="es-ES"/>
        </w:rPr>
        <w:t>Señor</w:t>
      </w:r>
    </w:p>
    <w:p w14:paraId="3CA73102" w14:textId="77777777" w:rsidR="006A7453" w:rsidRPr="007E19FB" w:rsidRDefault="006A7453" w:rsidP="006A7453">
      <w:pPr>
        <w:spacing w:after="0" w:line="240" w:lineRule="auto"/>
        <w:rPr>
          <w:rFonts w:ascii="Verdana" w:eastAsia="Calibri" w:hAnsi="Verdana" w:cs="Arial"/>
          <w:b/>
          <w:lang w:val="es-ES" w:eastAsia="es-ES"/>
        </w:rPr>
      </w:pPr>
      <w:r w:rsidRPr="007E19FB">
        <w:rPr>
          <w:rFonts w:ascii="Verdana" w:eastAsia="Calibri" w:hAnsi="Verdana" w:cs="Arial"/>
          <w:b/>
          <w:lang w:val="es-ES" w:eastAsia="es-ES"/>
        </w:rPr>
        <w:t>Juan Diego Castro Bernal</w:t>
      </w:r>
    </w:p>
    <w:p w14:paraId="750FE926" w14:textId="77777777" w:rsidR="006A7453" w:rsidRPr="007E19FB" w:rsidRDefault="006A7453" w:rsidP="006A7453">
      <w:pPr>
        <w:spacing w:after="0" w:line="240" w:lineRule="auto"/>
        <w:rPr>
          <w:rFonts w:ascii="Verdana" w:eastAsia="Aptos" w:hAnsi="Verdana" w:cs="Arial"/>
        </w:rPr>
      </w:pPr>
      <w:hyperlink r:id="rId11" w:history="1">
        <w:r w:rsidRPr="007E19FB">
          <w:rPr>
            <w:rFonts w:ascii="Verdana" w:eastAsia="Aptos" w:hAnsi="Verdana" w:cs="Arial"/>
            <w:color w:val="467886"/>
            <w:u w:val="single"/>
          </w:rPr>
          <w:t>peticionesciudadania@gmail.com</w:t>
        </w:r>
      </w:hyperlink>
      <w:r w:rsidRPr="007E19FB">
        <w:rPr>
          <w:rFonts w:ascii="Verdana" w:eastAsia="Aptos" w:hAnsi="Verdana" w:cs="Arial"/>
        </w:rPr>
        <w:t xml:space="preserve"> </w:t>
      </w:r>
    </w:p>
    <w:p w14:paraId="7E704552" w14:textId="77777777" w:rsidR="006A7453" w:rsidRPr="007E19FB" w:rsidRDefault="006A7453" w:rsidP="006A7453">
      <w:pPr>
        <w:spacing w:after="0" w:line="240" w:lineRule="auto"/>
        <w:rPr>
          <w:rFonts w:ascii="Verdana" w:eastAsia="Calibri" w:hAnsi="Verdana" w:cs="Arial"/>
          <w:b/>
          <w:bCs/>
          <w:lang w:val="es-ES" w:eastAsia="es-ES"/>
        </w:rPr>
      </w:pPr>
      <w:r w:rsidRPr="007E19FB">
        <w:rPr>
          <w:rFonts w:ascii="Verdana" w:eastAsia="Calibri" w:hAnsi="Verdana" w:cs="Arial"/>
          <w:lang w:val="es-ES" w:eastAsia="es-ES"/>
        </w:rPr>
        <w:t>Ciudad</w:t>
      </w:r>
    </w:p>
    <w:p w14:paraId="342057FF" w14:textId="77777777" w:rsidR="006A7453" w:rsidRPr="007E19FB" w:rsidRDefault="006A7453" w:rsidP="006A745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7453" w:rsidRPr="007E19FB" w14:paraId="73995457" w14:textId="77777777" w:rsidTr="00523CBD">
        <w:trPr>
          <w:trHeight w:val="884"/>
        </w:trPr>
        <w:tc>
          <w:tcPr>
            <w:tcW w:w="2689" w:type="dxa"/>
          </w:tcPr>
          <w:p w14:paraId="57DC9931" w14:textId="77777777" w:rsidR="006A7453" w:rsidRPr="007E19FB" w:rsidRDefault="006A7453" w:rsidP="00523CBD">
            <w:pPr>
              <w:jc w:val="both"/>
              <w:rPr>
                <w:rFonts w:ascii="Verdana" w:eastAsia="Calibri" w:hAnsi="Verdana" w:cs="Arial"/>
                <w:b/>
                <w:bCs/>
                <w:lang w:val="es-ES_tradnl" w:eastAsia="es-ES_tradnl"/>
              </w:rPr>
            </w:pPr>
          </w:p>
        </w:tc>
        <w:tc>
          <w:tcPr>
            <w:tcW w:w="6100" w:type="dxa"/>
          </w:tcPr>
          <w:p w14:paraId="44EDD88C" w14:textId="77777777" w:rsidR="006A7453" w:rsidRPr="007E19FB" w:rsidRDefault="006A7453" w:rsidP="00523CBD">
            <w:pPr>
              <w:jc w:val="both"/>
              <w:rPr>
                <w:rFonts w:ascii="Verdana" w:eastAsia="Calibri" w:hAnsi="Verdana" w:cs="Arial"/>
                <w:b/>
                <w:bCs/>
                <w:lang w:val="es-ES" w:eastAsia="es-ES"/>
              </w:rPr>
            </w:pPr>
            <w:r w:rsidRPr="007E19FB">
              <w:rPr>
                <w:rFonts w:ascii="Verdana" w:eastAsia="Calibri" w:hAnsi="Verdana" w:cs="Arial"/>
                <w:b/>
                <w:bCs/>
                <w:lang w:val="es-ES" w:eastAsia="es-ES"/>
              </w:rPr>
              <w:t>Concepto C-341 de 2026</w:t>
            </w:r>
          </w:p>
        </w:tc>
      </w:tr>
      <w:tr w:rsidR="006A7453" w:rsidRPr="007E19FB" w14:paraId="0A4DC1A0" w14:textId="77777777" w:rsidTr="00523CBD">
        <w:trPr>
          <w:trHeight w:val="884"/>
        </w:trPr>
        <w:tc>
          <w:tcPr>
            <w:tcW w:w="2689" w:type="dxa"/>
          </w:tcPr>
          <w:p w14:paraId="5C457382" w14:textId="77777777" w:rsidR="006A7453" w:rsidRPr="007E19FB" w:rsidRDefault="006A7453" w:rsidP="00523CBD">
            <w:pPr>
              <w:jc w:val="both"/>
              <w:rPr>
                <w:rFonts w:ascii="Verdana" w:eastAsia="Calibri" w:hAnsi="Verdana" w:cs="Arial"/>
                <w:lang w:val="es-ES_tradnl" w:eastAsia="es-ES_tradnl"/>
              </w:rPr>
            </w:pPr>
            <w:r w:rsidRPr="007E19FB">
              <w:rPr>
                <w:rFonts w:ascii="Verdana" w:eastAsia="Calibri" w:hAnsi="Verdana" w:cs="Arial"/>
                <w:b/>
                <w:lang w:val="es-ES_tradnl" w:eastAsia="es-ES_tradnl"/>
              </w:rPr>
              <w:t>Temas:</w:t>
            </w:r>
            <w:r w:rsidRPr="007E19FB">
              <w:rPr>
                <w:rFonts w:ascii="Verdana" w:eastAsia="Calibri" w:hAnsi="Verdana" w:cs="Arial"/>
                <w:lang w:val="es-ES_tradnl" w:eastAsia="es-ES_tradnl"/>
              </w:rPr>
              <w:t xml:space="preserve">                   </w:t>
            </w:r>
          </w:p>
        </w:tc>
        <w:tc>
          <w:tcPr>
            <w:tcW w:w="6100" w:type="dxa"/>
          </w:tcPr>
          <w:p w14:paraId="6F6D1D43" w14:textId="77777777" w:rsidR="006A7453" w:rsidRPr="007E19FB" w:rsidRDefault="006A7453" w:rsidP="00523CBD">
            <w:pPr>
              <w:spacing w:line="276" w:lineRule="auto"/>
              <w:jc w:val="both"/>
              <w:rPr>
                <w:rFonts w:ascii="Verdana" w:eastAsia="Calibri" w:hAnsi="Verdana" w:cs="Arial"/>
                <w:lang w:val="es-ES" w:eastAsia="es-ES"/>
              </w:rPr>
            </w:pPr>
            <w:r w:rsidRPr="007E19FB">
              <w:rPr>
                <w:rFonts w:ascii="Verdana" w:eastAsia="Calibri" w:hAnsi="Verdana" w:cs="Arial"/>
                <w:lang w:val="es-ES" w:eastAsia="es-ES"/>
              </w:rPr>
              <w:t xml:space="preserve">CONTRATOS ESTATALES – Noción – Listado enunciativo – Aplicación derecho privado/ CONTRATO DE ARRENDAMIENTO – Noción – Modalidad de selección aplicable - Bienes inmuebles – </w:t>
            </w:r>
          </w:p>
          <w:p w14:paraId="480887C7" w14:textId="77777777" w:rsidR="006A7453" w:rsidRPr="007E19FB" w:rsidRDefault="006A7453" w:rsidP="00523CBD">
            <w:pPr>
              <w:spacing w:line="276" w:lineRule="auto"/>
              <w:jc w:val="both"/>
              <w:rPr>
                <w:rFonts w:ascii="Verdana" w:eastAsia="Calibri" w:hAnsi="Verdana" w:cs="Arial"/>
                <w:lang w:val="es-ES" w:eastAsia="es-ES"/>
              </w:rPr>
            </w:pPr>
          </w:p>
        </w:tc>
      </w:tr>
    </w:tbl>
    <w:p w14:paraId="6409D2EA" w14:textId="77777777" w:rsidR="006A7453" w:rsidRPr="007E19FB" w:rsidRDefault="006A7453" w:rsidP="006A7453">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7453" w:rsidRPr="007E19FB" w14:paraId="13AB471E" w14:textId="77777777" w:rsidTr="00523CBD">
        <w:tc>
          <w:tcPr>
            <w:tcW w:w="2689" w:type="dxa"/>
          </w:tcPr>
          <w:p w14:paraId="67ED5943" w14:textId="77777777" w:rsidR="006A7453" w:rsidRPr="007E19FB" w:rsidRDefault="006A7453" w:rsidP="00523CBD">
            <w:pPr>
              <w:jc w:val="both"/>
              <w:rPr>
                <w:rFonts w:ascii="Verdana" w:eastAsia="Calibri" w:hAnsi="Verdana" w:cs="Arial"/>
                <w:b/>
                <w:lang w:val="es-ES_tradnl" w:eastAsia="es-ES_tradnl"/>
              </w:rPr>
            </w:pPr>
            <w:r w:rsidRPr="007E19FB">
              <w:rPr>
                <w:rFonts w:ascii="Verdana" w:eastAsia="Calibri" w:hAnsi="Verdana" w:cs="Arial"/>
                <w:b/>
                <w:lang w:val="es-ES_tradnl" w:eastAsia="es-ES_tradnl"/>
              </w:rPr>
              <w:t>Radicación:</w:t>
            </w:r>
            <w:r w:rsidRPr="007E19FB">
              <w:rPr>
                <w:rFonts w:ascii="Verdana" w:eastAsia="Calibri" w:hAnsi="Verdana" w:cs="Arial"/>
                <w:lang w:val="es-ES_tradnl" w:eastAsia="es-ES_tradnl"/>
              </w:rPr>
              <w:t xml:space="preserve">               </w:t>
            </w:r>
          </w:p>
        </w:tc>
        <w:tc>
          <w:tcPr>
            <w:tcW w:w="6100" w:type="dxa"/>
          </w:tcPr>
          <w:p w14:paraId="17863BA7" w14:textId="77777777" w:rsidR="006A7453" w:rsidRPr="007E19FB" w:rsidRDefault="006A7453" w:rsidP="00523CBD">
            <w:pPr>
              <w:jc w:val="both"/>
              <w:rPr>
                <w:rFonts w:ascii="Verdana" w:eastAsia="Calibri" w:hAnsi="Verdana" w:cs="Arial"/>
                <w:lang w:val="es-ES_tradnl" w:eastAsia="es-ES_tradnl"/>
              </w:rPr>
            </w:pPr>
            <w:r w:rsidRPr="007E19FB">
              <w:rPr>
                <w:rFonts w:ascii="Verdana" w:eastAsia="Calibri" w:hAnsi="Verdana" w:cs="Arial"/>
                <w:lang w:val="es-ES_tradnl" w:eastAsia="es-ES_tradnl"/>
              </w:rPr>
              <w:t>Respuesta a consulta con radicado No. 1_2026_03_03_002952</w:t>
            </w:r>
          </w:p>
        </w:tc>
      </w:tr>
    </w:tbl>
    <w:p w14:paraId="2CD40E62" w14:textId="77777777" w:rsidR="006A7453" w:rsidRPr="007E19FB" w:rsidRDefault="006A7453" w:rsidP="006A7453">
      <w:pPr>
        <w:spacing w:after="0" w:line="240" w:lineRule="auto"/>
        <w:jc w:val="both"/>
        <w:rPr>
          <w:rFonts w:ascii="Verdana" w:eastAsia="Calibri" w:hAnsi="Verdana" w:cs="Arial"/>
          <w:lang w:val="es-ES_tradnl" w:eastAsia="es-ES_tradnl"/>
        </w:rPr>
      </w:pPr>
    </w:p>
    <w:p w14:paraId="5E38A030" w14:textId="77777777" w:rsidR="006A7453" w:rsidRPr="007E19FB" w:rsidRDefault="006A7453" w:rsidP="006A7453">
      <w:pPr>
        <w:spacing w:after="0" w:line="240" w:lineRule="auto"/>
        <w:jc w:val="both"/>
        <w:rPr>
          <w:rFonts w:ascii="Verdana" w:eastAsia="Calibri" w:hAnsi="Verdana" w:cs="Arial"/>
          <w:lang w:val="es-ES_tradnl" w:eastAsia="es-ES_tradnl"/>
        </w:rPr>
      </w:pPr>
    </w:p>
    <w:p w14:paraId="3D66426E" w14:textId="77777777" w:rsidR="006A7453" w:rsidRPr="007E19FB" w:rsidRDefault="006A7453" w:rsidP="006A7453">
      <w:pPr>
        <w:spacing w:after="0" w:line="276" w:lineRule="auto"/>
        <w:jc w:val="both"/>
        <w:rPr>
          <w:rFonts w:ascii="Verdana" w:eastAsia="Calibri" w:hAnsi="Verdana" w:cs="Arial"/>
          <w:lang w:val="es-ES" w:eastAsia="es-ES"/>
        </w:rPr>
      </w:pPr>
      <w:r w:rsidRPr="007E19FB">
        <w:rPr>
          <w:rFonts w:ascii="Verdana" w:eastAsia="Calibri" w:hAnsi="Verdana" w:cs="Arial"/>
          <w:lang w:val="es-ES" w:eastAsia="es-ES"/>
        </w:rPr>
        <w:t xml:space="preserve">Estimando Señor Castro: </w:t>
      </w:r>
    </w:p>
    <w:p w14:paraId="170F4C82" w14:textId="77777777" w:rsidR="006A7453" w:rsidRPr="007E19FB" w:rsidRDefault="006A7453" w:rsidP="006A7453">
      <w:pPr>
        <w:tabs>
          <w:tab w:val="left" w:pos="3768"/>
        </w:tabs>
        <w:spacing w:after="0" w:line="276" w:lineRule="auto"/>
        <w:jc w:val="both"/>
        <w:rPr>
          <w:rFonts w:ascii="Verdana" w:eastAsia="Calibri" w:hAnsi="Verdana" w:cs="Arial"/>
          <w:lang w:val="es-ES" w:eastAsia="es-ES"/>
        </w:rPr>
      </w:pPr>
    </w:p>
    <w:p w14:paraId="40F6C2D6" w14:textId="77777777" w:rsidR="006A7453" w:rsidRPr="007E19FB" w:rsidRDefault="006A7453" w:rsidP="006A7453">
      <w:pPr>
        <w:spacing w:after="0" w:line="276" w:lineRule="auto"/>
        <w:jc w:val="both"/>
        <w:rPr>
          <w:rFonts w:ascii="Verdana" w:eastAsia="Calibri" w:hAnsi="Verdana" w:cs="Arial"/>
          <w:lang w:val="es-ES" w:eastAsia="es-ES"/>
        </w:rPr>
      </w:pPr>
      <w:r w:rsidRPr="007E19FB">
        <w:rPr>
          <w:rFonts w:ascii="Verdana" w:eastAsia="Calibri" w:hAnsi="Verdana" w:cs="Arial"/>
          <w:lang w:val="es-ES" w:eastAsia="es-ES"/>
        </w:rPr>
        <w:t>En ejercicio de la competencia otorgada por los artículos 3, numeral 5º, y 11, numeral 8º, del Decreto Ley 4170 de 2011,</w:t>
      </w:r>
      <w:r w:rsidRPr="007E19FB">
        <w:rPr>
          <w:rFonts w:ascii="Verdana" w:eastAsia="Arial MT" w:hAnsi="Verdana" w:cs="Arial MT"/>
          <w:lang w:val="es-ES" w:eastAsia="es-ES"/>
        </w:rPr>
        <w:t xml:space="preserve"> </w:t>
      </w:r>
      <w:r w:rsidRPr="007E19FB">
        <w:rPr>
          <w:rFonts w:ascii="Verdana" w:eastAsia="Aptos" w:hAnsi="Verdana" w:cs="Arial"/>
        </w:rPr>
        <w:t xml:space="preserve">así como lo establecido en el artículo 4 de la Resolución 1707 de 2018 expedida por esta Entidad, </w:t>
      </w:r>
      <w:r w:rsidRPr="007E19FB">
        <w:rPr>
          <w:rFonts w:ascii="Verdana" w:eastAsia="Calibri" w:hAnsi="Verdana" w:cs="Arial"/>
          <w:lang w:val="es-ES" w:eastAsia="es-ES"/>
        </w:rPr>
        <w:t xml:space="preserve">la Agencia Nacional de Contratación Pública – Colombia Compra Eficiente– responde su petición del 03 de marzo de 2026, en la que realiza las siguientes preguntas: </w:t>
      </w:r>
    </w:p>
    <w:p w14:paraId="559D5AA4" w14:textId="77777777" w:rsidR="006A7453" w:rsidRPr="007E19FB" w:rsidRDefault="006A7453" w:rsidP="006A7453">
      <w:pPr>
        <w:spacing w:after="0" w:line="276" w:lineRule="auto"/>
        <w:jc w:val="both"/>
        <w:rPr>
          <w:rFonts w:ascii="Verdana" w:eastAsia="Calibri" w:hAnsi="Verdana" w:cs="Arial"/>
          <w:lang w:val="es-ES" w:eastAsia="es-ES"/>
        </w:rPr>
      </w:pPr>
    </w:p>
    <w:p w14:paraId="10AB29AF" w14:textId="77777777" w:rsidR="006A7453" w:rsidRPr="007E19FB" w:rsidRDefault="006A7453" w:rsidP="006A7453">
      <w:pPr>
        <w:spacing w:after="0" w:line="240" w:lineRule="auto"/>
        <w:ind w:left="709" w:right="709"/>
        <w:jc w:val="both"/>
        <w:rPr>
          <w:rFonts w:ascii="Verdana" w:eastAsia="Calibri" w:hAnsi="Verdana" w:cs="Arial"/>
          <w:sz w:val="20"/>
          <w:szCs w:val="20"/>
          <w:lang w:val="es-MX"/>
        </w:rPr>
      </w:pPr>
      <w:r w:rsidRPr="007E19FB">
        <w:rPr>
          <w:rFonts w:ascii="Verdana" w:eastAsia="Calibri" w:hAnsi="Verdana" w:cs="Arial"/>
          <w:sz w:val="20"/>
          <w:szCs w:val="20"/>
          <w:lang w:val="es-MX"/>
        </w:rPr>
        <w:t>“1. ¿Es jurídicamente viable que una entidad, durante la vigencia de las restricciones previstas en la Ley de Garantías sobre contratación directa, en su condición de arrendadora, adelante un proceso competitivo de selección para la escogencia de un arrendatario de un inmueble?</w:t>
      </w:r>
    </w:p>
    <w:p w14:paraId="116AEBD4" w14:textId="77777777" w:rsidR="006A7453" w:rsidRPr="007E19FB" w:rsidRDefault="006A7453" w:rsidP="006A7453">
      <w:pPr>
        <w:spacing w:before="120" w:after="0" w:line="240" w:lineRule="auto"/>
        <w:ind w:left="709" w:right="709"/>
        <w:jc w:val="both"/>
        <w:rPr>
          <w:rFonts w:ascii="Verdana" w:eastAsia="Calibri" w:hAnsi="Verdana" w:cs="Arial"/>
          <w:sz w:val="20"/>
          <w:szCs w:val="20"/>
          <w:lang w:val="es-MX"/>
        </w:rPr>
      </w:pPr>
      <w:r w:rsidRPr="007E19FB">
        <w:rPr>
          <w:rFonts w:ascii="Verdana" w:eastAsia="Calibri" w:hAnsi="Verdana" w:cs="Arial"/>
          <w:sz w:val="20"/>
          <w:szCs w:val="20"/>
          <w:lang w:val="es-MX"/>
        </w:rPr>
        <w:t xml:space="preserve">2. Respecto de la pregunta anterior y </w:t>
      </w:r>
      <w:proofErr w:type="gramStart"/>
      <w:r w:rsidRPr="007E19FB">
        <w:rPr>
          <w:rFonts w:ascii="Verdana" w:eastAsia="Calibri" w:hAnsi="Verdana" w:cs="Arial"/>
          <w:sz w:val="20"/>
          <w:szCs w:val="20"/>
          <w:lang w:val="es-MX"/>
        </w:rPr>
        <w:t>en caso que</w:t>
      </w:r>
      <w:proofErr w:type="gramEnd"/>
      <w:r w:rsidRPr="007E19FB">
        <w:rPr>
          <w:rFonts w:ascii="Verdana" w:eastAsia="Calibri" w:hAnsi="Verdana" w:cs="Arial"/>
          <w:sz w:val="20"/>
          <w:szCs w:val="20"/>
          <w:lang w:val="es-MX"/>
        </w:rPr>
        <w:t xml:space="preserve"> resulte viable, atendiendo que la cuantía del valor to</w:t>
      </w:r>
      <w:r>
        <w:rPr>
          <w:rFonts w:ascii="Verdana" w:eastAsia="Calibri" w:hAnsi="Verdana" w:cs="Arial"/>
          <w:sz w:val="20"/>
          <w:szCs w:val="20"/>
          <w:lang w:val="es-MX"/>
        </w:rPr>
        <w:t>t</w:t>
      </w:r>
      <w:r w:rsidRPr="007E19FB">
        <w:rPr>
          <w:rFonts w:ascii="Verdana" w:eastAsia="Calibri" w:hAnsi="Verdana" w:cs="Arial"/>
          <w:sz w:val="20"/>
          <w:szCs w:val="20"/>
          <w:lang w:val="es-MX"/>
        </w:rPr>
        <w:t xml:space="preserve">al del contrato no supera el diez por </w:t>
      </w:r>
      <w:r w:rsidRPr="007E19FB">
        <w:rPr>
          <w:rFonts w:ascii="Verdana" w:eastAsia="Calibri" w:hAnsi="Verdana" w:cs="Arial"/>
          <w:sz w:val="20"/>
          <w:szCs w:val="20"/>
          <w:lang w:val="es-MX"/>
        </w:rPr>
        <w:lastRenderedPageBreak/>
        <w:t>ciento (10%) de la menor cuantía de la entidad, ¿sería viable emplear la mínima cuantía?</w:t>
      </w:r>
    </w:p>
    <w:p w14:paraId="4DE5E1E8" w14:textId="77777777" w:rsidR="006A7453" w:rsidRPr="007E19FB" w:rsidRDefault="006A7453" w:rsidP="006A7453">
      <w:pPr>
        <w:spacing w:before="120" w:after="0" w:line="240" w:lineRule="auto"/>
        <w:ind w:left="709" w:right="709"/>
        <w:jc w:val="both"/>
        <w:rPr>
          <w:rFonts w:ascii="Verdana" w:eastAsia="Calibri" w:hAnsi="Verdana" w:cs="Arial"/>
          <w:sz w:val="20"/>
          <w:szCs w:val="20"/>
          <w:lang w:val="es-MX"/>
        </w:rPr>
      </w:pPr>
      <w:r w:rsidRPr="007E19FB">
        <w:rPr>
          <w:rFonts w:ascii="Verdana" w:eastAsia="Calibri" w:hAnsi="Verdana" w:cs="Arial"/>
          <w:sz w:val="20"/>
          <w:szCs w:val="20"/>
          <w:lang w:val="es-MX"/>
        </w:rPr>
        <w:t>3. En caso de la respuesta ser afirmativa, ¿Qué criterios deben ser tenidos en cuenta por parte de la entidad para la correcta aplicación de dicha modalidad sobre el caso particular?” [sic]</w:t>
      </w:r>
    </w:p>
    <w:p w14:paraId="07185C79" w14:textId="77777777" w:rsidR="006A7453" w:rsidRPr="007E19FB" w:rsidRDefault="006A7453" w:rsidP="006A7453">
      <w:pPr>
        <w:spacing w:after="0" w:line="276" w:lineRule="auto"/>
        <w:jc w:val="both"/>
        <w:rPr>
          <w:rFonts w:ascii="Verdana" w:eastAsia="Calibri" w:hAnsi="Verdana" w:cs="Arial"/>
          <w:lang w:val="es-ES" w:eastAsia="es-ES"/>
        </w:rPr>
      </w:pPr>
    </w:p>
    <w:p w14:paraId="4CA0439B" w14:textId="77777777" w:rsidR="006A7453" w:rsidRPr="007E19FB" w:rsidRDefault="006A7453" w:rsidP="006A7453">
      <w:pPr>
        <w:spacing w:after="120" w:line="276" w:lineRule="auto"/>
        <w:jc w:val="both"/>
        <w:rPr>
          <w:rFonts w:ascii="Verdana" w:eastAsia="Calibri" w:hAnsi="Verdana" w:cs="Arial"/>
          <w:szCs w:val="24"/>
          <w:lang w:val="es-ES_tradnl" w:eastAsia="es-ES_tradnl"/>
        </w:rPr>
      </w:pPr>
      <w:r w:rsidRPr="007E19F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B4E6D3F" w14:textId="77777777" w:rsidR="006A7453" w:rsidRPr="007E19FB" w:rsidRDefault="006A7453" w:rsidP="006A7453">
      <w:pPr>
        <w:spacing w:after="0" w:line="276" w:lineRule="auto"/>
        <w:ind w:firstLine="709"/>
        <w:jc w:val="both"/>
        <w:rPr>
          <w:rFonts w:ascii="Verdana" w:eastAsia="Calibri" w:hAnsi="Verdana" w:cs="Arial"/>
          <w:lang w:val="es-ES" w:eastAsia="es-ES"/>
        </w:rPr>
      </w:pPr>
      <w:r w:rsidRPr="007E19F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AC1DEDB" w14:textId="77777777" w:rsidR="006A7453" w:rsidRPr="007E19FB" w:rsidRDefault="006A7453" w:rsidP="006A7453">
      <w:pPr>
        <w:spacing w:after="0" w:line="276" w:lineRule="auto"/>
        <w:ind w:firstLine="709"/>
        <w:jc w:val="both"/>
        <w:rPr>
          <w:rFonts w:ascii="Verdana" w:eastAsia="Calibri" w:hAnsi="Verdana" w:cs="Arial"/>
          <w:lang w:val="es-ES" w:eastAsia="es-ES"/>
        </w:rPr>
      </w:pPr>
    </w:p>
    <w:p w14:paraId="0A8F50A7" w14:textId="77777777" w:rsidR="006A7453" w:rsidRPr="007E19FB" w:rsidRDefault="006A7453" w:rsidP="006A7453">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7E19FB">
        <w:rPr>
          <w:rFonts w:ascii="Verdana" w:eastAsia="Arial" w:hAnsi="Verdana" w:cs="Arial"/>
          <w:b/>
          <w:bCs/>
          <w:lang w:val="es-ES"/>
        </w:rPr>
        <w:t>1. Problema planteado:</w:t>
      </w:r>
    </w:p>
    <w:p w14:paraId="3715C905" w14:textId="77777777" w:rsidR="006A7453" w:rsidRPr="007E19FB" w:rsidRDefault="006A7453" w:rsidP="006A7453">
      <w:pPr>
        <w:tabs>
          <w:tab w:val="left" w:pos="426"/>
        </w:tabs>
        <w:spacing w:after="0" w:line="276" w:lineRule="auto"/>
        <w:jc w:val="both"/>
        <w:rPr>
          <w:rFonts w:ascii="Verdana" w:eastAsia="Century Gothic" w:hAnsi="Verdana" w:cs="Century Gothic"/>
          <w:lang w:val="es-ES"/>
        </w:rPr>
      </w:pPr>
    </w:p>
    <w:p w14:paraId="59CDA10D" w14:textId="77777777" w:rsidR="006A7453" w:rsidRPr="007E19FB" w:rsidRDefault="006A7453" w:rsidP="006A7453">
      <w:pPr>
        <w:spacing w:after="0"/>
        <w:jc w:val="both"/>
        <w:rPr>
          <w:rFonts w:ascii="Verdana" w:eastAsia="Aptos" w:hAnsi="Verdana" w:cs="Arial"/>
        </w:rPr>
      </w:pPr>
      <w:r w:rsidRPr="007E19FB">
        <w:rPr>
          <w:rFonts w:ascii="Verdana" w:eastAsia="Century Gothic" w:hAnsi="Verdana" w:cs="Century Gothic"/>
        </w:rPr>
        <w:t xml:space="preserve">De acuerdo con el contenido de su solicitud, le informamos que la misma se resolverá desde el siguiente </w:t>
      </w:r>
      <w:bookmarkStart w:id="1" w:name="_Hlk171070029"/>
      <w:r w:rsidRPr="007E19FB">
        <w:rPr>
          <w:rFonts w:ascii="Verdana" w:eastAsia="Century Gothic" w:hAnsi="Verdana" w:cs="Century Gothic"/>
        </w:rPr>
        <w:t xml:space="preserve">interrogante: </w:t>
      </w:r>
      <w:r w:rsidRPr="007E19FB">
        <w:rPr>
          <w:rFonts w:ascii="Verdana" w:eastAsia="Aptos" w:hAnsi="Verdana" w:cs="Arial"/>
        </w:rPr>
        <w:t>¿Las Entidades Estatales pueden celebrar un contrato de arrendamiento de bienes inmuebles mediante modalidades de selección competitivas</w:t>
      </w:r>
      <w:r>
        <w:rPr>
          <w:rFonts w:ascii="Verdana" w:eastAsia="Aptos" w:hAnsi="Verdana" w:cs="Arial"/>
        </w:rPr>
        <w:t xml:space="preserve"> como la mínima cuantía</w:t>
      </w:r>
      <w:r w:rsidRPr="007E19FB">
        <w:rPr>
          <w:rFonts w:ascii="Verdana" w:eastAsia="Aptos" w:hAnsi="Verdana" w:cs="Arial"/>
        </w:rPr>
        <w:t>?</w:t>
      </w:r>
    </w:p>
    <w:p w14:paraId="40A86091" w14:textId="77777777" w:rsidR="006A7453" w:rsidRPr="007E19FB" w:rsidRDefault="006A7453" w:rsidP="006A7453">
      <w:pPr>
        <w:spacing w:after="0"/>
        <w:jc w:val="both"/>
        <w:rPr>
          <w:rFonts w:ascii="Verdana" w:eastAsia="Aptos" w:hAnsi="Verdana" w:cs="Arial"/>
        </w:rPr>
      </w:pPr>
    </w:p>
    <w:bookmarkEnd w:id="1"/>
    <w:p w14:paraId="168D6349" w14:textId="77777777" w:rsidR="006A7453" w:rsidRPr="007E19FB" w:rsidRDefault="006A7453" w:rsidP="006A7453">
      <w:pPr>
        <w:widowControl w:val="0"/>
        <w:autoSpaceDE w:val="0"/>
        <w:autoSpaceDN w:val="0"/>
        <w:spacing w:before="1" w:after="0" w:line="240" w:lineRule="auto"/>
        <w:jc w:val="both"/>
        <w:outlineLvl w:val="0"/>
        <w:rPr>
          <w:rFonts w:ascii="Verdana" w:eastAsia="Arial" w:hAnsi="Verdana" w:cs="Arial"/>
          <w:b/>
          <w:bCs/>
          <w:lang w:val="es-ES"/>
        </w:rPr>
      </w:pPr>
      <w:r w:rsidRPr="007E19FB">
        <w:rPr>
          <w:rFonts w:ascii="Verdana" w:eastAsia="Arial" w:hAnsi="Verdana" w:cs="Arial"/>
          <w:b/>
          <w:bCs/>
          <w:lang w:val="es-ES"/>
        </w:rPr>
        <w:t>2. Respuesta:</w:t>
      </w:r>
    </w:p>
    <w:p w14:paraId="49269B5F" w14:textId="77777777" w:rsidR="006A7453" w:rsidRPr="007E19FB" w:rsidRDefault="006A7453" w:rsidP="006A7453">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7453" w:rsidRPr="007E19FB" w14:paraId="506A1BEB" w14:textId="77777777" w:rsidTr="00523CBD">
        <w:tc>
          <w:tcPr>
            <w:tcW w:w="8828" w:type="dxa"/>
          </w:tcPr>
          <w:p w14:paraId="692359A9" w14:textId="77777777" w:rsidR="006A7453" w:rsidRDefault="006A7453" w:rsidP="00694B9F">
            <w:pPr>
              <w:spacing w:after="120" w:line="276" w:lineRule="auto"/>
              <w:jc w:val="both"/>
              <w:rPr>
                <w:rFonts w:ascii="Verdana" w:eastAsia="Times New Roman" w:hAnsi="Verdana" w:cs="Arial"/>
                <w:lang w:eastAsia="es-MX"/>
              </w:rPr>
            </w:pPr>
            <w:bookmarkStart w:id="2" w:name="_Hlk171067516"/>
            <w:r>
              <w:rPr>
                <w:rFonts w:ascii="Verdana" w:eastAsia="Times New Roman" w:hAnsi="Verdana" w:cs="Arial"/>
                <w:lang w:eastAsia="es-MX"/>
              </w:rPr>
              <w:t>El literal i) del artículo 2.4 de la Ley 1150 de 2011 permite la contratación directa tratándose de “</w:t>
            </w:r>
            <w:r w:rsidRPr="002835CA">
              <w:rPr>
                <w:rFonts w:ascii="Verdana" w:eastAsia="Times New Roman" w:hAnsi="Verdana" w:cs="Arial"/>
                <w:lang w:eastAsia="es-MX"/>
              </w:rPr>
              <w:t xml:space="preserve">El arrendamiento </w:t>
            </w:r>
            <w:r>
              <w:rPr>
                <w:rFonts w:ascii="Verdana" w:eastAsia="Times New Roman" w:hAnsi="Verdana" w:cs="Arial"/>
                <w:lang w:eastAsia="es-MX"/>
              </w:rPr>
              <w:t>[…]</w:t>
            </w:r>
            <w:r w:rsidRPr="002835CA">
              <w:rPr>
                <w:rFonts w:ascii="Verdana" w:eastAsia="Times New Roman" w:hAnsi="Verdana" w:cs="Arial"/>
                <w:lang w:eastAsia="es-MX"/>
              </w:rPr>
              <w:t xml:space="preserve"> de inmuebles</w:t>
            </w:r>
            <w:r>
              <w:rPr>
                <w:rFonts w:ascii="Verdana" w:eastAsia="Times New Roman" w:hAnsi="Verdana" w:cs="Arial"/>
                <w:lang w:eastAsia="es-MX"/>
              </w:rPr>
              <w:t xml:space="preserve">”. </w:t>
            </w:r>
            <w:r w:rsidRPr="00460F02">
              <w:rPr>
                <w:rFonts w:ascii="Verdana" w:eastAsia="Times New Roman" w:hAnsi="Verdana" w:cs="Arial"/>
                <w:lang w:eastAsia="es-MX"/>
              </w:rPr>
              <w:t xml:space="preserve">Esta causal hereda la tradición histórica de los artículos 31.7 y 43.6 de los derogados Decretos </w:t>
            </w:r>
            <w:r w:rsidRPr="00460F02">
              <w:rPr>
                <w:rFonts w:ascii="Verdana" w:eastAsia="Times New Roman" w:hAnsi="Verdana" w:cs="Arial"/>
                <w:lang w:eastAsia="es-MX"/>
              </w:rPr>
              <w:lastRenderedPageBreak/>
              <w:t>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Pr>
                <w:rFonts w:ascii="Verdana" w:eastAsia="Times New Roman" w:hAnsi="Verdana" w:cs="Arial"/>
                <w:lang w:eastAsia="es-MX"/>
              </w:rPr>
              <w:t xml:space="preserve"> </w:t>
            </w:r>
          </w:p>
          <w:p w14:paraId="0C33938C" w14:textId="77777777" w:rsidR="006A7453" w:rsidRPr="00DA7D42" w:rsidRDefault="006A7453" w:rsidP="00523CBD">
            <w:pPr>
              <w:spacing w:after="120" w:line="276" w:lineRule="auto"/>
              <w:ind w:firstLine="737"/>
              <w:jc w:val="both"/>
              <w:rPr>
                <w:rFonts w:ascii="Verdana" w:eastAsia="Calibri" w:hAnsi="Verdana" w:cs="Arial"/>
                <w:lang w:val="es-ES"/>
              </w:rPr>
            </w:pPr>
            <w:r>
              <w:rPr>
                <w:rFonts w:ascii="Verdana" w:eastAsia="Calibri" w:hAnsi="Verdana" w:cs="Arial"/>
                <w:lang w:val="es-ES"/>
              </w:rPr>
              <w:t xml:space="preserve">Cuando </w:t>
            </w:r>
            <w:r w:rsidRPr="00F04E54">
              <w:rPr>
                <w:rFonts w:ascii="Verdana" w:eastAsia="Calibri" w:hAnsi="Verdana" w:cs="Arial"/>
                <w:lang w:val="es-ES"/>
              </w:rPr>
              <w:t>la entidad estatal actú</w:t>
            </w:r>
            <w:r>
              <w:rPr>
                <w:rFonts w:ascii="Verdana" w:eastAsia="Calibri" w:hAnsi="Verdana" w:cs="Arial"/>
                <w:lang w:val="es-ES"/>
              </w:rPr>
              <w:t>e</w:t>
            </w:r>
            <w:r w:rsidRPr="00F04E54">
              <w:rPr>
                <w:rFonts w:ascii="Verdana" w:eastAsia="Calibri" w:hAnsi="Verdana" w:cs="Arial"/>
                <w:lang w:val="es-ES"/>
              </w:rPr>
              <w:t xml:space="preserve"> como arrendadora </w:t>
            </w:r>
            <w:r>
              <w:rPr>
                <w:rFonts w:ascii="Verdana" w:eastAsia="Calibri" w:hAnsi="Verdana" w:cs="Arial"/>
                <w:lang w:val="es-ES"/>
              </w:rPr>
              <w:t xml:space="preserve">puede evaluar si, debido a lo explicado en los párrafos anteriores, es conveniente </w:t>
            </w:r>
            <w:r w:rsidRPr="00F04E54">
              <w:rPr>
                <w:rFonts w:ascii="Verdana" w:eastAsia="Calibri" w:hAnsi="Verdana" w:cs="Arial"/>
                <w:lang w:val="es-ES"/>
              </w:rPr>
              <w:t>adelantar una convocatoria pública</w:t>
            </w:r>
            <w:r>
              <w:rPr>
                <w:rFonts w:ascii="Verdana" w:eastAsia="Calibri" w:hAnsi="Verdana" w:cs="Arial"/>
                <w:lang w:val="es-ES"/>
              </w:rPr>
              <w:t xml:space="preserve"> en garantía del principio de libre concurrencia. No obstante, lo cierto </w:t>
            </w:r>
            <w:r w:rsidRPr="00396C85">
              <w:rPr>
                <w:rFonts w:ascii="Verdana" w:eastAsia="Calibri" w:hAnsi="Verdana" w:cs="Arial"/>
                <w:lang w:val="es-ES"/>
              </w:rPr>
              <w:t>es que</w:t>
            </w:r>
            <w:r>
              <w:rPr>
                <w:rFonts w:ascii="Verdana" w:eastAsia="Calibri" w:hAnsi="Verdana" w:cs="Arial"/>
                <w:lang w:val="es-ES"/>
              </w:rPr>
              <w:t xml:space="preserve"> –dentro del marco normativo vigente–</w:t>
            </w:r>
            <w:r w:rsidRPr="00396C85">
              <w:rPr>
                <w:rFonts w:ascii="Verdana" w:eastAsia="Calibri" w:hAnsi="Verdana" w:cs="Arial"/>
                <w:lang w:val="es-ES"/>
              </w:rPr>
              <w:t xml:space="preserve"> </w:t>
            </w:r>
            <w:r>
              <w:rPr>
                <w:rFonts w:ascii="Verdana" w:eastAsia="Calibri" w:hAnsi="Verdana" w:cs="Arial"/>
                <w:lang w:val="es-ES"/>
              </w:rPr>
              <w:t>las entidades públicas son</w:t>
            </w:r>
            <w:r w:rsidRPr="00396C85">
              <w:rPr>
                <w:rFonts w:ascii="Verdana" w:eastAsia="Calibri" w:hAnsi="Verdana" w:cs="Arial"/>
                <w:lang w:val="es-ES"/>
              </w:rPr>
              <w:t xml:space="preserve"> autónoma</w:t>
            </w:r>
            <w:r>
              <w:rPr>
                <w:rFonts w:ascii="Verdana" w:eastAsia="Calibri" w:hAnsi="Verdana" w:cs="Arial"/>
                <w:lang w:val="es-ES"/>
              </w:rPr>
              <w:t>s</w:t>
            </w:r>
            <w:r w:rsidRPr="00396C85">
              <w:rPr>
                <w:rFonts w:ascii="Verdana" w:eastAsia="Calibri" w:hAnsi="Verdana" w:cs="Arial"/>
                <w:lang w:val="es-ES"/>
              </w:rPr>
              <w:t xml:space="preserve"> y responsable</w:t>
            </w:r>
            <w:r>
              <w:rPr>
                <w:rFonts w:ascii="Verdana" w:eastAsia="Calibri" w:hAnsi="Verdana" w:cs="Arial"/>
                <w:lang w:val="es-ES"/>
              </w:rPr>
              <w:t>s</w:t>
            </w:r>
            <w:r w:rsidRPr="00396C85">
              <w:rPr>
                <w:rFonts w:ascii="Verdana" w:eastAsia="Calibri" w:hAnsi="Verdana" w:cs="Arial"/>
                <w:lang w:val="es-ES"/>
              </w:rPr>
              <w:t xml:space="preserve"> </w:t>
            </w:r>
            <w:r>
              <w:rPr>
                <w:rFonts w:ascii="Verdana" w:eastAsia="Calibri" w:hAnsi="Verdana" w:cs="Arial"/>
                <w:lang w:val="es-ES"/>
              </w:rPr>
              <w:t xml:space="preserve">tanto </w:t>
            </w:r>
            <w:r w:rsidRPr="00396C85">
              <w:rPr>
                <w:rFonts w:ascii="Verdana" w:eastAsia="Calibri" w:hAnsi="Verdana" w:cs="Arial"/>
                <w:lang w:val="es-ES"/>
              </w:rPr>
              <w:t>de la estructuración de sus procesos de contratación</w:t>
            </w:r>
            <w:r>
              <w:rPr>
                <w:rFonts w:ascii="Verdana" w:eastAsia="Calibri" w:hAnsi="Verdana" w:cs="Arial"/>
                <w:lang w:val="es-ES"/>
              </w:rPr>
              <w:t xml:space="preserve"> </w:t>
            </w:r>
            <w:r w:rsidRPr="00396C85">
              <w:rPr>
                <w:rFonts w:ascii="Verdana" w:eastAsia="Calibri" w:hAnsi="Verdana" w:cs="Arial"/>
                <w:lang w:val="es-ES"/>
              </w:rPr>
              <w:t xml:space="preserve">como </w:t>
            </w:r>
            <w:r>
              <w:rPr>
                <w:rFonts w:ascii="Verdana" w:eastAsia="Calibri" w:hAnsi="Verdana" w:cs="Arial"/>
                <w:lang w:val="es-ES"/>
              </w:rPr>
              <w:t xml:space="preserve">de </w:t>
            </w:r>
            <w:r w:rsidRPr="00396C85">
              <w:rPr>
                <w:rFonts w:ascii="Verdana" w:eastAsia="Calibri" w:hAnsi="Verdana" w:cs="Arial"/>
                <w:lang w:val="es-ES"/>
              </w:rPr>
              <w:t xml:space="preserve">determinar la modalidad de selección </w:t>
            </w:r>
            <w:r>
              <w:rPr>
                <w:rFonts w:ascii="Verdana" w:eastAsia="Calibri" w:hAnsi="Verdana" w:cs="Arial"/>
                <w:lang w:val="es-ES"/>
              </w:rPr>
              <w:t>aplicable para suplir sus necesidades.</w:t>
            </w:r>
          </w:p>
          <w:p w14:paraId="31B00B98" w14:textId="77777777" w:rsidR="006A7453" w:rsidRDefault="006A7453" w:rsidP="00523CBD">
            <w:pPr>
              <w:spacing w:before="120" w:line="276" w:lineRule="auto"/>
              <w:ind w:firstLine="709"/>
              <w:jc w:val="both"/>
              <w:rPr>
                <w:rFonts w:ascii="Verdana" w:eastAsia="Calibri" w:hAnsi="Verdana" w:cs="Arial"/>
                <w:lang w:val="es-ES"/>
              </w:rPr>
            </w:pPr>
            <w:r w:rsidRPr="00DA7D42">
              <w:rPr>
                <w:rFonts w:ascii="Verdana" w:eastAsia="Calibri" w:hAnsi="Verdana" w:cs="Arial"/>
                <w:lang w:val="es-ES"/>
              </w:rPr>
              <w:t>Ahora bien</w:t>
            </w:r>
            <w:r>
              <w:rPr>
                <w:rFonts w:ascii="Verdana" w:eastAsia="Calibri" w:hAnsi="Verdana" w:cs="Arial"/>
                <w:lang w:val="es-ES"/>
              </w:rPr>
              <w:t>, resulta a bien</w:t>
            </w:r>
            <w:r w:rsidRPr="00CB4D28">
              <w:rPr>
                <w:rFonts w:ascii="Verdana" w:eastAsia="Calibri" w:hAnsi="Verdana" w:cs="Arial"/>
                <w:lang w:val="es-ES"/>
              </w:rPr>
              <w:t xml:space="preserve"> precisa</w:t>
            </w:r>
            <w:r>
              <w:rPr>
                <w:rFonts w:ascii="Verdana" w:eastAsia="Calibri" w:hAnsi="Verdana" w:cs="Arial"/>
                <w:lang w:val="es-ES"/>
              </w:rPr>
              <w:t>r</w:t>
            </w:r>
            <w:r w:rsidRPr="00CB4D28">
              <w:rPr>
                <w:rFonts w:ascii="Verdana" w:eastAsia="Calibri" w:hAnsi="Verdana" w:cs="Arial"/>
                <w:lang w:val="es-ES"/>
              </w:rPr>
              <w:t xml:space="preserve"> </w:t>
            </w:r>
            <w:r>
              <w:rPr>
                <w:rFonts w:ascii="Verdana" w:eastAsia="Calibri" w:hAnsi="Verdana" w:cs="Arial"/>
                <w:lang w:val="es-ES"/>
              </w:rPr>
              <w:t>que</w:t>
            </w:r>
            <w:r w:rsidRPr="00CB4D28">
              <w:rPr>
                <w:rFonts w:ascii="Verdana" w:eastAsia="Calibri" w:hAnsi="Verdana" w:cs="Arial"/>
                <w:lang w:val="es-ES"/>
              </w:rPr>
              <w:t xml:space="preserve"> la modalidad de selección de mínima cuantía dispuesta el numeral 5 del artículo 2 </w:t>
            </w:r>
            <w:r>
              <w:rPr>
                <w:rFonts w:ascii="Verdana" w:eastAsia="Calibri" w:hAnsi="Verdana" w:cs="Arial"/>
                <w:lang w:val="es-ES"/>
              </w:rPr>
              <w:t xml:space="preserve">de la </w:t>
            </w:r>
            <w:r>
              <w:rPr>
                <w:rFonts w:ascii="Verdana" w:eastAsia="Times New Roman" w:hAnsi="Verdana" w:cs="Arial"/>
                <w:lang w:eastAsia="es-MX"/>
              </w:rPr>
              <w:t>Ley 1150 de 2011</w:t>
            </w:r>
            <w:r w:rsidRPr="00CB4D28">
              <w:rPr>
                <w:rFonts w:ascii="Verdana" w:eastAsia="Calibri" w:hAnsi="Verdana" w:cs="Arial"/>
                <w:lang w:val="es-ES"/>
              </w:rPr>
              <w:t>, permite “la contratación cuyo valor no excede del diez por ciento (10 %) de la menor cuantía de la entidad independientemente de su objeto […]”. En consecuencia, la procedencia de dicha modalidad de contratación dependerá de un factor determinante, esto es la “cuantía” del contrato que se pretende celebrar</w:t>
            </w:r>
            <w:r>
              <w:rPr>
                <w:rFonts w:ascii="Verdana" w:eastAsia="Calibri" w:hAnsi="Verdana" w:cs="Arial"/>
                <w:lang w:val="es-ES"/>
              </w:rPr>
              <w:t>. Empero, las Entidades Estatales de manera previa al desarrollo de procesos a través de esta, deberán analizar si las necesidades que pretenden satisfacer se encausan o no en las situaciones fácticas y jurídicas dispuestas para otra modalidad de selección, por lo que, en caso de que sí, deberán tramitar el proceso de contratación mediante la modalidad que resulte aplicable.</w:t>
            </w:r>
          </w:p>
          <w:p w14:paraId="49B9A6BA" w14:textId="77777777" w:rsidR="006A7453" w:rsidRPr="007E19FB" w:rsidRDefault="006A7453" w:rsidP="00523CBD">
            <w:pPr>
              <w:spacing w:before="120" w:line="276" w:lineRule="auto"/>
              <w:ind w:firstLine="709"/>
              <w:jc w:val="both"/>
              <w:rPr>
                <w:rFonts w:ascii="Verdana" w:eastAsia="Calibri" w:hAnsi="Verdana" w:cs="Arial"/>
                <w:lang w:val="es-ES"/>
              </w:rPr>
            </w:pPr>
            <w:r w:rsidRPr="007E19FB">
              <w:rPr>
                <w:rFonts w:ascii="Verdana" w:eastAsia="Calibri" w:hAnsi="Verdana" w:cs="Arial"/>
                <w:lang w:val="es-ES"/>
              </w:rPr>
              <w:t>Por otro lado, y teniendo en cuenta que actualmente se encuentran vigentes las restricciones contractuales contenidas en la en el artículo 33 de la Le</w:t>
            </w:r>
            <w:r w:rsidRPr="007E19FB">
              <w:rPr>
                <w:rFonts w:ascii="Verdana" w:eastAsia="Calibri" w:hAnsi="Verdana" w:cs="Arial"/>
                <w:bCs/>
                <w:lang w:val="es-ES_tradnl"/>
              </w:rPr>
              <w:t xml:space="preserve">y de Garantías Electorales –Ley 996 de 2005–, debe tenerse presente que esta </w:t>
            </w:r>
            <w:r w:rsidRPr="007E19FB">
              <w:rPr>
                <w:rFonts w:ascii="Verdana" w:eastAsia="Calibri" w:hAnsi="Verdana" w:cs="Arial"/>
                <w:color w:val="000000"/>
                <w:lang w:val="es-ES"/>
              </w:rPr>
              <w:t xml:space="preserve">prohíbe </w:t>
            </w:r>
            <w:r w:rsidRPr="007E19FB">
              <w:rPr>
                <w:rFonts w:ascii="Verdana" w:eastAsia="Calibri" w:hAnsi="Verdana" w:cs="Arial"/>
                <w:lang w:val="es-ES"/>
              </w:rPr>
              <w:t>“[…] la contratación directa por parte de todos los entes del Estado”, salvo las excepciones allí dispuestas. En ese sentido, debe entenderse que para efectos de la referida restricción, “contratación directa” es cualquier sistema de selección o procedimiento de contratación utilizado por las Entidades Estatales que no incluya la convocatoria pública en alguna de sus etapas, ni permita la participación de una pluralidad de oferentes.</w:t>
            </w:r>
          </w:p>
          <w:p w14:paraId="723E059C" w14:textId="77777777" w:rsidR="006A7453" w:rsidRPr="007E19FB" w:rsidRDefault="006A7453" w:rsidP="00523CBD">
            <w:pPr>
              <w:spacing w:before="120" w:line="276" w:lineRule="auto"/>
              <w:ind w:firstLine="709"/>
              <w:jc w:val="both"/>
              <w:rPr>
                <w:rFonts w:ascii="Verdana" w:eastAsia="Times New Roman" w:hAnsi="Verdana" w:cs="Arial"/>
                <w:color w:val="000000"/>
                <w:bdr w:val="none" w:sz="0" w:space="0" w:color="auto" w:frame="1"/>
                <w:shd w:val="clear" w:color="auto" w:fill="FFFFFF"/>
                <w:lang w:val="es-ES" w:eastAsia="es-ES_tradnl"/>
              </w:rPr>
            </w:pPr>
            <w:r w:rsidRPr="007E19FB">
              <w:rPr>
                <w:rFonts w:ascii="Verdana" w:eastAsia="Calibri" w:hAnsi="Verdana" w:cs="Arial"/>
                <w:lang w:val="es-ES"/>
              </w:rPr>
              <w:lastRenderedPageBreak/>
              <w:t>En conclusión, todos los entes del Estado,</w:t>
            </w:r>
            <w:r w:rsidRPr="007E19FB">
              <w:rPr>
                <w:rFonts w:ascii="Calibri" w:eastAsia="Calibri" w:hAnsi="Calibri" w:cs="Times New Roman"/>
              </w:rPr>
              <w:t xml:space="preserve"> </w:t>
            </w:r>
            <w:r w:rsidRPr="007E19FB">
              <w:rPr>
                <w:rFonts w:ascii="Verdana" w:eastAsia="Calibri" w:hAnsi="Verdana" w:cs="Arial"/>
                <w:lang w:val="es-ES"/>
              </w:rPr>
              <w:t xml:space="preserve">independiente del régimen jurídico de contratación aplicable, están sujetos a la restricción del artículo 33 ibidem, es decir, no podrán adelantar procesos que impliquen contratación directa respecto de las elecciones presidenciales, dentro de los cuatro (4) meses anteriores a la celebración de los comicios, salvo las excepciones dispuestas en esta. </w:t>
            </w:r>
          </w:p>
        </w:tc>
      </w:tr>
      <w:bookmarkEnd w:id="2"/>
    </w:tbl>
    <w:p w14:paraId="11BDF618" w14:textId="77777777" w:rsidR="006A7453" w:rsidRPr="007E19FB" w:rsidRDefault="006A7453" w:rsidP="006A7453">
      <w:pPr>
        <w:widowControl w:val="0"/>
        <w:autoSpaceDE w:val="0"/>
        <w:autoSpaceDN w:val="0"/>
        <w:spacing w:before="1" w:after="0" w:line="240" w:lineRule="auto"/>
        <w:ind w:left="360" w:hanging="360"/>
        <w:outlineLvl w:val="0"/>
        <w:rPr>
          <w:rFonts w:ascii="Verdana" w:eastAsia="Arial" w:hAnsi="Verdana" w:cs="Arial"/>
          <w:b/>
        </w:rPr>
      </w:pPr>
    </w:p>
    <w:p w14:paraId="3F96A387" w14:textId="77777777" w:rsidR="006A7453" w:rsidRPr="007E19FB" w:rsidRDefault="006A7453" w:rsidP="006A7453">
      <w:pPr>
        <w:widowControl w:val="0"/>
        <w:autoSpaceDE w:val="0"/>
        <w:autoSpaceDN w:val="0"/>
        <w:spacing w:before="1" w:after="0" w:line="240" w:lineRule="auto"/>
        <w:ind w:left="360" w:hanging="360"/>
        <w:outlineLvl w:val="0"/>
        <w:rPr>
          <w:rFonts w:ascii="Verdana" w:eastAsia="Arial" w:hAnsi="Verdana" w:cs="Arial"/>
          <w:b/>
          <w:bCs/>
          <w:lang w:val="es-ES"/>
        </w:rPr>
      </w:pPr>
      <w:r w:rsidRPr="007E19FB">
        <w:rPr>
          <w:rFonts w:ascii="Verdana" w:eastAsia="Arial" w:hAnsi="Verdana" w:cs="Arial"/>
          <w:b/>
          <w:bCs/>
          <w:lang w:val="es-ES"/>
        </w:rPr>
        <w:t>3. Razones de la respuesta</w:t>
      </w:r>
    </w:p>
    <w:p w14:paraId="110C3D59" w14:textId="77777777" w:rsidR="006A7453" w:rsidRPr="007E19FB" w:rsidRDefault="006A7453" w:rsidP="006A7453">
      <w:pPr>
        <w:spacing w:after="0" w:line="276" w:lineRule="auto"/>
        <w:jc w:val="both"/>
        <w:rPr>
          <w:rFonts w:ascii="Verdana" w:eastAsia="Calibri" w:hAnsi="Verdana" w:cs="Arial"/>
          <w:lang w:val="es-ES"/>
        </w:rPr>
      </w:pPr>
    </w:p>
    <w:p w14:paraId="1D9A47DD" w14:textId="77777777" w:rsidR="006A7453" w:rsidRPr="007E19FB" w:rsidRDefault="006A7453" w:rsidP="006A7453">
      <w:pPr>
        <w:spacing w:after="0" w:line="276" w:lineRule="auto"/>
        <w:jc w:val="both"/>
        <w:rPr>
          <w:rFonts w:ascii="Verdana" w:eastAsia="Calibri" w:hAnsi="Verdana" w:cs="Arial"/>
          <w:lang w:val="es-ES"/>
        </w:rPr>
      </w:pPr>
      <w:r w:rsidRPr="007E19FB">
        <w:rPr>
          <w:rFonts w:ascii="Verdana" w:eastAsia="Calibri" w:hAnsi="Verdana" w:cs="Arial"/>
          <w:lang w:val="es-ES"/>
        </w:rPr>
        <w:t xml:space="preserve">Las respuestas anteriores se sustentan en las siguientes consideraciones: </w:t>
      </w:r>
    </w:p>
    <w:p w14:paraId="42C3BC88" w14:textId="77777777" w:rsidR="006A7453" w:rsidRPr="007E19FB" w:rsidRDefault="006A7453" w:rsidP="006A7453">
      <w:pPr>
        <w:spacing w:after="0" w:line="276" w:lineRule="auto"/>
        <w:jc w:val="both"/>
        <w:rPr>
          <w:rFonts w:ascii="Verdana" w:eastAsia="Calibri" w:hAnsi="Verdana" w:cs="Arial"/>
          <w:lang w:val="es-ES"/>
        </w:rPr>
      </w:pPr>
    </w:p>
    <w:p w14:paraId="6A247FAD" w14:textId="77777777" w:rsidR="006A7453" w:rsidRPr="007E19FB" w:rsidRDefault="006A7453" w:rsidP="006A7453">
      <w:pPr>
        <w:spacing w:after="0" w:line="276" w:lineRule="auto"/>
        <w:jc w:val="both"/>
        <w:rPr>
          <w:rFonts w:ascii="Verdana" w:eastAsia="Arial" w:hAnsi="Verdana" w:cs="Arial"/>
          <w:color w:val="000000"/>
          <w:lang w:val="es-ES"/>
        </w:rPr>
      </w:pPr>
      <w:r w:rsidRPr="007E19FB">
        <w:rPr>
          <w:rFonts w:ascii="Verdana" w:eastAsia="Calibri" w:hAnsi="Verdana" w:cs="Arial"/>
          <w:lang w:val="es-ES"/>
        </w:rPr>
        <w:t xml:space="preserve">De manera preliminar, debe precisarse que el contrato estatal se identifica por el criterio orgánico subjetivo, de manera que </w:t>
      </w:r>
      <w:r w:rsidRPr="007E19FB">
        <w:rPr>
          <w:rFonts w:ascii="Verdana" w:eastAsia="Calibri" w:hAnsi="Verdana" w:cs="Arial"/>
          <w:bCs/>
        </w:rPr>
        <w:t>–</w:t>
      </w:r>
      <w:proofErr w:type="spellStart"/>
      <w:r w:rsidRPr="007E19FB">
        <w:rPr>
          <w:rFonts w:ascii="Verdana" w:eastAsia="Calibri" w:hAnsi="Verdana" w:cs="Arial"/>
          <w:bCs/>
        </w:rPr>
        <w:t>como</w:t>
      </w:r>
      <w:proofErr w:type="spellEnd"/>
      <w:r w:rsidRPr="007E19FB">
        <w:rPr>
          <w:rFonts w:ascii="Verdana" w:eastAsia="Calibri" w:hAnsi="Verdana" w:cs="Arial"/>
          <w:bCs/>
        </w:rPr>
        <w:t xml:space="preserve"> explica el Consejo de Estado– el “[…] </w:t>
      </w:r>
      <w:r w:rsidRPr="007E19FB">
        <w:rPr>
          <w:rFonts w:ascii="Verdana" w:eastAsia="Arial" w:hAnsi="Verdana" w:cs="Arial"/>
          <w:color w:val="000000"/>
          <w:lang w:val="es-ES"/>
        </w:rPr>
        <w:t>elemento esencial para calificar de estatal un contrato, es que haya sido celebrado por una entidad estatal, es decir, una entidad pública con capacidad legal para celebrarlo […]”</w:t>
      </w:r>
      <w:r w:rsidRPr="007E19FB">
        <w:rPr>
          <w:rFonts w:ascii="Verdana" w:eastAsia="Arial" w:hAnsi="Verdana" w:cs="Arial"/>
          <w:color w:val="000000"/>
          <w:vertAlign w:val="superscript"/>
          <w:lang w:val="es-ES"/>
        </w:rPr>
        <w:footnoteReference w:id="1"/>
      </w:r>
      <w:r w:rsidRPr="007E19FB">
        <w:rPr>
          <w:rFonts w:ascii="Verdana" w:eastAsia="Arial" w:hAnsi="Verdana" w:cs="Arial"/>
          <w:color w:val="000000"/>
          <w:lang w:val="es-ES"/>
        </w:rPr>
        <w:t>.</w:t>
      </w:r>
      <w:r w:rsidRPr="007E19FB">
        <w:rPr>
          <w:rFonts w:ascii="Verdana" w:eastAsia="Calibri" w:hAnsi="Verdana" w:cs="Arial"/>
          <w:bCs/>
          <w:lang w:val="es-ES"/>
        </w:rPr>
        <w:t xml:space="preserve"> </w:t>
      </w:r>
      <w:r w:rsidRPr="007E19FB">
        <w:rPr>
          <w:rFonts w:ascii="Verdana" w:eastAsia="Arial" w:hAnsi="Verdana" w:cs="Arial"/>
          <w:color w:val="000000"/>
          <w:lang w:val="es-ES"/>
        </w:rPr>
        <w:t>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7E19FB">
        <w:rPr>
          <w:rFonts w:ascii="Verdana" w:eastAsia="Arial" w:hAnsi="Verdana" w:cs="Arial"/>
          <w:color w:val="000000"/>
          <w:vertAlign w:val="superscript"/>
          <w:lang w:val="es-ES"/>
        </w:rPr>
        <w:footnoteReference w:id="2"/>
      </w:r>
      <w:r w:rsidRPr="007E19FB">
        <w:rPr>
          <w:rFonts w:ascii="Verdana" w:eastAsia="Arial" w:hAnsi="Verdana" w:cs="Arial"/>
          <w:color w:val="000000"/>
          <w:lang w:val="es-ES"/>
        </w:rPr>
        <w:t xml:space="preserve">.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w:t>
      </w:r>
      <w:r w:rsidRPr="007E19FB">
        <w:rPr>
          <w:rFonts w:ascii="Verdana" w:eastAsia="Arial" w:hAnsi="Verdana" w:cs="Arial"/>
          <w:color w:val="000000"/>
          <w:lang w:val="es-ES"/>
        </w:rPr>
        <w:lastRenderedPageBreak/>
        <w:t>que, puede ser suscrito por entidades públicas con regímenes especiales de contratación, caso en el cual se tratará de un contrato estatal de régimen exceptuado</w:t>
      </w:r>
      <w:r w:rsidRPr="007E19FB">
        <w:rPr>
          <w:rFonts w:ascii="Verdana" w:eastAsia="Arial" w:hAnsi="Verdana" w:cs="Arial"/>
          <w:color w:val="000000"/>
          <w:vertAlign w:val="superscript"/>
          <w:lang w:val="es-ES"/>
        </w:rPr>
        <w:footnoteReference w:id="3"/>
      </w:r>
      <w:r w:rsidRPr="007E19FB">
        <w:rPr>
          <w:rFonts w:ascii="Verdana" w:eastAsia="Arial" w:hAnsi="Verdana" w:cs="Arial"/>
          <w:color w:val="000000"/>
          <w:lang w:val="es-ES"/>
        </w:rPr>
        <w:t>.</w:t>
      </w:r>
    </w:p>
    <w:p w14:paraId="1542FAA0" w14:textId="77777777" w:rsidR="006A7453" w:rsidRPr="007E19FB" w:rsidRDefault="006A7453" w:rsidP="006A7453">
      <w:pPr>
        <w:spacing w:before="120" w:after="0" w:line="276" w:lineRule="auto"/>
        <w:jc w:val="both"/>
        <w:rPr>
          <w:rFonts w:ascii="Verdana" w:eastAsia="Arial" w:hAnsi="Verdana" w:cs="Arial"/>
          <w:color w:val="000000"/>
          <w:lang w:val="es-ES"/>
        </w:rPr>
      </w:pPr>
      <w:r w:rsidRPr="007E19FB">
        <w:rPr>
          <w:rFonts w:ascii="Verdana" w:eastAsia="Arial" w:hAnsi="Verdana" w:cs="Arial"/>
          <w:color w:val="000000"/>
          <w:lang w:val="es-ES"/>
        </w:rPr>
        <w:tab/>
        <w:t>Tratándose de Entidades Estatales sujetas al Estatuto General de Contratación de la Administración Pública, en adelante EGCAP, el artículo 32 de la Ley 80 de 1993, define como contratos estatales los de obra, consultoría, prestación de servicios, concesión, encargos fiduciarios y fiducia pública. Sin embargo, se trata de un listado enunciativo, pues la Ley 80 de 1993 se integra con las tipologías contractuales previstas en el derecho privado. Por ello, el inciso primero del artículo 13 ibidem dispone que “Los contratos que celebren las entidades a que se refiere el artículo 2o. del presente estatuto se regirán por las disposiciones comerciales y civiles pertinentes, salvo en las materias particularmente reguladas en esta ley”.</w:t>
      </w:r>
    </w:p>
    <w:p w14:paraId="45957962" w14:textId="77777777" w:rsidR="006A7453" w:rsidRPr="007E19FB" w:rsidRDefault="006A7453" w:rsidP="006A7453">
      <w:pPr>
        <w:spacing w:before="120" w:after="0" w:line="276" w:lineRule="auto"/>
        <w:jc w:val="both"/>
        <w:rPr>
          <w:rFonts w:ascii="Verdana" w:eastAsia="Calibri" w:hAnsi="Verdana" w:cs="Arial"/>
          <w:lang w:val="es-ES"/>
        </w:rPr>
      </w:pPr>
      <w:r w:rsidRPr="007E19FB">
        <w:rPr>
          <w:rFonts w:ascii="Verdana" w:eastAsia="Calibri" w:hAnsi="Verdana" w:cs="Arial"/>
          <w:lang w:val="es-ES"/>
        </w:rPr>
        <w:tab/>
        <w:t xml:space="preserve">De esta forma, </w:t>
      </w:r>
      <w:r w:rsidRPr="007E19FB">
        <w:rPr>
          <w:rFonts w:ascii="Verdana" w:eastAsia="Calibri" w:hAnsi="Verdana" w:cs="Arial"/>
        </w:rPr>
        <w:t>los contratos de las entidades sometidas al EGCAP se rigen generalmente por el derecho privado y excepcionalmente por el derecho público, pues las normas civiles y comerciales son el derecho común de los contratos estatales</w:t>
      </w:r>
      <w:r w:rsidRPr="007E19FB">
        <w:rPr>
          <w:rFonts w:ascii="Verdana" w:eastAsia="Calibri" w:hAnsi="Verdana" w:cs="Arial"/>
          <w:vertAlign w:val="superscript"/>
        </w:rPr>
        <w:footnoteReference w:id="4"/>
      </w:r>
      <w:r w:rsidRPr="007E19FB">
        <w:rPr>
          <w:rFonts w:ascii="Verdana" w:eastAsia="Calibri" w:hAnsi="Verdana" w:cs="Arial"/>
        </w:rPr>
        <w:t>. Para la doctrina, la mixtura del régimen contractual:</w:t>
      </w:r>
    </w:p>
    <w:p w14:paraId="125E735B" w14:textId="77777777" w:rsidR="006A7453" w:rsidRPr="007E19FB" w:rsidRDefault="006A7453" w:rsidP="006A7453">
      <w:pPr>
        <w:spacing w:after="0" w:line="276" w:lineRule="auto"/>
        <w:ind w:firstLine="709"/>
        <w:jc w:val="both"/>
        <w:rPr>
          <w:rFonts w:ascii="Verdana" w:eastAsia="Calibri" w:hAnsi="Verdana" w:cs="Arial"/>
        </w:rPr>
      </w:pPr>
    </w:p>
    <w:p w14:paraId="4C7C19DD" w14:textId="77777777" w:rsidR="006A7453" w:rsidRPr="007E19FB" w:rsidRDefault="006A7453" w:rsidP="006A7453">
      <w:pPr>
        <w:spacing w:after="0" w:line="240" w:lineRule="auto"/>
        <w:ind w:left="709" w:right="709"/>
        <w:jc w:val="both"/>
        <w:rPr>
          <w:rFonts w:ascii="Verdana" w:eastAsia="Calibri" w:hAnsi="Verdana" w:cs="Arial"/>
          <w:sz w:val="20"/>
          <w:szCs w:val="20"/>
        </w:rPr>
      </w:pPr>
      <w:r w:rsidRPr="007E19FB">
        <w:rPr>
          <w:rFonts w:ascii="Verdana" w:eastAsia="Calibri"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4FF908C7" w14:textId="77777777" w:rsidR="006A7453" w:rsidRPr="007E19FB" w:rsidRDefault="006A7453" w:rsidP="006A7453">
      <w:pPr>
        <w:spacing w:after="0" w:line="240" w:lineRule="auto"/>
        <w:ind w:right="709"/>
        <w:jc w:val="both"/>
        <w:rPr>
          <w:rFonts w:ascii="Verdana" w:eastAsia="Calibri" w:hAnsi="Verdana" w:cs="Arial"/>
          <w:sz w:val="12"/>
          <w:szCs w:val="12"/>
        </w:rPr>
      </w:pPr>
      <w:r w:rsidRPr="007E19FB">
        <w:rPr>
          <w:rFonts w:ascii="Verdana" w:eastAsia="Calibri" w:hAnsi="Verdana" w:cs="Arial"/>
          <w:sz w:val="21"/>
          <w:szCs w:val="21"/>
        </w:rPr>
        <w:tab/>
      </w:r>
    </w:p>
    <w:p w14:paraId="1FD29DCD" w14:textId="77777777" w:rsidR="006A7453" w:rsidRPr="007E19FB" w:rsidRDefault="006A7453" w:rsidP="006A7453">
      <w:pPr>
        <w:spacing w:after="0" w:line="240" w:lineRule="auto"/>
        <w:ind w:left="709" w:right="709"/>
        <w:jc w:val="both"/>
        <w:rPr>
          <w:rFonts w:ascii="Verdana" w:eastAsia="Calibri" w:hAnsi="Verdana" w:cs="Arial"/>
          <w:sz w:val="20"/>
          <w:szCs w:val="20"/>
        </w:rPr>
      </w:pPr>
      <w:r w:rsidRPr="007E19FB">
        <w:rPr>
          <w:rFonts w:ascii="Verdana" w:eastAsia="Calibri" w:hAnsi="Verdana" w:cs="Arial"/>
          <w:sz w:val="20"/>
          <w:szCs w:val="20"/>
        </w:rPr>
        <w:lastRenderedPageBreak/>
        <w:t>En otras palabras, extremos como los indicados no son ni de derecho público ni de derecho privado, sino, simplemente, de derecho propio, aplicables a toda relación contractual, con prescindencia de la naturaleza de los sujetos involucrados en la misma”</w:t>
      </w:r>
      <w:r w:rsidRPr="007E19FB">
        <w:rPr>
          <w:rFonts w:ascii="Verdana" w:eastAsia="Calibri" w:hAnsi="Verdana" w:cs="Arial"/>
          <w:sz w:val="20"/>
          <w:szCs w:val="20"/>
          <w:vertAlign w:val="superscript"/>
        </w:rPr>
        <w:footnoteReference w:id="5"/>
      </w:r>
      <w:r w:rsidRPr="007E19FB">
        <w:rPr>
          <w:rFonts w:ascii="Verdana" w:eastAsia="Calibri" w:hAnsi="Verdana" w:cs="Arial"/>
          <w:sz w:val="20"/>
          <w:szCs w:val="20"/>
        </w:rPr>
        <w:t xml:space="preserve">. </w:t>
      </w:r>
    </w:p>
    <w:p w14:paraId="6DFC7D56" w14:textId="77777777" w:rsidR="006A7453" w:rsidRPr="007E19FB" w:rsidRDefault="006A7453" w:rsidP="006A7453">
      <w:pPr>
        <w:spacing w:after="0" w:line="276" w:lineRule="auto"/>
        <w:ind w:left="709" w:right="709"/>
        <w:jc w:val="both"/>
        <w:rPr>
          <w:rFonts w:ascii="Verdana" w:eastAsia="Calibri" w:hAnsi="Verdana" w:cs="Arial"/>
        </w:rPr>
      </w:pPr>
    </w:p>
    <w:p w14:paraId="0A615178" w14:textId="77777777" w:rsidR="006A7453" w:rsidRDefault="006A7453" w:rsidP="006A7453">
      <w:pPr>
        <w:spacing w:after="0" w:line="276" w:lineRule="auto"/>
        <w:jc w:val="both"/>
        <w:rPr>
          <w:rFonts w:ascii="Verdana" w:eastAsia="Calibri" w:hAnsi="Verdana" w:cs="Arial"/>
        </w:rPr>
      </w:pPr>
      <w:r w:rsidRPr="007E19FB">
        <w:rPr>
          <w:rFonts w:ascii="Verdana" w:eastAsia="Calibri" w:hAnsi="Verdana" w:cs="Arial"/>
        </w:rPr>
        <w:tab/>
        <w:t>Ello no implica una privatización absoluta del régimen contractual de las Entidades Estatales,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arrendamiento se encuentra tipificado en el Código Civil y allí se encuentra gran parte de su régimen jurídico, sin perjuicio de normas especiales sobre la materia.</w:t>
      </w:r>
    </w:p>
    <w:p w14:paraId="527F1A92" w14:textId="77777777" w:rsidR="006A7453" w:rsidRPr="007E19FB" w:rsidRDefault="006A7453" w:rsidP="006A7453">
      <w:pPr>
        <w:spacing w:after="0" w:line="276" w:lineRule="auto"/>
        <w:jc w:val="both"/>
        <w:rPr>
          <w:rFonts w:ascii="Verdana" w:eastAsia="Calibri" w:hAnsi="Verdana" w:cs="Arial"/>
        </w:rPr>
      </w:pPr>
    </w:p>
    <w:p w14:paraId="712B32CB" w14:textId="77777777" w:rsidR="006A7453" w:rsidRDefault="006A7453" w:rsidP="006A7453">
      <w:pPr>
        <w:tabs>
          <w:tab w:val="left" w:pos="142"/>
          <w:tab w:val="left" w:pos="426"/>
        </w:tabs>
        <w:spacing w:before="120" w:after="120" w:line="276" w:lineRule="auto"/>
        <w:contextualSpacing/>
        <w:jc w:val="both"/>
        <w:rPr>
          <w:rFonts w:ascii="Verdana" w:eastAsia="Calibri" w:hAnsi="Verdana" w:cs="Arial"/>
          <w:bCs/>
          <w:lang w:val="es-ES"/>
        </w:rPr>
      </w:pPr>
      <w:r w:rsidRPr="007E19FB">
        <w:rPr>
          <w:rFonts w:ascii="Verdana" w:eastAsia="Calibri" w:hAnsi="Verdana" w:cs="Arial"/>
        </w:rPr>
        <w:tab/>
      </w:r>
      <w:r w:rsidRPr="007E19FB">
        <w:rPr>
          <w:rFonts w:ascii="Verdana" w:eastAsia="Calibri" w:hAnsi="Verdana" w:cs="Arial"/>
        </w:rPr>
        <w:tab/>
      </w:r>
      <w:r w:rsidRPr="007E19FB">
        <w:rPr>
          <w:rFonts w:ascii="Verdana" w:eastAsia="Calibri" w:hAnsi="Verdana" w:cs="Arial"/>
        </w:rPr>
        <w:tab/>
        <w:t>En ese sentido, se tiene que el artículo 1973</w:t>
      </w:r>
      <w:r w:rsidRPr="007E19FB">
        <w:rPr>
          <w:rFonts w:ascii="Verdana" w:eastAsia="Calibri" w:hAnsi="Verdana" w:cs="Arial"/>
          <w:bCs/>
          <w:lang w:val="es-ES"/>
        </w:rPr>
        <w:t xml:space="preserve">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7E19FB">
        <w:rPr>
          <w:rFonts w:ascii="Verdana" w:eastAsia="Calibri" w:hAnsi="Verdana" w:cs="Arial"/>
          <w:bCs/>
          <w:vertAlign w:val="superscript"/>
          <w:lang w:val="es-ES"/>
        </w:rPr>
        <w:footnoteReference w:id="6"/>
      </w:r>
      <w:r w:rsidRPr="007E19FB">
        <w:rPr>
          <w:rFonts w:ascii="Verdana" w:eastAsia="Calibri" w:hAnsi="Verdana" w:cs="Arial"/>
          <w:bCs/>
          <w:lang w:val="es-ES"/>
        </w:rPr>
        <w:t>. Por tanto, se diferencia del contrato de compraventa en que no opera una transferencia del dominio del bien cuyo uso y goce se entrega.</w:t>
      </w:r>
    </w:p>
    <w:p w14:paraId="21489B32" w14:textId="77777777" w:rsidR="006A7453" w:rsidRPr="007E19FB" w:rsidRDefault="006A7453" w:rsidP="006A7453">
      <w:pPr>
        <w:tabs>
          <w:tab w:val="left" w:pos="142"/>
          <w:tab w:val="left" w:pos="426"/>
        </w:tabs>
        <w:spacing w:before="120" w:after="120" w:line="276" w:lineRule="auto"/>
        <w:contextualSpacing/>
        <w:jc w:val="both"/>
        <w:rPr>
          <w:rFonts w:ascii="Verdana" w:eastAsia="Calibri" w:hAnsi="Verdana" w:cs="Arial"/>
          <w:bCs/>
          <w:lang w:val="es-ES"/>
        </w:rPr>
      </w:pPr>
    </w:p>
    <w:p w14:paraId="797693F8" w14:textId="77777777" w:rsidR="006A7453" w:rsidRPr="007E19FB" w:rsidRDefault="006A7453" w:rsidP="006A7453">
      <w:pPr>
        <w:spacing w:after="0" w:line="276" w:lineRule="auto"/>
        <w:ind w:firstLine="709"/>
        <w:jc w:val="both"/>
        <w:rPr>
          <w:rFonts w:ascii="Verdana" w:eastAsia="Calibri" w:hAnsi="Verdana" w:cs="Arial"/>
          <w:bCs/>
          <w:lang w:val="es-ES"/>
        </w:rPr>
      </w:pPr>
      <w:r w:rsidRPr="007E19FB">
        <w:rPr>
          <w:rFonts w:ascii="Verdana" w:eastAsia="Calibri" w:hAnsi="Verdana" w:cs="Arial"/>
          <w:bCs/>
          <w:lang w:val="es-ES"/>
        </w:rPr>
        <w:t xml:space="preserve">En </w:t>
      </w:r>
      <w:r w:rsidRPr="007E19FB">
        <w:rPr>
          <w:rFonts w:ascii="Verdana" w:eastAsia="Calibri" w:hAnsi="Verdana" w:cs="Arial"/>
          <w:lang w:val="es-ES"/>
        </w:rPr>
        <w:t>cuanto</w:t>
      </w:r>
      <w:r w:rsidRPr="007E19FB">
        <w:rPr>
          <w:rFonts w:ascii="Verdana" w:eastAsia="Calibri" w:hAnsi="Verdana" w:cs="Arial"/>
          <w:bCs/>
          <w:lang w:val="es-ES"/>
        </w:rPr>
        <w:t xml:space="preserve"> a sus características, la doctrina ha indicado que el arrendamiento es un contrato: i) bilateral, pues ambas partes se obligan recíprocamente; </w:t>
      </w:r>
      <w:proofErr w:type="spellStart"/>
      <w:r w:rsidRPr="007E19FB">
        <w:rPr>
          <w:rFonts w:ascii="Verdana" w:eastAsia="Calibri" w:hAnsi="Verdana" w:cs="Arial"/>
          <w:bCs/>
          <w:lang w:val="es-ES"/>
        </w:rPr>
        <w:t>ii</w:t>
      </w:r>
      <w:proofErr w:type="spellEnd"/>
      <w:r w:rsidRPr="007E19FB">
        <w:rPr>
          <w:rFonts w:ascii="Verdana" w:eastAsia="Calibri" w:hAnsi="Verdana" w:cs="Arial"/>
          <w:bCs/>
          <w:lang w:val="es-ES"/>
        </w:rPr>
        <w:t>) consensual, dado que se perfecciona con el consentimiento</w:t>
      </w:r>
      <w:r w:rsidRPr="007E19FB">
        <w:rPr>
          <w:rFonts w:ascii="Verdana" w:eastAsia="Calibri" w:hAnsi="Verdana" w:cs="Arial"/>
          <w:bCs/>
          <w:vertAlign w:val="superscript"/>
          <w:lang w:val="es-ES"/>
        </w:rPr>
        <w:footnoteReference w:id="7"/>
      </w:r>
      <w:r w:rsidRPr="007E19FB">
        <w:rPr>
          <w:rFonts w:ascii="Verdana" w:eastAsia="Calibri" w:hAnsi="Verdana" w:cs="Arial"/>
          <w:bCs/>
          <w:lang w:val="es-ES"/>
        </w:rPr>
        <w:t xml:space="preserve">; </w:t>
      </w:r>
      <w:proofErr w:type="spellStart"/>
      <w:r w:rsidRPr="007E19FB">
        <w:rPr>
          <w:rFonts w:ascii="Verdana" w:eastAsia="Calibri" w:hAnsi="Verdana" w:cs="Arial"/>
          <w:bCs/>
          <w:lang w:val="es-ES"/>
        </w:rPr>
        <w:t>iii</w:t>
      </w:r>
      <w:proofErr w:type="spellEnd"/>
      <w:r w:rsidRPr="007E19FB">
        <w:rPr>
          <w:rFonts w:ascii="Verdana" w:eastAsia="Calibri" w:hAnsi="Verdana" w:cs="Arial"/>
          <w:bCs/>
          <w:lang w:val="es-ES"/>
        </w:rPr>
        <w:t xml:space="preserve">) oneroso, ya que ambas partes obtienen utilidades –el arrendatario, el uso y goce del bien, y el arrendador la renta o canon–; </w:t>
      </w:r>
      <w:proofErr w:type="spellStart"/>
      <w:r w:rsidRPr="007E19FB">
        <w:rPr>
          <w:rFonts w:ascii="Verdana" w:eastAsia="Calibri" w:hAnsi="Verdana" w:cs="Arial"/>
          <w:bCs/>
          <w:lang w:val="es-ES"/>
        </w:rPr>
        <w:t>iv</w:t>
      </w:r>
      <w:proofErr w:type="spellEnd"/>
      <w:r w:rsidRPr="007E19FB">
        <w:rPr>
          <w:rFonts w:ascii="Verdana" w:eastAsia="Calibri" w:hAnsi="Verdana" w:cs="Arial"/>
          <w:bCs/>
          <w:lang w:val="es-ES"/>
        </w:rPr>
        <w:t>) de ejecución sucesiva, en la medida en que se ejecuta en forma periódica; v) principal, porque existe en forma autónoma; y v) nominado, porque está tipificado y desarrollado en la ley</w:t>
      </w:r>
      <w:r w:rsidRPr="007E19FB">
        <w:rPr>
          <w:rFonts w:ascii="Verdana" w:eastAsia="Calibri" w:hAnsi="Verdana" w:cs="Arial"/>
          <w:bCs/>
          <w:vertAlign w:val="superscript"/>
          <w:lang w:val="es-ES"/>
        </w:rPr>
        <w:footnoteReference w:id="8"/>
      </w:r>
      <w:r w:rsidRPr="007E19FB">
        <w:rPr>
          <w:rFonts w:ascii="Verdana" w:eastAsia="Calibri" w:hAnsi="Verdana" w:cs="Arial"/>
          <w:bCs/>
          <w:lang w:val="es-ES"/>
        </w:rPr>
        <w:t xml:space="preserve">. </w:t>
      </w:r>
    </w:p>
    <w:p w14:paraId="551783E2" w14:textId="77777777" w:rsidR="006A7453" w:rsidRPr="00EF0804" w:rsidRDefault="006A7453" w:rsidP="006A7453">
      <w:pPr>
        <w:spacing w:before="120" w:after="0" w:line="276" w:lineRule="auto"/>
        <w:ind w:firstLine="708"/>
        <w:jc w:val="both"/>
        <w:rPr>
          <w:rFonts w:ascii="Verdana" w:eastAsia="Calibri" w:hAnsi="Verdana" w:cs="Arial"/>
          <w:lang w:val="es-ES"/>
        </w:rPr>
      </w:pPr>
      <w:r w:rsidRPr="007E19FB">
        <w:rPr>
          <w:rFonts w:ascii="Verdana" w:eastAsia="Calibri" w:hAnsi="Verdana" w:cs="Arial"/>
          <w:bCs/>
          <w:lang w:val="es-ES"/>
        </w:rPr>
        <w:t xml:space="preserve">Ahora bien, y con el fin de atender el asunto bajo consulta, debe precisarse que para el caso de las Entidades Estatales sujetas al EGCAP, el literal i), del numeral 4 del artículo 2 de la Ley 1150 de 2007, estableció </w:t>
      </w:r>
      <w:r w:rsidRPr="007E19FB">
        <w:rPr>
          <w:rFonts w:ascii="Verdana" w:eastAsia="Calibri" w:hAnsi="Verdana" w:cs="Arial"/>
          <w:lang w:val="es-ES"/>
        </w:rPr>
        <w:t>la modalidad de contratación directa para “[e]l arrendamiento […] de inmuebles”, disposición que fue reiterada en el artículo 2.2.1.2.4.11 del Decreto 1082 de 2015 que en su tenor literal señaló que “[l]as Entidades Estatales pueden alquilar o arrendar inmuebles mediante contratación directa […]”.</w:t>
      </w:r>
      <w:r>
        <w:rPr>
          <w:rFonts w:ascii="Verdana" w:eastAsia="Calibri" w:hAnsi="Verdana" w:cs="Arial"/>
          <w:lang w:val="es-ES"/>
        </w:rPr>
        <w:t xml:space="preserve"> </w:t>
      </w:r>
      <w:r w:rsidRPr="007E19FB">
        <w:rPr>
          <w:rFonts w:ascii="Verdana" w:eastAsia="Calibri" w:hAnsi="Verdana" w:cs="Arial"/>
          <w:lang w:val="es-ES"/>
        </w:rPr>
        <w:t>Sin embargo,</w:t>
      </w:r>
      <w:r>
        <w:rPr>
          <w:rFonts w:ascii="Verdana" w:eastAsia="Calibri" w:hAnsi="Verdana" w:cs="Arial"/>
          <w:lang w:val="es-ES"/>
        </w:rPr>
        <w:t xml:space="preserve"> debe aclararse que,</w:t>
      </w:r>
      <w:r w:rsidRPr="007E19FB">
        <w:rPr>
          <w:rFonts w:ascii="Verdana" w:eastAsia="Calibri" w:hAnsi="Verdana" w:cs="Arial"/>
          <w:lang w:val="es-ES"/>
        </w:rPr>
        <w:t xml:space="preserve"> pese a que esta norma dispuso un vocablo facultativo con el verbo “pueden”, no podría interpretarse esto como una habilitación para que las Entidades Estatales desconozcan las reglas dispuestas por el Legislador en el literal i), del numeral 4 del artículo 2 de la Ley 1150 de 2007 para la celebración de contratos de arrendamiento de bienes inmuebles de manera directa, pues para cada modalidad de selección estableció situaciones fácticas y jurídicas que determinan su aplicación</w:t>
      </w:r>
      <w:r>
        <w:rPr>
          <w:rFonts w:ascii="Verdana" w:eastAsia="Aptos" w:hAnsi="Verdana" w:cs="Arial"/>
        </w:rPr>
        <w:t>.</w:t>
      </w:r>
    </w:p>
    <w:p w14:paraId="022B596F" w14:textId="77777777" w:rsidR="006A7453" w:rsidRDefault="006A7453" w:rsidP="006A7453">
      <w:pPr>
        <w:spacing w:before="120" w:after="120" w:line="276" w:lineRule="auto"/>
        <w:ind w:firstLine="709"/>
        <w:jc w:val="both"/>
        <w:rPr>
          <w:rFonts w:ascii="Verdana" w:eastAsia="Times New Roman" w:hAnsi="Verdana" w:cs="Arial"/>
          <w:bCs/>
          <w:lang w:val="es-MX" w:eastAsia="es-CO"/>
        </w:rPr>
      </w:pPr>
      <w:r w:rsidRPr="00BA2DFF">
        <w:rPr>
          <w:rFonts w:ascii="Verdana" w:eastAsia="Times New Roman" w:hAnsi="Verdana" w:cs="Arial"/>
          <w:bCs/>
          <w:lang w:val="es-MX" w:eastAsia="es-CO"/>
        </w:rPr>
        <w:t xml:space="preserve">En ese sentido, resulta a bien precisar que la modalidad de selección de mínima cuantía dispuesta el numeral 5 del artículo 2 ibidem, permite “la contratación cuyo valor no excede del diez por ciento (10 %) de la menor cuantía de la entidad independientemente de su objeto […]”. En consecuencia, la procedencia de dicha modalidad de contratación dependerá de un factor determinante, esto es la “cuantía” del contrato que se pretende celebrar. Empero, las Entidades Estatales de manera previa al desarrollo de procesos a través de esta, deberán analizar si las necesidades que pretenden satisfacer se encausan o no en las situaciones fácticas y jurídicas dispuestas </w:t>
      </w:r>
      <w:r>
        <w:rPr>
          <w:rFonts w:ascii="Verdana" w:eastAsia="Times New Roman" w:hAnsi="Verdana" w:cs="Arial"/>
          <w:bCs/>
          <w:lang w:val="es-MX" w:eastAsia="es-CO"/>
        </w:rPr>
        <w:t>para</w:t>
      </w:r>
      <w:r w:rsidRPr="00BA2DFF">
        <w:rPr>
          <w:rFonts w:ascii="Verdana" w:eastAsia="Times New Roman" w:hAnsi="Verdana" w:cs="Arial"/>
          <w:bCs/>
          <w:lang w:val="es-MX" w:eastAsia="es-CO"/>
        </w:rPr>
        <w:t xml:space="preserve"> otra </w:t>
      </w:r>
      <w:r w:rsidRPr="00BA2DFF">
        <w:rPr>
          <w:rFonts w:ascii="Verdana" w:eastAsia="Times New Roman" w:hAnsi="Verdana" w:cs="Arial"/>
          <w:bCs/>
          <w:lang w:val="es-MX" w:eastAsia="es-CO"/>
        </w:rPr>
        <w:lastRenderedPageBreak/>
        <w:t>modalidad de selección, por lo que, en caso de que sí, deberán tramitar el proceso de contratación mediante la modalidad que resulte aplicable.</w:t>
      </w:r>
    </w:p>
    <w:p w14:paraId="5412B31E" w14:textId="77777777" w:rsidR="006A7453" w:rsidRPr="007E19FB" w:rsidRDefault="006A7453" w:rsidP="006A7453">
      <w:pPr>
        <w:spacing w:before="120" w:after="0" w:line="276" w:lineRule="auto"/>
        <w:ind w:firstLine="709"/>
        <w:jc w:val="both"/>
        <w:rPr>
          <w:rFonts w:ascii="Verdana" w:eastAsia="Calibri" w:hAnsi="Verdana" w:cs="Arial"/>
          <w:bCs/>
        </w:rPr>
      </w:pPr>
      <w:r w:rsidRPr="007E19FB">
        <w:rPr>
          <w:rFonts w:ascii="Verdana" w:eastAsia="Calibri" w:hAnsi="Verdana" w:cs="Arial"/>
          <w:lang w:val="es-ES"/>
        </w:rPr>
        <w:t>Por otro lado, y teniendo en cuenta que actualmente se encuentran vigentes las restricciones contractuales contenidas en la en el artículo 33 de la Le</w:t>
      </w:r>
      <w:r w:rsidRPr="007E19FB">
        <w:rPr>
          <w:rFonts w:ascii="Verdana" w:eastAsia="Calibri" w:hAnsi="Verdana" w:cs="Arial"/>
          <w:bCs/>
          <w:lang w:val="es-ES_tradnl"/>
        </w:rPr>
        <w:t xml:space="preserve">y de Garantías Electorales –Ley 996 de 2005–, debe tenerse presente que esta </w:t>
      </w:r>
      <w:r w:rsidRPr="007E19FB">
        <w:rPr>
          <w:rFonts w:ascii="Verdana" w:eastAsia="Calibri" w:hAnsi="Verdana" w:cs="Arial"/>
          <w:color w:val="000000"/>
          <w:lang w:val="es-ES"/>
        </w:rPr>
        <w:t xml:space="preserve">prohíbe </w:t>
      </w:r>
      <w:r w:rsidRPr="007E19FB">
        <w:rPr>
          <w:rFonts w:ascii="Verdana" w:eastAsia="Calibri" w:hAnsi="Verdana" w:cs="Arial"/>
          <w:lang w:val="es-ES"/>
        </w:rPr>
        <w:t>“[…]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E19FB">
        <w:rPr>
          <w:rFonts w:ascii="Verdana" w:eastAsia="Calibri" w:hAnsi="Verdana" w:cs="Arial"/>
          <w:bCs/>
          <w:vertAlign w:val="superscript"/>
        </w:rPr>
        <w:footnoteReference w:id="9"/>
      </w:r>
      <w:r w:rsidRPr="007E19FB">
        <w:rPr>
          <w:rFonts w:ascii="Verdana" w:eastAsia="Calibri" w:hAnsi="Verdana" w:cs="Arial"/>
          <w:bCs/>
        </w:rPr>
        <w:t xml:space="preserve">. </w:t>
      </w:r>
    </w:p>
    <w:p w14:paraId="6C6E5DCA" w14:textId="77777777" w:rsidR="006A7453" w:rsidRPr="007E19FB" w:rsidRDefault="006A7453" w:rsidP="006A7453">
      <w:pPr>
        <w:spacing w:before="120" w:after="120" w:line="276" w:lineRule="auto"/>
        <w:ind w:firstLine="709"/>
        <w:jc w:val="both"/>
        <w:rPr>
          <w:rFonts w:ascii="Verdana" w:eastAsia="Times New Roman" w:hAnsi="Verdana" w:cs="Arial"/>
          <w:bCs/>
          <w:lang w:eastAsia="x-none"/>
        </w:rPr>
      </w:pPr>
      <w:r w:rsidRPr="007E19FB">
        <w:rPr>
          <w:rFonts w:ascii="Verdana" w:eastAsia="Times New Roman" w:hAnsi="Verdana" w:cs="Arial"/>
          <w:lang w:eastAsia="x-none"/>
        </w:rPr>
        <w:t xml:space="preserve">Dicha prohibición se refiere a </w:t>
      </w:r>
      <w:r w:rsidRPr="007E19FB">
        <w:rPr>
          <w:rFonts w:ascii="Verdana" w:eastAsia="Times New Roman" w:hAnsi="Verdana" w:cs="Arial"/>
          <w:sz w:val="19"/>
          <w:szCs w:val="19"/>
          <w:lang w:eastAsia="en-GB"/>
        </w:rPr>
        <w:t>“</w:t>
      </w:r>
      <w:r w:rsidRPr="007E19FB">
        <w:rPr>
          <w:rFonts w:ascii="Verdana" w:eastAsia="Times New Roman" w:hAnsi="Verdana" w:cs="Arial"/>
          <w:lang w:eastAsia="x-none"/>
        </w:rPr>
        <w:t>cualquier sistema que no implique convocatoria pública y posibilidad de pluralidad de oferentes</w:t>
      </w:r>
      <w:r w:rsidRPr="007E19FB">
        <w:rPr>
          <w:rFonts w:ascii="Verdana" w:eastAsia="Times New Roman" w:hAnsi="Verdana" w:cs="Arial"/>
          <w:lang w:eastAsia="en-GB"/>
        </w:rPr>
        <w:t>”</w:t>
      </w:r>
      <w:r w:rsidRPr="007E19F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7E19FB">
        <w:rPr>
          <w:rFonts w:ascii="Verdana" w:eastAsia="Times New Roman" w:hAnsi="Verdana" w:cs="Arial"/>
          <w:lang w:val="es-ES_tradnl" w:eastAsia="x-none"/>
        </w:rPr>
        <w:t>y la mínima cuantía</w:t>
      </w:r>
      <w:r w:rsidRPr="007E19FB" w:rsidDel="00A85D9F">
        <w:rPr>
          <w:rFonts w:ascii="Verdana" w:eastAsia="Times New Roman" w:hAnsi="Verdana" w:cs="Arial"/>
          <w:lang w:eastAsia="x-none"/>
        </w:rPr>
        <w:t xml:space="preserve"> </w:t>
      </w:r>
      <w:r w:rsidRPr="007E19F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7E19FB">
        <w:rPr>
          <w:rFonts w:ascii="Verdana" w:eastAsia="Times New Roman" w:hAnsi="Verdana" w:cs="Arial"/>
          <w:vertAlign w:val="superscript"/>
          <w:lang w:val="en-GB" w:eastAsia="x-none"/>
        </w:rPr>
        <w:footnoteReference w:id="10"/>
      </w:r>
      <w:r w:rsidRPr="007E19FB">
        <w:rPr>
          <w:rFonts w:ascii="Verdana" w:eastAsia="Times New Roman" w:hAnsi="Verdana" w:cs="Arial"/>
          <w:lang w:eastAsia="x-none"/>
        </w:rPr>
        <w:t xml:space="preserve"> y sistematizó las causales de contratación directa</w:t>
      </w:r>
      <w:r w:rsidRPr="007E19FB">
        <w:rPr>
          <w:rFonts w:ascii="Verdana" w:eastAsia="Times New Roman" w:hAnsi="Verdana" w:cs="Arial"/>
          <w:vertAlign w:val="superscript"/>
          <w:lang w:val="en-GB" w:eastAsia="x-none"/>
        </w:rPr>
        <w:footnoteReference w:id="11"/>
      </w:r>
      <w:r w:rsidRPr="007E19FB">
        <w:rPr>
          <w:rFonts w:ascii="Verdana" w:eastAsia="Times New Roman" w:hAnsi="Verdana" w:cs="Arial"/>
          <w:lang w:eastAsia="x-none"/>
        </w:rPr>
        <w:t xml:space="preserve">, </w:t>
      </w:r>
      <w:r w:rsidRPr="007E19FB">
        <w:rPr>
          <w:rFonts w:ascii="Verdana" w:eastAsia="Calibri" w:hAnsi="Verdana" w:cs="Arial"/>
          <w:szCs w:val="24"/>
          <w:lang w:eastAsia="x-none"/>
        </w:rPr>
        <w:t xml:space="preserve">además lo es con la posterior creación de la modalidad de mínima cuantía establecida actualmente en el numeral 5 del </w:t>
      </w:r>
      <w:r w:rsidRPr="007E19FB">
        <w:rPr>
          <w:rFonts w:ascii="Verdana" w:eastAsia="Calibri" w:hAnsi="Verdana" w:cs="Arial"/>
          <w:szCs w:val="24"/>
          <w:lang w:eastAsia="x-none"/>
        </w:rPr>
        <w:lastRenderedPageBreak/>
        <w:t>artículo 2 de la Ley 1150 de 2007, de acuerdo con las modificaciones realizadas por leyes posteriores.</w:t>
      </w:r>
    </w:p>
    <w:p w14:paraId="611101B2" w14:textId="77777777" w:rsidR="006A7453" w:rsidRPr="007E19FB" w:rsidRDefault="006A7453" w:rsidP="006A7453">
      <w:pPr>
        <w:spacing w:after="120" w:line="276" w:lineRule="auto"/>
        <w:ind w:firstLine="708"/>
        <w:jc w:val="both"/>
        <w:rPr>
          <w:rFonts w:ascii="Verdana" w:eastAsia="Times New Roman" w:hAnsi="Verdana" w:cs="Arial"/>
          <w:lang w:eastAsia="x-none"/>
        </w:rPr>
      </w:pPr>
      <w:r w:rsidRPr="007E19FB">
        <w:rPr>
          <w:rFonts w:ascii="Verdana" w:eastAsia="Times New Roman" w:hAnsi="Verdana" w:cs="Arial"/>
          <w:bCs/>
          <w:lang w:val="es-MX"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19FB">
        <w:rPr>
          <w:rFonts w:ascii="Verdana" w:eastAsia="Times New Roman" w:hAnsi="Verdana" w:cs="Arial"/>
          <w:vertAlign w:val="superscript"/>
          <w:lang w:eastAsia="x-none"/>
        </w:rPr>
        <w:footnoteReference w:id="12"/>
      </w:r>
      <w:r w:rsidRPr="007E19FB">
        <w:rPr>
          <w:rFonts w:ascii="Verdana" w:eastAsia="Times New Roman" w:hAnsi="Verdana" w:cs="Arial"/>
          <w:bCs/>
          <w:lang w:val="es-MX" w:eastAsia="x-none"/>
        </w:rPr>
        <w:t>.</w:t>
      </w:r>
      <w:r w:rsidRPr="007E19FB">
        <w:rPr>
          <w:rFonts w:ascii="Verdana" w:eastAsia="Times New Roman" w:hAnsi="Verdana" w:cs="Arial"/>
          <w:vertAlign w:val="superscript"/>
          <w:lang w:eastAsia="x-none"/>
        </w:rPr>
        <w:t xml:space="preserve"> </w:t>
      </w:r>
      <w:r w:rsidRPr="007E19F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7E19F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47AF87B" w14:textId="77777777" w:rsidR="006A7453" w:rsidRPr="007E19FB" w:rsidRDefault="006A7453" w:rsidP="006A7453">
      <w:pPr>
        <w:spacing w:after="120" w:line="276" w:lineRule="auto"/>
        <w:ind w:firstLine="708"/>
        <w:jc w:val="both"/>
        <w:rPr>
          <w:rFonts w:ascii="Verdana" w:eastAsia="Times New Roman" w:hAnsi="Verdana" w:cs="Arial"/>
          <w:lang w:eastAsia="x-none"/>
        </w:rPr>
      </w:pPr>
      <w:r w:rsidRPr="007E19FB">
        <w:rPr>
          <w:rFonts w:ascii="Verdana" w:eastAsia="Times New Roman" w:hAnsi="Verdana" w:cs="Arial"/>
          <w:lang w:eastAsia="x-none"/>
        </w:rPr>
        <w:t>En conclusión, todos los entes del Estado, independiente del régimen jurídico de contratación aplicable, están sujetos a la restricción del artículo 33 ibidem, es decir, no podrán adelantar procesos que impliquen contratación directa respecto de las elecciones presidenciales, dentro de los cuatro (4) meses anteriores a la celebración de los comicios, salvo las excepciones dispuestas en esta. En efecto, los entes del Estado independientemente de su régimen especial no podrán celebrar contratos de forma directa desde el 31 de enero de 2026, teniendo en cuenta que la Resolución 02580 del 5 de marzo de 2025, emitida por la Registraduría Nacional del Estado Civil dispuso que las elecciones presidenciales se celebrarán el 31 de mayo de 2026.</w:t>
      </w:r>
    </w:p>
    <w:p w14:paraId="5C9B7953" w14:textId="77777777" w:rsidR="006A7453" w:rsidRPr="007E19FB" w:rsidRDefault="006A7453" w:rsidP="006A7453">
      <w:pPr>
        <w:spacing w:after="120" w:line="276" w:lineRule="auto"/>
        <w:ind w:firstLine="708"/>
        <w:jc w:val="both"/>
        <w:rPr>
          <w:rFonts w:ascii="Verdana" w:eastAsia="Times New Roman" w:hAnsi="Verdana" w:cs="Arial"/>
          <w:lang w:eastAsia="x-none"/>
        </w:rPr>
      </w:pPr>
      <w:r w:rsidRPr="007E19FB">
        <w:rPr>
          <w:rFonts w:ascii="Verdana" w:eastAsia="Times New Roman" w:hAnsi="Verdana" w:cs="Arial"/>
          <w:lang w:eastAsia="x-none"/>
        </w:rPr>
        <w:t>No obstante,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vuelva, que, de acuerdo con lo expuesto, se celebraría el 21 de junio de 2026.</w:t>
      </w:r>
    </w:p>
    <w:p w14:paraId="538A3B8B" w14:textId="77777777" w:rsidR="006A7453" w:rsidRDefault="006A7453" w:rsidP="006A7453">
      <w:pPr>
        <w:spacing w:after="120" w:line="276" w:lineRule="auto"/>
        <w:ind w:firstLine="708"/>
        <w:jc w:val="both"/>
        <w:rPr>
          <w:rFonts w:ascii="Verdana" w:eastAsia="Times New Roman" w:hAnsi="Verdana" w:cs="Arial"/>
          <w:bCs/>
          <w:lang w:val="es-MX" w:eastAsia="es-CO"/>
        </w:rPr>
      </w:pPr>
      <w:r w:rsidRPr="007E19FB">
        <w:rPr>
          <w:rFonts w:ascii="Verdana" w:eastAsia="Times New Roman" w:hAnsi="Verdana" w:cs="Arial"/>
          <w:lang w:eastAsia="x-none"/>
        </w:rPr>
        <w:lastRenderedPageBreak/>
        <w:t>Adicionalmente se precisa que, tal y como lo ha indicado esta Agencia en distintas oportunidades, las prórrogas, modificaciones o adiciones de los contratos suscritos antes de la entrada en vigor de las prohibiciones anotadas, así como la cesión de estos, pueden tener lugar en el período de aplicación de la Ley de Garantías Electorales, sin que ello impida la efectividad de la restricción de la contratación directa y siempre que cumplan los principios de planeación, transparencia y responsabilidad</w:t>
      </w:r>
      <w:r w:rsidRPr="007E19FB">
        <w:rPr>
          <w:rFonts w:ascii="Verdana" w:eastAsia="Times New Roman" w:hAnsi="Verdana" w:cs="Arial"/>
          <w:bCs/>
          <w:vertAlign w:val="superscript"/>
          <w:lang w:val="es-MX" w:eastAsia="es-CO"/>
        </w:rPr>
        <w:footnoteReference w:id="13"/>
      </w:r>
      <w:r w:rsidRPr="007E19FB">
        <w:rPr>
          <w:rFonts w:ascii="Verdana" w:eastAsia="Times New Roman" w:hAnsi="Verdana" w:cs="Arial"/>
          <w:bCs/>
          <w:lang w:val="es-MX" w:eastAsia="es-CO"/>
        </w:rPr>
        <w:t>. Además, también es posible que contratos celebrados previamente se continúen ejecutando con normalidad.</w:t>
      </w:r>
    </w:p>
    <w:p w14:paraId="791B2DE4" w14:textId="77777777" w:rsidR="006A7453" w:rsidRPr="007E19FB" w:rsidRDefault="006A7453" w:rsidP="006A7453">
      <w:pPr>
        <w:tabs>
          <w:tab w:val="left" w:pos="709"/>
        </w:tabs>
        <w:spacing w:after="0" w:line="276" w:lineRule="auto"/>
        <w:jc w:val="both"/>
        <w:rPr>
          <w:rFonts w:ascii="Verdana" w:eastAsia="Calibri" w:hAnsi="Verdana" w:cs="Arial"/>
        </w:rPr>
      </w:pPr>
      <w:r w:rsidRPr="007E19FB">
        <w:rPr>
          <w:rFonts w:ascii="Verdana" w:eastAsia="Calibri" w:hAnsi="Verdana" w:cs="Arial"/>
          <w:color w:val="000000"/>
          <w:lang w:val="es-ES"/>
        </w:rPr>
        <w:tab/>
      </w:r>
      <w:r w:rsidRPr="007E19FB">
        <w:rPr>
          <w:rFonts w:ascii="Verdana" w:eastAsia="Calibri" w:hAnsi="Verdana" w:cs="Arial"/>
        </w:rPr>
        <w:t xml:space="preserve">Finalmente, debe advertirse que el análisis requerido para resolver problemas específicos torno a la gestión contractual de las Entidades Estatales, así como respecto de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2BC8156" w14:textId="77777777" w:rsidR="006A7453" w:rsidRPr="007E19FB" w:rsidRDefault="006A7453" w:rsidP="006A7453">
      <w:pPr>
        <w:spacing w:before="120" w:after="0" w:line="276" w:lineRule="auto"/>
        <w:ind w:firstLine="709"/>
        <w:jc w:val="both"/>
        <w:rPr>
          <w:rFonts w:ascii="Verdana" w:eastAsia="Calibri" w:hAnsi="Verdana" w:cs="Arial"/>
        </w:rPr>
      </w:pPr>
      <w:r w:rsidRPr="007E19FB">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4BA7D4F" w14:textId="77777777" w:rsidR="006A7453" w:rsidRPr="007E19FB" w:rsidRDefault="006A7453" w:rsidP="006A7453">
      <w:pPr>
        <w:spacing w:after="0" w:line="276" w:lineRule="auto"/>
        <w:ind w:firstLine="709"/>
        <w:jc w:val="both"/>
        <w:rPr>
          <w:rFonts w:ascii="Verdana" w:eastAsia="Calibri" w:hAnsi="Verdana" w:cs="Arial"/>
        </w:rPr>
      </w:pPr>
    </w:p>
    <w:p w14:paraId="71661AF6" w14:textId="77777777" w:rsidR="006A7453" w:rsidRPr="007E19FB" w:rsidRDefault="006A7453" w:rsidP="006A7453">
      <w:pPr>
        <w:widowControl w:val="0"/>
        <w:autoSpaceDE w:val="0"/>
        <w:autoSpaceDN w:val="0"/>
        <w:spacing w:before="1" w:after="0" w:line="240" w:lineRule="auto"/>
        <w:outlineLvl w:val="0"/>
        <w:rPr>
          <w:rFonts w:ascii="Verdana" w:eastAsia="Arial" w:hAnsi="Verdana" w:cs="Arial"/>
          <w:b/>
          <w:bCs/>
          <w:lang w:val="es-ES"/>
        </w:rPr>
      </w:pPr>
      <w:r w:rsidRPr="007E19FB">
        <w:rPr>
          <w:rFonts w:ascii="Verdana" w:eastAsia="Arial" w:hAnsi="Verdana" w:cs="Arial"/>
          <w:b/>
          <w:bCs/>
          <w:lang w:val="es-ES"/>
        </w:rPr>
        <w:t>4.Referencias normativas, jurisprudenciales y otras fuentes:</w:t>
      </w:r>
    </w:p>
    <w:p w14:paraId="75253258" w14:textId="77777777" w:rsidR="006A7453" w:rsidRPr="007E19FB" w:rsidRDefault="006A7453" w:rsidP="006A7453">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7453" w:rsidRPr="007E19FB" w14:paraId="65EDF046" w14:textId="77777777" w:rsidTr="00523CBD">
        <w:trPr>
          <w:trHeight w:val="870"/>
        </w:trPr>
        <w:tc>
          <w:tcPr>
            <w:tcW w:w="8647" w:type="dxa"/>
          </w:tcPr>
          <w:p w14:paraId="2F095839"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 xml:space="preserve">Ley 80 de 1993. Artículos 2, 13 y 32. </w:t>
            </w:r>
          </w:p>
          <w:p w14:paraId="148A5F19"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 xml:space="preserve">Ley 1150 de 2007, Artículo 2, numeral 4, literal i). </w:t>
            </w:r>
            <w:r>
              <w:rPr>
                <w:rFonts w:ascii="Verdana" w:eastAsia="Calibri" w:hAnsi="Verdana" w:cs="Arial"/>
                <w:lang w:val="es-ES"/>
              </w:rPr>
              <w:t>Artículo 2, numeral 5.</w:t>
            </w:r>
          </w:p>
          <w:p w14:paraId="1B6EF423"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Decreto 1082 de 2015. Artículo 2.2.1.2.1.4.11.</w:t>
            </w:r>
          </w:p>
          <w:p w14:paraId="0A98A315"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lastRenderedPageBreak/>
              <w:t>Código Civil. Artículo 1973.</w:t>
            </w:r>
          </w:p>
          <w:p w14:paraId="1CB5113B"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Ley 996 de 2005. Artículos 33</w:t>
            </w:r>
            <w:r>
              <w:rPr>
                <w:rFonts w:ascii="Verdana" w:eastAsia="Calibri" w:hAnsi="Verdana" w:cs="Arial"/>
                <w:lang w:val="es-ES"/>
              </w:rPr>
              <w:t>.</w:t>
            </w:r>
            <w:r w:rsidRPr="007E19FB">
              <w:rPr>
                <w:rFonts w:ascii="Verdana" w:eastAsia="Calibri" w:hAnsi="Verdana" w:cs="Arial"/>
                <w:lang w:val="es-ES"/>
              </w:rPr>
              <w:t xml:space="preserve"> </w:t>
            </w:r>
          </w:p>
          <w:p w14:paraId="6962CB8A"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 xml:space="preserve">Consejo de Estado. Sala de Consulta y Servicio Civil. Concepto del 08 de mayo de 2018. </w:t>
            </w:r>
            <w:proofErr w:type="spellStart"/>
            <w:r w:rsidRPr="007E19FB">
              <w:rPr>
                <w:rFonts w:ascii="Verdana" w:eastAsia="Calibri" w:hAnsi="Verdana" w:cs="Arial"/>
                <w:lang w:val="es-ES"/>
              </w:rPr>
              <w:t>Exp</w:t>
            </w:r>
            <w:proofErr w:type="spellEnd"/>
            <w:r w:rsidRPr="007E19FB">
              <w:rPr>
                <w:rFonts w:ascii="Verdana" w:eastAsia="Calibri" w:hAnsi="Verdana" w:cs="Arial"/>
                <w:lang w:val="es-ES"/>
              </w:rPr>
              <w:t xml:space="preserve">. 2.382. C.P. Álvaro Namén Vargas. </w:t>
            </w:r>
          </w:p>
          <w:p w14:paraId="0E275570"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GONZÁLEZ LÓPEZ, Edgar. Los contratos estatales. El proceso de selección y la modificación de los contratos. B</w:t>
            </w:r>
            <w:r>
              <w:rPr>
                <w:rFonts w:ascii="Verdana" w:eastAsia="Calibri" w:hAnsi="Verdana" w:cs="Arial"/>
                <w:lang w:val="es-ES"/>
              </w:rPr>
              <w:t>o</w:t>
            </w:r>
            <w:r w:rsidRPr="007E19FB">
              <w:rPr>
                <w:rFonts w:ascii="Verdana" w:eastAsia="Calibri" w:hAnsi="Verdana" w:cs="Arial"/>
                <w:lang w:val="es-ES"/>
              </w:rPr>
              <w:t>gotá: Universidad Externado de Colombia – Tirant lo Blanch, 2023. p. 564.</w:t>
            </w:r>
          </w:p>
          <w:p w14:paraId="1605572C" w14:textId="77777777" w:rsidR="006A7453" w:rsidRPr="007E19FB" w:rsidRDefault="006A7453" w:rsidP="006A745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E19FB">
              <w:rPr>
                <w:rFonts w:ascii="Verdana" w:eastAsia="Calibri" w:hAnsi="Verdana" w:cs="Arial"/>
                <w:lang w:val="es-ES"/>
              </w:rPr>
              <w:t>RICO PUERTA, Luis Alonso. Teoría general y práctica de la contratación estatal. Volumen II. Decimotercera edición. Bogotá: Grupo Editorial Ibañez, 2025. p. 1142.</w:t>
            </w:r>
          </w:p>
        </w:tc>
      </w:tr>
    </w:tbl>
    <w:p w14:paraId="74279D98" w14:textId="77777777" w:rsidR="006A7453" w:rsidRPr="007E19FB" w:rsidRDefault="006A7453" w:rsidP="006A7453">
      <w:pPr>
        <w:widowControl w:val="0"/>
        <w:autoSpaceDE w:val="0"/>
        <w:autoSpaceDN w:val="0"/>
        <w:spacing w:after="0" w:line="276" w:lineRule="auto"/>
        <w:jc w:val="both"/>
        <w:rPr>
          <w:rFonts w:ascii="Verdana" w:eastAsia="Aptos" w:hAnsi="Verdana" w:cs="Arial"/>
        </w:rPr>
      </w:pPr>
    </w:p>
    <w:p w14:paraId="2ED5CD33" w14:textId="77777777" w:rsidR="006A7453" w:rsidRPr="007E19FB" w:rsidRDefault="006A7453" w:rsidP="006A7453">
      <w:pPr>
        <w:widowControl w:val="0"/>
        <w:autoSpaceDE w:val="0"/>
        <w:autoSpaceDN w:val="0"/>
        <w:spacing w:before="1" w:after="0" w:line="240" w:lineRule="auto"/>
        <w:outlineLvl w:val="0"/>
        <w:rPr>
          <w:rFonts w:ascii="Verdana" w:eastAsia="Arial" w:hAnsi="Verdana" w:cs="Arial"/>
          <w:b/>
          <w:bCs/>
          <w:lang w:val="es-ES"/>
        </w:rPr>
      </w:pPr>
      <w:r w:rsidRPr="007E19FB">
        <w:rPr>
          <w:rFonts w:ascii="Verdana" w:eastAsia="Arial" w:hAnsi="Verdana" w:cs="Arial"/>
          <w:b/>
          <w:bCs/>
          <w:lang w:val="es-ES"/>
        </w:rPr>
        <w:t>5. Doctrina de la Agencia Nacional de Contratación Pública:</w:t>
      </w:r>
    </w:p>
    <w:p w14:paraId="5B2DF677" w14:textId="77777777" w:rsidR="006A7453" w:rsidRPr="007E19FB" w:rsidRDefault="006A7453" w:rsidP="006A7453">
      <w:pPr>
        <w:widowControl w:val="0"/>
        <w:autoSpaceDE w:val="0"/>
        <w:autoSpaceDN w:val="0"/>
        <w:spacing w:after="0" w:line="276" w:lineRule="auto"/>
        <w:jc w:val="both"/>
        <w:rPr>
          <w:rFonts w:ascii="Verdana" w:eastAsia="Aptos" w:hAnsi="Verdana" w:cs="Arial"/>
        </w:rPr>
      </w:pPr>
    </w:p>
    <w:p w14:paraId="0D552460" w14:textId="77777777" w:rsidR="006A7453" w:rsidRPr="007E19FB" w:rsidRDefault="006A7453" w:rsidP="006A7453">
      <w:pPr>
        <w:widowControl w:val="0"/>
        <w:autoSpaceDE w:val="0"/>
        <w:autoSpaceDN w:val="0"/>
        <w:spacing w:after="0" w:line="276" w:lineRule="auto"/>
        <w:jc w:val="both"/>
        <w:rPr>
          <w:rFonts w:ascii="Verdana" w:eastAsia="Aptos" w:hAnsi="Verdana" w:cs="Arial"/>
          <w:shd w:val="clear" w:color="auto" w:fill="FFFFFF"/>
          <w:lang w:val="es-ES"/>
        </w:rPr>
      </w:pPr>
      <w:r w:rsidRPr="007E19FB">
        <w:rPr>
          <w:rFonts w:ascii="Verdana" w:eastAsia="Calibri" w:hAnsi="Verdana" w:cs="Arial"/>
          <w:bCs/>
          <w:shd w:val="clear" w:color="auto" w:fill="FFFFFF"/>
        </w:rPr>
        <w:t>La Agencia Nacional de Contratación Pública – Colombia Compra Eficiente se ha manifestado respecto del contrato de arrendamiento entre otros en los conceptos</w:t>
      </w:r>
      <w:r w:rsidRPr="007E19FB">
        <w:rPr>
          <w:rFonts w:ascii="Aptos" w:eastAsia="Aptos" w:hAnsi="Aptos" w:cs="Arial"/>
        </w:rPr>
        <w:t xml:space="preserve"> </w:t>
      </w:r>
      <w:r w:rsidRPr="007E19FB">
        <w:rPr>
          <w:rFonts w:ascii="Verdana" w:eastAsia="Calibri" w:hAnsi="Verdana" w:cs="Arial"/>
          <w:bCs/>
          <w:shd w:val="clear" w:color="auto" w:fill="FFFFFF"/>
        </w:rPr>
        <w:t>C-646 del 22 de noviembre de 2021, C-214 del 22 de abril de 2022, C-830 del 16 de diciembre de 2024 y C-159 del 20 de marzo de 2025, C-1418 del 15 de noviembre de 2025. Igualmente,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Asimismo, se ha pronunciado sobre el régimen jurídico de los contratos de arrendamiento en los Conceptos C-646 del 22 de noviembre de 2021, C-214 del 22 de abril de 2022, C-830 del 16 de diciembre de 2024, C-159 del 20 de marzo de 2025, C-1648 del 14 de noviembre de 2025</w:t>
      </w:r>
      <w:r w:rsidRPr="007E19FB">
        <w:rPr>
          <w:rFonts w:ascii="Verdana" w:eastAsia="Calibri" w:hAnsi="Verdana" w:cs="Arial"/>
          <w:bCs/>
          <w:shd w:val="clear" w:color="auto" w:fill="FFFFFF"/>
          <w:lang w:val="es-ES"/>
        </w:rPr>
        <w:t xml:space="preserve">. En tal sentido, recoge los conceptos expuestos, </w:t>
      </w:r>
      <w:r w:rsidRPr="007E19FB">
        <w:rPr>
          <w:rFonts w:ascii="Verdana" w:eastAsia="Calibri" w:hAnsi="Verdana" w:cs="Arial"/>
          <w:bCs/>
          <w:shd w:val="clear" w:color="auto" w:fill="FFFFFF"/>
          <w:lang w:val="es-ES"/>
        </w:rPr>
        <w:lastRenderedPageBreak/>
        <w:t xml:space="preserve">sin perjuicio de otras consideraciones. </w:t>
      </w:r>
      <w:r w:rsidRPr="007E19FB">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7E19FB">
          <w:rPr>
            <w:rFonts w:ascii="Verdana" w:eastAsia="Aptos" w:hAnsi="Verdana" w:cs="Arial"/>
            <w:color w:val="0000FF"/>
            <w:u w:val="single"/>
            <w:shd w:val="clear" w:color="auto" w:fill="FFFFFF"/>
            <w:lang w:val="es-ES"/>
          </w:rPr>
          <w:t>https://relatoria.colombiacompra.gov.co/</w:t>
        </w:r>
      </w:hyperlink>
      <w:r w:rsidRPr="007E19FB">
        <w:rPr>
          <w:rFonts w:ascii="Verdana" w:eastAsia="Aptos" w:hAnsi="Verdana" w:cs="Arial"/>
          <w:shd w:val="clear" w:color="auto" w:fill="FFFFFF"/>
          <w:lang w:val="es-ES"/>
        </w:rPr>
        <w:t xml:space="preserve">. </w:t>
      </w:r>
    </w:p>
    <w:p w14:paraId="166134FE" w14:textId="77777777" w:rsidR="006A7453" w:rsidRPr="007E19FB" w:rsidRDefault="006A7453" w:rsidP="006A7453">
      <w:pPr>
        <w:spacing w:before="120" w:after="120"/>
        <w:ind w:firstLine="709"/>
        <w:jc w:val="both"/>
        <w:rPr>
          <w:rFonts w:ascii="Verdana" w:eastAsia="Aptos" w:hAnsi="Verdana" w:cs="Times New Roman"/>
        </w:rPr>
      </w:pPr>
      <w:r w:rsidRPr="007E19FB">
        <w:rPr>
          <w:rFonts w:ascii="Verdana" w:eastAsia="Aptos" w:hAnsi="Verdana" w:cs="Times New Roman"/>
        </w:rPr>
        <w:t xml:space="preserve">La sostenibilidad no es una opción, es una obligación. Por ello, la Agencia Nacional de Contratación Pública –Colombia Compra Eficiente– te invita a realizar el </w:t>
      </w:r>
      <w:r w:rsidRPr="007E19FB">
        <w:rPr>
          <w:rFonts w:ascii="Verdana" w:eastAsia="Aptos" w:hAnsi="Verdana" w:cs="Times New Roman"/>
          <w:b/>
          <w:bCs/>
        </w:rPr>
        <w:t>Curso de Contratación Pública Sostenible y Socialmente Responsable</w:t>
      </w:r>
      <w:r w:rsidRPr="007E19FB">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E19FB">
        <w:rPr>
          <w:rFonts w:ascii="Verdana" w:eastAsia="Aptos" w:hAnsi="Verdana" w:cs="Times New Roman"/>
        </w:rPr>
        <w:br/>
      </w:r>
      <w:hyperlink r:id="rId13" w:tgtFrame="_new" w:history="1">
        <w:r w:rsidRPr="007E19FB">
          <w:rPr>
            <w:rFonts w:ascii="Verdana" w:eastAsia="Aptos" w:hAnsi="Verdana" w:cs="Times New Roman"/>
            <w:color w:val="0000FF"/>
            <w:u w:val="single"/>
          </w:rPr>
          <w:t>https://formacionvirtual.colombiacompra.gov.co/mod/page/view.php?id=3718</w:t>
        </w:r>
      </w:hyperlink>
    </w:p>
    <w:p w14:paraId="2A3ABE01" w14:textId="77777777" w:rsidR="006A7453" w:rsidRPr="007E19FB" w:rsidRDefault="006A7453" w:rsidP="006A7453">
      <w:pPr>
        <w:ind w:firstLine="708"/>
        <w:jc w:val="both"/>
        <w:rPr>
          <w:rFonts w:ascii="Verdana" w:eastAsia="Aptos" w:hAnsi="Verdana" w:cs="Times New Roman"/>
        </w:rPr>
      </w:pPr>
      <w:r w:rsidRPr="007E19FB">
        <w:rPr>
          <w:rFonts w:ascii="Verdana" w:eastAsia="Aptos" w:hAnsi="Verdana" w:cs="Times New Roman"/>
        </w:rPr>
        <w:t xml:space="preserve">De otro lado, te contamos que esta Agencia ha da un paso decisivo en la estandarización y modernización del </w:t>
      </w:r>
      <w:r w:rsidRPr="007E19FB">
        <w:rPr>
          <w:rFonts w:ascii="Verdana" w:eastAsia="Aptos" w:hAnsi="Verdana" w:cs="Times New Roman"/>
          <w:b/>
          <w:bCs/>
        </w:rPr>
        <w:t>sector  social</w:t>
      </w:r>
      <w:r w:rsidRPr="007E19FB">
        <w:rPr>
          <w:rFonts w:ascii="Verdana" w:eastAsia="Aptos" w:hAnsi="Verdana" w:cs="Times New Roman"/>
        </w:rPr>
        <w:t xml:space="preserve"> con la expedición de las </w:t>
      </w:r>
      <w:r w:rsidRPr="007E19FB">
        <w:rPr>
          <w:rFonts w:ascii="Verdana" w:eastAsia="Aptos" w:hAnsi="Verdana" w:cs="Times New Roman"/>
          <w:b/>
          <w:bCs/>
        </w:rPr>
        <w:t>Resoluciones 539, 540, 541, 952 y 953 de 2025</w:t>
      </w:r>
      <w:r w:rsidRPr="007E19FB">
        <w:rPr>
          <w:rFonts w:ascii="Verdana" w:eastAsia="Aptos" w:hAnsi="Verdana" w:cs="Times New Roman"/>
        </w:rPr>
        <w:t xml:space="preserve">, </w:t>
      </w:r>
      <w:r w:rsidRPr="007E19FB">
        <w:rPr>
          <w:rFonts w:ascii="Verdana" w:eastAsia="Aptos" w:hAnsi="Verdana" w:cs="Times New Roman"/>
          <w:b/>
          <w:bCs/>
        </w:rPr>
        <w:t>mediante las cuales adoptó Documentos Tipo</w:t>
      </w:r>
      <w:r w:rsidRPr="007E19FB">
        <w:rPr>
          <w:rFonts w:ascii="Verdana" w:eastAsia="Aptos" w:hAnsi="Verdana" w:cs="Times New Roman"/>
        </w:rPr>
        <w:t xml:space="preserve"> para las modalidades de selección de</w:t>
      </w:r>
      <w:r w:rsidRPr="007E19FB">
        <w:rPr>
          <w:rFonts w:ascii="Verdana" w:eastAsia="Aptos" w:hAnsi="Verdana" w:cs="Times New Roman"/>
          <w:b/>
          <w:bCs/>
        </w:rPr>
        <w:t xml:space="preserve"> licitación pública (versión 2), selección abreviada de menor cuantía, mínima cuantía, consultoría e interventoría</w:t>
      </w:r>
      <w:r w:rsidRPr="007E19FB">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E19FB">
          <w:rPr>
            <w:rFonts w:ascii="Verdana" w:eastAsia="Aptos" w:hAnsi="Verdana" w:cs="Times New Roman"/>
            <w:color w:val="0000FF"/>
            <w:u w:val="single"/>
          </w:rPr>
          <w:t>https://www.colombiacompra.gov.co/normativa-y-relatoria/documentos-tipo</w:t>
        </w:r>
      </w:hyperlink>
    </w:p>
    <w:p w14:paraId="2A97FC04" w14:textId="77777777" w:rsidR="006A7453" w:rsidRPr="007E19FB" w:rsidRDefault="006A7453" w:rsidP="006A7453">
      <w:pPr>
        <w:spacing w:after="0"/>
        <w:ind w:firstLine="708"/>
        <w:jc w:val="both"/>
        <w:rPr>
          <w:rFonts w:ascii="Verdana" w:eastAsia="Aptos" w:hAnsi="Verdana" w:cs="Times New Roman"/>
        </w:rPr>
      </w:pPr>
      <w:r w:rsidRPr="007E19FB">
        <w:rPr>
          <w:rFonts w:ascii="Verdana" w:eastAsia="Aptos" w:hAnsi="Verdana" w:cs="Times New Roman"/>
        </w:rPr>
        <w:t xml:space="preserve">Si quieres conocer más sobre la aplicación de Documentos Tipo puedes consultar la última versión de la </w:t>
      </w:r>
      <w:r w:rsidRPr="007E19FB">
        <w:rPr>
          <w:rFonts w:ascii="Verdana" w:eastAsia="Aptos" w:hAnsi="Verdana" w:cs="Times New Roman"/>
          <w:b/>
          <w:bCs/>
        </w:rPr>
        <w:t>Guía para la comprensión e implementación de los Documentos Tipo de obra pública de infraestructura de transporte</w:t>
      </w:r>
      <w:r w:rsidRPr="007E19FB">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E19FB">
        <w:rPr>
          <w:rFonts w:ascii="Verdana" w:eastAsia="Aptos" w:hAnsi="Verdana" w:cs="Times New Roman"/>
        </w:rPr>
        <w:br/>
      </w:r>
      <w:hyperlink r:id="rId15" w:tgtFrame="_new" w:history="1">
        <w:r w:rsidRPr="007E19FB">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3ABDC27" w14:textId="77777777" w:rsidR="006A7453" w:rsidRPr="007E19FB" w:rsidRDefault="006A7453" w:rsidP="006A7453">
      <w:pPr>
        <w:widowControl w:val="0"/>
        <w:autoSpaceDE w:val="0"/>
        <w:autoSpaceDN w:val="0"/>
        <w:spacing w:after="0" w:line="276" w:lineRule="auto"/>
        <w:jc w:val="both"/>
        <w:rPr>
          <w:rFonts w:ascii="Verdana" w:eastAsia="Aptos" w:hAnsi="Verdana" w:cs="Arial"/>
          <w:shd w:val="clear" w:color="auto" w:fill="FFFFFF"/>
          <w:lang w:val="es-ES"/>
        </w:rPr>
      </w:pPr>
    </w:p>
    <w:p w14:paraId="13298E93" w14:textId="77777777" w:rsidR="006A7453" w:rsidRPr="007E19FB" w:rsidRDefault="006A7453" w:rsidP="006A7453">
      <w:pPr>
        <w:spacing w:after="0" w:line="240" w:lineRule="auto"/>
        <w:jc w:val="both"/>
        <w:rPr>
          <w:rFonts w:ascii="Verdana" w:eastAsia="Aptos" w:hAnsi="Verdana" w:cs="Times New Roman"/>
        </w:rPr>
      </w:pPr>
      <w:r w:rsidRPr="007E19FB">
        <w:rPr>
          <w:rFonts w:ascii="Verdana" w:eastAsia="Aptos" w:hAnsi="Verdana" w:cs="Times New Roman"/>
        </w:rPr>
        <w:t xml:space="preserve">Por último, lo invitamos a seguirnos en las redes sociales en las cuales se difunde información institucional: </w:t>
      </w:r>
    </w:p>
    <w:p w14:paraId="3C4F5F0A" w14:textId="77777777" w:rsidR="006A7453" w:rsidRPr="007E19FB" w:rsidRDefault="006A7453" w:rsidP="006A7453">
      <w:pPr>
        <w:spacing w:after="0" w:line="240" w:lineRule="auto"/>
        <w:jc w:val="both"/>
        <w:rPr>
          <w:rFonts w:ascii="Verdana" w:eastAsia="Aptos" w:hAnsi="Verdana" w:cs="Times New Roman"/>
        </w:rPr>
      </w:pPr>
    </w:p>
    <w:p w14:paraId="4BFDE0F8" w14:textId="77777777" w:rsidR="006A7453" w:rsidRPr="007E19FB" w:rsidRDefault="006A7453" w:rsidP="006A7453">
      <w:pPr>
        <w:spacing w:after="0" w:line="240" w:lineRule="auto"/>
        <w:jc w:val="both"/>
        <w:rPr>
          <w:rFonts w:ascii="Verdana" w:eastAsia="Aptos" w:hAnsi="Verdana" w:cs="Times New Roman"/>
        </w:rPr>
      </w:pPr>
      <w:r w:rsidRPr="007E19FB">
        <w:rPr>
          <w:rFonts w:ascii="Verdana" w:eastAsia="Aptos" w:hAnsi="Verdana" w:cs="Times New Roman"/>
        </w:rPr>
        <w:t xml:space="preserve">Twitter: </w:t>
      </w:r>
      <w:r w:rsidRPr="007E19FB">
        <w:rPr>
          <w:rFonts w:ascii="Verdana" w:eastAsia="Aptos" w:hAnsi="Verdana" w:cs="Arial"/>
          <w:color w:val="0000FF"/>
          <w:u w:val="single"/>
          <w:shd w:val="clear" w:color="auto" w:fill="FFFFFF"/>
          <w:lang w:val="es-ES"/>
        </w:rPr>
        <w:t>@colombiacompra</w:t>
      </w:r>
      <w:r w:rsidRPr="007E19FB">
        <w:rPr>
          <w:rFonts w:ascii="Verdana" w:eastAsia="Aptos" w:hAnsi="Verdana" w:cs="Times New Roman"/>
          <w:color w:val="156082"/>
        </w:rPr>
        <w:t xml:space="preserve"> </w:t>
      </w:r>
    </w:p>
    <w:p w14:paraId="65AC57DE" w14:textId="77777777" w:rsidR="006A7453" w:rsidRPr="007E19FB" w:rsidRDefault="006A7453" w:rsidP="006A7453">
      <w:pPr>
        <w:spacing w:after="0" w:line="240" w:lineRule="auto"/>
        <w:jc w:val="both"/>
        <w:rPr>
          <w:rFonts w:ascii="Verdana" w:eastAsia="Aptos" w:hAnsi="Verdana" w:cs="Times New Roman"/>
        </w:rPr>
      </w:pPr>
      <w:r w:rsidRPr="007E19FB">
        <w:rPr>
          <w:rFonts w:ascii="Verdana" w:eastAsia="Aptos" w:hAnsi="Verdana" w:cs="Times New Roman"/>
        </w:rPr>
        <w:t xml:space="preserve">Facebook: </w:t>
      </w:r>
      <w:proofErr w:type="spellStart"/>
      <w:r w:rsidRPr="007E19FB">
        <w:rPr>
          <w:rFonts w:ascii="Verdana" w:eastAsia="Aptos" w:hAnsi="Verdana" w:cs="Arial"/>
          <w:color w:val="0000FF"/>
          <w:u w:val="single"/>
          <w:shd w:val="clear" w:color="auto" w:fill="FFFFFF"/>
          <w:lang w:val="es-ES"/>
        </w:rPr>
        <w:t>ColombiaCompraEficiente</w:t>
      </w:r>
      <w:proofErr w:type="spellEnd"/>
    </w:p>
    <w:p w14:paraId="1FB3CE52" w14:textId="77777777" w:rsidR="006A7453" w:rsidRPr="007E19FB" w:rsidRDefault="006A7453" w:rsidP="006A7453">
      <w:pPr>
        <w:spacing w:after="0" w:line="240" w:lineRule="auto"/>
        <w:jc w:val="both"/>
        <w:rPr>
          <w:rFonts w:ascii="Verdana" w:eastAsia="Aptos" w:hAnsi="Verdana" w:cs="Times New Roman"/>
        </w:rPr>
      </w:pPr>
      <w:r w:rsidRPr="007E19FB">
        <w:rPr>
          <w:rFonts w:ascii="Verdana" w:eastAsia="Aptos" w:hAnsi="Verdana" w:cs="Times New Roman"/>
        </w:rPr>
        <w:t xml:space="preserve">LinkedIn: </w:t>
      </w:r>
      <w:r w:rsidRPr="007E19FB">
        <w:rPr>
          <w:rFonts w:ascii="Verdana" w:eastAsia="Aptos" w:hAnsi="Verdana" w:cs="Arial"/>
          <w:color w:val="0000FF"/>
          <w:u w:val="single"/>
          <w:shd w:val="clear" w:color="auto" w:fill="FFFFFF"/>
          <w:lang w:val="es-ES"/>
        </w:rPr>
        <w:t>Agencia Nacional de Contratación Pública - Colombia Compra Eficiente</w:t>
      </w:r>
      <w:r w:rsidRPr="007E19FB">
        <w:rPr>
          <w:rFonts w:ascii="Verdana" w:eastAsia="Aptos" w:hAnsi="Verdana" w:cs="Times New Roman"/>
          <w:color w:val="156082"/>
        </w:rPr>
        <w:t xml:space="preserve"> </w:t>
      </w:r>
      <w:r w:rsidRPr="007E19FB">
        <w:rPr>
          <w:rFonts w:ascii="Verdana" w:eastAsia="Aptos" w:hAnsi="Verdana" w:cs="Times New Roman"/>
        </w:rPr>
        <w:t xml:space="preserve">Instagram: </w:t>
      </w:r>
      <w:r w:rsidRPr="007E19FB">
        <w:rPr>
          <w:rFonts w:ascii="Verdana" w:eastAsia="Aptos" w:hAnsi="Verdana" w:cs="Arial"/>
          <w:color w:val="0000FF"/>
          <w:u w:val="single"/>
          <w:shd w:val="clear" w:color="auto" w:fill="FFFFFF"/>
          <w:lang w:val="es-ES"/>
        </w:rPr>
        <w:t>@colombiacompraeficiente_cce</w:t>
      </w:r>
    </w:p>
    <w:p w14:paraId="4FFEDE21" w14:textId="77777777" w:rsidR="006A7453" w:rsidRPr="007E19FB" w:rsidRDefault="006A7453" w:rsidP="006A7453">
      <w:pPr>
        <w:widowControl w:val="0"/>
        <w:autoSpaceDE w:val="0"/>
        <w:autoSpaceDN w:val="0"/>
        <w:spacing w:after="0" w:line="276" w:lineRule="auto"/>
        <w:jc w:val="both"/>
        <w:rPr>
          <w:rFonts w:ascii="Verdana" w:eastAsia="Aptos" w:hAnsi="Verdana" w:cs="Arial"/>
        </w:rPr>
      </w:pPr>
    </w:p>
    <w:p w14:paraId="7F9C769F" w14:textId="77777777" w:rsidR="006A7453" w:rsidRPr="007E19FB" w:rsidRDefault="006A7453" w:rsidP="006A7453">
      <w:pPr>
        <w:widowControl w:val="0"/>
        <w:autoSpaceDE w:val="0"/>
        <w:autoSpaceDN w:val="0"/>
        <w:spacing w:after="0" w:line="276" w:lineRule="auto"/>
        <w:jc w:val="both"/>
        <w:rPr>
          <w:rFonts w:ascii="Verdana" w:eastAsia="Aptos" w:hAnsi="Verdana" w:cs="Arial"/>
          <w:lang w:val="es-ES_tradnl"/>
        </w:rPr>
      </w:pPr>
      <w:r w:rsidRPr="007E19FB">
        <w:rPr>
          <w:rFonts w:ascii="Verdana" w:eastAsia="Aptos" w:hAnsi="Verdana" w:cs="Arial"/>
        </w:rPr>
        <w:t xml:space="preserve">Este concepto tiene el alcance previsto en el artículo 28 del Código de Procedimiento Administrativo y de lo Contencioso Administrativo </w:t>
      </w:r>
      <w:r w:rsidRPr="007E19FB">
        <w:rPr>
          <w:rFonts w:ascii="Verdana" w:eastAsia="Aptos" w:hAnsi="Verdana" w:cs="Arial"/>
          <w:lang w:val="es-ES_tradnl"/>
        </w:rPr>
        <w:t>y las expresiones aquí utilizadas con mayúscula inicial deben ser entendidas con el significado que les otorga el artículo 2.2.1.1.1.3.1. del Decreto 1082 de 2015.</w:t>
      </w:r>
    </w:p>
    <w:p w14:paraId="307F9B69" w14:textId="77777777" w:rsidR="006A7453" w:rsidRPr="007E19FB" w:rsidRDefault="006A7453" w:rsidP="006A7453">
      <w:pPr>
        <w:widowControl w:val="0"/>
        <w:autoSpaceDE w:val="0"/>
        <w:autoSpaceDN w:val="0"/>
        <w:spacing w:after="0" w:line="276" w:lineRule="auto"/>
        <w:jc w:val="both"/>
        <w:rPr>
          <w:rFonts w:ascii="Verdana" w:eastAsia="Aptos" w:hAnsi="Verdana" w:cs="Arial"/>
        </w:rPr>
      </w:pPr>
    </w:p>
    <w:p w14:paraId="2A79E97B" w14:textId="77777777" w:rsidR="006A7453" w:rsidRPr="007E19FB" w:rsidRDefault="006A7453" w:rsidP="006A7453">
      <w:pPr>
        <w:spacing w:after="0" w:line="240" w:lineRule="auto"/>
        <w:rPr>
          <w:rFonts w:ascii="Verdana" w:eastAsia="Aptos" w:hAnsi="Verdana" w:cs="Arial"/>
          <w:lang w:eastAsia="es-CO"/>
        </w:rPr>
      </w:pPr>
      <w:r w:rsidRPr="007E19FB">
        <w:rPr>
          <w:rFonts w:ascii="Verdana" w:eastAsia="Times New Roman" w:hAnsi="Verdana" w:cs="Arial"/>
          <w:lang w:eastAsia="es-CO"/>
        </w:rPr>
        <w:t>Atentamente,</w:t>
      </w:r>
      <w:r w:rsidRPr="007E19FB">
        <w:rPr>
          <w:rFonts w:ascii="Verdana" w:eastAsia="Aptos" w:hAnsi="Verdana" w:cs="Arial"/>
          <w:lang w:eastAsia="es-CO"/>
        </w:rPr>
        <w:t xml:space="preserve"> </w:t>
      </w:r>
    </w:p>
    <w:p w14:paraId="21FEE176" w14:textId="77777777" w:rsidR="006A7453" w:rsidRPr="007E19FB" w:rsidRDefault="006A7453" w:rsidP="006A7453">
      <w:pPr>
        <w:spacing w:after="0" w:line="276" w:lineRule="auto"/>
        <w:jc w:val="center"/>
        <w:rPr>
          <w:rFonts w:ascii="Verdana" w:eastAsia="Aptos" w:hAnsi="Verdana" w:cs="Arial"/>
          <w:lang w:val="es-ES_tradnl" w:eastAsia="es-CO"/>
        </w:rPr>
      </w:pPr>
    </w:p>
    <w:p w14:paraId="4A1C342C" w14:textId="65FB8E66" w:rsidR="006A7453" w:rsidRPr="007E19FB" w:rsidRDefault="00DF5662" w:rsidP="006A7453">
      <w:pPr>
        <w:spacing w:after="0" w:line="276" w:lineRule="auto"/>
        <w:jc w:val="center"/>
        <w:rPr>
          <w:rFonts w:ascii="Verdana" w:eastAsia="Aptos" w:hAnsi="Verdana" w:cs="Arial"/>
          <w:lang w:val="es-ES_tradnl" w:eastAsia="es-CO"/>
        </w:rPr>
      </w:pPr>
      <w:r>
        <w:rPr>
          <w:noProof/>
        </w:rPr>
        <w:drawing>
          <wp:inline distT="0" distB="0" distL="0" distR="0" wp14:anchorId="03181C91" wp14:editId="0AE3F35B">
            <wp:extent cx="3771900" cy="1409700"/>
            <wp:effectExtent l="0" t="0" r="0" b="0"/>
            <wp:docPr id="6370323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6A7453" w:rsidRPr="007E19FB" w14:paraId="7B902E1E" w14:textId="77777777" w:rsidTr="00523CBD">
        <w:trPr>
          <w:trHeight w:val="286"/>
        </w:trPr>
        <w:tc>
          <w:tcPr>
            <w:tcW w:w="901" w:type="dxa"/>
            <w:vAlign w:val="center"/>
            <w:hideMark/>
          </w:tcPr>
          <w:p w14:paraId="370A60B0"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42C1E93"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Nasly Yeana Mosquera Rivas</w:t>
            </w:r>
          </w:p>
          <w:p w14:paraId="4B9DB0B0"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Analista T2–06 de la Subdirección de Gestión Contractual</w:t>
            </w:r>
          </w:p>
        </w:tc>
      </w:tr>
      <w:tr w:rsidR="006A7453" w:rsidRPr="007E19FB" w14:paraId="46A64690" w14:textId="77777777" w:rsidTr="00523CBD">
        <w:trPr>
          <w:trHeight w:val="299"/>
        </w:trPr>
        <w:tc>
          <w:tcPr>
            <w:tcW w:w="901" w:type="dxa"/>
            <w:vAlign w:val="center"/>
          </w:tcPr>
          <w:p w14:paraId="65464176"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34A42C7"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Martha Alicia Romero Vargas</w:t>
            </w:r>
          </w:p>
          <w:p w14:paraId="62F0B03F"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Gestor T1 - 15 de la Subdirección de Gestión Contractual</w:t>
            </w:r>
          </w:p>
        </w:tc>
      </w:tr>
      <w:tr w:rsidR="006A7453" w:rsidRPr="007E19FB" w14:paraId="6B32E2B8" w14:textId="77777777" w:rsidTr="00523CBD">
        <w:trPr>
          <w:trHeight w:val="272"/>
        </w:trPr>
        <w:tc>
          <w:tcPr>
            <w:tcW w:w="901" w:type="dxa"/>
            <w:vAlign w:val="center"/>
            <w:hideMark/>
          </w:tcPr>
          <w:p w14:paraId="73EDEECE"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09EF55A4"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Carolina Quintero Gacharná</w:t>
            </w:r>
          </w:p>
          <w:p w14:paraId="3DB53158" w14:textId="77777777" w:rsidR="006A7453" w:rsidRPr="007E19FB" w:rsidRDefault="006A7453" w:rsidP="00523CBD">
            <w:pPr>
              <w:rPr>
                <w:rFonts w:ascii="Verdana" w:eastAsia="Aptos" w:hAnsi="Verdana" w:cs="Arial"/>
                <w:sz w:val="14"/>
                <w:szCs w:val="14"/>
                <w:lang w:eastAsia="es-ES"/>
              </w:rPr>
            </w:pPr>
            <w:r w:rsidRPr="007E19FB">
              <w:rPr>
                <w:rFonts w:ascii="Verdana" w:eastAsia="Aptos" w:hAnsi="Verdana" w:cs="Arial"/>
                <w:sz w:val="14"/>
                <w:szCs w:val="14"/>
                <w:lang w:eastAsia="es-ES"/>
              </w:rPr>
              <w:t>Subdirectora de Gestión Contractual ANCP – CCE</w:t>
            </w:r>
          </w:p>
        </w:tc>
      </w:tr>
    </w:tbl>
    <w:p w14:paraId="1A30A050" w14:textId="77777777" w:rsidR="006A7453" w:rsidRPr="007E19FB" w:rsidRDefault="006A7453" w:rsidP="006A7453">
      <w:pPr>
        <w:spacing w:after="0" w:line="240" w:lineRule="auto"/>
        <w:rPr>
          <w:rFonts w:ascii="Verdana" w:eastAsia="Times New Roman" w:hAnsi="Verdana" w:cs="Arial"/>
          <w:sz w:val="24"/>
          <w:szCs w:val="24"/>
          <w:lang w:eastAsia="es-ES"/>
        </w:rPr>
      </w:pPr>
    </w:p>
    <w:p w14:paraId="5682CD17" w14:textId="77777777" w:rsidR="006A7453" w:rsidRPr="007E19FB" w:rsidRDefault="006A7453" w:rsidP="006A7453">
      <w:pPr>
        <w:rPr>
          <w:rFonts w:ascii="Verdana" w:eastAsia="Aptos" w:hAnsi="Verdana" w:cs="Times New Roman"/>
        </w:rPr>
      </w:pPr>
    </w:p>
    <w:p w14:paraId="7302D5C0" w14:textId="77777777" w:rsidR="006A7453" w:rsidRPr="007E19FB" w:rsidRDefault="006A7453" w:rsidP="006A7453">
      <w:pPr>
        <w:rPr>
          <w:rFonts w:ascii="Verdana" w:eastAsia="Aptos" w:hAnsi="Verdana" w:cs="Times New Roman"/>
        </w:rPr>
      </w:pPr>
    </w:p>
    <w:p w14:paraId="394EC11C" w14:textId="3A9FFCD1" w:rsidR="006A7453" w:rsidRPr="000E2B93" w:rsidRDefault="006A7453" w:rsidP="006A745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550F8127" w14:textId="77777777" w:rsidR="006A7453" w:rsidRDefault="006A7453"/>
    <w:sectPr w:rsidR="006A7453" w:rsidSect="006A7453">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27D33" w14:textId="77777777" w:rsidR="00DD47CB" w:rsidRDefault="00DD47CB" w:rsidP="006A7453">
      <w:pPr>
        <w:spacing w:after="0" w:line="240" w:lineRule="auto"/>
      </w:pPr>
      <w:r>
        <w:separator/>
      </w:r>
    </w:p>
  </w:endnote>
  <w:endnote w:type="continuationSeparator" w:id="0">
    <w:p w14:paraId="784F2CFF" w14:textId="77777777" w:rsidR="00DD47CB" w:rsidRDefault="00DD47CB" w:rsidP="006A7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E6155" w14:textId="77777777" w:rsidR="006A7453" w:rsidRDefault="006A7453">
    <w:pPr>
      <w:pStyle w:val="Piedepgina"/>
    </w:pPr>
  </w:p>
  <w:p w14:paraId="6688CFE5" w14:textId="77777777" w:rsidR="006A7453" w:rsidRPr="00174B77" w:rsidRDefault="006A7453" w:rsidP="00523CBD">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299C721D" w14:textId="77777777" w:rsidR="006A7453" w:rsidRDefault="006A7453" w:rsidP="00523CBD">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71D287EB" w14:textId="77777777" w:rsidR="006A7453" w:rsidRPr="00E41027" w:rsidRDefault="006A7453" w:rsidP="00523CBD">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4B523DB" w14:textId="77777777" w:rsidR="006A7453" w:rsidRDefault="006A7453" w:rsidP="00523CBD">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7E19FB">
      <w:rPr>
        <w:rFonts w:ascii="Verdana" w:eastAsia="Verdana" w:hAnsi="Verdana" w:cs="Verdana"/>
        <w:b/>
        <w:bCs/>
        <w:color w:val="000000"/>
        <w:sz w:val="18"/>
        <w:szCs w:val="18"/>
        <w:lang w:eastAsia="es-CO"/>
      </w:rPr>
      <w:t xml:space="preserve">Código: </w:t>
    </w:r>
    <w:r w:rsidRPr="007E19FB">
      <w:rPr>
        <w:rFonts w:ascii="Verdana" w:eastAsia="Verdana" w:hAnsi="Verdana" w:cs="Verdana"/>
        <w:color w:val="000000"/>
        <w:sz w:val="18"/>
        <w:szCs w:val="18"/>
        <w:lang w:eastAsia="es-CO"/>
      </w:rPr>
      <w:t xml:space="preserve">CCE-REC-FM-17 </w:t>
    </w:r>
    <w:r w:rsidRPr="007E19FB">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7F309" w14:textId="77777777" w:rsidR="00DD47CB" w:rsidRDefault="00DD47CB" w:rsidP="006A7453">
      <w:pPr>
        <w:spacing w:after="0" w:line="240" w:lineRule="auto"/>
      </w:pPr>
      <w:r>
        <w:separator/>
      </w:r>
    </w:p>
  </w:footnote>
  <w:footnote w:type="continuationSeparator" w:id="0">
    <w:p w14:paraId="03C79F9B" w14:textId="77777777" w:rsidR="00DD47CB" w:rsidRDefault="00DD47CB" w:rsidP="006A7453">
      <w:pPr>
        <w:spacing w:after="0" w:line="240" w:lineRule="auto"/>
      </w:pPr>
      <w:r>
        <w:continuationSeparator/>
      </w:r>
    </w:p>
  </w:footnote>
  <w:footnote w:id="1">
    <w:p w14:paraId="5370DD42" w14:textId="77777777" w:rsidR="006A7453" w:rsidRPr="00BE714F" w:rsidRDefault="006A7453" w:rsidP="006A7453">
      <w:pPr>
        <w:pStyle w:val="Textonotapie"/>
        <w:ind w:right="108" w:firstLine="709"/>
        <w:jc w:val="both"/>
        <w:rPr>
          <w:rFonts w:ascii="Verdana" w:hAnsi="Verdana"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CONSEJO DE ESTADO. Sección Tercera. Sentencia del 4 de abril de 2002, C.P. Alier E. Hernández Enríquez, Rad. 1999-0290-01 (17.244).</w:t>
      </w:r>
    </w:p>
  </w:footnote>
  <w:footnote w:id="2">
    <w:p w14:paraId="2BE521B7" w14:textId="77777777" w:rsidR="006A7453" w:rsidRPr="00BE714F" w:rsidRDefault="006A7453" w:rsidP="006A7453">
      <w:pPr>
        <w:spacing w:after="0" w:line="242" w:lineRule="auto"/>
        <w:ind w:right="108" w:firstLine="709"/>
        <w:jc w:val="both"/>
        <w:rPr>
          <w:rFonts w:ascii="Verdana" w:hAnsi="Verdana" w:cs="Arial"/>
          <w:sz w:val="18"/>
          <w:szCs w:val="18"/>
        </w:rPr>
      </w:pPr>
    </w:p>
    <w:p w14:paraId="104B432C" w14:textId="77777777" w:rsidR="006A7453" w:rsidRPr="00BE714F" w:rsidRDefault="006A7453" w:rsidP="006A7453">
      <w:pPr>
        <w:spacing w:after="0" w:line="242" w:lineRule="auto"/>
        <w:ind w:right="108" w:firstLine="709"/>
        <w:jc w:val="both"/>
        <w:rPr>
          <w:rFonts w:ascii="Verdana" w:hAnsi="Verdana"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w:t>
      </w:r>
      <w:r w:rsidRPr="00BE714F">
        <w:rPr>
          <w:rFonts w:ascii="Verdana" w:hAnsi="Verdana" w:cs="Arial"/>
          <w:sz w:val="18"/>
          <w:szCs w:val="18"/>
        </w:rPr>
        <w:t>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BE714F">
        <w:rPr>
          <w:rFonts w:ascii="Verdana" w:hAnsi="Verdana" w:cs="Arial"/>
          <w:spacing w:val="-2"/>
          <w:sz w:val="18"/>
          <w:szCs w:val="18"/>
        </w:rPr>
        <w:t xml:space="preserve"> </w:t>
      </w:r>
      <w:r w:rsidRPr="00BE714F">
        <w:rPr>
          <w:rFonts w:ascii="Verdana" w:hAnsi="Verdana" w:cs="Arial"/>
          <w:sz w:val="18"/>
          <w:szCs w:val="18"/>
        </w:rPr>
        <w:t xml:space="preserve">estatal”. </w:t>
      </w:r>
    </w:p>
  </w:footnote>
  <w:footnote w:id="3">
    <w:p w14:paraId="325CB2B9" w14:textId="77777777" w:rsidR="006A7453" w:rsidRPr="00BE714F" w:rsidRDefault="006A7453" w:rsidP="006A7453">
      <w:pPr>
        <w:pStyle w:val="Textonotapie"/>
        <w:ind w:firstLine="708"/>
        <w:jc w:val="both"/>
        <w:rPr>
          <w:rFonts w:ascii="Verdana" w:hAnsi="Verdana"/>
          <w:sz w:val="18"/>
          <w:szCs w:val="18"/>
        </w:rPr>
      </w:pPr>
    </w:p>
    <w:p w14:paraId="29411E7A" w14:textId="77777777" w:rsidR="006A7453" w:rsidRPr="00BE714F" w:rsidRDefault="006A7453" w:rsidP="006A7453">
      <w:pPr>
        <w:pStyle w:val="Textonotapie"/>
        <w:ind w:firstLine="708"/>
        <w:jc w:val="both"/>
        <w:rPr>
          <w:rFonts w:ascii="Verdana" w:hAnsi="Verdana"/>
          <w:sz w:val="18"/>
          <w:szCs w:val="18"/>
          <w:lang w:val="es-CO"/>
        </w:rPr>
      </w:pPr>
      <w:r w:rsidRPr="00BE714F">
        <w:rPr>
          <w:rStyle w:val="Refdenotaalpie"/>
          <w:rFonts w:ascii="Verdana" w:hAnsi="Verdana"/>
          <w:sz w:val="18"/>
          <w:szCs w:val="18"/>
        </w:rPr>
        <w:footnoteRef/>
      </w:r>
      <w:r w:rsidRPr="00BE714F">
        <w:rPr>
          <w:rFonts w:ascii="Verdana" w:hAnsi="Verdana"/>
          <w:sz w:val="18"/>
          <w:szCs w:val="18"/>
        </w:rPr>
        <w:t xml:space="preserve"> </w:t>
      </w:r>
      <w:r w:rsidRPr="00BE714F">
        <w:rPr>
          <w:rFonts w:ascii="Verdana" w:hAnsi="Verdana" w:cs="Arial"/>
          <w:sz w:val="18"/>
          <w:szCs w:val="18"/>
          <w:lang w:val="es-ES"/>
        </w:rPr>
        <w:t xml:space="preserve">Por ello, “[…] </w:t>
      </w:r>
      <w:r w:rsidRPr="00BE714F">
        <w:rPr>
          <w:rFonts w:ascii="Verdana" w:hAnsi="Verdana" w:cs="Arial"/>
          <w:sz w:val="18"/>
          <w:szCs w:val="18"/>
        </w:rPr>
        <w:t xml:space="preserve">la clasificación de estatal, respecto de un determinado contrato, no determina, </w:t>
      </w:r>
      <w:r w:rsidRPr="00BE714F">
        <w:rPr>
          <w:rFonts w:ascii="Verdana" w:hAnsi="Verdana" w:cs="Arial"/>
          <w:i/>
          <w:iCs/>
          <w:sz w:val="18"/>
          <w:szCs w:val="18"/>
        </w:rPr>
        <w:t>per se</w:t>
      </w:r>
      <w:r w:rsidRPr="00BE714F">
        <w:rPr>
          <w:rFonts w:ascii="Verdana" w:hAnsi="Verdana" w:cs="Arial"/>
          <w:sz w:val="18"/>
          <w:szCs w:val="18"/>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BE714F">
        <w:rPr>
          <w:rFonts w:ascii="Verdana" w:hAnsi="Verdana" w:cs="Arial"/>
          <w:i/>
          <w:iCs/>
          <w:sz w:val="18"/>
          <w:szCs w:val="18"/>
        </w:rPr>
        <w:t>Ibidem</w:t>
      </w:r>
      <w:r w:rsidRPr="00BE714F">
        <w:rPr>
          <w:rFonts w:ascii="Verdana" w:hAnsi="Verdana" w:cs="Arial"/>
          <w:sz w:val="18"/>
          <w:szCs w:val="18"/>
        </w:rPr>
        <w:t>).</w:t>
      </w:r>
    </w:p>
  </w:footnote>
  <w:footnote w:id="4">
    <w:p w14:paraId="423AFBCC" w14:textId="77777777" w:rsidR="006A7453" w:rsidRPr="00BE714F" w:rsidRDefault="006A7453" w:rsidP="006A7453">
      <w:pPr>
        <w:pStyle w:val="Textonotapie"/>
        <w:ind w:firstLine="708"/>
        <w:jc w:val="both"/>
        <w:rPr>
          <w:rFonts w:ascii="Verdana" w:hAnsi="Verdana" w:cs="Arial"/>
          <w:sz w:val="18"/>
          <w:szCs w:val="18"/>
        </w:rPr>
      </w:pPr>
    </w:p>
    <w:p w14:paraId="6BDA93E7" w14:textId="77777777" w:rsidR="006A7453" w:rsidRPr="00BE714F" w:rsidRDefault="006A7453" w:rsidP="006A7453">
      <w:pPr>
        <w:pStyle w:val="Textonotapie"/>
        <w:ind w:firstLine="708"/>
        <w:jc w:val="both"/>
        <w:rPr>
          <w:rFonts w:ascii="Verdana" w:hAnsi="Verdana" w:cs="Arial"/>
          <w:sz w:val="18"/>
          <w:szCs w:val="18"/>
          <w:lang w:val="es-ES"/>
        </w:rPr>
      </w:pPr>
      <w:r w:rsidRPr="00BE714F">
        <w:rPr>
          <w:rStyle w:val="Refdenotaalpie"/>
          <w:rFonts w:ascii="Verdana" w:hAnsi="Verdana" w:cs="Arial"/>
          <w:sz w:val="18"/>
          <w:szCs w:val="18"/>
        </w:rPr>
        <w:footnoteRef/>
      </w:r>
      <w:r w:rsidRPr="00BE714F">
        <w:rPr>
          <w:rFonts w:ascii="Verdana" w:hAnsi="Verdana" w:cs="Arial"/>
          <w:sz w:val="18"/>
          <w:szCs w:val="18"/>
        </w:rPr>
        <w:t xml:space="preserve"> Cfr. BENAVIDES, José Luis. El contrato estatal: entre el derecho público y el derecho privado. Segunda edición. Bogotá: Universidad Externado de Colombia, 2009. pp. 78-79.      </w:t>
      </w:r>
    </w:p>
  </w:footnote>
  <w:footnote w:id="5">
    <w:p w14:paraId="3B68FA1B" w14:textId="77777777" w:rsidR="006A7453" w:rsidRPr="00BE714F" w:rsidRDefault="006A7453" w:rsidP="006A7453">
      <w:pPr>
        <w:pStyle w:val="Textonotapie"/>
        <w:ind w:firstLine="708"/>
        <w:jc w:val="both"/>
        <w:rPr>
          <w:rFonts w:ascii="Verdana" w:hAnsi="Verdana" w:cs="Arial"/>
          <w:sz w:val="18"/>
          <w:szCs w:val="18"/>
        </w:rPr>
      </w:pPr>
    </w:p>
    <w:p w14:paraId="454FBAF2" w14:textId="77777777" w:rsidR="006A7453" w:rsidRPr="00BE714F" w:rsidRDefault="006A7453" w:rsidP="006A7453">
      <w:pPr>
        <w:pStyle w:val="Textonotapie"/>
        <w:ind w:firstLine="708"/>
        <w:jc w:val="both"/>
        <w:rPr>
          <w:rFonts w:ascii="Verdana" w:hAnsi="Verdana" w:cs="Arial"/>
          <w:sz w:val="18"/>
          <w:szCs w:val="18"/>
          <w:lang w:val="es-ES"/>
        </w:rPr>
      </w:pPr>
      <w:r w:rsidRPr="00BE714F">
        <w:rPr>
          <w:rStyle w:val="Refdenotaalpie"/>
          <w:rFonts w:ascii="Verdana" w:hAnsi="Verdana" w:cs="Arial"/>
          <w:sz w:val="18"/>
          <w:szCs w:val="18"/>
        </w:rPr>
        <w:footnoteRef/>
      </w:r>
      <w:r w:rsidRPr="00BE714F">
        <w:rPr>
          <w:rFonts w:ascii="Verdana" w:hAnsi="Verdana" w:cs="Arial"/>
          <w:sz w:val="18"/>
          <w:szCs w:val="18"/>
        </w:rPr>
        <w:t xml:space="preserve"> BETANCUR JARAMILLO, Carlos. Derecho procesal administrativo. Octava edición. Medellín: Señal Editora, 2013. p. 627. </w:t>
      </w:r>
    </w:p>
  </w:footnote>
  <w:footnote w:id="6">
    <w:p w14:paraId="1EC3A74A" w14:textId="77777777" w:rsidR="006A7453" w:rsidRDefault="006A7453" w:rsidP="006A7453">
      <w:pPr>
        <w:pStyle w:val="Textonotapie"/>
        <w:ind w:firstLine="709"/>
        <w:jc w:val="both"/>
        <w:rPr>
          <w:rFonts w:ascii="Verdana" w:hAnsi="Verdana" w:cs="Arial"/>
          <w:color w:val="000000"/>
          <w:sz w:val="18"/>
          <w:szCs w:val="18"/>
        </w:rPr>
      </w:pPr>
    </w:p>
    <w:p w14:paraId="52F57F66" w14:textId="77777777" w:rsidR="006A7453" w:rsidRPr="00BE714F" w:rsidRDefault="006A7453" w:rsidP="006A7453">
      <w:pPr>
        <w:pStyle w:val="Textonotapie"/>
        <w:ind w:firstLine="709"/>
        <w:jc w:val="both"/>
        <w:rPr>
          <w:rFonts w:ascii="Verdana" w:hAnsi="Verdana" w:cs="Arial"/>
          <w:color w:val="000000"/>
          <w:sz w:val="18"/>
          <w:szCs w:val="18"/>
          <w:lang w:val="es-ES"/>
        </w:rPr>
      </w:pPr>
      <w:r w:rsidRPr="00BE714F">
        <w:rPr>
          <w:rStyle w:val="Refdenotaalpie"/>
          <w:rFonts w:ascii="Verdana" w:hAnsi="Verdana" w:cs="Arial"/>
          <w:color w:val="000000"/>
          <w:sz w:val="18"/>
          <w:szCs w:val="18"/>
        </w:rPr>
        <w:footnoteRef/>
      </w:r>
      <w:r w:rsidRPr="00BE714F">
        <w:rPr>
          <w:rFonts w:ascii="Verdana" w:hAnsi="Verdana" w:cs="Arial"/>
          <w:color w:val="000000"/>
          <w:sz w:val="18"/>
          <w:szCs w:val="18"/>
        </w:rPr>
        <w:t xml:space="preserve"> </w:t>
      </w:r>
      <w:r w:rsidRPr="00BE714F">
        <w:rPr>
          <w:rFonts w:ascii="Verdana" w:hAnsi="Verdana" w:cs="Arial"/>
          <w:color w:val="000000"/>
          <w:sz w:val="18"/>
          <w:szCs w:val="18"/>
          <w:lang w:val="es-ES"/>
        </w:rPr>
        <w:t>Para la doctrina, “El arrendamiento es el contrato en virtud del cual una de las partes se obliga a proporcionarle a otra el uso y goce de una cosa, durante cierto tiempo, y ésta a pagar, como contraprestación, un precio determinado.</w:t>
      </w:r>
    </w:p>
    <w:p w14:paraId="2F254AC4" w14:textId="77777777" w:rsidR="006A7453" w:rsidRPr="00BE714F" w:rsidRDefault="006A7453" w:rsidP="006A7453">
      <w:pPr>
        <w:pStyle w:val="Textonotapie"/>
        <w:spacing w:before="120"/>
        <w:ind w:firstLine="709"/>
        <w:jc w:val="both"/>
        <w:rPr>
          <w:rFonts w:ascii="Verdana" w:hAnsi="Verdana" w:cs="Arial"/>
          <w:color w:val="000000"/>
          <w:sz w:val="18"/>
          <w:szCs w:val="18"/>
          <w:lang w:val="es-ES"/>
        </w:rPr>
      </w:pPr>
      <w:r w:rsidRPr="00BE714F">
        <w:rPr>
          <w:rFonts w:ascii="Verdana" w:hAnsi="Verdana" w:cs="Arial"/>
          <w:color w:val="000000"/>
          <w:sz w:val="18"/>
          <w:szCs w:val="18"/>
          <w:lang w:val="es-ES"/>
        </w:rPr>
        <w:t xml:space="preserve">La parte que proporciona el goce se llama </w:t>
      </w:r>
      <w:r w:rsidRPr="00BE714F">
        <w:rPr>
          <w:rFonts w:ascii="Verdana" w:hAnsi="Verdana" w:cs="Arial"/>
          <w:b/>
          <w:bCs/>
          <w:color w:val="000000"/>
          <w:sz w:val="18"/>
          <w:szCs w:val="18"/>
          <w:lang w:val="es-ES"/>
        </w:rPr>
        <w:t>arrendador</w:t>
      </w:r>
      <w:r w:rsidRPr="00BE714F">
        <w:rPr>
          <w:rFonts w:ascii="Verdana" w:hAnsi="Verdana" w:cs="Arial"/>
          <w:color w:val="000000"/>
          <w:sz w:val="18"/>
          <w:szCs w:val="18"/>
          <w:lang w:val="es-ES"/>
        </w:rPr>
        <w:t xml:space="preserve"> y la parte que da el precio </w:t>
      </w:r>
      <w:r w:rsidRPr="00BE714F">
        <w:rPr>
          <w:rFonts w:ascii="Verdana" w:hAnsi="Verdana" w:cs="Arial"/>
          <w:b/>
          <w:bCs/>
          <w:color w:val="000000"/>
          <w:sz w:val="18"/>
          <w:szCs w:val="18"/>
          <w:lang w:val="es-ES"/>
        </w:rPr>
        <w:t>arrendatario</w:t>
      </w:r>
      <w:r w:rsidRPr="00BE714F">
        <w:rPr>
          <w:rFonts w:ascii="Verdana" w:hAnsi="Verdana" w:cs="Arial"/>
          <w:color w:val="000000"/>
          <w:sz w:val="18"/>
          <w:szCs w:val="18"/>
          <w:lang w:val="es-ES"/>
        </w:rPr>
        <w:t xml:space="preserve">. También se conoce con el nombre de </w:t>
      </w:r>
      <w:r w:rsidRPr="00BE714F">
        <w:rPr>
          <w:rFonts w:ascii="Verdana" w:hAnsi="Verdana" w:cs="Arial"/>
          <w:b/>
          <w:bCs/>
          <w:color w:val="000000"/>
          <w:sz w:val="18"/>
          <w:szCs w:val="18"/>
          <w:lang w:val="es-ES"/>
        </w:rPr>
        <w:t>inquilino</w:t>
      </w:r>
      <w:r w:rsidRPr="00BE714F">
        <w:rPr>
          <w:rFonts w:ascii="Verdana" w:hAnsi="Verdana" w:cs="Arial"/>
          <w:color w:val="000000"/>
          <w:sz w:val="18"/>
          <w:szCs w:val="18"/>
          <w:lang w:val="es-ES"/>
        </w:rPr>
        <w:t xml:space="preserve"> cuando se trata de arrendamiento de casas, almacenes u otros edificios, y </w:t>
      </w:r>
      <w:r w:rsidRPr="00BE714F">
        <w:rPr>
          <w:rFonts w:ascii="Verdana" w:hAnsi="Verdana" w:cs="Arial"/>
          <w:b/>
          <w:bCs/>
          <w:color w:val="000000"/>
          <w:sz w:val="18"/>
          <w:szCs w:val="18"/>
          <w:lang w:val="es-ES"/>
        </w:rPr>
        <w:t>colono</w:t>
      </w:r>
      <w:r w:rsidRPr="00BE714F">
        <w:rPr>
          <w:rFonts w:ascii="Verdana" w:hAnsi="Verdana" w:cs="Arial"/>
          <w:color w:val="000000"/>
          <w:sz w:val="18"/>
          <w:szCs w:val="18"/>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p. 569. Énfasis dentro del texto). </w:t>
      </w:r>
    </w:p>
  </w:footnote>
  <w:footnote w:id="7">
    <w:p w14:paraId="44B20B75" w14:textId="77777777" w:rsidR="006A7453" w:rsidRPr="00BE714F" w:rsidRDefault="006A7453" w:rsidP="006A7453">
      <w:pPr>
        <w:pStyle w:val="Textonotapie"/>
        <w:ind w:firstLine="708"/>
        <w:jc w:val="both"/>
        <w:rPr>
          <w:rFonts w:ascii="Verdana" w:hAnsi="Verdana" w:cs="Arial"/>
          <w:sz w:val="18"/>
          <w:szCs w:val="18"/>
        </w:rPr>
      </w:pPr>
    </w:p>
    <w:p w14:paraId="7D6E6190" w14:textId="77777777" w:rsidR="006A7453" w:rsidRPr="00BE714F" w:rsidRDefault="006A7453" w:rsidP="006A7453">
      <w:pPr>
        <w:pStyle w:val="Textonotapie"/>
        <w:ind w:firstLine="708"/>
        <w:jc w:val="both"/>
        <w:rPr>
          <w:rFonts w:ascii="Verdana" w:hAnsi="Verdana"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Lo anterior bajo el régimen del derecho privado, sin perjuicio de que cuando se trata de un contrato estatal deben cumplirse los requisitos de perfeccionamiento establecidos en el artículo 41 de la Ley 80 de 1993.</w:t>
      </w:r>
    </w:p>
  </w:footnote>
  <w:footnote w:id="8">
    <w:p w14:paraId="0EA1DE42" w14:textId="77777777" w:rsidR="006A7453" w:rsidRPr="00BE714F" w:rsidRDefault="006A7453" w:rsidP="006A7453">
      <w:pPr>
        <w:pStyle w:val="Textonotapie"/>
        <w:ind w:firstLine="709"/>
        <w:jc w:val="both"/>
        <w:rPr>
          <w:rFonts w:ascii="Verdana" w:hAnsi="Verdana" w:cs="Arial"/>
          <w:color w:val="000000"/>
          <w:sz w:val="18"/>
          <w:szCs w:val="18"/>
        </w:rPr>
      </w:pPr>
      <w:r w:rsidRPr="00BE714F">
        <w:rPr>
          <w:rStyle w:val="Refdenotaalpie"/>
          <w:rFonts w:ascii="Verdana" w:hAnsi="Verdana" w:cs="Arial"/>
          <w:color w:val="000000"/>
          <w:sz w:val="18"/>
          <w:szCs w:val="18"/>
        </w:rPr>
        <w:footnoteRef/>
      </w:r>
      <w:r w:rsidRPr="00BE714F">
        <w:rPr>
          <w:rFonts w:ascii="Verdana" w:hAnsi="Verdana" w:cs="Arial"/>
          <w:color w:val="000000"/>
          <w:sz w:val="18"/>
          <w:szCs w:val="18"/>
        </w:rPr>
        <w:t xml:space="preserve"> Ibidem. pp. 569-570.</w:t>
      </w:r>
    </w:p>
  </w:footnote>
  <w:footnote w:id="9">
    <w:p w14:paraId="72D830B6" w14:textId="77777777" w:rsidR="006A7453" w:rsidRPr="00BE714F" w:rsidRDefault="006A7453" w:rsidP="006A7453">
      <w:pPr>
        <w:spacing w:after="0" w:line="240" w:lineRule="auto"/>
        <w:ind w:firstLine="709"/>
        <w:jc w:val="both"/>
        <w:rPr>
          <w:rFonts w:ascii="Verdana" w:eastAsia="Times New Roman" w:hAnsi="Verdana"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w:t>
      </w:r>
      <w:r w:rsidRPr="00BE714F">
        <w:rPr>
          <w:rFonts w:ascii="Verdana" w:eastAsia="Calibri" w:hAnsi="Verdana" w:cs="Arial"/>
          <w:bCs/>
          <w:color w:val="000000"/>
          <w:sz w:val="18"/>
          <w:szCs w:val="18"/>
        </w:rPr>
        <w:t>“</w:t>
      </w:r>
      <w:r w:rsidRPr="00BE714F">
        <w:rPr>
          <w:rFonts w:ascii="Verdana" w:eastAsia="Times New Roman" w:hAnsi="Verdana"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AD1B2CC" w14:textId="77777777" w:rsidR="006A7453" w:rsidRPr="00BE714F" w:rsidRDefault="006A7453" w:rsidP="006A7453">
      <w:pPr>
        <w:spacing w:before="120" w:after="0" w:line="240" w:lineRule="auto"/>
        <w:ind w:firstLine="709"/>
        <w:jc w:val="both"/>
        <w:rPr>
          <w:rFonts w:ascii="Verdana" w:eastAsia="Times New Roman" w:hAnsi="Verdana" w:cs="Arial"/>
          <w:sz w:val="18"/>
          <w:szCs w:val="18"/>
        </w:rPr>
      </w:pPr>
      <w:r w:rsidRPr="00BE714F">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E714F">
        <w:rPr>
          <w:rFonts w:ascii="Verdana" w:eastAsia="Calibri" w:hAnsi="Verdana" w:cs="Arial"/>
          <w:bCs/>
          <w:color w:val="000000"/>
          <w:sz w:val="18"/>
          <w:szCs w:val="18"/>
        </w:rPr>
        <w:t>”</w:t>
      </w:r>
      <w:r w:rsidRPr="00BE714F">
        <w:rPr>
          <w:rFonts w:ascii="Verdana" w:eastAsia="Times New Roman" w:hAnsi="Verdana" w:cs="Arial"/>
          <w:sz w:val="18"/>
          <w:szCs w:val="18"/>
        </w:rPr>
        <w:t>.</w:t>
      </w:r>
    </w:p>
  </w:footnote>
  <w:footnote w:id="10">
    <w:p w14:paraId="09C51F8B" w14:textId="77777777" w:rsidR="006A7453" w:rsidRPr="00BE714F" w:rsidRDefault="006A7453" w:rsidP="006A7453">
      <w:pPr>
        <w:pStyle w:val="Textonotapie"/>
        <w:ind w:firstLine="709"/>
        <w:jc w:val="both"/>
        <w:rPr>
          <w:rFonts w:ascii="Verdana" w:hAnsi="Verdana" w:cs="Arial"/>
          <w:sz w:val="18"/>
          <w:szCs w:val="18"/>
        </w:rPr>
      </w:pPr>
    </w:p>
    <w:p w14:paraId="6A57CC78" w14:textId="77777777" w:rsidR="006A7453" w:rsidRPr="00BE714F" w:rsidRDefault="006A7453" w:rsidP="006A7453">
      <w:pPr>
        <w:pStyle w:val="Textonotapie"/>
        <w:ind w:firstLine="709"/>
        <w:jc w:val="both"/>
        <w:rPr>
          <w:rFonts w:ascii="Verdana" w:hAnsi="Verdana" w:cs="Arial"/>
          <w:sz w:val="18"/>
          <w:szCs w:val="18"/>
          <w:lang w:val="es-ES"/>
        </w:rPr>
      </w:pPr>
      <w:r w:rsidRPr="00BE714F">
        <w:rPr>
          <w:rStyle w:val="Refdenotaalpie"/>
          <w:rFonts w:ascii="Verdana" w:hAnsi="Verdana" w:cs="Arial"/>
          <w:sz w:val="18"/>
          <w:szCs w:val="18"/>
        </w:rPr>
        <w:footnoteRef/>
      </w:r>
      <w:r w:rsidRPr="00BE714F">
        <w:rPr>
          <w:rFonts w:ascii="Verdana" w:hAnsi="Verdana" w:cs="Arial"/>
          <w:sz w:val="18"/>
          <w:szCs w:val="18"/>
        </w:rPr>
        <w:t xml:space="preserve"> </w:t>
      </w:r>
      <w:r w:rsidRPr="00BE714F">
        <w:rPr>
          <w:rFonts w:ascii="Verdana" w:hAnsi="Verdana" w:cs="Arial"/>
          <w:sz w:val="18"/>
          <w:szCs w:val="18"/>
          <w:lang w:val="es-ES"/>
        </w:rPr>
        <w:t xml:space="preserve">Artículo 2. </w:t>
      </w:r>
    </w:p>
  </w:footnote>
  <w:footnote w:id="11">
    <w:p w14:paraId="454C018B" w14:textId="77777777" w:rsidR="006A7453" w:rsidRPr="00BE714F" w:rsidRDefault="006A7453" w:rsidP="006A7453">
      <w:pPr>
        <w:pStyle w:val="Textonotapie"/>
        <w:ind w:firstLine="709"/>
        <w:jc w:val="both"/>
        <w:rPr>
          <w:rFonts w:ascii="Verdana" w:hAnsi="Verdana" w:cs="Arial"/>
          <w:sz w:val="18"/>
          <w:szCs w:val="18"/>
        </w:rPr>
      </w:pPr>
    </w:p>
    <w:p w14:paraId="0FE40532" w14:textId="77777777" w:rsidR="006A7453" w:rsidRPr="00BE714F" w:rsidRDefault="006A7453" w:rsidP="006A7453">
      <w:pPr>
        <w:pStyle w:val="Textonotapie"/>
        <w:ind w:firstLine="709"/>
        <w:jc w:val="both"/>
        <w:rPr>
          <w:rFonts w:ascii="Verdana" w:hAnsi="Verdana" w:cs="Arial"/>
          <w:sz w:val="18"/>
          <w:szCs w:val="18"/>
          <w:lang w:val="es-ES"/>
        </w:rPr>
      </w:pPr>
      <w:r w:rsidRPr="00BE714F">
        <w:rPr>
          <w:rStyle w:val="Refdenotaalpie"/>
          <w:rFonts w:ascii="Verdana" w:hAnsi="Verdana" w:cs="Arial"/>
          <w:sz w:val="18"/>
          <w:szCs w:val="18"/>
        </w:rPr>
        <w:footnoteRef/>
      </w:r>
      <w:r w:rsidRPr="00BE714F">
        <w:rPr>
          <w:rFonts w:ascii="Verdana" w:hAnsi="Verdana" w:cs="Arial"/>
          <w:sz w:val="18"/>
          <w:szCs w:val="18"/>
        </w:rPr>
        <w:t xml:space="preserve"> </w:t>
      </w:r>
      <w:r w:rsidRPr="00BE714F">
        <w:rPr>
          <w:rFonts w:ascii="Verdana" w:hAnsi="Verdana" w:cs="Arial"/>
          <w:iCs/>
          <w:sz w:val="18"/>
          <w:szCs w:val="18"/>
          <w:lang w:val="es-ES"/>
        </w:rPr>
        <w:t>Ibidem</w:t>
      </w:r>
      <w:r w:rsidRPr="00BE714F">
        <w:rPr>
          <w:rFonts w:ascii="Verdana" w:hAnsi="Verdana" w:cs="Arial"/>
          <w:sz w:val="18"/>
          <w:szCs w:val="18"/>
          <w:lang w:val="es-ES"/>
        </w:rPr>
        <w:t>.</w:t>
      </w:r>
    </w:p>
    <w:p w14:paraId="39A7FE85" w14:textId="77777777" w:rsidR="006A7453" w:rsidRPr="00BE714F" w:rsidRDefault="006A7453" w:rsidP="006A7453">
      <w:pPr>
        <w:pStyle w:val="Textonotapie"/>
        <w:ind w:firstLine="709"/>
        <w:jc w:val="both"/>
        <w:rPr>
          <w:rFonts w:ascii="Verdana" w:hAnsi="Verdana" w:cs="Arial"/>
          <w:sz w:val="18"/>
          <w:szCs w:val="18"/>
          <w:lang w:val="es-ES"/>
        </w:rPr>
      </w:pPr>
    </w:p>
  </w:footnote>
  <w:footnote w:id="12">
    <w:p w14:paraId="7CDC065C" w14:textId="77777777" w:rsidR="006A7453" w:rsidRPr="00BE714F" w:rsidRDefault="006A7453" w:rsidP="006A7453">
      <w:pPr>
        <w:pStyle w:val="Textonotapie"/>
        <w:ind w:firstLine="709"/>
        <w:jc w:val="both"/>
        <w:rPr>
          <w:rFonts w:ascii="Verdana" w:hAnsi="Verdana"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Consejo de Estado. Sala de Consulta y Servicio Civil. Concepto del 08 de mayo de 2018. </w:t>
      </w:r>
      <w:r w:rsidRPr="00BE714F">
        <w:rPr>
          <w:rFonts w:ascii="Verdana" w:hAnsi="Verdana" w:cs="Arial"/>
          <w:sz w:val="18"/>
          <w:szCs w:val="18"/>
        </w:rPr>
        <w:t>Exp. 2.382. C.P. Álvaro Namén Vargas.</w:t>
      </w:r>
    </w:p>
  </w:footnote>
  <w:footnote w:id="13">
    <w:p w14:paraId="1FECF3A8" w14:textId="77777777" w:rsidR="006A7453" w:rsidRPr="00BE714F" w:rsidRDefault="006A7453" w:rsidP="006A7453">
      <w:pPr>
        <w:pStyle w:val="Textonotapie"/>
        <w:ind w:firstLine="708"/>
        <w:jc w:val="both"/>
        <w:rPr>
          <w:rFonts w:ascii="Arial" w:hAnsi="Arial" w:cs="Arial"/>
          <w:sz w:val="18"/>
          <w:szCs w:val="18"/>
        </w:rPr>
      </w:pPr>
      <w:r w:rsidRPr="00BE714F">
        <w:rPr>
          <w:rStyle w:val="Refdenotaalpie"/>
          <w:rFonts w:ascii="Verdana" w:hAnsi="Verdana" w:cs="Arial"/>
          <w:sz w:val="18"/>
          <w:szCs w:val="18"/>
        </w:rPr>
        <w:footnoteRef/>
      </w:r>
      <w:r w:rsidRPr="00BE714F">
        <w:rPr>
          <w:rFonts w:ascii="Verdana" w:hAnsi="Verdana" w:cs="Arial"/>
          <w:sz w:val="18"/>
          <w:szCs w:val="18"/>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C2DCD" w14:textId="77777777" w:rsidR="006A7453" w:rsidRDefault="006A7453" w:rsidP="00523CBD">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2CE905F" wp14:editId="29856E72">
          <wp:simplePos x="0" y="0"/>
          <wp:positionH relativeFrom="margin">
            <wp:align>center</wp:align>
          </wp:positionH>
          <wp:positionV relativeFrom="paragraph">
            <wp:posOffset>-256388</wp:posOffset>
          </wp:positionV>
          <wp:extent cx="1924050" cy="856004"/>
          <wp:effectExtent l="0" t="0" r="0" b="1270"/>
          <wp:wrapNone/>
          <wp:docPr id="140601815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7EEACE65" wp14:editId="10FD07B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45963726" name="Imagen 144596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585ED08" w14:textId="77777777" w:rsidR="006A7453" w:rsidRDefault="006A7453">
    <w:pPr>
      <w:pStyle w:val="Encabezado"/>
    </w:pPr>
  </w:p>
  <w:p w14:paraId="5DE34AC2" w14:textId="77777777" w:rsidR="006A7453" w:rsidRPr="004A305D" w:rsidRDefault="006A7453" w:rsidP="00523CBD">
    <w:pPr>
      <w:spacing w:after="0" w:line="120" w:lineRule="auto"/>
      <w:rPr>
        <w:rFonts w:ascii="Century Gothic" w:eastAsia="Geo" w:hAnsi="Century Gothic" w:cs="Geo"/>
        <w:sz w:val="16"/>
        <w:szCs w:val="16"/>
        <w:lang w:eastAsia="es-CO"/>
      </w:rPr>
    </w:pPr>
  </w:p>
  <w:p w14:paraId="73B7E22B" w14:textId="77777777" w:rsidR="006A7453" w:rsidRDefault="006A7453" w:rsidP="00523CBD">
    <w:pPr>
      <w:spacing w:after="0" w:line="240" w:lineRule="auto"/>
      <w:rPr>
        <w:rFonts w:ascii="Verdana" w:hAnsi="Verdana"/>
        <w:sz w:val="24"/>
        <w:szCs w:val="24"/>
      </w:rPr>
    </w:pPr>
  </w:p>
  <w:p w14:paraId="706C88D3" w14:textId="77777777" w:rsidR="006A7453" w:rsidRPr="00C925AC" w:rsidRDefault="006A7453" w:rsidP="00523CBD">
    <w:pPr>
      <w:spacing w:after="0" w:line="240" w:lineRule="auto"/>
      <w:rPr>
        <w:rFonts w:ascii="Verdana" w:hAnsi="Verdana"/>
        <w:sz w:val="24"/>
        <w:szCs w:val="24"/>
      </w:rPr>
    </w:pPr>
  </w:p>
  <w:p w14:paraId="0EC9F493" w14:textId="77777777" w:rsidR="006A7453" w:rsidRPr="00C925AC" w:rsidRDefault="006A7453" w:rsidP="00523CBD">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453"/>
    <w:rsid w:val="000C74C6"/>
    <w:rsid w:val="002212AA"/>
    <w:rsid w:val="00322EA5"/>
    <w:rsid w:val="003902CB"/>
    <w:rsid w:val="00523CBD"/>
    <w:rsid w:val="005B5503"/>
    <w:rsid w:val="00694B9F"/>
    <w:rsid w:val="006A7453"/>
    <w:rsid w:val="007B31C0"/>
    <w:rsid w:val="008D0AB9"/>
    <w:rsid w:val="00A449A9"/>
    <w:rsid w:val="00A94955"/>
    <w:rsid w:val="00B7763A"/>
    <w:rsid w:val="00CB2202"/>
    <w:rsid w:val="00D47C7E"/>
    <w:rsid w:val="00DC31BC"/>
    <w:rsid w:val="00DD47CB"/>
    <w:rsid w:val="00DF5662"/>
    <w:rsid w:val="00EA79B9"/>
    <w:rsid w:val="00F8571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50A87"/>
  <w15:chartTrackingRefBased/>
  <w15:docId w15:val="{40D7513C-84D0-48F8-8FB4-C94A7E75E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453"/>
    <w:pPr>
      <w:spacing w:line="259" w:lineRule="auto"/>
    </w:pPr>
    <w:rPr>
      <w:kern w:val="0"/>
      <w:sz w:val="22"/>
      <w:szCs w:val="22"/>
      <w14:ligatures w14:val="none"/>
    </w:rPr>
  </w:style>
  <w:style w:type="paragraph" w:styleId="Ttulo1">
    <w:name w:val="heading 1"/>
    <w:basedOn w:val="Normal"/>
    <w:next w:val="Normal"/>
    <w:link w:val="Ttulo1Car"/>
    <w:uiPriority w:val="9"/>
    <w:qFormat/>
    <w:rsid w:val="006A74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A74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A745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A745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A745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A745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A745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A745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A745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745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A745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A745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A745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A745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A745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A745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A745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A7453"/>
    <w:rPr>
      <w:rFonts w:eastAsiaTheme="majorEastAsia" w:cstheme="majorBidi"/>
      <w:color w:val="272727" w:themeColor="text1" w:themeTint="D8"/>
    </w:rPr>
  </w:style>
  <w:style w:type="paragraph" w:styleId="Ttulo">
    <w:name w:val="Title"/>
    <w:basedOn w:val="Normal"/>
    <w:next w:val="Normal"/>
    <w:link w:val="TtuloCar"/>
    <w:uiPriority w:val="10"/>
    <w:qFormat/>
    <w:rsid w:val="006A74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745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A745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A745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A7453"/>
    <w:pPr>
      <w:spacing w:before="160"/>
      <w:jc w:val="center"/>
    </w:pPr>
    <w:rPr>
      <w:i/>
      <w:iCs/>
      <w:color w:val="404040" w:themeColor="text1" w:themeTint="BF"/>
    </w:rPr>
  </w:style>
  <w:style w:type="character" w:customStyle="1" w:styleId="CitaCar">
    <w:name w:val="Cita Car"/>
    <w:basedOn w:val="Fuentedeprrafopredeter"/>
    <w:link w:val="Cita"/>
    <w:uiPriority w:val="29"/>
    <w:rsid w:val="006A7453"/>
    <w:rPr>
      <w:i/>
      <w:iCs/>
      <w:color w:val="404040" w:themeColor="text1" w:themeTint="BF"/>
    </w:rPr>
  </w:style>
  <w:style w:type="paragraph" w:styleId="Prrafodelista">
    <w:name w:val="List Paragraph"/>
    <w:basedOn w:val="Normal"/>
    <w:uiPriority w:val="34"/>
    <w:qFormat/>
    <w:rsid w:val="006A7453"/>
    <w:pPr>
      <w:ind w:left="720"/>
      <w:contextualSpacing/>
    </w:pPr>
  </w:style>
  <w:style w:type="character" w:styleId="nfasisintenso">
    <w:name w:val="Intense Emphasis"/>
    <w:basedOn w:val="Fuentedeprrafopredeter"/>
    <w:uiPriority w:val="21"/>
    <w:qFormat/>
    <w:rsid w:val="006A7453"/>
    <w:rPr>
      <w:i/>
      <w:iCs/>
      <w:color w:val="0F4761" w:themeColor="accent1" w:themeShade="BF"/>
    </w:rPr>
  </w:style>
  <w:style w:type="paragraph" w:styleId="Citadestacada">
    <w:name w:val="Intense Quote"/>
    <w:basedOn w:val="Normal"/>
    <w:next w:val="Normal"/>
    <w:link w:val="CitadestacadaCar"/>
    <w:uiPriority w:val="30"/>
    <w:qFormat/>
    <w:rsid w:val="006A74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A7453"/>
    <w:rPr>
      <w:i/>
      <w:iCs/>
      <w:color w:val="0F4761" w:themeColor="accent1" w:themeShade="BF"/>
    </w:rPr>
  </w:style>
  <w:style w:type="character" w:styleId="Referenciaintensa">
    <w:name w:val="Intense Reference"/>
    <w:basedOn w:val="Fuentedeprrafopredeter"/>
    <w:uiPriority w:val="32"/>
    <w:qFormat/>
    <w:rsid w:val="006A7453"/>
    <w:rPr>
      <w:b/>
      <w:bCs/>
      <w:smallCaps/>
      <w:color w:val="0F4761" w:themeColor="accent1" w:themeShade="BF"/>
      <w:spacing w:val="5"/>
    </w:rPr>
  </w:style>
  <w:style w:type="paragraph" w:styleId="Encabezado">
    <w:name w:val="header"/>
    <w:basedOn w:val="Normal"/>
    <w:link w:val="EncabezadoCar"/>
    <w:uiPriority w:val="99"/>
    <w:unhideWhenUsed/>
    <w:rsid w:val="006A74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7453"/>
    <w:rPr>
      <w:kern w:val="0"/>
      <w:sz w:val="22"/>
      <w:szCs w:val="22"/>
      <w14:ligatures w14:val="none"/>
    </w:rPr>
  </w:style>
  <w:style w:type="paragraph" w:styleId="Piedepgina">
    <w:name w:val="footer"/>
    <w:basedOn w:val="Normal"/>
    <w:link w:val="PiedepginaCar"/>
    <w:uiPriority w:val="99"/>
    <w:unhideWhenUsed/>
    <w:rsid w:val="006A745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A7453"/>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A745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A745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A745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A7453"/>
    <w:rPr>
      <w:vertAlign w:val="superscript"/>
    </w:rPr>
  </w:style>
  <w:style w:type="table" w:styleId="Tablaconcuadrcula">
    <w:name w:val="Table Grid"/>
    <w:basedOn w:val="Tablanormal"/>
    <w:uiPriority w:val="39"/>
    <w:qFormat/>
    <w:rsid w:val="006A745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A7453"/>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6A745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ticionesciudadani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99B88D-598C-4619-B73C-F6A35EF7B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6D1BE2-CA54-4D4E-BFFB-9EE0CD85FA7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67352CF-F672-4FF0-A32E-000B6F4E4F78}">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79</TotalTime>
  <Pages>14</Pages>
  <Words>4503</Words>
  <Characters>24453</Characters>
  <Application>Microsoft Office Word</Application>
  <DocSecurity>0</DocSecurity>
  <Lines>470</Lines>
  <Paragraphs>101</Paragraphs>
  <ScaleCrop>false</ScaleCrop>
  <Company/>
  <LinksUpToDate>false</LinksUpToDate>
  <CharactersWithSpaces>28855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5</cp:revision>
  <dcterms:created xsi:type="dcterms:W3CDTF">2026-04-14T11:49:00Z</dcterms:created>
  <dcterms:modified xsi:type="dcterms:W3CDTF">2026-04-14T13:14:00Z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