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1C163D" w14:textId="77777777" w:rsidR="004C447C" w:rsidRDefault="004C447C" w:rsidP="004C447C">
      <w:pPr>
        <w:jc w:val="both"/>
        <w:rPr>
          <w:rFonts w:ascii="Verdana" w:eastAsia="Calibri" w:hAnsi="Verdana" w:cs="Arial"/>
          <w:b/>
        </w:rPr>
      </w:pPr>
      <w:bookmarkStart w:id="0" w:name="_Hlk214366482"/>
      <w:bookmarkStart w:id="1" w:name="_Hlk143780582"/>
      <w:r w:rsidRPr="004C447C">
        <w:rPr>
          <w:rFonts w:ascii="Verdana" w:eastAsia="Calibri" w:hAnsi="Verdana" w:cs="Arial"/>
          <w:b/>
        </w:rPr>
        <w:t xml:space="preserve">CONTRATO ESTATAL – Ejercicio – Funciones de control y vigilancia </w:t>
      </w:r>
    </w:p>
    <w:p w14:paraId="1DFD0CF9" w14:textId="77777777" w:rsidR="004C447C" w:rsidRDefault="004C447C" w:rsidP="004C447C">
      <w:pPr>
        <w:jc w:val="both"/>
        <w:rPr>
          <w:rFonts w:ascii="Verdana" w:eastAsia="Calibri" w:hAnsi="Verdana" w:cs="Arial"/>
          <w:color w:val="000000"/>
          <w:sz w:val="20"/>
          <w:szCs w:val="20"/>
        </w:rPr>
      </w:pPr>
      <w:r w:rsidRPr="004C447C">
        <w:rPr>
          <w:rFonts w:ascii="Verdana" w:eastAsia="Calibri" w:hAnsi="Verdana" w:cs="Arial"/>
          <w:color w:val="000000"/>
          <w:sz w:val="20"/>
          <w:szCs w:val="20"/>
        </w:rPr>
        <w:t>Para la garantía de los fines de interés general involucrados en la contratación de las Entidades Estatales, el Estatuto General de Contratación de la Administración Pública –en adelante EGCAP– dispone que, en la etapa de ejecución del contrato, las Entidades Estatales y los servidores públicos que participan en ella tienen la obligación de controlar y vigilar la correcta ejecución del objeto contratado</w:t>
      </w:r>
      <w:r w:rsidRPr="004C447C">
        <w:rPr>
          <w:rFonts w:ascii="Verdana" w:eastAsia="Calibri" w:hAnsi="Verdana" w:cs="Arial"/>
          <w:color w:val="000000"/>
          <w:sz w:val="20"/>
          <w:szCs w:val="20"/>
        </w:rPr>
        <w:t>.</w:t>
      </w:r>
    </w:p>
    <w:p w14:paraId="6284356B" w14:textId="77777777" w:rsidR="004C447C" w:rsidRDefault="004C447C" w:rsidP="004C447C">
      <w:pPr>
        <w:jc w:val="both"/>
        <w:rPr>
          <w:rFonts w:ascii="Verdana" w:eastAsia="Calibri" w:hAnsi="Verdana" w:cs="Arial"/>
          <w:color w:val="000000"/>
          <w:sz w:val="20"/>
          <w:szCs w:val="20"/>
        </w:rPr>
      </w:pPr>
      <w:r w:rsidRPr="004C447C">
        <w:rPr>
          <w:rFonts w:ascii="Verdana" w:eastAsia="Calibri" w:hAnsi="Verdana" w:cs="Arial"/>
          <w:b/>
        </w:rPr>
        <w:t xml:space="preserve">CONTRATO ESTATAL – Funciones de control y vigilancia </w:t>
      </w:r>
    </w:p>
    <w:p w14:paraId="466C462F" w14:textId="77777777" w:rsidR="004C447C" w:rsidRDefault="004C447C" w:rsidP="004C447C">
      <w:pPr>
        <w:jc w:val="both"/>
        <w:rPr>
          <w:rFonts w:ascii="Verdana" w:eastAsia="Calibri" w:hAnsi="Verdana" w:cs="Arial"/>
          <w:color w:val="000000"/>
          <w:sz w:val="20"/>
          <w:szCs w:val="20"/>
        </w:rPr>
      </w:pPr>
      <w:r w:rsidRPr="004C447C">
        <w:rPr>
          <w:rFonts w:ascii="Verdana" w:eastAsia="Calibri" w:hAnsi="Verdana" w:cs="Arial"/>
          <w:color w:val="000000"/>
          <w:sz w:val="20"/>
          <w:szCs w:val="20"/>
          <w:lang w:val="es-ES"/>
        </w:rPr>
        <w:t>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222D1A98" w14:textId="77777777" w:rsidR="004C447C" w:rsidRDefault="004C447C" w:rsidP="004C447C">
      <w:pPr>
        <w:jc w:val="both"/>
        <w:rPr>
          <w:rFonts w:ascii="Verdana" w:eastAsia="Calibri" w:hAnsi="Verdana" w:cs="Arial"/>
          <w:color w:val="000000"/>
          <w:sz w:val="20"/>
          <w:szCs w:val="20"/>
        </w:rPr>
      </w:pPr>
      <w:r w:rsidRPr="004C447C">
        <w:rPr>
          <w:rFonts w:ascii="Verdana" w:eastAsia="Calibri" w:hAnsi="Verdana" w:cs="Arial"/>
          <w:b/>
        </w:rPr>
        <w:t>SUPERVISIÓN – Delegación – Designación – Comunicación</w:t>
      </w:r>
    </w:p>
    <w:p w14:paraId="7062233C" w14:textId="5C00B503" w:rsidR="004C447C" w:rsidRPr="004C447C" w:rsidRDefault="004C447C" w:rsidP="004C447C">
      <w:pPr>
        <w:spacing w:after="0" w:line="240" w:lineRule="auto"/>
        <w:jc w:val="both"/>
        <w:rPr>
          <w:rFonts w:ascii="Verdana" w:eastAsia="Calibri" w:hAnsi="Verdana" w:cs="Arial"/>
          <w:color w:val="000000"/>
          <w:sz w:val="20"/>
          <w:szCs w:val="20"/>
        </w:rPr>
      </w:pPr>
      <w:r w:rsidRPr="004C447C">
        <w:rPr>
          <w:rFonts w:ascii="Verdana" w:hAnsi="Verdana" w:cs="Arial"/>
          <w:sz w:val="20"/>
          <w:szCs w:val="20"/>
        </w:rPr>
        <w:t>En cuanto a la designación del supervisor, la Agencia Nacional de Contratación Pública – Colombia Compra Eficiente, en la “Guía para el ejercicio de las funciones de supervisión e interventoría de los contratos del Estado” recomienda que esta se haga por un funcionario público quién pueda actuar al menos como par del contratista y que tenga asignadas funciones relacionadas con el objeto contractual. Así mismo, en dicha Guía se señala que la designación debe estar antecedida por un análisis de la carga operativa del funcionario al que se le asigna la función, para no incurrir en el riesgo de que el supervisor no pueda desempeñar la labor de manera adecuada</w:t>
      </w:r>
      <w:r w:rsidRPr="004C447C">
        <w:rPr>
          <w:rFonts w:ascii="Verdana" w:hAnsi="Verdana" w:cs="Arial"/>
          <w:sz w:val="20"/>
          <w:szCs w:val="20"/>
        </w:rPr>
        <w:t>.</w:t>
      </w:r>
    </w:p>
    <w:p w14:paraId="36B9AD88" w14:textId="68C03BC0" w:rsidR="004C447C" w:rsidRPr="004C447C" w:rsidRDefault="004C447C" w:rsidP="004C447C">
      <w:pPr>
        <w:spacing w:after="0" w:line="240" w:lineRule="auto"/>
        <w:jc w:val="both"/>
        <w:rPr>
          <w:rFonts w:ascii="Verdana" w:hAnsi="Verdana" w:cs="Arial"/>
          <w:sz w:val="20"/>
          <w:szCs w:val="20"/>
        </w:rPr>
      </w:pPr>
      <w:r w:rsidRPr="004C447C">
        <w:rPr>
          <w:rFonts w:ascii="Verdana" w:hAnsi="Verdana" w:cs="Arial"/>
          <w:sz w:val="20"/>
          <w:szCs w:val="20"/>
        </w:rPr>
        <w:t xml:space="preserve">[…] </w:t>
      </w:r>
    </w:p>
    <w:p w14:paraId="62C231E1" w14:textId="1A622269" w:rsidR="004C447C" w:rsidRPr="004C447C" w:rsidRDefault="004C447C" w:rsidP="004C447C">
      <w:pPr>
        <w:pStyle w:val="Sinespaciado"/>
        <w:jc w:val="both"/>
        <w:rPr>
          <w:rFonts w:ascii="Verdana" w:hAnsi="Verdana" w:cs="Arial"/>
          <w:sz w:val="20"/>
          <w:szCs w:val="20"/>
        </w:rPr>
      </w:pPr>
      <w:r w:rsidRPr="004C447C">
        <w:rPr>
          <w:rFonts w:ascii="Verdana" w:hAnsi="Verdana" w:cs="Arial"/>
          <w:sz w:val="20"/>
          <w:szCs w:val="20"/>
        </w:rPr>
        <w:t xml:space="preserve">[…] </w:t>
      </w:r>
      <w:r w:rsidRPr="004C447C">
        <w:rPr>
          <w:rFonts w:ascii="Verdana" w:hAnsi="Verdana" w:cs="Arial"/>
          <w:sz w:val="20"/>
          <w:szCs w:val="20"/>
        </w:rPr>
        <w:t xml:space="preserve">la comunicación de la designación de un funcionario como supervisor siempre debe ser escrita, entendiéndose también como tal la que se hace a través de correo electrónico. En el evento en que la designación del supervisor se haga directamente en el pliego de condiciones o documentos equivalente, o en el contrato, debe enviarse copia </w:t>
      </w:r>
      <w:proofErr w:type="gramStart"/>
      <w:r w:rsidRPr="004C447C">
        <w:rPr>
          <w:rFonts w:ascii="Verdana" w:hAnsi="Verdana" w:cs="Arial"/>
          <w:sz w:val="20"/>
          <w:szCs w:val="20"/>
        </w:rPr>
        <w:t>del mismo</w:t>
      </w:r>
      <w:proofErr w:type="gramEnd"/>
      <w:r w:rsidRPr="004C447C">
        <w:rPr>
          <w:rFonts w:ascii="Verdana" w:hAnsi="Verdana" w:cs="Arial"/>
          <w:sz w:val="20"/>
          <w:szCs w:val="20"/>
        </w:rPr>
        <w:t xml:space="preserve"> al funcionario designado informando que va a ser el supervisor. Así mismo, en los procesos adelantados a través de la plataforma SECOP II se debe realizar la designación a través de </w:t>
      </w:r>
      <w:proofErr w:type="gramStart"/>
      <w:r w:rsidRPr="004C447C">
        <w:rPr>
          <w:rFonts w:ascii="Verdana" w:hAnsi="Verdana" w:cs="Arial"/>
          <w:sz w:val="20"/>
          <w:szCs w:val="20"/>
        </w:rPr>
        <w:t>la misma</w:t>
      </w:r>
      <w:proofErr w:type="gramEnd"/>
      <w:r w:rsidRPr="004C447C">
        <w:rPr>
          <w:rFonts w:ascii="Verdana" w:hAnsi="Verdana" w:cs="Arial"/>
          <w:sz w:val="20"/>
          <w:szCs w:val="20"/>
        </w:rPr>
        <w:t xml:space="preserve">.  </w:t>
      </w:r>
    </w:p>
    <w:p w14:paraId="59E5DFA9" w14:textId="280430B7" w:rsidR="004C447C" w:rsidRPr="004C447C" w:rsidRDefault="004C447C" w:rsidP="004C447C">
      <w:pPr>
        <w:spacing w:after="0" w:line="240" w:lineRule="auto"/>
        <w:jc w:val="both"/>
        <w:rPr>
          <w:rFonts w:ascii="Verdana" w:hAnsi="Verdana" w:cs="Arial"/>
          <w:sz w:val="20"/>
          <w:szCs w:val="20"/>
          <w:lang w:val="es-MX"/>
        </w:rPr>
      </w:pPr>
      <w:r w:rsidRPr="004C447C">
        <w:rPr>
          <w:rFonts w:ascii="Verdana" w:hAnsi="Verdana" w:cs="Arial"/>
          <w:sz w:val="20"/>
          <w:szCs w:val="20"/>
          <w:lang w:val="es-MX"/>
        </w:rPr>
        <w:t xml:space="preserve">[…] </w:t>
      </w:r>
    </w:p>
    <w:p w14:paraId="1B4F736A" w14:textId="77777777" w:rsidR="004C447C" w:rsidRDefault="004C447C" w:rsidP="004C447C">
      <w:pPr>
        <w:jc w:val="both"/>
        <w:rPr>
          <w:rFonts w:ascii="Verdana" w:hAnsi="Verdana" w:cs="Arial"/>
          <w:sz w:val="20"/>
          <w:szCs w:val="20"/>
          <w:lang w:val="es-MX"/>
        </w:rPr>
      </w:pPr>
      <w:r w:rsidRPr="004C447C">
        <w:rPr>
          <w:rFonts w:ascii="Verdana" w:hAnsi="Verdana" w:cs="Arial"/>
          <w:sz w:val="20"/>
          <w:szCs w:val="20"/>
        </w:rPr>
        <w:t xml:space="preserve">Derivado de lo anterior y teniendo en cuenta que la designación de supervisión debe efectuarse de manera escrita, entendiendo que tal situación se cumple bien sea mediante comunicación o incluso a través de correo electrónico, la designación mediante SECOP II no reemplaza la primera. La designación a través de SECOP II permite que el supervisor del contrato ejerza de manera transaccional las operaciones y actividades </w:t>
      </w:r>
      <w:r w:rsidRPr="004C447C">
        <w:rPr>
          <w:rFonts w:ascii="Verdana" w:hAnsi="Verdana" w:cs="Arial"/>
          <w:sz w:val="20"/>
          <w:szCs w:val="20"/>
        </w:rPr>
        <w:lastRenderedPageBreak/>
        <w:t xml:space="preserve">contractuales necesarias para el seguimiento y control del contrato supervisado, de esta manera, el supervisor </w:t>
      </w:r>
      <w:proofErr w:type="gramStart"/>
      <w:r w:rsidRPr="004C447C">
        <w:rPr>
          <w:rFonts w:ascii="Verdana" w:hAnsi="Verdana" w:cs="Arial"/>
          <w:sz w:val="20"/>
          <w:szCs w:val="20"/>
        </w:rPr>
        <w:t>podría</w:t>
      </w:r>
      <w:proofErr w:type="gramEnd"/>
      <w:r w:rsidRPr="004C447C">
        <w:rPr>
          <w:rFonts w:ascii="Verdana" w:hAnsi="Verdana" w:cs="Arial"/>
          <w:sz w:val="20"/>
          <w:szCs w:val="20"/>
        </w:rPr>
        <w:t xml:space="preserve"> por ejemplo, </w:t>
      </w:r>
      <w:r w:rsidRPr="004C447C">
        <w:rPr>
          <w:rFonts w:ascii="Verdana" w:eastAsia="Calibri" w:hAnsi="Verdana" w:cs="Arial"/>
          <w:color w:val="000000"/>
          <w:sz w:val="20"/>
          <w:szCs w:val="20"/>
          <w:lang w:val="es-ES"/>
        </w:rPr>
        <w:t>realizar la revisión y aprobación de garantías y facturas. Además, el módulo permite hacer modificaciones contractuales, tanto unilaterales como bilaterales –estas últimas son enviadas para aprobación del proveedor antes de la publicación por parte de la entidad estatal–.</w:t>
      </w:r>
    </w:p>
    <w:p w14:paraId="1DBD9298" w14:textId="77777777" w:rsidR="004C447C" w:rsidRDefault="004C447C" w:rsidP="004C447C">
      <w:pPr>
        <w:jc w:val="both"/>
        <w:rPr>
          <w:rFonts w:ascii="Verdana" w:hAnsi="Verdana" w:cs="Arial"/>
          <w:sz w:val="20"/>
          <w:szCs w:val="20"/>
          <w:lang w:val="es-MX"/>
        </w:rPr>
      </w:pPr>
      <w:r w:rsidRPr="004C447C">
        <w:rPr>
          <w:rFonts w:ascii="Verdana" w:eastAsia="Calibri" w:hAnsi="Verdana" w:cs="Arial"/>
          <w:b/>
        </w:rPr>
        <w:t xml:space="preserve">COMITÉ DE EVALUACIÓN – Alcance </w:t>
      </w:r>
    </w:p>
    <w:p w14:paraId="3D358929" w14:textId="3D766D53" w:rsidR="004C447C" w:rsidRPr="004C447C" w:rsidRDefault="004C447C" w:rsidP="004C447C">
      <w:pPr>
        <w:spacing w:after="0" w:line="240" w:lineRule="auto"/>
        <w:jc w:val="both"/>
        <w:rPr>
          <w:rFonts w:ascii="Verdana" w:hAnsi="Verdana" w:cs="Arial"/>
          <w:sz w:val="20"/>
          <w:szCs w:val="20"/>
          <w:lang w:val="es-MX"/>
        </w:rPr>
      </w:pPr>
      <w:r w:rsidRPr="004C447C">
        <w:rPr>
          <w:rFonts w:ascii="Verdana" w:eastAsia="Calibri" w:hAnsi="Verdana" w:cs="Arial"/>
          <w:bCs/>
          <w:color w:val="000000"/>
          <w:sz w:val="20"/>
          <w:szCs w:val="20"/>
        </w:rPr>
        <w:t xml:space="preserve">[…] </w:t>
      </w:r>
      <w:r w:rsidRPr="004C447C">
        <w:rPr>
          <w:rFonts w:ascii="Verdana" w:eastAsia="Calibri" w:hAnsi="Verdana" w:cs="Arial"/>
          <w:bCs/>
          <w:color w:val="000000"/>
          <w:sz w:val="20"/>
          <w:szCs w:val="20"/>
        </w:rPr>
        <w:t xml:space="preserve">la norma mencionada permite que las Entidades Estatales sometidas al EGCAP puedan constituir un comité evaluador de ofertas y de manifestaciones de interés, que podrá estar conformado bien sea por servidores públicos o particulares contratados para tal finalidad o por ambos. En ese sentido, respecto de la creación del comité evaluador, debe aclararse, que al establecer la norma el verbo “podrá”, se infiere que las Entidades Estatales de acuerdo con sus funciones y organización interna, así como con la naturaleza y complejidad del contrato que pretendan celebrar, entre otros aspectos, definirán si es o no necesaria la constitución de dicho organismo, ya que, como se observa, esto no acarrea una obligación. </w:t>
      </w:r>
    </w:p>
    <w:p w14:paraId="7AD64F28" w14:textId="77777777" w:rsidR="004C447C" w:rsidRDefault="004C447C" w:rsidP="004C447C">
      <w:pPr>
        <w:spacing w:after="0" w:line="240" w:lineRule="auto"/>
        <w:jc w:val="both"/>
        <w:rPr>
          <w:rFonts w:ascii="Verdana" w:eastAsia="Calibri" w:hAnsi="Verdana" w:cs="Arial"/>
          <w:b/>
        </w:rPr>
      </w:pPr>
    </w:p>
    <w:p w14:paraId="099A70A2" w14:textId="0CAD9914" w:rsidR="004C447C" w:rsidRDefault="004C447C" w:rsidP="004C447C">
      <w:pPr>
        <w:spacing w:after="0" w:line="240" w:lineRule="auto"/>
        <w:jc w:val="both"/>
        <w:rPr>
          <w:rFonts w:ascii="Verdana" w:eastAsia="Calibri" w:hAnsi="Verdana" w:cs="Arial"/>
          <w:b/>
        </w:rPr>
      </w:pPr>
      <w:r w:rsidRPr="004C447C">
        <w:rPr>
          <w:rFonts w:ascii="Verdana" w:eastAsia="Calibri" w:hAnsi="Verdana" w:cs="Arial"/>
          <w:b/>
        </w:rPr>
        <w:t xml:space="preserve">PRINCIPIO DE PUBLICIDAD – Obligación de autoridades administrativas </w:t>
      </w:r>
    </w:p>
    <w:p w14:paraId="4328AC1E" w14:textId="77777777" w:rsidR="00451DAD" w:rsidRDefault="00451DAD" w:rsidP="004C447C">
      <w:pPr>
        <w:spacing w:after="0" w:line="240" w:lineRule="auto"/>
        <w:jc w:val="both"/>
        <w:rPr>
          <w:rFonts w:ascii="Verdana" w:eastAsia="Calibri" w:hAnsi="Verdana" w:cs="Arial"/>
          <w:b/>
        </w:rPr>
      </w:pPr>
    </w:p>
    <w:p w14:paraId="483AF32B" w14:textId="34F7FD3F" w:rsidR="00451DAD" w:rsidRDefault="00451DAD" w:rsidP="00451DAD">
      <w:pPr>
        <w:spacing w:after="0" w:line="240" w:lineRule="auto"/>
        <w:jc w:val="both"/>
        <w:rPr>
          <w:rFonts w:ascii="Verdana" w:eastAsia="Times New Roman" w:hAnsi="Verdana" w:cs="Arial"/>
          <w:sz w:val="20"/>
          <w:szCs w:val="20"/>
          <w:lang w:val="es-ES_tradnl" w:eastAsia="es-ES_tradnl"/>
          <w14:ligatures w14:val="standardContextual"/>
        </w:rPr>
      </w:pPr>
      <w:r w:rsidRPr="00451DAD">
        <w:rPr>
          <w:rFonts w:ascii="Verdana" w:eastAsia="Times New Roman" w:hAnsi="Verdana" w:cs="Arial"/>
          <w:sz w:val="20"/>
          <w:szCs w:val="20"/>
          <w:lang w:val="es-ES_tradnl" w:eastAsia="es-ES_tradnl"/>
          <w14:ligatures w14:val="standardContextual"/>
        </w:rPr>
        <w:t>El principio de publicidad impone a las autoridades administrativas el deber de dar a conocer sus actos, contratos y decisiones, para que se divulguen y eventualmente se controlen. En sintonía con este postulado,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p>
    <w:p w14:paraId="75D2299F" w14:textId="77777777" w:rsidR="00451DAD" w:rsidRDefault="00451DAD" w:rsidP="00451DAD">
      <w:pPr>
        <w:spacing w:after="0" w:line="240" w:lineRule="auto"/>
        <w:jc w:val="both"/>
        <w:rPr>
          <w:rFonts w:ascii="Verdana" w:eastAsia="Times New Roman" w:hAnsi="Verdana" w:cs="Arial"/>
          <w:sz w:val="20"/>
          <w:szCs w:val="20"/>
          <w:lang w:val="es-ES_tradnl" w:eastAsia="es-ES_tradnl"/>
          <w14:ligatures w14:val="standardContextual"/>
        </w:rPr>
      </w:pPr>
    </w:p>
    <w:p w14:paraId="30C6E187" w14:textId="77777777" w:rsidR="004C447C" w:rsidRDefault="004C447C" w:rsidP="00451DAD">
      <w:pPr>
        <w:jc w:val="both"/>
        <w:rPr>
          <w:rFonts w:ascii="Verdana" w:eastAsia="Calibri" w:hAnsi="Verdana" w:cs="Arial"/>
          <w:b/>
        </w:rPr>
      </w:pPr>
      <w:r w:rsidRPr="004C447C">
        <w:rPr>
          <w:rFonts w:ascii="Verdana" w:eastAsia="Calibri" w:hAnsi="Verdana" w:cs="Arial"/>
          <w:b/>
        </w:rPr>
        <w:t xml:space="preserve">LEY 1712 DE 2014 – Principios – Obligación de publicar información relativa a contratación </w:t>
      </w:r>
    </w:p>
    <w:p w14:paraId="09613714" w14:textId="77777777" w:rsidR="00073069" w:rsidRDefault="00073069" w:rsidP="00073069">
      <w:pPr>
        <w:spacing w:after="0" w:line="240" w:lineRule="auto"/>
        <w:jc w:val="both"/>
        <w:rPr>
          <w:rFonts w:ascii="Verdana" w:eastAsia="Times New Roman" w:hAnsi="Verdana" w:cs="Arial"/>
          <w:sz w:val="20"/>
          <w:szCs w:val="20"/>
          <w:lang w:val="es-ES_tradnl" w:eastAsia="es-ES_tradnl"/>
          <w14:ligatures w14:val="standardContextual"/>
        </w:rPr>
      </w:pPr>
      <w:r w:rsidRPr="00073069">
        <w:rPr>
          <w:rFonts w:ascii="Verdana" w:eastAsia="Times New Roman" w:hAnsi="Verdana" w:cs="Arial"/>
          <w:sz w:val="20"/>
          <w:szCs w:val="20"/>
          <w:lang w:val="es-ES_tradnl" w:eastAsia="es-ES_tradnl"/>
          <w14:ligatures w14:val="standardContextual"/>
        </w:rPr>
        <w:t>La Ley Estatutaria citada establece, en el literal e) del artículo 9, que los sujetos obligados, que son todas las Entidades Públicas, deben publicar la información relativa a su contratación. Esta obligación fue desarrollada por el Decreto Único Reglamentario 1081 de 2015, el cual dispuso que la publicación de la información contractual de los sujetos obligados, que contratan con cargo a recursos públicos, debe hacerse en el SECOP.</w:t>
      </w:r>
    </w:p>
    <w:p w14:paraId="731522B7" w14:textId="77777777" w:rsidR="00073069" w:rsidRDefault="00073069" w:rsidP="00073069">
      <w:pPr>
        <w:spacing w:after="0" w:line="240" w:lineRule="auto"/>
        <w:jc w:val="both"/>
        <w:rPr>
          <w:rFonts w:ascii="Verdana" w:eastAsia="Times New Roman" w:hAnsi="Verdana" w:cs="Arial"/>
          <w:sz w:val="20"/>
          <w:szCs w:val="20"/>
          <w:lang w:val="es-ES_tradnl" w:eastAsia="es-ES_tradnl"/>
          <w14:ligatures w14:val="standardContextual"/>
        </w:rPr>
      </w:pPr>
    </w:p>
    <w:p w14:paraId="465E6E4A" w14:textId="718AC0D8" w:rsidR="00073069" w:rsidRPr="00073069" w:rsidRDefault="00073069" w:rsidP="00073069">
      <w:pPr>
        <w:spacing w:after="0" w:line="240" w:lineRule="auto"/>
        <w:jc w:val="both"/>
        <w:rPr>
          <w:rFonts w:ascii="Verdana" w:eastAsia="Times New Roman" w:hAnsi="Verdana" w:cs="Arial"/>
          <w:sz w:val="20"/>
          <w:szCs w:val="20"/>
          <w:lang w:val="es-ES_tradnl" w:eastAsia="es-ES_tradnl"/>
          <w14:ligatures w14:val="standardContextual"/>
        </w:rPr>
      </w:pPr>
      <w:r w:rsidRPr="00073069">
        <w:rPr>
          <w:rFonts w:ascii="Verdana" w:eastAsia="Times New Roman" w:hAnsi="Verdana" w:cs="Arial"/>
          <w:sz w:val="20"/>
          <w:szCs w:val="20"/>
          <w:lang w:val="es-ES_tradnl" w:eastAsia="es-ES_tradnl"/>
          <w14:ligatures w14:val="standardContextual"/>
        </w:rPr>
        <w:t xml:space="preserve">Asimismo, de acuerdo con el literal g) del artículo 11 de la Ley 1712 de 2014, todos los destinatarios de la Ley Estatutaria de Transparencia y Acceso a la Información Pública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60A029D8" w14:textId="5713E1B6" w:rsidR="004C447C" w:rsidRDefault="004C447C" w:rsidP="004C447C">
      <w:pPr>
        <w:jc w:val="both"/>
        <w:rPr>
          <w:rFonts w:ascii="Verdana" w:eastAsia="Calibri" w:hAnsi="Verdana" w:cs="Arial"/>
          <w:b/>
        </w:rPr>
      </w:pPr>
      <w:r w:rsidRPr="004C447C">
        <w:rPr>
          <w:rFonts w:ascii="Verdana" w:eastAsia="Calibri" w:hAnsi="Verdana" w:cs="Arial"/>
          <w:b/>
        </w:rPr>
        <w:t xml:space="preserve">DECRETO 1082 DE 2015 - Documentos del Proceso – Noción – Proceso de contratación </w:t>
      </w:r>
    </w:p>
    <w:p w14:paraId="3ED6EEC2" w14:textId="5AF3C520" w:rsidR="00073069" w:rsidRPr="00073069" w:rsidRDefault="00073069" w:rsidP="00073069">
      <w:pPr>
        <w:spacing w:after="0" w:line="240" w:lineRule="auto"/>
        <w:jc w:val="both"/>
        <w:rPr>
          <w:rFonts w:ascii="Verdana" w:eastAsia="Times New Roman" w:hAnsi="Verdana" w:cs="Arial"/>
          <w:sz w:val="20"/>
          <w:szCs w:val="20"/>
          <w:lang w:val="es-ES_tradnl" w:eastAsia="es-ES_tradnl"/>
          <w14:ligatures w14:val="standardContextual"/>
        </w:rPr>
      </w:pPr>
      <w:r w:rsidRPr="00073069">
        <w:rPr>
          <w:rFonts w:ascii="Verdana" w:eastAsia="Times New Roman" w:hAnsi="Verdana" w:cs="Arial"/>
          <w:sz w:val="20"/>
          <w:szCs w:val="20"/>
          <w:lang w:val="es-ES_tradnl" w:eastAsia="es-ES_tradnl"/>
          <w14:ligatures w14:val="standardContextual"/>
        </w:rPr>
        <w:t xml:space="preserve">[…] </w:t>
      </w:r>
      <w:r w:rsidRPr="00073069">
        <w:rPr>
          <w:rFonts w:ascii="Verdana" w:eastAsia="Times New Roman" w:hAnsi="Verdana" w:cs="Arial"/>
          <w:sz w:val="20"/>
          <w:szCs w:val="20"/>
          <w:lang w:val="es-ES_tradnl" w:eastAsia="es-ES_tradnl"/>
          <w14:ligatures w14:val="standardContextual"/>
        </w:rPr>
        <w:t xml:space="preserve">las Entidades Estatales, conforme al artículo 2.2.1.1.1.7.1 del Decreto 1082 de 2015, tienen la obligación de publicar en el SECOP “(…) los Documentos del Proceso y los actos administrativos del Proceso de Contratación, </w:t>
      </w:r>
      <w:r w:rsidRPr="00073069">
        <w:rPr>
          <w:rFonts w:ascii="Verdana" w:eastAsia="Times New Roman" w:hAnsi="Verdana" w:cs="Arial"/>
          <w:i/>
          <w:iCs/>
          <w:sz w:val="20"/>
          <w:szCs w:val="20"/>
          <w:lang w:val="es-ES_tradnl" w:eastAsia="es-ES_tradnl"/>
          <w14:ligatures w14:val="standardContextual"/>
        </w:rPr>
        <w:t>dentro de los tres (3) días siguientes a su expedición</w:t>
      </w:r>
      <w:r w:rsidRPr="00073069">
        <w:rPr>
          <w:rFonts w:ascii="Verdana" w:eastAsia="Times New Roman" w:hAnsi="Verdana" w:cs="Arial"/>
          <w:sz w:val="20"/>
          <w:szCs w:val="20"/>
          <w:lang w:val="es-ES_tradnl" w:eastAsia="es-ES_tradnl"/>
          <w14:ligatures w14:val="standardContextual"/>
        </w:rPr>
        <w:t xml:space="preserve"> (…)”</w:t>
      </w:r>
      <w:r w:rsidRPr="00073069">
        <w:rPr>
          <w:rFonts w:ascii="Verdana" w:eastAsia="Times New Roman" w:hAnsi="Verdana" w:cs="Arial"/>
          <w:sz w:val="20"/>
          <w:szCs w:val="20"/>
          <w:lang w:val="es-ES_tradnl" w:eastAsia="es-ES_tradnl"/>
          <w14:ligatures w14:val="standardContextual"/>
        </w:rPr>
        <w:t>.</w:t>
      </w:r>
    </w:p>
    <w:p w14:paraId="5C64F27E" w14:textId="77777777" w:rsidR="00073069" w:rsidRDefault="00073069" w:rsidP="00073069">
      <w:pPr>
        <w:tabs>
          <w:tab w:val="left" w:pos="709"/>
        </w:tabs>
        <w:spacing w:after="0" w:line="240" w:lineRule="auto"/>
        <w:jc w:val="both"/>
        <w:rPr>
          <w:rFonts w:ascii="Verdana" w:hAnsi="Verdana" w:cs="Arial"/>
          <w:shd w:val="clear" w:color="auto" w:fill="FFFFFF"/>
        </w:rPr>
      </w:pPr>
    </w:p>
    <w:p w14:paraId="1B7E4B7E" w14:textId="77777777" w:rsidR="00073069" w:rsidRPr="00073069" w:rsidRDefault="00073069" w:rsidP="00073069">
      <w:pPr>
        <w:tabs>
          <w:tab w:val="left" w:pos="709"/>
        </w:tabs>
        <w:spacing w:after="0" w:line="240" w:lineRule="auto"/>
        <w:jc w:val="both"/>
        <w:rPr>
          <w:rFonts w:ascii="Verdana" w:hAnsi="Verdana" w:cs="Arial"/>
          <w:sz w:val="20"/>
          <w:szCs w:val="20"/>
          <w:shd w:val="clear" w:color="auto" w:fill="FFFFFF"/>
        </w:rPr>
      </w:pPr>
      <w:r w:rsidRPr="00073069">
        <w:rPr>
          <w:rFonts w:ascii="Verdana" w:hAnsi="Verdana" w:cs="Arial"/>
          <w:sz w:val="20"/>
          <w:szCs w:val="20"/>
          <w:shd w:val="clear" w:color="auto" w:fill="FFFFFF"/>
        </w:rPr>
        <w:t xml:space="preserve">La expresión </w:t>
      </w:r>
      <w:r w:rsidRPr="00073069">
        <w:rPr>
          <w:rFonts w:ascii="Verdana" w:hAnsi="Verdana" w:cs="Arial"/>
          <w:i/>
          <w:iCs/>
          <w:sz w:val="20"/>
          <w:szCs w:val="20"/>
          <w:shd w:val="clear" w:color="auto" w:fill="FFFFFF"/>
        </w:rPr>
        <w:t xml:space="preserve">Documentos del Proceso </w:t>
      </w:r>
      <w:r w:rsidRPr="00073069">
        <w:rPr>
          <w:rFonts w:ascii="Verdana" w:hAnsi="Verdana" w:cs="Arial"/>
          <w:sz w:val="20"/>
          <w:szCs w:val="20"/>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073069">
        <w:rPr>
          <w:rFonts w:ascii="Verdana" w:hAnsi="Verdana" w:cs="Arial"/>
          <w:i/>
          <w:iCs/>
          <w:sz w:val="20"/>
          <w:szCs w:val="20"/>
          <w:shd w:val="clear" w:color="auto" w:fill="FFFFFF"/>
        </w:rPr>
        <w:t>y cualquier otro documento expedido por la Entidad Estatal durante el Proceso de Contratación</w:t>
      </w:r>
      <w:r w:rsidRPr="00073069">
        <w:rPr>
          <w:rFonts w:ascii="Verdana" w:hAnsi="Verdana" w:cs="Arial"/>
          <w:sz w:val="20"/>
          <w:szCs w:val="20"/>
          <w:shd w:val="clear" w:color="auto" w:fill="FFFFFF"/>
        </w:rPr>
        <w:t xml:space="preserve">”. </w:t>
      </w:r>
    </w:p>
    <w:p w14:paraId="7262BCCF" w14:textId="77777777" w:rsidR="00073069" w:rsidRPr="00073069" w:rsidRDefault="00073069" w:rsidP="00073069">
      <w:pPr>
        <w:tabs>
          <w:tab w:val="left" w:pos="709"/>
        </w:tabs>
        <w:spacing w:after="0" w:line="240" w:lineRule="auto"/>
        <w:jc w:val="both"/>
        <w:rPr>
          <w:rFonts w:ascii="Verdana" w:hAnsi="Verdana" w:cs="Arial"/>
          <w:sz w:val="20"/>
          <w:szCs w:val="20"/>
          <w:shd w:val="clear" w:color="auto" w:fill="FFFFFF"/>
        </w:rPr>
      </w:pPr>
    </w:p>
    <w:p w14:paraId="10E52C17" w14:textId="77777777" w:rsidR="00073069" w:rsidRPr="00073069" w:rsidRDefault="00073069" w:rsidP="00073069">
      <w:pPr>
        <w:tabs>
          <w:tab w:val="left" w:pos="709"/>
        </w:tabs>
        <w:spacing w:after="0" w:line="240" w:lineRule="auto"/>
        <w:jc w:val="both"/>
        <w:rPr>
          <w:rFonts w:ascii="Verdana" w:hAnsi="Verdana" w:cs="Arial"/>
          <w:sz w:val="20"/>
          <w:szCs w:val="20"/>
          <w:shd w:val="clear" w:color="auto" w:fill="FFFFFF"/>
        </w:rPr>
      </w:pPr>
      <w:r w:rsidRPr="00073069">
        <w:rPr>
          <w:rFonts w:ascii="Verdana" w:hAnsi="Verdana" w:cs="Arial"/>
          <w:sz w:val="20"/>
          <w:szCs w:val="20"/>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073069">
        <w:rPr>
          <w:rFonts w:ascii="Verdana" w:hAnsi="Verdana" w:cs="Arial"/>
          <w:i/>
          <w:iCs/>
          <w:sz w:val="20"/>
          <w:szCs w:val="20"/>
          <w:shd w:val="clear" w:color="auto" w:fill="FFFFFF"/>
        </w:rPr>
        <w:t>Ibidem</w:t>
      </w:r>
      <w:r w:rsidRPr="00073069">
        <w:rPr>
          <w:rFonts w:ascii="Verdana" w:hAnsi="Verdana" w:cs="Arial"/>
          <w:sz w:val="20"/>
          <w:szCs w:val="20"/>
          <w:shd w:val="clear" w:color="auto" w:fill="FFFFFF"/>
        </w:rPr>
        <w:t xml:space="preserve"> recoge en la noción de Documentos del Proceso “cualquier otro documento expedido por la Entidad Estatal durante el Proceso de Contratación”. </w:t>
      </w:r>
    </w:p>
    <w:p w14:paraId="1D614C29" w14:textId="77777777" w:rsidR="00073069" w:rsidRPr="00073069" w:rsidRDefault="00073069" w:rsidP="00073069">
      <w:pPr>
        <w:tabs>
          <w:tab w:val="left" w:pos="709"/>
        </w:tabs>
        <w:spacing w:after="0" w:line="240" w:lineRule="auto"/>
        <w:jc w:val="both"/>
        <w:rPr>
          <w:rFonts w:ascii="Verdana" w:hAnsi="Verdana" w:cs="Arial"/>
          <w:sz w:val="20"/>
          <w:szCs w:val="20"/>
          <w:shd w:val="clear" w:color="auto" w:fill="FFFFFF"/>
        </w:rPr>
      </w:pPr>
    </w:p>
    <w:p w14:paraId="0D5FD8F0" w14:textId="77777777" w:rsidR="00073069" w:rsidRPr="00073069" w:rsidRDefault="00073069" w:rsidP="00073069">
      <w:pPr>
        <w:tabs>
          <w:tab w:val="left" w:pos="709"/>
        </w:tabs>
        <w:spacing w:after="0" w:line="240" w:lineRule="auto"/>
        <w:jc w:val="both"/>
        <w:rPr>
          <w:rFonts w:ascii="Verdana" w:hAnsi="Verdana" w:cs="Arial"/>
          <w:sz w:val="20"/>
          <w:szCs w:val="20"/>
          <w:shd w:val="clear" w:color="auto" w:fill="FFFFFF"/>
        </w:rPr>
      </w:pPr>
      <w:r w:rsidRPr="00073069">
        <w:rPr>
          <w:rFonts w:ascii="Verdana" w:hAnsi="Verdana" w:cs="Arial"/>
          <w:sz w:val="20"/>
          <w:szCs w:val="20"/>
          <w:shd w:val="clear" w:color="auto" w:fill="FFFFFF"/>
        </w:rPr>
        <w:t>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1ED4506D" w14:textId="77777777" w:rsidR="00073069" w:rsidRPr="00073069" w:rsidRDefault="00073069" w:rsidP="00073069">
      <w:pPr>
        <w:tabs>
          <w:tab w:val="left" w:pos="709"/>
        </w:tabs>
        <w:spacing w:after="0" w:line="240" w:lineRule="auto"/>
        <w:jc w:val="both"/>
        <w:rPr>
          <w:rFonts w:ascii="Verdana" w:hAnsi="Verdana" w:cs="Arial"/>
          <w:sz w:val="20"/>
          <w:szCs w:val="20"/>
          <w:shd w:val="clear" w:color="auto" w:fill="FFFFFF"/>
        </w:rPr>
      </w:pPr>
    </w:p>
    <w:p w14:paraId="6D488943" w14:textId="62ED7F1F" w:rsidR="00073069" w:rsidRPr="00073069" w:rsidRDefault="00073069" w:rsidP="00073069">
      <w:pPr>
        <w:tabs>
          <w:tab w:val="left" w:pos="709"/>
        </w:tabs>
        <w:spacing w:after="0" w:line="240" w:lineRule="auto"/>
        <w:jc w:val="both"/>
        <w:rPr>
          <w:rFonts w:ascii="Verdana" w:hAnsi="Verdana" w:cs="Arial"/>
          <w:sz w:val="20"/>
          <w:szCs w:val="20"/>
          <w:shd w:val="clear" w:color="auto" w:fill="FFFFFF"/>
        </w:rPr>
      </w:pPr>
      <w:r w:rsidRPr="00073069">
        <w:rPr>
          <w:rFonts w:ascii="Verdana" w:hAnsi="Verdana" w:cs="Arial"/>
          <w:sz w:val="20"/>
          <w:szCs w:val="20"/>
          <w:shd w:val="clear" w:color="auto" w:fill="FFFFFF"/>
        </w:rPr>
        <w:t xml:space="preserve">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 que todos los documentos expedidos por la entidad durante las etapas precontractual, de ejecución y </w:t>
      </w:r>
      <w:proofErr w:type="spellStart"/>
      <w:r w:rsidRPr="00073069">
        <w:rPr>
          <w:rFonts w:ascii="Verdana" w:hAnsi="Verdana" w:cs="Arial"/>
          <w:sz w:val="20"/>
          <w:szCs w:val="20"/>
          <w:shd w:val="clear" w:color="auto" w:fill="FFFFFF"/>
        </w:rPr>
        <w:t>postcontractual</w:t>
      </w:r>
      <w:proofErr w:type="spellEnd"/>
      <w:r w:rsidRPr="00073069">
        <w:rPr>
          <w:rFonts w:ascii="Verdana" w:hAnsi="Verdana" w:cs="Arial"/>
          <w:sz w:val="20"/>
          <w:szCs w:val="20"/>
          <w:shd w:val="clear" w:color="auto" w:fill="FFFFFF"/>
        </w:rPr>
        <w:t xml:space="preserve"> deberán publicarse en SECOP dentro de los tres (3) días siguientes a su expedición, para cumplir el deber de publicidad regulado por el artículo 2.2.1.1.1.7.1. del Decreto 1082 de 2015.</w:t>
      </w:r>
    </w:p>
    <w:p w14:paraId="26308A43" w14:textId="77777777" w:rsidR="00073069" w:rsidRPr="003F20E6" w:rsidRDefault="00073069" w:rsidP="00073069">
      <w:pPr>
        <w:tabs>
          <w:tab w:val="left" w:pos="709"/>
        </w:tabs>
        <w:spacing w:after="0" w:line="240" w:lineRule="auto"/>
        <w:jc w:val="both"/>
        <w:rPr>
          <w:rFonts w:ascii="Verdana" w:hAnsi="Verdana" w:cs="Arial"/>
          <w:shd w:val="clear" w:color="auto" w:fill="FFFFFF"/>
        </w:rPr>
      </w:pPr>
    </w:p>
    <w:p w14:paraId="4A3FD3F6" w14:textId="77777777" w:rsidR="00073069" w:rsidRDefault="00073069" w:rsidP="004C447C">
      <w:pPr>
        <w:jc w:val="both"/>
        <w:rPr>
          <w:rFonts w:ascii="Verdana" w:eastAsia="Calibri" w:hAnsi="Verdana" w:cs="Arial"/>
          <w:b/>
        </w:rPr>
      </w:pPr>
    </w:p>
    <w:p w14:paraId="72C365F1" w14:textId="77777777" w:rsidR="00073069" w:rsidRDefault="00073069" w:rsidP="004C447C">
      <w:pPr>
        <w:jc w:val="both"/>
        <w:rPr>
          <w:rFonts w:ascii="Verdana" w:eastAsia="Calibri" w:hAnsi="Verdana" w:cs="Arial"/>
          <w:b/>
        </w:rPr>
      </w:pPr>
    </w:p>
    <w:p w14:paraId="7C0BADB9" w14:textId="77777777" w:rsidR="00073069" w:rsidRDefault="00073069" w:rsidP="004C447C">
      <w:pPr>
        <w:jc w:val="both"/>
        <w:rPr>
          <w:rFonts w:ascii="Verdana" w:eastAsia="Calibri" w:hAnsi="Verdana" w:cs="Arial"/>
          <w:b/>
        </w:rPr>
      </w:pPr>
    </w:p>
    <w:p w14:paraId="1944CEDC" w14:textId="77777777" w:rsidR="00073069" w:rsidRPr="004C447C" w:rsidRDefault="00073069" w:rsidP="004C447C">
      <w:pPr>
        <w:spacing w:after="0" w:line="240" w:lineRule="auto"/>
        <w:jc w:val="both"/>
        <w:rPr>
          <w:rFonts w:ascii="Verdana" w:eastAsia="Calibri" w:hAnsi="Verdana" w:cs="Arial"/>
          <w:b/>
        </w:rPr>
      </w:pPr>
    </w:p>
    <w:p w14:paraId="6EADACF1" w14:textId="5238D98A" w:rsidR="004C447C" w:rsidRDefault="004D4217" w:rsidP="00384AFB">
      <w:pPr>
        <w:spacing w:after="0" w:line="240" w:lineRule="auto"/>
        <w:rPr>
          <w:rFonts w:ascii="Verdana" w:eastAsia="Verdana" w:hAnsi="Verdana" w:cs="Verdana"/>
        </w:rPr>
      </w:pPr>
      <w:r w:rsidRPr="30821638">
        <w:rPr>
          <w:rFonts w:ascii="Verdana" w:eastAsia="Verdana" w:hAnsi="Verdana" w:cs="Verdana"/>
        </w:rPr>
        <w:t xml:space="preserve">Bogotá D.C., </w:t>
      </w:r>
      <w:r w:rsidR="004C447C">
        <w:rPr>
          <w:rFonts w:ascii="Verdana" w:eastAsia="Verdana" w:hAnsi="Verdana" w:cs="Verdana"/>
        </w:rPr>
        <w:t xml:space="preserve">5 </w:t>
      </w:r>
      <w:proofErr w:type="gramStart"/>
      <w:r w:rsidR="004C447C">
        <w:rPr>
          <w:rFonts w:ascii="Verdana" w:eastAsia="Verdana" w:hAnsi="Verdana" w:cs="Verdana"/>
        </w:rPr>
        <w:t>Abril</w:t>
      </w:r>
      <w:proofErr w:type="gramEnd"/>
      <w:r w:rsidR="004C447C">
        <w:rPr>
          <w:rFonts w:ascii="Verdana" w:eastAsia="Verdana" w:hAnsi="Verdana" w:cs="Verdana"/>
        </w:rPr>
        <w:t xml:space="preserve"> 2026</w:t>
      </w:r>
    </w:p>
    <w:p w14:paraId="3531FAB2" w14:textId="77BE1188" w:rsidR="004C447C" w:rsidRPr="004D4217" w:rsidRDefault="004C447C" w:rsidP="004C447C">
      <w:pPr>
        <w:spacing w:after="0" w:line="240" w:lineRule="auto"/>
        <w:jc w:val="right"/>
        <w:rPr>
          <w:rFonts w:ascii="Verdana" w:eastAsia="Verdana" w:hAnsi="Verdana" w:cs="Verdana"/>
        </w:rPr>
      </w:pPr>
      <w:r w:rsidRPr="004C447C">
        <w:rPr>
          <w:rFonts w:ascii="Verdana" w:eastAsia="Verdana" w:hAnsi="Verdana" w:cs="Verdana"/>
        </w:rPr>
        <w:drawing>
          <wp:inline distT="0" distB="0" distL="0" distR="0" wp14:anchorId="51B38B03" wp14:editId="62AE5EAD">
            <wp:extent cx="2078921" cy="461010"/>
            <wp:effectExtent l="0" t="0" r="0" b="0"/>
            <wp:docPr id="209276519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765191" name=""/>
                    <pic:cNvPicPr/>
                  </pic:nvPicPr>
                  <pic:blipFill>
                    <a:blip r:embed="rId11"/>
                    <a:stretch>
                      <a:fillRect/>
                    </a:stretch>
                  </pic:blipFill>
                  <pic:spPr>
                    <a:xfrm>
                      <a:off x="0" y="0"/>
                      <a:ext cx="2115942" cy="469220"/>
                    </a:xfrm>
                    <a:prstGeom prst="rect">
                      <a:avLst/>
                    </a:prstGeom>
                  </pic:spPr>
                </pic:pic>
              </a:graphicData>
            </a:graphic>
          </wp:inline>
        </w:drawing>
      </w:r>
    </w:p>
    <w:p w14:paraId="79E049CA" w14:textId="77777777" w:rsidR="004D4217" w:rsidRPr="00384AFB" w:rsidRDefault="004D4217" w:rsidP="004D4217">
      <w:pPr>
        <w:spacing w:after="0" w:line="240" w:lineRule="auto"/>
        <w:jc w:val="both"/>
        <w:rPr>
          <w:rFonts w:ascii="Verdana" w:eastAsia="Calibri" w:hAnsi="Verdana" w:cs="Arial"/>
          <w:lang w:eastAsia="es-ES"/>
        </w:rPr>
      </w:pPr>
      <w:r w:rsidRPr="00384AFB">
        <w:rPr>
          <w:rFonts w:ascii="Verdana" w:eastAsia="Calibri" w:hAnsi="Verdana" w:cs="Arial"/>
          <w:lang w:eastAsia="es-ES"/>
        </w:rPr>
        <w:t>Señora</w:t>
      </w:r>
    </w:p>
    <w:p w14:paraId="2C7BD0BB" w14:textId="77777777" w:rsidR="004D4217" w:rsidRDefault="004D4217" w:rsidP="004D4217">
      <w:pPr>
        <w:spacing w:after="0" w:line="240" w:lineRule="auto"/>
        <w:jc w:val="both"/>
        <w:rPr>
          <w:rFonts w:ascii="Verdana" w:eastAsia="Calibri" w:hAnsi="Verdana" w:cs="Arial"/>
          <w:b/>
          <w:bCs/>
          <w:lang w:eastAsia="es-ES"/>
        </w:rPr>
      </w:pPr>
      <w:r>
        <w:rPr>
          <w:rFonts w:ascii="Verdana" w:eastAsia="Calibri" w:hAnsi="Verdana" w:cs="Arial"/>
          <w:b/>
          <w:bCs/>
          <w:lang w:eastAsia="es-ES"/>
        </w:rPr>
        <w:t>Natalia Andrea Cañón Pinilla</w:t>
      </w:r>
    </w:p>
    <w:p w14:paraId="250363A3" w14:textId="77777777" w:rsidR="004D4217" w:rsidRPr="00770A55" w:rsidRDefault="004D4217" w:rsidP="004D4217">
      <w:pPr>
        <w:spacing w:after="0" w:line="240" w:lineRule="auto"/>
        <w:jc w:val="both"/>
        <w:rPr>
          <w:rFonts w:ascii="Verdana" w:hAnsi="Verdana"/>
          <w:b/>
          <w:bCs/>
        </w:rPr>
      </w:pPr>
      <w:hyperlink r:id="rId12" w:history="1">
        <w:r w:rsidRPr="00990725">
          <w:rPr>
            <w:rStyle w:val="Hipervnculo"/>
            <w:rFonts w:ascii="Verdana" w:hAnsi="Verdana"/>
            <w:b/>
            <w:bCs/>
          </w:rPr>
          <w:t>natacapi@hotmail.com</w:t>
        </w:r>
      </w:hyperlink>
    </w:p>
    <w:p w14:paraId="0E12258E" w14:textId="77777777" w:rsidR="004D4217" w:rsidRPr="003F658D" w:rsidRDefault="004D4217" w:rsidP="004D4217">
      <w:pPr>
        <w:spacing w:after="0" w:line="240" w:lineRule="auto"/>
        <w:jc w:val="both"/>
        <w:rPr>
          <w:rFonts w:ascii="Verdana" w:hAnsi="Verdana"/>
          <w:lang w:val="it-CH"/>
        </w:rPr>
      </w:pPr>
      <w:r>
        <w:rPr>
          <w:rFonts w:ascii="Verdana" w:hAnsi="Verdana"/>
          <w:lang w:val="it-CH"/>
        </w:rPr>
        <w:t>Ciudad</w:t>
      </w:r>
    </w:p>
    <w:p w14:paraId="4D37B9A2" w14:textId="77777777" w:rsidR="004D4217" w:rsidRPr="0099386F" w:rsidRDefault="004D4217" w:rsidP="004D4217">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4D4217" w:rsidRPr="005644FE" w14:paraId="0BCB051C" w14:textId="77777777" w:rsidTr="00F271CE">
        <w:trPr>
          <w:trHeight w:val="162"/>
        </w:trPr>
        <w:tc>
          <w:tcPr>
            <w:tcW w:w="3119" w:type="dxa"/>
          </w:tcPr>
          <w:p w14:paraId="7412EF91" w14:textId="77777777" w:rsidR="004D4217" w:rsidRPr="003F658D" w:rsidRDefault="004D4217" w:rsidP="00F271CE">
            <w:pPr>
              <w:jc w:val="both"/>
              <w:rPr>
                <w:rFonts w:ascii="Verdana" w:eastAsia="Calibri" w:hAnsi="Verdana" w:cs="Arial"/>
                <w:b/>
                <w:bCs/>
                <w:color w:val="7030A0"/>
                <w:lang w:val="it-CH" w:eastAsia="es-ES_tradnl"/>
              </w:rPr>
            </w:pPr>
          </w:p>
        </w:tc>
        <w:tc>
          <w:tcPr>
            <w:tcW w:w="5670" w:type="dxa"/>
          </w:tcPr>
          <w:p w14:paraId="157D8078" w14:textId="77777777" w:rsidR="004D4217" w:rsidRPr="005644FE" w:rsidRDefault="004D4217" w:rsidP="00F271CE">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342 de 2026</w:t>
            </w:r>
          </w:p>
          <w:p w14:paraId="0AB63990" w14:textId="77777777" w:rsidR="004D4217" w:rsidRPr="005644FE" w:rsidRDefault="004D4217" w:rsidP="00F271CE">
            <w:pPr>
              <w:jc w:val="both"/>
              <w:rPr>
                <w:rFonts w:ascii="Verdana" w:eastAsia="Calibri" w:hAnsi="Verdana" w:cs="Arial"/>
                <w:b/>
                <w:bCs/>
                <w:color w:val="7030A0"/>
                <w:lang w:eastAsia="es-ES"/>
              </w:rPr>
            </w:pPr>
          </w:p>
        </w:tc>
      </w:tr>
      <w:tr w:rsidR="004D4217" w:rsidRPr="005644FE" w14:paraId="3ABF5792" w14:textId="77777777" w:rsidTr="00F271CE">
        <w:trPr>
          <w:trHeight w:val="884"/>
        </w:trPr>
        <w:tc>
          <w:tcPr>
            <w:tcW w:w="3119" w:type="dxa"/>
          </w:tcPr>
          <w:p w14:paraId="068FB4B4" w14:textId="77777777" w:rsidR="004D4217" w:rsidRPr="005644FE" w:rsidRDefault="004D4217" w:rsidP="00F271CE">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52141357" w14:textId="10FEFBDE" w:rsidR="004D4217" w:rsidRPr="00DF4ED9" w:rsidRDefault="004D4217" w:rsidP="00F271CE">
            <w:pPr>
              <w:jc w:val="both"/>
              <w:rPr>
                <w:rFonts w:ascii="Verdana" w:eastAsia="Calibri" w:hAnsi="Verdana" w:cs="Arial"/>
                <w:bCs/>
              </w:rPr>
            </w:pPr>
            <w:r w:rsidRPr="00DF4ED9">
              <w:rPr>
                <w:rFonts w:ascii="Verdana" w:eastAsia="Calibri" w:hAnsi="Verdana" w:cs="Arial"/>
                <w:bCs/>
              </w:rPr>
              <w:t xml:space="preserve">CONTRATO ESTATAL – Ejercicio – Funciones de control y vigilancia / CONTRATO ESTATAL – Funciones de control y vigilancia / SUPERVISIÓN – Delegación – Designación – Comunicación / COMITÉ DE EVALUACIÓN – Alcance </w:t>
            </w:r>
            <w:r w:rsidR="00627CE2">
              <w:rPr>
                <w:rFonts w:ascii="Verdana" w:eastAsia="Calibri" w:hAnsi="Verdana" w:cs="Arial"/>
                <w:bCs/>
              </w:rPr>
              <w:t xml:space="preserve">/ </w:t>
            </w:r>
            <w:r w:rsidRPr="00DF4ED9">
              <w:rPr>
                <w:rFonts w:ascii="Verdana" w:eastAsia="Calibri" w:hAnsi="Verdana" w:cs="Arial"/>
                <w:bCs/>
              </w:rPr>
              <w:t xml:space="preserve">PRINCIPIO DE PUBLICIDAD – Obligación de autoridades administrativas </w:t>
            </w:r>
            <w:r w:rsidR="00627CE2">
              <w:rPr>
                <w:rFonts w:ascii="Verdana" w:eastAsia="Calibri" w:hAnsi="Verdana" w:cs="Arial"/>
                <w:bCs/>
              </w:rPr>
              <w:t xml:space="preserve">/ </w:t>
            </w:r>
            <w:r w:rsidRPr="00DF4ED9">
              <w:rPr>
                <w:rFonts w:ascii="Verdana" w:eastAsia="Calibri" w:hAnsi="Verdana" w:cs="Arial"/>
                <w:bCs/>
              </w:rPr>
              <w:t xml:space="preserve">LEY 1712 DE 2014 – Principios – Obligación de publicar información relativa a contratación / DECRETO 1082 DE 2015 - Documentos del Proceso </w:t>
            </w:r>
            <w:r>
              <w:rPr>
                <w:rFonts w:ascii="Verdana" w:eastAsia="Calibri" w:hAnsi="Verdana" w:cs="Arial"/>
                <w:bCs/>
              </w:rPr>
              <w:t xml:space="preserve">– Noción – Proceso de contratación </w:t>
            </w:r>
          </w:p>
          <w:p w14:paraId="6736C20D" w14:textId="77777777" w:rsidR="004D4217" w:rsidRPr="006210B1" w:rsidRDefault="004D4217" w:rsidP="00F271CE">
            <w:pPr>
              <w:jc w:val="both"/>
              <w:rPr>
                <w:rFonts w:ascii="Verdana" w:hAnsi="Verdana" w:cs="Arial"/>
                <w:color w:val="000000" w:themeColor="text1"/>
                <w:highlight w:val="yellow"/>
              </w:rPr>
            </w:pPr>
          </w:p>
        </w:tc>
      </w:tr>
      <w:tr w:rsidR="004D4217" w:rsidRPr="005644FE" w14:paraId="40653A71" w14:textId="77777777" w:rsidTr="00F271CE">
        <w:tc>
          <w:tcPr>
            <w:tcW w:w="3119" w:type="dxa"/>
          </w:tcPr>
          <w:p w14:paraId="598F56A0" w14:textId="77777777" w:rsidR="004D4217" w:rsidRPr="005644FE" w:rsidRDefault="004D4217" w:rsidP="00F271CE">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6AFB291D" w14:textId="77777777" w:rsidR="004D4217" w:rsidRPr="00F04657" w:rsidRDefault="004D4217" w:rsidP="00F271CE">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B75E8F">
              <w:rPr>
                <w:rFonts w:ascii="Verdana" w:eastAsia="Calibri" w:hAnsi="Verdana" w:cs="Arial"/>
                <w:lang w:eastAsia="es-ES_tradnl"/>
              </w:rPr>
              <w:t>1_2026_03_03_002953</w:t>
            </w:r>
            <w:r>
              <w:rPr>
                <w:rFonts w:ascii="Verdana" w:eastAsia="Calibri" w:hAnsi="Verdana" w:cs="Arial"/>
                <w:lang w:eastAsia="es-ES_tradnl"/>
              </w:rPr>
              <w:t xml:space="preserve"> y </w:t>
            </w:r>
            <w:r w:rsidRPr="00427CE9">
              <w:rPr>
                <w:rFonts w:ascii="Verdana" w:eastAsia="Calibri" w:hAnsi="Verdana" w:cs="Arial"/>
                <w:lang w:eastAsia="es-ES_tradnl"/>
              </w:rPr>
              <w:t>1_2026_03_03_002954</w:t>
            </w:r>
            <w:r>
              <w:rPr>
                <w:rFonts w:ascii="Verdana" w:eastAsia="Calibri" w:hAnsi="Verdana" w:cs="Arial"/>
                <w:lang w:eastAsia="es-ES_tradnl"/>
              </w:rPr>
              <w:t xml:space="preserve"> (Acumuladas)</w:t>
            </w:r>
          </w:p>
        </w:tc>
      </w:tr>
    </w:tbl>
    <w:p w14:paraId="067FD31A" w14:textId="77777777" w:rsidR="004D4217" w:rsidRPr="005644FE" w:rsidRDefault="004D4217" w:rsidP="00384AFB">
      <w:pPr>
        <w:spacing w:after="0" w:line="240" w:lineRule="auto"/>
        <w:jc w:val="both"/>
        <w:rPr>
          <w:rFonts w:ascii="Verdana" w:eastAsia="Calibri" w:hAnsi="Verdana" w:cs="Arial"/>
          <w:lang w:eastAsia="es-ES_tradnl"/>
        </w:rPr>
      </w:pPr>
      <w:r>
        <w:rPr>
          <w:rFonts w:ascii="Verdana" w:eastAsia="Calibri" w:hAnsi="Verdana" w:cs="Arial"/>
          <w:lang w:eastAsia="es-ES_tradnl"/>
        </w:rPr>
        <w:t xml:space="preserve"> </w:t>
      </w:r>
    </w:p>
    <w:p w14:paraId="70D23BF2" w14:textId="3412409A" w:rsidR="004D4217" w:rsidRPr="005644FE" w:rsidRDefault="004D4217" w:rsidP="004D4217">
      <w:pPr>
        <w:spacing w:after="0" w:line="276" w:lineRule="auto"/>
        <w:jc w:val="both"/>
        <w:rPr>
          <w:rFonts w:ascii="Verdana" w:eastAsia="Calibri" w:hAnsi="Verdana" w:cs="Arial"/>
          <w:lang w:eastAsia="es-ES"/>
        </w:rPr>
      </w:pPr>
      <w:r>
        <w:rPr>
          <w:rFonts w:ascii="Verdana" w:eastAsia="Calibri" w:hAnsi="Verdana" w:cs="Arial"/>
          <w:lang w:eastAsia="es-ES"/>
        </w:rPr>
        <w:t xml:space="preserve">Estimada señora Natalia Andrea: </w:t>
      </w:r>
    </w:p>
    <w:p w14:paraId="4C52B943" w14:textId="77777777" w:rsidR="004D4217" w:rsidRPr="00E02524" w:rsidRDefault="004D4217" w:rsidP="004D4217">
      <w:pPr>
        <w:spacing w:after="0" w:line="276" w:lineRule="auto"/>
        <w:jc w:val="both"/>
        <w:rPr>
          <w:rFonts w:ascii="Verdana" w:hAnsi="Verdana"/>
          <w:lang w:val="es-MX"/>
        </w:rPr>
      </w:pPr>
    </w:p>
    <w:p w14:paraId="1C9A0D0B" w14:textId="77777777" w:rsidR="004D4217" w:rsidRDefault="004D4217" w:rsidP="004D4217">
      <w:pPr>
        <w:spacing w:after="0" w:line="276" w:lineRule="auto"/>
        <w:jc w:val="both"/>
        <w:rPr>
          <w:rFonts w:ascii="Verdana" w:eastAsia="Calibri" w:hAnsi="Verdana" w:cs="Arial"/>
          <w:lang w:eastAsia="es-ES"/>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 xml:space="preserve"> y </w:t>
      </w:r>
      <w:r w:rsidRPr="00E02524">
        <w:rPr>
          <w:rFonts w:ascii="Verdana" w:hAnsi="Verdana"/>
        </w:rPr>
        <w:t>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 xml:space="preserve">3 de marzo de 2026, </w:t>
      </w:r>
      <w:r w:rsidRPr="005644FE">
        <w:rPr>
          <w:rFonts w:ascii="Verdana" w:eastAsia="Calibri" w:hAnsi="Verdana" w:cs="Arial"/>
          <w:lang w:eastAsia="es-ES"/>
        </w:rPr>
        <w:t>en la cual manifiesta lo siguiente:</w:t>
      </w:r>
    </w:p>
    <w:p w14:paraId="5CF32055" w14:textId="77777777" w:rsidR="004D4217" w:rsidRDefault="004D4217" w:rsidP="004D4217">
      <w:pPr>
        <w:spacing w:after="0" w:line="276" w:lineRule="auto"/>
        <w:jc w:val="both"/>
        <w:rPr>
          <w:rFonts w:ascii="Verdana" w:hAnsi="Verdana"/>
        </w:rPr>
      </w:pPr>
    </w:p>
    <w:p w14:paraId="762C45B3" w14:textId="77777777" w:rsidR="004D4217" w:rsidRDefault="004D4217" w:rsidP="004D4217">
      <w:pPr>
        <w:spacing w:after="0" w:line="276" w:lineRule="auto"/>
        <w:jc w:val="both"/>
        <w:rPr>
          <w:rFonts w:ascii="Verdana" w:hAnsi="Verdana"/>
        </w:rPr>
      </w:pPr>
      <w:r w:rsidRPr="00E02524">
        <w:rPr>
          <w:rFonts w:ascii="Verdana" w:hAnsi="Verdana"/>
        </w:rPr>
        <w:t xml:space="preserve">PETICIÓN REALIZADA </w:t>
      </w:r>
    </w:p>
    <w:p w14:paraId="1B7AE8A7" w14:textId="77777777" w:rsidR="004D4217" w:rsidRPr="008E5B36" w:rsidRDefault="004D4217" w:rsidP="00384AFB">
      <w:pPr>
        <w:spacing w:after="0" w:line="276" w:lineRule="auto"/>
        <w:jc w:val="both"/>
        <w:rPr>
          <w:rFonts w:ascii="Verdana" w:hAnsi="Verdana"/>
        </w:rPr>
      </w:pPr>
    </w:p>
    <w:p w14:paraId="553C15A0" w14:textId="77777777" w:rsidR="004D4217" w:rsidRDefault="004D4217" w:rsidP="004D4217">
      <w:pPr>
        <w:spacing w:after="0" w:line="240" w:lineRule="auto"/>
        <w:ind w:left="709" w:right="709"/>
        <w:jc w:val="both"/>
        <w:rPr>
          <w:rFonts w:ascii="Verdana" w:hAnsi="Verdana"/>
          <w:sz w:val="20"/>
          <w:szCs w:val="20"/>
        </w:rPr>
      </w:pPr>
      <w:r>
        <w:rPr>
          <w:rFonts w:ascii="Verdana" w:hAnsi="Verdana"/>
          <w:sz w:val="20"/>
          <w:szCs w:val="20"/>
        </w:rPr>
        <w:t xml:space="preserve">“(…) </w:t>
      </w:r>
      <w:r w:rsidRPr="00B75E8F">
        <w:rPr>
          <w:rFonts w:ascii="Verdana" w:hAnsi="Verdana"/>
          <w:sz w:val="20"/>
          <w:szCs w:val="20"/>
        </w:rPr>
        <w:t xml:space="preserve">Mediante el presente escrito me permito formular la siguiente consulta relacionada con la designación y delegación de la supervisión contractual y del comité evaluador en los procesos de selección, en el marco de lo dispuesto en la Ley 1474 de 2011, artículo 83, el cual establece que las entidades estatales deben ejercer vigilancia permanente sobre la ejecución contractual mediante supervisión o interventoría, con seguimiento técnico, jurídico, administrativo y financiero. </w:t>
      </w:r>
    </w:p>
    <w:p w14:paraId="7D16757C" w14:textId="77777777" w:rsidR="004D4217" w:rsidRDefault="004D4217" w:rsidP="004D4217">
      <w:pPr>
        <w:spacing w:after="0" w:line="240" w:lineRule="auto"/>
        <w:ind w:left="709" w:right="709"/>
        <w:jc w:val="both"/>
        <w:rPr>
          <w:rFonts w:ascii="Verdana" w:hAnsi="Verdana"/>
          <w:sz w:val="20"/>
          <w:szCs w:val="20"/>
        </w:rPr>
      </w:pPr>
    </w:p>
    <w:p w14:paraId="61A6187F" w14:textId="77777777" w:rsidR="004D4217" w:rsidRDefault="004D4217" w:rsidP="004D4217">
      <w:pPr>
        <w:spacing w:after="0" w:line="240" w:lineRule="auto"/>
        <w:ind w:left="709" w:right="709"/>
        <w:jc w:val="both"/>
        <w:rPr>
          <w:rFonts w:ascii="Verdana" w:hAnsi="Verdana"/>
          <w:sz w:val="20"/>
          <w:szCs w:val="20"/>
        </w:rPr>
      </w:pPr>
      <w:r w:rsidRPr="00B75E8F">
        <w:rPr>
          <w:rFonts w:ascii="Verdana" w:hAnsi="Verdana"/>
          <w:sz w:val="20"/>
          <w:szCs w:val="20"/>
        </w:rPr>
        <w:t>Así mismo, teniendo en cuenta lo señalado en la Respuesta a la Consulta No. 4201814000000950 emitida por la Agencia Nacional de Contratación Pública - Colombia Compra Eficiente, así como en el Concepto No. 074981 de 2024 del Departamento Administrativo de la Función Pública, en los cuales se reitera que:</w:t>
      </w:r>
    </w:p>
    <w:p w14:paraId="3C06A31E" w14:textId="77777777" w:rsidR="004D4217" w:rsidRDefault="004D4217" w:rsidP="004D4217">
      <w:pPr>
        <w:spacing w:after="0" w:line="240" w:lineRule="auto"/>
        <w:ind w:left="709" w:right="709"/>
        <w:jc w:val="both"/>
        <w:rPr>
          <w:rFonts w:ascii="Verdana" w:hAnsi="Verdana"/>
          <w:sz w:val="20"/>
          <w:szCs w:val="20"/>
        </w:rPr>
      </w:pPr>
    </w:p>
    <w:p w14:paraId="65AC8DB6" w14:textId="77777777" w:rsidR="004D4217" w:rsidRDefault="004D4217" w:rsidP="004D4217">
      <w:pPr>
        <w:spacing w:after="0" w:line="240" w:lineRule="auto"/>
        <w:ind w:left="709" w:right="709"/>
        <w:jc w:val="both"/>
        <w:rPr>
          <w:rFonts w:ascii="Verdana" w:hAnsi="Verdana"/>
          <w:sz w:val="20"/>
          <w:szCs w:val="20"/>
        </w:rPr>
      </w:pPr>
      <w:r w:rsidRPr="00B75E8F">
        <w:rPr>
          <w:rFonts w:ascii="Verdana" w:hAnsi="Verdana"/>
          <w:sz w:val="20"/>
          <w:szCs w:val="20"/>
        </w:rPr>
        <w:t>• El ordenador del gasto es el responsable de la vigilancia y control de la ejecución del contrato y debe designar al supervisor de forma escrita, ya sea mediante comunicación formal o directamente en el contrato</w:t>
      </w:r>
      <w:r>
        <w:rPr>
          <w:rFonts w:ascii="Verdana" w:hAnsi="Verdana"/>
          <w:sz w:val="20"/>
          <w:szCs w:val="20"/>
        </w:rPr>
        <w:t>.</w:t>
      </w:r>
    </w:p>
    <w:p w14:paraId="27C57AD3" w14:textId="77777777" w:rsidR="004D4217" w:rsidRDefault="004D4217" w:rsidP="004D4217">
      <w:pPr>
        <w:spacing w:after="0" w:line="240" w:lineRule="auto"/>
        <w:ind w:left="709" w:right="709"/>
        <w:jc w:val="both"/>
        <w:rPr>
          <w:rFonts w:ascii="Verdana" w:hAnsi="Verdana"/>
          <w:sz w:val="20"/>
          <w:szCs w:val="20"/>
        </w:rPr>
      </w:pPr>
      <w:r w:rsidRPr="00B75E8F">
        <w:rPr>
          <w:rFonts w:ascii="Verdana" w:hAnsi="Verdana"/>
          <w:sz w:val="20"/>
          <w:szCs w:val="20"/>
        </w:rPr>
        <w:t xml:space="preserve">• </w:t>
      </w:r>
      <w:r w:rsidRPr="00427CE9">
        <w:rPr>
          <w:rFonts w:ascii="Verdana" w:hAnsi="Verdana"/>
          <w:sz w:val="20"/>
          <w:szCs w:val="20"/>
        </w:rPr>
        <w:t xml:space="preserve">Cuando la designación del supervisor conste en la minuta contractual, su modificación implica la modificación de la cláusula correspondiente. </w:t>
      </w:r>
    </w:p>
    <w:p w14:paraId="5E05C638" w14:textId="77777777" w:rsidR="004D4217" w:rsidRDefault="004D4217" w:rsidP="004D4217">
      <w:pPr>
        <w:spacing w:after="0" w:line="240" w:lineRule="auto"/>
        <w:ind w:left="709" w:right="709"/>
        <w:jc w:val="both"/>
        <w:rPr>
          <w:rFonts w:ascii="Verdana" w:hAnsi="Verdana"/>
          <w:sz w:val="20"/>
          <w:szCs w:val="20"/>
        </w:rPr>
      </w:pPr>
      <w:r w:rsidRPr="00384AFB">
        <w:rPr>
          <w:rFonts w:ascii="Verdana" w:eastAsia="Symbol" w:hAnsi="Verdana" w:cs="Symbol"/>
          <w:sz w:val="20"/>
          <w:szCs w:val="20"/>
        </w:rPr>
        <w:sym w:font="Symbol" w:char="F0B7"/>
      </w:r>
      <w:r w:rsidRPr="00427CE9">
        <w:rPr>
          <w:rFonts w:ascii="Verdana" w:hAnsi="Verdana"/>
          <w:sz w:val="20"/>
          <w:szCs w:val="20"/>
        </w:rPr>
        <w:t xml:space="preserve"> La designación del supervisor siempre debe constar por escrito, incluyendo la realizada mediante correo electrónico. </w:t>
      </w:r>
    </w:p>
    <w:p w14:paraId="1E923CD2" w14:textId="77777777" w:rsidR="004D4217" w:rsidRDefault="004D4217" w:rsidP="004D4217">
      <w:pPr>
        <w:spacing w:after="0" w:line="240" w:lineRule="auto"/>
        <w:ind w:left="709" w:right="709"/>
        <w:jc w:val="both"/>
        <w:rPr>
          <w:rFonts w:ascii="Verdana" w:hAnsi="Verdana"/>
          <w:sz w:val="20"/>
          <w:szCs w:val="20"/>
        </w:rPr>
      </w:pPr>
      <w:r w:rsidRPr="00384AFB">
        <w:rPr>
          <w:rFonts w:ascii="Verdana" w:eastAsia="Symbol" w:hAnsi="Verdana" w:cs="Symbol"/>
          <w:sz w:val="20"/>
          <w:szCs w:val="20"/>
        </w:rPr>
        <w:sym w:font="Symbol" w:char="F0B7"/>
      </w:r>
      <w:r w:rsidRPr="00427CE9">
        <w:rPr>
          <w:rFonts w:ascii="Verdana" w:hAnsi="Verdana"/>
          <w:sz w:val="20"/>
          <w:szCs w:val="20"/>
        </w:rPr>
        <w:t xml:space="preserve"> Cuando la designación se efectúe directamente en el contrato, debe remitirse copia </w:t>
      </w:r>
      <w:proofErr w:type="gramStart"/>
      <w:r w:rsidRPr="00427CE9">
        <w:rPr>
          <w:rFonts w:ascii="Verdana" w:hAnsi="Verdana"/>
          <w:sz w:val="20"/>
          <w:szCs w:val="20"/>
        </w:rPr>
        <w:t>del mismo</w:t>
      </w:r>
      <w:proofErr w:type="gramEnd"/>
      <w:r w:rsidRPr="00427CE9">
        <w:rPr>
          <w:rFonts w:ascii="Verdana" w:hAnsi="Verdana"/>
          <w:sz w:val="20"/>
          <w:szCs w:val="20"/>
        </w:rPr>
        <w:t xml:space="preserve"> al funcionario designado, informándole formalmente su calidad de supervisor. </w:t>
      </w:r>
    </w:p>
    <w:p w14:paraId="6B33FC09" w14:textId="77777777" w:rsidR="004D4217" w:rsidRDefault="004D4217" w:rsidP="004D4217">
      <w:pPr>
        <w:spacing w:after="0" w:line="240" w:lineRule="auto"/>
        <w:ind w:left="709" w:right="709"/>
        <w:jc w:val="both"/>
        <w:rPr>
          <w:rFonts w:ascii="Verdana" w:hAnsi="Verdana"/>
          <w:sz w:val="20"/>
          <w:szCs w:val="20"/>
        </w:rPr>
      </w:pPr>
    </w:p>
    <w:p w14:paraId="4458C481" w14:textId="77777777" w:rsidR="004D4217" w:rsidRDefault="004D4217" w:rsidP="004D4217">
      <w:pPr>
        <w:spacing w:after="0" w:line="240" w:lineRule="auto"/>
        <w:ind w:left="709" w:right="709"/>
        <w:jc w:val="both"/>
        <w:rPr>
          <w:rFonts w:ascii="Verdana" w:hAnsi="Verdana"/>
          <w:sz w:val="20"/>
          <w:szCs w:val="20"/>
        </w:rPr>
      </w:pPr>
      <w:r w:rsidRPr="00427CE9">
        <w:rPr>
          <w:rFonts w:ascii="Verdana" w:hAnsi="Verdana"/>
          <w:sz w:val="20"/>
          <w:szCs w:val="20"/>
        </w:rPr>
        <w:t>De igual manera, la guía G-EFSICE-01 de Colombia Compra Eficiente señala expresamente la importancia de que la designación del supervisor conste por escrito, ya sea mediante memorando o correo electrónico.</w:t>
      </w:r>
    </w:p>
    <w:p w14:paraId="1C775D9C" w14:textId="77777777" w:rsidR="004D4217" w:rsidRDefault="004D4217" w:rsidP="004D4217">
      <w:pPr>
        <w:spacing w:after="0" w:line="240" w:lineRule="auto"/>
        <w:ind w:left="709" w:right="709"/>
        <w:jc w:val="both"/>
        <w:rPr>
          <w:rFonts w:ascii="Verdana" w:hAnsi="Verdana"/>
          <w:sz w:val="20"/>
          <w:szCs w:val="20"/>
        </w:rPr>
      </w:pPr>
    </w:p>
    <w:p w14:paraId="2A4EEDDC" w14:textId="77777777" w:rsidR="004D4217" w:rsidRDefault="004D4217" w:rsidP="004D4217">
      <w:pPr>
        <w:spacing w:after="0" w:line="240" w:lineRule="auto"/>
        <w:ind w:left="709" w:right="709"/>
        <w:jc w:val="both"/>
        <w:rPr>
          <w:rFonts w:ascii="Verdana" w:hAnsi="Verdana"/>
          <w:sz w:val="20"/>
          <w:szCs w:val="20"/>
        </w:rPr>
      </w:pPr>
      <w:r>
        <w:rPr>
          <w:rFonts w:ascii="Verdana" w:hAnsi="Verdana"/>
          <w:sz w:val="20"/>
          <w:szCs w:val="20"/>
        </w:rPr>
        <w:t xml:space="preserve">(…) </w:t>
      </w:r>
    </w:p>
    <w:p w14:paraId="3107CFA3" w14:textId="77777777" w:rsidR="004D4217" w:rsidRDefault="004D4217" w:rsidP="004D4217">
      <w:pPr>
        <w:spacing w:after="0" w:line="240" w:lineRule="auto"/>
        <w:ind w:left="709" w:right="709"/>
        <w:jc w:val="both"/>
        <w:rPr>
          <w:rFonts w:ascii="Verdana" w:hAnsi="Verdana"/>
          <w:sz w:val="20"/>
          <w:szCs w:val="20"/>
        </w:rPr>
      </w:pPr>
    </w:p>
    <w:p w14:paraId="13B57B55" w14:textId="77777777" w:rsidR="004D4217" w:rsidRDefault="004D4217" w:rsidP="004D4217">
      <w:pPr>
        <w:spacing w:after="0" w:line="240" w:lineRule="auto"/>
        <w:ind w:left="709" w:right="709"/>
        <w:jc w:val="both"/>
        <w:rPr>
          <w:rFonts w:ascii="Verdana" w:hAnsi="Verdana"/>
          <w:sz w:val="20"/>
          <w:szCs w:val="20"/>
        </w:rPr>
      </w:pPr>
      <w:r w:rsidRPr="00427CE9">
        <w:rPr>
          <w:rFonts w:ascii="Verdana" w:hAnsi="Verdana"/>
          <w:sz w:val="20"/>
          <w:szCs w:val="20"/>
        </w:rPr>
        <w:t xml:space="preserve">Con fundamento en lo anterior, me permito consultar: </w:t>
      </w:r>
    </w:p>
    <w:p w14:paraId="34491A8F" w14:textId="77777777" w:rsidR="004D4217" w:rsidRDefault="004D4217" w:rsidP="004D4217">
      <w:pPr>
        <w:spacing w:after="0" w:line="240" w:lineRule="auto"/>
        <w:ind w:left="709" w:right="709"/>
        <w:jc w:val="both"/>
        <w:rPr>
          <w:rFonts w:ascii="Verdana" w:hAnsi="Verdana"/>
          <w:sz w:val="20"/>
          <w:szCs w:val="20"/>
        </w:rPr>
      </w:pPr>
    </w:p>
    <w:p w14:paraId="738CC001" w14:textId="77777777" w:rsidR="004D4217" w:rsidRDefault="004D4217" w:rsidP="004D4217">
      <w:pPr>
        <w:spacing w:after="0" w:line="240" w:lineRule="auto"/>
        <w:ind w:left="709" w:right="709"/>
        <w:jc w:val="both"/>
        <w:rPr>
          <w:rFonts w:ascii="Verdana" w:hAnsi="Verdana"/>
          <w:sz w:val="20"/>
          <w:szCs w:val="20"/>
        </w:rPr>
      </w:pPr>
      <w:r w:rsidRPr="00427CE9">
        <w:rPr>
          <w:rFonts w:ascii="Verdana" w:hAnsi="Verdana"/>
          <w:sz w:val="20"/>
          <w:szCs w:val="20"/>
        </w:rPr>
        <w:t>¿La designación realizada a través de la plataforma SECOP II constituye un acto que reemplaza la notificación o comunicación escrita de la designación del supervisor, o se trata únicamente de un registro o delegación operativa dentro del sistema?</w:t>
      </w:r>
    </w:p>
    <w:p w14:paraId="79AEE151" w14:textId="77777777" w:rsidR="004D4217" w:rsidRDefault="004D4217" w:rsidP="004D4217">
      <w:pPr>
        <w:spacing w:after="0" w:line="240" w:lineRule="auto"/>
        <w:ind w:left="709" w:right="709"/>
        <w:jc w:val="both"/>
        <w:rPr>
          <w:rFonts w:ascii="Verdana" w:hAnsi="Verdana"/>
          <w:sz w:val="20"/>
          <w:szCs w:val="20"/>
        </w:rPr>
      </w:pPr>
    </w:p>
    <w:p w14:paraId="4506E37A" w14:textId="77777777" w:rsidR="004D4217" w:rsidRPr="00427CE9" w:rsidRDefault="004D4217" w:rsidP="004D4217">
      <w:pPr>
        <w:spacing w:after="0" w:line="240" w:lineRule="auto"/>
        <w:ind w:left="709" w:right="709"/>
        <w:jc w:val="both"/>
        <w:rPr>
          <w:rFonts w:ascii="Verdana" w:hAnsi="Verdana"/>
          <w:sz w:val="20"/>
          <w:szCs w:val="20"/>
        </w:rPr>
      </w:pPr>
      <w:r w:rsidRPr="00427CE9">
        <w:rPr>
          <w:rFonts w:ascii="Verdana" w:hAnsi="Verdana"/>
          <w:sz w:val="20"/>
          <w:szCs w:val="20"/>
        </w:rPr>
        <w:t>Lo anterior, considerando que existen entidades públicas cuyos manuales de contratación no incorporan expresamente la obligación de realizar la designación del supervisor por escrito, lo cual podría representar un riesgo administrativo y disciplinario, teniendo en cuenta las responsabilidades técnicas, jurídicas, financieras y administrativas que recaen sobre el supervisor en el marco de la ejecución contractual.</w:t>
      </w:r>
    </w:p>
    <w:p w14:paraId="34518D52" w14:textId="77777777" w:rsidR="004D4217" w:rsidRDefault="004D4217" w:rsidP="004D4217">
      <w:pPr>
        <w:spacing w:after="0" w:line="240" w:lineRule="auto"/>
        <w:ind w:left="709" w:right="709"/>
        <w:jc w:val="both"/>
        <w:rPr>
          <w:rFonts w:ascii="Verdana" w:hAnsi="Verdana"/>
          <w:sz w:val="20"/>
          <w:szCs w:val="20"/>
        </w:rPr>
      </w:pPr>
    </w:p>
    <w:p w14:paraId="37A76000" w14:textId="77777777" w:rsidR="004D4217" w:rsidRPr="00770A55" w:rsidRDefault="004D4217" w:rsidP="004D4217">
      <w:pPr>
        <w:spacing w:after="0" w:line="240" w:lineRule="auto"/>
        <w:ind w:left="709" w:right="709"/>
        <w:jc w:val="both"/>
        <w:rPr>
          <w:rFonts w:ascii="Verdana" w:hAnsi="Verdana"/>
          <w:b/>
          <w:bCs/>
          <w:sz w:val="20"/>
          <w:szCs w:val="20"/>
        </w:rPr>
      </w:pPr>
      <w:r w:rsidRPr="00770A55">
        <w:rPr>
          <w:rFonts w:ascii="Verdana" w:hAnsi="Verdana"/>
          <w:b/>
          <w:bCs/>
          <w:sz w:val="20"/>
          <w:szCs w:val="20"/>
        </w:rPr>
        <w:t xml:space="preserve">2. Delegación y publicación del acto de designación del comité evaluador </w:t>
      </w:r>
    </w:p>
    <w:p w14:paraId="2B1AB858" w14:textId="77777777" w:rsidR="004D4217" w:rsidRPr="00770A55" w:rsidRDefault="004D4217" w:rsidP="004D4217">
      <w:pPr>
        <w:spacing w:after="0" w:line="240" w:lineRule="auto"/>
        <w:ind w:left="709" w:right="709"/>
        <w:jc w:val="both"/>
        <w:rPr>
          <w:rFonts w:ascii="Verdana" w:hAnsi="Verdana"/>
          <w:b/>
          <w:bCs/>
          <w:sz w:val="20"/>
          <w:szCs w:val="20"/>
        </w:rPr>
      </w:pPr>
    </w:p>
    <w:p w14:paraId="3B1EC15D" w14:textId="77777777" w:rsidR="004D4217" w:rsidRDefault="004D4217" w:rsidP="004D4217">
      <w:pPr>
        <w:spacing w:after="0" w:line="240" w:lineRule="auto"/>
        <w:ind w:left="709" w:right="709"/>
        <w:jc w:val="both"/>
        <w:rPr>
          <w:rFonts w:ascii="Verdana" w:hAnsi="Verdana"/>
          <w:sz w:val="20"/>
          <w:szCs w:val="20"/>
        </w:rPr>
      </w:pPr>
      <w:r w:rsidRPr="00427CE9">
        <w:rPr>
          <w:rFonts w:ascii="Verdana" w:hAnsi="Verdana"/>
          <w:sz w:val="20"/>
          <w:szCs w:val="20"/>
        </w:rPr>
        <w:t xml:space="preserve">De igual manera, solicito ¿se informe si el documento o acto administrativo mediante el cual el ordenador del gasto designa el comité evaluador en los procesos de selección constituye un documento de obligatoria publicación dentro del expediente contractual en SECOP II, como parte de los documentos del proceso.??? </w:t>
      </w:r>
    </w:p>
    <w:p w14:paraId="25ECEBDF" w14:textId="77777777" w:rsidR="004D4217" w:rsidRDefault="004D4217" w:rsidP="004D4217">
      <w:pPr>
        <w:spacing w:after="0" w:line="240" w:lineRule="auto"/>
        <w:ind w:left="709" w:right="709"/>
        <w:jc w:val="both"/>
        <w:rPr>
          <w:rFonts w:ascii="Verdana" w:hAnsi="Verdana"/>
          <w:sz w:val="20"/>
          <w:szCs w:val="20"/>
        </w:rPr>
      </w:pPr>
    </w:p>
    <w:p w14:paraId="0D2190BF" w14:textId="77777777" w:rsidR="004D4217" w:rsidRDefault="004D4217" w:rsidP="004D4217">
      <w:pPr>
        <w:spacing w:after="0" w:line="240" w:lineRule="auto"/>
        <w:ind w:left="709" w:right="709"/>
        <w:jc w:val="both"/>
        <w:rPr>
          <w:rFonts w:ascii="Verdana" w:hAnsi="Verdana"/>
          <w:sz w:val="20"/>
          <w:szCs w:val="20"/>
        </w:rPr>
      </w:pPr>
      <w:r w:rsidRPr="00427CE9">
        <w:rPr>
          <w:rFonts w:ascii="Verdana" w:hAnsi="Verdana"/>
          <w:sz w:val="20"/>
          <w:szCs w:val="20"/>
        </w:rPr>
        <w:t xml:space="preserve">Lo anterior, teniendo en cuenta que los integrantes del comité evaluador también asumen responsabilidades en el marco del proceso de selección, y que su designación formal podría ser relevante en términos de transparencia, publicidad y control. </w:t>
      </w:r>
    </w:p>
    <w:p w14:paraId="5BBAB4D8" w14:textId="77777777" w:rsidR="004D4217" w:rsidRDefault="004D4217" w:rsidP="004D4217">
      <w:pPr>
        <w:spacing w:after="0" w:line="240" w:lineRule="auto"/>
        <w:ind w:left="709" w:right="709"/>
        <w:jc w:val="both"/>
        <w:rPr>
          <w:rFonts w:ascii="Verdana" w:hAnsi="Verdana"/>
          <w:sz w:val="20"/>
          <w:szCs w:val="20"/>
        </w:rPr>
      </w:pPr>
    </w:p>
    <w:p w14:paraId="24B8AAEC" w14:textId="77777777" w:rsidR="004D4217" w:rsidRDefault="004D4217" w:rsidP="004D4217">
      <w:pPr>
        <w:spacing w:after="0" w:line="240" w:lineRule="auto"/>
        <w:ind w:left="709" w:right="709"/>
        <w:jc w:val="both"/>
        <w:rPr>
          <w:rFonts w:ascii="Verdana" w:hAnsi="Verdana"/>
          <w:sz w:val="20"/>
          <w:szCs w:val="20"/>
        </w:rPr>
      </w:pPr>
      <w:r w:rsidRPr="00427CE9">
        <w:rPr>
          <w:rFonts w:ascii="Verdana" w:hAnsi="Verdana"/>
          <w:sz w:val="20"/>
          <w:szCs w:val="20"/>
        </w:rPr>
        <w:t xml:space="preserve">Es pertinente señalar lo dispuesto en el artículo 2.2.1.1.2.2.3 del Decreto 1082 de 2015, según el cual, en los procesos de mínima cuantía, “La verificación y la evaluación de las ofertas para la mínima cuantía será adelantada por quien sea designado por el ordenador del gasto sin que se requiera un comité plural”. </w:t>
      </w:r>
    </w:p>
    <w:p w14:paraId="5B81DB27" w14:textId="77777777" w:rsidR="004D4217" w:rsidRDefault="004D4217" w:rsidP="004D4217">
      <w:pPr>
        <w:spacing w:after="0" w:line="240" w:lineRule="auto"/>
        <w:ind w:left="709" w:right="709"/>
        <w:jc w:val="both"/>
        <w:rPr>
          <w:rFonts w:ascii="Verdana" w:hAnsi="Verdana"/>
          <w:sz w:val="20"/>
          <w:szCs w:val="20"/>
        </w:rPr>
      </w:pPr>
    </w:p>
    <w:p w14:paraId="1FC14295" w14:textId="77777777" w:rsidR="004D4217" w:rsidRPr="00594153" w:rsidRDefault="004D4217" w:rsidP="004D4217">
      <w:pPr>
        <w:spacing w:after="0" w:line="240" w:lineRule="auto"/>
        <w:ind w:left="709" w:right="709"/>
        <w:jc w:val="both"/>
        <w:rPr>
          <w:rFonts w:ascii="Verdana" w:hAnsi="Verdana"/>
          <w:sz w:val="20"/>
          <w:szCs w:val="20"/>
        </w:rPr>
      </w:pPr>
      <w:r w:rsidRPr="00427CE9">
        <w:rPr>
          <w:rFonts w:ascii="Verdana" w:hAnsi="Verdana"/>
          <w:sz w:val="20"/>
          <w:szCs w:val="20"/>
        </w:rPr>
        <w:t xml:space="preserve">Finalmente, es importante señalar que la ausencia de una comunicación formal y escrita — ya sea mediante oficio, correo electrónico o remisión de copia del contrato cuando la designación conste en este— al funcionario designado como supervisor puede impedir que este conozca de manera oportuna y oficial sus responsabilidades. Esta omisión evidencia una posible deficiencia en los procedimientos administrativos de notificación y formalización de la supervisión contractual, lo cual podría afectar el adecuado ejercicio de las funciones legales y reglamentarias asignadas. </w:t>
      </w:r>
      <w:r w:rsidRPr="00FC1BE4">
        <w:rPr>
          <w:rFonts w:ascii="Verdana" w:hAnsi="Verdana"/>
          <w:sz w:val="20"/>
          <w:szCs w:val="20"/>
        </w:rPr>
        <w:t>(…)”.</w:t>
      </w:r>
    </w:p>
    <w:p w14:paraId="542418AF" w14:textId="77777777" w:rsidR="004D4217" w:rsidRPr="00647D77" w:rsidRDefault="004D4217" w:rsidP="004D4217">
      <w:pPr>
        <w:spacing w:after="0" w:line="276" w:lineRule="auto"/>
        <w:ind w:left="567" w:right="760"/>
        <w:jc w:val="both"/>
        <w:rPr>
          <w:rFonts w:ascii="Verdana" w:hAnsi="Verdana"/>
        </w:rPr>
      </w:pPr>
    </w:p>
    <w:p w14:paraId="07D3C127" w14:textId="77777777" w:rsidR="004D4217" w:rsidRPr="00F64722" w:rsidRDefault="004D4217" w:rsidP="004D4217">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61A5A4E5" w14:textId="77777777" w:rsidR="004D4217" w:rsidRPr="00B75E8F" w:rsidRDefault="004D4217" w:rsidP="004D4217">
      <w:pPr>
        <w:spacing w:after="0" w:line="276" w:lineRule="auto"/>
        <w:ind w:firstLine="709"/>
        <w:jc w:val="both"/>
        <w:rPr>
          <w:rFonts w:ascii="Verdana" w:eastAsia="Calibri" w:hAnsi="Verdana" w:cs="Arial"/>
          <w:lang w:eastAsia="es-ES"/>
        </w:rPr>
      </w:pPr>
      <w:r w:rsidRPr="00B75E8F">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w:t>
      </w:r>
      <w:r>
        <w:rPr>
          <w:rFonts w:ascii="Verdana" w:eastAsia="Calibri" w:hAnsi="Verdana" w:cs="Arial"/>
          <w:color w:val="000000"/>
          <w:lang w:eastAsia="es-ES"/>
        </w:rPr>
        <w:t xml:space="preserve"> los</w:t>
      </w:r>
      <w:r w:rsidRPr="00B75E8F">
        <w:rPr>
          <w:rFonts w:ascii="Verdana" w:eastAsia="Calibri" w:hAnsi="Verdana" w:cs="Arial"/>
          <w:color w:val="000000"/>
          <w:lang w:eastAsia="es-ES"/>
        </w:rPr>
        <w:t xml:space="preserve"> problema</w:t>
      </w:r>
      <w:r>
        <w:rPr>
          <w:rFonts w:ascii="Verdana" w:eastAsia="Calibri" w:hAnsi="Verdana" w:cs="Arial"/>
          <w:color w:val="000000"/>
          <w:lang w:eastAsia="es-ES"/>
        </w:rPr>
        <w:t>s</w:t>
      </w:r>
      <w:r w:rsidRPr="00B75E8F">
        <w:rPr>
          <w:rFonts w:ascii="Verdana" w:eastAsia="Calibri" w:hAnsi="Verdana" w:cs="Arial"/>
          <w:color w:val="000000"/>
          <w:lang w:eastAsia="es-ES"/>
        </w:rPr>
        <w:t xml:space="preserve"> jurídico</w:t>
      </w:r>
      <w:r>
        <w:rPr>
          <w:rFonts w:ascii="Verdana" w:eastAsia="Calibri" w:hAnsi="Verdana" w:cs="Arial"/>
          <w:color w:val="000000"/>
          <w:lang w:eastAsia="es-ES"/>
        </w:rPr>
        <w:t xml:space="preserve">s </w:t>
      </w:r>
      <w:r w:rsidRPr="00B75E8F">
        <w:rPr>
          <w:rFonts w:ascii="Verdana" w:eastAsia="Calibri" w:hAnsi="Verdana" w:cs="Arial"/>
          <w:color w:val="000000"/>
          <w:lang w:eastAsia="es-ES"/>
        </w:rPr>
        <w:t>de su consulta.</w:t>
      </w:r>
      <w:r w:rsidRPr="00B75E8F">
        <w:rPr>
          <w:rFonts w:ascii="Verdana" w:eastAsia="Calibri" w:hAnsi="Verdana" w:cs="Arial"/>
          <w:lang w:eastAsia="es-ES"/>
        </w:rPr>
        <w:t xml:space="preserve">  </w:t>
      </w:r>
    </w:p>
    <w:p w14:paraId="2AB3DA15" w14:textId="77777777" w:rsidR="004D4217" w:rsidRPr="00B75E8F" w:rsidRDefault="004D4217" w:rsidP="004D4217">
      <w:pPr>
        <w:spacing w:after="0" w:line="276" w:lineRule="auto"/>
        <w:ind w:firstLine="709"/>
        <w:jc w:val="both"/>
        <w:rPr>
          <w:rFonts w:ascii="Verdana" w:eastAsia="Calibri" w:hAnsi="Verdana" w:cs="Arial"/>
          <w:lang w:eastAsia="es-ES"/>
        </w:rPr>
      </w:pPr>
    </w:p>
    <w:p w14:paraId="50C218E4" w14:textId="77777777" w:rsidR="004D4217" w:rsidRPr="00B75E8F" w:rsidRDefault="004D4217" w:rsidP="004D42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75E8F">
        <w:rPr>
          <w:rFonts w:ascii="Verdana" w:eastAsia="Century Gothic" w:hAnsi="Verdana" w:cs="Century Gothic"/>
          <w:b/>
          <w:bCs/>
        </w:rPr>
        <w:t>Problema planteado:</w:t>
      </w:r>
    </w:p>
    <w:p w14:paraId="4141C4AF" w14:textId="77777777" w:rsidR="004D4217" w:rsidRPr="00B75E8F" w:rsidRDefault="004D4217" w:rsidP="00F86AD8">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3234FF5" w14:textId="77777777" w:rsidR="004D4217" w:rsidRPr="009E1ACC" w:rsidRDefault="004D4217" w:rsidP="004D4217">
      <w:pPr>
        <w:spacing w:after="0" w:line="276" w:lineRule="auto"/>
        <w:jc w:val="both"/>
        <w:rPr>
          <w:rFonts w:ascii="Verdana" w:eastAsia="Century Gothic" w:hAnsi="Verdana" w:cs="Century Gothic"/>
        </w:rPr>
      </w:pPr>
      <w:r w:rsidRPr="00B75E8F">
        <w:rPr>
          <w:rFonts w:ascii="Verdana" w:eastAsia="Calibri" w:hAnsi="Verdana" w:cs="Arial"/>
          <w:color w:val="000000"/>
          <w:lang w:eastAsia="es-ES"/>
        </w:rPr>
        <w:t xml:space="preserve">De acuerdo con el contenido de su solicitud, esta Agencia resolverá el siguiente problema jurídico: </w:t>
      </w:r>
      <w:r>
        <w:rPr>
          <w:rFonts w:ascii="Verdana" w:eastAsia="Calibri" w:hAnsi="Verdana" w:cs="Arial"/>
          <w:color w:val="000000"/>
          <w:lang w:eastAsia="es-ES"/>
        </w:rPr>
        <w:t xml:space="preserve">i) </w:t>
      </w:r>
      <w:r w:rsidRPr="00B75E8F">
        <w:rPr>
          <w:rFonts w:ascii="Verdana" w:hAnsi="Verdana" w:cs="Arial"/>
        </w:rPr>
        <w:t>¿</w:t>
      </w:r>
      <w:r>
        <w:rPr>
          <w:rFonts w:ascii="Verdana" w:hAnsi="Verdana" w:cs="Arial"/>
        </w:rPr>
        <w:t>Cuál es el alcance de la designación de supervisión de un contrato estatal</w:t>
      </w:r>
      <w:r w:rsidRPr="00B75E8F">
        <w:rPr>
          <w:rFonts w:ascii="Verdana" w:hAnsi="Verdana" w:cs="Arial"/>
        </w:rPr>
        <w:t xml:space="preserve">? </w:t>
      </w:r>
      <w:proofErr w:type="spellStart"/>
      <w:r>
        <w:rPr>
          <w:rFonts w:ascii="Verdana" w:hAnsi="Verdana" w:cs="Arial"/>
        </w:rPr>
        <w:t>ii</w:t>
      </w:r>
      <w:proofErr w:type="spellEnd"/>
      <w:r>
        <w:rPr>
          <w:rFonts w:ascii="Verdana" w:hAnsi="Verdana" w:cs="Arial"/>
        </w:rPr>
        <w:t xml:space="preserve">) ¿La designación de supervisor a través de la plataforma SECOP II reemplaza la comunicación escrita de designación de supervisión? </w:t>
      </w:r>
      <w:proofErr w:type="spellStart"/>
      <w:r>
        <w:rPr>
          <w:rFonts w:ascii="Verdana" w:hAnsi="Verdana" w:cs="Arial"/>
        </w:rPr>
        <w:t>iii</w:t>
      </w:r>
      <w:proofErr w:type="spellEnd"/>
      <w:r>
        <w:rPr>
          <w:rFonts w:ascii="Verdana" w:hAnsi="Verdana" w:cs="Arial"/>
        </w:rPr>
        <w:t xml:space="preserve">) ¿La designación del comité evaluador dentro de un proceso de contratación debe ser publicada en el SECOP II dentro del expediente contractual?   </w:t>
      </w:r>
    </w:p>
    <w:p w14:paraId="4CBF3070" w14:textId="77777777" w:rsidR="004D4217" w:rsidRDefault="004D4217" w:rsidP="004D4217">
      <w:pPr>
        <w:spacing w:after="0" w:line="276" w:lineRule="auto"/>
        <w:jc w:val="both"/>
        <w:rPr>
          <w:rFonts w:ascii="Verdana" w:eastAsia="Century Gothic" w:hAnsi="Verdana" w:cs="Century Gothic"/>
          <w:b/>
          <w:bCs/>
        </w:rPr>
      </w:pPr>
    </w:p>
    <w:p w14:paraId="5DB208A2" w14:textId="77777777" w:rsidR="004D4217" w:rsidRPr="00B33011" w:rsidRDefault="004D4217" w:rsidP="004D4217">
      <w:pPr>
        <w:spacing w:after="0" w:line="276" w:lineRule="auto"/>
        <w:jc w:val="both"/>
        <w:rPr>
          <w:rFonts w:ascii="Verdana" w:eastAsia="Century Gothic" w:hAnsi="Verdana" w:cs="Century Gothic"/>
          <w:b/>
          <w:bCs/>
        </w:rPr>
      </w:pPr>
      <w:r w:rsidRPr="00B33011">
        <w:rPr>
          <w:rFonts w:ascii="Verdana" w:eastAsia="Century Gothic" w:hAnsi="Verdana" w:cs="Century Gothic"/>
          <w:b/>
          <w:bCs/>
        </w:rPr>
        <w:t>2. Respuesta:</w:t>
      </w:r>
    </w:p>
    <w:p w14:paraId="120227CA" w14:textId="77777777" w:rsidR="004D4217" w:rsidRPr="005644FE" w:rsidRDefault="004D4217" w:rsidP="004D4217">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4D4217" w:rsidRPr="005644FE" w14:paraId="3EB4730B" w14:textId="77777777" w:rsidTr="00F271CE">
        <w:tc>
          <w:tcPr>
            <w:tcW w:w="8828" w:type="dxa"/>
          </w:tcPr>
          <w:p w14:paraId="2AF53FE2" w14:textId="2796A6F2" w:rsidR="003E0EE5" w:rsidRDefault="004D4217" w:rsidP="003E0EE5">
            <w:pPr>
              <w:pStyle w:val="Sinespaciado"/>
              <w:spacing w:after="120" w:line="276" w:lineRule="auto"/>
              <w:jc w:val="both"/>
              <w:rPr>
                <w:rFonts w:ascii="Verdana" w:hAnsi="Verdana" w:cs="Arial"/>
                <w:sz w:val="22"/>
              </w:rPr>
            </w:pPr>
            <w:r w:rsidRPr="00990725">
              <w:rPr>
                <w:rFonts w:ascii="Verdana" w:hAnsi="Verdana" w:cs="Arial"/>
              </w:rPr>
              <w:t>i</w:t>
            </w:r>
            <w:r w:rsidRPr="00AD4972">
              <w:rPr>
                <w:rFonts w:ascii="Verdana" w:hAnsi="Verdana" w:cs="Arial"/>
                <w:sz w:val="22"/>
              </w:rPr>
              <w:t xml:space="preserve">) Si bien el ordenamiento jurídico consagra la figura de la delegación en materia contractual, la designación del supervisor de un contrato no es una delegación en los términos del artículo 9 de la Ley 489 de 1998 ni tampoco del artículo 12 de la Ley 80 de 1993. Lo anterior, dado que la función de supervisión es inherente al desempeño de las funciones ordinarias de los servidores públicos, como lo establece el artículo 83 de la Ley 1474 de 2011, y no es una función asignada exclusivamente al representante legal o al ordenador del gasto. En consecuencia, no es necesario emitir un acto administrativo mediante el cual el representante legal o el ordenador del gasto deleguen la función de supervisión del contrato. En todo caso, el representante legal o el ordenador del gasto de la Entidad Estatal, en el evento de que esta función se encuentre delegada, como responsables de la vigilancia y control de la ejecución del gasto y del contrato, deben designar al supervisor </w:t>
            </w:r>
            <w:proofErr w:type="gramStart"/>
            <w:r w:rsidRPr="00AD4972">
              <w:rPr>
                <w:rFonts w:ascii="Verdana" w:hAnsi="Verdana" w:cs="Arial"/>
                <w:sz w:val="22"/>
              </w:rPr>
              <w:t>del mismo</w:t>
            </w:r>
            <w:proofErr w:type="gramEnd"/>
            <w:r w:rsidRPr="00AD4972">
              <w:rPr>
                <w:rFonts w:ascii="Verdana" w:hAnsi="Verdana" w:cs="Arial"/>
                <w:sz w:val="22"/>
              </w:rPr>
              <w:t>. Para tales efectos podrán definirse las funciones del supervisor en el pliego de condiciones, en una cláusula del contrato, en el manual de contratación o en el acto de la asignación de la función al servidor público escogido para ejercer la supervisión.</w:t>
            </w:r>
            <w:r w:rsidRPr="00905A2C">
              <w:rPr>
                <w:rFonts w:ascii="Verdana" w:hAnsi="Verdana" w:cs="Arial"/>
                <w:sz w:val="22"/>
              </w:rPr>
              <w:t xml:space="preserve"> </w:t>
            </w:r>
          </w:p>
          <w:p w14:paraId="7E822820" w14:textId="403AE228" w:rsidR="004D4217" w:rsidRDefault="003E0EE5" w:rsidP="00F86AD8">
            <w:pPr>
              <w:pStyle w:val="Sinespaciado"/>
              <w:spacing w:line="276" w:lineRule="auto"/>
              <w:ind w:firstLine="709"/>
              <w:jc w:val="both"/>
              <w:rPr>
                <w:rFonts w:ascii="Verdana" w:hAnsi="Verdana" w:cs="Arial"/>
                <w:sz w:val="22"/>
              </w:rPr>
            </w:pPr>
            <w:r>
              <w:rPr>
                <w:rFonts w:ascii="Verdana" w:hAnsi="Verdana" w:cs="Arial"/>
                <w:sz w:val="22"/>
              </w:rPr>
              <w:t>E</w:t>
            </w:r>
            <w:r w:rsidR="004D4217" w:rsidRPr="00905A2C">
              <w:rPr>
                <w:rFonts w:ascii="Verdana" w:hAnsi="Verdana" w:cs="Arial"/>
                <w:sz w:val="22"/>
              </w:rPr>
              <w:t xml:space="preserve">n todos los casos deberán informarse al funcionario designado como supervisor. La comunicación de la designación de un funcionario como supervisor siempre debe ser escrita, entendiéndose también como tal la que se hace a través de correo electrónico. En el evento en que la designación del supervisor se haga directamente en el </w:t>
            </w:r>
            <w:r w:rsidRPr="006E4191">
              <w:rPr>
                <w:rFonts w:ascii="Verdana" w:hAnsi="Verdana" w:cs="Arial"/>
                <w:sz w:val="22"/>
              </w:rPr>
              <w:t>pliego de condiciones</w:t>
            </w:r>
            <w:r>
              <w:rPr>
                <w:rFonts w:ascii="Verdana" w:hAnsi="Verdana" w:cs="Arial"/>
                <w:sz w:val="22"/>
              </w:rPr>
              <w:t>,</w:t>
            </w:r>
            <w:r w:rsidRPr="006E4191">
              <w:rPr>
                <w:rFonts w:ascii="Verdana" w:hAnsi="Verdana" w:cs="Arial"/>
                <w:sz w:val="22"/>
              </w:rPr>
              <w:t xml:space="preserve"> documentos equivalente</w:t>
            </w:r>
            <w:r>
              <w:rPr>
                <w:rFonts w:ascii="Verdana" w:hAnsi="Verdana" w:cs="Arial"/>
                <w:sz w:val="22"/>
              </w:rPr>
              <w:t>s</w:t>
            </w:r>
            <w:r w:rsidRPr="006E4191">
              <w:rPr>
                <w:rFonts w:ascii="Verdana" w:hAnsi="Verdana" w:cs="Arial"/>
                <w:sz w:val="22"/>
              </w:rPr>
              <w:t xml:space="preserve">, </w:t>
            </w:r>
            <w:r>
              <w:rPr>
                <w:rFonts w:ascii="Verdana" w:hAnsi="Verdana" w:cs="Arial"/>
                <w:sz w:val="22"/>
              </w:rPr>
              <w:t xml:space="preserve">o en el </w:t>
            </w:r>
            <w:r w:rsidR="004D4217" w:rsidRPr="00905A2C">
              <w:rPr>
                <w:rFonts w:ascii="Verdana" w:hAnsi="Verdana" w:cs="Arial"/>
                <w:sz w:val="22"/>
              </w:rPr>
              <w:t xml:space="preserve">contrato, debe enviarse copia </w:t>
            </w:r>
            <w:proofErr w:type="gramStart"/>
            <w:r w:rsidR="004D4217" w:rsidRPr="00905A2C">
              <w:rPr>
                <w:rFonts w:ascii="Verdana" w:hAnsi="Verdana" w:cs="Arial"/>
                <w:sz w:val="22"/>
              </w:rPr>
              <w:t>del mismo</w:t>
            </w:r>
            <w:proofErr w:type="gramEnd"/>
            <w:r w:rsidR="004D4217" w:rsidRPr="00905A2C">
              <w:rPr>
                <w:rFonts w:ascii="Verdana" w:hAnsi="Verdana" w:cs="Arial"/>
                <w:sz w:val="22"/>
              </w:rPr>
              <w:t xml:space="preserve"> al funcionario designado informando que va a ser el supervisor. Así mismo, en los procesos adelantados a través de la plataforma SECOP II se debe realizar la designación a través de </w:t>
            </w:r>
            <w:proofErr w:type="gramStart"/>
            <w:r w:rsidR="004D4217" w:rsidRPr="00905A2C">
              <w:rPr>
                <w:rFonts w:ascii="Verdana" w:hAnsi="Verdana" w:cs="Arial"/>
                <w:sz w:val="22"/>
              </w:rPr>
              <w:t>la misma</w:t>
            </w:r>
            <w:proofErr w:type="gramEnd"/>
            <w:r w:rsidR="004D4217" w:rsidRPr="00905A2C">
              <w:rPr>
                <w:rFonts w:ascii="Verdana" w:hAnsi="Verdana" w:cs="Arial"/>
                <w:sz w:val="22"/>
              </w:rPr>
              <w:t>.</w:t>
            </w:r>
          </w:p>
          <w:p w14:paraId="5D79425C" w14:textId="77777777" w:rsidR="003E0EE5" w:rsidRPr="003E0EE5" w:rsidRDefault="003E0EE5" w:rsidP="00F86AD8">
            <w:pPr>
              <w:pStyle w:val="Sinespaciado"/>
              <w:spacing w:line="276" w:lineRule="auto"/>
              <w:jc w:val="both"/>
              <w:rPr>
                <w:rFonts w:ascii="Verdana" w:hAnsi="Verdana" w:cs="Arial"/>
                <w:sz w:val="22"/>
              </w:rPr>
            </w:pPr>
          </w:p>
          <w:p w14:paraId="159AB335" w14:textId="0FF3AA74" w:rsidR="004D4217" w:rsidRDefault="004D4217" w:rsidP="003E0EE5">
            <w:pPr>
              <w:spacing w:line="276" w:lineRule="auto"/>
              <w:jc w:val="both"/>
              <w:rPr>
                <w:rFonts w:ascii="Verdana" w:eastAsia="Calibri" w:hAnsi="Verdana" w:cs="Arial"/>
                <w:color w:val="000000"/>
                <w:lang w:val="es-ES"/>
              </w:rPr>
            </w:pPr>
            <w:proofErr w:type="spellStart"/>
            <w:r>
              <w:rPr>
                <w:rFonts w:ascii="Verdana" w:hAnsi="Verdana" w:cs="Arial"/>
              </w:rPr>
              <w:t>ii</w:t>
            </w:r>
            <w:proofErr w:type="spellEnd"/>
            <w:r>
              <w:rPr>
                <w:rFonts w:ascii="Verdana" w:hAnsi="Verdana" w:cs="Arial"/>
              </w:rPr>
              <w:t xml:space="preserve">) Teniendo en cuenta que la designación de supervisión debe efectuarse de manera escrita, entendiendo tal situación bien sea mediante comunicación o incluso a través de correo electrónico, la designación mediante SECOP II no reemplaza la primera. La designación a través de SECOP II permite que el supervisor del contrato ejerza de manera transaccional las operaciones y actividades contractuales necesarias para el seguimiento y control del contrato supervisado, de esta manera, el supervisor podría, por ejemplo, </w:t>
            </w:r>
            <w:r w:rsidRPr="00D83DE6">
              <w:rPr>
                <w:rFonts w:ascii="Verdana" w:eastAsia="Calibri" w:hAnsi="Verdana" w:cs="Arial"/>
                <w:color w:val="000000"/>
                <w:lang w:val="es-ES"/>
              </w:rPr>
              <w:t xml:space="preserve">realizar la revisión y aprobación </w:t>
            </w:r>
            <w:r>
              <w:rPr>
                <w:rFonts w:ascii="Verdana" w:eastAsia="Calibri" w:hAnsi="Verdana" w:cs="Arial"/>
                <w:color w:val="000000"/>
                <w:lang w:val="es-ES"/>
              </w:rPr>
              <w:t>de garantías y facturas</w:t>
            </w:r>
            <w:r w:rsidRPr="00D83DE6">
              <w:rPr>
                <w:rFonts w:ascii="Verdana" w:eastAsia="Calibri" w:hAnsi="Verdana" w:cs="Arial"/>
                <w:color w:val="000000"/>
                <w:lang w:val="es-ES"/>
              </w:rPr>
              <w:t xml:space="preserve">. Además, el módulo permite hacer modificaciones contractuales, tanto unilaterales como bilaterales –estas últimas son enviadas para aprobación del proveedor antes de la publicación por parte de la entidad estatal–. Para registrar el seguimiento al avance de la ejecución, el módulo de gestión contractual habilita el registro de planes de ejecución por porcentaje de avance y el cargue de documentos tanto a proveedor como a la entidad estatal, la cual puede crear usuarios para que los supervisores de los contratos carguen la información pertinente. Finalmente, la liquidación y el cierre de los expedientes contractuales también puede realizarse a través del SECOP II. </w:t>
            </w:r>
          </w:p>
          <w:p w14:paraId="11DECE41" w14:textId="77777777" w:rsidR="003E0EE5" w:rsidRPr="003E0EE5" w:rsidRDefault="003E0EE5" w:rsidP="00F86AD8">
            <w:pPr>
              <w:spacing w:line="276" w:lineRule="auto"/>
              <w:jc w:val="both"/>
              <w:rPr>
                <w:rFonts w:ascii="Verdana" w:eastAsia="Calibri" w:hAnsi="Verdana" w:cs="Arial"/>
                <w:color w:val="000000"/>
                <w:lang w:val="es-ES"/>
              </w:rPr>
            </w:pPr>
          </w:p>
          <w:p w14:paraId="6AD9C055" w14:textId="77777777" w:rsidR="004D4217" w:rsidRPr="00C873C4" w:rsidRDefault="004D4217" w:rsidP="00F271CE">
            <w:pPr>
              <w:spacing w:after="120" w:line="276" w:lineRule="auto"/>
              <w:jc w:val="both"/>
              <w:rPr>
                <w:rFonts w:ascii="Verdana" w:eastAsia="Calibri" w:hAnsi="Verdana" w:cs="Arial"/>
                <w:color w:val="000000"/>
                <w:lang w:val="es-ES"/>
              </w:rPr>
            </w:pPr>
            <w:proofErr w:type="spellStart"/>
            <w:r>
              <w:rPr>
                <w:rFonts w:ascii="Verdana" w:eastAsia="Calibri" w:hAnsi="Verdana" w:cs="Arial"/>
                <w:color w:val="000000"/>
                <w:lang w:val="es-ES"/>
              </w:rPr>
              <w:t>iii</w:t>
            </w:r>
            <w:proofErr w:type="spellEnd"/>
            <w:r>
              <w:rPr>
                <w:rFonts w:ascii="Verdana" w:eastAsia="Calibri" w:hAnsi="Verdana" w:cs="Arial"/>
                <w:color w:val="000000"/>
                <w:lang w:val="es-ES"/>
              </w:rPr>
              <w:t xml:space="preserve">) La designación del comité evaluador como documento que hace parte del proceso de contratación deberá ser publicado conforme a la interpretación sistemática del artículo </w:t>
            </w:r>
            <w:r w:rsidRPr="003F20E6">
              <w:rPr>
                <w:rFonts w:ascii="Verdana" w:hAnsi="Verdana" w:cs="Arial"/>
                <w:shd w:val="clear" w:color="auto" w:fill="FFFFFF"/>
              </w:rPr>
              <w:t>2.2.1.1.1.3.1.</w:t>
            </w:r>
            <w:r>
              <w:rPr>
                <w:rFonts w:ascii="Verdana" w:hAnsi="Verdana" w:cs="Arial"/>
                <w:shd w:val="clear" w:color="auto" w:fill="FFFFFF"/>
              </w:rPr>
              <w:t xml:space="preserve"> del Decreto 1082 de 2015. Por lo tanto, </w:t>
            </w:r>
            <w:r w:rsidRPr="003F20E6">
              <w:rPr>
                <w:rFonts w:ascii="Verdana" w:hAnsi="Verdana" w:cs="Arial"/>
                <w:shd w:val="clear" w:color="auto" w:fill="FFFFFF"/>
              </w:rPr>
              <w:t>las Entidades Estatales tienen la obligación de publicar todos los documentos que expidan con ocasión del Proceso de Contratación, es decir</w:t>
            </w:r>
            <w:r>
              <w:rPr>
                <w:rFonts w:ascii="Verdana" w:hAnsi="Verdana" w:cs="Arial"/>
                <w:shd w:val="clear" w:color="auto" w:fill="FFFFFF"/>
              </w:rPr>
              <w:t>,</w:t>
            </w:r>
            <w:r w:rsidRPr="003F20E6">
              <w:rPr>
                <w:rFonts w:ascii="Verdana" w:hAnsi="Verdana" w:cs="Arial"/>
                <w:shd w:val="clear" w:color="auto" w:fill="FFFFFF"/>
              </w:rPr>
              <w:t xml:space="preserve"> que todos los documentos expedidos por la entidad durante las etapas precontractual, de ejecución y </w:t>
            </w:r>
            <w:proofErr w:type="spellStart"/>
            <w:r w:rsidRPr="003F20E6">
              <w:rPr>
                <w:rFonts w:ascii="Verdana" w:hAnsi="Verdana" w:cs="Arial"/>
                <w:shd w:val="clear" w:color="auto" w:fill="FFFFFF"/>
              </w:rPr>
              <w:t>postcontractual</w:t>
            </w:r>
            <w:proofErr w:type="spellEnd"/>
            <w:r w:rsidRPr="003F20E6">
              <w:rPr>
                <w:rFonts w:ascii="Verdana" w:hAnsi="Verdana" w:cs="Arial"/>
                <w:shd w:val="clear" w:color="auto" w:fill="FFFFFF"/>
              </w:rPr>
              <w:t xml:space="preserve"> deberán publicarse en SECOP dentro de los tres (3) días siguientes a su expedición</w:t>
            </w:r>
            <w:r>
              <w:rPr>
                <w:rFonts w:ascii="Verdana" w:hAnsi="Verdana" w:cs="Arial"/>
                <w:shd w:val="clear" w:color="auto" w:fill="FFFFFF"/>
              </w:rPr>
              <w:t>.</w:t>
            </w:r>
          </w:p>
        </w:tc>
      </w:tr>
    </w:tbl>
    <w:p w14:paraId="2BAE31B5" w14:textId="77777777" w:rsidR="004D4217" w:rsidRDefault="004D4217" w:rsidP="004D4217">
      <w:pPr>
        <w:tabs>
          <w:tab w:val="left" w:pos="142"/>
          <w:tab w:val="left" w:pos="284"/>
        </w:tabs>
        <w:spacing w:after="0" w:line="276" w:lineRule="auto"/>
        <w:jc w:val="both"/>
        <w:rPr>
          <w:rFonts w:ascii="Verdana" w:eastAsia="Century Gothic" w:hAnsi="Verdana" w:cs="Century Gothic"/>
          <w:b/>
          <w:bCs/>
        </w:rPr>
      </w:pPr>
    </w:p>
    <w:p w14:paraId="52AE2A1D" w14:textId="77777777" w:rsidR="00AD4972" w:rsidRDefault="00AD4972" w:rsidP="004D4217">
      <w:pPr>
        <w:tabs>
          <w:tab w:val="left" w:pos="142"/>
          <w:tab w:val="left" w:pos="284"/>
        </w:tabs>
        <w:spacing w:after="0" w:line="276" w:lineRule="auto"/>
        <w:jc w:val="both"/>
        <w:rPr>
          <w:rFonts w:ascii="Verdana" w:eastAsia="Century Gothic" w:hAnsi="Verdana" w:cs="Century Gothic"/>
          <w:b/>
          <w:bCs/>
        </w:rPr>
      </w:pPr>
    </w:p>
    <w:p w14:paraId="54B5B5E2" w14:textId="77777777" w:rsidR="004D4217" w:rsidRPr="005644FE" w:rsidRDefault="004D4217" w:rsidP="004D4217">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5A0F83BB" w14:textId="77777777" w:rsidR="004D4217" w:rsidRPr="005644FE" w:rsidRDefault="004D4217" w:rsidP="00F86AD8">
      <w:pPr>
        <w:pStyle w:val="Prrafodelista"/>
        <w:tabs>
          <w:tab w:val="left" w:pos="142"/>
          <w:tab w:val="left" w:pos="284"/>
        </w:tabs>
        <w:spacing w:after="0" w:line="276" w:lineRule="auto"/>
        <w:ind w:left="0"/>
        <w:contextualSpacing w:val="0"/>
        <w:jc w:val="both"/>
        <w:rPr>
          <w:rFonts w:ascii="Verdana" w:eastAsia="Calibri" w:hAnsi="Verdana" w:cs="Arial"/>
        </w:rPr>
      </w:pPr>
    </w:p>
    <w:p w14:paraId="69C22219" w14:textId="77777777" w:rsidR="00556FE9" w:rsidRPr="00BD2614" w:rsidRDefault="004D4217" w:rsidP="00556FE9">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203D749A" w14:textId="4E673DFE" w:rsidR="004D4217" w:rsidRDefault="004D4217" w:rsidP="004D4217">
      <w:pPr>
        <w:tabs>
          <w:tab w:val="left" w:pos="142"/>
          <w:tab w:val="left" w:pos="284"/>
          <w:tab w:val="left" w:pos="6975"/>
        </w:tabs>
        <w:spacing w:after="0" w:line="276" w:lineRule="auto"/>
        <w:jc w:val="both"/>
        <w:rPr>
          <w:rFonts w:ascii="Verdana" w:eastAsia="Calibri" w:hAnsi="Verdana" w:cs="Arial"/>
        </w:rPr>
      </w:pPr>
      <w:r>
        <w:rPr>
          <w:rFonts w:ascii="Verdana" w:eastAsia="Calibri" w:hAnsi="Verdana" w:cs="Arial"/>
        </w:rPr>
        <w:tab/>
      </w:r>
    </w:p>
    <w:p w14:paraId="70AEFF59" w14:textId="28A3081E" w:rsidR="004D4217" w:rsidRPr="007A3DD4" w:rsidRDefault="000F5961" w:rsidP="00F86AD8">
      <w:pPr>
        <w:tabs>
          <w:tab w:val="left" w:pos="284"/>
        </w:tabs>
        <w:spacing w:after="120" w:line="276" w:lineRule="auto"/>
        <w:jc w:val="both"/>
        <w:rPr>
          <w:rFonts w:ascii="Verdana" w:eastAsia="Calibri" w:hAnsi="Verdana" w:cs="Arial"/>
          <w:color w:val="000000"/>
        </w:rPr>
      </w:pPr>
      <w:r>
        <w:rPr>
          <w:rFonts w:ascii="Verdana" w:eastAsia="Calibri" w:hAnsi="Verdana" w:cs="Arial"/>
          <w:bCs/>
          <w:lang w:eastAsia="es-MX"/>
        </w:rPr>
        <w:t xml:space="preserve">i) </w:t>
      </w:r>
      <w:r w:rsidR="004D4217" w:rsidRPr="005B367E">
        <w:rPr>
          <w:rFonts w:ascii="Verdana" w:eastAsia="Calibri" w:hAnsi="Verdana" w:cs="Arial"/>
          <w:color w:val="000000"/>
        </w:rPr>
        <w:t>A través de la actividad contractual, el Estado adquiere bienes, obras y servicios para cumplir los fines que le impone el ordenamiento jurídico, garantizando así la continua y eficiente prestación de los servicios públicos y la efectividad de los derechos e intereses de los administrados</w:t>
      </w:r>
      <w:r w:rsidR="004D4217" w:rsidRPr="00F86AD8">
        <w:rPr>
          <w:vertAlign w:val="superscript"/>
        </w:rPr>
        <w:footnoteReference w:id="1"/>
      </w:r>
      <w:r w:rsidR="004D4217" w:rsidRPr="005B367E">
        <w:rPr>
          <w:rFonts w:ascii="Verdana" w:eastAsia="Calibri" w:hAnsi="Verdana" w:cs="Arial"/>
          <w:color w:val="000000"/>
        </w:rPr>
        <w:t>. Para la garantía de los fines de interés general involucrados en la contratación de las Entidades Estatales, el Estatuto General de Contratación de la Administración Pública –en adelante EGCAP– dispone que, en la etapa de ejecución del contrato, las Entidades Estatales y los servidores públicos que participan</w:t>
      </w:r>
      <w:r w:rsidR="004D4217" w:rsidRPr="007A3DD4">
        <w:rPr>
          <w:rFonts w:ascii="Verdana" w:eastAsia="Calibri" w:hAnsi="Verdana" w:cs="Arial"/>
          <w:color w:val="000000"/>
        </w:rPr>
        <w:t xml:space="preserve"> en ella tienen la obligación de controlar y vigilar la correcta ejecución del objeto contratado. Con esto se busca que las finalidades perseguidas con la celebración de los contratos estatales se logren de manera satisfactoria. </w:t>
      </w:r>
    </w:p>
    <w:p w14:paraId="0486FD82" w14:textId="77777777" w:rsidR="004D4217" w:rsidRPr="007A3DD4" w:rsidRDefault="004D4217" w:rsidP="004D4217">
      <w:pPr>
        <w:spacing w:after="120" w:line="276" w:lineRule="auto"/>
        <w:ind w:firstLine="709"/>
        <w:jc w:val="both"/>
        <w:rPr>
          <w:rFonts w:ascii="Verdana" w:eastAsia="Calibri" w:hAnsi="Verdana" w:cs="Arial"/>
          <w:color w:val="000000"/>
          <w:lang w:val="es-ES"/>
        </w:rPr>
      </w:pPr>
      <w:r w:rsidRPr="007A3DD4">
        <w:rPr>
          <w:rFonts w:ascii="Verdana" w:eastAsia="Calibri" w:hAnsi="Verdana" w:cs="Arial"/>
          <w:color w:val="000000"/>
          <w:lang w:val="es-ES"/>
        </w:rPr>
        <w:t xml:space="preserve">Así, por ejemplo, </w:t>
      </w:r>
      <w:bookmarkStart w:id="2" w:name="_Hlk117850258"/>
      <w:r w:rsidRPr="007A3DD4">
        <w:rPr>
          <w:rFonts w:ascii="Verdana" w:eastAsia="Calibri" w:hAnsi="Verdana" w:cs="Arial"/>
          <w:color w:val="000000"/>
          <w:lang w:val="es-ES"/>
        </w:rPr>
        <w:t>los artículos 4, 5, 12, 14 y 26 de la Ley 80 de 1993 consagran normas relacionadas con el control y vigilancia de la ejecución de los contratos estatales</w:t>
      </w:r>
      <w:bookmarkEnd w:id="2"/>
      <w:r w:rsidRPr="007A3DD4">
        <w:rPr>
          <w:rFonts w:ascii="Verdana" w:eastAsia="Calibri" w:hAnsi="Verdana" w:cs="Arial"/>
          <w:color w:val="000000"/>
          <w:lang w:val="es-ES"/>
        </w:rPr>
        <w:t>.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49B82796" w14:textId="77777777" w:rsidR="004D4217" w:rsidRPr="007A3DD4" w:rsidRDefault="004D4217" w:rsidP="004D4217">
      <w:pPr>
        <w:pStyle w:val="Sinespaciado"/>
        <w:spacing w:before="120" w:line="276" w:lineRule="auto"/>
        <w:ind w:firstLine="708"/>
        <w:jc w:val="both"/>
        <w:rPr>
          <w:rFonts w:ascii="Verdana" w:eastAsia="Calibri" w:hAnsi="Verdana" w:cs="Arial"/>
          <w:color w:val="000000"/>
          <w:sz w:val="22"/>
          <w:lang w:val="es-ES"/>
        </w:rPr>
      </w:pPr>
      <w:r w:rsidRPr="007A3DD4">
        <w:rPr>
          <w:rFonts w:ascii="Verdana" w:eastAsia="Calibri" w:hAnsi="Verdana" w:cs="Arial"/>
          <w:color w:val="000000"/>
          <w:sz w:val="22"/>
          <w:lang w:val="es-ES"/>
        </w:rPr>
        <w:t>La jurisprudencia contencioso-administrativa ha considerado que la obligación de vigilar la correcta ejecución del objeto contractual es una función de la entidad contratante, en los siguientes términos:</w:t>
      </w:r>
    </w:p>
    <w:p w14:paraId="38D38AA5" w14:textId="77777777" w:rsidR="004D4217" w:rsidRPr="00905A2C" w:rsidRDefault="004D4217" w:rsidP="004D4217">
      <w:pPr>
        <w:pStyle w:val="Sinespaciado"/>
        <w:ind w:firstLine="709"/>
        <w:jc w:val="both"/>
        <w:rPr>
          <w:rFonts w:ascii="Verdana" w:hAnsi="Verdana" w:cs="Arial"/>
          <w:bCs/>
          <w:sz w:val="22"/>
        </w:rPr>
      </w:pPr>
    </w:p>
    <w:p w14:paraId="267ABE06" w14:textId="56E3D18C" w:rsidR="004D4217" w:rsidRPr="000F5961" w:rsidRDefault="004D4217" w:rsidP="004D4217">
      <w:pPr>
        <w:pStyle w:val="Sinespaciado"/>
        <w:ind w:left="709" w:right="709"/>
        <w:jc w:val="both"/>
        <w:rPr>
          <w:rFonts w:ascii="Verdana" w:hAnsi="Verdana" w:cs="Arial"/>
          <w:sz w:val="20"/>
          <w:szCs w:val="20"/>
        </w:rPr>
      </w:pPr>
      <w:r w:rsidRPr="00905A2C">
        <w:rPr>
          <w:rFonts w:ascii="Verdana" w:hAnsi="Verdana" w:cs="Arial"/>
          <w:bCs/>
          <w:sz w:val="20"/>
          <w:szCs w:val="20"/>
        </w:rPr>
        <w:t>“La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de esta forma garantizar la satisfacción de las necesidades que la administración buscaba alcanzar con la celebración del respectivo contrato”</w:t>
      </w:r>
      <w:r w:rsidRPr="00905A2C">
        <w:rPr>
          <w:rStyle w:val="Refdenotaalpie"/>
          <w:rFonts w:ascii="Verdana" w:hAnsi="Verdana" w:cs="Arial"/>
          <w:bCs/>
          <w:sz w:val="20"/>
          <w:szCs w:val="20"/>
        </w:rPr>
        <w:footnoteReference w:id="2"/>
      </w:r>
      <w:r w:rsidRPr="00905A2C">
        <w:rPr>
          <w:rFonts w:ascii="Verdana" w:hAnsi="Verdana" w:cs="Arial"/>
          <w:bCs/>
          <w:sz w:val="20"/>
          <w:szCs w:val="20"/>
        </w:rPr>
        <w:t>.</w:t>
      </w:r>
    </w:p>
    <w:p w14:paraId="7CEAD135" w14:textId="77777777" w:rsidR="006B653E" w:rsidRPr="000F5961" w:rsidRDefault="006B653E" w:rsidP="00F86AD8">
      <w:pPr>
        <w:pStyle w:val="Sinespaciado"/>
        <w:spacing w:line="276" w:lineRule="auto"/>
        <w:ind w:left="709" w:right="709"/>
        <w:jc w:val="both"/>
        <w:rPr>
          <w:rFonts w:ascii="Verdana" w:hAnsi="Verdana" w:cs="Arial"/>
          <w:bCs/>
          <w:sz w:val="20"/>
          <w:szCs w:val="20"/>
          <w:lang w:val="es-CO"/>
        </w:rPr>
      </w:pPr>
    </w:p>
    <w:p w14:paraId="4DD8BD1A" w14:textId="77777777" w:rsidR="004D4217" w:rsidRPr="007A3DD4" w:rsidRDefault="004D4217" w:rsidP="00F86AD8">
      <w:pPr>
        <w:spacing w:after="0" w:line="276" w:lineRule="auto"/>
        <w:ind w:firstLine="709"/>
        <w:jc w:val="both"/>
        <w:rPr>
          <w:rFonts w:ascii="Verdana" w:eastAsia="Calibri" w:hAnsi="Verdana" w:cs="Arial"/>
          <w:color w:val="000000"/>
          <w:lang w:val="es-ES"/>
        </w:rPr>
      </w:pPr>
      <w:r w:rsidRPr="007A3DD4">
        <w:rPr>
          <w:rFonts w:ascii="Verdana" w:eastAsia="Calibri" w:hAnsi="Verdana" w:cs="Arial"/>
          <w:color w:val="000000"/>
          <w:lang w:val="es-ES"/>
        </w:rPr>
        <w:t>Así mismo, esta Agencia se ha pronunciado sobre el deber de vigilancia y control del contrato estatal. En el concepto emitido por esta Agencia con el radicado 4201913000008240 del 20 de diciembre de 2019 se señaló que:</w:t>
      </w:r>
    </w:p>
    <w:p w14:paraId="0EDB6EE2" w14:textId="77777777" w:rsidR="004D4217" w:rsidRPr="00905A2C" w:rsidRDefault="004D4217" w:rsidP="004D4217">
      <w:pPr>
        <w:pStyle w:val="Sinespaciado"/>
        <w:spacing w:line="276" w:lineRule="auto"/>
        <w:ind w:firstLine="567"/>
        <w:jc w:val="both"/>
        <w:rPr>
          <w:rFonts w:ascii="Verdana" w:hAnsi="Verdana" w:cs="Arial"/>
          <w:bCs/>
          <w:sz w:val="22"/>
        </w:rPr>
      </w:pPr>
    </w:p>
    <w:p w14:paraId="13397ED0" w14:textId="77777777" w:rsidR="004D4217" w:rsidRPr="00905A2C" w:rsidRDefault="004D4217" w:rsidP="004D4217">
      <w:pPr>
        <w:pStyle w:val="Sinespaciado"/>
        <w:ind w:left="709" w:right="709"/>
        <w:jc w:val="both"/>
        <w:rPr>
          <w:rFonts w:ascii="Verdana" w:hAnsi="Verdana" w:cs="Arial"/>
          <w:bCs/>
          <w:sz w:val="20"/>
          <w:szCs w:val="20"/>
        </w:rPr>
      </w:pPr>
      <w:r w:rsidRPr="00905A2C">
        <w:rPr>
          <w:rFonts w:ascii="Verdana" w:hAnsi="Verdana" w:cs="Arial"/>
          <w:bCs/>
          <w:sz w:val="20"/>
          <w:szCs w:val="20"/>
        </w:rPr>
        <w:t>“el seguimiento de la ejecución del contrato para su dirección, control y vigilancia del correcto cumplimiento del objeto es un deber legal que permite a las entidades estatales tomar medidas orientadas a la satisfacción de los fines de la contratación, dentro de las cuales, se encuentra la posibilidad de pactar y ejercer las cláusulas exorbitantes, la designación de una supervisión o la contratación de una interventoría para vigilar la ejecución del contrato y la facultad de pactar e imponer multas, cláusula penal o hacer efectivas las garantías del contrato, previa declaratoria de incumplimiento de las obligaciones del contrato, en aras de lograr la satisfacción de las necesidades de bienes, obras o servicios que se pretenden suplir con la celebración de los contratos estatales”.</w:t>
      </w:r>
    </w:p>
    <w:p w14:paraId="1FC2B992" w14:textId="77777777" w:rsidR="004D4217" w:rsidRPr="00905A2C" w:rsidRDefault="004D4217" w:rsidP="004D4217">
      <w:pPr>
        <w:pStyle w:val="Sinespaciado"/>
        <w:spacing w:line="276" w:lineRule="auto"/>
        <w:ind w:firstLine="567"/>
        <w:jc w:val="both"/>
        <w:rPr>
          <w:rFonts w:ascii="Verdana" w:hAnsi="Verdana" w:cs="Arial"/>
          <w:bCs/>
          <w:sz w:val="22"/>
        </w:rPr>
      </w:pPr>
    </w:p>
    <w:p w14:paraId="0C55DEDF" w14:textId="77777777" w:rsidR="004D4217" w:rsidRPr="00905A2C" w:rsidRDefault="004D4217" w:rsidP="004D4217">
      <w:pPr>
        <w:pStyle w:val="Sinespaciado"/>
        <w:spacing w:after="120" w:line="276" w:lineRule="auto"/>
        <w:ind w:firstLine="709"/>
        <w:jc w:val="both"/>
        <w:rPr>
          <w:rFonts w:ascii="Verdana" w:hAnsi="Verdana" w:cs="Arial"/>
          <w:bCs/>
          <w:sz w:val="22"/>
        </w:rPr>
      </w:pPr>
      <w:r w:rsidRPr="00905A2C">
        <w:rPr>
          <w:rFonts w:ascii="Verdana" w:hAnsi="Verdana" w:cs="Arial"/>
          <w:bCs/>
          <w:sz w:val="22"/>
        </w:rPr>
        <w:t>Las Leyes 1150 de 2007 y 1474 de 2011 complementan el régimen jurídico de la obligación de vigilar la ejecución de los contratos estatales. Allí se impone, entre otros postulados, el debido proceso como principio rector en materia sancionatoria contractual, para la imposición de multas y la decisión de hacer efectiva la cláusula penal; principio que se debe respetar en el ejercicio del control y vigilancia de la ejecución contractual</w:t>
      </w:r>
      <w:r w:rsidRPr="00905A2C">
        <w:rPr>
          <w:rStyle w:val="Refdenotaalpie"/>
          <w:rFonts w:ascii="Verdana" w:hAnsi="Verdana" w:cs="Arial"/>
          <w:bCs/>
          <w:sz w:val="22"/>
        </w:rPr>
        <w:footnoteReference w:id="3"/>
      </w:r>
      <w:r w:rsidRPr="00905A2C">
        <w:rPr>
          <w:rFonts w:ascii="Verdana" w:hAnsi="Verdana" w:cs="Arial"/>
          <w:bCs/>
          <w:sz w:val="22"/>
        </w:rPr>
        <w:t>. También se establecen los límites de la responsabilidad del representante legal ante la delegación de sus funciones en materia contractual</w:t>
      </w:r>
      <w:r w:rsidRPr="00905A2C">
        <w:rPr>
          <w:rStyle w:val="Refdenotaalpie"/>
          <w:rFonts w:ascii="Verdana" w:hAnsi="Verdana" w:cs="Arial"/>
          <w:bCs/>
          <w:sz w:val="22"/>
        </w:rPr>
        <w:footnoteReference w:id="4"/>
      </w:r>
      <w:r w:rsidRPr="00905A2C">
        <w:rPr>
          <w:rFonts w:ascii="Verdana" w:hAnsi="Verdana" w:cs="Arial"/>
          <w:bCs/>
          <w:sz w:val="22"/>
        </w:rPr>
        <w:t>. Igualmente, se regula la supervisión y la interventoría de los contratos estatales</w:t>
      </w:r>
      <w:r w:rsidRPr="00905A2C">
        <w:rPr>
          <w:rStyle w:val="Refdenotaalpie"/>
          <w:rFonts w:ascii="Verdana" w:hAnsi="Verdana" w:cs="Arial"/>
          <w:bCs/>
          <w:sz w:val="22"/>
        </w:rPr>
        <w:footnoteReference w:id="5"/>
      </w:r>
      <w:r w:rsidRPr="00905A2C">
        <w:rPr>
          <w:rFonts w:ascii="Verdana" w:hAnsi="Verdana" w:cs="Arial"/>
          <w:bCs/>
          <w:sz w:val="22"/>
        </w:rPr>
        <w:t xml:space="preserve">.  </w:t>
      </w:r>
    </w:p>
    <w:p w14:paraId="5553D9C4" w14:textId="77777777" w:rsidR="004D4217" w:rsidRPr="00905A2C" w:rsidRDefault="004D4217" w:rsidP="004D4217">
      <w:pPr>
        <w:pStyle w:val="Sinespaciado"/>
        <w:spacing w:after="120" w:line="276" w:lineRule="auto"/>
        <w:ind w:firstLine="709"/>
        <w:jc w:val="both"/>
        <w:rPr>
          <w:rFonts w:ascii="Verdana" w:hAnsi="Verdana" w:cs="Arial"/>
          <w:sz w:val="22"/>
        </w:rPr>
      </w:pPr>
      <w:r w:rsidRPr="00905A2C">
        <w:rPr>
          <w:rFonts w:ascii="Verdana" w:hAnsi="Verdana" w:cs="Arial"/>
          <w:sz w:val="22"/>
        </w:rPr>
        <w:t xml:space="preserve">Particularmente, la Ley 1474 de 2011 enmarcó el seguimiento, control y vigilancia de la ejecución del contrato estatal dentro del principio de moralidad administrativa. El artículo 83 </w:t>
      </w:r>
      <w:r w:rsidRPr="00905A2C">
        <w:rPr>
          <w:rFonts w:ascii="Verdana" w:hAnsi="Verdana" w:cs="Arial"/>
          <w:i/>
          <w:iCs/>
          <w:sz w:val="22"/>
        </w:rPr>
        <w:t xml:space="preserve">ibidem </w:t>
      </w:r>
      <w:r w:rsidRPr="00905A2C">
        <w:rPr>
          <w:rFonts w:ascii="Verdana" w:hAnsi="Verdana" w:cs="Arial"/>
          <w:sz w:val="22"/>
        </w:rPr>
        <w:t xml:space="preserve">establece que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w:t>
      </w:r>
    </w:p>
    <w:p w14:paraId="0CD61C5B" w14:textId="310557E0" w:rsidR="004D4217" w:rsidRPr="00905A2C" w:rsidRDefault="004D4217" w:rsidP="006B653E">
      <w:pPr>
        <w:pStyle w:val="Sinespaciado"/>
        <w:spacing w:line="276" w:lineRule="auto"/>
        <w:ind w:firstLine="709"/>
        <w:jc w:val="both"/>
        <w:rPr>
          <w:rFonts w:ascii="Verdana" w:hAnsi="Verdana" w:cs="Arial"/>
          <w:sz w:val="22"/>
        </w:rPr>
      </w:pPr>
      <w:r w:rsidRPr="00905A2C">
        <w:rPr>
          <w:rFonts w:ascii="Verdana" w:hAnsi="Verdana" w:cs="Arial"/>
          <w:sz w:val="22"/>
        </w:rPr>
        <w:t xml:space="preserve">El legislador además definió las nociones de </w:t>
      </w:r>
      <w:r w:rsidRPr="00905A2C">
        <w:rPr>
          <w:rFonts w:ascii="Verdana" w:hAnsi="Verdana" w:cs="Arial"/>
          <w:i/>
          <w:iCs/>
          <w:sz w:val="22"/>
        </w:rPr>
        <w:t>supervisión</w:t>
      </w:r>
      <w:r w:rsidRPr="00905A2C">
        <w:rPr>
          <w:rFonts w:ascii="Verdana" w:hAnsi="Verdana" w:cs="Arial"/>
          <w:sz w:val="22"/>
        </w:rPr>
        <w:t xml:space="preserve"> e </w:t>
      </w:r>
      <w:r w:rsidRPr="00905A2C">
        <w:rPr>
          <w:rFonts w:ascii="Verdana" w:hAnsi="Verdana" w:cs="Arial"/>
          <w:i/>
          <w:iCs/>
          <w:sz w:val="22"/>
        </w:rPr>
        <w:t>interventoría</w:t>
      </w:r>
      <w:r w:rsidRPr="00905A2C">
        <w:rPr>
          <w:rFonts w:ascii="Verdana" w:hAnsi="Verdana" w:cs="Arial"/>
          <w:sz w:val="22"/>
        </w:rPr>
        <w:t xml:space="preserve">, como mecanismos que pueden usar las Entidades Estatales para vigilar el contrato, en estos términos: </w:t>
      </w:r>
    </w:p>
    <w:p w14:paraId="3509041E" w14:textId="77777777" w:rsidR="006B653E" w:rsidRPr="00990725" w:rsidRDefault="006B653E" w:rsidP="00F86AD8">
      <w:pPr>
        <w:pStyle w:val="Sinespaciado"/>
        <w:spacing w:line="276" w:lineRule="auto"/>
        <w:ind w:firstLine="709"/>
        <w:jc w:val="both"/>
        <w:rPr>
          <w:rFonts w:ascii="Verdana" w:hAnsi="Verdana" w:cs="Arial"/>
          <w:sz w:val="22"/>
        </w:rPr>
      </w:pPr>
    </w:p>
    <w:p w14:paraId="0D0A94F8" w14:textId="77777777" w:rsidR="004D4217" w:rsidRPr="00905A2C" w:rsidRDefault="004D4217" w:rsidP="004D4217">
      <w:pPr>
        <w:pStyle w:val="Sinespaciado"/>
        <w:ind w:left="709" w:right="709"/>
        <w:jc w:val="both"/>
        <w:rPr>
          <w:rFonts w:ascii="Verdana" w:hAnsi="Verdana" w:cs="Arial"/>
          <w:sz w:val="20"/>
          <w:szCs w:val="20"/>
        </w:rPr>
      </w:pPr>
      <w:r w:rsidRPr="00905A2C">
        <w:rPr>
          <w:rFonts w:ascii="Verdana" w:hAnsi="Verdana" w:cs="Arial"/>
          <w:sz w:val="20"/>
          <w:szCs w:val="20"/>
        </w:rPr>
        <w:t xml:space="preserve">“La supervisión consistirá en el seguimiento técnico, administrativo, financiero, contable, y jurídico </w:t>
      </w:r>
      <w:proofErr w:type="gramStart"/>
      <w:r w:rsidRPr="00905A2C">
        <w:rPr>
          <w:rFonts w:ascii="Verdana" w:hAnsi="Verdana" w:cs="Arial"/>
          <w:sz w:val="20"/>
          <w:szCs w:val="20"/>
        </w:rPr>
        <w:t>que</w:t>
      </w:r>
      <w:proofErr w:type="gramEnd"/>
      <w:r w:rsidRPr="00905A2C">
        <w:rPr>
          <w:rFonts w:ascii="Verdana" w:hAnsi="Verdana" w:cs="Arial"/>
          <w:sz w:val="20"/>
          <w:szCs w:val="20"/>
        </w:rPr>
        <w:t xml:space="preserv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6A01B3A0" w14:textId="77777777" w:rsidR="004D4217" w:rsidRPr="00905A2C" w:rsidRDefault="004D4217" w:rsidP="004D4217">
      <w:pPr>
        <w:pStyle w:val="Sinespaciado"/>
        <w:ind w:left="709" w:right="709"/>
        <w:jc w:val="both"/>
        <w:rPr>
          <w:rFonts w:ascii="Verdana" w:hAnsi="Verdana" w:cs="Arial"/>
          <w:sz w:val="20"/>
          <w:szCs w:val="20"/>
        </w:rPr>
      </w:pPr>
    </w:p>
    <w:p w14:paraId="5E54F08B" w14:textId="77777777" w:rsidR="004D4217" w:rsidRDefault="004D4217" w:rsidP="004D4217">
      <w:pPr>
        <w:pStyle w:val="Sinespaciado"/>
        <w:ind w:left="709" w:right="709"/>
        <w:jc w:val="both"/>
        <w:rPr>
          <w:rFonts w:ascii="Verdana" w:hAnsi="Verdana" w:cs="Arial"/>
          <w:sz w:val="20"/>
          <w:szCs w:val="20"/>
        </w:rPr>
      </w:pPr>
      <w:r w:rsidRPr="00905A2C">
        <w:rPr>
          <w:rFonts w:ascii="Verdana" w:hAnsi="Verdana" w:cs="Arial"/>
          <w:sz w:val="20"/>
          <w:szCs w:val="20"/>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905A2C">
        <w:rPr>
          <w:rFonts w:ascii="Verdana" w:hAnsi="Verdana" w:cs="Arial"/>
          <w:sz w:val="20"/>
          <w:szCs w:val="20"/>
        </w:rPr>
        <w:t>del mismo</w:t>
      </w:r>
      <w:proofErr w:type="gramEnd"/>
      <w:r w:rsidRPr="00905A2C">
        <w:rPr>
          <w:rFonts w:ascii="Verdana" w:hAnsi="Verdana" w:cs="Arial"/>
          <w:sz w:val="20"/>
          <w:szCs w:val="20"/>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w:t>
      </w:r>
    </w:p>
    <w:p w14:paraId="7B9CE227" w14:textId="77777777" w:rsidR="004D4217" w:rsidRPr="00F86AD8" w:rsidRDefault="004D4217" w:rsidP="00F86AD8">
      <w:pPr>
        <w:pStyle w:val="Sinespaciado"/>
        <w:spacing w:line="276" w:lineRule="auto"/>
        <w:ind w:left="709" w:right="709"/>
        <w:jc w:val="both"/>
        <w:rPr>
          <w:rFonts w:ascii="Verdana" w:hAnsi="Verdana" w:cs="Arial"/>
          <w:sz w:val="22"/>
        </w:rPr>
      </w:pPr>
    </w:p>
    <w:p w14:paraId="4C9CF451" w14:textId="77777777" w:rsidR="004D4217" w:rsidRPr="007A3DD4" w:rsidRDefault="004D4217" w:rsidP="004D4217">
      <w:pPr>
        <w:pStyle w:val="Sinespaciado"/>
        <w:spacing w:after="120" w:line="276" w:lineRule="auto"/>
        <w:ind w:firstLine="709"/>
        <w:jc w:val="both"/>
        <w:rPr>
          <w:rFonts w:ascii="Verdana" w:hAnsi="Verdana" w:cs="Arial"/>
          <w:sz w:val="22"/>
        </w:rPr>
      </w:pPr>
      <w:r w:rsidRPr="007A3DD4">
        <w:rPr>
          <w:rFonts w:ascii="Verdana" w:hAnsi="Verdana" w:cs="Arial"/>
          <w:sz w:val="22"/>
        </w:rPr>
        <w:t>Del primer concepto, se extractan las siguientes características en relación con la supervisión: i) la labor de supervisión siempre existirá en relación con cualquier contrato estatal, salvo cuando se realice la vigilancia a través de la interventoría, caso en el cual podrán concurrir informando en el contrato de interventoría la división de dicha vigilancia. Por su parte, la interventoría se contratara dependiendo del análisis de su necesidad y extensión</w:t>
      </w:r>
      <w:r w:rsidRPr="007A3DD4">
        <w:rPr>
          <w:rFonts w:ascii="Verdana" w:hAnsi="Verdana" w:cs="Arial"/>
          <w:sz w:val="22"/>
          <w:vertAlign w:val="superscript"/>
        </w:rPr>
        <w:footnoteReference w:id="6"/>
      </w:r>
      <w:r w:rsidRPr="007A3DD4">
        <w:rPr>
          <w:rFonts w:ascii="Verdana" w:hAnsi="Verdana" w:cs="Arial"/>
          <w:sz w:val="22"/>
        </w:rPr>
        <w:t xml:space="preserve">; </w:t>
      </w:r>
      <w:proofErr w:type="spellStart"/>
      <w:r w:rsidRPr="007A3DD4">
        <w:rPr>
          <w:rFonts w:ascii="Verdana" w:hAnsi="Verdana" w:cs="Arial"/>
          <w:sz w:val="22"/>
        </w:rPr>
        <w:t>ii</w:t>
      </w:r>
      <w:proofErr w:type="spellEnd"/>
      <w:r w:rsidRPr="007A3DD4">
        <w:rPr>
          <w:rFonts w:ascii="Verdana" w:hAnsi="Verdana" w:cs="Arial"/>
          <w:sz w:val="22"/>
        </w:rPr>
        <w:t xml:space="preserve">) no requiere conocimientos especializados como la interventoría; </w:t>
      </w:r>
      <w:proofErr w:type="spellStart"/>
      <w:r w:rsidRPr="007A3DD4">
        <w:rPr>
          <w:rFonts w:ascii="Verdana" w:hAnsi="Verdana" w:cs="Arial"/>
          <w:sz w:val="22"/>
        </w:rPr>
        <w:t>iii</w:t>
      </w:r>
      <w:proofErr w:type="spellEnd"/>
      <w:r w:rsidRPr="007A3DD4">
        <w:rPr>
          <w:rFonts w:ascii="Verdana" w:hAnsi="Verdana" w:cs="Arial"/>
          <w:sz w:val="22"/>
        </w:rPr>
        <w:t xml:space="preserve">) se ejerce por la Entidad Estatal por conducto de la designación – y no por la delegación como se explicara más adelante – de servidores públicos idóneos para cumplir la función; </w:t>
      </w:r>
      <w:proofErr w:type="spellStart"/>
      <w:r w:rsidRPr="007A3DD4">
        <w:rPr>
          <w:rFonts w:ascii="Verdana" w:hAnsi="Verdana" w:cs="Arial"/>
          <w:sz w:val="22"/>
        </w:rPr>
        <w:t>iv</w:t>
      </w:r>
      <w:proofErr w:type="spellEnd"/>
      <w:r w:rsidRPr="007A3DD4">
        <w:rPr>
          <w:rFonts w:ascii="Verdana" w:hAnsi="Verdana" w:cs="Arial"/>
          <w:sz w:val="22"/>
        </w:rPr>
        <w:t>) puede recibir apoyo de personal contratado para tal fin mediante contratos de prestación de servicios; v) le es inherente el seguimiento técnico, administrativo, financiero, contable, y jurídico del contrato vigilado</w:t>
      </w:r>
      <w:r w:rsidRPr="00F86AD8">
        <w:rPr>
          <w:rFonts w:ascii="Verdana" w:hAnsi="Verdana"/>
          <w:sz w:val="22"/>
          <w:vertAlign w:val="superscript"/>
        </w:rPr>
        <w:footnoteReference w:id="7"/>
      </w:r>
      <w:r w:rsidRPr="007A3DD4">
        <w:rPr>
          <w:rFonts w:ascii="Verdana" w:hAnsi="Verdana" w:cs="Arial"/>
          <w:sz w:val="22"/>
        </w:rPr>
        <w:t>.</w:t>
      </w:r>
    </w:p>
    <w:p w14:paraId="3C55B4E6" w14:textId="77777777" w:rsidR="004D4217" w:rsidRPr="00905A2C" w:rsidRDefault="004D4217" w:rsidP="004D4217">
      <w:pPr>
        <w:pStyle w:val="Sinespaciado"/>
        <w:spacing w:after="120" w:line="276" w:lineRule="auto"/>
        <w:ind w:firstLine="709"/>
        <w:jc w:val="both"/>
        <w:rPr>
          <w:rFonts w:ascii="Verdana" w:hAnsi="Verdana" w:cs="Arial"/>
          <w:sz w:val="22"/>
        </w:rPr>
      </w:pPr>
      <w:r w:rsidRPr="00905A2C">
        <w:rPr>
          <w:rFonts w:ascii="Verdana" w:hAnsi="Verdana" w:cs="Arial"/>
          <w:sz w:val="22"/>
        </w:rPr>
        <w:t>En cuanto a la designación del supervisor, la Agencia Nacional de Contratación Pública – Colombia Compra Eficiente, en la “Guía para el ejercicio de las funciones de supervisión e interventoría de los contratos del Estado”</w:t>
      </w:r>
      <w:r w:rsidRPr="00905A2C">
        <w:rPr>
          <w:rStyle w:val="Refdenotaalpie"/>
          <w:rFonts w:ascii="Verdana" w:hAnsi="Verdana" w:cs="Arial"/>
          <w:sz w:val="22"/>
        </w:rPr>
        <w:footnoteReference w:id="8"/>
      </w:r>
      <w:r w:rsidRPr="00905A2C">
        <w:rPr>
          <w:rFonts w:ascii="Verdana" w:hAnsi="Verdana" w:cs="Arial"/>
          <w:sz w:val="22"/>
        </w:rPr>
        <w:t xml:space="preserve"> recomienda que esta se haga por un funcionario público quién pueda actuar al menos como par del contratista y que tenga asignadas funciones relacionadas con el objeto contractual. Así mismo, en dicha Guía se señala que la designación debe estar antecedida por un análisis de la carga operativa del funcionario al que se le asigna la función, para no incurrir en el riesgo de que el supervisor no pueda desempeñar la labor de manera adecuada. </w:t>
      </w:r>
    </w:p>
    <w:p w14:paraId="3F099D7E" w14:textId="77777777" w:rsidR="004D4217" w:rsidRPr="00905A2C" w:rsidRDefault="004D4217" w:rsidP="004D4217">
      <w:pPr>
        <w:pStyle w:val="Sinespaciado"/>
        <w:spacing w:after="120" w:line="276" w:lineRule="auto"/>
        <w:ind w:firstLine="709"/>
        <w:jc w:val="both"/>
        <w:rPr>
          <w:rFonts w:ascii="Verdana" w:hAnsi="Verdana" w:cs="Arial"/>
          <w:sz w:val="22"/>
        </w:rPr>
      </w:pPr>
      <w:r w:rsidRPr="00905A2C">
        <w:rPr>
          <w:rFonts w:ascii="Verdana" w:hAnsi="Verdana" w:cs="Arial"/>
          <w:sz w:val="22"/>
        </w:rPr>
        <w:t>Ahora bien, debe señalarse que, de acuerdo con la Ley 489 de 1998 la delegación es la transferencia del ejercicio de las funciones de las autoridades administrativas a sus colaboradores o a otras autoridades con funciones afines o complementarias. Por otro lado, la Ley 80 de 1993 establece que los jefes y los representantes legales de las Entidades Estatales pueden delegar total o parcialmente la competencia para celebrar contratos y realizar licitaciones, lo cual no los exonera de sus deberes de control y vigilancia de la actividad precontractual y contractual.</w:t>
      </w:r>
    </w:p>
    <w:p w14:paraId="6EEBBE9E" w14:textId="77777777" w:rsidR="004D4217" w:rsidRPr="00905A2C" w:rsidRDefault="004D4217" w:rsidP="004D4217">
      <w:pPr>
        <w:pStyle w:val="Sinespaciado"/>
        <w:spacing w:after="120" w:line="276" w:lineRule="auto"/>
        <w:ind w:firstLine="709"/>
        <w:jc w:val="both"/>
        <w:rPr>
          <w:rFonts w:ascii="Verdana" w:hAnsi="Verdana" w:cs="Arial"/>
          <w:sz w:val="22"/>
        </w:rPr>
      </w:pPr>
      <w:r w:rsidRPr="00905A2C">
        <w:rPr>
          <w:rFonts w:ascii="Verdana" w:hAnsi="Verdana" w:cs="Arial"/>
          <w:sz w:val="22"/>
        </w:rPr>
        <w:t xml:space="preserve">Si bien el ordenamiento jurídico consagra la figura de la delegación en materia contractual, la designación del supervisor de un contrato no es una delegación en los términos del artículo 9 de la Ley 489 de 1998 ni tampoco del artículo 12 de la Ley 80 de 1993. Lo anterior, dado que la función de supervisión es inherente al desempeño de las funciones ordinarias de los servidores públicos, como lo establece el artículo 83 de la Ley 1474 de 2011, y no es una función asignada exclusivamente al representante legal o al ordenador del gasto. En consecuencia, no es necesario emitir un acto administrativo mediante el cual el representante legal o el ordenador del gasto deleguen la función de supervisión del contrato. En todo caso, el representante legal o el ordenador del gasto de la Entidad Estatal, en el evento de que esta función se encuentre delegada, como responsables de la vigilancia y control de la ejecución del gasto y del contrato, deben designar al supervisor </w:t>
      </w:r>
      <w:proofErr w:type="gramStart"/>
      <w:r w:rsidRPr="00905A2C">
        <w:rPr>
          <w:rFonts w:ascii="Verdana" w:hAnsi="Verdana" w:cs="Arial"/>
          <w:sz w:val="22"/>
        </w:rPr>
        <w:t>del mismo</w:t>
      </w:r>
      <w:proofErr w:type="gramEnd"/>
      <w:r w:rsidRPr="00905A2C">
        <w:rPr>
          <w:rFonts w:ascii="Verdana" w:hAnsi="Verdana" w:cs="Arial"/>
          <w:sz w:val="22"/>
        </w:rPr>
        <w:t xml:space="preserve">. </w:t>
      </w:r>
    </w:p>
    <w:p w14:paraId="49D6741E" w14:textId="77777777" w:rsidR="006B653E" w:rsidRPr="000F5961" w:rsidRDefault="004D4217" w:rsidP="004D4217">
      <w:pPr>
        <w:pStyle w:val="Sinespaciado"/>
        <w:spacing w:after="120" w:line="276" w:lineRule="auto"/>
        <w:ind w:firstLine="709"/>
        <w:jc w:val="both"/>
        <w:rPr>
          <w:rFonts w:ascii="Verdana" w:hAnsi="Verdana" w:cs="Arial"/>
          <w:sz w:val="22"/>
        </w:rPr>
      </w:pPr>
      <w:r w:rsidRPr="00905A2C">
        <w:rPr>
          <w:rFonts w:ascii="Verdana" w:hAnsi="Verdana" w:cs="Arial"/>
          <w:sz w:val="22"/>
        </w:rPr>
        <w:t>Para tales efectos podrán definirse las funciones del supervisor en el pliego de condiciones, en una cláusula del contrato, en el manual de contratación o en el acto de la asignación de la función al servidor público escogido para ejercer la supervisión</w:t>
      </w:r>
      <w:r w:rsidRPr="00905A2C">
        <w:rPr>
          <w:rStyle w:val="Refdenotaalpie"/>
          <w:rFonts w:ascii="Verdana" w:hAnsi="Verdana" w:cs="Arial"/>
          <w:sz w:val="22"/>
        </w:rPr>
        <w:footnoteReference w:id="9"/>
      </w:r>
      <w:r w:rsidRPr="00905A2C">
        <w:rPr>
          <w:rFonts w:ascii="Verdana" w:hAnsi="Verdana" w:cs="Arial"/>
          <w:sz w:val="22"/>
        </w:rPr>
        <w:t xml:space="preserve">. Así mismo, en todos los casos deberán informarse al funcionario designado como supervisor. </w:t>
      </w:r>
    </w:p>
    <w:p w14:paraId="64FC970D" w14:textId="3A4B62F4" w:rsidR="004D4217" w:rsidRPr="00905A2C" w:rsidRDefault="006B653E" w:rsidP="004D4217">
      <w:pPr>
        <w:pStyle w:val="Sinespaciado"/>
        <w:spacing w:after="120" w:line="276" w:lineRule="auto"/>
        <w:ind w:firstLine="709"/>
        <w:jc w:val="both"/>
        <w:rPr>
          <w:rFonts w:ascii="Verdana" w:hAnsi="Verdana" w:cs="Arial"/>
          <w:sz w:val="22"/>
        </w:rPr>
      </w:pPr>
      <w:r w:rsidRPr="00BD2614">
        <w:rPr>
          <w:rFonts w:ascii="Verdana" w:hAnsi="Verdana" w:cs="Arial"/>
          <w:sz w:val="22"/>
        </w:rPr>
        <w:t>En relaci</w:t>
      </w:r>
      <w:r w:rsidRPr="00507572">
        <w:rPr>
          <w:rFonts w:ascii="Verdana" w:hAnsi="Verdana" w:cs="Arial"/>
          <w:sz w:val="22"/>
        </w:rPr>
        <w:t xml:space="preserve">ón con el primer problema juridico, debe señalarse que, </w:t>
      </w:r>
      <w:r w:rsidRPr="00990725">
        <w:rPr>
          <w:rFonts w:ascii="Verdana" w:hAnsi="Verdana" w:cs="Arial"/>
          <w:sz w:val="22"/>
        </w:rPr>
        <w:t>la</w:t>
      </w:r>
      <w:r w:rsidR="004D4217" w:rsidRPr="00905A2C">
        <w:rPr>
          <w:rFonts w:ascii="Verdana" w:hAnsi="Verdana" w:cs="Arial"/>
          <w:sz w:val="22"/>
        </w:rPr>
        <w:t xml:space="preserve"> comunicación de la designación de un funcionario como supervisor siempre debe ser escrita, entendiéndose también como tal la que se hace a través de correo electrónico. En el evento en que la designación del supervisor se haga directamente en el </w:t>
      </w:r>
      <w:r w:rsidR="00230116" w:rsidRPr="00990725">
        <w:rPr>
          <w:rFonts w:ascii="Verdana" w:hAnsi="Verdana" w:cs="Arial"/>
          <w:sz w:val="22"/>
        </w:rPr>
        <w:t xml:space="preserve">pliego de condiciones o documentos equivalente, o en el </w:t>
      </w:r>
      <w:r w:rsidR="004D4217" w:rsidRPr="00905A2C">
        <w:rPr>
          <w:rFonts w:ascii="Verdana" w:hAnsi="Verdana" w:cs="Arial"/>
          <w:sz w:val="22"/>
        </w:rPr>
        <w:t xml:space="preserve">contrato, debe enviarse copia </w:t>
      </w:r>
      <w:proofErr w:type="gramStart"/>
      <w:r w:rsidR="004D4217" w:rsidRPr="00905A2C">
        <w:rPr>
          <w:rFonts w:ascii="Verdana" w:hAnsi="Verdana" w:cs="Arial"/>
          <w:sz w:val="22"/>
        </w:rPr>
        <w:t>del mismo</w:t>
      </w:r>
      <w:proofErr w:type="gramEnd"/>
      <w:r w:rsidR="004D4217" w:rsidRPr="00905A2C">
        <w:rPr>
          <w:rFonts w:ascii="Verdana" w:hAnsi="Verdana" w:cs="Arial"/>
          <w:sz w:val="22"/>
        </w:rPr>
        <w:t xml:space="preserve"> al funcionario designado informando que va a ser el supervisor. Así mismo, en los procesos adelantados a través de la plataforma SECOP II se debe realizar la designación a través de </w:t>
      </w:r>
      <w:proofErr w:type="gramStart"/>
      <w:r w:rsidR="004D4217" w:rsidRPr="00905A2C">
        <w:rPr>
          <w:rFonts w:ascii="Verdana" w:hAnsi="Verdana" w:cs="Arial"/>
          <w:sz w:val="22"/>
        </w:rPr>
        <w:t>la misma</w:t>
      </w:r>
      <w:proofErr w:type="gramEnd"/>
      <w:r w:rsidR="004D4217" w:rsidRPr="00905A2C">
        <w:rPr>
          <w:rFonts w:ascii="Verdana" w:hAnsi="Verdana" w:cs="Arial"/>
          <w:sz w:val="22"/>
        </w:rPr>
        <w:t xml:space="preserve">.  </w:t>
      </w:r>
    </w:p>
    <w:p w14:paraId="493BBE0A" w14:textId="62431C48" w:rsidR="004D4217" w:rsidRDefault="004D4217" w:rsidP="00990725">
      <w:pPr>
        <w:pStyle w:val="Sinespaciado"/>
        <w:spacing w:line="276" w:lineRule="auto"/>
        <w:ind w:firstLine="709"/>
        <w:jc w:val="both"/>
        <w:rPr>
          <w:rFonts w:ascii="Verdana" w:hAnsi="Verdana" w:cs="Arial"/>
          <w:sz w:val="22"/>
        </w:rPr>
      </w:pPr>
      <w:r w:rsidRPr="00905A2C">
        <w:rPr>
          <w:rFonts w:ascii="Verdana" w:hAnsi="Verdana" w:cs="Arial"/>
          <w:sz w:val="22"/>
        </w:rPr>
        <w:t>Finalmente, se recomienda que la designación del supervisor de un contrato se realice a más tardar al final de la audiencia de adjudicación, cuando el Proceso de Contratación es competitivo o en la fecha de la firma del contrato en los demás Procesos de Contratación. No obstante, es importante resaltar que la Entidad Estatal puede designar el supervisor en cualquier momento del Proceso de Contratación una vez iniciada la etapa de planeación.</w:t>
      </w:r>
    </w:p>
    <w:p w14:paraId="43A0E26D" w14:textId="77777777" w:rsidR="00990725" w:rsidRPr="00990725" w:rsidRDefault="00990725" w:rsidP="00A057CE">
      <w:pPr>
        <w:pStyle w:val="Sinespaciado"/>
        <w:spacing w:line="276" w:lineRule="auto"/>
        <w:ind w:firstLine="709"/>
        <w:jc w:val="both"/>
        <w:rPr>
          <w:rFonts w:ascii="Verdana" w:hAnsi="Verdana" w:cs="Arial"/>
          <w:sz w:val="22"/>
        </w:rPr>
      </w:pPr>
    </w:p>
    <w:p w14:paraId="6A5AB016" w14:textId="77777777" w:rsidR="0076421D" w:rsidRDefault="004D4217" w:rsidP="00A057CE">
      <w:pPr>
        <w:spacing w:after="120" w:line="276" w:lineRule="auto"/>
        <w:jc w:val="both"/>
        <w:rPr>
          <w:rFonts w:ascii="Verdana" w:eastAsia="Calibri" w:hAnsi="Verdana" w:cs="Arial"/>
          <w:color w:val="000000"/>
          <w:lang w:val="es-ES"/>
        </w:rPr>
      </w:pPr>
      <w:proofErr w:type="spellStart"/>
      <w:r>
        <w:rPr>
          <w:rFonts w:ascii="Verdana" w:hAnsi="Verdana" w:cs="Arial"/>
        </w:rPr>
        <w:t>ii</w:t>
      </w:r>
      <w:proofErr w:type="spellEnd"/>
      <w:r>
        <w:rPr>
          <w:rFonts w:ascii="Verdana" w:hAnsi="Verdana" w:cs="Arial"/>
        </w:rPr>
        <w:t xml:space="preserve">) Derivado de lo anterior y teniendo en cuenta que la designación de supervisión debe efectuarse de manera escrita, entendiendo </w:t>
      </w:r>
      <w:r w:rsidR="005A2FA3">
        <w:rPr>
          <w:rFonts w:ascii="Verdana" w:hAnsi="Verdana" w:cs="Arial"/>
        </w:rPr>
        <w:t>que</w:t>
      </w:r>
      <w:r w:rsidRPr="005A2FA3">
        <w:rPr>
          <w:rFonts w:ascii="Verdana" w:hAnsi="Verdana" w:cs="Arial"/>
        </w:rPr>
        <w:t xml:space="preserve"> </w:t>
      </w:r>
      <w:r>
        <w:rPr>
          <w:rFonts w:ascii="Verdana" w:hAnsi="Verdana" w:cs="Arial"/>
        </w:rPr>
        <w:t xml:space="preserve">tal situación </w:t>
      </w:r>
      <w:r w:rsidR="005A2FA3">
        <w:rPr>
          <w:rFonts w:ascii="Verdana" w:hAnsi="Verdana" w:cs="Arial"/>
        </w:rPr>
        <w:t>se cumple</w:t>
      </w:r>
      <w:r w:rsidRPr="005A2FA3">
        <w:rPr>
          <w:rFonts w:ascii="Verdana" w:hAnsi="Verdana" w:cs="Arial"/>
        </w:rPr>
        <w:t xml:space="preserve"> </w:t>
      </w:r>
      <w:r>
        <w:rPr>
          <w:rFonts w:ascii="Verdana" w:hAnsi="Verdana" w:cs="Arial"/>
        </w:rPr>
        <w:t xml:space="preserve">bien sea mediante comunicación o incluso a través de correo electrónico, la designación mediante SECOP II no reemplaza la primera. La designación a través de SECOP II permite que el supervisor del contrato ejerza de manera transaccional las operaciones y actividades contractuales necesarias para el seguimiento y control del contrato supervisado, de esta manera, el supervisor </w:t>
      </w:r>
      <w:proofErr w:type="gramStart"/>
      <w:r>
        <w:rPr>
          <w:rFonts w:ascii="Verdana" w:hAnsi="Verdana" w:cs="Arial"/>
        </w:rPr>
        <w:t>podría</w:t>
      </w:r>
      <w:proofErr w:type="gramEnd"/>
      <w:r>
        <w:rPr>
          <w:rFonts w:ascii="Verdana" w:hAnsi="Verdana" w:cs="Arial"/>
        </w:rPr>
        <w:t xml:space="preserve"> por ejemplo, </w:t>
      </w:r>
      <w:r w:rsidRPr="00D83DE6">
        <w:rPr>
          <w:rFonts w:ascii="Verdana" w:eastAsia="Calibri" w:hAnsi="Verdana" w:cs="Arial"/>
          <w:color w:val="000000"/>
          <w:lang w:val="es-ES"/>
        </w:rPr>
        <w:t xml:space="preserve">realizar la revisión y aprobación </w:t>
      </w:r>
      <w:r>
        <w:rPr>
          <w:rFonts w:ascii="Verdana" w:eastAsia="Calibri" w:hAnsi="Verdana" w:cs="Arial"/>
          <w:color w:val="000000"/>
          <w:lang w:val="es-ES"/>
        </w:rPr>
        <w:t>de garantías y facturas</w:t>
      </w:r>
      <w:r w:rsidRPr="00D83DE6">
        <w:rPr>
          <w:rFonts w:ascii="Verdana" w:eastAsia="Calibri" w:hAnsi="Verdana" w:cs="Arial"/>
          <w:color w:val="000000"/>
          <w:lang w:val="es-ES"/>
        </w:rPr>
        <w:t xml:space="preserve">. Además, el módulo permite hacer modificaciones contractuales, tanto unilaterales como bilaterales –estas últimas son enviadas para aprobación del proveedor antes de la publicación por parte de la entidad estatal–. </w:t>
      </w:r>
    </w:p>
    <w:p w14:paraId="13F66A31" w14:textId="0BB54565" w:rsidR="004D4217" w:rsidRDefault="004D4217" w:rsidP="00A057CE">
      <w:pPr>
        <w:spacing w:after="0" w:line="276" w:lineRule="auto"/>
        <w:ind w:firstLine="708"/>
        <w:jc w:val="both"/>
        <w:rPr>
          <w:rFonts w:ascii="Verdana" w:eastAsia="Calibri" w:hAnsi="Verdana" w:cs="Arial"/>
          <w:color w:val="000000"/>
          <w:lang w:val="es-ES"/>
        </w:rPr>
      </w:pPr>
      <w:r w:rsidRPr="00D83DE6">
        <w:rPr>
          <w:rFonts w:ascii="Verdana" w:eastAsia="Calibri" w:hAnsi="Verdana" w:cs="Arial"/>
          <w:color w:val="000000"/>
          <w:lang w:val="es-ES"/>
        </w:rPr>
        <w:t xml:space="preserve">Para registrar el seguimiento al avance de la ejecución, el módulo de gestión contractual habilita el registro de planes de ejecución por porcentaje de avance y el cargue de documentos tanto a proveedor como a la </w:t>
      </w:r>
      <w:r w:rsidR="0076421D">
        <w:rPr>
          <w:rFonts w:ascii="Verdana" w:eastAsia="Calibri" w:hAnsi="Verdana" w:cs="Arial"/>
          <w:color w:val="000000"/>
          <w:lang w:val="es-ES"/>
        </w:rPr>
        <w:t>E</w:t>
      </w:r>
      <w:r w:rsidRPr="0076421D">
        <w:rPr>
          <w:rFonts w:ascii="Verdana" w:eastAsia="Calibri" w:hAnsi="Verdana" w:cs="Arial"/>
          <w:color w:val="000000"/>
          <w:lang w:val="es-ES"/>
        </w:rPr>
        <w:t xml:space="preserve">ntidad </w:t>
      </w:r>
      <w:r w:rsidR="0076421D">
        <w:rPr>
          <w:rFonts w:ascii="Verdana" w:eastAsia="Calibri" w:hAnsi="Verdana" w:cs="Arial"/>
          <w:color w:val="000000"/>
          <w:lang w:val="es-ES"/>
        </w:rPr>
        <w:t>E</w:t>
      </w:r>
      <w:r w:rsidRPr="00D83DE6">
        <w:rPr>
          <w:rFonts w:ascii="Verdana" w:eastAsia="Calibri" w:hAnsi="Verdana" w:cs="Arial"/>
          <w:color w:val="000000"/>
          <w:lang w:val="es-ES"/>
        </w:rPr>
        <w:t>statal, la cual puede crear usuarios para que los supervisores de los contratos carguen la información pertinente. Finalmente, la liquidación y el cierre de los expedientes contractuales también puede realizarse a través del SECOP II. Es de destacar que la plataforma tiene un módulo de búsqueda pública que permite a los ciudadanos y entes de control revisar el avance en tiempo real de cualquier contrato realizado a través del SECOP II, sin necesidad de tener usuarios creados en la plataforma</w:t>
      </w:r>
      <w:r>
        <w:rPr>
          <w:rFonts w:ascii="Verdana" w:eastAsia="Calibri" w:hAnsi="Verdana" w:cs="Arial"/>
          <w:color w:val="000000"/>
          <w:lang w:val="es-ES"/>
        </w:rPr>
        <w:t>.</w:t>
      </w:r>
    </w:p>
    <w:p w14:paraId="0F56E298" w14:textId="77777777" w:rsidR="00990725" w:rsidRPr="00990725" w:rsidRDefault="00990725" w:rsidP="00A057CE">
      <w:pPr>
        <w:spacing w:after="0" w:line="240" w:lineRule="auto"/>
        <w:jc w:val="both"/>
        <w:rPr>
          <w:rFonts w:ascii="Verdana" w:eastAsia="Calibri" w:hAnsi="Verdana" w:cs="Arial"/>
          <w:color w:val="000000"/>
          <w:lang w:val="es-ES"/>
        </w:rPr>
      </w:pPr>
    </w:p>
    <w:p w14:paraId="6F548422" w14:textId="77777777" w:rsidR="004D4217" w:rsidRPr="00416545" w:rsidRDefault="004D4217" w:rsidP="004D4217">
      <w:pPr>
        <w:spacing w:after="120" w:line="276" w:lineRule="auto"/>
        <w:jc w:val="both"/>
        <w:rPr>
          <w:rFonts w:ascii="Verdana" w:eastAsia="Calibri" w:hAnsi="Verdana" w:cs="Arial"/>
          <w:bCs/>
          <w:color w:val="000000"/>
        </w:rPr>
      </w:pPr>
      <w:proofErr w:type="spellStart"/>
      <w:r>
        <w:rPr>
          <w:rFonts w:ascii="Verdana" w:eastAsia="Calibri" w:hAnsi="Verdana" w:cs="Arial"/>
          <w:color w:val="000000"/>
          <w:lang w:val="es-ES"/>
        </w:rPr>
        <w:t>iii</w:t>
      </w:r>
      <w:proofErr w:type="spellEnd"/>
      <w:r>
        <w:rPr>
          <w:rFonts w:ascii="Verdana" w:eastAsia="Calibri" w:hAnsi="Verdana" w:cs="Arial"/>
          <w:color w:val="000000"/>
          <w:lang w:val="es-ES"/>
        </w:rPr>
        <w:t>) En relación con el tercer problema jurídico, el</w:t>
      </w:r>
      <w:r w:rsidRPr="00416545">
        <w:rPr>
          <w:rFonts w:ascii="Verdana" w:eastAsia="Calibri" w:hAnsi="Verdana" w:cs="Arial"/>
          <w:bCs/>
          <w:color w:val="000000"/>
        </w:rPr>
        <w:t xml:space="preserve"> artículo 2.2.1.1.2.2.3 del Decreto 1082 de 2015</w:t>
      </w:r>
      <w:r>
        <w:rPr>
          <w:rFonts w:ascii="Verdana" w:eastAsia="Calibri" w:hAnsi="Verdana" w:cs="Arial"/>
          <w:bCs/>
          <w:color w:val="000000"/>
        </w:rPr>
        <w:t xml:space="preserve"> dispone que</w:t>
      </w:r>
      <w:r w:rsidRPr="00416545">
        <w:rPr>
          <w:rFonts w:ascii="Verdana" w:eastAsia="Calibri" w:hAnsi="Verdana" w:cs="Arial"/>
          <w:bCs/>
          <w:color w:val="000000"/>
        </w:rPr>
        <w:t xml:space="preserve"> “La entidad Estatal puede designar un comité evaluador conformado por servidores públicos o por particulares contratados para el efecto, para evaluar las ofertas y las manifestaciones de interés para cada Proceso de Contratación por licitación, selección abreviada y concurso de méritos </w:t>
      </w:r>
      <w:r>
        <w:rPr>
          <w:rFonts w:ascii="Verdana" w:eastAsia="Calibri" w:hAnsi="Verdana" w:cs="Arial"/>
          <w:bCs/>
          <w:color w:val="000000"/>
        </w:rPr>
        <w:t>(…)</w:t>
      </w:r>
      <w:r w:rsidRPr="00416545">
        <w:rPr>
          <w:rFonts w:ascii="Verdana" w:eastAsia="Calibri" w:hAnsi="Verdana" w:cs="Arial"/>
          <w:bCs/>
          <w:color w:val="000000"/>
        </w:rPr>
        <w:t>”.</w:t>
      </w:r>
    </w:p>
    <w:p w14:paraId="185DFE3F" w14:textId="2DA0DC32" w:rsidR="004D4217" w:rsidRPr="00416545" w:rsidRDefault="004D4217" w:rsidP="004D4217">
      <w:pPr>
        <w:spacing w:after="120" w:line="276" w:lineRule="auto"/>
        <w:ind w:firstLine="709"/>
        <w:jc w:val="both"/>
        <w:rPr>
          <w:rFonts w:ascii="Verdana" w:eastAsia="Calibri" w:hAnsi="Verdana" w:cs="Arial"/>
          <w:bCs/>
          <w:color w:val="000000"/>
        </w:rPr>
      </w:pPr>
      <w:r w:rsidRPr="00416545">
        <w:rPr>
          <w:rFonts w:ascii="Verdana" w:eastAsia="Calibri" w:hAnsi="Verdana" w:cs="Arial"/>
          <w:bCs/>
          <w:color w:val="000000"/>
        </w:rPr>
        <w:t xml:space="preserve">Como se observa, la norma mencionada permite que las Entidades Estatales sometidas al </w:t>
      </w:r>
      <w:r w:rsidR="000F5961">
        <w:rPr>
          <w:rFonts w:ascii="Verdana" w:eastAsia="Calibri" w:hAnsi="Verdana" w:cs="Arial"/>
          <w:bCs/>
          <w:color w:val="000000"/>
        </w:rPr>
        <w:t>EGCAP</w:t>
      </w:r>
      <w:r w:rsidRPr="00416545">
        <w:rPr>
          <w:rFonts w:ascii="Verdana" w:eastAsia="Calibri" w:hAnsi="Verdana" w:cs="Arial"/>
          <w:bCs/>
          <w:color w:val="000000"/>
        </w:rPr>
        <w:t xml:space="preserve"> puedan constituir un comité evaluador de ofertas y de manifestaciones de interés</w:t>
      </w:r>
      <w:r w:rsidRPr="00416545">
        <w:rPr>
          <w:rFonts w:ascii="Verdana" w:eastAsia="Calibri" w:hAnsi="Verdana" w:cs="Arial"/>
          <w:bCs/>
          <w:color w:val="000000"/>
          <w:vertAlign w:val="superscript"/>
        </w:rPr>
        <w:footnoteReference w:id="10"/>
      </w:r>
      <w:r w:rsidRPr="00416545">
        <w:rPr>
          <w:rFonts w:ascii="Verdana" w:eastAsia="Calibri" w:hAnsi="Verdana" w:cs="Arial"/>
          <w:bCs/>
          <w:color w:val="000000"/>
        </w:rPr>
        <w:t xml:space="preserve">, que podrá estar conformado bien sea por servidores públicos o particulares contratados para tal finalidad o por ambos. En ese sentido, respecto de la creación del comité evaluador, debe aclararse, que al establecer la norma el verbo “podrá”, se infiere que las Entidades Estatales de acuerdo con sus funciones y organización interna, así como con la naturaleza y complejidad del contrato que pretendan celebrar, entre otros aspectos, definirán si es o no necesaria la constitución de dicho organismo, ya que, como se observa, esto no acarrea una obligación. </w:t>
      </w:r>
    </w:p>
    <w:p w14:paraId="68EF6DF5" w14:textId="77777777" w:rsidR="004D4217" w:rsidRDefault="004D4217" w:rsidP="004D4217">
      <w:pPr>
        <w:spacing w:after="120" w:line="276" w:lineRule="auto"/>
        <w:ind w:firstLine="709"/>
        <w:jc w:val="both"/>
        <w:rPr>
          <w:rFonts w:ascii="Verdana" w:eastAsia="Calibri" w:hAnsi="Verdana" w:cs="Arial"/>
          <w:bCs/>
          <w:color w:val="000000"/>
        </w:rPr>
      </w:pPr>
      <w:r w:rsidRPr="00416545">
        <w:rPr>
          <w:rFonts w:ascii="Verdana" w:eastAsia="Calibri" w:hAnsi="Verdana" w:cs="Arial"/>
          <w:bCs/>
          <w:color w:val="000000"/>
        </w:rPr>
        <w:t>Ahora bien, es necesario advertir, que el artículo 2.2.1.1.2.2.3 del Decreto 1082 de 2015 mediante el cual se les otorga tal facultad, permite que las Entidades Estatales determinen ciertos elementos en relación con el comité de evaluación que decidan constituir. Por ello, aspectos como el número de miembros, las calidades o profesiones de cada uno, la determinación de los procesos de selección en los cuales dicho comité se conformará, o la definición de factores como la cuantía u objeto contractual para la misma finalidad, entre otros, son aspectos que, en la medida que la norma guarde silencio, le corresponderá a las Entidades definir para cada proceso, en sus respectivos manuales de contratación. Situación esta, que se refleja en la definición de las condiciones que deberían observar las Entidades Estatales al momento de asignar las funciones o actividades a desempeñar por parte de los miembros de dichos comités, pues la norma en mención, no se refirió sobre este aspecto, por lo que le corresponderá a la Entidad, según la particularidad del asunto, determinarlo.</w:t>
      </w:r>
    </w:p>
    <w:p w14:paraId="445A3D40" w14:textId="77777777" w:rsidR="004D4217" w:rsidRDefault="004D4217" w:rsidP="004D4217">
      <w:pPr>
        <w:spacing w:after="120" w:line="276" w:lineRule="auto"/>
        <w:ind w:firstLine="709"/>
        <w:jc w:val="both"/>
        <w:rPr>
          <w:rFonts w:ascii="Verdana" w:eastAsia="Calibri" w:hAnsi="Verdana" w:cs="Arial"/>
          <w:bCs/>
          <w:color w:val="000000"/>
        </w:rPr>
      </w:pPr>
      <w:r w:rsidRPr="00416545">
        <w:rPr>
          <w:rFonts w:ascii="Verdana" w:eastAsia="Calibri" w:hAnsi="Verdana" w:cs="Arial"/>
          <w:bCs/>
          <w:color w:val="000000"/>
        </w:rPr>
        <w:t>Sobre el particular, la Sala de Consulta y Servicio Civil del Consejo de Estado ha considerado que la realización de la evaluación y la elaboración del informe correspondiente por parte de los comités es una de las actividades desconcentradas a las que alude el parágrafo del artículo 21 de la Ley 1150 de 2007</w:t>
      </w:r>
      <w:r w:rsidRPr="00416545">
        <w:rPr>
          <w:rFonts w:ascii="Verdana" w:eastAsia="Calibri" w:hAnsi="Verdana" w:cs="Arial"/>
          <w:bCs/>
          <w:color w:val="000000"/>
          <w:vertAlign w:val="superscript"/>
        </w:rPr>
        <w:footnoteReference w:id="11"/>
      </w:r>
      <w:r w:rsidRPr="00416545">
        <w:rPr>
          <w:rFonts w:ascii="Verdana" w:eastAsia="Calibri" w:hAnsi="Verdana" w:cs="Arial"/>
          <w:bCs/>
          <w:color w:val="000000"/>
        </w:rPr>
        <w:t>. La norma citada dispone que “</w:t>
      </w:r>
      <w:r>
        <w:rPr>
          <w:rFonts w:ascii="Verdana" w:eastAsia="Calibri" w:hAnsi="Verdana" w:cs="Arial"/>
          <w:bCs/>
          <w:color w:val="000000"/>
        </w:rPr>
        <w:t xml:space="preserve">(…) </w:t>
      </w:r>
      <w:r w:rsidRPr="00416545">
        <w:rPr>
          <w:rFonts w:ascii="Verdana" w:eastAsia="Calibri" w:hAnsi="Verdana" w:cs="Arial"/>
          <w:bCs/>
          <w:color w:val="000000"/>
        </w:rPr>
        <w:t xml:space="preserve">se entiende por desconcentración la distribución adecuada del trabajo que realiza el jefe o representante legal de la entidad, sin que ello implique autonomía administrativa en su ejercicio </w:t>
      </w:r>
      <w:r>
        <w:rPr>
          <w:rFonts w:ascii="Verdana" w:eastAsia="Calibri" w:hAnsi="Verdana" w:cs="Arial"/>
          <w:bCs/>
          <w:color w:val="000000"/>
        </w:rPr>
        <w:t>(…)</w:t>
      </w:r>
      <w:r w:rsidRPr="00416545">
        <w:rPr>
          <w:rFonts w:ascii="Verdana" w:eastAsia="Calibri" w:hAnsi="Verdana" w:cs="Arial"/>
          <w:bCs/>
          <w:color w:val="000000"/>
        </w:rPr>
        <w:t xml:space="preserve">”.  </w:t>
      </w:r>
    </w:p>
    <w:p w14:paraId="54EC93A5" w14:textId="77777777" w:rsidR="004D4217" w:rsidRDefault="004D4217" w:rsidP="004D4217">
      <w:pPr>
        <w:spacing w:after="120" w:line="276" w:lineRule="auto"/>
        <w:ind w:firstLine="709"/>
        <w:jc w:val="both"/>
        <w:rPr>
          <w:rFonts w:ascii="Verdana" w:eastAsia="Calibri" w:hAnsi="Verdana" w:cs="Arial"/>
          <w:bCs/>
          <w:color w:val="000000"/>
        </w:rPr>
      </w:pPr>
      <w:r w:rsidRPr="00416545">
        <w:rPr>
          <w:rFonts w:ascii="Verdana" w:eastAsia="Calibri" w:hAnsi="Verdana" w:cs="Arial"/>
          <w:bCs/>
          <w:color w:val="000000"/>
        </w:rPr>
        <w:t>De esta manera, no puede perderse de vista que la finalidad del comité evaluador, según la norma en comento, es la de evaluar las ofertas y manifestación de interés, así como el ejercer todas las actividades y prerrogativas que se deriven o se hagan necesarias para el cumplimiento de dicha función. La evaluación que realizan se materializa a través de la emisión de un concepto o dictamen o informe, que deberá elaborarse y presentarse tanto al ordenador del gasto, como a los demás interesados en el Proceso de Contratación bajo las condiciones y plazos previamente definidos por la Entidad Estatal, a través del Sistema Electrónico para la Contratación Pública – SECOP.</w:t>
      </w:r>
    </w:p>
    <w:p w14:paraId="12E90127" w14:textId="77777777" w:rsidR="004D4217" w:rsidRDefault="004D4217" w:rsidP="004D4217">
      <w:pPr>
        <w:spacing w:after="120" w:line="276" w:lineRule="auto"/>
        <w:ind w:firstLine="709"/>
        <w:jc w:val="both"/>
        <w:rPr>
          <w:rFonts w:ascii="Verdana" w:eastAsia="Calibri" w:hAnsi="Verdana" w:cs="Arial"/>
          <w:bCs/>
          <w:color w:val="000000"/>
        </w:rPr>
      </w:pPr>
      <w:r w:rsidRPr="00416545">
        <w:rPr>
          <w:rFonts w:ascii="Verdana" w:eastAsia="Calibri" w:hAnsi="Verdana" w:cs="Arial"/>
          <w:color w:val="000000"/>
          <w:lang w:val="es-ES_tradnl"/>
        </w:rPr>
        <w:t>No obstante, el comité evaluador en el informe de evaluación tan solo recomienda, pero no decide ni adjudica, toda vez que estas facultades la ley las reserva al jefe o representante legal de la entidad y ordenador del gasto. En efecto, como lo ha señalado en forma pacífica y reiterada el Consejo de Estado, este documento es un acto de trámite, preparatorio y no definitivo, puesto que no contiene una decisión de fondo, función que corresponde únicamente al ordenador del gasto, razón por la cual no lo vincula</w:t>
      </w:r>
      <w:r w:rsidRPr="00416545">
        <w:rPr>
          <w:rFonts w:ascii="Verdana" w:eastAsia="Calibri" w:hAnsi="Verdana" w:cs="Arial"/>
          <w:color w:val="000000"/>
          <w:vertAlign w:val="superscript"/>
          <w:lang w:val="es-ES_tradnl"/>
        </w:rPr>
        <w:footnoteReference w:id="12"/>
      </w:r>
      <w:r w:rsidRPr="00416545">
        <w:rPr>
          <w:rFonts w:ascii="Verdana" w:eastAsia="Calibri" w:hAnsi="Verdana" w:cs="Arial"/>
          <w:color w:val="000000"/>
          <w:lang w:val="es-ES_tradnl"/>
        </w:rPr>
        <w:t>. Es así como el artículo 2.2.1.1.2.2.3 del Decreto 1082 de 2015 permite que la Entidad Estatal a través del ordenador del gasto se separare del concepto emitido por el comité evaluador y no acoja sus recomendaciones, en cuyo caso deberá justificar completa y correctamente su decisión.</w:t>
      </w:r>
    </w:p>
    <w:p w14:paraId="0FDDF157" w14:textId="77777777" w:rsidR="004D4217" w:rsidRPr="00416545" w:rsidRDefault="004D4217" w:rsidP="004D4217">
      <w:pPr>
        <w:spacing w:after="120" w:line="276" w:lineRule="auto"/>
        <w:ind w:firstLine="709"/>
        <w:jc w:val="both"/>
        <w:rPr>
          <w:rFonts w:ascii="Verdana" w:eastAsia="Calibri" w:hAnsi="Verdana" w:cs="Arial"/>
          <w:bCs/>
          <w:color w:val="000000"/>
        </w:rPr>
      </w:pPr>
      <w:r w:rsidRPr="00416545">
        <w:rPr>
          <w:rFonts w:ascii="Verdana" w:eastAsia="Calibri" w:hAnsi="Verdana" w:cs="Arial"/>
          <w:color w:val="000000"/>
          <w:lang w:val="es-ES_tradnl"/>
        </w:rPr>
        <w:t>En relación con el carácter no vinculante del concepto o dictamen emitido por el comité evaluador, el Consejo de Estado ha considerado que el informe por parte de los comités asesores no es obligatorio para el órgano competente al momento de adjudicar “y, por el contrario, éste puede separarse y resolver en sentido diferente por encontrar errores que afecten los resultados en él consignados, aun cuando debe exponer razonadamente la motivación del apartamiento, con el fin de que la decisión no adolezca de nulidad por insuficiencia de motivación, tal y como lo ha manifestado de tiempo atrás la jurisprudencia”</w:t>
      </w:r>
      <w:r w:rsidRPr="00416545">
        <w:rPr>
          <w:rFonts w:ascii="Verdana" w:eastAsia="Calibri" w:hAnsi="Verdana" w:cs="Arial"/>
          <w:color w:val="000000"/>
          <w:vertAlign w:val="superscript"/>
          <w:lang w:val="es-ES_tradnl"/>
        </w:rPr>
        <w:footnoteReference w:id="13"/>
      </w:r>
      <w:r w:rsidRPr="00416545">
        <w:rPr>
          <w:rFonts w:ascii="Verdana" w:eastAsia="Calibri" w:hAnsi="Verdana" w:cs="Arial"/>
          <w:color w:val="000000"/>
          <w:lang w:val="es-ES_tradnl"/>
        </w:rPr>
        <w:t xml:space="preserve">. </w:t>
      </w:r>
    </w:p>
    <w:p w14:paraId="5080449C" w14:textId="77777777" w:rsidR="004D4217" w:rsidRDefault="004D4217" w:rsidP="004D4217">
      <w:pPr>
        <w:spacing w:after="120" w:line="276" w:lineRule="auto"/>
        <w:ind w:firstLine="709"/>
        <w:jc w:val="both"/>
        <w:rPr>
          <w:rFonts w:ascii="Verdana" w:eastAsia="Calibri" w:hAnsi="Verdana" w:cs="Arial"/>
          <w:color w:val="000000"/>
          <w:lang w:val="es-ES_tradnl"/>
        </w:rPr>
      </w:pPr>
      <w:r w:rsidRPr="00416545">
        <w:rPr>
          <w:rFonts w:ascii="Verdana" w:eastAsia="Calibri" w:hAnsi="Verdana" w:cs="Arial"/>
          <w:color w:val="000000"/>
          <w:lang w:val="es-ES_tradnl"/>
        </w:rPr>
        <w:t xml:space="preserve">En otras palabras, la existencia de un comité evaluador no significa que el representante legal quede despojado de la competencia para decidir, bien sea amparándose en las recomendaciones de aquel o apartándose de ellas </w:t>
      </w:r>
      <w:r w:rsidRPr="00416545">
        <w:rPr>
          <w:rFonts w:ascii="Verdana" w:eastAsia="Calibri" w:hAnsi="Verdana" w:cs="Arial"/>
          <w:color w:val="000000"/>
        </w:rPr>
        <w:t>cuando considere que éstos no acataron los principios que rigen la contratación estatal y las condiciones definidas en los pliegos de condiciones</w:t>
      </w:r>
      <w:r w:rsidRPr="00416545">
        <w:rPr>
          <w:rFonts w:ascii="Verdana" w:eastAsia="Calibri" w:hAnsi="Verdana" w:cs="Arial"/>
          <w:color w:val="000000"/>
          <w:lang w:val="es-ES_tradnl"/>
        </w:rPr>
        <w:t xml:space="preserve">. En ese sentido, el comité evaluador cumple una labor meramente asesora del funcionario o funcionarios encargados de tomar la decisión final frente a la adjudicación del contrato, rechazo de ofertas o declaratoria de desierta, teniendo en cuenta, entre otros aspectos, que de acuerdo al numeral 5 del artículo 26 de la Ley 80 de 1993, la responsabilidad en la dirección y manejo de la actividad contractual y de los procesos de selección estará en cabeza del jefe o representante de la entidad, “[…] quien no podrá trasladarla […] a los comités asesores”. </w:t>
      </w:r>
    </w:p>
    <w:p w14:paraId="63D502BD" w14:textId="77777777" w:rsidR="004D4217" w:rsidRDefault="004D4217" w:rsidP="004D4217">
      <w:pPr>
        <w:spacing w:after="120" w:line="276" w:lineRule="auto"/>
        <w:ind w:firstLine="709"/>
        <w:jc w:val="both"/>
        <w:rPr>
          <w:rFonts w:ascii="Verdana" w:eastAsia="Calibri" w:hAnsi="Verdana" w:cs="Arial"/>
          <w:color w:val="000000"/>
          <w:lang w:val="es-ES_tradnl"/>
        </w:rPr>
      </w:pPr>
      <w:r w:rsidRPr="00416545">
        <w:rPr>
          <w:rFonts w:ascii="Verdana" w:eastAsia="Calibri" w:hAnsi="Verdana" w:cs="Arial"/>
          <w:color w:val="000000"/>
          <w:lang w:val="es-ES_tradnl"/>
        </w:rPr>
        <w:t>Sin embargo, debe enfatizarse que el carácter asesor del comité no exime a sus miembros de las responsabilidades que correspondan, sino que, por el contrario, estos entrarán a responder por las recomendaciones erradas o incorrectamente fundamentadas que emitan, como dispone el citado artículo 2.2.1.1.2.2.3 del Decreto 1082 de 2015</w:t>
      </w:r>
      <w:r w:rsidRPr="00416545">
        <w:rPr>
          <w:rFonts w:ascii="Verdana" w:eastAsia="Calibri" w:hAnsi="Verdana" w:cs="Arial"/>
          <w:color w:val="000000"/>
          <w:vertAlign w:val="superscript"/>
          <w:lang w:val="es-ES_tradnl"/>
        </w:rPr>
        <w:footnoteReference w:id="14"/>
      </w:r>
      <w:r w:rsidRPr="00416545">
        <w:rPr>
          <w:rFonts w:ascii="Verdana" w:eastAsia="Calibri" w:hAnsi="Verdana" w:cs="Arial"/>
          <w:color w:val="000000"/>
          <w:lang w:val="es-ES_tradnl"/>
        </w:rPr>
        <w:t>. Finalmente, el carácter asesor y la calidad de servidores públicos o contratistas del Estado que pueden ostentar sus miembros no evita que unos y otros deban cumplir con el régimen de inhabilidades, incompatibilidades y de conflictos de interés previsto en la Constitución Política y las normas legales, como bien lo determina el inciso segundo del artículo 2.2.1.1.2.2.3. del Decreto 1082 de 2015.</w:t>
      </w:r>
    </w:p>
    <w:p w14:paraId="7DD70657" w14:textId="77777777" w:rsidR="004D4217" w:rsidRPr="0006141B" w:rsidRDefault="004D4217" w:rsidP="004D4217">
      <w:pPr>
        <w:spacing w:after="120" w:line="276" w:lineRule="auto"/>
        <w:ind w:firstLine="709"/>
        <w:jc w:val="both"/>
        <w:rPr>
          <w:rFonts w:ascii="Verdana" w:eastAsia="Calibri" w:hAnsi="Verdana" w:cs="Arial"/>
          <w:color w:val="000000"/>
          <w:lang w:val="es-ES_tradnl"/>
        </w:rPr>
      </w:pPr>
      <w:r w:rsidRPr="0006141B">
        <w:rPr>
          <w:rFonts w:ascii="Verdana" w:eastAsia="Calibri" w:hAnsi="Verdana" w:cs="Arial"/>
          <w:color w:val="000000"/>
          <w:lang w:val="es-ES_tradnl"/>
        </w:rPr>
        <w:t>Ahora bien</w:t>
      </w:r>
      <w:r>
        <w:rPr>
          <w:rFonts w:ascii="Verdana" w:eastAsia="Calibri" w:hAnsi="Verdana" w:cs="Arial"/>
          <w:color w:val="000000"/>
          <w:lang w:val="es-ES_tradnl"/>
        </w:rPr>
        <w:t>,</w:t>
      </w:r>
      <w:r w:rsidRPr="0006141B">
        <w:rPr>
          <w:rFonts w:ascii="Verdana" w:eastAsia="Times New Roman" w:hAnsi="Verdana" w:cs="Arial"/>
          <w:lang w:val="es-ES" w:eastAsia="es-ES"/>
          <w14:ligatures w14:val="standardContextual"/>
        </w:rPr>
        <w:t xml:space="preserve"> uno de los postulados más importantes de un Estado Social y Democrático de</w:t>
      </w:r>
      <w:r w:rsidRPr="003F20E6">
        <w:rPr>
          <w:rFonts w:ascii="Verdana" w:eastAsia="Times New Roman" w:hAnsi="Verdana" w:cs="Arial"/>
          <w:lang w:val="es-ES" w:eastAsia="es-ES"/>
          <w14:ligatures w14:val="standardContextual"/>
        </w:rPr>
        <w:t xml:space="preserve"> Derecho es el principio de </w:t>
      </w:r>
      <w:r w:rsidRPr="003F20E6">
        <w:rPr>
          <w:rFonts w:ascii="Verdana" w:eastAsia="Times New Roman" w:hAnsi="Verdana" w:cs="Arial"/>
          <w:i/>
          <w:iCs/>
          <w:lang w:val="es-ES" w:eastAsia="es-ES"/>
          <w14:ligatures w14:val="standardContextual"/>
        </w:rPr>
        <w:t>publicidad</w:t>
      </w:r>
      <w:r w:rsidRPr="003F20E6">
        <w:rPr>
          <w:rFonts w:ascii="Verdana" w:eastAsia="Times New Roman" w:hAnsi="Verdana" w:cs="Arial"/>
          <w:lang w:val="es-ES" w:eastAsia="es-ES"/>
          <w14:ligatures w14:val="standardContextual"/>
        </w:rPr>
        <w:t>, pues este permite que las actuaciones de las autoridades gocen de visibilidad. En tal sentido, la filosofía política ha indicado que la democracia “</w:t>
      </w:r>
      <w:r>
        <w:rPr>
          <w:rFonts w:ascii="Verdana" w:eastAsia="Times New Roman" w:hAnsi="Verdana" w:cs="Arial"/>
          <w:lang w:val="es-ES" w:eastAsia="es-ES"/>
          <w14:ligatures w14:val="standardContextual"/>
        </w:rPr>
        <w:t>(…)</w:t>
      </w:r>
      <w:r w:rsidRPr="003F20E6">
        <w:rPr>
          <w:rFonts w:ascii="Verdana" w:eastAsia="Times New Roman" w:hAnsi="Verdana" w:cs="Arial"/>
          <w:lang w:val="es-ES" w:eastAsia="es-ES"/>
          <w14:ligatures w14:val="standardContextual"/>
        </w:rPr>
        <w:t xml:space="preserve"> es idealmente el gobierno de un poder visible, es decir, el gobierno cuyos actos se realizan ante el público y bajo la supervisión de la opinión pública”</w:t>
      </w:r>
      <w:r w:rsidRPr="003F20E6">
        <w:rPr>
          <w:rFonts w:ascii="Verdana" w:eastAsia="Times New Roman" w:hAnsi="Verdana" w:cs="Arial"/>
          <w:vertAlign w:val="superscript"/>
          <w:lang w:val="es-ES" w:eastAsia="es-ES"/>
          <w14:ligatures w14:val="standardContextual"/>
        </w:rPr>
        <w:footnoteReference w:id="15"/>
      </w:r>
      <w:r w:rsidRPr="003F20E6">
        <w:rPr>
          <w:rFonts w:ascii="Verdana" w:eastAsia="Times New Roman" w:hAnsi="Verdana" w:cs="Arial"/>
          <w:lang w:val="es-ES" w:eastAsia="es-ES"/>
          <w14:ligatures w14:val="standardContextual"/>
        </w:rPr>
        <w:t xml:space="preserve">.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 la publicidad de las actuaciones de los poderes públicos. </w:t>
      </w:r>
    </w:p>
    <w:p w14:paraId="3D1B3735" w14:textId="77777777" w:rsidR="004D4217" w:rsidRPr="003F20E6" w:rsidRDefault="004D4217" w:rsidP="004D4217">
      <w:pPr>
        <w:spacing w:after="120" w:line="276" w:lineRule="auto"/>
        <w:ind w:firstLine="708"/>
        <w:jc w:val="both"/>
        <w:rPr>
          <w:rFonts w:ascii="Verdana" w:eastAsia="Times New Roman" w:hAnsi="Verdana" w:cs="Arial"/>
          <w:lang w:val="es-ES" w:eastAsia="es-ES"/>
          <w14:ligatures w14:val="standardContextual"/>
        </w:rPr>
      </w:pPr>
      <w:r w:rsidRPr="003F20E6">
        <w:rPr>
          <w:rFonts w:ascii="Verdana" w:eastAsia="Times New Roman" w:hAnsi="Verdana" w:cs="Arial"/>
          <w:lang w:val="es-ES" w:eastAsia="es-ES"/>
          <w14:ligatures w14:val="standardContextual"/>
        </w:rPr>
        <w:t xml:space="preserve">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5821D2FB" w14:textId="77777777" w:rsidR="004D4217" w:rsidRPr="003F20E6" w:rsidRDefault="004D4217" w:rsidP="004D4217">
      <w:pPr>
        <w:spacing w:after="120" w:line="276" w:lineRule="auto"/>
        <w:ind w:firstLine="709"/>
        <w:jc w:val="both"/>
        <w:rPr>
          <w:rFonts w:ascii="Verdana" w:eastAsia="Times New Roman" w:hAnsi="Verdana" w:cs="Arial"/>
          <w:lang w:val="es-ES_tradnl" w:eastAsia="es-ES_tradnl"/>
          <w14:ligatures w14:val="standardContextual"/>
        </w:rPr>
      </w:pPr>
      <w:r w:rsidRPr="003F20E6">
        <w:rPr>
          <w:rFonts w:ascii="Verdana" w:eastAsia="Times New Roman" w:hAnsi="Verdana" w:cs="Arial"/>
          <w:lang w:val="es-ES_tradnl" w:eastAsia="es-ES_tradnl"/>
          <w14:ligatures w14:val="standardContextual"/>
        </w:rPr>
        <w:t>El principio de publicidad impone a las autoridades administrativas el deber de dar a conocer sus actos, contratos y decisiones</w:t>
      </w:r>
      <w:r>
        <w:rPr>
          <w:rFonts w:ascii="Verdana" w:eastAsia="Times New Roman" w:hAnsi="Verdana" w:cs="Arial"/>
          <w:lang w:val="es-ES_tradnl" w:eastAsia="es-ES_tradnl"/>
          <w14:ligatures w14:val="standardContextual"/>
        </w:rPr>
        <w:t>,</w:t>
      </w:r>
      <w:r w:rsidRPr="003F20E6">
        <w:rPr>
          <w:rFonts w:ascii="Verdana" w:eastAsia="Times New Roman" w:hAnsi="Verdana" w:cs="Arial"/>
          <w:lang w:val="es-ES_tradnl" w:eastAsia="es-ES_tradnl"/>
          <w14:ligatures w14:val="standardContextual"/>
        </w:rPr>
        <w:t xml:space="preserve"> para que se divulguen y eventualmente se controlen. </w:t>
      </w:r>
      <w:r>
        <w:rPr>
          <w:rFonts w:ascii="Verdana" w:eastAsia="Times New Roman" w:hAnsi="Verdana" w:cs="Arial"/>
          <w:lang w:val="es-ES_tradnl" w:eastAsia="es-ES_tradnl"/>
          <w14:ligatures w14:val="standardContextual"/>
        </w:rPr>
        <w:t>En sintonía con este postulado</w:t>
      </w:r>
      <w:r w:rsidRPr="003F20E6">
        <w:rPr>
          <w:rFonts w:ascii="Verdana" w:eastAsia="Times New Roman" w:hAnsi="Verdana" w:cs="Arial"/>
          <w:lang w:val="es-ES_tradnl" w:eastAsia="es-ES_tradnl"/>
          <w14:ligatures w14:val="standardContextual"/>
        </w:rPr>
        <w:t>,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r w:rsidRPr="003F20E6">
        <w:rPr>
          <w:rFonts w:ascii="Verdana" w:eastAsia="Times New Roman" w:hAnsi="Verdana" w:cs="Arial"/>
          <w:vertAlign w:val="superscript"/>
          <w:lang w:val="es-ES_tradnl" w:eastAsia="es-ES_tradnl"/>
          <w14:ligatures w14:val="standardContextual"/>
        </w:rPr>
        <w:footnoteReference w:id="16"/>
      </w:r>
      <w:r w:rsidRPr="003F20E6">
        <w:rPr>
          <w:rFonts w:ascii="Verdana" w:eastAsia="Times New Roman" w:hAnsi="Verdana" w:cs="Arial"/>
          <w:lang w:val="es-ES_tradnl" w:eastAsia="es-ES_tradnl"/>
          <w14:ligatures w14:val="standardContextual"/>
        </w:rPr>
        <w:t>.</w:t>
      </w:r>
    </w:p>
    <w:p w14:paraId="24A7C226" w14:textId="77777777" w:rsidR="004D4217" w:rsidRPr="000F5961" w:rsidRDefault="004D4217" w:rsidP="004D4217">
      <w:pPr>
        <w:spacing w:after="120" w:line="276" w:lineRule="auto"/>
        <w:ind w:firstLine="709"/>
        <w:jc w:val="both"/>
        <w:rPr>
          <w:rFonts w:ascii="Verdana" w:eastAsia="Times New Roman" w:hAnsi="Verdana" w:cs="Arial"/>
          <w:lang w:val="es-ES" w:eastAsia="es-ES"/>
          <w14:ligatures w14:val="standardContextual"/>
        </w:rPr>
      </w:pPr>
      <w:r w:rsidRPr="000F5961">
        <w:rPr>
          <w:rFonts w:ascii="Verdana" w:eastAsia="Times New Roman" w:hAnsi="Verdana" w:cs="Arial"/>
          <w:lang w:val="es-ES" w:eastAsia="es-ES"/>
          <w14:ligatures w14:val="standardContextual"/>
        </w:rPr>
        <w:t>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990725">
        <w:rPr>
          <w:rFonts w:ascii="Verdana" w:eastAsia="Times New Roman" w:hAnsi="Verdana" w:cs="Arial"/>
          <w:vertAlign w:val="superscript"/>
          <w:lang w:val="es-ES" w:eastAsia="es-ES"/>
          <w14:ligatures w14:val="standardContextual"/>
        </w:rPr>
        <w:footnoteReference w:id="17"/>
      </w:r>
      <w:r w:rsidRPr="00990725">
        <w:rPr>
          <w:rFonts w:ascii="Verdana" w:eastAsia="Times New Roman" w:hAnsi="Verdana" w:cs="Arial"/>
          <w:lang w:val="es-ES" w:eastAsia="es-ES"/>
          <w14:ligatures w14:val="standardContextual"/>
        </w:rPr>
        <w:t xml:space="preserve">. El </w:t>
      </w:r>
      <w:r w:rsidRPr="005A2FA3">
        <w:rPr>
          <w:rFonts w:ascii="Verdana" w:eastAsia="Times New Roman" w:hAnsi="Verdana" w:cs="Arial"/>
          <w:lang w:val="es-ES" w:eastAsia="es-ES"/>
          <w14:ligatures w14:val="standardContextual"/>
        </w:rPr>
        <w:t>principio de transparencia en la información alude al deber de los sujetos de proporcionar y facilitar el acceso a la misma en los términos más amplios posibles, y a través de los medios y procedimientos legales.</w:t>
      </w:r>
    </w:p>
    <w:p w14:paraId="52CFF2E9" w14:textId="01715E03" w:rsidR="004D4217" w:rsidRPr="003F20E6" w:rsidRDefault="004D4217" w:rsidP="004D4217">
      <w:pPr>
        <w:spacing w:after="120" w:line="276" w:lineRule="auto"/>
        <w:ind w:firstLine="709"/>
        <w:jc w:val="both"/>
        <w:rPr>
          <w:rFonts w:ascii="Verdana" w:eastAsia="Times New Roman" w:hAnsi="Verdana" w:cs="Arial"/>
          <w:lang w:val="es-ES_tradnl" w:eastAsia="es-ES_tradnl"/>
          <w14:ligatures w14:val="standardContextual"/>
        </w:rPr>
      </w:pPr>
      <w:r w:rsidRPr="003F20E6">
        <w:rPr>
          <w:rFonts w:ascii="Verdana" w:eastAsia="Times New Roman" w:hAnsi="Verdana" w:cs="Arial"/>
          <w:lang w:val="es-ES_tradnl" w:eastAsia="es-ES_tradnl"/>
          <w14:ligatures w14:val="standardContextual"/>
        </w:rPr>
        <w:t xml:space="preserve"> La Ley Estatutaria citada establece, en el literal e) del artículo 9, que los sujetos obligados, que son todas las </w:t>
      </w:r>
      <w:r w:rsidR="000F5961">
        <w:rPr>
          <w:rFonts w:ascii="Verdana" w:eastAsia="Times New Roman" w:hAnsi="Verdana" w:cs="Arial"/>
          <w:lang w:val="es-ES_tradnl" w:eastAsia="es-ES_tradnl"/>
          <w14:ligatures w14:val="standardContextual"/>
        </w:rPr>
        <w:t>E</w:t>
      </w:r>
      <w:r w:rsidRPr="000F5961">
        <w:rPr>
          <w:rFonts w:ascii="Verdana" w:eastAsia="Times New Roman" w:hAnsi="Verdana" w:cs="Arial"/>
          <w:lang w:val="es-ES_tradnl" w:eastAsia="es-ES_tradnl"/>
          <w14:ligatures w14:val="standardContextual"/>
        </w:rPr>
        <w:t xml:space="preserve">ntidades </w:t>
      </w:r>
      <w:r w:rsidR="000F5961">
        <w:rPr>
          <w:rFonts w:ascii="Verdana" w:eastAsia="Times New Roman" w:hAnsi="Verdana" w:cs="Arial"/>
          <w:lang w:val="es-ES_tradnl" w:eastAsia="es-ES_tradnl"/>
          <w14:ligatures w14:val="standardContextual"/>
        </w:rPr>
        <w:t>P</w:t>
      </w:r>
      <w:r w:rsidR="000F5961" w:rsidRPr="000F5961">
        <w:rPr>
          <w:rFonts w:ascii="Verdana" w:eastAsia="Times New Roman" w:hAnsi="Verdana" w:cs="Arial"/>
          <w:lang w:val="es-ES_tradnl" w:eastAsia="es-ES_tradnl"/>
          <w14:ligatures w14:val="standardContextual"/>
        </w:rPr>
        <w:t>úblicas</w:t>
      </w:r>
      <w:r w:rsidRPr="003F20E6">
        <w:rPr>
          <w:rFonts w:ascii="Verdana" w:eastAsia="Times New Roman" w:hAnsi="Verdana" w:cs="Arial"/>
          <w:vertAlign w:val="superscript"/>
          <w:lang w:val="es-ES_tradnl" w:eastAsia="es-ES_tradnl"/>
          <w14:ligatures w14:val="standardContextual"/>
        </w:rPr>
        <w:footnoteReference w:id="18"/>
      </w:r>
      <w:r w:rsidRPr="003F20E6">
        <w:rPr>
          <w:rFonts w:ascii="Verdana" w:eastAsia="Times New Roman" w:hAnsi="Verdana" w:cs="Arial"/>
          <w:lang w:val="es-ES_tradnl" w:eastAsia="es-ES_tradnl"/>
          <w14:ligatures w14:val="standardContextual"/>
        </w:rPr>
        <w:t>, deben publicar la información relativa a su contratación. Esta obligación fue desarrollada por el Decreto Único Reglamentario 1081 de 2015</w:t>
      </w:r>
      <w:r w:rsidRPr="003F20E6">
        <w:rPr>
          <w:rFonts w:ascii="Verdana" w:eastAsia="Times New Roman" w:hAnsi="Verdana" w:cs="Arial"/>
          <w:vertAlign w:val="superscript"/>
          <w:lang w:val="es-ES_tradnl" w:eastAsia="es-ES_tradnl"/>
          <w14:ligatures w14:val="standardContextual"/>
        </w:rPr>
        <w:footnoteReference w:id="19"/>
      </w:r>
      <w:r w:rsidRPr="003F20E6">
        <w:rPr>
          <w:rFonts w:ascii="Verdana" w:eastAsia="Times New Roman" w:hAnsi="Verdana" w:cs="Arial"/>
          <w:lang w:val="es-ES_tradnl" w:eastAsia="es-ES_tradnl"/>
          <w14:ligatures w14:val="standardContextual"/>
        </w:rPr>
        <w:t>, el cual dispuso que la publicación de la información contractual de los sujetos obligados, que contratan con cargo a recursos públicos, debe hacerse en el SECOP.</w:t>
      </w:r>
    </w:p>
    <w:p w14:paraId="0EA6BCF3" w14:textId="77777777" w:rsidR="004D4217" w:rsidRPr="003F20E6" w:rsidRDefault="004D4217" w:rsidP="004D4217">
      <w:pPr>
        <w:spacing w:after="120" w:line="276" w:lineRule="auto"/>
        <w:ind w:firstLine="709"/>
        <w:jc w:val="both"/>
        <w:rPr>
          <w:rFonts w:ascii="Verdana" w:eastAsia="Times New Roman" w:hAnsi="Verdana" w:cs="Arial"/>
          <w:lang w:val="es-ES_tradnl" w:eastAsia="es-ES_tradnl"/>
          <w14:ligatures w14:val="standardContextual"/>
        </w:rPr>
      </w:pPr>
      <w:r w:rsidRPr="003F20E6">
        <w:rPr>
          <w:rFonts w:ascii="Verdana" w:eastAsia="Times New Roman" w:hAnsi="Verdana" w:cs="Arial"/>
          <w:lang w:val="es-ES_tradnl" w:eastAsia="es-ES_tradnl"/>
          <w14:ligatures w14:val="standardContextual"/>
        </w:rPr>
        <w:t xml:space="preserve">Asimismo, de acuerdo con el literal g) del artículo 11 de la Ley 1712 de 2014, todos los destinatarios de la Ley Estatutaria de Transparencia y Acceso a la Información Pública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2DAB63C3" w14:textId="77777777" w:rsidR="004D4217" w:rsidRPr="003F20E6" w:rsidRDefault="004D4217" w:rsidP="004D4217">
      <w:pPr>
        <w:spacing w:after="120" w:line="276" w:lineRule="auto"/>
        <w:ind w:firstLine="709"/>
        <w:jc w:val="both"/>
        <w:rPr>
          <w:rFonts w:ascii="Verdana" w:eastAsia="Times New Roman" w:hAnsi="Verdana" w:cs="Arial"/>
          <w:lang w:val="es-ES_tradnl" w:eastAsia="es-ES_tradnl"/>
          <w14:ligatures w14:val="standardContextual"/>
        </w:rPr>
      </w:pPr>
      <w:r w:rsidRPr="003F20E6">
        <w:rPr>
          <w:rFonts w:ascii="Verdana" w:eastAsia="Times New Roman" w:hAnsi="Verdana" w:cs="Arial"/>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3F20E6">
        <w:rPr>
          <w:rFonts w:ascii="Verdana" w:eastAsia="Times New Roman" w:hAnsi="Verdana" w:cs="Arial"/>
          <w:vertAlign w:val="superscript"/>
          <w:lang w:val="es-ES_tradnl" w:eastAsia="es-ES_tradnl"/>
          <w14:ligatures w14:val="standardContextual"/>
        </w:rPr>
        <w:footnoteReference w:id="20"/>
      </w:r>
      <w:r w:rsidRPr="003F20E6">
        <w:rPr>
          <w:rFonts w:ascii="Verdana" w:eastAsia="Times New Roman" w:hAnsi="Verdana" w:cs="Arial"/>
          <w:lang w:val="es-ES_tradnl" w:eastAsia="es-ES_tradnl"/>
          <w14:ligatures w14:val="standardContextual"/>
        </w:rPr>
        <w:t xml:space="preserve">. En ese contexto, las Entidades Estatales, conforme al artículo 2.2.1.1.1.7.1 del Decreto 1082 de 2015, tienen la obligación de publicar en el SECOP </w:t>
      </w:r>
      <w:r>
        <w:rPr>
          <w:rFonts w:ascii="Verdana" w:eastAsia="Times New Roman" w:hAnsi="Verdana" w:cs="Arial"/>
          <w:lang w:val="es-ES_tradnl" w:eastAsia="es-ES_tradnl"/>
          <w14:ligatures w14:val="standardContextual"/>
        </w:rPr>
        <w:t>“(…)</w:t>
      </w:r>
      <w:r w:rsidRPr="003F20E6">
        <w:rPr>
          <w:rFonts w:ascii="Verdana" w:eastAsia="Times New Roman" w:hAnsi="Verdana" w:cs="Arial"/>
          <w:lang w:val="es-ES_tradnl" w:eastAsia="es-ES_tradnl"/>
          <w14:ligatures w14:val="standardContextual"/>
        </w:rPr>
        <w:t xml:space="preserve"> los Documentos del Proceso y los actos administrativos del Proceso de Contratación, </w:t>
      </w:r>
      <w:r w:rsidRPr="00E47CAB">
        <w:rPr>
          <w:rFonts w:ascii="Verdana" w:eastAsia="Times New Roman" w:hAnsi="Verdana" w:cs="Arial"/>
          <w:i/>
          <w:iCs/>
          <w:lang w:val="es-ES_tradnl" w:eastAsia="es-ES_tradnl"/>
          <w14:ligatures w14:val="standardContextual"/>
        </w:rPr>
        <w:t>dentro de los tres (3) días siguientes a su expedición</w:t>
      </w:r>
      <w:r w:rsidRPr="003F20E6">
        <w:rPr>
          <w:rFonts w:ascii="Verdana" w:eastAsia="Times New Roman" w:hAnsi="Verdana" w:cs="Arial"/>
          <w:lang w:val="es-ES_tradnl" w:eastAsia="es-ES_tradnl"/>
          <w14:ligatures w14:val="standardContextual"/>
        </w:rPr>
        <w:t xml:space="preserve"> </w:t>
      </w:r>
      <w:r>
        <w:rPr>
          <w:rFonts w:ascii="Verdana" w:eastAsia="Times New Roman" w:hAnsi="Verdana" w:cs="Arial"/>
          <w:lang w:val="es-ES_tradnl" w:eastAsia="es-ES_tradnl"/>
          <w14:ligatures w14:val="standardContextual"/>
        </w:rPr>
        <w:t>(…)</w:t>
      </w:r>
      <w:r w:rsidRPr="003F20E6">
        <w:rPr>
          <w:rFonts w:ascii="Verdana" w:eastAsia="Times New Roman" w:hAnsi="Verdana" w:cs="Arial"/>
          <w:lang w:val="es-ES_tradnl" w:eastAsia="es-ES_tradnl"/>
          <w14:ligatures w14:val="standardContextual"/>
        </w:rPr>
        <w:t>”</w:t>
      </w:r>
      <w:r>
        <w:rPr>
          <w:rFonts w:ascii="Verdana" w:eastAsia="Times New Roman" w:hAnsi="Verdana" w:cs="Arial"/>
          <w:lang w:val="es-ES_tradnl" w:eastAsia="es-ES_tradnl"/>
          <w14:ligatures w14:val="standardContextual"/>
        </w:rPr>
        <w:t xml:space="preserve"> (Énfasis fuera del texto original)</w:t>
      </w:r>
      <w:r w:rsidRPr="003F20E6">
        <w:rPr>
          <w:rFonts w:ascii="Verdana" w:eastAsia="Times New Roman" w:hAnsi="Verdana" w:cs="Arial"/>
          <w:lang w:val="es-ES_tradnl" w:eastAsia="es-ES_tradnl"/>
          <w14:ligatures w14:val="standardContextual"/>
        </w:rPr>
        <w:t>.</w:t>
      </w:r>
    </w:p>
    <w:p w14:paraId="231EED22" w14:textId="77777777" w:rsidR="004D4217" w:rsidRPr="003F20E6" w:rsidRDefault="004D4217" w:rsidP="004D4217">
      <w:pPr>
        <w:tabs>
          <w:tab w:val="left" w:pos="709"/>
        </w:tabs>
        <w:spacing w:after="120" w:line="276" w:lineRule="auto"/>
        <w:ind w:firstLine="709"/>
        <w:jc w:val="both"/>
        <w:rPr>
          <w:rFonts w:ascii="Verdana" w:hAnsi="Verdana" w:cs="Arial"/>
          <w:shd w:val="clear" w:color="auto" w:fill="FFFFFF"/>
        </w:rPr>
      </w:pPr>
      <w:r w:rsidRPr="003F20E6">
        <w:rPr>
          <w:rFonts w:ascii="Verdana" w:hAnsi="Verdana" w:cs="Arial"/>
          <w:shd w:val="clear" w:color="auto" w:fill="FFFFFF"/>
        </w:rPr>
        <w:t xml:space="preserve">La expresión </w:t>
      </w:r>
      <w:r w:rsidRPr="003F20E6">
        <w:rPr>
          <w:rFonts w:ascii="Verdana" w:hAnsi="Verdana" w:cs="Arial"/>
          <w:i/>
          <w:iCs/>
          <w:shd w:val="clear" w:color="auto" w:fill="FFFFFF"/>
        </w:rPr>
        <w:t xml:space="preserve">Documentos del Proceso </w:t>
      </w:r>
      <w:r w:rsidRPr="003F20E6">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3F20E6">
        <w:rPr>
          <w:rFonts w:ascii="Verdana" w:hAnsi="Verdana" w:cs="Arial"/>
          <w:i/>
          <w:iCs/>
          <w:shd w:val="clear" w:color="auto" w:fill="FFFFFF"/>
        </w:rPr>
        <w:t>y cualquier otro documento expedido por la Entidad Estatal durante el Proceso de Contratación</w:t>
      </w:r>
      <w:r w:rsidRPr="003F20E6">
        <w:rPr>
          <w:rFonts w:ascii="Verdana" w:hAnsi="Verdana" w:cs="Arial"/>
          <w:shd w:val="clear" w:color="auto" w:fill="FFFFFF"/>
        </w:rPr>
        <w:t xml:space="preserve">”. </w:t>
      </w:r>
      <w:r>
        <w:rPr>
          <w:rFonts w:ascii="Verdana" w:hAnsi="Verdana" w:cs="Arial"/>
          <w:shd w:val="clear" w:color="auto" w:fill="FFFFFF"/>
        </w:rPr>
        <w:t>(</w:t>
      </w:r>
      <w:r w:rsidRPr="003F20E6">
        <w:rPr>
          <w:rFonts w:ascii="Verdana" w:hAnsi="Verdana" w:cs="Arial"/>
          <w:shd w:val="clear" w:color="auto" w:fill="FFFFFF"/>
        </w:rPr>
        <w:t>Énfasis fuera de texto</w:t>
      </w:r>
      <w:r>
        <w:rPr>
          <w:rFonts w:ascii="Verdana" w:hAnsi="Verdana" w:cs="Arial"/>
          <w:shd w:val="clear" w:color="auto" w:fill="FFFFFF"/>
        </w:rPr>
        <w:t>).</w:t>
      </w:r>
    </w:p>
    <w:p w14:paraId="747BFB27" w14:textId="77777777" w:rsidR="004D4217" w:rsidRPr="003F20E6" w:rsidRDefault="004D4217" w:rsidP="004D4217">
      <w:pPr>
        <w:tabs>
          <w:tab w:val="left" w:pos="709"/>
        </w:tabs>
        <w:spacing w:after="120" w:line="276" w:lineRule="auto"/>
        <w:ind w:firstLine="709"/>
        <w:jc w:val="both"/>
        <w:rPr>
          <w:rFonts w:ascii="Verdana" w:hAnsi="Verdana" w:cs="Arial"/>
          <w:shd w:val="clear" w:color="auto" w:fill="FFFFFF"/>
        </w:rPr>
      </w:pPr>
      <w:r w:rsidRPr="003F20E6">
        <w:rPr>
          <w:rFonts w:ascii="Verdana" w:hAnsi="Verdana" w:cs="Arial"/>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3F20E6">
        <w:rPr>
          <w:rFonts w:ascii="Verdana" w:hAnsi="Verdana" w:cs="Arial"/>
          <w:i/>
          <w:iCs/>
          <w:shd w:val="clear" w:color="auto" w:fill="FFFFFF"/>
        </w:rPr>
        <w:t>Ibidem</w:t>
      </w:r>
      <w:r w:rsidRPr="003F20E6">
        <w:rPr>
          <w:rFonts w:ascii="Verdana" w:hAnsi="Verdana" w:cs="Arial"/>
          <w:shd w:val="clear" w:color="auto" w:fill="FFFFFF"/>
        </w:rPr>
        <w:t xml:space="preserve"> recoge en la noción de Documentos del Proceso “cualquier otro documento expedido por la Entidad Estatal durante el Proceso de Contratación”. </w:t>
      </w:r>
    </w:p>
    <w:p w14:paraId="535F0426" w14:textId="77777777" w:rsidR="004D4217" w:rsidRPr="003F20E6" w:rsidRDefault="004D4217" w:rsidP="004D4217">
      <w:pPr>
        <w:tabs>
          <w:tab w:val="left" w:pos="709"/>
        </w:tabs>
        <w:spacing w:after="120" w:line="276" w:lineRule="auto"/>
        <w:ind w:firstLine="709"/>
        <w:jc w:val="both"/>
        <w:rPr>
          <w:rFonts w:ascii="Verdana" w:hAnsi="Verdana" w:cs="Arial"/>
          <w:shd w:val="clear" w:color="auto" w:fill="FFFFFF"/>
        </w:rPr>
      </w:pPr>
      <w:r w:rsidRPr="003F20E6">
        <w:rPr>
          <w:rFonts w:ascii="Verdana" w:hAnsi="Verdana" w:cs="Arial"/>
          <w:shd w:val="clear" w:color="auto" w:fill="FFFFFF"/>
        </w:rPr>
        <w:t>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7F2EFEBE" w14:textId="77777777" w:rsidR="004D4217" w:rsidRPr="003F20E6" w:rsidRDefault="004D4217" w:rsidP="004D4217">
      <w:pPr>
        <w:tabs>
          <w:tab w:val="left" w:pos="709"/>
        </w:tabs>
        <w:spacing w:after="120" w:line="276" w:lineRule="auto"/>
        <w:ind w:firstLine="709"/>
        <w:jc w:val="both"/>
        <w:rPr>
          <w:rFonts w:ascii="Verdana" w:hAnsi="Verdana" w:cs="Arial"/>
          <w:shd w:val="clear" w:color="auto" w:fill="FFFFFF"/>
        </w:rPr>
      </w:pPr>
      <w:r w:rsidRPr="003F20E6">
        <w:rPr>
          <w:rFonts w:ascii="Verdana" w:hAnsi="Verdana" w:cs="Arial"/>
          <w:shd w:val="clear" w:color="auto" w:fill="FFFFFF"/>
        </w:rPr>
        <w:t>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w:t>
      </w:r>
      <w:r>
        <w:rPr>
          <w:rFonts w:ascii="Verdana" w:hAnsi="Verdana" w:cs="Arial"/>
          <w:shd w:val="clear" w:color="auto" w:fill="FFFFFF"/>
        </w:rPr>
        <w:t>,</w:t>
      </w:r>
      <w:r w:rsidRPr="003F20E6">
        <w:rPr>
          <w:rFonts w:ascii="Verdana" w:hAnsi="Verdana" w:cs="Arial"/>
          <w:shd w:val="clear" w:color="auto" w:fill="FFFFFF"/>
        </w:rPr>
        <w:t xml:space="preserve"> que todos los documentos expedidos por la entidad durante las etapas precontractual, de ejecución y </w:t>
      </w:r>
      <w:proofErr w:type="spellStart"/>
      <w:r w:rsidRPr="003F20E6">
        <w:rPr>
          <w:rFonts w:ascii="Verdana" w:hAnsi="Verdana" w:cs="Arial"/>
          <w:shd w:val="clear" w:color="auto" w:fill="FFFFFF"/>
        </w:rPr>
        <w:t>postcontractual</w:t>
      </w:r>
      <w:proofErr w:type="spellEnd"/>
      <w:r w:rsidRPr="003F20E6">
        <w:rPr>
          <w:rFonts w:ascii="Verdana" w:hAnsi="Verdana" w:cs="Arial"/>
          <w:shd w:val="clear" w:color="auto" w:fill="FFFFFF"/>
        </w:rPr>
        <w:t xml:space="preserve"> deberán publicarse en SECOP dentro de los tres (3) días siguientes a su expedición, para cumplir el deber de publicidad regulado por el artículo 2.2.1.1.1.7.1. del Decreto 1082 de 2015.</w:t>
      </w:r>
    </w:p>
    <w:p w14:paraId="48EFB02A" w14:textId="77777777" w:rsidR="004D4217" w:rsidRPr="003F20E6" w:rsidRDefault="004D4217" w:rsidP="004D4217">
      <w:pPr>
        <w:tabs>
          <w:tab w:val="left" w:pos="709"/>
        </w:tabs>
        <w:spacing w:after="120" w:line="276" w:lineRule="auto"/>
        <w:ind w:firstLine="709"/>
        <w:jc w:val="both"/>
        <w:rPr>
          <w:rFonts w:ascii="Verdana" w:hAnsi="Verdana" w:cs="Arial"/>
          <w:shd w:val="clear" w:color="auto" w:fill="FFFFFF"/>
        </w:rPr>
      </w:pPr>
      <w:r w:rsidRPr="003F20E6">
        <w:rPr>
          <w:rFonts w:ascii="Verdana" w:hAnsi="Verdana" w:cs="Arial"/>
          <w:shd w:val="clear" w:color="auto" w:fill="FFFFFF"/>
        </w:rPr>
        <w:t>Con el propósito de garantizar el cumplimiento del mencionado deber de publicidad, se le asignó a la Agencia Nacional de Contratación Pública - Colombia Compra Eficiente, la función de administrar el SECOP</w:t>
      </w:r>
      <w:r w:rsidRPr="003F20E6">
        <w:rPr>
          <w:rFonts w:ascii="Verdana" w:hAnsi="Verdana" w:cs="Arial"/>
          <w:shd w:val="clear" w:color="auto" w:fill="FFFFFF"/>
          <w:vertAlign w:val="superscript"/>
        </w:rPr>
        <w:footnoteReference w:id="21"/>
      </w:r>
      <w:r w:rsidRPr="003F20E6">
        <w:rPr>
          <w:rFonts w:ascii="Verdana" w:hAnsi="Verdana" w:cs="Arial"/>
          <w:shd w:val="clear" w:color="auto" w:fill="FFFFFF"/>
        </w:rPr>
        <w:t>. Dicha plataforma ha tenido dos versiones, esto es, el SECOP I y el SECOP II. La primera versión de la plataforma –SECOP I–, sólo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w:t>
      </w:r>
    </w:p>
    <w:p w14:paraId="2E461FE3" w14:textId="77777777" w:rsidR="004D4217" w:rsidRPr="003F20E6" w:rsidRDefault="004D4217" w:rsidP="004D4217">
      <w:pPr>
        <w:tabs>
          <w:tab w:val="left" w:pos="709"/>
        </w:tabs>
        <w:spacing w:after="120" w:line="276" w:lineRule="auto"/>
        <w:ind w:firstLine="709"/>
        <w:jc w:val="both"/>
        <w:rPr>
          <w:rFonts w:ascii="Verdana" w:hAnsi="Verdana" w:cs="Arial"/>
          <w:shd w:val="clear" w:color="auto" w:fill="FFFFFF"/>
        </w:rPr>
      </w:pPr>
      <w:r w:rsidRPr="003F20E6">
        <w:rPr>
          <w:rFonts w:ascii="Verdana" w:hAnsi="Verdana" w:cs="Arial"/>
          <w:shd w:val="clear" w:color="auto" w:fill="FFFFFF"/>
        </w:rPr>
        <w:t>En cambio, el SECOP II, es una plataforma transaccional que permite gestionar en línea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53421F21" w14:textId="46F4DD40" w:rsidR="004D4217" w:rsidRPr="003F20E6" w:rsidRDefault="004D4217" w:rsidP="004D4217">
      <w:pPr>
        <w:spacing w:after="120" w:line="276" w:lineRule="auto"/>
        <w:ind w:firstLine="709"/>
        <w:jc w:val="both"/>
        <w:rPr>
          <w:rFonts w:ascii="Verdana" w:eastAsia="Calibri" w:hAnsi="Verdana" w:cs="Arial"/>
          <w:lang w:val="es-ES"/>
        </w:rPr>
      </w:pPr>
      <w:r w:rsidRPr="003F20E6">
        <w:rPr>
          <w:rFonts w:ascii="Verdana" w:eastAsia="Calibri" w:hAnsi="Verdana" w:cs="Arial"/>
          <w:lang w:val="es-ES"/>
        </w:rPr>
        <w:t>Sin embargo, pese a que los documentos que deben publicarse en el SECOP II corresponden a los mismos que deben publicarse en el SECOP I, esto es, todos los expedidos con ocasión el Proceso de Contratación</w:t>
      </w:r>
      <w:r>
        <w:rPr>
          <w:rFonts w:ascii="Verdana" w:eastAsia="Calibri" w:hAnsi="Verdana" w:cs="Arial"/>
          <w:lang w:val="es-ES"/>
        </w:rPr>
        <w:t>,</w:t>
      </w:r>
      <w:r w:rsidRPr="003F20E6">
        <w:rPr>
          <w:rFonts w:ascii="Verdana" w:eastAsia="Calibri" w:hAnsi="Verdana" w:cs="Arial"/>
          <w:lang w:val="es-ES"/>
        </w:rPr>
        <w:t xml:space="preserve"> con excepción de los expresamente excluidos, la naturaleza transaccional del SECOP II implica que los </w:t>
      </w:r>
      <w:r w:rsidR="006E641C">
        <w:rPr>
          <w:rFonts w:ascii="Verdana" w:eastAsia="Calibri" w:hAnsi="Verdana" w:cs="Arial"/>
          <w:lang w:val="es-ES"/>
        </w:rPr>
        <w:t>P</w:t>
      </w:r>
      <w:r w:rsidRPr="00990725">
        <w:rPr>
          <w:rFonts w:ascii="Verdana" w:eastAsia="Calibri" w:hAnsi="Verdana" w:cs="Arial"/>
          <w:lang w:val="es-ES"/>
        </w:rPr>
        <w:t xml:space="preserve">rocesos </w:t>
      </w:r>
      <w:r w:rsidR="006E641C">
        <w:rPr>
          <w:rFonts w:ascii="Verdana" w:eastAsia="Calibri" w:hAnsi="Verdana" w:cs="Arial"/>
          <w:lang w:val="es-ES"/>
        </w:rPr>
        <w:t>C</w:t>
      </w:r>
      <w:r w:rsidRPr="003F20E6">
        <w:rPr>
          <w:rFonts w:ascii="Verdana" w:eastAsia="Calibri" w:hAnsi="Verdana" w:cs="Arial"/>
          <w:lang w:val="es-ES"/>
        </w:rPr>
        <w:t xml:space="preserve">ontractuales no sólo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Esto a diferencia de los procesos publicados en el SECOP I, en los que primero se generan los documentos escritos y luego se publican en la plataforma dentro del plazo de tres (3) días previsto en el artículo 2.2.1.1.1.7.1 del Decreto 1082 de 2015. </w:t>
      </w:r>
    </w:p>
    <w:p w14:paraId="2AB122C3" w14:textId="77777777" w:rsidR="004D4217" w:rsidRDefault="004D4217" w:rsidP="004D4217">
      <w:pPr>
        <w:tabs>
          <w:tab w:val="left" w:pos="709"/>
        </w:tabs>
        <w:spacing w:after="120" w:line="276" w:lineRule="auto"/>
        <w:ind w:firstLine="709"/>
        <w:jc w:val="both"/>
        <w:rPr>
          <w:rFonts w:ascii="Verdana" w:hAnsi="Verdana" w:cs="Arial"/>
          <w:shd w:val="clear" w:color="auto" w:fill="FFFFFF"/>
        </w:rPr>
      </w:pPr>
      <w:r w:rsidRPr="003F20E6">
        <w:rPr>
          <w:rFonts w:ascii="Verdana" w:hAnsi="Verdana" w:cs="Arial"/>
          <w:shd w:val="clear" w:color="auto" w:fill="FFFFFF"/>
        </w:rPr>
        <w:t xml:space="preserve">Conforme </w:t>
      </w:r>
      <w:r>
        <w:rPr>
          <w:rFonts w:ascii="Verdana" w:hAnsi="Verdana" w:cs="Arial"/>
          <w:shd w:val="clear" w:color="auto" w:fill="FFFFFF"/>
        </w:rPr>
        <w:t>con</w:t>
      </w:r>
      <w:r w:rsidRPr="003F20E6">
        <w:rPr>
          <w:rFonts w:ascii="Verdana" w:hAnsi="Verdana" w:cs="Arial"/>
          <w:shd w:val="clear" w:color="auto" w:fill="FFFFFF"/>
        </w:rPr>
        <w:t xml:space="preserve"> lo anterior, es clara la obligatoriedad de publicar la información de la actividad contractual que se realiza con cargo a recursos públicos en el SECOP, incluidas aquellas con regímenes contractuales especiales. Esta obligación incluye todos los documentos generados durante las fases precontractual, contractual y </w:t>
      </w:r>
      <w:proofErr w:type="spellStart"/>
      <w:r w:rsidRPr="003F20E6">
        <w:rPr>
          <w:rFonts w:ascii="Verdana" w:hAnsi="Verdana" w:cs="Arial"/>
          <w:shd w:val="clear" w:color="auto" w:fill="FFFFFF"/>
        </w:rPr>
        <w:t>postcontractual</w:t>
      </w:r>
      <w:proofErr w:type="spellEnd"/>
      <w:r w:rsidRPr="003F20E6">
        <w:rPr>
          <w:rFonts w:ascii="Verdana" w:hAnsi="Verdana" w:cs="Arial"/>
          <w:shd w:val="clear" w:color="auto" w:fill="FFFFFF"/>
        </w:rPr>
        <w:t xml:space="preserve">. Esto tiene como objetivo garantizar la transparencia, el acceso público a la información y el control social sobre la contratación pública, permitiendo que la ciudadanía tenga acceso a los documentos en un sistema unificado y oficial. Por último, se precisa, que corresponderá a la Entidad Estatal, previo concepto de sus órganos asesores, cumplir con la publicación de los documentos que expiden dentro de un Proceso de Contratación en el SECOP, ya sea en SECOP I o en SECOP II en cumplimiento de las disposiciones legales y reglamentarias. </w:t>
      </w:r>
    </w:p>
    <w:p w14:paraId="688F4A49" w14:textId="77777777" w:rsidR="004D4217" w:rsidRDefault="004D4217" w:rsidP="004D4217">
      <w:pPr>
        <w:tabs>
          <w:tab w:val="left" w:pos="709"/>
        </w:tabs>
        <w:spacing w:after="120" w:line="276" w:lineRule="auto"/>
        <w:ind w:firstLine="709"/>
        <w:jc w:val="both"/>
        <w:rPr>
          <w:rFonts w:ascii="Verdana" w:hAnsi="Verdana" w:cs="Arial"/>
          <w:lang w:val="es-ES"/>
        </w:rPr>
      </w:pPr>
      <w:r w:rsidRPr="001A56AE">
        <w:rPr>
          <w:rFonts w:ascii="Verdana" w:hAnsi="Verdana" w:cs="Arial"/>
          <w:lang w:val="es-ES"/>
        </w:rPr>
        <w:t>Al margen de la explicación precedente debe advertirse que el análisis requerido para resolver problemas específicos en torno a la designación de la supervisión debe realizarse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C21BC3E" w14:textId="77777777" w:rsidR="004D4217" w:rsidRDefault="004D4217" w:rsidP="004D4217">
      <w:pPr>
        <w:tabs>
          <w:tab w:val="left" w:pos="709"/>
        </w:tabs>
        <w:spacing w:before="120" w:after="0" w:line="276" w:lineRule="auto"/>
        <w:ind w:firstLine="709"/>
        <w:jc w:val="both"/>
        <w:rPr>
          <w:rFonts w:ascii="Verdana" w:hAnsi="Verdana" w:cs="Arial"/>
          <w:lang w:val="es-ES"/>
        </w:rPr>
      </w:pPr>
      <w:r w:rsidRPr="001A56AE">
        <w:rPr>
          <w:rFonts w:ascii="Verdana" w:hAnsi="Verdana" w:cs="Arial"/>
          <w:lang w:val="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53F7BAE" w14:textId="77777777" w:rsidR="004D4217" w:rsidRPr="001A56AE" w:rsidRDefault="004D4217" w:rsidP="00803124">
      <w:pPr>
        <w:tabs>
          <w:tab w:val="left" w:pos="709"/>
        </w:tabs>
        <w:spacing w:after="0" w:line="276" w:lineRule="auto"/>
        <w:ind w:firstLine="709"/>
        <w:jc w:val="both"/>
        <w:rPr>
          <w:rFonts w:ascii="Verdana" w:hAnsi="Verdana" w:cs="Arial"/>
          <w:lang w:val="es-ES"/>
        </w:rPr>
      </w:pPr>
    </w:p>
    <w:p w14:paraId="3F787DEE" w14:textId="77777777" w:rsidR="004D4217" w:rsidRDefault="004D4217" w:rsidP="004D4217">
      <w:pPr>
        <w:spacing w:after="0" w:line="276" w:lineRule="auto"/>
        <w:jc w:val="both"/>
        <w:rPr>
          <w:rFonts w:ascii="Verdana" w:eastAsia="Century Gothic" w:hAnsi="Verdana" w:cs="Century Gothic"/>
          <w:b/>
          <w:bCs/>
        </w:rPr>
      </w:pPr>
      <w:bookmarkStart w:id="3" w:name="_Hlk204854194"/>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3"/>
    </w:p>
    <w:p w14:paraId="0C83E463" w14:textId="77777777" w:rsidR="004D4217" w:rsidRPr="000B6E79" w:rsidRDefault="004D4217" w:rsidP="004D4217">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D4217" w:rsidRPr="002D2C18" w14:paraId="65DC3199" w14:textId="77777777" w:rsidTr="00F271CE">
        <w:trPr>
          <w:trHeight w:val="56"/>
          <w:jc w:val="center"/>
        </w:trPr>
        <w:tc>
          <w:tcPr>
            <w:tcW w:w="8647" w:type="dxa"/>
          </w:tcPr>
          <w:p w14:paraId="3ADD6409" w14:textId="77777777" w:rsidR="004D4217" w:rsidRDefault="004D4217" w:rsidP="00F271CE">
            <w:pPr>
              <w:pStyle w:val="Prrafodelista"/>
              <w:numPr>
                <w:ilvl w:val="0"/>
                <w:numId w:val="17"/>
              </w:numPr>
              <w:spacing w:line="276" w:lineRule="auto"/>
              <w:contextualSpacing w:val="0"/>
              <w:jc w:val="both"/>
              <w:rPr>
                <w:rFonts w:ascii="Verdana" w:hAnsi="Verdana" w:cs="Arial"/>
                <w:lang w:eastAsia="es-ES"/>
              </w:rPr>
            </w:pPr>
            <w:r>
              <w:rPr>
                <w:rFonts w:ascii="Verdana" w:hAnsi="Verdana" w:cs="Arial"/>
                <w:lang w:eastAsia="es-ES"/>
              </w:rPr>
              <w:t>Constitución Política. Artículos 74, 209.</w:t>
            </w:r>
          </w:p>
          <w:p w14:paraId="167FB65C" w14:textId="77777777" w:rsidR="00627CE2" w:rsidRPr="00C21D31" w:rsidRDefault="00627CE2" w:rsidP="00627CE2">
            <w:pPr>
              <w:pStyle w:val="Prrafodelista"/>
              <w:numPr>
                <w:ilvl w:val="0"/>
                <w:numId w:val="17"/>
              </w:numPr>
              <w:spacing w:line="276" w:lineRule="auto"/>
              <w:contextualSpacing w:val="0"/>
              <w:jc w:val="both"/>
              <w:rPr>
                <w:rFonts w:ascii="Verdana" w:hAnsi="Verdana" w:cs="Arial"/>
                <w:lang w:eastAsia="es-ES"/>
              </w:rPr>
            </w:pPr>
            <w:r w:rsidRPr="00C21D31">
              <w:rPr>
                <w:rFonts w:ascii="Verdana" w:hAnsi="Verdana" w:cs="Arial"/>
                <w:bCs/>
                <w:lang w:eastAsia="es-MX"/>
              </w:rPr>
              <w:t xml:space="preserve">Ley 489 de 1998. Artículo 9. </w:t>
            </w:r>
          </w:p>
          <w:p w14:paraId="5A537E57" w14:textId="77777777" w:rsidR="004D4217" w:rsidRPr="00C873C4" w:rsidRDefault="004D4217" w:rsidP="00F271CE">
            <w:pPr>
              <w:pStyle w:val="Prrafodelista"/>
              <w:numPr>
                <w:ilvl w:val="0"/>
                <w:numId w:val="17"/>
              </w:numPr>
              <w:spacing w:line="276" w:lineRule="auto"/>
              <w:contextualSpacing w:val="0"/>
              <w:jc w:val="both"/>
              <w:rPr>
                <w:rFonts w:ascii="Verdana" w:hAnsi="Verdana" w:cs="Arial"/>
                <w:lang w:eastAsia="es-ES"/>
              </w:rPr>
            </w:pPr>
            <w:r>
              <w:rPr>
                <w:rFonts w:ascii="Verdana" w:hAnsi="Verdana" w:cs="Arial"/>
                <w:lang w:eastAsia="es-ES"/>
              </w:rPr>
              <w:t xml:space="preserve">Ley 80 de 1993. Artículos: 3, </w:t>
            </w:r>
            <w:r w:rsidRPr="00905A2C">
              <w:rPr>
                <w:rFonts w:ascii="Verdana" w:hAnsi="Verdana" w:cs="Arial"/>
                <w:bCs/>
                <w:lang w:eastAsia="es-MX"/>
              </w:rPr>
              <w:t>4, 5, 12, 14 y 26</w:t>
            </w:r>
            <w:r>
              <w:rPr>
                <w:rFonts w:ascii="Verdana" w:hAnsi="Verdana" w:cs="Arial"/>
                <w:bCs/>
                <w:lang w:eastAsia="es-MX"/>
              </w:rPr>
              <w:t>.</w:t>
            </w:r>
            <w:r w:rsidRPr="00E6594B">
              <w:rPr>
                <w:rFonts w:ascii="Verdana" w:hAnsi="Verdana" w:cs="Arial"/>
                <w:bCs/>
                <w:lang w:eastAsia="es-MX"/>
              </w:rPr>
              <w:t xml:space="preserve"> </w:t>
            </w:r>
          </w:p>
          <w:p w14:paraId="5022BDF9" w14:textId="77777777" w:rsidR="004D4217" w:rsidRPr="00E6594B" w:rsidRDefault="004D4217" w:rsidP="00F271CE">
            <w:pPr>
              <w:pStyle w:val="Prrafodelista"/>
              <w:numPr>
                <w:ilvl w:val="0"/>
                <w:numId w:val="17"/>
              </w:numPr>
              <w:spacing w:line="276" w:lineRule="auto"/>
              <w:contextualSpacing w:val="0"/>
              <w:jc w:val="both"/>
              <w:rPr>
                <w:rFonts w:ascii="Verdana" w:hAnsi="Verdana" w:cs="Arial"/>
                <w:lang w:eastAsia="es-ES"/>
              </w:rPr>
            </w:pPr>
            <w:r>
              <w:rPr>
                <w:rFonts w:ascii="Verdana" w:hAnsi="Verdana" w:cs="Arial"/>
                <w:bCs/>
                <w:lang w:eastAsia="es-MX"/>
              </w:rPr>
              <w:t>Ley 1150 de 2007. Artículos 3, 17, 21.</w:t>
            </w:r>
          </w:p>
          <w:p w14:paraId="5FDEE8A6" w14:textId="77777777" w:rsidR="004D4217" w:rsidRPr="00C873C4" w:rsidRDefault="004D4217" w:rsidP="00F271CE">
            <w:pPr>
              <w:pStyle w:val="Prrafodelista"/>
              <w:numPr>
                <w:ilvl w:val="0"/>
                <w:numId w:val="17"/>
              </w:numPr>
              <w:spacing w:line="276" w:lineRule="auto"/>
              <w:contextualSpacing w:val="0"/>
              <w:jc w:val="both"/>
              <w:rPr>
                <w:rFonts w:ascii="Verdana" w:hAnsi="Verdana" w:cs="Arial"/>
                <w:lang w:eastAsia="es-ES"/>
              </w:rPr>
            </w:pPr>
            <w:r>
              <w:rPr>
                <w:rFonts w:ascii="Verdana" w:hAnsi="Verdana" w:cs="Arial"/>
                <w:bCs/>
                <w:lang w:eastAsia="es-MX"/>
              </w:rPr>
              <w:t xml:space="preserve">Ley 1474 de 2011 Artículo 83. </w:t>
            </w:r>
          </w:p>
          <w:p w14:paraId="0590176D" w14:textId="77777777" w:rsidR="004D4217" w:rsidRPr="00C873C4" w:rsidRDefault="004D4217" w:rsidP="00F271CE">
            <w:pPr>
              <w:pStyle w:val="Prrafodelista"/>
              <w:numPr>
                <w:ilvl w:val="0"/>
                <w:numId w:val="17"/>
              </w:numPr>
              <w:spacing w:line="276" w:lineRule="auto"/>
              <w:contextualSpacing w:val="0"/>
              <w:jc w:val="both"/>
              <w:rPr>
                <w:rFonts w:ascii="Verdana" w:hAnsi="Verdana" w:cs="Arial"/>
                <w:lang w:eastAsia="es-ES"/>
              </w:rPr>
            </w:pPr>
            <w:r w:rsidRPr="003F20E6">
              <w:rPr>
                <w:rFonts w:ascii="Verdana" w:eastAsia="Times New Roman" w:hAnsi="Verdana" w:cs="Arial"/>
                <w:lang w:val="es-ES_tradnl" w:eastAsia="es-ES_tradnl"/>
                <w14:ligatures w14:val="standardContextual"/>
              </w:rPr>
              <w:t>Ley 1712 de 2014</w:t>
            </w:r>
            <w:r>
              <w:rPr>
                <w:rFonts w:ascii="Verdana" w:eastAsia="Times New Roman" w:hAnsi="Verdana" w:cs="Arial"/>
                <w:lang w:val="es-ES_tradnl" w:eastAsia="es-ES_tradnl"/>
                <w14:ligatures w14:val="standardContextual"/>
              </w:rPr>
              <w:t>. Artículo 9 literal e), 11 literal g)</w:t>
            </w:r>
          </w:p>
          <w:p w14:paraId="2E3405E0" w14:textId="77777777" w:rsidR="004D4217" w:rsidRPr="00C873C4" w:rsidRDefault="004D4217" w:rsidP="00F271CE">
            <w:pPr>
              <w:pStyle w:val="Prrafodelista"/>
              <w:numPr>
                <w:ilvl w:val="0"/>
                <w:numId w:val="17"/>
              </w:numPr>
              <w:spacing w:line="276" w:lineRule="auto"/>
              <w:contextualSpacing w:val="0"/>
              <w:jc w:val="both"/>
              <w:rPr>
                <w:rFonts w:ascii="Verdana" w:hAnsi="Verdana" w:cs="Arial"/>
                <w:lang w:eastAsia="es-ES"/>
              </w:rPr>
            </w:pPr>
            <w:r w:rsidRPr="007A3DD4">
              <w:rPr>
                <w:rFonts w:ascii="Verdana" w:hAnsi="Verdana" w:cs="Arial"/>
                <w:lang w:eastAsia="es-ES"/>
              </w:rPr>
              <w:t>Decreto 4170 de 2011: Artículo 3</w:t>
            </w:r>
            <w:r>
              <w:rPr>
                <w:rFonts w:ascii="Verdana" w:hAnsi="Verdana" w:cs="Arial"/>
                <w:lang w:eastAsia="es-ES"/>
              </w:rPr>
              <w:t>.</w:t>
            </w:r>
          </w:p>
          <w:p w14:paraId="1CD227E9" w14:textId="77777777" w:rsidR="004D4217" w:rsidRPr="00C873C4" w:rsidRDefault="004D4217" w:rsidP="00F271CE">
            <w:pPr>
              <w:pStyle w:val="Prrafodelista"/>
              <w:numPr>
                <w:ilvl w:val="0"/>
                <w:numId w:val="17"/>
              </w:numPr>
              <w:spacing w:line="276" w:lineRule="auto"/>
              <w:contextualSpacing w:val="0"/>
              <w:jc w:val="both"/>
              <w:rPr>
                <w:rFonts w:ascii="Verdana" w:hAnsi="Verdana" w:cs="Arial"/>
                <w:lang w:eastAsia="es-ES"/>
              </w:rPr>
            </w:pPr>
            <w:r>
              <w:rPr>
                <w:rFonts w:ascii="Verdana" w:hAnsi="Verdana" w:cs="Arial"/>
                <w:bCs/>
                <w:lang w:eastAsia="es-MX"/>
              </w:rPr>
              <w:t xml:space="preserve">Decreto 1082 de 2015. Artículos </w:t>
            </w:r>
            <w:r w:rsidRPr="003F20E6">
              <w:rPr>
                <w:rFonts w:ascii="Verdana" w:hAnsi="Verdana" w:cs="Arial"/>
                <w:shd w:val="clear" w:color="auto" w:fill="FFFFFF"/>
              </w:rPr>
              <w:t>2.2.1.1.1.3.1.</w:t>
            </w:r>
            <w:r>
              <w:rPr>
                <w:rFonts w:ascii="Verdana" w:hAnsi="Verdana" w:cs="Arial"/>
                <w:shd w:val="clear" w:color="auto" w:fill="FFFFFF"/>
              </w:rPr>
              <w:t>,</w:t>
            </w:r>
            <w:r>
              <w:rPr>
                <w:rFonts w:ascii="Verdana" w:hAnsi="Verdana" w:cs="Arial"/>
                <w:bCs/>
                <w:lang w:eastAsia="es-MX"/>
              </w:rPr>
              <w:t xml:space="preserve"> </w:t>
            </w:r>
            <w:r w:rsidRPr="00416545">
              <w:rPr>
                <w:rFonts w:ascii="Verdana" w:eastAsia="Calibri" w:hAnsi="Verdana" w:cs="Arial"/>
                <w:bCs/>
                <w:color w:val="000000"/>
              </w:rPr>
              <w:t>2.2.1.1.2.2.3</w:t>
            </w:r>
            <w:r>
              <w:rPr>
                <w:rFonts w:ascii="Verdana" w:eastAsia="Calibri" w:hAnsi="Verdana" w:cs="Arial"/>
                <w:bCs/>
                <w:color w:val="000000"/>
              </w:rPr>
              <w:t xml:space="preserve">, </w:t>
            </w:r>
            <w:r w:rsidRPr="003F20E6">
              <w:rPr>
                <w:rFonts w:ascii="Verdana" w:eastAsia="Times New Roman" w:hAnsi="Verdana" w:cs="Arial"/>
                <w:lang w:val="es-ES_tradnl" w:eastAsia="es-ES_tradnl"/>
                <w14:ligatures w14:val="standardContextual"/>
              </w:rPr>
              <w:t>2.2.1.1.1.7.1</w:t>
            </w:r>
            <w:r>
              <w:rPr>
                <w:rFonts w:ascii="Verdana" w:eastAsia="Times New Roman" w:hAnsi="Verdana" w:cs="Arial"/>
                <w:lang w:val="es-ES_tradnl" w:eastAsia="es-ES_tradnl"/>
                <w14:ligatures w14:val="standardContextual"/>
              </w:rPr>
              <w:t>.</w:t>
            </w:r>
          </w:p>
          <w:p w14:paraId="5621E1B7" w14:textId="77777777" w:rsidR="00627CE2" w:rsidRPr="00D47948" w:rsidRDefault="00627CE2" w:rsidP="00627CE2">
            <w:pPr>
              <w:pStyle w:val="Prrafodelista"/>
              <w:numPr>
                <w:ilvl w:val="0"/>
                <w:numId w:val="17"/>
              </w:numPr>
              <w:spacing w:line="276" w:lineRule="auto"/>
              <w:contextualSpacing w:val="0"/>
              <w:jc w:val="both"/>
              <w:rPr>
                <w:rFonts w:ascii="Verdana" w:hAnsi="Verdana" w:cs="Arial"/>
                <w:lang w:eastAsia="es-ES"/>
              </w:rPr>
            </w:pPr>
            <w:r w:rsidRPr="00D47948">
              <w:rPr>
                <w:rFonts w:ascii="Verdana" w:hAnsi="Verdana" w:cs="Arial"/>
                <w:lang w:eastAsia="es-ES"/>
              </w:rPr>
              <w:t xml:space="preserve">Consejo de Estado. Sala de Consulta y Servicio Civil. Concepto del 6 de diciembre de 2007. </w:t>
            </w:r>
            <w:proofErr w:type="spellStart"/>
            <w:r w:rsidRPr="00D47948">
              <w:rPr>
                <w:rFonts w:ascii="Verdana" w:hAnsi="Verdana" w:cs="Arial"/>
                <w:lang w:eastAsia="es-ES"/>
              </w:rPr>
              <w:t>Exp</w:t>
            </w:r>
            <w:proofErr w:type="spellEnd"/>
            <w:r w:rsidRPr="00D47948">
              <w:rPr>
                <w:rFonts w:ascii="Verdana" w:hAnsi="Verdana" w:cs="Arial"/>
                <w:lang w:eastAsia="es-ES"/>
              </w:rPr>
              <w:t>. 1871. C.P: Luis Fernando Álvarez Jaramillo.</w:t>
            </w:r>
          </w:p>
          <w:p w14:paraId="39AABE1C" w14:textId="77777777" w:rsidR="00627CE2" w:rsidRPr="00AA1351" w:rsidRDefault="00627CE2" w:rsidP="00627CE2">
            <w:pPr>
              <w:pStyle w:val="Prrafodelista"/>
              <w:numPr>
                <w:ilvl w:val="0"/>
                <w:numId w:val="17"/>
              </w:numPr>
              <w:spacing w:line="276" w:lineRule="auto"/>
              <w:contextualSpacing w:val="0"/>
              <w:jc w:val="both"/>
              <w:rPr>
                <w:rFonts w:ascii="Verdana" w:hAnsi="Verdana" w:cs="Arial"/>
                <w:lang w:eastAsia="es-ES"/>
              </w:rPr>
            </w:pPr>
            <w:r w:rsidRPr="00AA1351">
              <w:rPr>
                <w:rFonts w:ascii="Verdana" w:hAnsi="Verdana" w:cs="Arial"/>
                <w:lang w:eastAsia="es-ES"/>
              </w:rPr>
              <w:t xml:space="preserve">Consejo de Estado. Sección Tercera. Sentencia de 28 de mayo de 2012, </w:t>
            </w:r>
            <w:proofErr w:type="spellStart"/>
            <w:r w:rsidRPr="00AA1351">
              <w:rPr>
                <w:rFonts w:ascii="Verdana" w:hAnsi="Verdana" w:cs="Arial"/>
                <w:lang w:eastAsia="es-ES"/>
              </w:rPr>
              <w:t>Exp</w:t>
            </w:r>
            <w:proofErr w:type="spellEnd"/>
            <w:r w:rsidRPr="00AA1351">
              <w:rPr>
                <w:rFonts w:ascii="Verdana" w:hAnsi="Verdana" w:cs="Arial"/>
                <w:lang w:eastAsia="es-ES"/>
              </w:rPr>
              <w:t>. 22089. C.P. Ruth Stella Correa Palacio.</w:t>
            </w:r>
          </w:p>
          <w:p w14:paraId="5AE1E18F" w14:textId="77777777" w:rsidR="00627CE2" w:rsidRPr="0011503C" w:rsidRDefault="00627CE2" w:rsidP="00627CE2">
            <w:pPr>
              <w:pStyle w:val="Prrafodelista"/>
              <w:numPr>
                <w:ilvl w:val="0"/>
                <w:numId w:val="17"/>
              </w:numPr>
              <w:spacing w:line="276" w:lineRule="auto"/>
              <w:contextualSpacing w:val="0"/>
              <w:jc w:val="both"/>
              <w:rPr>
                <w:rFonts w:ascii="Verdana" w:hAnsi="Verdana" w:cs="Arial"/>
                <w:lang w:eastAsia="es-ES"/>
              </w:rPr>
            </w:pPr>
            <w:r w:rsidRPr="0011503C">
              <w:rPr>
                <w:rFonts w:ascii="Verdana" w:hAnsi="Verdana" w:cs="Arial"/>
                <w:lang w:eastAsia="es-ES"/>
              </w:rPr>
              <w:t xml:space="preserve">Consejo de Estado. Sección Tercera. Subsección B. Sentencia de 29 de julio de 2013, </w:t>
            </w:r>
            <w:proofErr w:type="spellStart"/>
            <w:r w:rsidRPr="0011503C">
              <w:rPr>
                <w:rFonts w:ascii="Verdana" w:hAnsi="Verdana" w:cs="Arial"/>
                <w:lang w:eastAsia="es-ES"/>
              </w:rPr>
              <w:t>Exp</w:t>
            </w:r>
            <w:proofErr w:type="spellEnd"/>
            <w:r w:rsidRPr="0011503C">
              <w:rPr>
                <w:rFonts w:ascii="Verdana" w:hAnsi="Verdana" w:cs="Arial"/>
                <w:lang w:eastAsia="es-ES"/>
              </w:rPr>
              <w:t>. 24311. C.P. Ramiro De Jesús Pazos.</w:t>
            </w:r>
          </w:p>
          <w:p w14:paraId="4551DEB3" w14:textId="77777777" w:rsidR="004D4217" w:rsidRDefault="004D4217" w:rsidP="00F271CE">
            <w:pPr>
              <w:pStyle w:val="Prrafodelista"/>
              <w:numPr>
                <w:ilvl w:val="0"/>
                <w:numId w:val="17"/>
              </w:numPr>
              <w:spacing w:line="276" w:lineRule="auto"/>
              <w:contextualSpacing w:val="0"/>
              <w:jc w:val="both"/>
              <w:rPr>
                <w:rFonts w:ascii="Verdana" w:hAnsi="Verdana" w:cs="Arial"/>
                <w:lang w:eastAsia="es-ES"/>
              </w:rPr>
            </w:pPr>
            <w:r w:rsidRPr="00910DE4">
              <w:rPr>
                <w:rFonts w:ascii="Verdana" w:hAnsi="Verdana" w:cs="Arial"/>
                <w:lang w:eastAsia="es-ES"/>
              </w:rPr>
              <w:t xml:space="preserve">Consejo de Estado. Sala de lo Contencioso Administrativo. Sección Tercera. Subsección C. Sentencia del 27 de noviembre de 2017. </w:t>
            </w:r>
            <w:proofErr w:type="spellStart"/>
            <w:r w:rsidRPr="00910DE4">
              <w:rPr>
                <w:rFonts w:ascii="Verdana" w:hAnsi="Verdana" w:cs="Arial"/>
                <w:lang w:eastAsia="es-ES"/>
              </w:rPr>
              <w:t>Exp</w:t>
            </w:r>
            <w:proofErr w:type="spellEnd"/>
            <w:r w:rsidRPr="00910DE4">
              <w:rPr>
                <w:rFonts w:ascii="Verdana" w:hAnsi="Verdana" w:cs="Arial"/>
                <w:lang w:eastAsia="es-ES"/>
              </w:rPr>
              <w:t>. 51.802.</w:t>
            </w:r>
            <w:r>
              <w:rPr>
                <w:rFonts w:ascii="Verdana" w:hAnsi="Verdana" w:cs="Arial"/>
                <w:lang w:eastAsia="es-ES"/>
              </w:rPr>
              <w:t xml:space="preserve"> </w:t>
            </w:r>
            <w:r w:rsidRPr="00910DE4">
              <w:rPr>
                <w:rFonts w:ascii="Verdana" w:hAnsi="Verdana" w:cs="Arial"/>
                <w:lang w:eastAsia="es-ES"/>
              </w:rPr>
              <w:t xml:space="preserve">M.P. Jaime Orlando Santofimio. </w:t>
            </w:r>
          </w:p>
          <w:p w14:paraId="305A2426" w14:textId="77777777" w:rsidR="004D4217" w:rsidRPr="007A3DD4" w:rsidRDefault="004D4217" w:rsidP="00803124">
            <w:pPr>
              <w:pStyle w:val="Prrafodelista"/>
              <w:numPr>
                <w:ilvl w:val="0"/>
                <w:numId w:val="17"/>
              </w:numPr>
              <w:spacing w:line="276" w:lineRule="auto"/>
              <w:contextualSpacing w:val="0"/>
              <w:rPr>
                <w:rFonts w:ascii="Verdana" w:hAnsi="Verdana" w:cs="Arial"/>
                <w:lang w:eastAsia="es-ES"/>
              </w:rPr>
            </w:pPr>
            <w:r w:rsidRPr="007A3DD4">
              <w:rPr>
                <w:rFonts w:ascii="Verdana" w:hAnsi="Verdana" w:cs="Arial"/>
                <w:lang w:eastAsia="es-ES"/>
              </w:rPr>
              <w:t xml:space="preserve">Corte Constitucional. Sentencia C‒274 de 9 de mayo de 2013. M.P. María Victoria Calle Correa. </w:t>
            </w:r>
          </w:p>
          <w:p w14:paraId="0D2999A7" w14:textId="77777777" w:rsidR="004D4217" w:rsidRPr="00130E06" w:rsidRDefault="004D4217" w:rsidP="00F271CE">
            <w:pPr>
              <w:pStyle w:val="Textonotapie"/>
              <w:numPr>
                <w:ilvl w:val="0"/>
                <w:numId w:val="17"/>
              </w:numPr>
              <w:spacing w:line="276" w:lineRule="auto"/>
              <w:jc w:val="both"/>
              <w:rPr>
                <w:rFonts w:ascii="Verdana" w:hAnsi="Verdana" w:cs="Arial"/>
                <w:color w:val="000000" w:themeColor="text1"/>
                <w:sz w:val="22"/>
                <w:szCs w:val="22"/>
              </w:rPr>
            </w:pPr>
            <w:r w:rsidRPr="00130E06">
              <w:rPr>
                <w:rFonts w:ascii="Verdana" w:hAnsi="Verdana" w:cs="Arial"/>
                <w:sz w:val="22"/>
                <w:szCs w:val="22"/>
              </w:rPr>
              <w:t>Agencia Nacional de Contratación Pública – Colombia Compra Eficiente. “Guía para el ejercicio de las funciones de supervisión e interventoría de los contratos suscritos por las Entidades Estatales”.</w:t>
            </w:r>
            <w:r w:rsidRPr="00130E06">
              <w:rPr>
                <w:rFonts w:ascii="Verdana" w:hAnsi="Verdana" w:cs="Arial"/>
                <w:iCs/>
                <w:color w:val="000000" w:themeColor="text1"/>
                <w:sz w:val="22"/>
                <w:szCs w:val="22"/>
              </w:rPr>
              <w:t xml:space="preserve"> </w:t>
            </w:r>
            <w:r w:rsidRPr="00BD2614">
              <w:rPr>
                <w:rFonts w:ascii="Verdana" w:hAnsi="Verdana" w:cs="Arial"/>
                <w:iCs/>
                <w:color w:val="000000" w:themeColor="text1"/>
                <w:sz w:val="22"/>
                <w:szCs w:val="22"/>
              </w:rPr>
              <w:t xml:space="preserve">Disponible en: </w:t>
            </w:r>
            <w:hyperlink r:id="rId13" w:history="1">
              <w:r w:rsidRPr="00BD2614">
                <w:rPr>
                  <w:rStyle w:val="Hipervnculo"/>
                  <w:rFonts w:ascii="Verdana" w:hAnsi="Verdana"/>
                  <w:sz w:val="22"/>
                  <w:szCs w:val="22"/>
                  <w:lang w:val="es-CO"/>
                </w:rPr>
                <w:t>cce_guia_supervision_interventoria.pdf</w:t>
              </w:r>
            </w:hyperlink>
            <w:r w:rsidRPr="00BD2614">
              <w:rPr>
                <w:rFonts w:ascii="Verdana" w:hAnsi="Verdana"/>
                <w:iCs/>
                <w:sz w:val="22"/>
                <w:szCs w:val="22"/>
                <w:lang w:val="es-CO"/>
              </w:rPr>
              <w:t xml:space="preserve"> </w:t>
            </w:r>
          </w:p>
          <w:p w14:paraId="0FF858F6" w14:textId="77777777" w:rsidR="004D4217" w:rsidRPr="00C873C4" w:rsidRDefault="004D4217" w:rsidP="00F271CE">
            <w:pPr>
              <w:pStyle w:val="Textonotapie"/>
              <w:numPr>
                <w:ilvl w:val="0"/>
                <w:numId w:val="17"/>
              </w:numPr>
              <w:spacing w:line="276" w:lineRule="auto"/>
              <w:jc w:val="both"/>
              <w:rPr>
                <w:rFonts w:ascii="Verdana" w:hAnsi="Verdana" w:cs="Arial"/>
                <w:color w:val="000000" w:themeColor="text1"/>
                <w:sz w:val="22"/>
                <w:szCs w:val="22"/>
              </w:rPr>
            </w:pPr>
            <w:r w:rsidRPr="00905A2C">
              <w:rPr>
                <w:rFonts w:ascii="Verdana" w:hAnsi="Verdana" w:cs="Arial"/>
                <w:iCs/>
                <w:color w:val="000000" w:themeColor="text1"/>
                <w:sz w:val="22"/>
                <w:szCs w:val="22"/>
              </w:rPr>
              <w:t>Departamento Administrativo de la Función Pública. Concepto del 6 de mayo de 2019. Rad. 140.881.</w:t>
            </w:r>
          </w:p>
          <w:p w14:paraId="45799F2C" w14:textId="77777777" w:rsidR="004D4217" w:rsidRPr="007A3DD4" w:rsidRDefault="004D4217" w:rsidP="00F271CE">
            <w:pPr>
              <w:pStyle w:val="Textonotapie"/>
              <w:numPr>
                <w:ilvl w:val="0"/>
                <w:numId w:val="17"/>
              </w:numPr>
              <w:spacing w:line="276" w:lineRule="auto"/>
              <w:jc w:val="both"/>
              <w:rPr>
                <w:rFonts w:ascii="Verdana" w:hAnsi="Verdana" w:cs="Arial"/>
                <w:color w:val="000000" w:themeColor="text1"/>
                <w:sz w:val="22"/>
                <w:szCs w:val="22"/>
              </w:rPr>
            </w:pPr>
            <w:r w:rsidRPr="00C873C4">
              <w:rPr>
                <w:rFonts w:ascii="Verdana" w:hAnsi="Verdana" w:cs="Arial"/>
                <w:color w:val="000000" w:themeColor="text1"/>
                <w:sz w:val="22"/>
                <w:szCs w:val="22"/>
              </w:rPr>
              <w:t xml:space="preserve">BOBBIO, Norberto. Democracia y secreto. México: Fondo de Cultura Económica, 2013. </w:t>
            </w:r>
          </w:p>
        </w:tc>
      </w:tr>
    </w:tbl>
    <w:p w14:paraId="4B67B9E3" w14:textId="77777777" w:rsidR="004D4217" w:rsidRDefault="004D4217" w:rsidP="004D4217">
      <w:pPr>
        <w:tabs>
          <w:tab w:val="left" w:pos="142"/>
          <w:tab w:val="left" w:pos="284"/>
          <w:tab w:val="left" w:pos="3828"/>
        </w:tabs>
        <w:spacing w:after="0" w:line="276" w:lineRule="auto"/>
        <w:jc w:val="both"/>
        <w:rPr>
          <w:rFonts w:ascii="Verdana" w:eastAsia="Century Gothic" w:hAnsi="Verdana" w:cs="Century Gothic"/>
          <w:b/>
          <w:bCs/>
        </w:rPr>
      </w:pPr>
    </w:p>
    <w:p w14:paraId="6553043E" w14:textId="77777777" w:rsidR="004D4217" w:rsidRPr="0091091D" w:rsidRDefault="004D4217" w:rsidP="004D4217">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3CD6A301" w14:textId="77777777" w:rsidR="004D4217" w:rsidRPr="00627CE2" w:rsidRDefault="004D4217" w:rsidP="00803124">
      <w:pPr>
        <w:widowControl w:val="0"/>
        <w:autoSpaceDE w:val="0"/>
        <w:autoSpaceDN w:val="0"/>
        <w:spacing w:after="0" w:line="276" w:lineRule="auto"/>
        <w:jc w:val="both"/>
        <w:rPr>
          <w:rStyle w:val="normaltextrun"/>
          <w:rFonts w:ascii="Verdana" w:hAnsi="Verdana" w:cs="Arial"/>
          <w:sz w:val="20"/>
          <w:szCs w:val="20"/>
          <w:shd w:val="clear" w:color="auto" w:fill="FFFFFF"/>
          <w:lang w:val="es-MX"/>
        </w:rPr>
      </w:pPr>
    </w:p>
    <w:p w14:paraId="11382719" w14:textId="269718A5" w:rsidR="004D4217" w:rsidRDefault="004D4217" w:rsidP="00BD2614">
      <w:pPr>
        <w:widowControl w:val="0"/>
        <w:autoSpaceDE w:val="0"/>
        <w:autoSpaceDN w:val="0"/>
        <w:spacing w:after="0" w:line="276" w:lineRule="auto"/>
        <w:jc w:val="both"/>
        <w:rPr>
          <w:rFonts w:ascii="Verdana" w:hAnsi="Verdana" w:cs="Arial"/>
        </w:rPr>
      </w:pPr>
      <w:r w:rsidRPr="00910DE4">
        <w:rPr>
          <w:rFonts w:ascii="Verdana" w:hAnsi="Verdana" w:cs="Arial"/>
          <w:lang w:val="es-ES"/>
        </w:rPr>
        <w:t xml:space="preserve">La Agencia Nacional de Contratación Pública – Colombia Compra Eficiente se ha referido </w:t>
      </w:r>
      <w:r w:rsidRPr="00910DE4">
        <w:rPr>
          <w:rFonts w:ascii="Verdana" w:hAnsi="Verdana" w:cs="Arial"/>
        </w:rPr>
        <w:t xml:space="preserve">sobre </w:t>
      </w:r>
      <w:r>
        <w:rPr>
          <w:rFonts w:ascii="Verdana" w:hAnsi="Verdana" w:cs="Arial"/>
        </w:rPr>
        <w:t xml:space="preserve">designación de </w:t>
      </w:r>
      <w:r w:rsidRPr="00910DE4">
        <w:rPr>
          <w:rFonts w:ascii="Verdana" w:hAnsi="Verdana" w:cs="Arial"/>
        </w:rPr>
        <w:t xml:space="preserve">supervisión de los contratos estatales, en los conceptos, </w:t>
      </w:r>
      <w:r>
        <w:rPr>
          <w:rFonts w:ascii="Verdana" w:hAnsi="Verdana" w:cs="Arial"/>
        </w:rPr>
        <w:t xml:space="preserve">C-048 del 26 de febrero de 2025, </w:t>
      </w:r>
      <w:r w:rsidRPr="00910DE4">
        <w:rPr>
          <w:rFonts w:ascii="Verdana" w:hAnsi="Verdana" w:cs="Arial"/>
        </w:rPr>
        <w:t xml:space="preserve">C-1611 del 15 de diciembre de 2025, </w:t>
      </w:r>
      <w:r>
        <w:rPr>
          <w:rFonts w:ascii="Verdana" w:hAnsi="Verdana" w:cs="Arial"/>
        </w:rPr>
        <w:t xml:space="preserve">C-1751 del 5 de enero de 2026, C-028 del 16 de febrero de 2026, entre otros. Sobre la designación de comité de evaluación, esta Subdirección se ha pronunciado en los conceptos </w:t>
      </w:r>
      <w:r w:rsidRPr="00854A9B">
        <w:rPr>
          <w:rFonts w:ascii="Verdana" w:hAnsi="Verdana" w:cs="Arial"/>
        </w:rPr>
        <w:t>C-128 del 3 de marzo de 2020, C-522 del 1 de octubre de 2021, C-063 de 17 de abril 2024</w:t>
      </w:r>
      <w:r>
        <w:rPr>
          <w:rFonts w:ascii="Verdana" w:hAnsi="Verdana" w:cs="Arial"/>
        </w:rPr>
        <w:t xml:space="preserve">, C-602 del 9 de octubre de 2024, entre otros. </w:t>
      </w:r>
    </w:p>
    <w:p w14:paraId="0D9948C9" w14:textId="77777777" w:rsidR="00627CE2" w:rsidRPr="00627CE2" w:rsidRDefault="00627CE2" w:rsidP="00803124">
      <w:pPr>
        <w:widowControl w:val="0"/>
        <w:autoSpaceDE w:val="0"/>
        <w:autoSpaceDN w:val="0"/>
        <w:spacing w:after="0" w:line="240" w:lineRule="auto"/>
        <w:jc w:val="both"/>
        <w:rPr>
          <w:rFonts w:ascii="Verdana" w:hAnsi="Verdana" w:cs="Arial"/>
        </w:rPr>
      </w:pPr>
    </w:p>
    <w:p w14:paraId="3240935E" w14:textId="77777777" w:rsidR="004D4217" w:rsidRDefault="004D4217" w:rsidP="00803124">
      <w:pPr>
        <w:widowControl w:val="0"/>
        <w:autoSpaceDE w:val="0"/>
        <w:autoSpaceDN w:val="0"/>
        <w:spacing w:after="0" w:line="276" w:lineRule="auto"/>
        <w:jc w:val="both"/>
        <w:rPr>
          <w:rFonts w:ascii="Verdana" w:hAnsi="Verdana" w:cs="Arial"/>
        </w:rPr>
      </w:pPr>
      <w:r>
        <w:rPr>
          <w:rFonts w:ascii="Verdana" w:hAnsi="Verdana" w:cs="Arial"/>
        </w:rPr>
        <w:t xml:space="preserve">Por otro lado, respecto del principio de publicidad y la publicidad de los documentos contractuales, esta Subdirección se ha pronunciado en los conceptos C-1306 del 20 de octubre de 2025, C-1692 del 30 de diciembre de 2025, C-070 del 26 de febrero de 2026, C- 198 del 19 de marzo de 2026, entre otros. </w:t>
      </w:r>
      <w:r w:rsidRPr="001450CA">
        <w:rPr>
          <w:rFonts w:ascii="Verdana" w:hAnsi="Verdana" w:cs="Arial"/>
        </w:rPr>
        <w:t xml:space="preserve">Estos y otros </w:t>
      </w:r>
      <w:r w:rsidRPr="001450CA">
        <w:rPr>
          <w:rFonts w:ascii="Verdana" w:hAnsi="Verdana"/>
        </w:rPr>
        <w:t>conceptos se encuentran disponibles para consulta en el Sistema de relatoría de la Agencia, al cual se puede acceder a través del siguiente</w:t>
      </w:r>
      <w:r w:rsidRPr="00104DE4">
        <w:rPr>
          <w:rFonts w:ascii="Verdana" w:hAnsi="Verdana"/>
        </w:rPr>
        <w:t xml:space="preserve"> enlace:</w:t>
      </w:r>
      <w:r w:rsidRPr="00104DE4">
        <w:rPr>
          <w:rFonts w:ascii="Verdana" w:hAnsi="Verdana" w:cs="Arial"/>
          <w:shd w:val="clear" w:color="auto" w:fill="FFFFFF"/>
        </w:rPr>
        <w:t xml:space="preserve"> </w:t>
      </w:r>
      <w:hyperlink r:id="rId14" w:history="1">
        <w:r w:rsidRPr="00BD2614">
          <w:rPr>
            <w:rFonts w:ascii="Verdana" w:hAnsi="Verdana" w:cs="Arial"/>
            <w:color w:val="0563C1" w:themeColor="hyperlink"/>
            <w:u w:val="single"/>
            <w:shd w:val="clear" w:color="auto" w:fill="FFFFFF"/>
          </w:rPr>
          <w:t>https://relatoria.colombiacompra.gov.co/busqueda/conceptos</w:t>
        </w:r>
      </w:hyperlink>
      <w:r w:rsidRPr="008746BD">
        <w:rPr>
          <w:rFonts w:ascii="Verdana" w:hAnsi="Verdana" w:cs="Arial"/>
          <w:shd w:val="clear" w:color="auto" w:fill="FFFFFF"/>
        </w:rPr>
        <w:t>.</w:t>
      </w:r>
      <w:r w:rsidRPr="008746BD">
        <w:rPr>
          <w:rFonts w:ascii="Verdana" w:hAnsi="Verdana" w:cs="Arial"/>
          <w:color w:val="FF0000"/>
          <w:shd w:val="clear" w:color="auto" w:fill="FFFFFF"/>
        </w:rPr>
        <w:t xml:space="preserve"> </w:t>
      </w:r>
      <w:r w:rsidRPr="008746BD">
        <w:rPr>
          <w:rFonts w:ascii="Verdana" w:hAnsi="Verdana" w:cs="Arial"/>
          <w:color w:val="000000" w:themeColor="text1"/>
          <w:shd w:val="clear" w:color="auto" w:fill="FFFFFF"/>
        </w:rPr>
        <w:t>  </w:t>
      </w:r>
    </w:p>
    <w:p w14:paraId="675B2947" w14:textId="77777777" w:rsidR="00627CE2" w:rsidRDefault="00627CE2" w:rsidP="00BD2614">
      <w:pPr>
        <w:widowControl w:val="0"/>
        <w:autoSpaceDE w:val="0"/>
        <w:autoSpaceDN w:val="0"/>
        <w:spacing w:after="0" w:line="276" w:lineRule="auto"/>
        <w:jc w:val="both"/>
        <w:rPr>
          <w:rFonts w:ascii="Verdana" w:hAnsi="Verdana"/>
        </w:rPr>
      </w:pPr>
    </w:p>
    <w:p w14:paraId="1EB733E2" w14:textId="77777777" w:rsidR="004001DA" w:rsidRDefault="004D4217" w:rsidP="004001DA">
      <w:pPr>
        <w:widowControl w:val="0"/>
        <w:autoSpaceDE w:val="0"/>
        <w:autoSpaceDN w:val="0"/>
        <w:spacing w:after="120" w:line="276" w:lineRule="auto"/>
        <w:jc w:val="both"/>
        <w:rPr>
          <w:rStyle w:val="Hipervnculo"/>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BD2614">
          <w:rPr>
            <w:rStyle w:val="Hipervnculo"/>
            <w:rFonts w:ascii="Verdana" w:hAnsi="Verdana"/>
          </w:rPr>
          <w:t>https://formacionvirtual.colombiacompra.gov.co/mod/page/view.php?id=3718</w:t>
        </w:r>
      </w:hyperlink>
    </w:p>
    <w:p w14:paraId="2F0056A4" w14:textId="77777777" w:rsidR="004001DA" w:rsidRDefault="004D4217" w:rsidP="004001DA">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BD2614">
        <w:rPr>
          <w:rFonts w:ascii="Verdana" w:hAnsi="Verdana"/>
        </w:rPr>
        <w:t xml:space="preserve">Consulta y descarga los documentos aquí: </w:t>
      </w:r>
      <w:hyperlink r:id="rId16" w:tgtFrame="_new" w:history="1">
        <w:r w:rsidRPr="00BD2614">
          <w:rPr>
            <w:rStyle w:val="Hipervnculo"/>
            <w:rFonts w:ascii="Verdana" w:hAnsi="Verdana"/>
          </w:rPr>
          <w:t>https://www.colombiacompra.gov.co/normativa-y-relatoria/documentos-tipo</w:t>
        </w:r>
      </w:hyperlink>
    </w:p>
    <w:p w14:paraId="79D4B40B" w14:textId="77777777" w:rsidR="004001DA" w:rsidRDefault="004D4217" w:rsidP="004001DA">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BD2614">
        <w:rPr>
          <w:rFonts w:ascii="Verdana" w:hAnsi="Verdana"/>
        </w:rPr>
        <w:t>Además se incluyeron lineamientos que orientan la implementación de los criterios ambientales y sociales incluidos en los documentos tipo: Consulta la guía aquí:</w:t>
      </w:r>
      <w:r w:rsidRPr="00BD2614">
        <w:rPr>
          <w:rFonts w:ascii="Verdana" w:hAnsi="Verdana"/>
        </w:rPr>
        <w:br/>
      </w:r>
      <w:hyperlink r:id="rId17" w:tgtFrame="_new" w:history="1">
        <w:r w:rsidRPr="00BD2614">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5DEFADF" w14:textId="3284EE54" w:rsidR="00627CE2" w:rsidRPr="00627CE2" w:rsidRDefault="004D4217" w:rsidP="004001DA">
      <w:pPr>
        <w:widowControl w:val="0"/>
        <w:autoSpaceDE w:val="0"/>
        <w:autoSpaceDN w:val="0"/>
        <w:spacing w:after="120" w:line="276" w:lineRule="auto"/>
        <w:jc w:val="both"/>
        <w:rPr>
          <w:rFonts w:ascii="Verdana" w:hAnsi="Verdana" w:cs="Arial"/>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3507B502" w14:textId="77777777" w:rsidR="004D4217" w:rsidRPr="00116940" w:rsidRDefault="004D4217" w:rsidP="004D4217">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03B7D66A" w14:textId="77777777" w:rsidR="004D4217" w:rsidRPr="00116940" w:rsidRDefault="004D4217" w:rsidP="004D4217">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3EA94BF7" w14:textId="77777777" w:rsidR="004D4217" w:rsidRPr="00116940" w:rsidRDefault="004D4217" w:rsidP="004D4217">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8">
        <w:r w:rsidRPr="00116940">
          <w:rPr>
            <w:rStyle w:val="Hipervnculo"/>
            <w:rFonts w:ascii="Verdana" w:eastAsia="Verdana" w:hAnsi="Verdana" w:cs="Verdana"/>
            <w:lang w:val="es-MX"/>
          </w:rPr>
          <w:t>ventanilladeradicacion@colombiacompra.gov.co</w:t>
        </w:r>
      </w:hyperlink>
    </w:p>
    <w:p w14:paraId="7FD42A0E" w14:textId="77777777" w:rsidR="004D4217" w:rsidRPr="00116940" w:rsidRDefault="004D4217" w:rsidP="004D4217">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9">
        <w:r w:rsidRPr="00116940">
          <w:rPr>
            <w:rStyle w:val="Hipervnculo"/>
            <w:rFonts w:ascii="Verdana" w:eastAsia="Verdana" w:hAnsi="Verdana" w:cs="Verdana"/>
            <w:lang w:val="es-MX"/>
          </w:rPr>
          <w:t>https://www.colombiacompra.gov.co/pqrsd/informacion-importante-antes-de-formular-una-pqrsd</w:t>
        </w:r>
      </w:hyperlink>
    </w:p>
    <w:p w14:paraId="095E4770" w14:textId="77777777" w:rsidR="004D4217" w:rsidRPr="00116940" w:rsidRDefault="004D4217" w:rsidP="004D4217">
      <w:pPr>
        <w:spacing w:after="0" w:line="276" w:lineRule="auto"/>
        <w:ind w:left="720"/>
        <w:jc w:val="both"/>
        <w:rPr>
          <w:rFonts w:ascii="Verdana" w:hAnsi="Verdana"/>
        </w:rPr>
      </w:pPr>
    </w:p>
    <w:p w14:paraId="00E739FB" w14:textId="77777777" w:rsidR="004D4217" w:rsidRDefault="004D4217" w:rsidP="004D4217">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20" w:history="1">
        <w:r w:rsidRPr="00BD2614">
          <w:rPr>
            <w:rStyle w:val="Hipervnculo"/>
            <w:rFonts w:ascii="Verdana" w:eastAsia="Verdana" w:hAnsi="Verdana" w:cs="Verdana"/>
            <w:lang w:val="es-MX"/>
          </w:rPr>
          <w:t>https://forms.office.com/r/pPHyWVs2SZ</w:t>
        </w:r>
      </w:hyperlink>
      <w:r w:rsidRPr="00BD2614">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41A7FEB1" w14:textId="77777777" w:rsidR="004D4217" w:rsidRDefault="004D4217" w:rsidP="004D4217">
      <w:pPr>
        <w:spacing w:after="0" w:line="276" w:lineRule="auto"/>
        <w:jc w:val="both"/>
        <w:rPr>
          <w:rFonts w:ascii="Verdana" w:hAnsi="Verdana"/>
        </w:rPr>
      </w:pPr>
    </w:p>
    <w:p w14:paraId="64E2A218" w14:textId="77777777" w:rsidR="004D4217" w:rsidRPr="00116940" w:rsidRDefault="004D4217" w:rsidP="004D4217">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65715732" w14:textId="77777777" w:rsidR="004D4217" w:rsidRPr="008746BD" w:rsidRDefault="004D4217" w:rsidP="004D4217">
      <w:pPr>
        <w:spacing w:after="0" w:line="276" w:lineRule="auto"/>
        <w:jc w:val="both"/>
        <w:rPr>
          <w:rFonts w:ascii="Verdana" w:hAnsi="Verdana"/>
        </w:rPr>
      </w:pPr>
    </w:p>
    <w:p w14:paraId="482B0942" w14:textId="77777777" w:rsidR="004D4217" w:rsidRPr="00116940" w:rsidRDefault="004D4217" w:rsidP="004D4217">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60EF8A0" w14:textId="77777777" w:rsidR="004D4217" w:rsidRPr="00116940" w:rsidRDefault="004D4217" w:rsidP="004D4217">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7764EF2F" w14:textId="77777777" w:rsidR="004D4217" w:rsidRPr="00116940" w:rsidRDefault="004D4217" w:rsidP="004D4217">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7638CED7" w14:textId="77777777" w:rsidR="004D4217" w:rsidRDefault="004D4217" w:rsidP="004D4217">
      <w:pPr>
        <w:spacing w:after="0" w:line="276" w:lineRule="auto"/>
        <w:jc w:val="both"/>
        <w:rPr>
          <w:rFonts w:ascii="Verdana" w:hAnsi="Verdana"/>
          <w:lang w:val="es-MX"/>
        </w:rPr>
      </w:pPr>
    </w:p>
    <w:p w14:paraId="7C63F62D" w14:textId="77777777" w:rsidR="004D4217" w:rsidRPr="00330029" w:rsidRDefault="004D4217" w:rsidP="004D4217">
      <w:pPr>
        <w:spacing w:after="0" w:line="276" w:lineRule="auto"/>
        <w:jc w:val="both"/>
        <w:rPr>
          <w:rFonts w:ascii="Verdana" w:hAnsi="Verdana"/>
          <w:lang w:val="es-MX"/>
        </w:rPr>
      </w:pPr>
      <w:r w:rsidRPr="00E02524">
        <w:rPr>
          <w:rFonts w:ascii="Verdana" w:hAnsi="Verdana"/>
          <w:lang w:val="es-MX"/>
        </w:rPr>
        <w:t>Cordialmente,</w:t>
      </w:r>
    </w:p>
    <w:p w14:paraId="36B8A39D" w14:textId="7AA8ACA5" w:rsidR="004D4217" w:rsidRDefault="004C447C" w:rsidP="004D4217">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33F43911" wp14:editId="3B3E1638">
            <wp:extent cx="3315694" cy="1562204"/>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1"/>
                    <a:stretch>
                      <a:fillRect/>
                    </a:stretch>
                  </pic:blipFill>
                  <pic:spPr>
                    <a:xfrm>
                      <a:off x="0" y="0"/>
                      <a:ext cx="3343783" cy="1575438"/>
                    </a:xfrm>
                    <a:prstGeom prst="rect">
                      <a:avLst/>
                    </a:prstGeom>
                  </pic:spPr>
                </pic:pic>
              </a:graphicData>
            </a:graphic>
          </wp:inline>
        </w:drawing>
      </w:r>
    </w:p>
    <w:p w14:paraId="64593B9F" w14:textId="77777777" w:rsidR="004C447C" w:rsidRDefault="004C447C" w:rsidP="004D4217">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4D4217" w:rsidRPr="005644FE" w14:paraId="16D33CB6" w14:textId="77777777" w:rsidTr="00F271CE">
        <w:trPr>
          <w:trHeight w:val="288"/>
        </w:trPr>
        <w:tc>
          <w:tcPr>
            <w:tcW w:w="893" w:type="dxa"/>
            <w:vAlign w:val="center"/>
            <w:hideMark/>
          </w:tcPr>
          <w:p w14:paraId="64699B78" w14:textId="77777777" w:rsidR="004D4217" w:rsidRPr="005644FE" w:rsidRDefault="004D4217" w:rsidP="00F271CE">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427E37D7" w14:textId="77777777" w:rsidR="004D4217" w:rsidRPr="005644FE" w:rsidRDefault="004D4217" w:rsidP="00F271CE">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7F31067F" w14:textId="77777777" w:rsidR="004D4217" w:rsidRPr="005644FE" w:rsidRDefault="004D4217" w:rsidP="00F271CE">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4D4217" w:rsidRPr="005644FE" w14:paraId="0F682F18" w14:textId="77777777" w:rsidTr="00F271CE">
        <w:trPr>
          <w:trHeight w:val="330"/>
        </w:trPr>
        <w:tc>
          <w:tcPr>
            <w:tcW w:w="893" w:type="dxa"/>
            <w:vAlign w:val="center"/>
            <w:hideMark/>
          </w:tcPr>
          <w:p w14:paraId="40CCCE49" w14:textId="77777777" w:rsidR="004D4217" w:rsidRPr="005644FE" w:rsidRDefault="004D4217" w:rsidP="00F271CE">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0C129AE4" w14:textId="77777777" w:rsidR="004D4217" w:rsidRPr="0043234D" w:rsidRDefault="004D4217" w:rsidP="00F271CE">
            <w:pPr>
              <w:pStyle w:val="paragraph"/>
              <w:spacing w:before="0" w:beforeAutospacing="0" w:after="0" w:afterAutospacing="0"/>
              <w:contextualSpacing/>
              <w:textAlignment w:val="baseline"/>
              <w:rPr>
                <w:rStyle w:val="normaltextrun"/>
                <w:rFonts w:ascii="Verdana" w:hAnsi="Verdana"/>
                <w:sz w:val="16"/>
                <w:szCs w:val="16"/>
              </w:rPr>
            </w:pPr>
            <w:r w:rsidRPr="0043234D">
              <w:rPr>
                <w:rStyle w:val="normaltextrun"/>
                <w:rFonts w:ascii="Verdana" w:hAnsi="Verdana"/>
                <w:sz w:val="16"/>
                <w:szCs w:val="16"/>
              </w:rPr>
              <w:t xml:space="preserve">Diana Lucía Saavedra </w:t>
            </w:r>
            <w:r>
              <w:rPr>
                <w:rStyle w:val="normaltextrun"/>
                <w:rFonts w:ascii="Verdana" w:hAnsi="Verdana"/>
                <w:sz w:val="16"/>
                <w:szCs w:val="16"/>
              </w:rPr>
              <w:t>Castañeda</w:t>
            </w:r>
          </w:p>
          <w:p w14:paraId="40CCE489" w14:textId="77777777" w:rsidR="004D4217" w:rsidRPr="005644FE" w:rsidRDefault="004D4217" w:rsidP="00F271CE">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4D4217" w:rsidRPr="005644FE" w14:paraId="02D0A609" w14:textId="77777777" w:rsidTr="00F271CE">
        <w:trPr>
          <w:trHeight w:val="300"/>
        </w:trPr>
        <w:tc>
          <w:tcPr>
            <w:tcW w:w="893" w:type="dxa"/>
            <w:vAlign w:val="center"/>
          </w:tcPr>
          <w:p w14:paraId="2AE35E99" w14:textId="77777777" w:rsidR="004D4217" w:rsidRPr="005644FE" w:rsidRDefault="004D4217" w:rsidP="00F271CE">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6FB0D3DE" w14:textId="77777777" w:rsidR="004D4217" w:rsidRPr="005644FE" w:rsidRDefault="004D4217" w:rsidP="00F271CE">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6DBCE601" w14:textId="77777777" w:rsidR="004D4217" w:rsidRPr="005644FE" w:rsidRDefault="004D4217" w:rsidP="00F271CE">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0"/>
    </w:tbl>
    <w:p w14:paraId="197E4984" w14:textId="77777777" w:rsidR="004D4217" w:rsidRPr="00AD4972" w:rsidRDefault="004D4217" w:rsidP="004D4217">
      <w:pPr>
        <w:rPr>
          <w:rFonts w:ascii="Verdana" w:hAnsi="Verdana"/>
        </w:rPr>
      </w:pPr>
    </w:p>
    <w:bookmarkEnd w:id="1"/>
    <w:p w14:paraId="12443EE0" w14:textId="5672FDC5" w:rsidR="00C15139" w:rsidRPr="0024624F" w:rsidRDefault="00C15139" w:rsidP="30821638">
      <w:pPr>
        <w:spacing w:after="0"/>
        <w:rPr>
          <w:rFonts w:ascii="Verdana" w:eastAsia="Verdana" w:hAnsi="Verdana" w:cs="Verdana"/>
        </w:rPr>
      </w:pPr>
    </w:p>
    <w:sectPr w:rsidR="00C15139" w:rsidRPr="0024624F"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296183" w14:textId="77777777" w:rsidR="00263481" w:rsidRDefault="00263481" w:rsidP="004A1847">
      <w:pPr>
        <w:spacing w:after="0" w:line="240" w:lineRule="auto"/>
      </w:pPr>
      <w:r>
        <w:separator/>
      </w:r>
    </w:p>
  </w:endnote>
  <w:endnote w:type="continuationSeparator" w:id="0">
    <w:p w14:paraId="3838CB57" w14:textId="77777777" w:rsidR="00263481" w:rsidRDefault="0026348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Times New Roman">
    <w:altName w:val="Times New Roman"/>
    <w:charset w:val="00"/>
    <w:family w:val="roman"/>
    <w:pitch w:val="default"/>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253CCE" w14:textId="77777777" w:rsidR="00263481" w:rsidRDefault="00263481" w:rsidP="004A1847">
      <w:pPr>
        <w:spacing w:after="0" w:line="240" w:lineRule="auto"/>
      </w:pPr>
      <w:r>
        <w:separator/>
      </w:r>
    </w:p>
  </w:footnote>
  <w:footnote w:type="continuationSeparator" w:id="0">
    <w:p w14:paraId="385893B0" w14:textId="77777777" w:rsidR="00263481" w:rsidRDefault="00263481" w:rsidP="004A1847">
      <w:pPr>
        <w:spacing w:after="0" w:line="240" w:lineRule="auto"/>
      </w:pPr>
      <w:r>
        <w:continuationSeparator/>
      </w:r>
    </w:p>
  </w:footnote>
  <w:footnote w:id="1">
    <w:p w14:paraId="57732D77" w14:textId="77777777" w:rsidR="004D4217" w:rsidRDefault="004D4217" w:rsidP="00F86AD8">
      <w:pPr>
        <w:pStyle w:val="Textonotapie"/>
        <w:ind w:firstLine="709"/>
        <w:jc w:val="both"/>
        <w:rPr>
          <w:rFonts w:ascii="Verdana" w:hAnsi="Verdana" w:cs="Arial"/>
          <w:iCs/>
          <w:color w:val="1A1A1A" w:themeColor="background1" w:themeShade="1A"/>
          <w:sz w:val="16"/>
          <w:szCs w:val="16"/>
        </w:rPr>
      </w:pPr>
      <w:r w:rsidRPr="00B10C77">
        <w:rPr>
          <w:rStyle w:val="Refdenotaalpie"/>
          <w:rFonts w:ascii="Verdana" w:hAnsi="Verdana" w:cs="Arial"/>
          <w:color w:val="1A1A1A" w:themeColor="background1" w:themeShade="1A"/>
          <w:sz w:val="16"/>
          <w:szCs w:val="16"/>
        </w:rPr>
        <w:footnoteRef/>
      </w:r>
      <w:r w:rsidRPr="00B10C77">
        <w:rPr>
          <w:rFonts w:ascii="Verdana" w:hAnsi="Verdana" w:cs="Arial"/>
          <w:color w:val="1A1A1A" w:themeColor="background1" w:themeShade="1A"/>
          <w:sz w:val="16"/>
          <w:szCs w:val="16"/>
        </w:rPr>
        <w:t xml:space="preserve"> </w:t>
      </w:r>
      <w:r w:rsidRPr="00B10C77">
        <w:rPr>
          <w:rFonts w:ascii="Verdana" w:hAnsi="Verdana" w:cs="Arial"/>
          <w:iCs/>
          <w:color w:val="1A1A1A" w:themeColor="background1" w:themeShade="1A"/>
          <w:sz w:val="16"/>
          <w:szCs w:val="16"/>
        </w:rPr>
        <w:t>Artículo 3 de la Ley 80 de 1993.</w:t>
      </w:r>
    </w:p>
    <w:p w14:paraId="78A4218B" w14:textId="77777777" w:rsidR="004D4217" w:rsidRPr="00B10C77" w:rsidRDefault="004D4217" w:rsidP="00F86AD8">
      <w:pPr>
        <w:pStyle w:val="Textonotapie"/>
        <w:ind w:firstLine="709"/>
        <w:jc w:val="both"/>
        <w:rPr>
          <w:rFonts w:ascii="Verdana" w:hAnsi="Verdana" w:cs="Arial"/>
          <w:iCs/>
          <w:color w:val="1A1A1A" w:themeColor="background1" w:themeShade="1A"/>
          <w:sz w:val="16"/>
          <w:szCs w:val="16"/>
        </w:rPr>
      </w:pPr>
    </w:p>
  </w:footnote>
  <w:footnote w:id="2">
    <w:p w14:paraId="4BA7C03D" w14:textId="77777777" w:rsidR="004D4217" w:rsidRPr="00D00295" w:rsidRDefault="004D4217" w:rsidP="00F86AD8">
      <w:pPr>
        <w:pStyle w:val="Textonotapie"/>
        <w:ind w:firstLine="709"/>
        <w:jc w:val="both"/>
        <w:rPr>
          <w:rFonts w:ascii="Verdana" w:hAnsi="Verdana" w:cs="Arial"/>
          <w:iCs/>
          <w:color w:val="000000" w:themeColor="text1"/>
          <w:sz w:val="16"/>
          <w:szCs w:val="16"/>
        </w:rPr>
      </w:pPr>
      <w:r w:rsidRPr="00B10C77">
        <w:rPr>
          <w:rStyle w:val="Refdenotaalpie"/>
          <w:rFonts w:ascii="Verdana" w:hAnsi="Verdana" w:cs="Arial"/>
          <w:color w:val="000000" w:themeColor="text1"/>
          <w:sz w:val="16"/>
          <w:szCs w:val="16"/>
        </w:rPr>
        <w:footnoteRef/>
      </w:r>
      <w:r w:rsidRPr="00B10C77">
        <w:rPr>
          <w:rFonts w:ascii="Verdana" w:hAnsi="Verdana" w:cs="Arial"/>
          <w:color w:val="000000" w:themeColor="text1"/>
          <w:sz w:val="16"/>
          <w:szCs w:val="16"/>
        </w:rPr>
        <w:t xml:space="preserve"> </w:t>
      </w:r>
      <w:r w:rsidRPr="00B10C77">
        <w:rPr>
          <w:rFonts w:ascii="Verdana" w:hAnsi="Verdana" w:cs="Arial"/>
          <w:iCs/>
          <w:color w:val="000000" w:themeColor="text1"/>
          <w:sz w:val="16"/>
          <w:szCs w:val="16"/>
        </w:rPr>
        <w:t xml:space="preserve">Consejo de Estado. </w:t>
      </w:r>
      <w:r>
        <w:rPr>
          <w:rFonts w:ascii="Verdana" w:hAnsi="Verdana" w:cs="Arial"/>
          <w:iCs/>
          <w:color w:val="000000" w:themeColor="text1"/>
          <w:sz w:val="16"/>
          <w:szCs w:val="16"/>
        </w:rPr>
        <w:t>Sala de lo Contencioso Administrativo. Sección Tercera. Subsección C.</w:t>
      </w:r>
      <w:r w:rsidRPr="00B10C77">
        <w:rPr>
          <w:rFonts w:ascii="Verdana" w:hAnsi="Verdana" w:cs="Arial"/>
          <w:iCs/>
          <w:color w:val="000000" w:themeColor="text1"/>
          <w:sz w:val="16"/>
          <w:szCs w:val="16"/>
        </w:rPr>
        <w:t xml:space="preserve"> Sentencia del 27 de noviembre de 2017. M.P. Jaime Orlando Santofimio. Exp. 51.802.</w:t>
      </w:r>
    </w:p>
  </w:footnote>
  <w:footnote w:id="3">
    <w:p w14:paraId="7D86CFFB" w14:textId="77777777" w:rsidR="004D4217" w:rsidRPr="00B10C77" w:rsidRDefault="004D4217" w:rsidP="00F86AD8">
      <w:pPr>
        <w:pStyle w:val="Textonotapie"/>
        <w:ind w:firstLine="709"/>
        <w:jc w:val="both"/>
        <w:rPr>
          <w:rFonts w:ascii="Verdana" w:hAnsi="Verdana" w:cs="Arial"/>
          <w:iCs/>
          <w:color w:val="000000" w:themeColor="text1"/>
          <w:sz w:val="16"/>
          <w:szCs w:val="16"/>
        </w:rPr>
      </w:pPr>
      <w:r w:rsidRPr="00B10C77">
        <w:rPr>
          <w:rStyle w:val="Refdenotaalpie"/>
          <w:rFonts w:ascii="Verdana" w:hAnsi="Verdana" w:cs="Arial"/>
          <w:color w:val="000000" w:themeColor="text1"/>
          <w:sz w:val="16"/>
          <w:szCs w:val="16"/>
        </w:rPr>
        <w:footnoteRef/>
      </w:r>
      <w:r w:rsidRPr="00B10C77">
        <w:rPr>
          <w:rFonts w:ascii="Verdana" w:hAnsi="Verdana" w:cs="Arial"/>
          <w:color w:val="000000" w:themeColor="text1"/>
          <w:sz w:val="16"/>
          <w:szCs w:val="16"/>
        </w:rPr>
        <w:t xml:space="preserve"> </w:t>
      </w:r>
      <w:r w:rsidRPr="00B10C77">
        <w:rPr>
          <w:rFonts w:ascii="Verdana" w:hAnsi="Verdana" w:cs="Arial"/>
          <w:iCs/>
          <w:color w:val="000000" w:themeColor="text1"/>
          <w:sz w:val="16"/>
          <w:szCs w:val="16"/>
        </w:rPr>
        <w:t>Artículo 17 de la Ley 1150 de 2007.</w:t>
      </w:r>
    </w:p>
    <w:p w14:paraId="37E5B8A2" w14:textId="77777777" w:rsidR="004D4217" w:rsidRPr="00B10C77" w:rsidRDefault="004D4217" w:rsidP="00F86AD8">
      <w:pPr>
        <w:pStyle w:val="Textonotapie"/>
        <w:ind w:firstLine="709"/>
        <w:jc w:val="both"/>
        <w:rPr>
          <w:rFonts w:ascii="Verdana" w:hAnsi="Verdana" w:cs="Arial"/>
          <w:color w:val="000000" w:themeColor="text1"/>
          <w:sz w:val="16"/>
          <w:szCs w:val="16"/>
          <w:lang w:val="es-ES"/>
        </w:rPr>
      </w:pPr>
    </w:p>
  </w:footnote>
  <w:footnote w:id="4">
    <w:p w14:paraId="02E900C9" w14:textId="77777777" w:rsidR="004D4217" w:rsidRPr="00B10C77" w:rsidRDefault="004D4217" w:rsidP="00F86AD8">
      <w:pPr>
        <w:pStyle w:val="Textonotapie"/>
        <w:ind w:firstLine="709"/>
        <w:jc w:val="both"/>
        <w:rPr>
          <w:rFonts w:ascii="Verdana" w:hAnsi="Verdana" w:cs="Arial"/>
          <w:iCs/>
          <w:color w:val="000000" w:themeColor="text1"/>
          <w:sz w:val="16"/>
          <w:szCs w:val="16"/>
        </w:rPr>
      </w:pPr>
      <w:r w:rsidRPr="00B10C77">
        <w:rPr>
          <w:rStyle w:val="Refdenotaalpie"/>
          <w:rFonts w:ascii="Verdana" w:hAnsi="Verdana" w:cs="Arial"/>
          <w:color w:val="000000" w:themeColor="text1"/>
          <w:sz w:val="16"/>
          <w:szCs w:val="16"/>
        </w:rPr>
        <w:footnoteRef/>
      </w:r>
      <w:r w:rsidRPr="00B10C77">
        <w:rPr>
          <w:rFonts w:ascii="Verdana" w:hAnsi="Verdana" w:cs="Arial"/>
          <w:color w:val="000000" w:themeColor="text1"/>
          <w:sz w:val="16"/>
          <w:szCs w:val="16"/>
        </w:rPr>
        <w:t xml:space="preserve"> </w:t>
      </w:r>
      <w:r w:rsidRPr="00B10C77">
        <w:rPr>
          <w:rFonts w:ascii="Verdana" w:hAnsi="Verdana" w:cs="Arial"/>
          <w:iCs/>
          <w:color w:val="000000" w:themeColor="text1"/>
          <w:sz w:val="16"/>
          <w:szCs w:val="16"/>
        </w:rPr>
        <w:t>Artículo 21 de la Ley 1150 de 2007.</w:t>
      </w:r>
    </w:p>
    <w:p w14:paraId="3FCFE201" w14:textId="77777777" w:rsidR="004D4217" w:rsidRPr="00B10C77" w:rsidRDefault="004D4217" w:rsidP="00F86AD8">
      <w:pPr>
        <w:pStyle w:val="Textonotapie"/>
        <w:ind w:firstLine="709"/>
        <w:jc w:val="both"/>
        <w:rPr>
          <w:rFonts w:ascii="Verdana" w:hAnsi="Verdana" w:cs="Arial"/>
          <w:color w:val="000000" w:themeColor="text1"/>
          <w:sz w:val="16"/>
          <w:szCs w:val="16"/>
        </w:rPr>
      </w:pPr>
    </w:p>
  </w:footnote>
  <w:footnote w:id="5">
    <w:p w14:paraId="251E290B" w14:textId="77777777" w:rsidR="004D4217" w:rsidRPr="00B10C77" w:rsidRDefault="004D4217" w:rsidP="00F86AD8">
      <w:pPr>
        <w:pStyle w:val="Textonotapie"/>
        <w:ind w:firstLine="709"/>
        <w:jc w:val="both"/>
        <w:rPr>
          <w:rFonts w:ascii="Verdana" w:hAnsi="Verdana" w:cs="Arial"/>
          <w:iCs/>
          <w:color w:val="000000" w:themeColor="text1"/>
          <w:sz w:val="16"/>
          <w:szCs w:val="16"/>
        </w:rPr>
      </w:pPr>
      <w:r w:rsidRPr="00B10C77">
        <w:rPr>
          <w:rStyle w:val="Refdenotaalpie"/>
          <w:rFonts w:ascii="Verdana" w:hAnsi="Verdana" w:cs="Arial"/>
          <w:color w:val="000000" w:themeColor="text1"/>
          <w:sz w:val="16"/>
          <w:szCs w:val="16"/>
        </w:rPr>
        <w:footnoteRef/>
      </w:r>
      <w:r w:rsidRPr="00B10C77">
        <w:rPr>
          <w:rFonts w:ascii="Verdana" w:hAnsi="Verdana" w:cs="Arial"/>
          <w:color w:val="000000" w:themeColor="text1"/>
          <w:sz w:val="16"/>
          <w:szCs w:val="16"/>
        </w:rPr>
        <w:t xml:space="preserve"> </w:t>
      </w:r>
      <w:r w:rsidRPr="00B10C77">
        <w:rPr>
          <w:rFonts w:ascii="Verdana" w:hAnsi="Verdana" w:cs="Arial"/>
          <w:iCs/>
          <w:color w:val="000000" w:themeColor="text1"/>
          <w:sz w:val="16"/>
          <w:szCs w:val="16"/>
        </w:rPr>
        <w:t>Artículos 83 a 86 de la Ley 1474 de 2011.</w:t>
      </w:r>
    </w:p>
    <w:p w14:paraId="11194BF6" w14:textId="77777777" w:rsidR="004D4217" w:rsidRPr="00B10C77" w:rsidRDefault="004D4217" w:rsidP="00F86AD8">
      <w:pPr>
        <w:pStyle w:val="Textonotapie"/>
        <w:ind w:firstLine="709"/>
        <w:jc w:val="both"/>
        <w:rPr>
          <w:rFonts w:ascii="Verdana" w:hAnsi="Verdana" w:cs="Arial"/>
          <w:color w:val="000000" w:themeColor="text1"/>
          <w:sz w:val="16"/>
          <w:szCs w:val="16"/>
        </w:rPr>
      </w:pPr>
    </w:p>
  </w:footnote>
  <w:footnote w:id="6">
    <w:p w14:paraId="1283E25A" w14:textId="77777777" w:rsidR="004D4217" w:rsidRPr="00B10C77" w:rsidRDefault="004D4217" w:rsidP="00F86AD8">
      <w:pPr>
        <w:pStyle w:val="Textonotapie"/>
        <w:ind w:firstLine="709"/>
        <w:jc w:val="both"/>
        <w:rPr>
          <w:rFonts w:ascii="Verdana" w:hAnsi="Verdana" w:cs="Arial"/>
          <w:iCs/>
          <w:color w:val="000000"/>
          <w:sz w:val="16"/>
          <w:szCs w:val="16"/>
        </w:rPr>
      </w:pPr>
      <w:r w:rsidRPr="00B10C77">
        <w:rPr>
          <w:rStyle w:val="Refdenotaalpie"/>
          <w:rFonts w:ascii="Verdana" w:hAnsi="Verdana" w:cs="Arial"/>
          <w:color w:val="000000"/>
          <w:sz w:val="16"/>
          <w:szCs w:val="16"/>
        </w:rPr>
        <w:footnoteRef/>
      </w:r>
      <w:r w:rsidRPr="00B10C77">
        <w:rPr>
          <w:rFonts w:ascii="Verdana" w:hAnsi="Verdana" w:cs="Arial"/>
          <w:color w:val="000000"/>
          <w:sz w:val="16"/>
          <w:szCs w:val="16"/>
        </w:rPr>
        <w:t xml:space="preserve"> </w:t>
      </w:r>
      <w:r w:rsidRPr="00B10C77">
        <w:rPr>
          <w:rFonts w:ascii="Verdana" w:hAnsi="Verdana" w:cs="Arial"/>
          <w:iCs/>
          <w:color w:val="000000"/>
          <w:sz w:val="16"/>
          <w:szCs w:val="16"/>
        </w:rPr>
        <w:t>A excepción de la interventoría del contrato de obra adjudicado por licitación pública que es obligatoria según el numeral 1° del artículo 32 de la Ley 80 de 1993.</w:t>
      </w:r>
    </w:p>
    <w:p w14:paraId="688F6332" w14:textId="77777777" w:rsidR="004D4217" w:rsidRPr="00B10C77" w:rsidRDefault="004D4217" w:rsidP="00F86AD8">
      <w:pPr>
        <w:pStyle w:val="Textonotapie"/>
        <w:ind w:firstLine="709"/>
        <w:jc w:val="both"/>
        <w:rPr>
          <w:rFonts w:ascii="Verdana" w:hAnsi="Verdana" w:cs="Arial"/>
          <w:iCs/>
          <w:color w:val="000000"/>
          <w:sz w:val="16"/>
          <w:szCs w:val="16"/>
        </w:rPr>
      </w:pPr>
    </w:p>
  </w:footnote>
  <w:footnote w:id="7">
    <w:p w14:paraId="5FDD6076" w14:textId="77777777" w:rsidR="004D4217" w:rsidRPr="00B10C77" w:rsidRDefault="004D4217" w:rsidP="00F86AD8">
      <w:pPr>
        <w:pStyle w:val="Textonotapie"/>
        <w:ind w:firstLine="709"/>
        <w:jc w:val="both"/>
        <w:rPr>
          <w:rFonts w:ascii="Verdana" w:hAnsi="Verdana" w:cs="Arial"/>
          <w:color w:val="000000" w:themeColor="text1"/>
          <w:sz w:val="16"/>
          <w:szCs w:val="16"/>
        </w:rPr>
      </w:pPr>
      <w:r w:rsidRPr="00B10C77">
        <w:rPr>
          <w:rStyle w:val="Refdenotaalpie"/>
          <w:rFonts w:ascii="Verdana" w:hAnsi="Verdana" w:cs="Arial"/>
          <w:color w:val="000000" w:themeColor="text1"/>
          <w:sz w:val="16"/>
          <w:szCs w:val="16"/>
        </w:rPr>
        <w:footnoteRef/>
      </w:r>
      <w:r w:rsidRPr="00B10C77">
        <w:rPr>
          <w:rFonts w:ascii="Verdana" w:hAnsi="Verdana" w:cs="Arial"/>
          <w:color w:val="000000" w:themeColor="text1"/>
          <w:sz w:val="16"/>
          <w:szCs w:val="16"/>
        </w:rPr>
        <w:t xml:space="preserve"> Sobre las características de la supervisión de los contratos estatales se ha pronunciado esta Agencia en el concepto con radicado # 4201913000008240 del 20 de diciembre de 2019.</w:t>
      </w:r>
    </w:p>
    <w:p w14:paraId="4ACA6CE7" w14:textId="77777777" w:rsidR="004D4217" w:rsidRPr="00B10C77" w:rsidRDefault="004D4217" w:rsidP="00F86AD8">
      <w:pPr>
        <w:pStyle w:val="Textonotapie"/>
        <w:ind w:firstLine="709"/>
        <w:jc w:val="both"/>
        <w:rPr>
          <w:rFonts w:ascii="Verdana" w:hAnsi="Verdana" w:cs="Arial"/>
          <w:color w:val="000000" w:themeColor="text1"/>
          <w:sz w:val="16"/>
          <w:szCs w:val="16"/>
          <w:lang w:val="es-ES"/>
        </w:rPr>
      </w:pPr>
    </w:p>
  </w:footnote>
  <w:footnote w:id="8">
    <w:p w14:paraId="52C0B22F" w14:textId="7C1C2428" w:rsidR="004D4217" w:rsidRPr="00130E06" w:rsidRDefault="004D4217" w:rsidP="00F86AD8">
      <w:pPr>
        <w:pStyle w:val="Textonotapie"/>
        <w:ind w:firstLine="709"/>
        <w:jc w:val="both"/>
        <w:rPr>
          <w:rFonts w:ascii="Verdana" w:hAnsi="Verdana"/>
          <w:sz w:val="16"/>
          <w:szCs w:val="16"/>
        </w:rPr>
      </w:pPr>
      <w:r w:rsidRPr="005A7A41">
        <w:rPr>
          <w:rStyle w:val="Refdenotaalpie"/>
          <w:rFonts w:ascii="Verdana" w:hAnsi="Verdana" w:cs="Arial"/>
          <w:color w:val="000000" w:themeColor="text1"/>
          <w:sz w:val="16"/>
          <w:szCs w:val="16"/>
        </w:rPr>
        <w:footnoteRef/>
      </w:r>
      <w:r w:rsidR="00507572" w:rsidRPr="00F86AD8">
        <w:rPr>
          <w:rFonts w:ascii="Verdana" w:hAnsi="Verdana" w:cs="Arial"/>
          <w:sz w:val="16"/>
          <w:szCs w:val="16"/>
        </w:rPr>
        <w:t xml:space="preserve"> Agencia Nacional de Contratación Pública – Colombia Compra Eficiente. Guía para el ejercicio de las funciones de supervisión e interventoría de los contratos del Estado. </w:t>
      </w:r>
      <w:r w:rsidRPr="00507572">
        <w:rPr>
          <w:rFonts w:ascii="Verdana" w:hAnsi="Verdana" w:cs="Arial"/>
          <w:iCs/>
          <w:color w:val="000000" w:themeColor="text1"/>
          <w:sz w:val="16"/>
          <w:szCs w:val="16"/>
        </w:rPr>
        <w:t xml:space="preserve">Disponible en: </w:t>
      </w:r>
      <w:hyperlink r:id="rId1" w:history="1">
        <w:r w:rsidRPr="00507572">
          <w:rPr>
            <w:rStyle w:val="Hipervnculo"/>
            <w:rFonts w:ascii="Verdana" w:hAnsi="Verdana"/>
            <w:sz w:val="16"/>
            <w:szCs w:val="16"/>
            <w:lang w:val="es-CO"/>
          </w:rPr>
          <w:t>cce_guia_supervision_interventoria.pdf</w:t>
        </w:r>
      </w:hyperlink>
    </w:p>
    <w:p w14:paraId="45808DDD" w14:textId="77777777" w:rsidR="004D4217" w:rsidRPr="005A7A41" w:rsidRDefault="004D4217" w:rsidP="00F86AD8">
      <w:pPr>
        <w:pStyle w:val="Textonotapie"/>
        <w:ind w:firstLine="709"/>
        <w:jc w:val="both"/>
        <w:rPr>
          <w:rFonts w:ascii="Verdana" w:hAnsi="Verdana" w:cs="Arial"/>
          <w:iCs/>
          <w:color w:val="000000" w:themeColor="text1"/>
          <w:sz w:val="16"/>
          <w:szCs w:val="16"/>
        </w:rPr>
      </w:pPr>
    </w:p>
  </w:footnote>
  <w:footnote w:id="9">
    <w:p w14:paraId="6FCF3A7D" w14:textId="5EA4034C" w:rsidR="004D4217" w:rsidRDefault="004D4217" w:rsidP="00BD2614">
      <w:pPr>
        <w:pStyle w:val="Textonotapie"/>
        <w:ind w:firstLine="709"/>
        <w:jc w:val="both"/>
        <w:rPr>
          <w:rFonts w:ascii="Verdana" w:hAnsi="Verdana" w:cs="Arial"/>
          <w:iCs/>
          <w:color w:val="000000" w:themeColor="text1"/>
          <w:sz w:val="16"/>
          <w:szCs w:val="16"/>
        </w:rPr>
      </w:pPr>
      <w:r w:rsidRPr="005A7A41">
        <w:rPr>
          <w:rStyle w:val="Refdenotaalpie"/>
          <w:rFonts w:ascii="Verdana" w:hAnsi="Verdana" w:cs="Arial"/>
          <w:color w:val="000000" w:themeColor="text1"/>
          <w:sz w:val="16"/>
          <w:szCs w:val="16"/>
        </w:rPr>
        <w:footnoteRef/>
      </w:r>
      <w:r w:rsidRPr="005A7A41">
        <w:rPr>
          <w:rFonts w:ascii="Verdana" w:hAnsi="Verdana" w:cs="Arial"/>
          <w:color w:val="000000" w:themeColor="text1"/>
          <w:sz w:val="16"/>
          <w:szCs w:val="16"/>
        </w:rPr>
        <w:t xml:space="preserve"> </w:t>
      </w:r>
      <w:r w:rsidRPr="005A7A41">
        <w:rPr>
          <w:rFonts w:ascii="Verdana" w:hAnsi="Verdana" w:cs="Arial"/>
          <w:iCs/>
          <w:color w:val="000000" w:themeColor="text1"/>
          <w:sz w:val="16"/>
          <w:szCs w:val="16"/>
        </w:rPr>
        <w:t>Departamento Administrativo de la Función Pública. Concepto del 6 de mayo de 2019. Rad. 140.881.</w:t>
      </w:r>
    </w:p>
    <w:p w14:paraId="551F62AF" w14:textId="77777777" w:rsidR="004D4217" w:rsidRPr="00B10C77" w:rsidRDefault="004D4217" w:rsidP="005B367E">
      <w:pPr>
        <w:pStyle w:val="Textonotapie"/>
        <w:ind w:firstLine="709"/>
        <w:jc w:val="both"/>
        <w:rPr>
          <w:rFonts w:ascii="Verdana" w:hAnsi="Verdana" w:cs="Arial"/>
          <w:color w:val="000000" w:themeColor="text1"/>
          <w:sz w:val="16"/>
          <w:szCs w:val="16"/>
        </w:rPr>
      </w:pPr>
    </w:p>
  </w:footnote>
  <w:footnote w:id="10">
    <w:p w14:paraId="7C03BA21" w14:textId="77777777" w:rsidR="004D4217" w:rsidRDefault="004D4217" w:rsidP="004D4217">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Recuérdese que las denominadas “manifestaciones de interés” corresponden a la modalidad de selección de contratistas del Concurso de Méritos con Precalificación, regulado, entre otros, en los artículos 2.2.1.2.2.1.3.3. y siguientes del Decreto 1082 de 2015. </w:t>
      </w:r>
    </w:p>
    <w:p w14:paraId="36087368" w14:textId="77777777" w:rsidR="004D4217" w:rsidRDefault="004D4217" w:rsidP="004D4217">
      <w:pPr>
        <w:pStyle w:val="Textonotapie"/>
        <w:ind w:firstLine="709"/>
        <w:jc w:val="both"/>
        <w:rPr>
          <w:rFonts w:ascii="Verdana" w:hAnsi="Verdana" w:cs="Arial"/>
          <w:sz w:val="16"/>
          <w:szCs w:val="16"/>
          <w:lang w:val="es-ES"/>
        </w:rPr>
      </w:pPr>
    </w:p>
  </w:footnote>
  <w:footnote w:id="11">
    <w:p w14:paraId="7D403A83" w14:textId="77777777" w:rsidR="004D4217" w:rsidRDefault="004D4217" w:rsidP="004D4217">
      <w:pPr>
        <w:pStyle w:val="Textonotapie"/>
        <w:ind w:firstLine="709"/>
        <w:jc w:val="both"/>
        <w:rPr>
          <w:rFonts w:ascii="Verdana" w:hAnsi="Verdana" w:cs="Arial"/>
          <w:color w:val="000000" w:themeColor="text1"/>
          <w:sz w:val="16"/>
          <w:szCs w:val="16"/>
          <w:lang w:val="es-ES"/>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w:t>
      </w:r>
      <w:r>
        <w:rPr>
          <w:rFonts w:ascii="Verdana" w:hAnsi="Verdana" w:cs="Arial"/>
          <w:color w:val="000000" w:themeColor="text1"/>
          <w:sz w:val="16"/>
          <w:szCs w:val="16"/>
          <w:lang w:val="es-ES"/>
        </w:rPr>
        <w:t>Consejo de Estado. Sala de Consulta y Servicio Civil. Concepto del 6 de diciembre de 2007. Exp. 1871. C.P.: Luis Fernando Álvarez Jaramillo.</w:t>
      </w:r>
    </w:p>
    <w:p w14:paraId="2411BCB6" w14:textId="77777777" w:rsidR="004D4217" w:rsidRDefault="004D4217" w:rsidP="004D4217">
      <w:pPr>
        <w:pStyle w:val="Textonotapie"/>
        <w:ind w:firstLine="709"/>
        <w:jc w:val="both"/>
        <w:rPr>
          <w:rFonts w:ascii="Verdana" w:hAnsi="Verdana" w:cs="Arial"/>
          <w:color w:val="000000" w:themeColor="text1"/>
          <w:sz w:val="16"/>
          <w:szCs w:val="16"/>
          <w:lang w:val="es-ES"/>
        </w:rPr>
      </w:pPr>
    </w:p>
  </w:footnote>
  <w:footnote w:id="12">
    <w:p w14:paraId="5781552D" w14:textId="77777777" w:rsidR="004D4217" w:rsidRDefault="004D4217" w:rsidP="004D4217">
      <w:pPr>
        <w:spacing w:line="240" w:lineRule="auto"/>
        <w:ind w:firstLine="709"/>
        <w:jc w:val="both"/>
        <w:rPr>
          <w:rFonts w:ascii="Verdana" w:eastAsia="Calibri,Times New Roman" w:hAnsi="Verdana" w:cs="Arial"/>
          <w:i/>
          <w:iCs/>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color w:val="000000" w:themeColor="text1"/>
          <w:sz w:val="16"/>
          <w:szCs w:val="16"/>
          <w:lang w:val="es-ES_tradnl"/>
        </w:rPr>
        <w:t>“</w:t>
      </w:r>
      <w:r>
        <w:rPr>
          <w:rFonts w:ascii="Verdana" w:eastAsia="Calibri,Times New Roman" w:hAnsi="Verdana" w:cs="Arial"/>
          <w:sz w:val="16"/>
          <w:szCs w:val="16"/>
          <w:lang w:val="es-ES"/>
        </w:rPr>
        <w:t>[E]l informe de evaluación y calificación de las propuestas se constituye en un acto de trámite, pues no consolida una situación jurídica en favor del proponente y tampoco pone fin al proceso de selección respectiva, siendo entonces el acto de adjudicación el acto definitivo, pues por medio de éste se consolida la nueva situación jurídica en favor del proponente y pone fin al respectivo proceso de selección.</w:t>
      </w:r>
      <w:r>
        <w:rPr>
          <w:rFonts w:ascii="Verdana" w:hAnsi="Verdana" w:cs="Arial"/>
          <w:color w:val="000000" w:themeColor="text1"/>
          <w:sz w:val="16"/>
          <w:szCs w:val="16"/>
          <w:lang w:val="es-ES_tradnl"/>
        </w:rPr>
        <w:t>” (Consejo de Estado. Sección Tercera. Sentencia de 1 de abril de 2016, Exp. 47145 C.P. Jaime Orlando Santofimio Gamboa).</w:t>
      </w:r>
    </w:p>
  </w:footnote>
  <w:footnote w:id="13">
    <w:p w14:paraId="17AD8EFE" w14:textId="77777777" w:rsidR="004D4217" w:rsidRDefault="004D4217" w:rsidP="004D4217">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color w:val="000000" w:themeColor="text1"/>
          <w:sz w:val="16"/>
          <w:szCs w:val="16"/>
          <w:lang w:val="es-ES_tradnl"/>
        </w:rPr>
        <w:t>Consejo de Estado. Sección Tercera</w:t>
      </w:r>
      <w:r>
        <w:rPr>
          <w:rFonts w:ascii="Verdana" w:hAnsi="Verdana" w:cs="Arial"/>
          <w:sz w:val="16"/>
          <w:szCs w:val="16"/>
        </w:rPr>
        <w:t xml:space="preserve">. Sentencia de 28 de mayo de 2012, Exp. 22089. C.P. Ruth Stella Correa Palacio. </w:t>
      </w:r>
      <w:r>
        <w:rPr>
          <w:rFonts w:ascii="Verdana" w:hAnsi="Verdana" w:cs="Arial"/>
          <w:color w:val="000000" w:themeColor="text1"/>
          <w:sz w:val="16"/>
          <w:szCs w:val="16"/>
          <w:lang w:val="es-ES_tradnl"/>
        </w:rPr>
        <w:t>“</w:t>
      </w:r>
      <w:r>
        <w:rPr>
          <w:rFonts w:ascii="Verdana" w:hAnsi="Verdana" w:cs="Arial"/>
          <w:sz w:val="16"/>
          <w:szCs w:val="16"/>
        </w:rPr>
        <w:t>[L]os comités o cuerpos técnicos a quienes se encarga la evaluación de las propuestas para la adjudicación de la licitación pública, a pesar de ser “de una importancia excepcional...no es obligatorio para el funcionario u organismo que adjudica, a menos que el ordenamiento así lo imponga”. En igual sentido indicó que “los cuerpos asesores deben ser oídos, pero sus puntos de vista son simplemente ilustrativos”, ya que la elección de la oferta más ventajosa debe ser efectuada por el órgano competente</w:t>
      </w:r>
      <w:r>
        <w:rPr>
          <w:rFonts w:ascii="Verdana" w:hAnsi="Verdana" w:cs="Arial"/>
          <w:color w:val="000000" w:themeColor="text1"/>
          <w:sz w:val="16"/>
          <w:szCs w:val="16"/>
          <w:lang w:val="es-ES_tradnl"/>
        </w:rPr>
        <w:t>”</w:t>
      </w:r>
      <w:r>
        <w:rPr>
          <w:rFonts w:ascii="Verdana" w:hAnsi="Verdana" w:cs="Arial"/>
          <w:sz w:val="16"/>
          <w:szCs w:val="16"/>
        </w:rPr>
        <w:t>. Consejo de Estado. Sección Tercera. Subsección B. Sentencia de 29 de julio de 2013, Exp. 24311. C.P. Ramiro De Jesús Pazos.</w:t>
      </w:r>
    </w:p>
    <w:p w14:paraId="78537279" w14:textId="77777777" w:rsidR="004D4217" w:rsidRDefault="004D4217" w:rsidP="004D4217">
      <w:pPr>
        <w:pStyle w:val="Textonotapie"/>
        <w:ind w:firstLine="709"/>
        <w:jc w:val="both"/>
        <w:rPr>
          <w:rFonts w:ascii="Verdana" w:eastAsia="Calibri" w:hAnsi="Verdana" w:cs="Arial"/>
          <w:sz w:val="16"/>
          <w:szCs w:val="16"/>
          <w:lang w:val="es-CO"/>
        </w:rPr>
      </w:pPr>
    </w:p>
  </w:footnote>
  <w:footnote w:id="14">
    <w:p w14:paraId="345B81BF" w14:textId="77777777" w:rsidR="004D4217" w:rsidRDefault="004D4217" w:rsidP="004D4217">
      <w:pPr>
        <w:pStyle w:val="Textonotapie"/>
        <w:ind w:firstLine="709"/>
        <w:jc w:val="both"/>
        <w:rPr>
          <w:rFonts w:ascii="Verdana" w:hAnsi="Verdana"/>
          <w:sz w:val="16"/>
          <w:szCs w:val="16"/>
          <w:lang w:val="es-CO"/>
        </w:rPr>
      </w:pPr>
      <w:r>
        <w:rPr>
          <w:rStyle w:val="Refdenotaalpie"/>
          <w:rFonts w:ascii="Verdana" w:hAnsi="Verdana"/>
          <w:sz w:val="16"/>
          <w:szCs w:val="16"/>
        </w:rPr>
        <w:footnoteRef/>
      </w:r>
      <w:r>
        <w:rPr>
          <w:rFonts w:ascii="Verdana" w:hAnsi="Verdana"/>
          <w:sz w:val="16"/>
          <w:szCs w:val="16"/>
        </w:rPr>
        <w:t xml:space="preserve"> </w:t>
      </w:r>
      <w:r>
        <w:rPr>
          <w:rFonts w:ascii="Verdana" w:hAnsi="Verdana"/>
          <w:sz w:val="16"/>
          <w:szCs w:val="16"/>
          <w:lang w:val="es-CO"/>
        </w:rPr>
        <w:t> “El carácter asesor del comité no lo exime de la responsabilidad del ejercicio de la labor encomendada”.</w:t>
      </w:r>
    </w:p>
    <w:p w14:paraId="358D448B" w14:textId="77777777" w:rsidR="004D4217" w:rsidRDefault="004D4217" w:rsidP="004D4217">
      <w:pPr>
        <w:pStyle w:val="Textonotapie"/>
        <w:ind w:firstLine="709"/>
        <w:jc w:val="both"/>
        <w:rPr>
          <w:rFonts w:ascii="Verdana" w:hAnsi="Verdana"/>
          <w:sz w:val="16"/>
          <w:szCs w:val="16"/>
          <w:lang w:val="es-CO"/>
        </w:rPr>
      </w:pPr>
    </w:p>
  </w:footnote>
  <w:footnote w:id="15">
    <w:p w14:paraId="078B5F44" w14:textId="77777777" w:rsidR="004D4217" w:rsidRDefault="004D4217" w:rsidP="004D4217">
      <w:pPr>
        <w:pStyle w:val="Textonotapie"/>
        <w:ind w:firstLine="709"/>
        <w:jc w:val="both"/>
        <w:rPr>
          <w:rFonts w:ascii="Verdana" w:hAnsi="Verdana" w:cs="Arial"/>
          <w:sz w:val="16"/>
          <w:szCs w:val="16"/>
          <w:lang w:val="es-ES"/>
        </w:rPr>
      </w:pPr>
      <w:r w:rsidRPr="00EB4645">
        <w:rPr>
          <w:rStyle w:val="Refdenotaalpie"/>
          <w:rFonts w:ascii="Verdana" w:hAnsi="Verdana" w:cs="Arial"/>
          <w:sz w:val="16"/>
          <w:szCs w:val="16"/>
        </w:rPr>
        <w:footnoteRef/>
      </w:r>
      <w:r w:rsidRPr="00EB4645">
        <w:rPr>
          <w:rFonts w:ascii="Verdana" w:hAnsi="Verdana" w:cs="Arial"/>
          <w:sz w:val="16"/>
          <w:szCs w:val="16"/>
        </w:rPr>
        <w:t xml:space="preserve"> </w:t>
      </w:r>
      <w:r w:rsidRPr="00EB4645">
        <w:rPr>
          <w:rFonts w:ascii="Verdana" w:hAnsi="Verdana" w:cs="Arial"/>
          <w:sz w:val="16"/>
          <w:szCs w:val="16"/>
          <w:lang w:val="es-ES"/>
        </w:rPr>
        <w:t>BOBBIO, Norberto. Democracia y secreto. México: Fondo de Cultura Económica, 2013. p. 27.</w:t>
      </w:r>
    </w:p>
    <w:p w14:paraId="08D27438" w14:textId="77777777" w:rsidR="004D4217" w:rsidRPr="00EB4645" w:rsidRDefault="004D4217" w:rsidP="004D4217">
      <w:pPr>
        <w:pStyle w:val="Textonotapie"/>
        <w:ind w:firstLine="709"/>
        <w:jc w:val="both"/>
        <w:rPr>
          <w:rFonts w:ascii="Verdana" w:hAnsi="Verdana" w:cs="Arial"/>
          <w:sz w:val="16"/>
          <w:szCs w:val="16"/>
          <w:lang w:val="es-ES"/>
        </w:rPr>
      </w:pPr>
    </w:p>
  </w:footnote>
  <w:footnote w:id="16">
    <w:p w14:paraId="0CC14AE2" w14:textId="77777777" w:rsidR="004D4217" w:rsidRPr="00EB4645" w:rsidRDefault="004D4217" w:rsidP="004D4217">
      <w:pPr>
        <w:pStyle w:val="Textonotapie"/>
        <w:ind w:firstLine="709"/>
        <w:jc w:val="both"/>
        <w:rPr>
          <w:rFonts w:ascii="Verdana" w:hAnsi="Verdana" w:cs="Arial"/>
          <w:color w:val="000000" w:themeColor="text1"/>
          <w:sz w:val="16"/>
          <w:szCs w:val="16"/>
        </w:rPr>
      </w:pPr>
      <w:r w:rsidRPr="00EB4645">
        <w:rPr>
          <w:rStyle w:val="Refdenotaalpie"/>
          <w:rFonts w:ascii="Verdana" w:hAnsi="Verdana" w:cs="Arial"/>
          <w:color w:val="000000" w:themeColor="text1"/>
          <w:sz w:val="16"/>
          <w:szCs w:val="16"/>
        </w:rPr>
        <w:footnoteRef/>
      </w:r>
      <w:r w:rsidRPr="00EB4645">
        <w:rPr>
          <w:rFonts w:ascii="Verdana" w:hAnsi="Verdana" w:cs="Arial"/>
          <w:color w:val="000000" w:themeColor="text1"/>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6E627EF7" w14:textId="77777777" w:rsidR="004D4217" w:rsidRPr="00EB4645" w:rsidRDefault="004D4217" w:rsidP="004D4217">
      <w:pPr>
        <w:pStyle w:val="Textonotapie"/>
        <w:ind w:firstLine="709"/>
        <w:jc w:val="both"/>
        <w:rPr>
          <w:rFonts w:ascii="Verdana" w:hAnsi="Verdana" w:cs="Arial"/>
          <w:color w:val="000000" w:themeColor="text1"/>
          <w:sz w:val="16"/>
          <w:szCs w:val="16"/>
        </w:rPr>
      </w:pPr>
      <w:r w:rsidRPr="00EB4645">
        <w:rPr>
          <w:rFonts w:ascii="Verdana" w:hAnsi="Verdana" w:cs="Arial"/>
          <w:color w:val="000000" w:themeColor="text1"/>
          <w:sz w:val="16"/>
          <w:szCs w:val="16"/>
        </w:rPr>
        <w:t>Lo anterior, sin perjuicio de las publicaciones previstas en el numeral 3 del artículo 30 de la Ley 80 de 1993.</w:t>
      </w:r>
    </w:p>
    <w:p w14:paraId="53ADB2C7" w14:textId="77777777" w:rsidR="004D4217" w:rsidRPr="00EB4645" w:rsidRDefault="004D4217" w:rsidP="004D4217">
      <w:pPr>
        <w:pStyle w:val="Textonotapie"/>
        <w:ind w:firstLine="709"/>
        <w:jc w:val="both"/>
        <w:rPr>
          <w:rFonts w:ascii="Verdana" w:hAnsi="Verdana" w:cs="Arial"/>
          <w:color w:val="000000" w:themeColor="text1"/>
          <w:sz w:val="16"/>
          <w:szCs w:val="16"/>
        </w:rPr>
      </w:pPr>
      <w:r w:rsidRPr="00EB4645">
        <w:rPr>
          <w:rFonts w:ascii="Verdana" w:hAnsi="Verdana" w:cs="Arial"/>
          <w:color w:val="000000" w:themeColor="text1"/>
          <w:sz w:val="16"/>
          <w:szCs w:val="16"/>
        </w:rPr>
        <w:t xml:space="preserve">Con el fin de materializar los objetivos a que se refiere el inciso anterior, el Gobierno Nacional desarrollará el Sistema Electrónico para la Contratación Pública, Secop, el cual: </w:t>
      </w:r>
    </w:p>
    <w:p w14:paraId="49B06F9B" w14:textId="77777777" w:rsidR="004D4217" w:rsidRPr="00EB4645" w:rsidRDefault="004D4217" w:rsidP="004D4217">
      <w:pPr>
        <w:pStyle w:val="Textonotapie"/>
        <w:ind w:firstLine="709"/>
        <w:jc w:val="both"/>
        <w:rPr>
          <w:rFonts w:ascii="Verdana" w:hAnsi="Verdana" w:cs="Arial"/>
          <w:color w:val="000000" w:themeColor="text1"/>
          <w:sz w:val="16"/>
          <w:szCs w:val="16"/>
        </w:rPr>
      </w:pPr>
      <w:r w:rsidRPr="00EB4645">
        <w:rPr>
          <w:rFonts w:ascii="Verdana" w:hAnsi="Verdana" w:cs="Arial"/>
          <w:color w:val="000000" w:themeColor="text1"/>
          <w:sz w:val="16"/>
          <w:szCs w:val="16"/>
        </w:rPr>
        <w:t>[…]</w:t>
      </w:r>
    </w:p>
    <w:p w14:paraId="10B67C0E" w14:textId="77777777" w:rsidR="004D4217" w:rsidRPr="00C873C4" w:rsidRDefault="004D4217" w:rsidP="004D4217">
      <w:pPr>
        <w:pStyle w:val="Textonotapie"/>
        <w:ind w:firstLine="709"/>
        <w:jc w:val="both"/>
        <w:rPr>
          <w:rFonts w:ascii="Verdana" w:hAnsi="Verdana" w:cs="Arial"/>
          <w:color w:val="000000" w:themeColor="text1"/>
          <w:sz w:val="16"/>
          <w:szCs w:val="16"/>
        </w:rPr>
      </w:pPr>
      <w:r w:rsidRPr="00C873C4">
        <w:rPr>
          <w:rFonts w:ascii="Verdana" w:hAnsi="Verdana"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p w14:paraId="43C1EA65" w14:textId="77777777" w:rsidR="004D4217" w:rsidRPr="00C873C4" w:rsidRDefault="004D4217" w:rsidP="004D4217">
      <w:pPr>
        <w:pStyle w:val="Textonotapie"/>
        <w:ind w:firstLine="709"/>
        <w:jc w:val="both"/>
        <w:rPr>
          <w:rFonts w:ascii="Verdana" w:hAnsi="Verdana" w:cs="Arial"/>
          <w:color w:val="000000" w:themeColor="text1"/>
          <w:sz w:val="16"/>
          <w:szCs w:val="16"/>
          <w:lang w:val="es-CO"/>
        </w:rPr>
      </w:pPr>
    </w:p>
  </w:footnote>
  <w:footnote w:id="17">
    <w:p w14:paraId="0149FF35" w14:textId="6EEC8AF3" w:rsidR="004D4217" w:rsidRPr="00C873C4" w:rsidRDefault="004D4217" w:rsidP="004D4217">
      <w:pPr>
        <w:pStyle w:val="Textonotapie"/>
        <w:ind w:firstLine="709"/>
        <w:jc w:val="both"/>
        <w:rPr>
          <w:rFonts w:ascii="Verdana" w:hAnsi="Verdana" w:cs="Arial"/>
          <w:color w:val="000000" w:themeColor="text1"/>
          <w:sz w:val="16"/>
          <w:szCs w:val="16"/>
        </w:rPr>
      </w:pPr>
      <w:r w:rsidRPr="00C873C4">
        <w:rPr>
          <w:rStyle w:val="Refdenotaalpie"/>
          <w:rFonts w:ascii="Verdana" w:hAnsi="Verdana" w:cs="Arial"/>
          <w:color w:val="000000" w:themeColor="text1"/>
          <w:sz w:val="16"/>
          <w:szCs w:val="16"/>
        </w:rPr>
        <w:footnoteRef/>
      </w:r>
      <w:r w:rsidRPr="00C873C4">
        <w:rPr>
          <w:rFonts w:ascii="Verdana" w:hAnsi="Verdana" w:cs="Arial"/>
          <w:color w:val="000000" w:themeColor="text1"/>
          <w:sz w:val="16"/>
          <w:szCs w:val="16"/>
        </w:rPr>
        <w:t xml:space="preserve"> Ley 1712 de 2014: </w:t>
      </w:r>
      <w:r w:rsidR="002F3521">
        <w:rPr>
          <w:rFonts w:ascii="Verdana" w:hAnsi="Verdana" w:cs="Arial"/>
          <w:color w:val="000000" w:themeColor="text1"/>
          <w:sz w:val="16"/>
          <w:szCs w:val="16"/>
        </w:rPr>
        <w:t>“</w:t>
      </w:r>
      <w:r w:rsidRPr="00C873C4">
        <w:rPr>
          <w:rFonts w:ascii="Verdana" w:hAnsi="Verdana" w:cs="Arial"/>
          <w:color w:val="000000" w:themeColor="text1"/>
          <w:sz w:val="16"/>
          <w:szCs w:val="16"/>
        </w:rPr>
        <w:t>Artículo 2. Toda información en posesión, bajo control o custodia de un sujeto obligado es pública y no podrá ser reservada o limitada sino por disposición constitucional o legal, de conformidad con la presente ley”.</w:t>
      </w:r>
    </w:p>
    <w:p w14:paraId="0ED057EB" w14:textId="77777777" w:rsidR="004D4217" w:rsidRPr="00C873C4" w:rsidRDefault="004D4217" w:rsidP="004D4217">
      <w:pPr>
        <w:pStyle w:val="Textonotapie"/>
        <w:ind w:firstLine="709"/>
        <w:jc w:val="both"/>
        <w:rPr>
          <w:rFonts w:ascii="Verdana" w:hAnsi="Verdana" w:cs="Arial"/>
          <w:color w:val="000000" w:themeColor="text1"/>
          <w:sz w:val="16"/>
          <w:szCs w:val="16"/>
          <w:lang w:val="es-CO"/>
        </w:rPr>
      </w:pPr>
    </w:p>
  </w:footnote>
  <w:footnote w:id="18">
    <w:p w14:paraId="69C986AC" w14:textId="039B9061" w:rsidR="004D4217" w:rsidRPr="00C873C4" w:rsidRDefault="004D4217" w:rsidP="004D4217">
      <w:pPr>
        <w:pStyle w:val="Textonotapie"/>
        <w:ind w:firstLine="709"/>
        <w:jc w:val="both"/>
        <w:rPr>
          <w:rFonts w:ascii="Verdana" w:hAnsi="Verdana" w:cs="Arial"/>
          <w:color w:val="000000" w:themeColor="text1"/>
          <w:sz w:val="16"/>
          <w:szCs w:val="16"/>
        </w:rPr>
      </w:pPr>
      <w:r w:rsidRPr="00C873C4">
        <w:rPr>
          <w:rStyle w:val="Refdenotaalpie"/>
          <w:rFonts w:ascii="Verdana" w:hAnsi="Verdana" w:cs="Arial"/>
          <w:color w:val="000000" w:themeColor="text1"/>
          <w:sz w:val="16"/>
          <w:szCs w:val="16"/>
        </w:rPr>
        <w:footnoteRef/>
      </w:r>
      <w:r w:rsidRPr="00C873C4">
        <w:rPr>
          <w:rFonts w:ascii="Verdana" w:hAnsi="Verdana" w:cs="Arial"/>
          <w:color w:val="000000" w:themeColor="text1"/>
          <w:sz w:val="16"/>
          <w:szCs w:val="16"/>
        </w:rPr>
        <w:t xml:space="preserve"> Ley 1712 de 2014: </w:t>
      </w:r>
      <w:r w:rsidR="002F3521">
        <w:rPr>
          <w:rFonts w:ascii="Verdana" w:hAnsi="Verdana" w:cs="Arial"/>
          <w:color w:val="000000" w:themeColor="text1"/>
          <w:sz w:val="16"/>
          <w:szCs w:val="16"/>
        </w:rPr>
        <w:t>“</w:t>
      </w:r>
      <w:r w:rsidRPr="00C873C4">
        <w:rPr>
          <w:rFonts w:ascii="Verdana" w:hAnsi="Verdana" w:cs="Arial"/>
          <w:color w:val="000000" w:themeColor="text1"/>
          <w:sz w:val="16"/>
          <w:szCs w:val="16"/>
        </w:rPr>
        <w:t xml:space="preserve">Artículo 5. Ámbito de aplicación. Las disposiciones de esta ley serán aplicables a las siguientes personas en calidad de sujetos obligados: </w:t>
      </w:r>
    </w:p>
    <w:p w14:paraId="73405194" w14:textId="1EC2EBF5" w:rsidR="004D4217" w:rsidRPr="00C873C4" w:rsidRDefault="004D4217" w:rsidP="004D4217">
      <w:pPr>
        <w:pStyle w:val="Textonotapie"/>
        <w:ind w:firstLine="709"/>
        <w:jc w:val="both"/>
        <w:rPr>
          <w:rFonts w:ascii="Verdana" w:hAnsi="Verdana" w:cs="Arial"/>
          <w:color w:val="000000" w:themeColor="text1"/>
          <w:sz w:val="16"/>
          <w:szCs w:val="16"/>
        </w:rPr>
      </w:pPr>
      <w:r w:rsidRPr="00C873C4">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r w:rsidR="002F3521">
        <w:rPr>
          <w:rFonts w:ascii="Verdana" w:hAnsi="Verdana" w:cs="Arial"/>
          <w:color w:val="000000" w:themeColor="text1"/>
          <w:sz w:val="16"/>
          <w:szCs w:val="16"/>
        </w:rPr>
        <w:t>”</w:t>
      </w:r>
      <w:r w:rsidRPr="00C873C4">
        <w:rPr>
          <w:rFonts w:ascii="Verdana" w:hAnsi="Verdana" w:cs="Arial"/>
          <w:color w:val="000000" w:themeColor="text1"/>
          <w:sz w:val="16"/>
          <w:szCs w:val="16"/>
        </w:rPr>
        <w:t>.</w:t>
      </w:r>
    </w:p>
    <w:p w14:paraId="0586A23D" w14:textId="77777777" w:rsidR="004D4217" w:rsidRPr="00C873C4" w:rsidRDefault="004D4217" w:rsidP="004D4217">
      <w:pPr>
        <w:pStyle w:val="Textonotapie"/>
        <w:ind w:firstLine="709"/>
        <w:jc w:val="both"/>
        <w:rPr>
          <w:rFonts w:ascii="Verdana" w:hAnsi="Verdana" w:cs="Arial"/>
          <w:color w:val="000000" w:themeColor="text1"/>
          <w:sz w:val="16"/>
          <w:szCs w:val="16"/>
          <w:lang w:val="es-CO"/>
        </w:rPr>
      </w:pPr>
    </w:p>
  </w:footnote>
  <w:footnote w:id="19">
    <w:p w14:paraId="190AC139" w14:textId="77777777" w:rsidR="004D4217" w:rsidRPr="00C873C4" w:rsidRDefault="004D4217" w:rsidP="004D4217">
      <w:pPr>
        <w:pStyle w:val="Textonotapie"/>
        <w:ind w:firstLine="709"/>
        <w:jc w:val="both"/>
        <w:rPr>
          <w:rFonts w:ascii="Verdana" w:hAnsi="Verdana" w:cs="Arial"/>
          <w:color w:val="000000" w:themeColor="text1"/>
          <w:sz w:val="16"/>
          <w:szCs w:val="16"/>
        </w:rPr>
      </w:pPr>
      <w:r w:rsidRPr="00C873C4">
        <w:rPr>
          <w:rFonts w:ascii="Verdana" w:eastAsia="Times New Roman" w:hAnsi="Verdana" w:cs="Arial"/>
          <w:color w:val="000000" w:themeColor="text1"/>
          <w:sz w:val="16"/>
          <w:szCs w:val="16"/>
          <w:vertAlign w:val="superscript"/>
          <w:lang w:val="es-ES" w:eastAsia="es-ES"/>
        </w:rPr>
        <w:footnoteRef/>
      </w:r>
      <w:r w:rsidRPr="00C873C4">
        <w:rPr>
          <w:rFonts w:ascii="Verdana" w:eastAsia="Times New Roman" w:hAnsi="Verdana" w:cs="Arial"/>
          <w:color w:val="000000" w:themeColor="text1"/>
          <w:sz w:val="16"/>
          <w:szCs w:val="16"/>
          <w:vertAlign w:val="superscript"/>
          <w:lang w:val="es-ES" w:eastAsia="es-ES"/>
        </w:rPr>
        <w:t xml:space="preserve"> </w:t>
      </w:r>
      <w:r w:rsidRPr="00C873C4">
        <w:rPr>
          <w:rFonts w:ascii="Verdana" w:eastAsia="Times New Roman" w:hAnsi="Verdana" w:cs="Arial"/>
          <w:color w:val="000000" w:themeColor="text1"/>
          <w:sz w:val="16"/>
          <w:szCs w:val="16"/>
          <w:lang w:val="es-ES" w:eastAsia="es-ES"/>
        </w:rPr>
        <w:t>“</w:t>
      </w:r>
      <w:r w:rsidRPr="00C873C4">
        <w:rPr>
          <w:rFonts w:ascii="Verdana" w:hAnsi="Verdana" w:cs="Arial"/>
          <w:color w:val="000000" w:themeColor="text1"/>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4CA370FD" w14:textId="77777777" w:rsidR="004D4217" w:rsidRPr="00C873C4" w:rsidRDefault="004D4217" w:rsidP="004D4217">
      <w:pPr>
        <w:pStyle w:val="Textonotapie"/>
        <w:ind w:firstLine="709"/>
        <w:jc w:val="both"/>
        <w:rPr>
          <w:rFonts w:ascii="Verdana" w:eastAsia="Times New Roman" w:hAnsi="Verdana" w:cs="Arial"/>
          <w:color w:val="000000" w:themeColor="text1"/>
          <w:sz w:val="16"/>
          <w:szCs w:val="16"/>
          <w:lang w:val="es-ES" w:eastAsia="es-ES"/>
        </w:rPr>
      </w:pPr>
      <w:r w:rsidRPr="00C873C4">
        <w:rPr>
          <w:rFonts w:ascii="Verdana" w:hAnsi="Verdana" w:cs="Arial"/>
          <w:color w:val="000000" w:themeColor="text1"/>
          <w:sz w:val="16"/>
          <w:szCs w:val="16"/>
        </w:rPr>
        <w:t>[…].</w:t>
      </w:r>
    </w:p>
    <w:p w14:paraId="3532661D" w14:textId="04B77002" w:rsidR="004D4217" w:rsidRPr="00C873C4" w:rsidRDefault="004D4217" w:rsidP="004D4217">
      <w:pPr>
        <w:pStyle w:val="Textonotapie"/>
        <w:ind w:firstLine="709"/>
        <w:jc w:val="both"/>
        <w:rPr>
          <w:rFonts w:ascii="Verdana" w:eastAsia="Times New Roman" w:hAnsi="Verdana" w:cs="Arial"/>
          <w:color w:val="000000" w:themeColor="text1"/>
          <w:sz w:val="16"/>
          <w:szCs w:val="16"/>
          <w:lang w:val="es-ES" w:eastAsia="es-ES"/>
        </w:rPr>
      </w:pPr>
      <w:r w:rsidRPr="00C873C4">
        <w:rPr>
          <w:rFonts w:ascii="Verdana" w:eastAsia="Times New Roman"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p w14:paraId="698435F5" w14:textId="77777777" w:rsidR="004D4217" w:rsidRPr="00C873C4" w:rsidRDefault="004D4217" w:rsidP="004D4217">
      <w:pPr>
        <w:pStyle w:val="Textonotapie"/>
        <w:ind w:firstLine="709"/>
        <w:jc w:val="both"/>
        <w:rPr>
          <w:rFonts w:ascii="Verdana" w:eastAsia="Times New Roman" w:hAnsi="Verdana" w:cs="Arial"/>
          <w:color w:val="000000" w:themeColor="text1"/>
          <w:sz w:val="16"/>
          <w:szCs w:val="16"/>
          <w:lang w:val="es-ES" w:eastAsia="es-ES"/>
        </w:rPr>
      </w:pPr>
    </w:p>
  </w:footnote>
  <w:footnote w:id="20">
    <w:p w14:paraId="1016E687" w14:textId="77777777" w:rsidR="004D4217" w:rsidRPr="00C873C4" w:rsidRDefault="004D4217" w:rsidP="004D4217">
      <w:pPr>
        <w:pStyle w:val="Textonotapie"/>
        <w:ind w:firstLine="709"/>
        <w:jc w:val="both"/>
        <w:rPr>
          <w:rFonts w:ascii="Verdana" w:hAnsi="Verdana" w:cs="Arial"/>
          <w:color w:val="000000"/>
          <w:sz w:val="16"/>
          <w:szCs w:val="16"/>
        </w:rPr>
      </w:pPr>
      <w:r w:rsidRPr="00C873C4">
        <w:rPr>
          <w:rStyle w:val="Refdenotaalpie"/>
          <w:rFonts w:ascii="Verdana" w:hAnsi="Verdana" w:cs="Arial"/>
          <w:color w:val="000000"/>
          <w:sz w:val="16"/>
          <w:szCs w:val="16"/>
        </w:rPr>
        <w:footnoteRef/>
      </w:r>
      <w:r w:rsidRPr="00C873C4">
        <w:rPr>
          <w:rFonts w:ascii="Verdana" w:hAnsi="Verdana" w:cs="Arial"/>
          <w:color w:val="000000"/>
          <w:sz w:val="16"/>
          <w:szCs w:val="16"/>
        </w:rPr>
        <w:t xml:space="preserve"> Corte </w:t>
      </w:r>
      <w:r w:rsidRPr="00C873C4">
        <w:rPr>
          <w:rFonts w:ascii="Verdana" w:eastAsia="Times New Roman" w:hAnsi="Verdana" w:cs="Arial"/>
          <w:color w:val="000000"/>
          <w:sz w:val="16"/>
          <w:szCs w:val="16"/>
          <w:lang w:val="es-ES" w:eastAsia="es-ES"/>
        </w:rPr>
        <w:t>Constitucional. Sentencia C‒274 de 9 de mayo de 2013. M.P. Mar</w:t>
      </w:r>
      <w:r w:rsidRPr="00C873C4">
        <w:rPr>
          <w:rFonts w:ascii="Verdana" w:eastAsia="Times New Roman" w:hAnsi="Verdana" w:cs="Century Gothic"/>
          <w:color w:val="000000"/>
          <w:sz w:val="16"/>
          <w:szCs w:val="16"/>
          <w:lang w:val="es-ES" w:eastAsia="es-ES"/>
        </w:rPr>
        <w:t>í</w:t>
      </w:r>
      <w:r w:rsidRPr="00C873C4">
        <w:rPr>
          <w:rFonts w:ascii="Verdana" w:eastAsia="Times New Roman" w:hAnsi="Verdana" w:cs="Arial"/>
          <w:color w:val="000000"/>
          <w:sz w:val="16"/>
          <w:szCs w:val="16"/>
          <w:lang w:val="es-ES" w:eastAsia="es-ES"/>
        </w:rPr>
        <w:t xml:space="preserve">a Victoria Calle Correa. </w:t>
      </w:r>
    </w:p>
    <w:p w14:paraId="59967972" w14:textId="77777777" w:rsidR="004D4217" w:rsidRPr="00C873C4" w:rsidRDefault="004D4217" w:rsidP="004D4217">
      <w:pPr>
        <w:pStyle w:val="Textonotapie"/>
        <w:ind w:firstLine="709"/>
        <w:jc w:val="both"/>
        <w:rPr>
          <w:rFonts w:ascii="Verdana" w:hAnsi="Verdana" w:cs="Arial"/>
          <w:color w:val="000000"/>
          <w:sz w:val="16"/>
          <w:szCs w:val="16"/>
          <w:lang w:val="es-CO"/>
        </w:rPr>
      </w:pPr>
    </w:p>
  </w:footnote>
  <w:footnote w:id="21">
    <w:p w14:paraId="7CBDF14A" w14:textId="77777777" w:rsidR="004D4217" w:rsidRPr="00C873C4" w:rsidRDefault="004D4217" w:rsidP="00803124">
      <w:pPr>
        <w:pStyle w:val="Textonotapie"/>
        <w:ind w:firstLine="709"/>
        <w:jc w:val="both"/>
        <w:rPr>
          <w:rFonts w:ascii="Verdana" w:hAnsi="Verdana" w:cs="Arial"/>
          <w:color w:val="000000"/>
          <w:sz w:val="16"/>
          <w:szCs w:val="16"/>
        </w:rPr>
      </w:pPr>
      <w:r w:rsidRPr="00C873C4">
        <w:rPr>
          <w:rStyle w:val="Refdenotaalpie"/>
          <w:rFonts w:ascii="Verdana" w:hAnsi="Verdana" w:cs="Arial"/>
          <w:color w:val="000000"/>
          <w:sz w:val="16"/>
          <w:szCs w:val="16"/>
        </w:rPr>
        <w:footnoteRef/>
      </w:r>
      <w:r w:rsidRPr="00C873C4">
        <w:rPr>
          <w:rFonts w:ascii="Verdana" w:hAnsi="Verdana" w:cs="Arial"/>
          <w:color w:val="000000"/>
          <w:sz w:val="16"/>
          <w:szCs w:val="16"/>
        </w:rPr>
        <w:t xml:space="preserve"> Decreto 4170 de 2011: “Artículo 3. Funciones: La Agencia Nacional de Contratación Pública –Colombia Compra Eficiente– ejercerá las siguientes funciones: [...]</w:t>
      </w:r>
    </w:p>
    <w:p w14:paraId="1DDE8CC9" w14:textId="3E8F46BC" w:rsidR="004D4217" w:rsidRDefault="004D4217" w:rsidP="00BD2614">
      <w:pPr>
        <w:pStyle w:val="Textonotapie"/>
        <w:ind w:firstLine="709"/>
        <w:jc w:val="both"/>
        <w:rPr>
          <w:rFonts w:ascii="Verdana" w:hAnsi="Verdana" w:cs="Arial"/>
          <w:color w:val="000000"/>
          <w:sz w:val="16"/>
          <w:szCs w:val="16"/>
        </w:rPr>
      </w:pPr>
      <w:r w:rsidRPr="00C873C4">
        <w:rPr>
          <w:rFonts w:ascii="Verdana" w:hAnsi="Verdana" w:cs="Arial"/>
          <w:color w:val="000000"/>
          <w:sz w:val="16"/>
          <w:szCs w:val="16"/>
        </w:rPr>
        <w:t>8. Desarrollar y administrar el Sistema Electrónico para la Contratación Pública (SECOP) o el que haga sus veces, y gestionar nuevos desarrollos tecnológicos en los asuntos de su competencia, teniendo en cuenta los parámetros fijados por el Consejo Directivo [...]”.</w:t>
      </w:r>
    </w:p>
    <w:p w14:paraId="199968C0" w14:textId="77777777" w:rsidR="004D4217" w:rsidRPr="00C873C4" w:rsidRDefault="004D4217" w:rsidP="005B367E">
      <w:pPr>
        <w:pStyle w:val="Textonotapie"/>
        <w:ind w:firstLine="709"/>
        <w:jc w:val="both"/>
        <w:rPr>
          <w:rFonts w:ascii="Verdana" w:hAnsi="Verdana" w:cs="Arial"/>
          <w:color w:val="000000"/>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116E12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56321F"/>
    <w:multiLevelType w:val="hybridMultilevel"/>
    <w:tmpl w:val="9AF661E6"/>
    <w:lvl w:ilvl="0" w:tplc="13168714">
      <w:start w:val="1"/>
      <w:numFmt w:val="lowerRoman"/>
      <w:lvlText w:val="%1)"/>
      <w:lvlJc w:val="left"/>
      <w:pPr>
        <w:ind w:left="1080" w:hanging="720"/>
      </w:pPr>
      <w:rPr>
        <w:rFonts w:hint="default"/>
        <w:color w:val="auto"/>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1358431546">
    <w:abstractNumId w:val="3"/>
  </w:num>
  <w:num w:numId="18" w16cid:durableId="11628154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3069"/>
    <w:rsid w:val="00082362"/>
    <w:rsid w:val="000A683E"/>
    <w:rsid w:val="000B19B9"/>
    <w:rsid w:val="000D0334"/>
    <w:rsid w:val="000D5DA7"/>
    <w:rsid w:val="000F5961"/>
    <w:rsid w:val="000F6486"/>
    <w:rsid w:val="00116940"/>
    <w:rsid w:val="00125105"/>
    <w:rsid w:val="00127233"/>
    <w:rsid w:val="0015699B"/>
    <w:rsid w:val="001A33BF"/>
    <w:rsid w:val="001B2E13"/>
    <w:rsid w:val="001E4177"/>
    <w:rsid w:val="001F0B24"/>
    <w:rsid w:val="001F7DC6"/>
    <w:rsid w:val="0022400B"/>
    <w:rsid w:val="00230116"/>
    <w:rsid w:val="002421BB"/>
    <w:rsid w:val="0025796E"/>
    <w:rsid w:val="00263481"/>
    <w:rsid w:val="002707A2"/>
    <w:rsid w:val="002951A0"/>
    <w:rsid w:val="002962BC"/>
    <w:rsid w:val="002A093D"/>
    <w:rsid w:val="002A0DD0"/>
    <w:rsid w:val="002A49AC"/>
    <w:rsid w:val="002A64FD"/>
    <w:rsid w:val="002C7A84"/>
    <w:rsid w:val="002E2BF8"/>
    <w:rsid w:val="002E4FD9"/>
    <w:rsid w:val="002F3521"/>
    <w:rsid w:val="0030657A"/>
    <w:rsid w:val="00322A85"/>
    <w:rsid w:val="00324168"/>
    <w:rsid w:val="00330834"/>
    <w:rsid w:val="003448F4"/>
    <w:rsid w:val="00374F5E"/>
    <w:rsid w:val="00377E3E"/>
    <w:rsid w:val="00384AFB"/>
    <w:rsid w:val="003A779E"/>
    <w:rsid w:val="003C383C"/>
    <w:rsid w:val="003D0F4D"/>
    <w:rsid w:val="003D5B0D"/>
    <w:rsid w:val="003E0499"/>
    <w:rsid w:val="003E0EE5"/>
    <w:rsid w:val="003E4F80"/>
    <w:rsid w:val="003E6439"/>
    <w:rsid w:val="003F3941"/>
    <w:rsid w:val="004001DA"/>
    <w:rsid w:val="00406575"/>
    <w:rsid w:val="00406DD9"/>
    <w:rsid w:val="00414C74"/>
    <w:rsid w:val="0042722E"/>
    <w:rsid w:val="0044528D"/>
    <w:rsid w:val="00451DAD"/>
    <w:rsid w:val="00466E39"/>
    <w:rsid w:val="004A1847"/>
    <w:rsid w:val="004A305D"/>
    <w:rsid w:val="004C447C"/>
    <w:rsid w:val="004D4217"/>
    <w:rsid w:val="004F21C4"/>
    <w:rsid w:val="004F685F"/>
    <w:rsid w:val="00507572"/>
    <w:rsid w:val="005566E8"/>
    <w:rsid w:val="00556FE9"/>
    <w:rsid w:val="00561ED7"/>
    <w:rsid w:val="00574867"/>
    <w:rsid w:val="00591460"/>
    <w:rsid w:val="005A2FA3"/>
    <w:rsid w:val="005A65E0"/>
    <w:rsid w:val="005B367E"/>
    <w:rsid w:val="005B7700"/>
    <w:rsid w:val="005C3777"/>
    <w:rsid w:val="005C5CDC"/>
    <w:rsid w:val="005D476C"/>
    <w:rsid w:val="006200BF"/>
    <w:rsid w:val="006219F8"/>
    <w:rsid w:val="00627CE2"/>
    <w:rsid w:val="006302F7"/>
    <w:rsid w:val="00646B9F"/>
    <w:rsid w:val="00665D70"/>
    <w:rsid w:val="00687E50"/>
    <w:rsid w:val="006900D9"/>
    <w:rsid w:val="006B653E"/>
    <w:rsid w:val="006E641C"/>
    <w:rsid w:val="00706C16"/>
    <w:rsid w:val="007340C3"/>
    <w:rsid w:val="0075235A"/>
    <w:rsid w:val="00756841"/>
    <w:rsid w:val="0076421D"/>
    <w:rsid w:val="007649AB"/>
    <w:rsid w:val="00771D0C"/>
    <w:rsid w:val="007833AC"/>
    <w:rsid w:val="007B268C"/>
    <w:rsid w:val="007B7171"/>
    <w:rsid w:val="007C0C0F"/>
    <w:rsid w:val="007C3DC2"/>
    <w:rsid w:val="007E5497"/>
    <w:rsid w:val="00803124"/>
    <w:rsid w:val="00806F5F"/>
    <w:rsid w:val="00815815"/>
    <w:rsid w:val="00820278"/>
    <w:rsid w:val="008258C9"/>
    <w:rsid w:val="00844AE9"/>
    <w:rsid w:val="00845703"/>
    <w:rsid w:val="00867F95"/>
    <w:rsid w:val="008843B6"/>
    <w:rsid w:val="00891928"/>
    <w:rsid w:val="008A446D"/>
    <w:rsid w:val="008B25F1"/>
    <w:rsid w:val="008D180B"/>
    <w:rsid w:val="008D7C5A"/>
    <w:rsid w:val="008F0EA7"/>
    <w:rsid w:val="00923EEF"/>
    <w:rsid w:val="009419F9"/>
    <w:rsid w:val="0095685E"/>
    <w:rsid w:val="00961B09"/>
    <w:rsid w:val="00965334"/>
    <w:rsid w:val="0097093E"/>
    <w:rsid w:val="00990725"/>
    <w:rsid w:val="009A0DFA"/>
    <w:rsid w:val="009A1C6F"/>
    <w:rsid w:val="009B2D26"/>
    <w:rsid w:val="009C71FA"/>
    <w:rsid w:val="009C72E7"/>
    <w:rsid w:val="009C7F7E"/>
    <w:rsid w:val="009D3058"/>
    <w:rsid w:val="009F3A13"/>
    <w:rsid w:val="00A057CE"/>
    <w:rsid w:val="00A122D3"/>
    <w:rsid w:val="00A14468"/>
    <w:rsid w:val="00A17F13"/>
    <w:rsid w:val="00A20739"/>
    <w:rsid w:val="00A23AF9"/>
    <w:rsid w:val="00A33C78"/>
    <w:rsid w:val="00AB0ADB"/>
    <w:rsid w:val="00AD4972"/>
    <w:rsid w:val="00AD71B3"/>
    <w:rsid w:val="00B00C0E"/>
    <w:rsid w:val="00B01B1A"/>
    <w:rsid w:val="00B0381D"/>
    <w:rsid w:val="00B44A47"/>
    <w:rsid w:val="00B72CD3"/>
    <w:rsid w:val="00B72FFF"/>
    <w:rsid w:val="00BA166B"/>
    <w:rsid w:val="00BC3D36"/>
    <w:rsid w:val="00BD2614"/>
    <w:rsid w:val="00BD54A6"/>
    <w:rsid w:val="00BD7F72"/>
    <w:rsid w:val="00BF7425"/>
    <w:rsid w:val="00C04FB3"/>
    <w:rsid w:val="00C11D8B"/>
    <w:rsid w:val="00C15139"/>
    <w:rsid w:val="00C330EB"/>
    <w:rsid w:val="00C33C72"/>
    <w:rsid w:val="00C50D69"/>
    <w:rsid w:val="00C5365C"/>
    <w:rsid w:val="00C754BE"/>
    <w:rsid w:val="00C76B1C"/>
    <w:rsid w:val="00C87AE9"/>
    <w:rsid w:val="00C925AC"/>
    <w:rsid w:val="00CB6357"/>
    <w:rsid w:val="00CC1B26"/>
    <w:rsid w:val="00D079A5"/>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86AD8"/>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777F284"/>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D4217"/>
    <w:rPr>
      <w:rFonts w:ascii="Geomanist Light" w:hAnsi="Geomanist Light"/>
      <w:lang w:val="es-ES"/>
    </w:rPr>
  </w:style>
  <w:style w:type="paragraph" w:customStyle="1" w:styleId="Appelnotedebasde">
    <w:name w:val="Appel note de bas de..."/>
    <w:basedOn w:val="Normal"/>
    <w:link w:val="Refdenotaalpie"/>
    <w:uiPriority w:val="99"/>
    <w:rsid w:val="004D4217"/>
    <w:pPr>
      <w:spacing w:line="240" w:lineRule="exact"/>
    </w:pPr>
    <w:rPr>
      <w:vertAlign w:val="superscript"/>
    </w:rPr>
  </w:style>
  <w:style w:type="paragraph" w:styleId="Sinespaciado">
    <w:name w:val="No Spacing"/>
    <w:aliases w:val="No Indent"/>
    <w:uiPriority w:val="1"/>
    <w:qFormat/>
    <w:rsid w:val="004D4217"/>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peraciones.colombiacompra.gov.co/sites/cce_public/files/cce_documents/cce_guia_supervision_interventoria.pdf"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ettings" Target="settings.xml"/><Relationship Id="rId12" Type="http://schemas.openxmlformats.org/officeDocument/2006/relationships/hyperlink" Target="mailto:natacapi@hotmail.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colombiacompra.gov.co/pqrsd/informacion-importante-antes-de-formular-una-pqrs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operaciones.colombiacompra.gov.co/sites/cce_public/files/cce_documents/cce_guia_supervision_interventoria.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D534514C-B069-46C5-AA36-A29C7BFE2AFE}">
  <ds:schemaRefs>
    <ds:schemaRef ds:uri="http://schemas.openxmlformats.org/officeDocument/2006/bibliography"/>
  </ds:schemaRefs>
</ds:datastoreItem>
</file>

<file path=customXml/itemProps4.xml><?xml version="1.0" encoding="utf-8"?>
<ds:datastoreItem xmlns:ds="http://schemas.openxmlformats.org/officeDocument/2006/customXml" ds:itemID="{F485900B-2149-4CEF-B48F-F3F324D9350F}"/>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60</TotalTime>
  <Pages>26</Pages>
  <Words>8538</Words>
  <Characters>47136</Characters>
  <Application>Microsoft Office Word</Application>
  <DocSecurity>0</DocSecurity>
  <Lines>889</Lines>
  <Paragraphs>183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7</cp:revision>
  <cp:lastPrinted>2023-01-10T21:18:00Z</cp:lastPrinted>
  <dcterms:created xsi:type="dcterms:W3CDTF">2026-04-05T16:59:00Z</dcterms:created>
  <dcterms:modified xsi:type="dcterms:W3CDTF">2026-04-09T01:56:00Z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