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2F59E" w14:textId="77777777" w:rsidR="004E2826" w:rsidRPr="0088368A" w:rsidRDefault="004E2826" w:rsidP="004E2826">
      <w:pPr>
        <w:spacing w:after="0" w:line="240" w:lineRule="auto"/>
        <w:jc w:val="both"/>
        <w:rPr>
          <w:rFonts w:ascii="Verdana" w:eastAsia="Calibri" w:hAnsi="Verdana" w:cs="Arial"/>
          <w:b/>
          <w:bCs/>
          <w:sz w:val="20"/>
          <w:szCs w:val="20"/>
        </w:rPr>
      </w:pPr>
      <w:bookmarkStart w:id="0" w:name="_Hlk143780582"/>
      <w:r w:rsidRPr="0088368A">
        <w:rPr>
          <w:rFonts w:ascii="Verdana" w:eastAsia="Calibri" w:hAnsi="Verdana" w:cs="Arial"/>
          <w:b/>
          <w:bCs/>
          <w:sz w:val="20"/>
          <w:szCs w:val="20"/>
        </w:rPr>
        <w:t>PROMOCIÓN AL DESARROLLO – Ley 2069 de 2020 – Artículo 34</w:t>
      </w:r>
    </w:p>
    <w:p w14:paraId="1B658BB0" w14:textId="77777777" w:rsidR="004E2826" w:rsidRPr="0088368A" w:rsidRDefault="004E2826" w:rsidP="004E2826">
      <w:pPr>
        <w:spacing w:after="0" w:line="240" w:lineRule="auto"/>
        <w:jc w:val="both"/>
        <w:rPr>
          <w:rFonts w:ascii="Verdana" w:eastAsia="Calibri" w:hAnsi="Verdana" w:cs="Arial"/>
          <w:b/>
          <w:bCs/>
          <w:sz w:val="20"/>
          <w:szCs w:val="20"/>
        </w:rPr>
      </w:pPr>
    </w:p>
    <w:p w14:paraId="21AC97E3" w14:textId="77777777" w:rsidR="004E2826" w:rsidRPr="0088368A" w:rsidRDefault="004E2826" w:rsidP="004E2826">
      <w:pPr>
        <w:spacing w:after="0" w:line="240" w:lineRule="auto"/>
        <w:jc w:val="both"/>
        <w:rPr>
          <w:rStyle w:val="normaltextrun"/>
          <w:rFonts w:ascii="Verdana" w:hAnsi="Verdana" w:cs="Arial"/>
          <w:color w:val="000000"/>
          <w:sz w:val="20"/>
          <w:szCs w:val="20"/>
          <w:shd w:val="clear" w:color="auto" w:fill="FFFFFF"/>
        </w:rPr>
      </w:pPr>
      <w:r w:rsidRPr="0088368A">
        <w:rPr>
          <w:rStyle w:val="normaltextrun"/>
          <w:rFonts w:ascii="Verdana" w:hAnsi="Verdana" w:cs="Arial"/>
          <w:color w:val="000000"/>
          <w:sz w:val="20"/>
          <w:szCs w:val="20"/>
          <w:shd w:val="clear" w:color="auto" w:fill="FFFFFF"/>
        </w:rPr>
        <w:t>Respecto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w:t>
      </w:r>
    </w:p>
    <w:p w14:paraId="754B94BC" w14:textId="77777777" w:rsidR="004E2826" w:rsidRPr="0088368A" w:rsidRDefault="004E2826" w:rsidP="004E2826">
      <w:pPr>
        <w:spacing w:after="0" w:line="240" w:lineRule="auto"/>
        <w:jc w:val="both"/>
        <w:rPr>
          <w:rStyle w:val="normaltextrun"/>
          <w:rFonts w:ascii="Verdana" w:hAnsi="Verdana" w:cs="Arial"/>
          <w:color w:val="000000"/>
          <w:sz w:val="20"/>
          <w:szCs w:val="20"/>
          <w:shd w:val="clear" w:color="auto" w:fill="FFFFFF"/>
        </w:rPr>
      </w:pPr>
    </w:p>
    <w:p w14:paraId="6F95F61E" w14:textId="77777777" w:rsidR="004E2826" w:rsidRPr="0088368A" w:rsidRDefault="004E2826" w:rsidP="004E2826">
      <w:pPr>
        <w:spacing w:after="0" w:line="240" w:lineRule="auto"/>
        <w:jc w:val="both"/>
        <w:rPr>
          <w:rStyle w:val="normaltextrun"/>
          <w:rFonts w:ascii="Verdana" w:hAnsi="Verdana" w:cs="Arial"/>
          <w:color w:val="000000"/>
          <w:sz w:val="20"/>
          <w:szCs w:val="20"/>
          <w:shd w:val="clear" w:color="auto" w:fill="FFFFFF"/>
        </w:rPr>
      </w:pPr>
      <w:r w:rsidRPr="0088368A">
        <w:rPr>
          <w:rStyle w:val="normaltextrun"/>
          <w:rFonts w:ascii="Verdana" w:hAnsi="Verdana" w:cs="Arial"/>
          <w:color w:val="000000"/>
          <w:sz w:val="20"/>
          <w:szCs w:val="20"/>
          <w:shd w:val="clear" w:color="auto" w:fill="FFFFFF"/>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670FC69F" w14:textId="77777777" w:rsidR="004E2826" w:rsidRPr="0088368A" w:rsidRDefault="004E2826" w:rsidP="004E2826">
      <w:pPr>
        <w:spacing w:after="0" w:line="240" w:lineRule="auto"/>
        <w:jc w:val="both"/>
        <w:rPr>
          <w:rStyle w:val="normaltextrun"/>
          <w:rFonts w:ascii="Verdana" w:hAnsi="Verdana" w:cs="Arial"/>
          <w:color w:val="000000"/>
          <w:sz w:val="20"/>
          <w:szCs w:val="20"/>
          <w:shd w:val="clear" w:color="auto" w:fill="FFFFFF"/>
        </w:rPr>
      </w:pPr>
    </w:p>
    <w:p w14:paraId="6343A6FD" w14:textId="77777777" w:rsidR="004E2826" w:rsidRPr="0088368A" w:rsidRDefault="004E2826" w:rsidP="004E2826">
      <w:pPr>
        <w:spacing w:after="0" w:line="240" w:lineRule="auto"/>
        <w:jc w:val="both"/>
        <w:rPr>
          <w:rStyle w:val="eop"/>
          <w:rFonts w:ascii="Verdana" w:hAnsi="Verdana" w:cs="Arial"/>
          <w:color w:val="000000"/>
          <w:shd w:val="clear" w:color="auto" w:fill="FFFFFF"/>
          <w:lang w:val="es-ES"/>
        </w:rPr>
      </w:pPr>
      <w:r w:rsidRPr="0088368A">
        <w:rPr>
          <w:rStyle w:val="normaltextrun"/>
          <w:rFonts w:ascii="Verdana" w:hAnsi="Verdana" w:cs="Arial"/>
          <w:color w:val="000000"/>
          <w:sz w:val="20"/>
          <w:szCs w:val="20"/>
          <w:shd w:val="clear" w:color="auto" w:fill="FFFFFF"/>
        </w:rPr>
        <w:t>Parte de la Ley 2069 de 2020 introduce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p>
    <w:p w14:paraId="356A20F6" w14:textId="77777777" w:rsidR="004E2826" w:rsidRPr="0088368A" w:rsidRDefault="004E2826" w:rsidP="004E2826">
      <w:pPr>
        <w:spacing w:after="0" w:line="240" w:lineRule="auto"/>
        <w:jc w:val="both"/>
        <w:rPr>
          <w:rFonts w:ascii="Verdana" w:hAnsi="Verdana"/>
          <w:sz w:val="20"/>
          <w:szCs w:val="20"/>
        </w:rPr>
      </w:pPr>
    </w:p>
    <w:p w14:paraId="437F4A2B" w14:textId="77777777" w:rsidR="004E2826" w:rsidRPr="0088368A" w:rsidRDefault="004E2826" w:rsidP="004E2826">
      <w:pPr>
        <w:spacing w:after="0" w:line="240" w:lineRule="auto"/>
        <w:jc w:val="both"/>
        <w:rPr>
          <w:rFonts w:ascii="Verdana" w:eastAsia="Calibri" w:hAnsi="Verdana" w:cs="Arial"/>
          <w:b/>
          <w:sz w:val="20"/>
          <w:szCs w:val="20"/>
          <w:lang w:eastAsia="es-ES"/>
        </w:rPr>
      </w:pPr>
      <w:r w:rsidRPr="0088368A">
        <w:rPr>
          <w:rFonts w:ascii="Verdana" w:eastAsia="Calibri" w:hAnsi="Verdana" w:cs="Arial"/>
          <w:b/>
          <w:sz w:val="20"/>
          <w:szCs w:val="20"/>
          <w:lang w:eastAsia="es-ES"/>
        </w:rPr>
        <w:t>CONVOCATORIAS LIMITADAS A MIPYMES NACIONALES – Requisitos – Presupuestos mínimos</w:t>
      </w:r>
    </w:p>
    <w:p w14:paraId="054D346F" w14:textId="77777777" w:rsidR="004E2826" w:rsidRPr="0088368A" w:rsidRDefault="004E2826" w:rsidP="004E2826">
      <w:pPr>
        <w:spacing w:after="0" w:line="240" w:lineRule="auto"/>
        <w:jc w:val="both"/>
        <w:rPr>
          <w:rFonts w:ascii="Verdana" w:eastAsia="Calibri" w:hAnsi="Verdana" w:cs="Arial"/>
          <w:b/>
          <w:sz w:val="20"/>
          <w:szCs w:val="20"/>
          <w:lang w:eastAsia="es-ES"/>
        </w:rPr>
      </w:pPr>
    </w:p>
    <w:p w14:paraId="7DE12D82" w14:textId="77777777" w:rsidR="004E2826" w:rsidRPr="0088368A" w:rsidRDefault="004E2826" w:rsidP="004E2826">
      <w:pPr>
        <w:spacing w:after="0" w:line="240" w:lineRule="auto"/>
        <w:jc w:val="both"/>
        <w:rPr>
          <w:rFonts w:ascii="Verdana" w:eastAsia="Calibri" w:hAnsi="Verdana" w:cs="Arial"/>
          <w:b/>
          <w:bCs/>
          <w:sz w:val="20"/>
          <w:szCs w:val="20"/>
          <w:lang w:val="es-ES" w:eastAsia="es-ES"/>
        </w:rPr>
      </w:pPr>
      <w:r w:rsidRPr="0088368A">
        <w:rPr>
          <w:rFonts w:ascii="Verdana" w:hAnsi="Verdana"/>
          <w:sz w:val="20"/>
          <w:szCs w:val="20"/>
          <w:lang w:val="es-ES"/>
        </w:rPr>
        <w:t xml:space="preserve">El artículo 34 de la Ley 2069 de 2020, el cual modificó el artículo 12 de la Ley 1150 de 2007, regula la promoción del desarrollo en la contratación pública, cambiando 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8368A">
        <w:rPr>
          <w:rFonts w:ascii="Verdana" w:hAnsi="Verdana"/>
          <w:sz w:val="20"/>
          <w:szCs w:val="20"/>
          <w:lang w:val="es-ES"/>
        </w:rPr>
        <w:t>ii</w:t>
      </w:r>
      <w:proofErr w:type="spellEnd"/>
      <w:r w:rsidRPr="0088368A">
        <w:rPr>
          <w:rFonts w:ascii="Verdana" w:hAnsi="Verdana"/>
          <w:sz w:val="20"/>
          <w:szCs w:val="20"/>
          <w:lang w:val="es-ES"/>
        </w:rPr>
        <w:t xml:space="preserve">) señaló que los patrimonios autónomos constituidos por Entidades Estatales y los particulares que ejecuten recursos públicos también son destinatarios de esta exigencia; y,  </w:t>
      </w:r>
      <w:proofErr w:type="spellStart"/>
      <w:r w:rsidRPr="0088368A">
        <w:rPr>
          <w:rFonts w:ascii="Verdana" w:hAnsi="Verdana"/>
          <w:sz w:val="20"/>
          <w:szCs w:val="20"/>
          <w:lang w:val="es-ES"/>
        </w:rPr>
        <w:t>iii</w:t>
      </w:r>
      <w:proofErr w:type="spellEnd"/>
      <w:r w:rsidRPr="0088368A">
        <w:rPr>
          <w:rFonts w:ascii="Verdana" w:hAnsi="Verdana"/>
          <w:sz w:val="20"/>
          <w:szCs w:val="20"/>
          <w:lang w:val="es-ES"/>
        </w:rPr>
        <w:t>) indicó que para que pueda haber convocatorias limitadas a MiPymes, dos (2) de ellas deben manifestar su interés.</w:t>
      </w:r>
    </w:p>
    <w:p w14:paraId="429BD45B" w14:textId="77777777" w:rsidR="004E2826" w:rsidRPr="0088368A" w:rsidRDefault="004E2826" w:rsidP="004E2826">
      <w:pPr>
        <w:spacing w:after="0" w:line="240" w:lineRule="auto"/>
        <w:jc w:val="both"/>
        <w:rPr>
          <w:rFonts w:ascii="Verdana" w:eastAsia="Calibri" w:hAnsi="Verdana" w:cs="Arial"/>
          <w:sz w:val="20"/>
          <w:szCs w:val="20"/>
          <w:lang w:val="es-ES" w:eastAsia="es-ES"/>
        </w:rPr>
      </w:pPr>
      <w:r w:rsidRPr="0088368A">
        <w:rPr>
          <w:rFonts w:ascii="Verdana" w:eastAsia="Calibri" w:hAnsi="Verdana" w:cs="Arial"/>
          <w:sz w:val="20"/>
          <w:szCs w:val="20"/>
          <w:lang w:val="es-ES" w:eastAsia="es-ES"/>
        </w:rPr>
        <w:t>[…]</w:t>
      </w:r>
    </w:p>
    <w:p w14:paraId="6F2E71E9" w14:textId="77777777" w:rsidR="004E2826" w:rsidRPr="0088368A" w:rsidRDefault="004E2826" w:rsidP="004E2826">
      <w:pPr>
        <w:spacing w:after="0" w:line="240" w:lineRule="auto"/>
        <w:jc w:val="both"/>
        <w:rPr>
          <w:rFonts w:ascii="Verdana" w:eastAsia="Calibri" w:hAnsi="Verdana" w:cs="Arial"/>
          <w:sz w:val="20"/>
          <w:szCs w:val="20"/>
          <w:lang w:val="es-ES" w:eastAsia="es-ES"/>
        </w:rPr>
      </w:pPr>
    </w:p>
    <w:p w14:paraId="63D4E317" w14:textId="77777777" w:rsidR="004E2826" w:rsidRPr="0088368A" w:rsidRDefault="004E2826" w:rsidP="004E2826">
      <w:pPr>
        <w:spacing w:after="0" w:line="240" w:lineRule="auto"/>
        <w:jc w:val="both"/>
        <w:rPr>
          <w:rFonts w:ascii="Verdana" w:hAnsi="Verdana"/>
          <w:sz w:val="20"/>
          <w:szCs w:val="20"/>
          <w:lang w:val="es-ES"/>
        </w:rPr>
      </w:pPr>
      <w:r w:rsidRPr="0088368A">
        <w:rPr>
          <w:rFonts w:ascii="Verdana" w:hAnsi="Verdana"/>
          <w:sz w:val="20"/>
          <w:szCs w:val="20"/>
          <w:lang w:val="es-ES"/>
        </w:rPr>
        <w:t xml:space="preserve">Según se evidencia, el numeral primero del </w:t>
      </w:r>
      <w:r w:rsidRPr="0088368A">
        <w:rPr>
          <w:rFonts w:ascii="Verdana" w:hAnsi="Verdana"/>
          <w:sz w:val="20"/>
          <w:szCs w:val="20"/>
          <w:lang w:val="es-ES_tradnl"/>
        </w:rPr>
        <w:t xml:space="preserve">artículo 2.2.1.2.4.2.2 del Decreto 1082 de 2015 </w:t>
      </w:r>
      <w:r w:rsidRPr="0088368A">
        <w:rPr>
          <w:rFonts w:ascii="Verdana" w:hAnsi="Verdana"/>
          <w:sz w:val="20"/>
          <w:szCs w:val="20"/>
          <w:lang w:val="es-ES"/>
        </w:rPr>
        <w:t xml:space="preserve">limita cuantitativamente los procesos contractuales para las convocatorias limitadas a MiPymes, puesto que el valor del proceso de contratación debe ser “menor a ciento veinticinco mil dólares de los Estados Unidos de América”. Esto de acuerdo con la tasa que determine cada dos (2) años el Ministerio de Comercio, Industria y Turismo. El numeral segundo establece, por un lado, que al menos dos (2) MiPymes colombianas presenten a la entidad la solicitud de limitar el proceso contractual y, por el otro, que hagan la solicitud por lo menos un día (1) hábil antes de la expedición del acto </w:t>
      </w:r>
      <w:r w:rsidRPr="0088368A">
        <w:rPr>
          <w:rFonts w:ascii="Verdana" w:hAnsi="Verdana"/>
          <w:sz w:val="20"/>
          <w:szCs w:val="20"/>
          <w:lang w:val="es-ES"/>
        </w:rPr>
        <w:lastRenderedPageBreak/>
        <w:t xml:space="preserve">administrativo de apertura o el que haga sus veces de acuerdo con la normativa aplicable a cada Proceso de Contratación. </w:t>
      </w:r>
    </w:p>
    <w:p w14:paraId="7918D579" w14:textId="77777777" w:rsidR="004E2826" w:rsidRPr="0088368A" w:rsidRDefault="004E2826" w:rsidP="004E2826">
      <w:pPr>
        <w:spacing w:after="0" w:line="240" w:lineRule="auto"/>
        <w:jc w:val="both"/>
        <w:rPr>
          <w:rFonts w:ascii="Verdana" w:eastAsia="Calibri" w:hAnsi="Verdana" w:cs="Arial"/>
          <w:sz w:val="20"/>
          <w:szCs w:val="20"/>
          <w:lang w:eastAsia="es-ES"/>
        </w:rPr>
      </w:pPr>
    </w:p>
    <w:p w14:paraId="48C28748" w14:textId="77777777" w:rsidR="004E2826" w:rsidRPr="0088368A" w:rsidRDefault="004E2826" w:rsidP="004E2826">
      <w:pPr>
        <w:spacing w:after="0" w:line="240" w:lineRule="auto"/>
        <w:jc w:val="both"/>
        <w:rPr>
          <w:rFonts w:ascii="Verdana" w:eastAsia="Calibri" w:hAnsi="Verdana" w:cs="Arial"/>
          <w:b/>
          <w:sz w:val="20"/>
          <w:szCs w:val="20"/>
          <w:lang w:val="es-ES" w:eastAsia="es-ES"/>
        </w:rPr>
      </w:pPr>
      <w:r w:rsidRPr="0088368A">
        <w:rPr>
          <w:rFonts w:ascii="Verdana" w:hAnsi="Verdana" w:cs="Arial"/>
          <w:b/>
          <w:sz w:val="20"/>
          <w:szCs w:val="20"/>
          <w:lang w:val="es-ES" w:eastAsia="es-CO"/>
        </w:rPr>
        <w:t xml:space="preserve">MIPYME </w:t>
      </w:r>
      <w:r w:rsidRPr="0088368A">
        <w:rPr>
          <w:rFonts w:ascii="Verdana" w:hAnsi="Verdana" w:cs="Arial"/>
          <w:b/>
          <w:sz w:val="20"/>
          <w:szCs w:val="20"/>
          <w:lang w:eastAsia="es-CO"/>
        </w:rPr>
        <w:t>– Convocatoria limitada – Acreditación – Persona natural – RUP</w:t>
      </w:r>
    </w:p>
    <w:p w14:paraId="69CCA69A" w14:textId="77777777" w:rsidR="004E2826" w:rsidRPr="0088368A" w:rsidRDefault="004E2826" w:rsidP="004E2826">
      <w:pPr>
        <w:spacing w:after="0" w:line="240" w:lineRule="auto"/>
        <w:jc w:val="both"/>
        <w:rPr>
          <w:rFonts w:ascii="Verdana" w:eastAsia="Arial" w:hAnsi="Verdana" w:cs="Arial"/>
          <w:sz w:val="20"/>
          <w:szCs w:val="20"/>
          <w:lang w:eastAsia="es-ES_tradnl"/>
        </w:rPr>
      </w:pPr>
    </w:p>
    <w:p w14:paraId="6B204CCA" w14:textId="77777777" w:rsidR="004E2826" w:rsidRPr="0088368A" w:rsidRDefault="004E2826" w:rsidP="004E2826">
      <w:pPr>
        <w:spacing w:after="0" w:line="240" w:lineRule="auto"/>
        <w:jc w:val="both"/>
        <w:rPr>
          <w:rFonts w:ascii="Verdana" w:eastAsia="Calibri" w:hAnsi="Verdana" w:cs="Arial"/>
          <w:bCs/>
          <w:sz w:val="20"/>
          <w:szCs w:val="20"/>
          <w:lang w:val="es-ES_tradnl" w:eastAsia="es-ES_tradnl"/>
        </w:rPr>
      </w:pPr>
      <w:r w:rsidRPr="0088368A">
        <w:rPr>
          <w:rFonts w:ascii="Verdana" w:eastAsia="Calibri" w:hAnsi="Verdana" w:cs="Arial"/>
          <w:bCs/>
          <w:sz w:val="20"/>
          <w:szCs w:val="20"/>
          <w:lang w:eastAsia="es-ES_tradnl"/>
        </w:rPr>
        <w:t xml:space="preserve">para efectos de las convocatorias limitadas a </w:t>
      </w:r>
      <w:proofErr w:type="spellStart"/>
      <w:r w:rsidRPr="0088368A">
        <w:rPr>
          <w:rFonts w:ascii="Verdana" w:eastAsia="Calibri" w:hAnsi="Verdana" w:cs="Arial"/>
          <w:bCs/>
          <w:sz w:val="20"/>
          <w:szCs w:val="20"/>
          <w:lang w:eastAsia="es-ES_tradnl"/>
        </w:rPr>
        <w:t>MiPyme</w:t>
      </w:r>
      <w:proofErr w:type="spellEnd"/>
      <w:r w:rsidRPr="0088368A">
        <w:rPr>
          <w:rFonts w:ascii="Verdana" w:eastAsia="Calibri" w:hAnsi="Verdana" w:cs="Arial"/>
          <w:bCs/>
          <w:sz w:val="20"/>
          <w:szCs w:val="20"/>
          <w:lang w:eastAsia="es-ES_tradnl"/>
        </w:rPr>
        <w:t xml:space="preserve"> colombianas del sistema de compras públicas, el </w:t>
      </w:r>
      <w:r w:rsidRPr="0088368A">
        <w:rPr>
          <w:rFonts w:ascii="Verdana" w:eastAsia="Calibri" w:hAnsi="Verdana" w:cs="Arial"/>
          <w:bCs/>
          <w:sz w:val="20"/>
          <w:szCs w:val="20"/>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w:t>
      </w:r>
      <w:proofErr w:type="spellStart"/>
      <w:r w:rsidRPr="0088368A">
        <w:rPr>
          <w:rFonts w:ascii="Verdana" w:eastAsia="Calibri" w:hAnsi="Verdana" w:cs="Arial"/>
          <w:bCs/>
          <w:sz w:val="20"/>
          <w:szCs w:val="20"/>
          <w:lang w:val="es-ES_tradnl" w:eastAsia="es-ES_tradnl"/>
        </w:rPr>
        <w:t>MiPyme</w:t>
      </w:r>
      <w:proofErr w:type="spellEnd"/>
      <w:r w:rsidRPr="0088368A">
        <w:rPr>
          <w:rFonts w:ascii="Verdana" w:eastAsia="Calibri" w:hAnsi="Verdana" w:cs="Arial"/>
          <w:bCs/>
          <w:sz w:val="20"/>
          <w:szCs w:val="20"/>
          <w:lang w:val="es-ES_tradnl" w:eastAsia="es-ES_tradnl"/>
        </w:rPr>
        <w:t xml:space="preserve">. </w:t>
      </w:r>
    </w:p>
    <w:p w14:paraId="512EE255" w14:textId="77777777" w:rsidR="004E2826" w:rsidRPr="0088368A" w:rsidRDefault="004E2826" w:rsidP="004E2826">
      <w:pPr>
        <w:spacing w:after="0" w:line="240" w:lineRule="auto"/>
        <w:jc w:val="both"/>
        <w:rPr>
          <w:rFonts w:ascii="Verdana" w:eastAsia="Calibri" w:hAnsi="Verdana" w:cs="Arial"/>
          <w:sz w:val="20"/>
          <w:szCs w:val="20"/>
          <w:lang w:val="es-ES_tradnl" w:eastAsia="es-ES_tradnl"/>
        </w:rPr>
      </w:pPr>
      <w:r w:rsidRPr="0088368A">
        <w:rPr>
          <w:rFonts w:ascii="Verdana" w:eastAsia="Calibri" w:hAnsi="Verdana" w:cs="Arial"/>
          <w:bCs/>
          <w:sz w:val="20"/>
          <w:szCs w:val="20"/>
          <w:lang w:eastAsia="es-ES_tradnl"/>
        </w:rPr>
        <w:t>En relación con la persona jurídica, la norma requiere que l</w:t>
      </w:r>
      <w:r w:rsidRPr="0088368A">
        <w:rPr>
          <w:rFonts w:ascii="Verdana" w:eastAsia="Calibri" w:hAnsi="Verdana" w:cs="Arial"/>
          <w:sz w:val="20"/>
          <w:szCs w:val="20"/>
          <w:lang w:val="es-ES_tradnl" w:eastAsia="es-ES_tradnl"/>
        </w:rPr>
        <w:t xml:space="preserve">a </w:t>
      </w:r>
      <w:proofErr w:type="spellStart"/>
      <w:r w:rsidRPr="0088368A">
        <w:rPr>
          <w:rFonts w:ascii="Verdana" w:eastAsia="Calibri" w:hAnsi="Verdana" w:cs="Arial"/>
          <w:sz w:val="20"/>
          <w:szCs w:val="20"/>
          <w:lang w:val="es-ES_tradnl" w:eastAsia="es-ES_tradnl"/>
        </w:rPr>
        <w:t>MiPyme</w:t>
      </w:r>
      <w:proofErr w:type="spellEnd"/>
      <w:r w:rsidRPr="0088368A">
        <w:rPr>
          <w:rFonts w:ascii="Verdana" w:eastAsia="Calibri" w:hAnsi="Verdana" w:cs="Arial"/>
          <w:sz w:val="20"/>
          <w:szCs w:val="20"/>
          <w:lang w:val="es-ES_tradnl" w:eastAsia="es-ES_tradnl"/>
        </w:rPr>
        <w:t xml:space="preserve"> colombiana 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0EADC7F3" w14:textId="77777777" w:rsidR="004E2826" w:rsidRPr="0088368A" w:rsidRDefault="004E2826" w:rsidP="004E2826">
      <w:pPr>
        <w:spacing w:after="0" w:line="240" w:lineRule="auto"/>
        <w:jc w:val="both"/>
        <w:rPr>
          <w:rFonts w:ascii="Verdana" w:eastAsia="Calibri" w:hAnsi="Verdana" w:cs="Arial"/>
          <w:sz w:val="20"/>
          <w:szCs w:val="20"/>
          <w:lang w:val="es-ES_tradnl" w:eastAsia="es-ES_tradnl"/>
        </w:rPr>
      </w:pPr>
    </w:p>
    <w:p w14:paraId="3BDC6C6D" w14:textId="77777777" w:rsidR="004E2826" w:rsidRPr="0088368A" w:rsidRDefault="004E2826" w:rsidP="004E2826">
      <w:pPr>
        <w:spacing w:after="0" w:line="240" w:lineRule="auto"/>
        <w:jc w:val="both"/>
        <w:rPr>
          <w:rFonts w:ascii="Verdana" w:eastAsia="Calibri" w:hAnsi="Verdana" w:cs="Arial"/>
          <w:sz w:val="20"/>
          <w:szCs w:val="20"/>
          <w:lang w:val="es-ES" w:eastAsia="es-ES"/>
        </w:rPr>
      </w:pPr>
      <w:r w:rsidRPr="0088368A">
        <w:rPr>
          <w:rFonts w:ascii="Verdana" w:eastAsia="Calibri" w:hAnsi="Verdana" w:cs="Arial"/>
          <w:sz w:val="20"/>
          <w:szCs w:val="20"/>
          <w:lang w:val="es-ES" w:eastAsia="es-ES"/>
        </w:rPr>
        <w:t xml:space="preserve">Por su parte, tratándose de persona natural, la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w:t>
      </w:r>
    </w:p>
    <w:p w14:paraId="12385F74" w14:textId="77777777" w:rsidR="004E2826" w:rsidRPr="0088368A" w:rsidRDefault="004E2826" w:rsidP="004E2826">
      <w:pPr>
        <w:spacing w:after="0" w:line="240" w:lineRule="auto"/>
        <w:jc w:val="both"/>
        <w:rPr>
          <w:rFonts w:ascii="Verdana" w:eastAsia="Calibri" w:hAnsi="Verdana" w:cs="Arial"/>
          <w:sz w:val="20"/>
          <w:szCs w:val="20"/>
          <w:lang w:val="es-ES" w:eastAsia="es-ES"/>
        </w:rPr>
      </w:pPr>
    </w:p>
    <w:p w14:paraId="17B28E0E" w14:textId="77777777" w:rsidR="004E2826" w:rsidRPr="0088368A" w:rsidRDefault="004E2826" w:rsidP="004E2826">
      <w:pPr>
        <w:spacing w:after="0" w:line="240" w:lineRule="auto"/>
        <w:jc w:val="both"/>
        <w:rPr>
          <w:rFonts w:ascii="Verdana" w:eastAsia="Calibri" w:hAnsi="Verdana" w:cs="Arial"/>
          <w:sz w:val="20"/>
          <w:szCs w:val="20"/>
          <w:lang w:val="es-ES" w:eastAsia="es-ES"/>
        </w:rPr>
      </w:pPr>
      <w:r w:rsidRPr="0088368A">
        <w:rPr>
          <w:rFonts w:ascii="Verdana" w:eastAsia="Calibri" w:hAnsi="Verdana" w:cs="Arial"/>
          <w:bCs/>
          <w:sz w:val="20"/>
          <w:szCs w:val="20"/>
          <w:lang w:val="es-ES_tradnl" w:eastAsia="es-ES_tradnl"/>
        </w:rPr>
        <w:t xml:space="preserve">Además, es preciso señalar que el parágrafo primero del artículo citado permite acreditar la condición de </w:t>
      </w:r>
      <w:proofErr w:type="spellStart"/>
      <w:r w:rsidRPr="0088368A">
        <w:rPr>
          <w:rFonts w:ascii="Verdana" w:eastAsia="Calibri" w:hAnsi="Verdana" w:cs="Arial"/>
          <w:bCs/>
          <w:sz w:val="20"/>
          <w:szCs w:val="20"/>
          <w:lang w:val="es-ES_tradnl" w:eastAsia="es-ES_tradnl"/>
        </w:rPr>
        <w:t>MiPyme</w:t>
      </w:r>
      <w:proofErr w:type="spellEnd"/>
      <w:r w:rsidRPr="0088368A">
        <w:rPr>
          <w:rFonts w:ascii="Verdana" w:eastAsia="Calibri" w:hAnsi="Verdana" w:cs="Arial"/>
          <w:bCs/>
          <w:sz w:val="20"/>
          <w:szCs w:val="20"/>
          <w:lang w:val="es-ES_tradnl" w:eastAsia="es-ES_tradnl"/>
        </w:rPr>
        <w:t xml:space="preserve"> con la copia del certificado del Registro Único de Proponentes –RUP–. De esta manera, la </w:t>
      </w:r>
      <w:proofErr w:type="spellStart"/>
      <w:r w:rsidRPr="0088368A">
        <w:rPr>
          <w:rFonts w:ascii="Verdana" w:eastAsia="Calibri" w:hAnsi="Verdana" w:cs="Arial"/>
          <w:bCs/>
          <w:sz w:val="20"/>
          <w:szCs w:val="20"/>
          <w:lang w:val="es-ES_tradnl" w:eastAsia="es-ES_tradnl"/>
        </w:rPr>
        <w:t>MiPyme</w:t>
      </w:r>
      <w:proofErr w:type="spellEnd"/>
      <w:r w:rsidRPr="0088368A">
        <w:rPr>
          <w:rFonts w:ascii="Verdana" w:eastAsia="Calibri" w:hAnsi="Verdana" w:cs="Arial"/>
          <w:bCs/>
          <w:sz w:val="20"/>
          <w:szCs w:val="20"/>
          <w:lang w:val="es-ES_tradnl" w:eastAsia="es-ES_tradnl"/>
        </w:rPr>
        <w:t>, sea persona natural o persona jurídica, podrá acreditar la actividad y el tamaño empresarial exigido por la ley, presentando el RUP, documento que en este caso es de carácter opcional, es decir, es un medio de prueba alternativo establecido por el mismo reglamento.</w:t>
      </w:r>
    </w:p>
    <w:p w14:paraId="3800694E" w14:textId="77777777" w:rsidR="004E2826" w:rsidRDefault="004E2826" w:rsidP="004E2826">
      <w:pPr>
        <w:spacing w:after="0" w:line="240" w:lineRule="auto"/>
        <w:rPr>
          <w:rFonts w:ascii="Verdana" w:hAnsi="Verdana"/>
          <w:sz w:val="20"/>
          <w:szCs w:val="20"/>
        </w:rPr>
      </w:pPr>
    </w:p>
    <w:p w14:paraId="02D4B459" w14:textId="77777777" w:rsidR="004E2826" w:rsidRDefault="004E2826" w:rsidP="004E2826">
      <w:pPr>
        <w:spacing w:after="0" w:line="240" w:lineRule="auto"/>
        <w:rPr>
          <w:rFonts w:ascii="Verdana" w:hAnsi="Verdana"/>
          <w:sz w:val="20"/>
          <w:szCs w:val="20"/>
        </w:rPr>
      </w:pPr>
    </w:p>
    <w:p w14:paraId="35177A19" w14:textId="77777777" w:rsidR="004E2826" w:rsidRDefault="004E2826" w:rsidP="004E2826">
      <w:pPr>
        <w:spacing w:after="0" w:line="240" w:lineRule="auto"/>
        <w:rPr>
          <w:rFonts w:ascii="Verdana" w:hAnsi="Verdana"/>
          <w:sz w:val="20"/>
          <w:szCs w:val="20"/>
        </w:rPr>
      </w:pPr>
    </w:p>
    <w:p w14:paraId="60B3DAAA" w14:textId="77777777" w:rsidR="004E2826" w:rsidRDefault="004E2826" w:rsidP="004E2826">
      <w:pPr>
        <w:spacing w:after="0" w:line="240" w:lineRule="auto"/>
        <w:rPr>
          <w:rFonts w:ascii="Verdana" w:hAnsi="Verdana"/>
          <w:sz w:val="20"/>
          <w:szCs w:val="20"/>
        </w:rPr>
      </w:pPr>
    </w:p>
    <w:p w14:paraId="6ED88478" w14:textId="77777777" w:rsidR="004E2826" w:rsidRDefault="004E2826" w:rsidP="004E2826">
      <w:pPr>
        <w:spacing w:after="0" w:line="240" w:lineRule="auto"/>
        <w:rPr>
          <w:rFonts w:ascii="Verdana" w:hAnsi="Verdana"/>
          <w:sz w:val="20"/>
          <w:szCs w:val="20"/>
        </w:rPr>
      </w:pPr>
    </w:p>
    <w:p w14:paraId="035EF233" w14:textId="77777777" w:rsidR="004E2826" w:rsidRDefault="004E2826" w:rsidP="004E2826">
      <w:pPr>
        <w:spacing w:after="0" w:line="240" w:lineRule="auto"/>
        <w:rPr>
          <w:rFonts w:ascii="Verdana" w:hAnsi="Verdana"/>
          <w:sz w:val="20"/>
          <w:szCs w:val="20"/>
        </w:rPr>
      </w:pPr>
    </w:p>
    <w:p w14:paraId="6C7E32B7" w14:textId="77777777" w:rsidR="004E2826" w:rsidRDefault="004E2826" w:rsidP="004E2826">
      <w:pPr>
        <w:spacing w:after="0" w:line="240" w:lineRule="auto"/>
        <w:rPr>
          <w:rFonts w:ascii="Verdana" w:hAnsi="Verdana"/>
          <w:sz w:val="20"/>
          <w:szCs w:val="20"/>
        </w:rPr>
      </w:pPr>
    </w:p>
    <w:p w14:paraId="406C8C6B" w14:textId="77777777" w:rsidR="004E2826" w:rsidRDefault="004E2826" w:rsidP="004E2826">
      <w:pPr>
        <w:spacing w:after="0" w:line="240" w:lineRule="auto"/>
        <w:rPr>
          <w:rFonts w:ascii="Verdana" w:hAnsi="Verdana"/>
          <w:sz w:val="20"/>
          <w:szCs w:val="20"/>
        </w:rPr>
      </w:pPr>
    </w:p>
    <w:p w14:paraId="1F53BB1E" w14:textId="77777777" w:rsidR="004E2826" w:rsidRDefault="004E2826" w:rsidP="004E2826">
      <w:pPr>
        <w:spacing w:after="0" w:line="240" w:lineRule="auto"/>
        <w:rPr>
          <w:rFonts w:ascii="Verdana" w:hAnsi="Verdana"/>
          <w:sz w:val="20"/>
          <w:szCs w:val="20"/>
        </w:rPr>
      </w:pPr>
    </w:p>
    <w:p w14:paraId="6A3E23FF" w14:textId="77777777" w:rsidR="004E2826" w:rsidRDefault="004E2826" w:rsidP="004E2826">
      <w:pPr>
        <w:spacing w:after="0" w:line="240" w:lineRule="auto"/>
        <w:rPr>
          <w:rFonts w:ascii="Verdana" w:hAnsi="Verdana"/>
          <w:sz w:val="20"/>
          <w:szCs w:val="20"/>
        </w:rPr>
      </w:pPr>
    </w:p>
    <w:p w14:paraId="6CF7CD05" w14:textId="77777777" w:rsidR="004E2826" w:rsidRDefault="004E2826" w:rsidP="004E2826">
      <w:pPr>
        <w:spacing w:after="0" w:line="240" w:lineRule="auto"/>
        <w:rPr>
          <w:rFonts w:ascii="Verdana" w:hAnsi="Verdana"/>
          <w:sz w:val="20"/>
          <w:szCs w:val="20"/>
        </w:rPr>
      </w:pPr>
    </w:p>
    <w:p w14:paraId="79811B6B" w14:textId="77777777" w:rsidR="004E2826" w:rsidRDefault="004E2826" w:rsidP="004E2826">
      <w:pPr>
        <w:spacing w:after="0" w:line="240" w:lineRule="auto"/>
        <w:rPr>
          <w:rFonts w:ascii="Verdana" w:hAnsi="Verdana"/>
          <w:sz w:val="20"/>
          <w:szCs w:val="20"/>
        </w:rPr>
      </w:pPr>
    </w:p>
    <w:p w14:paraId="6905D992" w14:textId="77777777" w:rsidR="004E2826" w:rsidRDefault="004E2826" w:rsidP="004E2826">
      <w:pPr>
        <w:spacing w:after="0" w:line="240" w:lineRule="auto"/>
        <w:rPr>
          <w:rFonts w:ascii="Verdana" w:hAnsi="Verdana"/>
          <w:sz w:val="20"/>
          <w:szCs w:val="20"/>
        </w:rPr>
      </w:pPr>
    </w:p>
    <w:p w14:paraId="2078A011" w14:textId="77777777" w:rsidR="004E2826" w:rsidRDefault="004E2826" w:rsidP="004E2826">
      <w:pPr>
        <w:spacing w:after="0" w:line="240" w:lineRule="auto"/>
        <w:rPr>
          <w:rFonts w:ascii="Verdana" w:hAnsi="Verdana"/>
          <w:sz w:val="20"/>
          <w:szCs w:val="20"/>
        </w:rPr>
      </w:pPr>
    </w:p>
    <w:p w14:paraId="4EA1607A" w14:textId="77777777" w:rsidR="004E2826" w:rsidRDefault="004E2826" w:rsidP="004E2826">
      <w:pPr>
        <w:spacing w:after="0" w:line="240" w:lineRule="auto"/>
        <w:rPr>
          <w:rFonts w:ascii="Verdana" w:hAnsi="Verdana"/>
          <w:sz w:val="20"/>
          <w:szCs w:val="20"/>
        </w:rPr>
      </w:pPr>
    </w:p>
    <w:p w14:paraId="1FFEF9EB" w14:textId="77777777" w:rsidR="004E2826" w:rsidRDefault="004E2826" w:rsidP="004E2826">
      <w:pPr>
        <w:spacing w:after="0" w:line="240" w:lineRule="auto"/>
        <w:rPr>
          <w:rFonts w:ascii="Verdana" w:hAnsi="Verdana"/>
          <w:sz w:val="20"/>
          <w:szCs w:val="20"/>
        </w:rPr>
      </w:pPr>
    </w:p>
    <w:p w14:paraId="13C67ECC" w14:textId="77777777" w:rsidR="004E2826" w:rsidRDefault="004E2826" w:rsidP="004E2826">
      <w:pPr>
        <w:spacing w:after="0" w:line="240" w:lineRule="auto"/>
        <w:rPr>
          <w:rFonts w:ascii="Verdana" w:hAnsi="Verdana"/>
          <w:sz w:val="20"/>
          <w:szCs w:val="20"/>
        </w:rPr>
      </w:pPr>
    </w:p>
    <w:p w14:paraId="40FB0418" w14:textId="77777777" w:rsidR="004E2826" w:rsidRDefault="004E2826" w:rsidP="004E2826">
      <w:pPr>
        <w:spacing w:after="0" w:line="240" w:lineRule="auto"/>
        <w:rPr>
          <w:rFonts w:ascii="Verdana" w:hAnsi="Verdana"/>
          <w:sz w:val="20"/>
          <w:szCs w:val="20"/>
        </w:rPr>
      </w:pPr>
    </w:p>
    <w:p w14:paraId="78D8D818" w14:textId="77777777" w:rsidR="004E2826" w:rsidRDefault="004E2826" w:rsidP="004E2826">
      <w:pPr>
        <w:spacing w:after="0" w:line="240" w:lineRule="auto"/>
        <w:rPr>
          <w:rFonts w:ascii="Verdana" w:hAnsi="Verdana"/>
          <w:sz w:val="20"/>
          <w:szCs w:val="20"/>
        </w:rPr>
      </w:pPr>
    </w:p>
    <w:p w14:paraId="31E70695" w14:textId="0CE6D34F" w:rsidR="004E2826" w:rsidRPr="00E31648" w:rsidRDefault="004E2826" w:rsidP="004E2826">
      <w:pPr>
        <w:spacing w:after="0" w:line="240" w:lineRule="auto"/>
      </w:pPr>
      <w:r w:rsidRPr="00C562D4">
        <w:rPr>
          <w:rFonts w:ascii="Verdana" w:eastAsia="Calibri" w:hAnsi="Verdana" w:cs="Arial"/>
          <w:color w:val="000000" w:themeColor="text1"/>
        </w:rPr>
        <w:t xml:space="preserve">Bogotá D.C., </w:t>
      </w:r>
      <w:r w:rsidR="0099463A">
        <w:rPr>
          <w:rFonts w:ascii="Verdana" w:eastAsia="Calibri" w:hAnsi="Verdana" w:cs="Arial"/>
          <w:color w:val="000000" w:themeColor="text1"/>
        </w:rPr>
        <w:t>14</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99463A">
        <w:rPr>
          <w:rFonts w:ascii="Verdana" w:eastAsia="Calibri" w:hAnsi="Verdana" w:cs="Arial"/>
          <w:color w:val="000000" w:themeColor="text1"/>
        </w:rPr>
        <w:t>abril</w:t>
      </w:r>
      <w:r>
        <w:rPr>
          <w:rFonts w:ascii="Verdana" w:eastAsia="Calibri" w:hAnsi="Verdana" w:cs="Arial"/>
          <w:color w:val="000000" w:themeColor="text1"/>
        </w:rPr>
        <w:t xml:space="preserve">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06F45155" w14:textId="77777777" w:rsidR="004E2826" w:rsidRDefault="004E2826" w:rsidP="004E2826">
      <w:pPr>
        <w:spacing w:after="0" w:line="240" w:lineRule="auto"/>
        <w:jc w:val="both"/>
        <w:rPr>
          <w:rFonts w:ascii="Verdana" w:eastAsia="Calibri" w:hAnsi="Verdana" w:cs="Arial"/>
          <w:color w:val="000000" w:themeColor="text1"/>
          <w:lang w:val="es-ES"/>
        </w:rPr>
      </w:pPr>
    </w:p>
    <w:p w14:paraId="65E0DD21" w14:textId="52B99B21" w:rsidR="004E2826" w:rsidRDefault="00ED0255" w:rsidP="00ED0255">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0E943188" wp14:editId="567146E5">
            <wp:extent cx="2600325" cy="885825"/>
            <wp:effectExtent l="0" t="0" r="9525" b="9525"/>
            <wp:docPr id="1705327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0325" cy="885825"/>
                    </a:xfrm>
                    <a:prstGeom prst="rect">
                      <a:avLst/>
                    </a:prstGeom>
                    <a:noFill/>
                    <a:ln>
                      <a:noFill/>
                    </a:ln>
                  </pic:spPr>
                </pic:pic>
              </a:graphicData>
            </a:graphic>
          </wp:inline>
        </w:drawing>
      </w:r>
    </w:p>
    <w:p w14:paraId="7E901E1D" w14:textId="77777777" w:rsidR="004E2826" w:rsidRPr="00115E3D" w:rsidRDefault="004E2826" w:rsidP="004E2826">
      <w:pPr>
        <w:spacing w:after="0" w:line="240" w:lineRule="auto"/>
        <w:jc w:val="both"/>
        <w:rPr>
          <w:rFonts w:ascii="Verdana" w:eastAsia="Calibri" w:hAnsi="Verdana" w:cs="Arial"/>
          <w:color w:val="000000" w:themeColor="text1"/>
          <w:lang w:val="es-ES"/>
        </w:rPr>
      </w:pPr>
    </w:p>
    <w:p w14:paraId="79E04AA6" w14:textId="77777777" w:rsidR="004E2826" w:rsidRPr="00115E3D" w:rsidRDefault="004E2826" w:rsidP="004E2826">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2C9CB5EC" w14:textId="77777777" w:rsidR="004E2826" w:rsidRDefault="004E2826" w:rsidP="004E2826">
      <w:pPr>
        <w:spacing w:after="0" w:line="240" w:lineRule="auto"/>
        <w:rPr>
          <w:rFonts w:ascii="Verdana" w:eastAsia="Calibri" w:hAnsi="Verdana" w:cs="Arial"/>
          <w:b/>
          <w:bCs/>
          <w:color w:val="000000" w:themeColor="text1"/>
          <w:lang w:eastAsia="es-ES"/>
        </w:rPr>
      </w:pPr>
      <w:r w:rsidRPr="00B26F4D">
        <w:rPr>
          <w:rFonts w:ascii="Verdana" w:eastAsia="Calibri" w:hAnsi="Verdana" w:cs="Arial"/>
          <w:b/>
          <w:bCs/>
          <w:color w:val="000000" w:themeColor="text1"/>
          <w:lang w:eastAsia="es-ES"/>
        </w:rPr>
        <w:t>WILFER JAVIER CUELLAR GOMEZ</w:t>
      </w:r>
    </w:p>
    <w:p w14:paraId="12FBDCB4" w14:textId="77777777" w:rsidR="004E2826" w:rsidRPr="0087638A" w:rsidRDefault="00340634" w:rsidP="004E2826">
      <w:pPr>
        <w:spacing w:after="0" w:line="240" w:lineRule="auto"/>
        <w:rPr>
          <w:rFonts w:ascii="Verdana" w:eastAsia="Calibri" w:hAnsi="Verdana" w:cs="Arial"/>
          <w:color w:val="000000" w:themeColor="text1"/>
          <w:lang w:eastAsia="es-ES"/>
        </w:rPr>
      </w:pPr>
      <w:hyperlink r:id="rId11" w:history="1">
        <w:r w:rsidR="004E2826" w:rsidRPr="002F7709">
          <w:rPr>
            <w:rStyle w:val="Hipervnculo"/>
            <w:rFonts w:ascii="Verdana" w:hAnsi="Verdana"/>
          </w:rPr>
          <w:t>javiercuellarg@gmail.com</w:t>
        </w:r>
      </w:hyperlink>
      <w:r w:rsidR="004E2826">
        <w:rPr>
          <w:rFonts w:ascii="Verdana" w:hAnsi="Verdana"/>
        </w:rPr>
        <w:t xml:space="preserve">  </w:t>
      </w:r>
      <w:r w:rsidR="004E2826" w:rsidRPr="0087638A">
        <w:rPr>
          <w:rFonts w:ascii="Verdana" w:hAnsi="Verdana"/>
        </w:rPr>
        <w:t xml:space="preserve"> </w:t>
      </w:r>
    </w:p>
    <w:p w14:paraId="634EA12E" w14:textId="77777777" w:rsidR="004E2826" w:rsidRPr="00385D7A" w:rsidRDefault="004E2826" w:rsidP="004E2826">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5A8A5FF7" w14:textId="77777777" w:rsidR="004E2826" w:rsidRPr="00CB7ABE" w:rsidRDefault="004E2826" w:rsidP="004E2826">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4E2826" w:rsidRPr="00115E3D" w14:paraId="0D7DCFE7" w14:textId="77777777" w:rsidTr="00F63E64">
        <w:trPr>
          <w:trHeight w:val="615"/>
        </w:trPr>
        <w:tc>
          <w:tcPr>
            <w:tcW w:w="2270" w:type="dxa"/>
          </w:tcPr>
          <w:p w14:paraId="0990630C" w14:textId="77777777" w:rsidR="004E2826" w:rsidRPr="00CB7ABE" w:rsidRDefault="004E2826" w:rsidP="00F63E64">
            <w:pPr>
              <w:jc w:val="both"/>
              <w:rPr>
                <w:rFonts w:ascii="Verdana" w:eastAsia="Calibri" w:hAnsi="Verdana" w:cs="Arial"/>
                <w:b/>
                <w:bCs/>
                <w:color w:val="000000" w:themeColor="text1"/>
                <w:lang w:eastAsia="es-ES_tradnl"/>
              </w:rPr>
            </w:pPr>
          </w:p>
        </w:tc>
        <w:tc>
          <w:tcPr>
            <w:tcW w:w="6547" w:type="dxa"/>
          </w:tcPr>
          <w:p w14:paraId="03346E72" w14:textId="77777777" w:rsidR="004E2826" w:rsidRPr="008A209A" w:rsidRDefault="004E2826" w:rsidP="00F63E64">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343</w:t>
            </w:r>
            <w:r w:rsidRPr="008A209A">
              <w:rPr>
                <w:rFonts w:ascii="Verdana" w:eastAsia="Calibri" w:hAnsi="Verdana" w:cs="Arial"/>
                <w:b/>
                <w:bCs/>
                <w:color w:val="000000" w:themeColor="text1"/>
                <w:lang w:val="es-ES" w:eastAsia="es-ES"/>
              </w:rPr>
              <w:t xml:space="preserve"> de 2026</w:t>
            </w:r>
          </w:p>
        </w:tc>
      </w:tr>
      <w:tr w:rsidR="004E2826" w:rsidRPr="007E403E" w14:paraId="095AD830" w14:textId="77777777" w:rsidTr="00F63E64">
        <w:trPr>
          <w:trHeight w:val="1071"/>
        </w:trPr>
        <w:tc>
          <w:tcPr>
            <w:tcW w:w="2270" w:type="dxa"/>
          </w:tcPr>
          <w:p w14:paraId="2E9D8526" w14:textId="77777777" w:rsidR="004E2826" w:rsidRPr="001B36DA" w:rsidRDefault="004E2826" w:rsidP="00F63E64">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6C09BE12" w14:textId="77777777" w:rsidR="004E2826" w:rsidRDefault="004E2826" w:rsidP="00F63E64">
            <w:pPr>
              <w:spacing w:line="276" w:lineRule="auto"/>
              <w:jc w:val="both"/>
              <w:rPr>
                <w:rFonts w:ascii="Verdana" w:hAnsi="Verdana" w:cs="Arial"/>
                <w:bCs/>
                <w:lang w:eastAsia="es-CO"/>
              </w:rPr>
            </w:pPr>
            <w:r w:rsidRPr="00BD696D">
              <w:rPr>
                <w:rFonts w:ascii="Verdana" w:eastAsia="Calibri" w:hAnsi="Verdana" w:cs="Arial"/>
                <w:bCs/>
                <w:lang w:val="es-ES_tradnl"/>
              </w:rPr>
              <w:t xml:space="preserve">PROMOCIÓN AL DESARROLLO – Ley 2069 de 2020 – Artículo 34 / </w:t>
            </w:r>
            <w:r w:rsidRPr="00BD696D">
              <w:rPr>
                <w:rFonts w:ascii="Verdana" w:eastAsia="Arial" w:hAnsi="Verdana" w:cs="Arial"/>
                <w:bCs/>
                <w:color w:val="000000"/>
              </w:rPr>
              <w:t>CONVOCATORIAS LIMITADAS A MIPYMES NACIONALES – Requisitos</w:t>
            </w:r>
            <w:r>
              <w:rPr>
                <w:rFonts w:ascii="Verdana" w:eastAsia="Arial" w:hAnsi="Verdana" w:cs="Arial"/>
                <w:bCs/>
                <w:color w:val="000000"/>
              </w:rPr>
              <w:t xml:space="preserve"> </w:t>
            </w:r>
            <w:r w:rsidRPr="00C661E5">
              <w:rPr>
                <w:rFonts w:ascii="Verdana" w:eastAsia="Calibri" w:hAnsi="Verdana" w:cs="Arial"/>
                <w:lang w:eastAsia="es-ES"/>
              </w:rPr>
              <w:t xml:space="preserve">– </w:t>
            </w:r>
            <w:r>
              <w:rPr>
                <w:rFonts w:ascii="Verdana" w:eastAsia="Calibri" w:hAnsi="Verdana" w:cs="Arial"/>
                <w:lang w:eastAsia="es-ES"/>
              </w:rPr>
              <w:t>P</w:t>
            </w:r>
            <w:r w:rsidRPr="00C661E5">
              <w:rPr>
                <w:rFonts w:ascii="Verdana" w:eastAsia="Calibri" w:hAnsi="Verdana" w:cs="Arial"/>
                <w:lang w:eastAsia="es-ES"/>
              </w:rPr>
              <w:t xml:space="preserve">resupuestos mínimos </w:t>
            </w:r>
            <w:r w:rsidRPr="00C661E5">
              <w:rPr>
                <w:rFonts w:ascii="Verdana" w:eastAsia="Calibri" w:hAnsi="Verdana" w:cs="Arial"/>
                <w:lang w:val="es-ES" w:eastAsia="es-ES"/>
              </w:rPr>
              <w:t xml:space="preserve">/ </w:t>
            </w:r>
            <w:r w:rsidRPr="00C661E5">
              <w:rPr>
                <w:rFonts w:ascii="Verdana" w:hAnsi="Verdana" w:cs="Arial"/>
                <w:bCs/>
                <w:lang w:val="es-ES" w:eastAsia="es-CO"/>
              </w:rPr>
              <w:t xml:space="preserve">MIPYME </w:t>
            </w:r>
            <w:r w:rsidRPr="00C661E5">
              <w:rPr>
                <w:rFonts w:ascii="Verdana" w:hAnsi="Verdana" w:cs="Arial"/>
                <w:bCs/>
                <w:lang w:eastAsia="es-CO"/>
              </w:rPr>
              <w:t>– Convocatoria limitada – Acreditación – RUP</w:t>
            </w:r>
            <w:r>
              <w:rPr>
                <w:rFonts w:ascii="Verdana" w:hAnsi="Verdana" w:cs="Arial"/>
                <w:bCs/>
                <w:lang w:eastAsia="es-CO"/>
              </w:rPr>
              <w:t xml:space="preserve"> </w:t>
            </w:r>
          </w:p>
          <w:p w14:paraId="4CCDAC61" w14:textId="77777777" w:rsidR="004E2826" w:rsidRPr="000036CD" w:rsidRDefault="004E2826" w:rsidP="00F63E64">
            <w:pPr>
              <w:spacing w:line="276" w:lineRule="auto"/>
              <w:jc w:val="both"/>
              <w:rPr>
                <w:rFonts w:ascii="Verdana" w:eastAsia="Calibri" w:hAnsi="Verdana" w:cs="Arial"/>
                <w:color w:val="000000" w:themeColor="text1"/>
                <w:highlight w:val="yellow"/>
                <w:lang w:val="es-ES" w:eastAsia="es-ES"/>
              </w:rPr>
            </w:pPr>
          </w:p>
        </w:tc>
      </w:tr>
      <w:tr w:rsidR="004E2826" w:rsidRPr="00115E3D" w14:paraId="3DFAF406" w14:textId="77777777" w:rsidTr="00F63E64">
        <w:trPr>
          <w:trHeight w:val="653"/>
        </w:trPr>
        <w:tc>
          <w:tcPr>
            <w:tcW w:w="2270" w:type="dxa"/>
          </w:tcPr>
          <w:p w14:paraId="7D245FD5" w14:textId="77777777" w:rsidR="004E2826" w:rsidRPr="00CB7ABE" w:rsidRDefault="004E2826" w:rsidP="00F63E64">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777D69A2" w14:textId="77777777" w:rsidR="004E2826" w:rsidRPr="00E4271C" w:rsidRDefault="004E2826" w:rsidP="00F63E64">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B26F4D">
              <w:rPr>
                <w:rFonts w:ascii="Verdana" w:hAnsi="Verdana"/>
                <w:color w:val="2B2B2B"/>
              </w:rPr>
              <w:t>1_2026_03_03_002957</w:t>
            </w:r>
          </w:p>
          <w:p w14:paraId="214A646A" w14:textId="77777777" w:rsidR="004E2826" w:rsidRPr="00CB7ABE" w:rsidRDefault="004E2826" w:rsidP="00F63E64">
            <w:pPr>
              <w:ind w:right="1"/>
              <w:jc w:val="both"/>
              <w:rPr>
                <w:rFonts w:ascii="Verdana" w:hAnsi="Verdana"/>
                <w:color w:val="000000"/>
              </w:rPr>
            </w:pPr>
          </w:p>
        </w:tc>
      </w:tr>
    </w:tbl>
    <w:p w14:paraId="5F7068E3" w14:textId="77777777" w:rsidR="004E2826" w:rsidRPr="00115E3D" w:rsidRDefault="004E2826" w:rsidP="004E282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w:t>
      </w:r>
    </w:p>
    <w:p w14:paraId="7674BD14" w14:textId="77777777" w:rsidR="004E2826" w:rsidRPr="00115E3D" w:rsidRDefault="004E2826" w:rsidP="004E2826">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786A8B1" w14:textId="77777777" w:rsidR="004E2826" w:rsidRPr="00115E3D" w:rsidRDefault="004E2826" w:rsidP="004E282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03 de marzo de 2026 </w:t>
      </w:r>
      <w:r w:rsidRPr="00115E3D">
        <w:rPr>
          <w:rFonts w:ascii="Verdana" w:eastAsia="Calibri" w:hAnsi="Verdana" w:cs="Arial"/>
          <w:color w:val="000000" w:themeColor="text1"/>
          <w:lang w:val="es-ES" w:eastAsia="es-ES"/>
        </w:rPr>
        <w:t xml:space="preserve">en la cual manifiesta lo siguiente: </w:t>
      </w:r>
    </w:p>
    <w:p w14:paraId="04027508" w14:textId="77777777" w:rsidR="004E2826" w:rsidRDefault="004E2826" w:rsidP="004E2826">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6D506894" w14:textId="77777777" w:rsidR="004E2826" w:rsidRPr="00432F47" w:rsidRDefault="004E2826" w:rsidP="004E2826">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lang w:val="es-ES"/>
        </w:rPr>
        <w:t>¿</w:t>
      </w:r>
      <w:r w:rsidRPr="00432F47">
        <w:rPr>
          <w:rFonts w:ascii="Verdana" w:eastAsia="Century Gothic" w:hAnsi="Verdana" w:cs="Century Gothic"/>
          <w:i/>
          <w:iCs/>
          <w:color w:val="000000" w:themeColor="text1"/>
          <w:sz w:val="20"/>
          <w:szCs w:val="20"/>
        </w:rPr>
        <w:t>Puede un contador acreditar a dos más empresas como MYPIMES, en las</w:t>
      </w:r>
    </w:p>
    <w:p w14:paraId="40C8EA34" w14:textId="77777777" w:rsidR="004E2826" w:rsidRPr="00970C7D" w:rsidRDefault="004E2826" w:rsidP="004E2826">
      <w:pPr>
        <w:spacing w:after="0" w:line="240" w:lineRule="auto"/>
        <w:ind w:left="709" w:right="709"/>
        <w:jc w:val="both"/>
        <w:rPr>
          <w:rFonts w:ascii="Verdana" w:eastAsia="Century Gothic" w:hAnsi="Verdana" w:cs="Century Gothic"/>
          <w:i/>
          <w:iCs/>
          <w:color w:val="000000" w:themeColor="text1"/>
          <w:sz w:val="20"/>
          <w:szCs w:val="20"/>
        </w:rPr>
      </w:pPr>
      <w:r w:rsidRPr="00432F47">
        <w:rPr>
          <w:rFonts w:ascii="Verdana" w:eastAsia="Century Gothic" w:hAnsi="Verdana" w:cs="Century Gothic"/>
          <w:i/>
          <w:iCs/>
          <w:color w:val="000000" w:themeColor="text1"/>
          <w:sz w:val="20"/>
          <w:szCs w:val="20"/>
        </w:rPr>
        <w:t>que han solicitados la limitación, a un mismo proceso de selección?</w:t>
      </w:r>
      <w:r>
        <w:rPr>
          <w:rFonts w:ascii="Verdana" w:eastAsia="Century Gothic" w:hAnsi="Verdana" w:cs="Century Gothic"/>
          <w:i/>
          <w:iCs/>
          <w:color w:val="000000" w:themeColor="text1"/>
          <w:sz w:val="20"/>
          <w:szCs w:val="20"/>
        </w:rPr>
        <w:t>”</w:t>
      </w:r>
      <w:r w:rsidRPr="00970C7D">
        <w:rPr>
          <w:rFonts w:ascii="Verdana" w:eastAsia="Century Gothic" w:hAnsi="Verdana" w:cs="Century Gothic"/>
          <w:i/>
          <w:iCs/>
          <w:color w:val="000000" w:themeColor="text1"/>
          <w:sz w:val="20"/>
          <w:szCs w:val="20"/>
        </w:rPr>
        <w:t xml:space="preserve"> </w:t>
      </w:r>
    </w:p>
    <w:p w14:paraId="76CDB137" w14:textId="77777777" w:rsidR="004E2826" w:rsidRDefault="004E2826" w:rsidP="004E2826">
      <w:pPr>
        <w:spacing w:after="0" w:line="240" w:lineRule="auto"/>
        <w:ind w:left="709" w:right="709"/>
        <w:jc w:val="both"/>
        <w:rPr>
          <w:rFonts w:ascii="Verdana" w:eastAsia="Century Gothic" w:hAnsi="Verdana" w:cs="Century Gothic"/>
          <w:i/>
          <w:iCs/>
          <w:color w:val="000000" w:themeColor="text1"/>
          <w:sz w:val="20"/>
          <w:szCs w:val="20"/>
        </w:rPr>
      </w:pPr>
    </w:p>
    <w:p w14:paraId="4C149380" w14:textId="77777777" w:rsidR="004E2826" w:rsidRDefault="004E2826" w:rsidP="004E2826">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w:t>
      </w:r>
      <w:r w:rsidRPr="00115E3D">
        <w:rPr>
          <w:rFonts w:ascii="Verdana" w:eastAsia="Calibri" w:hAnsi="Verdana" w:cs="Arial"/>
          <w:color w:val="000000" w:themeColor="text1"/>
          <w:lang w:val="es-ES" w:eastAsia="es-ES"/>
        </w:rPr>
        <w:lastRenderedPageBreak/>
        <w:t xml:space="preserve">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C6B6D8A" w14:textId="77777777" w:rsidR="004E2826" w:rsidRPr="00115E3D" w:rsidRDefault="004E2826" w:rsidP="004E2826">
      <w:pPr>
        <w:spacing w:after="0" w:line="240" w:lineRule="auto"/>
        <w:ind w:right="49"/>
        <w:jc w:val="both"/>
        <w:rPr>
          <w:rFonts w:ascii="Verdana" w:eastAsia="Calibri" w:hAnsi="Verdana" w:cs="Arial"/>
          <w:color w:val="000000" w:themeColor="text1"/>
          <w:szCs w:val="24"/>
          <w:lang w:val="es-ES_tradnl" w:eastAsia="es-ES_tradnl"/>
        </w:rPr>
      </w:pPr>
    </w:p>
    <w:p w14:paraId="50563161" w14:textId="77777777" w:rsidR="004E2826" w:rsidRPr="00115E3D" w:rsidRDefault="004E2826" w:rsidP="004E2826">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15B145CF" w14:textId="77777777" w:rsidR="004E2826" w:rsidRPr="00115E3D" w:rsidRDefault="004E2826" w:rsidP="004E2826">
      <w:pPr>
        <w:spacing w:after="0" w:line="276" w:lineRule="auto"/>
        <w:ind w:firstLine="709"/>
        <w:jc w:val="both"/>
        <w:rPr>
          <w:rFonts w:ascii="Verdana" w:eastAsia="Calibri" w:hAnsi="Verdana" w:cs="Arial"/>
          <w:color w:val="000000" w:themeColor="text1"/>
          <w:lang w:val="es-ES" w:eastAsia="es-ES"/>
        </w:rPr>
      </w:pPr>
    </w:p>
    <w:p w14:paraId="4CCFDB6F" w14:textId="77777777" w:rsidR="004E2826" w:rsidRPr="00115E3D" w:rsidRDefault="004E2826" w:rsidP="004E282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5D2204DE" w14:textId="77777777" w:rsidR="004E2826" w:rsidRPr="00115E3D" w:rsidRDefault="004E2826" w:rsidP="004E2826">
      <w:pPr>
        <w:tabs>
          <w:tab w:val="left" w:pos="426"/>
        </w:tabs>
        <w:spacing w:after="0" w:line="276" w:lineRule="auto"/>
        <w:jc w:val="both"/>
        <w:rPr>
          <w:rFonts w:ascii="Verdana" w:eastAsia="Century Gothic" w:hAnsi="Verdana" w:cs="Century Gothic"/>
          <w:color w:val="000000" w:themeColor="text1"/>
          <w:lang w:val="es-ES"/>
        </w:rPr>
      </w:pPr>
    </w:p>
    <w:p w14:paraId="7D21A6CA" w14:textId="77777777" w:rsidR="004E2826" w:rsidRDefault="004E2826" w:rsidP="004E2826">
      <w:pPr>
        <w:spacing w:after="0" w:line="276" w:lineRule="auto"/>
        <w:jc w:val="both"/>
        <w:rPr>
          <w:rFonts w:ascii="Verdana" w:eastAsia="Verdana" w:hAnsi="Verdana" w:cs="Verdana"/>
          <w:lang w:val="es-ES"/>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117910">
        <w:rPr>
          <w:rFonts w:ascii="Verdana" w:eastAsia="Verdana" w:hAnsi="Verdana" w:cs="Verdana"/>
        </w:rPr>
        <w:t>¿</w:t>
      </w:r>
      <w:r w:rsidRPr="001B6057">
        <w:rPr>
          <w:rFonts w:ascii="Verdana" w:eastAsia="Calibri" w:hAnsi="Verdana" w:cs="Arial"/>
          <w:color w:val="000000"/>
          <w:lang w:eastAsia="es-ES"/>
        </w:rPr>
        <w:t>Resulta legalmente viable que un mismo contador público certifique la condición de MIPYME de dos o más empresas que pretenden solicitar la limitación a MIPYMES en un mismo proceso de selección</w:t>
      </w:r>
      <w:r w:rsidRPr="00117910">
        <w:rPr>
          <w:rFonts w:ascii="Verdana" w:eastAsia="Verdana" w:hAnsi="Verdana" w:cs="Verdana"/>
        </w:rPr>
        <w:t>?</w:t>
      </w:r>
    </w:p>
    <w:p w14:paraId="0F08940A" w14:textId="77777777" w:rsidR="004E2826" w:rsidRDefault="004E2826" w:rsidP="004E2826">
      <w:pPr>
        <w:spacing w:after="0" w:line="276" w:lineRule="auto"/>
        <w:jc w:val="both"/>
        <w:rPr>
          <w:rFonts w:ascii="Verdana" w:eastAsia="Verdana" w:hAnsi="Verdana" w:cs="Verdana"/>
          <w:lang w:val="es-ES"/>
        </w:rPr>
      </w:pPr>
    </w:p>
    <w:p w14:paraId="5723F276" w14:textId="77777777" w:rsidR="004E2826" w:rsidRPr="00115E3D" w:rsidRDefault="004E2826" w:rsidP="004E28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191986DD" w14:textId="77777777" w:rsidR="004E2826" w:rsidRPr="00115E3D" w:rsidRDefault="004E2826" w:rsidP="004E282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E2826" w:rsidRPr="00115E3D" w14:paraId="043687B5" w14:textId="77777777" w:rsidTr="00F63E64">
        <w:trPr>
          <w:trHeight w:val="774"/>
        </w:trPr>
        <w:tc>
          <w:tcPr>
            <w:tcW w:w="8828" w:type="dxa"/>
          </w:tcPr>
          <w:p w14:paraId="035798A4" w14:textId="77777777" w:rsidR="004E2826" w:rsidRDefault="004E2826" w:rsidP="00F63E64">
            <w:pPr>
              <w:spacing w:after="120" w:line="276" w:lineRule="auto"/>
              <w:ind w:firstLine="709"/>
              <w:jc w:val="both"/>
              <w:rPr>
                <w:rFonts w:ascii="Verdana" w:eastAsia="Century Gothic" w:hAnsi="Verdana" w:cs="Century Gothic"/>
              </w:rPr>
            </w:pPr>
            <w:r>
              <w:rPr>
                <w:rFonts w:ascii="Verdana" w:hAnsi="Verdana" w:cs="Arial"/>
              </w:rPr>
              <w:t xml:space="preserve">  </w:t>
            </w:r>
            <w:r w:rsidRPr="007E09CB">
              <w:rPr>
                <w:rFonts w:ascii="Verdana" w:eastAsiaTheme="minorEastAsia" w:hAnsi="Verdana" w:cs="Arial"/>
                <w:lang w:eastAsia="es-CO"/>
              </w:rPr>
              <w:t xml:space="preserve">De </w:t>
            </w:r>
            <w:r>
              <w:rPr>
                <w:rFonts w:ascii="Verdana" w:eastAsiaTheme="minorEastAsia" w:hAnsi="Verdana" w:cs="Arial"/>
                <w:lang w:eastAsia="es-CO"/>
              </w:rPr>
              <w:t>manera preliminar es pertinente indicar</w:t>
            </w:r>
            <w:r>
              <w:rPr>
                <w:rFonts w:ascii="Verdana" w:eastAsia="Century Gothic" w:hAnsi="Verdana" w:cs="Century Gothic"/>
              </w:rPr>
              <w:t xml:space="preserve"> que las MIPYMES son unidades de explotación económica en </w:t>
            </w:r>
            <w:r w:rsidRPr="00486D9F">
              <w:rPr>
                <w:rFonts w:ascii="Verdana" w:eastAsia="Century Gothic" w:hAnsi="Verdana" w:cs="Century Gothic"/>
              </w:rPr>
              <w:t>actividades empresariales, agropecuarias, industriales, comerciales o de servicios, rural o urbana</w:t>
            </w:r>
            <w:r>
              <w:rPr>
                <w:rFonts w:ascii="Verdana" w:eastAsia="Century Gothic" w:hAnsi="Verdana" w:cs="Century Gothic"/>
              </w:rPr>
              <w:t>,  las cuales fueron clasificadas directamente como estímulo a los empresarios, a fin de promover</w:t>
            </w:r>
            <w:r w:rsidRPr="00486D9F">
              <w:rPr>
                <w:rFonts w:ascii="Verdana" w:eastAsia="Century Gothic" w:hAnsi="Verdana" w:cs="Century Gothic"/>
              </w:rPr>
              <w:t xml:space="preserve"> la </w:t>
            </w:r>
            <w:r>
              <w:rPr>
                <w:rFonts w:ascii="Verdana" w:eastAsia="Century Gothic" w:hAnsi="Verdana" w:cs="Century Gothic"/>
              </w:rPr>
              <w:t xml:space="preserve"> creación de micro, pequeñas  y medianas empresas, </w:t>
            </w:r>
            <w:r w:rsidRPr="00486D9F">
              <w:rPr>
                <w:rFonts w:ascii="Verdana" w:eastAsia="Century Gothic" w:hAnsi="Verdana" w:cs="Century Gothic"/>
              </w:rPr>
              <w:t>generación de empleo</w:t>
            </w:r>
            <w:r>
              <w:rPr>
                <w:rFonts w:ascii="Verdana" w:eastAsia="Century Gothic" w:hAnsi="Verdana" w:cs="Century Gothic"/>
              </w:rPr>
              <w:t>, introducción hacia un mercado competitivo, c</w:t>
            </w:r>
            <w:r w:rsidRPr="00486D9F">
              <w:rPr>
                <w:rFonts w:ascii="Verdana" w:eastAsia="Century Gothic" w:hAnsi="Verdana" w:cs="Century Gothic"/>
              </w:rPr>
              <w:t>oadyuvar en el desarrollo de las organizaciones empresariales, en</w:t>
            </w:r>
            <w:r>
              <w:rPr>
                <w:rFonts w:ascii="Verdana" w:eastAsia="Century Gothic" w:hAnsi="Verdana" w:cs="Century Gothic"/>
              </w:rPr>
              <w:t>caminado a</w:t>
            </w:r>
            <w:r w:rsidRPr="00486D9F">
              <w:rPr>
                <w:rFonts w:ascii="Verdana" w:eastAsia="Century Gothic" w:hAnsi="Verdana" w:cs="Century Gothic"/>
              </w:rPr>
              <w:t xml:space="preserve"> la generación de esquemas de asociatividad empresarial y en alianzas estratégicas entre las entidades públicas y privadas</w:t>
            </w:r>
            <w:r>
              <w:rPr>
                <w:rFonts w:ascii="Verdana" w:eastAsia="Century Gothic" w:hAnsi="Verdana" w:cs="Century Gothic"/>
              </w:rPr>
              <w:t>.</w:t>
            </w:r>
          </w:p>
          <w:p w14:paraId="52878293" w14:textId="77777777" w:rsidR="004E2826" w:rsidRDefault="004E2826" w:rsidP="00F63E64">
            <w:pPr>
              <w:spacing w:line="276" w:lineRule="auto"/>
              <w:contextualSpacing/>
              <w:jc w:val="both"/>
              <w:rPr>
                <w:rFonts w:ascii="Verdana" w:eastAsia="Century Gothic" w:hAnsi="Verdana" w:cs="Century Gothic"/>
              </w:rPr>
            </w:pPr>
          </w:p>
          <w:p w14:paraId="33A927AE" w14:textId="77777777" w:rsidR="004E2826" w:rsidRDefault="004E2826" w:rsidP="00F63E64">
            <w:pPr>
              <w:spacing w:line="276" w:lineRule="auto"/>
              <w:contextualSpacing/>
              <w:jc w:val="both"/>
              <w:rPr>
                <w:rFonts w:ascii="Verdana" w:eastAsia="Century Gothic" w:hAnsi="Verdana" w:cs="Century Gothic"/>
              </w:rPr>
            </w:pPr>
            <w:r>
              <w:rPr>
                <w:rFonts w:ascii="Verdana" w:eastAsia="Century Gothic" w:hAnsi="Verdana" w:cs="Century Gothic"/>
              </w:rPr>
              <w:lastRenderedPageBreak/>
              <w:t xml:space="preserve">          Las MiPymes pueden ser personas naturales o jurídicas, lo importante es que estas cumplan con los requisitos de constitución de personal y activos totales dentro de lo señalado por la norma.</w:t>
            </w:r>
          </w:p>
          <w:p w14:paraId="7B6415B9" w14:textId="77777777" w:rsidR="004E2826" w:rsidRPr="00B668DD" w:rsidRDefault="004E2826" w:rsidP="00F63E64">
            <w:pPr>
              <w:spacing w:line="276" w:lineRule="auto"/>
              <w:contextualSpacing/>
              <w:jc w:val="both"/>
              <w:rPr>
                <w:rFonts w:ascii="Verdana" w:eastAsia="Century Gothic" w:hAnsi="Verdana" w:cs="Century Gothic"/>
              </w:rPr>
            </w:pPr>
          </w:p>
          <w:p w14:paraId="49A26067" w14:textId="77777777" w:rsidR="004E2826" w:rsidRDefault="004E2826" w:rsidP="00F63E64">
            <w:pPr>
              <w:spacing w:line="276" w:lineRule="auto"/>
              <w:contextualSpacing/>
              <w:jc w:val="both"/>
              <w:rPr>
                <w:rFonts w:ascii="Verdana" w:eastAsia="Century Gothic" w:hAnsi="Verdana" w:cs="Century Gothic"/>
              </w:rPr>
            </w:pPr>
            <w:r>
              <w:rPr>
                <w:rFonts w:ascii="Verdana" w:eastAsia="Century Gothic" w:hAnsi="Verdana" w:cs="Century Gothic"/>
              </w:rPr>
              <w:t xml:space="preserve">           Ahora bien, </w:t>
            </w:r>
            <w:r w:rsidRPr="00B668DD">
              <w:rPr>
                <w:rFonts w:ascii="Verdana" w:eastAsia="Century Gothic" w:hAnsi="Verdana" w:cs="Century Gothic"/>
              </w:rPr>
              <w:t>el artículo 2.2.1.2.4.2.4 de</w:t>
            </w:r>
            <w:r>
              <w:rPr>
                <w:rFonts w:ascii="Verdana" w:eastAsia="Century Gothic" w:hAnsi="Verdana" w:cs="Century Gothic"/>
              </w:rPr>
              <w:t>l Decreto 1082 del 2015</w:t>
            </w:r>
            <w:r w:rsidRPr="00B668DD">
              <w:rPr>
                <w:rFonts w:ascii="Verdana" w:eastAsia="Century Gothic" w:hAnsi="Verdana" w:cs="Century Gothic"/>
              </w:rPr>
              <w:t xml:space="preserve"> detalla </w:t>
            </w:r>
            <w:r>
              <w:rPr>
                <w:rFonts w:ascii="Verdana" w:eastAsia="Century Gothic" w:hAnsi="Verdana" w:cs="Century Gothic"/>
              </w:rPr>
              <w:t>la</w:t>
            </w:r>
            <w:r w:rsidRPr="00B668DD">
              <w:rPr>
                <w:rFonts w:ascii="Verdana" w:eastAsia="Century Gothic" w:hAnsi="Verdana" w:cs="Century Gothic"/>
              </w:rPr>
              <w:t xml:space="preserve"> acredita</w:t>
            </w:r>
            <w:r>
              <w:rPr>
                <w:rFonts w:ascii="Verdana" w:eastAsia="Century Gothic" w:hAnsi="Verdana" w:cs="Century Gothic"/>
              </w:rPr>
              <w:t>ción de</w:t>
            </w:r>
            <w:r w:rsidRPr="00B668DD">
              <w:rPr>
                <w:rFonts w:ascii="Verdana" w:eastAsia="Century Gothic" w:hAnsi="Verdana" w:cs="Century Gothic"/>
              </w:rPr>
              <w:t xml:space="preserve"> los requisitos para participar en </w:t>
            </w:r>
            <w:r>
              <w:rPr>
                <w:rFonts w:ascii="Verdana" w:eastAsia="Century Gothic" w:hAnsi="Verdana" w:cs="Century Gothic"/>
              </w:rPr>
              <w:t>convoc</w:t>
            </w:r>
            <w:r w:rsidRPr="00B668DD">
              <w:rPr>
                <w:rFonts w:ascii="Verdana" w:eastAsia="Century Gothic" w:hAnsi="Verdana" w:cs="Century Gothic"/>
              </w:rPr>
              <w:t>a</w:t>
            </w:r>
            <w:r>
              <w:rPr>
                <w:rFonts w:ascii="Verdana" w:eastAsia="Century Gothic" w:hAnsi="Verdana" w:cs="Century Gothic"/>
              </w:rPr>
              <w:t>torias limitadas</w:t>
            </w:r>
            <w:r w:rsidRPr="00B668DD">
              <w:rPr>
                <w:rFonts w:ascii="Verdana" w:eastAsia="Century Gothic" w:hAnsi="Verdana" w:cs="Century Gothic"/>
              </w:rPr>
              <w:t xml:space="preserve"> </w:t>
            </w:r>
            <w:r>
              <w:rPr>
                <w:rFonts w:ascii="Verdana" w:eastAsia="Century Gothic" w:hAnsi="Verdana" w:cs="Century Gothic"/>
              </w:rPr>
              <w:t xml:space="preserve">a </w:t>
            </w:r>
            <w:proofErr w:type="spellStart"/>
            <w:r w:rsidRPr="00B668DD">
              <w:rPr>
                <w:rFonts w:ascii="Verdana" w:eastAsia="Century Gothic" w:hAnsi="Verdana" w:cs="Century Gothic"/>
              </w:rPr>
              <w:t>Mipymes</w:t>
            </w:r>
            <w:proofErr w:type="spellEnd"/>
            <w:r w:rsidRPr="00B668DD">
              <w:rPr>
                <w:rFonts w:ascii="Verdana" w:eastAsia="Century Gothic" w:hAnsi="Verdana" w:cs="Century Gothic"/>
              </w:rPr>
              <w:t>. En particular, el numeral 1°</w:t>
            </w:r>
            <w:r>
              <w:rPr>
                <w:rFonts w:ascii="Verdana" w:eastAsia="Century Gothic" w:hAnsi="Verdana" w:cs="Century Gothic"/>
              </w:rPr>
              <w:t xml:space="preserve"> de la norma señalada indica que </w:t>
            </w:r>
            <w:r w:rsidRPr="00B668DD">
              <w:rPr>
                <w:rFonts w:ascii="Verdana" w:eastAsia="Century Gothic" w:hAnsi="Verdana" w:cs="Century Gothic"/>
              </w:rPr>
              <w:t>para las personas naturales</w:t>
            </w:r>
            <w:r>
              <w:rPr>
                <w:rFonts w:ascii="Verdana" w:eastAsia="Century Gothic" w:hAnsi="Verdana" w:cs="Century Gothic"/>
              </w:rPr>
              <w:t xml:space="preserve"> deben acreditar el tamaño empresarial mediante </w:t>
            </w:r>
            <w:r w:rsidRPr="00B668DD">
              <w:rPr>
                <w:rFonts w:ascii="Verdana" w:eastAsia="Century Gothic" w:hAnsi="Verdana" w:cs="Century Gothic"/>
              </w:rPr>
              <w:t xml:space="preserve">certificación </w:t>
            </w:r>
            <w:r>
              <w:rPr>
                <w:rFonts w:ascii="Verdana" w:eastAsia="Century Gothic" w:hAnsi="Verdana" w:cs="Century Gothic"/>
              </w:rPr>
              <w:t xml:space="preserve">expedida </w:t>
            </w:r>
            <w:r w:rsidRPr="006A4100">
              <w:rPr>
                <w:rFonts w:ascii="Verdana" w:eastAsia="Century Gothic" w:hAnsi="Verdana" w:cs="Century Gothic"/>
              </w:rPr>
              <w:t xml:space="preserve">por ellos y un contador público, adjuntando copia del registro mercantil. </w:t>
            </w:r>
          </w:p>
          <w:p w14:paraId="7559358B" w14:textId="77777777" w:rsidR="004E2826" w:rsidRDefault="004E2826" w:rsidP="00F63E64">
            <w:pPr>
              <w:spacing w:line="276" w:lineRule="auto"/>
              <w:contextualSpacing/>
              <w:jc w:val="both"/>
              <w:rPr>
                <w:rFonts w:ascii="Verdana" w:eastAsia="Century Gothic" w:hAnsi="Verdana" w:cs="Century Gothic"/>
              </w:rPr>
            </w:pPr>
          </w:p>
          <w:p w14:paraId="7A680570" w14:textId="77777777" w:rsidR="004E2826" w:rsidRDefault="004E2826" w:rsidP="00F63E64">
            <w:pPr>
              <w:spacing w:line="276" w:lineRule="auto"/>
              <w:contextualSpacing/>
              <w:jc w:val="both"/>
              <w:rPr>
                <w:rFonts w:ascii="Verdana" w:eastAsia="Century Gothic" w:hAnsi="Verdana" w:cs="Century Gothic"/>
              </w:rPr>
            </w:pPr>
            <w:r>
              <w:rPr>
                <w:rFonts w:ascii="Verdana" w:eastAsia="Century Gothic" w:hAnsi="Verdana" w:cs="Century Gothic"/>
              </w:rPr>
              <w:t xml:space="preserve">          </w:t>
            </w:r>
            <w:r w:rsidRPr="00D94DCC">
              <w:rPr>
                <w:rFonts w:ascii="Verdana" w:eastAsia="Century Gothic" w:hAnsi="Verdana" w:cs="Century Gothic"/>
              </w:rPr>
              <w:t>En este contexto, debe precisarse que no existe en el ordenamiento jurídico colombiano una prohibición expresa que impida que un mismo contador público certifique la condición de MIPYME de dos o más empresas dentro de un mismo proceso de selección. Lo jurídicamente relevante no es la identidad del profesional que expide la certificación, sino que esta cumpla con los requisitos establecidos en la normativa vigente, particularmente en cuanto a su veracidad, independencia y correspondencia con la realidad financiera de cada empresa. En consecuencia, siempre que el contador actúe conforme a los principios de ética profesional previstos en la Ley 43 de 1990 y la información certificada refleje fielmente la situación económica de cada solicitante, dicha actuación resulta válida y suficiente para efectos de acreditar el tamaño empresarial exigido en los procesos limitados a MIPYMES</w:t>
            </w:r>
            <w:r>
              <w:rPr>
                <w:rFonts w:ascii="Verdana" w:eastAsia="Century Gothic" w:hAnsi="Verdana" w:cs="Century Gothic"/>
              </w:rPr>
              <w:t>.</w:t>
            </w:r>
          </w:p>
          <w:p w14:paraId="03A581EB" w14:textId="77777777" w:rsidR="004E2826" w:rsidRDefault="004E2826" w:rsidP="00F63E64">
            <w:pPr>
              <w:spacing w:line="276" w:lineRule="auto"/>
              <w:contextualSpacing/>
              <w:jc w:val="both"/>
              <w:rPr>
                <w:rFonts w:ascii="Verdana" w:eastAsia="Century Gothic" w:hAnsi="Verdana" w:cs="Century Gothic"/>
              </w:rPr>
            </w:pPr>
          </w:p>
          <w:p w14:paraId="7F75BAF5" w14:textId="77777777" w:rsidR="004E2826" w:rsidRPr="006A4100" w:rsidRDefault="004E2826" w:rsidP="00F63E64">
            <w:pPr>
              <w:spacing w:line="276" w:lineRule="auto"/>
              <w:contextualSpacing/>
              <w:jc w:val="both"/>
              <w:rPr>
                <w:rFonts w:ascii="Verdana" w:eastAsia="Century Gothic" w:hAnsi="Verdana" w:cs="Century Gothic"/>
              </w:rPr>
            </w:pPr>
            <w:r>
              <w:rPr>
                <w:rFonts w:ascii="Verdana" w:eastAsia="Century Gothic" w:hAnsi="Verdana" w:cs="Century Gothic"/>
              </w:rPr>
              <w:t xml:space="preserve">          Aunado a lo anterior y</w:t>
            </w:r>
            <w:r w:rsidRPr="00243D94">
              <w:rPr>
                <w:rFonts w:ascii="Verdana" w:eastAsia="Century Gothic" w:hAnsi="Verdana" w:cs="Century Gothic"/>
              </w:rPr>
              <w:t xml:space="preserve"> en aras de brindar mayor claridad sobre el tema objeto de consulta, </w:t>
            </w:r>
            <w:r>
              <w:rPr>
                <w:rFonts w:ascii="Verdana" w:eastAsia="Century Gothic" w:hAnsi="Verdana" w:cs="Century Gothic"/>
              </w:rPr>
              <w:t>se recomienda consultar</w:t>
            </w:r>
            <w:r w:rsidRPr="00243D94">
              <w:rPr>
                <w:rFonts w:ascii="Verdana" w:eastAsia="Century Gothic" w:hAnsi="Verdana" w:cs="Century Gothic"/>
              </w:rPr>
              <w:t xml:space="preserve"> la “Guía para promover la participación de las MIPYMES en los procesos de compra y contratación pública”</w:t>
            </w:r>
            <w:r>
              <w:rPr>
                <w:rStyle w:val="Refdenotaalpie"/>
                <w:rFonts w:ascii="Verdana" w:eastAsia="Century Gothic" w:hAnsi="Verdana" w:cs="Century Gothic"/>
              </w:rPr>
              <w:footnoteReference w:id="1"/>
            </w:r>
            <w:r w:rsidRPr="00243D94">
              <w:rPr>
                <w:rFonts w:ascii="Verdana" w:eastAsia="Century Gothic" w:hAnsi="Verdana" w:cs="Century Gothic"/>
              </w:rPr>
              <w:t xml:space="preserve"> expedida por Colombia Compra Eficiente</w:t>
            </w:r>
            <w:r>
              <w:rPr>
                <w:rFonts w:ascii="Verdana" w:eastAsia="Century Gothic" w:hAnsi="Verdana" w:cs="Century Gothic"/>
              </w:rPr>
              <w:t>, la cual</w:t>
            </w:r>
            <w:r w:rsidRPr="00243D94">
              <w:rPr>
                <w:rFonts w:ascii="Verdana" w:eastAsia="Century Gothic" w:hAnsi="Verdana" w:cs="Century Gothic"/>
              </w:rPr>
              <w:t xml:space="preserve"> constituye un instrumento orientador dirigido tanto a las entidades estatales como a los proponentes, en el cual se desarrollan los mecanismos previstos en la normativa para facilitar el acceso de las MIPYMES al sistema de compra pública</w:t>
            </w:r>
            <w:r>
              <w:rPr>
                <w:rFonts w:ascii="Verdana" w:eastAsia="Century Gothic" w:hAnsi="Verdana" w:cs="Century Gothic"/>
              </w:rPr>
              <w:t>.</w:t>
            </w:r>
          </w:p>
          <w:p w14:paraId="629237BF" w14:textId="77777777" w:rsidR="004E2826" w:rsidRPr="009326F6" w:rsidRDefault="004E2826" w:rsidP="00F63E64">
            <w:pPr>
              <w:spacing w:after="120" w:line="276" w:lineRule="auto"/>
              <w:jc w:val="both"/>
              <w:rPr>
                <w:rFonts w:ascii="Verdana" w:eastAsia="Calibri" w:hAnsi="Verdana" w:cs="Arial"/>
              </w:rPr>
            </w:pPr>
            <w:r>
              <w:rPr>
                <w:rFonts w:ascii="Verdana" w:eastAsia="Calibri" w:hAnsi="Verdana" w:cs="Arial"/>
              </w:rPr>
              <w:t xml:space="preserve">       </w:t>
            </w:r>
            <w:r w:rsidRPr="00DD53C0">
              <w:rPr>
                <w:rFonts w:ascii="Verdana" w:eastAsia="Calibri" w:hAnsi="Verdana" w:cs="Arial"/>
              </w:rPr>
              <w:t xml:space="preserve">Finalmente, debe advertirse que el análisis en torno a un proceso de contratación especifico debe ser realizado por quienes tengan interés en ello. </w:t>
            </w:r>
            <w:r w:rsidRPr="00DD53C0">
              <w:rPr>
                <w:rFonts w:ascii="Verdana" w:eastAsia="Calibri" w:hAnsi="Verdana" w:cs="Arial"/>
              </w:rPr>
              <w:lastRenderedPageBreak/>
              <w:t>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Pr>
                <w:rFonts w:ascii="Verdana" w:eastAsia="Calibri" w:hAnsi="Verdana" w:cs="Arial"/>
              </w:rPr>
              <w:t xml:space="preserve">    </w:t>
            </w:r>
          </w:p>
          <w:p w14:paraId="1E718636" w14:textId="77777777" w:rsidR="004E2826" w:rsidRPr="0029110A" w:rsidRDefault="004E2826" w:rsidP="00F63E64">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4E2826" w:rsidRPr="00115E3D" w14:paraId="2C8B0166" w14:textId="77777777" w:rsidTr="00F63E64">
        <w:trPr>
          <w:trHeight w:val="162"/>
        </w:trPr>
        <w:tc>
          <w:tcPr>
            <w:tcW w:w="8828" w:type="dxa"/>
          </w:tcPr>
          <w:p w14:paraId="3B00E62C" w14:textId="77777777" w:rsidR="004E2826" w:rsidRDefault="004E2826" w:rsidP="00F63E64">
            <w:pPr>
              <w:spacing w:line="276" w:lineRule="auto"/>
              <w:jc w:val="both"/>
              <w:rPr>
                <w:rFonts w:ascii="Verdana" w:eastAsia="Calibri" w:hAnsi="Verdana" w:cs="Arial"/>
              </w:rPr>
            </w:pPr>
          </w:p>
        </w:tc>
      </w:tr>
    </w:tbl>
    <w:p w14:paraId="6BC1709B" w14:textId="77777777" w:rsidR="004E2826" w:rsidRDefault="004E2826" w:rsidP="004E282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709E03E" w14:textId="77777777" w:rsidR="004E2826" w:rsidRDefault="004E2826" w:rsidP="004E28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50ECA721" w14:textId="77777777" w:rsidR="004E2826" w:rsidRPr="00115E3D" w:rsidRDefault="004E2826" w:rsidP="004E2826">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1D47987" w14:textId="77777777" w:rsidR="004E2826" w:rsidRPr="00343E12" w:rsidRDefault="004E2826" w:rsidP="004E2826">
      <w:pPr>
        <w:tabs>
          <w:tab w:val="left" w:pos="142"/>
          <w:tab w:val="left" w:pos="284"/>
        </w:tabs>
        <w:spacing w:after="0" w:line="276" w:lineRule="auto"/>
        <w:jc w:val="both"/>
        <w:rPr>
          <w:rFonts w:ascii="Verdana" w:eastAsia="Calibri" w:hAnsi="Verdana" w:cs="Arial"/>
        </w:rPr>
      </w:pPr>
      <w:bookmarkStart w:id="2" w:name="_Hlk204856061"/>
      <w:bookmarkStart w:id="3" w:name="_Hlk78820161"/>
      <w:r w:rsidRPr="00343E12">
        <w:rPr>
          <w:rFonts w:ascii="Verdana" w:eastAsia="Calibri" w:hAnsi="Verdana" w:cs="Arial"/>
        </w:rPr>
        <w:t xml:space="preserve">Lo anterior se sustenta en las siguientes consideraciones: </w:t>
      </w:r>
    </w:p>
    <w:p w14:paraId="6F46F007" w14:textId="77777777" w:rsidR="004E2826" w:rsidRDefault="004E2826" w:rsidP="004E2826">
      <w:pPr>
        <w:spacing w:after="120" w:line="276" w:lineRule="auto"/>
        <w:jc w:val="both"/>
        <w:rPr>
          <w:rFonts w:ascii="Verdana" w:eastAsia="Calibri" w:hAnsi="Verdana" w:cs="Arial"/>
          <w:lang w:val="es-ES"/>
        </w:rPr>
      </w:pPr>
    </w:p>
    <w:p w14:paraId="0F734165" w14:textId="77777777" w:rsidR="004E2826" w:rsidRPr="004942BC" w:rsidRDefault="004E2826" w:rsidP="004E2826">
      <w:pPr>
        <w:spacing w:after="120" w:line="276" w:lineRule="auto"/>
        <w:ind w:firstLine="708"/>
        <w:jc w:val="both"/>
        <w:rPr>
          <w:rFonts w:ascii="Verdana" w:eastAsia="Calibri" w:hAnsi="Verdana" w:cs="Arial"/>
          <w:lang w:val="es-ES"/>
        </w:rPr>
      </w:pPr>
      <w:r>
        <w:rPr>
          <w:rFonts w:ascii="Verdana" w:eastAsia="Calibri" w:hAnsi="Verdana" w:cs="Arial"/>
          <w:lang w:val="es-ES"/>
        </w:rPr>
        <w:t>R</w:t>
      </w:r>
      <w:r w:rsidRPr="004942BC">
        <w:rPr>
          <w:rFonts w:ascii="Verdana" w:eastAsia="Calibri" w:hAnsi="Verdana" w:cs="Arial"/>
          <w:lang w:val="es-ES"/>
        </w:rPr>
        <w:t>especto a las convocatorias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w:t>
      </w:r>
    </w:p>
    <w:p w14:paraId="53A0751D" w14:textId="77777777" w:rsidR="004E2826" w:rsidRDefault="004E2826" w:rsidP="004E2826">
      <w:pPr>
        <w:spacing w:after="120" w:line="276" w:lineRule="auto"/>
        <w:ind w:firstLine="708"/>
        <w:jc w:val="both"/>
        <w:rPr>
          <w:rFonts w:ascii="Verdana" w:eastAsia="Calibri" w:hAnsi="Verdana" w:cs="Arial"/>
          <w:lang w:val="es-ES"/>
        </w:rPr>
      </w:pPr>
      <w:r w:rsidRPr="004942BC">
        <w:rPr>
          <w:rFonts w:ascii="Verdana" w:eastAsia="Calibri" w:hAnsi="Verdana" w:cs="Arial"/>
          <w:lang w:val="es-ES"/>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4DB9C6EE" w14:textId="77777777" w:rsidR="004E2826" w:rsidRPr="004942BC" w:rsidRDefault="004E2826" w:rsidP="004E2826">
      <w:pPr>
        <w:spacing w:after="120" w:line="276" w:lineRule="auto"/>
        <w:ind w:firstLine="708"/>
        <w:jc w:val="both"/>
        <w:rPr>
          <w:rFonts w:ascii="Verdana" w:eastAsia="Calibri" w:hAnsi="Verdana" w:cs="Arial"/>
        </w:rPr>
      </w:pPr>
      <w:r>
        <w:rPr>
          <w:rStyle w:val="normaltextrun"/>
          <w:rFonts w:ascii="Verdana" w:hAnsi="Verdana"/>
          <w:color w:val="000000"/>
          <w:shd w:val="clear" w:color="auto" w:fill="FFFFFF"/>
        </w:rPr>
        <w:lastRenderedPageBreak/>
        <w:t>Parte de la Ley 2069 de 2020 introduce normas que modifican algunos aspectos de la contratación estatal para promover el emprendimiento. Concretamente, aquellas se encuentran en el Capítulo III –artículos 30 al 36–. Teniendo en cuenta que la consulta está relacionada con las convocatorias limitadas a MiPymes, a continuación de se estudiará el contenido y alcance del artículo 34.</w:t>
      </w:r>
      <w:r>
        <w:rPr>
          <w:rStyle w:val="eop"/>
          <w:rFonts w:ascii="Verdana" w:hAnsi="Verdana"/>
          <w:color w:val="000000"/>
          <w:shd w:val="clear" w:color="auto" w:fill="FFFFFF"/>
        </w:rPr>
        <w:t> </w:t>
      </w:r>
    </w:p>
    <w:p w14:paraId="6B1179CA" w14:textId="77777777" w:rsidR="004E2826" w:rsidRPr="00C661E5" w:rsidRDefault="004E2826" w:rsidP="004E2826">
      <w:pPr>
        <w:spacing w:after="120" w:line="276" w:lineRule="auto"/>
        <w:ind w:firstLine="708"/>
        <w:jc w:val="both"/>
        <w:rPr>
          <w:rFonts w:ascii="Verdana" w:hAnsi="Verdana"/>
          <w:lang w:val="es-ES"/>
        </w:rPr>
      </w:pPr>
      <w:r>
        <w:rPr>
          <w:rFonts w:ascii="Verdana" w:hAnsi="Verdana"/>
          <w:lang w:val="es-ES"/>
        </w:rPr>
        <w:t xml:space="preserve">El </w:t>
      </w:r>
      <w:r w:rsidRPr="00C661E5">
        <w:rPr>
          <w:rFonts w:ascii="Verdana" w:hAnsi="Verdana"/>
          <w:lang w:val="es-ES"/>
        </w:rPr>
        <w:t xml:space="preserve">artículo 34 de la Ley 2069 de 2020, el cual modificó el artículo 12 de la Ley 1150 de 2007, regula la promoción del desarrollo en la contratación pública, cambiando los requisitos esenciales para que procedan las convocatorias limitadas a MiPymes,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C661E5">
        <w:rPr>
          <w:rFonts w:ascii="Verdana" w:hAnsi="Verdana"/>
          <w:lang w:val="es-ES"/>
        </w:rPr>
        <w:t>ii</w:t>
      </w:r>
      <w:proofErr w:type="spellEnd"/>
      <w:r w:rsidRPr="00C661E5">
        <w:rPr>
          <w:rFonts w:ascii="Verdana" w:hAnsi="Verdana"/>
          <w:lang w:val="es-ES"/>
        </w:rPr>
        <w:t xml:space="preserve">) señaló que los patrimonios autónomos constituidos por Entidades Estatales y los particulares que ejecuten recursos públicos también son destinatarios de esta exigencia; </w:t>
      </w:r>
      <w:r>
        <w:rPr>
          <w:rFonts w:ascii="Verdana" w:hAnsi="Verdana"/>
          <w:lang w:val="es-ES"/>
        </w:rPr>
        <w:t>e</w:t>
      </w:r>
      <w:r w:rsidRPr="00C661E5">
        <w:rPr>
          <w:rFonts w:ascii="Verdana" w:hAnsi="Verdana"/>
          <w:lang w:val="es-ES"/>
        </w:rPr>
        <w:t xml:space="preserve">,  </w:t>
      </w:r>
      <w:proofErr w:type="spellStart"/>
      <w:r w:rsidRPr="00C661E5">
        <w:rPr>
          <w:rFonts w:ascii="Verdana" w:hAnsi="Verdana"/>
          <w:lang w:val="es-ES"/>
        </w:rPr>
        <w:t>iii</w:t>
      </w:r>
      <w:proofErr w:type="spellEnd"/>
      <w:r w:rsidRPr="00C661E5">
        <w:rPr>
          <w:rFonts w:ascii="Verdana" w:hAnsi="Verdana"/>
          <w:lang w:val="es-ES"/>
        </w:rPr>
        <w:t xml:space="preserve">) indicó que para que pueda haber convocatorias limitadas a MiPymes, dos (2) de ellas deben manifestar su interés. </w:t>
      </w:r>
    </w:p>
    <w:p w14:paraId="187A38B7" w14:textId="77777777" w:rsidR="004E2826" w:rsidRPr="00742ED8" w:rsidRDefault="004E2826" w:rsidP="004E2826">
      <w:pPr>
        <w:spacing w:after="0" w:line="276" w:lineRule="auto"/>
        <w:ind w:firstLine="708"/>
        <w:jc w:val="both"/>
        <w:rPr>
          <w:rFonts w:ascii="Verdana" w:hAnsi="Verdana"/>
          <w:lang w:val="es-ES"/>
        </w:rPr>
      </w:pPr>
      <w:r w:rsidRPr="00742ED8">
        <w:rPr>
          <w:rFonts w:ascii="Verdana" w:hAnsi="Verdana"/>
          <w:lang w:val="es-ES"/>
        </w:rPr>
        <w:t>En desarrollo de la anterior disposición, el artículo 2.2.1.2.4.2.2. del Decreto 1082 de 2015 -modificado por el Decreto 1860 de 2021- establece el deber en cabeza de</w:t>
      </w:r>
      <w:r>
        <w:rPr>
          <w:rFonts w:ascii="Verdana" w:hAnsi="Verdana"/>
          <w:lang w:val="es-ES"/>
        </w:rPr>
        <w:t>: i)</w:t>
      </w:r>
      <w:r w:rsidRPr="00742ED8">
        <w:rPr>
          <w:rFonts w:ascii="Verdana" w:hAnsi="Verdana"/>
          <w:lang w:val="es-ES"/>
        </w:rPr>
        <w:t xml:space="preserve"> las Entidades Estatales independientemente de su régimen de contratación, </w:t>
      </w:r>
      <w:proofErr w:type="spellStart"/>
      <w:r>
        <w:rPr>
          <w:rFonts w:ascii="Verdana" w:hAnsi="Verdana"/>
          <w:lang w:val="es-ES"/>
        </w:rPr>
        <w:t>ii</w:t>
      </w:r>
      <w:proofErr w:type="spellEnd"/>
      <w:r>
        <w:rPr>
          <w:rFonts w:ascii="Verdana" w:hAnsi="Verdana"/>
          <w:lang w:val="es-ES"/>
        </w:rPr>
        <w:t xml:space="preserve">) </w:t>
      </w:r>
      <w:r w:rsidRPr="00742ED8">
        <w:rPr>
          <w:rFonts w:ascii="Verdana" w:hAnsi="Verdana"/>
          <w:lang w:val="es-ES"/>
        </w:rPr>
        <w:t xml:space="preserve">los patrimonios autónomos constituidos por Entidades Estatales y </w:t>
      </w:r>
      <w:proofErr w:type="spellStart"/>
      <w:r>
        <w:rPr>
          <w:rFonts w:ascii="Verdana" w:hAnsi="Verdana"/>
          <w:lang w:val="es-ES"/>
        </w:rPr>
        <w:t>iii</w:t>
      </w:r>
      <w:proofErr w:type="spellEnd"/>
      <w:r>
        <w:rPr>
          <w:rFonts w:ascii="Verdana" w:hAnsi="Verdana"/>
          <w:lang w:val="es-ES"/>
        </w:rPr>
        <w:t xml:space="preserve">) </w:t>
      </w:r>
      <w:r w:rsidRPr="00742ED8">
        <w:rPr>
          <w:rFonts w:ascii="Verdana" w:hAnsi="Verdana"/>
          <w:lang w:val="es-ES"/>
        </w:rPr>
        <w:t>los particulares que ejecuten recursos públicos</w:t>
      </w:r>
      <w:r>
        <w:rPr>
          <w:rFonts w:ascii="Verdana" w:hAnsi="Verdana"/>
          <w:lang w:val="es-ES"/>
        </w:rPr>
        <w:t>,</w:t>
      </w:r>
      <w:r w:rsidRPr="00742ED8">
        <w:rPr>
          <w:rFonts w:ascii="Verdana" w:hAnsi="Verdana"/>
          <w:lang w:val="es-ES"/>
        </w:rPr>
        <w:t xml:space="preserve"> de limitar los procesos de selección competitivos para que participen única y exclusivamente las </w:t>
      </w:r>
      <w:proofErr w:type="spellStart"/>
      <w:r w:rsidRPr="00742ED8">
        <w:rPr>
          <w:rFonts w:ascii="Verdana" w:hAnsi="Verdana"/>
          <w:lang w:val="es-ES"/>
        </w:rPr>
        <w:t>MiPyme</w:t>
      </w:r>
      <w:proofErr w:type="spellEnd"/>
      <w:r w:rsidRPr="00742ED8">
        <w:rPr>
          <w:rFonts w:ascii="Verdana" w:hAnsi="Verdana"/>
          <w:lang w:val="es-ES"/>
        </w:rPr>
        <w:t xml:space="preserve"> colombianas con mínimo un (1) año de existencia y, seguidamente, contempla los requisitos para que dichas convocatorias sean limitadas a dichas empresas. </w:t>
      </w:r>
      <w:r>
        <w:rPr>
          <w:rFonts w:ascii="Verdana" w:hAnsi="Verdana"/>
          <w:lang w:val="es-ES"/>
        </w:rPr>
        <w:t>La norma señala</w:t>
      </w:r>
      <w:r w:rsidRPr="00742ED8">
        <w:rPr>
          <w:rFonts w:ascii="Verdana" w:hAnsi="Verdana"/>
          <w:lang w:val="es-ES"/>
        </w:rPr>
        <w:t>:</w:t>
      </w:r>
    </w:p>
    <w:p w14:paraId="23DE818D" w14:textId="77777777" w:rsidR="004E2826" w:rsidRPr="00C661E5" w:rsidRDefault="004E2826" w:rsidP="004E2826">
      <w:pPr>
        <w:widowControl w:val="0"/>
        <w:tabs>
          <w:tab w:val="left" w:pos="382"/>
        </w:tabs>
        <w:autoSpaceDE w:val="0"/>
        <w:autoSpaceDN w:val="0"/>
        <w:spacing w:after="0" w:line="276" w:lineRule="auto"/>
        <w:jc w:val="both"/>
        <w:outlineLvl w:val="0"/>
        <w:rPr>
          <w:rFonts w:ascii="Verdana" w:eastAsia="Verdana" w:hAnsi="Verdana" w:cs="Verdana"/>
          <w:b/>
          <w:bCs/>
          <w:lang w:val="es-ES"/>
        </w:rPr>
      </w:pPr>
    </w:p>
    <w:p w14:paraId="2A1CB320"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C661E5">
        <w:rPr>
          <w:rFonts w:ascii="Verdana" w:eastAsia="Verdana" w:hAnsi="Verdana" w:cs="Verdana"/>
          <w:sz w:val="20"/>
          <w:szCs w:val="20"/>
          <w:lang w:val="es-ES"/>
        </w:rPr>
        <w:t xml:space="preserve">“Artículo 2.2.1.2.4.2.2. Convocatorias Imitadas a </w:t>
      </w:r>
      <w:proofErr w:type="spellStart"/>
      <w:r w:rsidRPr="00C661E5">
        <w:rPr>
          <w:rFonts w:ascii="Verdana" w:eastAsia="Verdana" w:hAnsi="Verdana" w:cs="Verdana"/>
          <w:sz w:val="20"/>
          <w:szCs w:val="20"/>
          <w:lang w:val="es-ES"/>
        </w:rPr>
        <w:t>MiPyme</w:t>
      </w:r>
      <w:proofErr w:type="spellEnd"/>
      <w:r w:rsidRPr="00C661E5">
        <w:rPr>
          <w:rFonts w:ascii="Verdana" w:eastAsia="Verdana" w:hAnsi="Verdana" w:cs="Verdana"/>
          <w:sz w:val="20"/>
          <w:szCs w:val="20"/>
          <w:lang w:val="es-ES"/>
        </w:rPr>
        <w:t>. Las Entidades Estatales independientemente de su régimen de contratación, los patrimonios autónomos constituidos por Entidades Estatales y los particulares</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que</w:t>
      </w:r>
      <w:r w:rsidRPr="00C661E5">
        <w:rPr>
          <w:rFonts w:ascii="Verdana" w:eastAsia="Verdana" w:hAnsi="Verdana" w:cs="Verdana"/>
          <w:spacing w:val="-7"/>
          <w:sz w:val="20"/>
          <w:szCs w:val="20"/>
          <w:lang w:val="es-ES"/>
        </w:rPr>
        <w:t xml:space="preserve"> </w:t>
      </w:r>
      <w:r w:rsidRPr="00C661E5">
        <w:rPr>
          <w:rFonts w:ascii="Verdana" w:eastAsia="Verdana" w:hAnsi="Verdana" w:cs="Verdana"/>
          <w:sz w:val="20"/>
          <w:szCs w:val="20"/>
          <w:lang w:val="es-ES"/>
        </w:rPr>
        <w:t>ejecuten</w:t>
      </w:r>
      <w:r w:rsidRPr="00C661E5">
        <w:rPr>
          <w:rFonts w:ascii="Verdana" w:eastAsia="Verdana" w:hAnsi="Verdana" w:cs="Verdana"/>
          <w:spacing w:val="-5"/>
          <w:sz w:val="20"/>
          <w:szCs w:val="20"/>
          <w:lang w:val="es-ES"/>
        </w:rPr>
        <w:t xml:space="preserve"> </w:t>
      </w:r>
      <w:r w:rsidRPr="00C661E5">
        <w:rPr>
          <w:rFonts w:ascii="Verdana" w:eastAsia="Verdana" w:hAnsi="Verdana" w:cs="Verdana"/>
          <w:sz w:val="20"/>
          <w:szCs w:val="20"/>
          <w:lang w:val="es-ES"/>
        </w:rPr>
        <w:t>recursos</w:t>
      </w:r>
      <w:r w:rsidRPr="00C661E5">
        <w:rPr>
          <w:rFonts w:ascii="Verdana" w:eastAsia="Verdana" w:hAnsi="Verdana" w:cs="Verdana"/>
          <w:spacing w:val="-5"/>
          <w:sz w:val="20"/>
          <w:szCs w:val="20"/>
          <w:lang w:val="es-ES"/>
        </w:rPr>
        <w:t xml:space="preserve"> </w:t>
      </w:r>
      <w:r w:rsidRPr="00C661E5">
        <w:rPr>
          <w:rFonts w:ascii="Verdana" w:eastAsia="Verdana" w:hAnsi="Verdana" w:cs="Verdana"/>
          <w:sz w:val="20"/>
          <w:szCs w:val="20"/>
          <w:lang w:val="es-ES"/>
        </w:rPr>
        <w:t>públicos,</w:t>
      </w:r>
      <w:r w:rsidRPr="00C661E5">
        <w:rPr>
          <w:rFonts w:ascii="Verdana" w:eastAsia="Verdana" w:hAnsi="Verdana" w:cs="Verdana"/>
          <w:spacing w:val="-5"/>
          <w:sz w:val="20"/>
          <w:szCs w:val="20"/>
          <w:lang w:val="es-ES"/>
        </w:rPr>
        <w:t xml:space="preserve"> </w:t>
      </w:r>
      <w:r w:rsidRPr="00C661E5">
        <w:rPr>
          <w:rFonts w:ascii="Verdana" w:eastAsia="Verdana" w:hAnsi="Verdana" w:cs="Verdana"/>
          <w:sz w:val="20"/>
          <w:szCs w:val="20"/>
          <w:lang w:val="es-ES"/>
        </w:rPr>
        <w:t>deben</w:t>
      </w:r>
      <w:r w:rsidRPr="00C661E5">
        <w:rPr>
          <w:rFonts w:ascii="Verdana" w:eastAsia="Verdana" w:hAnsi="Verdana" w:cs="Verdana"/>
          <w:spacing w:val="-6"/>
          <w:sz w:val="20"/>
          <w:szCs w:val="20"/>
          <w:lang w:val="es-ES"/>
        </w:rPr>
        <w:t xml:space="preserve"> </w:t>
      </w:r>
      <w:r w:rsidRPr="00C661E5">
        <w:rPr>
          <w:rFonts w:ascii="Verdana" w:eastAsia="Verdana" w:hAnsi="Verdana" w:cs="Verdana"/>
          <w:sz w:val="20"/>
          <w:szCs w:val="20"/>
          <w:lang w:val="es-ES"/>
        </w:rPr>
        <w:t>limitar</w:t>
      </w:r>
      <w:r w:rsidRPr="00C661E5">
        <w:rPr>
          <w:rFonts w:ascii="Verdana" w:eastAsia="Verdana" w:hAnsi="Verdana" w:cs="Verdana"/>
          <w:spacing w:val="-6"/>
          <w:sz w:val="20"/>
          <w:szCs w:val="20"/>
          <w:lang w:val="es-ES"/>
        </w:rPr>
        <w:t xml:space="preserve"> </w:t>
      </w:r>
      <w:r w:rsidRPr="00C661E5">
        <w:rPr>
          <w:rFonts w:ascii="Verdana" w:eastAsia="Verdana" w:hAnsi="Verdana" w:cs="Verdana"/>
          <w:sz w:val="20"/>
          <w:szCs w:val="20"/>
          <w:lang w:val="es-ES"/>
        </w:rPr>
        <w:t>la</w:t>
      </w:r>
      <w:r w:rsidRPr="00C661E5">
        <w:rPr>
          <w:rFonts w:ascii="Verdana" w:eastAsia="Verdana" w:hAnsi="Verdana" w:cs="Verdana"/>
          <w:spacing w:val="-7"/>
          <w:sz w:val="20"/>
          <w:szCs w:val="20"/>
          <w:lang w:val="es-ES"/>
        </w:rPr>
        <w:t xml:space="preserve"> </w:t>
      </w:r>
      <w:r w:rsidRPr="00C661E5">
        <w:rPr>
          <w:rFonts w:ascii="Verdana" w:eastAsia="Verdana" w:hAnsi="Verdana" w:cs="Verdana"/>
          <w:sz w:val="20"/>
          <w:szCs w:val="20"/>
          <w:lang w:val="es-ES"/>
        </w:rPr>
        <w:t>convocatoria de</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los</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Procesos</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Contratación</w:t>
      </w:r>
      <w:r w:rsidRPr="00C661E5">
        <w:rPr>
          <w:rFonts w:ascii="Verdana" w:eastAsia="Verdana" w:hAnsi="Verdana" w:cs="Verdana"/>
          <w:spacing w:val="-1"/>
          <w:sz w:val="20"/>
          <w:szCs w:val="20"/>
          <w:lang w:val="es-ES"/>
        </w:rPr>
        <w:t xml:space="preserve"> </w:t>
      </w:r>
      <w:r w:rsidRPr="00C661E5">
        <w:rPr>
          <w:rFonts w:ascii="Verdana" w:eastAsia="Verdana" w:hAnsi="Verdana" w:cs="Verdana"/>
          <w:sz w:val="20"/>
          <w:szCs w:val="20"/>
          <w:lang w:val="es-ES"/>
        </w:rPr>
        <w:t>con</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pluralidad</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oferentes</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a</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las</w:t>
      </w:r>
      <w:r w:rsidRPr="00C661E5">
        <w:rPr>
          <w:rFonts w:ascii="Verdana" w:eastAsia="Verdana" w:hAnsi="Verdana" w:cs="Verdana"/>
          <w:spacing w:val="-4"/>
          <w:sz w:val="20"/>
          <w:szCs w:val="20"/>
          <w:lang w:val="es-ES"/>
        </w:rPr>
        <w:t xml:space="preserve"> </w:t>
      </w:r>
      <w:proofErr w:type="spellStart"/>
      <w:r w:rsidRPr="00D8764E">
        <w:rPr>
          <w:rFonts w:ascii="Verdana" w:eastAsia="Verdana" w:hAnsi="Verdana" w:cs="Verdana"/>
          <w:sz w:val="20"/>
          <w:szCs w:val="20"/>
          <w:u w:val="single"/>
          <w:lang w:val="es-ES"/>
        </w:rPr>
        <w:t>MiPyme</w:t>
      </w:r>
      <w:proofErr w:type="spellEnd"/>
      <w:r w:rsidRPr="00D8764E">
        <w:rPr>
          <w:rFonts w:ascii="Verdana" w:eastAsia="Verdana" w:hAnsi="Verdana" w:cs="Verdana"/>
          <w:sz w:val="20"/>
          <w:szCs w:val="20"/>
          <w:u w:val="single"/>
          <w:lang w:val="es-ES"/>
        </w:rPr>
        <w:t xml:space="preserve"> colombianas con mínimo un (1) año de existencia</w:t>
      </w:r>
      <w:r w:rsidRPr="00C661E5">
        <w:rPr>
          <w:rFonts w:ascii="Verdana" w:eastAsia="Verdana" w:hAnsi="Verdana" w:cs="Verdana"/>
          <w:sz w:val="20"/>
          <w:szCs w:val="20"/>
          <w:lang w:val="es-ES"/>
        </w:rPr>
        <w:t>, cuando concurran los siguientes requisitos:</w:t>
      </w:r>
    </w:p>
    <w:p w14:paraId="2A108F3E"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58541557"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C661E5">
        <w:rPr>
          <w:rFonts w:ascii="Verdana" w:eastAsia="Verdana" w:hAnsi="Verdana" w:cs="Verdana"/>
          <w:sz w:val="20"/>
          <w:szCs w:val="20"/>
          <w:lang w:val="es-ES"/>
        </w:rPr>
        <w:t>1. El</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valor</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del</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Proceso</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Contratación</w:t>
      </w:r>
      <w:r w:rsidRPr="00C661E5">
        <w:rPr>
          <w:rFonts w:ascii="Verdana" w:eastAsia="Verdana" w:hAnsi="Verdana" w:cs="Verdana"/>
          <w:spacing w:val="-1"/>
          <w:sz w:val="20"/>
          <w:szCs w:val="20"/>
          <w:lang w:val="es-ES"/>
        </w:rPr>
        <w:t xml:space="preserve"> </w:t>
      </w:r>
      <w:r w:rsidRPr="00C661E5">
        <w:rPr>
          <w:rFonts w:ascii="Verdana" w:eastAsia="Verdana" w:hAnsi="Verdana" w:cs="Verdana"/>
          <w:sz w:val="20"/>
          <w:szCs w:val="20"/>
          <w:lang w:val="es-ES"/>
        </w:rPr>
        <w:t>sea</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menor</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a</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ciento</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veinticinco</w:t>
      </w:r>
      <w:r w:rsidRPr="00C661E5">
        <w:rPr>
          <w:rFonts w:ascii="Verdana" w:eastAsia="Verdana" w:hAnsi="Verdana" w:cs="Verdana"/>
          <w:spacing w:val="-1"/>
          <w:sz w:val="20"/>
          <w:szCs w:val="20"/>
          <w:lang w:val="es-ES"/>
        </w:rPr>
        <w:t xml:space="preserve"> </w:t>
      </w:r>
      <w:r w:rsidRPr="00C661E5">
        <w:rPr>
          <w:rFonts w:ascii="Verdana" w:eastAsia="Verdana" w:hAnsi="Verdana" w:cs="Verdana"/>
          <w:sz w:val="20"/>
          <w:szCs w:val="20"/>
          <w:lang w:val="es-ES"/>
        </w:rPr>
        <w:t>mil dólares</w:t>
      </w:r>
      <w:r w:rsidRPr="00C661E5">
        <w:rPr>
          <w:rFonts w:ascii="Verdana" w:eastAsia="Verdana" w:hAnsi="Verdana" w:cs="Verdana"/>
          <w:spacing w:val="-13"/>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14"/>
          <w:sz w:val="20"/>
          <w:szCs w:val="20"/>
          <w:lang w:val="es-ES"/>
        </w:rPr>
        <w:t xml:space="preserve"> </w:t>
      </w:r>
      <w:r w:rsidRPr="00C661E5">
        <w:rPr>
          <w:rFonts w:ascii="Verdana" w:eastAsia="Verdana" w:hAnsi="Verdana" w:cs="Verdana"/>
          <w:sz w:val="20"/>
          <w:szCs w:val="20"/>
          <w:lang w:val="es-ES"/>
        </w:rPr>
        <w:t>los</w:t>
      </w:r>
      <w:r w:rsidRPr="00C661E5">
        <w:rPr>
          <w:rFonts w:ascii="Verdana" w:eastAsia="Verdana" w:hAnsi="Verdana" w:cs="Verdana"/>
          <w:spacing w:val="-14"/>
          <w:sz w:val="20"/>
          <w:szCs w:val="20"/>
          <w:lang w:val="es-ES"/>
        </w:rPr>
        <w:t xml:space="preserve"> </w:t>
      </w:r>
      <w:r w:rsidRPr="00C661E5">
        <w:rPr>
          <w:rFonts w:ascii="Verdana" w:eastAsia="Verdana" w:hAnsi="Verdana" w:cs="Verdana"/>
          <w:sz w:val="20"/>
          <w:szCs w:val="20"/>
          <w:lang w:val="es-ES"/>
        </w:rPr>
        <w:t>Estados</w:t>
      </w:r>
      <w:r w:rsidRPr="00C661E5">
        <w:rPr>
          <w:rFonts w:ascii="Verdana" w:eastAsia="Verdana" w:hAnsi="Verdana" w:cs="Verdana"/>
          <w:spacing w:val="-13"/>
          <w:sz w:val="20"/>
          <w:szCs w:val="20"/>
          <w:lang w:val="es-ES"/>
        </w:rPr>
        <w:t xml:space="preserve"> </w:t>
      </w:r>
      <w:r w:rsidRPr="00C661E5">
        <w:rPr>
          <w:rFonts w:ascii="Verdana" w:eastAsia="Verdana" w:hAnsi="Verdana" w:cs="Verdana"/>
          <w:sz w:val="20"/>
          <w:szCs w:val="20"/>
          <w:lang w:val="es-ES"/>
        </w:rPr>
        <w:t>Unidos</w:t>
      </w:r>
      <w:r w:rsidRPr="00C661E5">
        <w:rPr>
          <w:rFonts w:ascii="Verdana" w:eastAsia="Verdana" w:hAnsi="Verdana" w:cs="Verdana"/>
          <w:spacing w:val="-13"/>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14"/>
          <w:sz w:val="20"/>
          <w:szCs w:val="20"/>
          <w:lang w:val="es-ES"/>
        </w:rPr>
        <w:t xml:space="preserve"> </w:t>
      </w:r>
      <w:r w:rsidRPr="00C661E5">
        <w:rPr>
          <w:rFonts w:ascii="Verdana" w:eastAsia="Verdana" w:hAnsi="Verdana" w:cs="Verdana"/>
          <w:sz w:val="20"/>
          <w:szCs w:val="20"/>
          <w:lang w:val="es-ES"/>
        </w:rPr>
        <w:t>América</w:t>
      </w:r>
      <w:r w:rsidRPr="00C661E5">
        <w:rPr>
          <w:rFonts w:ascii="Verdana" w:eastAsia="Verdana" w:hAnsi="Verdana" w:cs="Verdana"/>
          <w:spacing w:val="-13"/>
          <w:sz w:val="20"/>
          <w:szCs w:val="20"/>
          <w:lang w:val="es-ES"/>
        </w:rPr>
        <w:t xml:space="preserve"> </w:t>
      </w:r>
      <w:r w:rsidRPr="00C661E5">
        <w:rPr>
          <w:rFonts w:ascii="Verdana" w:eastAsia="Verdana" w:hAnsi="Verdana" w:cs="Verdana"/>
          <w:sz w:val="20"/>
          <w:szCs w:val="20"/>
          <w:lang w:val="es-ES"/>
        </w:rPr>
        <w:t>(US$125.000),</w:t>
      </w:r>
      <w:r w:rsidRPr="00C661E5">
        <w:rPr>
          <w:rFonts w:ascii="Verdana" w:eastAsia="Verdana" w:hAnsi="Verdana" w:cs="Verdana"/>
          <w:spacing w:val="-11"/>
          <w:sz w:val="20"/>
          <w:szCs w:val="20"/>
          <w:lang w:val="es-ES"/>
        </w:rPr>
        <w:t xml:space="preserve"> </w:t>
      </w:r>
      <w:r w:rsidRPr="00C661E5">
        <w:rPr>
          <w:rFonts w:ascii="Verdana" w:eastAsia="Verdana" w:hAnsi="Verdana" w:cs="Verdana"/>
          <w:sz w:val="20"/>
          <w:szCs w:val="20"/>
          <w:lang w:val="es-ES"/>
        </w:rPr>
        <w:t>liquidados</w:t>
      </w:r>
      <w:r w:rsidRPr="00C661E5">
        <w:rPr>
          <w:rFonts w:ascii="Verdana" w:eastAsia="Verdana" w:hAnsi="Verdana" w:cs="Verdana"/>
          <w:spacing w:val="-13"/>
          <w:sz w:val="20"/>
          <w:szCs w:val="20"/>
          <w:lang w:val="es-ES"/>
        </w:rPr>
        <w:t xml:space="preserve"> </w:t>
      </w:r>
      <w:r w:rsidRPr="00C661E5">
        <w:rPr>
          <w:rFonts w:ascii="Verdana" w:eastAsia="Verdana" w:hAnsi="Verdana" w:cs="Verdana"/>
          <w:sz w:val="20"/>
          <w:szCs w:val="20"/>
          <w:lang w:val="es-ES"/>
        </w:rPr>
        <w:t>con</w:t>
      </w:r>
      <w:r w:rsidRPr="00C661E5">
        <w:rPr>
          <w:rFonts w:ascii="Verdana" w:eastAsia="Verdana" w:hAnsi="Verdana" w:cs="Verdana"/>
          <w:spacing w:val="-14"/>
          <w:sz w:val="20"/>
          <w:szCs w:val="20"/>
          <w:lang w:val="es-ES"/>
        </w:rPr>
        <w:t xml:space="preserve"> </w:t>
      </w:r>
      <w:r w:rsidRPr="00C661E5">
        <w:rPr>
          <w:rFonts w:ascii="Verdana" w:eastAsia="Verdana" w:hAnsi="Verdana" w:cs="Verdana"/>
          <w:sz w:val="20"/>
          <w:szCs w:val="20"/>
          <w:lang w:val="es-ES"/>
        </w:rPr>
        <w:t xml:space="preserve">la tasa de cambio que para el efecto determina cada dos años el Ministerio </w:t>
      </w:r>
      <w:r w:rsidRPr="00C661E5">
        <w:rPr>
          <w:rFonts w:ascii="Verdana" w:eastAsia="Verdana" w:hAnsi="Verdana" w:cs="Verdana"/>
          <w:sz w:val="20"/>
          <w:szCs w:val="20"/>
          <w:lang w:val="es-ES"/>
        </w:rPr>
        <w:lastRenderedPageBreak/>
        <w:t>de Comercio, Industria y Turismo.</w:t>
      </w:r>
    </w:p>
    <w:p w14:paraId="2CC37FF3"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631062D8"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C661E5">
        <w:rPr>
          <w:rFonts w:ascii="Verdana" w:eastAsia="Verdana" w:hAnsi="Verdana" w:cs="Verdana"/>
          <w:sz w:val="20"/>
          <w:szCs w:val="20"/>
          <w:lang w:val="es-ES"/>
        </w:rPr>
        <w:t xml:space="preserve">2. Se hayan recibido solicitudes de por lo menos dos (2) </w:t>
      </w:r>
      <w:proofErr w:type="spellStart"/>
      <w:r w:rsidRPr="00C661E5">
        <w:rPr>
          <w:rFonts w:ascii="Verdana" w:eastAsia="Verdana" w:hAnsi="Verdana" w:cs="Verdana"/>
          <w:sz w:val="20"/>
          <w:szCs w:val="20"/>
          <w:lang w:val="es-ES"/>
        </w:rPr>
        <w:t>MiPyme</w:t>
      </w:r>
      <w:proofErr w:type="spellEnd"/>
      <w:r w:rsidRPr="00C661E5">
        <w:rPr>
          <w:rFonts w:ascii="Verdana" w:eastAsia="Verdana" w:hAnsi="Verdana" w:cs="Verdana"/>
          <w:sz w:val="20"/>
          <w:szCs w:val="20"/>
          <w:lang w:val="es-ES"/>
        </w:rPr>
        <w:t xml:space="preserve"> colombianas para limitar la convocatoria a </w:t>
      </w:r>
      <w:proofErr w:type="spellStart"/>
      <w:r w:rsidRPr="00C661E5">
        <w:rPr>
          <w:rFonts w:ascii="Verdana" w:eastAsia="Verdana" w:hAnsi="Verdana" w:cs="Verdana"/>
          <w:sz w:val="20"/>
          <w:szCs w:val="20"/>
          <w:lang w:val="es-ES"/>
        </w:rPr>
        <w:t>MiPyme</w:t>
      </w:r>
      <w:proofErr w:type="spellEnd"/>
      <w:r w:rsidRPr="00C661E5">
        <w:rPr>
          <w:rFonts w:ascii="Verdana" w:eastAsia="Verdana" w:hAnsi="Verdana" w:cs="Verdana"/>
          <w:sz w:val="20"/>
          <w:szCs w:val="20"/>
          <w:lang w:val="es-ES"/>
        </w:rPr>
        <w:t xml:space="preserve"> colombianas. Las Entidades Estatales independientemente de su régimen de contratación, los patrimonios autónomos constituidos por Entidades Estatales y los particulares</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que</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ejecuten</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recursos</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públicos,</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deben</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recibir</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estas</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solicitudes por</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lo</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menos</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un</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(1)</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día</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hábil</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antes</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la</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expedición</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del</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acto</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administrativo de</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apertura,</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o</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el</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que</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haga</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sus</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veces</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acuerdo</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con</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la</w:t>
      </w:r>
      <w:r w:rsidRPr="00C661E5">
        <w:rPr>
          <w:rFonts w:ascii="Verdana" w:eastAsia="Verdana" w:hAnsi="Verdana" w:cs="Verdana"/>
          <w:spacing w:val="-17"/>
          <w:sz w:val="20"/>
          <w:szCs w:val="20"/>
          <w:lang w:val="es-ES"/>
        </w:rPr>
        <w:t xml:space="preserve"> </w:t>
      </w:r>
      <w:r w:rsidRPr="00C661E5">
        <w:rPr>
          <w:rFonts w:ascii="Verdana" w:eastAsia="Verdana" w:hAnsi="Verdana" w:cs="Verdana"/>
          <w:sz w:val="20"/>
          <w:szCs w:val="20"/>
          <w:lang w:val="es-ES"/>
        </w:rPr>
        <w:t>normativa</w:t>
      </w:r>
      <w:r w:rsidRPr="00C661E5">
        <w:rPr>
          <w:rFonts w:ascii="Verdana" w:eastAsia="Verdana" w:hAnsi="Verdana" w:cs="Verdana"/>
          <w:spacing w:val="-18"/>
          <w:sz w:val="20"/>
          <w:szCs w:val="20"/>
          <w:lang w:val="es-ES"/>
        </w:rPr>
        <w:t xml:space="preserve"> </w:t>
      </w:r>
      <w:r w:rsidRPr="00C661E5">
        <w:rPr>
          <w:rFonts w:ascii="Verdana" w:eastAsia="Verdana" w:hAnsi="Verdana" w:cs="Verdana"/>
          <w:sz w:val="20"/>
          <w:szCs w:val="20"/>
          <w:lang w:val="es-ES"/>
        </w:rPr>
        <w:t>aplicable a cada Proceso de Contratación. Tratándose de personas jurídicas, las solicitudes</w:t>
      </w:r>
      <w:r w:rsidRPr="00C661E5">
        <w:rPr>
          <w:rFonts w:ascii="Verdana" w:eastAsia="Verdana" w:hAnsi="Verdana" w:cs="Verdana"/>
          <w:spacing w:val="-6"/>
          <w:sz w:val="20"/>
          <w:szCs w:val="20"/>
          <w:lang w:val="es-ES"/>
        </w:rPr>
        <w:t xml:space="preserve"> </w:t>
      </w:r>
      <w:r w:rsidRPr="00C661E5">
        <w:rPr>
          <w:rFonts w:ascii="Verdana" w:eastAsia="Verdana" w:hAnsi="Verdana" w:cs="Verdana"/>
          <w:sz w:val="20"/>
          <w:szCs w:val="20"/>
          <w:lang w:val="es-ES"/>
        </w:rPr>
        <w:t>solo</w:t>
      </w:r>
      <w:r w:rsidRPr="00C661E5">
        <w:rPr>
          <w:rFonts w:ascii="Verdana" w:eastAsia="Verdana" w:hAnsi="Verdana" w:cs="Verdana"/>
          <w:spacing w:val="-8"/>
          <w:sz w:val="20"/>
          <w:szCs w:val="20"/>
          <w:lang w:val="es-ES"/>
        </w:rPr>
        <w:t xml:space="preserve"> </w:t>
      </w:r>
      <w:r w:rsidRPr="00C661E5">
        <w:rPr>
          <w:rFonts w:ascii="Verdana" w:eastAsia="Verdana" w:hAnsi="Verdana" w:cs="Verdana"/>
          <w:sz w:val="20"/>
          <w:szCs w:val="20"/>
          <w:lang w:val="es-ES"/>
        </w:rPr>
        <w:t>las</w:t>
      </w:r>
      <w:r w:rsidRPr="00C661E5">
        <w:rPr>
          <w:rFonts w:ascii="Verdana" w:eastAsia="Verdana" w:hAnsi="Verdana" w:cs="Verdana"/>
          <w:spacing w:val="-8"/>
          <w:sz w:val="20"/>
          <w:szCs w:val="20"/>
          <w:lang w:val="es-ES"/>
        </w:rPr>
        <w:t xml:space="preserve"> </w:t>
      </w:r>
      <w:r w:rsidRPr="00C661E5">
        <w:rPr>
          <w:rFonts w:ascii="Verdana" w:eastAsia="Verdana" w:hAnsi="Verdana" w:cs="Verdana"/>
          <w:sz w:val="20"/>
          <w:szCs w:val="20"/>
          <w:lang w:val="es-ES"/>
        </w:rPr>
        <w:t>podrán</w:t>
      </w:r>
      <w:r w:rsidRPr="00C661E5">
        <w:rPr>
          <w:rFonts w:ascii="Verdana" w:eastAsia="Verdana" w:hAnsi="Verdana" w:cs="Verdana"/>
          <w:spacing w:val="-7"/>
          <w:sz w:val="20"/>
          <w:szCs w:val="20"/>
          <w:lang w:val="es-ES"/>
        </w:rPr>
        <w:t xml:space="preserve"> </w:t>
      </w:r>
      <w:r w:rsidRPr="00C661E5">
        <w:rPr>
          <w:rFonts w:ascii="Verdana" w:eastAsia="Verdana" w:hAnsi="Verdana" w:cs="Verdana"/>
          <w:sz w:val="20"/>
          <w:szCs w:val="20"/>
          <w:lang w:val="es-ES"/>
        </w:rPr>
        <w:t>realizar</w:t>
      </w:r>
      <w:r w:rsidRPr="00C661E5">
        <w:rPr>
          <w:rFonts w:ascii="Verdana" w:eastAsia="Verdana" w:hAnsi="Verdana" w:cs="Verdana"/>
          <w:spacing w:val="-6"/>
          <w:sz w:val="20"/>
          <w:szCs w:val="20"/>
          <w:lang w:val="es-ES"/>
        </w:rPr>
        <w:t xml:space="preserve"> </w:t>
      </w:r>
      <w:proofErr w:type="spellStart"/>
      <w:r w:rsidRPr="00C661E5">
        <w:rPr>
          <w:rFonts w:ascii="Verdana" w:eastAsia="Verdana" w:hAnsi="Verdana" w:cs="Verdana"/>
          <w:sz w:val="20"/>
          <w:szCs w:val="20"/>
          <w:lang w:val="es-ES"/>
        </w:rPr>
        <w:t>MiPyme</w:t>
      </w:r>
      <w:proofErr w:type="spellEnd"/>
      <w:r w:rsidRPr="00C661E5">
        <w:rPr>
          <w:rFonts w:ascii="Verdana" w:eastAsia="Verdana" w:hAnsi="Verdana" w:cs="Verdana"/>
          <w:sz w:val="20"/>
          <w:szCs w:val="20"/>
          <w:lang w:val="es-ES"/>
        </w:rPr>
        <w:t>,</w:t>
      </w:r>
      <w:r w:rsidRPr="00C661E5">
        <w:rPr>
          <w:rFonts w:ascii="Verdana" w:eastAsia="Verdana" w:hAnsi="Verdana" w:cs="Verdana"/>
          <w:spacing w:val="-9"/>
          <w:sz w:val="20"/>
          <w:szCs w:val="20"/>
          <w:lang w:val="es-ES"/>
        </w:rPr>
        <w:t xml:space="preserve"> </w:t>
      </w:r>
      <w:r w:rsidRPr="00C661E5">
        <w:rPr>
          <w:rFonts w:ascii="Verdana" w:eastAsia="Verdana" w:hAnsi="Verdana" w:cs="Verdana"/>
          <w:sz w:val="20"/>
          <w:szCs w:val="20"/>
          <w:lang w:val="es-ES"/>
        </w:rPr>
        <w:t>cuyo</w:t>
      </w:r>
      <w:r w:rsidRPr="00C661E5">
        <w:rPr>
          <w:rFonts w:ascii="Verdana" w:eastAsia="Verdana" w:hAnsi="Verdana" w:cs="Verdana"/>
          <w:spacing w:val="-7"/>
          <w:sz w:val="20"/>
          <w:szCs w:val="20"/>
          <w:lang w:val="es-ES"/>
        </w:rPr>
        <w:t xml:space="preserve"> </w:t>
      </w:r>
      <w:r w:rsidRPr="00C661E5">
        <w:rPr>
          <w:rFonts w:ascii="Verdana" w:eastAsia="Verdana" w:hAnsi="Verdana" w:cs="Verdana"/>
          <w:sz w:val="20"/>
          <w:szCs w:val="20"/>
          <w:lang w:val="es-ES"/>
        </w:rPr>
        <w:t>objeto</w:t>
      </w:r>
      <w:r w:rsidRPr="00C661E5">
        <w:rPr>
          <w:rFonts w:ascii="Verdana" w:eastAsia="Verdana" w:hAnsi="Verdana" w:cs="Verdana"/>
          <w:spacing w:val="-7"/>
          <w:sz w:val="20"/>
          <w:szCs w:val="20"/>
          <w:lang w:val="es-ES"/>
        </w:rPr>
        <w:t xml:space="preserve"> </w:t>
      </w:r>
      <w:r w:rsidRPr="00C661E5">
        <w:rPr>
          <w:rFonts w:ascii="Verdana" w:eastAsia="Verdana" w:hAnsi="Verdana" w:cs="Verdana"/>
          <w:sz w:val="20"/>
          <w:szCs w:val="20"/>
          <w:lang w:val="es-ES"/>
        </w:rPr>
        <w:t>social</w:t>
      </w:r>
      <w:r w:rsidRPr="00C661E5">
        <w:rPr>
          <w:rFonts w:ascii="Verdana" w:eastAsia="Verdana" w:hAnsi="Verdana" w:cs="Verdana"/>
          <w:spacing w:val="-7"/>
          <w:sz w:val="20"/>
          <w:szCs w:val="20"/>
          <w:lang w:val="es-ES"/>
        </w:rPr>
        <w:t xml:space="preserve"> </w:t>
      </w:r>
      <w:r w:rsidRPr="00C661E5">
        <w:rPr>
          <w:rFonts w:ascii="Verdana" w:eastAsia="Verdana" w:hAnsi="Verdana" w:cs="Verdana"/>
          <w:sz w:val="20"/>
          <w:szCs w:val="20"/>
          <w:lang w:val="es-ES"/>
        </w:rPr>
        <w:t>les</w:t>
      </w:r>
      <w:r w:rsidRPr="00C661E5">
        <w:rPr>
          <w:rFonts w:ascii="Verdana" w:eastAsia="Verdana" w:hAnsi="Verdana" w:cs="Verdana"/>
          <w:spacing w:val="-8"/>
          <w:sz w:val="20"/>
          <w:szCs w:val="20"/>
          <w:lang w:val="es-ES"/>
        </w:rPr>
        <w:t xml:space="preserve"> </w:t>
      </w:r>
      <w:r w:rsidRPr="00C661E5">
        <w:rPr>
          <w:rFonts w:ascii="Verdana" w:eastAsia="Verdana" w:hAnsi="Verdana" w:cs="Verdana"/>
          <w:sz w:val="20"/>
          <w:szCs w:val="20"/>
          <w:lang w:val="es-ES"/>
        </w:rPr>
        <w:t>permita ejecutar el contrato relacionado con el proceso contractual.</w:t>
      </w:r>
    </w:p>
    <w:p w14:paraId="06ACE2F2"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318B15A9" w14:textId="77777777" w:rsidR="004E2826" w:rsidRPr="00C661E5" w:rsidRDefault="004E2826" w:rsidP="004E2826">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C661E5">
        <w:rPr>
          <w:rFonts w:ascii="Verdana" w:eastAsia="Verdana" w:hAnsi="Verdana" w:cs="Verdana"/>
          <w:sz w:val="20"/>
          <w:szCs w:val="20"/>
          <w:lang w:val="es-ES"/>
        </w:rPr>
        <w:t>Parágrafo. Las cooperativas y demás entidades de economía solidaria, siempre</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que</w:t>
      </w:r>
      <w:r w:rsidRPr="00C661E5">
        <w:rPr>
          <w:rFonts w:ascii="Verdana" w:eastAsia="Verdana" w:hAnsi="Verdana" w:cs="Verdana"/>
          <w:spacing w:val="-4"/>
          <w:sz w:val="20"/>
          <w:szCs w:val="20"/>
          <w:lang w:val="es-ES"/>
        </w:rPr>
        <w:t xml:space="preserve"> </w:t>
      </w:r>
      <w:r w:rsidRPr="00C661E5">
        <w:rPr>
          <w:rFonts w:ascii="Verdana" w:eastAsia="Verdana" w:hAnsi="Verdana" w:cs="Verdana"/>
          <w:sz w:val="20"/>
          <w:szCs w:val="20"/>
          <w:lang w:val="es-ES"/>
        </w:rPr>
        <w:t>tengan</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la</w:t>
      </w:r>
      <w:r w:rsidRPr="00C661E5">
        <w:rPr>
          <w:rFonts w:ascii="Verdana" w:eastAsia="Verdana" w:hAnsi="Verdana" w:cs="Verdana"/>
          <w:spacing w:val="-5"/>
          <w:sz w:val="20"/>
          <w:szCs w:val="20"/>
          <w:lang w:val="es-ES"/>
        </w:rPr>
        <w:t xml:space="preserve"> </w:t>
      </w:r>
      <w:r w:rsidRPr="00C661E5">
        <w:rPr>
          <w:rFonts w:ascii="Verdana" w:eastAsia="Verdana" w:hAnsi="Verdana" w:cs="Verdana"/>
          <w:sz w:val="20"/>
          <w:szCs w:val="20"/>
          <w:lang w:val="es-ES"/>
        </w:rPr>
        <w:t>calidad</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de</w:t>
      </w:r>
      <w:r w:rsidRPr="00C661E5">
        <w:rPr>
          <w:rFonts w:ascii="Verdana" w:eastAsia="Verdana" w:hAnsi="Verdana" w:cs="Verdana"/>
          <w:spacing w:val="-5"/>
          <w:sz w:val="20"/>
          <w:szCs w:val="20"/>
          <w:lang w:val="es-ES"/>
        </w:rPr>
        <w:t xml:space="preserve"> </w:t>
      </w:r>
      <w:proofErr w:type="spellStart"/>
      <w:r w:rsidRPr="00C661E5">
        <w:rPr>
          <w:rFonts w:ascii="Verdana" w:eastAsia="Verdana" w:hAnsi="Verdana" w:cs="Verdana"/>
          <w:sz w:val="20"/>
          <w:szCs w:val="20"/>
          <w:lang w:val="es-ES"/>
        </w:rPr>
        <w:t>MiPyme</w:t>
      </w:r>
      <w:proofErr w:type="spellEnd"/>
      <w:r w:rsidRPr="00C661E5">
        <w:rPr>
          <w:rFonts w:ascii="Verdana" w:eastAsia="Verdana" w:hAnsi="Verdana" w:cs="Verdana"/>
          <w:sz w:val="20"/>
          <w:szCs w:val="20"/>
          <w:lang w:val="es-ES"/>
        </w:rPr>
        <w:t>,</w:t>
      </w:r>
      <w:r w:rsidRPr="00C661E5">
        <w:rPr>
          <w:rFonts w:ascii="Verdana" w:eastAsia="Verdana" w:hAnsi="Verdana" w:cs="Verdana"/>
          <w:spacing w:val="-5"/>
          <w:sz w:val="20"/>
          <w:szCs w:val="20"/>
          <w:lang w:val="es-ES"/>
        </w:rPr>
        <w:t xml:space="preserve"> </w:t>
      </w:r>
      <w:r w:rsidRPr="00C661E5">
        <w:rPr>
          <w:rFonts w:ascii="Verdana" w:eastAsia="Verdana" w:hAnsi="Verdana" w:cs="Verdana"/>
          <w:sz w:val="20"/>
          <w:szCs w:val="20"/>
          <w:lang w:val="es-ES"/>
        </w:rPr>
        <w:t>podrán</w:t>
      </w:r>
      <w:r w:rsidRPr="00C661E5">
        <w:rPr>
          <w:rFonts w:ascii="Verdana" w:eastAsia="Verdana" w:hAnsi="Verdana" w:cs="Verdana"/>
          <w:spacing w:val="-3"/>
          <w:sz w:val="20"/>
          <w:szCs w:val="20"/>
          <w:lang w:val="es-ES"/>
        </w:rPr>
        <w:t xml:space="preserve"> </w:t>
      </w:r>
      <w:r w:rsidRPr="00C661E5">
        <w:rPr>
          <w:rFonts w:ascii="Verdana" w:eastAsia="Verdana" w:hAnsi="Verdana" w:cs="Verdana"/>
          <w:sz w:val="20"/>
          <w:szCs w:val="20"/>
          <w:lang w:val="es-ES"/>
        </w:rPr>
        <w:t>solicitar</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y</w:t>
      </w:r>
      <w:r w:rsidRPr="00C661E5">
        <w:rPr>
          <w:rFonts w:ascii="Verdana" w:eastAsia="Verdana" w:hAnsi="Verdana" w:cs="Verdana"/>
          <w:spacing w:val="-5"/>
          <w:sz w:val="20"/>
          <w:szCs w:val="20"/>
          <w:lang w:val="es-ES"/>
        </w:rPr>
        <w:t xml:space="preserve"> </w:t>
      </w:r>
      <w:r w:rsidRPr="00C661E5">
        <w:rPr>
          <w:rFonts w:ascii="Verdana" w:eastAsia="Verdana" w:hAnsi="Verdana" w:cs="Verdana"/>
          <w:sz w:val="20"/>
          <w:szCs w:val="20"/>
          <w:lang w:val="es-ES"/>
        </w:rPr>
        <w:t>participar</w:t>
      </w:r>
      <w:r w:rsidRPr="00C661E5">
        <w:rPr>
          <w:rFonts w:ascii="Verdana" w:eastAsia="Verdana" w:hAnsi="Verdana" w:cs="Verdana"/>
          <w:spacing w:val="-2"/>
          <w:sz w:val="20"/>
          <w:szCs w:val="20"/>
          <w:lang w:val="es-ES"/>
        </w:rPr>
        <w:t xml:space="preserve"> </w:t>
      </w:r>
      <w:r w:rsidRPr="00C661E5">
        <w:rPr>
          <w:rFonts w:ascii="Verdana" w:eastAsia="Verdana" w:hAnsi="Verdana" w:cs="Verdana"/>
          <w:sz w:val="20"/>
          <w:szCs w:val="20"/>
          <w:lang w:val="es-ES"/>
        </w:rPr>
        <w:t>en las convocatorias limitadas en las mismas condiciones dispuestas en el presente artículo”.</w:t>
      </w:r>
      <w:r>
        <w:rPr>
          <w:rFonts w:ascii="Verdana" w:eastAsia="Verdana" w:hAnsi="Verdana" w:cs="Verdana"/>
          <w:sz w:val="20"/>
          <w:szCs w:val="20"/>
          <w:lang w:val="es-ES"/>
        </w:rPr>
        <w:t xml:space="preserve"> </w:t>
      </w:r>
      <w:r w:rsidRPr="00957118">
        <w:rPr>
          <w:rFonts w:ascii="Verdana" w:eastAsia="Verdana" w:hAnsi="Verdana" w:cs="Verdana"/>
          <w:lang w:val="es-ES"/>
        </w:rPr>
        <w:t>[Énfasis fuera del texto legal]</w:t>
      </w:r>
    </w:p>
    <w:p w14:paraId="3FCAD3A1" w14:textId="77777777" w:rsidR="004E2826" w:rsidRPr="00C661E5" w:rsidRDefault="004E2826" w:rsidP="004E2826">
      <w:pPr>
        <w:spacing w:after="0" w:line="276" w:lineRule="auto"/>
        <w:ind w:firstLine="708"/>
        <w:jc w:val="both"/>
        <w:rPr>
          <w:rFonts w:ascii="Verdana" w:hAnsi="Verdana"/>
          <w:lang w:val="es-ES"/>
        </w:rPr>
      </w:pPr>
    </w:p>
    <w:p w14:paraId="63259C28" w14:textId="77777777" w:rsidR="004E2826" w:rsidRDefault="004E2826" w:rsidP="004E2826">
      <w:pPr>
        <w:spacing w:after="120" w:line="276" w:lineRule="auto"/>
        <w:ind w:firstLine="708"/>
        <w:jc w:val="both"/>
        <w:rPr>
          <w:rFonts w:ascii="Verdana" w:hAnsi="Verdana"/>
          <w:lang w:val="es-ES"/>
        </w:rPr>
      </w:pPr>
      <w:r>
        <w:rPr>
          <w:rFonts w:ascii="Verdana" w:hAnsi="Verdana"/>
          <w:lang w:val="es-ES"/>
        </w:rPr>
        <w:t>Revisada la norma, lo primero que se destaca es que, para el grupo de entidades que contratan con cargo a recursos públicos y que se enlistaron arriba, aquellas están obligadas a limitar ciertos procesos de selección de contratistas del Estado, restringiendo tales</w:t>
      </w:r>
      <w:r w:rsidRPr="00361FA8">
        <w:rPr>
          <w:rFonts w:ascii="Verdana" w:hAnsi="Verdana"/>
          <w:lang w:val="es-ES"/>
        </w:rPr>
        <w:t xml:space="preserve"> convocatoria</w:t>
      </w:r>
      <w:r>
        <w:rPr>
          <w:rFonts w:ascii="Verdana" w:hAnsi="Verdana"/>
          <w:lang w:val="es-ES"/>
        </w:rPr>
        <w:t>s</w:t>
      </w:r>
      <w:r w:rsidRPr="00361FA8">
        <w:rPr>
          <w:rFonts w:ascii="Verdana" w:hAnsi="Verdana"/>
          <w:lang w:val="es-ES"/>
        </w:rPr>
        <w:t xml:space="preserve"> con pluralidad de oferentes exclusivamente a MiPymes colombianas con al menos un (1) año de existencia, siempre que se cumplan los requisitos legales establecidos.</w:t>
      </w:r>
      <w:r>
        <w:rPr>
          <w:rFonts w:ascii="Verdana" w:hAnsi="Verdana"/>
          <w:lang w:val="es-ES"/>
        </w:rPr>
        <w:t xml:space="preserve"> </w:t>
      </w:r>
    </w:p>
    <w:p w14:paraId="34E48E1D" w14:textId="77777777" w:rsidR="004E2826" w:rsidRDefault="004E2826" w:rsidP="004E2826">
      <w:pPr>
        <w:spacing w:after="120" w:line="276" w:lineRule="auto"/>
        <w:ind w:firstLine="708"/>
        <w:jc w:val="both"/>
        <w:rPr>
          <w:rFonts w:ascii="Verdana" w:hAnsi="Verdana"/>
          <w:lang w:val="es-ES"/>
        </w:rPr>
      </w:pPr>
      <w:r>
        <w:rPr>
          <w:rFonts w:ascii="Verdana" w:hAnsi="Verdana"/>
          <w:lang w:val="es-ES"/>
        </w:rPr>
        <w:t xml:space="preserve">Como se observa, hay dos exigencias en el Decreto con naturaleza de mandato, sin que se establezcan excepciones: i) La obligación de limitar la convocatoria respectiva (siempre que se cumplan los requisitos legales) y, </w:t>
      </w:r>
      <w:proofErr w:type="spellStart"/>
      <w:r>
        <w:rPr>
          <w:rFonts w:ascii="Verdana" w:hAnsi="Verdana"/>
          <w:lang w:val="es-ES"/>
        </w:rPr>
        <w:t>ii</w:t>
      </w:r>
      <w:proofErr w:type="spellEnd"/>
      <w:r>
        <w:rPr>
          <w:rFonts w:ascii="Verdana" w:hAnsi="Verdana"/>
          <w:lang w:val="es-ES"/>
        </w:rPr>
        <w:t>) la obligación de limitar dicha convocatoria a ciertos proponentes en particular (MiPymes con mínimo 1 año de constituidas). Frente a la segunda obligación, las entidades obligadas a restringir la convocatoria no podrían limitarla para que participen MiPymes con menos de un (1) año de constituida, simplemente porque la norma no abrigó esa posibilidad, así como tampoco contempló excepciones a la regla. Por lo tanto, de entrada, se advierte que, si la MiPymes no cuenta con la condición de existencia mínima requerida, no podrá participar en aquellas convocatorias limitadas a este tipo de empresas.</w:t>
      </w:r>
    </w:p>
    <w:p w14:paraId="3F2CB15F" w14:textId="77777777" w:rsidR="004E2826" w:rsidRPr="00C661E5" w:rsidRDefault="004E2826" w:rsidP="004E2826">
      <w:pPr>
        <w:spacing w:after="120" w:line="276" w:lineRule="auto"/>
        <w:ind w:firstLine="708"/>
        <w:jc w:val="both"/>
        <w:rPr>
          <w:rFonts w:ascii="Verdana" w:hAnsi="Verdana"/>
          <w:lang w:val="es-ES"/>
        </w:rPr>
      </w:pPr>
      <w:r>
        <w:rPr>
          <w:rFonts w:ascii="Verdana" w:hAnsi="Verdana"/>
          <w:lang w:val="es-ES"/>
        </w:rPr>
        <w:t>De otro lado, s</w:t>
      </w:r>
      <w:r w:rsidRPr="00C661E5">
        <w:rPr>
          <w:rFonts w:ascii="Verdana" w:hAnsi="Verdana"/>
          <w:lang w:val="es-ES"/>
        </w:rPr>
        <w:t xml:space="preserve">egún se evidencia, el numeral primero del </w:t>
      </w:r>
      <w:r w:rsidRPr="00C661E5">
        <w:rPr>
          <w:rFonts w:ascii="Verdana" w:hAnsi="Verdana"/>
          <w:lang w:val="es-ES_tradnl"/>
        </w:rPr>
        <w:t xml:space="preserve">artículo </w:t>
      </w:r>
      <w:r>
        <w:rPr>
          <w:rFonts w:ascii="Verdana" w:hAnsi="Verdana"/>
          <w:lang w:val="es-ES_tradnl"/>
        </w:rPr>
        <w:t>en cita</w:t>
      </w:r>
      <w:r w:rsidRPr="00C661E5">
        <w:rPr>
          <w:rFonts w:ascii="Verdana" w:hAnsi="Verdana"/>
          <w:lang w:val="es-ES_tradnl"/>
        </w:rPr>
        <w:t xml:space="preserve"> </w:t>
      </w:r>
      <w:r w:rsidRPr="00C661E5">
        <w:rPr>
          <w:rFonts w:ascii="Verdana" w:hAnsi="Verdana"/>
          <w:lang w:val="es-ES"/>
        </w:rPr>
        <w:t xml:space="preserve">limita cuantitativamente los procesos contractuales para las convocatorias limitadas a MiPymes, puesto que el valor del proceso de contratación debe ser “menor a ciento veinticinco mil dólares de los Estados Unidos de América”. Esto </w:t>
      </w:r>
      <w:r w:rsidRPr="00C661E5">
        <w:rPr>
          <w:rFonts w:ascii="Verdana" w:hAnsi="Verdana"/>
          <w:lang w:val="es-ES"/>
        </w:rPr>
        <w:lastRenderedPageBreak/>
        <w:t xml:space="preserve">de acuerdo con la tasa que determine cada dos (2) años el Ministerio de Comercio, Industria y Turismo. </w:t>
      </w:r>
      <w:r>
        <w:rPr>
          <w:rFonts w:ascii="Verdana" w:hAnsi="Verdana"/>
          <w:lang w:val="es-ES"/>
        </w:rPr>
        <w:t>Por su parte, e</w:t>
      </w:r>
      <w:r w:rsidRPr="00C661E5">
        <w:rPr>
          <w:rFonts w:ascii="Verdana" w:hAnsi="Verdana"/>
          <w:lang w:val="es-ES"/>
        </w:rPr>
        <w:t xml:space="preserve">l numeral segundo establece,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309D6440" w14:textId="77777777" w:rsidR="004E2826" w:rsidRPr="00C661E5" w:rsidRDefault="004E2826" w:rsidP="004E2826">
      <w:pPr>
        <w:spacing w:after="120" w:line="276" w:lineRule="auto"/>
        <w:ind w:firstLine="708"/>
        <w:jc w:val="both"/>
        <w:rPr>
          <w:rFonts w:ascii="Verdana" w:hAnsi="Verdana"/>
        </w:rPr>
      </w:pPr>
      <w:r w:rsidRPr="00C661E5">
        <w:rPr>
          <w:rFonts w:ascii="Verdana" w:hAnsi="Verdana"/>
        </w:rPr>
        <w:t xml:space="preserve">Además, la norma señala que, </w:t>
      </w:r>
      <w:r w:rsidRPr="00C661E5">
        <w:rPr>
          <w:rFonts w:ascii="Verdana" w:hAnsi="Verdana"/>
          <w:lang w:val="es-ES_tradnl"/>
        </w:rPr>
        <w:t>tratándose de personas jurídicas, las solicitudes solo las podrán realizar MiPyme</w:t>
      </w:r>
      <w:r>
        <w:rPr>
          <w:rFonts w:ascii="Verdana" w:hAnsi="Verdana"/>
          <w:lang w:val="es-ES_tradnl"/>
        </w:rPr>
        <w:t>s</w:t>
      </w:r>
      <w:r w:rsidRPr="00C661E5">
        <w:rPr>
          <w:rFonts w:ascii="Verdana" w:hAnsi="Verdana"/>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C661E5">
        <w:rPr>
          <w:rFonts w:ascii="Verdana" w:hAnsi="Verdana"/>
          <w:lang w:val="es-ES_tradnl"/>
        </w:rPr>
        <w:t>MiPyme</w:t>
      </w:r>
      <w:proofErr w:type="spellEnd"/>
      <w:r w:rsidRPr="00C661E5">
        <w:rPr>
          <w:rFonts w:ascii="Verdana" w:hAnsi="Verdana"/>
          <w:lang w:val="es-ES_tradnl"/>
        </w:rPr>
        <w:t xml:space="preserve">, siempre que estas cumplan con las condiciones señaladas en el artículo. </w:t>
      </w:r>
    </w:p>
    <w:p w14:paraId="211BC3D1" w14:textId="77777777" w:rsidR="004E2826" w:rsidRPr="00C661E5" w:rsidRDefault="004E2826" w:rsidP="004E2826">
      <w:pPr>
        <w:spacing w:after="120" w:line="276" w:lineRule="auto"/>
        <w:ind w:firstLine="709"/>
        <w:jc w:val="both"/>
        <w:rPr>
          <w:rFonts w:ascii="Verdana" w:hAnsi="Verdana"/>
          <w:lang w:val="es-ES"/>
        </w:rPr>
      </w:pPr>
      <w:r w:rsidRPr="00C661E5">
        <w:rPr>
          <w:rFonts w:ascii="Verdana" w:hAnsi="Verdana"/>
          <w:lang w:val="es-ES_tradnl"/>
        </w:rPr>
        <w:t>De esta manera,</w:t>
      </w:r>
      <w:r>
        <w:rPr>
          <w:rFonts w:ascii="Verdana" w:hAnsi="Verdana"/>
          <w:lang w:val="es-ES_tradnl"/>
        </w:rPr>
        <w:t xml:space="preserve"> se puede concluir que, en virtud de dicha norma,</w:t>
      </w:r>
      <w:r w:rsidRPr="00C661E5">
        <w:rPr>
          <w:rFonts w:ascii="Verdana" w:hAnsi="Verdana"/>
          <w:lang w:val="es-ES_tradnl"/>
        </w:rPr>
        <w:t xml:space="preserve"> en todos los procesos de contratación, independientemente de la modalidad de selección, las entidades estatales, cualquiera que sea su régimen de contratación,</w:t>
      </w:r>
      <w:r w:rsidRPr="00C661E5">
        <w:rPr>
          <w:rFonts w:ascii="Verdana" w:hAnsi="Verdana"/>
        </w:rPr>
        <w:t xml:space="preserve"> los patrimonios autónomos constituidos por entidades estatales y los particulares que ejecuten recursos públicos, deberán limitar las convocatorias con pluralidad de oferentes a MiPymes colombianas, una vez concurran todos los requisitos señalados anteriormente y siempre que cuenten con mínimo un (1) año de existencia</w:t>
      </w:r>
      <w:r>
        <w:rPr>
          <w:rFonts w:ascii="Verdana" w:hAnsi="Verdana"/>
        </w:rPr>
        <w:t>.</w:t>
      </w:r>
    </w:p>
    <w:p w14:paraId="4133F73A" w14:textId="77777777" w:rsidR="004E2826" w:rsidRPr="00C661E5" w:rsidRDefault="004E2826" w:rsidP="004E2826">
      <w:pPr>
        <w:spacing w:before="120" w:after="0" w:line="276" w:lineRule="auto"/>
        <w:ind w:firstLine="709"/>
        <w:jc w:val="both"/>
        <w:rPr>
          <w:rFonts w:ascii="Verdana" w:eastAsia="Calibri" w:hAnsi="Verdana" w:cs="Arial"/>
          <w:lang w:eastAsia="es-ES_tradnl"/>
        </w:rPr>
      </w:pPr>
      <w:r w:rsidRPr="00C661E5">
        <w:rPr>
          <w:rFonts w:ascii="Verdana" w:eastAsia="Calibri" w:hAnsi="Verdana" w:cs="Arial"/>
          <w:lang w:val="es-ES_tradnl" w:eastAsia="es-ES_tradnl"/>
        </w:rPr>
        <w:t xml:space="preserve">De otro lado, el artículo </w:t>
      </w:r>
      <w:r w:rsidRPr="00C661E5">
        <w:rPr>
          <w:rFonts w:ascii="Verdana" w:hAnsi="Verdana" w:cs="Arial"/>
          <w:bCs/>
          <w:lang w:eastAsia="es-ES"/>
        </w:rPr>
        <w:t xml:space="preserve">2.2.1.2.4.2.4. del Decreto 1082 de 2015 –modificado por el Decreto 1860 de 2021–, </w:t>
      </w:r>
      <w:r>
        <w:rPr>
          <w:rFonts w:ascii="Verdana" w:eastAsia="Calibri" w:hAnsi="Verdana" w:cs="Arial"/>
          <w:lang w:val="es-ES_tradnl" w:eastAsia="es-ES_tradnl"/>
        </w:rPr>
        <w:t xml:space="preserve">señala cuáles son los requisitos </w:t>
      </w:r>
      <w:r w:rsidRPr="00C661E5">
        <w:rPr>
          <w:rFonts w:ascii="Verdana" w:eastAsia="Calibri" w:hAnsi="Verdana" w:cs="Arial"/>
          <w:lang w:val="es-ES_tradnl" w:eastAsia="es-ES_tradnl"/>
        </w:rPr>
        <w:t>que</w:t>
      </w:r>
      <w:r>
        <w:rPr>
          <w:rFonts w:ascii="Verdana" w:eastAsia="Calibri" w:hAnsi="Verdana" w:cs="Arial"/>
          <w:lang w:val="es-ES_tradnl" w:eastAsia="es-ES_tradnl"/>
        </w:rPr>
        <w:t xml:space="preserve"> deberán </w:t>
      </w:r>
      <w:r>
        <w:rPr>
          <w:rFonts w:ascii="Verdana" w:hAnsi="Verdana" w:cs="Arial"/>
          <w:bCs/>
          <w:lang w:eastAsia="es-ES"/>
        </w:rPr>
        <w:t>acreditarse</w:t>
      </w:r>
      <w:r w:rsidRPr="00C661E5">
        <w:rPr>
          <w:rFonts w:ascii="Verdana" w:hAnsi="Verdana" w:cs="Arial"/>
          <w:bCs/>
          <w:lang w:eastAsia="es-ES"/>
        </w:rPr>
        <w:t xml:space="preserve"> para participar en convocatorias limitadas</w:t>
      </w:r>
      <w:r>
        <w:rPr>
          <w:rFonts w:ascii="Verdana" w:hAnsi="Verdana" w:cs="Arial"/>
          <w:bCs/>
          <w:lang w:eastAsia="es-ES"/>
        </w:rPr>
        <w:t>. El texto literal contempla</w:t>
      </w:r>
      <w:r w:rsidRPr="00C661E5">
        <w:rPr>
          <w:rFonts w:ascii="Verdana" w:eastAsia="Calibri" w:hAnsi="Verdana" w:cs="Arial"/>
          <w:bCs/>
          <w:lang w:eastAsia="es-ES_tradnl"/>
        </w:rPr>
        <w:t>:</w:t>
      </w:r>
    </w:p>
    <w:p w14:paraId="01A03ECC" w14:textId="77777777" w:rsidR="004E2826" w:rsidRPr="00C661E5" w:rsidRDefault="004E2826" w:rsidP="004E2826">
      <w:pPr>
        <w:spacing w:after="0" w:line="276" w:lineRule="auto"/>
        <w:ind w:firstLine="709"/>
        <w:jc w:val="both"/>
        <w:rPr>
          <w:rFonts w:ascii="Verdana" w:eastAsia="Calibri" w:hAnsi="Verdana" w:cs="Arial"/>
          <w:lang w:val="es-ES_tradnl" w:eastAsia="es-ES_tradnl"/>
        </w:rPr>
      </w:pPr>
    </w:p>
    <w:p w14:paraId="7B95B999" w14:textId="77777777" w:rsidR="004E2826" w:rsidRPr="00C661E5" w:rsidRDefault="004E2826" w:rsidP="004E2826">
      <w:pPr>
        <w:spacing w:after="0"/>
        <w:ind w:left="709" w:right="709"/>
        <w:contextualSpacing/>
        <w:jc w:val="both"/>
        <w:rPr>
          <w:rFonts w:ascii="Verdana" w:eastAsia="Calibri" w:hAnsi="Verdana" w:cs="Arial"/>
          <w:sz w:val="20"/>
          <w:szCs w:val="20"/>
          <w:lang w:val="es-ES" w:eastAsia="es-ES"/>
        </w:rPr>
      </w:pPr>
      <w:r w:rsidRPr="00C661E5">
        <w:rPr>
          <w:rFonts w:ascii="Verdana" w:eastAsia="Calibri" w:hAnsi="Verdana" w:cs="Arial"/>
          <w:sz w:val="20"/>
          <w:szCs w:val="20"/>
          <w:lang w:val="es-ES" w:eastAsia="es-ES"/>
        </w:rPr>
        <w:t xml:space="preserve">Artículo 2.2.1.2.4.2.4. Acreditación de requisitos para participar en convocatorias limitadas. La </w:t>
      </w:r>
      <w:proofErr w:type="spellStart"/>
      <w:r w:rsidRPr="00C661E5">
        <w:rPr>
          <w:rFonts w:ascii="Verdana" w:eastAsia="Calibri" w:hAnsi="Verdana" w:cs="Arial"/>
          <w:sz w:val="20"/>
          <w:szCs w:val="20"/>
          <w:lang w:val="es-ES" w:eastAsia="es-ES"/>
        </w:rPr>
        <w:t>MiPyme</w:t>
      </w:r>
      <w:proofErr w:type="spellEnd"/>
      <w:r w:rsidRPr="00C661E5">
        <w:rPr>
          <w:rFonts w:ascii="Verdana" w:eastAsia="Calibri" w:hAnsi="Verdana" w:cs="Arial"/>
          <w:sz w:val="20"/>
          <w:szCs w:val="20"/>
          <w:lang w:val="es-ES" w:eastAsia="es-ES"/>
        </w:rPr>
        <w:t xml:space="preserve"> colombianas deben acreditar que tiene el tamaño empresarial establecido por la ley de la siguiente manera: </w:t>
      </w:r>
    </w:p>
    <w:p w14:paraId="39FE2A34"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p>
    <w:p w14:paraId="66A5E96D"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r w:rsidRPr="00C661E5">
        <w:rPr>
          <w:rFonts w:ascii="Verdana" w:eastAsia="Calibri" w:hAnsi="Verdana" w:cs="Arial"/>
          <w:sz w:val="20"/>
          <w:szCs w:val="20"/>
          <w:lang w:val="es-ES_tradnl" w:eastAsia="es-ES_tradnl"/>
        </w:rPr>
        <w:t xml:space="preserve">1. Las personas naturales mediante certificación expedida por ellos y un contador público, adjuntando copia del registro mercantil. </w:t>
      </w:r>
    </w:p>
    <w:p w14:paraId="05F8E0F4"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p>
    <w:p w14:paraId="37DAA8C3"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r w:rsidRPr="00C661E5">
        <w:rPr>
          <w:rFonts w:ascii="Verdana" w:eastAsia="Calibri" w:hAnsi="Verdana" w:cs="Arial"/>
          <w:sz w:val="20"/>
          <w:szCs w:val="20"/>
          <w:lang w:val="es-ES_tradnl" w:eastAsia="es-ES_tradnl"/>
        </w:rPr>
        <w:t xml:space="preserve">2. Las personas jurídicas mediante certificación expedida por el representante legal y el contador o revisor fiscal, si están obligados a tenerlo, adjuntando copia del certificado de existencia y representación </w:t>
      </w:r>
      <w:r w:rsidRPr="00C661E5">
        <w:rPr>
          <w:rFonts w:ascii="Verdana" w:eastAsia="Calibri" w:hAnsi="Verdana" w:cs="Arial"/>
          <w:sz w:val="20"/>
          <w:szCs w:val="20"/>
          <w:lang w:val="es-ES_tradnl" w:eastAsia="es-ES_tradnl"/>
        </w:rPr>
        <w:lastRenderedPageBreak/>
        <w:t>legal expedido por la Cámara de Comercio o por la autoridad competente para expedir dicha certificación. Para la acreditación deberán observarse los rangos de clasificación empresarial establecidos de conformidad con la Ley 590 de 2000 y el Decreto 1074 de 2015, o las normas que lo modifiquen, sustituyan o complementen.</w:t>
      </w:r>
    </w:p>
    <w:p w14:paraId="5A891C8D" w14:textId="77777777" w:rsidR="004E2826" w:rsidRPr="00C661E5" w:rsidRDefault="004E2826" w:rsidP="004E2826">
      <w:pPr>
        <w:tabs>
          <w:tab w:val="left" w:pos="6660"/>
        </w:tabs>
        <w:spacing w:after="0"/>
        <w:ind w:left="709" w:right="709"/>
        <w:contextualSpacing/>
        <w:jc w:val="both"/>
        <w:rPr>
          <w:rFonts w:ascii="Verdana" w:eastAsia="Calibri" w:hAnsi="Verdana" w:cs="Arial"/>
          <w:b/>
          <w:bCs/>
          <w:lang w:val="es-ES_tradnl" w:eastAsia="es-ES_tradnl"/>
        </w:rPr>
      </w:pPr>
      <w:r w:rsidRPr="00C661E5">
        <w:rPr>
          <w:rFonts w:ascii="Verdana" w:eastAsia="Calibri" w:hAnsi="Verdana" w:cs="Arial"/>
          <w:b/>
          <w:bCs/>
          <w:lang w:val="es-ES_tradnl" w:eastAsia="es-ES_tradnl"/>
        </w:rPr>
        <w:tab/>
      </w:r>
    </w:p>
    <w:p w14:paraId="591933A6" w14:textId="77777777" w:rsidR="004E2826" w:rsidRPr="00C661E5" w:rsidRDefault="004E2826" w:rsidP="004E2826">
      <w:pPr>
        <w:spacing w:after="0"/>
        <w:ind w:left="709" w:right="709"/>
        <w:contextualSpacing/>
        <w:jc w:val="both"/>
        <w:rPr>
          <w:rFonts w:ascii="Verdana" w:eastAsia="Calibri" w:hAnsi="Verdana" w:cs="Arial"/>
          <w:sz w:val="20"/>
          <w:szCs w:val="20"/>
          <w:lang w:val="es-ES" w:eastAsia="es-ES"/>
        </w:rPr>
      </w:pPr>
      <w:r w:rsidRPr="00C661E5">
        <w:rPr>
          <w:rFonts w:ascii="Verdana" w:eastAsia="Calibri" w:hAnsi="Verdana" w:cs="Arial"/>
          <w:sz w:val="20"/>
          <w:szCs w:val="20"/>
          <w:lang w:val="es-ES" w:eastAsia="es-ES"/>
        </w:rPr>
        <w:t xml:space="preserve">Parágrafo 1. En todo caso, las </w:t>
      </w:r>
      <w:proofErr w:type="spellStart"/>
      <w:r w:rsidRPr="00C661E5">
        <w:rPr>
          <w:rFonts w:ascii="Verdana" w:eastAsia="Calibri" w:hAnsi="Verdana" w:cs="Arial"/>
          <w:sz w:val="20"/>
          <w:szCs w:val="20"/>
          <w:lang w:val="es-ES" w:eastAsia="es-ES"/>
        </w:rPr>
        <w:t>MiPyme</w:t>
      </w:r>
      <w:proofErr w:type="spellEnd"/>
      <w:r w:rsidRPr="00C661E5">
        <w:rPr>
          <w:rFonts w:ascii="Verdana" w:eastAsia="Calibri" w:hAnsi="Verdana" w:cs="Arial"/>
          <w:sz w:val="20"/>
          <w:szCs w:val="20"/>
          <w:lang w:val="es-ES" w:eastAsia="es-ES"/>
        </w:rPr>
        <w:t xml:space="preserve"> también podrán acreditar esta condición con la copia del certificado del Registro Único de Proponentes, el cual deberá encontrarse vigente y en firme al momento de su presentación.</w:t>
      </w:r>
    </w:p>
    <w:p w14:paraId="36DF4CC2"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p>
    <w:p w14:paraId="2F908612" w14:textId="77777777" w:rsidR="004E2826" w:rsidRPr="00C661E5" w:rsidRDefault="004E2826" w:rsidP="004E2826">
      <w:pPr>
        <w:spacing w:after="0"/>
        <w:ind w:left="709" w:right="709"/>
        <w:contextualSpacing/>
        <w:jc w:val="both"/>
        <w:rPr>
          <w:rFonts w:ascii="Verdana" w:eastAsia="Calibri" w:hAnsi="Verdana" w:cs="Arial"/>
          <w:sz w:val="20"/>
          <w:szCs w:val="20"/>
          <w:lang w:val="es-ES" w:eastAsia="es-ES"/>
        </w:rPr>
      </w:pPr>
      <w:r w:rsidRPr="00C661E5">
        <w:rPr>
          <w:rFonts w:ascii="Verdana" w:eastAsia="Calibri" w:hAnsi="Verdana" w:cs="Arial"/>
          <w:sz w:val="20"/>
          <w:szCs w:val="20"/>
          <w:lang w:val="es-ES" w:eastAsia="es-ES"/>
        </w:rPr>
        <w:t xml:space="preserve">Parágrafo 2. Para efectos de la limitación a </w:t>
      </w:r>
      <w:proofErr w:type="spellStart"/>
      <w:r w:rsidRPr="00C661E5">
        <w:rPr>
          <w:rFonts w:ascii="Verdana" w:eastAsia="Calibri" w:hAnsi="Verdana" w:cs="Arial"/>
          <w:sz w:val="20"/>
          <w:szCs w:val="20"/>
          <w:lang w:val="es-ES" w:eastAsia="es-ES"/>
        </w:rPr>
        <w:t>MiPyme</w:t>
      </w:r>
      <w:proofErr w:type="spellEnd"/>
      <w:r w:rsidRPr="00C661E5">
        <w:rPr>
          <w:rFonts w:ascii="Verdana" w:eastAsia="Calibri" w:hAnsi="Verdana" w:cs="Arial"/>
          <w:sz w:val="20"/>
          <w:szCs w:val="20"/>
          <w:lang w:val="es-ES" w:eastAsia="es-ES"/>
        </w:rPr>
        <w:t xml:space="preserv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567420FA"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p>
    <w:p w14:paraId="4021F8C0" w14:textId="77777777" w:rsidR="004E2826" w:rsidRPr="00C661E5" w:rsidRDefault="004E2826" w:rsidP="004E2826">
      <w:pPr>
        <w:spacing w:after="0"/>
        <w:ind w:left="709" w:right="709"/>
        <w:contextualSpacing/>
        <w:jc w:val="both"/>
        <w:rPr>
          <w:rFonts w:ascii="Verdana" w:eastAsia="Calibri" w:hAnsi="Verdana" w:cs="Arial"/>
          <w:sz w:val="20"/>
          <w:szCs w:val="20"/>
          <w:lang w:val="es-ES" w:eastAsia="es-ES"/>
        </w:rPr>
      </w:pPr>
      <w:r w:rsidRPr="00C661E5">
        <w:rPr>
          <w:rFonts w:ascii="Verdana" w:eastAsia="Calibri" w:hAnsi="Verdana" w:cs="Arial"/>
          <w:sz w:val="20"/>
          <w:szCs w:val="20"/>
          <w:lang w:val="es-ES" w:eastAsia="es-ES"/>
        </w:rPr>
        <w:t xml:space="preserve">Parágrafo 3. En las convocatorias limitadas, las Entidades Estatales independientemente de su régimen de contratación, los patrimonios autónomos constituidos por Entidades Estatales y los particulares que ejecuten recursos públicos, solo deberán aceptar las ofertas de </w:t>
      </w:r>
      <w:proofErr w:type="spellStart"/>
      <w:r w:rsidRPr="00C661E5">
        <w:rPr>
          <w:rFonts w:ascii="Verdana" w:eastAsia="Calibri" w:hAnsi="Verdana" w:cs="Arial"/>
          <w:sz w:val="20"/>
          <w:szCs w:val="20"/>
          <w:lang w:val="es-ES" w:eastAsia="es-ES"/>
        </w:rPr>
        <w:t>MiPyme</w:t>
      </w:r>
      <w:proofErr w:type="spellEnd"/>
      <w:r w:rsidRPr="00C661E5">
        <w:rPr>
          <w:rFonts w:ascii="Verdana" w:eastAsia="Calibri" w:hAnsi="Verdana" w:cs="Arial"/>
          <w:sz w:val="20"/>
          <w:szCs w:val="20"/>
          <w:lang w:val="es-ES" w:eastAsia="es-ES"/>
        </w:rPr>
        <w:t xml:space="preserve"> o de proponentes plurales integrados únicamente por </w:t>
      </w:r>
      <w:proofErr w:type="spellStart"/>
      <w:r w:rsidRPr="00C661E5">
        <w:rPr>
          <w:rFonts w:ascii="Verdana" w:eastAsia="Calibri" w:hAnsi="Verdana" w:cs="Arial"/>
          <w:sz w:val="20"/>
          <w:szCs w:val="20"/>
          <w:lang w:val="es-ES" w:eastAsia="es-ES"/>
        </w:rPr>
        <w:t>MiPyme</w:t>
      </w:r>
      <w:proofErr w:type="spellEnd"/>
      <w:r w:rsidRPr="00C661E5">
        <w:rPr>
          <w:rFonts w:ascii="Verdana" w:eastAsia="Calibri" w:hAnsi="Verdana" w:cs="Arial"/>
          <w:sz w:val="20"/>
          <w:szCs w:val="20"/>
          <w:lang w:val="es-ES" w:eastAsia="es-ES"/>
        </w:rPr>
        <w:t>.</w:t>
      </w:r>
    </w:p>
    <w:p w14:paraId="7250C719"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p>
    <w:p w14:paraId="1FF2F2C2"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r w:rsidRPr="00C661E5">
        <w:rPr>
          <w:rFonts w:ascii="Verdana" w:eastAsia="Calibri" w:hAnsi="Verdana" w:cs="Arial"/>
          <w:sz w:val="20"/>
          <w:szCs w:val="20"/>
          <w:lang w:val="es-ES_tradnl" w:eastAsia="es-ES_tradnl"/>
        </w:rPr>
        <w:t>Parágrafo 4. Los incentivos previstos en los artículos 2.2.1.2.4.2.2 y 2.2.1.2.4.2.3 de este Decreto no excluyen la aplicación de los criterios diferenciales para los emprendimientos y empresas de mujeres en el sistema de compras públicas.</w:t>
      </w:r>
    </w:p>
    <w:p w14:paraId="4657CCE0" w14:textId="77777777" w:rsidR="004E2826" w:rsidRPr="00C661E5" w:rsidRDefault="004E2826" w:rsidP="004E2826">
      <w:pPr>
        <w:spacing w:after="0"/>
        <w:ind w:left="709" w:right="709"/>
        <w:contextualSpacing/>
        <w:jc w:val="both"/>
        <w:rPr>
          <w:rFonts w:ascii="Verdana" w:eastAsia="Calibri" w:hAnsi="Verdana" w:cs="Arial"/>
          <w:sz w:val="20"/>
          <w:szCs w:val="20"/>
          <w:lang w:val="es-ES_tradnl" w:eastAsia="es-ES_tradnl"/>
        </w:rPr>
      </w:pPr>
    </w:p>
    <w:p w14:paraId="315B8365" w14:textId="77777777" w:rsidR="004E2826" w:rsidRDefault="004E2826" w:rsidP="004E2826">
      <w:pPr>
        <w:spacing w:after="120" w:line="276" w:lineRule="auto"/>
        <w:ind w:firstLine="709"/>
        <w:jc w:val="both"/>
        <w:rPr>
          <w:rFonts w:ascii="Verdana" w:eastAsia="Arial" w:hAnsi="Verdana" w:cs="Arial"/>
          <w:lang w:eastAsia="es-ES_tradnl"/>
        </w:rPr>
      </w:pPr>
      <w:r w:rsidRPr="0075732D">
        <w:rPr>
          <w:rFonts w:ascii="Verdana" w:eastAsia="Arial" w:hAnsi="Verdana" w:cs="Arial"/>
          <w:lang w:eastAsia="es-ES_tradnl"/>
        </w:rPr>
        <w:t>Del análisis de la norma se desprende que,</w:t>
      </w:r>
      <w:r w:rsidRPr="003A05F2">
        <w:rPr>
          <w:rFonts w:ascii="Verdana" w:eastAsia="Arial" w:hAnsi="Verdana" w:cs="Arial"/>
          <w:lang w:eastAsia="es-ES_tradnl"/>
        </w:rPr>
        <w:t xml:space="preserve"> </w:t>
      </w:r>
      <w:r w:rsidRPr="000F29EF">
        <w:rPr>
          <w:rFonts w:ascii="Verdana" w:eastAsia="Arial" w:hAnsi="Verdana" w:cs="Arial"/>
          <w:lang w:eastAsia="es-ES_tradnl"/>
        </w:rPr>
        <w:t>al requisito inicial para participar en convocatorias limitadas a MiPymes —ser una MiPymes colombiana con al menos un (1) año de existencia—, se suman otras exigencias. En particular, las MiPymes con dicho tiempo mínimo de constitución deben acreditar el tamaño empresarial conforme a lo previsto en la ley, siguiendo el procedimiento de acreditación que el artículo reglamentario establece según se trate de persona natural o jurídica. Esta acreditación es necesaria tanto para solicitar la limitación de la convocatoria como para participar en el proceso de selección una vez este haya sido restringido a MiPymes.</w:t>
      </w:r>
    </w:p>
    <w:p w14:paraId="1ECC8140" w14:textId="77777777" w:rsidR="004E2826" w:rsidRPr="005F2FBC" w:rsidRDefault="004E2826" w:rsidP="004E2826">
      <w:pPr>
        <w:spacing w:after="120" w:line="276" w:lineRule="auto"/>
        <w:ind w:firstLine="709"/>
        <w:jc w:val="both"/>
        <w:rPr>
          <w:rFonts w:ascii="Verdana" w:eastAsia="Calibri" w:hAnsi="Verdana" w:cs="Arial"/>
          <w:bCs/>
          <w:lang w:val="es-ES" w:eastAsia="es-ES_tradnl"/>
        </w:rPr>
      </w:pPr>
      <w:r>
        <w:rPr>
          <w:rFonts w:ascii="Verdana" w:eastAsia="Calibri" w:hAnsi="Verdana" w:cs="Arial"/>
          <w:bCs/>
          <w:lang w:eastAsia="es-ES_tradnl"/>
        </w:rPr>
        <w:lastRenderedPageBreak/>
        <w:t>En el caso de las personas naturales,</w:t>
      </w:r>
      <w:r w:rsidRPr="00005878">
        <w:rPr>
          <w:rFonts w:ascii="Verdana" w:eastAsia="Calibri" w:hAnsi="Verdana" w:cs="Arial"/>
          <w:bCs/>
          <w:lang w:eastAsia="es-ES_tradnl"/>
        </w:rPr>
        <w:t xml:space="preserve"> </w:t>
      </w:r>
      <w:r>
        <w:rPr>
          <w:rFonts w:ascii="Verdana" w:eastAsia="Calibri" w:hAnsi="Verdana" w:cs="Arial"/>
          <w:bCs/>
          <w:lang w:eastAsia="es-ES_tradnl"/>
        </w:rPr>
        <w:t>la</w:t>
      </w:r>
      <w:r w:rsidRPr="00005878">
        <w:rPr>
          <w:rFonts w:ascii="Verdana" w:eastAsia="Calibri" w:hAnsi="Verdana" w:cs="Arial"/>
          <w:bCs/>
          <w:lang w:eastAsia="es-ES_tradnl"/>
        </w:rPr>
        <w:t xml:space="preserve">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w:t>
      </w:r>
      <w:r>
        <w:rPr>
          <w:rFonts w:ascii="Verdana" w:eastAsia="Calibri" w:hAnsi="Verdana" w:cs="Arial"/>
          <w:bCs/>
          <w:lang w:eastAsia="es-ES_tradnl"/>
        </w:rPr>
        <w:t>Aquí e</w:t>
      </w:r>
      <w:r w:rsidRPr="00C661E5">
        <w:rPr>
          <w:rFonts w:ascii="Verdana" w:eastAsia="Calibri" w:hAnsi="Verdana" w:cs="Arial"/>
          <w:bCs/>
          <w:lang w:eastAsia="es-ES_tradnl"/>
        </w:rPr>
        <w:t xml:space="preserve">s pertinente aclarar que el registro mercantil solicitado por el numeral 1º del </w:t>
      </w:r>
      <w:r w:rsidRPr="00C661E5">
        <w:rPr>
          <w:rFonts w:ascii="Verdana" w:eastAsia="Calibri" w:hAnsi="Verdana" w:cs="Arial"/>
          <w:bCs/>
          <w:lang w:val="es-ES_tradnl" w:eastAsia="es-ES_tradnl"/>
        </w:rPr>
        <w:t xml:space="preserve">artículo </w:t>
      </w:r>
      <w:r w:rsidRPr="00C661E5">
        <w:rPr>
          <w:rFonts w:ascii="Verdana" w:eastAsia="Calibri" w:hAnsi="Verdana" w:cs="Arial"/>
          <w:bCs/>
          <w:lang w:eastAsia="es-ES_tradnl"/>
        </w:rPr>
        <w:t>2.2.1.2.4.2.4. únicamente es requerido en el marco de las convocatorias limitada</w:t>
      </w:r>
      <w:r>
        <w:rPr>
          <w:rFonts w:ascii="Verdana" w:eastAsia="Calibri" w:hAnsi="Verdana" w:cs="Arial"/>
          <w:bCs/>
          <w:lang w:eastAsia="es-ES_tradnl"/>
        </w:rPr>
        <w:t>s</w:t>
      </w:r>
      <w:r w:rsidRPr="00C661E5">
        <w:rPr>
          <w:rFonts w:ascii="Verdana" w:eastAsia="Calibri" w:hAnsi="Verdana" w:cs="Arial"/>
          <w:bCs/>
          <w:lang w:eastAsia="es-ES_tradnl"/>
        </w:rPr>
        <w:t xml:space="preserve"> a MiPymes. Por tanto, aunque la persona natural no este obligada a contar con registro mercantil para participar en el proceso de selección, si deberá presentar dicho documento en caso de que pretenda </w:t>
      </w:r>
      <w:r>
        <w:rPr>
          <w:rFonts w:ascii="Verdana" w:eastAsia="Calibri" w:hAnsi="Verdana" w:cs="Arial"/>
          <w:bCs/>
          <w:lang w:eastAsia="es-ES_tradnl"/>
        </w:rPr>
        <w:t>solicitar la limitación de la convocatoria</w:t>
      </w:r>
      <w:r w:rsidRPr="00C661E5">
        <w:rPr>
          <w:rFonts w:ascii="Verdana" w:eastAsia="Calibri" w:hAnsi="Verdana" w:cs="Arial"/>
          <w:bCs/>
          <w:lang w:eastAsia="es-ES_tradnl"/>
        </w:rPr>
        <w:t xml:space="preserve"> </w:t>
      </w:r>
      <w:r>
        <w:rPr>
          <w:rFonts w:ascii="Verdana" w:eastAsia="Calibri" w:hAnsi="Verdana" w:cs="Arial"/>
          <w:bCs/>
          <w:lang w:eastAsia="es-ES_tradnl"/>
        </w:rPr>
        <w:t>y/o pretenda</w:t>
      </w:r>
      <w:r w:rsidRPr="00C661E5">
        <w:rPr>
          <w:rFonts w:ascii="Verdana" w:eastAsia="Calibri" w:hAnsi="Verdana" w:cs="Arial"/>
          <w:bCs/>
          <w:lang w:eastAsia="es-ES_tradnl"/>
        </w:rPr>
        <w:t xml:space="preserve"> participar en convocatorias limitadas a MiPyme</w:t>
      </w:r>
      <w:r>
        <w:rPr>
          <w:rFonts w:ascii="Verdana" w:eastAsia="Calibri" w:hAnsi="Verdana" w:cs="Arial"/>
          <w:bCs/>
          <w:lang w:eastAsia="es-ES_tradnl"/>
        </w:rPr>
        <w:t>s</w:t>
      </w:r>
      <w:r w:rsidRPr="00C661E5">
        <w:rPr>
          <w:rFonts w:ascii="Verdana" w:eastAsia="Calibri" w:hAnsi="Verdana" w:cs="Arial"/>
          <w:bCs/>
          <w:lang w:eastAsia="es-ES_tradnl"/>
        </w:rPr>
        <w:t xml:space="preserve">. En este sentido, para efectos del </w:t>
      </w:r>
      <w:r w:rsidRPr="00C661E5">
        <w:rPr>
          <w:rFonts w:ascii="Verdana" w:eastAsia="Calibri" w:hAnsi="Verdana" w:cs="Arial"/>
          <w:bCs/>
          <w:lang w:val="es-ES_tradnl" w:eastAsia="es-ES_tradnl"/>
        </w:rPr>
        <w:t xml:space="preserve">artículo </w:t>
      </w:r>
      <w:r w:rsidRPr="00C661E5">
        <w:rPr>
          <w:rFonts w:ascii="Verdana" w:eastAsia="Calibri" w:hAnsi="Verdana" w:cs="Arial"/>
          <w:bCs/>
          <w:lang w:eastAsia="es-ES_tradnl"/>
        </w:rPr>
        <w:t>2.2.1.2.4.2.4.</w:t>
      </w:r>
      <w:r>
        <w:rPr>
          <w:rFonts w:ascii="Verdana" w:eastAsia="Calibri" w:hAnsi="Verdana" w:cs="Arial"/>
          <w:bCs/>
          <w:lang w:eastAsia="es-ES_tradnl"/>
        </w:rPr>
        <w:t xml:space="preserve">, </w:t>
      </w:r>
      <w:r w:rsidRPr="00C661E5">
        <w:rPr>
          <w:rFonts w:ascii="Verdana" w:eastAsia="Calibri" w:hAnsi="Verdana" w:cs="Arial"/>
          <w:bCs/>
          <w:lang w:eastAsia="es-ES_tradnl"/>
        </w:rPr>
        <w:t xml:space="preserve">la acreditación de la actividad y el tamaño empresarial de la </w:t>
      </w:r>
      <w:proofErr w:type="spellStart"/>
      <w:r w:rsidRPr="00C661E5">
        <w:rPr>
          <w:rFonts w:ascii="Verdana" w:eastAsia="Calibri" w:hAnsi="Verdana" w:cs="Arial"/>
          <w:bCs/>
          <w:lang w:eastAsia="es-ES_tradnl"/>
        </w:rPr>
        <w:t>MiPyme</w:t>
      </w:r>
      <w:proofErr w:type="spellEnd"/>
      <w:r w:rsidRPr="00C661E5">
        <w:rPr>
          <w:rFonts w:ascii="Verdana" w:eastAsia="Calibri" w:hAnsi="Verdana" w:cs="Arial"/>
          <w:bCs/>
          <w:lang w:eastAsia="es-ES_tradnl"/>
        </w:rPr>
        <w:t xml:space="preserve"> persona natural solo será válida mediante la presentación de los documentos establecidos en el numeral 1 de la norma señalada, esto es, </w:t>
      </w:r>
      <w:r w:rsidRPr="00C661E5">
        <w:rPr>
          <w:rFonts w:ascii="Verdana" w:eastAsia="Calibri" w:hAnsi="Verdana" w:cs="Arial"/>
          <w:lang w:val="es-ES_tradnl" w:eastAsia="es-ES_tradnl"/>
        </w:rPr>
        <w:t>certificación expedida por ellos y un contador público, adjuntando copia del registro mercantil</w:t>
      </w:r>
      <w:r w:rsidRPr="00C661E5">
        <w:rPr>
          <w:rFonts w:ascii="Verdana" w:hAnsi="Verdana" w:cs="Arial"/>
          <w:lang w:val="es-ES_tradnl" w:eastAsia="es-ES_tradnl"/>
        </w:rPr>
        <w:t xml:space="preserve"> </w:t>
      </w:r>
      <w:r w:rsidRPr="00C661E5">
        <w:rPr>
          <w:rFonts w:ascii="Verdana" w:eastAsia="Calibri" w:hAnsi="Verdana" w:cs="Arial"/>
          <w:lang w:val="es-ES_tradnl" w:eastAsia="es-ES_tradnl"/>
        </w:rPr>
        <w:t xml:space="preserve">con una fecha de máximo sesenta (60) días calendario anteriores a la prevista en el cronograma del proceso de contratación para el inicio del plazo para solicitar la convocatoria limitada. </w:t>
      </w:r>
    </w:p>
    <w:p w14:paraId="268739A3" w14:textId="77777777" w:rsidR="004E2826" w:rsidRDefault="004E2826" w:rsidP="004E2826">
      <w:pPr>
        <w:spacing w:after="120" w:line="276" w:lineRule="auto"/>
        <w:ind w:firstLine="709"/>
        <w:jc w:val="both"/>
        <w:rPr>
          <w:rFonts w:ascii="Verdana" w:eastAsia="Calibri" w:hAnsi="Verdana" w:cs="Arial"/>
          <w:lang w:val="es-ES_tradnl" w:eastAsia="es-ES_tradnl"/>
        </w:rPr>
      </w:pPr>
      <w:r>
        <w:rPr>
          <w:rFonts w:ascii="Verdana" w:eastAsia="Calibri" w:hAnsi="Verdana" w:cs="Arial"/>
          <w:bCs/>
          <w:lang w:eastAsia="es-ES_tradnl"/>
        </w:rPr>
        <w:t>Por su parte, tratándose de</w:t>
      </w:r>
      <w:r w:rsidRPr="0035112E">
        <w:rPr>
          <w:rFonts w:ascii="Verdana" w:eastAsia="Calibri" w:hAnsi="Verdana" w:cs="Arial"/>
          <w:bCs/>
          <w:lang w:eastAsia="es-ES_tradnl"/>
        </w:rPr>
        <w:t xml:space="preserve"> personas jurídicas, la norma exige que la </w:t>
      </w:r>
      <w:proofErr w:type="spellStart"/>
      <w:r w:rsidRPr="0035112E">
        <w:rPr>
          <w:rFonts w:ascii="Verdana" w:eastAsia="Calibri" w:hAnsi="Verdana" w:cs="Arial"/>
          <w:bCs/>
          <w:lang w:eastAsia="es-ES_tradnl"/>
        </w:rPr>
        <w:t>MiPyme</w:t>
      </w:r>
      <w:proofErr w:type="spellEnd"/>
      <w:r w:rsidRPr="0035112E">
        <w:rPr>
          <w:rFonts w:ascii="Verdana" w:eastAsia="Calibri" w:hAnsi="Verdana" w:cs="Arial"/>
          <w:bCs/>
          <w:lang w:eastAsia="es-ES_tradnl"/>
        </w:rPr>
        <w:t xml:space="preserve"> colombiana acredite su tamaño empresarial mediante certificación expedida </w:t>
      </w:r>
      <w:r w:rsidRPr="00F45DA2">
        <w:rPr>
          <w:rFonts w:ascii="Verdana" w:eastAsia="Calibri" w:hAnsi="Verdana" w:cs="Arial"/>
          <w:lang w:val="es-ES_tradnl" w:eastAsia="es-ES_tradnl"/>
        </w:rPr>
        <w:t xml:space="preserve">por el representante legal y el contador o, si está obligada, por el revisor fiscal. </w:t>
      </w:r>
      <w:r w:rsidRPr="00005878">
        <w:rPr>
          <w:rFonts w:ascii="Verdana" w:eastAsia="Calibri" w:hAnsi="Verdana" w:cs="Arial"/>
          <w:lang w:val="es-ES_tradnl" w:eastAsia="es-ES_tradnl"/>
        </w:rPr>
        <w:t>A esta certificación debe adjuntarse copia del certificado de existencia y representación legal expedido por la Cámara de Comercio o por la autoridad competente, observando los rangos de clasificación empresarial definidos en la Ley 590 de 2000 y en el Decreto 1074 de 2015, o en las normas que los modifiquen, sustituyan o complementen.</w:t>
      </w:r>
    </w:p>
    <w:p w14:paraId="2CBADD56" w14:textId="77777777" w:rsidR="004E2826" w:rsidRDefault="004E2826" w:rsidP="004E2826">
      <w:pPr>
        <w:spacing w:line="276" w:lineRule="auto"/>
        <w:contextualSpacing/>
        <w:jc w:val="both"/>
        <w:rPr>
          <w:rFonts w:ascii="Verdana" w:eastAsia="Century Gothic" w:hAnsi="Verdana" w:cs="Century Gothic"/>
        </w:rPr>
      </w:pPr>
      <w:r>
        <w:rPr>
          <w:rFonts w:ascii="Verdana" w:eastAsia="Century Gothic" w:hAnsi="Verdana" w:cs="Century Gothic"/>
        </w:rPr>
        <w:t xml:space="preserve">           Ahora bien, </w:t>
      </w:r>
      <w:r w:rsidRPr="00B668DD">
        <w:rPr>
          <w:rFonts w:ascii="Verdana" w:eastAsia="Century Gothic" w:hAnsi="Verdana" w:cs="Century Gothic"/>
        </w:rPr>
        <w:t>el artículo 2.2.1.2.4.2.4 de</w:t>
      </w:r>
      <w:r>
        <w:rPr>
          <w:rFonts w:ascii="Verdana" w:eastAsia="Century Gothic" w:hAnsi="Verdana" w:cs="Century Gothic"/>
        </w:rPr>
        <w:t>l Decreto 1082 del 2015</w:t>
      </w:r>
      <w:r w:rsidRPr="00B668DD">
        <w:rPr>
          <w:rFonts w:ascii="Verdana" w:eastAsia="Century Gothic" w:hAnsi="Verdana" w:cs="Century Gothic"/>
        </w:rPr>
        <w:t xml:space="preserve"> detalla </w:t>
      </w:r>
      <w:r>
        <w:rPr>
          <w:rFonts w:ascii="Verdana" w:eastAsia="Century Gothic" w:hAnsi="Verdana" w:cs="Century Gothic"/>
        </w:rPr>
        <w:t>la</w:t>
      </w:r>
      <w:r w:rsidRPr="00B668DD">
        <w:rPr>
          <w:rFonts w:ascii="Verdana" w:eastAsia="Century Gothic" w:hAnsi="Verdana" w:cs="Century Gothic"/>
        </w:rPr>
        <w:t xml:space="preserve"> acredita</w:t>
      </w:r>
      <w:r>
        <w:rPr>
          <w:rFonts w:ascii="Verdana" w:eastAsia="Century Gothic" w:hAnsi="Verdana" w:cs="Century Gothic"/>
        </w:rPr>
        <w:t>ción de</w:t>
      </w:r>
      <w:r w:rsidRPr="00B668DD">
        <w:rPr>
          <w:rFonts w:ascii="Verdana" w:eastAsia="Century Gothic" w:hAnsi="Verdana" w:cs="Century Gothic"/>
        </w:rPr>
        <w:t xml:space="preserve"> los requisitos para participar en </w:t>
      </w:r>
      <w:r>
        <w:rPr>
          <w:rFonts w:ascii="Verdana" w:eastAsia="Century Gothic" w:hAnsi="Verdana" w:cs="Century Gothic"/>
        </w:rPr>
        <w:t>convoc</w:t>
      </w:r>
      <w:r w:rsidRPr="00B668DD">
        <w:rPr>
          <w:rFonts w:ascii="Verdana" w:eastAsia="Century Gothic" w:hAnsi="Verdana" w:cs="Century Gothic"/>
        </w:rPr>
        <w:t>a</w:t>
      </w:r>
      <w:r>
        <w:rPr>
          <w:rFonts w:ascii="Verdana" w:eastAsia="Century Gothic" w:hAnsi="Verdana" w:cs="Century Gothic"/>
        </w:rPr>
        <w:t>torias limitadas</w:t>
      </w:r>
      <w:r w:rsidRPr="00B668DD">
        <w:rPr>
          <w:rFonts w:ascii="Verdana" w:eastAsia="Century Gothic" w:hAnsi="Verdana" w:cs="Century Gothic"/>
        </w:rPr>
        <w:t xml:space="preserve"> </w:t>
      </w:r>
      <w:r>
        <w:rPr>
          <w:rFonts w:ascii="Verdana" w:eastAsia="Century Gothic" w:hAnsi="Verdana" w:cs="Century Gothic"/>
        </w:rPr>
        <w:t xml:space="preserve">a </w:t>
      </w:r>
      <w:proofErr w:type="spellStart"/>
      <w:r w:rsidRPr="00B668DD">
        <w:rPr>
          <w:rFonts w:ascii="Verdana" w:eastAsia="Century Gothic" w:hAnsi="Verdana" w:cs="Century Gothic"/>
        </w:rPr>
        <w:t>Mipymes</w:t>
      </w:r>
      <w:proofErr w:type="spellEnd"/>
      <w:r w:rsidRPr="00B668DD">
        <w:rPr>
          <w:rFonts w:ascii="Verdana" w:eastAsia="Century Gothic" w:hAnsi="Verdana" w:cs="Century Gothic"/>
        </w:rPr>
        <w:t>. En particular, el numeral 1°</w:t>
      </w:r>
      <w:r>
        <w:rPr>
          <w:rFonts w:ascii="Verdana" w:eastAsia="Century Gothic" w:hAnsi="Verdana" w:cs="Century Gothic"/>
        </w:rPr>
        <w:t xml:space="preserve"> de la norma señalada indica que </w:t>
      </w:r>
      <w:r w:rsidRPr="00B668DD">
        <w:rPr>
          <w:rFonts w:ascii="Verdana" w:eastAsia="Century Gothic" w:hAnsi="Verdana" w:cs="Century Gothic"/>
        </w:rPr>
        <w:t>para las personas naturales</w:t>
      </w:r>
      <w:r>
        <w:rPr>
          <w:rFonts w:ascii="Verdana" w:eastAsia="Century Gothic" w:hAnsi="Verdana" w:cs="Century Gothic"/>
        </w:rPr>
        <w:t xml:space="preserve"> deben acreditar el tamaño empresarial mediante </w:t>
      </w:r>
      <w:r w:rsidRPr="00B668DD">
        <w:rPr>
          <w:rFonts w:ascii="Verdana" w:eastAsia="Century Gothic" w:hAnsi="Verdana" w:cs="Century Gothic"/>
        </w:rPr>
        <w:t xml:space="preserve">certificación </w:t>
      </w:r>
      <w:r>
        <w:rPr>
          <w:rFonts w:ascii="Verdana" w:eastAsia="Century Gothic" w:hAnsi="Verdana" w:cs="Century Gothic"/>
        </w:rPr>
        <w:t xml:space="preserve">expedida </w:t>
      </w:r>
      <w:r w:rsidRPr="006A4100">
        <w:rPr>
          <w:rFonts w:ascii="Verdana" w:eastAsia="Century Gothic" w:hAnsi="Verdana" w:cs="Century Gothic"/>
        </w:rPr>
        <w:t xml:space="preserve">por ellos y un contador público, adjuntando copia del registro mercantil. </w:t>
      </w:r>
    </w:p>
    <w:p w14:paraId="17C9EBC9" w14:textId="77777777" w:rsidR="004E2826" w:rsidRDefault="004E2826" w:rsidP="004E2826">
      <w:pPr>
        <w:spacing w:line="276" w:lineRule="auto"/>
        <w:contextualSpacing/>
        <w:jc w:val="both"/>
        <w:rPr>
          <w:rFonts w:ascii="Verdana" w:eastAsia="Century Gothic" w:hAnsi="Verdana" w:cs="Century Gothic"/>
        </w:rPr>
      </w:pPr>
    </w:p>
    <w:p w14:paraId="386732B2" w14:textId="77777777" w:rsidR="004E2826" w:rsidRDefault="004E2826" w:rsidP="004E2826">
      <w:pPr>
        <w:spacing w:line="276" w:lineRule="auto"/>
        <w:contextualSpacing/>
        <w:jc w:val="both"/>
        <w:rPr>
          <w:rFonts w:ascii="Verdana" w:eastAsia="Century Gothic" w:hAnsi="Verdana" w:cs="Century Gothic"/>
        </w:rPr>
      </w:pPr>
      <w:r>
        <w:rPr>
          <w:rFonts w:ascii="Verdana" w:eastAsia="Century Gothic" w:hAnsi="Verdana" w:cs="Century Gothic"/>
        </w:rPr>
        <w:t xml:space="preserve">          </w:t>
      </w:r>
      <w:r w:rsidRPr="00D94DCC">
        <w:rPr>
          <w:rFonts w:ascii="Verdana" w:eastAsia="Century Gothic" w:hAnsi="Verdana" w:cs="Century Gothic"/>
        </w:rPr>
        <w:t xml:space="preserve">En este contexto, debe precisarse que no existe en el ordenamiento jurídico colombiano una prohibición expresa que impida que un mismo contador público certifique la condición de MIPYME de dos o más empresas dentro de un </w:t>
      </w:r>
      <w:r w:rsidRPr="00D94DCC">
        <w:rPr>
          <w:rFonts w:ascii="Verdana" w:eastAsia="Century Gothic" w:hAnsi="Verdana" w:cs="Century Gothic"/>
        </w:rPr>
        <w:lastRenderedPageBreak/>
        <w:t>mismo proceso de selección. Lo jurídicamente relevante no es la identidad del profesional que expide la certificación, sino que esta cumpla con los requisitos establecidos en la normativa vigente, particularmente en cuanto a su veracidad, independencia y correspondencia con la realidad financiera de cada empresa. En consecuencia, siempre que el contador actúe conforme a los principios de ética profesional previstos en la Ley 43 de 1990 y la información certificada refleje fielmente la situación económica de cada solicitante, dicha actuación resulta válida y suficiente para efectos de acreditar el tamaño empresarial exigido en los procesos limitados a MIPYMES</w:t>
      </w:r>
      <w:r>
        <w:rPr>
          <w:rFonts w:ascii="Verdana" w:eastAsia="Century Gothic" w:hAnsi="Verdana" w:cs="Century Gothic"/>
        </w:rPr>
        <w:t>.</w:t>
      </w:r>
    </w:p>
    <w:p w14:paraId="6A10A4BD" w14:textId="77777777" w:rsidR="004E2826" w:rsidRDefault="004E2826" w:rsidP="004E2826">
      <w:pPr>
        <w:spacing w:line="276" w:lineRule="auto"/>
        <w:contextualSpacing/>
        <w:jc w:val="both"/>
        <w:rPr>
          <w:rFonts w:ascii="Verdana" w:eastAsia="Century Gothic" w:hAnsi="Verdana" w:cs="Century Gothic"/>
        </w:rPr>
      </w:pPr>
    </w:p>
    <w:p w14:paraId="1B8CCAD8" w14:textId="77777777" w:rsidR="004E2826" w:rsidRPr="006A4100" w:rsidRDefault="004E2826" w:rsidP="004E2826">
      <w:pPr>
        <w:spacing w:line="276" w:lineRule="auto"/>
        <w:contextualSpacing/>
        <w:jc w:val="both"/>
        <w:rPr>
          <w:rFonts w:ascii="Verdana" w:eastAsia="Century Gothic" w:hAnsi="Verdana" w:cs="Century Gothic"/>
        </w:rPr>
      </w:pPr>
      <w:r>
        <w:rPr>
          <w:rFonts w:ascii="Verdana" w:eastAsia="Century Gothic" w:hAnsi="Verdana" w:cs="Century Gothic"/>
        </w:rPr>
        <w:t xml:space="preserve">          Aunado a lo anterior y</w:t>
      </w:r>
      <w:r w:rsidRPr="00243D94">
        <w:rPr>
          <w:rFonts w:ascii="Verdana" w:eastAsia="Century Gothic" w:hAnsi="Verdana" w:cs="Century Gothic"/>
        </w:rPr>
        <w:t xml:space="preserve"> en aras de brindar mayor claridad sobre el tema objeto de consulta, </w:t>
      </w:r>
      <w:r>
        <w:rPr>
          <w:rFonts w:ascii="Verdana" w:eastAsia="Century Gothic" w:hAnsi="Verdana" w:cs="Century Gothic"/>
        </w:rPr>
        <w:t>se recomienda consultar</w:t>
      </w:r>
      <w:r w:rsidRPr="00243D94">
        <w:rPr>
          <w:rFonts w:ascii="Verdana" w:eastAsia="Century Gothic" w:hAnsi="Verdana" w:cs="Century Gothic"/>
        </w:rPr>
        <w:t xml:space="preserve"> la “Guía para promover la participación de las MIPYMES en los procesos de compra y contratación pública”</w:t>
      </w:r>
      <w:r>
        <w:rPr>
          <w:rStyle w:val="Refdenotaalpie"/>
          <w:rFonts w:ascii="Verdana" w:eastAsia="Century Gothic" w:hAnsi="Verdana" w:cs="Century Gothic"/>
        </w:rPr>
        <w:footnoteReference w:id="2"/>
      </w:r>
      <w:r w:rsidRPr="00243D94">
        <w:rPr>
          <w:rFonts w:ascii="Verdana" w:eastAsia="Century Gothic" w:hAnsi="Verdana" w:cs="Century Gothic"/>
        </w:rPr>
        <w:t xml:space="preserve"> expedida por Colombia Compra Eficiente</w:t>
      </w:r>
      <w:r>
        <w:rPr>
          <w:rFonts w:ascii="Verdana" w:eastAsia="Century Gothic" w:hAnsi="Verdana" w:cs="Century Gothic"/>
        </w:rPr>
        <w:t>, la cual</w:t>
      </w:r>
      <w:r w:rsidRPr="00243D94">
        <w:rPr>
          <w:rFonts w:ascii="Verdana" w:eastAsia="Century Gothic" w:hAnsi="Verdana" w:cs="Century Gothic"/>
        </w:rPr>
        <w:t xml:space="preserve"> constituye un instrumento orientador dirigido tanto a las entidades estatales como a los proponentes, en el cual se desarrollan los mecanismos previstos en la normativa para facilitar el acceso de las MIPYMES al sistema de compra pública</w:t>
      </w:r>
      <w:r>
        <w:rPr>
          <w:rFonts w:ascii="Verdana" w:eastAsia="Century Gothic" w:hAnsi="Verdana" w:cs="Century Gothic"/>
        </w:rPr>
        <w:t>.</w:t>
      </w:r>
    </w:p>
    <w:p w14:paraId="034E6E54" w14:textId="77777777" w:rsidR="004E2826" w:rsidRDefault="004E2826" w:rsidP="004E2826">
      <w:pPr>
        <w:spacing w:after="120" w:line="276" w:lineRule="auto"/>
        <w:ind w:firstLine="708"/>
        <w:jc w:val="both"/>
        <w:rPr>
          <w:rFonts w:ascii="Verdana" w:eastAsia="Calibri" w:hAnsi="Verdana" w:cs="Arial"/>
          <w:bCs/>
          <w:color w:val="000000"/>
        </w:rPr>
      </w:pPr>
    </w:p>
    <w:p w14:paraId="72EB4648" w14:textId="77777777" w:rsidR="004E2826" w:rsidRPr="005055D5" w:rsidRDefault="004E2826" w:rsidP="004E2826">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F43A16" w14:textId="77777777" w:rsidR="004E2826" w:rsidRDefault="004E2826" w:rsidP="004E2826">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5055D5">
        <w:rPr>
          <w:rFonts w:ascii="Verdana" w:eastAsia="Calibri" w:hAnsi="Verdana" w:cs="Arial"/>
          <w:bCs/>
          <w:color w:val="000000"/>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2652733" w14:textId="77777777" w:rsidR="004E2826" w:rsidRPr="00742A56" w:rsidRDefault="004E2826" w:rsidP="004E2826">
      <w:pPr>
        <w:spacing w:after="0" w:line="276" w:lineRule="auto"/>
        <w:jc w:val="both"/>
        <w:rPr>
          <w:rFonts w:ascii="Verdana" w:hAnsi="Verdana" w:cs="Arial"/>
          <w:bCs/>
          <w:color w:val="000000" w:themeColor="text1"/>
        </w:rPr>
      </w:pPr>
    </w:p>
    <w:bookmarkEnd w:id="2"/>
    <w:bookmarkEnd w:id="3"/>
    <w:p w14:paraId="1D9D94C3" w14:textId="77777777" w:rsidR="004E2826" w:rsidRPr="00115E3D" w:rsidRDefault="004E2826" w:rsidP="004E28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4160D063" w14:textId="77777777" w:rsidR="004E2826" w:rsidRPr="00115E3D" w:rsidRDefault="004E2826" w:rsidP="004E2826">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2826" w:rsidRPr="00115E3D" w14:paraId="4FB95FB4" w14:textId="77777777" w:rsidTr="00F63E64">
        <w:trPr>
          <w:trHeight w:val="335"/>
        </w:trPr>
        <w:tc>
          <w:tcPr>
            <w:tcW w:w="8647" w:type="dxa"/>
          </w:tcPr>
          <w:p w14:paraId="3A272DBF" w14:textId="77777777" w:rsidR="004E2826" w:rsidRDefault="004E2826" w:rsidP="004E2826">
            <w:pPr>
              <w:numPr>
                <w:ilvl w:val="0"/>
                <w:numId w:val="17"/>
              </w:numPr>
              <w:spacing w:before="120" w:line="264" w:lineRule="auto"/>
              <w:ind w:left="714" w:hanging="357"/>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Constitución Política de Colombia. Artículos: 127 y 197.</w:t>
            </w:r>
          </w:p>
          <w:p w14:paraId="0C12D2AE" w14:textId="77777777" w:rsidR="004E2826" w:rsidRPr="004808FA" w:rsidRDefault="004E2826" w:rsidP="004E2826">
            <w:pPr>
              <w:pStyle w:val="Prrafodelista"/>
              <w:numPr>
                <w:ilvl w:val="0"/>
                <w:numId w:val="18"/>
              </w:numPr>
              <w:spacing w:line="264" w:lineRule="auto"/>
              <w:ind w:left="714" w:hanging="357"/>
              <w:jc w:val="both"/>
              <w:rPr>
                <w:rFonts w:ascii="Verdana" w:eastAsia="Arial" w:hAnsi="Verdana" w:cs="Arial"/>
                <w:color w:val="000000"/>
                <w:lang w:val="es-MX"/>
              </w:rPr>
            </w:pPr>
            <w:r w:rsidRPr="004808FA">
              <w:rPr>
                <w:rFonts w:ascii="Verdana" w:eastAsia="Arial" w:hAnsi="Verdana" w:cs="Arial"/>
                <w:color w:val="000000"/>
                <w:lang w:val="es-MX"/>
              </w:rPr>
              <w:t xml:space="preserve">Decreto 1082 de 2015, numerales 1 y 2 del artículo 2.2.1.2.4.2.2, artículo 2.2.1.2.4.2.3. del Decreto 1082 de 2015, </w:t>
            </w:r>
            <w:r w:rsidRPr="004808FA">
              <w:rPr>
                <w:rFonts w:ascii="Verdana" w:eastAsia="Calibri" w:hAnsi="Verdana" w:cs="Arial"/>
              </w:rPr>
              <w:t>modificado por el artículo 5 del Decreto 1860 de 2021.</w:t>
            </w:r>
          </w:p>
          <w:p w14:paraId="49290BF7" w14:textId="77777777" w:rsidR="004E2826" w:rsidRPr="004808FA" w:rsidRDefault="004E2826" w:rsidP="004E2826">
            <w:pPr>
              <w:pStyle w:val="Prrafodelista"/>
              <w:numPr>
                <w:ilvl w:val="0"/>
                <w:numId w:val="18"/>
              </w:numPr>
              <w:spacing w:line="264" w:lineRule="auto"/>
              <w:ind w:left="714" w:hanging="357"/>
              <w:jc w:val="both"/>
              <w:rPr>
                <w:rFonts w:ascii="Verdana" w:eastAsia="Calibri" w:hAnsi="Verdana" w:cs="Arial"/>
                <w:lang w:val="es-ES_tradnl"/>
              </w:rPr>
            </w:pPr>
            <w:r w:rsidRPr="004808FA">
              <w:rPr>
                <w:rFonts w:ascii="Verdana" w:eastAsia="Calibri" w:hAnsi="Verdana" w:cs="Arial"/>
                <w:lang w:val="es-ES_tradnl"/>
              </w:rPr>
              <w:t xml:space="preserve">Ley 2069 de 2020 Artículos </w:t>
            </w:r>
            <w:r w:rsidRPr="004808FA">
              <w:rPr>
                <w:rFonts w:ascii="Verdana" w:hAnsi="Verdana"/>
              </w:rPr>
              <w:t>2 al 29, 30 al 36, 37 al 45, 46 al 73, 74</w:t>
            </w:r>
            <w:r w:rsidRPr="004808FA">
              <w:rPr>
                <w:rFonts w:ascii="Verdana" w:hAnsi="Verdana" w:cs="Arial"/>
              </w:rPr>
              <w:t xml:space="preserve"> al 83. </w:t>
            </w:r>
          </w:p>
          <w:p w14:paraId="46BCE9C2" w14:textId="77777777" w:rsidR="004E2826" w:rsidRPr="004808FA" w:rsidRDefault="004E2826" w:rsidP="004E2826">
            <w:pPr>
              <w:pStyle w:val="Prrafodelista"/>
              <w:numPr>
                <w:ilvl w:val="0"/>
                <w:numId w:val="18"/>
              </w:numPr>
              <w:spacing w:line="264" w:lineRule="auto"/>
              <w:ind w:left="714" w:hanging="357"/>
              <w:jc w:val="both"/>
              <w:rPr>
                <w:rFonts w:ascii="Verdana" w:eastAsia="Arial" w:hAnsi="Verdana" w:cs="Arial"/>
                <w:color w:val="000000"/>
                <w:lang w:val="es-MX"/>
              </w:rPr>
            </w:pPr>
            <w:r w:rsidRPr="004808FA">
              <w:rPr>
                <w:rFonts w:ascii="Verdana" w:eastAsia="Arial" w:hAnsi="Verdana" w:cs="Arial"/>
                <w:color w:val="000000"/>
                <w:lang w:val="es-MX"/>
              </w:rPr>
              <w:t>la Ley 590 de 2000.</w:t>
            </w:r>
          </w:p>
          <w:p w14:paraId="586087F3" w14:textId="77777777" w:rsidR="004E2826" w:rsidRPr="009D30AE" w:rsidRDefault="004E2826" w:rsidP="004E2826">
            <w:pPr>
              <w:pStyle w:val="Prrafodelista"/>
              <w:widowControl w:val="0"/>
              <w:numPr>
                <w:ilvl w:val="0"/>
                <w:numId w:val="18"/>
              </w:numPr>
              <w:tabs>
                <w:tab w:val="left" w:pos="8419"/>
              </w:tabs>
              <w:autoSpaceDE w:val="0"/>
              <w:autoSpaceDN w:val="0"/>
              <w:spacing w:line="264" w:lineRule="auto"/>
              <w:ind w:left="714" w:hanging="357"/>
              <w:jc w:val="both"/>
              <w:rPr>
                <w:rFonts w:ascii="Verdana" w:eastAsia="Calibri" w:hAnsi="Verdana" w:cs="Arial"/>
                <w:color w:val="000000"/>
              </w:rPr>
            </w:pPr>
            <w:r w:rsidRPr="009D30AE">
              <w:rPr>
                <w:rFonts w:ascii="Verdana" w:eastAsia="Arial" w:hAnsi="Verdana" w:cs="Arial"/>
                <w:color w:val="000000"/>
                <w:lang w:val="es-MX"/>
              </w:rPr>
              <w:t>Decreto 957 de 2019</w:t>
            </w:r>
          </w:p>
          <w:p w14:paraId="0A4C5244" w14:textId="77777777" w:rsidR="004E2826" w:rsidRPr="00340039" w:rsidRDefault="004E2826" w:rsidP="004E2826">
            <w:pPr>
              <w:pStyle w:val="Prrafodelista"/>
              <w:widowControl w:val="0"/>
              <w:numPr>
                <w:ilvl w:val="0"/>
                <w:numId w:val="17"/>
              </w:numPr>
              <w:autoSpaceDE w:val="0"/>
              <w:autoSpaceDN w:val="0"/>
              <w:spacing w:line="264" w:lineRule="auto"/>
              <w:ind w:left="714" w:hanging="357"/>
              <w:contextualSpacing w:val="0"/>
              <w:jc w:val="both"/>
              <w:rPr>
                <w:rFonts w:ascii="Verdana" w:hAnsi="Verdana" w:cs="Arial"/>
              </w:rPr>
            </w:pPr>
            <w:r w:rsidRPr="004B2B8D">
              <w:rPr>
                <w:rFonts w:ascii="Verdana" w:hAnsi="Verdana" w:cs="Arial"/>
              </w:rPr>
              <w:t xml:space="preserve">Jurisprudencia del Consejo de Estado. Disponible en: </w:t>
            </w:r>
            <w:hyperlink r:id="rId12" w:history="1">
              <w:r w:rsidRPr="006C75AB">
                <w:rPr>
                  <w:rStyle w:val="Hipervnculo"/>
                  <w:rFonts w:ascii="Verdana" w:hAnsi="Verdana" w:cs="Arial"/>
                </w:rPr>
                <w:t>https://relatoria.colombiacompra.gov.co/providencias-consejo-de-estado/</w:t>
              </w:r>
            </w:hyperlink>
            <w:r>
              <w:rPr>
                <w:rFonts w:ascii="Verdana" w:hAnsi="Verdana" w:cs="Arial"/>
              </w:rPr>
              <w:t xml:space="preserve"> </w:t>
            </w:r>
          </w:p>
          <w:p w14:paraId="2CFCBE24" w14:textId="77777777" w:rsidR="004E2826" w:rsidRPr="00343E12" w:rsidRDefault="004E2826" w:rsidP="004E2826">
            <w:pPr>
              <w:numPr>
                <w:ilvl w:val="0"/>
                <w:numId w:val="17"/>
              </w:numPr>
              <w:spacing w:before="120" w:line="264" w:lineRule="auto"/>
              <w:ind w:left="714" w:hanging="357"/>
              <w:jc w:val="both"/>
              <w:rPr>
                <w:rFonts w:ascii="Verdana" w:eastAsia="Times New Roman" w:hAnsi="Verdana" w:cs="Arial"/>
                <w:color w:val="000000"/>
                <w:lang w:eastAsia="es-CO"/>
              </w:rPr>
            </w:pPr>
            <w:r w:rsidRPr="004B2B8D">
              <w:rPr>
                <w:rFonts w:ascii="Verdana" w:hAnsi="Verdana" w:cs="Arial"/>
              </w:rPr>
              <w:t>Guías y manuales expedidos por la ANCP-CCE. Disponible en:</w:t>
            </w:r>
            <w:r w:rsidRPr="004B2B8D">
              <w:t xml:space="preserve"> </w:t>
            </w:r>
            <w:hyperlink r:id="rId13" w:history="1">
              <w:r w:rsidRPr="00340039">
                <w:rPr>
                  <w:rStyle w:val="Hipervnculo"/>
                  <w:rFonts w:ascii="Verdana" w:hAnsi="Verdana" w:cs="Arial"/>
                </w:rPr>
                <w:t>https://www.colombiacompra.gov.co/manuales-guias-y-pliegos-tipo/manuales-y-guias</w:t>
              </w:r>
            </w:hyperlink>
          </w:p>
          <w:p w14:paraId="771730D5" w14:textId="77777777" w:rsidR="004E2826" w:rsidRPr="00D81159" w:rsidRDefault="004E2826" w:rsidP="00F63E64">
            <w:pPr>
              <w:spacing w:line="276" w:lineRule="auto"/>
              <w:ind w:left="615"/>
              <w:jc w:val="both"/>
              <w:rPr>
                <w:rFonts w:ascii="Verdana" w:hAnsi="Verdana" w:cs="Arial"/>
              </w:rPr>
            </w:pPr>
          </w:p>
        </w:tc>
      </w:tr>
    </w:tbl>
    <w:p w14:paraId="15994DD7" w14:textId="77777777" w:rsidR="004E2826" w:rsidRPr="00115E3D" w:rsidRDefault="004E2826" w:rsidP="004E2826">
      <w:pPr>
        <w:widowControl w:val="0"/>
        <w:autoSpaceDE w:val="0"/>
        <w:autoSpaceDN w:val="0"/>
        <w:spacing w:after="0" w:line="276" w:lineRule="auto"/>
        <w:jc w:val="both"/>
        <w:rPr>
          <w:rFonts w:ascii="Verdana" w:hAnsi="Verdana" w:cs="Arial"/>
          <w:color w:val="000000" w:themeColor="text1"/>
        </w:rPr>
      </w:pPr>
    </w:p>
    <w:p w14:paraId="354BF597" w14:textId="77777777" w:rsidR="004E2826" w:rsidRPr="00115E3D" w:rsidRDefault="004E2826" w:rsidP="004E28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E197C72" w14:textId="77777777" w:rsidR="004E2826" w:rsidRPr="00115E3D" w:rsidRDefault="004E2826" w:rsidP="004E2826">
      <w:pPr>
        <w:widowControl w:val="0"/>
        <w:autoSpaceDE w:val="0"/>
        <w:autoSpaceDN w:val="0"/>
        <w:spacing w:after="0" w:line="276" w:lineRule="auto"/>
        <w:jc w:val="both"/>
        <w:rPr>
          <w:rFonts w:ascii="Verdana" w:hAnsi="Verdana" w:cs="Arial"/>
          <w:color w:val="000000" w:themeColor="text1"/>
        </w:rPr>
      </w:pPr>
    </w:p>
    <w:p w14:paraId="72C7EC0A" w14:textId="77777777" w:rsidR="004E2826" w:rsidRPr="00AB30E0" w:rsidRDefault="004E2826" w:rsidP="004E2826">
      <w:pPr>
        <w:widowControl w:val="0"/>
        <w:autoSpaceDE w:val="0"/>
        <w:autoSpaceDN w:val="0"/>
        <w:spacing w:after="0" w:line="276" w:lineRule="auto"/>
        <w:jc w:val="both"/>
        <w:rPr>
          <w:rStyle w:val="normaltextrun"/>
          <w:rFonts w:ascii="Verdana" w:eastAsia="Aptos" w:hAnsi="Verdana" w:cs="Arial"/>
          <w:shd w:val="clear" w:color="auto" w:fill="FFFFFF"/>
        </w:rPr>
      </w:pPr>
      <w:r w:rsidRPr="00C661E5">
        <w:rPr>
          <w:rFonts w:ascii="Verdana" w:hAnsi="Verdana" w:cs="Arial"/>
          <w:shd w:val="clear" w:color="auto" w:fill="FFFFFF"/>
          <w:lang w:val="es-ES"/>
        </w:rPr>
        <w:t xml:space="preserve">Sobre las convocatorias limitadas a MiPymes, requisitos y acreditación, según la modificación realizada por el Decreto 1860 de 2021 al Decreto 1082 de 2015, esta Subdirección se ha referido en los Conceptos C-037 del 26 de febrero de 2021, C-035 del 02 de marzo de 2021, C-126 del 06 de abril de 2021, C-127 del 06 de abril de 2021, C-144 del 07 de abril de 2021, C-141 del 08 de abril de 2021, C-163 y C-164 del 19 de abril de 2021, C-242 del 25 de mayo de 2021, C-496 del 14 de septiembre de 2021, C-573 de 13 de octubre de 2021, C-001 del 17 de febrero de 2022, C-293 del 12 de abril de 2022, C-213 del 21 de abril de 2022, C- 377 del 13 de junio de 2022, C-490 del 26 de julio de 2022, C-523 del 16 de agosto de 2022, C-539 del 29 de agosto de 2022, C-585 del 19 de septiembre de 2022, C-587 del 21 de septiembre de 2022, C-597 del 9 de </w:t>
      </w:r>
      <w:r w:rsidRPr="00C661E5">
        <w:rPr>
          <w:rFonts w:ascii="Verdana" w:hAnsi="Verdana" w:cs="Arial"/>
          <w:shd w:val="clear" w:color="auto" w:fill="FFFFFF"/>
          <w:lang w:val="es-ES"/>
        </w:rPr>
        <w:lastRenderedPageBreak/>
        <w:t xml:space="preserve">septiembre de 2022, C-627 del 12 de septiembre de 2022, C-643 del 10 de octubre de 2022, C- 662 del 13 de octubre de 2022, C-699 del 25 de octubre de 2022, C-744 del 08 de noviembre de 2022, C-758 del 10 de noviembre de 2022, C-895 del 27 de diciembre de 2022, C- 201 del 2 de agosto de 2024, C-584 del 22 de octubre de 2024, C-1021 del 27 de diciembre de 2024, C-932 del 30 de diciembre de 2024, C-478 del 20 de mayo de 2025, </w:t>
      </w:r>
      <w:r>
        <w:rPr>
          <w:rFonts w:ascii="Verdana" w:hAnsi="Verdana" w:cs="Arial"/>
          <w:shd w:val="clear" w:color="auto" w:fill="FFFFFF"/>
          <w:lang w:val="es-ES"/>
        </w:rPr>
        <w:t xml:space="preserve">C-737 del 16 de julio de 2025, </w:t>
      </w:r>
      <w:r w:rsidRPr="00C661E5">
        <w:rPr>
          <w:rFonts w:ascii="Verdana" w:hAnsi="Verdana" w:cs="Arial"/>
          <w:shd w:val="clear" w:color="auto" w:fill="FFFFFF"/>
          <w:lang w:val="es-ES"/>
        </w:rPr>
        <w:t>entre otros</w:t>
      </w:r>
      <w:r>
        <w:rPr>
          <w:rFonts w:ascii="Verdana" w:eastAsia="Calibri" w:hAnsi="Verdana" w:cs="Arial"/>
        </w:rPr>
        <w:t>.</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4" w:history="1">
        <w:r w:rsidRPr="00DC4B8E">
          <w:rPr>
            <w:rStyle w:val="Hipervnculo"/>
            <w:rFonts w:ascii="Verdana" w:hAnsi="Verdana" w:cs="Arial"/>
            <w:shd w:val="clear" w:color="auto" w:fill="FFFFFF"/>
            <w:lang w:val="es-ES"/>
          </w:rPr>
          <w:t>https://relatoria.colombiacompra.gov.co/busqueda/conceptos</w:t>
        </w:r>
      </w:hyperlink>
    </w:p>
    <w:p w14:paraId="7AB73889" w14:textId="77777777" w:rsidR="004E2826" w:rsidRPr="00115E3D" w:rsidRDefault="004E2826" w:rsidP="004E282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6200D82D" w14:textId="77777777" w:rsidR="004E2826" w:rsidRPr="009A385A" w:rsidRDefault="004E2826" w:rsidP="004E2826">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557232A7" w14:textId="77777777" w:rsidR="004E2826" w:rsidRDefault="004E2826" w:rsidP="004E2826">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190E179F" w14:textId="77777777" w:rsidR="004E2826" w:rsidRPr="009A385A" w:rsidRDefault="004E2826" w:rsidP="004E2826">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w:t>
      </w:r>
      <w:r w:rsidRPr="00797327">
        <w:rPr>
          <w:rFonts w:ascii="Verdana" w:hAnsi="Verdana"/>
        </w:rPr>
        <w:lastRenderedPageBreak/>
        <w:t xml:space="preserve">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CACF844" w14:textId="77777777" w:rsidR="004E2826" w:rsidRPr="00115E3D" w:rsidRDefault="004E2826" w:rsidP="004E2826">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22BD29D0" w14:textId="77777777" w:rsidR="004E2826" w:rsidRPr="00115E3D" w:rsidRDefault="004E2826" w:rsidP="004E2826">
      <w:pPr>
        <w:spacing w:after="0" w:line="240" w:lineRule="auto"/>
        <w:jc w:val="both"/>
        <w:rPr>
          <w:rFonts w:ascii="Verdana" w:hAnsi="Verdana"/>
          <w:color w:val="000000" w:themeColor="text1"/>
        </w:rPr>
      </w:pPr>
    </w:p>
    <w:p w14:paraId="4DF9D39F" w14:textId="77777777" w:rsidR="004E2826" w:rsidRPr="00115E3D" w:rsidRDefault="004E2826" w:rsidP="004E2826">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04386A69" w14:textId="77777777" w:rsidR="004E2826" w:rsidRPr="00115E3D" w:rsidRDefault="004E2826" w:rsidP="004E2826">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0356E3FD" w14:textId="77777777" w:rsidR="004E2826" w:rsidRPr="00115E3D" w:rsidRDefault="004E2826" w:rsidP="004E2826">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377509F9" w14:textId="77777777" w:rsidR="004E2826" w:rsidRPr="00115E3D" w:rsidRDefault="004E2826" w:rsidP="004E2826">
      <w:pPr>
        <w:widowControl w:val="0"/>
        <w:autoSpaceDE w:val="0"/>
        <w:autoSpaceDN w:val="0"/>
        <w:spacing w:after="0" w:line="276" w:lineRule="auto"/>
        <w:jc w:val="both"/>
        <w:rPr>
          <w:rFonts w:ascii="Verdana" w:hAnsi="Verdana" w:cs="Arial"/>
          <w:color w:val="000000" w:themeColor="text1"/>
        </w:rPr>
      </w:pPr>
    </w:p>
    <w:p w14:paraId="200C5D9E" w14:textId="77777777" w:rsidR="004E2826" w:rsidRPr="00115E3D" w:rsidRDefault="004E2826" w:rsidP="004E2826">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57026CE" w14:textId="77777777" w:rsidR="004E2826" w:rsidRPr="00115E3D" w:rsidRDefault="004E2826" w:rsidP="004E2826">
      <w:pPr>
        <w:widowControl w:val="0"/>
        <w:autoSpaceDE w:val="0"/>
        <w:autoSpaceDN w:val="0"/>
        <w:spacing w:after="0" w:line="276" w:lineRule="auto"/>
        <w:jc w:val="both"/>
        <w:rPr>
          <w:rFonts w:ascii="Verdana" w:hAnsi="Verdana" w:cs="Arial"/>
          <w:color w:val="000000" w:themeColor="text1"/>
        </w:rPr>
      </w:pPr>
    </w:p>
    <w:p w14:paraId="0A8D6D5A" w14:textId="77777777" w:rsidR="004E2826" w:rsidRPr="00115E3D" w:rsidRDefault="004E2826" w:rsidP="004E2826">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514C3E6F" w14:textId="77777777" w:rsidR="00ED0255" w:rsidRDefault="00ED0255" w:rsidP="004E2826">
      <w:pPr>
        <w:spacing w:line="276" w:lineRule="auto"/>
        <w:jc w:val="center"/>
        <w:rPr>
          <w:noProof/>
        </w:rPr>
      </w:pPr>
    </w:p>
    <w:p w14:paraId="362FD2CB" w14:textId="77777777" w:rsidR="00ED0255" w:rsidRDefault="00ED0255" w:rsidP="004E2826">
      <w:pPr>
        <w:spacing w:line="276" w:lineRule="auto"/>
        <w:jc w:val="center"/>
        <w:rPr>
          <w:noProof/>
        </w:rPr>
      </w:pPr>
    </w:p>
    <w:p w14:paraId="6B1FDCA6" w14:textId="3421E746" w:rsidR="00ED0255" w:rsidRDefault="00ED0255" w:rsidP="004E2826">
      <w:pPr>
        <w:spacing w:line="276" w:lineRule="auto"/>
        <w:jc w:val="center"/>
        <w:rPr>
          <w:noProof/>
        </w:rPr>
      </w:pPr>
      <w:r>
        <w:rPr>
          <w:noProof/>
        </w:rPr>
        <w:drawing>
          <wp:inline distT="0" distB="0" distL="0" distR="0" wp14:anchorId="5FF7DE18" wp14:editId="36400672">
            <wp:extent cx="3239475" cy="1390650"/>
            <wp:effectExtent l="0" t="0" r="0" b="0"/>
            <wp:docPr id="44055827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1536" cy="1404413"/>
                    </a:xfrm>
                    <a:prstGeom prst="rect">
                      <a:avLst/>
                    </a:prstGeom>
                    <a:noFill/>
                    <a:ln>
                      <a:noFill/>
                    </a:ln>
                  </pic:spPr>
                </pic:pic>
              </a:graphicData>
            </a:graphic>
          </wp:inline>
        </w:drawing>
      </w:r>
    </w:p>
    <w:p w14:paraId="6EA8D83B" w14:textId="63B67E80" w:rsidR="004E2826" w:rsidRDefault="004E2826" w:rsidP="004E2826">
      <w:pPr>
        <w:spacing w:line="276" w:lineRule="auto"/>
        <w:jc w:val="center"/>
        <w:rPr>
          <w:noProof/>
          <w:color w:val="000000" w:themeColor="text1"/>
          <w:lang w:val="es-ES_tradnl" w:eastAsia="es-CO"/>
        </w:rPr>
      </w:pPr>
      <w:r>
        <w:rPr>
          <w:noProof/>
          <w:color w:val="000000" w:themeColor="text1"/>
          <w:lang w:val="es-ES_tradnl" w:eastAsia="es-CO"/>
        </w:rPr>
        <w:t xml:space="preserve"> </w:t>
      </w:r>
    </w:p>
    <w:p w14:paraId="5E7C34A9" w14:textId="77777777" w:rsidR="004E2826" w:rsidRDefault="004E2826" w:rsidP="004E2826">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E2826" w:rsidRPr="00115E3D" w14:paraId="06D95B24" w14:textId="77777777" w:rsidTr="00F63E64">
        <w:trPr>
          <w:trHeight w:val="315"/>
        </w:trPr>
        <w:tc>
          <w:tcPr>
            <w:tcW w:w="893" w:type="dxa"/>
            <w:vAlign w:val="center"/>
            <w:hideMark/>
          </w:tcPr>
          <w:p w14:paraId="5DFD2084" w14:textId="77777777" w:rsidR="004E2826" w:rsidRPr="00115E3D" w:rsidRDefault="004E2826" w:rsidP="00F63E6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D56216" w14:textId="28D82F7B" w:rsidR="004E2826" w:rsidRPr="00115E3D" w:rsidRDefault="004E2826" w:rsidP="00F63E64">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5F20C2AD" w14:textId="77777777" w:rsidR="004E2826" w:rsidRPr="00115E3D" w:rsidRDefault="004E2826" w:rsidP="00F63E64">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4E2826" w:rsidRPr="00115E3D" w14:paraId="3281E7A4" w14:textId="77777777" w:rsidTr="00F63E64">
        <w:trPr>
          <w:trHeight w:val="330"/>
        </w:trPr>
        <w:tc>
          <w:tcPr>
            <w:tcW w:w="893" w:type="dxa"/>
            <w:vAlign w:val="center"/>
            <w:hideMark/>
          </w:tcPr>
          <w:p w14:paraId="5B8A23F5" w14:textId="77777777" w:rsidR="004E2826" w:rsidRPr="00115E3D" w:rsidRDefault="004E2826" w:rsidP="00F63E6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924A77" w14:textId="47D074CA" w:rsidR="004E2826" w:rsidRPr="00B37171" w:rsidRDefault="004E2826" w:rsidP="00F63E64">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503F969D" w14:textId="77777777" w:rsidR="004E2826" w:rsidRPr="00115E3D" w:rsidRDefault="004E2826" w:rsidP="00F63E64">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4E2826" w:rsidRPr="00115E3D" w14:paraId="7089D1D1" w14:textId="77777777" w:rsidTr="00F63E64">
        <w:trPr>
          <w:trHeight w:val="300"/>
        </w:trPr>
        <w:tc>
          <w:tcPr>
            <w:tcW w:w="893" w:type="dxa"/>
            <w:vAlign w:val="center"/>
          </w:tcPr>
          <w:p w14:paraId="3CA059EB" w14:textId="77777777" w:rsidR="004E2826" w:rsidRPr="00115E3D" w:rsidRDefault="004E2826" w:rsidP="00F63E6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A64FF4" w14:textId="77777777" w:rsidR="004E2826" w:rsidRPr="00115E3D" w:rsidRDefault="004E2826" w:rsidP="00F63E6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7D563DB2" w14:textId="77777777" w:rsidR="004E2826" w:rsidRPr="00115E3D" w:rsidRDefault="004E2826" w:rsidP="00F63E6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CA8646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9356299" w:rsidR="00127233" w:rsidRPr="0015699B" w:rsidRDefault="00127233" w:rsidP="004E2826">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CA030" w14:textId="77777777" w:rsidR="00340634" w:rsidRDefault="00340634" w:rsidP="004A1847">
      <w:pPr>
        <w:spacing w:after="0" w:line="240" w:lineRule="auto"/>
      </w:pPr>
      <w:r>
        <w:separator/>
      </w:r>
    </w:p>
  </w:endnote>
  <w:endnote w:type="continuationSeparator" w:id="0">
    <w:p w14:paraId="0961F43A" w14:textId="77777777" w:rsidR="00340634" w:rsidRDefault="0034063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B2716" w14:textId="77777777" w:rsidR="00340634" w:rsidRDefault="00340634" w:rsidP="004A1847">
      <w:pPr>
        <w:spacing w:after="0" w:line="240" w:lineRule="auto"/>
      </w:pPr>
      <w:r>
        <w:separator/>
      </w:r>
    </w:p>
  </w:footnote>
  <w:footnote w:type="continuationSeparator" w:id="0">
    <w:p w14:paraId="5ADE1AB4" w14:textId="77777777" w:rsidR="00340634" w:rsidRDefault="00340634" w:rsidP="004A1847">
      <w:pPr>
        <w:spacing w:after="0" w:line="240" w:lineRule="auto"/>
      </w:pPr>
      <w:r>
        <w:continuationSeparator/>
      </w:r>
    </w:p>
  </w:footnote>
  <w:footnote w:id="1">
    <w:p w14:paraId="7C5066FA" w14:textId="77777777" w:rsidR="004E2826" w:rsidRPr="00243D94" w:rsidRDefault="004E2826" w:rsidP="004E2826">
      <w:pPr>
        <w:pStyle w:val="Textonotapie"/>
        <w:rPr>
          <w:rFonts w:ascii="Verdana" w:hAnsi="Verdana"/>
          <w:sz w:val="16"/>
          <w:szCs w:val="16"/>
          <w:lang w:val="es-ES"/>
        </w:rPr>
      </w:pPr>
      <w:r w:rsidRPr="00243D94">
        <w:rPr>
          <w:rStyle w:val="Refdenotaalpie"/>
          <w:rFonts w:ascii="Verdana" w:hAnsi="Verdana"/>
          <w:sz w:val="16"/>
          <w:szCs w:val="16"/>
        </w:rPr>
        <w:footnoteRef/>
      </w:r>
      <w:r w:rsidRPr="00243D94">
        <w:rPr>
          <w:rFonts w:ascii="Verdana" w:hAnsi="Verdana"/>
          <w:sz w:val="16"/>
          <w:szCs w:val="16"/>
        </w:rPr>
        <w:t xml:space="preserve"> </w:t>
      </w:r>
      <w:hyperlink r:id="rId1" w:history="1">
        <w:r w:rsidRPr="002A37E6">
          <w:rPr>
            <w:rStyle w:val="Hipervnculo"/>
            <w:rFonts w:ascii="Verdana" w:hAnsi="Verdana"/>
            <w:sz w:val="16"/>
            <w:szCs w:val="16"/>
          </w:rPr>
          <w:t>https://www.colombiacompra.gov.co/wp-content/uploads/2024/08/guia_para_promover_la_participacion_ de_las_mipymes_en_los_procesos_de_compra_publica_cce-gad-gi-26_1.pdf</w:t>
        </w:r>
      </w:hyperlink>
      <w:r w:rsidRPr="00243D94">
        <w:rPr>
          <w:rFonts w:ascii="Verdana" w:hAnsi="Verdana"/>
          <w:sz w:val="16"/>
          <w:szCs w:val="16"/>
        </w:rPr>
        <w:t xml:space="preserve"> </w:t>
      </w:r>
    </w:p>
  </w:footnote>
  <w:footnote w:id="2">
    <w:p w14:paraId="338B700B" w14:textId="77777777" w:rsidR="004E2826" w:rsidRPr="00243D94" w:rsidRDefault="004E2826" w:rsidP="004E2826">
      <w:pPr>
        <w:pStyle w:val="Textonotapie"/>
        <w:rPr>
          <w:rFonts w:ascii="Verdana" w:hAnsi="Verdana"/>
          <w:sz w:val="16"/>
          <w:szCs w:val="16"/>
          <w:lang w:val="es-ES"/>
        </w:rPr>
      </w:pPr>
      <w:r w:rsidRPr="00243D94">
        <w:rPr>
          <w:rStyle w:val="Refdenotaalpie"/>
          <w:rFonts w:ascii="Verdana" w:hAnsi="Verdana"/>
          <w:sz w:val="16"/>
          <w:szCs w:val="16"/>
        </w:rPr>
        <w:footnoteRef/>
      </w:r>
      <w:r w:rsidRPr="00243D94">
        <w:rPr>
          <w:rFonts w:ascii="Verdana" w:hAnsi="Verdana"/>
          <w:sz w:val="16"/>
          <w:szCs w:val="16"/>
        </w:rPr>
        <w:t xml:space="preserve"> </w:t>
      </w:r>
      <w:hyperlink r:id="rId2" w:history="1">
        <w:r w:rsidRPr="002A37E6">
          <w:rPr>
            <w:rStyle w:val="Hipervnculo"/>
            <w:rFonts w:ascii="Verdana" w:hAnsi="Verdana"/>
            <w:sz w:val="16"/>
            <w:szCs w:val="16"/>
          </w:rPr>
          <w:t>https://www.colombiacompra.gov.co/wp-content/uploads/2024/08/guia_para_promover_la_participacion_ de_las_mipymes_en_los_procesos_de_compra_publica_cce-gad-gi-26_1.pdf</w:t>
        </w:r>
      </w:hyperlink>
      <w:r w:rsidRPr="00243D9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2266A9"/>
    <w:multiLevelType w:val="hybridMultilevel"/>
    <w:tmpl w:val="647C40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3"/>
  </w:num>
  <w:num w:numId="14">
    <w:abstractNumId w:val="15"/>
  </w:num>
  <w:num w:numId="15">
    <w:abstractNumId w:val="11"/>
  </w:num>
  <w:num w:numId="16">
    <w:abstractNumId w:val="0"/>
  </w:num>
  <w:num w:numId="17">
    <w:abstractNumId w:val="10"/>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4A0D"/>
    <w:rsid w:val="00106A9E"/>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2CC4"/>
    <w:rsid w:val="0030657A"/>
    <w:rsid w:val="00322A85"/>
    <w:rsid w:val="00324168"/>
    <w:rsid w:val="00330834"/>
    <w:rsid w:val="003406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2826"/>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C6597"/>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463A"/>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33FE"/>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646"/>
    <w:rsid w:val="00C76B1C"/>
    <w:rsid w:val="00C925AC"/>
    <w:rsid w:val="00CB6357"/>
    <w:rsid w:val="00CC1B26"/>
    <w:rsid w:val="00D361FD"/>
    <w:rsid w:val="00D423A2"/>
    <w:rsid w:val="00D44E26"/>
    <w:rsid w:val="00D520D8"/>
    <w:rsid w:val="00D63033"/>
    <w:rsid w:val="00D63AC2"/>
    <w:rsid w:val="00D7383B"/>
    <w:rsid w:val="00D7788A"/>
    <w:rsid w:val="00DA231B"/>
    <w:rsid w:val="00DC39FC"/>
    <w:rsid w:val="00DF5254"/>
    <w:rsid w:val="00E01386"/>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0255"/>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E282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E282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viercuellarg@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guia_para_promover_la_participacion_%20de_las_mipymes_en_los_procesos_de_compra_publica_cce-gad-gi-26_1.pdf" TargetMode="External"/><Relationship Id="rId1" Type="http://schemas.openxmlformats.org/officeDocument/2006/relationships/hyperlink" Target="https://www.colombiacompra.gov.co/wp-content/uploads/2024/08/guia_para_promover_la_participacion_%20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4BD22A1-0545-430B-83CA-23C0FACD9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60</TotalTime>
  <Pages>16</Pages>
  <Words>5127</Words>
  <Characters>28200</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4</cp:revision>
  <cp:lastPrinted>2023-01-10T21:18:00Z</cp:lastPrinted>
  <dcterms:created xsi:type="dcterms:W3CDTF">2026-04-15T13:49:00Z</dcterms:created>
  <dcterms:modified xsi:type="dcterms:W3CDTF">2026-04-15T22:15:00Z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