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33CB9" w14:textId="77777777" w:rsidR="00A55EC8" w:rsidRDefault="00A55EC8" w:rsidP="00A55EC8">
      <w:pPr>
        <w:spacing w:after="0" w:line="240" w:lineRule="auto"/>
        <w:contextualSpacing/>
        <w:jc w:val="both"/>
        <w:rPr>
          <w:rFonts w:ascii="Verdana" w:eastAsia="Calibri" w:hAnsi="Verdana" w:cs="Arial"/>
          <w:b/>
          <w:bCs/>
          <w:color w:val="000000"/>
          <w:kern w:val="2"/>
          <w14:ligatures w14:val="standardContextual"/>
        </w:rPr>
      </w:pPr>
      <w:r w:rsidRPr="00B73549">
        <w:rPr>
          <w:rFonts w:ascii="Verdana" w:eastAsia="Calibri" w:hAnsi="Verdana" w:cs="Arial"/>
          <w:b/>
          <w:bCs/>
          <w:color w:val="000000"/>
          <w:kern w:val="2"/>
          <w14:ligatures w14:val="standardContextual"/>
        </w:rPr>
        <w:t xml:space="preserve">CONTRATACIÓN ESTATAL – </w:t>
      </w:r>
      <w:r>
        <w:rPr>
          <w:rFonts w:ascii="Verdana" w:eastAsia="Calibri" w:hAnsi="Verdana" w:cs="Arial"/>
          <w:b/>
          <w:bCs/>
          <w:color w:val="000000"/>
          <w:kern w:val="2"/>
          <w14:ligatures w14:val="standardContextual"/>
        </w:rPr>
        <w:t xml:space="preserve">Capacidad - </w:t>
      </w:r>
      <w:r w:rsidRPr="00B73549">
        <w:rPr>
          <w:rFonts w:ascii="Verdana" w:eastAsia="Calibri" w:hAnsi="Verdana" w:cs="Arial"/>
          <w:b/>
          <w:bCs/>
          <w:color w:val="000000"/>
          <w:kern w:val="2"/>
          <w14:ligatures w14:val="standardContextual"/>
        </w:rPr>
        <w:t>Contrato de prestación de servicios</w:t>
      </w:r>
    </w:p>
    <w:p w14:paraId="4EAD650A" w14:textId="77777777" w:rsidR="00A55EC8" w:rsidRPr="00732E7B" w:rsidRDefault="00A55EC8" w:rsidP="00A55EC8">
      <w:pPr>
        <w:spacing w:after="0" w:line="240" w:lineRule="auto"/>
        <w:contextualSpacing/>
        <w:jc w:val="both"/>
        <w:rPr>
          <w:rFonts w:ascii="Verdana" w:eastAsia="Calibri" w:hAnsi="Verdana" w:cs="Arial"/>
          <w:b/>
          <w:bCs/>
          <w:color w:val="000000"/>
          <w:kern w:val="2"/>
          <w:sz w:val="20"/>
          <w:szCs w:val="20"/>
          <w14:ligatures w14:val="standardContextual"/>
        </w:rPr>
      </w:pPr>
    </w:p>
    <w:p w14:paraId="6D0A16AF" w14:textId="77777777" w:rsidR="00A55EC8" w:rsidRDefault="00A55EC8" w:rsidP="00A55EC8">
      <w:pPr>
        <w:spacing w:after="120" w:line="240" w:lineRule="auto"/>
        <w:jc w:val="both"/>
        <w:rPr>
          <w:rFonts w:ascii="Verdana" w:eastAsia="Calibri" w:hAnsi="Verdana" w:cs="Arial"/>
          <w:color w:val="000000" w:themeColor="text1"/>
          <w:sz w:val="20"/>
          <w:szCs w:val="20"/>
          <w:lang w:val="es-ES_tradnl"/>
        </w:rPr>
      </w:pPr>
      <w:r w:rsidRPr="00732E7B">
        <w:rPr>
          <w:rFonts w:ascii="Verdana" w:eastAsia="Calibri" w:hAnsi="Verdana" w:cs="Arial"/>
          <w:sz w:val="20"/>
          <w:szCs w:val="20"/>
          <w:lang w:val="es-ES_tradnl"/>
        </w:rPr>
        <w:t xml:space="preserve">En </w:t>
      </w:r>
      <w:r w:rsidRPr="00732E7B">
        <w:rPr>
          <w:rFonts w:ascii="Verdana" w:eastAsia="Calibri" w:hAnsi="Verdana" w:cs="Arial"/>
          <w:color w:val="000000" w:themeColor="text1"/>
          <w:sz w:val="20"/>
          <w:szCs w:val="20"/>
          <w:lang w:val="es-ES_tradnl"/>
        </w:rPr>
        <w:t xml:space="preserve">la contratación estatal, la </w:t>
      </w:r>
      <w:r w:rsidRPr="00732E7B">
        <w:rPr>
          <w:rFonts w:ascii="Verdana" w:eastAsia="Calibri" w:hAnsi="Verdana" w:cs="Arial"/>
          <w:i/>
          <w:iCs/>
          <w:color w:val="000000" w:themeColor="text1"/>
          <w:sz w:val="20"/>
          <w:szCs w:val="20"/>
          <w:lang w:val="es-ES_tradnl"/>
        </w:rPr>
        <w:t>capacidad</w:t>
      </w:r>
      <w:r w:rsidRPr="00732E7B">
        <w:rPr>
          <w:rFonts w:ascii="Verdana" w:eastAsia="Calibri" w:hAnsi="Verdana" w:cs="Arial"/>
          <w:color w:val="000000" w:themeColor="text1"/>
          <w:sz w:val="20"/>
          <w:szCs w:val="20"/>
          <w:lang w:val="es-ES_tradnl"/>
        </w:rPr>
        <w:t xml:space="preserve"> también es un requisito de validez de los contratos, tanto en el régimen de las entidades sujetas al Estatuto General de Contratación de la Administración Pública como en el de las entidades exceptuadas de aquel. </w:t>
      </w:r>
      <w:r w:rsidRPr="00732E7B">
        <w:rPr>
          <w:rFonts w:ascii="Verdana" w:eastAsia="Calibri" w:hAnsi="Verdana" w:cs="Arial"/>
          <w:color w:val="000000" w:themeColor="text1"/>
          <w:sz w:val="20"/>
          <w:szCs w:val="20"/>
        </w:rPr>
        <w:t>Si bien la regulación de la capacidad en el contrato de prestación de servicios se integra por varias disposiciones y exigencias especiales, se destaca el régimen de inhabilidades e incompatibilidades como un conjunto de normas que imponen restricciones para los sujetos que, eventualmente, pretendan participar en los procedimientos de selección o celebrar contratos con las entidades estatales</w:t>
      </w:r>
      <w:r w:rsidRPr="00732E7B">
        <w:rPr>
          <w:rFonts w:ascii="Verdana" w:eastAsia="Calibri" w:hAnsi="Verdana" w:cs="Arial"/>
          <w:color w:val="000000" w:themeColor="text1"/>
          <w:sz w:val="20"/>
          <w:szCs w:val="20"/>
          <w:lang w:val="es-ES_tradnl"/>
        </w:rPr>
        <w:t>.</w:t>
      </w:r>
    </w:p>
    <w:p w14:paraId="3715208D" w14:textId="77777777" w:rsidR="00A55EC8" w:rsidRPr="00732E7B" w:rsidRDefault="00A55EC8" w:rsidP="00A55EC8">
      <w:pPr>
        <w:spacing w:after="120" w:line="240" w:lineRule="auto"/>
        <w:jc w:val="both"/>
        <w:rPr>
          <w:rFonts w:ascii="Verdana" w:eastAsia="Calibri" w:hAnsi="Verdana" w:cs="Arial"/>
          <w:color w:val="000000" w:themeColor="text1"/>
          <w:sz w:val="20"/>
          <w:szCs w:val="20"/>
          <w:lang w:val="es-ES_tradnl"/>
        </w:rPr>
      </w:pPr>
      <w:r w:rsidRPr="00732E7B">
        <w:rPr>
          <w:rFonts w:ascii="Verdana" w:eastAsia="Calibri" w:hAnsi="Verdana" w:cs="Arial"/>
          <w:color w:val="000000" w:themeColor="text1"/>
          <w:sz w:val="20"/>
          <w:szCs w:val="20"/>
          <w:lang w:val="es-ES"/>
        </w:rPr>
        <w:t>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w:t>
      </w:r>
      <w:r w:rsidRPr="00732E7B">
        <w:rPr>
          <w:rFonts w:ascii="Verdana" w:eastAsia="Calibri" w:hAnsi="Verdana" w:cs="Arial"/>
          <w:color w:val="000000" w:themeColor="text1"/>
          <w:sz w:val="20"/>
          <w:szCs w:val="20"/>
          <w:vertAlign w:val="superscript"/>
          <w:lang w:val="es-ES"/>
        </w:rPr>
        <w:t>.</w:t>
      </w:r>
      <w:r w:rsidRPr="00732E7B">
        <w:rPr>
          <w:rFonts w:ascii="Verdana" w:eastAsia="Calibri" w:hAnsi="Verdana" w:cs="Arial"/>
          <w:color w:val="000000" w:themeColor="text1"/>
          <w:sz w:val="20"/>
          <w:szCs w:val="20"/>
          <w:lang w:val="es-ES"/>
        </w:rPr>
        <w:t xml:space="preserve">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408E8722" w14:textId="77777777" w:rsidR="00A55EC8" w:rsidRPr="007912B8" w:rsidRDefault="00A55EC8" w:rsidP="00A55EC8">
      <w:pPr>
        <w:spacing w:after="0" w:line="240" w:lineRule="auto"/>
        <w:contextualSpacing/>
        <w:jc w:val="both"/>
        <w:rPr>
          <w:rFonts w:ascii="Verdana" w:eastAsia="Calibri" w:hAnsi="Verdana" w:cs="Arial"/>
          <w:b/>
          <w:bCs/>
          <w:color w:val="000000"/>
          <w:kern w:val="2"/>
          <w:lang w:val="es-ES"/>
          <w14:ligatures w14:val="standardContextual"/>
        </w:rPr>
      </w:pPr>
    </w:p>
    <w:p w14:paraId="36E2E8E3" w14:textId="77777777" w:rsidR="00A55EC8" w:rsidRDefault="00A55EC8" w:rsidP="00A55EC8">
      <w:pPr>
        <w:spacing w:after="0" w:line="240" w:lineRule="auto"/>
        <w:jc w:val="both"/>
        <w:rPr>
          <w:rFonts w:ascii="Verdana" w:eastAsia="Calibri" w:hAnsi="Verdana" w:cs="Arial"/>
          <w:b/>
          <w:color w:val="000000" w:themeColor="text1"/>
          <w:lang w:val="es-ES"/>
        </w:rPr>
      </w:pPr>
      <w:r w:rsidRPr="00B345E4">
        <w:rPr>
          <w:rFonts w:ascii="Verdana" w:eastAsia="Calibri" w:hAnsi="Verdana" w:cs="Arial"/>
          <w:b/>
          <w:color w:val="000000" w:themeColor="text1"/>
          <w:lang w:val="es-ES"/>
        </w:rPr>
        <w:t xml:space="preserve">RÉGIMEN DE INHABILIDADES E INCOMPATIBILIDADES – Definición – Taxatividad – Interpretación restrictiva </w:t>
      </w:r>
    </w:p>
    <w:p w14:paraId="3A0D1585" w14:textId="77777777" w:rsidR="00A55EC8" w:rsidRDefault="00A55EC8" w:rsidP="00A55EC8">
      <w:pPr>
        <w:spacing w:after="0" w:line="240" w:lineRule="auto"/>
        <w:jc w:val="both"/>
        <w:rPr>
          <w:rFonts w:ascii="Verdana" w:eastAsia="Calibri" w:hAnsi="Verdana" w:cs="Arial"/>
          <w:b/>
          <w:color w:val="000000" w:themeColor="text1"/>
          <w:lang w:val="es-ES"/>
        </w:rPr>
      </w:pPr>
    </w:p>
    <w:p w14:paraId="22FF6CFB" w14:textId="77777777" w:rsidR="00A55EC8" w:rsidRPr="00831C3B" w:rsidRDefault="00A55EC8" w:rsidP="00A55EC8">
      <w:pPr>
        <w:spacing w:after="0" w:line="240" w:lineRule="auto"/>
        <w:jc w:val="both"/>
        <w:rPr>
          <w:rFonts w:ascii="Verdana" w:eastAsia="Calibri" w:hAnsi="Verdana" w:cs="Arial"/>
          <w:color w:val="000000" w:themeColor="text1"/>
          <w:sz w:val="20"/>
          <w:szCs w:val="20"/>
          <w:lang w:val="es-ES"/>
        </w:rPr>
      </w:pPr>
      <w:r w:rsidRPr="00831C3B">
        <w:rPr>
          <w:rFonts w:ascii="Verdana" w:eastAsia="Calibri" w:hAnsi="Verdana" w:cs="Arial"/>
          <w:color w:val="000000" w:themeColor="text1"/>
          <w:sz w:val="20"/>
          <w:szCs w:val="20"/>
          <w:lang w:val="es-ES"/>
        </w:rPr>
        <w:t>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por lo que, como lo ha destacado la doctrina, las inhabilidades e incompatibilidades son herramientas en la lucha contra la corrupción, adoptando paulatinamente un carácter sancionatorio o “neopunitivo”.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3C048E9C" w14:textId="77777777" w:rsidR="00A55EC8" w:rsidRPr="00831C3B" w:rsidRDefault="00A55EC8" w:rsidP="00A55EC8">
      <w:pPr>
        <w:spacing w:after="0" w:line="240" w:lineRule="auto"/>
        <w:jc w:val="both"/>
        <w:rPr>
          <w:rFonts w:ascii="Verdana" w:eastAsia="Calibri" w:hAnsi="Verdana" w:cs="Arial"/>
          <w:b/>
          <w:color w:val="000000" w:themeColor="text1"/>
          <w:sz w:val="20"/>
          <w:szCs w:val="20"/>
          <w:lang w:val="es-ES"/>
        </w:rPr>
      </w:pPr>
    </w:p>
    <w:p w14:paraId="15DFBDB5" w14:textId="77777777" w:rsidR="00A55EC8" w:rsidRPr="00831C3B" w:rsidRDefault="00A55EC8" w:rsidP="00A55EC8">
      <w:pPr>
        <w:spacing w:after="0" w:line="240" w:lineRule="auto"/>
        <w:jc w:val="both"/>
        <w:rPr>
          <w:rFonts w:ascii="Verdana" w:eastAsia="Calibri" w:hAnsi="Verdana" w:cs="Arial"/>
          <w:b/>
          <w:color w:val="000000" w:themeColor="text1"/>
          <w:sz w:val="20"/>
          <w:szCs w:val="20"/>
          <w:lang w:val="es-ES"/>
        </w:rPr>
      </w:pPr>
      <w:r w:rsidRPr="00831C3B">
        <w:rPr>
          <w:rFonts w:ascii="Verdana" w:eastAsia="Calibri" w:hAnsi="Verdana" w:cs="Arial"/>
          <w:color w:val="000000" w:themeColor="text1"/>
          <w:sz w:val="20"/>
          <w:szCs w:val="20"/>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831C3B">
        <w:rPr>
          <w:rFonts w:ascii="Verdana" w:eastAsia="Calibri" w:hAnsi="Verdana" w:cs="Arial"/>
          <w:i/>
          <w:iCs/>
          <w:color w:val="000000" w:themeColor="text1"/>
          <w:sz w:val="20"/>
          <w:szCs w:val="20"/>
          <w:lang w:val="es-ES_tradnl"/>
        </w:rPr>
        <w:t>restrictiva</w:t>
      </w:r>
      <w:r w:rsidRPr="00831C3B">
        <w:rPr>
          <w:rFonts w:ascii="Verdana" w:eastAsia="Calibri" w:hAnsi="Verdana" w:cs="Arial"/>
          <w:color w:val="000000" w:themeColor="text1"/>
          <w:sz w:val="20"/>
          <w:szCs w:val="20"/>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w:t>
      </w:r>
      <w:r w:rsidRPr="00831C3B">
        <w:rPr>
          <w:rFonts w:ascii="Verdana" w:eastAsia="Calibri" w:hAnsi="Verdana" w:cs="Arial"/>
          <w:color w:val="000000" w:themeColor="text1"/>
          <w:sz w:val="20"/>
          <w:szCs w:val="20"/>
          <w:lang w:val="es-ES_tradnl"/>
        </w:rPr>
        <w:lastRenderedPageBreak/>
        <w:t xml:space="preserve">la libre concurrencia y el ejercicio de la profesión u oficio. Tal ha sido la postura al interior de la jurisprudencia, tanto de la Corte Constitucional como de la Sección Tercera del Consejo de Estado. </w:t>
      </w:r>
    </w:p>
    <w:p w14:paraId="437D83B9" w14:textId="77777777" w:rsidR="00A55EC8" w:rsidRPr="00831C3B" w:rsidRDefault="00A55EC8" w:rsidP="00A55EC8">
      <w:pPr>
        <w:spacing w:after="0" w:line="240" w:lineRule="auto"/>
        <w:contextualSpacing/>
        <w:jc w:val="both"/>
        <w:rPr>
          <w:rFonts w:ascii="Verdana" w:eastAsia="Calibri" w:hAnsi="Verdana" w:cs="Arial"/>
          <w:b/>
          <w:bCs/>
          <w:color w:val="000000"/>
          <w:kern w:val="2"/>
          <w:sz w:val="20"/>
          <w:szCs w:val="20"/>
          <w:lang w:val="es-ES_tradnl"/>
          <w14:ligatures w14:val="standardContextual"/>
        </w:rPr>
      </w:pPr>
    </w:p>
    <w:p w14:paraId="4133282C" w14:textId="77777777" w:rsidR="00A55EC8" w:rsidRDefault="00A55EC8" w:rsidP="00A55EC8">
      <w:pPr>
        <w:spacing w:after="0" w:line="240" w:lineRule="auto"/>
        <w:contextualSpacing/>
        <w:jc w:val="both"/>
        <w:rPr>
          <w:rFonts w:ascii="Verdana" w:eastAsia="Calibri" w:hAnsi="Verdana" w:cs="Arial"/>
          <w:b/>
          <w:bCs/>
          <w:color w:val="000000"/>
          <w:kern w:val="2"/>
          <w14:ligatures w14:val="standardContextual"/>
        </w:rPr>
      </w:pPr>
      <w:r w:rsidRPr="00B73549">
        <w:rPr>
          <w:rFonts w:ascii="Verdana" w:eastAsia="Calibri" w:hAnsi="Verdana" w:cs="Arial"/>
          <w:b/>
          <w:bCs/>
          <w:color w:val="000000"/>
          <w:kern w:val="2"/>
          <w14:ligatures w14:val="standardContextual"/>
        </w:rPr>
        <w:t xml:space="preserve">PENSIONADO POR INVALIDEZ – </w:t>
      </w:r>
      <w:r>
        <w:rPr>
          <w:rFonts w:ascii="Verdana" w:eastAsia="Calibri" w:hAnsi="Verdana" w:cs="Arial"/>
          <w:b/>
          <w:bCs/>
          <w:color w:val="000000"/>
          <w:kern w:val="2"/>
          <w14:ligatures w14:val="standardContextual"/>
        </w:rPr>
        <w:t xml:space="preserve">Contrato de prestación de servicios - </w:t>
      </w:r>
      <w:r w:rsidRPr="00B73549">
        <w:rPr>
          <w:rFonts w:ascii="Verdana" w:eastAsia="Calibri" w:hAnsi="Verdana" w:cs="Arial"/>
          <w:b/>
          <w:bCs/>
          <w:color w:val="000000"/>
          <w:kern w:val="2"/>
          <w14:ligatures w14:val="standardContextual"/>
        </w:rPr>
        <w:t>Capacidad para contratar con el Estado</w:t>
      </w:r>
    </w:p>
    <w:p w14:paraId="62990343" w14:textId="77777777" w:rsidR="00A55EC8" w:rsidRDefault="00A55EC8" w:rsidP="00A55EC8">
      <w:pPr>
        <w:spacing w:after="0" w:line="240" w:lineRule="auto"/>
        <w:contextualSpacing/>
        <w:jc w:val="both"/>
        <w:rPr>
          <w:rFonts w:ascii="Verdana" w:eastAsia="Calibri" w:hAnsi="Verdana" w:cs="Arial"/>
          <w:b/>
          <w:bCs/>
          <w:color w:val="000000"/>
          <w:kern w:val="2"/>
          <w14:ligatures w14:val="standardContextual"/>
        </w:rPr>
      </w:pPr>
    </w:p>
    <w:p w14:paraId="231F1508" w14:textId="77777777" w:rsidR="00A55EC8" w:rsidRPr="00D4524A" w:rsidRDefault="00A55EC8" w:rsidP="00A55EC8">
      <w:pPr>
        <w:spacing w:after="120" w:line="240" w:lineRule="auto"/>
        <w:jc w:val="both"/>
        <w:rPr>
          <w:rFonts w:ascii="Verdana" w:eastAsia="Calibri" w:hAnsi="Verdana" w:cs="Arial"/>
          <w:color w:val="000000" w:themeColor="text1"/>
          <w:sz w:val="20"/>
          <w:szCs w:val="20"/>
          <w:lang w:val="es-ES"/>
        </w:rPr>
      </w:pPr>
      <w:r w:rsidRPr="00D4524A">
        <w:rPr>
          <w:rFonts w:ascii="Verdana" w:eastAsia="Calibri" w:hAnsi="Verdana" w:cs="Arial"/>
          <w:color w:val="000000" w:themeColor="text1"/>
          <w:sz w:val="20"/>
          <w:szCs w:val="20"/>
        </w:rPr>
        <w:t xml:space="preserve">Al analizar el régimen </w:t>
      </w:r>
      <w:r w:rsidRPr="00D4524A">
        <w:rPr>
          <w:rFonts w:ascii="Verdana" w:eastAsia="Calibri" w:hAnsi="Verdana" w:cs="Arial"/>
          <w:sz w:val="20"/>
          <w:szCs w:val="20"/>
        </w:rPr>
        <w:t>de inhabilidades e incompatibilidades previsto para la contratación estatal, no se identifica una inhabilidad, incompatibilidad o prohibición legal que impida que una persona natural pensionada por invalidez celebre un contrato de prestación de servicios con una entidad estatal,</w:t>
      </w:r>
      <w:r w:rsidRPr="00D4524A">
        <w:rPr>
          <w:rFonts w:ascii="Verdana" w:hAnsi="Verdana" w:cs="Arial"/>
          <w:sz w:val="20"/>
          <w:szCs w:val="20"/>
        </w:rPr>
        <w:t xml:space="preserve"> toda vez que las causales previstas en la Constitución Política, en el artículo 8 de la Ley 80 de 1993 y en las normas que regulan la capacidad contractual no contemplan este supuesto.</w:t>
      </w:r>
    </w:p>
    <w:p w14:paraId="7A7698C3" w14:textId="77777777" w:rsidR="00A55EC8" w:rsidRPr="00D4524A" w:rsidRDefault="00A55EC8" w:rsidP="00A55EC8">
      <w:pPr>
        <w:spacing w:after="120" w:line="240" w:lineRule="auto"/>
        <w:jc w:val="both"/>
        <w:rPr>
          <w:rFonts w:ascii="Verdana" w:eastAsia="Calibri" w:hAnsi="Verdana" w:cs="Arial"/>
          <w:color w:val="000000" w:themeColor="text1"/>
          <w:sz w:val="20"/>
          <w:szCs w:val="20"/>
          <w:lang w:val="es-ES"/>
        </w:rPr>
      </w:pPr>
      <w:r w:rsidRPr="00D4524A">
        <w:rPr>
          <w:rFonts w:ascii="Verdana" w:eastAsia="Calibri" w:hAnsi="Verdana" w:cs="Arial"/>
          <w:color w:val="000000" w:themeColor="text1"/>
          <w:sz w:val="20"/>
          <w:szCs w:val="20"/>
        </w:rPr>
        <w:t>Esta conclusión resulta consistente con los criterios expuestos por el Departamento Administrativo de la Función Pública, entidad que ha señalado que la condición de pensionado por invalidez no constituye, por sí misma, un impedimento para acceder al empleo público o para celebrar contratos con entidades estatales, siempre que no se configure una prohibición legal expresa ni se incurra en una doble asignación del tesoro público, en los términos del artículo 128 de la Constitución Política.</w:t>
      </w:r>
    </w:p>
    <w:p w14:paraId="32CF6E45" w14:textId="77777777" w:rsidR="00A55EC8" w:rsidRDefault="00A55EC8" w:rsidP="00A55EC8">
      <w:pPr>
        <w:spacing w:after="120" w:line="240" w:lineRule="auto"/>
        <w:jc w:val="both"/>
        <w:rPr>
          <w:rFonts w:ascii="Verdana" w:eastAsia="Calibri" w:hAnsi="Verdana" w:cs="Arial"/>
          <w:color w:val="000000" w:themeColor="text1"/>
          <w:sz w:val="20"/>
          <w:szCs w:val="20"/>
        </w:rPr>
      </w:pPr>
      <w:r w:rsidRPr="00D4524A">
        <w:rPr>
          <w:rFonts w:ascii="Verdana" w:eastAsia="Calibri" w:hAnsi="Verdana" w:cs="Arial"/>
          <w:color w:val="000000" w:themeColor="text1"/>
          <w:sz w:val="20"/>
          <w:szCs w:val="20"/>
        </w:rPr>
        <w:t xml:space="preserve">Ahora bien, el hecho de que no se configure una causal de inhabilidad o incompatibilidad no significa que, en todos los casos, pueda celebrarse válidamente un contrato de prestación de servicios. Para ello, deben cumplirse los requisitos propios de esta modalidad contractual, teniendo en cuenta su carácter excepcional, en la medida en que solo es procedente cuando las actividades no puedan realizarse con personal de planta o requieran conocimientos especializados, circunstancia que debe justificarse de manera suficiente en los estudios previos. Adicionalmente, el contrato debe ser de naturaleza temporal y no puede utilizarse para la conformación de nóminas paralelas ni para encubrir relaciones laborales. </w:t>
      </w:r>
    </w:p>
    <w:p w14:paraId="5AC6299A" w14:textId="77777777" w:rsidR="00A55EC8" w:rsidRPr="00EC1828" w:rsidRDefault="00A55EC8" w:rsidP="00A55EC8">
      <w:pPr>
        <w:spacing w:after="120" w:line="240" w:lineRule="auto"/>
        <w:jc w:val="both"/>
        <w:rPr>
          <w:rFonts w:ascii="Verdana" w:eastAsia="Calibri" w:hAnsi="Verdana" w:cs="Arial"/>
          <w:color w:val="000000" w:themeColor="text1"/>
          <w:sz w:val="20"/>
          <w:szCs w:val="20"/>
        </w:rPr>
      </w:pPr>
    </w:p>
    <w:p w14:paraId="7F36DF4B" w14:textId="77777777" w:rsidR="00A55EC8" w:rsidRDefault="00A55EC8" w:rsidP="00A55EC8">
      <w:pPr>
        <w:spacing w:after="0" w:line="240" w:lineRule="auto"/>
        <w:contextualSpacing/>
        <w:jc w:val="both"/>
        <w:rPr>
          <w:rFonts w:ascii="Verdana" w:eastAsia="Calibri" w:hAnsi="Verdana" w:cs="Arial"/>
          <w:b/>
          <w:bCs/>
          <w:color w:val="000000"/>
          <w:kern w:val="2"/>
          <w14:ligatures w14:val="standardContextual"/>
        </w:rPr>
      </w:pPr>
      <w:r w:rsidRPr="006B2C88">
        <w:rPr>
          <w:rFonts w:ascii="Verdana" w:eastAsia="Calibri" w:hAnsi="Verdana" w:cs="Arial"/>
          <w:b/>
          <w:bCs/>
          <w:color w:val="000000"/>
          <w:kern w:val="2"/>
          <w14:ligatures w14:val="standardContextual"/>
        </w:rPr>
        <w:t>CONTRATO DE PRESTACIÓN DE SERVICIOS – Prevención del contrato realidad</w:t>
      </w:r>
    </w:p>
    <w:p w14:paraId="77214517" w14:textId="77777777" w:rsidR="00A55EC8" w:rsidRPr="00B962C8" w:rsidRDefault="00A55EC8" w:rsidP="00A55EC8">
      <w:pPr>
        <w:spacing w:after="0" w:line="240" w:lineRule="auto"/>
        <w:contextualSpacing/>
        <w:jc w:val="both"/>
        <w:rPr>
          <w:rFonts w:ascii="Verdana" w:eastAsia="Calibri" w:hAnsi="Verdana" w:cs="Arial"/>
          <w:b/>
          <w:bCs/>
          <w:color w:val="000000"/>
          <w:kern w:val="2"/>
          <w14:ligatures w14:val="standardContextual"/>
        </w:rPr>
      </w:pPr>
    </w:p>
    <w:p w14:paraId="52648581" w14:textId="77777777" w:rsidR="00A55EC8" w:rsidRDefault="00A55EC8" w:rsidP="00A55EC8">
      <w:pPr>
        <w:spacing w:after="0" w:line="240" w:lineRule="auto"/>
        <w:contextualSpacing/>
        <w:jc w:val="both"/>
        <w:rPr>
          <w:rFonts w:ascii="Verdana" w:eastAsia="Calibri" w:hAnsi="Verdana" w:cs="Arial"/>
          <w:color w:val="000000"/>
          <w:kern w:val="2"/>
          <w:sz w:val="20"/>
          <w:szCs w:val="20"/>
          <w:lang w:val="es-ES"/>
          <w14:ligatures w14:val="standardContextual"/>
        </w:rPr>
      </w:pPr>
      <w:r w:rsidRPr="61DC73BB">
        <w:rPr>
          <w:rFonts w:ascii="Verdana" w:eastAsia="Calibri" w:hAnsi="Verdana" w:cs="Arial"/>
          <w:color w:val="000000"/>
          <w:kern w:val="2"/>
          <w:sz w:val="20"/>
          <w:szCs w:val="20"/>
          <w:lang w:val="es-ES"/>
          <w14:ligatures w14:val="standardContextual"/>
        </w:rPr>
        <w:t>Así mismo, la entidad contratante debe realizar un análisis cuidadoso de las condiciones de ejecución del contrato, valorando la complejidad y el alcance de las actividades encomendadas, con el fin de determinar si el contratista cuenta con la capacidad jurídica, técnica y operativa para ejecutarlas adecuadamente. En el caso de personas pensionadas por invalidez, este análisis debe incluir la verificación de que las actividades objeto del contrato sean compatibles con el grado de pérdida de capacidad laboral reconocido, sin que ello implique, por sí mismo, una valoración o decisión de carácter pensional, la cual corresponde a las autoridades competentes del sistema de seguridad social.</w:t>
      </w:r>
    </w:p>
    <w:p w14:paraId="75629355" w14:textId="77777777" w:rsidR="00A55EC8" w:rsidRPr="00B73549" w:rsidRDefault="00A55EC8" w:rsidP="00A55EC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61BB0C2D" w14:textId="77777777" w:rsidR="00A55EC8" w:rsidRPr="00B73549" w:rsidRDefault="00A55EC8" w:rsidP="00A55EC8">
      <w:pPr>
        <w:spacing w:after="0" w:line="240" w:lineRule="auto"/>
        <w:contextualSpacing/>
        <w:jc w:val="both"/>
        <w:rPr>
          <w:rFonts w:ascii="Verdana" w:eastAsia="Calibri" w:hAnsi="Verdana" w:cs="Arial"/>
          <w:color w:val="000000"/>
          <w:kern w:val="2"/>
          <w:sz w:val="20"/>
          <w:szCs w:val="20"/>
          <w14:ligatures w14:val="standardContextual"/>
        </w:rPr>
      </w:pPr>
      <w:r w:rsidRPr="00B73549">
        <w:rPr>
          <w:rFonts w:ascii="Verdana" w:eastAsia="Calibri" w:hAnsi="Verdana" w:cs="Arial"/>
          <w:color w:val="000000"/>
          <w:kern w:val="2"/>
          <w:sz w:val="20"/>
          <w:szCs w:val="20"/>
          <w:lang w:val="es-ES_tradnl"/>
          <w14:ligatures w14:val="standardContextual"/>
        </w:rPr>
        <w:t xml:space="preserve">Adicionalmente, las entidades estatales deben identificar la eventual configuración de situaciones que puedan revestir la connotación de conflicto de interés, derivadas de la </w:t>
      </w:r>
      <w:r w:rsidRPr="00B73549">
        <w:rPr>
          <w:rFonts w:ascii="Verdana" w:eastAsia="Calibri" w:hAnsi="Verdana" w:cs="Arial"/>
          <w:color w:val="000000"/>
          <w:kern w:val="2"/>
          <w:sz w:val="20"/>
          <w:szCs w:val="20"/>
          <w:lang w:val="es-ES_tradnl"/>
          <w14:ligatures w14:val="standardContextual"/>
        </w:rPr>
        <w:lastRenderedPageBreak/>
        <w:t>concurrencia de intereses contrapuestos que comprometan la transparencia, independencia o rectitud de las actuaciones del contratista. En este punto, resulta aplicable el principio de moralidad administrativa consagrado en el artículo 209 de la Constitución Política, así como los deberes de lealtad y buena fe que rigen la actuación de los particulares que celebran y ejecutan contratos con el Estado, conforme a los artículos 3 y 5 de la Ley 80 de 1993.</w:t>
      </w:r>
    </w:p>
    <w:p w14:paraId="5FCF148E" w14:textId="77777777" w:rsidR="00A55EC8" w:rsidRPr="00BC5B03" w:rsidRDefault="00A55EC8" w:rsidP="00A55EC8">
      <w:pPr>
        <w:spacing w:after="120" w:line="276" w:lineRule="auto"/>
        <w:jc w:val="both"/>
        <w:rPr>
          <w:rFonts w:ascii="Verdana" w:eastAsia="Calibri" w:hAnsi="Verdana" w:cs="Arial"/>
          <w:color w:val="000000" w:themeColor="text1"/>
          <w:sz w:val="20"/>
          <w:szCs w:val="20"/>
        </w:rPr>
      </w:pPr>
    </w:p>
    <w:p w14:paraId="26546F3E" w14:textId="77777777" w:rsidR="00A55EC8" w:rsidRPr="00D4524A" w:rsidRDefault="00A55EC8" w:rsidP="00A55EC8">
      <w:pPr>
        <w:spacing w:after="120" w:line="240" w:lineRule="auto"/>
        <w:jc w:val="both"/>
        <w:rPr>
          <w:rFonts w:ascii="Verdana" w:eastAsia="Calibri" w:hAnsi="Verdana" w:cs="Arial"/>
          <w:b/>
          <w:bCs/>
          <w:color w:val="EE0000"/>
          <w:lang w:eastAsia="es-ES"/>
        </w:rPr>
      </w:pPr>
    </w:p>
    <w:p w14:paraId="103C6755" w14:textId="77777777" w:rsidR="00A55EC8" w:rsidRDefault="00A55EC8" w:rsidP="00A55EC8">
      <w:pPr>
        <w:spacing w:after="120" w:line="240" w:lineRule="auto"/>
        <w:jc w:val="both"/>
        <w:rPr>
          <w:rFonts w:ascii="Verdana" w:eastAsia="Calibri" w:hAnsi="Verdana" w:cs="Arial"/>
          <w:b/>
          <w:bCs/>
          <w:color w:val="EE0000"/>
          <w:lang w:val="es-ES_tradnl" w:eastAsia="es-ES"/>
        </w:rPr>
      </w:pPr>
    </w:p>
    <w:p w14:paraId="7854D821" w14:textId="77777777" w:rsidR="00A55EC8" w:rsidRDefault="00A55EC8" w:rsidP="00A55EC8">
      <w:pPr>
        <w:spacing w:after="120" w:line="240" w:lineRule="auto"/>
        <w:jc w:val="both"/>
        <w:rPr>
          <w:rFonts w:ascii="Verdana" w:eastAsia="Calibri" w:hAnsi="Verdana" w:cs="Arial"/>
          <w:b/>
          <w:bCs/>
          <w:color w:val="EE0000"/>
          <w:lang w:val="es-ES_tradnl" w:eastAsia="es-ES"/>
        </w:rPr>
      </w:pPr>
    </w:p>
    <w:p w14:paraId="69F4694A" w14:textId="77777777" w:rsidR="00A55EC8" w:rsidRDefault="00A55EC8" w:rsidP="00A55EC8">
      <w:pPr>
        <w:spacing w:after="120" w:line="240" w:lineRule="auto"/>
        <w:jc w:val="both"/>
        <w:rPr>
          <w:rFonts w:ascii="Verdana" w:eastAsia="Calibri" w:hAnsi="Verdana" w:cs="Arial"/>
          <w:b/>
          <w:bCs/>
          <w:color w:val="EE0000"/>
          <w:lang w:val="es-ES_tradnl" w:eastAsia="es-ES"/>
        </w:rPr>
      </w:pPr>
    </w:p>
    <w:p w14:paraId="60782D19" w14:textId="77777777" w:rsidR="00A55EC8" w:rsidRDefault="00A55EC8" w:rsidP="00A55EC8">
      <w:pPr>
        <w:spacing w:after="120" w:line="240" w:lineRule="auto"/>
        <w:jc w:val="both"/>
        <w:rPr>
          <w:rFonts w:ascii="Verdana" w:eastAsia="Calibri" w:hAnsi="Verdana" w:cs="Arial"/>
          <w:b/>
          <w:bCs/>
          <w:color w:val="EE0000"/>
          <w:lang w:val="es-ES_tradnl" w:eastAsia="es-ES"/>
        </w:rPr>
      </w:pPr>
    </w:p>
    <w:p w14:paraId="7D670387" w14:textId="77777777" w:rsidR="00A55EC8" w:rsidRDefault="00A55EC8" w:rsidP="00A55EC8">
      <w:pPr>
        <w:spacing w:after="120" w:line="240" w:lineRule="auto"/>
        <w:jc w:val="both"/>
        <w:rPr>
          <w:rFonts w:ascii="Verdana" w:eastAsia="Calibri" w:hAnsi="Verdana" w:cs="Arial"/>
          <w:b/>
          <w:bCs/>
          <w:color w:val="EE0000"/>
          <w:lang w:val="es-ES_tradnl" w:eastAsia="es-ES"/>
        </w:rPr>
      </w:pPr>
    </w:p>
    <w:p w14:paraId="73FF3E03" w14:textId="77777777" w:rsidR="00A55EC8" w:rsidRPr="00E966B7" w:rsidRDefault="00A55EC8" w:rsidP="00A55EC8">
      <w:pPr>
        <w:spacing w:after="120" w:line="240" w:lineRule="auto"/>
        <w:jc w:val="both"/>
        <w:rPr>
          <w:rFonts w:ascii="Verdana" w:hAnsi="Verdana" w:cs="Arial"/>
          <w:color w:val="EE0000"/>
          <w:sz w:val="20"/>
          <w:szCs w:val="20"/>
        </w:rPr>
      </w:pPr>
    </w:p>
    <w:p w14:paraId="21FAEF8E" w14:textId="77777777" w:rsidR="00A55EC8" w:rsidRPr="00E966B7" w:rsidRDefault="00A55EC8" w:rsidP="00A55EC8">
      <w:pPr>
        <w:spacing w:after="120" w:line="240" w:lineRule="auto"/>
        <w:jc w:val="both"/>
        <w:rPr>
          <w:rFonts w:ascii="Verdana" w:hAnsi="Verdana" w:cs="Arial"/>
          <w:color w:val="EE0000"/>
          <w:sz w:val="20"/>
          <w:szCs w:val="20"/>
        </w:rPr>
      </w:pPr>
    </w:p>
    <w:p w14:paraId="32C4D4CE" w14:textId="77777777" w:rsidR="00A55EC8" w:rsidRDefault="00A55EC8" w:rsidP="00A55EC8">
      <w:pPr>
        <w:spacing w:after="120" w:line="240" w:lineRule="auto"/>
        <w:jc w:val="both"/>
        <w:rPr>
          <w:rFonts w:ascii="Verdana" w:hAnsi="Verdana" w:cs="Arial"/>
          <w:color w:val="EE0000"/>
          <w:sz w:val="20"/>
          <w:szCs w:val="20"/>
        </w:rPr>
      </w:pPr>
    </w:p>
    <w:p w14:paraId="4424C1D8" w14:textId="77777777" w:rsidR="00A55EC8" w:rsidRDefault="00A55EC8" w:rsidP="00A55EC8">
      <w:pPr>
        <w:spacing w:after="120" w:line="240" w:lineRule="auto"/>
        <w:jc w:val="both"/>
        <w:rPr>
          <w:rFonts w:ascii="Verdana" w:hAnsi="Verdana" w:cs="Arial"/>
          <w:color w:val="EE0000"/>
          <w:sz w:val="20"/>
          <w:szCs w:val="20"/>
        </w:rPr>
      </w:pPr>
    </w:p>
    <w:p w14:paraId="512D6198" w14:textId="77777777" w:rsidR="00A55EC8" w:rsidRDefault="00A55EC8" w:rsidP="00A55EC8">
      <w:pPr>
        <w:spacing w:after="120" w:line="240" w:lineRule="auto"/>
        <w:jc w:val="both"/>
        <w:rPr>
          <w:rFonts w:ascii="Verdana" w:hAnsi="Verdana" w:cs="Arial"/>
          <w:color w:val="EE0000"/>
          <w:sz w:val="20"/>
          <w:szCs w:val="20"/>
        </w:rPr>
      </w:pPr>
    </w:p>
    <w:p w14:paraId="5505F429" w14:textId="77777777" w:rsidR="00A55EC8" w:rsidRDefault="00A55EC8" w:rsidP="00A55EC8">
      <w:pPr>
        <w:spacing w:after="120" w:line="240" w:lineRule="auto"/>
        <w:jc w:val="both"/>
        <w:rPr>
          <w:rFonts w:ascii="Verdana" w:hAnsi="Verdana" w:cs="Arial"/>
          <w:color w:val="EE0000"/>
          <w:sz w:val="20"/>
          <w:szCs w:val="20"/>
        </w:rPr>
      </w:pPr>
    </w:p>
    <w:p w14:paraId="6074B0F8" w14:textId="77777777" w:rsidR="00A55EC8" w:rsidRDefault="00A55EC8" w:rsidP="00A55EC8">
      <w:pPr>
        <w:spacing w:after="120" w:line="240" w:lineRule="auto"/>
        <w:jc w:val="both"/>
        <w:rPr>
          <w:rFonts w:ascii="Verdana" w:hAnsi="Verdana" w:cs="Arial"/>
          <w:color w:val="EE0000"/>
          <w:sz w:val="20"/>
          <w:szCs w:val="20"/>
        </w:rPr>
      </w:pPr>
    </w:p>
    <w:p w14:paraId="77B5FF65" w14:textId="77777777" w:rsidR="00A55EC8" w:rsidRDefault="00A55EC8" w:rsidP="00A55EC8">
      <w:pPr>
        <w:spacing w:after="120" w:line="240" w:lineRule="auto"/>
        <w:jc w:val="both"/>
        <w:rPr>
          <w:rFonts w:ascii="Verdana" w:hAnsi="Verdana" w:cs="Arial"/>
          <w:color w:val="EE0000"/>
          <w:sz w:val="20"/>
          <w:szCs w:val="20"/>
        </w:rPr>
      </w:pPr>
    </w:p>
    <w:p w14:paraId="1C13B5B6" w14:textId="77777777" w:rsidR="00A55EC8" w:rsidRDefault="00A55EC8" w:rsidP="00A55EC8">
      <w:pPr>
        <w:spacing w:after="120" w:line="240" w:lineRule="auto"/>
        <w:jc w:val="both"/>
        <w:rPr>
          <w:rFonts w:ascii="Verdana" w:hAnsi="Verdana" w:cs="Arial"/>
          <w:color w:val="EE0000"/>
          <w:sz w:val="20"/>
          <w:szCs w:val="20"/>
        </w:rPr>
      </w:pPr>
    </w:p>
    <w:p w14:paraId="3B2ECFE0" w14:textId="77777777" w:rsidR="00A55EC8" w:rsidRDefault="00A55EC8" w:rsidP="00A55EC8">
      <w:pPr>
        <w:spacing w:after="120" w:line="240" w:lineRule="auto"/>
        <w:jc w:val="both"/>
        <w:rPr>
          <w:rFonts w:ascii="Verdana" w:hAnsi="Verdana" w:cs="Arial"/>
          <w:color w:val="EE0000"/>
          <w:sz w:val="20"/>
          <w:szCs w:val="20"/>
        </w:rPr>
      </w:pPr>
    </w:p>
    <w:p w14:paraId="0DE9862A" w14:textId="77777777" w:rsidR="00A55EC8" w:rsidRDefault="00A55EC8" w:rsidP="00A55EC8">
      <w:pPr>
        <w:spacing w:after="120" w:line="240" w:lineRule="auto"/>
        <w:jc w:val="both"/>
        <w:rPr>
          <w:rFonts w:ascii="Verdana" w:hAnsi="Verdana" w:cs="Arial"/>
          <w:color w:val="EE0000"/>
          <w:sz w:val="20"/>
          <w:szCs w:val="20"/>
        </w:rPr>
      </w:pPr>
    </w:p>
    <w:p w14:paraId="52CCBF2A" w14:textId="77777777" w:rsidR="00A55EC8" w:rsidRDefault="00A55EC8" w:rsidP="00A55EC8">
      <w:pPr>
        <w:spacing w:after="120" w:line="240" w:lineRule="auto"/>
        <w:jc w:val="both"/>
        <w:rPr>
          <w:rFonts w:ascii="Verdana" w:hAnsi="Verdana" w:cs="Arial"/>
          <w:color w:val="EE0000"/>
          <w:sz w:val="20"/>
          <w:szCs w:val="20"/>
        </w:rPr>
      </w:pPr>
    </w:p>
    <w:p w14:paraId="13CE9A28" w14:textId="77777777" w:rsidR="00A55EC8" w:rsidRDefault="00A55EC8" w:rsidP="00A55EC8">
      <w:pPr>
        <w:spacing w:after="120" w:line="240" w:lineRule="auto"/>
        <w:jc w:val="both"/>
        <w:rPr>
          <w:rFonts w:ascii="Verdana" w:hAnsi="Verdana" w:cs="Arial"/>
          <w:color w:val="EE0000"/>
          <w:sz w:val="20"/>
          <w:szCs w:val="20"/>
        </w:rPr>
      </w:pPr>
    </w:p>
    <w:p w14:paraId="77FCB995" w14:textId="77777777" w:rsidR="00A55EC8" w:rsidRDefault="00A55EC8" w:rsidP="00A55EC8">
      <w:pPr>
        <w:spacing w:after="120" w:line="240" w:lineRule="auto"/>
        <w:jc w:val="both"/>
        <w:rPr>
          <w:rFonts w:ascii="Verdana" w:hAnsi="Verdana" w:cs="Arial"/>
          <w:color w:val="EE0000"/>
          <w:sz w:val="20"/>
          <w:szCs w:val="20"/>
        </w:rPr>
      </w:pPr>
    </w:p>
    <w:p w14:paraId="35688D27" w14:textId="77777777" w:rsidR="00A55EC8" w:rsidRDefault="00A55EC8" w:rsidP="00A55EC8">
      <w:pPr>
        <w:spacing w:after="120" w:line="240" w:lineRule="auto"/>
        <w:jc w:val="both"/>
        <w:rPr>
          <w:rFonts w:ascii="Verdana" w:hAnsi="Verdana" w:cs="Arial"/>
          <w:color w:val="EE0000"/>
          <w:sz w:val="20"/>
          <w:szCs w:val="20"/>
        </w:rPr>
      </w:pPr>
    </w:p>
    <w:p w14:paraId="06FBED1C" w14:textId="77777777" w:rsidR="00A55EC8" w:rsidRDefault="00A55EC8" w:rsidP="00A55EC8">
      <w:pPr>
        <w:spacing w:after="120" w:line="240" w:lineRule="auto"/>
        <w:jc w:val="both"/>
        <w:rPr>
          <w:rFonts w:ascii="Verdana" w:hAnsi="Verdana" w:cs="Arial"/>
          <w:color w:val="EE0000"/>
          <w:sz w:val="20"/>
          <w:szCs w:val="20"/>
        </w:rPr>
      </w:pPr>
    </w:p>
    <w:p w14:paraId="09C3F9C8" w14:textId="77777777" w:rsidR="00A55EC8" w:rsidRDefault="00A55EC8" w:rsidP="00A55EC8">
      <w:pPr>
        <w:spacing w:after="120" w:line="240" w:lineRule="auto"/>
        <w:jc w:val="both"/>
        <w:rPr>
          <w:rFonts w:ascii="Verdana" w:hAnsi="Verdana" w:cs="Arial"/>
          <w:color w:val="EE0000"/>
          <w:sz w:val="20"/>
          <w:szCs w:val="20"/>
        </w:rPr>
      </w:pPr>
    </w:p>
    <w:p w14:paraId="3E522062" w14:textId="77777777" w:rsidR="00A55EC8" w:rsidRDefault="00A55EC8" w:rsidP="00A55EC8">
      <w:pPr>
        <w:spacing w:after="120" w:line="240" w:lineRule="auto"/>
        <w:jc w:val="both"/>
        <w:rPr>
          <w:rFonts w:ascii="Verdana" w:hAnsi="Verdana" w:cs="Arial"/>
          <w:color w:val="EE0000"/>
          <w:sz w:val="20"/>
          <w:szCs w:val="20"/>
        </w:rPr>
      </w:pPr>
    </w:p>
    <w:p w14:paraId="7DB54F4F" w14:textId="77777777" w:rsidR="00A55EC8" w:rsidRPr="00E966B7" w:rsidRDefault="00A55EC8" w:rsidP="00A55EC8">
      <w:pPr>
        <w:spacing w:after="120" w:line="240" w:lineRule="auto"/>
        <w:jc w:val="both"/>
        <w:rPr>
          <w:rFonts w:ascii="Verdana" w:hAnsi="Verdana" w:cs="Arial"/>
          <w:color w:val="EE0000"/>
          <w:sz w:val="20"/>
          <w:szCs w:val="20"/>
        </w:rPr>
      </w:pPr>
    </w:p>
    <w:p w14:paraId="2FB07FB6" w14:textId="53CA0BBB" w:rsidR="00A55EC8" w:rsidRPr="000B6CE0" w:rsidRDefault="00A55EC8" w:rsidP="00A55EC8">
      <w:pPr>
        <w:spacing w:after="0"/>
        <w:rPr>
          <w:rFonts w:ascii="Verdana" w:hAnsi="Verdana"/>
          <w:color w:val="000000" w:themeColor="text1"/>
        </w:rPr>
      </w:pPr>
      <w:r w:rsidRPr="000B6CE0">
        <w:rPr>
          <w:rFonts w:ascii="Verdana" w:hAnsi="Verdana"/>
          <w:color w:val="000000" w:themeColor="text1"/>
        </w:rPr>
        <w:lastRenderedPageBreak/>
        <w:t xml:space="preserve">Bogotá D.C., </w:t>
      </w:r>
      <w:r w:rsidR="00E87A52">
        <w:rPr>
          <w:rFonts w:ascii="Verdana" w:hAnsi="Verdana"/>
          <w:color w:val="000000" w:themeColor="text1"/>
        </w:rPr>
        <w:t>14</w:t>
      </w:r>
      <w:r w:rsidRPr="000B6CE0">
        <w:rPr>
          <w:rFonts w:ascii="Verdana" w:hAnsi="Verdana"/>
          <w:color w:val="000000" w:themeColor="text1"/>
        </w:rPr>
        <w:t xml:space="preserve"> </w:t>
      </w:r>
      <w:r w:rsidR="00E87A52">
        <w:rPr>
          <w:rFonts w:ascii="Verdana" w:hAnsi="Verdana"/>
          <w:color w:val="000000" w:themeColor="text1"/>
        </w:rPr>
        <w:t>Abril 2026</w:t>
      </w:r>
    </w:p>
    <w:p w14:paraId="21204641" w14:textId="0930E419" w:rsidR="00A55EC8" w:rsidRPr="00E966B7" w:rsidRDefault="00E87A52" w:rsidP="00A55EC8">
      <w:pPr>
        <w:spacing w:after="0"/>
        <w:rPr>
          <w:rFonts w:ascii="Verdana" w:hAnsi="Verdana"/>
          <w:color w:val="EE0000"/>
          <w:lang w:val="es-ES"/>
        </w:rPr>
      </w:pPr>
      <w:r w:rsidRPr="00E87A52">
        <w:rPr>
          <w:rFonts w:ascii="Verdana" w:hAnsi="Verdana"/>
          <w:color w:val="000000" w:themeColor="text1"/>
        </w:rPr>
        <w:drawing>
          <wp:anchor distT="0" distB="0" distL="114300" distR="114300" simplePos="0" relativeHeight="251659264" behindDoc="1" locked="0" layoutInCell="1" allowOverlap="1" wp14:anchorId="4E0B265D" wp14:editId="450B0954">
            <wp:simplePos x="0" y="0"/>
            <wp:positionH relativeFrom="margin">
              <wp:align>right</wp:align>
            </wp:positionH>
            <wp:positionV relativeFrom="paragraph">
              <wp:posOffset>12700</wp:posOffset>
            </wp:positionV>
            <wp:extent cx="2514600" cy="670560"/>
            <wp:effectExtent l="0" t="0" r="0" b="0"/>
            <wp:wrapNone/>
            <wp:docPr id="10091458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145852" name=""/>
                    <pic:cNvPicPr/>
                  </pic:nvPicPr>
                  <pic:blipFill>
                    <a:blip r:embed="rId10">
                      <a:extLst>
                        <a:ext uri="{28A0092B-C50C-407E-A947-70E740481C1C}">
                          <a14:useLocalDpi xmlns:a14="http://schemas.microsoft.com/office/drawing/2010/main" val="0"/>
                        </a:ext>
                      </a:extLst>
                    </a:blip>
                    <a:stretch>
                      <a:fillRect/>
                    </a:stretch>
                  </pic:blipFill>
                  <pic:spPr>
                    <a:xfrm>
                      <a:off x="0" y="0"/>
                      <a:ext cx="2514600" cy="670560"/>
                    </a:xfrm>
                    <a:prstGeom prst="rect">
                      <a:avLst/>
                    </a:prstGeom>
                  </pic:spPr>
                </pic:pic>
              </a:graphicData>
            </a:graphic>
            <wp14:sizeRelH relativeFrom="margin">
              <wp14:pctWidth>0</wp14:pctWidth>
            </wp14:sizeRelH>
            <wp14:sizeRelV relativeFrom="margin">
              <wp14:pctHeight>0</wp14:pctHeight>
            </wp14:sizeRelV>
          </wp:anchor>
        </w:drawing>
      </w:r>
    </w:p>
    <w:p w14:paraId="6E33FCFC" w14:textId="77777777" w:rsidR="00A55EC8" w:rsidRPr="00785BC3" w:rsidRDefault="00A55EC8" w:rsidP="00A55EC8">
      <w:pPr>
        <w:spacing w:after="0" w:line="240" w:lineRule="auto"/>
        <w:rPr>
          <w:rFonts w:ascii="Verdana" w:hAnsi="Verdana"/>
          <w:color w:val="000000" w:themeColor="text1"/>
          <w:lang w:val="es-ES"/>
        </w:rPr>
      </w:pPr>
      <w:bookmarkStart w:id="0" w:name="_Hlk143780582"/>
      <w:r w:rsidRPr="00785BC3">
        <w:rPr>
          <w:rFonts w:ascii="Verdana" w:eastAsia="Calibri" w:hAnsi="Verdana" w:cs="Arial"/>
          <w:color w:val="000000" w:themeColor="text1"/>
          <w:lang w:val="es-ES" w:eastAsia="es-ES"/>
        </w:rPr>
        <w:t>Señor</w:t>
      </w:r>
    </w:p>
    <w:p w14:paraId="5B7D336D" w14:textId="77777777" w:rsidR="00A55EC8" w:rsidRPr="00A55EC8" w:rsidRDefault="00A55EC8" w:rsidP="00A55EC8">
      <w:pPr>
        <w:spacing w:after="0"/>
        <w:rPr>
          <w:rFonts w:ascii="Verdana" w:eastAsia="Calibri" w:hAnsi="Verdana" w:cs="Arial"/>
          <w:b/>
          <w:bCs/>
          <w:color w:val="000000" w:themeColor="text1"/>
          <w:lang w:eastAsia="es-ES"/>
        </w:rPr>
      </w:pPr>
      <w:r w:rsidRPr="00A55EC8">
        <w:rPr>
          <w:rFonts w:ascii="Verdana" w:eastAsia="Calibri" w:hAnsi="Verdana" w:cs="Arial"/>
          <w:b/>
          <w:bCs/>
          <w:color w:val="000000" w:themeColor="text1"/>
          <w:lang w:eastAsia="es-ES"/>
        </w:rPr>
        <w:t>Cristianni Ferney Peña Casallas</w:t>
      </w:r>
    </w:p>
    <w:p w14:paraId="6D2ABB61" w14:textId="5A70C760" w:rsidR="00A55EC8" w:rsidRPr="00A55EC8" w:rsidRDefault="00A55EC8" w:rsidP="00A55EC8">
      <w:pPr>
        <w:tabs>
          <w:tab w:val="center" w:pos="4419"/>
        </w:tabs>
        <w:spacing w:after="0"/>
        <w:rPr>
          <w:rFonts w:ascii="Verdana" w:eastAsia="Calibri" w:hAnsi="Verdana" w:cs="Arial"/>
          <w:color w:val="EE0000"/>
          <w:lang w:eastAsia="es-ES"/>
        </w:rPr>
      </w:pPr>
      <w:hyperlink r:id="rId11" w:history="1">
        <w:r w:rsidRPr="00A55EC8">
          <w:rPr>
            <w:rStyle w:val="Hipervnculo"/>
            <w:rFonts w:ascii="Verdana" w:eastAsia="Calibri" w:hAnsi="Verdana" w:cs="Arial"/>
            <w:lang w:eastAsia="es-ES"/>
          </w:rPr>
          <w:t>penacristian173@gmail.com</w:t>
        </w:r>
      </w:hyperlink>
      <w:r w:rsidRPr="00A55EC8">
        <w:rPr>
          <w:rFonts w:ascii="Verdana" w:eastAsia="Calibri" w:hAnsi="Verdana" w:cs="Arial"/>
          <w:color w:val="EE0000"/>
          <w:lang w:eastAsia="es-ES"/>
        </w:rPr>
        <w:t xml:space="preserve"> </w:t>
      </w:r>
    </w:p>
    <w:p w14:paraId="1B636FD4" w14:textId="77777777" w:rsidR="00A55EC8" w:rsidRPr="00D91E16" w:rsidRDefault="00A55EC8" w:rsidP="00A55EC8">
      <w:pPr>
        <w:spacing w:after="0"/>
        <w:rPr>
          <w:rFonts w:ascii="Verdana" w:eastAsia="Calibri" w:hAnsi="Verdana" w:cs="Arial"/>
          <w:color w:val="000000" w:themeColor="text1"/>
          <w:lang w:val="es-ES" w:eastAsia="es-ES"/>
        </w:rPr>
      </w:pPr>
      <w:r w:rsidRPr="00D91E16">
        <w:rPr>
          <w:rFonts w:ascii="Verdana" w:eastAsia="Calibri" w:hAnsi="Verdana" w:cs="Arial"/>
          <w:color w:val="000000" w:themeColor="text1"/>
          <w:lang w:eastAsia="es-ES"/>
        </w:rPr>
        <w:t>Bogotá D.C</w:t>
      </w:r>
    </w:p>
    <w:p w14:paraId="50C5C798" w14:textId="77777777" w:rsidR="00A55EC8" w:rsidRDefault="00A55EC8" w:rsidP="00A55EC8">
      <w:pPr>
        <w:spacing w:after="0" w:line="240" w:lineRule="auto"/>
        <w:rPr>
          <w:rFonts w:ascii="Verdana" w:eastAsia="Calibri" w:hAnsi="Verdana" w:cs="Arial"/>
          <w:b/>
          <w:bCs/>
          <w:color w:val="EE0000"/>
          <w:lang w:val="es-ES" w:eastAsia="es-ES"/>
        </w:rPr>
      </w:pPr>
    </w:p>
    <w:p w14:paraId="4E86F92B" w14:textId="77777777" w:rsidR="00A55EC8" w:rsidRPr="00E966B7" w:rsidRDefault="00A55EC8" w:rsidP="00A55EC8">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A55EC8" w:rsidRPr="00E966B7" w14:paraId="7EC84984" w14:textId="77777777" w:rsidTr="0053549A">
        <w:trPr>
          <w:trHeight w:val="300"/>
        </w:trPr>
        <w:tc>
          <w:tcPr>
            <w:tcW w:w="2410" w:type="dxa"/>
          </w:tcPr>
          <w:p w14:paraId="2B11D67E" w14:textId="77777777" w:rsidR="00A55EC8" w:rsidRPr="00E966B7" w:rsidRDefault="00A55EC8" w:rsidP="0053549A">
            <w:pPr>
              <w:ind w:left="-142"/>
              <w:jc w:val="both"/>
              <w:rPr>
                <w:rFonts w:ascii="Verdana" w:eastAsia="Calibri" w:hAnsi="Verdana" w:cs="Arial"/>
                <w:b/>
                <w:bCs/>
                <w:color w:val="EE0000"/>
                <w:lang w:val="es-ES" w:eastAsia="es-ES_tradnl"/>
              </w:rPr>
            </w:pPr>
          </w:p>
        </w:tc>
        <w:tc>
          <w:tcPr>
            <w:tcW w:w="6100" w:type="dxa"/>
          </w:tcPr>
          <w:p w14:paraId="665E5A84" w14:textId="77777777" w:rsidR="00A55EC8" w:rsidRPr="00785BC3" w:rsidRDefault="00A55EC8" w:rsidP="0053549A">
            <w:pPr>
              <w:ind w:left="3"/>
              <w:jc w:val="both"/>
              <w:rPr>
                <w:rFonts w:ascii="Verdana" w:eastAsia="Calibri" w:hAnsi="Verdana" w:cs="Arial"/>
                <w:b/>
                <w:bCs/>
                <w:color w:val="000000" w:themeColor="text1"/>
                <w:lang w:val="es-ES" w:eastAsia="es-ES"/>
              </w:rPr>
            </w:pPr>
            <w:r w:rsidRPr="00785BC3">
              <w:rPr>
                <w:rFonts w:ascii="Verdana" w:eastAsia="Calibri" w:hAnsi="Verdana" w:cs="Arial"/>
                <w:b/>
                <w:bCs/>
                <w:color w:val="000000" w:themeColor="text1"/>
                <w:lang w:val="es-ES" w:eastAsia="es-ES"/>
              </w:rPr>
              <w:t>Concepto C-345 de 2026</w:t>
            </w:r>
          </w:p>
          <w:p w14:paraId="4CC36360" w14:textId="77777777" w:rsidR="00A55EC8" w:rsidRPr="00E966B7" w:rsidRDefault="00A55EC8" w:rsidP="0053549A">
            <w:pPr>
              <w:ind w:left="3"/>
              <w:jc w:val="both"/>
              <w:rPr>
                <w:rFonts w:ascii="Verdana" w:eastAsia="Calibri" w:hAnsi="Verdana" w:cs="Arial"/>
                <w:b/>
                <w:bCs/>
                <w:color w:val="EE0000"/>
                <w:lang w:val="es-ES" w:eastAsia="es-ES"/>
              </w:rPr>
            </w:pPr>
          </w:p>
        </w:tc>
      </w:tr>
      <w:tr w:rsidR="00A55EC8" w:rsidRPr="00E966B7" w14:paraId="2010625F" w14:textId="77777777" w:rsidTr="0053549A">
        <w:trPr>
          <w:trHeight w:val="300"/>
        </w:trPr>
        <w:tc>
          <w:tcPr>
            <w:tcW w:w="2410" w:type="dxa"/>
          </w:tcPr>
          <w:p w14:paraId="64B93F84" w14:textId="77777777" w:rsidR="00A55EC8" w:rsidRPr="00420907" w:rsidRDefault="00A55EC8" w:rsidP="0053549A">
            <w:pPr>
              <w:ind w:left="424" w:firstLine="137"/>
              <w:jc w:val="both"/>
              <w:rPr>
                <w:rFonts w:ascii="Verdana" w:eastAsia="Calibri" w:hAnsi="Verdana" w:cs="Arial"/>
                <w:lang w:val="es-ES" w:eastAsia="es-ES_tradnl"/>
              </w:rPr>
            </w:pPr>
            <w:r w:rsidRPr="00420907">
              <w:rPr>
                <w:rFonts w:ascii="Verdana" w:eastAsia="Calibri" w:hAnsi="Verdana" w:cs="Arial"/>
                <w:b/>
                <w:lang w:val="es-ES" w:eastAsia="es-ES_tradnl"/>
              </w:rPr>
              <w:t>Temas:</w:t>
            </w:r>
            <w:r w:rsidRPr="00420907">
              <w:rPr>
                <w:rFonts w:ascii="Verdana" w:eastAsia="Calibri" w:hAnsi="Verdana" w:cs="Arial"/>
                <w:lang w:val="es-ES" w:eastAsia="es-ES_tradnl"/>
              </w:rPr>
              <w:t xml:space="preserve">              </w:t>
            </w:r>
          </w:p>
        </w:tc>
        <w:tc>
          <w:tcPr>
            <w:tcW w:w="6100" w:type="dxa"/>
          </w:tcPr>
          <w:p w14:paraId="31C6A0D1" w14:textId="77777777" w:rsidR="00A55EC8" w:rsidRPr="00420907" w:rsidRDefault="00A55EC8" w:rsidP="0053549A">
            <w:pPr>
              <w:jc w:val="both"/>
              <w:rPr>
                <w:rFonts w:ascii="Verdana" w:eastAsia="Calibri" w:hAnsi="Verdana" w:cs="Arial"/>
                <w:bCs/>
              </w:rPr>
            </w:pPr>
            <w:r w:rsidRPr="00420907">
              <w:rPr>
                <w:rFonts w:ascii="Verdana" w:eastAsia="Calibri" w:hAnsi="Verdana" w:cs="Arial"/>
                <w:bCs/>
              </w:rPr>
              <w:t>CONTRATACIÓN ESTATAL – Capacidad - Contrato de prestación de servicios / RÉGIMEN DE INHABILIDADES E INCOMPATIBILIDADES – Definición – Taxatividad – Interpretación restrictiva / PENSIONADO POR INVALIDEZ – Contrato de prestación de servicios - Capacidad para contratar con el Estado / CONTRATO DE PRESTACIÓN DE SERVICIOS – Prevención del contrato realidad</w:t>
            </w:r>
          </w:p>
          <w:p w14:paraId="2C14410D" w14:textId="77777777" w:rsidR="00A55EC8" w:rsidRPr="00420907" w:rsidRDefault="00A55EC8" w:rsidP="0053549A">
            <w:pPr>
              <w:jc w:val="both"/>
              <w:rPr>
                <w:rFonts w:ascii="Verdana" w:hAnsi="Verdana"/>
              </w:rPr>
            </w:pPr>
          </w:p>
        </w:tc>
      </w:tr>
      <w:tr w:rsidR="00A55EC8" w:rsidRPr="00E966B7" w14:paraId="65E2A9D6" w14:textId="77777777" w:rsidTr="0053549A">
        <w:trPr>
          <w:trHeight w:val="87"/>
        </w:trPr>
        <w:tc>
          <w:tcPr>
            <w:tcW w:w="2410" w:type="dxa"/>
          </w:tcPr>
          <w:p w14:paraId="2F9A9767" w14:textId="77777777" w:rsidR="00A55EC8" w:rsidRPr="000504CC" w:rsidRDefault="00A55EC8" w:rsidP="0053549A">
            <w:pPr>
              <w:ind w:left="561"/>
              <w:jc w:val="both"/>
              <w:rPr>
                <w:rFonts w:ascii="Verdana" w:eastAsia="Calibri" w:hAnsi="Verdana" w:cs="Arial"/>
                <w:b/>
                <w:color w:val="000000" w:themeColor="text1"/>
                <w:lang w:val="es-ES" w:eastAsia="es-ES_tradnl"/>
              </w:rPr>
            </w:pPr>
            <w:r w:rsidRPr="000504CC">
              <w:rPr>
                <w:rFonts w:ascii="Verdana" w:eastAsia="Calibri" w:hAnsi="Verdana" w:cs="Arial"/>
                <w:b/>
                <w:color w:val="000000" w:themeColor="text1"/>
                <w:lang w:val="es-ES" w:eastAsia="es-ES_tradnl"/>
              </w:rPr>
              <w:t>Radicación:</w:t>
            </w:r>
            <w:r w:rsidRPr="000504CC">
              <w:rPr>
                <w:rFonts w:ascii="Verdana" w:eastAsia="Calibri" w:hAnsi="Verdana" w:cs="Arial"/>
                <w:color w:val="000000" w:themeColor="text1"/>
                <w:lang w:val="es-ES" w:eastAsia="es-ES_tradnl"/>
              </w:rPr>
              <w:t xml:space="preserve">              </w:t>
            </w:r>
          </w:p>
        </w:tc>
        <w:tc>
          <w:tcPr>
            <w:tcW w:w="6100" w:type="dxa"/>
          </w:tcPr>
          <w:p w14:paraId="58AF096E" w14:textId="77777777" w:rsidR="00A55EC8" w:rsidRPr="000504CC" w:rsidRDefault="00A55EC8" w:rsidP="0053549A">
            <w:pPr>
              <w:ind w:left="3"/>
              <w:jc w:val="both"/>
              <w:rPr>
                <w:rFonts w:ascii="Verdana" w:eastAsia="Calibri" w:hAnsi="Verdana" w:cs="Arial"/>
                <w:color w:val="000000" w:themeColor="text1"/>
                <w:lang w:val="es-ES" w:eastAsia="es-ES"/>
              </w:rPr>
            </w:pPr>
            <w:r w:rsidRPr="000504CC">
              <w:rPr>
                <w:rFonts w:ascii="Verdana" w:eastAsia="Calibri" w:hAnsi="Verdana" w:cs="Arial"/>
                <w:color w:val="000000" w:themeColor="text1"/>
                <w:lang w:val="es-ES" w:eastAsia="es-ES"/>
              </w:rPr>
              <w:t>Respuesta a consulta con radicado No. 1_2026_03_03_002965</w:t>
            </w:r>
          </w:p>
          <w:p w14:paraId="4E09B7F2" w14:textId="77777777" w:rsidR="00A55EC8" w:rsidRPr="000504CC" w:rsidRDefault="00A55EC8" w:rsidP="0053549A">
            <w:pPr>
              <w:ind w:left="3"/>
              <w:jc w:val="both"/>
              <w:rPr>
                <w:rFonts w:ascii="Verdana" w:hAnsi="Verdana"/>
                <w:color w:val="000000" w:themeColor="text1"/>
                <w:lang w:val="es-ES"/>
              </w:rPr>
            </w:pPr>
          </w:p>
        </w:tc>
      </w:tr>
    </w:tbl>
    <w:p w14:paraId="439A584D" w14:textId="77777777" w:rsidR="00A55EC8" w:rsidRPr="00E966B7" w:rsidRDefault="00A55EC8" w:rsidP="00A55EC8">
      <w:pPr>
        <w:spacing w:after="0" w:line="276" w:lineRule="auto"/>
        <w:jc w:val="both"/>
        <w:rPr>
          <w:rFonts w:ascii="Verdana" w:eastAsia="Calibri" w:hAnsi="Verdana" w:cs="Arial"/>
          <w:color w:val="EE0000"/>
          <w:lang w:val="es-ES" w:eastAsia="es-ES"/>
        </w:rPr>
      </w:pPr>
    </w:p>
    <w:p w14:paraId="133A487C" w14:textId="77777777" w:rsidR="00A55EC8" w:rsidRPr="000504CC" w:rsidRDefault="00A55EC8" w:rsidP="00A55EC8">
      <w:pPr>
        <w:spacing w:after="0" w:line="276" w:lineRule="auto"/>
        <w:jc w:val="both"/>
        <w:rPr>
          <w:rFonts w:ascii="Verdana" w:eastAsia="Calibri" w:hAnsi="Verdana" w:cs="Arial"/>
          <w:color w:val="000000" w:themeColor="text1"/>
          <w:lang w:eastAsia="es-ES"/>
        </w:rPr>
      </w:pPr>
      <w:r w:rsidRPr="000504CC">
        <w:rPr>
          <w:rFonts w:ascii="Verdana" w:eastAsia="Calibri" w:hAnsi="Verdana" w:cs="Arial"/>
          <w:color w:val="000000" w:themeColor="text1"/>
          <w:lang w:eastAsia="es-ES"/>
        </w:rPr>
        <w:t>Estimado señor Peña:</w:t>
      </w:r>
    </w:p>
    <w:p w14:paraId="3DFB6D9A" w14:textId="77777777" w:rsidR="00A55EC8" w:rsidRPr="000504CC" w:rsidRDefault="00A55EC8" w:rsidP="00A55EC8">
      <w:pPr>
        <w:spacing w:after="0" w:line="276" w:lineRule="auto"/>
        <w:jc w:val="both"/>
        <w:rPr>
          <w:rFonts w:ascii="Verdana" w:eastAsia="Calibri" w:hAnsi="Verdana" w:cs="Arial"/>
          <w:color w:val="000000" w:themeColor="text1"/>
          <w:lang w:eastAsia="es-ES"/>
        </w:rPr>
      </w:pPr>
      <w:r w:rsidRPr="000504CC">
        <w:rPr>
          <w:rFonts w:ascii="Verdana" w:eastAsia="Calibri" w:hAnsi="Verdana" w:cs="Arial"/>
          <w:color w:val="000000" w:themeColor="text1"/>
          <w:lang w:eastAsia="es-ES"/>
        </w:rPr>
        <w:t xml:space="preserve"> </w:t>
      </w:r>
    </w:p>
    <w:p w14:paraId="71A87B64" w14:textId="77777777" w:rsidR="00A55EC8" w:rsidRPr="000504CC" w:rsidRDefault="00A55EC8" w:rsidP="00A55EC8">
      <w:pPr>
        <w:tabs>
          <w:tab w:val="left" w:pos="3768"/>
        </w:tabs>
        <w:spacing w:after="0" w:line="276" w:lineRule="auto"/>
        <w:jc w:val="both"/>
        <w:rPr>
          <w:rFonts w:ascii="Verdana" w:eastAsia="Calibri" w:hAnsi="Verdana" w:cs="Arial"/>
          <w:color w:val="000000" w:themeColor="text1"/>
          <w:lang w:eastAsia="es-ES"/>
        </w:rPr>
      </w:pPr>
      <w:r w:rsidRPr="000504CC">
        <w:rPr>
          <w:rFonts w:ascii="Verdana" w:eastAsia="Calibri" w:hAnsi="Verdana" w:cs="Arial"/>
          <w:color w:val="000000" w:themeColor="text1"/>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03 de marzo de 2026, en la cual manifiesta lo siguiente: </w:t>
      </w:r>
    </w:p>
    <w:p w14:paraId="6792B259" w14:textId="77777777" w:rsidR="00A55EC8" w:rsidRPr="00E966B7" w:rsidRDefault="00A55EC8" w:rsidP="00A55EC8">
      <w:pPr>
        <w:tabs>
          <w:tab w:val="left" w:pos="3768"/>
        </w:tabs>
        <w:spacing w:after="0" w:line="276" w:lineRule="auto"/>
        <w:jc w:val="both"/>
        <w:rPr>
          <w:rFonts w:ascii="Verdana" w:eastAsia="Calibri" w:hAnsi="Verdana" w:cs="Arial"/>
          <w:color w:val="EE0000"/>
          <w:lang w:eastAsia="es-ES"/>
        </w:rPr>
      </w:pPr>
    </w:p>
    <w:p w14:paraId="01D0E677" w14:textId="77777777" w:rsidR="00A55EC8" w:rsidRPr="00293409" w:rsidRDefault="00A55EC8" w:rsidP="00A55EC8">
      <w:pPr>
        <w:spacing w:before="120" w:after="120" w:line="240" w:lineRule="auto"/>
        <w:ind w:left="709" w:right="709"/>
        <w:contextualSpacing/>
        <w:jc w:val="both"/>
        <w:rPr>
          <w:rFonts w:ascii="Verdana" w:eastAsia="Century Gothic" w:hAnsi="Verdana" w:cs="Century Gothic"/>
          <w:i/>
          <w:iCs/>
          <w:sz w:val="20"/>
          <w:szCs w:val="20"/>
          <w:lang w:val="es-ES"/>
        </w:rPr>
      </w:pPr>
      <w:r w:rsidRPr="00293409">
        <w:rPr>
          <w:rFonts w:ascii="Verdana" w:eastAsia="Century Gothic" w:hAnsi="Verdana" w:cs="Century Gothic"/>
          <w:i/>
          <w:iCs/>
          <w:sz w:val="20"/>
          <w:szCs w:val="20"/>
          <w:lang w:val="es-ES"/>
        </w:rPr>
        <w:t>“(…) QUISIERA SABER SI UNA PERSONA PENSIONADA POR INVALIDEZ DE</w:t>
      </w:r>
    </w:p>
    <w:p w14:paraId="46260672" w14:textId="77777777" w:rsidR="00A55EC8" w:rsidRPr="00293409" w:rsidRDefault="00A55EC8" w:rsidP="00A55EC8">
      <w:pPr>
        <w:spacing w:before="120" w:after="120" w:line="240" w:lineRule="auto"/>
        <w:ind w:left="709" w:right="709"/>
        <w:contextualSpacing/>
        <w:jc w:val="both"/>
        <w:rPr>
          <w:rFonts w:ascii="Verdana" w:eastAsia="Century Gothic" w:hAnsi="Verdana" w:cs="Century Gothic"/>
          <w:i/>
          <w:iCs/>
          <w:sz w:val="20"/>
          <w:szCs w:val="20"/>
          <w:lang w:val="es-ES"/>
        </w:rPr>
      </w:pPr>
      <w:r w:rsidRPr="00293409">
        <w:rPr>
          <w:rFonts w:ascii="Verdana" w:eastAsia="Century Gothic" w:hAnsi="Verdana" w:cs="Century Gothic"/>
          <w:i/>
          <w:iCs/>
          <w:sz w:val="20"/>
          <w:szCs w:val="20"/>
          <w:lang w:val="es-ES"/>
        </w:rPr>
        <w:t>ORIGEN COMÚN POR FONDO PRIVADO, PUEDE SUSCRIBIR UN CONTRATO DE PRESTACIÓN DE SERVICIOS CON UNA ENTIDAD DEL ESTADO.</w:t>
      </w:r>
    </w:p>
    <w:p w14:paraId="3BD22B7E" w14:textId="77777777" w:rsidR="00A55EC8" w:rsidRPr="00293409" w:rsidRDefault="00A55EC8" w:rsidP="00A55EC8">
      <w:pPr>
        <w:spacing w:before="120" w:after="120" w:line="240" w:lineRule="auto"/>
        <w:ind w:left="709" w:right="709"/>
        <w:contextualSpacing/>
        <w:jc w:val="both"/>
        <w:rPr>
          <w:rFonts w:ascii="Verdana" w:eastAsia="Century Gothic" w:hAnsi="Verdana" w:cs="Century Gothic"/>
          <w:i/>
          <w:iCs/>
          <w:sz w:val="20"/>
          <w:szCs w:val="20"/>
          <w:lang w:val="es-ES"/>
        </w:rPr>
      </w:pPr>
    </w:p>
    <w:p w14:paraId="08DB56B8" w14:textId="77777777" w:rsidR="00A55EC8" w:rsidRPr="00293409" w:rsidRDefault="00A55EC8" w:rsidP="00A55EC8">
      <w:pPr>
        <w:spacing w:before="120" w:after="120" w:line="240" w:lineRule="auto"/>
        <w:ind w:left="709" w:right="709"/>
        <w:contextualSpacing/>
        <w:jc w:val="both"/>
        <w:rPr>
          <w:rFonts w:ascii="Verdana" w:eastAsia="Century Gothic" w:hAnsi="Verdana" w:cs="Century Gothic"/>
          <w:i/>
          <w:iCs/>
          <w:sz w:val="20"/>
          <w:szCs w:val="20"/>
          <w:lang w:val="es-ES"/>
        </w:rPr>
      </w:pPr>
      <w:r w:rsidRPr="00293409">
        <w:rPr>
          <w:rFonts w:ascii="Verdana" w:eastAsia="Century Gothic" w:hAnsi="Verdana" w:cs="Century Gothic"/>
          <w:i/>
          <w:iCs/>
          <w:sz w:val="20"/>
          <w:szCs w:val="20"/>
          <w:lang w:val="es-ES"/>
        </w:rPr>
        <w:t>EN CASO DE SER POSITIVA LA RESPUESTA ¿QUE ELEMENTOS DEBE TENERSE EN CUENTA AL MOMENTO DE SUSCRIBIR EL CONTRATO?</w:t>
      </w:r>
    </w:p>
    <w:p w14:paraId="619A916E" w14:textId="77777777" w:rsidR="00A55EC8" w:rsidRPr="00293409" w:rsidRDefault="00A55EC8" w:rsidP="00A55EC8">
      <w:pPr>
        <w:spacing w:before="120" w:after="120" w:line="240" w:lineRule="auto"/>
        <w:ind w:left="709" w:right="709"/>
        <w:contextualSpacing/>
        <w:jc w:val="both"/>
        <w:rPr>
          <w:rFonts w:ascii="Verdana" w:eastAsia="Century Gothic" w:hAnsi="Verdana" w:cs="Century Gothic"/>
          <w:i/>
          <w:iCs/>
          <w:sz w:val="20"/>
          <w:szCs w:val="20"/>
          <w:lang w:val="es-ES"/>
        </w:rPr>
      </w:pPr>
    </w:p>
    <w:p w14:paraId="01CA18D5" w14:textId="77777777" w:rsidR="00A55EC8" w:rsidRDefault="00A55EC8" w:rsidP="00A55EC8">
      <w:pPr>
        <w:spacing w:before="120" w:after="120" w:line="240" w:lineRule="auto"/>
        <w:ind w:left="709" w:right="709"/>
        <w:contextualSpacing/>
        <w:jc w:val="both"/>
        <w:rPr>
          <w:rFonts w:ascii="Verdana" w:eastAsia="Century Gothic" w:hAnsi="Verdana" w:cs="Century Gothic"/>
          <w:i/>
          <w:iCs/>
          <w:sz w:val="20"/>
          <w:szCs w:val="20"/>
          <w:lang w:val="es-ES"/>
        </w:rPr>
      </w:pPr>
      <w:r w:rsidRPr="00293409">
        <w:rPr>
          <w:rFonts w:ascii="Verdana" w:eastAsia="Century Gothic" w:hAnsi="Verdana" w:cs="Century Gothic"/>
          <w:i/>
          <w:iCs/>
          <w:sz w:val="20"/>
          <w:szCs w:val="20"/>
          <w:lang w:val="es-ES"/>
        </w:rPr>
        <w:t>SI LA RESPUESTA ES NEGATIVA ¿CUALES CON LOS ARGUMENTOS JURIDICOS QUE IMPOSIBILTAN LA SUSCRIPCIÓN DEL CONTRATO, SI LA INVALIDEZ ES DE ORIGEN COMUN? (…)”</w:t>
      </w:r>
    </w:p>
    <w:p w14:paraId="41275E1F" w14:textId="77777777" w:rsidR="00A55EC8" w:rsidRPr="00293409" w:rsidRDefault="00A55EC8" w:rsidP="00A55EC8">
      <w:pPr>
        <w:spacing w:before="120" w:after="120" w:line="240" w:lineRule="auto"/>
        <w:ind w:left="709" w:right="709"/>
        <w:contextualSpacing/>
        <w:jc w:val="both"/>
        <w:rPr>
          <w:rFonts w:ascii="Verdana" w:eastAsia="Century Gothic" w:hAnsi="Verdana" w:cs="Century Gothic"/>
          <w:i/>
          <w:iCs/>
          <w:sz w:val="20"/>
          <w:szCs w:val="20"/>
          <w:lang w:val="es-ES"/>
        </w:rPr>
      </w:pPr>
    </w:p>
    <w:p w14:paraId="1E52B4B1" w14:textId="77777777" w:rsidR="00A55EC8" w:rsidRPr="000504CC" w:rsidRDefault="00A55EC8" w:rsidP="00A55EC8">
      <w:pPr>
        <w:spacing w:after="120" w:line="276" w:lineRule="auto"/>
        <w:ind w:firstLine="708"/>
        <w:jc w:val="both"/>
        <w:rPr>
          <w:rFonts w:ascii="Verdana" w:eastAsia="Calibri" w:hAnsi="Verdana" w:cs="Arial"/>
          <w:color w:val="000000" w:themeColor="text1"/>
          <w:lang w:val="es-ES" w:eastAsia="es-ES"/>
        </w:rPr>
      </w:pPr>
      <w:r w:rsidRPr="000504CC">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504CC">
        <w:rPr>
          <w:rFonts w:ascii="Verdana" w:hAnsi="Verdana"/>
          <w:color w:val="000000" w:themeColor="text1"/>
          <w:lang w:val="es-ES"/>
        </w:rPr>
        <w:tab/>
      </w:r>
    </w:p>
    <w:p w14:paraId="65EAA438" w14:textId="77777777" w:rsidR="00A55EC8" w:rsidRPr="000504CC" w:rsidRDefault="00A55EC8" w:rsidP="00A55EC8">
      <w:pPr>
        <w:spacing w:after="0" w:line="276" w:lineRule="auto"/>
        <w:ind w:firstLine="709"/>
        <w:jc w:val="both"/>
        <w:rPr>
          <w:rFonts w:ascii="Verdana" w:eastAsia="Calibri" w:hAnsi="Verdana" w:cs="Arial"/>
          <w:color w:val="000000" w:themeColor="text1"/>
          <w:lang w:val="es-ES" w:eastAsia="es-ES"/>
        </w:rPr>
      </w:pPr>
      <w:r w:rsidRPr="000504C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5AAE1D7" w14:textId="77777777" w:rsidR="00A55EC8" w:rsidRPr="00E966B7" w:rsidRDefault="00A55EC8" w:rsidP="00A55EC8">
      <w:pPr>
        <w:spacing w:after="0" w:line="276" w:lineRule="auto"/>
        <w:ind w:firstLine="709"/>
        <w:jc w:val="both"/>
        <w:rPr>
          <w:rFonts w:ascii="Verdana" w:eastAsia="Calibri" w:hAnsi="Verdana" w:cs="Arial"/>
          <w:color w:val="EE0000"/>
          <w:lang w:val="es-ES" w:eastAsia="es-ES"/>
        </w:rPr>
      </w:pPr>
    </w:p>
    <w:p w14:paraId="37A6EBB8" w14:textId="77777777" w:rsidR="00A55EC8" w:rsidRPr="000504CC" w:rsidRDefault="00A55EC8" w:rsidP="00A55EC8">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0504CC">
        <w:rPr>
          <w:rFonts w:ascii="Verdana" w:eastAsia="Century Gothic" w:hAnsi="Verdana" w:cs="Century Gothic"/>
          <w:b/>
          <w:color w:val="000000" w:themeColor="text1"/>
          <w:lang w:val="es-ES"/>
        </w:rPr>
        <w:t>1. Problema planteado:</w:t>
      </w:r>
    </w:p>
    <w:p w14:paraId="19ADBA01" w14:textId="77777777" w:rsidR="00A55EC8" w:rsidRPr="000504CC" w:rsidRDefault="00A55EC8" w:rsidP="00A55EC8">
      <w:pPr>
        <w:tabs>
          <w:tab w:val="left" w:pos="426"/>
        </w:tabs>
        <w:spacing w:after="0" w:line="276" w:lineRule="auto"/>
        <w:jc w:val="both"/>
        <w:rPr>
          <w:rFonts w:ascii="Verdana" w:eastAsia="Century Gothic" w:hAnsi="Verdana" w:cs="Century Gothic"/>
          <w:color w:val="000000" w:themeColor="text1"/>
          <w:lang w:val="es-ES"/>
        </w:rPr>
      </w:pPr>
    </w:p>
    <w:p w14:paraId="38C568C5" w14:textId="77777777" w:rsidR="00A55EC8" w:rsidRPr="00E966B7" w:rsidRDefault="00A55EC8" w:rsidP="00A55EC8">
      <w:pPr>
        <w:spacing w:after="0" w:line="276" w:lineRule="auto"/>
        <w:jc w:val="both"/>
        <w:rPr>
          <w:rFonts w:ascii="Verdana" w:eastAsia="Century Gothic" w:hAnsi="Verdana" w:cs="Century Gothic"/>
          <w:color w:val="EE0000"/>
        </w:rPr>
      </w:pPr>
      <w:r w:rsidRPr="000504CC">
        <w:rPr>
          <w:rFonts w:ascii="Verdana" w:eastAsia="Century Gothic" w:hAnsi="Verdana" w:cs="Century Gothic"/>
          <w:color w:val="000000" w:themeColor="text1"/>
          <w:lang w:val="es-ES"/>
        </w:rPr>
        <w:t xml:space="preserve">De acuerdo con el contenido de su solicitud, esta Agencia resolverá el siguiente problema jurídico: </w:t>
      </w:r>
      <w:r w:rsidRPr="00C76C01">
        <w:rPr>
          <w:rFonts w:ascii="Verdana" w:eastAsia="Century Gothic" w:hAnsi="Verdana" w:cs="Century Gothic"/>
        </w:rPr>
        <w:t>¿Es jurídicamente viable que un pensionado por invalidez suscriba contratos de prestación de servicios con entidades públicas?</w:t>
      </w:r>
    </w:p>
    <w:p w14:paraId="08510E15" w14:textId="77777777" w:rsidR="00A55EC8" w:rsidRPr="000504CC" w:rsidRDefault="00A55EC8" w:rsidP="00A55EC8">
      <w:pPr>
        <w:spacing w:after="0" w:line="276" w:lineRule="auto"/>
        <w:jc w:val="both"/>
        <w:rPr>
          <w:rFonts w:ascii="Verdana" w:eastAsia="Century Gothic" w:hAnsi="Verdana" w:cs="Century Gothic"/>
          <w:color w:val="000000" w:themeColor="text1"/>
        </w:rPr>
      </w:pPr>
    </w:p>
    <w:p w14:paraId="2895FE2B" w14:textId="77777777" w:rsidR="00A55EC8" w:rsidRPr="000504CC" w:rsidRDefault="00A55EC8" w:rsidP="00A55EC8">
      <w:pPr>
        <w:tabs>
          <w:tab w:val="left" w:pos="142"/>
          <w:tab w:val="left" w:pos="284"/>
        </w:tabs>
        <w:spacing w:after="0" w:line="276" w:lineRule="auto"/>
        <w:jc w:val="both"/>
        <w:rPr>
          <w:rFonts w:ascii="Verdana" w:eastAsia="Century Gothic" w:hAnsi="Verdana" w:cs="Century Gothic"/>
          <w:b/>
          <w:color w:val="000000" w:themeColor="text1"/>
          <w:lang w:val="es-ES"/>
        </w:rPr>
      </w:pPr>
      <w:r w:rsidRPr="000504CC">
        <w:rPr>
          <w:rFonts w:ascii="Verdana" w:eastAsia="Century Gothic" w:hAnsi="Verdana" w:cs="Century Gothic"/>
          <w:b/>
          <w:color w:val="000000" w:themeColor="text1"/>
          <w:lang w:val="es-ES"/>
        </w:rPr>
        <w:t>2. Respuesta:</w:t>
      </w:r>
    </w:p>
    <w:p w14:paraId="1D44767D" w14:textId="77777777" w:rsidR="00A55EC8" w:rsidRPr="00E966B7" w:rsidRDefault="00A55EC8" w:rsidP="00A55EC8">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5EC8" w:rsidRPr="00E966B7" w14:paraId="4A48A86B" w14:textId="77777777" w:rsidTr="0053549A">
        <w:tc>
          <w:tcPr>
            <w:tcW w:w="8828" w:type="dxa"/>
          </w:tcPr>
          <w:p w14:paraId="66825C18" w14:textId="77777777" w:rsidR="00A55EC8" w:rsidRDefault="00A55EC8" w:rsidP="0053549A">
            <w:pPr>
              <w:spacing w:before="120" w:after="120" w:line="276" w:lineRule="auto"/>
              <w:jc w:val="both"/>
              <w:rPr>
                <w:rFonts w:ascii="Verdana" w:eastAsia="Calibri" w:hAnsi="Verdana" w:cs="Arial"/>
              </w:rPr>
            </w:pPr>
            <w:r w:rsidRPr="00D40C38">
              <w:rPr>
                <w:rFonts w:ascii="Verdana" w:eastAsia="Calibri" w:hAnsi="Verdana" w:cs="Arial"/>
              </w:rPr>
              <w:t>Para dar respuesta al problema jurídico, se concluye, a partir del análisis del régimen de inhabilidades e incompatibilidades aplicable a la contratación estatal, que no existe inhabilidad, incompatibilidad o prohibición legal que impida a una persona natural pensionada por invalidez celebrar contratos de prestación de servicios con entidades estatales.</w:t>
            </w:r>
          </w:p>
          <w:p w14:paraId="3213F7E2" w14:textId="77777777" w:rsidR="00A55EC8" w:rsidRDefault="00A55EC8" w:rsidP="0053549A">
            <w:pPr>
              <w:spacing w:before="120" w:after="120" w:line="276" w:lineRule="auto"/>
              <w:ind w:firstLine="709"/>
              <w:jc w:val="both"/>
              <w:rPr>
                <w:rFonts w:ascii="Verdana" w:eastAsia="Calibri" w:hAnsi="Verdana" w:cs="Arial"/>
              </w:rPr>
            </w:pPr>
            <w:r>
              <w:rPr>
                <w:rFonts w:ascii="Verdana" w:eastAsia="Calibri" w:hAnsi="Verdana" w:cs="Arial"/>
              </w:rPr>
              <w:t xml:space="preserve">En ese sentido, </w:t>
            </w:r>
            <w:r w:rsidRPr="001527A1">
              <w:rPr>
                <w:rFonts w:ascii="Verdana" w:eastAsia="Calibri" w:hAnsi="Verdana" w:cs="Arial"/>
              </w:rPr>
              <w:t xml:space="preserve">revisadas las causales previstas en la Constitución Política, en el artículo 8 de la Ley 80 de 1993 y en las normas que regulan las limitaciones a la capacidad contractual, no se advierte disposición que restrinja </w:t>
            </w:r>
            <w:r w:rsidRPr="001527A1">
              <w:rPr>
                <w:rFonts w:ascii="Verdana" w:eastAsia="Calibri" w:hAnsi="Verdana" w:cs="Arial"/>
              </w:rPr>
              <w:lastRenderedPageBreak/>
              <w:t xml:space="preserve">la posibilidad de que una persona pensionada por invalidez actúe como contratista del Estado mediante la modalidad de prestación de servicios. Esta conclusión resulta acorde con la interpretación restrictiva que rige en materia de inhabilidades e incompatibilidades, en virtud del principio de legalidad y del criterio hermenéutico </w:t>
            </w:r>
            <w:r w:rsidRPr="001527A1">
              <w:rPr>
                <w:rFonts w:ascii="Verdana" w:eastAsia="Calibri" w:hAnsi="Verdana" w:cs="Arial"/>
                <w:i/>
                <w:iCs/>
              </w:rPr>
              <w:t>pro libertate</w:t>
            </w:r>
            <w:r w:rsidRPr="001527A1">
              <w:rPr>
                <w:rFonts w:ascii="Verdana" w:eastAsia="Calibri" w:hAnsi="Verdana" w:cs="Arial"/>
              </w:rPr>
              <w:t>, reiteradamente acogido por la Corte Constitucional y el Consejo de Estado</w:t>
            </w:r>
            <w:r>
              <w:rPr>
                <w:rFonts w:ascii="Verdana" w:eastAsia="Calibri" w:hAnsi="Verdana" w:cs="Arial"/>
              </w:rPr>
              <w:t>, como se explica en las consideraciones de este concepto.</w:t>
            </w:r>
          </w:p>
          <w:p w14:paraId="431979E9" w14:textId="77777777" w:rsidR="00A55EC8" w:rsidRDefault="00A55EC8" w:rsidP="0053549A">
            <w:pPr>
              <w:spacing w:before="120" w:after="120" w:line="276" w:lineRule="auto"/>
              <w:ind w:firstLine="709"/>
              <w:jc w:val="both"/>
              <w:rPr>
                <w:rFonts w:ascii="Verdana" w:eastAsia="Calibri" w:hAnsi="Verdana" w:cs="Arial"/>
              </w:rPr>
            </w:pPr>
            <w:r>
              <w:rPr>
                <w:rFonts w:ascii="Verdana" w:eastAsia="Calibri" w:hAnsi="Verdana" w:cs="Arial"/>
              </w:rPr>
              <w:t xml:space="preserve">De igual forma, </w:t>
            </w:r>
            <w:r w:rsidRPr="00715313">
              <w:rPr>
                <w:rFonts w:ascii="Verdana" w:eastAsia="Calibri" w:hAnsi="Verdana" w:cs="Arial"/>
                <w:bCs/>
                <w:color w:val="000000" w:themeColor="text1"/>
              </w:rPr>
              <w:t xml:space="preserve">el Departamento Administrativo de la Función Pública, </w:t>
            </w:r>
            <w:r>
              <w:rPr>
                <w:rFonts w:ascii="Verdana" w:eastAsia="Calibri" w:hAnsi="Verdana" w:cs="Arial"/>
                <w:bCs/>
                <w:color w:val="000000" w:themeColor="text1"/>
              </w:rPr>
              <w:t xml:space="preserve">expuso que </w:t>
            </w:r>
            <w:r w:rsidRPr="00715313">
              <w:rPr>
                <w:rFonts w:ascii="Verdana" w:eastAsia="Calibri" w:hAnsi="Verdana" w:cs="Arial"/>
                <w:bCs/>
                <w:color w:val="000000" w:themeColor="text1"/>
              </w:rPr>
              <w:t>la condición de pensionado por invalidez no constituye, en sí misma, un impedimento para acceder al empleo público o para contratar con entidades estatales, siempre que no exista una prohibición legal expresa ni se configure una doble asignación del tesoro público, en los términos del artículo 128 de la Constitución Política.</w:t>
            </w:r>
          </w:p>
          <w:p w14:paraId="4366AD32" w14:textId="77777777" w:rsidR="00A55EC8" w:rsidRDefault="00A55EC8" w:rsidP="0053549A">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No obstante, la inexistencia de una causal de inhabilidad o incompatibilidad no implica que la celebración del contrato de prestación de servicios sea procedente en todos los casos. Corresponde a la entidad contratante verificar el cumplimiento de los requisitos propios de esta modalidad contractual, atendiendo su carácter excepcional, esto es, que las actividades no puedan ser desarrolladas con personal de planta o requieran conocimientos especializados, que el contrato sea de naturaleza temporal y que no se utilice para encubrir una relación laboral o para la conformación de nóminas paralelas.</w:t>
            </w:r>
          </w:p>
          <w:p w14:paraId="550F30ED" w14:textId="77777777" w:rsidR="00A55EC8" w:rsidRDefault="00A55EC8" w:rsidP="0053549A">
            <w:pPr>
              <w:spacing w:before="120" w:line="276" w:lineRule="auto"/>
              <w:ind w:firstLine="708"/>
              <w:jc w:val="both"/>
              <w:rPr>
                <w:rFonts w:ascii="Verdana" w:eastAsia="Calibri" w:hAnsi="Verdana" w:cs="Arial"/>
                <w:color w:val="000000" w:themeColor="text1"/>
              </w:rPr>
            </w:pPr>
            <w:r w:rsidRPr="00751148">
              <w:rPr>
                <w:rFonts w:ascii="Verdana" w:eastAsia="Calibri" w:hAnsi="Verdana" w:cs="Arial"/>
                <w:color w:val="000000" w:themeColor="text1"/>
              </w:rPr>
              <w:t>Así mismo, la entidad contratante debe realizar un análisis cuidadoso de las condiciones de ejecución del contrato, valorando la complejidad y el alcance de las actividades encomendadas, con el fin de determinar si el contratista cuenta con la capacidad jurídica, técnica y operativa para ejecutarlas adecuadamente. En el caso de personas pensionadas por invalidez, este análisis debe incluir la verificación de que las actividades objeto del contrato sean compatibles con el grado de pérdida de capacidad laboral reconocido, sin que ello implique, por sí mismo, una valoración o decisión de carácter pensional, la cual corresponde a las autoridades competentes del sistema de seguridad social.</w:t>
            </w:r>
          </w:p>
          <w:p w14:paraId="42D4E52A" w14:textId="77777777" w:rsidR="00A55EC8" w:rsidRPr="003E2F15" w:rsidRDefault="00A55EC8" w:rsidP="0053549A">
            <w:pPr>
              <w:spacing w:before="120" w:line="276" w:lineRule="auto"/>
              <w:ind w:firstLine="708"/>
              <w:jc w:val="both"/>
              <w:rPr>
                <w:rFonts w:ascii="Verdana" w:eastAsia="Calibri" w:hAnsi="Verdana" w:cs="Arial"/>
                <w:bCs/>
                <w:color w:val="000000" w:themeColor="text1"/>
              </w:rPr>
            </w:pPr>
            <w:r w:rsidRPr="0021404D">
              <w:rPr>
                <w:rFonts w:ascii="Verdana" w:eastAsia="Calibri" w:hAnsi="Verdana" w:cs="Arial"/>
                <w:bCs/>
                <w:color w:val="000000" w:themeColor="text1"/>
              </w:rPr>
              <w:t xml:space="preserve">Por otro lado, en materia de seguridad social, la obligación de cotizar al Sistema General de Pensiones cesa cuando el afiliado accede a la pensión por invalidez, de conformidad con el artículo 4 de la Ley 797 de 2003, por lo que </w:t>
            </w:r>
            <w:r w:rsidRPr="0021404D">
              <w:rPr>
                <w:rFonts w:ascii="Verdana" w:eastAsia="Calibri" w:hAnsi="Verdana" w:cs="Arial"/>
                <w:bCs/>
                <w:color w:val="000000" w:themeColor="text1"/>
              </w:rPr>
              <w:lastRenderedPageBreak/>
              <w:t>no debe realizar aportes a dicho sistema durante la ejecución de un contrato de prestación de servicios. No ocurre lo mismo frente al Sistema General de Seguridad Social en Salud, pues los contratistas son considerados trabajadores independientes y deben afiliarse y cotizar al régimen contributivo cuando perciban ingresos iguales o superiores a un salario mínimo mensual legal vigente</w:t>
            </w:r>
            <w:r>
              <w:rPr>
                <w:rFonts w:ascii="Verdana" w:eastAsia="Calibri" w:hAnsi="Verdana" w:cs="Arial"/>
                <w:bCs/>
                <w:color w:val="000000" w:themeColor="text1"/>
              </w:rPr>
              <w:t>.</w:t>
            </w:r>
          </w:p>
          <w:p w14:paraId="7C6859C4" w14:textId="77777777" w:rsidR="00A55EC8" w:rsidRPr="00E966B7" w:rsidRDefault="00A55EC8" w:rsidP="0053549A">
            <w:pPr>
              <w:spacing w:before="120" w:after="120" w:line="276" w:lineRule="auto"/>
              <w:ind w:firstLine="709"/>
              <w:jc w:val="both"/>
              <w:rPr>
                <w:rFonts w:ascii="Verdana" w:eastAsia="Times New Roman" w:hAnsi="Verdana" w:cs="Times New Roman"/>
                <w:color w:val="EE0000"/>
                <w:lang w:eastAsia="es-ES"/>
              </w:rPr>
            </w:pPr>
            <w:r w:rsidRPr="00AE5395">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AE5395">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6071E038" w14:textId="77777777" w:rsidR="00A55EC8" w:rsidRPr="00E966B7" w:rsidRDefault="00A55EC8" w:rsidP="00A55EC8">
      <w:pPr>
        <w:tabs>
          <w:tab w:val="left" w:pos="142"/>
          <w:tab w:val="left" w:pos="284"/>
        </w:tabs>
        <w:spacing w:after="0" w:line="276" w:lineRule="auto"/>
        <w:jc w:val="both"/>
        <w:rPr>
          <w:rFonts w:ascii="Verdana" w:eastAsia="Century Gothic" w:hAnsi="Verdana" w:cs="Century Gothic"/>
          <w:b/>
          <w:bCs/>
          <w:color w:val="EE0000"/>
          <w:lang w:val="es-ES"/>
        </w:rPr>
      </w:pPr>
    </w:p>
    <w:p w14:paraId="0BB3ABE6" w14:textId="77777777" w:rsidR="00A55EC8" w:rsidRPr="00BE163B" w:rsidRDefault="00A55EC8" w:rsidP="00A55EC8">
      <w:pPr>
        <w:tabs>
          <w:tab w:val="left" w:pos="142"/>
          <w:tab w:val="left" w:pos="284"/>
        </w:tabs>
        <w:spacing w:before="240" w:after="240" w:line="276" w:lineRule="auto"/>
        <w:jc w:val="both"/>
        <w:rPr>
          <w:rFonts w:ascii="Verdana" w:eastAsia="Century Gothic" w:hAnsi="Verdana" w:cs="Century Gothic"/>
          <w:b/>
          <w:lang w:val="es-ES"/>
        </w:rPr>
      </w:pPr>
      <w:r w:rsidRPr="00BE163B">
        <w:rPr>
          <w:rFonts w:ascii="Verdana" w:eastAsia="Century Gothic" w:hAnsi="Verdana" w:cs="Century Gothic"/>
          <w:b/>
          <w:lang w:val="es-ES"/>
        </w:rPr>
        <w:t>3. Razones de la respuesta:</w:t>
      </w:r>
    </w:p>
    <w:p w14:paraId="06D64B15" w14:textId="77777777" w:rsidR="00A55EC8" w:rsidRPr="00BE163B" w:rsidRDefault="00A55EC8" w:rsidP="00A55EC8">
      <w:pPr>
        <w:tabs>
          <w:tab w:val="left" w:pos="7451"/>
        </w:tabs>
        <w:spacing w:before="240" w:after="240" w:line="276" w:lineRule="auto"/>
        <w:jc w:val="both"/>
        <w:rPr>
          <w:rFonts w:ascii="Verdana" w:eastAsia="Calibri" w:hAnsi="Verdana" w:cs="Arial"/>
          <w:lang w:val="es-ES"/>
        </w:rPr>
      </w:pPr>
      <w:r w:rsidRPr="00BE163B">
        <w:rPr>
          <w:rFonts w:ascii="Verdana" w:eastAsia="Calibri" w:hAnsi="Verdana" w:cs="Arial"/>
          <w:lang w:val="es-ES"/>
        </w:rPr>
        <w:t>Lo anterior se sustenta en las siguientes consideraciones:</w:t>
      </w:r>
    </w:p>
    <w:p w14:paraId="660B24C4" w14:textId="77777777" w:rsidR="00A55EC8" w:rsidRDefault="00A55EC8" w:rsidP="00A55EC8">
      <w:pPr>
        <w:spacing w:after="120" w:line="276" w:lineRule="auto"/>
        <w:jc w:val="both"/>
        <w:rPr>
          <w:rFonts w:ascii="Verdana" w:eastAsia="Calibri" w:hAnsi="Verdana" w:cs="Arial"/>
          <w:color w:val="000000" w:themeColor="text1"/>
          <w:lang w:val="es-ES_tradnl"/>
        </w:rPr>
      </w:pPr>
      <w:r w:rsidRPr="00CB506A">
        <w:rPr>
          <w:rFonts w:ascii="Verdana" w:eastAsia="Calibri" w:hAnsi="Verdana" w:cs="Arial"/>
          <w:bCs/>
          <w:lang w:eastAsia="es-ES_tradnl"/>
        </w:rPr>
        <w:t xml:space="preserve">i. </w:t>
      </w:r>
      <w:r w:rsidRPr="00CB506A">
        <w:rPr>
          <w:rFonts w:ascii="Verdana" w:eastAsia="Calibri" w:hAnsi="Verdana" w:cs="Arial"/>
          <w:lang w:val="es-ES_tradnl"/>
        </w:rPr>
        <w:t xml:space="preserve">En </w:t>
      </w:r>
      <w:r w:rsidRPr="00CB506A">
        <w:rPr>
          <w:rFonts w:ascii="Verdana" w:eastAsia="Calibri" w:hAnsi="Verdana" w:cs="Arial"/>
          <w:color w:val="000000" w:themeColor="text1"/>
          <w:lang w:val="es-ES_tradnl"/>
        </w:rPr>
        <w:t xml:space="preserve">la contratación estatal, la </w:t>
      </w:r>
      <w:r w:rsidRPr="00CB506A">
        <w:rPr>
          <w:rFonts w:ascii="Verdana" w:eastAsia="Calibri" w:hAnsi="Verdana" w:cs="Arial"/>
          <w:i/>
          <w:iCs/>
          <w:color w:val="000000" w:themeColor="text1"/>
          <w:lang w:val="es-ES_tradnl"/>
        </w:rPr>
        <w:t>capacidad</w:t>
      </w:r>
      <w:r w:rsidRPr="00CB506A">
        <w:rPr>
          <w:rFonts w:ascii="Verdana" w:eastAsia="Calibri" w:hAnsi="Verdana" w:cs="Arial"/>
          <w:color w:val="000000" w:themeColor="text1"/>
          <w:lang w:val="es-ES_tradnl"/>
        </w:rPr>
        <w:t xml:space="preserve"> también es un requisito de validez de</w:t>
      </w:r>
      <w:r w:rsidRPr="00135CB1">
        <w:rPr>
          <w:rFonts w:ascii="Verdana" w:eastAsia="Calibri" w:hAnsi="Verdana" w:cs="Arial"/>
          <w:color w:val="000000" w:themeColor="text1"/>
          <w:lang w:val="es-ES_tradnl"/>
        </w:rPr>
        <w:t xml:space="preserve"> los contratos, tanto en el régimen de las entidades sujetas al Estatuto General de Contratación de la Administración Pública</w:t>
      </w:r>
      <w:r w:rsidRPr="00135CB1">
        <w:rPr>
          <w:rFonts w:ascii="Verdana" w:eastAsia="Calibri" w:hAnsi="Verdana" w:cs="Arial"/>
          <w:color w:val="000000" w:themeColor="text1"/>
          <w:vertAlign w:val="superscript"/>
          <w:lang w:val="es-ES_tradnl"/>
        </w:rPr>
        <w:footnoteReference w:id="1"/>
      </w:r>
      <w:r w:rsidRPr="00135CB1">
        <w:rPr>
          <w:rFonts w:ascii="Verdana" w:eastAsia="Calibri" w:hAnsi="Verdana" w:cs="Arial"/>
          <w:color w:val="000000" w:themeColor="text1"/>
          <w:lang w:val="es-ES_tradnl"/>
        </w:rPr>
        <w:t xml:space="preserve"> como en el de las entidades exceptuadas de aquel</w:t>
      </w:r>
      <w:r w:rsidRPr="00135CB1">
        <w:rPr>
          <w:rFonts w:ascii="Verdana" w:eastAsia="Calibri" w:hAnsi="Verdana" w:cs="Arial"/>
          <w:color w:val="000000" w:themeColor="text1"/>
          <w:vertAlign w:val="superscript"/>
          <w:lang w:val="es-ES_tradnl"/>
        </w:rPr>
        <w:footnoteReference w:id="2"/>
      </w:r>
      <w:r w:rsidRPr="00135CB1">
        <w:rPr>
          <w:rFonts w:ascii="Verdana" w:eastAsia="Calibri" w:hAnsi="Verdana" w:cs="Arial"/>
          <w:color w:val="000000" w:themeColor="text1"/>
          <w:lang w:val="es-ES_tradnl"/>
        </w:rPr>
        <w:t xml:space="preserve">. </w:t>
      </w:r>
      <w:r w:rsidRPr="00937D3B">
        <w:rPr>
          <w:rFonts w:ascii="Verdana" w:eastAsia="Calibri" w:hAnsi="Verdana" w:cs="Arial"/>
          <w:color w:val="000000" w:themeColor="text1"/>
        </w:rPr>
        <w:t xml:space="preserve">Si bien la regulación de la capacidad </w:t>
      </w:r>
      <w:r>
        <w:rPr>
          <w:rFonts w:ascii="Verdana" w:eastAsia="Calibri" w:hAnsi="Verdana" w:cs="Arial"/>
          <w:color w:val="000000" w:themeColor="text1"/>
        </w:rPr>
        <w:t xml:space="preserve">en el contrato de </w:t>
      </w:r>
      <w:r>
        <w:rPr>
          <w:rFonts w:ascii="Verdana" w:eastAsia="Calibri" w:hAnsi="Verdana" w:cs="Arial"/>
          <w:color w:val="000000" w:themeColor="text1"/>
        </w:rPr>
        <w:lastRenderedPageBreak/>
        <w:t xml:space="preserve">prestación de servicios </w:t>
      </w:r>
      <w:r w:rsidRPr="00937D3B">
        <w:rPr>
          <w:rFonts w:ascii="Verdana" w:eastAsia="Calibri" w:hAnsi="Verdana" w:cs="Arial"/>
          <w:color w:val="000000" w:themeColor="text1"/>
        </w:rPr>
        <w:t xml:space="preserve">se integra por varias disposiciones y exigencias especiales, se destaca el régimen de inhabilidades e incompatibilidades como un conjunto de normas que imponen restricciones para </w:t>
      </w:r>
      <w:r>
        <w:rPr>
          <w:rFonts w:ascii="Verdana" w:eastAsia="Calibri" w:hAnsi="Verdana" w:cs="Arial"/>
          <w:color w:val="000000" w:themeColor="text1"/>
        </w:rPr>
        <w:t>l</w:t>
      </w:r>
      <w:r w:rsidRPr="00937D3B">
        <w:rPr>
          <w:rFonts w:ascii="Verdana" w:eastAsia="Calibri" w:hAnsi="Verdana" w:cs="Arial"/>
          <w:color w:val="000000" w:themeColor="text1"/>
        </w:rPr>
        <w:t>os sujetos que, eventualmente, pretendan participar en los procedimientos de selección o celebrar contratos con las entidades estatales</w:t>
      </w:r>
      <w:r w:rsidRPr="00135CB1">
        <w:rPr>
          <w:rFonts w:ascii="Verdana" w:eastAsia="Calibri" w:hAnsi="Verdana" w:cs="Arial"/>
          <w:color w:val="000000" w:themeColor="text1"/>
          <w:lang w:val="es-ES_tradnl"/>
        </w:rPr>
        <w:t>.</w:t>
      </w:r>
    </w:p>
    <w:p w14:paraId="548E5FA0" w14:textId="77777777" w:rsidR="00A55EC8" w:rsidRDefault="00A55EC8" w:rsidP="00A55EC8">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Las inhabilidades son prohibiciones para concurrir a los procedimientos de selección y para contratar con el Estado, que se derivan i) de la existencia de comportamientos reprochables o de sanciones anteriormente impuestas</w:t>
      </w:r>
      <w:r w:rsidRPr="00135CB1">
        <w:rPr>
          <w:rFonts w:ascii="Verdana" w:eastAsia="Calibri" w:hAnsi="Verdana" w:cs="Arial"/>
          <w:color w:val="000000" w:themeColor="text1"/>
          <w:vertAlign w:val="superscript"/>
          <w:lang w:val="es-ES"/>
        </w:rPr>
        <w:footnoteReference w:id="3"/>
      </w:r>
      <w:r w:rsidRPr="00135CB1">
        <w:rPr>
          <w:rFonts w:ascii="Verdana" w:eastAsia="Calibri" w:hAnsi="Verdana" w:cs="Arial"/>
          <w:color w:val="000000" w:themeColor="text1"/>
          <w:lang w:val="es-ES"/>
        </w:rPr>
        <w:t>, ii) de vínculos personales relativos al parentesco o al estado civil</w:t>
      </w:r>
      <w:r w:rsidRPr="00135CB1">
        <w:rPr>
          <w:rFonts w:ascii="Verdana" w:eastAsia="Calibri" w:hAnsi="Verdana" w:cs="Arial"/>
          <w:color w:val="000000" w:themeColor="text1"/>
          <w:vertAlign w:val="superscript"/>
          <w:lang w:val="es-ES"/>
        </w:rPr>
        <w:footnoteReference w:id="4"/>
      </w:r>
      <w:r w:rsidRPr="00135CB1">
        <w:rPr>
          <w:rFonts w:ascii="Verdana" w:eastAsia="Calibri" w:hAnsi="Verdana" w:cs="Arial"/>
          <w:color w:val="000000" w:themeColor="text1"/>
          <w:lang w:val="es-ES"/>
        </w:rPr>
        <w:t xml:space="preserve"> o iii) de una </w:t>
      </w:r>
      <w:r w:rsidRPr="00135CB1">
        <w:rPr>
          <w:rFonts w:ascii="Verdana" w:eastAsia="Calibri" w:hAnsi="Verdana" w:cs="Arial"/>
          <w:color w:val="000000" w:themeColor="text1"/>
          <w:lang w:val="es-ES"/>
        </w:rPr>
        <w:lastRenderedPageBreak/>
        <w:t>actividad u oficio que se desempeñó en el pasado</w:t>
      </w:r>
      <w:r w:rsidRPr="00135CB1">
        <w:rPr>
          <w:rFonts w:ascii="Verdana" w:eastAsia="Calibri" w:hAnsi="Verdana" w:cs="Arial"/>
          <w:color w:val="000000" w:themeColor="text1"/>
          <w:vertAlign w:val="superscript"/>
          <w:lang w:val="es-ES"/>
        </w:rPr>
        <w:footnoteReference w:id="5"/>
      </w:r>
      <w:r w:rsidRPr="00135CB1">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135CB1">
        <w:rPr>
          <w:rFonts w:ascii="Verdana" w:eastAsia="Calibri" w:hAnsi="Verdana" w:cs="Arial"/>
          <w:color w:val="000000" w:themeColor="text1"/>
          <w:vertAlign w:val="superscript"/>
          <w:lang w:val="es-ES"/>
        </w:rPr>
        <w:footnoteReference w:id="6"/>
      </w:r>
      <w:r w:rsidRPr="00135CB1">
        <w:rPr>
          <w:rFonts w:ascii="Verdana" w:eastAsia="Calibri" w:hAnsi="Verdana" w:cs="Arial"/>
          <w:color w:val="000000" w:themeColor="text1"/>
          <w:lang w:val="es-ES"/>
        </w:rPr>
        <w:t xml:space="preserve">. </w:t>
      </w:r>
    </w:p>
    <w:p w14:paraId="74F75098" w14:textId="77777777" w:rsidR="00A55EC8" w:rsidRPr="00135CB1" w:rsidRDefault="00A55EC8" w:rsidP="00A55EC8">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por lo que, como lo ha destacado la doctrina, las inhabilidades e incompatibilidades son herramientas en la lucha contra la corrupción, adoptando paulatinamente un carácter sancionatorio o </w:t>
      </w:r>
      <w:r>
        <w:rPr>
          <w:rFonts w:ascii="Verdana" w:eastAsia="Calibri" w:hAnsi="Verdana" w:cs="Arial"/>
          <w:color w:val="000000" w:themeColor="text1"/>
          <w:lang w:val="es-ES"/>
        </w:rPr>
        <w:lastRenderedPageBreak/>
        <w:t>“</w:t>
      </w:r>
      <w:r w:rsidRPr="00135CB1">
        <w:rPr>
          <w:rFonts w:ascii="Verdana" w:eastAsia="Calibri" w:hAnsi="Verdana" w:cs="Arial"/>
          <w:color w:val="000000" w:themeColor="text1"/>
          <w:lang w:val="es-ES"/>
        </w:rPr>
        <w:t>neopunitivo</w:t>
      </w:r>
      <w:r>
        <w:rPr>
          <w:rFonts w:ascii="Verdana" w:eastAsia="Calibri" w:hAnsi="Verdana" w:cs="Arial"/>
          <w:color w:val="000000" w:themeColor="text1"/>
          <w:lang w:val="es-ES"/>
        </w:rPr>
        <w:t>”</w:t>
      </w:r>
      <w:r w:rsidRPr="00135CB1">
        <w:rPr>
          <w:rFonts w:ascii="Verdana" w:eastAsia="Calibri" w:hAnsi="Verdana" w:cs="Arial"/>
          <w:color w:val="000000" w:themeColor="text1"/>
          <w:vertAlign w:val="superscript"/>
          <w:lang w:val="es-ES"/>
        </w:rPr>
        <w:footnoteReference w:id="7"/>
      </w:r>
      <w:r w:rsidRPr="00135CB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4EDBBE65" w14:textId="77777777" w:rsidR="00A55EC8" w:rsidRPr="00135CB1" w:rsidRDefault="00A55EC8" w:rsidP="00A55EC8">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135CB1">
        <w:rPr>
          <w:rFonts w:ascii="Verdana" w:eastAsia="Calibri" w:hAnsi="Verdana" w:cs="Arial"/>
          <w:i/>
          <w:iCs/>
          <w:color w:val="000000" w:themeColor="text1"/>
          <w:lang w:val="es-ES_tradnl"/>
        </w:rPr>
        <w:t>restrictiva</w:t>
      </w:r>
      <w:r w:rsidRPr="00135CB1">
        <w:rPr>
          <w:rFonts w:ascii="Verdana" w:eastAsia="Calibri" w:hAnsi="Verdana" w:cs="Arial"/>
          <w:color w:val="000000" w:themeColor="text1"/>
          <w:vertAlign w:val="superscript"/>
          <w:lang w:val="es-ES_tradnl"/>
        </w:rPr>
        <w:footnoteReference w:id="8"/>
      </w:r>
      <w:r w:rsidRPr="00135CB1">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5F24072D" w14:textId="77777777" w:rsidR="00A55EC8" w:rsidRDefault="00A55EC8" w:rsidP="00A55EC8">
      <w:pPr>
        <w:spacing w:after="0" w:line="276" w:lineRule="auto"/>
        <w:ind w:firstLine="709"/>
        <w:contextualSpacing/>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w:t>
      </w:r>
      <w:r>
        <w:rPr>
          <w:rFonts w:ascii="Verdana" w:eastAsia="Calibri" w:hAnsi="Verdana" w:cs="Arial"/>
          <w:color w:val="000000" w:themeColor="text1"/>
          <w:lang w:val="es-ES_tradnl"/>
        </w:rPr>
        <w:t xml:space="preserve"> o</w:t>
      </w:r>
      <w:r w:rsidRPr="00135CB1">
        <w:rPr>
          <w:rFonts w:ascii="Verdana" w:eastAsia="Calibri" w:hAnsi="Verdana" w:cs="Arial"/>
          <w:color w:val="000000" w:themeColor="text1"/>
          <w:lang w:val="es-ES_tradnl"/>
        </w:rPr>
        <w:t xml:space="preserve"> la interpretación extensiva para ampliar el alcance de las causales legalmente fijadas</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9"/>
      </w:r>
      <w:r w:rsidRPr="00135CB1">
        <w:rPr>
          <w:rFonts w:ascii="Verdana" w:eastAsia="Calibri" w:hAnsi="Verdana" w:cs="Arial"/>
          <w:color w:val="000000" w:themeColor="text1"/>
          <w:lang w:val="es-ES_tradnl"/>
        </w:rPr>
        <w:t xml:space="preserve">. </w:t>
      </w:r>
    </w:p>
    <w:p w14:paraId="04342510" w14:textId="77777777" w:rsidR="00A55EC8" w:rsidRDefault="00A55EC8" w:rsidP="00A55EC8">
      <w:pPr>
        <w:spacing w:after="0" w:line="276" w:lineRule="auto"/>
        <w:ind w:firstLine="709"/>
        <w:contextualSpacing/>
        <w:jc w:val="both"/>
        <w:rPr>
          <w:rFonts w:ascii="Verdana" w:eastAsia="Calibri" w:hAnsi="Verdana" w:cs="Arial"/>
          <w:color w:val="000000" w:themeColor="text1"/>
          <w:lang w:val="es-ES_tradnl"/>
        </w:rPr>
      </w:pPr>
    </w:p>
    <w:p w14:paraId="5F7E96E0" w14:textId="77777777" w:rsidR="00A55EC8" w:rsidRDefault="00A55EC8" w:rsidP="00A55EC8">
      <w:pPr>
        <w:spacing w:after="0" w:line="276" w:lineRule="auto"/>
        <w:ind w:firstLine="709"/>
        <w:contextualSpacing/>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Por su parte, el Consejo de Estado ha acogido también este criterio, considerando –como expresa la Sala de Consulta y Servicio Civil–, que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La interpretación restrictiva de las normas que establecen inhabilidades constituye una aplicación del principio del Estado de Derecho previsto en el artículo 6º de la Constitución, según el cual “Los particulares sólo son responsables ante las </w:t>
      </w:r>
      <w:r w:rsidRPr="00135CB1">
        <w:rPr>
          <w:rFonts w:ascii="Verdana" w:eastAsia="Calibri" w:hAnsi="Verdana" w:cs="Arial"/>
          <w:color w:val="000000" w:themeColor="text1"/>
          <w:lang w:val="es-ES_tradnl"/>
        </w:rPr>
        <w:lastRenderedPageBreak/>
        <w:t>autoridades por infringir la Constitución y las leyes” lo que se traduce en que pueden hacer todo aquello que no les esté expresamente prohibido</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0"/>
      </w:r>
      <w:r w:rsidRPr="00135CB1">
        <w:rPr>
          <w:rFonts w:ascii="Verdana" w:eastAsia="Calibri" w:hAnsi="Verdana" w:cs="Arial"/>
          <w:color w:val="000000" w:themeColor="text1"/>
          <w:lang w:val="es-ES_tradnl"/>
        </w:rPr>
        <w:t>. En tal sentido, la Sección Tercera ha señalado que:</w:t>
      </w:r>
    </w:p>
    <w:p w14:paraId="166EF4D5" w14:textId="77777777" w:rsidR="00A55EC8" w:rsidRPr="008B679B" w:rsidRDefault="00A55EC8" w:rsidP="00A55EC8">
      <w:pPr>
        <w:spacing w:after="0" w:line="276" w:lineRule="auto"/>
        <w:ind w:firstLine="709"/>
        <w:jc w:val="both"/>
        <w:rPr>
          <w:rFonts w:ascii="Verdana" w:eastAsia="Calibri" w:hAnsi="Verdana" w:cs="Arial"/>
          <w:color w:val="000000" w:themeColor="text1"/>
          <w:lang w:val="es-ES_tradnl"/>
        </w:rPr>
      </w:pPr>
    </w:p>
    <w:p w14:paraId="39B3409C" w14:textId="77777777" w:rsidR="00A55EC8" w:rsidRDefault="00A55EC8" w:rsidP="00A55EC8">
      <w:pPr>
        <w:spacing w:after="0" w:line="240" w:lineRule="auto"/>
        <w:ind w:left="709" w:right="709"/>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w:t>
      </w:r>
      <w:r w:rsidRPr="008B679B">
        <w:rPr>
          <w:rFonts w:ascii="Verdana" w:hAnsi="Verdana" w:cs="Arial"/>
          <w:color w:val="000000" w:themeColor="text1"/>
          <w:sz w:val="20"/>
          <w:szCs w:val="20"/>
          <w:lang w:val="es-ES_tradnl"/>
        </w:rPr>
        <w:t>…</w:t>
      </w:r>
      <w:r>
        <w:rPr>
          <w:rFonts w:ascii="Verdana" w:hAnsi="Verdana" w:cs="Arial"/>
          <w:color w:val="000000" w:themeColor="text1"/>
          <w:sz w:val="20"/>
          <w:szCs w:val="20"/>
          <w:lang w:val="es-ES_tradnl"/>
        </w:rPr>
        <w:t xml:space="preserve">) </w:t>
      </w:r>
      <w:r w:rsidRPr="008B679B">
        <w:rPr>
          <w:rFonts w:ascii="Verdana" w:hAnsi="Verdana" w:cs="Arial"/>
          <w:color w:val="000000" w:themeColor="text1"/>
          <w:sz w:val="20"/>
          <w:szCs w:val="20"/>
          <w:lang w:val="es-ES_tradnl"/>
        </w:rPr>
        <w:t>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8B679B">
        <w:rPr>
          <w:rFonts w:ascii="Verdana" w:hAnsi="Verdana" w:cs="Arial"/>
          <w:color w:val="000000" w:themeColor="text1"/>
          <w:sz w:val="20"/>
          <w:szCs w:val="20"/>
          <w:vertAlign w:val="superscript"/>
          <w:lang w:val="es-ES_tradnl"/>
        </w:rPr>
        <w:footnoteReference w:id="11"/>
      </w:r>
      <w:r w:rsidRPr="008B679B">
        <w:rPr>
          <w:rFonts w:ascii="Verdana" w:hAnsi="Verdana" w:cs="Arial"/>
          <w:color w:val="000000" w:themeColor="text1"/>
          <w:sz w:val="20"/>
          <w:szCs w:val="20"/>
          <w:lang w:val="es-ES_tradnl"/>
        </w:rPr>
        <w:t>.</w:t>
      </w:r>
    </w:p>
    <w:p w14:paraId="2CC2611D" w14:textId="77777777" w:rsidR="00A55EC8" w:rsidRDefault="00A55EC8" w:rsidP="00A55EC8">
      <w:pPr>
        <w:spacing w:after="0" w:line="240" w:lineRule="auto"/>
        <w:ind w:left="709" w:right="709"/>
        <w:jc w:val="both"/>
        <w:rPr>
          <w:rFonts w:ascii="Verdana" w:hAnsi="Verdana" w:cs="Arial"/>
          <w:color w:val="000000" w:themeColor="text1"/>
          <w:sz w:val="20"/>
          <w:szCs w:val="20"/>
          <w:lang w:val="es-ES_tradnl"/>
        </w:rPr>
      </w:pPr>
    </w:p>
    <w:p w14:paraId="3814511B" w14:textId="77777777" w:rsidR="00A55EC8" w:rsidRPr="003466E6" w:rsidRDefault="00A55EC8" w:rsidP="00A55EC8">
      <w:pPr>
        <w:spacing w:after="0" w:line="240" w:lineRule="auto"/>
        <w:ind w:firstLine="709"/>
        <w:jc w:val="both"/>
        <w:rPr>
          <w:rFonts w:ascii="Verdana" w:eastAsia="Calibri" w:hAnsi="Verdana" w:cs="Arial"/>
          <w:color w:val="000000" w:themeColor="text1"/>
          <w:sz w:val="20"/>
          <w:szCs w:val="20"/>
          <w:lang w:val="es-ES_tradnl"/>
        </w:rPr>
      </w:pPr>
      <w:r w:rsidRPr="003466E6">
        <w:rPr>
          <w:rFonts w:ascii="Verdana" w:eastAsia="Calibri" w:hAnsi="Verdana" w:cs="Arial"/>
          <w:color w:val="000000" w:themeColor="text1"/>
          <w:sz w:val="20"/>
          <w:szCs w:val="20"/>
          <w:lang w:val="es-ES_tradnl"/>
        </w:rPr>
        <w:t>También ha dicho que:</w:t>
      </w:r>
    </w:p>
    <w:p w14:paraId="7E783BCA" w14:textId="77777777" w:rsidR="00A55EC8" w:rsidRPr="003466E6" w:rsidRDefault="00A55EC8" w:rsidP="00A55EC8">
      <w:pPr>
        <w:spacing w:after="0" w:line="240" w:lineRule="auto"/>
        <w:ind w:firstLine="709"/>
        <w:jc w:val="both"/>
        <w:rPr>
          <w:rFonts w:ascii="Verdana" w:eastAsia="Calibri" w:hAnsi="Verdana" w:cs="Arial"/>
          <w:color w:val="000000" w:themeColor="text1"/>
          <w:sz w:val="20"/>
          <w:szCs w:val="20"/>
          <w:lang w:val="es-ES_tradnl"/>
        </w:rPr>
      </w:pPr>
    </w:p>
    <w:p w14:paraId="659AC36B" w14:textId="77777777" w:rsidR="00A55EC8" w:rsidRDefault="00A55EC8" w:rsidP="00A55EC8">
      <w:pPr>
        <w:spacing w:after="0" w:line="240" w:lineRule="auto"/>
        <w:ind w:left="709" w:right="709"/>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w:t>
      </w:r>
      <w:r w:rsidRPr="003466E6">
        <w:rPr>
          <w:rFonts w:ascii="Verdana" w:hAnsi="Verdana" w:cs="Arial"/>
          <w:color w:val="000000" w:themeColor="text1"/>
          <w:sz w:val="20"/>
          <w:szCs w:val="20"/>
          <w:lang w:val="es-ES"/>
        </w:rPr>
        <w:t>…</w:t>
      </w:r>
      <w:r>
        <w:rPr>
          <w:rFonts w:ascii="Verdana" w:hAnsi="Verdana" w:cs="Arial"/>
          <w:color w:val="000000" w:themeColor="text1"/>
          <w:sz w:val="20"/>
          <w:szCs w:val="20"/>
          <w:lang w:val="es-ES"/>
        </w:rPr>
        <w:t>)</w:t>
      </w:r>
      <w:r w:rsidRPr="003466E6">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03466E6">
        <w:rPr>
          <w:rFonts w:ascii="Verdana" w:hAnsi="Verdana" w:cs="Arial"/>
          <w:i/>
          <w:iCs/>
          <w:color w:val="000000" w:themeColor="text1"/>
          <w:sz w:val="20"/>
          <w:szCs w:val="20"/>
          <w:lang w:val="es-ES"/>
        </w:rPr>
        <w:t>pro libertate</w:t>
      </w:r>
      <w:r w:rsidRPr="003466E6">
        <w:rPr>
          <w:rFonts w:ascii="Verdana" w:hAnsi="Verdana" w:cs="Arial"/>
          <w:color w:val="000000" w:themeColor="text1"/>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Pr>
          <w:rFonts w:ascii="Verdana" w:hAnsi="Verdana" w:cs="Arial"/>
          <w:color w:val="000000" w:themeColor="text1"/>
          <w:sz w:val="20"/>
          <w:szCs w:val="20"/>
          <w:lang w:val="es-ES"/>
        </w:rPr>
        <w:t>(</w:t>
      </w:r>
      <w:r w:rsidRPr="003466E6">
        <w:rPr>
          <w:rFonts w:ascii="Verdana" w:hAnsi="Verdana" w:cs="Arial"/>
          <w:color w:val="000000" w:themeColor="text1"/>
          <w:sz w:val="20"/>
          <w:szCs w:val="20"/>
          <w:lang w:val="es-ES"/>
        </w:rPr>
        <w:t>…</w:t>
      </w:r>
      <w:r>
        <w:rPr>
          <w:rFonts w:ascii="Verdana" w:hAnsi="Verdana" w:cs="Arial"/>
          <w:color w:val="000000" w:themeColor="text1"/>
          <w:sz w:val="20"/>
          <w:szCs w:val="20"/>
          <w:lang w:val="es-ES"/>
        </w:rPr>
        <w:t>)</w:t>
      </w:r>
      <w:r w:rsidRPr="003466E6">
        <w:rPr>
          <w:rFonts w:ascii="Verdana" w:hAnsi="Verdana" w:cs="Arial"/>
          <w:color w:val="000000" w:themeColor="text1"/>
          <w:sz w:val="20"/>
          <w:szCs w:val="20"/>
          <w:vertAlign w:val="superscript"/>
          <w:lang w:val="es-ES"/>
        </w:rPr>
        <w:footnoteReference w:id="12"/>
      </w:r>
      <w:r w:rsidRPr="003466E6">
        <w:rPr>
          <w:rFonts w:ascii="Verdana" w:hAnsi="Verdana" w:cs="Arial"/>
          <w:color w:val="000000" w:themeColor="text1"/>
          <w:sz w:val="20"/>
          <w:szCs w:val="20"/>
          <w:lang w:val="es-ES"/>
        </w:rPr>
        <w:t>.</w:t>
      </w:r>
    </w:p>
    <w:p w14:paraId="7D47D6A1" w14:textId="77777777" w:rsidR="00A55EC8" w:rsidRPr="00201EE9" w:rsidRDefault="00A55EC8" w:rsidP="00A55EC8">
      <w:pPr>
        <w:spacing w:after="0" w:line="240" w:lineRule="auto"/>
        <w:ind w:left="709" w:right="709"/>
        <w:jc w:val="both"/>
        <w:rPr>
          <w:rFonts w:ascii="Verdana" w:hAnsi="Verdana" w:cs="Arial"/>
          <w:color w:val="000000" w:themeColor="text1"/>
          <w:sz w:val="20"/>
          <w:szCs w:val="20"/>
          <w:lang w:val="es-ES"/>
        </w:rPr>
      </w:pPr>
    </w:p>
    <w:p w14:paraId="4801DADE" w14:textId="77777777" w:rsidR="00A55EC8" w:rsidRDefault="00A55EC8" w:rsidP="00A55EC8">
      <w:pPr>
        <w:spacing w:after="120" w:line="276" w:lineRule="auto"/>
        <w:ind w:firstLine="709"/>
        <w:jc w:val="both"/>
        <w:rPr>
          <w:rFonts w:ascii="Verdana" w:eastAsia="Calibri" w:hAnsi="Verdana" w:cs="Arial"/>
          <w:color w:val="000000" w:themeColor="text1"/>
          <w:lang w:val="es-ES"/>
        </w:rPr>
      </w:pPr>
      <w:r w:rsidRPr="6EF52751">
        <w:rPr>
          <w:rFonts w:ascii="Verdana" w:eastAsia="Calibri" w:hAnsi="Verdana" w:cs="Arial"/>
          <w:color w:val="000000" w:themeColor="text1"/>
          <w:lang w:val="es-ES"/>
        </w:rPr>
        <w:t xml:space="preserve">Como se aprecia, el principio </w:t>
      </w:r>
      <w:r w:rsidRPr="6EF52751">
        <w:rPr>
          <w:rFonts w:ascii="Verdana" w:eastAsia="Calibri" w:hAnsi="Verdana" w:cs="Arial"/>
          <w:i/>
          <w:iCs/>
          <w:color w:val="000000" w:themeColor="text1"/>
          <w:lang w:val="es-ES"/>
        </w:rPr>
        <w:t>pro libertate</w:t>
      </w:r>
      <w:r w:rsidRPr="6EF52751">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0A366492" w14:textId="77777777" w:rsidR="00A55EC8" w:rsidRPr="00DE718A" w:rsidRDefault="00A55EC8" w:rsidP="00A55EC8">
      <w:pPr>
        <w:spacing w:after="120" w:line="276" w:lineRule="auto"/>
        <w:jc w:val="both"/>
        <w:rPr>
          <w:rFonts w:ascii="Verdana" w:eastAsia="Calibri" w:hAnsi="Verdana" w:cs="Arial"/>
          <w:color w:val="000000" w:themeColor="text1"/>
          <w:lang w:val="es-ES"/>
        </w:rPr>
      </w:pPr>
      <w:r w:rsidRPr="000B5EE9">
        <w:rPr>
          <w:rFonts w:ascii="Verdana" w:eastAsia="Calibri" w:hAnsi="Verdana" w:cs="Arial"/>
          <w:color w:val="000000" w:themeColor="text1"/>
          <w:lang w:val="es-ES"/>
        </w:rPr>
        <w:t xml:space="preserve">ii. Ahora bien, para responder el problema jurídico, </w:t>
      </w:r>
      <w:r w:rsidRPr="000B5EE9">
        <w:rPr>
          <w:rFonts w:ascii="Verdana" w:eastAsia="Calibri" w:hAnsi="Verdana" w:cs="Arial"/>
          <w:color w:val="000000" w:themeColor="text1"/>
        </w:rPr>
        <w:t xml:space="preserve">al analizar el régimen </w:t>
      </w:r>
      <w:r w:rsidRPr="000B5EE9">
        <w:rPr>
          <w:rFonts w:ascii="Verdana" w:eastAsia="Calibri" w:hAnsi="Verdana" w:cs="Arial"/>
        </w:rPr>
        <w:t>de</w:t>
      </w:r>
      <w:r w:rsidRPr="008F5CE9">
        <w:rPr>
          <w:rFonts w:ascii="Verdana" w:eastAsia="Calibri" w:hAnsi="Verdana" w:cs="Arial"/>
        </w:rPr>
        <w:t xml:space="preserve"> inhabilidades e incompatibilidades previsto para la contratación estatal, no se identifica una inhabilidad, incompatibilidad o prohibición legal que impida que </w:t>
      </w:r>
      <w:r w:rsidRPr="008F5CE9">
        <w:rPr>
          <w:rFonts w:ascii="Verdana" w:eastAsia="Calibri" w:hAnsi="Verdana" w:cs="Arial"/>
        </w:rPr>
        <w:lastRenderedPageBreak/>
        <w:t>una persona natural pensionada por invalidez celebre un contrato de prestación de servicios con una entidad estatal,</w:t>
      </w:r>
      <w:r w:rsidRPr="008F5CE9">
        <w:rPr>
          <w:rFonts w:ascii="Verdana" w:hAnsi="Verdana" w:cs="Arial"/>
        </w:rPr>
        <w:t xml:space="preserve"> toda vez que las causales previstas en la Constitución Política, en el artículo 8 de la Ley 80 de 1993 y en las normas que regulan la capacidad contractual no contemplan este supuesto.</w:t>
      </w:r>
    </w:p>
    <w:p w14:paraId="63BCFA6C" w14:textId="77777777" w:rsidR="00A55EC8" w:rsidRDefault="00A55EC8" w:rsidP="00A55EC8">
      <w:pPr>
        <w:spacing w:after="120" w:line="276" w:lineRule="auto"/>
        <w:ind w:firstLine="709"/>
        <w:jc w:val="both"/>
        <w:rPr>
          <w:rFonts w:ascii="Verdana" w:eastAsia="Calibri" w:hAnsi="Verdana" w:cs="Arial"/>
          <w:color w:val="000000" w:themeColor="text1"/>
        </w:rPr>
      </w:pPr>
      <w:bookmarkStart w:id="1" w:name="_Hlk102983874"/>
      <w:bookmarkStart w:id="2" w:name="_Hlk102388095"/>
      <w:r w:rsidRPr="00751148">
        <w:rPr>
          <w:rFonts w:ascii="Verdana" w:eastAsia="Calibri" w:hAnsi="Verdana" w:cs="Arial"/>
          <w:color w:val="000000" w:themeColor="text1"/>
        </w:rPr>
        <w:t>Esta conclusión resulta consistente con los criterios expuestos por el Departamento Administrativo de la Función Pública, entidad que ha señalado que la condición de pensionado por invalidez no constituye, por sí misma, un impedimento para acceder al empleo público o para celebrar contratos con entidades estatales, siempre que no se configure una prohibición legal expresa ni se incurra en una doble asignación del tesoro público, en los términos del artículo 128 de la Constitución Política</w:t>
      </w:r>
      <w:r>
        <w:rPr>
          <w:rStyle w:val="Refdenotaalpie"/>
          <w:rFonts w:ascii="Verdana" w:eastAsia="Calibri" w:hAnsi="Verdana" w:cs="Arial"/>
          <w:color w:val="000000" w:themeColor="text1"/>
        </w:rPr>
        <w:footnoteReference w:id="13"/>
      </w:r>
      <w:r w:rsidRPr="00751148">
        <w:rPr>
          <w:rFonts w:ascii="Verdana" w:eastAsia="Calibri" w:hAnsi="Verdana" w:cs="Arial"/>
          <w:color w:val="000000" w:themeColor="text1"/>
        </w:rPr>
        <w:t>.</w:t>
      </w:r>
    </w:p>
    <w:p w14:paraId="63DFE2B7" w14:textId="77777777" w:rsidR="00A55EC8" w:rsidRDefault="00A55EC8" w:rsidP="00A55EC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Ahora bien, </w:t>
      </w:r>
      <w:r w:rsidRPr="00751148">
        <w:rPr>
          <w:rFonts w:ascii="Verdana" w:eastAsia="Calibri" w:hAnsi="Verdana" w:cs="Arial"/>
          <w:color w:val="000000" w:themeColor="text1"/>
        </w:rPr>
        <w:t>el hecho de que no se configure una causal de inhabilidad o incompatibilidad no significa que, en todos los casos, pueda celebrarse válidamente un contrato de prestación de servicios. Para ello, deben cumplirse los requisitos propios de esta modalidad contractual, teniendo en cuenta su carácter excepcional, en la medida en que solo es procedente cuando las actividades no puedan realizarse con personal de planta o requieran conocimientos especializados, circunstancia que debe justificarse de manera suficiente en los estudios previos. Adicionalmente, el contrato debe ser de naturaleza temporal y no puede utilizarse para la conformación de nóminas paralelas ni para encubrir relaciones laborales.</w:t>
      </w:r>
      <w:r>
        <w:rPr>
          <w:rFonts w:ascii="Verdana" w:eastAsia="Calibri" w:hAnsi="Verdana" w:cs="Arial"/>
          <w:color w:val="000000" w:themeColor="text1"/>
        </w:rPr>
        <w:t xml:space="preserve"> </w:t>
      </w:r>
    </w:p>
    <w:p w14:paraId="1F096C63" w14:textId="77777777" w:rsidR="00A55EC8" w:rsidRPr="00751148" w:rsidRDefault="00A55EC8" w:rsidP="00A55EC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Así mismo, la entidad contratante debe realizar un análisis cuidadoso de las condiciones de ejecución del contrato, valorando la complejidad y el alcance de las actividades encomendadas, con el fin de determinar si el contratista cuenta con la capacidad jurídica, técnica y operativa para ejecutarlas adecuadamente. En el caso de personas pensionadas por invalidez, este análisis debe incluir la verificación de que las actividades objeto del contrato sean compatibles con el grado de pérdida de capacidad laboral reconocido, sin que ello implique, por sí mismo, una valoración o decisión de carácter pensional, la cual corresponde a las autoridades competentes del sistema de seguridad social.</w:t>
      </w:r>
    </w:p>
    <w:p w14:paraId="478FC6A4" w14:textId="77777777" w:rsidR="00A55EC8" w:rsidRPr="0070593A" w:rsidRDefault="00A55EC8" w:rsidP="00A55EC8">
      <w:pPr>
        <w:spacing w:after="120" w:line="276" w:lineRule="auto"/>
        <w:ind w:firstLine="709"/>
        <w:jc w:val="both"/>
        <w:rPr>
          <w:rFonts w:ascii="Verdana" w:eastAsia="Calibri" w:hAnsi="Verdana" w:cs="Arial"/>
        </w:rPr>
      </w:pPr>
      <w:r w:rsidRPr="00751148">
        <w:rPr>
          <w:rFonts w:ascii="Verdana" w:eastAsia="Calibri" w:hAnsi="Verdana" w:cs="Arial"/>
          <w:color w:val="000000" w:themeColor="text1"/>
        </w:rPr>
        <w:lastRenderedPageBreak/>
        <w:t xml:space="preserve">Adicionalmente, las entidades estatales deben identificar la eventual configuración de situaciones que puedan revestir la connotación de conflicto de interés, derivadas de la concurrencia de intereses contrapuestos que comprometan la transparencia, independencia o rectitud de las actuaciones del contratista. En este punto, resulta aplicable el principio de moralidad administrativa consagrado en el artículo 209 de la Constitución Política, así como los deberes de lealtad y buena fe que rigen la actuación de los particulares que </w:t>
      </w:r>
      <w:r w:rsidRPr="0070593A">
        <w:rPr>
          <w:rFonts w:ascii="Verdana" w:eastAsia="Calibri" w:hAnsi="Verdana" w:cs="Arial"/>
        </w:rPr>
        <w:t>celebran y ejecutan contratos con el Estado, conforme a los artículos 3 y 5 de la Ley 80 de 1993.</w:t>
      </w:r>
    </w:p>
    <w:p w14:paraId="71C44FA7" w14:textId="77777777" w:rsidR="00A55EC8" w:rsidRDefault="00A55EC8" w:rsidP="00A55EC8">
      <w:pPr>
        <w:spacing w:after="120" w:line="276" w:lineRule="auto"/>
        <w:ind w:firstLine="709"/>
        <w:jc w:val="both"/>
        <w:rPr>
          <w:rFonts w:ascii="Verdana" w:eastAsia="Calibri" w:hAnsi="Verdana" w:cs="Arial"/>
        </w:rPr>
      </w:pPr>
      <w:r w:rsidRPr="0070593A">
        <w:rPr>
          <w:rFonts w:ascii="Verdana" w:eastAsia="Calibri" w:hAnsi="Verdana" w:cs="Arial"/>
        </w:rPr>
        <w:t>La institución del conflicto de intereses, aunque no se encuentra definida de manera general en el Estatuto General de Contratación de la Administración Pública, puede ser regulada por las entidades estatales a través de los pliegos de condiciones o de las minutas contractuales, siempre que las causales correspondientes se encuentren debidamente tipificadas y respondan a criterios de objetividad. En este sentido, la Sala de Consulta y Servicio Civil del Consejo de Estado ha admitido la inclusión de causales de conflicto de interés, bajo la condición de que estas sean claras, precisas, objetivas y restrictivas, de modo que permitan a los interesados conocer, desde el inicio del proceso contractual, las situaciones que podrían impedir su participación.</w:t>
      </w:r>
    </w:p>
    <w:p w14:paraId="13309DDA" w14:textId="77777777" w:rsidR="00A55EC8" w:rsidRDefault="00A55EC8" w:rsidP="00A55EC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De conformidad con lo anterior, únicamente pueden aplicarse las causales de conflicto de interés que se encuentren expresamente tipificadas en la Constitución, en la ley, en los pliegos de condiciones o en el contrato. En ausencia de tales previsiones, debe partirse del principio general de capacidad contractual del proponente o contratista, sin perjuicio del deber que le asiste a la entidad estatal de verificar, en cada caso concreto, la existencia de situaciones que puedan comprometer los principios de transparencia, moralidad e imparcialidad que rigen la contratación pública.</w:t>
      </w:r>
    </w:p>
    <w:p w14:paraId="4B246220" w14:textId="77777777" w:rsidR="00A55EC8" w:rsidRDefault="00A55EC8" w:rsidP="00A55EC8">
      <w:pPr>
        <w:spacing w:after="120" w:line="276" w:lineRule="auto"/>
        <w:jc w:val="both"/>
        <w:rPr>
          <w:rFonts w:ascii="Verdana" w:eastAsia="Calibri" w:hAnsi="Verdana" w:cs="Arial"/>
          <w:color w:val="000000" w:themeColor="text1"/>
        </w:rPr>
      </w:pPr>
      <w:r w:rsidRPr="0036120C">
        <w:rPr>
          <w:rFonts w:ascii="Verdana" w:eastAsia="Calibri" w:hAnsi="Verdana" w:cs="Arial"/>
          <w:color w:val="000000" w:themeColor="text1"/>
        </w:rPr>
        <w:t>iii. En ese contexto, no existe una causal de inhabilidad o incompatibilidad que prohíba que una persona natural pensionada por invalidez celebre un contrato de</w:t>
      </w:r>
      <w:r w:rsidRPr="00751148">
        <w:rPr>
          <w:rFonts w:ascii="Verdana" w:eastAsia="Calibri" w:hAnsi="Verdana" w:cs="Arial"/>
          <w:color w:val="000000" w:themeColor="text1"/>
        </w:rPr>
        <w:t xml:space="preserve"> prestación de servicios con una entidad estatal, ni se restringe su capacidad jurídica por el solo hecho de ostentar dicha condición. Sin embargo, corresponde a la entidad contratante verificar, en el marco concreto del contrato, el cumplimiento de los requisitos legales y jurisprudenciales propios de esta modalidad contractual, así como la inexistencia de conflictos de interés y la compatibilidad funcional de las actividades contratadas, sin que estas </w:t>
      </w:r>
      <w:r w:rsidRPr="00751148">
        <w:rPr>
          <w:rFonts w:ascii="Verdana" w:eastAsia="Calibri" w:hAnsi="Verdana" w:cs="Arial"/>
          <w:color w:val="000000" w:themeColor="text1"/>
        </w:rPr>
        <w:lastRenderedPageBreak/>
        <w:t>verificaciones sustituyan las competencias propias de las autoridades del sistema de seguridad social.</w:t>
      </w:r>
    </w:p>
    <w:p w14:paraId="4DD54CBA" w14:textId="77777777" w:rsidR="00A55EC8" w:rsidRDefault="00A55EC8" w:rsidP="00A55EC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otro lado, vale la pena advertir que, e</w:t>
      </w:r>
      <w:r w:rsidRPr="003D07F3">
        <w:rPr>
          <w:rFonts w:ascii="Verdana" w:eastAsia="Calibri" w:hAnsi="Verdana" w:cs="Arial"/>
          <w:color w:val="000000" w:themeColor="text1"/>
        </w:rPr>
        <w:t xml:space="preserve">n materia de contratación estatal, el pago de los aportes al Sistema de Seguridad Social Integral constituye una obligación legal a cargo de los contratistas del Estado y un deber de verificación para las entidades estatales, conforme a lo dispuesto en los artículos 50 de la Ley 789 de 2002 y 23 de la Ley 1150 de 2007. Ahora bien, tratándose de personas naturales pensionadas que celebran contratos de prestación de servicios con entidades estatales, es necesario distinguir entre las obligaciones frente al Sistema General de Pensiones y las correspondientes al Sistema General de Seguridad Social en Salud. </w:t>
      </w:r>
    </w:p>
    <w:p w14:paraId="0AED5304" w14:textId="77777777" w:rsidR="00A55EC8" w:rsidRDefault="00A55EC8" w:rsidP="00A55EC8">
      <w:pPr>
        <w:spacing w:after="120" w:line="276" w:lineRule="auto"/>
        <w:ind w:firstLine="709"/>
        <w:jc w:val="both"/>
        <w:rPr>
          <w:rFonts w:ascii="Verdana" w:eastAsia="Calibri" w:hAnsi="Verdana" w:cs="Arial"/>
          <w:color w:val="000000" w:themeColor="text1"/>
        </w:rPr>
      </w:pPr>
      <w:r w:rsidRPr="003D07F3">
        <w:rPr>
          <w:rFonts w:ascii="Verdana" w:eastAsia="Calibri" w:hAnsi="Verdana" w:cs="Arial"/>
          <w:color w:val="000000" w:themeColor="text1"/>
        </w:rPr>
        <w:t>En relación con el Sistema General de Pensiones, el artículo 4 de la Ley 797 de 2003 establece expresamente que la obligación de cotizar cesa cuando el afiliado accede a la pensión por invalidez o de manera anticipada. En consecuencia, una persona pensionada por invalidez que celebre un contrato de prestación de servicios no se encuentra obligada a efectuar aportes al Sistema General de Pensiones durante la ejecución del contrato, por expresa disposición legal.</w:t>
      </w:r>
      <w:r w:rsidRPr="008152E6">
        <w:rPr>
          <w:rFonts w:ascii="Verdana" w:eastAsia="Calibri" w:hAnsi="Verdana" w:cs="Arial"/>
          <w:color w:val="000000" w:themeColor="text1"/>
        </w:rPr>
        <w:t xml:space="preserve"> </w:t>
      </w:r>
      <w:r w:rsidRPr="003D07F3">
        <w:rPr>
          <w:rFonts w:ascii="Verdana" w:eastAsia="Calibri" w:hAnsi="Verdana" w:cs="Arial"/>
          <w:color w:val="000000" w:themeColor="text1"/>
        </w:rPr>
        <w:t>Distinto es el caso del Sistema General de Seguridad Social en Salud. De conformidad con el artículo 2.1.4.1 del Decreto 780 de 2016 y el artículo 16 del Decreto 1406 de 1999, los contratistas de prestación de servicios son considerados trabajadores independientes y, como tales, deben afiliarse y cotizar al régimen contributivo del sistema de salud, siempre que perciban ingresos iguales o superiores a un salario mínimo mensual legal vigente. La normativa vigente no prevé una exclusión para las personas pensionadas respecto de esta obligación, razón por la cual estas deben efectuar los aportes al sistema de salud en calidad de cotizantes.</w:t>
      </w:r>
    </w:p>
    <w:p w14:paraId="4D9672F4" w14:textId="77777777" w:rsidR="00A55EC8" w:rsidRPr="00476248" w:rsidRDefault="00A55EC8" w:rsidP="00A55EC8">
      <w:pPr>
        <w:spacing w:after="120" w:line="276" w:lineRule="auto"/>
        <w:ind w:firstLine="709"/>
        <w:jc w:val="both"/>
        <w:rPr>
          <w:rFonts w:ascii="Verdana" w:eastAsia="Calibri" w:hAnsi="Verdana" w:cs="Arial"/>
        </w:rPr>
      </w:pPr>
      <w:r w:rsidRPr="003D07F3">
        <w:rPr>
          <w:rFonts w:ascii="Verdana" w:eastAsia="Calibri" w:hAnsi="Verdana" w:cs="Arial"/>
          <w:color w:val="000000" w:themeColor="text1"/>
        </w:rPr>
        <w:t xml:space="preserve">En cuanto a la forma y oportunidad del pago de los aportes al Sistema de Seguridad Social Integral, la Ley 1955 de 2019 dispuso que los trabajadores independientes que celebren contratos de prestación de servicios personales deben cotizar mes vencido, sobre una base mínima equivalente al cuarenta por ciento (40 %) del valor mensualizado del contrato, sin incluir el IVA, y que el pago de dichos aportes debe realizarse directamente por el contratista a través de la Planilla Integrada de Liquidación de Aportes. En consecuencia, para efectos del pago de honorarios, las entidades estatales deben verificar que el contratista </w:t>
      </w:r>
      <w:r w:rsidRPr="00476248">
        <w:rPr>
          <w:rFonts w:ascii="Verdana" w:eastAsia="Calibri" w:hAnsi="Verdana" w:cs="Arial"/>
        </w:rPr>
        <w:t xml:space="preserve">acredite el cumplimiento de sus obligaciones frente al sistema de salud </w:t>
      </w:r>
      <w:r w:rsidRPr="00476248">
        <w:rPr>
          <w:rFonts w:ascii="Verdana" w:eastAsia="Calibri" w:hAnsi="Verdana" w:cs="Arial"/>
        </w:rPr>
        <w:lastRenderedPageBreak/>
        <w:t>correspondientes al período inmediatamente anterior al pago que se pretende efectuar.</w:t>
      </w:r>
    </w:p>
    <w:p w14:paraId="1FC4E4D1" w14:textId="77777777" w:rsidR="00A55EC8" w:rsidRPr="00476248" w:rsidRDefault="00A55EC8" w:rsidP="00A55EC8">
      <w:pPr>
        <w:spacing w:after="120" w:line="276" w:lineRule="auto"/>
        <w:ind w:firstLine="709"/>
        <w:jc w:val="both"/>
        <w:rPr>
          <w:rFonts w:ascii="Verdana" w:eastAsia="Calibri" w:hAnsi="Verdana" w:cs="Arial"/>
        </w:rPr>
      </w:pPr>
      <w:r w:rsidRPr="00476248">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476248">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5F8AE829" w14:textId="77777777" w:rsidR="00A55EC8" w:rsidRPr="00A96C12" w:rsidRDefault="00A55EC8" w:rsidP="00A55EC8">
      <w:pPr>
        <w:spacing w:after="0" w:line="276" w:lineRule="auto"/>
        <w:ind w:firstLine="709"/>
        <w:jc w:val="both"/>
        <w:rPr>
          <w:rFonts w:ascii="Verdana" w:eastAsia="Times New Roman" w:hAnsi="Verdana" w:cs="Times New Roman"/>
          <w:lang w:eastAsia="es-ES"/>
        </w:rPr>
      </w:pPr>
    </w:p>
    <w:p w14:paraId="6EF95C9C" w14:textId="77777777" w:rsidR="00A55EC8" w:rsidRPr="00A96C12" w:rsidRDefault="00A55EC8" w:rsidP="00A55EC8">
      <w:pPr>
        <w:spacing w:after="120" w:line="276" w:lineRule="auto"/>
        <w:jc w:val="both"/>
        <w:rPr>
          <w:rFonts w:ascii="Verdana" w:eastAsia="Century Gothic" w:hAnsi="Verdana" w:cs="Century Gothic"/>
          <w:b/>
          <w:lang w:val="es-ES"/>
        </w:rPr>
      </w:pPr>
      <w:r w:rsidRPr="00A96C12">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5EC8" w:rsidRPr="00E966B7" w14:paraId="58DF5FC8" w14:textId="77777777" w:rsidTr="0053549A">
        <w:trPr>
          <w:trHeight w:val="1689"/>
        </w:trPr>
        <w:tc>
          <w:tcPr>
            <w:tcW w:w="8647" w:type="dxa"/>
          </w:tcPr>
          <w:p w14:paraId="6F62C634" w14:textId="77777777" w:rsidR="00A55EC8" w:rsidRPr="00115089" w:rsidRDefault="00A55EC8" w:rsidP="0053549A">
            <w:pPr>
              <w:pStyle w:val="Prrafodelista"/>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Constitución Política de Colombia. Artículos 128 y 209.</w:t>
            </w:r>
          </w:p>
          <w:p w14:paraId="3B5AAAB5"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Ley 80 de 1993. Artículos 3 6 y 8.</w:t>
            </w:r>
          </w:p>
          <w:p w14:paraId="2053B84C"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Ley 789 de 2002. Artículo 50.</w:t>
            </w:r>
          </w:p>
          <w:p w14:paraId="46D20D95"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Ley 797 de 2003. Artículo 4.</w:t>
            </w:r>
          </w:p>
          <w:p w14:paraId="035FDC08"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Ley 1150 de 2007. Artículo 23</w:t>
            </w:r>
          </w:p>
          <w:p w14:paraId="0F88DCA7"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Ley 1474 de 2011. Artículo 90.</w:t>
            </w:r>
          </w:p>
          <w:p w14:paraId="1085998F"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Decreto 780 de 2016. Artículo 2.1.4.1</w:t>
            </w:r>
          </w:p>
          <w:p w14:paraId="7060C0D6"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Corte Constitucional. Sentencia T-1039 de 05 de diciembre de 2006 Magistrado Ponente: Humberto Sierra Porto.</w:t>
            </w:r>
          </w:p>
          <w:p w14:paraId="4AD2D34B" w14:textId="77777777" w:rsidR="00A55EC8" w:rsidRPr="00115089" w:rsidRDefault="00A55EC8" w:rsidP="0053549A">
            <w:pPr>
              <w:widowControl w:val="0"/>
              <w:numPr>
                <w:ilvl w:val="0"/>
                <w:numId w:val="16"/>
              </w:numPr>
              <w:autoSpaceDE w:val="0"/>
              <w:autoSpaceDN w:val="0"/>
              <w:spacing w:line="276" w:lineRule="auto"/>
              <w:jc w:val="both"/>
              <w:rPr>
                <w:rFonts w:ascii="Verdana" w:eastAsia="Arial MT" w:hAnsi="Verdana" w:cs="Arial"/>
                <w:bCs/>
                <w:lang w:eastAsia="es-ES" w:bidi="es-ES"/>
              </w:rPr>
            </w:pPr>
            <w:r w:rsidRPr="00115089">
              <w:rPr>
                <w:rFonts w:ascii="Verdana" w:eastAsia="Arial MT" w:hAnsi="Verdana" w:cs="Arial"/>
                <w:bCs/>
                <w:lang w:eastAsia="es-ES" w:bidi="es-ES"/>
              </w:rPr>
              <w:t>Consejo de Estado. Sala de Consulta y Servicio Civil. Concepto del 30 de abril de 2015. Expediente: 2251. Consejero Ponente: Álvaro Namén Vargas.</w:t>
            </w:r>
          </w:p>
          <w:p w14:paraId="1500C056" w14:textId="339D919B" w:rsidR="00A55EC8" w:rsidRPr="00E966B7" w:rsidRDefault="00A55EC8" w:rsidP="0053549A">
            <w:pPr>
              <w:widowControl w:val="0"/>
              <w:numPr>
                <w:ilvl w:val="0"/>
                <w:numId w:val="16"/>
              </w:numPr>
              <w:autoSpaceDE w:val="0"/>
              <w:autoSpaceDN w:val="0"/>
              <w:spacing w:line="276" w:lineRule="auto"/>
              <w:jc w:val="both"/>
              <w:rPr>
                <w:rFonts w:ascii="Verdana" w:eastAsia="Arial MT" w:hAnsi="Verdana" w:cs="Arial"/>
                <w:bCs/>
                <w:color w:val="EE0000"/>
                <w:lang w:eastAsia="es-ES" w:bidi="es-ES"/>
              </w:rPr>
            </w:pPr>
            <w:r w:rsidRPr="00115089">
              <w:rPr>
                <w:rFonts w:ascii="Verdana" w:eastAsia="Arial MT" w:hAnsi="Verdana" w:cs="Arial"/>
                <w:bCs/>
                <w:lang w:eastAsia="es-ES" w:bidi="es-ES"/>
              </w:rPr>
              <w:t xml:space="preserve">Departamento Administrativo de la Función Pública. Concepto 154851 de 2023. Rad. 20232060168272 del 16 de Marzo de 2023. Consultar en: </w:t>
            </w:r>
            <w:hyperlink r:id="rId12" w:history="1">
              <w:r w:rsidRPr="006163AD">
                <w:rPr>
                  <w:rStyle w:val="Hipervnculo"/>
                  <w:rFonts w:ascii="Verdana" w:eastAsia="Arial MT" w:hAnsi="Verdana" w:cs="Arial"/>
                  <w:bCs/>
                  <w:lang w:eastAsia="es-ES" w:bidi="es-ES"/>
                </w:rPr>
                <w:t>https://www.funcionpublica.gov.co/eva/gestornormativo/norma.php?i=215264</w:t>
              </w:r>
            </w:hyperlink>
            <w:r>
              <w:rPr>
                <w:rFonts w:ascii="Verdana" w:eastAsia="Arial MT" w:hAnsi="Verdana" w:cs="Arial"/>
                <w:bCs/>
                <w:color w:val="EE0000"/>
                <w:lang w:eastAsia="es-ES" w:bidi="es-ES"/>
              </w:rPr>
              <w:t xml:space="preserve"> </w:t>
            </w:r>
            <w:r w:rsidRPr="00B54906">
              <w:rPr>
                <w:rFonts w:ascii="Verdana" w:eastAsia="Arial MT" w:hAnsi="Verdana" w:cs="Arial"/>
                <w:bCs/>
                <w:color w:val="EE0000"/>
                <w:lang w:eastAsia="es-ES" w:bidi="es-ES"/>
              </w:rPr>
              <w:t xml:space="preserve"> </w:t>
            </w:r>
          </w:p>
        </w:tc>
      </w:tr>
    </w:tbl>
    <w:p w14:paraId="0C6A72DF" w14:textId="77777777" w:rsidR="00A55EC8" w:rsidRPr="00A96C12" w:rsidRDefault="00A55EC8" w:rsidP="00A55EC8">
      <w:pPr>
        <w:widowControl w:val="0"/>
        <w:autoSpaceDE w:val="0"/>
        <w:autoSpaceDN w:val="0"/>
        <w:spacing w:after="0" w:line="276" w:lineRule="auto"/>
        <w:jc w:val="both"/>
        <w:rPr>
          <w:rFonts w:ascii="Verdana" w:hAnsi="Verdana" w:cs="Arial"/>
          <w:lang w:val="es-ES"/>
        </w:rPr>
      </w:pPr>
    </w:p>
    <w:p w14:paraId="6AC5881C" w14:textId="77777777" w:rsidR="00A55EC8" w:rsidRPr="00A96C12" w:rsidRDefault="00A55EC8" w:rsidP="00A55EC8">
      <w:pPr>
        <w:tabs>
          <w:tab w:val="left" w:pos="142"/>
          <w:tab w:val="left" w:pos="284"/>
        </w:tabs>
        <w:spacing w:after="0" w:line="276" w:lineRule="auto"/>
        <w:jc w:val="both"/>
        <w:rPr>
          <w:rFonts w:ascii="Verdana" w:eastAsia="Century Gothic" w:hAnsi="Verdana" w:cs="Century Gothic"/>
          <w:b/>
          <w:lang w:val="es-ES"/>
        </w:rPr>
      </w:pPr>
      <w:r w:rsidRPr="00A96C12">
        <w:rPr>
          <w:rFonts w:ascii="Verdana" w:eastAsia="Century Gothic" w:hAnsi="Verdana" w:cs="Century Gothic"/>
          <w:b/>
          <w:lang w:val="es-ES"/>
        </w:rPr>
        <w:lastRenderedPageBreak/>
        <w:t>5. Doctrina de la Agencia Nacional de Contratación Pública:</w:t>
      </w:r>
    </w:p>
    <w:p w14:paraId="370395BB" w14:textId="77777777" w:rsidR="00A55EC8" w:rsidRPr="00E966B7" w:rsidRDefault="00A55EC8" w:rsidP="00A55EC8">
      <w:pPr>
        <w:widowControl w:val="0"/>
        <w:autoSpaceDE w:val="0"/>
        <w:autoSpaceDN w:val="0"/>
        <w:spacing w:after="0" w:line="276" w:lineRule="auto"/>
        <w:jc w:val="both"/>
        <w:rPr>
          <w:rFonts w:ascii="Verdana" w:hAnsi="Verdana" w:cs="Arial"/>
          <w:color w:val="EE0000"/>
          <w:lang w:val="es-ES"/>
        </w:rPr>
      </w:pPr>
    </w:p>
    <w:p w14:paraId="1F93EEA4" w14:textId="77777777" w:rsidR="00A55EC8" w:rsidRPr="001F13B8" w:rsidRDefault="00A55EC8" w:rsidP="00A55EC8">
      <w:pPr>
        <w:spacing w:after="0" w:line="276" w:lineRule="auto"/>
        <w:jc w:val="both"/>
        <w:rPr>
          <w:rStyle w:val="normaltextrun"/>
          <w:rFonts w:ascii="Verdana" w:hAnsi="Verdana" w:cs="Arial"/>
          <w:color w:val="000000" w:themeColor="text1"/>
          <w:shd w:val="clear" w:color="auto" w:fill="FFFFFF"/>
          <w:lang w:val="es-ES"/>
        </w:rPr>
      </w:pPr>
      <w:r w:rsidRPr="001F13B8">
        <w:rPr>
          <w:rFonts w:ascii="Verdana" w:eastAsia="Calibri" w:hAnsi="Verdana" w:cs="Arial"/>
          <w:color w:val="000000" w:themeColor="text1"/>
          <w:lang w:val="es-ES"/>
        </w:rPr>
        <w:t xml:space="preserve">La Agencia Nacional de Contratación Pública – Colombia Compra Eficiente se ha referido </w:t>
      </w:r>
      <w:r w:rsidRPr="001F13B8">
        <w:rPr>
          <w:rFonts w:ascii="Verdana" w:hAnsi="Verdana" w:cs="Arial"/>
          <w:color w:val="000000" w:themeColor="text1"/>
          <w:shd w:val="clear" w:color="auto" w:fill="FFFFFF"/>
          <w:lang w:val="es-ES"/>
        </w:rPr>
        <w:t xml:space="preserve">sobre el régimen de inhabilidades en los conceptos </w:t>
      </w:r>
      <w:r w:rsidRPr="001F13B8">
        <w:rPr>
          <w:rStyle w:val="normaltextrun"/>
          <w:rFonts w:ascii="Verdana" w:hAnsi="Verdana" w:cs="Arial"/>
          <w:color w:val="000000" w:themeColor="text1"/>
          <w:shd w:val="clear" w:color="auto" w:fill="FFFFFF"/>
          <w:lang w:val="es-ES"/>
        </w:rPr>
        <w:t>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2024, C-1716 del 23 de diciembre de 2025, C-1790 del 30 de diciembre de 2025,</w:t>
      </w:r>
      <w:r>
        <w:rPr>
          <w:rStyle w:val="normaltextrun"/>
          <w:rFonts w:ascii="Verdana" w:hAnsi="Verdana" w:cs="Arial"/>
          <w:color w:val="000000" w:themeColor="text1"/>
          <w:shd w:val="clear" w:color="auto" w:fill="FFFFFF"/>
          <w:lang w:val="es-ES"/>
        </w:rPr>
        <w:t xml:space="preserve"> C-1769 del 05 de enero de 2026 y</w:t>
      </w:r>
      <w:r w:rsidRPr="001F13B8">
        <w:rPr>
          <w:rStyle w:val="normaltextrun"/>
          <w:rFonts w:ascii="Verdana" w:hAnsi="Verdana" w:cs="Arial"/>
          <w:color w:val="000000" w:themeColor="text1"/>
          <w:shd w:val="clear" w:color="auto" w:fill="FFFFFF"/>
          <w:lang w:val="es-ES"/>
        </w:rPr>
        <w:t xml:space="preserve"> C-1655 del 03 de febrero de 2026</w:t>
      </w:r>
      <w:r>
        <w:rPr>
          <w:rStyle w:val="normaltextrun"/>
          <w:rFonts w:ascii="Verdana" w:hAnsi="Verdana" w:cs="Arial"/>
          <w:color w:val="000000" w:themeColor="text1"/>
          <w:shd w:val="clear" w:color="auto" w:fill="FFFFFF"/>
          <w:lang w:val="es-ES"/>
        </w:rPr>
        <w:t>, entre otros.</w:t>
      </w:r>
    </w:p>
    <w:p w14:paraId="0936DCE7" w14:textId="77777777" w:rsidR="00A55EC8" w:rsidRPr="00E966B7" w:rsidRDefault="00A55EC8" w:rsidP="00A55EC8">
      <w:pPr>
        <w:spacing w:after="0" w:line="276" w:lineRule="auto"/>
        <w:jc w:val="both"/>
        <w:rPr>
          <w:rStyle w:val="normaltextrun"/>
          <w:rFonts w:ascii="Verdana" w:hAnsi="Verdana" w:cs="Arial"/>
          <w:color w:val="EE0000"/>
          <w:shd w:val="clear" w:color="auto" w:fill="FFFFFF"/>
          <w:lang w:val="es-ES"/>
        </w:rPr>
      </w:pPr>
    </w:p>
    <w:p w14:paraId="18C53CCC" w14:textId="77777777" w:rsidR="00A55EC8" w:rsidRPr="00876048" w:rsidRDefault="00A55EC8" w:rsidP="00A55EC8">
      <w:pPr>
        <w:spacing w:after="0" w:line="276" w:lineRule="auto"/>
        <w:jc w:val="both"/>
        <w:rPr>
          <w:rFonts w:ascii="Verdana" w:hAnsi="Verdana"/>
        </w:rPr>
      </w:pPr>
      <w:r w:rsidRPr="00876048">
        <w:rPr>
          <w:rFonts w:ascii="Verdana" w:hAnsi="Verdana" w:cs="Arial"/>
          <w:shd w:val="clear" w:color="auto" w:fill="FFFFFF"/>
          <w:lang w:val="es-ES"/>
        </w:rPr>
        <w:t>Estos</w:t>
      </w:r>
      <w:r w:rsidRPr="00876048">
        <w:rPr>
          <w:rFonts w:ascii="Verdana" w:hAnsi="Verdana"/>
          <w:lang w:val="es-ES"/>
        </w:rPr>
        <w:t xml:space="preserve"> y otros se encuentran disponibles para consulta en el Sistema de relatoría de la Agencia, al cual se puede acceder a través del siguiente enlace:</w:t>
      </w:r>
      <w:r w:rsidRPr="00876048">
        <w:rPr>
          <w:rFonts w:ascii="Verdana" w:hAnsi="Verdana" w:cs="Arial"/>
          <w:shd w:val="clear" w:color="auto" w:fill="FFFFFF"/>
          <w:lang w:val="es-ES"/>
        </w:rPr>
        <w:t xml:space="preserve"> </w:t>
      </w:r>
      <w:hyperlink r:id="rId13" w:history="1">
        <w:r w:rsidRPr="00115089">
          <w:rPr>
            <w:rStyle w:val="Hipervnculo"/>
            <w:rFonts w:ascii="Verdana" w:hAnsi="Verdana" w:cs="Arial"/>
            <w:shd w:val="clear" w:color="auto" w:fill="FFFFFF"/>
            <w:lang w:val="es-ES"/>
          </w:rPr>
          <w:t>https://relatoria.colombiacompra.gov.co/busqueda/conceptos</w:t>
        </w:r>
      </w:hyperlink>
    </w:p>
    <w:p w14:paraId="61BA1E65" w14:textId="77777777" w:rsidR="00A55EC8" w:rsidRPr="00876048" w:rsidRDefault="00A55EC8" w:rsidP="00A55EC8">
      <w:pPr>
        <w:spacing w:after="0" w:line="276" w:lineRule="auto"/>
        <w:jc w:val="both"/>
        <w:rPr>
          <w:rFonts w:ascii="Verdana" w:hAnsi="Verdana"/>
        </w:rPr>
      </w:pPr>
    </w:p>
    <w:p w14:paraId="3C2D030D" w14:textId="77777777" w:rsidR="00A55EC8" w:rsidRPr="00876048" w:rsidRDefault="00A55EC8" w:rsidP="00A55EC8">
      <w:pPr>
        <w:jc w:val="both"/>
        <w:rPr>
          <w:rFonts w:ascii="Verdana" w:hAnsi="Verdana"/>
        </w:rPr>
      </w:pPr>
      <w:r w:rsidRPr="00876048">
        <w:rPr>
          <w:rFonts w:ascii="Verdana" w:hAnsi="Verdana"/>
        </w:rPr>
        <w:t xml:space="preserve">La sostenibilidad no es una opción, es una obligación. Por ello, la Agencia Nacional de Contratación Pública –Colombia Compra Eficiente– te invita a realizar el </w:t>
      </w:r>
      <w:r w:rsidRPr="00876048">
        <w:rPr>
          <w:rFonts w:ascii="Verdana" w:hAnsi="Verdana"/>
          <w:b/>
          <w:bCs/>
        </w:rPr>
        <w:t>Curso de Contratación Pública Sostenible y Socialmente Responsable</w:t>
      </w:r>
      <w:r w:rsidRPr="00876048">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76048">
        <w:rPr>
          <w:rFonts w:ascii="Verdana" w:hAnsi="Verdana"/>
        </w:rPr>
        <w:br/>
      </w:r>
      <w:hyperlink r:id="rId14" w:tgtFrame="_new" w:history="1">
        <w:r w:rsidRPr="00876048">
          <w:rPr>
            <w:rStyle w:val="Hipervnculo"/>
            <w:rFonts w:ascii="Verdana" w:hAnsi="Verdana"/>
          </w:rPr>
          <w:t>https://formacionvirtual.colombiacompra.gov.co/mod/page/view.php?id=3718</w:t>
        </w:r>
      </w:hyperlink>
    </w:p>
    <w:p w14:paraId="25DAD4F4" w14:textId="77777777" w:rsidR="00A55EC8" w:rsidRPr="00876048" w:rsidRDefault="00A55EC8" w:rsidP="00A55EC8">
      <w:pPr>
        <w:jc w:val="both"/>
        <w:rPr>
          <w:rFonts w:ascii="Verdana" w:hAnsi="Verdana"/>
        </w:rPr>
      </w:pPr>
      <w:r w:rsidRPr="00876048">
        <w:rPr>
          <w:rFonts w:ascii="Verdana" w:hAnsi="Verdana"/>
        </w:rPr>
        <w:t xml:space="preserve">De otro lado, te contamos que esta Agencia ha da un paso decisivo en la estandarización y modernización del </w:t>
      </w:r>
      <w:r w:rsidRPr="00876048">
        <w:rPr>
          <w:rFonts w:ascii="Verdana" w:hAnsi="Verdana"/>
          <w:b/>
          <w:bCs/>
        </w:rPr>
        <w:t>sector  social</w:t>
      </w:r>
      <w:r w:rsidRPr="00876048">
        <w:rPr>
          <w:rFonts w:ascii="Verdana" w:hAnsi="Verdana"/>
        </w:rPr>
        <w:t xml:space="preserve"> con la expedición de las </w:t>
      </w:r>
      <w:r w:rsidRPr="00876048">
        <w:rPr>
          <w:rFonts w:ascii="Verdana" w:hAnsi="Verdana"/>
          <w:b/>
          <w:bCs/>
        </w:rPr>
        <w:t>Resoluciones 539, 540, 541, 952 y 953 de 2025</w:t>
      </w:r>
      <w:r w:rsidRPr="00876048">
        <w:rPr>
          <w:rFonts w:ascii="Verdana" w:hAnsi="Verdana"/>
        </w:rPr>
        <w:t xml:space="preserve">, </w:t>
      </w:r>
      <w:r w:rsidRPr="00876048">
        <w:rPr>
          <w:rFonts w:ascii="Verdana" w:hAnsi="Verdana"/>
          <w:b/>
          <w:bCs/>
        </w:rPr>
        <w:t>mediante las cuales adoptó Documentos Tipo</w:t>
      </w:r>
      <w:r w:rsidRPr="00876048">
        <w:rPr>
          <w:rFonts w:ascii="Verdana" w:hAnsi="Verdana"/>
        </w:rPr>
        <w:t xml:space="preserve"> para las modalidades de selección de</w:t>
      </w:r>
      <w:r w:rsidRPr="00876048">
        <w:rPr>
          <w:rFonts w:ascii="Verdana" w:hAnsi="Verdana"/>
          <w:b/>
          <w:bCs/>
        </w:rPr>
        <w:t xml:space="preserve"> licitación pública (versión 2), selección abreviada de menor cuantía, mínima cuantía, consultoría e interventoría</w:t>
      </w:r>
      <w:r w:rsidRPr="00876048">
        <w:rPr>
          <w:rFonts w:ascii="Verdana" w:hAnsi="Verdana"/>
        </w:rPr>
        <w:t xml:space="preserve">, promoviendo procesos más transparentes, eficientes  competitivos y sostenibles en sectores estratégicos como educación, salud, cultura, recreación, deporte, institucional y vivienda. </w:t>
      </w:r>
      <w:r w:rsidRPr="00876048">
        <w:rPr>
          <w:rFonts w:ascii="Verdana" w:hAnsi="Verdana"/>
        </w:rPr>
        <w:lastRenderedPageBreak/>
        <w:t xml:space="preserve">Consulta y descarga los documentos aquí: </w:t>
      </w:r>
      <w:hyperlink r:id="rId15" w:tgtFrame="_new" w:history="1">
        <w:r w:rsidRPr="00876048">
          <w:rPr>
            <w:rStyle w:val="Hipervnculo"/>
            <w:rFonts w:ascii="Verdana" w:hAnsi="Verdana"/>
          </w:rPr>
          <w:t>https://www.colombiacompra.gov.co/normativa-y-relatoria/documentos-tipo</w:t>
        </w:r>
      </w:hyperlink>
    </w:p>
    <w:p w14:paraId="57285634" w14:textId="77777777" w:rsidR="00A55EC8" w:rsidRPr="00E966B7" w:rsidRDefault="00A55EC8" w:rsidP="00A55EC8">
      <w:pPr>
        <w:jc w:val="both"/>
        <w:rPr>
          <w:rFonts w:ascii="Verdana" w:hAnsi="Verdana"/>
          <w:color w:val="EE0000"/>
        </w:rPr>
      </w:pPr>
      <w:r w:rsidRPr="00876048">
        <w:rPr>
          <w:rFonts w:ascii="Verdana" w:hAnsi="Verdana"/>
        </w:rPr>
        <w:t xml:space="preserve">Si quieres conocer más sobre la aplicación de Documentos Tipo puedes consultar la última versión de la </w:t>
      </w:r>
      <w:r w:rsidRPr="00876048">
        <w:rPr>
          <w:rFonts w:ascii="Verdana" w:hAnsi="Verdana"/>
          <w:b/>
          <w:bCs/>
        </w:rPr>
        <w:t>Guía para la comprensión e implementación de los Documentos Tipo de obra pública de infraestructura de transporte</w:t>
      </w:r>
      <w:r w:rsidRPr="0087604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966B7">
        <w:rPr>
          <w:rFonts w:ascii="Verdana" w:hAnsi="Verdana"/>
          <w:color w:val="EE0000"/>
        </w:rPr>
        <w:br/>
      </w:r>
      <w:hyperlink r:id="rId16" w:tgtFrame="_new" w:history="1">
        <w:r w:rsidRPr="00876048">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17FE042" w14:textId="77777777" w:rsidR="00A55EC8" w:rsidRPr="00876048" w:rsidRDefault="00A55EC8" w:rsidP="00A55EC8">
      <w:pPr>
        <w:spacing w:after="0"/>
        <w:jc w:val="both"/>
        <w:rPr>
          <w:rFonts w:ascii="Verdana" w:hAnsi="Verdana" w:cs="Arial"/>
          <w:color w:val="000000" w:themeColor="text1"/>
          <w:shd w:val="clear" w:color="auto" w:fill="FFFFFF"/>
        </w:rPr>
      </w:pPr>
      <w:r w:rsidRPr="00876048">
        <w:rPr>
          <w:rFonts w:ascii="Verdana" w:hAnsi="Verdana" w:cs="Arial"/>
          <w:color w:val="000000" w:themeColor="text1"/>
          <w:shd w:val="clear" w:color="auto" w:fill="FFFFFF"/>
        </w:rPr>
        <w:t xml:space="preserve">Por último, lo invitamos a seguirnos en las redes sociales en las cuales se difunde información institucional: </w:t>
      </w:r>
    </w:p>
    <w:p w14:paraId="61CB15DF" w14:textId="77777777" w:rsidR="00A55EC8" w:rsidRPr="00876048" w:rsidRDefault="00A55EC8" w:rsidP="00A55EC8">
      <w:pPr>
        <w:spacing w:after="0"/>
        <w:jc w:val="both"/>
        <w:rPr>
          <w:rFonts w:ascii="Verdana" w:hAnsi="Verdana" w:cs="Arial"/>
          <w:color w:val="000000" w:themeColor="text1"/>
          <w:shd w:val="clear" w:color="auto" w:fill="FFFFFF"/>
        </w:rPr>
      </w:pPr>
    </w:p>
    <w:p w14:paraId="4712FA4E" w14:textId="77777777" w:rsidR="00A55EC8" w:rsidRPr="00876048" w:rsidRDefault="00A55EC8" w:rsidP="00A55EC8">
      <w:pPr>
        <w:spacing w:after="0"/>
        <w:jc w:val="both"/>
        <w:rPr>
          <w:rFonts w:ascii="Verdana" w:hAnsi="Verdana" w:cs="Arial"/>
          <w:color w:val="000000" w:themeColor="text1"/>
          <w:shd w:val="clear" w:color="auto" w:fill="FFFFFF"/>
        </w:rPr>
      </w:pPr>
      <w:r w:rsidRPr="00876048">
        <w:rPr>
          <w:rFonts w:ascii="Verdana" w:hAnsi="Verdana" w:cs="Arial"/>
          <w:color w:val="000000" w:themeColor="text1"/>
          <w:shd w:val="clear" w:color="auto" w:fill="FFFFFF"/>
        </w:rPr>
        <w:t xml:space="preserve">Twitter: </w:t>
      </w:r>
      <w:r w:rsidRPr="00876048">
        <w:rPr>
          <w:rStyle w:val="Hipervnculo"/>
          <w:rFonts w:ascii="Verdana" w:hAnsi="Verdana"/>
        </w:rPr>
        <w:t>@colombiacompra</w:t>
      </w:r>
      <w:r w:rsidRPr="00876048">
        <w:rPr>
          <w:rFonts w:ascii="Verdana" w:hAnsi="Verdana" w:cs="Arial"/>
          <w:color w:val="0000FF"/>
          <w:shd w:val="clear" w:color="auto" w:fill="FFFFFF"/>
        </w:rPr>
        <w:t xml:space="preserve"> </w:t>
      </w:r>
    </w:p>
    <w:p w14:paraId="3E196A90" w14:textId="77777777" w:rsidR="00A55EC8" w:rsidRPr="00876048" w:rsidRDefault="00A55EC8" w:rsidP="00A55EC8">
      <w:pPr>
        <w:spacing w:after="0"/>
        <w:jc w:val="both"/>
        <w:rPr>
          <w:rFonts w:ascii="Verdana" w:hAnsi="Verdana" w:cs="Arial"/>
          <w:color w:val="000000" w:themeColor="text1"/>
          <w:shd w:val="clear" w:color="auto" w:fill="FFFFFF"/>
        </w:rPr>
      </w:pPr>
      <w:r w:rsidRPr="00876048">
        <w:rPr>
          <w:rFonts w:ascii="Verdana" w:hAnsi="Verdana" w:cs="Arial"/>
          <w:color w:val="000000" w:themeColor="text1"/>
          <w:shd w:val="clear" w:color="auto" w:fill="FFFFFF"/>
        </w:rPr>
        <w:t>Facebook:</w:t>
      </w:r>
      <w:r w:rsidRPr="00876048">
        <w:rPr>
          <w:rStyle w:val="Hipervnculo"/>
          <w:rFonts w:ascii="Verdana" w:hAnsi="Verdana"/>
          <w:lang w:val="es-ES"/>
        </w:rPr>
        <w:t xml:space="preserve"> </w:t>
      </w:r>
      <w:r w:rsidRPr="00876048">
        <w:rPr>
          <w:rStyle w:val="Hipervnculo"/>
          <w:rFonts w:ascii="Verdana" w:hAnsi="Verdana"/>
        </w:rPr>
        <w:t>ColombiaCompraEficiente</w:t>
      </w:r>
    </w:p>
    <w:p w14:paraId="7019E330" w14:textId="77777777" w:rsidR="00A55EC8" w:rsidRPr="00876048" w:rsidRDefault="00A55EC8" w:rsidP="00A55EC8">
      <w:pPr>
        <w:spacing w:after="0"/>
        <w:jc w:val="both"/>
        <w:rPr>
          <w:rFonts w:ascii="Verdana" w:hAnsi="Verdana" w:cs="Arial"/>
          <w:color w:val="000000" w:themeColor="text1"/>
          <w:shd w:val="clear" w:color="auto" w:fill="FFFFFF"/>
        </w:rPr>
      </w:pPr>
      <w:r w:rsidRPr="00876048">
        <w:rPr>
          <w:rFonts w:ascii="Verdana" w:hAnsi="Verdana" w:cs="Arial"/>
          <w:color w:val="000000" w:themeColor="text1"/>
          <w:shd w:val="clear" w:color="auto" w:fill="FFFFFF"/>
        </w:rPr>
        <w:t xml:space="preserve">LinkedIn: </w:t>
      </w:r>
      <w:r w:rsidRPr="00876048">
        <w:rPr>
          <w:rStyle w:val="Hipervnculo"/>
          <w:rFonts w:ascii="Verdana" w:hAnsi="Verdana"/>
        </w:rPr>
        <w:t>Agencia Nacional de Contratación Pública - Colombia Compra Eficiente</w:t>
      </w:r>
      <w:r w:rsidRPr="00876048">
        <w:rPr>
          <w:rFonts w:ascii="Verdana" w:hAnsi="Verdana" w:cs="Arial"/>
          <w:color w:val="0000FF"/>
          <w:shd w:val="clear" w:color="auto" w:fill="FFFFFF"/>
        </w:rPr>
        <w:t xml:space="preserve"> </w:t>
      </w:r>
    </w:p>
    <w:p w14:paraId="2C2D9037" w14:textId="77777777" w:rsidR="00A55EC8" w:rsidRPr="00876048" w:rsidRDefault="00A55EC8" w:rsidP="00A55EC8">
      <w:pPr>
        <w:spacing w:after="0"/>
        <w:jc w:val="both"/>
        <w:rPr>
          <w:rFonts w:ascii="Verdana" w:hAnsi="Verdana" w:cs="Arial"/>
          <w:color w:val="0000FF"/>
          <w:shd w:val="clear" w:color="auto" w:fill="FFFFFF"/>
        </w:rPr>
      </w:pPr>
      <w:r w:rsidRPr="00876048">
        <w:rPr>
          <w:rFonts w:ascii="Verdana" w:hAnsi="Verdana" w:cs="Arial"/>
          <w:color w:val="000000" w:themeColor="text1"/>
          <w:shd w:val="clear" w:color="auto" w:fill="FFFFFF"/>
        </w:rPr>
        <w:t xml:space="preserve">Instagram: </w:t>
      </w:r>
      <w:r w:rsidRPr="00876048">
        <w:rPr>
          <w:rStyle w:val="Hipervnculo"/>
          <w:rFonts w:ascii="Verdana" w:hAnsi="Verdana"/>
        </w:rPr>
        <w:t>@colombiacompraeficiente_cce</w:t>
      </w:r>
    </w:p>
    <w:p w14:paraId="6B02577C" w14:textId="77777777" w:rsidR="00A55EC8" w:rsidRPr="00E966B7" w:rsidRDefault="00A55EC8" w:rsidP="00A55EC8">
      <w:pPr>
        <w:widowControl w:val="0"/>
        <w:autoSpaceDE w:val="0"/>
        <w:autoSpaceDN w:val="0"/>
        <w:spacing w:after="0" w:line="276" w:lineRule="auto"/>
        <w:jc w:val="both"/>
        <w:rPr>
          <w:rFonts w:ascii="Verdana" w:hAnsi="Verdana" w:cs="Arial"/>
          <w:color w:val="EE0000"/>
          <w:lang w:val="es-ES"/>
        </w:rPr>
      </w:pPr>
    </w:p>
    <w:p w14:paraId="53E31127" w14:textId="77777777" w:rsidR="00A55EC8" w:rsidRPr="00876048" w:rsidRDefault="00A55EC8" w:rsidP="00A55EC8">
      <w:pPr>
        <w:widowControl w:val="0"/>
        <w:autoSpaceDE w:val="0"/>
        <w:autoSpaceDN w:val="0"/>
        <w:spacing w:after="0" w:line="276" w:lineRule="auto"/>
        <w:jc w:val="both"/>
        <w:rPr>
          <w:rFonts w:ascii="Verdana" w:hAnsi="Verdana" w:cs="Arial"/>
          <w:color w:val="000000" w:themeColor="text1"/>
          <w:lang w:val="es-ES"/>
        </w:rPr>
      </w:pPr>
      <w:r w:rsidRPr="00876048">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915EE98" w14:textId="77777777" w:rsidR="00A55EC8" w:rsidRPr="00876048" w:rsidRDefault="00A55EC8" w:rsidP="00A55EC8">
      <w:pPr>
        <w:widowControl w:val="0"/>
        <w:autoSpaceDE w:val="0"/>
        <w:autoSpaceDN w:val="0"/>
        <w:spacing w:after="0" w:line="276" w:lineRule="auto"/>
        <w:jc w:val="both"/>
        <w:rPr>
          <w:rFonts w:ascii="Verdana" w:hAnsi="Verdana" w:cs="Arial"/>
          <w:color w:val="000000" w:themeColor="text1"/>
          <w:lang w:val="es-ES"/>
        </w:rPr>
      </w:pPr>
    </w:p>
    <w:p w14:paraId="68DCEECA" w14:textId="419E11CF" w:rsidR="007743FC" w:rsidRPr="00876048" w:rsidRDefault="00A55EC8" w:rsidP="00A55EC8">
      <w:pPr>
        <w:spacing w:after="0" w:line="276" w:lineRule="auto"/>
        <w:rPr>
          <w:rFonts w:ascii="Verdana" w:hAnsi="Verdana" w:cs="Arial"/>
          <w:color w:val="000000" w:themeColor="text1"/>
          <w:lang w:val="es-ES" w:eastAsia="es-CO"/>
        </w:rPr>
      </w:pPr>
      <w:r w:rsidRPr="00876048">
        <w:rPr>
          <w:rFonts w:ascii="Verdana" w:eastAsia="Times New Roman" w:hAnsi="Verdana" w:cs="Arial"/>
          <w:color w:val="000000" w:themeColor="text1"/>
          <w:lang w:val="es-ES" w:eastAsia="es-CO"/>
        </w:rPr>
        <w:t>Atentamente,</w:t>
      </w:r>
      <w:r w:rsidRPr="00876048">
        <w:rPr>
          <w:rFonts w:ascii="Verdana" w:hAnsi="Verdana" w:cs="Arial"/>
          <w:color w:val="000000" w:themeColor="text1"/>
          <w:lang w:val="es-ES" w:eastAsia="es-CO"/>
        </w:rPr>
        <w:t xml:space="preserve"> </w:t>
      </w:r>
    </w:p>
    <w:p w14:paraId="6D747A92" w14:textId="681E02F8" w:rsidR="00A55EC8" w:rsidRPr="00E87A52" w:rsidRDefault="00E87A52" w:rsidP="00E87A52">
      <w:pPr>
        <w:spacing w:after="0" w:line="276" w:lineRule="auto"/>
        <w:jc w:val="center"/>
        <w:rPr>
          <w:rFonts w:ascii="Verdana" w:hAnsi="Verdana"/>
          <w:noProof/>
          <w:color w:val="EE0000"/>
        </w:rPr>
      </w:pPr>
      <w:r w:rsidRPr="00E87A52">
        <w:rPr>
          <w:rFonts w:ascii="Verdana" w:hAnsi="Verdana"/>
          <w:noProof/>
          <w:color w:val="EE0000"/>
        </w:rPr>
        <w:drawing>
          <wp:inline distT="0" distB="0" distL="0" distR="0" wp14:anchorId="78F710CC" wp14:editId="394C5D24">
            <wp:extent cx="2648320" cy="1066949"/>
            <wp:effectExtent l="0" t="0" r="0" b="0"/>
            <wp:docPr id="5431582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158250" name=""/>
                    <pic:cNvPicPr/>
                  </pic:nvPicPr>
                  <pic:blipFill>
                    <a:blip r:embed="rId17"/>
                    <a:stretch>
                      <a:fillRect/>
                    </a:stretch>
                  </pic:blipFill>
                  <pic:spPr>
                    <a:xfrm>
                      <a:off x="0" y="0"/>
                      <a:ext cx="2648320" cy="106694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5EC8" w:rsidRPr="00876048" w14:paraId="2B187F08" w14:textId="77777777" w:rsidTr="0053549A">
        <w:trPr>
          <w:trHeight w:val="315"/>
        </w:trPr>
        <w:tc>
          <w:tcPr>
            <w:tcW w:w="893" w:type="dxa"/>
            <w:vAlign w:val="center"/>
            <w:hideMark/>
          </w:tcPr>
          <w:p w14:paraId="288F36B1" w14:textId="77777777" w:rsidR="00A55EC8" w:rsidRPr="00876048" w:rsidRDefault="00A55EC8" w:rsidP="0053549A">
            <w:pPr>
              <w:contextualSpacing/>
              <w:rPr>
                <w:rFonts w:ascii="Verdana" w:hAnsi="Verdana" w:cs="Arial"/>
                <w:color w:val="000000" w:themeColor="text1"/>
                <w:sz w:val="16"/>
                <w:szCs w:val="16"/>
                <w:lang w:val="es-ES" w:eastAsia="es-ES"/>
              </w:rPr>
            </w:pPr>
            <w:r w:rsidRPr="00876048">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31DD53" w14:textId="77777777" w:rsidR="00A55EC8" w:rsidRPr="00876048" w:rsidRDefault="00A55EC8" w:rsidP="0053549A">
            <w:pPr>
              <w:rPr>
                <w:rFonts w:ascii="Verdana" w:eastAsia="Times New Roman" w:hAnsi="Verdana" w:cs="Arial"/>
                <w:color w:val="000000" w:themeColor="text1"/>
                <w:sz w:val="16"/>
                <w:szCs w:val="16"/>
                <w:lang w:eastAsia="es-ES"/>
              </w:rPr>
            </w:pPr>
            <w:r w:rsidRPr="00876048">
              <w:rPr>
                <w:rFonts w:ascii="Verdana" w:eastAsia="Times New Roman" w:hAnsi="Verdana" w:cs="Arial"/>
                <w:color w:val="000000" w:themeColor="text1"/>
                <w:sz w:val="16"/>
                <w:szCs w:val="16"/>
                <w:lang w:eastAsia="es-ES"/>
              </w:rPr>
              <w:t>Camila Alejandra Naranjo Gómez</w:t>
            </w:r>
          </w:p>
          <w:p w14:paraId="29047565" w14:textId="77777777" w:rsidR="00A55EC8" w:rsidRPr="00876048" w:rsidRDefault="00A55EC8" w:rsidP="0053549A">
            <w:pPr>
              <w:contextualSpacing/>
              <w:rPr>
                <w:rFonts w:ascii="Verdana" w:eastAsia="Arial" w:hAnsi="Verdana" w:cs="Arial"/>
                <w:color w:val="000000" w:themeColor="text1"/>
                <w:sz w:val="16"/>
                <w:szCs w:val="16"/>
                <w:lang w:val="es-ES"/>
              </w:rPr>
            </w:pPr>
            <w:r w:rsidRPr="00876048">
              <w:rPr>
                <w:rFonts w:ascii="Verdana" w:eastAsia="Times New Roman" w:hAnsi="Verdana" w:cs="Arial"/>
                <w:color w:val="000000" w:themeColor="text1"/>
                <w:sz w:val="16"/>
                <w:szCs w:val="16"/>
                <w:lang w:eastAsia="es-ES"/>
              </w:rPr>
              <w:t>Analista T2-02 de la Subdirección de Gestión Contractual</w:t>
            </w:r>
          </w:p>
        </w:tc>
      </w:tr>
      <w:tr w:rsidR="00A55EC8" w:rsidRPr="00876048" w14:paraId="6365561B" w14:textId="77777777" w:rsidTr="0053549A">
        <w:trPr>
          <w:trHeight w:val="330"/>
        </w:trPr>
        <w:tc>
          <w:tcPr>
            <w:tcW w:w="893" w:type="dxa"/>
            <w:vAlign w:val="center"/>
            <w:hideMark/>
          </w:tcPr>
          <w:p w14:paraId="65CE197D" w14:textId="77777777" w:rsidR="00A55EC8" w:rsidRPr="00876048" w:rsidRDefault="00A55EC8" w:rsidP="0053549A">
            <w:pPr>
              <w:contextualSpacing/>
              <w:rPr>
                <w:rFonts w:ascii="Verdana" w:hAnsi="Verdana" w:cs="Arial"/>
                <w:color w:val="000000" w:themeColor="text1"/>
                <w:sz w:val="16"/>
                <w:szCs w:val="16"/>
                <w:lang w:val="es-ES" w:eastAsia="es-ES"/>
              </w:rPr>
            </w:pPr>
            <w:r w:rsidRPr="00876048">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B4CA78" w14:textId="77777777" w:rsidR="00A55EC8" w:rsidRPr="00876048" w:rsidRDefault="00A55EC8" w:rsidP="0053549A">
            <w:pPr>
              <w:rPr>
                <w:rFonts w:ascii="Verdana" w:eastAsia="Times New Roman" w:hAnsi="Verdana" w:cs="Arial"/>
                <w:color w:val="000000" w:themeColor="text1"/>
                <w:sz w:val="16"/>
                <w:szCs w:val="16"/>
                <w:lang w:eastAsia="es-ES"/>
              </w:rPr>
            </w:pPr>
            <w:r w:rsidRPr="00876048">
              <w:rPr>
                <w:rFonts w:ascii="Verdana" w:eastAsia="Times New Roman" w:hAnsi="Verdana" w:cs="Arial"/>
                <w:color w:val="000000" w:themeColor="text1"/>
                <w:sz w:val="16"/>
                <w:szCs w:val="16"/>
                <w:lang w:eastAsia="es-ES"/>
              </w:rPr>
              <w:t>Adriana Katerine López Rodríguez</w:t>
            </w:r>
          </w:p>
          <w:p w14:paraId="68C8334F" w14:textId="77777777" w:rsidR="00A55EC8" w:rsidRPr="00876048" w:rsidRDefault="00A55EC8" w:rsidP="0053549A">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876048">
              <w:rPr>
                <w:rFonts w:ascii="Verdana" w:hAnsi="Verdana" w:cs="Arial"/>
                <w:color w:val="000000" w:themeColor="text1"/>
                <w:sz w:val="16"/>
                <w:szCs w:val="16"/>
                <w:lang w:eastAsia="es-ES"/>
              </w:rPr>
              <w:t>Contratista de la Subdirección de Gestión Contractual</w:t>
            </w:r>
          </w:p>
        </w:tc>
      </w:tr>
      <w:tr w:rsidR="00A55EC8" w:rsidRPr="00876048" w14:paraId="35E66AEA" w14:textId="77777777" w:rsidTr="0053549A">
        <w:trPr>
          <w:trHeight w:val="300"/>
        </w:trPr>
        <w:tc>
          <w:tcPr>
            <w:tcW w:w="893" w:type="dxa"/>
            <w:vAlign w:val="center"/>
          </w:tcPr>
          <w:p w14:paraId="41A5460A" w14:textId="77777777" w:rsidR="00A55EC8" w:rsidRPr="00876048" w:rsidRDefault="00A55EC8" w:rsidP="0053549A">
            <w:pPr>
              <w:contextualSpacing/>
              <w:rPr>
                <w:rFonts w:ascii="Verdana" w:hAnsi="Verdana" w:cs="Arial"/>
                <w:color w:val="000000" w:themeColor="text1"/>
                <w:sz w:val="16"/>
                <w:szCs w:val="16"/>
                <w:lang w:val="es-ES" w:eastAsia="es-ES"/>
              </w:rPr>
            </w:pPr>
            <w:r w:rsidRPr="00876048">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7CCD9D" w14:textId="77777777" w:rsidR="00A55EC8" w:rsidRPr="00876048" w:rsidRDefault="00A55EC8" w:rsidP="0053549A">
            <w:pPr>
              <w:contextualSpacing/>
              <w:rPr>
                <w:rFonts w:ascii="Verdana" w:eastAsia="Calibri" w:hAnsi="Verdana" w:cs="Arial"/>
                <w:color w:val="000000" w:themeColor="text1"/>
                <w:sz w:val="16"/>
                <w:szCs w:val="16"/>
                <w:lang w:val="es-ES" w:eastAsia="es-ES"/>
              </w:rPr>
            </w:pPr>
            <w:r w:rsidRPr="00876048">
              <w:rPr>
                <w:rFonts w:ascii="Verdana" w:eastAsia="Calibri" w:hAnsi="Verdana" w:cs="Arial"/>
                <w:color w:val="000000" w:themeColor="text1"/>
                <w:sz w:val="16"/>
                <w:szCs w:val="16"/>
                <w:lang w:val="es-ES" w:eastAsia="es-ES"/>
              </w:rPr>
              <w:t>Carolina Quintero Gacharná</w:t>
            </w:r>
          </w:p>
          <w:p w14:paraId="5AE8F406" w14:textId="77777777" w:rsidR="00A55EC8" w:rsidRPr="00876048" w:rsidRDefault="00A55EC8" w:rsidP="0053549A">
            <w:pPr>
              <w:contextualSpacing/>
              <w:rPr>
                <w:rFonts w:ascii="Verdana" w:eastAsia="Calibri" w:hAnsi="Verdana" w:cs="Arial"/>
                <w:color w:val="000000" w:themeColor="text1"/>
                <w:sz w:val="16"/>
                <w:szCs w:val="16"/>
                <w:lang w:val="es-ES" w:eastAsia="es-ES"/>
              </w:rPr>
            </w:pPr>
            <w:r w:rsidRPr="00876048">
              <w:rPr>
                <w:rFonts w:ascii="Verdana" w:eastAsia="Calibri" w:hAnsi="Verdana" w:cs="Arial"/>
                <w:color w:val="000000" w:themeColor="text1"/>
                <w:sz w:val="16"/>
                <w:szCs w:val="16"/>
                <w:lang w:val="es-ES" w:eastAsia="es-ES"/>
              </w:rPr>
              <w:t>Subdirectora de Gestión Contractual ANCP – CCE</w:t>
            </w:r>
          </w:p>
        </w:tc>
      </w:tr>
    </w:tbl>
    <w:p w14:paraId="63A05997" w14:textId="77777777" w:rsidR="00A55EC8" w:rsidRPr="00E966B7" w:rsidRDefault="00A55EC8" w:rsidP="00A55EC8">
      <w:pPr>
        <w:spacing w:after="120" w:line="276" w:lineRule="auto"/>
        <w:jc w:val="both"/>
        <w:rPr>
          <w:rFonts w:ascii="Verdana" w:eastAsia="Century Gothic" w:hAnsi="Verdana" w:cs="Century Gothic"/>
          <w:b/>
          <w:color w:val="EE0000"/>
        </w:rPr>
      </w:pPr>
    </w:p>
    <w:bookmarkEnd w:id="0"/>
    <w:p w14:paraId="1999D3BE" w14:textId="5371B847" w:rsidR="00A55EC8" w:rsidRPr="00E966B7" w:rsidRDefault="00A55EC8" w:rsidP="00A55EC8">
      <w:pPr>
        <w:spacing w:after="120" w:line="276" w:lineRule="auto"/>
        <w:jc w:val="both"/>
        <w:rPr>
          <w:rFonts w:ascii="Verdana" w:eastAsia="Century Gothic" w:hAnsi="Verdana" w:cs="Century Gothic"/>
          <w:b/>
          <w:color w:val="EE0000"/>
          <w:lang w:val="es-ES"/>
        </w:rPr>
      </w:pPr>
    </w:p>
    <w:p w14:paraId="0F293BF4" w14:textId="0D4A051B" w:rsidR="00127233" w:rsidRPr="00A55EC8" w:rsidRDefault="00127233" w:rsidP="00A55EC8"/>
    <w:sectPr w:rsidR="00127233" w:rsidRPr="00A55EC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A5C08" w14:textId="77777777" w:rsidR="005909D6" w:rsidRDefault="005909D6" w:rsidP="004A1847">
      <w:pPr>
        <w:spacing w:after="0" w:line="240" w:lineRule="auto"/>
      </w:pPr>
      <w:r>
        <w:separator/>
      </w:r>
    </w:p>
  </w:endnote>
  <w:endnote w:type="continuationSeparator" w:id="0">
    <w:p w14:paraId="0B1392C7" w14:textId="77777777" w:rsidR="005909D6" w:rsidRDefault="005909D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C73B8" w14:textId="77777777" w:rsidR="005909D6" w:rsidRDefault="005909D6" w:rsidP="004A1847">
      <w:pPr>
        <w:spacing w:after="0" w:line="240" w:lineRule="auto"/>
      </w:pPr>
      <w:r>
        <w:separator/>
      </w:r>
    </w:p>
  </w:footnote>
  <w:footnote w:type="continuationSeparator" w:id="0">
    <w:p w14:paraId="3375773C" w14:textId="77777777" w:rsidR="005909D6" w:rsidRDefault="005909D6" w:rsidP="004A1847">
      <w:pPr>
        <w:spacing w:after="0" w:line="240" w:lineRule="auto"/>
      </w:pPr>
      <w:r>
        <w:continuationSeparator/>
      </w:r>
    </w:p>
  </w:footnote>
  <w:footnote w:id="1">
    <w:p w14:paraId="27D611BE" w14:textId="77777777" w:rsidR="00A55EC8" w:rsidRPr="001D601E" w:rsidRDefault="00A55EC8" w:rsidP="00A55EC8">
      <w:pPr>
        <w:pStyle w:val="Textonotapie"/>
        <w:ind w:firstLine="709"/>
        <w:jc w:val="both"/>
        <w:rPr>
          <w:rFonts w:ascii="Verdana" w:hAnsi="Verdana" w:cs="Arial"/>
          <w:color w:val="000000" w:themeColor="text1"/>
          <w:sz w:val="16"/>
          <w:szCs w:val="16"/>
        </w:rPr>
      </w:pPr>
      <w:r w:rsidRPr="001D601E">
        <w:rPr>
          <w:rStyle w:val="Refdenotaalpie"/>
          <w:rFonts w:ascii="Verdana" w:hAnsi="Verdana" w:cs="Arial"/>
          <w:color w:val="000000" w:themeColor="text1"/>
          <w:sz w:val="16"/>
          <w:szCs w:val="16"/>
        </w:rPr>
        <w:footnoteRef/>
      </w:r>
      <w:r w:rsidRPr="001D601E">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5A7378F8" w14:textId="77777777" w:rsidR="00A55EC8" w:rsidRDefault="00A55EC8" w:rsidP="00A55EC8">
      <w:pPr>
        <w:pStyle w:val="Textonotapie"/>
        <w:ind w:firstLine="709"/>
        <w:jc w:val="both"/>
        <w:rPr>
          <w:rFonts w:ascii="Verdana" w:hAnsi="Verdana" w:cs="Arial"/>
          <w:color w:val="000000" w:themeColor="text1"/>
          <w:sz w:val="16"/>
          <w:szCs w:val="16"/>
        </w:rPr>
      </w:pPr>
      <w:r w:rsidRPr="001D601E">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1AF49EDC" w14:textId="77777777" w:rsidR="00A55EC8" w:rsidRPr="001D601E" w:rsidRDefault="00A55EC8" w:rsidP="00A55EC8">
      <w:pPr>
        <w:pStyle w:val="Textonotapie"/>
        <w:ind w:firstLine="709"/>
        <w:jc w:val="both"/>
        <w:rPr>
          <w:rFonts w:ascii="Verdana" w:hAnsi="Verdana" w:cs="Arial"/>
          <w:color w:val="000000" w:themeColor="text1"/>
          <w:sz w:val="16"/>
          <w:szCs w:val="16"/>
        </w:rPr>
      </w:pPr>
    </w:p>
  </w:footnote>
  <w:footnote w:id="2">
    <w:p w14:paraId="357F0C74" w14:textId="77777777" w:rsidR="00A55EC8" w:rsidRPr="001D601E" w:rsidRDefault="00A55EC8" w:rsidP="00A55EC8">
      <w:pPr>
        <w:pStyle w:val="Textonotapie"/>
        <w:ind w:firstLine="709"/>
        <w:jc w:val="both"/>
        <w:rPr>
          <w:rFonts w:ascii="Verdana" w:hAnsi="Verdana" w:cs="Arial"/>
          <w:color w:val="000000" w:themeColor="text1"/>
          <w:sz w:val="16"/>
          <w:szCs w:val="16"/>
        </w:rPr>
      </w:pPr>
      <w:r w:rsidRPr="001D601E">
        <w:rPr>
          <w:rStyle w:val="Refdenotaalpie"/>
          <w:rFonts w:ascii="Verdana" w:hAnsi="Verdana" w:cs="Arial"/>
          <w:color w:val="000000" w:themeColor="text1"/>
          <w:sz w:val="16"/>
          <w:szCs w:val="16"/>
        </w:rPr>
        <w:footnoteRef/>
      </w:r>
      <w:r w:rsidRPr="001D601E">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660D9043" w14:textId="77777777" w:rsidR="00A55EC8" w:rsidRPr="001D601E" w:rsidRDefault="00A55EC8" w:rsidP="00A55EC8">
      <w:pPr>
        <w:pStyle w:val="Textonotapie"/>
        <w:ind w:firstLine="709"/>
        <w:jc w:val="both"/>
        <w:rPr>
          <w:rFonts w:ascii="Verdana" w:hAnsi="Verdana" w:cs="Arial"/>
          <w:color w:val="000000" w:themeColor="text1"/>
          <w:sz w:val="16"/>
          <w:szCs w:val="16"/>
        </w:rPr>
      </w:pPr>
      <w:r w:rsidRPr="001D601E">
        <w:rPr>
          <w:rFonts w:ascii="Verdana" w:hAnsi="Verdana" w:cs="Arial"/>
          <w:color w:val="000000" w:themeColor="text1"/>
          <w:sz w:val="16"/>
          <w:szCs w:val="16"/>
        </w:rPr>
        <w:t>1o.) que sea legalmente capaz.</w:t>
      </w:r>
    </w:p>
    <w:p w14:paraId="3164372D" w14:textId="77777777" w:rsidR="00A55EC8" w:rsidRPr="001D601E" w:rsidRDefault="00A55EC8" w:rsidP="00A55EC8">
      <w:pPr>
        <w:pStyle w:val="Textonotapie"/>
        <w:ind w:firstLine="709"/>
        <w:jc w:val="both"/>
        <w:rPr>
          <w:rFonts w:ascii="Verdana" w:hAnsi="Verdana" w:cs="Arial"/>
          <w:color w:val="000000" w:themeColor="text1"/>
          <w:sz w:val="16"/>
          <w:szCs w:val="16"/>
        </w:rPr>
      </w:pPr>
      <w:r>
        <w:rPr>
          <w:rFonts w:ascii="Verdana" w:hAnsi="Verdana" w:cs="Arial"/>
          <w:color w:val="000000" w:themeColor="text1"/>
          <w:sz w:val="16"/>
          <w:szCs w:val="16"/>
        </w:rPr>
        <w:t>(</w:t>
      </w:r>
      <w:r w:rsidRPr="001D601E">
        <w:rPr>
          <w:rFonts w:ascii="Verdana" w:hAnsi="Verdana" w:cs="Arial"/>
          <w:color w:val="000000" w:themeColor="text1"/>
          <w:sz w:val="16"/>
          <w:szCs w:val="16"/>
        </w:rPr>
        <w:t>…</w:t>
      </w:r>
      <w:r>
        <w:rPr>
          <w:rFonts w:ascii="Verdana" w:hAnsi="Verdana" w:cs="Arial"/>
          <w:color w:val="000000" w:themeColor="text1"/>
          <w:sz w:val="16"/>
          <w:szCs w:val="16"/>
        </w:rPr>
        <w:t>)</w:t>
      </w:r>
    </w:p>
    <w:p w14:paraId="6CA59535" w14:textId="77777777" w:rsidR="00A55EC8" w:rsidRDefault="00A55EC8" w:rsidP="00A55EC8">
      <w:pPr>
        <w:pStyle w:val="Textonotapie"/>
        <w:ind w:firstLine="709"/>
        <w:jc w:val="both"/>
        <w:rPr>
          <w:rFonts w:ascii="Verdana" w:hAnsi="Verdana" w:cs="Arial"/>
          <w:color w:val="000000" w:themeColor="text1"/>
          <w:sz w:val="16"/>
          <w:szCs w:val="16"/>
        </w:rPr>
      </w:pPr>
      <w:r w:rsidRPr="001D601E">
        <w:rPr>
          <w:rFonts w:ascii="Verdana" w:hAnsi="Verdana" w:cs="Arial"/>
          <w:color w:val="000000" w:themeColor="text1"/>
          <w:sz w:val="16"/>
          <w:szCs w:val="16"/>
        </w:rPr>
        <w:t>La capacidad legal de una persona consiste en poderse obligar por sí misma, sin el ministerio o la autorización de otra”.</w:t>
      </w:r>
    </w:p>
    <w:p w14:paraId="275A069F" w14:textId="77777777" w:rsidR="00A55EC8" w:rsidRPr="005C09FF" w:rsidRDefault="00A55EC8" w:rsidP="00A55EC8">
      <w:pPr>
        <w:pStyle w:val="Textonotapie"/>
        <w:ind w:firstLine="709"/>
        <w:jc w:val="both"/>
        <w:rPr>
          <w:rFonts w:ascii="Verdana" w:hAnsi="Verdana" w:cs="Arial"/>
          <w:color w:val="000000" w:themeColor="text1"/>
          <w:sz w:val="12"/>
          <w:szCs w:val="12"/>
          <w:lang w:val="es-CO"/>
        </w:rPr>
      </w:pPr>
    </w:p>
  </w:footnote>
  <w:footnote w:id="3">
    <w:p w14:paraId="43BCB8AF" w14:textId="77777777" w:rsidR="00A55EC8" w:rsidRDefault="00A55EC8" w:rsidP="00A55EC8">
      <w:pPr>
        <w:spacing w:after="0" w:line="240" w:lineRule="auto"/>
        <w:ind w:firstLine="709"/>
        <w:jc w:val="both"/>
        <w:rPr>
          <w:rFonts w:ascii="Verdana" w:hAnsi="Verdana" w:cs="Arial"/>
          <w:color w:val="000000" w:themeColor="text1"/>
          <w:sz w:val="16"/>
          <w:szCs w:val="16"/>
          <w:lang w:val="es-ES"/>
        </w:rPr>
      </w:pPr>
      <w:r w:rsidRPr="005C32CE">
        <w:rPr>
          <w:rStyle w:val="Refdenotaalpie"/>
          <w:rFonts w:ascii="Verdana" w:hAnsi="Verdana" w:cs="Arial"/>
          <w:color w:val="000000" w:themeColor="text1"/>
          <w:sz w:val="16"/>
          <w:szCs w:val="16"/>
        </w:rPr>
        <w:footnoteRef/>
      </w:r>
      <w:r w:rsidRPr="005C32CE">
        <w:rPr>
          <w:rFonts w:ascii="Verdana" w:hAnsi="Verdana" w:cs="Arial"/>
          <w:color w:val="000000" w:themeColor="text1"/>
          <w:sz w:val="16"/>
          <w:szCs w:val="16"/>
        </w:rPr>
        <w:t xml:space="preserve"> </w:t>
      </w:r>
      <w:r w:rsidRPr="005C32CE">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3A05F0E2" w14:textId="77777777" w:rsidR="00A55EC8" w:rsidRPr="005C32CE" w:rsidRDefault="00A55EC8" w:rsidP="00A55EC8">
      <w:pPr>
        <w:spacing w:after="0" w:line="240" w:lineRule="auto"/>
        <w:ind w:firstLine="709"/>
        <w:jc w:val="both"/>
        <w:rPr>
          <w:rFonts w:ascii="Verdana" w:hAnsi="Verdana" w:cs="Arial"/>
          <w:color w:val="000000" w:themeColor="text1"/>
          <w:sz w:val="16"/>
          <w:szCs w:val="16"/>
          <w:lang w:val="es-ES"/>
        </w:rPr>
      </w:pPr>
    </w:p>
  </w:footnote>
  <w:footnote w:id="4">
    <w:p w14:paraId="10F6E9BE" w14:textId="77777777" w:rsidR="00A55EC8" w:rsidRDefault="00A55EC8" w:rsidP="00A55EC8">
      <w:pPr>
        <w:pStyle w:val="Textonotapie"/>
        <w:ind w:firstLine="709"/>
        <w:jc w:val="both"/>
        <w:rPr>
          <w:rFonts w:ascii="Verdana" w:hAnsi="Verdana" w:cs="Arial"/>
          <w:color w:val="000000" w:themeColor="text1"/>
          <w:sz w:val="16"/>
          <w:szCs w:val="16"/>
          <w:lang w:val="es-ES"/>
        </w:rPr>
      </w:pPr>
      <w:r w:rsidRPr="005C32CE">
        <w:rPr>
          <w:rStyle w:val="Refdenotaalpie"/>
          <w:rFonts w:ascii="Verdana" w:hAnsi="Verdana" w:cs="Arial"/>
          <w:color w:val="000000" w:themeColor="text1"/>
          <w:sz w:val="16"/>
          <w:szCs w:val="16"/>
        </w:rPr>
        <w:footnoteRef/>
      </w:r>
      <w:r w:rsidRPr="005C32CE">
        <w:rPr>
          <w:rFonts w:ascii="Verdana" w:hAnsi="Verdana" w:cs="Arial"/>
          <w:color w:val="000000" w:themeColor="text1"/>
          <w:sz w:val="16"/>
          <w:szCs w:val="16"/>
        </w:rPr>
        <w:t xml:space="preserve"> </w:t>
      </w:r>
      <w:r w:rsidRPr="005C32CE">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6B71D71E" w14:textId="77777777" w:rsidR="00A55EC8" w:rsidRPr="005C32CE" w:rsidRDefault="00A55EC8" w:rsidP="00A55EC8">
      <w:pPr>
        <w:pStyle w:val="Textonotapie"/>
        <w:ind w:firstLine="709"/>
        <w:jc w:val="both"/>
        <w:rPr>
          <w:rFonts w:ascii="Verdana" w:hAnsi="Verdana" w:cs="Arial"/>
          <w:color w:val="000000" w:themeColor="text1"/>
          <w:sz w:val="16"/>
          <w:szCs w:val="16"/>
          <w:lang w:val="es-CO"/>
        </w:rPr>
      </w:pPr>
    </w:p>
  </w:footnote>
  <w:footnote w:id="5">
    <w:p w14:paraId="0956837A" w14:textId="77777777" w:rsidR="00A55EC8" w:rsidRDefault="00A55EC8" w:rsidP="00A55EC8">
      <w:pPr>
        <w:pStyle w:val="Textonotapie"/>
        <w:ind w:firstLine="709"/>
        <w:jc w:val="both"/>
        <w:rPr>
          <w:rFonts w:ascii="Verdana" w:hAnsi="Verdana" w:cs="Arial"/>
          <w:color w:val="000000" w:themeColor="text1"/>
          <w:sz w:val="16"/>
          <w:szCs w:val="16"/>
          <w:lang w:val="es-ES"/>
        </w:rPr>
      </w:pPr>
      <w:r w:rsidRPr="005C32CE">
        <w:rPr>
          <w:rStyle w:val="Refdenotaalpie"/>
          <w:rFonts w:ascii="Verdana" w:hAnsi="Verdana" w:cs="Arial"/>
          <w:color w:val="000000" w:themeColor="text1"/>
          <w:sz w:val="16"/>
          <w:szCs w:val="16"/>
        </w:rPr>
        <w:footnoteRef/>
      </w:r>
      <w:r w:rsidRPr="005C32CE">
        <w:rPr>
          <w:rFonts w:ascii="Verdana" w:hAnsi="Verdana" w:cs="Arial"/>
          <w:color w:val="000000" w:themeColor="text1"/>
          <w:sz w:val="16"/>
          <w:szCs w:val="16"/>
        </w:rPr>
        <w:t xml:space="preserve"> </w:t>
      </w:r>
      <w:r w:rsidRPr="005C32CE">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56FE903F" w14:textId="77777777" w:rsidR="00A55EC8" w:rsidRPr="005C32CE" w:rsidRDefault="00A55EC8" w:rsidP="00A55EC8">
      <w:pPr>
        <w:pStyle w:val="Textonotapie"/>
        <w:ind w:firstLine="709"/>
        <w:jc w:val="both"/>
        <w:rPr>
          <w:rFonts w:ascii="Verdana" w:hAnsi="Verdana" w:cs="Arial"/>
          <w:color w:val="000000" w:themeColor="text1"/>
          <w:sz w:val="16"/>
          <w:szCs w:val="16"/>
          <w:lang w:val="es-CO"/>
        </w:rPr>
      </w:pPr>
    </w:p>
  </w:footnote>
  <w:footnote w:id="6">
    <w:p w14:paraId="7EF0B22D" w14:textId="77777777" w:rsidR="00A55EC8" w:rsidRPr="00AD4848" w:rsidRDefault="00A55EC8" w:rsidP="00A55EC8">
      <w:pPr>
        <w:spacing w:after="0" w:line="240" w:lineRule="auto"/>
        <w:ind w:firstLine="709"/>
        <w:jc w:val="both"/>
        <w:rPr>
          <w:rFonts w:ascii="Verdana" w:hAnsi="Verdana" w:cs="Arial"/>
          <w:color w:val="000000" w:themeColor="text1"/>
          <w:sz w:val="16"/>
          <w:szCs w:val="16"/>
          <w:lang w:val="es-ES"/>
        </w:rPr>
      </w:pPr>
      <w:r w:rsidRPr="005C32CE">
        <w:rPr>
          <w:rStyle w:val="Refdenotaalpie"/>
          <w:rFonts w:ascii="Verdana" w:hAnsi="Verdana" w:cs="Arial"/>
          <w:color w:val="000000" w:themeColor="text1"/>
          <w:sz w:val="16"/>
          <w:szCs w:val="16"/>
        </w:rPr>
        <w:footnoteRef/>
      </w:r>
      <w:r w:rsidRPr="005C32CE">
        <w:rPr>
          <w:rFonts w:ascii="Verdana" w:hAnsi="Verdana" w:cs="Arial"/>
          <w:color w:val="000000" w:themeColor="text1"/>
          <w:sz w:val="16"/>
          <w:szCs w:val="16"/>
        </w:rPr>
        <w:t xml:space="preserve"> </w:t>
      </w:r>
      <w:r w:rsidRPr="005C32CE">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w:t>
      </w:r>
      <w:r w:rsidRPr="00AD4848">
        <w:rPr>
          <w:rFonts w:ascii="Verdana" w:hAnsi="Verdana" w:cs="Arial"/>
          <w:color w:val="000000" w:themeColor="text1"/>
          <w:sz w:val="16"/>
          <w:szCs w:val="16"/>
          <w:lang w:val="es-ES"/>
        </w:rPr>
        <w:t xml:space="preserve">esté adscrita o vinculada” (art. 8, num. 2º, lit. e), Ley 80/93);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72F05AC3" w14:textId="77777777" w:rsidR="00A55EC8" w:rsidRPr="00AD4848" w:rsidRDefault="00A55EC8" w:rsidP="00A55EC8">
      <w:pPr>
        <w:spacing w:after="0" w:line="240" w:lineRule="auto"/>
        <w:ind w:firstLine="709"/>
        <w:jc w:val="both"/>
        <w:rPr>
          <w:rFonts w:ascii="Verdana" w:hAnsi="Verdana" w:cs="Arial"/>
          <w:color w:val="000000" w:themeColor="text1"/>
          <w:sz w:val="16"/>
          <w:szCs w:val="16"/>
          <w:lang w:val="es-ES"/>
        </w:rPr>
      </w:pPr>
    </w:p>
  </w:footnote>
  <w:footnote w:id="7">
    <w:p w14:paraId="09D6D2C5" w14:textId="77777777" w:rsidR="00A55EC8" w:rsidRDefault="00A55EC8" w:rsidP="00A55EC8">
      <w:pPr>
        <w:pStyle w:val="Textonotapie"/>
        <w:ind w:firstLine="709"/>
        <w:jc w:val="both"/>
        <w:rPr>
          <w:rFonts w:ascii="Verdana" w:hAnsi="Verdana" w:cs="Arial"/>
          <w:color w:val="000000" w:themeColor="text1"/>
          <w:sz w:val="16"/>
          <w:szCs w:val="16"/>
          <w:lang w:val="es-ES"/>
        </w:rPr>
      </w:pPr>
      <w:r w:rsidRPr="00AD4848">
        <w:rPr>
          <w:rStyle w:val="Refdenotaalpie"/>
          <w:rFonts w:ascii="Verdana" w:hAnsi="Verdana" w:cs="Arial"/>
          <w:color w:val="000000" w:themeColor="text1"/>
          <w:sz w:val="16"/>
          <w:szCs w:val="16"/>
        </w:rPr>
        <w:footnoteRef/>
      </w:r>
      <w:r w:rsidRPr="00AD4848">
        <w:rPr>
          <w:rFonts w:ascii="Verdana" w:hAnsi="Verdana" w:cs="Arial"/>
          <w:color w:val="000000" w:themeColor="text1"/>
          <w:sz w:val="16"/>
          <w:szCs w:val="16"/>
        </w:rPr>
        <w:t xml:space="preserve"> </w:t>
      </w:r>
      <w:r w:rsidRPr="00AD4848">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116080A6" w14:textId="77777777" w:rsidR="00A55EC8" w:rsidRPr="00AD4848" w:rsidRDefault="00A55EC8" w:rsidP="00A55EC8">
      <w:pPr>
        <w:pStyle w:val="Textonotapie"/>
        <w:ind w:firstLine="709"/>
        <w:jc w:val="both"/>
        <w:rPr>
          <w:rFonts w:ascii="Verdana" w:hAnsi="Verdana" w:cs="Arial"/>
          <w:color w:val="000000" w:themeColor="text1"/>
          <w:sz w:val="16"/>
          <w:szCs w:val="16"/>
          <w:lang w:val="es-ES"/>
        </w:rPr>
      </w:pPr>
    </w:p>
  </w:footnote>
  <w:footnote w:id="8">
    <w:p w14:paraId="3E3412CF" w14:textId="77777777" w:rsidR="00A55EC8" w:rsidRPr="005C09FF" w:rsidRDefault="00A55EC8" w:rsidP="00A55EC8">
      <w:pPr>
        <w:pStyle w:val="Textonotapie"/>
        <w:ind w:firstLine="709"/>
        <w:jc w:val="both"/>
        <w:rPr>
          <w:rFonts w:ascii="Verdana" w:hAnsi="Verdana" w:cs="Arial"/>
          <w:color w:val="000000" w:themeColor="text1"/>
          <w:sz w:val="12"/>
          <w:szCs w:val="12"/>
          <w:lang w:val="es-ES"/>
        </w:rPr>
      </w:pPr>
      <w:r w:rsidRPr="00AD4848">
        <w:rPr>
          <w:rStyle w:val="Refdenotaalpie"/>
          <w:rFonts w:ascii="Verdana" w:hAnsi="Verdana" w:cs="Arial"/>
          <w:color w:val="000000" w:themeColor="text1"/>
          <w:sz w:val="16"/>
          <w:szCs w:val="16"/>
        </w:rPr>
        <w:footnoteRef/>
      </w:r>
      <w:r w:rsidRPr="00AD4848">
        <w:rPr>
          <w:rFonts w:ascii="Verdana" w:hAnsi="Verdana" w:cs="Arial"/>
          <w:color w:val="000000" w:themeColor="text1"/>
          <w:sz w:val="16"/>
          <w:szCs w:val="16"/>
        </w:rPr>
        <w:t xml:space="preserve"> </w:t>
      </w:r>
      <w:r w:rsidRPr="00AD4848">
        <w:rPr>
          <w:rFonts w:ascii="Verdana" w:hAnsi="Verdana" w:cs="Arial"/>
          <w:color w:val="000000" w:themeColor="text1"/>
          <w:sz w:val="16"/>
          <w:szCs w:val="16"/>
          <w:lang w:val="es-ES"/>
        </w:rPr>
        <w:t>Ibid., p. 69.</w:t>
      </w:r>
    </w:p>
  </w:footnote>
  <w:footnote w:id="9">
    <w:p w14:paraId="6EC25302" w14:textId="77777777" w:rsidR="00A55EC8" w:rsidRDefault="00A55EC8" w:rsidP="00A55EC8">
      <w:pPr>
        <w:pStyle w:val="Textonotapie"/>
        <w:ind w:firstLine="709"/>
        <w:jc w:val="both"/>
        <w:rPr>
          <w:rFonts w:ascii="Verdana" w:hAnsi="Verdana" w:cs="Arial"/>
          <w:color w:val="000000" w:themeColor="text1"/>
          <w:sz w:val="16"/>
          <w:szCs w:val="16"/>
          <w:lang w:val="es-ES"/>
        </w:rPr>
      </w:pPr>
      <w:r w:rsidRPr="003466E6">
        <w:rPr>
          <w:rStyle w:val="Refdenotaalpie"/>
          <w:rFonts w:ascii="Verdana" w:hAnsi="Verdana" w:cs="Arial"/>
          <w:color w:val="000000" w:themeColor="text1"/>
          <w:sz w:val="16"/>
          <w:szCs w:val="16"/>
        </w:rPr>
        <w:footnoteRef/>
      </w:r>
      <w:r w:rsidRPr="003466E6">
        <w:rPr>
          <w:rFonts w:ascii="Verdana" w:hAnsi="Verdana" w:cs="Arial"/>
          <w:color w:val="000000" w:themeColor="text1"/>
          <w:sz w:val="16"/>
          <w:szCs w:val="16"/>
        </w:rPr>
        <w:t xml:space="preserve"> </w:t>
      </w:r>
      <w:r w:rsidRPr="003466E6">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2FF75C54" w14:textId="77777777" w:rsidR="00A55EC8" w:rsidRPr="003466E6" w:rsidRDefault="00A55EC8" w:rsidP="00A55EC8">
      <w:pPr>
        <w:pStyle w:val="Textonotapie"/>
        <w:ind w:firstLine="709"/>
        <w:jc w:val="both"/>
        <w:rPr>
          <w:rFonts w:ascii="Verdana" w:hAnsi="Verdana" w:cs="Arial"/>
          <w:color w:val="000000" w:themeColor="text1"/>
          <w:sz w:val="16"/>
          <w:szCs w:val="16"/>
          <w:lang w:val="es-ES"/>
        </w:rPr>
      </w:pPr>
    </w:p>
  </w:footnote>
  <w:footnote w:id="10">
    <w:p w14:paraId="3F9DCBDF" w14:textId="77777777" w:rsidR="00A55EC8" w:rsidRDefault="00A55EC8" w:rsidP="00A55EC8">
      <w:pPr>
        <w:pStyle w:val="Textonotapie"/>
        <w:ind w:firstLine="709"/>
        <w:jc w:val="both"/>
        <w:rPr>
          <w:rFonts w:ascii="Verdana" w:hAnsi="Verdana" w:cs="Arial"/>
          <w:color w:val="000000" w:themeColor="text1"/>
          <w:sz w:val="16"/>
          <w:szCs w:val="16"/>
          <w:lang w:val="es-ES"/>
        </w:rPr>
      </w:pPr>
      <w:r w:rsidRPr="003466E6">
        <w:rPr>
          <w:rStyle w:val="Refdenotaalpie"/>
          <w:rFonts w:ascii="Verdana" w:hAnsi="Verdana" w:cs="Arial"/>
          <w:color w:val="000000" w:themeColor="text1"/>
          <w:sz w:val="16"/>
          <w:szCs w:val="16"/>
        </w:rPr>
        <w:footnoteRef/>
      </w:r>
      <w:r w:rsidRPr="003466E6">
        <w:rPr>
          <w:rFonts w:ascii="Verdana" w:hAnsi="Verdana" w:cs="Arial"/>
          <w:color w:val="000000" w:themeColor="text1"/>
          <w:sz w:val="16"/>
          <w:szCs w:val="16"/>
        </w:rPr>
        <w:t xml:space="preserve"> </w:t>
      </w:r>
      <w:r w:rsidRPr="003466E6">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p w14:paraId="23A2FD2F" w14:textId="77777777" w:rsidR="00A55EC8" w:rsidRPr="003466E6" w:rsidRDefault="00A55EC8" w:rsidP="00A55EC8">
      <w:pPr>
        <w:pStyle w:val="Textonotapie"/>
        <w:ind w:firstLine="709"/>
        <w:jc w:val="both"/>
        <w:rPr>
          <w:rFonts w:ascii="Verdana" w:hAnsi="Verdana" w:cs="Arial"/>
          <w:color w:val="000000" w:themeColor="text1"/>
          <w:sz w:val="16"/>
          <w:szCs w:val="16"/>
          <w:lang w:val="es-ES"/>
        </w:rPr>
      </w:pPr>
    </w:p>
  </w:footnote>
  <w:footnote w:id="11">
    <w:p w14:paraId="3ED7BF61" w14:textId="77777777" w:rsidR="00A55EC8" w:rsidRDefault="00A55EC8" w:rsidP="00A55EC8">
      <w:pPr>
        <w:pStyle w:val="Textonotapie"/>
        <w:ind w:firstLine="709"/>
        <w:jc w:val="both"/>
        <w:rPr>
          <w:rFonts w:ascii="Verdana" w:hAnsi="Verdana" w:cs="Arial"/>
          <w:color w:val="000000" w:themeColor="text1"/>
          <w:sz w:val="16"/>
          <w:szCs w:val="16"/>
        </w:rPr>
      </w:pPr>
      <w:r w:rsidRPr="003466E6">
        <w:rPr>
          <w:rStyle w:val="Refdenotaalpie"/>
          <w:rFonts w:ascii="Verdana" w:hAnsi="Verdana" w:cs="Arial"/>
          <w:color w:val="000000" w:themeColor="text1"/>
          <w:sz w:val="16"/>
          <w:szCs w:val="16"/>
        </w:rPr>
        <w:footnoteRef/>
      </w:r>
      <w:r w:rsidRPr="003466E6">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p w14:paraId="75D5B4C4" w14:textId="77777777" w:rsidR="00A55EC8" w:rsidRPr="003466E6" w:rsidRDefault="00A55EC8" w:rsidP="00A55EC8">
      <w:pPr>
        <w:pStyle w:val="Textonotapie"/>
        <w:ind w:firstLine="709"/>
        <w:jc w:val="both"/>
        <w:rPr>
          <w:rFonts w:ascii="Verdana" w:hAnsi="Verdana" w:cs="Arial"/>
          <w:color w:val="000000" w:themeColor="text1"/>
          <w:sz w:val="16"/>
          <w:szCs w:val="16"/>
          <w:lang w:val="es-ES"/>
        </w:rPr>
      </w:pPr>
    </w:p>
  </w:footnote>
  <w:footnote w:id="12">
    <w:p w14:paraId="2284BCD0" w14:textId="77777777" w:rsidR="00A55EC8" w:rsidRPr="005C09FF" w:rsidRDefault="00A55EC8" w:rsidP="00A55EC8">
      <w:pPr>
        <w:pStyle w:val="Textonotapie"/>
        <w:ind w:firstLine="709"/>
        <w:jc w:val="both"/>
        <w:rPr>
          <w:rFonts w:ascii="Verdana" w:hAnsi="Verdana" w:cs="Arial"/>
          <w:color w:val="000000" w:themeColor="text1"/>
          <w:sz w:val="12"/>
          <w:szCs w:val="12"/>
          <w:lang w:val="es-ES"/>
        </w:rPr>
      </w:pPr>
      <w:r w:rsidRPr="003466E6">
        <w:rPr>
          <w:rStyle w:val="Refdenotaalpie"/>
          <w:rFonts w:ascii="Verdana" w:hAnsi="Verdana" w:cs="Arial"/>
          <w:color w:val="000000" w:themeColor="text1"/>
          <w:sz w:val="16"/>
          <w:szCs w:val="16"/>
        </w:rPr>
        <w:footnoteRef/>
      </w:r>
      <w:r w:rsidRPr="003466E6">
        <w:rPr>
          <w:rFonts w:ascii="Verdana" w:hAnsi="Verdana" w:cs="Arial"/>
          <w:color w:val="000000" w:themeColor="text1"/>
          <w:sz w:val="16"/>
          <w:szCs w:val="16"/>
        </w:rPr>
        <w:t xml:space="preserve"> Consejo de Estado. Sección Tercera. Subsección C. Sentencia del 22 de mayo de 2013. Exp. 24.057. Consejera Ponente: Olga Melida Valle De La Hoz.</w:t>
      </w:r>
    </w:p>
  </w:footnote>
  <w:footnote w:id="13">
    <w:p w14:paraId="594C49E8" w14:textId="77777777" w:rsidR="00A55EC8" w:rsidRPr="000256D5" w:rsidRDefault="00A55EC8" w:rsidP="00A55EC8">
      <w:pPr>
        <w:pStyle w:val="Textonotapie"/>
        <w:ind w:firstLine="708"/>
        <w:jc w:val="both"/>
        <w:rPr>
          <w:rFonts w:ascii="Verdana" w:hAnsi="Verdana" w:cs="Arial"/>
          <w:color w:val="000000" w:themeColor="text1"/>
          <w:sz w:val="16"/>
          <w:szCs w:val="16"/>
          <w:lang w:val="pt-BR"/>
        </w:rPr>
      </w:pPr>
      <w:r w:rsidRPr="000256D5">
        <w:rPr>
          <w:rStyle w:val="Refdenotaalpie"/>
          <w:rFonts w:ascii="Verdana" w:hAnsi="Verdana"/>
          <w:sz w:val="16"/>
          <w:szCs w:val="16"/>
        </w:rPr>
        <w:footnoteRef/>
      </w:r>
      <w:r w:rsidRPr="000256D5">
        <w:rPr>
          <w:rFonts w:ascii="Verdana" w:hAnsi="Verdana"/>
          <w:sz w:val="16"/>
          <w:szCs w:val="16"/>
        </w:rPr>
        <w:t xml:space="preserve"> </w:t>
      </w:r>
      <w:r w:rsidRPr="000256D5">
        <w:rPr>
          <w:rFonts w:ascii="Verdana" w:hAnsi="Verdana" w:cs="Arial"/>
          <w:color w:val="000000" w:themeColor="text1"/>
          <w:sz w:val="16"/>
          <w:szCs w:val="16"/>
        </w:rPr>
        <w:t xml:space="preserve">Departamento Administrativo de la Función Pública. </w:t>
      </w:r>
      <w:r w:rsidRPr="000256D5">
        <w:rPr>
          <w:rFonts w:ascii="Verdana" w:hAnsi="Verdana" w:cs="Arial"/>
          <w:color w:val="000000" w:themeColor="text1"/>
          <w:sz w:val="16"/>
          <w:szCs w:val="16"/>
          <w:lang w:val="pt-BR"/>
        </w:rPr>
        <w:t xml:space="preserve">Concepto 154851 de 2023. Ref. Inhabilidades E Incompatibilidades. Pensionado. Pensionado por invalidez para ser empleado público o contratista. </w:t>
      </w:r>
      <w:r>
        <w:rPr>
          <w:rFonts w:ascii="Verdana" w:hAnsi="Verdana" w:cs="Arial"/>
          <w:color w:val="000000" w:themeColor="text1"/>
          <w:sz w:val="16"/>
          <w:szCs w:val="16"/>
          <w:lang w:val="pt-BR"/>
        </w:rPr>
        <w:t>Rad</w:t>
      </w:r>
      <w:r w:rsidRPr="000256D5">
        <w:rPr>
          <w:rFonts w:ascii="Verdana" w:hAnsi="Verdana" w:cs="Arial"/>
          <w:color w:val="000000" w:themeColor="text1"/>
          <w:sz w:val="16"/>
          <w:szCs w:val="16"/>
          <w:lang w:val="pt-BR"/>
        </w:rPr>
        <w:t>. 20232060168272 de</w:t>
      </w:r>
      <w:r>
        <w:rPr>
          <w:rFonts w:ascii="Verdana" w:hAnsi="Verdana" w:cs="Arial"/>
          <w:color w:val="000000" w:themeColor="text1"/>
          <w:sz w:val="16"/>
          <w:szCs w:val="16"/>
          <w:lang w:val="pt-BR"/>
        </w:rPr>
        <w:t>l</w:t>
      </w:r>
      <w:r w:rsidRPr="000256D5">
        <w:rPr>
          <w:rFonts w:ascii="Verdana" w:hAnsi="Verdana" w:cs="Arial"/>
          <w:color w:val="000000" w:themeColor="text1"/>
          <w:sz w:val="16"/>
          <w:szCs w:val="16"/>
          <w:lang w:val="pt-BR"/>
        </w:rPr>
        <w:t xml:space="preserve"> 16 de Marzo de 2023. Consultar en: </w:t>
      </w:r>
      <w:hyperlink r:id="rId1" w:history="1">
        <w:r w:rsidRPr="000256D5">
          <w:rPr>
            <w:rStyle w:val="Hipervnculo"/>
            <w:rFonts w:ascii="Verdana" w:hAnsi="Verdana" w:cs="Arial"/>
            <w:sz w:val="16"/>
            <w:szCs w:val="16"/>
            <w:lang w:val="pt-BR"/>
          </w:rPr>
          <w:t>https://www.funcionpublica.gov.co/eva/gestornormativo/norma.php?i=215264</w:t>
        </w:r>
      </w:hyperlink>
      <w:r w:rsidRPr="000256D5">
        <w:rPr>
          <w:rFonts w:ascii="Verdana" w:hAnsi="Verdana" w:cs="Arial"/>
          <w:color w:val="000000" w:themeColor="text1"/>
          <w:sz w:val="16"/>
          <w:szCs w:val="16"/>
          <w:lang w:val="pt-BR"/>
        </w:rPr>
        <w:t xml:space="preserve"> </w:t>
      </w:r>
    </w:p>
    <w:p w14:paraId="5EBC3B05" w14:textId="77777777" w:rsidR="00A55EC8" w:rsidRPr="000256D5" w:rsidRDefault="00A55EC8" w:rsidP="00A55EC8">
      <w:pPr>
        <w:pStyle w:val="Textonotapie"/>
        <w:ind w:firstLine="708"/>
        <w:jc w:val="both"/>
        <w:rPr>
          <w:rFonts w:ascii="Verdana" w:hAnsi="Verdana" w:cs="Arial"/>
          <w:color w:val="000000" w:themeColor="text1"/>
          <w:sz w:val="16"/>
          <w:szCs w:val="16"/>
          <w:lang w:val="pt-B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BCCA2F34"/>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3A88"/>
    <w:rsid w:val="000815EA"/>
    <w:rsid w:val="00082362"/>
    <w:rsid w:val="000A683E"/>
    <w:rsid w:val="000B19B9"/>
    <w:rsid w:val="000D0334"/>
    <w:rsid w:val="000D5DA7"/>
    <w:rsid w:val="000F6486"/>
    <w:rsid w:val="00116940"/>
    <w:rsid w:val="00125105"/>
    <w:rsid w:val="00127233"/>
    <w:rsid w:val="001435D8"/>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40ED"/>
    <w:rsid w:val="00322A85"/>
    <w:rsid w:val="00324168"/>
    <w:rsid w:val="00330834"/>
    <w:rsid w:val="00331E67"/>
    <w:rsid w:val="00341785"/>
    <w:rsid w:val="003448F4"/>
    <w:rsid w:val="00374F5E"/>
    <w:rsid w:val="00377E3E"/>
    <w:rsid w:val="003A779E"/>
    <w:rsid w:val="003D0F4D"/>
    <w:rsid w:val="003D5B0D"/>
    <w:rsid w:val="003E0499"/>
    <w:rsid w:val="003E4F80"/>
    <w:rsid w:val="003E5246"/>
    <w:rsid w:val="003E6439"/>
    <w:rsid w:val="003F3941"/>
    <w:rsid w:val="00406575"/>
    <w:rsid w:val="00414C74"/>
    <w:rsid w:val="0042722E"/>
    <w:rsid w:val="0044528D"/>
    <w:rsid w:val="00466E39"/>
    <w:rsid w:val="004A1847"/>
    <w:rsid w:val="004A305D"/>
    <w:rsid w:val="004F21C4"/>
    <w:rsid w:val="004F685F"/>
    <w:rsid w:val="0053549A"/>
    <w:rsid w:val="005566E8"/>
    <w:rsid w:val="00563739"/>
    <w:rsid w:val="00574867"/>
    <w:rsid w:val="005909D6"/>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743FC"/>
    <w:rsid w:val="007833AC"/>
    <w:rsid w:val="007B268C"/>
    <w:rsid w:val="007B7171"/>
    <w:rsid w:val="007C0C0F"/>
    <w:rsid w:val="007C3DC2"/>
    <w:rsid w:val="007E5497"/>
    <w:rsid w:val="00806F5F"/>
    <w:rsid w:val="00820278"/>
    <w:rsid w:val="008258C9"/>
    <w:rsid w:val="00840072"/>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5EC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8450C"/>
    <w:rsid w:val="00C925AC"/>
    <w:rsid w:val="00CB6357"/>
    <w:rsid w:val="00CC1B26"/>
    <w:rsid w:val="00D361FD"/>
    <w:rsid w:val="00D423A2"/>
    <w:rsid w:val="00D44E26"/>
    <w:rsid w:val="00D520D8"/>
    <w:rsid w:val="00D63AC2"/>
    <w:rsid w:val="00D7383B"/>
    <w:rsid w:val="00D7556E"/>
    <w:rsid w:val="00D7788A"/>
    <w:rsid w:val="00DA231B"/>
    <w:rsid w:val="00DC39FC"/>
    <w:rsid w:val="00DF5254"/>
    <w:rsid w:val="00E02524"/>
    <w:rsid w:val="00E16408"/>
    <w:rsid w:val="00E20894"/>
    <w:rsid w:val="00E245AB"/>
    <w:rsid w:val="00E2764C"/>
    <w:rsid w:val="00E27F2E"/>
    <w:rsid w:val="00E34590"/>
    <w:rsid w:val="00E50AFE"/>
    <w:rsid w:val="00E75C92"/>
    <w:rsid w:val="00E771DC"/>
    <w:rsid w:val="00E8772A"/>
    <w:rsid w:val="00E87A52"/>
    <w:rsid w:val="00E90F6B"/>
    <w:rsid w:val="00E92C27"/>
    <w:rsid w:val="00EA0E3D"/>
    <w:rsid w:val="00EC38A7"/>
    <w:rsid w:val="00EE1AA8"/>
    <w:rsid w:val="00F23FEA"/>
    <w:rsid w:val="00F31EDC"/>
    <w:rsid w:val="00F462B3"/>
    <w:rsid w:val="00F5664F"/>
    <w:rsid w:val="00F61B64"/>
    <w:rsid w:val="00F666C4"/>
    <w:rsid w:val="00F76AFC"/>
    <w:rsid w:val="00F8517B"/>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FD7D1CD-1889-464F-AD98-42C186DCC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55EC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55EC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funcionpublica.gov.co/eva/gestornormativo/norma.php?i=215264"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nacristian173@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funcionpublica.gov.co/eva/gestornormativo/norma.php?i=21526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1ED4CB-C914-4052-A7CF-377902056FFD}"/>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18</Pages>
  <Words>5260</Words>
  <Characters>28934</Characters>
  <Application>Microsoft Office Word</Application>
  <DocSecurity>0</DocSecurity>
  <Lines>241</Lines>
  <Paragraphs>68</Paragraphs>
  <ScaleCrop>false</ScaleCrop>
  <Company/>
  <LinksUpToDate>false</LinksUpToDate>
  <CharactersWithSpaces>34126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3</cp:revision>
  <cp:lastPrinted>2023-01-11T00:18:00Z</cp:lastPrinted>
  <dcterms:created xsi:type="dcterms:W3CDTF">2026-04-14T16:00:00Z</dcterms:created>
  <dcterms:modified xsi:type="dcterms:W3CDTF">2026-04-16T00:48:00Z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