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75FB49" w14:textId="77777777" w:rsidR="0002496B" w:rsidRDefault="0002496B" w:rsidP="0002496B">
      <w:pPr>
        <w:spacing w:after="0" w:line="240" w:lineRule="auto"/>
        <w:jc w:val="both"/>
        <w:rPr>
          <w:rFonts w:ascii="Verdana" w:eastAsia="Calibri" w:hAnsi="Verdana" w:cs="Arial"/>
          <w:b/>
          <w:bCs/>
          <w:lang w:eastAsia="es-ES"/>
        </w:rPr>
      </w:pPr>
      <w:bookmarkStart w:id="0" w:name="_Hlk215673488"/>
      <w:bookmarkStart w:id="1" w:name="_Hlk143780582"/>
      <w:r w:rsidRPr="004B21C7">
        <w:rPr>
          <w:rFonts w:ascii="Verdana" w:eastAsia="Calibri" w:hAnsi="Verdana" w:cs="Arial"/>
          <w:b/>
          <w:bCs/>
          <w:lang w:eastAsia="es-ES"/>
        </w:rPr>
        <w:t>ESTABILIDAD OCUPACIONAL REFORZADA – Mujer embarazada</w:t>
      </w:r>
      <w:r>
        <w:rPr>
          <w:rFonts w:ascii="Verdana" w:eastAsia="Calibri" w:hAnsi="Verdana" w:cs="Arial"/>
          <w:b/>
          <w:bCs/>
          <w:lang w:eastAsia="es-ES"/>
        </w:rPr>
        <w:t xml:space="preserve"> y/o periodo de lactancia</w:t>
      </w:r>
    </w:p>
    <w:p w14:paraId="0935EB93" w14:textId="77777777" w:rsidR="0002496B" w:rsidRDefault="0002496B" w:rsidP="0002496B">
      <w:pPr>
        <w:spacing w:after="0" w:line="240" w:lineRule="auto"/>
        <w:jc w:val="both"/>
        <w:rPr>
          <w:rFonts w:ascii="Verdana" w:eastAsia="Calibri" w:hAnsi="Verdana" w:cs="Arial"/>
          <w:b/>
          <w:bCs/>
          <w:lang w:eastAsia="es-ES"/>
        </w:rPr>
      </w:pPr>
    </w:p>
    <w:p w14:paraId="749B27E3"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 xml:space="preserve">[…] </w:t>
      </w:r>
      <w:r w:rsidRPr="0072670B">
        <w:rPr>
          <w:rFonts w:ascii="Verdana" w:eastAsia="Calibri" w:hAnsi="Verdana" w:cs="Arial"/>
          <w:color w:val="000000"/>
          <w:sz w:val="20"/>
          <w:szCs w:val="20"/>
          <w:lang w:eastAsia="es-ES_tradnl"/>
        </w:rPr>
        <w:t xml:space="preserve">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72670B">
        <w:rPr>
          <w:rFonts w:ascii="Verdana" w:eastAsia="Calibri" w:hAnsi="Verdana" w:cs="Arial"/>
          <w:color w:val="000000"/>
          <w:sz w:val="20"/>
          <w:szCs w:val="20"/>
          <w:lang w:eastAsia="es-ES_tradnl"/>
        </w:rPr>
        <w:t>ii</w:t>
      </w:r>
      <w:proofErr w:type="spellEnd"/>
      <w:r w:rsidRPr="0072670B">
        <w:rPr>
          <w:rFonts w:ascii="Verdana" w:eastAsia="Calibri" w:hAnsi="Verdana" w:cs="Arial"/>
          <w:color w:val="000000"/>
          <w:sz w:val="20"/>
          <w:szCs w:val="20"/>
          <w:lang w:eastAsia="es-ES_tradnl"/>
        </w:rPr>
        <w:t>) cuando a pesar de no probarse la configuración de un contrato realidad la terminación del contrato de prestación de servicios se fundamenta en criterios discriminatorios, y no en motivos objetivos.</w:t>
      </w:r>
    </w:p>
    <w:p w14:paraId="7F562639" w14:textId="77777777" w:rsidR="0002496B" w:rsidRDefault="0002496B" w:rsidP="0002496B">
      <w:pPr>
        <w:spacing w:after="0" w:line="240" w:lineRule="auto"/>
        <w:jc w:val="both"/>
        <w:rPr>
          <w:rFonts w:ascii="Verdana" w:eastAsia="Calibri" w:hAnsi="Verdana" w:cs="Arial"/>
          <w:color w:val="000000"/>
          <w:sz w:val="20"/>
          <w:szCs w:val="20"/>
          <w:lang w:eastAsia="es-ES_tradnl"/>
        </w:rPr>
      </w:pPr>
    </w:p>
    <w:p w14:paraId="2705552A" w14:textId="77777777" w:rsidR="0002496B" w:rsidRDefault="0002496B" w:rsidP="0002496B">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CONTRATO DE PRESTACIÓN DE SERVICIOS – Protección por maternidad</w:t>
      </w:r>
    </w:p>
    <w:p w14:paraId="12A0FADC" w14:textId="77777777" w:rsidR="0002496B" w:rsidRDefault="0002496B" w:rsidP="0002496B">
      <w:pPr>
        <w:spacing w:after="0" w:line="240" w:lineRule="auto"/>
        <w:jc w:val="both"/>
        <w:rPr>
          <w:rFonts w:ascii="Verdana" w:eastAsia="Calibri" w:hAnsi="Verdana" w:cs="Arial"/>
          <w:b/>
          <w:bCs/>
          <w:lang w:eastAsia="es-ES"/>
        </w:rPr>
      </w:pPr>
    </w:p>
    <w:p w14:paraId="44C49227" w14:textId="77777777" w:rsidR="0002496B" w:rsidRPr="008D1EE5" w:rsidRDefault="0002496B" w:rsidP="0002496B">
      <w:pPr>
        <w:spacing w:after="0" w:line="240" w:lineRule="auto"/>
        <w:jc w:val="both"/>
        <w:rPr>
          <w:rFonts w:ascii="Verdana" w:eastAsia="Calibri" w:hAnsi="Verdana" w:cs="Arial"/>
          <w:color w:val="000000"/>
          <w:sz w:val="20"/>
          <w:szCs w:val="20"/>
          <w:lang w:eastAsia="es-ES_tradnl"/>
        </w:rPr>
      </w:pPr>
      <w:r w:rsidRPr="0072670B">
        <w:rPr>
          <w:rFonts w:ascii="Verdana" w:eastAsia="Calibri" w:hAnsi="Verdana" w:cs="Arial"/>
          <w:color w:val="000000"/>
          <w:sz w:val="20"/>
          <w:szCs w:val="20"/>
          <w:lang w:eastAsia="es-ES_tradnl"/>
        </w:rPr>
        <w:t>En este sentido, de conformidad con lo expuesto, les corresponde a las Entidades Estatales, en virtud de su autonomía, y de acuerdo con los lineamientos de la Corte Constitucional, determinar la mejor forma para garantizar la estabilidad ocupacional reforzada a favor de las mujeres en estado de embarazo o en período de lactancia, incluso cuando se encuentran vinculadas mediante contratos de prestación de servicios, orientado a impedir prácticas discriminatorias derivadas de la terminación o no renovación del vínculo contractual por causa o con ocasión de la maternidad. No obstante, el alcance y la forma de materialización de dicha protección deben analizarse a la luz del marco normativo aplicable a la actuación de las entidades estatales, en particular, cuando concurren restricciones legales que inciden en la gestión contractual.</w:t>
      </w:r>
      <w:r w:rsidRPr="00783D7C">
        <w:t xml:space="preserve"> </w:t>
      </w:r>
    </w:p>
    <w:p w14:paraId="4427BFE7" w14:textId="77777777" w:rsidR="0002496B" w:rsidRDefault="0002496B" w:rsidP="0002496B">
      <w:pPr>
        <w:spacing w:after="0" w:line="240" w:lineRule="auto"/>
        <w:jc w:val="both"/>
        <w:rPr>
          <w:rFonts w:ascii="Verdana" w:eastAsia="Calibri" w:hAnsi="Verdana" w:cs="Arial"/>
          <w:b/>
          <w:bCs/>
          <w:color w:val="000000"/>
          <w:lang w:eastAsia="es-ES_tradnl"/>
        </w:rPr>
      </w:pPr>
    </w:p>
    <w:p w14:paraId="43F9E3AC" w14:textId="77777777" w:rsidR="0002496B" w:rsidRDefault="0002496B" w:rsidP="0002496B">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LEY DE GARANTÍAS ELECTORALES – Artículo 33 – Contratación directa</w:t>
      </w:r>
    </w:p>
    <w:p w14:paraId="64A026C2" w14:textId="77777777" w:rsidR="0002496B" w:rsidRDefault="0002496B" w:rsidP="0002496B">
      <w:pPr>
        <w:spacing w:after="0" w:line="240" w:lineRule="auto"/>
        <w:jc w:val="both"/>
        <w:rPr>
          <w:rFonts w:ascii="Verdana" w:eastAsia="Calibri" w:hAnsi="Verdana" w:cs="Arial"/>
          <w:color w:val="000000"/>
          <w:sz w:val="20"/>
          <w:szCs w:val="20"/>
          <w:lang w:eastAsia="es-ES"/>
        </w:rPr>
      </w:pPr>
    </w:p>
    <w:p w14:paraId="6EFBC22E"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sidRPr="00783D7C">
        <w:rPr>
          <w:rFonts w:ascii="Verdana" w:eastAsia="Calibri" w:hAnsi="Verdana" w:cs="Arial"/>
          <w:color w:val="000000"/>
          <w:sz w:val="20"/>
          <w:szCs w:val="20"/>
          <w:lang w:eastAsia="es-ES_tradnl"/>
        </w:rPr>
        <w:t>De conformidad con lo anterior, la Ley 996 de 2005 establece dos (2) tipos de restricciones en materia de contratación, las cuales coinciden parcialmente. En primer lugar,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w:t>
      </w:r>
      <w:r>
        <w:rPr>
          <w:rFonts w:ascii="Verdana" w:eastAsia="Calibri" w:hAnsi="Verdana" w:cs="Arial"/>
          <w:color w:val="000000"/>
          <w:sz w:val="20"/>
          <w:szCs w:val="20"/>
          <w:lang w:eastAsia="es-ES_tradnl"/>
        </w:rPr>
        <w:t xml:space="preserve"> </w:t>
      </w:r>
      <w:r w:rsidRPr="00783D7C">
        <w:rPr>
          <w:rFonts w:ascii="Verdana" w:eastAsia="Calibri" w:hAnsi="Verdana" w:cs="Arial"/>
          <w:color w:val="000000"/>
          <w:sz w:val="20"/>
          <w:szCs w:val="20"/>
          <w:lang w:eastAsia="es-ES_tradnl"/>
        </w:rPr>
        <w:t>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 para los sujetos señalados en la disposición.</w:t>
      </w:r>
    </w:p>
    <w:p w14:paraId="4B555985" w14:textId="77777777" w:rsidR="0002496B" w:rsidRDefault="0002496B" w:rsidP="0002496B">
      <w:pPr>
        <w:spacing w:after="0" w:line="240" w:lineRule="auto"/>
        <w:jc w:val="both"/>
        <w:rPr>
          <w:rFonts w:ascii="Verdana" w:eastAsia="Calibri" w:hAnsi="Verdana" w:cs="Arial"/>
          <w:color w:val="000000"/>
          <w:sz w:val="20"/>
          <w:szCs w:val="20"/>
          <w:lang w:eastAsia="es-ES_tradnl"/>
        </w:rPr>
      </w:pPr>
    </w:p>
    <w:p w14:paraId="24581211"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Pr>
          <w:rFonts w:ascii="Verdana" w:eastAsia="Calibri" w:hAnsi="Verdana" w:cs="Arial"/>
          <w:color w:val="000000"/>
          <w:sz w:val="20"/>
          <w:szCs w:val="20"/>
          <w:lang w:eastAsia="es-ES_tradnl"/>
        </w:rPr>
        <w:t>[…]</w:t>
      </w:r>
    </w:p>
    <w:p w14:paraId="61B9EC57" w14:textId="77777777" w:rsidR="0002496B" w:rsidRDefault="0002496B" w:rsidP="0002496B">
      <w:pPr>
        <w:spacing w:after="0" w:line="240" w:lineRule="auto"/>
        <w:jc w:val="both"/>
        <w:rPr>
          <w:rFonts w:ascii="Verdana" w:eastAsia="Calibri" w:hAnsi="Verdana" w:cs="Arial"/>
          <w:color w:val="000000"/>
          <w:sz w:val="20"/>
          <w:szCs w:val="20"/>
          <w:lang w:eastAsia="es-ES_tradnl"/>
        </w:rPr>
      </w:pPr>
    </w:p>
    <w:p w14:paraId="34ACC177"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 xml:space="preserve">Por tanto, las excepciones a la prohibición contenida en el inciso segundo de artículo 33 de la Ley de Garantías Electorales tienen por finalidad garantizar la realización </w:t>
      </w:r>
      <w:r w:rsidRPr="008D1EE5">
        <w:rPr>
          <w:rFonts w:ascii="Verdana" w:eastAsia="Calibri" w:hAnsi="Verdana" w:cs="Arial"/>
          <w:color w:val="000000"/>
          <w:sz w:val="20"/>
          <w:szCs w:val="20"/>
          <w:lang w:eastAsia="es-ES_tradnl"/>
        </w:rPr>
        <w:lastRenderedPageBreak/>
        <w:t>ininterrumpida de ciertas actividades que, dada su importancia en el orden interno, se verían irrazonablemente afectadas por la restricción. De igual forma, la Sala de Consulta y Servicio Civil del Consejo de Estado, en concepto del 2 de septiembre de 2013, mencionó las excepciones a la prohibición del artículo 33 de la Ley de Garantías Electorales, resaltando su carácter taxativo, y señalando la independencia de los supuestos, así: “[…] Las excepciones aplicables a la restricción de contratación pública. Ahora bien, las únicas excepciones a las disposiciones previstas en la Ley de Garantías se encuentran numeradas taxativamente en el último inciso del artículo 33 de la ley 996 de 2005 […]”</w:t>
      </w:r>
    </w:p>
    <w:p w14:paraId="6286AF5F" w14:textId="77777777" w:rsidR="0002496B" w:rsidRPr="008D1EE5" w:rsidRDefault="0002496B" w:rsidP="0002496B">
      <w:pPr>
        <w:spacing w:after="0" w:line="240" w:lineRule="auto"/>
        <w:jc w:val="both"/>
        <w:rPr>
          <w:rFonts w:ascii="Verdana" w:eastAsia="Calibri" w:hAnsi="Verdana" w:cs="Arial"/>
          <w:color w:val="000000"/>
          <w:sz w:val="20"/>
          <w:szCs w:val="20"/>
          <w:lang w:eastAsia="es-ES_tradnl"/>
        </w:rPr>
      </w:pPr>
    </w:p>
    <w:p w14:paraId="6402B1BE"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 xml:space="preserve">Lo anterior implica que las excepciones al artículo 33 en comento deben interpretarse y aplicarse de manera estricta. En otras palabras, no es factible hacer interpretaciones extensivas 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5669A4E2" w14:textId="77777777" w:rsidR="0002496B" w:rsidRPr="008D1EE5" w:rsidRDefault="0002496B" w:rsidP="0002496B">
      <w:pPr>
        <w:spacing w:after="0" w:line="240" w:lineRule="auto"/>
        <w:jc w:val="both"/>
        <w:rPr>
          <w:rFonts w:ascii="Verdana" w:eastAsia="Calibri" w:hAnsi="Verdana" w:cs="Arial"/>
          <w:color w:val="000000"/>
          <w:sz w:val="20"/>
          <w:szCs w:val="20"/>
          <w:lang w:eastAsia="es-ES_tradnl"/>
        </w:rPr>
      </w:pPr>
    </w:p>
    <w:p w14:paraId="2DE74A4B" w14:textId="77777777" w:rsidR="0002496B" w:rsidRPr="00703B77" w:rsidRDefault="0002496B" w:rsidP="0002496B">
      <w:pPr>
        <w:spacing w:after="0" w:line="240" w:lineRule="auto"/>
        <w:jc w:val="both"/>
        <w:rPr>
          <w:rFonts w:ascii="Verdana" w:eastAsia="Calibri" w:hAnsi="Verdana" w:cs="Arial"/>
          <w:color w:val="000000"/>
          <w:sz w:val="20"/>
          <w:szCs w:val="20"/>
          <w:lang w:eastAsia="es-ES_tradnl"/>
        </w:rPr>
      </w:pPr>
      <w:r w:rsidRPr="008D1EE5">
        <w:rPr>
          <w:rFonts w:ascii="Verdana" w:eastAsia="Calibri" w:hAnsi="Verdana" w:cs="Arial"/>
          <w:color w:val="000000"/>
          <w:sz w:val="20"/>
          <w:szCs w:val="20"/>
          <w:lang w:eastAsia="es-ES_tradnl"/>
        </w:rPr>
        <w:t>Particularmente, al confrontar el catálogo de excepciones con los contratos directos —particularmente los contratos de prestación de servicios profesionales y/o de apoyo a la gestión— a los que se hace referencia en la presente solicitud, 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r w:rsidRPr="00A869FE">
        <w:rPr>
          <w:rFonts w:ascii="Verdana" w:hAnsi="Verdana"/>
          <w:sz w:val="20"/>
        </w:rPr>
        <w:t xml:space="preserve"> </w:t>
      </w:r>
    </w:p>
    <w:p w14:paraId="1D19F112" w14:textId="77777777" w:rsidR="0002496B" w:rsidRDefault="0002496B" w:rsidP="0002496B">
      <w:pPr>
        <w:spacing w:after="0" w:line="240" w:lineRule="auto"/>
        <w:jc w:val="both"/>
        <w:rPr>
          <w:rFonts w:ascii="Verdana" w:hAnsi="Verdana"/>
          <w:sz w:val="20"/>
        </w:rPr>
      </w:pPr>
    </w:p>
    <w:p w14:paraId="07420081" w14:textId="77777777" w:rsidR="0002496B" w:rsidRDefault="0002496B" w:rsidP="0002496B">
      <w:pPr>
        <w:spacing w:after="0" w:line="240" w:lineRule="auto"/>
        <w:jc w:val="both"/>
        <w:rPr>
          <w:rFonts w:ascii="Verdana" w:eastAsia="Calibri" w:hAnsi="Verdana" w:cs="Arial"/>
          <w:b/>
          <w:bCs/>
          <w:lang w:eastAsia="es-ES"/>
        </w:rPr>
      </w:pPr>
      <w:r w:rsidRPr="0072670B">
        <w:rPr>
          <w:rFonts w:ascii="Verdana" w:eastAsia="Calibri" w:hAnsi="Verdana" w:cs="Arial"/>
          <w:b/>
          <w:bCs/>
          <w:lang w:eastAsia="es-ES"/>
        </w:rPr>
        <w:t>ENTIDADES TERRITORIALES – Restricciones preelectorales – Planeación contractual</w:t>
      </w:r>
    </w:p>
    <w:p w14:paraId="0A1A1ADA" w14:textId="77777777" w:rsidR="0002496B" w:rsidRDefault="0002496B" w:rsidP="0002496B">
      <w:pPr>
        <w:spacing w:after="0" w:line="240" w:lineRule="auto"/>
        <w:jc w:val="both"/>
        <w:rPr>
          <w:rFonts w:ascii="Verdana" w:eastAsia="Calibri" w:hAnsi="Verdana" w:cs="Arial"/>
          <w:b/>
          <w:bCs/>
          <w:lang w:eastAsia="es-ES"/>
        </w:rPr>
      </w:pPr>
    </w:p>
    <w:p w14:paraId="2684C356" w14:textId="77777777" w:rsidR="0002496B" w:rsidRDefault="0002496B" w:rsidP="0002496B">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Frente a las consideraciones específicas del presente concepto, es necesario precisar que la entidad consultante corresponde a una administración municipal, razón por la cual se encuentra comprendida dentro del ámbito subjetivo de aplicación de la restricción prevista en el artículo 33 de la Ley 996 de 2005, en tanto dicha disposición se dirige expresamente a “todos los entes del Estado”, sin distinción alguna respecto de su naturaleza, nivel territorial o régimen jurídico aplicable.</w:t>
      </w:r>
    </w:p>
    <w:p w14:paraId="1D06D753" w14:textId="77777777" w:rsidR="00345E62" w:rsidRPr="00F10EF0" w:rsidRDefault="00345E62" w:rsidP="0002496B">
      <w:pPr>
        <w:spacing w:after="0" w:line="240" w:lineRule="auto"/>
        <w:jc w:val="both"/>
        <w:rPr>
          <w:rFonts w:ascii="Verdana" w:eastAsia="Calibri" w:hAnsi="Verdana" w:cs="Arial"/>
          <w:color w:val="000000"/>
          <w:sz w:val="20"/>
          <w:szCs w:val="20"/>
          <w:lang w:eastAsia="es-ES_tradnl"/>
        </w:rPr>
      </w:pPr>
    </w:p>
    <w:p w14:paraId="4E467F2D" w14:textId="77777777" w:rsidR="0002496B" w:rsidRPr="00F10EF0" w:rsidRDefault="0002496B" w:rsidP="0002496B">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Ahora bien, la prohibición consagrada en la norma citada recae sobre la contratación directa, entendida esta como la celebración de nuevos negocios jurídicos bajo modalidades que no impliquen convocatoria pública ni pluralidad de oferentes. En ese sentido, la restricción no se extiende, en principio, a las modificaciones, prórrogas o adiciones de contratos previamente suscritos, más allá de las limitaciones propias establecidas en el Estatuto General de Contratación de la Administración Pública, salvo que el objeto contractual se subsuma en alguno de los supuestos expresamente exceptuados por el inciso segundo del artículo 33 de la Ley 996 de 2005, esto es:</w:t>
      </w:r>
    </w:p>
    <w:p w14:paraId="0189BF63" w14:textId="77777777" w:rsidR="0002496B" w:rsidRPr="00F10EF0" w:rsidRDefault="0002496B" w:rsidP="0002496B">
      <w:pPr>
        <w:spacing w:after="0" w:line="240" w:lineRule="auto"/>
        <w:jc w:val="both"/>
        <w:rPr>
          <w:rFonts w:ascii="Verdana" w:eastAsia="Calibri" w:hAnsi="Verdana" w:cs="Arial"/>
          <w:color w:val="000000"/>
          <w:sz w:val="20"/>
          <w:szCs w:val="20"/>
          <w:lang w:eastAsia="es-ES_tradnl"/>
        </w:rPr>
      </w:pPr>
    </w:p>
    <w:p w14:paraId="1C7FEADF" w14:textId="77777777" w:rsidR="0002496B" w:rsidRPr="00540EE9" w:rsidRDefault="0002496B" w:rsidP="0002496B">
      <w:pPr>
        <w:spacing w:after="0" w:line="240" w:lineRule="auto"/>
        <w:ind w:left="709" w:right="709"/>
        <w:jc w:val="both"/>
        <w:rPr>
          <w:rFonts w:ascii="Verdana" w:eastAsia="Calibri" w:hAnsi="Verdana" w:cs="Arial"/>
          <w:color w:val="000000"/>
          <w:sz w:val="18"/>
          <w:szCs w:val="18"/>
          <w:lang w:eastAsia="es-ES_tradnl"/>
        </w:rPr>
      </w:pPr>
      <w:r w:rsidRPr="00540EE9">
        <w:rPr>
          <w:rFonts w:ascii="Verdana" w:eastAsia="Calibri" w:hAnsi="Verdana" w:cs="Arial"/>
          <w:color w:val="000000"/>
          <w:sz w:val="18"/>
          <w:szCs w:val="18"/>
          <w:lang w:eastAsia="es-ES_tradnl"/>
        </w:rPr>
        <w:t xml:space="preserve">“[…] lo referente a la defensa y seguridad del Estado, los contratos de crédito público, los requeridos para cubrir las emergencias educativas, sanitarias y </w:t>
      </w:r>
      <w:r w:rsidRPr="00540EE9">
        <w:rPr>
          <w:rFonts w:ascii="Verdana" w:eastAsia="Calibri" w:hAnsi="Verdana" w:cs="Arial"/>
          <w:color w:val="000000"/>
          <w:sz w:val="18"/>
          <w:szCs w:val="18"/>
          <w:lang w:eastAsia="es-ES_tradnl"/>
        </w:rPr>
        <w:lastRenderedPageBreak/>
        <w:t>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2621F70" w14:textId="77777777" w:rsidR="0002496B" w:rsidRPr="00F10EF0" w:rsidRDefault="0002496B" w:rsidP="0002496B">
      <w:pPr>
        <w:spacing w:after="0" w:line="240" w:lineRule="auto"/>
        <w:jc w:val="both"/>
        <w:rPr>
          <w:rFonts w:ascii="Verdana" w:eastAsia="Calibri" w:hAnsi="Verdana" w:cs="Arial"/>
          <w:color w:val="000000"/>
          <w:sz w:val="20"/>
          <w:szCs w:val="20"/>
          <w:lang w:eastAsia="es-ES_tradnl"/>
        </w:rPr>
      </w:pPr>
    </w:p>
    <w:p w14:paraId="395CFA65" w14:textId="77777777" w:rsidR="0002496B" w:rsidRPr="00F10EF0" w:rsidRDefault="0002496B" w:rsidP="0002496B">
      <w:pPr>
        <w:spacing w:after="0" w:line="240" w:lineRule="auto"/>
        <w:jc w:val="both"/>
        <w:rPr>
          <w:rFonts w:ascii="Verdana" w:eastAsia="Calibri" w:hAnsi="Verdana" w:cs="Arial"/>
          <w:color w:val="000000"/>
          <w:sz w:val="20"/>
          <w:szCs w:val="20"/>
          <w:lang w:eastAsia="es-ES_tradnl"/>
        </w:rPr>
      </w:pPr>
      <w:r w:rsidRPr="00F10EF0">
        <w:rPr>
          <w:rFonts w:ascii="Verdana" w:eastAsia="Calibri" w:hAnsi="Verdana" w:cs="Arial"/>
          <w:color w:val="000000"/>
          <w:sz w:val="20"/>
          <w:szCs w:val="20"/>
          <w:lang w:eastAsia="es-ES_tradnl"/>
        </w:rPr>
        <w:t>En este contexto, resulta fundamental que, en el marco del principio de planeación, como manifestación del principio de economía, cuyo propósito es asegurar que toda actuación contractual esté precedida de los estudios técnicos, financieros y jurídicos necesarios para determinar su viabilidad y conveniencia, y teniendo en cuenta las restricciones derivadas de la Ley de Garantías Electorales, la entidad estatal evalúe si resulta jurídicamente procedente, a la luz de los criterios desarrollados por la Corte Constitucional para la protección de los derechos de las mujeres en estado de embarazo o en período de lactancia, adelantar prórrogas, modificaciones o adiciones de los contratos celebrados con anterioridad a la entrada en vigencia de las prohibiciones mencionadas, así como la cesión de los mismos, actuaciones que, en principio, pueden tener lugar durante el período de aplicación de la Ley de Garantías, siempre que no se desnaturalice la prohibición de la contratación directa y se respeten los principios de planeación, transparencia y responsabilidad.</w:t>
      </w:r>
    </w:p>
    <w:p w14:paraId="3EFEC9BC" w14:textId="77777777" w:rsidR="0002496B" w:rsidRPr="00F10EF0" w:rsidRDefault="0002496B" w:rsidP="0002496B">
      <w:pPr>
        <w:spacing w:after="0" w:line="240" w:lineRule="auto"/>
        <w:jc w:val="both"/>
        <w:rPr>
          <w:rFonts w:ascii="Verdana" w:eastAsia="Calibri" w:hAnsi="Verdana" w:cs="Arial"/>
          <w:color w:val="000000"/>
          <w:sz w:val="20"/>
          <w:szCs w:val="20"/>
          <w:lang w:eastAsia="es-ES_tradnl"/>
        </w:rPr>
      </w:pPr>
    </w:p>
    <w:p w14:paraId="4F8E115B" w14:textId="77777777" w:rsidR="0002496B" w:rsidRDefault="0002496B" w:rsidP="0002496B">
      <w:pPr>
        <w:spacing w:after="0" w:line="240" w:lineRule="auto"/>
        <w:rPr>
          <w:rFonts w:ascii="Verdana" w:eastAsia="Geomanist Light" w:hAnsi="Verdana" w:cs="Arial"/>
          <w:color w:val="000000" w:themeColor="text1"/>
        </w:rPr>
      </w:pPr>
    </w:p>
    <w:p w14:paraId="183CA4A8" w14:textId="77777777" w:rsidR="0002496B" w:rsidRDefault="0002496B" w:rsidP="0002496B">
      <w:pPr>
        <w:spacing w:after="0" w:line="240" w:lineRule="auto"/>
        <w:contextualSpacing/>
        <w:jc w:val="both"/>
        <w:rPr>
          <w:rFonts w:ascii="Verdana" w:hAnsi="Verdana"/>
        </w:rPr>
      </w:pPr>
    </w:p>
    <w:p w14:paraId="69857747" w14:textId="77777777" w:rsidR="0002496B" w:rsidRDefault="0002496B" w:rsidP="0002496B">
      <w:pPr>
        <w:spacing w:after="0" w:line="240" w:lineRule="auto"/>
        <w:contextualSpacing/>
        <w:jc w:val="both"/>
        <w:rPr>
          <w:rFonts w:ascii="Verdana" w:hAnsi="Verdana"/>
        </w:rPr>
      </w:pPr>
    </w:p>
    <w:p w14:paraId="403DCC1D" w14:textId="77777777" w:rsidR="0002496B" w:rsidRDefault="0002496B" w:rsidP="0002496B">
      <w:pPr>
        <w:spacing w:after="0" w:line="240" w:lineRule="auto"/>
        <w:contextualSpacing/>
        <w:jc w:val="both"/>
        <w:rPr>
          <w:rFonts w:ascii="Verdana" w:hAnsi="Verdana"/>
        </w:rPr>
      </w:pPr>
    </w:p>
    <w:p w14:paraId="1DCC4EE7" w14:textId="77777777" w:rsidR="0002496B" w:rsidRDefault="0002496B" w:rsidP="0002496B">
      <w:pPr>
        <w:spacing w:after="0" w:line="240" w:lineRule="auto"/>
        <w:contextualSpacing/>
        <w:jc w:val="both"/>
        <w:rPr>
          <w:rFonts w:ascii="Verdana" w:hAnsi="Verdana"/>
        </w:rPr>
      </w:pPr>
    </w:p>
    <w:p w14:paraId="41FBA9A4" w14:textId="77777777" w:rsidR="0002496B" w:rsidRDefault="0002496B" w:rsidP="0002496B">
      <w:pPr>
        <w:spacing w:after="0" w:line="240" w:lineRule="auto"/>
        <w:contextualSpacing/>
        <w:jc w:val="both"/>
        <w:rPr>
          <w:rFonts w:ascii="Verdana" w:hAnsi="Verdana"/>
        </w:rPr>
      </w:pPr>
    </w:p>
    <w:p w14:paraId="6EA7DB7B" w14:textId="77777777" w:rsidR="0002496B" w:rsidRDefault="0002496B" w:rsidP="0002496B">
      <w:pPr>
        <w:spacing w:after="0" w:line="240" w:lineRule="auto"/>
        <w:contextualSpacing/>
        <w:jc w:val="both"/>
        <w:rPr>
          <w:rFonts w:ascii="Verdana" w:hAnsi="Verdana"/>
        </w:rPr>
      </w:pPr>
    </w:p>
    <w:p w14:paraId="389BF4E5" w14:textId="77777777" w:rsidR="0002496B" w:rsidRDefault="0002496B" w:rsidP="0002496B">
      <w:pPr>
        <w:spacing w:after="0" w:line="240" w:lineRule="auto"/>
        <w:contextualSpacing/>
        <w:jc w:val="both"/>
        <w:rPr>
          <w:rFonts w:ascii="Verdana" w:hAnsi="Verdana"/>
        </w:rPr>
      </w:pPr>
    </w:p>
    <w:p w14:paraId="520ECEBB" w14:textId="77777777" w:rsidR="0002496B" w:rsidRDefault="0002496B" w:rsidP="0002496B">
      <w:pPr>
        <w:spacing w:after="0" w:line="240" w:lineRule="auto"/>
        <w:contextualSpacing/>
        <w:jc w:val="both"/>
        <w:rPr>
          <w:rFonts w:ascii="Verdana" w:hAnsi="Verdana"/>
        </w:rPr>
      </w:pPr>
    </w:p>
    <w:p w14:paraId="1D1DB819" w14:textId="77777777" w:rsidR="0002496B" w:rsidRDefault="0002496B" w:rsidP="0002496B">
      <w:pPr>
        <w:spacing w:after="0" w:line="240" w:lineRule="auto"/>
        <w:contextualSpacing/>
        <w:jc w:val="both"/>
        <w:rPr>
          <w:rFonts w:ascii="Verdana" w:hAnsi="Verdana"/>
        </w:rPr>
      </w:pPr>
    </w:p>
    <w:p w14:paraId="182C5A98" w14:textId="77777777" w:rsidR="0002496B" w:rsidRDefault="0002496B" w:rsidP="0002496B">
      <w:pPr>
        <w:spacing w:after="0" w:line="240" w:lineRule="auto"/>
        <w:contextualSpacing/>
        <w:jc w:val="both"/>
        <w:rPr>
          <w:rFonts w:ascii="Verdana" w:hAnsi="Verdana"/>
        </w:rPr>
      </w:pPr>
    </w:p>
    <w:p w14:paraId="789C45F1" w14:textId="77777777" w:rsidR="0002496B" w:rsidRDefault="0002496B" w:rsidP="0002496B">
      <w:pPr>
        <w:spacing w:after="0" w:line="240" w:lineRule="auto"/>
        <w:contextualSpacing/>
        <w:jc w:val="both"/>
        <w:rPr>
          <w:rFonts w:ascii="Verdana" w:hAnsi="Verdana"/>
        </w:rPr>
      </w:pPr>
    </w:p>
    <w:p w14:paraId="1E342EC1" w14:textId="77777777" w:rsidR="0002496B" w:rsidRDefault="0002496B" w:rsidP="0002496B">
      <w:pPr>
        <w:spacing w:after="0" w:line="240" w:lineRule="auto"/>
        <w:contextualSpacing/>
        <w:jc w:val="both"/>
        <w:rPr>
          <w:rFonts w:ascii="Verdana" w:hAnsi="Verdana"/>
        </w:rPr>
      </w:pPr>
    </w:p>
    <w:p w14:paraId="52F273DC" w14:textId="77777777" w:rsidR="0002496B" w:rsidRDefault="0002496B" w:rsidP="0002496B">
      <w:pPr>
        <w:spacing w:after="0" w:line="240" w:lineRule="auto"/>
        <w:contextualSpacing/>
        <w:jc w:val="both"/>
        <w:rPr>
          <w:rFonts w:ascii="Verdana" w:hAnsi="Verdana"/>
        </w:rPr>
      </w:pPr>
    </w:p>
    <w:p w14:paraId="3A539F48" w14:textId="77777777" w:rsidR="0002496B" w:rsidRDefault="0002496B" w:rsidP="0002496B">
      <w:pPr>
        <w:spacing w:after="0" w:line="240" w:lineRule="auto"/>
        <w:contextualSpacing/>
        <w:jc w:val="both"/>
        <w:rPr>
          <w:rFonts w:ascii="Verdana" w:hAnsi="Verdana"/>
        </w:rPr>
      </w:pPr>
    </w:p>
    <w:p w14:paraId="35125743" w14:textId="77777777" w:rsidR="0002496B" w:rsidRDefault="0002496B" w:rsidP="0002496B">
      <w:pPr>
        <w:spacing w:after="0" w:line="240" w:lineRule="auto"/>
        <w:contextualSpacing/>
        <w:jc w:val="both"/>
        <w:rPr>
          <w:rFonts w:ascii="Verdana" w:hAnsi="Verdana"/>
        </w:rPr>
      </w:pPr>
    </w:p>
    <w:p w14:paraId="1BAA7178" w14:textId="77777777" w:rsidR="0002496B" w:rsidRDefault="0002496B" w:rsidP="0002496B">
      <w:pPr>
        <w:spacing w:after="0" w:line="240" w:lineRule="auto"/>
        <w:contextualSpacing/>
        <w:jc w:val="both"/>
        <w:rPr>
          <w:rFonts w:ascii="Verdana" w:hAnsi="Verdana"/>
        </w:rPr>
      </w:pPr>
    </w:p>
    <w:p w14:paraId="74CFD10C" w14:textId="77777777" w:rsidR="0002496B" w:rsidRDefault="0002496B" w:rsidP="0002496B">
      <w:pPr>
        <w:spacing w:after="0" w:line="240" w:lineRule="auto"/>
        <w:contextualSpacing/>
        <w:jc w:val="both"/>
        <w:rPr>
          <w:rFonts w:ascii="Verdana" w:hAnsi="Verdana"/>
        </w:rPr>
      </w:pPr>
    </w:p>
    <w:p w14:paraId="6393ABFF" w14:textId="77777777" w:rsidR="0002496B" w:rsidRDefault="0002496B" w:rsidP="0002496B">
      <w:pPr>
        <w:spacing w:after="0" w:line="240" w:lineRule="auto"/>
        <w:contextualSpacing/>
        <w:jc w:val="both"/>
        <w:rPr>
          <w:rFonts w:ascii="Verdana" w:hAnsi="Verdana"/>
        </w:rPr>
      </w:pPr>
    </w:p>
    <w:p w14:paraId="333A528B" w14:textId="77777777" w:rsidR="0002496B" w:rsidRDefault="0002496B" w:rsidP="0002496B">
      <w:pPr>
        <w:spacing w:after="0" w:line="240" w:lineRule="auto"/>
        <w:contextualSpacing/>
        <w:jc w:val="both"/>
        <w:rPr>
          <w:rFonts w:ascii="Verdana" w:hAnsi="Verdana"/>
        </w:rPr>
      </w:pPr>
    </w:p>
    <w:p w14:paraId="5F7D7077" w14:textId="77777777" w:rsidR="0002496B" w:rsidRDefault="0002496B" w:rsidP="0002496B">
      <w:pPr>
        <w:spacing w:after="0" w:line="240" w:lineRule="auto"/>
        <w:contextualSpacing/>
        <w:jc w:val="both"/>
        <w:rPr>
          <w:rFonts w:ascii="Verdana" w:hAnsi="Verdana"/>
        </w:rPr>
      </w:pPr>
    </w:p>
    <w:p w14:paraId="6A507A7E" w14:textId="77777777" w:rsidR="0002496B" w:rsidRDefault="0002496B" w:rsidP="0002496B">
      <w:pPr>
        <w:spacing w:after="0" w:line="240" w:lineRule="auto"/>
        <w:rPr>
          <w:rFonts w:ascii="Verdana" w:hAnsi="Verdana"/>
        </w:rPr>
      </w:pPr>
    </w:p>
    <w:p w14:paraId="57CBE7B4" w14:textId="77777777" w:rsidR="00D54F37" w:rsidRDefault="00D54F37" w:rsidP="0002496B">
      <w:pPr>
        <w:spacing w:after="0" w:line="240" w:lineRule="auto"/>
        <w:rPr>
          <w:rFonts w:ascii="Verdana" w:hAnsi="Verdana"/>
        </w:rPr>
      </w:pPr>
    </w:p>
    <w:p w14:paraId="37E97C69" w14:textId="77777777" w:rsidR="00D54F37" w:rsidRDefault="00D54F37" w:rsidP="0002496B">
      <w:pPr>
        <w:spacing w:after="0" w:line="240" w:lineRule="auto"/>
        <w:rPr>
          <w:rFonts w:ascii="Verdana" w:hAnsi="Verdana"/>
        </w:rPr>
      </w:pPr>
    </w:p>
    <w:p w14:paraId="7CDEDA3C" w14:textId="77777777" w:rsidR="00D54F37" w:rsidRDefault="00D54F37" w:rsidP="0002496B">
      <w:pPr>
        <w:spacing w:after="0" w:line="240" w:lineRule="auto"/>
        <w:rPr>
          <w:rFonts w:ascii="Verdana" w:hAnsi="Verdana"/>
        </w:rPr>
      </w:pPr>
    </w:p>
    <w:p w14:paraId="6BA3D906" w14:textId="77777777" w:rsidR="00D54F37" w:rsidRDefault="00D54F37" w:rsidP="0002496B">
      <w:pPr>
        <w:spacing w:after="0" w:line="240" w:lineRule="auto"/>
        <w:rPr>
          <w:rFonts w:ascii="Verdana" w:hAnsi="Verdana"/>
        </w:rPr>
      </w:pPr>
    </w:p>
    <w:p w14:paraId="5E4F3124" w14:textId="77777777" w:rsidR="00D54F37" w:rsidRDefault="00D54F37" w:rsidP="0002496B">
      <w:pPr>
        <w:spacing w:after="0" w:line="240" w:lineRule="auto"/>
        <w:rPr>
          <w:rFonts w:ascii="Verdana" w:hAnsi="Verdana"/>
        </w:rPr>
      </w:pPr>
    </w:p>
    <w:p w14:paraId="3B6A04FF" w14:textId="77777777" w:rsidR="00D54F37" w:rsidRDefault="00D54F37" w:rsidP="0002496B">
      <w:pPr>
        <w:spacing w:after="0" w:line="240" w:lineRule="auto"/>
        <w:rPr>
          <w:rFonts w:ascii="Verdana" w:hAnsi="Verdana"/>
        </w:rPr>
      </w:pPr>
    </w:p>
    <w:p w14:paraId="2C7817E1" w14:textId="4A9DCF45" w:rsidR="0002496B" w:rsidRPr="009B7987" w:rsidRDefault="0002496B" w:rsidP="0002496B">
      <w:pPr>
        <w:spacing w:after="0" w:line="240" w:lineRule="auto"/>
        <w:rPr>
          <w:rFonts w:ascii="Verdana" w:eastAsia="Geomanist Light" w:hAnsi="Verdana" w:cs="Arial"/>
          <w:color w:val="201F1E"/>
        </w:rPr>
      </w:pPr>
      <w:r w:rsidRPr="00A869FE">
        <w:rPr>
          <w:rFonts w:ascii="Verdana" w:hAnsi="Verdana"/>
        </w:rPr>
        <w:t>Bogotá D.C.,</w:t>
      </w:r>
      <w:r w:rsidR="00D54F37">
        <w:rPr>
          <w:rFonts w:ascii="Verdana" w:hAnsi="Verdana"/>
        </w:rPr>
        <w:t xml:space="preserve"> 14 de abril de 2026</w:t>
      </w:r>
    </w:p>
    <w:p w14:paraId="1638DFFE" w14:textId="2878E6D4" w:rsidR="0002496B" w:rsidRPr="00A869FE" w:rsidRDefault="005A1263" w:rsidP="0002496B">
      <w:pPr>
        <w:spacing w:after="0" w:line="240" w:lineRule="auto"/>
        <w:rPr>
          <w:rFonts w:ascii="Verdana" w:hAnsi="Verdana" w:cs="Arial"/>
          <w:color w:val="000000"/>
        </w:rPr>
      </w:pPr>
      <w:r w:rsidRPr="00345E62">
        <w:rPr>
          <w:rFonts w:ascii="Verdana" w:hAnsi="Verdana" w:cs="Arial"/>
          <w:noProof/>
          <w:lang w:eastAsia="es-ES"/>
        </w:rPr>
        <w:drawing>
          <wp:anchor distT="0" distB="0" distL="114300" distR="114300" simplePos="0" relativeHeight="251658240" behindDoc="0" locked="0" layoutInCell="1" allowOverlap="1" wp14:anchorId="05D265AB" wp14:editId="413C2763">
            <wp:simplePos x="0" y="0"/>
            <wp:positionH relativeFrom="margin">
              <wp:align>right</wp:align>
            </wp:positionH>
            <wp:positionV relativeFrom="paragraph">
              <wp:posOffset>167640</wp:posOffset>
            </wp:positionV>
            <wp:extent cx="2694305" cy="914400"/>
            <wp:effectExtent l="0" t="0" r="0" b="0"/>
            <wp:wrapSquare wrapText="bothSides"/>
            <wp:docPr id="59427496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94305" cy="914400"/>
                    </a:xfrm>
                    <a:prstGeom prst="rect">
                      <a:avLst/>
                    </a:prstGeom>
                    <a:noFill/>
                    <a:ln>
                      <a:noFill/>
                    </a:ln>
                  </pic:spPr>
                </pic:pic>
              </a:graphicData>
            </a:graphic>
            <wp14:sizeRelH relativeFrom="margin">
              <wp14:pctWidth>0</wp14:pctWidth>
            </wp14:sizeRelH>
          </wp:anchor>
        </w:drawing>
      </w:r>
    </w:p>
    <w:p w14:paraId="1EF5D12B" w14:textId="02E1B8BD" w:rsidR="0002496B" w:rsidRDefault="0002496B" w:rsidP="0002496B">
      <w:pPr>
        <w:spacing w:after="0" w:line="240" w:lineRule="auto"/>
        <w:jc w:val="right"/>
        <w:rPr>
          <w:rFonts w:ascii="Verdana" w:hAnsi="Verdana" w:cs="Arial"/>
          <w:lang w:eastAsia="es-ES"/>
        </w:rPr>
      </w:pPr>
    </w:p>
    <w:p w14:paraId="57661372" w14:textId="77777777" w:rsidR="0002496B" w:rsidRPr="00A869FE" w:rsidRDefault="0002496B" w:rsidP="0002496B">
      <w:pPr>
        <w:spacing w:after="0" w:line="240" w:lineRule="auto"/>
        <w:jc w:val="both"/>
        <w:rPr>
          <w:rFonts w:ascii="Verdana" w:hAnsi="Verdana" w:cs="Arial"/>
          <w:lang w:eastAsia="es-ES"/>
        </w:rPr>
      </w:pPr>
      <w:r w:rsidRPr="00A869FE">
        <w:rPr>
          <w:rFonts w:ascii="Verdana" w:hAnsi="Verdana" w:cs="Arial"/>
          <w:lang w:eastAsia="es-ES"/>
        </w:rPr>
        <w:t>Señor</w:t>
      </w:r>
      <w:r>
        <w:rPr>
          <w:rFonts w:ascii="Verdana" w:hAnsi="Verdana" w:cs="Arial"/>
          <w:lang w:eastAsia="es-ES"/>
        </w:rPr>
        <w:t>a</w:t>
      </w:r>
    </w:p>
    <w:p w14:paraId="0204D86E" w14:textId="77777777" w:rsidR="0002496B" w:rsidRDefault="0002496B" w:rsidP="0002496B">
      <w:pPr>
        <w:spacing w:after="0" w:line="240" w:lineRule="auto"/>
        <w:jc w:val="both"/>
        <w:rPr>
          <w:rFonts w:ascii="Verdana" w:hAnsi="Verdana" w:cs="Arial"/>
          <w:b/>
          <w:bCs/>
          <w:lang w:eastAsia="es-ES"/>
        </w:rPr>
      </w:pPr>
      <w:r w:rsidRPr="00761B0F">
        <w:rPr>
          <w:rFonts w:ascii="Verdana" w:hAnsi="Verdana" w:cs="Arial"/>
          <w:b/>
          <w:bCs/>
          <w:lang w:eastAsia="es-ES"/>
        </w:rPr>
        <w:t>María Fernanda Blanco Monsalve</w:t>
      </w:r>
    </w:p>
    <w:p w14:paraId="0EEFA98A" w14:textId="77777777" w:rsidR="0002496B" w:rsidRPr="00544A36" w:rsidRDefault="0002496B" w:rsidP="0002496B">
      <w:pPr>
        <w:tabs>
          <w:tab w:val="left" w:pos="3708"/>
        </w:tabs>
        <w:spacing w:after="0" w:line="240" w:lineRule="auto"/>
        <w:rPr>
          <w:rFonts w:ascii="Verdana" w:hAnsi="Verdana" w:cs="Arial"/>
          <w:b/>
          <w:bCs/>
          <w:lang w:eastAsia="es-ES"/>
        </w:rPr>
      </w:pPr>
      <w:hyperlink r:id="rId12" w:history="1">
        <w:r w:rsidRPr="00544A36">
          <w:rPr>
            <w:rStyle w:val="Hipervnculo"/>
            <w:rFonts w:ascii="Verdana" w:hAnsi="Verdana"/>
          </w:rPr>
          <w:t>mariafer240275@gmail.com</w:t>
        </w:r>
      </w:hyperlink>
      <w:r w:rsidRPr="00544A36">
        <w:rPr>
          <w:rFonts w:ascii="Verdana" w:hAnsi="Verdana"/>
        </w:rPr>
        <w:t xml:space="preserve"> </w:t>
      </w:r>
    </w:p>
    <w:p w14:paraId="1B47C1BE" w14:textId="77777777" w:rsidR="0002496B" w:rsidRPr="008E0A05" w:rsidRDefault="0002496B" w:rsidP="0002496B">
      <w:pPr>
        <w:tabs>
          <w:tab w:val="left" w:pos="3708"/>
        </w:tabs>
        <w:spacing w:after="0" w:line="240" w:lineRule="auto"/>
        <w:rPr>
          <w:rFonts w:ascii="Verdana" w:hAnsi="Verdana" w:cs="Arial"/>
          <w:lang w:eastAsia="es-ES"/>
        </w:rPr>
      </w:pPr>
      <w:r w:rsidRPr="008E0A05">
        <w:rPr>
          <w:rFonts w:ascii="Verdana" w:hAnsi="Verdana" w:cs="Arial"/>
          <w:lang w:eastAsia="es-ES"/>
        </w:rPr>
        <w:t>Bogotá</w:t>
      </w:r>
      <w:r>
        <w:rPr>
          <w:rFonts w:ascii="Verdana" w:hAnsi="Verdana" w:cs="Arial"/>
          <w:lang w:eastAsia="es-ES"/>
        </w:rPr>
        <w:t>, D.C.</w:t>
      </w:r>
      <w:r w:rsidRPr="008E0A05">
        <w:rPr>
          <w:rFonts w:ascii="Verdana" w:hAnsi="Verdana" w:cs="Arial"/>
          <w:lang w:eastAsia="es-ES"/>
        </w:rPr>
        <w:tab/>
      </w:r>
    </w:p>
    <w:p w14:paraId="2AE05FC1" w14:textId="77777777" w:rsidR="0002496B" w:rsidRPr="008E0A05" w:rsidRDefault="0002496B" w:rsidP="0002496B">
      <w:pPr>
        <w:spacing w:after="0" w:line="240" w:lineRule="auto"/>
        <w:rPr>
          <w:rFonts w:ascii="Verdana" w:hAnsi="Verdana" w:cs="Arial"/>
          <w:b/>
          <w:bCs/>
          <w:color w:val="000000"/>
          <w:lang w:eastAsia="es-ES_tradnl"/>
        </w:rPr>
      </w:pPr>
    </w:p>
    <w:p w14:paraId="7CC63EC2" w14:textId="77777777" w:rsidR="0002496B" w:rsidRPr="008E0A05" w:rsidRDefault="0002496B" w:rsidP="0002496B">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02496B" w:rsidRPr="00A869FE" w14:paraId="7FA26C87" w14:textId="77777777" w:rsidTr="002F382E">
        <w:trPr>
          <w:trHeight w:val="633"/>
        </w:trPr>
        <w:tc>
          <w:tcPr>
            <w:tcW w:w="2689" w:type="dxa"/>
          </w:tcPr>
          <w:p w14:paraId="5C629BE6" w14:textId="77777777" w:rsidR="0002496B" w:rsidRPr="008E0A05" w:rsidRDefault="0002496B" w:rsidP="002F382E">
            <w:pPr>
              <w:jc w:val="both"/>
              <w:rPr>
                <w:rFonts w:ascii="Verdana" w:hAnsi="Verdana" w:cs="Arial"/>
                <w:b/>
                <w:bCs/>
                <w:color w:val="7030A0"/>
                <w:lang w:eastAsia="es-ES_tradnl"/>
              </w:rPr>
            </w:pPr>
          </w:p>
        </w:tc>
        <w:tc>
          <w:tcPr>
            <w:tcW w:w="6100" w:type="dxa"/>
          </w:tcPr>
          <w:p w14:paraId="4E03B779" w14:textId="77777777" w:rsidR="0002496B" w:rsidRPr="00A869FE" w:rsidRDefault="0002496B" w:rsidP="002F382E">
            <w:pPr>
              <w:jc w:val="both"/>
              <w:rPr>
                <w:rFonts w:ascii="Verdana" w:hAnsi="Verdana" w:cs="Arial"/>
                <w:b/>
                <w:bCs/>
                <w:color w:val="7030A0"/>
                <w:lang w:eastAsia="es-ES"/>
              </w:rPr>
            </w:pPr>
            <w:r w:rsidRPr="00A869FE">
              <w:rPr>
                <w:rFonts w:ascii="Verdana" w:hAnsi="Verdana" w:cs="Arial"/>
                <w:b/>
                <w:bCs/>
                <w:lang w:eastAsia="es-ES"/>
              </w:rPr>
              <w:t xml:space="preserve">Concepto C – </w:t>
            </w:r>
            <w:r>
              <w:rPr>
                <w:rFonts w:ascii="Verdana" w:hAnsi="Verdana" w:cs="Arial"/>
                <w:b/>
                <w:bCs/>
                <w:lang w:eastAsia="es-ES"/>
              </w:rPr>
              <w:t>346</w:t>
            </w:r>
            <w:r w:rsidRPr="00A869FE">
              <w:rPr>
                <w:rFonts w:ascii="Verdana" w:hAnsi="Verdana" w:cs="Arial"/>
                <w:b/>
                <w:bCs/>
                <w:lang w:eastAsia="es-ES"/>
              </w:rPr>
              <w:t xml:space="preserve"> de 202</w:t>
            </w:r>
            <w:r>
              <w:rPr>
                <w:rFonts w:ascii="Verdana" w:hAnsi="Verdana" w:cs="Arial"/>
                <w:b/>
                <w:bCs/>
                <w:lang w:eastAsia="es-ES"/>
              </w:rPr>
              <w:t>6</w:t>
            </w:r>
          </w:p>
        </w:tc>
      </w:tr>
      <w:tr w:rsidR="0002496B" w:rsidRPr="00A869FE" w14:paraId="73768795" w14:textId="77777777" w:rsidTr="002F382E">
        <w:trPr>
          <w:trHeight w:val="884"/>
        </w:trPr>
        <w:tc>
          <w:tcPr>
            <w:tcW w:w="2689" w:type="dxa"/>
          </w:tcPr>
          <w:p w14:paraId="152A7380" w14:textId="77777777" w:rsidR="0002496B" w:rsidRPr="00A869FE" w:rsidRDefault="0002496B" w:rsidP="002F382E">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189DC41A" w14:textId="77777777" w:rsidR="0002496B" w:rsidRDefault="0002496B" w:rsidP="002F382E">
            <w:pPr>
              <w:jc w:val="both"/>
              <w:rPr>
                <w:rFonts w:ascii="Verdana" w:hAnsi="Verdana" w:cs="Arial"/>
                <w:lang w:eastAsia="es-ES"/>
              </w:rPr>
            </w:pPr>
            <w:r w:rsidRPr="00F10EF0">
              <w:rPr>
                <w:rFonts w:ascii="Verdana" w:hAnsi="Verdana" w:cs="Arial"/>
                <w:lang w:eastAsia="es-ES"/>
              </w:rPr>
              <w:t>ESTABILIDAD OCUPACIONAL REFORZADA – Mujer embarazada y/o periodo de lactancia</w:t>
            </w:r>
            <w:r>
              <w:rPr>
                <w:rFonts w:ascii="Verdana" w:hAnsi="Verdana" w:cs="Arial"/>
                <w:lang w:eastAsia="es-ES"/>
              </w:rPr>
              <w:t xml:space="preserve"> / </w:t>
            </w:r>
            <w:r w:rsidRPr="00F10EF0">
              <w:rPr>
                <w:rFonts w:ascii="Verdana" w:hAnsi="Verdana" w:cs="Arial"/>
                <w:lang w:eastAsia="es-ES"/>
              </w:rPr>
              <w:t>CONTRATO DE PRESTACIÓN DE SERVICIOS – Protección por maternidad</w:t>
            </w:r>
            <w:r>
              <w:rPr>
                <w:rFonts w:ascii="Verdana" w:hAnsi="Verdana" w:cs="Arial"/>
                <w:lang w:eastAsia="es-ES"/>
              </w:rPr>
              <w:t xml:space="preserve"> / </w:t>
            </w:r>
            <w:r w:rsidRPr="00F10EF0">
              <w:rPr>
                <w:rFonts w:ascii="Verdana" w:hAnsi="Verdana" w:cs="Arial"/>
                <w:lang w:eastAsia="es-ES"/>
              </w:rPr>
              <w:t>LEY DE GARANTÍAS ELECTORALES – Artículo 33 – Contratación directa</w:t>
            </w:r>
            <w:r>
              <w:rPr>
                <w:rFonts w:ascii="Verdana" w:hAnsi="Verdana" w:cs="Arial"/>
                <w:lang w:eastAsia="es-ES"/>
              </w:rPr>
              <w:t xml:space="preserve"> / </w:t>
            </w:r>
            <w:r w:rsidRPr="00F10EF0">
              <w:rPr>
                <w:rFonts w:ascii="Verdana" w:hAnsi="Verdana" w:cs="Arial"/>
                <w:lang w:eastAsia="es-ES"/>
              </w:rPr>
              <w:t>ENTIDADES TERRITORIALES – Restricciones preelectorales – Planeación contractual</w:t>
            </w:r>
          </w:p>
          <w:p w14:paraId="7778E1AC" w14:textId="77777777" w:rsidR="0002496B" w:rsidRPr="00F10EF0" w:rsidRDefault="0002496B" w:rsidP="002F382E">
            <w:pPr>
              <w:jc w:val="both"/>
            </w:pPr>
          </w:p>
        </w:tc>
      </w:tr>
      <w:tr w:rsidR="0002496B" w:rsidRPr="00A869FE" w14:paraId="1238E259" w14:textId="77777777" w:rsidTr="002F382E">
        <w:tc>
          <w:tcPr>
            <w:tcW w:w="2689" w:type="dxa"/>
          </w:tcPr>
          <w:p w14:paraId="253C41F6" w14:textId="77777777" w:rsidR="0002496B" w:rsidRPr="00A869FE" w:rsidRDefault="0002496B" w:rsidP="002F382E">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13BB4453" w14:textId="77777777" w:rsidR="0002496B" w:rsidRPr="00A869FE" w:rsidRDefault="0002496B" w:rsidP="002F382E">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5D65D5">
              <w:rPr>
                <w:rFonts w:ascii="Verdana" w:hAnsi="Verdana" w:cs="Arial"/>
                <w:lang w:eastAsia="es-ES_tradnl"/>
              </w:rPr>
              <w:t>1_2026_03_03_002970</w:t>
            </w:r>
          </w:p>
        </w:tc>
      </w:tr>
    </w:tbl>
    <w:p w14:paraId="2B501AAB" w14:textId="77777777" w:rsidR="0002496B" w:rsidRPr="00A869FE" w:rsidRDefault="0002496B" w:rsidP="0002496B">
      <w:pPr>
        <w:spacing w:after="0" w:line="240" w:lineRule="auto"/>
        <w:jc w:val="both"/>
        <w:rPr>
          <w:rFonts w:ascii="Verdana" w:hAnsi="Verdana" w:cs="Arial"/>
          <w:color w:val="000000"/>
          <w:lang w:eastAsia="es-ES_tradnl"/>
        </w:rPr>
      </w:pPr>
    </w:p>
    <w:p w14:paraId="3B1BDDA6" w14:textId="77777777" w:rsidR="0002496B" w:rsidRPr="00A869FE" w:rsidRDefault="0002496B" w:rsidP="0002496B">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a señora Blanco</w:t>
      </w:r>
      <w:r w:rsidRPr="00A869FE">
        <w:rPr>
          <w:rFonts w:ascii="Verdana" w:hAnsi="Verdana" w:cs="Arial"/>
          <w:lang w:eastAsia="es-ES"/>
        </w:rPr>
        <w:t xml:space="preserve">: </w:t>
      </w:r>
    </w:p>
    <w:p w14:paraId="371306BE" w14:textId="77777777" w:rsidR="0002496B" w:rsidRPr="00A869FE" w:rsidRDefault="0002496B" w:rsidP="0002496B">
      <w:pPr>
        <w:tabs>
          <w:tab w:val="left" w:pos="3768"/>
        </w:tabs>
        <w:spacing w:after="0" w:line="276" w:lineRule="auto"/>
        <w:jc w:val="both"/>
        <w:rPr>
          <w:rFonts w:ascii="Verdana" w:hAnsi="Verdana" w:cs="Arial"/>
          <w:color w:val="000000" w:themeColor="text1"/>
          <w:lang w:eastAsia="es-ES"/>
        </w:rPr>
      </w:pPr>
      <w:r w:rsidRPr="00A869FE">
        <w:rPr>
          <w:rFonts w:ascii="Verdana" w:hAnsi="Verdana" w:cs="Arial"/>
          <w:color w:val="000000" w:themeColor="text1"/>
          <w:lang w:eastAsia="es-ES"/>
        </w:rPr>
        <w:tab/>
      </w:r>
    </w:p>
    <w:p w14:paraId="6FF66DE7" w14:textId="77777777" w:rsidR="0002496B" w:rsidRPr="002034D9" w:rsidRDefault="0002496B" w:rsidP="0002496B">
      <w:pPr>
        <w:spacing w:after="0" w:line="276" w:lineRule="auto"/>
        <w:jc w:val="both"/>
        <w:rPr>
          <w:rFonts w:ascii="Verdana" w:hAnsi="Verdana" w:cs="Arial"/>
          <w:lang w:eastAsia="es-ES"/>
        </w:rPr>
      </w:pPr>
      <w:r w:rsidRPr="00A869FE">
        <w:rPr>
          <w:rFonts w:ascii="Verdana" w:hAnsi="Verdana" w:cs="Arial"/>
          <w:color w:val="000000" w:themeColor="text1"/>
          <w:lang w:eastAsia="es-ES"/>
        </w:rPr>
        <w:t>En ejercicio de la competencia otorgada por los artículos 3, numeral 5º, y 11, numeral 8º, del Decreto Ley 4170 de 2011,</w:t>
      </w:r>
      <w:r w:rsidRPr="00A869FE">
        <w:rPr>
          <w:rFonts w:ascii="Verdana" w:eastAsia="Arial MT" w:hAnsi="Verdana" w:cs="Arial MT"/>
          <w:lang w:eastAsia="es-ES"/>
        </w:rPr>
        <w:t xml:space="preserve"> </w:t>
      </w:r>
      <w:r w:rsidRPr="00A869FE">
        <w:rPr>
          <w:rFonts w:ascii="Verdana" w:hAnsi="Verdana" w:cs="Arial"/>
        </w:rPr>
        <w:t xml:space="preserve">así como lo establecido en la Resolución 469 de 2025 expedida por esta Entidad, </w:t>
      </w:r>
      <w:r w:rsidRPr="00A869FE">
        <w:rPr>
          <w:rFonts w:ascii="Verdana" w:hAnsi="Verdana" w:cs="Arial"/>
          <w:color w:val="000000" w:themeColor="text1"/>
          <w:lang w:eastAsia="es-ES"/>
        </w:rPr>
        <w:t>la Agencia Nacional de Contratación Pública – Colombia Compra Eficiente responde su solicitud</w:t>
      </w:r>
      <w:r>
        <w:rPr>
          <w:rFonts w:ascii="Verdana" w:hAnsi="Verdana" w:cs="Arial"/>
          <w:color w:val="000000" w:themeColor="text1"/>
          <w:lang w:eastAsia="es-ES"/>
        </w:rPr>
        <w:t xml:space="preserve"> del</w:t>
      </w:r>
      <w:r w:rsidRPr="00A869FE">
        <w:rPr>
          <w:rFonts w:ascii="Verdana" w:hAnsi="Verdana" w:cs="Arial"/>
          <w:lang w:eastAsia="es-ES"/>
        </w:rPr>
        <w:t xml:space="preserve"> </w:t>
      </w:r>
      <w:r>
        <w:rPr>
          <w:rFonts w:ascii="Verdana" w:hAnsi="Verdana" w:cs="Arial"/>
          <w:lang w:eastAsia="es-ES"/>
        </w:rPr>
        <w:t xml:space="preserve">03 </w:t>
      </w:r>
      <w:r w:rsidRPr="00A869FE">
        <w:rPr>
          <w:rFonts w:ascii="Verdana" w:hAnsi="Verdana" w:cs="Arial"/>
          <w:lang w:eastAsia="es-ES"/>
        </w:rPr>
        <w:t xml:space="preserve">de </w:t>
      </w:r>
      <w:r>
        <w:rPr>
          <w:rFonts w:ascii="Verdana" w:hAnsi="Verdana" w:cs="Arial"/>
          <w:lang w:eastAsia="es-ES"/>
        </w:rPr>
        <w:t>marzo</w:t>
      </w:r>
      <w:r w:rsidRPr="00A869FE">
        <w:rPr>
          <w:rFonts w:ascii="Verdana" w:hAnsi="Verdana" w:cs="Arial"/>
          <w:lang w:eastAsia="es-ES"/>
        </w:rPr>
        <w:t xml:space="preserve"> de 202</w:t>
      </w:r>
      <w:r>
        <w:rPr>
          <w:rFonts w:ascii="Verdana" w:hAnsi="Verdana" w:cs="Arial"/>
          <w:lang w:eastAsia="es-ES"/>
        </w:rPr>
        <w:t>6</w:t>
      </w:r>
      <w:r w:rsidRPr="00A869FE">
        <w:rPr>
          <w:rFonts w:ascii="Verdana" w:hAnsi="Verdana" w:cs="Arial"/>
          <w:lang w:eastAsia="es-ES"/>
        </w:rPr>
        <w:t xml:space="preserve">, </w:t>
      </w:r>
      <w:r>
        <w:rPr>
          <w:rFonts w:ascii="Verdana" w:hAnsi="Verdana" w:cs="Arial"/>
          <w:lang w:eastAsia="es-ES"/>
        </w:rPr>
        <w:t>en la cual pregunta lo siguiente</w:t>
      </w:r>
      <w:r w:rsidRPr="00A869FE">
        <w:rPr>
          <w:rFonts w:ascii="Verdana" w:hAnsi="Verdana" w:cs="Arial"/>
          <w:lang w:eastAsia="es-ES"/>
        </w:rPr>
        <w:t xml:space="preserve">: </w:t>
      </w:r>
    </w:p>
    <w:p w14:paraId="5BE330AD" w14:textId="77777777" w:rsidR="0002496B" w:rsidRPr="00A869FE" w:rsidRDefault="0002496B" w:rsidP="0002496B">
      <w:pPr>
        <w:tabs>
          <w:tab w:val="left" w:pos="142"/>
          <w:tab w:val="left" w:pos="284"/>
        </w:tabs>
        <w:spacing w:after="0" w:line="276" w:lineRule="auto"/>
        <w:contextualSpacing/>
        <w:jc w:val="both"/>
        <w:rPr>
          <w:rFonts w:ascii="Verdana" w:eastAsia="Century Gothic" w:hAnsi="Verdana" w:cs="Century Gothic"/>
          <w:b/>
          <w:bCs/>
        </w:rPr>
      </w:pPr>
    </w:p>
    <w:p w14:paraId="35CF3D22" w14:textId="77777777" w:rsidR="0002496B" w:rsidRDefault="0002496B" w:rsidP="0002496B">
      <w:pPr>
        <w:spacing w:after="0" w:line="240" w:lineRule="auto"/>
        <w:ind w:left="709" w:right="709"/>
        <w:jc w:val="both"/>
        <w:rPr>
          <w:rFonts w:ascii="Verdana" w:eastAsia="Century Gothic" w:hAnsi="Verdana" w:cs="Century Gothic"/>
          <w:sz w:val="20"/>
          <w:szCs w:val="20"/>
        </w:rPr>
      </w:pPr>
      <w:bookmarkStart w:id="2" w:name="_Hlk95313578"/>
      <w:r w:rsidRPr="00A869FE">
        <w:rPr>
          <w:rFonts w:ascii="Verdana" w:eastAsia="Century Gothic" w:hAnsi="Verdana" w:cs="Century Gothic"/>
          <w:sz w:val="20"/>
          <w:szCs w:val="20"/>
        </w:rPr>
        <w:t>“</w:t>
      </w:r>
      <w:bookmarkEnd w:id="2"/>
      <w:r w:rsidRPr="00EB7FF2">
        <w:rPr>
          <w:rFonts w:ascii="Verdana" w:eastAsia="Century Gothic" w:hAnsi="Verdana" w:cs="Century Gothic"/>
          <w:sz w:val="20"/>
          <w:szCs w:val="20"/>
        </w:rPr>
        <w:t xml:space="preserve">En ejercicio del derecho de petición consagrado en el artículo 23 de la Constitución Política y la Ley 1755 de 2015, respetuosamente solicito se emita concepto jurídico, para efectos interpretativos, se plantea la siguiente hipótesis general: </w:t>
      </w:r>
    </w:p>
    <w:p w14:paraId="6A69047C" w14:textId="77777777" w:rsidR="0002496B" w:rsidRDefault="0002496B" w:rsidP="0002496B">
      <w:pPr>
        <w:spacing w:after="0" w:line="240" w:lineRule="auto"/>
        <w:ind w:left="709" w:right="709"/>
        <w:jc w:val="both"/>
        <w:rPr>
          <w:rFonts w:ascii="Verdana" w:eastAsia="Century Gothic" w:hAnsi="Verdana" w:cs="Century Gothic"/>
          <w:sz w:val="20"/>
          <w:szCs w:val="20"/>
        </w:rPr>
      </w:pPr>
    </w:p>
    <w:p w14:paraId="59DDFFA8" w14:textId="77777777" w:rsidR="0002496B" w:rsidRDefault="0002496B" w:rsidP="0002496B">
      <w:pPr>
        <w:spacing w:after="0" w:line="240" w:lineRule="auto"/>
        <w:ind w:left="851" w:right="709"/>
        <w:jc w:val="both"/>
        <w:rPr>
          <w:rFonts w:ascii="Verdana" w:eastAsia="Century Gothic" w:hAnsi="Verdana" w:cs="Century Gothic"/>
          <w:sz w:val="20"/>
          <w:szCs w:val="20"/>
        </w:rPr>
      </w:pPr>
      <w:r w:rsidRPr="00EB7FF2">
        <w:rPr>
          <w:rFonts w:ascii="Verdana" w:eastAsia="Century Gothic" w:hAnsi="Verdana" w:cs="Century Gothic"/>
          <w:sz w:val="20"/>
          <w:szCs w:val="20"/>
        </w:rPr>
        <w:sym w:font="Symbol" w:char="F0B7"/>
      </w:r>
      <w:r w:rsidRPr="00EB7FF2">
        <w:rPr>
          <w:rFonts w:ascii="Verdana" w:eastAsia="Century Gothic" w:hAnsi="Verdana" w:cs="Century Gothic"/>
          <w:sz w:val="20"/>
          <w:szCs w:val="20"/>
        </w:rPr>
        <w:t xml:space="preserve"> Una entidad territorial celebró un contrato de prestación de servicios con persona natural. </w:t>
      </w:r>
    </w:p>
    <w:p w14:paraId="34A5BE7A" w14:textId="77777777" w:rsidR="0002496B" w:rsidRDefault="0002496B" w:rsidP="0002496B">
      <w:pPr>
        <w:spacing w:after="0" w:line="240" w:lineRule="auto"/>
        <w:ind w:left="851" w:right="709"/>
        <w:jc w:val="both"/>
        <w:rPr>
          <w:rFonts w:ascii="Verdana" w:eastAsia="Century Gothic" w:hAnsi="Verdana" w:cs="Century Gothic"/>
          <w:sz w:val="20"/>
          <w:szCs w:val="20"/>
        </w:rPr>
      </w:pPr>
      <w:r w:rsidRPr="00EB7FF2">
        <w:rPr>
          <w:rFonts w:ascii="Verdana" w:eastAsia="Century Gothic" w:hAnsi="Verdana" w:cs="Century Gothic"/>
          <w:sz w:val="20"/>
          <w:szCs w:val="20"/>
        </w:rPr>
        <w:sym w:font="Symbol" w:char="F0B7"/>
      </w:r>
      <w:r w:rsidRPr="00EB7FF2">
        <w:rPr>
          <w:rFonts w:ascii="Verdana" w:eastAsia="Century Gothic" w:hAnsi="Verdana" w:cs="Century Gothic"/>
          <w:sz w:val="20"/>
          <w:szCs w:val="20"/>
        </w:rPr>
        <w:t xml:space="preserve"> El contrato finalizó por vencimiento del plazo pactado. </w:t>
      </w:r>
    </w:p>
    <w:p w14:paraId="55891E1E" w14:textId="77777777" w:rsidR="0002496B" w:rsidRDefault="0002496B" w:rsidP="0002496B">
      <w:pPr>
        <w:spacing w:after="0" w:line="240" w:lineRule="auto"/>
        <w:ind w:left="851" w:right="709"/>
        <w:jc w:val="both"/>
        <w:rPr>
          <w:rFonts w:ascii="Verdana" w:eastAsia="Century Gothic" w:hAnsi="Verdana" w:cs="Century Gothic"/>
          <w:sz w:val="20"/>
          <w:szCs w:val="20"/>
        </w:rPr>
      </w:pPr>
      <w:r w:rsidRPr="00EB7FF2">
        <w:rPr>
          <w:rFonts w:ascii="Verdana" w:eastAsia="Century Gothic" w:hAnsi="Verdana" w:cs="Century Gothic"/>
          <w:sz w:val="20"/>
          <w:szCs w:val="20"/>
        </w:rPr>
        <w:sym w:font="Symbol" w:char="F0B7"/>
      </w:r>
      <w:r w:rsidRPr="00EB7FF2">
        <w:rPr>
          <w:rFonts w:ascii="Verdana" w:eastAsia="Century Gothic" w:hAnsi="Verdana" w:cs="Century Gothic"/>
          <w:sz w:val="20"/>
          <w:szCs w:val="20"/>
        </w:rPr>
        <w:t xml:space="preserve"> Con posterioridad a la terminación, la contratista informó que durante la vigencia contractual se encontraba en estado de embarazo. </w:t>
      </w:r>
    </w:p>
    <w:p w14:paraId="08554FE6" w14:textId="77777777" w:rsidR="0002496B" w:rsidRDefault="0002496B" w:rsidP="0002496B">
      <w:pPr>
        <w:spacing w:after="0" w:line="240" w:lineRule="auto"/>
        <w:ind w:left="851" w:right="709"/>
        <w:jc w:val="both"/>
        <w:rPr>
          <w:rFonts w:ascii="Verdana" w:eastAsia="Century Gothic" w:hAnsi="Verdana" w:cs="Century Gothic"/>
          <w:sz w:val="20"/>
          <w:szCs w:val="20"/>
        </w:rPr>
      </w:pPr>
      <w:r w:rsidRPr="00EB7FF2">
        <w:rPr>
          <w:rFonts w:ascii="Verdana" w:eastAsia="Century Gothic" w:hAnsi="Verdana" w:cs="Century Gothic"/>
          <w:sz w:val="20"/>
          <w:szCs w:val="20"/>
        </w:rPr>
        <w:sym w:font="Symbol" w:char="F0B7"/>
      </w:r>
      <w:r w:rsidRPr="00EB7FF2">
        <w:rPr>
          <w:rFonts w:ascii="Verdana" w:eastAsia="Century Gothic" w:hAnsi="Verdana" w:cs="Century Gothic"/>
          <w:sz w:val="20"/>
          <w:szCs w:val="20"/>
        </w:rPr>
        <w:t xml:space="preserve"> La entidad no tenía conocimiento del embarazo durante la ejecución contractual.</w:t>
      </w:r>
    </w:p>
    <w:p w14:paraId="4BE6ECB7" w14:textId="77777777" w:rsidR="0002496B" w:rsidRDefault="0002496B" w:rsidP="0002496B">
      <w:pPr>
        <w:spacing w:after="0" w:line="240" w:lineRule="auto"/>
        <w:ind w:left="709" w:right="709"/>
        <w:jc w:val="both"/>
        <w:rPr>
          <w:rFonts w:ascii="Verdana" w:eastAsia="Century Gothic" w:hAnsi="Verdana" w:cs="Century Gothic"/>
          <w:sz w:val="20"/>
          <w:szCs w:val="20"/>
        </w:rPr>
      </w:pPr>
      <w:r w:rsidRPr="00EB7FF2">
        <w:rPr>
          <w:rFonts w:ascii="Verdana" w:eastAsia="Century Gothic" w:hAnsi="Verdana" w:cs="Century Gothic"/>
          <w:sz w:val="20"/>
          <w:szCs w:val="20"/>
        </w:rPr>
        <w:lastRenderedPageBreak/>
        <w:sym w:font="Symbol" w:char="F0B7"/>
      </w:r>
      <w:r w:rsidRPr="00EB7FF2">
        <w:rPr>
          <w:rFonts w:ascii="Verdana" w:eastAsia="Century Gothic" w:hAnsi="Verdana" w:cs="Century Gothic"/>
          <w:sz w:val="20"/>
          <w:szCs w:val="20"/>
        </w:rPr>
        <w:t xml:space="preserve"> Al momento de analizar la eventual celebración de un nuevo contrato, la entidad se encuentra dentro del periodo de restricciones de la Ley 996 de 2005. </w:t>
      </w:r>
    </w:p>
    <w:p w14:paraId="7514113A" w14:textId="77777777" w:rsidR="0002496B" w:rsidRDefault="0002496B" w:rsidP="0002496B">
      <w:pPr>
        <w:spacing w:after="0" w:line="240" w:lineRule="auto"/>
        <w:ind w:left="709" w:right="709"/>
        <w:jc w:val="both"/>
        <w:rPr>
          <w:rFonts w:ascii="Verdana" w:eastAsia="Century Gothic" w:hAnsi="Verdana" w:cs="Century Gothic"/>
          <w:sz w:val="20"/>
          <w:szCs w:val="20"/>
        </w:rPr>
      </w:pPr>
    </w:p>
    <w:p w14:paraId="1DE5DBBA" w14:textId="77777777" w:rsidR="0002496B" w:rsidRDefault="0002496B" w:rsidP="0002496B">
      <w:pPr>
        <w:spacing w:after="0" w:line="240" w:lineRule="auto"/>
        <w:ind w:left="709" w:right="709"/>
        <w:jc w:val="both"/>
        <w:rPr>
          <w:rFonts w:ascii="Verdana" w:eastAsia="Century Gothic" w:hAnsi="Verdana" w:cs="Century Gothic"/>
          <w:sz w:val="20"/>
          <w:szCs w:val="20"/>
        </w:rPr>
      </w:pPr>
      <w:r w:rsidRPr="00EB7FF2">
        <w:rPr>
          <w:rFonts w:ascii="Verdana" w:eastAsia="Century Gothic" w:hAnsi="Verdana" w:cs="Century Gothic"/>
          <w:sz w:val="20"/>
          <w:szCs w:val="20"/>
        </w:rPr>
        <w:t>Interrogantes específicos:</w:t>
      </w:r>
    </w:p>
    <w:p w14:paraId="162B3994"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 xml:space="preserve">1. ¿La estabilidad laboral reforzada por fuero de maternidad constituye una excepción expresa o implícita a las prohibiciones de contratación directa previstas en la Ley 996 de 2005? </w:t>
      </w:r>
    </w:p>
    <w:p w14:paraId="134C8F6D"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 xml:space="preserve">2. ¿Puede una entidad territorial celebrar un nuevo contrato de prestación de servicios durante el periodo de restricción electoral con fundamento exclusivo en la protección reforzada por maternidad? </w:t>
      </w:r>
    </w:p>
    <w:p w14:paraId="7B2705F6"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 xml:space="preserve">3. ¿Debe interpretarse que la supremacía constitucional habilita la contratación durante la Ley de Garantías aun sin orden judicial previa? </w:t>
      </w:r>
    </w:p>
    <w:p w14:paraId="231CA581"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 xml:space="preserve">4. ¿Cuál es el alcance de la obligación de las entidades estatales de armonizar la Ley 996 de 2005 con la jurisprudencia constitucional en materia de estabilidad laboral reforzada? </w:t>
      </w:r>
    </w:p>
    <w:p w14:paraId="1D061883"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 xml:space="preserve">5. ¿Constituye la estabilidad laboral reforzada por fuero de maternidad una excepción a las restricciones contractuales previstas en la Ley 996 de 2005, particularmente en lo relacionado con la celebración de contratos de prestación de servicios durante el periodo de restricción electoral? </w:t>
      </w:r>
    </w:p>
    <w:p w14:paraId="0DE71A7B" w14:textId="77777777" w:rsidR="0002496B" w:rsidRPr="00142BAF" w:rsidRDefault="0002496B" w:rsidP="0002496B">
      <w:pPr>
        <w:spacing w:after="0" w:line="240" w:lineRule="auto"/>
        <w:ind w:left="709" w:right="709"/>
        <w:jc w:val="both"/>
        <w:rPr>
          <w:rFonts w:ascii="Verdana" w:eastAsia="Century Gothic" w:hAnsi="Verdana" w:cs="Century Gothic"/>
          <w:sz w:val="20"/>
          <w:szCs w:val="20"/>
        </w:rPr>
      </w:pPr>
      <w:r w:rsidRPr="00142BAF">
        <w:rPr>
          <w:rFonts w:ascii="Verdana" w:eastAsia="Century Gothic" w:hAnsi="Verdana" w:cs="Century Gothic"/>
          <w:sz w:val="20"/>
          <w:szCs w:val="20"/>
        </w:rPr>
        <w:t>6. ¿Cuál es el alcance del deber de armonización entre el régimen de contratación pública en periodo electoral y la jurisprudencia constitucional sobre estabilidad laboral reforzada?</w:t>
      </w:r>
      <w:r w:rsidRPr="00A869FE">
        <w:rPr>
          <w:rFonts w:ascii="Verdana" w:hAnsi="Verdana"/>
          <w:sz w:val="20"/>
          <w:szCs w:val="20"/>
        </w:rPr>
        <w:t>”</w:t>
      </w:r>
    </w:p>
    <w:p w14:paraId="75EF9FB2" w14:textId="77777777" w:rsidR="0002496B" w:rsidRPr="00A869FE" w:rsidRDefault="0002496B" w:rsidP="0002496B">
      <w:pPr>
        <w:tabs>
          <w:tab w:val="left" w:pos="142"/>
          <w:tab w:val="left" w:pos="284"/>
        </w:tabs>
        <w:spacing w:after="0" w:line="276" w:lineRule="auto"/>
        <w:contextualSpacing/>
        <w:jc w:val="both"/>
        <w:rPr>
          <w:rFonts w:ascii="Verdana" w:eastAsia="Century Gothic" w:hAnsi="Verdana" w:cs="Century Gothic"/>
          <w:b/>
          <w:bCs/>
        </w:rPr>
      </w:pPr>
    </w:p>
    <w:p w14:paraId="04CE66A7" w14:textId="77777777" w:rsidR="0002496B" w:rsidRPr="00A869FE" w:rsidRDefault="0002496B" w:rsidP="0002496B">
      <w:pPr>
        <w:spacing w:after="120" w:line="276" w:lineRule="auto"/>
        <w:ind w:firstLine="709"/>
        <w:jc w:val="both"/>
        <w:rPr>
          <w:rFonts w:ascii="Verdana" w:hAnsi="Verdana" w:cs="Arial"/>
          <w:color w:val="000000"/>
          <w:lang w:eastAsia="es-ES"/>
        </w:rPr>
      </w:pPr>
      <w:r w:rsidRPr="00A869FE">
        <w:rPr>
          <w:rFonts w:ascii="Verdana" w:hAnsi="Verdana" w:cs="Arial"/>
          <w:color w:val="000000" w:themeColor="text1"/>
          <w:lang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eastAsia="es-ES"/>
        </w:rPr>
        <w:t xml:space="preserve">la Agencia Nacional de Contratación Pública – </w:t>
      </w:r>
      <w:r w:rsidRPr="00A869FE">
        <w:rPr>
          <w:rFonts w:ascii="Verdana" w:hAnsi="Verdana" w:cs="Arial"/>
          <w:color w:val="000000" w:themeColor="text1"/>
          <w:lang w:eastAsia="es-ES"/>
        </w:rPr>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869FE">
        <w:tab/>
      </w:r>
    </w:p>
    <w:p w14:paraId="7D44D939" w14:textId="77777777" w:rsidR="0002496B" w:rsidRPr="00A869FE" w:rsidRDefault="0002496B" w:rsidP="0002496B">
      <w:pPr>
        <w:spacing w:after="0" w:line="276" w:lineRule="auto"/>
        <w:ind w:firstLine="709"/>
        <w:jc w:val="both"/>
        <w:rPr>
          <w:rFonts w:ascii="Verdana" w:hAnsi="Verdana" w:cs="Arial"/>
          <w:color w:val="000000"/>
          <w:lang w:eastAsia="es-ES"/>
        </w:rPr>
      </w:pPr>
      <w:r w:rsidRPr="00A869FE">
        <w:rPr>
          <w:rFonts w:ascii="Verdana" w:hAnsi="Verdana" w:cs="Arial"/>
          <w:color w:val="000000"/>
          <w:lang w:eastAsia="es-ES"/>
        </w:rPr>
        <w:t xml:space="preserve">Conforme lo expuesto, en aras de satisfacer el derecho fundamental de petición se resolverá su consulta dentro de los límites de la referida competencia consultiva, esto es, haciendo abstracción de las circunstancias específicas que la haya motivado, pero </w:t>
      </w:r>
      <w:r>
        <w:rPr>
          <w:rFonts w:ascii="Verdana" w:hAnsi="Verdana" w:cs="Arial"/>
          <w:color w:val="000000"/>
          <w:lang w:eastAsia="es-ES"/>
        </w:rPr>
        <w:t>señalando</w:t>
      </w:r>
      <w:r w:rsidRPr="00A869FE">
        <w:rPr>
          <w:rFonts w:ascii="Verdana" w:hAnsi="Verdana" w:cs="Arial"/>
          <w:color w:val="000000"/>
          <w:lang w:eastAsia="es-ES"/>
        </w:rPr>
        <w:t xml:space="preserve"> </w:t>
      </w:r>
      <w:r>
        <w:rPr>
          <w:rFonts w:ascii="Verdana" w:hAnsi="Verdana" w:cs="Arial"/>
          <w:color w:val="000000"/>
          <w:lang w:eastAsia="es-ES"/>
        </w:rPr>
        <w:t>alg</w:t>
      </w:r>
      <w:r w:rsidRPr="00A869FE">
        <w:rPr>
          <w:rFonts w:ascii="Verdana" w:hAnsi="Verdana" w:cs="Arial"/>
          <w:color w:val="000000"/>
          <w:lang w:eastAsia="es-ES"/>
        </w:rPr>
        <w:t>unas consideraciones sobre las normas generales relacionadas con el</w:t>
      </w:r>
      <w:r w:rsidRPr="00A869FE">
        <w:rPr>
          <w:rFonts w:ascii="Verdana" w:hAnsi="Verdana" w:cs="Arial"/>
          <w:color w:val="7030A0"/>
          <w:lang w:eastAsia="es-ES"/>
        </w:rPr>
        <w:t xml:space="preserve"> </w:t>
      </w:r>
      <w:r w:rsidRPr="00A869FE">
        <w:rPr>
          <w:rFonts w:ascii="Verdana" w:hAnsi="Verdana" w:cs="Arial"/>
          <w:color w:val="000000"/>
          <w:lang w:eastAsia="es-ES"/>
        </w:rPr>
        <w:t>problema</w:t>
      </w:r>
      <w:r w:rsidRPr="00A869FE">
        <w:rPr>
          <w:rFonts w:ascii="Verdana" w:hAnsi="Verdana" w:cs="Arial"/>
          <w:color w:val="7030A0"/>
          <w:lang w:eastAsia="es-ES"/>
        </w:rPr>
        <w:t xml:space="preserve"> </w:t>
      </w:r>
      <w:r w:rsidRPr="00A869FE">
        <w:rPr>
          <w:rFonts w:ascii="Verdana" w:hAnsi="Verdana" w:cs="Arial"/>
          <w:color w:val="000000"/>
          <w:lang w:eastAsia="es-ES"/>
        </w:rPr>
        <w:t>jurídico</w:t>
      </w:r>
      <w:r w:rsidRPr="00A869FE">
        <w:rPr>
          <w:rFonts w:ascii="Verdana" w:hAnsi="Verdana" w:cs="Arial"/>
          <w:color w:val="7030A0"/>
          <w:lang w:eastAsia="es-ES"/>
        </w:rPr>
        <w:t xml:space="preserve"> </w:t>
      </w:r>
      <w:r w:rsidRPr="00A869FE">
        <w:rPr>
          <w:rFonts w:ascii="Verdana" w:hAnsi="Verdana" w:cs="Arial"/>
          <w:color w:val="000000"/>
          <w:lang w:eastAsia="es-ES"/>
        </w:rPr>
        <w:t xml:space="preserve">de su consulta. </w:t>
      </w:r>
      <w:r w:rsidRPr="00A869FE">
        <w:rPr>
          <w:rFonts w:ascii="Verdana" w:hAnsi="Verdana" w:cs="Arial"/>
          <w:lang w:eastAsia="es-ES"/>
        </w:rPr>
        <w:t xml:space="preserve"> </w:t>
      </w:r>
    </w:p>
    <w:p w14:paraId="554E67A0" w14:textId="77777777" w:rsidR="0002496B" w:rsidRPr="00A869FE" w:rsidRDefault="0002496B" w:rsidP="0002496B">
      <w:pPr>
        <w:spacing w:after="0" w:line="276" w:lineRule="auto"/>
        <w:ind w:firstLine="708"/>
        <w:jc w:val="both"/>
        <w:rPr>
          <w:rFonts w:ascii="Verdana" w:hAnsi="Verdana" w:cs="Arial"/>
          <w:lang w:eastAsia="es-ES"/>
        </w:rPr>
      </w:pPr>
    </w:p>
    <w:p w14:paraId="3BEA5225" w14:textId="77777777" w:rsidR="0002496B" w:rsidRPr="00A869FE" w:rsidRDefault="0002496B" w:rsidP="0002496B">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lastRenderedPageBreak/>
        <w:t>Problema planteado:</w:t>
      </w:r>
    </w:p>
    <w:p w14:paraId="275E3A4C" w14:textId="77777777" w:rsidR="0002496B" w:rsidRPr="00A869FE" w:rsidRDefault="0002496B" w:rsidP="0002496B">
      <w:pPr>
        <w:tabs>
          <w:tab w:val="left" w:pos="426"/>
        </w:tabs>
        <w:spacing w:after="0" w:line="276" w:lineRule="auto"/>
        <w:jc w:val="both"/>
        <w:rPr>
          <w:rFonts w:ascii="Verdana" w:eastAsia="Century Gothic" w:hAnsi="Verdana" w:cs="Century Gothic"/>
        </w:rPr>
      </w:pPr>
    </w:p>
    <w:p w14:paraId="64EF3BD1" w14:textId="77777777" w:rsidR="0002496B" w:rsidRPr="00A869FE" w:rsidRDefault="0002496B" w:rsidP="0002496B">
      <w:pPr>
        <w:spacing w:after="0" w:line="276" w:lineRule="auto"/>
        <w:jc w:val="both"/>
        <w:rPr>
          <w:rFonts w:ascii="Verdana" w:eastAsia="Century Gothic" w:hAnsi="Verdana" w:cs="Century Gothic"/>
        </w:rPr>
      </w:pPr>
      <w:r w:rsidRPr="00A869FE">
        <w:rPr>
          <w:rFonts w:ascii="Verdana" w:eastAsia="Century Gothic" w:hAnsi="Verdana" w:cs="Century Gothic"/>
        </w:rPr>
        <w:t xml:space="preserve">De acuerdo con el contenido de su solicitud, esta Agencia resolverá el siguiente problema jurídico: </w:t>
      </w:r>
      <w:r w:rsidRPr="00BC378A">
        <w:rPr>
          <w:rFonts w:ascii="Verdana" w:eastAsia="Century Gothic" w:hAnsi="Verdana" w:cs="Century Gothic"/>
        </w:rPr>
        <w:t xml:space="preserve">¿De qué manera debe una entidad estatal </w:t>
      </w:r>
      <w:r>
        <w:rPr>
          <w:rFonts w:ascii="Verdana" w:eastAsia="Century Gothic" w:hAnsi="Verdana" w:cs="Century Gothic"/>
        </w:rPr>
        <w:t>armonizar</w:t>
      </w:r>
      <w:r w:rsidRPr="00BC378A">
        <w:rPr>
          <w:rFonts w:ascii="Verdana" w:eastAsia="Century Gothic" w:hAnsi="Verdana" w:cs="Century Gothic"/>
        </w:rPr>
        <w:t xml:space="preserve"> la protección del derecho a la estabilidad ocupacional reforzada de las mujeres en estado de embarazo</w:t>
      </w:r>
      <w:r>
        <w:rPr>
          <w:rFonts w:ascii="Verdana" w:eastAsia="Century Gothic" w:hAnsi="Verdana" w:cs="Century Gothic"/>
        </w:rPr>
        <w:t xml:space="preserve"> o en periodo de lactancia,</w:t>
      </w:r>
      <w:r w:rsidRPr="00BC378A">
        <w:rPr>
          <w:rFonts w:ascii="Verdana" w:eastAsia="Century Gothic" w:hAnsi="Verdana" w:cs="Century Gothic"/>
        </w:rPr>
        <w:t xml:space="preserve"> vinculadas mediante contratos de prestación de servicios</w:t>
      </w:r>
      <w:r>
        <w:rPr>
          <w:rFonts w:ascii="Verdana" w:eastAsia="Century Gothic" w:hAnsi="Verdana" w:cs="Century Gothic"/>
        </w:rPr>
        <w:t>,</w:t>
      </w:r>
      <w:r w:rsidRPr="00BC378A">
        <w:rPr>
          <w:rFonts w:ascii="Verdana" w:eastAsia="Century Gothic" w:hAnsi="Verdana" w:cs="Century Gothic"/>
        </w:rPr>
        <w:t xml:space="preserve"> con las restricciones a la contratación directa </w:t>
      </w:r>
      <w:r>
        <w:rPr>
          <w:rFonts w:ascii="Verdana" w:eastAsia="Century Gothic" w:hAnsi="Verdana" w:cs="Century Gothic"/>
        </w:rPr>
        <w:t>previstas</w:t>
      </w:r>
      <w:r w:rsidRPr="00BC378A">
        <w:rPr>
          <w:rFonts w:ascii="Verdana" w:eastAsia="Century Gothic" w:hAnsi="Verdana" w:cs="Century Gothic"/>
        </w:rPr>
        <w:t xml:space="preserve"> en el artículo 33 de la Ley 996 de 2005 durante el período preelectoral?</w:t>
      </w:r>
    </w:p>
    <w:p w14:paraId="48D6A255" w14:textId="77777777" w:rsidR="0002496B" w:rsidRPr="00A869FE" w:rsidRDefault="0002496B" w:rsidP="0002496B">
      <w:pPr>
        <w:spacing w:after="0" w:line="276" w:lineRule="auto"/>
        <w:jc w:val="both"/>
        <w:rPr>
          <w:rFonts w:ascii="Verdana" w:hAnsi="Verdana" w:cs="Arial"/>
          <w:color w:val="7030A0"/>
        </w:rPr>
      </w:pPr>
    </w:p>
    <w:p w14:paraId="6D1E75D0" w14:textId="77777777" w:rsidR="0002496B" w:rsidRPr="00A869FE" w:rsidRDefault="0002496B" w:rsidP="0002496B">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Respuesta:</w:t>
      </w:r>
    </w:p>
    <w:p w14:paraId="449A8BB9" w14:textId="77777777" w:rsidR="0002496B" w:rsidRPr="00A869FE" w:rsidRDefault="0002496B" w:rsidP="0002496B">
      <w:pPr>
        <w:tabs>
          <w:tab w:val="left" w:pos="142"/>
          <w:tab w:val="left" w:pos="284"/>
        </w:tabs>
        <w:spacing w:after="0" w:line="276" w:lineRule="auto"/>
        <w:jc w:val="both"/>
        <w:rPr>
          <w:rFonts w:ascii="Verdana" w:eastAsia="Century Gothic" w:hAnsi="Verdana" w:cs="Century Gothic"/>
          <w:b/>
          <w:bCs/>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02496B" w:rsidRPr="00A869FE" w14:paraId="0DC7497E" w14:textId="77777777" w:rsidTr="002F382E">
        <w:trPr>
          <w:jc w:val="center"/>
        </w:trPr>
        <w:tc>
          <w:tcPr>
            <w:tcW w:w="8828" w:type="dxa"/>
          </w:tcPr>
          <w:p w14:paraId="77EF060E" w14:textId="77777777" w:rsidR="0002496B" w:rsidRPr="00454486" w:rsidRDefault="0002496B" w:rsidP="002F382E">
            <w:pPr>
              <w:spacing w:after="120" w:line="276" w:lineRule="auto"/>
              <w:jc w:val="both"/>
              <w:rPr>
                <w:rFonts w:ascii="Verdana" w:eastAsia="Arial" w:hAnsi="Verdana" w:cs="Arial"/>
                <w:lang w:eastAsia="es-ES" w:bidi="es-ES"/>
              </w:rPr>
            </w:pPr>
            <w:r w:rsidRPr="00454486">
              <w:rPr>
                <w:rFonts w:ascii="Verdana" w:eastAsia="Arial" w:hAnsi="Verdana" w:cs="Arial"/>
                <w:lang w:eastAsia="es-ES" w:bidi="es-ES"/>
              </w:rPr>
              <w:t>De conformidad con el marco constitucional y jurisprudencial vigente, las mujeres en estado de embarazo o en período de lactancia vinculadas mediante contratos de prestación de servicios son titulares del derecho a la estabilidad ocupacional reforzada, cuya finalidad es impedir cualquier forma de discriminación derivada de la terminación o no renovación del vínculo contractual por causa o con ocasión de la maternidad. Esta protección resulta exigible frente a las entidades estatales, aun cuando la relación se haya estructurado bajo una modalidad contractual de naturaleza temporal, y su alcance debe determinarse atendiendo a las reglas fijadas por la Corte Constitucional, particularmente en lo relativo a la existencia de una relación de prestación de servicios, el conocimiento del estado de embarazo por parte de la entidad y la ausencia de motivos objetivos que justifiquen la terminación del vínculo.</w:t>
            </w:r>
          </w:p>
          <w:p w14:paraId="27C83CBA" w14:textId="77777777" w:rsidR="0002496B" w:rsidRPr="00454486" w:rsidRDefault="0002496B" w:rsidP="002F382E">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 xml:space="preserve">No obstante, </w:t>
            </w:r>
            <w:r>
              <w:rPr>
                <w:rFonts w:ascii="Verdana" w:eastAsia="Arial" w:hAnsi="Verdana" w:cs="Arial"/>
                <w:lang w:eastAsia="es-ES" w:bidi="es-ES"/>
              </w:rPr>
              <w:t xml:space="preserve">tal y como fue expuesto en concepto C-1676 del 22 de diciembre de 2025, </w:t>
            </w:r>
            <w:r w:rsidRPr="00454486">
              <w:rPr>
                <w:rFonts w:ascii="Verdana" w:eastAsia="Arial" w:hAnsi="Verdana" w:cs="Arial"/>
                <w:lang w:eastAsia="es-ES" w:bidi="es-ES"/>
              </w:rPr>
              <w:t xml:space="preserve">la garantía de dicho derecho no opera de manera aislada, sino que debe armonizarse con el conjunto de disposiciones legales que regulan la actividad contractual de las entidades estatales. En este sentido, durante los períodos preelectorales para la elección de </w:t>
            </w:r>
            <w:proofErr w:type="gramStart"/>
            <w:r w:rsidRPr="00454486">
              <w:rPr>
                <w:rFonts w:ascii="Verdana" w:eastAsia="Arial" w:hAnsi="Verdana" w:cs="Arial"/>
                <w:lang w:eastAsia="es-ES" w:bidi="es-ES"/>
              </w:rPr>
              <w:t>Presidente</w:t>
            </w:r>
            <w:proofErr w:type="gramEnd"/>
            <w:r w:rsidRPr="00454486">
              <w:rPr>
                <w:rFonts w:ascii="Verdana" w:eastAsia="Arial" w:hAnsi="Verdana" w:cs="Arial"/>
                <w:lang w:eastAsia="es-ES" w:bidi="es-ES"/>
              </w:rPr>
              <w:t xml:space="preserve"> de la República, el artículo 33 de la Ley 996 de 2005 establece una prohibición general de contratación directa aplicable a todos los entes del Estado, la cual debe ser interpretada y aplicada de manera estricta, en atención a su carácter excepcional y a la finalidad de preservar la igualdad y transparencia en la contienda electoral. Dicha restricción comprende la celebración de nuevos contratos bajo modalidades que no impliquen convocatoria pública ni pluralidad de oferentes, y únicamente admite las excepciones expresamente </w:t>
            </w:r>
            <w:r w:rsidRPr="00454486">
              <w:rPr>
                <w:rFonts w:ascii="Verdana" w:eastAsia="Arial" w:hAnsi="Verdana" w:cs="Arial"/>
                <w:lang w:eastAsia="es-ES" w:bidi="es-ES"/>
              </w:rPr>
              <w:lastRenderedPageBreak/>
              <w:t>previstas por el legislador</w:t>
            </w:r>
            <w:r>
              <w:rPr>
                <w:rFonts w:ascii="Verdana" w:eastAsia="Arial" w:hAnsi="Verdana" w:cs="Arial"/>
                <w:lang w:eastAsia="es-ES" w:bidi="es-ES"/>
              </w:rPr>
              <w:t xml:space="preserve"> o cuando </w:t>
            </w:r>
            <w:r w:rsidRPr="00C15525">
              <w:rPr>
                <w:rFonts w:ascii="Verdana" w:eastAsia="Times New Roman" w:hAnsi="Verdana" w:cs="Arial"/>
                <w:lang w:eastAsia="es-CO" w:bidi="es-ES"/>
              </w:rPr>
              <w:t>deben celebrarse en virtud de un fallo judicial</w:t>
            </w:r>
            <w:r>
              <w:rPr>
                <w:rFonts w:ascii="Verdana" w:eastAsia="Times New Roman" w:hAnsi="Verdana" w:cs="Arial"/>
                <w:lang w:eastAsia="es-CO" w:bidi="es-ES"/>
              </w:rPr>
              <w:t xml:space="preserve"> o por mandato legal.</w:t>
            </w:r>
          </w:p>
          <w:p w14:paraId="47CE65F0" w14:textId="77777777" w:rsidR="0002496B" w:rsidRDefault="0002496B" w:rsidP="002F382E">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 xml:space="preserve">En consecuencia, tratándose de entidades territoriales, la adopción de decisiones orientadas a garantizar la estabilidad ocupacional reforzada de las mujeres embarazadas vinculadas mediante contratos de prestación de servicios debe realizarse en el marco del principio de planeación y de los principios que gobiernan la función administrativa y la contratación estatal, evaluando, en cada caso, las alternativas jurídicas disponibles que no desconozcan las restricciones legales vigentes. </w:t>
            </w:r>
          </w:p>
          <w:p w14:paraId="54299522" w14:textId="77777777" w:rsidR="0002496B" w:rsidRPr="00454486" w:rsidRDefault="0002496B" w:rsidP="002F382E">
            <w:pPr>
              <w:spacing w:after="160"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En particular, corresponde a la entidad determinar, de manera autónoma y debidamente motivada, si resulta jurídicamente viable acudir a figuras como la prórroga, modificación o adición de contratos celebrados con anterioridad a la entrada en vigencia de las prohibiciones previstas en la Ley de Garantías Electorales, siempre que dichas actuaciones no impliquen la celebración de un nuevo negocio jurídico ni desnaturalicen la restricción a la contratación directa, y se ajusten a los principios de planeación, transparencia y responsabilidad.</w:t>
            </w:r>
          </w:p>
          <w:p w14:paraId="5A4B173C" w14:textId="77777777" w:rsidR="0002496B" w:rsidRPr="00465BCB" w:rsidRDefault="0002496B" w:rsidP="002F382E">
            <w:pPr>
              <w:spacing w:line="276" w:lineRule="auto"/>
              <w:ind w:firstLine="709"/>
              <w:jc w:val="both"/>
              <w:rPr>
                <w:rFonts w:ascii="Verdana" w:eastAsia="Arial" w:hAnsi="Verdana" w:cs="Arial"/>
                <w:lang w:eastAsia="es-ES" w:bidi="es-ES"/>
              </w:rPr>
            </w:pPr>
            <w:r w:rsidRPr="00454486">
              <w:rPr>
                <w:rFonts w:ascii="Verdana" w:eastAsia="Arial" w:hAnsi="Verdana" w:cs="Arial"/>
                <w:lang w:eastAsia="es-ES" w:bidi="es-ES"/>
              </w:rPr>
              <w:t>En todo caso, el alcance del presente concepto es de carácter general y abstracto, por lo que no corresponde a esta instancia definir la procedencia de una actuación contractual específica ni resolver situaciones particulares, las cuales deben ser analizadas por cada entidad estatal con base en las circunstancias concretas del caso, los lineamientos jurisprudenciales aplicables y el marco normativo vigente.</w:t>
            </w:r>
          </w:p>
        </w:tc>
      </w:tr>
    </w:tbl>
    <w:p w14:paraId="315B2172" w14:textId="77777777" w:rsidR="0002496B" w:rsidRPr="00A869FE" w:rsidRDefault="0002496B" w:rsidP="0002496B">
      <w:pPr>
        <w:tabs>
          <w:tab w:val="left" w:pos="142"/>
          <w:tab w:val="left" w:pos="284"/>
        </w:tabs>
        <w:spacing w:after="0" w:line="276" w:lineRule="auto"/>
        <w:jc w:val="both"/>
        <w:rPr>
          <w:rFonts w:ascii="Verdana" w:eastAsia="Century Gothic" w:hAnsi="Verdana" w:cs="Century Gothic"/>
          <w:b/>
          <w:bCs/>
        </w:rPr>
      </w:pPr>
    </w:p>
    <w:p w14:paraId="101ECE83" w14:textId="77777777" w:rsidR="0002496B" w:rsidRPr="00A869FE" w:rsidRDefault="0002496B" w:rsidP="0002496B">
      <w:pPr>
        <w:numPr>
          <w:ilvl w:val="0"/>
          <w:numId w:val="2"/>
        </w:numPr>
        <w:tabs>
          <w:tab w:val="left" w:pos="142"/>
          <w:tab w:val="left" w:pos="284"/>
        </w:tabs>
        <w:spacing w:after="0" w:line="276" w:lineRule="auto"/>
        <w:jc w:val="both"/>
        <w:rPr>
          <w:rFonts w:ascii="Verdana" w:eastAsia="Century Gothic" w:hAnsi="Verdana" w:cs="Century Gothic"/>
          <w:b/>
          <w:bCs/>
        </w:rPr>
      </w:pPr>
      <w:r w:rsidRPr="00A869FE">
        <w:rPr>
          <w:rFonts w:ascii="Verdana" w:eastAsia="Century Gothic" w:hAnsi="Verdana" w:cs="Century Gothic"/>
          <w:b/>
          <w:bCs/>
        </w:rPr>
        <w:t>Razones de la respuesta:</w:t>
      </w:r>
    </w:p>
    <w:p w14:paraId="08E51EA2" w14:textId="77777777" w:rsidR="0002496B" w:rsidRPr="00A869FE" w:rsidRDefault="0002496B" w:rsidP="0002496B">
      <w:pPr>
        <w:spacing w:after="0" w:line="276" w:lineRule="auto"/>
        <w:jc w:val="both"/>
        <w:rPr>
          <w:rFonts w:ascii="Verdana" w:hAnsi="Verdana" w:cs="Arial"/>
          <w:color w:val="7030A0"/>
        </w:rPr>
      </w:pPr>
    </w:p>
    <w:p w14:paraId="58D4D251" w14:textId="77777777" w:rsidR="0002496B" w:rsidRPr="00A869FE" w:rsidRDefault="0002496B" w:rsidP="0002496B">
      <w:pPr>
        <w:spacing w:after="0" w:line="276" w:lineRule="auto"/>
        <w:jc w:val="both"/>
        <w:rPr>
          <w:rFonts w:ascii="Verdana" w:hAnsi="Verdana" w:cs="Arial"/>
        </w:rPr>
      </w:pPr>
      <w:r w:rsidRPr="00A869FE">
        <w:rPr>
          <w:rFonts w:ascii="Verdana" w:hAnsi="Verdana" w:cs="Arial"/>
        </w:rPr>
        <w:t>Lo anterior se sustenta en las siguientes consideraciones:</w:t>
      </w:r>
    </w:p>
    <w:p w14:paraId="7795405E" w14:textId="77777777" w:rsidR="0002496B" w:rsidRPr="00A869FE" w:rsidRDefault="0002496B" w:rsidP="0002496B">
      <w:pPr>
        <w:spacing w:after="0" w:line="276" w:lineRule="auto"/>
        <w:ind w:firstLine="709"/>
        <w:jc w:val="both"/>
        <w:rPr>
          <w:rFonts w:ascii="Verdana" w:hAnsi="Verdana" w:cs="Arial"/>
          <w:color w:val="000000" w:themeColor="text1"/>
        </w:rPr>
      </w:pPr>
    </w:p>
    <w:p w14:paraId="33D35946" w14:textId="77777777" w:rsidR="0002496B" w:rsidRPr="008C6876" w:rsidRDefault="0002496B" w:rsidP="0002496B">
      <w:pPr>
        <w:tabs>
          <w:tab w:val="left" w:pos="0"/>
        </w:tabs>
        <w:spacing w:after="120" w:line="276" w:lineRule="auto"/>
        <w:jc w:val="both"/>
        <w:rPr>
          <w:rFonts w:ascii="Verdana" w:hAnsi="Verdana" w:cs="Arial"/>
          <w:noProof/>
          <w:lang w:val="es-ES_tradnl"/>
        </w:rPr>
      </w:pPr>
      <w:r>
        <w:rPr>
          <w:rFonts w:ascii="Verdana" w:hAnsi="Verdana" w:cs="Arial"/>
          <w:noProof/>
          <w:lang w:val="es-ES_tradnl"/>
        </w:rPr>
        <w:t xml:space="preserve">i. </w:t>
      </w:r>
      <w:r w:rsidRPr="008C6876">
        <w:rPr>
          <w:rFonts w:ascii="Verdana" w:hAnsi="Verdana" w:cs="Arial"/>
          <w:noProof/>
          <w:lang w:val="es-ES_tradnl"/>
        </w:rPr>
        <w:t>El fuero de maternidad es una figura que otorga una protección reforzada a la futura madre y a la que acaba de serlo, es decir, a la mujer que se encuentre en estado de embarazo</w:t>
      </w:r>
      <w:r>
        <w:rPr>
          <w:rFonts w:ascii="Verdana" w:hAnsi="Verdana" w:cs="Arial"/>
          <w:noProof/>
          <w:lang w:val="es-ES_tradnl"/>
        </w:rPr>
        <w:t>, en licencia de maternidad</w:t>
      </w:r>
      <w:r w:rsidRPr="008C6876">
        <w:rPr>
          <w:rFonts w:ascii="Verdana" w:hAnsi="Verdana" w:cs="Arial"/>
          <w:noProof/>
          <w:lang w:val="es-ES_tradnl"/>
        </w:rPr>
        <w:t xml:space="preserve"> y en periodo de lactancia, con el fin de que el proceso de gestación no interfiera en la estabilidad laboral que, como trabajadora, le asiste. El propósito es que las aspiraciones familiares y profesionales de la mujer no se excluyan y puedan armonizarse, al punto de desarrollar su proyecto de vida y su personalidad en condicion</w:t>
      </w:r>
      <w:r>
        <w:rPr>
          <w:rFonts w:ascii="Verdana" w:hAnsi="Verdana" w:cs="Arial"/>
          <w:noProof/>
          <w:lang w:val="es-ES_tradnl"/>
        </w:rPr>
        <w:t>es</w:t>
      </w:r>
      <w:r w:rsidRPr="008C6876">
        <w:rPr>
          <w:rFonts w:ascii="Verdana" w:hAnsi="Verdana" w:cs="Arial"/>
          <w:noProof/>
          <w:lang w:val="es-ES_tradnl"/>
        </w:rPr>
        <w:t xml:space="preserve"> de dignidad y libertad, pues históricamente el estado de gravidez ha constituido un motivo de </w:t>
      </w:r>
      <w:r w:rsidRPr="008C6876">
        <w:rPr>
          <w:rFonts w:ascii="Verdana" w:hAnsi="Verdana" w:cs="Arial"/>
          <w:noProof/>
          <w:lang w:val="es-ES_tradnl"/>
        </w:rPr>
        <w:lastRenderedPageBreak/>
        <w:t>exclusión de la mujer en el trabajo, en el que es preciso “impedir la discriminación constituida por el despido, la terminación o la no renovación del contrato por causa o con ocasión del embarazo o la lactancia”</w:t>
      </w:r>
      <w:r w:rsidRPr="008C6876">
        <w:rPr>
          <w:rFonts w:ascii="Verdana" w:eastAsia="Calibri" w:hAnsi="Verdana" w:cs="Arial"/>
          <w:bCs/>
          <w:vertAlign w:val="superscript"/>
        </w:rPr>
        <w:t xml:space="preserve"> </w:t>
      </w:r>
      <w:r w:rsidRPr="008C6876">
        <w:rPr>
          <w:rFonts w:ascii="Verdana" w:eastAsia="Calibri" w:hAnsi="Verdana" w:cs="Arial"/>
          <w:bCs/>
          <w:vertAlign w:val="superscript"/>
        </w:rPr>
        <w:footnoteReference w:id="1"/>
      </w:r>
      <w:r w:rsidRPr="008C6876">
        <w:rPr>
          <w:rFonts w:ascii="Verdana" w:eastAsia="Calibri" w:hAnsi="Verdana" w:cs="Arial"/>
          <w:bCs/>
        </w:rPr>
        <w:t>.</w:t>
      </w:r>
    </w:p>
    <w:p w14:paraId="4E14A779" w14:textId="77777777" w:rsidR="0002496B" w:rsidRPr="008C6876" w:rsidRDefault="0002496B" w:rsidP="0002496B">
      <w:pPr>
        <w:spacing w:after="120" w:line="276" w:lineRule="auto"/>
        <w:ind w:firstLine="708"/>
        <w:jc w:val="both"/>
        <w:rPr>
          <w:rFonts w:ascii="Verdana" w:hAnsi="Verdana"/>
        </w:rPr>
      </w:pPr>
      <w:r w:rsidRPr="008C6876">
        <w:rPr>
          <w:rFonts w:ascii="Verdana" w:hAnsi="Verdana"/>
        </w:rPr>
        <w:t xml:space="preserve">Con el fin de aclarar el objeto bajo consulta, se explicarán las dos (2) posiciones que ha definido al Corte Constitucional para proteger el fuero de maternidad a una mujer que está vinculada a través de un contrato de prestación de servicios. Lo anterior, para determinar cuál es la posición del Alto Tribunal Constitucional en la defensa del derecho a la estabilidad ocupacional reforzada. </w:t>
      </w:r>
    </w:p>
    <w:p w14:paraId="0969AD05" w14:textId="77777777" w:rsidR="0002496B" w:rsidRPr="008C6876" w:rsidRDefault="0002496B" w:rsidP="0002496B">
      <w:pPr>
        <w:tabs>
          <w:tab w:val="left" w:pos="0"/>
        </w:tabs>
        <w:spacing w:after="120" w:line="276" w:lineRule="auto"/>
        <w:jc w:val="both"/>
        <w:rPr>
          <w:rFonts w:ascii="Verdana" w:hAnsi="Verdana" w:cs="Arial"/>
        </w:rPr>
      </w:pPr>
      <w:r w:rsidRPr="008C6876">
        <w:rPr>
          <w:rFonts w:ascii="Verdana" w:eastAsia="Arial" w:hAnsi="Verdana" w:cs="Arial"/>
          <w:color w:val="000000"/>
        </w:rPr>
        <w:tab/>
        <w:t>La Corte Constitucional, en la Sentencia SU-070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Pr="008C6876">
        <w:rPr>
          <w:rFonts w:ascii="Verdana" w:hAnsi="Verdana" w:cs="Arial"/>
          <w:vertAlign w:val="superscript"/>
        </w:rPr>
        <w:footnoteReference w:id="2"/>
      </w:r>
      <w:r w:rsidRPr="008C6876">
        <w:rPr>
          <w:rFonts w:ascii="Verdana" w:hAnsi="Verdana" w:cs="Arial"/>
        </w:rPr>
        <w:t xml:space="preserve">. De esta forma, según el criterio fijado por la Corte en la Sentencia SU-070 de 2023, la protección a la estabilidad laboral reforzada de mujeres vinculadas a través de un contrato de prestación de servicios sólo procede frente aquellos casos donde se verifique la concurrencia de los tres (3) elementos del contrato de trabajo. </w:t>
      </w:r>
    </w:p>
    <w:p w14:paraId="361F470C" w14:textId="77777777" w:rsidR="0002496B" w:rsidRPr="008C6876" w:rsidRDefault="0002496B" w:rsidP="0002496B">
      <w:pPr>
        <w:tabs>
          <w:tab w:val="left" w:pos="0"/>
        </w:tabs>
        <w:spacing w:after="120" w:line="276" w:lineRule="auto"/>
        <w:jc w:val="both"/>
        <w:rPr>
          <w:rFonts w:ascii="Verdana" w:hAnsi="Verdana" w:cs="Arial"/>
        </w:rPr>
      </w:pPr>
      <w:r>
        <w:rPr>
          <w:rFonts w:ascii="Verdana" w:hAnsi="Verdana" w:cs="Arial"/>
        </w:rPr>
        <w:tab/>
      </w:r>
      <w:r w:rsidRPr="008C6876">
        <w:rPr>
          <w:rFonts w:ascii="Verdana" w:hAnsi="Verdana" w:cs="Arial"/>
        </w:rPr>
        <w:t>Ahora bien, el Alto Tribunal Constitucional, en las sentencias T-102 de 2016</w:t>
      </w:r>
      <w:r w:rsidRPr="008C6876">
        <w:rPr>
          <w:rStyle w:val="Refdenotaalpie"/>
          <w:rFonts w:ascii="Verdana" w:hAnsi="Verdana" w:cs="Arial"/>
        </w:rPr>
        <w:footnoteReference w:id="3"/>
      </w:r>
      <w:r w:rsidRPr="008C6876">
        <w:rPr>
          <w:rFonts w:ascii="Verdana" w:hAnsi="Verdana" w:cs="Arial"/>
        </w:rPr>
        <w:t xml:space="preserve"> y T-564 de 2017</w:t>
      </w:r>
      <w:r w:rsidRPr="008C6876">
        <w:rPr>
          <w:rStyle w:val="Refdenotaalpie"/>
          <w:rFonts w:ascii="Verdana" w:hAnsi="Verdana" w:cs="Arial"/>
        </w:rPr>
        <w:footnoteReference w:id="4"/>
      </w:r>
      <w:r w:rsidRPr="008C6876">
        <w:rPr>
          <w:rFonts w:ascii="Verdana" w:hAnsi="Verdana" w:cs="Arial"/>
        </w:rPr>
        <w:t xml:space="preserve"> estableció otra posición, en los eventos donde no se </w:t>
      </w:r>
      <w:r w:rsidRPr="008C6876">
        <w:rPr>
          <w:rFonts w:ascii="Verdana" w:hAnsi="Verdana" w:cs="Arial"/>
        </w:rPr>
        <w:lastRenderedPageBreak/>
        <w:t>prueba la configuración del contrato realidad en el contrato de prestación de servicios, señalando que este no es un motivo suficiente para desproteger los derechos de la estabilidad ocupacional reforzada de la mujer embarazada, si se comprueba que la terminación del contrato es discriminatoria y no atiende a un motivo objetivo.</w:t>
      </w:r>
    </w:p>
    <w:p w14:paraId="68F573F8" w14:textId="77777777" w:rsidR="0002496B" w:rsidRPr="008C6876" w:rsidRDefault="0002496B" w:rsidP="0002496B">
      <w:pPr>
        <w:tabs>
          <w:tab w:val="left" w:pos="0"/>
        </w:tabs>
        <w:spacing w:after="120" w:line="276" w:lineRule="auto"/>
        <w:jc w:val="both"/>
        <w:rPr>
          <w:rFonts w:ascii="Verdana" w:hAnsi="Verdana" w:cs="Arial"/>
        </w:rPr>
      </w:pPr>
      <w:r w:rsidRPr="008C6876">
        <w:rPr>
          <w:rFonts w:ascii="Verdana" w:hAnsi="Verdana" w:cs="Arial"/>
        </w:rPr>
        <w:tab/>
        <w:t>De acuerdo con la sentencia T-564 de 2017, a pesar de no probarse la configuración del contrato realidad, se debe proteger a la mujer en estado embarazo, vinculada a través de un contrato de prestación de servicios, porque a pesar de que la trabajadora informó al empleador de su estado de gestación, éste terminó anticipadamente su contrato, configurándose una terminación por motivos discriminatorios. Por su parte, la sentencia T-102 de 2016, si bien reconoce la existencia del contrato realidad, reitera que el empleador no demostró ningún motivo objetivo que justificara la terminación del contrato, ya sea porque la actividad que venía realizando ya no era necesaria, o porque no probó que las causas que originaron la contratación desaparecieron, entre otros.</w:t>
      </w:r>
    </w:p>
    <w:p w14:paraId="2B6EDE6A" w14:textId="77777777" w:rsidR="0002496B" w:rsidRPr="008C6876" w:rsidRDefault="0002496B" w:rsidP="0002496B">
      <w:pPr>
        <w:spacing w:after="0" w:line="276" w:lineRule="auto"/>
        <w:ind w:firstLine="709"/>
        <w:jc w:val="both"/>
        <w:rPr>
          <w:rFonts w:ascii="Verdana" w:eastAsiaTheme="minorEastAsia" w:hAnsi="Verdana" w:cs="Arial"/>
          <w:lang w:eastAsia="es-CO"/>
        </w:rPr>
      </w:pPr>
      <w:r w:rsidRPr="008C6876">
        <w:rPr>
          <w:rFonts w:ascii="Verdana" w:eastAsiaTheme="minorEastAsia" w:hAnsi="Verdana" w:cs="Arial"/>
          <w:lang w:eastAsia="es-CO"/>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575762DF" w14:textId="77777777" w:rsidR="0002496B" w:rsidRPr="008C6876" w:rsidRDefault="0002496B" w:rsidP="0002496B">
      <w:pPr>
        <w:spacing w:after="0" w:line="276" w:lineRule="auto"/>
        <w:ind w:left="709" w:right="709"/>
        <w:jc w:val="both"/>
        <w:rPr>
          <w:rFonts w:ascii="Verdana" w:hAnsi="Verdana" w:cs="Arial"/>
        </w:rPr>
      </w:pPr>
    </w:p>
    <w:p w14:paraId="4E78E119" w14:textId="77777777" w:rsidR="0002496B" w:rsidRPr="008C6876" w:rsidRDefault="0002496B" w:rsidP="0002496B">
      <w:pPr>
        <w:spacing w:line="240" w:lineRule="auto"/>
        <w:ind w:left="709" w:right="709"/>
        <w:contextualSpacing/>
        <w:jc w:val="both"/>
        <w:rPr>
          <w:rFonts w:ascii="Verdana" w:hAnsi="Verdana" w:cs="Arial"/>
          <w:i/>
          <w:sz w:val="20"/>
          <w:szCs w:val="20"/>
        </w:rPr>
      </w:pPr>
      <w:r w:rsidRPr="008C6876">
        <w:rPr>
          <w:rFonts w:ascii="Verdana" w:eastAsia="Yu Gothic UI Semibold" w:hAnsi="Verdana" w:cs="Arial"/>
          <w:iCs/>
          <w:sz w:val="20"/>
          <w:szCs w:val="20"/>
          <w:lang w:eastAsia="es-MX"/>
        </w:rPr>
        <w:t>“</w:t>
      </w:r>
      <w:r w:rsidRPr="008C6876">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w:t>
      </w:r>
      <w:r w:rsidRPr="008C6876">
        <w:rPr>
          <w:rFonts w:ascii="Verdana" w:hAnsi="Verdana" w:cs="Arial"/>
          <w:sz w:val="20"/>
          <w:szCs w:val="20"/>
        </w:rPr>
        <w:lastRenderedPageBreak/>
        <w:t xml:space="preserve">establecido que en el marco de relaciones de prestación de servicios, el juez de tutela, </w:t>
      </w:r>
      <w:r w:rsidRPr="008C6876">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8C6876">
        <w:rPr>
          <w:rFonts w:ascii="Verdana" w:hAnsi="Verdana" w:cs="Arial"/>
          <w:i/>
          <w:spacing w:val="-5"/>
          <w:sz w:val="20"/>
          <w:szCs w:val="20"/>
        </w:rPr>
        <w:t xml:space="preserve"> </w:t>
      </w:r>
      <w:r w:rsidRPr="008C6876">
        <w:rPr>
          <w:rFonts w:ascii="Verdana" w:hAnsi="Verdana" w:cs="Arial"/>
          <w:i/>
          <w:sz w:val="20"/>
          <w:szCs w:val="20"/>
        </w:rPr>
        <w:t>objetivo.</w:t>
      </w:r>
    </w:p>
    <w:p w14:paraId="0E605EFE" w14:textId="77777777" w:rsidR="0002496B" w:rsidRPr="008C6876" w:rsidRDefault="0002496B" w:rsidP="0002496B">
      <w:pPr>
        <w:spacing w:line="240" w:lineRule="auto"/>
        <w:ind w:left="709" w:right="709"/>
        <w:contextualSpacing/>
        <w:jc w:val="both"/>
        <w:rPr>
          <w:rFonts w:ascii="Verdana" w:hAnsi="Verdana" w:cs="Arial"/>
          <w:i/>
          <w:sz w:val="20"/>
          <w:szCs w:val="20"/>
        </w:rPr>
      </w:pPr>
    </w:p>
    <w:p w14:paraId="2228E0C3" w14:textId="77777777" w:rsidR="0002496B" w:rsidRPr="008C6876" w:rsidRDefault="0002496B" w:rsidP="0002496B">
      <w:pPr>
        <w:spacing w:after="0" w:line="240" w:lineRule="auto"/>
        <w:ind w:left="709" w:right="709"/>
        <w:contextualSpacing/>
        <w:jc w:val="both"/>
        <w:rPr>
          <w:rFonts w:ascii="Verdana" w:hAnsi="Verdana" w:cs="Arial"/>
          <w:sz w:val="20"/>
          <w:szCs w:val="20"/>
        </w:rPr>
      </w:pPr>
      <w:r w:rsidRPr="008C6876">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8C6876">
        <w:rPr>
          <w:rFonts w:ascii="Verdana" w:hAnsi="Verdana" w:cs="Arial"/>
          <w:noProof/>
          <w:sz w:val="20"/>
          <w:szCs w:val="20"/>
          <w:lang w:val="es-ES_tradnl"/>
        </w:rPr>
        <w:t>”</w:t>
      </w:r>
      <w:r w:rsidRPr="008C6876">
        <w:rPr>
          <w:rFonts w:ascii="Verdana" w:hAnsi="Verdana" w:cs="Arial"/>
          <w:sz w:val="20"/>
          <w:szCs w:val="20"/>
        </w:rPr>
        <w:t>. (Énfasis fuera del</w:t>
      </w:r>
      <w:r w:rsidRPr="008C6876">
        <w:rPr>
          <w:rFonts w:ascii="Verdana" w:hAnsi="Verdana" w:cs="Arial"/>
          <w:spacing w:val="-16"/>
          <w:sz w:val="20"/>
          <w:szCs w:val="20"/>
        </w:rPr>
        <w:t xml:space="preserve"> </w:t>
      </w:r>
      <w:r w:rsidRPr="008C6876">
        <w:rPr>
          <w:rFonts w:ascii="Verdana" w:hAnsi="Verdana" w:cs="Arial"/>
          <w:sz w:val="20"/>
          <w:szCs w:val="20"/>
        </w:rPr>
        <w:t>texto).</w:t>
      </w:r>
    </w:p>
    <w:p w14:paraId="15434BF2" w14:textId="77777777" w:rsidR="0002496B" w:rsidRPr="008C6876" w:rsidRDefault="0002496B" w:rsidP="0002496B">
      <w:pPr>
        <w:spacing w:after="0" w:line="276" w:lineRule="auto"/>
        <w:ind w:right="709"/>
        <w:rPr>
          <w:rFonts w:ascii="Verdana" w:eastAsia="Yu Gothic UI Semibold" w:hAnsi="Verdana" w:cs="Arial"/>
          <w:b/>
          <w:lang w:eastAsia="es-CO"/>
        </w:rPr>
      </w:pPr>
    </w:p>
    <w:p w14:paraId="51C531BE" w14:textId="77777777" w:rsidR="0002496B" w:rsidRPr="008C6876" w:rsidRDefault="0002496B" w:rsidP="0002496B">
      <w:pPr>
        <w:spacing w:after="120" w:line="276" w:lineRule="auto"/>
        <w:ind w:right="108"/>
        <w:jc w:val="both"/>
        <w:rPr>
          <w:rFonts w:ascii="Verdana" w:eastAsia="Yu Gothic UI Semibold" w:hAnsi="Verdana" w:cs="Arial"/>
          <w:i/>
          <w:lang w:eastAsia="es-MX"/>
        </w:rPr>
      </w:pPr>
      <w:r w:rsidRPr="008C6876">
        <w:rPr>
          <w:rFonts w:ascii="Verdana" w:eastAsia="Yu Gothic UI Semibold" w:hAnsi="Verdana" w:cs="Arial"/>
          <w:lang w:eastAsia="es-CO"/>
        </w:rPr>
        <w:tab/>
        <w:t>Finalmente, la Corte Constitucional profirió la sentencia de unificación SU-075 de 2018, en la cual recoge, entre otras, las sentencias T-030 de 2018 y T-350 del 2016. En esta providencia, el Alto Tribunal estableció unos criterios con el fin de impedir la discriminación que puede presentarse frente a una mujer en estado de embarazo o lactancia, específicamente, respecto a la terminación o la no renovación del contrato. Dicha providencia dio paso a establecer que, el denominado</w:t>
      </w:r>
      <w:r w:rsidRPr="008C6876">
        <w:rPr>
          <w:rFonts w:ascii="Verdana" w:eastAsia="Yu Gothic UI Semibold" w:hAnsi="Verdana" w:cs="Arial"/>
          <w:i/>
          <w:lang w:eastAsia="es-CO"/>
        </w:rPr>
        <w:t xml:space="preserve"> </w:t>
      </w:r>
      <w:r w:rsidRPr="008C6876">
        <w:rPr>
          <w:rFonts w:ascii="Verdana" w:eastAsia="Yu Gothic UI Semibold" w:hAnsi="Verdana" w:cs="Arial"/>
          <w:i/>
          <w:lang w:eastAsia="es-MX"/>
        </w:rPr>
        <w:t>“</w:t>
      </w:r>
      <w:r w:rsidRPr="008C6876">
        <w:rPr>
          <w:rFonts w:ascii="Verdana" w:eastAsia="Yu Gothic UI Semibold" w:hAnsi="Verdana" w:cs="Arial"/>
          <w:i/>
          <w:lang w:eastAsia="es-CO"/>
        </w:rPr>
        <w:t>fuero de maternidad</w:t>
      </w:r>
      <w:r w:rsidRPr="008C6876">
        <w:rPr>
          <w:rFonts w:ascii="Verdana" w:eastAsia="Yu Gothic UI Semibold" w:hAnsi="Verdana" w:cs="Arial"/>
          <w:i/>
          <w:lang w:eastAsia="es-MX"/>
        </w:rPr>
        <w:t>”</w:t>
      </w:r>
      <w:r w:rsidRPr="008C6876">
        <w:rPr>
          <w:rFonts w:ascii="Verdana" w:eastAsia="Yu Gothic UI Semibold" w:hAnsi="Verdana" w:cs="Arial"/>
          <w:lang w:eastAsia="es-CO"/>
        </w:rPr>
        <w:t xml:space="preserve"> encuentra también su sustento en la cláusula general de igualdad de la Constitución </w:t>
      </w:r>
      <w:r w:rsidRPr="008C6876">
        <w:rPr>
          <w:rFonts w:ascii="Verdana" w:eastAsia="Yu Gothic UI Semibold" w:hAnsi="Verdana" w:cs="Arial"/>
          <w:i/>
          <w:lang w:eastAsia="es-MX"/>
        </w:rPr>
        <w:t>“</w:t>
      </w:r>
      <w:r w:rsidRPr="008C6876">
        <w:rPr>
          <w:rFonts w:ascii="Verdana" w:eastAsia="Yu Gothic UI Semibold" w:hAnsi="Verdana" w:cs="Arial"/>
          <w:i/>
          <w:lang w:eastAsia="es-CO"/>
        </w:rPr>
        <w:t>que proscribe la discriminación por razones de sexo, así como en el ya mencionado artículo 43 Superior, que dispone la igualdad de derechos y oportunidades entre hombres y mujeres</w:t>
      </w:r>
      <w:r w:rsidRPr="008C6876">
        <w:rPr>
          <w:rFonts w:ascii="Verdana" w:eastAsia="Yu Gothic UI Semibold" w:hAnsi="Verdana" w:cs="Arial"/>
          <w:i/>
          <w:lang w:eastAsia="es-MX"/>
        </w:rPr>
        <w:t>”</w:t>
      </w:r>
      <w:r w:rsidRPr="008C6876">
        <w:rPr>
          <w:rFonts w:ascii="Verdana" w:eastAsia="Yu Gothic UI Semibold" w:hAnsi="Verdana" w:cs="Arial"/>
          <w:i/>
          <w:vertAlign w:val="superscript"/>
          <w:lang w:eastAsia="es-MX"/>
        </w:rPr>
        <w:footnoteReference w:id="5"/>
      </w:r>
      <w:r w:rsidRPr="008C6876">
        <w:rPr>
          <w:rFonts w:ascii="Verdana" w:eastAsia="Yu Gothic UI Semibold" w:hAnsi="Verdana" w:cs="Arial"/>
          <w:i/>
          <w:lang w:eastAsia="es-MX"/>
        </w:rPr>
        <w:t xml:space="preserve">. </w:t>
      </w:r>
    </w:p>
    <w:p w14:paraId="15123405" w14:textId="77777777" w:rsidR="0002496B" w:rsidRPr="008C6876" w:rsidRDefault="0002496B" w:rsidP="0002496B">
      <w:pPr>
        <w:spacing w:after="0" w:line="276" w:lineRule="auto"/>
        <w:ind w:right="108" w:firstLine="708"/>
        <w:jc w:val="both"/>
        <w:rPr>
          <w:rFonts w:ascii="Verdana" w:eastAsia="Yu Gothic UI Semibold" w:hAnsi="Verdana" w:cs="Arial"/>
          <w:lang w:eastAsia="es-CO"/>
        </w:rPr>
      </w:pPr>
      <w:r w:rsidRPr="008C6876">
        <w:rPr>
          <w:rFonts w:ascii="Verdana" w:eastAsia="Yu Gothic UI Semibold" w:hAnsi="Verdana" w:cs="Arial"/>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7662702A" w14:textId="77777777" w:rsidR="0002496B" w:rsidRPr="008C6876" w:rsidRDefault="0002496B" w:rsidP="0002496B">
      <w:pPr>
        <w:shd w:val="clear" w:color="auto" w:fill="FFFFFF"/>
        <w:spacing w:after="120" w:line="276" w:lineRule="auto"/>
        <w:ind w:left="709" w:right="709"/>
        <w:contextualSpacing/>
        <w:jc w:val="both"/>
        <w:rPr>
          <w:rFonts w:ascii="Verdana" w:eastAsia="Yu Gothic UI Semibold" w:hAnsi="Verdana" w:cs="Arial"/>
          <w:highlight w:val="red"/>
          <w:lang w:eastAsia="es-CO"/>
        </w:rPr>
      </w:pPr>
    </w:p>
    <w:p w14:paraId="3975FEFC"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w:t>
      </w:r>
    </w:p>
    <w:p w14:paraId="7EC3C99B"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p>
    <w:p w14:paraId="381A4B20"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(a) La existencia de una relación laboral o de prestación de servicios y;</w:t>
      </w:r>
    </w:p>
    <w:p w14:paraId="63C0E25D"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p>
    <w:p w14:paraId="79B8FE85"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4909345E"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 </w:t>
      </w:r>
    </w:p>
    <w:p w14:paraId="012AE453"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No obstante, el alcance de la protección se debe determinar a partir de dos factores:</w:t>
      </w:r>
    </w:p>
    <w:p w14:paraId="65860663"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lastRenderedPageBreak/>
        <w:t> </w:t>
      </w:r>
    </w:p>
    <w:p w14:paraId="61AFF3AF"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(a) El conocimiento del embarazo por parte del empleador; y</w:t>
      </w:r>
    </w:p>
    <w:p w14:paraId="36245F36"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 </w:t>
      </w:r>
    </w:p>
    <w:p w14:paraId="2C655DE8" w14:textId="77777777" w:rsidR="0002496B" w:rsidRPr="008C6876" w:rsidRDefault="0002496B" w:rsidP="0002496B">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8C6876">
        <w:rPr>
          <w:rFonts w:ascii="Verdana" w:eastAsia="Yu Gothic UI Semibold" w:hAnsi="Verdana" w:cs="Arial"/>
          <w:sz w:val="20"/>
          <w:szCs w:val="20"/>
          <w:lang w:eastAsia="es-CO"/>
        </w:rPr>
        <w:t>(b) La alternativa laboral mediante la cual se encontraba vinculada la mujer embarazada</w:t>
      </w:r>
      <w:r w:rsidRPr="008C6876">
        <w:rPr>
          <w:rFonts w:ascii="Verdana" w:hAnsi="Verdana" w:cs="Arial"/>
          <w:noProof/>
          <w:sz w:val="20"/>
          <w:szCs w:val="20"/>
          <w:lang w:val="es-ES_tradnl"/>
        </w:rPr>
        <w:t>”.</w:t>
      </w:r>
    </w:p>
    <w:p w14:paraId="47D0451A" w14:textId="77777777" w:rsidR="0002496B" w:rsidRPr="008C6876" w:rsidRDefault="0002496B" w:rsidP="0002496B">
      <w:pPr>
        <w:shd w:val="clear" w:color="auto" w:fill="FFFFFF"/>
        <w:spacing w:after="0" w:line="276" w:lineRule="auto"/>
        <w:ind w:right="49" w:firstLine="708"/>
        <w:jc w:val="both"/>
        <w:rPr>
          <w:rFonts w:ascii="Verdana" w:eastAsia="Yu Gothic UI Semibold" w:hAnsi="Verdana" w:cs="Arial"/>
          <w:lang w:eastAsia="es-CO"/>
        </w:rPr>
      </w:pPr>
    </w:p>
    <w:p w14:paraId="1BF7DCA6" w14:textId="77777777" w:rsidR="0002496B" w:rsidRPr="008C6876" w:rsidRDefault="0002496B" w:rsidP="0002496B">
      <w:pPr>
        <w:shd w:val="clear" w:color="auto" w:fill="FFFFFF"/>
        <w:spacing w:after="0" w:line="276" w:lineRule="auto"/>
        <w:ind w:right="51" w:firstLine="709"/>
        <w:jc w:val="both"/>
        <w:rPr>
          <w:rFonts w:ascii="Verdana" w:eastAsia="Yu Gothic UI Semibold" w:hAnsi="Verdana" w:cs="Arial"/>
          <w:lang w:eastAsia="es-CO"/>
        </w:rPr>
      </w:pPr>
      <w:r w:rsidRPr="008C6876">
        <w:rPr>
          <w:rFonts w:ascii="Verdana" w:eastAsia="Yu Gothic UI Semibold" w:hAnsi="Verdana" w:cs="Arial"/>
          <w:lang w:eastAsia="es-CO"/>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ocupacional reforzada de mujer embarazada</w:t>
      </w:r>
      <w:r>
        <w:rPr>
          <w:rFonts w:ascii="Verdana" w:eastAsia="Yu Gothic UI Semibold" w:hAnsi="Verdana" w:cs="Arial"/>
          <w:lang w:eastAsia="es-CO"/>
        </w:rPr>
        <w:t>, en licencia de maternidad o en periodo de lactancia</w:t>
      </w:r>
      <w:r w:rsidRPr="008C6876">
        <w:rPr>
          <w:rFonts w:ascii="Verdana" w:eastAsia="Yu Gothic UI Semibold" w:hAnsi="Verdana" w:cs="Arial"/>
          <w:lang w:eastAsia="es-CO"/>
        </w:rPr>
        <w:t xml:space="preserve">. Para el caso concreto de los contratos de prestación de servicios, la sentencia en mención determina:   </w:t>
      </w:r>
    </w:p>
    <w:p w14:paraId="0ED89CDB" w14:textId="77777777" w:rsidR="0002496B" w:rsidRPr="008C6876" w:rsidRDefault="0002496B" w:rsidP="0002496B">
      <w:pPr>
        <w:shd w:val="clear" w:color="auto" w:fill="FFFFFF"/>
        <w:spacing w:after="0" w:line="276" w:lineRule="auto"/>
        <w:ind w:left="709" w:right="49"/>
        <w:jc w:val="both"/>
        <w:rPr>
          <w:rFonts w:ascii="Verdana" w:eastAsia="Yu Gothic UI Semibold" w:hAnsi="Verdana" w:cs="Arial"/>
          <w:lang w:eastAsia="es-CO"/>
        </w:rPr>
      </w:pPr>
    </w:p>
    <w:p w14:paraId="27063B27" w14:textId="77777777" w:rsidR="0002496B" w:rsidRPr="008C6876" w:rsidRDefault="0002496B" w:rsidP="0002496B">
      <w:pPr>
        <w:shd w:val="clear" w:color="auto" w:fill="FFFFFF"/>
        <w:spacing w:line="240" w:lineRule="auto"/>
        <w:ind w:left="709" w:right="709"/>
        <w:contextualSpacing/>
        <w:jc w:val="both"/>
        <w:rPr>
          <w:rFonts w:ascii="Verdana" w:hAnsi="Verdana" w:cs="Arial"/>
          <w:noProof/>
          <w:sz w:val="20"/>
          <w:szCs w:val="20"/>
          <w:lang w:val="es-ES_tradnl"/>
        </w:rPr>
      </w:pPr>
      <w:r w:rsidRPr="008C6876">
        <w:rPr>
          <w:rFonts w:ascii="Verdana" w:eastAsia="Yu Gothic UI Semibold" w:hAnsi="Verdana" w:cs="Arial"/>
          <w:iCs/>
          <w:sz w:val="20"/>
          <w:szCs w:val="20"/>
          <w:lang w:eastAsia="es-MX"/>
        </w:rPr>
        <w:t>“</w:t>
      </w:r>
      <w:r w:rsidRPr="008C6876">
        <w:rPr>
          <w:rFonts w:ascii="Verdana" w:eastAsia="Yu Gothic UI Semibold" w:hAnsi="Verdana" w:cs="Arial"/>
          <w:sz w:val="20"/>
          <w:szCs w:val="20"/>
          <w:lang w:eastAsia="es-CO"/>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8C6876">
        <w:rPr>
          <w:rFonts w:ascii="Verdana" w:hAnsi="Verdana" w:cs="Arial"/>
          <w:noProof/>
          <w:sz w:val="20"/>
          <w:szCs w:val="20"/>
          <w:lang w:val="es-ES_tradnl"/>
        </w:rPr>
        <w:t>”.</w:t>
      </w:r>
    </w:p>
    <w:p w14:paraId="3518067C" w14:textId="77777777" w:rsidR="0002496B" w:rsidRPr="008C6876" w:rsidRDefault="0002496B" w:rsidP="0002496B">
      <w:pPr>
        <w:shd w:val="clear" w:color="auto" w:fill="FFFFFF"/>
        <w:spacing w:line="240" w:lineRule="auto"/>
        <w:ind w:right="709"/>
        <w:contextualSpacing/>
        <w:jc w:val="both"/>
        <w:rPr>
          <w:rFonts w:ascii="Verdana" w:hAnsi="Verdana" w:cs="Arial"/>
          <w:noProof/>
          <w:lang w:val="es-ES_tradnl"/>
        </w:rPr>
      </w:pPr>
    </w:p>
    <w:p w14:paraId="75BD892D" w14:textId="77777777" w:rsidR="0002496B" w:rsidRPr="008C6876" w:rsidRDefault="0002496B" w:rsidP="0002496B">
      <w:pPr>
        <w:shd w:val="clear" w:color="auto" w:fill="FFFFFF"/>
        <w:spacing w:after="120" w:line="276" w:lineRule="auto"/>
        <w:jc w:val="both"/>
        <w:rPr>
          <w:rFonts w:ascii="Verdana" w:eastAsia="Yu Gothic UI Semibold" w:hAnsi="Verdana" w:cs="Arial"/>
          <w:lang w:eastAsia="es-CO"/>
        </w:rPr>
      </w:pPr>
      <w:r w:rsidRPr="008C6876">
        <w:rPr>
          <w:rFonts w:ascii="Verdana" w:hAnsi="Verdana" w:cs="Arial"/>
          <w:noProof/>
          <w:lang w:val="es-ES_tradnl"/>
        </w:rPr>
        <w:tab/>
        <w:t>Conforme a lo anterior, la Corte Constitucional ha expuesto dos (2) posiciones frente a los cuales opera la protección del denominado fuero de maternidad de mujeres vinculadas por medio de un contrato de prestación de servicios: i) cuando el juez prueba la configur</w:t>
      </w:r>
      <w:r>
        <w:rPr>
          <w:rFonts w:ascii="Verdana" w:hAnsi="Verdana" w:cs="Arial"/>
          <w:noProof/>
          <w:lang w:val="es-ES_tradnl"/>
        </w:rPr>
        <w:t>a</w:t>
      </w:r>
      <w:r w:rsidRPr="008C6876">
        <w:rPr>
          <w:rFonts w:ascii="Verdana" w:hAnsi="Verdana" w:cs="Arial"/>
          <w:noProof/>
          <w:lang w:val="es-ES_tradnl"/>
        </w:rPr>
        <w:t>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03448427" w14:textId="77777777" w:rsidR="0002496B" w:rsidRPr="008C6876" w:rsidRDefault="0002496B" w:rsidP="0002496B">
      <w:pPr>
        <w:tabs>
          <w:tab w:val="left" w:pos="0"/>
        </w:tabs>
        <w:spacing w:after="120" w:line="276" w:lineRule="auto"/>
        <w:jc w:val="both"/>
        <w:rPr>
          <w:rFonts w:ascii="Verdana" w:hAnsi="Verdana" w:cs="Arial"/>
        </w:rPr>
      </w:pPr>
      <w:r w:rsidRPr="008C6876">
        <w:rPr>
          <w:rFonts w:ascii="Verdana" w:hAnsi="Verdana" w:cs="Arial"/>
        </w:rPr>
        <w:tab/>
        <w:t xml:space="preserve">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8C6876">
        <w:rPr>
          <w:rFonts w:ascii="Verdana" w:hAnsi="Verdana" w:cs="Arial"/>
        </w:rPr>
        <w:t>ii</w:t>
      </w:r>
      <w:proofErr w:type="spellEnd"/>
      <w:r w:rsidRPr="008C6876">
        <w:rPr>
          <w:rFonts w:ascii="Verdana" w:hAnsi="Verdana" w:cs="Arial"/>
        </w:rPr>
        <w:t xml:space="preserve">) la contención de prácticas discriminatorias en el escenario laboral contra la mujer con ocasión del estado de embarazo, </w:t>
      </w:r>
      <w:proofErr w:type="spellStart"/>
      <w:r w:rsidRPr="008C6876">
        <w:rPr>
          <w:rFonts w:ascii="Verdana" w:hAnsi="Verdana" w:cs="Arial"/>
        </w:rPr>
        <w:t>iii</w:t>
      </w:r>
      <w:proofErr w:type="spellEnd"/>
      <w:r w:rsidRPr="008C6876">
        <w:rPr>
          <w:rFonts w:ascii="Verdana" w:hAnsi="Verdana" w:cs="Arial"/>
        </w:rPr>
        <w:t xml:space="preserve">) la protección a la vida y a la mujer como su gestora y </w:t>
      </w:r>
      <w:proofErr w:type="spellStart"/>
      <w:r w:rsidRPr="008C6876">
        <w:rPr>
          <w:rFonts w:ascii="Verdana" w:hAnsi="Verdana" w:cs="Arial"/>
        </w:rPr>
        <w:t>iv</w:t>
      </w:r>
      <w:proofErr w:type="spellEnd"/>
      <w:r w:rsidRPr="008C6876">
        <w:rPr>
          <w:rFonts w:ascii="Verdana" w:hAnsi="Verdana" w:cs="Arial"/>
        </w:rPr>
        <w:t>) la relevancia de la familia en el ordenamiento social colombiano.</w:t>
      </w:r>
    </w:p>
    <w:p w14:paraId="768E88EF" w14:textId="77777777" w:rsidR="0002496B" w:rsidRPr="008C6876" w:rsidRDefault="0002496B" w:rsidP="0002496B">
      <w:pPr>
        <w:widowControl w:val="0"/>
        <w:autoSpaceDE w:val="0"/>
        <w:autoSpaceDN w:val="0"/>
        <w:spacing w:after="0" w:line="276" w:lineRule="auto"/>
        <w:ind w:firstLine="709"/>
        <w:jc w:val="both"/>
        <w:rPr>
          <w:rFonts w:ascii="Verdana" w:eastAsia="Arial" w:hAnsi="Verdana" w:cs="Arial"/>
          <w:lang w:val="es-ES"/>
        </w:rPr>
      </w:pPr>
      <w:r w:rsidRPr="008C6876">
        <w:rPr>
          <w:rFonts w:ascii="Verdana" w:eastAsia="Arial" w:hAnsi="Verdana" w:cs="Arial"/>
          <w:lang w:val="es-ES"/>
        </w:rPr>
        <w:lastRenderedPageBreak/>
        <w:t xml:space="preserve">Adicionalmente, la Corte Constitucional profirió la sentencia T-329 de 2022, con ponencia de la magistrada </w:t>
      </w:r>
      <w:r w:rsidRPr="008C6876">
        <w:rPr>
          <w:rFonts w:ascii="Verdana" w:hAnsi="Verdana" w:cs="Arial"/>
        </w:rPr>
        <w:t>Natalia Ángel Cabo</w:t>
      </w:r>
      <w:r w:rsidRPr="008C6876">
        <w:rPr>
          <w:rFonts w:ascii="Verdana" w:eastAsia="Arial" w:hAnsi="Verdana" w:cs="Arial"/>
          <w:lang w:val="es-ES"/>
        </w:rPr>
        <w:t xml:space="preserve">, en la cual reiteró el precedente sobre </w:t>
      </w:r>
      <w:bookmarkStart w:id="3" w:name="_Hlk108422441"/>
      <w:r w:rsidRPr="008C6876">
        <w:rPr>
          <w:rFonts w:ascii="Verdana" w:eastAsia="Arial" w:hAnsi="Verdana" w:cs="Arial"/>
          <w:lang w:val="es-ES"/>
        </w:rPr>
        <w:t>la protección de la mujer embarazada y en período de lactancia en contratos de prestación de servicios</w:t>
      </w:r>
      <w:bookmarkEnd w:id="3"/>
      <w:r w:rsidRPr="008C6876">
        <w:rPr>
          <w:rFonts w:ascii="Verdana" w:eastAsia="Arial" w:hAnsi="Verdana" w:cs="Arial"/>
          <w:lang w:val="es-ES"/>
        </w:rPr>
        <w:t xml:space="preserve"> establecido en la Sentencia S-070 de 2013, al indicar lo siguiente: </w:t>
      </w:r>
    </w:p>
    <w:p w14:paraId="55281E94" w14:textId="77777777" w:rsidR="0002496B" w:rsidRPr="008C6876" w:rsidRDefault="0002496B" w:rsidP="0002496B">
      <w:pPr>
        <w:widowControl w:val="0"/>
        <w:autoSpaceDE w:val="0"/>
        <w:autoSpaceDN w:val="0"/>
        <w:spacing w:after="0" w:line="276" w:lineRule="auto"/>
        <w:ind w:firstLine="709"/>
        <w:contextualSpacing/>
        <w:jc w:val="both"/>
        <w:rPr>
          <w:rFonts w:ascii="Verdana" w:eastAsia="Arial" w:hAnsi="Verdana" w:cs="Arial"/>
          <w:lang w:val="es-ES"/>
        </w:rPr>
      </w:pPr>
    </w:p>
    <w:p w14:paraId="7F29F7F1" w14:textId="77777777" w:rsidR="0002496B" w:rsidRPr="008C6876" w:rsidRDefault="0002496B" w:rsidP="0002496B">
      <w:pPr>
        <w:spacing w:after="0" w:line="240" w:lineRule="auto"/>
        <w:ind w:left="709" w:right="709"/>
        <w:contextualSpacing/>
        <w:jc w:val="both"/>
        <w:rPr>
          <w:rFonts w:ascii="Verdana" w:eastAsia="Times New Roman" w:hAnsi="Verdana" w:cs="Arial"/>
          <w:sz w:val="21"/>
          <w:szCs w:val="21"/>
          <w:lang w:eastAsia="es-ES"/>
        </w:rPr>
      </w:pPr>
      <w:r w:rsidRPr="008C6876">
        <w:rPr>
          <w:rFonts w:ascii="Verdana" w:eastAsia="Yu Gothic UI Semibold" w:hAnsi="Verdana" w:cs="Arial"/>
          <w:iCs/>
          <w:sz w:val="21"/>
          <w:szCs w:val="21"/>
          <w:lang w:eastAsia="es-MX"/>
        </w:rPr>
        <w:t>“</w:t>
      </w:r>
      <w:r w:rsidRPr="008C6876">
        <w:rPr>
          <w:rFonts w:ascii="Verdana" w:eastAsia="Yu Gothic UI Semibold" w:hAnsi="Verdana" w:cs="Arial"/>
          <w:sz w:val="21"/>
          <w:szCs w:val="21"/>
          <w:lang w:eastAsia="es-CO"/>
        </w:rPr>
        <w:t xml:space="preserve">[…] </w:t>
      </w:r>
      <w:r w:rsidRPr="008C6876">
        <w:rPr>
          <w:rFonts w:ascii="Verdana" w:eastAsia="Times New Roman" w:hAnsi="Verdana" w:cs="Arial"/>
          <w:sz w:val="21"/>
          <w:szCs w:val="21"/>
          <w:lang w:eastAsia="es-ES"/>
        </w:rPr>
        <w:t>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8C6876">
        <w:rPr>
          <w:rFonts w:ascii="Verdana" w:eastAsia="Times New Roman" w:hAnsi="Verdana" w:cs="Arial"/>
          <w:noProof/>
          <w:sz w:val="21"/>
          <w:szCs w:val="21"/>
          <w:lang w:val="es-ES_tradnl" w:eastAsia="es-ES"/>
        </w:rPr>
        <w:t>”.</w:t>
      </w:r>
    </w:p>
    <w:p w14:paraId="0819D323" w14:textId="77777777" w:rsidR="0002496B" w:rsidRPr="008C6876" w:rsidRDefault="0002496B" w:rsidP="0002496B">
      <w:pPr>
        <w:widowControl w:val="0"/>
        <w:autoSpaceDE w:val="0"/>
        <w:autoSpaceDN w:val="0"/>
        <w:spacing w:after="0" w:line="276" w:lineRule="auto"/>
        <w:ind w:firstLine="709"/>
        <w:jc w:val="both"/>
        <w:rPr>
          <w:rFonts w:ascii="Verdana" w:eastAsia="Arial" w:hAnsi="Verdana" w:cs="Arial"/>
          <w:lang w:val="es-ES"/>
        </w:rPr>
      </w:pPr>
    </w:p>
    <w:p w14:paraId="61C59F7C" w14:textId="77777777" w:rsidR="0002496B" w:rsidRPr="008C6876" w:rsidRDefault="0002496B" w:rsidP="0002496B">
      <w:pPr>
        <w:widowControl w:val="0"/>
        <w:autoSpaceDE w:val="0"/>
        <w:autoSpaceDN w:val="0"/>
        <w:spacing w:after="120" w:line="276" w:lineRule="auto"/>
        <w:ind w:firstLine="709"/>
        <w:jc w:val="both"/>
        <w:rPr>
          <w:rFonts w:ascii="Verdana" w:hAnsi="Verdana" w:cs="Arial"/>
          <w:shd w:val="clear" w:color="auto" w:fill="FFFFFF"/>
        </w:rPr>
      </w:pPr>
      <w:r w:rsidRPr="008C6876">
        <w:rPr>
          <w:rFonts w:ascii="Verdana" w:eastAsia="Arial" w:hAnsi="Verdana" w:cs="Arial"/>
          <w:lang w:val="es-ES"/>
        </w:rPr>
        <w:t xml:space="preserve">En dicha providencia la Corte consideró que, </w:t>
      </w:r>
      <w:r w:rsidRPr="008C6876">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8C6876">
        <w:rPr>
          <w:rFonts w:ascii="Verdana" w:eastAsia="Yu Gothic UI Semibold" w:hAnsi="Verdana" w:cs="Arial"/>
          <w:iCs/>
          <w:lang w:eastAsia="es-MX"/>
        </w:rPr>
        <w:t>“</w:t>
      </w:r>
      <w:r w:rsidRPr="008C6876">
        <w:rPr>
          <w:rFonts w:ascii="Verdana" w:hAnsi="Verdana" w:cs="Arial"/>
        </w:rPr>
        <w:t>(i) la protección de la mujer gestante o en periodo de lactancia se deriva de, entre otros, los artículos 43, 53 y 13 de la Constitución Nacional; (</w:t>
      </w:r>
      <w:proofErr w:type="spellStart"/>
      <w:r w:rsidRPr="008C6876">
        <w:rPr>
          <w:rFonts w:ascii="Verdana" w:hAnsi="Verdana" w:cs="Arial"/>
        </w:rPr>
        <w:t>ii</w:t>
      </w:r>
      <w:proofErr w:type="spellEnd"/>
      <w:r w:rsidRPr="008C6876">
        <w:rPr>
          <w:rFonts w:ascii="Verdana" w:hAnsi="Verdana" w:cs="Arial"/>
        </w:rPr>
        <w:t>) la Sentencia SU-070 de 2013 reiteró la protección a la mujer embarazada en todas las alternativas laborales o de trabajo en las que se incluye el contrato de prestación de servicios; (</w:t>
      </w:r>
      <w:proofErr w:type="spellStart"/>
      <w:r w:rsidRPr="008C6876">
        <w:rPr>
          <w:rFonts w:ascii="Verdana" w:hAnsi="Verdana" w:cs="Arial"/>
        </w:rPr>
        <w:t>iii</w:t>
      </w:r>
      <w:proofErr w:type="spellEnd"/>
      <w:r w:rsidRPr="008C6876">
        <w:rPr>
          <w:rFonts w:ascii="Verdana" w:hAnsi="Verdana" w:cs="Arial"/>
        </w:rPr>
        <w:t xml:space="preserve">) la Sentencia SU-075 de 2018 reiteró que las condiciones para la protección de la mujer embarazada son la existencia de una relación laboral o de prestación de servicios y que </w:t>
      </w:r>
      <w:r w:rsidRPr="008C6876">
        <w:rPr>
          <w:rFonts w:ascii="Verdana" w:hAnsi="Verdana" w:cs="Arial"/>
          <w:shd w:val="clear" w:color="auto" w:fill="FFFFFF"/>
        </w:rPr>
        <w:t>la mujer se encuentre en estado de embarazo o dentro de los tres meses siguientes al parto, en vigencia de dicha relación laboral o de prestación de servicios</w:t>
      </w:r>
      <w:r w:rsidRPr="008C6876">
        <w:rPr>
          <w:rFonts w:ascii="Verdana" w:hAnsi="Verdana" w:cs="Arial"/>
        </w:rPr>
        <w:t>; y (</w:t>
      </w:r>
      <w:proofErr w:type="spellStart"/>
      <w:r w:rsidRPr="008C6876">
        <w:rPr>
          <w:rFonts w:ascii="Verdana" w:hAnsi="Verdana" w:cs="Arial"/>
        </w:rPr>
        <w:t>iv</w:t>
      </w:r>
      <w:proofErr w:type="spellEnd"/>
      <w:r w:rsidRPr="008C6876">
        <w:rPr>
          <w:rFonts w:ascii="Verdana" w:hAnsi="Verdana" w:cs="Arial"/>
        </w:rPr>
        <w:t xml:space="preserve">) las salas de revisión de la Corte Constitucional </w:t>
      </w:r>
      <w:r w:rsidRPr="008C6876">
        <w:rPr>
          <w:rFonts w:ascii="Verdana" w:hAnsi="Verdana" w:cs="Arial"/>
          <w:shd w:val="clear" w:color="auto" w:fill="FFFFFF"/>
        </w:rPr>
        <w:t>reconocen la protección derivada del fuero de maternidad en los contratos de prestación de servicios</w:t>
      </w:r>
      <w:r w:rsidRPr="008C6876">
        <w:rPr>
          <w:rFonts w:ascii="Verdana" w:hAnsi="Verdana" w:cs="Arial"/>
          <w:noProof/>
          <w:lang w:val="es-ES_tradnl"/>
        </w:rPr>
        <w:t>”</w:t>
      </w:r>
      <w:r w:rsidRPr="008C6876">
        <w:rPr>
          <w:rFonts w:ascii="Verdana" w:hAnsi="Verdana" w:cs="Arial"/>
          <w:noProof/>
          <w:vertAlign w:val="superscript"/>
          <w:lang w:val="es-ES_tradnl"/>
        </w:rPr>
        <w:footnoteReference w:id="6"/>
      </w:r>
      <w:r w:rsidRPr="008C6876">
        <w:rPr>
          <w:rFonts w:ascii="Verdana" w:hAnsi="Verdana" w:cs="Arial"/>
          <w:shd w:val="clear" w:color="auto" w:fill="FFFFFF"/>
        </w:rPr>
        <w:t xml:space="preserve">. </w:t>
      </w:r>
    </w:p>
    <w:p w14:paraId="7584339B" w14:textId="77777777" w:rsidR="0002496B" w:rsidRPr="008C6876" w:rsidRDefault="0002496B" w:rsidP="0002496B">
      <w:pPr>
        <w:widowControl w:val="0"/>
        <w:autoSpaceDE w:val="0"/>
        <w:autoSpaceDN w:val="0"/>
        <w:spacing w:after="0" w:line="276" w:lineRule="auto"/>
        <w:ind w:firstLine="709"/>
        <w:jc w:val="both"/>
        <w:rPr>
          <w:rFonts w:ascii="Verdana" w:hAnsi="Verdana" w:cs="Arial"/>
          <w:shd w:val="clear" w:color="auto" w:fill="FFFFFF"/>
        </w:rPr>
      </w:pPr>
      <w:r w:rsidRPr="008C6876">
        <w:rPr>
          <w:rFonts w:ascii="Verdana" w:hAnsi="Verdana" w:cs="Arial"/>
          <w:shd w:val="clear" w:color="auto" w:fill="FFFFFF"/>
        </w:rPr>
        <w:t xml:space="preserve">En línea con lo anterior, resulta relevante relacionar las reglas establecidas en la jurisprudencia constitucional para la protección de las mujeres vinculadas </w:t>
      </w:r>
      <w:r w:rsidRPr="008C6876">
        <w:rPr>
          <w:rFonts w:ascii="Verdana" w:hAnsi="Verdana" w:cs="Arial"/>
          <w:shd w:val="clear" w:color="auto" w:fill="FFFFFF"/>
        </w:rPr>
        <w:lastRenderedPageBreak/>
        <w:t xml:space="preserve">mediante contrato de prestación de servicios a quienes no se les renueva dicho contrato mientras se encuentran en estado de embarazo o lactancia: </w:t>
      </w:r>
    </w:p>
    <w:p w14:paraId="6BBCC029" w14:textId="77777777" w:rsidR="0002496B" w:rsidRPr="008C6876" w:rsidRDefault="0002496B" w:rsidP="0002496B">
      <w:pPr>
        <w:widowControl w:val="0"/>
        <w:autoSpaceDE w:val="0"/>
        <w:autoSpaceDN w:val="0"/>
        <w:spacing w:after="0" w:line="276" w:lineRule="auto"/>
        <w:ind w:firstLine="709"/>
        <w:jc w:val="both"/>
        <w:rPr>
          <w:rFonts w:ascii="Verdana" w:hAnsi="Verdana" w:cs="Arial"/>
          <w:shd w:val="clear" w:color="auto" w:fill="FFFFFF"/>
        </w:rPr>
      </w:pPr>
    </w:p>
    <w:tbl>
      <w:tblPr>
        <w:tblStyle w:val="Tablaconcuadrcula"/>
        <w:tblW w:w="5000" w:type="pct"/>
        <w:tblLook w:val="04A0" w:firstRow="1" w:lastRow="0" w:firstColumn="1" w:lastColumn="0" w:noHBand="0" w:noVBand="1"/>
      </w:tblPr>
      <w:tblGrid>
        <w:gridCol w:w="2548"/>
        <w:gridCol w:w="6280"/>
      </w:tblGrid>
      <w:tr w:rsidR="0002496B" w:rsidRPr="008C6876" w14:paraId="3DF00145" w14:textId="77777777" w:rsidTr="002F382E">
        <w:tc>
          <w:tcPr>
            <w:tcW w:w="1443" w:type="pct"/>
            <w:shd w:val="clear" w:color="auto" w:fill="D9E2F3" w:themeFill="accent1" w:themeFillTint="33"/>
            <w:vAlign w:val="center"/>
          </w:tcPr>
          <w:p w14:paraId="4324D2AA" w14:textId="77777777" w:rsidR="0002496B" w:rsidRPr="008C6876" w:rsidRDefault="0002496B" w:rsidP="002F382E">
            <w:pPr>
              <w:jc w:val="center"/>
              <w:rPr>
                <w:rFonts w:ascii="Verdana" w:hAnsi="Verdana" w:cs="Arial"/>
                <w:b/>
                <w:bCs/>
                <w:sz w:val="21"/>
                <w:szCs w:val="21"/>
                <w:lang w:val="es-MX"/>
              </w:rPr>
            </w:pPr>
            <w:r w:rsidRPr="008C6876">
              <w:rPr>
                <w:rFonts w:ascii="Verdana" w:hAnsi="Verdana" w:cs="Arial"/>
                <w:b/>
                <w:bCs/>
                <w:sz w:val="21"/>
                <w:szCs w:val="21"/>
                <w:lang w:val="es-MX"/>
              </w:rPr>
              <w:t>Tipo de relación material</w:t>
            </w:r>
          </w:p>
        </w:tc>
        <w:tc>
          <w:tcPr>
            <w:tcW w:w="3557" w:type="pct"/>
            <w:shd w:val="clear" w:color="auto" w:fill="D9E2F3" w:themeFill="accent1" w:themeFillTint="33"/>
            <w:vAlign w:val="center"/>
          </w:tcPr>
          <w:p w14:paraId="76B2A1A4" w14:textId="77777777" w:rsidR="0002496B" w:rsidRPr="008C6876" w:rsidRDefault="0002496B" w:rsidP="002F382E">
            <w:pPr>
              <w:jc w:val="center"/>
              <w:rPr>
                <w:rFonts w:ascii="Verdana" w:hAnsi="Verdana" w:cs="Arial"/>
                <w:b/>
                <w:bCs/>
                <w:sz w:val="21"/>
                <w:szCs w:val="21"/>
                <w:lang w:val="es-MX"/>
              </w:rPr>
            </w:pPr>
            <w:r w:rsidRPr="008C6876">
              <w:rPr>
                <w:rFonts w:ascii="Verdana" w:hAnsi="Verdana" w:cs="Arial"/>
                <w:b/>
                <w:bCs/>
                <w:sz w:val="21"/>
                <w:szCs w:val="21"/>
                <w:lang w:val="es-MX"/>
              </w:rPr>
              <w:t>Alcance de la protección</w:t>
            </w:r>
          </w:p>
        </w:tc>
      </w:tr>
      <w:tr w:rsidR="0002496B" w:rsidRPr="008C6876" w14:paraId="231CF589" w14:textId="77777777" w:rsidTr="002F382E">
        <w:tc>
          <w:tcPr>
            <w:tcW w:w="1443" w:type="pct"/>
            <w:tcBorders>
              <w:bottom w:val="single" w:sz="4" w:space="0" w:color="auto"/>
            </w:tcBorders>
            <w:vAlign w:val="center"/>
          </w:tcPr>
          <w:p w14:paraId="3B6D9519" w14:textId="77777777" w:rsidR="0002496B" w:rsidRPr="008C6876" w:rsidRDefault="0002496B" w:rsidP="002F382E">
            <w:pPr>
              <w:jc w:val="center"/>
              <w:rPr>
                <w:rFonts w:ascii="Verdana" w:hAnsi="Verdana" w:cs="Arial"/>
                <w:b/>
                <w:bCs/>
                <w:sz w:val="21"/>
                <w:szCs w:val="21"/>
                <w:lang w:val="es-MX"/>
              </w:rPr>
            </w:pPr>
            <w:r w:rsidRPr="008C6876">
              <w:rPr>
                <w:rFonts w:ascii="Verdana" w:hAnsi="Verdana" w:cs="Arial"/>
                <w:b/>
                <w:bCs/>
                <w:sz w:val="21"/>
                <w:szCs w:val="21"/>
                <w:lang w:val="es-MX"/>
              </w:rPr>
              <w:t>Se configura un contrato realidad</w:t>
            </w:r>
          </w:p>
        </w:tc>
        <w:tc>
          <w:tcPr>
            <w:tcW w:w="3557" w:type="pct"/>
          </w:tcPr>
          <w:p w14:paraId="75FDC289" w14:textId="77777777" w:rsidR="0002496B" w:rsidRPr="008C6876" w:rsidRDefault="0002496B" w:rsidP="002F382E">
            <w:pPr>
              <w:jc w:val="both"/>
              <w:rPr>
                <w:rFonts w:ascii="Verdana" w:hAnsi="Verdana" w:cs="Arial"/>
                <w:sz w:val="21"/>
                <w:szCs w:val="21"/>
                <w:lang w:val="es-MX"/>
              </w:rPr>
            </w:pPr>
            <w:r w:rsidRPr="008C6876">
              <w:rPr>
                <w:rFonts w:ascii="Verdana" w:hAnsi="Verdana" w:cs="Arial"/>
                <w:sz w:val="21"/>
                <w:szCs w:val="21"/>
                <w:lang w:val="es-MX"/>
              </w:rPr>
              <w:t>El juez de tutela deberá aplicar las reglas establecidas para el contrato laboral a término fijo, debido a que este contrato, por sus características de temporalidad, es el que mejor se asemeja al contrato de prestación de servicios</w:t>
            </w:r>
            <w:r w:rsidRPr="008C6876">
              <w:rPr>
                <w:rFonts w:ascii="Verdana" w:hAnsi="Verdana" w:cs="Arial"/>
                <w:sz w:val="21"/>
                <w:szCs w:val="21"/>
                <w:vertAlign w:val="superscript"/>
                <w:lang w:val="es-MX"/>
              </w:rPr>
              <w:t xml:space="preserve"> </w:t>
            </w:r>
            <w:r w:rsidRPr="008C6876">
              <w:rPr>
                <w:rFonts w:ascii="Verdana" w:hAnsi="Verdana" w:cs="Arial"/>
                <w:sz w:val="21"/>
                <w:szCs w:val="21"/>
                <w:vertAlign w:val="superscript"/>
                <w:lang w:val="es-MX"/>
              </w:rPr>
              <w:footnoteReference w:id="7"/>
            </w:r>
            <w:r w:rsidRPr="008C6876">
              <w:rPr>
                <w:rFonts w:ascii="Verdana" w:hAnsi="Verdana" w:cs="Arial"/>
                <w:sz w:val="21"/>
                <w:szCs w:val="21"/>
                <w:lang w:val="es-MX"/>
              </w:rPr>
              <w:t>.</w:t>
            </w:r>
          </w:p>
        </w:tc>
      </w:tr>
      <w:tr w:rsidR="0002496B" w:rsidRPr="008C6876" w14:paraId="6E5B25AD" w14:textId="77777777" w:rsidTr="002F382E">
        <w:trPr>
          <w:trHeight w:val="269"/>
        </w:trPr>
        <w:tc>
          <w:tcPr>
            <w:tcW w:w="1443" w:type="pct"/>
            <w:tcBorders>
              <w:top w:val="single" w:sz="4" w:space="0" w:color="auto"/>
              <w:left w:val="single" w:sz="4" w:space="0" w:color="auto"/>
              <w:bottom w:val="single" w:sz="4" w:space="0" w:color="auto"/>
              <w:right w:val="single" w:sz="4" w:space="0" w:color="auto"/>
            </w:tcBorders>
            <w:vAlign w:val="center"/>
          </w:tcPr>
          <w:p w14:paraId="290454AC" w14:textId="77777777" w:rsidR="0002496B" w:rsidRPr="008C6876" w:rsidRDefault="0002496B" w:rsidP="002F382E">
            <w:pPr>
              <w:jc w:val="center"/>
              <w:rPr>
                <w:rFonts w:ascii="Verdana" w:hAnsi="Verdana" w:cs="Arial"/>
                <w:b/>
                <w:bCs/>
                <w:sz w:val="21"/>
                <w:szCs w:val="21"/>
                <w:lang w:val="es-MX"/>
              </w:rPr>
            </w:pPr>
            <w:r w:rsidRPr="008C6876">
              <w:rPr>
                <w:rFonts w:ascii="Verdana" w:hAnsi="Verdana" w:cs="Arial"/>
                <w:b/>
                <w:bCs/>
                <w:sz w:val="21"/>
                <w:szCs w:val="21"/>
                <w:lang w:val="es-MX"/>
              </w:rPr>
              <w:t>No se configura un contrato realidad</w:t>
            </w:r>
          </w:p>
        </w:tc>
        <w:tc>
          <w:tcPr>
            <w:tcW w:w="3557" w:type="pct"/>
            <w:tcBorders>
              <w:left w:val="single" w:sz="4" w:space="0" w:color="auto"/>
            </w:tcBorders>
            <w:vAlign w:val="center"/>
          </w:tcPr>
          <w:p w14:paraId="26312466" w14:textId="77777777" w:rsidR="0002496B" w:rsidRPr="008C6876" w:rsidRDefault="0002496B" w:rsidP="002F382E">
            <w:pPr>
              <w:jc w:val="both"/>
              <w:rPr>
                <w:rFonts w:ascii="Verdana" w:hAnsi="Verdana" w:cs="Arial"/>
                <w:sz w:val="21"/>
                <w:szCs w:val="21"/>
                <w:lang w:val="es-MX"/>
              </w:rPr>
            </w:pPr>
            <w:r w:rsidRPr="008C6876">
              <w:rPr>
                <w:rFonts w:ascii="Verdana" w:hAnsi="Verdana" w:cs="Arial"/>
                <w:sz w:val="21"/>
                <w:szCs w:val="21"/>
                <w:lang w:val="es-MX"/>
              </w:rPr>
              <w:t>Si (i) el contratante conoce el estado de embarazo de la contratista, (</w:t>
            </w:r>
            <w:proofErr w:type="spellStart"/>
            <w:r w:rsidRPr="008C6876">
              <w:rPr>
                <w:rFonts w:ascii="Verdana" w:hAnsi="Verdana" w:cs="Arial"/>
                <w:sz w:val="21"/>
                <w:szCs w:val="21"/>
                <w:lang w:val="es-MX"/>
              </w:rPr>
              <w:t>ii</w:t>
            </w:r>
            <w:proofErr w:type="spellEnd"/>
            <w:r w:rsidRPr="008C6876">
              <w:rPr>
                <w:rFonts w:ascii="Verdana" w:hAnsi="Verdana" w:cs="Arial"/>
                <w:sz w:val="21"/>
                <w:szCs w:val="21"/>
                <w:lang w:val="es-MX"/>
              </w:rPr>
              <w:t>) subsiste la causa del contrato y (</w:t>
            </w:r>
            <w:proofErr w:type="spellStart"/>
            <w:r w:rsidRPr="008C6876">
              <w:rPr>
                <w:rFonts w:ascii="Verdana" w:hAnsi="Verdana" w:cs="Arial"/>
                <w:sz w:val="21"/>
                <w:szCs w:val="21"/>
                <w:lang w:val="es-MX"/>
              </w:rPr>
              <w:t>iii</w:t>
            </w:r>
            <w:proofErr w:type="spellEnd"/>
            <w:r w:rsidRPr="008C6876">
              <w:rPr>
                <w:rFonts w:ascii="Verdana" w:hAnsi="Verdana" w:cs="Arial"/>
                <w:sz w:val="21"/>
                <w:szCs w:val="21"/>
                <w:lang w:val="es-MX"/>
              </w:rPr>
              <w:t>) no cuenta con permiso del inspector del trabajo para terminar el contrato, el juez deberá ordenar:</w:t>
            </w:r>
          </w:p>
          <w:p w14:paraId="464E35B2" w14:textId="77777777" w:rsidR="0002496B" w:rsidRPr="008C6876" w:rsidRDefault="0002496B" w:rsidP="002F382E">
            <w:pPr>
              <w:rPr>
                <w:rFonts w:ascii="Verdana" w:hAnsi="Verdana" w:cs="Arial"/>
                <w:sz w:val="21"/>
                <w:szCs w:val="21"/>
                <w:lang w:val="es-MX"/>
              </w:rPr>
            </w:pPr>
          </w:p>
          <w:p w14:paraId="416EC2EF" w14:textId="77777777" w:rsidR="0002496B" w:rsidRPr="008C6876" w:rsidRDefault="0002496B" w:rsidP="0002496B">
            <w:pPr>
              <w:numPr>
                <w:ilvl w:val="0"/>
                <w:numId w:val="4"/>
              </w:numPr>
              <w:jc w:val="both"/>
              <w:rPr>
                <w:rFonts w:ascii="Verdana" w:hAnsi="Verdana" w:cs="Arial"/>
                <w:sz w:val="21"/>
                <w:szCs w:val="21"/>
                <w:lang w:val="es-MX"/>
              </w:rPr>
            </w:pPr>
            <w:r w:rsidRPr="008C6876">
              <w:rPr>
                <w:rFonts w:ascii="Verdana" w:hAnsi="Verdana" w:cs="Arial"/>
                <w:sz w:val="21"/>
                <w:szCs w:val="21"/>
                <w:lang w:val="es-MX"/>
              </w:rPr>
              <w:t xml:space="preserve">La renovación de la relación contractual, la cual se dará hasta por el término del periodo de lactancia. </w:t>
            </w:r>
          </w:p>
          <w:p w14:paraId="5139196C" w14:textId="77777777" w:rsidR="0002496B" w:rsidRPr="008C6876" w:rsidRDefault="0002496B" w:rsidP="0002496B">
            <w:pPr>
              <w:numPr>
                <w:ilvl w:val="0"/>
                <w:numId w:val="4"/>
              </w:numPr>
              <w:jc w:val="both"/>
              <w:rPr>
                <w:rFonts w:ascii="Verdana" w:hAnsi="Verdana" w:cs="Arial"/>
                <w:sz w:val="21"/>
                <w:szCs w:val="21"/>
                <w:lang w:val="es-MX"/>
              </w:rPr>
            </w:pPr>
            <w:r w:rsidRPr="008C6876">
              <w:rPr>
                <w:rFonts w:ascii="Verdana" w:hAnsi="Verdana" w:cs="Arial"/>
                <w:sz w:val="21"/>
                <w:szCs w:val="21"/>
                <w:lang w:val="es-MX"/>
              </w:rPr>
              <w:t xml:space="preserve">El pago de los honorarios dejados de percibir desde la fecha de no renovación del contrato, hasta la renovación </w:t>
            </w:r>
            <w:proofErr w:type="gramStart"/>
            <w:r w:rsidRPr="008C6876">
              <w:rPr>
                <w:rFonts w:ascii="Verdana" w:hAnsi="Verdana" w:cs="Arial"/>
                <w:sz w:val="21"/>
                <w:szCs w:val="21"/>
                <w:lang w:val="es-MX"/>
              </w:rPr>
              <w:t>del mismo</w:t>
            </w:r>
            <w:proofErr w:type="gramEnd"/>
            <w:r w:rsidRPr="008C6876">
              <w:rPr>
                <w:rFonts w:ascii="Verdana" w:hAnsi="Verdana" w:cs="Arial"/>
                <w:sz w:val="21"/>
                <w:szCs w:val="21"/>
                <w:lang w:val="es-MX"/>
              </w:rPr>
              <w:t>;</w:t>
            </w:r>
          </w:p>
          <w:p w14:paraId="169132D5" w14:textId="77777777" w:rsidR="0002496B" w:rsidRPr="008C6876" w:rsidRDefault="0002496B" w:rsidP="0002496B">
            <w:pPr>
              <w:numPr>
                <w:ilvl w:val="0"/>
                <w:numId w:val="4"/>
              </w:numPr>
              <w:jc w:val="both"/>
              <w:rPr>
                <w:rFonts w:ascii="Verdana" w:hAnsi="Verdana" w:cs="Arial"/>
                <w:sz w:val="21"/>
                <w:szCs w:val="21"/>
                <w:lang w:val="es-MX"/>
              </w:rPr>
            </w:pPr>
            <w:r w:rsidRPr="008C6876">
              <w:rPr>
                <w:rFonts w:ascii="Verdana" w:hAnsi="Verdana" w:cs="Arial"/>
                <w:sz w:val="21"/>
                <w:szCs w:val="21"/>
                <w:lang w:val="es-MX"/>
              </w:rPr>
              <w:t>El pago por concepto de la indemnización por despido discriminatorio</w:t>
            </w:r>
            <w:r w:rsidRPr="008C6876">
              <w:rPr>
                <w:rFonts w:ascii="Verdana" w:hAnsi="Verdana" w:cs="Arial"/>
                <w:sz w:val="21"/>
                <w:szCs w:val="21"/>
                <w:vertAlign w:val="superscript"/>
                <w:lang w:val="es-MX"/>
              </w:rPr>
              <w:footnoteReference w:id="8"/>
            </w:r>
            <w:r w:rsidRPr="008C6876">
              <w:rPr>
                <w:rFonts w:ascii="Verdana" w:hAnsi="Verdana" w:cs="Arial"/>
                <w:sz w:val="21"/>
                <w:szCs w:val="21"/>
                <w:lang w:val="es-MX"/>
              </w:rPr>
              <w:t>; y</w:t>
            </w:r>
          </w:p>
          <w:p w14:paraId="5B57CCC0" w14:textId="77777777" w:rsidR="0002496B" w:rsidRPr="008C6876" w:rsidRDefault="0002496B" w:rsidP="0002496B">
            <w:pPr>
              <w:numPr>
                <w:ilvl w:val="0"/>
                <w:numId w:val="4"/>
              </w:numPr>
              <w:jc w:val="both"/>
              <w:rPr>
                <w:rFonts w:ascii="Verdana" w:hAnsi="Verdana" w:cs="Arial"/>
                <w:sz w:val="21"/>
                <w:szCs w:val="21"/>
                <w:lang w:val="es-MX"/>
              </w:rPr>
            </w:pPr>
            <w:r w:rsidRPr="008C6876">
              <w:rPr>
                <w:rFonts w:ascii="Verdana" w:hAnsi="Verdana" w:cs="Arial"/>
                <w:sz w:val="21"/>
                <w:szCs w:val="21"/>
                <w:lang w:val="es-MX"/>
              </w:rPr>
              <w:t>El pago de la licencia de maternidad. Este pago no se realizará si en el caso se acredita que la madre disfrutó de la licencia de maternidad</w:t>
            </w:r>
            <w:r w:rsidRPr="008C6876">
              <w:rPr>
                <w:rFonts w:ascii="Verdana" w:hAnsi="Verdana" w:cs="Arial"/>
                <w:sz w:val="21"/>
                <w:szCs w:val="21"/>
                <w:vertAlign w:val="superscript"/>
                <w:lang w:val="es-MX"/>
              </w:rPr>
              <w:footnoteReference w:id="9"/>
            </w:r>
            <w:r w:rsidRPr="008C6876">
              <w:rPr>
                <w:rFonts w:ascii="Verdana" w:hAnsi="Verdana" w:cs="Arial"/>
                <w:sz w:val="21"/>
                <w:szCs w:val="21"/>
                <w:lang w:val="es-MX"/>
              </w:rPr>
              <w:t>.</w:t>
            </w:r>
          </w:p>
          <w:p w14:paraId="5256C481" w14:textId="77777777" w:rsidR="0002496B" w:rsidRPr="008C6876" w:rsidRDefault="0002496B" w:rsidP="0002496B">
            <w:pPr>
              <w:numPr>
                <w:ilvl w:val="0"/>
                <w:numId w:val="4"/>
              </w:numPr>
              <w:jc w:val="both"/>
              <w:rPr>
                <w:rFonts w:ascii="Verdana" w:hAnsi="Verdana" w:cs="Arial"/>
                <w:sz w:val="21"/>
                <w:szCs w:val="21"/>
                <w:lang w:val="es-MX"/>
              </w:rPr>
            </w:pPr>
            <w:r w:rsidRPr="008C6876">
              <w:rPr>
                <w:rFonts w:ascii="Verdana" w:hAnsi="Verdana" w:cs="Arial"/>
                <w:sz w:val="21"/>
                <w:szCs w:val="21"/>
                <w:lang w:val="es-MX"/>
              </w:rPr>
              <w:t>En el evento en el que el término del periodo de lactancia ya haya terminado, procederá el reconocimiento de los honorarios dejados de percibir hasta la terminación de periodo de lactancia</w:t>
            </w:r>
            <w:r w:rsidRPr="008C6876">
              <w:rPr>
                <w:rFonts w:ascii="Verdana" w:hAnsi="Verdana" w:cs="Arial"/>
                <w:sz w:val="21"/>
                <w:szCs w:val="21"/>
                <w:vertAlign w:val="superscript"/>
                <w:lang w:val="es-MX"/>
              </w:rPr>
              <w:footnoteReference w:id="10"/>
            </w:r>
            <w:r w:rsidRPr="008C6876">
              <w:rPr>
                <w:rFonts w:ascii="Verdana" w:hAnsi="Verdana" w:cs="Arial"/>
                <w:sz w:val="21"/>
                <w:szCs w:val="21"/>
                <w:lang w:val="es-MX"/>
              </w:rPr>
              <w:t>.</w:t>
            </w:r>
          </w:p>
          <w:p w14:paraId="65BD7223" w14:textId="77777777" w:rsidR="0002496B" w:rsidRPr="008C6876" w:rsidRDefault="0002496B" w:rsidP="002F382E">
            <w:pPr>
              <w:rPr>
                <w:rFonts w:ascii="Verdana" w:hAnsi="Verdana" w:cs="Arial"/>
                <w:sz w:val="21"/>
                <w:szCs w:val="21"/>
                <w:lang w:val="es-MX"/>
              </w:rPr>
            </w:pPr>
          </w:p>
          <w:p w14:paraId="2FD08A6C" w14:textId="77777777" w:rsidR="0002496B" w:rsidRPr="008C6876" w:rsidRDefault="0002496B" w:rsidP="002F382E">
            <w:pPr>
              <w:keepNext/>
              <w:jc w:val="both"/>
              <w:rPr>
                <w:rFonts w:ascii="Verdana" w:hAnsi="Verdana" w:cs="Arial"/>
                <w:sz w:val="21"/>
                <w:szCs w:val="21"/>
                <w:lang w:val="es-MX"/>
              </w:rPr>
            </w:pPr>
            <w:r w:rsidRPr="008C6876">
              <w:rPr>
                <w:rFonts w:ascii="Verdana" w:hAnsi="Verdana" w:cs="Arial"/>
                <w:sz w:val="21"/>
                <w:szCs w:val="21"/>
                <w:lang w:val="es-MX"/>
              </w:rPr>
              <w:t>En todo caso, el juez deberá estudiar la procedencia de cada una de estas medidas de protección para lo cual tendrá en cuenta las particularidades del caso</w:t>
            </w:r>
            <w:r w:rsidRPr="008C6876">
              <w:rPr>
                <w:rFonts w:ascii="Verdana" w:hAnsi="Verdana" w:cs="Arial"/>
                <w:sz w:val="21"/>
                <w:szCs w:val="21"/>
                <w:vertAlign w:val="superscript"/>
                <w:lang w:val="es-MX"/>
              </w:rPr>
              <w:footnoteReference w:id="11"/>
            </w:r>
            <w:r w:rsidRPr="008C6876">
              <w:rPr>
                <w:rFonts w:ascii="Verdana" w:hAnsi="Verdana" w:cs="Arial"/>
                <w:sz w:val="21"/>
                <w:szCs w:val="21"/>
                <w:lang w:val="es-MX"/>
              </w:rPr>
              <w:t>.</w:t>
            </w:r>
          </w:p>
        </w:tc>
      </w:tr>
    </w:tbl>
    <w:p w14:paraId="39C152E3" w14:textId="77777777" w:rsidR="0002496B" w:rsidRPr="007303B7" w:rsidRDefault="0002496B" w:rsidP="0002496B">
      <w:pPr>
        <w:spacing w:after="0" w:line="240" w:lineRule="auto"/>
        <w:jc w:val="center"/>
        <w:rPr>
          <w:rFonts w:ascii="Verdana" w:eastAsia="Times New Roman" w:hAnsi="Verdana" w:cs="Arial"/>
          <w:iCs/>
          <w:sz w:val="16"/>
          <w:szCs w:val="16"/>
        </w:rPr>
      </w:pPr>
      <w:r w:rsidRPr="007303B7">
        <w:rPr>
          <w:rFonts w:ascii="Verdana" w:eastAsia="Times New Roman" w:hAnsi="Verdana" w:cs="Arial"/>
          <w:iCs/>
          <w:sz w:val="16"/>
          <w:szCs w:val="16"/>
        </w:rPr>
        <w:lastRenderedPageBreak/>
        <w:t xml:space="preserve">Tabla: Reglas para la protección de la mujer embarazada en contratos de prestación de servicios. – Tomada de la Sentencia T-329 de 2022. </w:t>
      </w:r>
    </w:p>
    <w:p w14:paraId="48959DD0" w14:textId="77777777" w:rsidR="0002496B" w:rsidRPr="008C6876" w:rsidRDefault="0002496B" w:rsidP="0002496B">
      <w:pPr>
        <w:tabs>
          <w:tab w:val="left" w:pos="0"/>
        </w:tabs>
        <w:spacing w:after="0" w:line="276" w:lineRule="auto"/>
        <w:jc w:val="both"/>
        <w:rPr>
          <w:rFonts w:ascii="Verdana" w:hAnsi="Verdana" w:cs="Arial"/>
          <w:highlight w:val="yellow"/>
          <w:shd w:val="clear" w:color="auto" w:fill="FFFFFF"/>
        </w:rPr>
      </w:pPr>
    </w:p>
    <w:p w14:paraId="2ED41C1D" w14:textId="77777777" w:rsidR="0002496B" w:rsidRDefault="0002496B" w:rsidP="0002496B">
      <w:pPr>
        <w:widowControl w:val="0"/>
        <w:autoSpaceDE w:val="0"/>
        <w:autoSpaceDN w:val="0"/>
        <w:spacing w:after="120" w:line="276" w:lineRule="auto"/>
        <w:ind w:firstLine="709"/>
        <w:jc w:val="both"/>
        <w:rPr>
          <w:rFonts w:ascii="Verdana" w:hAnsi="Verdana" w:cs="Arial"/>
          <w:shd w:val="clear" w:color="auto" w:fill="FFFFFF"/>
        </w:rPr>
      </w:pPr>
      <w:r w:rsidRPr="008C6876">
        <w:rPr>
          <w:rFonts w:ascii="Verdana" w:hAnsi="Verdana" w:cs="Arial"/>
          <w:shd w:val="clear" w:color="auto" w:fill="FFFFFF"/>
        </w:rPr>
        <w:t xml:space="preserve">En este sentido, </w:t>
      </w:r>
      <w:r>
        <w:rPr>
          <w:rFonts w:ascii="Verdana" w:hAnsi="Verdana" w:cs="Arial"/>
          <w:shd w:val="clear" w:color="auto" w:fill="FFFFFF"/>
        </w:rPr>
        <w:t>d</w:t>
      </w:r>
      <w:r w:rsidRPr="00815BAD">
        <w:rPr>
          <w:rFonts w:ascii="Verdana" w:hAnsi="Verdana" w:cs="Arial"/>
          <w:shd w:val="clear" w:color="auto" w:fill="FFFFFF"/>
        </w:rPr>
        <w:t>e conformidad con lo expuesto</w:t>
      </w:r>
      <w:r>
        <w:rPr>
          <w:rFonts w:ascii="Verdana" w:hAnsi="Verdana" w:cs="Arial"/>
          <w:shd w:val="clear" w:color="auto" w:fill="FFFFFF"/>
        </w:rPr>
        <w:t>,</w:t>
      </w:r>
      <w:r w:rsidRPr="008C6876">
        <w:rPr>
          <w:rFonts w:ascii="Verdana" w:hAnsi="Verdana" w:cs="Arial"/>
          <w:shd w:val="clear" w:color="auto" w:fill="FFFFFF"/>
        </w:rPr>
        <w:t xml:space="preserve"> les corresponde a las Entidades Estatales, en virtud de su autonomía, y de acuerdo con los lineamientos de la Corte Constitucional, determinar la mejor forma para garantizar la estabilidad ocupacional reforzada </w:t>
      </w:r>
      <w:r w:rsidRPr="00815BAD">
        <w:rPr>
          <w:rFonts w:ascii="Verdana" w:hAnsi="Verdana" w:cs="Arial"/>
          <w:shd w:val="clear" w:color="auto" w:fill="FFFFFF"/>
        </w:rPr>
        <w:t xml:space="preserve">a favor de las mujeres en estado de embarazo o en período de lactancia, incluso cuando se encuentran vinculadas mediante contratos de prestación de servicios, orientado a impedir prácticas discriminatorias derivadas de la terminación o no renovación del vínculo contractual por causa o con ocasión de la maternidad. No obstante, el alcance y la forma de materialización de dicha protección deben analizarse a la luz del marco normativo aplicable a la actuación de las </w:t>
      </w:r>
      <w:r>
        <w:rPr>
          <w:rFonts w:ascii="Verdana" w:hAnsi="Verdana" w:cs="Arial"/>
          <w:shd w:val="clear" w:color="auto" w:fill="FFFFFF"/>
        </w:rPr>
        <w:t>E</w:t>
      </w:r>
      <w:r w:rsidRPr="00815BAD">
        <w:rPr>
          <w:rFonts w:ascii="Verdana" w:hAnsi="Verdana" w:cs="Arial"/>
          <w:shd w:val="clear" w:color="auto" w:fill="FFFFFF"/>
        </w:rPr>
        <w:t xml:space="preserve">ntidades </w:t>
      </w:r>
      <w:r>
        <w:rPr>
          <w:rFonts w:ascii="Verdana" w:hAnsi="Verdana" w:cs="Arial"/>
          <w:shd w:val="clear" w:color="auto" w:fill="FFFFFF"/>
        </w:rPr>
        <w:t>E</w:t>
      </w:r>
      <w:r w:rsidRPr="00815BAD">
        <w:rPr>
          <w:rFonts w:ascii="Verdana" w:hAnsi="Verdana" w:cs="Arial"/>
          <w:shd w:val="clear" w:color="auto" w:fill="FFFFFF"/>
        </w:rPr>
        <w:t>statales, en particular, cuando concurren restricciones legales que inciden en la gestión contractual.</w:t>
      </w:r>
    </w:p>
    <w:p w14:paraId="1A475F6D" w14:textId="77777777" w:rsidR="0002496B" w:rsidRPr="008C6876" w:rsidRDefault="0002496B" w:rsidP="0002496B">
      <w:pPr>
        <w:widowControl w:val="0"/>
        <w:autoSpaceDE w:val="0"/>
        <w:autoSpaceDN w:val="0"/>
        <w:spacing w:after="0" w:line="276" w:lineRule="auto"/>
        <w:ind w:firstLine="708"/>
        <w:jc w:val="both"/>
        <w:rPr>
          <w:rFonts w:ascii="Verdana" w:hAnsi="Verdana" w:cs="Arial"/>
        </w:rPr>
      </w:pPr>
      <w:r>
        <w:rPr>
          <w:rFonts w:ascii="Verdana" w:hAnsi="Verdana" w:cs="Arial"/>
          <w:shd w:val="clear" w:color="auto" w:fill="FFFFFF"/>
        </w:rPr>
        <w:t>Ahora bien, para resolver el problema jurídico propuesto</w:t>
      </w:r>
      <w:r w:rsidRPr="009D4DBC">
        <w:rPr>
          <w:rFonts w:ascii="Verdana" w:hAnsi="Verdana" w:cs="Arial"/>
          <w:shd w:val="clear" w:color="auto" w:fill="FFFFFF"/>
        </w:rPr>
        <w:t>, resulta necesario examinar las restricciones que el ordenamiento jurídico impone a la actividad contractual de las entidades estatales durante los períodos preelectorales, específicamente aquellas previstas en la Ley 996 de 2005 —Ley de Garantías Electorales—, con el fin de determinar en qué medida tales limitaciones condicionan o delimitan las alternativas jurídicas disponibles para garantizar la estabilidad ocupacional reforzada de las mujeres embarazadas vinculadas mediante contratos de prestación de servicios.</w:t>
      </w:r>
      <w:r>
        <w:rPr>
          <w:rFonts w:ascii="Verdana" w:hAnsi="Verdana" w:cs="Arial"/>
          <w:shd w:val="clear" w:color="auto" w:fill="FFFFFF"/>
        </w:rPr>
        <w:tab/>
      </w:r>
    </w:p>
    <w:p w14:paraId="3F2498BD" w14:textId="77777777" w:rsidR="0002496B" w:rsidRPr="00BC3A80" w:rsidRDefault="0002496B" w:rsidP="0002496B">
      <w:pPr>
        <w:spacing w:after="0" w:line="276" w:lineRule="auto"/>
        <w:ind w:firstLine="709"/>
        <w:jc w:val="both"/>
        <w:rPr>
          <w:rFonts w:ascii="Verdana" w:hAnsi="Verdana" w:cs="Arial"/>
          <w:color w:val="000000" w:themeColor="text1"/>
        </w:rPr>
      </w:pPr>
    </w:p>
    <w:p w14:paraId="7A0450B7" w14:textId="77777777" w:rsidR="0002496B" w:rsidRPr="00BC3A80" w:rsidRDefault="0002496B" w:rsidP="0002496B">
      <w:pPr>
        <w:tabs>
          <w:tab w:val="left" w:pos="426"/>
        </w:tabs>
        <w:spacing w:after="120" w:line="276" w:lineRule="auto"/>
        <w:jc w:val="both"/>
        <w:rPr>
          <w:rFonts w:ascii="Verdana" w:eastAsia="Times New Roman" w:hAnsi="Verdana" w:cs="Arial"/>
          <w:lang w:val="es-ES" w:eastAsia="es-CO"/>
        </w:rPr>
      </w:pPr>
      <w:proofErr w:type="spellStart"/>
      <w:r>
        <w:rPr>
          <w:rFonts w:ascii="Verdana" w:hAnsi="Verdana" w:cs="Arial"/>
          <w:color w:val="000000" w:themeColor="text1"/>
          <w:lang w:val="es-ES"/>
        </w:rPr>
        <w:t>ii</w:t>
      </w:r>
      <w:proofErr w:type="spellEnd"/>
      <w:r w:rsidRPr="00BC3A80">
        <w:rPr>
          <w:rFonts w:ascii="Verdana" w:hAnsi="Verdana" w:cs="Arial"/>
          <w:color w:val="000000" w:themeColor="text1"/>
          <w:lang w:val="es-ES"/>
        </w:rPr>
        <w:t>.</w:t>
      </w:r>
      <w:r w:rsidRPr="00BC3A80">
        <w:rPr>
          <w:rFonts w:ascii="Verdana" w:eastAsia="Verdana" w:hAnsi="Verdana" w:cs="Verdana"/>
          <w:lang w:val="es-ES"/>
        </w:rPr>
        <w:t xml:space="preserve"> </w:t>
      </w:r>
      <w:r w:rsidRPr="00BC3A80">
        <w:rPr>
          <w:rFonts w:ascii="Verdana" w:hAnsi="Verdana" w:cs="Arial"/>
          <w:lang w:val="es-ES"/>
        </w:rPr>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2"/>
      </w:r>
      <w:r w:rsidRPr="00BC3A80">
        <w:rPr>
          <w:rFonts w:ascii="Verdana" w:hAnsi="Verdana" w:cs="Arial"/>
          <w:lang w:val="es-ES"/>
        </w:rPr>
        <w:t xml:space="preserve">. </w:t>
      </w:r>
    </w:p>
    <w:p w14:paraId="12997651" w14:textId="77777777" w:rsidR="0002496B" w:rsidRPr="00BC3A80" w:rsidRDefault="0002496B" w:rsidP="0002496B">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 xml:space="preserve">En el mismo sentido, la Ley 996 de 2005, conocida como “Ley de Garantías Electorales”, se suma al andamiaje constitucional y legal que busca evitar la </w:t>
      </w:r>
      <w:r w:rsidRPr="00BC3A80">
        <w:rPr>
          <w:rFonts w:ascii="Verdana" w:eastAsia="Times New Roman" w:hAnsi="Verdana" w:cs="Arial"/>
          <w:lang w:val="es-ES" w:eastAsia="es-CO"/>
        </w:rPr>
        <w:lastRenderedPageBreak/>
        <w:t>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13"/>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245CC264" w14:textId="77777777" w:rsidR="0002496B" w:rsidRPr="00BC3A80" w:rsidRDefault="0002496B" w:rsidP="0002496B">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159A3C50" w14:textId="77777777" w:rsidR="0002496B" w:rsidRPr="00BC3A80" w:rsidRDefault="0002496B" w:rsidP="0002496B">
      <w:pPr>
        <w:spacing w:after="0" w:line="276" w:lineRule="auto"/>
        <w:ind w:right="709"/>
        <w:jc w:val="both"/>
        <w:rPr>
          <w:rFonts w:ascii="Verdana" w:eastAsia="Times New Roman" w:hAnsi="Verdana" w:cs="Arial"/>
          <w:lang w:val="es-ES" w:eastAsia="es-CO"/>
        </w:rPr>
      </w:pPr>
    </w:p>
    <w:p w14:paraId="59089590" w14:textId="77777777" w:rsidR="0002496B" w:rsidRPr="00BC3A80" w:rsidRDefault="0002496B" w:rsidP="0002496B">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395EA09C" w14:textId="77777777" w:rsidR="0002496B" w:rsidRDefault="0002496B" w:rsidP="0002496B">
      <w:pPr>
        <w:spacing w:after="0" w:line="240" w:lineRule="auto"/>
        <w:ind w:left="709" w:right="709"/>
        <w:contextualSpacing/>
        <w:jc w:val="both"/>
        <w:rPr>
          <w:rFonts w:ascii="Verdana" w:eastAsia="Times New Roman" w:hAnsi="Verdana" w:cs="Arial"/>
          <w:sz w:val="20"/>
          <w:szCs w:val="20"/>
          <w:lang w:val="es-ES" w:eastAsia="es-CO"/>
        </w:rPr>
      </w:pPr>
    </w:p>
    <w:p w14:paraId="7E445EB4" w14:textId="77777777" w:rsidR="0002496B" w:rsidRPr="00BC3A80" w:rsidRDefault="0002496B" w:rsidP="0002496B">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1FF21E06" w14:textId="77777777" w:rsidR="0002496B" w:rsidRDefault="0002496B" w:rsidP="0002496B">
      <w:pPr>
        <w:spacing w:after="0" w:line="240" w:lineRule="auto"/>
        <w:ind w:left="709" w:right="709"/>
        <w:contextualSpacing/>
        <w:jc w:val="both"/>
        <w:rPr>
          <w:rFonts w:ascii="Verdana" w:eastAsia="Times New Roman" w:hAnsi="Verdana" w:cs="Arial"/>
          <w:sz w:val="20"/>
          <w:szCs w:val="20"/>
          <w:lang w:val="es-ES" w:eastAsia="es-CO"/>
        </w:rPr>
      </w:pPr>
    </w:p>
    <w:p w14:paraId="26767EC2" w14:textId="77777777" w:rsidR="0002496B" w:rsidRPr="00BC3A80" w:rsidRDefault="0002496B" w:rsidP="0002496B">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14"/>
      </w:r>
    </w:p>
    <w:p w14:paraId="2AE9A342" w14:textId="77777777" w:rsidR="0002496B" w:rsidRPr="00BC3A80" w:rsidRDefault="0002496B" w:rsidP="0002496B">
      <w:pPr>
        <w:spacing w:after="0" w:line="276" w:lineRule="auto"/>
        <w:ind w:firstLine="709"/>
        <w:jc w:val="both"/>
        <w:rPr>
          <w:rFonts w:ascii="Verdana" w:eastAsia="Times New Roman" w:hAnsi="Verdana" w:cs="Arial"/>
          <w:lang w:val="es-ES" w:eastAsia="es-CO"/>
        </w:rPr>
      </w:pPr>
    </w:p>
    <w:p w14:paraId="6028D917" w14:textId="77777777" w:rsidR="0002496B" w:rsidRPr="00BC3A80" w:rsidRDefault="0002496B" w:rsidP="0002496B">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A1D3773" w14:textId="77777777" w:rsidR="0002496B" w:rsidRPr="00BC3A80" w:rsidRDefault="0002496B" w:rsidP="0002496B">
      <w:pPr>
        <w:spacing w:after="0" w:line="276" w:lineRule="auto"/>
        <w:ind w:firstLine="709"/>
        <w:jc w:val="both"/>
        <w:rPr>
          <w:rFonts w:ascii="Verdana" w:eastAsia="Times New Roman" w:hAnsi="Verdana" w:cs="Arial"/>
          <w:lang w:val="es-ES" w:eastAsia="es-CO"/>
        </w:rPr>
      </w:pPr>
    </w:p>
    <w:p w14:paraId="6DE5066C" w14:textId="77777777" w:rsidR="0002496B" w:rsidRPr="00BC3A80" w:rsidRDefault="0002496B" w:rsidP="0002496B">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lastRenderedPageBreak/>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C3A80">
        <w:rPr>
          <w:rFonts w:ascii="Verdana" w:eastAsia="Times New Roman" w:hAnsi="Verdana" w:cs="Arial"/>
          <w:sz w:val="20"/>
          <w:szCs w:val="20"/>
          <w:lang w:val="es-ES" w:eastAsia="es-CO"/>
        </w:rPr>
        <w:t>legis</w:t>
      </w:r>
      <w:proofErr w:type="spellEnd"/>
      <w:r w:rsidRPr="00BC3A8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63460AA" w14:textId="77777777" w:rsidR="0002496B" w:rsidRPr="00BC3A80" w:rsidRDefault="0002496B" w:rsidP="0002496B">
      <w:pPr>
        <w:spacing w:after="0" w:line="240" w:lineRule="auto"/>
        <w:ind w:right="709"/>
        <w:jc w:val="both"/>
        <w:rPr>
          <w:rFonts w:ascii="Verdana" w:eastAsia="Times New Roman" w:hAnsi="Verdana" w:cs="Arial"/>
          <w:lang w:val="es-ES" w:eastAsia="es-CO"/>
        </w:rPr>
      </w:pPr>
    </w:p>
    <w:p w14:paraId="226CFDF3" w14:textId="77777777" w:rsidR="0002496B" w:rsidRPr="00BC3A80" w:rsidRDefault="0002496B" w:rsidP="0002496B">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15"/>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16"/>
      </w:r>
      <w:r w:rsidRPr="00BC3A80">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17"/>
      </w:r>
      <w:r w:rsidRPr="00BC3A80">
        <w:rPr>
          <w:rFonts w:ascii="Verdana" w:eastAsia="Times New Roman" w:hAnsi="Verdana" w:cs="Arial"/>
          <w:sz w:val="20"/>
          <w:szCs w:val="20"/>
          <w:lang w:val="es-ES" w:eastAsia="es-CO"/>
        </w:rPr>
        <w:t>.</w:t>
      </w:r>
    </w:p>
    <w:p w14:paraId="4A5722DA" w14:textId="77777777" w:rsidR="0002496B" w:rsidRPr="00BC3A80" w:rsidRDefault="0002496B" w:rsidP="0002496B">
      <w:pPr>
        <w:spacing w:after="0" w:line="276" w:lineRule="auto"/>
        <w:jc w:val="both"/>
        <w:rPr>
          <w:rFonts w:ascii="Verdana" w:hAnsi="Verdana" w:cs="Arial"/>
          <w:bCs/>
          <w:lang w:val="es-ES"/>
        </w:rPr>
      </w:pPr>
    </w:p>
    <w:p w14:paraId="0BE0DB4B" w14:textId="77777777" w:rsidR="0002496B" w:rsidRPr="00BC3A80" w:rsidRDefault="0002496B" w:rsidP="0002496B">
      <w:pPr>
        <w:spacing w:after="120" w:line="276" w:lineRule="auto"/>
        <w:ind w:firstLine="708"/>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C497468" w14:textId="77777777" w:rsidR="0002496B" w:rsidRPr="00BC3A80" w:rsidRDefault="0002496B" w:rsidP="0002496B">
      <w:pPr>
        <w:spacing w:after="120" w:line="276" w:lineRule="auto"/>
        <w:ind w:firstLine="708"/>
        <w:jc w:val="both"/>
        <w:rPr>
          <w:rFonts w:ascii="Verdana" w:eastAsia="Arial" w:hAnsi="Verdana" w:cs="Arial"/>
          <w:lang w:val="es-ES" w:eastAsia="es-ES" w:bidi="es-ES"/>
        </w:rPr>
      </w:pPr>
      <w:r w:rsidRPr="00BC3A80">
        <w:rPr>
          <w:rFonts w:ascii="Verdana" w:eastAsia="Arial" w:hAnsi="Verdana" w:cs="Arial"/>
          <w:lang w:val="es-ES" w:eastAsia="es-ES" w:bidi="es-ES"/>
        </w:rPr>
        <w:t xml:space="preserve">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3903A168" w14:textId="77777777" w:rsidR="0002496B" w:rsidRPr="00BC3A80" w:rsidRDefault="0002496B" w:rsidP="0002496B">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w:t>
      </w:r>
      <w:r w:rsidRPr="00BC3A80">
        <w:rPr>
          <w:rFonts w:ascii="Verdana" w:hAnsi="Verdana" w:cs="Arial"/>
          <w:lang w:val="es-ES"/>
        </w:rPr>
        <w:lastRenderedPageBreak/>
        <w:t xml:space="preserve">(4)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18"/>
      </w:r>
      <w:r w:rsidRPr="00BC3A80">
        <w:rPr>
          <w:rFonts w:ascii="Verdana" w:hAnsi="Verdana" w:cs="Arial"/>
          <w:lang w:val="es-ES"/>
        </w:rPr>
        <w:t>.</w:t>
      </w:r>
    </w:p>
    <w:p w14:paraId="5B53F4A3" w14:textId="77777777" w:rsidR="0002496B" w:rsidRPr="00BC3A80" w:rsidRDefault="0002496B" w:rsidP="0002496B">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C3A80">
        <w:rPr>
          <w:rFonts w:ascii="Verdana" w:hAnsi="Verdana" w:cs="Arial"/>
          <w:vertAlign w:val="superscript"/>
          <w:lang w:val="es-ES"/>
        </w:rPr>
        <w:footnoteReference w:id="19"/>
      </w:r>
      <w:r w:rsidRPr="00BC3A80">
        <w:rPr>
          <w:rFonts w:ascii="Verdana" w:hAnsi="Verdana" w:cs="Arial"/>
          <w:lang w:val="es-ES"/>
        </w:rPr>
        <w:t>.</w:t>
      </w:r>
      <w:r w:rsidRPr="00BC3A80">
        <w:rPr>
          <w:rFonts w:ascii="Verdana" w:eastAsia="Arial" w:hAnsi="Verdana" w:cs="Arial"/>
          <w:lang w:val="es-ES" w:eastAsia="es-ES" w:bidi="es-ES"/>
        </w:rPr>
        <w:t xml:space="preserve"> </w:t>
      </w:r>
    </w:p>
    <w:p w14:paraId="3EDCF399" w14:textId="77777777" w:rsidR="0002496B" w:rsidRPr="00BC3A80" w:rsidRDefault="0002496B" w:rsidP="0002496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3D79FB04" w14:textId="77777777" w:rsidR="0002496B" w:rsidRPr="00BC3A80" w:rsidRDefault="0002496B" w:rsidP="0002496B">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0B9F9868" w14:textId="77777777" w:rsidR="0002496B" w:rsidRPr="00BC3A80" w:rsidRDefault="0002496B" w:rsidP="0002496B">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w:t>
      </w:r>
      <w:r w:rsidRPr="00BC3A80">
        <w:rPr>
          <w:rFonts w:ascii="Verdana" w:eastAsia="Arial" w:hAnsi="Verdana" w:cs="Arial"/>
          <w:sz w:val="20"/>
          <w:szCs w:val="20"/>
          <w:lang w:val="es-ES" w:eastAsia="es-ES" w:bidi="es-ES"/>
        </w:rPr>
        <w:lastRenderedPageBreak/>
        <w:t xml:space="preserve">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BC3A80">
        <w:rPr>
          <w:rFonts w:ascii="Verdana" w:eastAsia="Arial" w:hAnsi="Verdana" w:cs="Arial"/>
          <w:sz w:val="20"/>
          <w:szCs w:val="20"/>
          <w:lang w:val="es-ES" w:eastAsia="es-ES" w:bidi="es-ES"/>
        </w:rPr>
        <w:t>Presidente</w:t>
      </w:r>
      <w:proofErr w:type="gramEnd"/>
      <w:r w:rsidRPr="00BC3A80">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20"/>
      </w:r>
      <w:r w:rsidRPr="00BC3A80">
        <w:rPr>
          <w:rFonts w:ascii="Verdana" w:eastAsia="Arial" w:hAnsi="Verdana" w:cs="Arial"/>
          <w:sz w:val="20"/>
          <w:szCs w:val="20"/>
          <w:lang w:val="es-ES" w:eastAsia="es-ES" w:bidi="es-ES"/>
        </w:rPr>
        <w:t>”.</w:t>
      </w:r>
    </w:p>
    <w:p w14:paraId="04A679FE" w14:textId="77777777" w:rsidR="0002496B" w:rsidRPr="00BC3A80" w:rsidRDefault="0002496B" w:rsidP="0002496B">
      <w:pPr>
        <w:widowControl w:val="0"/>
        <w:autoSpaceDE w:val="0"/>
        <w:autoSpaceDN w:val="0"/>
        <w:spacing w:after="0" w:line="276" w:lineRule="auto"/>
        <w:contextualSpacing/>
        <w:rPr>
          <w:rFonts w:ascii="Verdana" w:eastAsia="Arial" w:hAnsi="Verdana" w:cs="Arial"/>
          <w:lang w:val="es-ES" w:eastAsia="es-ES" w:bidi="es-ES"/>
        </w:rPr>
      </w:pPr>
    </w:p>
    <w:p w14:paraId="01A2BF32" w14:textId="77777777" w:rsidR="0002496B" w:rsidRPr="00BC3A80" w:rsidRDefault="0002496B" w:rsidP="0002496B">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5B8DA44C" w14:textId="77777777" w:rsidR="0002496B" w:rsidRPr="00BC3A80" w:rsidRDefault="0002496B" w:rsidP="0002496B">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63E4EE38" w14:textId="77777777" w:rsidR="0002496B" w:rsidRPr="00BC3A80" w:rsidRDefault="0002496B" w:rsidP="0002496B">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o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desde que éstos –estando en ejercicio de su cargo– manifiesten el interés de ser candidato </w:t>
      </w:r>
      <w:r w:rsidRPr="00BC3A80">
        <w:rPr>
          <w:rFonts w:ascii="Verdana" w:eastAsia="Arial" w:hAnsi="Verdana" w:cs="Arial"/>
          <w:lang w:val="es-ES" w:eastAsia="es-ES" w:bidi="es-ES"/>
        </w:rPr>
        <w:lastRenderedPageBreak/>
        <w:t xml:space="preserve">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y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6093D440" w14:textId="77777777" w:rsidR="0002496B" w:rsidRPr="00BC3A80" w:rsidRDefault="0002496B" w:rsidP="0002496B">
      <w:pPr>
        <w:spacing w:after="0" w:line="276" w:lineRule="auto"/>
        <w:ind w:firstLine="708"/>
        <w:jc w:val="both"/>
        <w:rPr>
          <w:rFonts w:ascii="Verdana" w:eastAsia="Times New Roman" w:hAnsi="Verdana" w:cs="Arial"/>
          <w:lang w:val="es-ES" w:eastAsia="es-CO"/>
        </w:rPr>
      </w:pPr>
      <w:r>
        <w:rPr>
          <w:rFonts w:ascii="Verdana" w:hAnsi="Verdana" w:cs="Arial"/>
          <w:lang w:val="es-ES"/>
        </w:rPr>
        <w:t>Frente al</w:t>
      </w:r>
      <w:r w:rsidRPr="00BC3A80">
        <w:rPr>
          <w:rFonts w:ascii="Verdana" w:hAnsi="Verdana" w:cs="Arial"/>
          <w:lang w:val="es-ES" w:eastAsia="es-ES" w:bidi="es-ES"/>
        </w:rPr>
        <w:t xml:space="preserve">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artículo 33 de la Ley 996 de 2005 y sus excepciones</w:t>
      </w:r>
      <w:r>
        <w:rPr>
          <w:rFonts w:ascii="Verdana" w:eastAsia="Times New Roman" w:hAnsi="Verdana" w:cs="Arial"/>
          <w:lang w:val="es-ES"/>
        </w:rPr>
        <w:t>, se precisa que e</w:t>
      </w:r>
      <w:r w:rsidRPr="00BC3A80">
        <w:rPr>
          <w:rFonts w:ascii="Verdana" w:eastAsia="Times New Roman" w:hAnsi="Verdana" w:cs="Arial"/>
          <w:lang w:val="es-ES"/>
        </w:rPr>
        <w:t xml:space="preserv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queda prohibida la contratación 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A propósito de esta restricción de la Ley de Garantías Electorales, la Sala de Consulta y Servicio Civil del Consejo de Estado ha considerado que:</w:t>
      </w:r>
    </w:p>
    <w:p w14:paraId="22428966" w14:textId="77777777" w:rsidR="0002496B" w:rsidRPr="00BC3A80" w:rsidRDefault="0002496B" w:rsidP="0002496B">
      <w:pPr>
        <w:spacing w:after="0" w:line="276" w:lineRule="auto"/>
        <w:jc w:val="both"/>
        <w:rPr>
          <w:rFonts w:ascii="Verdana" w:eastAsia="Arial" w:hAnsi="Verdana" w:cs="Arial"/>
          <w:lang w:val="es-ES" w:eastAsia="es-ES" w:bidi="es-ES"/>
        </w:rPr>
      </w:pPr>
    </w:p>
    <w:p w14:paraId="6D9DC1FA" w14:textId="77777777" w:rsidR="0002496B" w:rsidRPr="00BC3A80" w:rsidRDefault="0002496B" w:rsidP="0002496B">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21"/>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22"/>
      </w:r>
      <w:r w:rsidRPr="00BC3A80">
        <w:rPr>
          <w:rFonts w:ascii="Verdana" w:hAnsi="Verdana" w:cs="Arial"/>
          <w:sz w:val="20"/>
          <w:szCs w:val="20"/>
          <w:lang w:val="es-ES"/>
        </w:rPr>
        <w:t xml:space="preserve"> .</w:t>
      </w:r>
    </w:p>
    <w:p w14:paraId="58278F4D" w14:textId="77777777" w:rsidR="0002496B" w:rsidRPr="00BC3A80" w:rsidRDefault="0002496B" w:rsidP="0002496B">
      <w:pPr>
        <w:shd w:val="clear" w:color="auto" w:fill="FFFFFF" w:themeFill="background1"/>
        <w:spacing w:after="0" w:line="276" w:lineRule="auto"/>
        <w:ind w:firstLine="709"/>
        <w:jc w:val="both"/>
        <w:rPr>
          <w:rFonts w:ascii="Verdana" w:eastAsia="Times New Roman" w:hAnsi="Verdana" w:cs="Arial"/>
          <w:lang w:val="es-ES" w:eastAsia="x-none"/>
        </w:rPr>
      </w:pPr>
    </w:p>
    <w:p w14:paraId="00B16401" w14:textId="77777777" w:rsidR="0002496B" w:rsidRPr="00BC3A80" w:rsidRDefault="0002496B" w:rsidP="0002496B">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 xml:space="preserve">Esta posición es congruente con la expedición de la Ley 1150 de 2007 que, entre otras reformas, </w:t>
      </w:r>
      <w:r w:rsidRPr="00BC3A80">
        <w:rPr>
          <w:rFonts w:ascii="Verdana" w:eastAsia="Times New Roman" w:hAnsi="Verdana" w:cs="Arial"/>
          <w:lang w:val="es-ES" w:eastAsia="x-none"/>
        </w:rPr>
        <w:lastRenderedPageBreak/>
        <w:t>introdujo la selección abreviada, rediseñó el concurso de méritos</w:t>
      </w:r>
      <w:r w:rsidRPr="00BC3A80">
        <w:rPr>
          <w:rFonts w:ascii="Verdana" w:eastAsia="Times New Roman" w:hAnsi="Verdana" w:cs="Arial"/>
          <w:vertAlign w:val="superscript"/>
          <w:lang w:val="es-ES" w:eastAsia="x-none"/>
        </w:rPr>
        <w:footnoteReference w:id="23"/>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24"/>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30562479" w14:textId="77777777" w:rsidR="0002496B" w:rsidRPr="00BC3A80" w:rsidRDefault="0002496B" w:rsidP="0002496B">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sino también frente a las entidades que tengan un régimen especial de contratación</w:t>
      </w:r>
      <w:r w:rsidRPr="00BC3A8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25"/>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73C212F1" w14:textId="77777777" w:rsidR="0002496B" w:rsidRPr="00BC3A80" w:rsidRDefault="0002496B" w:rsidP="0002496B">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775D9CD9" w14:textId="77777777" w:rsidR="0002496B" w:rsidRDefault="0002496B" w:rsidP="0002496B">
      <w:pPr>
        <w:spacing w:after="0" w:line="276" w:lineRule="auto"/>
        <w:ind w:firstLine="708"/>
        <w:jc w:val="both"/>
        <w:rPr>
          <w:rFonts w:ascii="Verdana" w:eastAsia="Times New Roman" w:hAnsi="Verdana" w:cs="Arial"/>
          <w:lang w:val="es-ES"/>
        </w:rPr>
      </w:pPr>
      <w:r w:rsidRPr="00BC3A80">
        <w:rPr>
          <w:rFonts w:ascii="Verdana" w:eastAsia="Times New Roman" w:hAnsi="Verdana" w:cs="Arial"/>
          <w:bCs/>
          <w:lang w:val="es-ES" w:eastAsia="es-CO"/>
        </w:rPr>
        <w:t xml:space="preserve">Con respecto a los </w:t>
      </w:r>
      <w:r w:rsidRPr="00BC3A80">
        <w:rPr>
          <w:rFonts w:ascii="Verdana" w:eastAsia="Times New Roman" w:hAnsi="Verdana" w:cs="Arial"/>
          <w:bCs/>
          <w:i/>
          <w:iCs/>
          <w:lang w:val="es-ES" w:eastAsia="es-CO"/>
        </w:rPr>
        <w:t>sujetos</w:t>
      </w:r>
      <w:r w:rsidRPr="00BC3A80">
        <w:rPr>
          <w:rFonts w:ascii="Verdana" w:eastAsia="Times New Roman" w:hAnsi="Verdana" w:cs="Arial"/>
          <w:bCs/>
          <w:lang w:val="es-ES" w:eastAsia="es-CO"/>
        </w:rPr>
        <w:t xml:space="preserve"> que se encuentran enmarcados en la prohibición del artículo 33, </w:t>
      </w:r>
      <w:r w:rsidRPr="00BC3A80">
        <w:rPr>
          <w:rFonts w:ascii="Verdana" w:eastAsia="Times New Roman" w:hAnsi="Verdana" w:cs="Arial"/>
          <w:lang w:val="es-ES"/>
        </w:rPr>
        <w:t>la Ley 996 de 2005 señala expresamente que son “</w:t>
      </w:r>
      <w:r w:rsidRPr="00BC3A80">
        <w:rPr>
          <w:rFonts w:ascii="Verdana" w:eastAsia="Times New Roman" w:hAnsi="Verdana" w:cs="Arial"/>
          <w:i/>
          <w:iCs/>
          <w:u w:val="single"/>
          <w:lang w:val="es-ES"/>
        </w:rPr>
        <w:t>todos</w:t>
      </w:r>
      <w:r w:rsidRPr="00BC3A80">
        <w:rPr>
          <w:rFonts w:ascii="Verdana" w:eastAsia="Times New Roman" w:hAnsi="Verdana" w:cs="Arial"/>
          <w:i/>
          <w:iCs/>
          <w:lang w:val="es-ES"/>
        </w:rPr>
        <w:t xml:space="preserve"> los entes del Estado</w:t>
      </w:r>
      <w:r w:rsidRPr="00BC3A80">
        <w:rPr>
          <w:rFonts w:ascii="Verdana" w:eastAsia="Times New Roman" w:hAnsi="Verdana" w:cs="Arial"/>
          <w:lang w:val="es-ES"/>
        </w:rPr>
        <w:t>” [énfasis propio]. Al respecto la Sala De Consulta y Servicio Civil del Consejo de Estado señaló lo siguiente:</w:t>
      </w:r>
    </w:p>
    <w:p w14:paraId="5D572BA3" w14:textId="77777777" w:rsidR="0002496B" w:rsidRPr="00BC3A80" w:rsidRDefault="0002496B" w:rsidP="0002496B">
      <w:pPr>
        <w:spacing w:after="0" w:line="276" w:lineRule="auto"/>
        <w:ind w:firstLine="708"/>
        <w:jc w:val="both"/>
        <w:rPr>
          <w:rFonts w:ascii="Verdana" w:eastAsia="Times New Roman" w:hAnsi="Verdana" w:cs="Arial"/>
          <w:lang w:val="es-ES"/>
        </w:rPr>
      </w:pPr>
    </w:p>
    <w:p w14:paraId="74320153" w14:textId="77777777" w:rsidR="0002496B" w:rsidRPr="00BC3A80" w:rsidRDefault="0002496B" w:rsidP="0002496B">
      <w:pPr>
        <w:spacing w:after="0" w:line="240" w:lineRule="auto"/>
        <w:ind w:left="709" w:right="709"/>
        <w:jc w:val="both"/>
        <w:rPr>
          <w:rFonts w:ascii="Verdana" w:eastAsia="Times New Roman" w:hAnsi="Verdana" w:cs="Arial"/>
          <w:bCs/>
          <w:sz w:val="20"/>
          <w:szCs w:val="20"/>
          <w:lang w:val="es-ES" w:eastAsia="es-CO"/>
        </w:rPr>
      </w:pPr>
      <w:r w:rsidRPr="00BC3A80">
        <w:rPr>
          <w:rFonts w:ascii="Verdana" w:eastAsia="Times New Roman" w:hAnsi="Verdana" w:cs="Arial"/>
          <w:bCs/>
          <w:sz w:val="20"/>
          <w:szCs w:val="20"/>
          <w:lang w:val="es-ES" w:eastAsia="es-CO"/>
        </w:rPr>
        <w:t xml:space="preserve">“El vocablo "todos" que utilizó el legislador, comprende, en consecuencia, sin distinción del "régimen jurídico, forma de organización o naturaleza, su pertenencia a una u otra rama del poder público o su autonomía, a la </w:t>
      </w:r>
      <w:r w:rsidRPr="00BC3A80">
        <w:rPr>
          <w:rFonts w:ascii="Verdana" w:eastAsia="Times New Roman" w:hAnsi="Verdana" w:cs="Arial"/>
          <w:bCs/>
          <w:sz w:val="20"/>
          <w:szCs w:val="20"/>
          <w:lang w:val="es-ES" w:eastAsia="es-CO"/>
        </w:rPr>
        <w:lastRenderedPageBreak/>
        <w:t>totalidad de los entes del Estado. Es decir, la prohibición cobija a cualquier ente público que eventualmente pueda a través de la contratación directa romper el equilibrio entre los partidos y los candidatos a las elecciones presidenciales […]”</w:t>
      </w:r>
      <w:r w:rsidRPr="00BC3A80">
        <w:rPr>
          <w:rFonts w:ascii="Verdana" w:eastAsia="Times New Roman" w:hAnsi="Verdana" w:cs="Arial"/>
          <w:bCs/>
          <w:sz w:val="20"/>
          <w:szCs w:val="20"/>
          <w:vertAlign w:val="superscript"/>
          <w:lang w:val="es-ES" w:eastAsia="es-CO"/>
        </w:rPr>
        <w:footnoteReference w:id="26"/>
      </w:r>
      <w:r w:rsidRPr="00BC3A80">
        <w:rPr>
          <w:rFonts w:ascii="Verdana" w:eastAsia="Times New Roman" w:hAnsi="Verdana" w:cs="Arial"/>
          <w:bCs/>
          <w:sz w:val="20"/>
          <w:szCs w:val="20"/>
          <w:lang w:val="es-ES" w:eastAsia="es-CO"/>
        </w:rPr>
        <w:t>.</w:t>
      </w:r>
    </w:p>
    <w:p w14:paraId="3D69C9AF" w14:textId="77777777" w:rsidR="0002496B" w:rsidRPr="00BC3A80" w:rsidRDefault="0002496B" w:rsidP="0002496B">
      <w:pPr>
        <w:spacing w:after="0" w:line="240" w:lineRule="auto"/>
        <w:ind w:left="709" w:right="709"/>
        <w:jc w:val="both"/>
        <w:rPr>
          <w:rFonts w:ascii="Verdana" w:eastAsia="Times New Roman" w:hAnsi="Verdana" w:cs="Arial"/>
          <w:bCs/>
          <w:lang w:val="es-ES" w:eastAsia="es-CO"/>
        </w:rPr>
      </w:pPr>
    </w:p>
    <w:p w14:paraId="1E6B1438" w14:textId="77777777" w:rsidR="0002496B" w:rsidRPr="00BC3A80" w:rsidRDefault="0002496B" w:rsidP="0002496B">
      <w:pPr>
        <w:spacing w:after="120" w:line="276" w:lineRule="auto"/>
        <w:ind w:firstLine="708"/>
        <w:jc w:val="both"/>
        <w:rPr>
          <w:rFonts w:ascii="Verdana" w:hAnsi="Verdana" w:cs="Arial"/>
          <w:bCs/>
          <w:sz w:val="20"/>
          <w:szCs w:val="20"/>
          <w:lang w:val="es-ES" w:eastAsia="es-CO"/>
        </w:rPr>
      </w:pPr>
      <w:r w:rsidRPr="00BC3A80">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C3A80">
        <w:rPr>
          <w:rFonts w:ascii="Verdana" w:hAnsi="Verdana"/>
          <w:lang w:val="es-ES"/>
        </w:rPr>
        <w:t xml:space="preserve"> </w:t>
      </w:r>
      <w:r w:rsidRPr="00BC3A80">
        <w:rPr>
          <w:rFonts w:ascii="Verdana" w:hAnsi="Verdana" w:cs="Arial"/>
          <w:bCs/>
          <w:lang w:val="es-ES" w:eastAsia="x-none"/>
        </w:rPr>
        <w:t>En efecto, tal como lo ha sostenido el Consejo de Estado, el vocablo “todos” utilizado por el legislador comprende</w:t>
      </w:r>
      <w:r w:rsidRPr="00BC3A80">
        <w:rPr>
          <w:rFonts w:ascii="Verdana" w:hAnsi="Verdana"/>
          <w:lang w:val="es-ES"/>
        </w:rPr>
        <w:t xml:space="preserve"> </w:t>
      </w:r>
      <w:r w:rsidRPr="00BC3A80">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C3A80">
        <w:rPr>
          <w:rFonts w:ascii="Verdana" w:hAnsi="Verdana" w:cs="Arial"/>
          <w:bCs/>
          <w:sz w:val="20"/>
          <w:szCs w:val="20"/>
          <w:vertAlign w:val="superscript"/>
          <w:lang w:val="es-ES" w:eastAsia="x-none"/>
        </w:rPr>
        <w:footnoteReference w:id="27"/>
      </w:r>
      <w:r w:rsidRPr="00BC3A80">
        <w:rPr>
          <w:rFonts w:ascii="Verdana" w:hAnsi="Verdana" w:cs="Arial"/>
          <w:bCs/>
          <w:sz w:val="20"/>
          <w:szCs w:val="20"/>
          <w:lang w:val="es-ES" w:eastAsia="x-none"/>
        </w:rPr>
        <w:t>.</w:t>
      </w:r>
      <w:r w:rsidRPr="00BC3A80">
        <w:rPr>
          <w:rFonts w:ascii="Verdana" w:hAnsi="Verdana" w:cs="Arial"/>
          <w:bCs/>
          <w:sz w:val="20"/>
          <w:szCs w:val="20"/>
          <w:lang w:val="es-ES" w:eastAsia="es-CO"/>
        </w:rPr>
        <w:t>”</w:t>
      </w:r>
    </w:p>
    <w:p w14:paraId="0CF3736D" w14:textId="77777777" w:rsidR="0002496B" w:rsidRPr="00BC3A80" w:rsidRDefault="0002496B" w:rsidP="0002496B">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w:t>
      </w:r>
      <w:r w:rsidRPr="0099520E">
        <w:rPr>
          <w:rFonts w:ascii="Verdana" w:eastAsia="Arial" w:hAnsi="Verdana" w:cs="Arial"/>
          <w:color w:val="000000" w:themeColor="text1"/>
          <w:lang w:val="es-ES"/>
        </w:rPr>
        <w:t>normas especiales.</w:t>
      </w:r>
    </w:p>
    <w:p w14:paraId="729FD038" w14:textId="77777777" w:rsidR="0002496B" w:rsidRPr="00CD77EE" w:rsidRDefault="0002496B" w:rsidP="0002496B">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 xml:space="preserve">el segundo inciso de la misma disposición consagró las excepciones aplicables a la prohibición de contratación directa establecida en el </w:t>
      </w:r>
      <w:r w:rsidRPr="00CD77EE">
        <w:rPr>
          <w:rFonts w:ascii="Verdana" w:hAnsi="Verdana" w:cs="Arial"/>
          <w:bCs/>
          <w:color w:val="000000" w:themeColor="text1"/>
          <w:lang w:val="es-ES"/>
        </w:rPr>
        <w:lastRenderedPageBreak/>
        <w:t>mismo artículo. Como se indicó, las excepciones a la prohibición del artículo 33 de la norma mencionada son las siguientes:</w:t>
      </w:r>
    </w:p>
    <w:p w14:paraId="7803FA50" w14:textId="77777777" w:rsidR="0002496B" w:rsidRPr="00CD77EE" w:rsidRDefault="0002496B" w:rsidP="0002496B">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4BA6C693" w14:textId="77777777" w:rsidR="0002496B" w:rsidRPr="00CD77EE" w:rsidRDefault="0002496B" w:rsidP="0002496B">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581CC473" w14:textId="77777777" w:rsidR="0002496B" w:rsidRPr="00CD77EE" w:rsidRDefault="0002496B" w:rsidP="0002496B">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3) Los contratos requeridos para cubrir las emergencias educativas, sanitarias y desastres; </w:t>
      </w:r>
    </w:p>
    <w:p w14:paraId="62A961D1" w14:textId="77777777" w:rsidR="0002496B" w:rsidRPr="00CD77EE" w:rsidRDefault="0002496B" w:rsidP="0002496B">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4) La contratación para la reconstrucción de vías, puentes, carreteras, infraestructura energética y de comunicaciones, en caso de que hayan sido objeto de atentados, acciones terroristas, desastres naturales o casos de fuerza mayor y;</w:t>
      </w:r>
    </w:p>
    <w:p w14:paraId="171A7A4D" w14:textId="77777777" w:rsidR="0002496B" w:rsidRPr="00CD77EE" w:rsidRDefault="0002496B" w:rsidP="0002496B">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6DD29A9C" w14:textId="77777777" w:rsidR="0002496B" w:rsidRPr="00407C12" w:rsidRDefault="0002496B" w:rsidP="0002496B">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43824D2E" w14:textId="77777777" w:rsidR="0002496B" w:rsidRPr="00407C12" w:rsidRDefault="0002496B" w:rsidP="0002496B">
      <w:pPr>
        <w:tabs>
          <w:tab w:val="left" w:pos="426"/>
        </w:tabs>
        <w:spacing w:after="0" w:line="240" w:lineRule="auto"/>
        <w:ind w:firstLine="709"/>
        <w:jc w:val="both"/>
        <w:rPr>
          <w:rFonts w:ascii="Verdana" w:hAnsi="Verdana" w:cs="Arial"/>
          <w:bCs/>
          <w:color w:val="000000" w:themeColor="text1"/>
          <w:lang w:val="es-ES"/>
        </w:rPr>
      </w:pPr>
    </w:p>
    <w:p w14:paraId="78D7B6F3" w14:textId="77777777" w:rsidR="0002496B" w:rsidRPr="00407C12" w:rsidRDefault="0002496B" w:rsidP="0002496B">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28"/>
      </w:r>
      <w:r w:rsidRPr="00407C12">
        <w:rPr>
          <w:rFonts w:ascii="Verdana" w:hAnsi="Verdana" w:cs="Arial"/>
          <w:color w:val="000000" w:themeColor="text1"/>
          <w:sz w:val="20"/>
          <w:szCs w:val="20"/>
          <w:lang w:val="es-ES" w:eastAsia="es-CO"/>
        </w:rPr>
        <w:t xml:space="preserve">”. </w:t>
      </w:r>
    </w:p>
    <w:p w14:paraId="06926EEF" w14:textId="77777777" w:rsidR="0002496B" w:rsidRPr="00DF0C0C" w:rsidRDefault="0002496B" w:rsidP="0002496B">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3AB6749B" w14:textId="77777777" w:rsidR="0002496B" w:rsidRPr="00DF0C0C" w:rsidRDefault="0002496B" w:rsidP="0002496B">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 xml:space="preserve">Ahora bien, las únicas excepciones a las disposiciones previstas en la Ley de Garantías se </w:t>
      </w:r>
      <w:r w:rsidRPr="00DD40AB">
        <w:rPr>
          <w:rFonts w:ascii="Verdana" w:hAnsi="Verdana" w:cs="Arial"/>
          <w:color w:val="000000" w:themeColor="text1"/>
          <w:shd w:val="clear" w:color="auto" w:fill="FFFFFF"/>
          <w:lang w:val="es-ES"/>
        </w:rPr>
        <w:lastRenderedPageBreak/>
        <w:t>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29"/>
      </w:r>
      <w:r w:rsidRPr="00DD40AB">
        <w:rPr>
          <w:rFonts w:ascii="Verdana" w:hAnsi="Verdana" w:cs="Arial"/>
          <w:color w:val="000000" w:themeColor="text1"/>
          <w:shd w:val="clear" w:color="auto" w:fill="FFFFFF"/>
          <w:lang w:val="es-ES"/>
        </w:rPr>
        <w:t>.</w:t>
      </w:r>
    </w:p>
    <w:p w14:paraId="04A4377A" w14:textId="77777777" w:rsidR="0002496B" w:rsidRDefault="0002496B" w:rsidP="0002496B">
      <w:pPr>
        <w:tabs>
          <w:tab w:val="left" w:pos="426"/>
          <w:tab w:val="left" w:pos="3402"/>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En otras palabras, no es factible 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2AF0FCA4" w14:textId="77777777" w:rsidR="0002496B" w:rsidRDefault="0002496B" w:rsidP="0002496B">
      <w:pPr>
        <w:spacing w:after="0" w:line="276" w:lineRule="auto"/>
        <w:ind w:firstLine="709"/>
        <w:jc w:val="both"/>
        <w:rPr>
          <w:rFonts w:ascii="Verdana" w:hAnsi="Verdana" w:cs="Arial"/>
          <w:bCs/>
          <w:color w:val="000000" w:themeColor="text1"/>
        </w:rPr>
      </w:pPr>
      <w:r w:rsidRPr="009E6635">
        <w:rPr>
          <w:rFonts w:ascii="Verdana" w:hAnsi="Verdana" w:cs="Arial"/>
          <w:bCs/>
          <w:color w:val="000000" w:themeColor="text1"/>
          <w:lang w:val="es-ES"/>
        </w:rPr>
        <w:t xml:space="preserve">Particularmente, </w:t>
      </w:r>
      <w:r w:rsidRPr="004F51CF">
        <w:rPr>
          <w:rFonts w:ascii="Verdana" w:hAnsi="Verdana" w:cs="Arial"/>
          <w:bCs/>
          <w:color w:val="000000" w:themeColor="text1"/>
        </w:rPr>
        <w:t>al confrontar el catálogo de excepciones con</w:t>
      </w:r>
      <w:r>
        <w:rPr>
          <w:rFonts w:ascii="Verdana" w:hAnsi="Verdana" w:cs="Arial"/>
          <w:bCs/>
          <w:color w:val="000000" w:themeColor="text1"/>
        </w:rPr>
        <w:t xml:space="preserve"> </w:t>
      </w:r>
      <w:r>
        <w:rPr>
          <w:rFonts w:ascii="Verdana" w:hAnsi="Verdana" w:cs="Arial"/>
          <w:bCs/>
          <w:color w:val="000000" w:themeColor="text1"/>
          <w:lang w:val="es-ES"/>
        </w:rPr>
        <w:t>los</w:t>
      </w:r>
      <w:r w:rsidRPr="009E6635">
        <w:rPr>
          <w:rFonts w:ascii="Verdana" w:hAnsi="Verdana" w:cs="Arial"/>
          <w:bCs/>
          <w:color w:val="000000" w:themeColor="text1"/>
          <w:lang w:val="es-ES"/>
        </w:rPr>
        <w:t xml:space="preserve"> contratos </w:t>
      </w:r>
      <w:r>
        <w:rPr>
          <w:rFonts w:ascii="Verdana" w:hAnsi="Verdana" w:cs="Arial"/>
          <w:bCs/>
          <w:color w:val="000000" w:themeColor="text1"/>
        </w:rPr>
        <w:t>directos</w:t>
      </w:r>
      <w:r w:rsidRPr="00BA1157">
        <w:rPr>
          <w:rFonts w:ascii="Verdana" w:hAnsi="Verdana" w:cs="Arial"/>
          <w:bCs/>
          <w:color w:val="000000" w:themeColor="text1"/>
        </w:rPr>
        <w:t xml:space="preserve"> —particularmente los contratos de prestación de servicios profesionales y/o de apoyo a la gestión—</w:t>
      </w:r>
      <w:r>
        <w:rPr>
          <w:rFonts w:ascii="Verdana" w:hAnsi="Verdana" w:cs="Arial"/>
          <w:bCs/>
          <w:color w:val="000000" w:themeColor="text1"/>
        </w:rPr>
        <w:t xml:space="preserve"> a los que se hace referencia en la presente solicitud, </w:t>
      </w:r>
      <w:r w:rsidRPr="00093CA0">
        <w:rPr>
          <w:rFonts w:ascii="Verdana" w:hAnsi="Verdana" w:cs="Arial"/>
          <w:bCs/>
          <w:color w:val="000000" w:themeColor="text1"/>
        </w:rPr>
        <w:t xml:space="preserve">se advierte que dichos contratos no encuadran en ninguno de los supuestos exceptuados por el inciso segundo del artículo 33 de la Ley 996 de 2005. </w:t>
      </w:r>
      <w:r>
        <w:rPr>
          <w:rFonts w:ascii="Verdana" w:hAnsi="Verdana" w:cs="Arial"/>
          <w:bCs/>
          <w:color w:val="000000" w:themeColor="text1"/>
        </w:rPr>
        <w:t xml:space="preserve">Nótese que la circunstancia particular de una mujer que se encuentra en estado de embarazo tampoco está dentro de las excepcione antes mencionadas. </w:t>
      </w:r>
      <w:r w:rsidRPr="00093CA0">
        <w:rPr>
          <w:rFonts w:ascii="Verdana" w:hAnsi="Verdana" w:cs="Arial"/>
          <w:bCs/>
          <w:color w:val="000000" w:themeColor="text1"/>
        </w:rPr>
        <w:t>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7A18F7B1" w14:textId="77777777" w:rsidR="0002496B" w:rsidRPr="009E6635" w:rsidRDefault="0002496B" w:rsidP="0002496B">
      <w:pPr>
        <w:spacing w:after="0" w:line="276" w:lineRule="auto"/>
        <w:ind w:firstLine="709"/>
        <w:jc w:val="both"/>
        <w:rPr>
          <w:rFonts w:ascii="Verdana" w:hAnsi="Verdana" w:cs="Arial"/>
          <w:bCs/>
          <w:color w:val="000000" w:themeColor="text1"/>
          <w:lang w:val="es-ES"/>
        </w:rPr>
      </w:pPr>
    </w:p>
    <w:p w14:paraId="2AE33285" w14:textId="77777777" w:rsidR="0002496B" w:rsidRDefault="0002496B" w:rsidP="0002496B">
      <w:pPr>
        <w:spacing w:after="120" w:line="276" w:lineRule="auto"/>
        <w:jc w:val="both"/>
        <w:rPr>
          <w:rFonts w:ascii="Verdana" w:hAnsi="Verdana" w:cs="Arial"/>
          <w:bCs/>
          <w:color w:val="000000" w:themeColor="text1"/>
        </w:rPr>
      </w:pPr>
      <w:proofErr w:type="spellStart"/>
      <w:r>
        <w:rPr>
          <w:rFonts w:ascii="Verdana" w:hAnsi="Verdana" w:cs="Arial"/>
          <w:bCs/>
          <w:color w:val="000000" w:themeColor="text1"/>
          <w:lang w:val="es-ES"/>
        </w:rPr>
        <w:t>iii</w:t>
      </w:r>
      <w:proofErr w:type="spellEnd"/>
      <w:r>
        <w:rPr>
          <w:rFonts w:ascii="Verdana" w:hAnsi="Verdana" w:cs="Arial"/>
          <w:bCs/>
          <w:color w:val="000000" w:themeColor="text1"/>
          <w:lang w:val="es-ES"/>
        </w:rPr>
        <w:t xml:space="preserve">. </w:t>
      </w:r>
      <w:r w:rsidRPr="00CD7009">
        <w:rPr>
          <w:rFonts w:ascii="Verdana" w:hAnsi="Verdana" w:cs="Arial"/>
          <w:bCs/>
          <w:color w:val="000000" w:themeColor="text1"/>
        </w:rPr>
        <w:t>Así las cosas, una vez delimitado, de un lado, el alcance constitucional de la estabilidad ocupacional reforzada de la mujer embarazada y</w:t>
      </w:r>
      <w:r>
        <w:rPr>
          <w:rFonts w:ascii="Verdana" w:hAnsi="Verdana" w:cs="Arial"/>
          <w:bCs/>
          <w:color w:val="000000" w:themeColor="text1"/>
        </w:rPr>
        <w:t>/o en periodo de lactancia y</w:t>
      </w:r>
      <w:r w:rsidRPr="00CD7009">
        <w:rPr>
          <w:rFonts w:ascii="Verdana" w:hAnsi="Verdana" w:cs="Arial"/>
          <w:bCs/>
          <w:color w:val="000000" w:themeColor="text1"/>
        </w:rPr>
        <w:t>, de otro, las restricciones a la contratación directa aplicables en período preelectoral</w:t>
      </w:r>
      <w:r>
        <w:rPr>
          <w:rFonts w:ascii="Verdana" w:hAnsi="Verdana" w:cs="Arial"/>
          <w:bCs/>
          <w:color w:val="000000" w:themeColor="text1"/>
        </w:rPr>
        <w:t>, particularmente la restricción del artículo 33 de la Ley 996 de 2005</w:t>
      </w:r>
      <w:r w:rsidRPr="00CD7009">
        <w:rPr>
          <w:rFonts w:ascii="Verdana" w:hAnsi="Verdana" w:cs="Arial"/>
          <w:bCs/>
          <w:color w:val="000000" w:themeColor="text1"/>
        </w:rPr>
        <w:t>, corresponde analizar cómo deben articularse ambos regímenes en el ámbito de actuación de las entidades territoriales, a fin de adoptar decisiones que, sin desconocer las prohibiciones legales vigentes, permitan garantizar efectivamente los derechos fundamentales comprometidos.</w:t>
      </w:r>
    </w:p>
    <w:p w14:paraId="6915DD79" w14:textId="77777777" w:rsidR="0002496B" w:rsidRPr="008C6747" w:rsidRDefault="0002496B" w:rsidP="0002496B">
      <w:pPr>
        <w:tabs>
          <w:tab w:val="left" w:pos="426"/>
          <w:tab w:val="left" w:pos="3402"/>
        </w:tabs>
        <w:spacing w:after="120" w:line="276" w:lineRule="auto"/>
        <w:ind w:firstLine="709"/>
        <w:jc w:val="both"/>
        <w:rPr>
          <w:rFonts w:ascii="Verdana" w:hAnsi="Verdana" w:cs="Arial"/>
          <w:bCs/>
          <w:color w:val="000000" w:themeColor="text1"/>
        </w:rPr>
      </w:pPr>
      <w:r w:rsidRPr="008C6747">
        <w:rPr>
          <w:rFonts w:ascii="Verdana" w:hAnsi="Verdana" w:cs="Arial"/>
          <w:bCs/>
          <w:color w:val="000000" w:themeColor="text1"/>
        </w:rPr>
        <w:t xml:space="preserve">Frente a las consideraciones específicas del presente concepto, es necesario precisar que la entidad </w:t>
      </w:r>
      <w:r>
        <w:rPr>
          <w:rFonts w:ascii="Verdana" w:hAnsi="Verdana" w:cs="Arial"/>
          <w:bCs/>
          <w:color w:val="000000" w:themeColor="text1"/>
        </w:rPr>
        <w:t xml:space="preserve">respecto de la cual se consulta corresponde </w:t>
      </w:r>
      <w:r w:rsidRPr="008C6747">
        <w:rPr>
          <w:rFonts w:ascii="Verdana" w:hAnsi="Verdana" w:cs="Arial"/>
          <w:bCs/>
          <w:color w:val="000000" w:themeColor="text1"/>
        </w:rPr>
        <w:t>a un</w:t>
      </w:r>
      <w:r>
        <w:rPr>
          <w:rFonts w:ascii="Verdana" w:hAnsi="Verdana" w:cs="Arial"/>
          <w:bCs/>
          <w:color w:val="000000" w:themeColor="text1"/>
        </w:rPr>
        <w:t>a entidad territorial</w:t>
      </w:r>
      <w:r w:rsidRPr="008C6747">
        <w:rPr>
          <w:rFonts w:ascii="Verdana" w:hAnsi="Verdana" w:cs="Arial"/>
          <w:bCs/>
          <w:color w:val="000000" w:themeColor="text1"/>
        </w:rPr>
        <w:t xml:space="preserve">, razón por la cual se encuentra comprendida dentro del ámbito subjetivo de aplicación de la restricción prevista en el artículo 33 de la Ley 996 de 2005, en tanto dicha disposición se dirige expresamente a “todos los </w:t>
      </w:r>
      <w:r w:rsidRPr="008C6747">
        <w:rPr>
          <w:rFonts w:ascii="Verdana" w:hAnsi="Verdana" w:cs="Arial"/>
          <w:bCs/>
          <w:color w:val="000000" w:themeColor="text1"/>
        </w:rPr>
        <w:lastRenderedPageBreak/>
        <w:t>entes del Estado”, sin distinción alguna respecto de su naturaleza, nivel territorial o régimen jurídico aplicable.</w:t>
      </w:r>
    </w:p>
    <w:p w14:paraId="06DE5DE7" w14:textId="77777777" w:rsidR="0002496B" w:rsidRDefault="0002496B" w:rsidP="0002496B">
      <w:pPr>
        <w:tabs>
          <w:tab w:val="left" w:pos="426"/>
        </w:tabs>
        <w:spacing w:after="0" w:line="276" w:lineRule="auto"/>
        <w:ind w:firstLine="709"/>
        <w:jc w:val="both"/>
        <w:rPr>
          <w:rFonts w:ascii="Verdana" w:hAnsi="Verdana" w:cs="Arial"/>
          <w:bCs/>
          <w:color w:val="000000" w:themeColor="text1"/>
        </w:rPr>
      </w:pPr>
      <w:r w:rsidRPr="008C6747">
        <w:rPr>
          <w:rFonts w:ascii="Verdana" w:hAnsi="Verdana" w:cs="Arial"/>
          <w:bCs/>
          <w:color w:val="000000" w:themeColor="text1"/>
        </w:rPr>
        <w:t>Ahora bien, la prohibición consagrada en la norma citada recae sobre la contratación directa, entendida esta como la celebración de nuevos negocios jurídicos bajo modalidades que no impliquen convocatoria pública ni pluralidad de oferentes. En ese sentido, la restricción no se extiende, en principio, a las modificaciones, prórrogas o adiciones de contratos previamente suscritos, más allá de las limitaciones propias establecidas en el Estatuto General de Contratación de la Administración Pública, salvo que el objeto contractual se subsuma en alguno de los supuestos expresamente exceptuados por el inciso segundo del artículo 33 de la Ley 996 de 2005, esto es:</w:t>
      </w:r>
    </w:p>
    <w:p w14:paraId="1BC50C76" w14:textId="77777777" w:rsidR="0002496B" w:rsidRPr="008C6747" w:rsidRDefault="0002496B" w:rsidP="0002496B">
      <w:pPr>
        <w:tabs>
          <w:tab w:val="left" w:pos="426"/>
        </w:tabs>
        <w:spacing w:after="0" w:line="276" w:lineRule="auto"/>
        <w:ind w:left="709" w:right="709" w:firstLine="709"/>
        <w:jc w:val="both"/>
        <w:rPr>
          <w:rFonts w:ascii="Verdana" w:hAnsi="Verdana" w:cs="Arial"/>
          <w:bCs/>
          <w:color w:val="000000" w:themeColor="text1"/>
          <w:sz w:val="21"/>
          <w:szCs w:val="21"/>
        </w:rPr>
      </w:pPr>
      <w:r w:rsidRPr="008C6747">
        <w:rPr>
          <w:rFonts w:ascii="Verdana" w:hAnsi="Verdana" w:cs="Arial"/>
          <w:bCs/>
          <w:color w:val="000000" w:themeColor="text1"/>
        </w:rPr>
        <w:br/>
      </w:r>
      <w:r w:rsidRPr="008C6747">
        <w:rPr>
          <w:rFonts w:ascii="Verdana" w:hAnsi="Verdana" w:cs="Arial"/>
          <w:bCs/>
          <w:color w:val="000000" w:themeColor="text1"/>
          <w:sz w:val="21"/>
          <w:szCs w:val="21"/>
        </w:rPr>
        <w:t>“[…]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17BBE6A" w14:textId="77777777" w:rsidR="0002496B" w:rsidRPr="008C6747" w:rsidRDefault="0002496B" w:rsidP="0002496B">
      <w:pPr>
        <w:tabs>
          <w:tab w:val="left" w:pos="426"/>
        </w:tabs>
        <w:spacing w:after="0" w:line="276" w:lineRule="auto"/>
        <w:ind w:firstLine="709"/>
        <w:jc w:val="both"/>
        <w:rPr>
          <w:rFonts w:ascii="Verdana" w:hAnsi="Verdana" w:cs="Arial"/>
          <w:bCs/>
          <w:color w:val="000000" w:themeColor="text1"/>
        </w:rPr>
      </w:pPr>
    </w:p>
    <w:p w14:paraId="3344E783" w14:textId="77777777" w:rsidR="0002496B" w:rsidRPr="008C6747" w:rsidRDefault="0002496B" w:rsidP="0002496B">
      <w:pPr>
        <w:tabs>
          <w:tab w:val="left" w:pos="426"/>
          <w:tab w:val="left" w:pos="3402"/>
        </w:tabs>
        <w:spacing w:after="120" w:line="276" w:lineRule="auto"/>
        <w:ind w:firstLine="709"/>
        <w:jc w:val="both"/>
        <w:rPr>
          <w:rFonts w:ascii="Verdana" w:hAnsi="Verdana" w:cs="Arial"/>
          <w:bCs/>
          <w:color w:val="000000" w:themeColor="text1"/>
        </w:rPr>
      </w:pPr>
      <w:r w:rsidRPr="008C6747">
        <w:rPr>
          <w:rFonts w:ascii="Verdana" w:hAnsi="Verdana" w:cs="Arial"/>
          <w:bCs/>
          <w:color w:val="000000" w:themeColor="text1"/>
        </w:rPr>
        <w:t>En este contexto, resulta fundamental que, en el marco del principio de planeación, como manifestación del principio de economía, cuyo propósito es asegurar que toda actuación contractual esté precedida de los estudios técnicos, financieros y jurídicos necesarios para determinar su viabilidad y conveniencia, y teniendo en cuenta las restricciones derivadas de la Ley de Garantías Electorales, la entidad estatal evalúe si resulta jurídicamente procedente, a la luz de los criterios desarrollados por la Corte Constitucional para la protección de los derechos de las mujeres en estado de embarazo o en período de lactancia, adelantar prórrogas, modificaciones o adiciones de los contratos celebrados con anterioridad a la entrada en vigencia de las prohibiciones mencionadas, así como la cesión de los mismos, actuaciones que, en principio, pueden tener lugar durante el período de aplicación de la Ley de Garantías, siempre que no se desnaturalice la prohibición de la contratación directa y se respeten los principios de planeación, transparencia y responsabilidad.</w:t>
      </w:r>
    </w:p>
    <w:p w14:paraId="757261EE" w14:textId="77777777" w:rsidR="0002496B" w:rsidRDefault="0002496B" w:rsidP="0002496B">
      <w:pPr>
        <w:tabs>
          <w:tab w:val="left" w:pos="426"/>
          <w:tab w:val="left" w:pos="3402"/>
        </w:tabs>
        <w:spacing w:after="0" w:line="276" w:lineRule="auto"/>
        <w:ind w:firstLine="709"/>
        <w:jc w:val="both"/>
        <w:rPr>
          <w:rFonts w:ascii="Verdana" w:hAnsi="Verdana" w:cs="Arial"/>
          <w:bCs/>
          <w:color w:val="000000" w:themeColor="text1"/>
        </w:rPr>
      </w:pPr>
      <w:r w:rsidRPr="008C6747">
        <w:rPr>
          <w:rFonts w:ascii="Verdana" w:hAnsi="Verdana" w:cs="Arial"/>
          <w:bCs/>
          <w:color w:val="000000" w:themeColor="text1"/>
        </w:rPr>
        <w:t>No obstante, debe advertirse que dicho análisis corresponde ser realizado por cada entidad estatal en ejercicio de su autonomía, atendiendo a las particularidades del caso concreto, en la medida en que el alcance del presente concepto no permite resolver de manera específica la situación planteada.</w:t>
      </w:r>
    </w:p>
    <w:p w14:paraId="4023E365" w14:textId="77777777" w:rsidR="0002496B" w:rsidRPr="00FD5199" w:rsidRDefault="0002496B" w:rsidP="0002496B">
      <w:pPr>
        <w:tabs>
          <w:tab w:val="left" w:pos="426"/>
          <w:tab w:val="left" w:pos="3402"/>
        </w:tabs>
        <w:spacing w:after="0" w:line="276" w:lineRule="auto"/>
        <w:ind w:firstLine="709"/>
        <w:jc w:val="both"/>
        <w:rPr>
          <w:rFonts w:ascii="Verdana" w:hAnsi="Verdana" w:cs="Arial"/>
          <w:bCs/>
          <w:color w:val="000000" w:themeColor="text1"/>
          <w:lang w:val="es-ES"/>
        </w:rPr>
      </w:pPr>
    </w:p>
    <w:p w14:paraId="3BD75DF4" w14:textId="77777777" w:rsidR="0002496B" w:rsidRPr="00FD5199" w:rsidRDefault="0002496B" w:rsidP="0002496B">
      <w:pPr>
        <w:numPr>
          <w:ilvl w:val="0"/>
          <w:numId w:val="2"/>
        </w:numPr>
        <w:tabs>
          <w:tab w:val="left" w:pos="142"/>
          <w:tab w:val="left" w:pos="284"/>
        </w:tabs>
        <w:spacing w:after="0" w:line="276" w:lineRule="auto"/>
        <w:jc w:val="both"/>
        <w:rPr>
          <w:rFonts w:ascii="Verdana" w:eastAsia="Century Gothic" w:hAnsi="Verdana" w:cs="Century Gothic"/>
          <w:b/>
          <w:bCs/>
        </w:rPr>
      </w:pPr>
      <w:r w:rsidRPr="00FD5199">
        <w:rPr>
          <w:rFonts w:ascii="Verdana" w:eastAsia="Century Gothic" w:hAnsi="Verdana" w:cs="Century Gothic"/>
          <w:b/>
          <w:bCs/>
        </w:rPr>
        <w:t>Referencias normativas:</w:t>
      </w:r>
    </w:p>
    <w:p w14:paraId="503C1F53" w14:textId="77777777" w:rsidR="0002496B" w:rsidRPr="00FD5199" w:rsidRDefault="0002496B" w:rsidP="0002496B">
      <w:pPr>
        <w:widowControl w:val="0"/>
        <w:autoSpaceDE w:val="0"/>
        <w:autoSpaceDN w:val="0"/>
        <w:spacing w:after="0" w:line="276" w:lineRule="auto"/>
        <w:jc w:val="both"/>
        <w:rPr>
          <w:rFonts w:ascii="Verdana" w:hAnsi="Verdana" w:cs="Aria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2496B" w:rsidRPr="00FD5199" w14:paraId="25616F61" w14:textId="77777777" w:rsidTr="002F382E">
        <w:trPr>
          <w:trHeight w:val="491"/>
          <w:jc w:val="center"/>
        </w:trPr>
        <w:tc>
          <w:tcPr>
            <w:tcW w:w="8647" w:type="dxa"/>
          </w:tcPr>
          <w:p w14:paraId="2D8A8A25"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Constitución Política, artículo 127.</w:t>
            </w:r>
          </w:p>
          <w:p w14:paraId="36E282DC"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 xml:space="preserve">Ley 996 de 2005 artículo 33 y artículo 38. </w:t>
            </w:r>
          </w:p>
          <w:p w14:paraId="2AC30E76"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Gaceta del Congreso de la República No. 71 del 2005.</w:t>
            </w:r>
          </w:p>
          <w:p w14:paraId="180E84DC"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en la Sentencia SU-070 de 2013, con ponencia de la Magistrada Gloria Stella Ortiz Delgado.</w:t>
            </w:r>
          </w:p>
          <w:p w14:paraId="000BA40C"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Sentencia SU-075 de 2018. Magistrado Ponente: Gloria Stella Ortiz Delgado.</w:t>
            </w:r>
          </w:p>
          <w:p w14:paraId="59A115B5"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lang w:val="pt-BR"/>
              </w:rPr>
            </w:pPr>
            <w:r w:rsidRPr="00FD5199">
              <w:rPr>
                <w:rFonts w:ascii="Verdana" w:hAnsi="Verdana" w:cs="Arial"/>
                <w:lang w:val="pt-BR"/>
              </w:rPr>
              <w:t xml:space="preserve">Corte Constitucional, sentencia T-743 de 2017, Exp. T-6.366.648 Magistrada </w:t>
            </w:r>
            <w:proofErr w:type="spellStart"/>
            <w:r w:rsidRPr="00FD5199">
              <w:rPr>
                <w:rFonts w:ascii="Verdana" w:hAnsi="Verdana" w:cs="Arial"/>
                <w:lang w:val="pt-BR"/>
              </w:rPr>
              <w:t>Ponente</w:t>
            </w:r>
            <w:proofErr w:type="spellEnd"/>
            <w:r w:rsidRPr="00FD5199">
              <w:rPr>
                <w:rFonts w:ascii="Verdana" w:hAnsi="Verdana" w:cs="Arial"/>
                <w:lang w:val="pt-BR"/>
              </w:rPr>
              <w:t xml:space="preserve"> Cristina Pardo Schlesinger.</w:t>
            </w:r>
          </w:p>
          <w:p w14:paraId="13CAA72F"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en la sentencia T-102 del 1 de marzo de 2016 (M.P: María Victoria Calle Correa.</w:t>
            </w:r>
          </w:p>
          <w:p w14:paraId="607C82CD"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lang w:val="pt-BR"/>
              </w:rPr>
            </w:pPr>
            <w:r w:rsidRPr="00FD5199">
              <w:rPr>
                <w:rFonts w:ascii="Verdana" w:hAnsi="Verdana" w:cs="Arial"/>
                <w:lang w:val="pt-BR"/>
              </w:rPr>
              <w:t>Corte Constitucional sentencia T-743 de 2017.</w:t>
            </w:r>
          </w:p>
          <w:p w14:paraId="23B2CC50"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lang w:val="pt-BR"/>
              </w:rPr>
            </w:pPr>
            <w:r w:rsidRPr="00FD5199">
              <w:rPr>
                <w:rFonts w:ascii="Verdana" w:hAnsi="Verdana" w:cs="Arial"/>
                <w:lang w:val="pt-BR"/>
              </w:rPr>
              <w:t xml:space="preserve">Corte Constitucional sentencia T-030 de 2018.  </w:t>
            </w:r>
          </w:p>
          <w:p w14:paraId="1D54EABD"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lang w:val="pt-BR"/>
              </w:rPr>
              <w:t>Corte Constitucional</w:t>
            </w:r>
            <w:r w:rsidRPr="00FD5199">
              <w:rPr>
                <w:rFonts w:ascii="Verdana" w:hAnsi="Verdana" w:cs="Arial"/>
              </w:rPr>
              <w:t xml:space="preserve"> T-350 del 2016.</w:t>
            </w:r>
          </w:p>
          <w:p w14:paraId="5DBE07AF"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Sentencia T-329 del 19 de septiembre de 2022. Expediente T-8.517.984. Magistrada Ponente: Natalia Ángel Cabo</w:t>
            </w:r>
          </w:p>
          <w:p w14:paraId="5E39B929"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Sentencia C- 1153 de 2005, M.P. Marco Gerardo Monroy Cabra.</w:t>
            </w:r>
          </w:p>
          <w:p w14:paraId="67814C02"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664DDB11"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3D9FC0F"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de fecha 24 de julio de 2013, Rad. 2166, C. P. Álvaro Namén Vargas.</w:t>
            </w:r>
          </w:p>
          <w:p w14:paraId="6CA79FF7"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Concepto del 17 de febrero de 2015. C.P. William Zambrano Cetina. Radicación No. 11001-03-06-000-2015-00164-00(2269)</w:t>
            </w:r>
          </w:p>
          <w:p w14:paraId="75B0C2BC"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 xml:space="preserve">Corte Constitucional, en la Sentencia C-1153 del 11 de noviembre de </w:t>
            </w:r>
            <w:r w:rsidRPr="00FD5199">
              <w:rPr>
                <w:rFonts w:ascii="Verdana" w:hAnsi="Verdana" w:cs="Arial"/>
              </w:rPr>
              <w:lastRenderedPageBreak/>
              <w:t>2005</w:t>
            </w:r>
          </w:p>
          <w:p w14:paraId="192B97D1"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 xml:space="preserve">Consejo de Estado Sala de Consulta y Servicio Civil, Concepto 1712 de 2 de febrero de 2006. </w:t>
            </w:r>
          </w:p>
          <w:p w14:paraId="386BE798"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Concepto del 2 de septiembre de 2013. Radicación número: 11001-03-06-000-2013-00412-00 (2168). Consejero Ponente: Álvaro Namén Vargas.</w:t>
            </w:r>
          </w:p>
          <w:p w14:paraId="1EA094AD"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 xml:space="preserve">Consejo de Estado. Sala de Consulta y Servicio Civil. Concepto del 08 de mayo de 2018. </w:t>
            </w:r>
            <w:proofErr w:type="spellStart"/>
            <w:r w:rsidRPr="00FD5199">
              <w:rPr>
                <w:rFonts w:ascii="Verdana" w:hAnsi="Verdana" w:cs="Arial"/>
              </w:rPr>
              <w:t>Exp</w:t>
            </w:r>
            <w:proofErr w:type="spellEnd"/>
            <w:r w:rsidRPr="00FD5199">
              <w:rPr>
                <w:rFonts w:ascii="Verdana" w:hAnsi="Verdana" w:cs="Arial"/>
              </w:rPr>
              <w:t>. 2.382. C.P. Álvaro Namén Vargas.</w:t>
            </w:r>
          </w:p>
          <w:p w14:paraId="11747E40"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Concepto de 20 de febrero de 2006. Radicación Número: 11001-03-06-000-2006-00026-00(1727)</w:t>
            </w:r>
          </w:p>
          <w:p w14:paraId="3D1C2914"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Concepto del 18 de febrero 2010. Rad. 11001-03-06-000-2010-00006-00 (1985). C.P. Enrique José Arboleda Perdomo</w:t>
            </w:r>
          </w:p>
          <w:p w14:paraId="7C60B735" w14:textId="77777777" w:rsidR="0002496B" w:rsidRPr="00FD5199" w:rsidRDefault="0002496B" w:rsidP="0002496B">
            <w:pPr>
              <w:widowControl w:val="0"/>
              <w:numPr>
                <w:ilvl w:val="0"/>
                <w:numId w:val="3"/>
              </w:numPr>
              <w:autoSpaceDE w:val="0"/>
              <w:autoSpaceDN w:val="0"/>
              <w:spacing w:line="276" w:lineRule="auto"/>
              <w:jc w:val="both"/>
              <w:rPr>
                <w:rFonts w:ascii="Verdana" w:hAnsi="Verdana" w:cs="Arial"/>
              </w:rPr>
            </w:pPr>
            <w:r w:rsidRPr="00FD5199">
              <w:rPr>
                <w:rFonts w:ascii="Verdana" w:hAnsi="Verdana" w:cs="Arial"/>
              </w:rPr>
              <w:t>Consejo de Estado. Sala de Consulta y Servicio Civil. Concepto del 02 de septiembre de 2013. Rad. 11001-03-06-000-2013-00412-00 (2168). C.P. Álvaro Namén Vargas</w:t>
            </w:r>
          </w:p>
        </w:tc>
      </w:tr>
    </w:tbl>
    <w:p w14:paraId="25FAB149" w14:textId="77777777" w:rsidR="0002496B" w:rsidRPr="00FD5199" w:rsidRDefault="0002496B" w:rsidP="0002496B">
      <w:pPr>
        <w:widowControl w:val="0"/>
        <w:autoSpaceDE w:val="0"/>
        <w:autoSpaceDN w:val="0"/>
        <w:spacing w:after="0" w:line="276" w:lineRule="auto"/>
        <w:jc w:val="both"/>
        <w:rPr>
          <w:rFonts w:ascii="Verdana" w:hAnsi="Verdana" w:cs="Arial"/>
        </w:rPr>
      </w:pPr>
    </w:p>
    <w:p w14:paraId="1D6FF737" w14:textId="77777777" w:rsidR="0002496B" w:rsidRPr="00FD5199" w:rsidRDefault="0002496B" w:rsidP="0002496B">
      <w:pPr>
        <w:numPr>
          <w:ilvl w:val="0"/>
          <w:numId w:val="2"/>
        </w:numPr>
        <w:tabs>
          <w:tab w:val="left" w:pos="142"/>
          <w:tab w:val="left" w:pos="284"/>
        </w:tabs>
        <w:spacing w:after="0" w:line="276" w:lineRule="auto"/>
        <w:jc w:val="both"/>
        <w:rPr>
          <w:rFonts w:ascii="Verdana" w:eastAsia="Century Gothic" w:hAnsi="Verdana" w:cs="Century Gothic"/>
          <w:b/>
          <w:bCs/>
        </w:rPr>
      </w:pPr>
      <w:r w:rsidRPr="00FD5199">
        <w:rPr>
          <w:rFonts w:ascii="Verdana" w:eastAsia="Century Gothic" w:hAnsi="Verdana" w:cs="Century Gothic"/>
          <w:b/>
          <w:bCs/>
        </w:rPr>
        <w:t>Doctrina de la Agencia Nacional de Contratación Pública:</w:t>
      </w:r>
    </w:p>
    <w:p w14:paraId="6B6BCD92" w14:textId="77777777" w:rsidR="0002496B" w:rsidRPr="00FD5199" w:rsidRDefault="0002496B" w:rsidP="0002496B">
      <w:pPr>
        <w:widowControl w:val="0"/>
        <w:autoSpaceDE w:val="0"/>
        <w:autoSpaceDN w:val="0"/>
        <w:spacing w:after="0" w:line="276" w:lineRule="auto"/>
        <w:jc w:val="both"/>
        <w:rPr>
          <w:rFonts w:ascii="Verdana" w:hAnsi="Verdana" w:cs="Arial"/>
        </w:rPr>
      </w:pPr>
    </w:p>
    <w:p w14:paraId="21BA5D04" w14:textId="77777777" w:rsidR="0002496B" w:rsidRPr="00FD5199" w:rsidRDefault="0002496B" w:rsidP="0002496B">
      <w:pPr>
        <w:widowControl w:val="0"/>
        <w:autoSpaceDE w:val="0"/>
        <w:autoSpaceDN w:val="0"/>
        <w:spacing w:after="0" w:line="276" w:lineRule="auto"/>
        <w:jc w:val="both"/>
        <w:rPr>
          <w:rFonts w:ascii="Verdana" w:hAnsi="Verdana" w:cs="Arial"/>
          <w:shd w:val="clear" w:color="auto" w:fill="FFFFFF"/>
        </w:rPr>
      </w:pPr>
      <w:r w:rsidRPr="00FD5199">
        <w:rPr>
          <w:rFonts w:ascii="Verdana" w:hAnsi="Verdana" w:cs="Arial"/>
          <w:bCs/>
          <w:shd w:val="clear" w:color="auto" w:fill="FFFFFF"/>
        </w:rPr>
        <w:t>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C-1271 del 17 de octubre de 2025</w:t>
      </w:r>
      <w:r w:rsidRPr="00FD5199">
        <w:rPr>
          <w:rFonts w:ascii="Verdana" w:hAnsi="Verdana" w:cs="Arial"/>
          <w:shd w:val="clear" w:color="auto" w:fill="FFFFFF"/>
        </w:rPr>
        <w:t>, C-1415 del 11 de noviembre de 2025, entre otros</w:t>
      </w:r>
      <w:r w:rsidRPr="00FD5199">
        <w:rPr>
          <w:rFonts w:ascii="Verdana" w:hAnsi="Verdana" w:cs="Arial"/>
          <w:shd w:val="clear" w:color="auto" w:fill="FFFFFF"/>
          <w:lang w:val="es-ES"/>
        </w:rPr>
        <w:t>.</w:t>
      </w:r>
      <w:r w:rsidRPr="00FD5199">
        <w:rPr>
          <w:rStyle w:val="normaltextrun"/>
          <w:rFonts w:ascii="Verdana" w:hAnsi="Verdana" w:cs="Arial"/>
          <w:shd w:val="clear" w:color="auto" w:fill="FFFFFF"/>
          <w:lang w:val="es-ES"/>
        </w:rPr>
        <w:t xml:space="preserve"> Así mismo, </w:t>
      </w:r>
      <w:r w:rsidRPr="00FD5199">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w:t>
      </w:r>
      <w:r w:rsidRPr="00FD5199">
        <w:rPr>
          <w:rFonts w:ascii="Verdana" w:hAnsi="Verdana" w:cs="Arial"/>
          <w:shd w:val="clear" w:color="auto" w:fill="FFFFFF"/>
        </w:rPr>
        <w:lastRenderedPageBreak/>
        <w:t xml:space="preserve">22 de marzo de 2022, C-179 del 8 de abril de 2022, C-161 del 17 de mayo de 2022, C- 180 del 21 de marzo de 2025, C-696 del 11 de julio de 2025, C-708 del 15 de julio de 2025, C-1186 del 17 de septiembre de 2025, C-1350 del 1˚ de octubre de 2025, C-1430 del 12 de noviembre de 2025, C-1568 del 14 de noviembre de 2025 y C-1676 del 22 de diciembre de 2026, entre otros. Estos conceptos se encuentran disponibles para consulta en el Sistema de relatoría de la Agencia, al cual puede accederse a través del siguiente enlace: </w:t>
      </w:r>
      <w:hyperlink r:id="rId13" w:history="1">
        <w:r w:rsidRPr="00FD5199">
          <w:rPr>
            <w:rStyle w:val="Hipervnculo"/>
            <w:rFonts w:ascii="Verdana" w:hAnsi="Verdana" w:cs="Arial"/>
            <w:shd w:val="clear" w:color="auto" w:fill="FFFFFF"/>
          </w:rPr>
          <w:t>https://relatoria.colombiacompra.gov.co/busqueda/conceptos</w:t>
        </w:r>
      </w:hyperlink>
      <w:r w:rsidRPr="00FD5199">
        <w:rPr>
          <w:rFonts w:ascii="Verdana" w:hAnsi="Verdana" w:cs="Arial"/>
          <w:shd w:val="clear" w:color="auto" w:fill="FFFFFF"/>
        </w:rPr>
        <w:t xml:space="preserve">. </w:t>
      </w:r>
      <w:r w:rsidRPr="00FD5199">
        <w:rPr>
          <w:rFonts w:ascii="Verdana" w:hAnsi="Verdana" w:cs="Arial"/>
          <w:color w:val="FF0000"/>
          <w:shd w:val="clear" w:color="auto" w:fill="FFFFFF"/>
        </w:rPr>
        <w:t xml:space="preserve"> </w:t>
      </w:r>
    </w:p>
    <w:p w14:paraId="058F296A" w14:textId="77777777" w:rsidR="0002496B" w:rsidRPr="00FD5199" w:rsidRDefault="0002496B" w:rsidP="0002496B">
      <w:pPr>
        <w:widowControl w:val="0"/>
        <w:autoSpaceDE w:val="0"/>
        <w:autoSpaceDN w:val="0"/>
        <w:spacing w:after="0" w:line="276" w:lineRule="auto"/>
        <w:jc w:val="both"/>
        <w:rPr>
          <w:rFonts w:ascii="Verdana" w:hAnsi="Verdana" w:cs="Arial"/>
          <w:color w:val="FF0000"/>
          <w:shd w:val="clear" w:color="auto" w:fill="FFFFFF"/>
        </w:rPr>
      </w:pPr>
    </w:p>
    <w:bookmarkEnd w:id="0"/>
    <w:p w14:paraId="60347B82" w14:textId="77777777" w:rsidR="0002496B" w:rsidRPr="00FD5199" w:rsidRDefault="0002496B" w:rsidP="0002496B">
      <w:pPr>
        <w:spacing w:line="276" w:lineRule="auto"/>
        <w:jc w:val="both"/>
        <w:rPr>
          <w:rFonts w:ascii="Verdana" w:hAnsi="Verdana"/>
        </w:rPr>
      </w:pPr>
      <w:r w:rsidRPr="00FD5199">
        <w:rPr>
          <w:rFonts w:ascii="Verdana" w:hAnsi="Verdana"/>
        </w:rPr>
        <w:t xml:space="preserve">La sostenibilidad no es una opción, es una obligación. Por ello, la Agencia Nacional de Contratación Pública –Colombia Compra Eficiente– te invita a realizar el </w:t>
      </w:r>
      <w:r w:rsidRPr="00FD5199">
        <w:rPr>
          <w:rFonts w:ascii="Verdana" w:hAnsi="Verdana"/>
          <w:b/>
          <w:bCs/>
        </w:rPr>
        <w:t>Curso de Contratación Pública Sostenible y Socialmente Responsable</w:t>
      </w:r>
      <w:r w:rsidRPr="00FD5199">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FD5199">
        <w:rPr>
          <w:rFonts w:ascii="Verdana" w:hAnsi="Verdana"/>
        </w:rPr>
        <w:br/>
      </w:r>
      <w:hyperlink r:id="rId14" w:tgtFrame="_new" w:history="1">
        <w:r w:rsidRPr="00FD5199">
          <w:rPr>
            <w:rFonts w:ascii="Verdana" w:hAnsi="Verdana"/>
            <w:color w:val="0000FF"/>
            <w:u w:val="single"/>
          </w:rPr>
          <w:t>https://formacionvirtual.colombiacompra.gov.co/mod/page/view.php?id=3718</w:t>
        </w:r>
      </w:hyperlink>
    </w:p>
    <w:p w14:paraId="58730650" w14:textId="77777777" w:rsidR="0002496B" w:rsidRPr="00FD5199" w:rsidRDefault="0002496B" w:rsidP="0002496B">
      <w:pPr>
        <w:spacing w:line="276" w:lineRule="auto"/>
        <w:jc w:val="both"/>
        <w:rPr>
          <w:rFonts w:ascii="Verdana" w:hAnsi="Verdana"/>
        </w:rPr>
      </w:pPr>
      <w:r w:rsidRPr="00FD5199">
        <w:rPr>
          <w:rFonts w:ascii="Verdana" w:hAnsi="Verdana"/>
        </w:rPr>
        <w:t xml:space="preserve">De otro lado, te contamos que esta Agencia ha da un paso decisivo en la estandarización y modernización del </w:t>
      </w:r>
      <w:r w:rsidRPr="00FD5199">
        <w:rPr>
          <w:rFonts w:ascii="Verdana" w:hAnsi="Verdana"/>
          <w:b/>
          <w:bCs/>
        </w:rPr>
        <w:t>sector  social</w:t>
      </w:r>
      <w:r w:rsidRPr="00FD5199">
        <w:rPr>
          <w:rFonts w:ascii="Verdana" w:hAnsi="Verdana"/>
        </w:rPr>
        <w:t xml:space="preserve"> con la expedición de las </w:t>
      </w:r>
      <w:r w:rsidRPr="00FD5199">
        <w:rPr>
          <w:rFonts w:ascii="Verdana" w:hAnsi="Verdana"/>
          <w:b/>
          <w:bCs/>
        </w:rPr>
        <w:t>Resoluciones 539, 540, 541, 952 y 953 de 2025</w:t>
      </w:r>
      <w:r w:rsidRPr="00FD5199">
        <w:rPr>
          <w:rFonts w:ascii="Verdana" w:hAnsi="Verdana"/>
        </w:rPr>
        <w:t xml:space="preserve">, </w:t>
      </w:r>
      <w:r w:rsidRPr="00FD5199">
        <w:rPr>
          <w:rFonts w:ascii="Verdana" w:hAnsi="Verdana"/>
          <w:b/>
          <w:bCs/>
        </w:rPr>
        <w:t>mediante las cuales adoptó Documentos Tipo</w:t>
      </w:r>
      <w:r w:rsidRPr="00FD5199">
        <w:rPr>
          <w:rFonts w:ascii="Verdana" w:hAnsi="Verdana"/>
        </w:rPr>
        <w:t xml:space="preserve"> para las modalidades de selección de</w:t>
      </w:r>
      <w:r w:rsidRPr="00FD5199">
        <w:rPr>
          <w:rFonts w:ascii="Verdana" w:hAnsi="Verdana"/>
          <w:b/>
          <w:bCs/>
        </w:rPr>
        <w:t xml:space="preserve"> licitación pública (versión 2), selección abreviada de menor cuantía, mínima cuantía, consultoría e interventoría</w:t>
      </w:r>
      <w:r w:rsidRPr="00FD5199">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FD5199">
          <w:rPr>
            <w:rFonts w:ascii="Verdana" w:hAnsi="Verdana"/>
            <w:color w:val="0000FF"/>
            <w:u w:val="single"/>
          </w:rPr>
          <w:t>https://www.colombiacompra.gov.co/normativa-y-relatoria/documentos-tipo</w:t>
        </w:r>
      </w:hyperlink>
    </w:p>
    <w:p w14:paraId="4FC60DF8" w14:textId="77777777" w:rsidR="0002496B" w:rsidRPr="00FD5199" w:rsidRDefault="0002496B" w:rsidP="0002496B">
      <w:pPr>
        <w:spacing w:line="276" w:lineRule="auto"/>
        <w:jc w:val="both"/>
        <w:rPr>
          <w:rFonts w:ascii="Verdana" w:hAnsi="Verdana"/>
          <w:color w:val="000000"/>
          <w:lang w:val="es-ES_tradnl"/>
        </w:rPr>
      </w:pPr>
      <w:r w:rsidRPr="00FD5199">
        <w:rPr>
          <w:rFonts w:ascii="Verdana" w:hAnsi="Verdana"/>
        </w:rPr>
        <w:t xml:space="preserve">Si quieres conocer más sobre la aplicación de Documentos Tipo puedes consultar la última versión de la </w:t>
      </w:r>
      <w:r w:rsidRPr="00FD5199">
        <w:rPr>
          <w:rFonts w:ascii="Verdana" w:hAnsi="Verdana"/>
          <w:b/>
          <w:bCs/>
        </w:rPr>
        <w:t>Guía para la comprensión e implementación de los Documentos Tipo de obra pública de infraestructura de transporte</w:t>
      </w:r>
      <w:r w:rsidRPr="00FD5199">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FD5199">
        <w:rPr>
          <w:rFonts w:ascii="Verdana" w:hAnsi="Verdana"/>
        </w:rPr>
        <w:br/>
      </w:r>
      <w:hyperlink r:id="rId16" w:tgtFrame="_new" w:history="1">
        <w:r w:rsidRPr="00FD5199">
          <w:rPr>
            <w:rFonts w:ascii="Verdana" w:hAnsi="Verdana"/>
            <w:color w:val="0000FF"/>
            <w:u w:val="single"/>
          </w:rPr>
          <w:t>https://www.colombiacompra.gov.co/archivos/manual/guia-para-la-</w:t>
        </w:r>
        <w:r w:rsidRPr="00FD5199">
          <w:rPr>
            <w:rFonts w:ascii="Verdana" w:hAnsi="Verdana"/>
            <w:color w:val="0000FF"/>
            <w:u w:val="single"/>
          </w:rPr>
          <w:lastRenderedPageBreak/>
          <w:t>comprension-e-implementacion-de-los-documentos-tipo-de-obra-publica-de-infraestructura-de-transporte-bajo-las-diferentes-modalidades-de-contratacion-vigentes</w:t>
        </w:r>
      </w:hyperlink>
    </w:p>
    <w:p w14:paraId="7C12B3F0" w14:textId="77777777" w:rsidR="0002496B" w:rsidRPr="00FD5199" w:rsidRDefault="0002496B" w:rsidP="0002496B">
      <w:pPr>
        <w:spacing w:after="0" w:line="276" w:lineRule="auto"/>
        <w:jc w:val="both"/>
        <w:rPr>
          <w:rFonts w:ascii="Verdana" w:hAnsi="Verdana"/>
        </w:rPr>
      </w:pPr>
      <w:r w:rsidRPr="00FD5199">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748DFE03" w14:textId="77777777" w:rsidR="0002496B" w:rsidRPr="00FD5199" w:rsidRDefault="0002496B" w:rsidP="0002496B">
      <w:pPr>
        <w:spacing w:after="0" w:line="276" w:lineRule="auto"/>
        <w:jc w:val="both"/>
        <w:rPr>
          <w:rFonts w:ascii="Verdana" w:hAnsi="Verdana"/>
        </w:rPr>
      </w:pPr>
    </w:p>
    <w:p w14:paraId="0656B4CD" w14:textId="77777777" w:rsidR="0002496B" w:rsidRPr="00FD5199" w:rsidRDefault="0002496B" w:rsidP="0002496B">
      <w:pPr>
        <w:numPr>
          <w:ilvl w:val="0"/>
          <w:numId w:val="1"/>
        </w:numPr>
        <w:spacing w:after="0" w:line="276" w:lineRule="auto"/>
        <w:contextualSpacing/>
        <w:jc w:val="both"/>
        <w:rPr>
          <w:rFonts w:ascii="Verdana" w:eastAsia="Verdana" w:hAnsi="Verdana" w:cs="Verdana"/>
          <w:color w:val="4472C4" w:themeColor="accent1"/>
          <w:u w:val="single"/>
          <w:lang w:val="es-MX"/>
        </w:rPr>
      </w:pPr>
      <w:r w:rsidRPr="00FD5199">
        <w:rPr>
          <w:rFonts w:ascii="Verdana" w:eastAsia="Verdana" w:hAnsi="Verdana" w:cs="Verdana"/>
          <w:lang w:val="es-MX"/>
        </w:rPr>
        <w:t xml:space="preserve">Línea nacional gratuita o servicio a la ciudadanía (Mesa de servicio): </w:t>
      </w:r>
      <w:r w:rsidRPr="00FD5199">
        <w:rPr>
          <w:rFonts w:ascii="Verdana" w:hAnsi="Verdana"/>
          <w:color w:val="0000FF"/>
          <w:u w:val="single"/>
          <w:lang w:val="es-ES"/>
        </w:rPr>
        <w:t>01800 0520808</w:t>
      </w:r>
    </w:p>
    <w:p w14:paraId="4762CBC1" w14:textId="77777777" w:rsidR="0002496B" w:rsidRPr="00FD5199" w:rsidRDefault="0002496B" w:rsidP="0002496B">
      <w:pPr>
        <w:numPr>
          <w:ilvl w:val="0"/>
          <w:numId w:val="1"/>
        </w:numPr>
        <w:spacing w:after="0" w:line="276" w:lineRule="auto"/>
        <w:contextualSpacing/>
        <w:rPr>
          <w:rFonts w:ascii="Verdana" w:eastAsia="Verdana" w:hAnsi="Verdana" w:cs="Verdana"/>
          <w:color w:val="4472C4" w:themeColor="accent1"/>
          <w:u w:val="single"/>
          <w:lang w:val="es-MX"/>
        </w:rPr>
      </w:pPr>
      <w:r w:rsidRPr="00FD5199">
        <w:rPr>
          <w:rFonts w:ascii="Verdana" w:eastAsia="Verdana" w:hAnsi="Verdana" w:cs="Verdana"/>
          <w:lang w:val="es-MX"/>
        </w:rPr>
        <w:t>Línea en Bogotá (Mesa de servicio</w:t>
      </w:r>
      <w:proofErr w:type="gramStart"/>
      <w:r w:rsidRPr="00FD5199">
        <w:rPr>
          <w:rFonts w:ascii="Verdana" w:eastAsia="Verdana" w:hAnsi="Verdana" w:cs="Verdana"/>
          <w:lang w:val="es-MX"/>
        </w:rPr>
        <w:t>):</w:t>
      </w:r>
      <w:r w:rsidRPr="00FD5199">
        <w:rPr>
          <w:rFonts w:ascii="Verdana" w:hAnsi="Verdana"/>
          <w:color w:val="0000FF"/>
          <w:u w:val="single"/>
          <w:lang w:val="es-ES"/>
        </w:rPr>
        <w:t>+</w:t>
      </w:r>
      <w:proofErr w:type="gramEnd"/>
      <w:r w:rsidRPr="00FD5199">
        <w:rPr>
          <w:rFonts w:ascii="Verdana" w:hAnsi="Verdana"/>
          <w:color w:val="0000FF"/>
          <w:u w:val="single"/>
          <w:lang w:val="es-ES"/>
        </w:rPr>
        <w:t>57 601 7456788</w:t>
      </w:r>
    </w:p>
    <w:p w14:paraId="342F7631" w14:textId="77777777" w:rsidR="0002496B" w:rsidRPr="00FD5199" w:rsidRDefault="0002496B" w:rsidP="0002496B">
      <w:pPr>
        <w:numPr>
          <w:ilvl w:val="0"/>
          <w:numId w:val="1"/>
        </w:numPr>
        <w:spacing w:after="0" w:line="276" w:lineRule="auto"/>
        <w:contextualSpacing/>
        <w:rPr>
          <w:rFonts w:ascii="Verdana" w:eastAsia="Verdana" w:hAnsi="Verdana" w:cs="Verdana"/>
          <w:color w:val="0000FF"/>
          <w:u w:val="single"/>
          <w:lang w:val="es-MX"/>
        </w:rPr>
      </w:pPr>
      <w:r w:rsidRPr="00FD5199">
        <w:rPr>
          <w:rFonts w:ascii="Verdana" w:eastAsia="Verdana" w:hAnsi="Verdana" w:cs="Verdana"/>
          <w:lang w:val="es-MX"/>
        </w:rPr>
        <w:t xml:space="preserve">Correo de radicación de correspondencia: </w:t>
      </w:r>
      <w:hyperlink r:id="rId17" w:history="1">
        <w:r w:rsidRPr="00FD5199">
          <w:rPr>
            <w:rFonts w:ascii="Verdana" w:eastAsia="Verdana" w:hAnsi="Verdana" w:cs="Verdana"/>
            <w:color w:val="0000FF"/>
            <w:u w:val="single"/>
            <w:lang w:val="es-MX"/>
          </w:rPr>
          <w:t>ventanilladeradicacion@colombiacompra.gov.co</w:t>
        </w:r>
      </w:hyperlink>
    </w:p>
    <w:p w14:paraId="1BD60FCB" w14:textId="77777777" w:rsidR="0002496B" w:rsidRPr="00FD5199" w:rsidRDefault="0002496B" w:rsidP="0002496B">
      <w:pPr>
        <w:numPr>
          <w:ilvl w:val="0"/>
          <w:numId w:val="1"/>
        </w:numPr>
        <w:spacing w:after="0" w:line="276" w:lineRule="auto"/>
        <w:contextualSpacing/>
        <w:rPr>
          <w:rFonts w:ascii="Verdana" w:eastAsia="Verdana" w:hAnsi="Verdana" w:cs="Verdana"/>
          <w:color w:val="0000FF"/>
          <w:u w:val="single"/>
          <w:lang w:val="es-MX"/>
        </w:rPr>
      </w:pPr>
      <w:r w:rsidRPr="00FD5199">
        <w:rPr>
          <w:rFonts w:ascii="Verdana" w:eastAsia="Verdana" w:hAnsi="Verdana" w:cs="Verdana"/>
          <w:lang w:val="es-ES"/>
        </w:rPr>
        <w:t xml:space="preserve">Formulario web para PQRSD: </w:t>
      </w:r>
      <w:hyperlink r:id="rId18" w:history="1">
        <w:r w:rsidRPr="00FD5199">
          <w:rPr>
            <w:rFonts w:ascii="Verdana" w:eastAsia="Verdana" w:hAnsi="Verdana" w:cs="Verdana"/>
            <w:color w:val="0000FF"/>
            <w:u w:val="single"/>
            <w:lang w:val="es-MX"/>
          </w:rPr>
          <w:t>https://www.colombiacompra.gov.co/pqrsd/informacion-importante-antes-de-formular-una-pqrsd</w:t>
        </w:r>
      </w:hyperlink>
    </w:p>
    <w:p w14:paraId="7E2897FD" w14:textId="77777777" w:rsidR="0002496B" w:rsidRPr="00FD5199" w:rsidRDefault="0002496B" w:rsidP="0002496B">
      <w:pPr>
        <w:spacing w:after="0" w:line="276" w:lineRule="auto"/>
        <w:ind w:left="720"/>
        <w:jc w:val="both"/>
        <w:rPr>
          <w:rFonts w:ascii="Verdana" w:hAnsi="Verdana"/>
        </w:rPr>
      </w:pPr>
    </w:p>
    <w:p w14:paraId="765BBC6B" w14:textId="77777777" w:rsidR="0002496B" w:rsidRPr="00FD5199" w:rsidRDefault="0002496B" w:rsidP="0002496B">
      <w:pPr>
        <w:spacing w:after="0" w:line="276" w:lineRule="auto"/>
        <w:rPr>
          <w:rFonts w:ascii="Verdana" w:hAnsi="Verdana"/>
        </w:rPr>
      </w:pPr>
      <w:r w:rsidRPr="00FD5199">
        <w:rPr>
          <w:rFonts w:ascii="Verdana" w:hAnsi="Verdana"/>
        </w:rPr>
        <w:t xml:space="preserve">Evalúa el servicio que ofrece la Agencia por el canal de atención de PQRSD en el siguiente </w:t>
      </w:r>
      <w:proofErr w:type="gramStart"/>
      <w:r w:rsidRPr="00FD5199">
        <w:rPr>
          <w:rFonts w:ascii="Verdana" w:hAnsi="Verdana"/>
        </w:rPr>
        <w:t>enlace :</w:t>
      </w:r>
      <w:proofErr w:type="gramEnd"/>
      <w:hyperlink r:id="rId19" w:tgtFrame="_blank" w:tooltip="https://forms.office.com/r/pphywvs2sz" w:history="1">
        <w:r w:rsidRPr="00FD5199">
          <w:rPr>
            <w:rFonts w:ascii="Verdana" w:hAnsi="Verdana"/>
            <w:color w:val="0000FF"/>
            <w:u w:val="single"/>
          </w:rPr>
          <w:t>https://forms.office.com/r/pPHyWVs2SZ</w:t>
        </w:r>
      </w:hyperlink>
      <w:r w:rsidRPr="00FD5199">
        <w:rPr>
          <w:rFonts w:ascii="Verdana" w:hAnsi="Verdana"/>
        </w:rPr>
        <w:t xml:space="preserve"> .¡Ayúdanos a mejorar porque el compromiso es de todos!</w:t>
      </w:r>
    </w:p>
    <w:p w14:paraId="38584A49" w14:textId="77777777" w:rsidR="0002496B" w:rsidRPr="00FD5199" w:rsidRDefault="0002496B" w:rsidP="0002496B">
      <w:pPr>
        <w:spacing w:after="0" w:line="276" w:lineRule="auto"/>
        <w:rPr>
          <w:rFonts w:ascii="Verdana" w:hAnsi="Verdana"/>
        </w:rPr>
      </w:pPr>
    </w:p>
    <w:p w14:paraId="2E269E46" w14:textId="77777777" w:rsidR="0002496B" w:rsidRPr="00FD5199" w:rsidRDefault="0002496B" w:rsidP="0002496B">
      <w:pPr>
        <w:spacing w:after="0" w:line="276" w:lineRule="auto"/>
        <w:jc w:val="both"/>
        <w:rPr>
          <w:rFonts w:ascii="Verdana" w:hAnsi="Verdana"/>
        </w:rPr>
      </w:pPr>
      <w:r w:rsidRPr="00FD5199">
        <w:rPr>
          <w:rFonts w:ascii="Verdana" w:hAnsi="Verdana"/>
        </w:rPr>
        <w:t xml:space="preserve">Por último, lo invitamos a seguirnos en las redes sociales en las cuales se difunde información institucional: </w:t>
      </w:r>
    </w:p>
    <w:p w14:paraId="1A92AF69" w14:textId="77777777" w:rsidR="0002496B" w:rsidRPr="00FD5199" w:rsidRDefault="0002496B" w:rsidP="0002496B">
      <w:pPr>
        <w:spacing w:after="0" w:line="276" w:lineRule="auto"/>
        <w:jc w:val="both"/>
        <w:rPr>
          <w:rFonts w:ascii="Verdana" w:hAnsi="Verdana"/>
        </w:rPr>
      </w:pPr>
    </w:p>
    <w:p w14:paraId="086009AB" w14:textId="77777777" w:rsidR="0002496B" w:rsidRPr="00FD5199" w:rsidRDefault="0002496B" w:rsidP="0002496B">
      <w:pPr>
        <w:spacing w:after="0" w:line="276" w:lineRule="auto"/>
        <w:jc w:val="both"/>
        <w:rPr>
          <w:rFonts w:ascii="Verdana" w:hAnsi="Verdana"/>
        </w:rPr>
      </w:pPr>
      <w:r w:rsidRPr="00FD5199">
        <w:rPr>
          <w:rFonts w:ascii="Verdana" w:hAnsi="Verdana"/>
        </w:rPr>
        <w:t xml:space="preserve">Twitter: </w:t>
      </w:r>
      <w:r w:rsidRPr="00FD5199">
        <w:rPr>
          <w:rFonts w:ascii="Verdana" w:hAnsi="Verdana"/>
          <w:color w:val="0000FF"/>
          <w:u w:val="single"/>
        </w:rPr>
        <w:t>@colombiacompra</w:t>
      </w:r>
      <w:r w:rsidRPr="00FD5199">
        <w:rPr>
          <w:rFonts w:ascii="Verdana" w:hAnsi="Verdana"/>
        </w:rPr>
        <w:t xml:space="preserve"> </w:t>
      </w:r>
    </w:p>
    <w:p w14:paraId="675F9346" w14:textId="77777777" w:rsidR="0002496B" w:rsidRPr="00FD5199" w:rsidRDefault="0002496B" w:rsidP="0002496B">
      <w:pPr>
        <w:spacing w:after="0" w:line="276" w:lineRule="auto"/>
        <w:jc w:val="both"/>
        <w:rPr>
          <w:rFonts w:ascii="Verdana" w:hAnsi="Verdana"/>
        </w:rPr>
      </w:pPr>
      <w:r w:rsidRPr="00FD5199">
        <w:rPr>
          <w:rFonts w:ascii="Verdana" w:hAnsi="Verdana"/>
        </w:rPr>
        <w:t xml:space="preserve">Facebook: </w:t>
      </w:r>
      <w:proofErr w:type="spellStart"/>
      <w:r w:rsidRPr="00FD5199">
        <w:rPr>
          <w:rFonts w:ascii="Verdana" w:hAnsi="Verdana"/>
          <w:color w:val="0000FF"/>
          <w:u w:val="single"/>
        </w:rPr>
        <w:t>ColombiaCompraEficiente</w:t>
      </w:r>
      <w:proofErr w:type="spellEnd"/>
    </w:p>
    <w:p w14:paraId="58A1E06F" w14:textId="77777777" w:rsidR="0002496B" w:rsidRPr="00FD5199" w:rsidRDefault="0002496B" w:rsidP="0002496B">
      <w:pPr>
        <w:spacing w:after="0" w:line="276" w:lineRule="auto"/>
        <w:jc w:val="both"/>
        <w:rPr>
          <w:rFonts w:ascii="Verdana" w:hAnsi="Verdana"/>
        </w:rPr>
      </w:pPr>
      <w:r w:rsidRPr="00FD5199">
        <w:rPr>
          <w:rFonts w:ascii="Verdana" w:hAnsi="Verdana"/>
        </w:rPr>
        <w:t xml:space="preserve">LinkedIn: </w:t>
      </w:r>
      <w:r w:rsidRPr="00FD5199">
        <w:rPr>
          <w:rFonts w:ascii="Verdana" w:hAnsi="Verdana"/>
          <w:color w:val="0000FF"/>
          <w:u w:val="single"/>
        </w:rPr>
        <w:t>Agencia Nacional de Contratación Pública - Colombia Compra Eficiente</w:t>
      </w:r>
      <w:r w:rsidRPr="00FD5199">
        <w:rPr>
          <w:rFonts w:ascii="Verdana" w:hAnsi="Verdana"/>
        </w:rPr>
        <w:t xml:space="preserve"> Instagram: </w:t>
      </w:r>
      <w:r w:rsidRPr="00FD5199">
        <w:rPr>
          <w:rFonts w:ascii="Verdana" w:hAnsi="Verdana"/>
          <w:color w:val="0000FF"/>
          <w:u w:val="single"/>
        </w:rPr>
        <w:t>@colombiacompraeficiente_cce</w:t>
      </w:r>
    </w:p>
    <w:p w14:paraId="552BF3C4" w14:textId="77777777" w:rsidR="0002496B" w:rsidRPr="00FD5199" w:rsidRDefault="0002496B" w:rsidP="0002496B">
      <w:pPr>
        <w:widowControl w:val="0"/>
        <w:autoSpaceDE w:val="0"/>
        <w:autoSpaceDN w:val="0"/>
        <w:spacing w:after="0" w:line="276" w:lineRule="auto"/>
        <w:jc w:val="both"/>
        <w:rPr>
          <w:rFonts w:ascii="Verdana" w:eastAsia="Calibri" w:hAnsi="Verdana" w:cs="Arial"/>
          <w:color w:val="000000" w:themeColor="text1"/>
        </w:rPr>
      </w:pPr>
    </w:p>
    <w:p w14:paraId="12338032" w14:textId="77777777" w:rsidR="0002496B" w:rsidRPr="00FD5199" w:rsidRDefault="0002496B" w:rsidP="0002496B">
      <w:pPr>
        <w:widowControl w:val="0"/>
        <w:autoSpaceDE w:val="0"/>
        <w:autoSpaceDN w:val="0"/>
        <w:spacing w:after="0" w:line="276" w:lineRule="auto"/>
        <w:jc w:val="both"/>
        <w:rPr>
          <w:rFonts w:ascii="Verdana" w:hAnsi="Verdana" w:cs="Arial"/>
        </w:rPr>
      </w:pPr>
      <w:r w:rsidRPr="00FD5199">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CC9B768" w14:textId="77777777" w:rsidR="0002496B" w:rsidRPr="00FD5199" w:rsidRDefault="0002496B" w:rsidP="0002496B">
      <w:pPr>
        <w:widowControl w:val="0"/>
        <w:autoSpaceDE w:val="0"/>
        <w:autoSpaceDN w:val="0"/>
        <w:spacing w:after="0" w:line="276" w:lineRule="auto"/>
        <w:jc w:val="both"/>
        <w:rPr>
          <w:rFonts w:ascii="Verdana" w:hAnsi="Verdana" w:cs="Arial"/>
        </w:rPr>
      </w:pPr>
    </w:p>
    <w:p w14:paraId="418E084B" w14:textId="77777777" w:rsidR="0002496B" w:rsidRPr="00FD5199" w:rsidRDefault="0002496B" w:rsidP="0002496B">
      <w:pPr>
        <w:spacing w:after="0" w:line="276" w:lineRule="auto"/>
        <w:rPr>
          <w:rFonts w:ascii="Verdana" w:hAnsi="Verdana" w:cs="Arial"/>
          <w:lang w:eastAsia="es-CO"/>
        </w:rPr>
      </w:pPr>
      <w:r w:rsidRPr="00FD5199">
        <w:rPr>
          <w:rFonts w:ascii="Verdana" w:eastAsia="Times New Roman" w:hAnsi="Verdana" w:cs="Arial"/>
          <w:lang w:eastAsia="es-CO"/>
        </w:rPr>
        <w:t>Atentamente,</w:t>
      </w:r>
      <w:r w:rsidRPr="00FD5199">
        <w:rPr>
          <w:rFonts w:ascii="Verdana" w:hAnsi="Verdana" w:cs="Arial"/>
          <w:lang w:eastAsia="es-CO"/>
        </w:rPr>
        <w:t xml:space="preserve"> </w:t>
      </w:r>
    </w:p>
    <w:p w14:paraId="00E0F43A" w14:textId="2D916376" w:rsidR="0002496B" w:rsidRPr="009B7987" w:rsidRDefault="00D54F37" w:rsidP="0002496B">
      <w:pPr>
        <w:spacing w:line="276" w:lineRule="auto"/>
        <w:jc w:val="center"/>
        <w:rPr>
          <w:rFonts w:ascii="Verdana" w:hAnsi="Verdana" w:cs="Arial"/>
          <w:color w:val="000000"/>
          <w:lang w:eastAsia="es-CO"/>
        </w:rPr>
      </w:pPr>
      <w:r w:rsidRPr="00F21F0B">
        <w:rPr>
          <w:rFonts w:ascii="Century Gothic" w:hAnsi="Century Gothic"/>
          <w:noProof/>
        </w:rPr>
        <w:lastRenderedPageBreak/>
        <w:drawing>
          <wp:inline distT="0" distB="0" distL="0" distR="0" wp14:anchorId="3DA16BC7" wp14:editId="74B076D3">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2496B" w:rsidRPr="009B7987" w14:paraId="1D04395F" w14:textId="77777777" w:rsidTr="002F382E">
        <w:trPr>
          <w:trHeight w:val="315"/>
        </w:trPr>
        <w:tc>
          <w:tcPr>
            <w:tcW w:w="893" w:type="dxa"/>
            <w:vAlign w:val="center"/>
            <w:hideMark/>
          </w:tcPr>
          <w:p w14:paraId="5105F36A" w14:textId="77777777" w:rsidR="0002496B" w:rsidRPr="009B7987" w:rsidRDefault="0002496B" w:rsidP="002F382E">
            <w:pPr>
              <w:contextualSpacing/>
              <w:rPr>
                <w:rFonts w:ascii="Verdana" w:hAnsi="Verdana" w:cs="Arial"/>
                <w:sz w:val="16"/>
                <w:szCs w:val="16"/>
                <w:lang w:eastAsia="es-ES"/>
              </w:rPr>
            </w:pPr>
            <w:r w:rsidRPr="009B7987">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C581900" w14:textId="77777777" w:rsidR="0002496B" w:rsidRPr="009B7987" w:rsidRDefault="0002496B" w:rsidP="002F382E">
            <w:pPr>
              <w:contextualSpacing/>
              <w:rPr>
                <w:rFonts w:ascii="Verdana" w:hAnsi="Verdana"/>
                <w:sz w:val="16"/>
                <w:szCs w:val="16"/>
              </w:rPr>
            </w:pPr>
            <w:r w:rsidRPr="009B7987">
              <w:rPr>
                <w:rFonts w:ascii="Verdana" w:hAnsi="Verdana"/>
                <w:sz w:val="16"/>
                <w:szCs w:val="16"/>
              </w:rPr>
              <w:t>Tatiana Baquero Iguarán</w:t>
            </w:r>
          </w:p>
          <w:p w14:paraId="0AC40519" w14:textId="77777777" w:rsidR="0002496B" w:rsidRPr="009B7987" w:rsidRDefault="0002496B" w:rsidP="002F382E">
            <w:pPr>
              <w:contextualSpacing/>
              <w:rPr>
                <w:rFonts w:ascii="Verdana" w:eastAsia="Arial" w:hAnsi="Verdana" w:cs="Arial"/>
                <w:sz w:val="16"/>
                <w:szCs w:val="16"/>
              </w:rPr>
            </w:pPr>
            <w:r w:rsidRPr="009B7987">
              <w:rPr>
                <w:rFonts w:ascii="Verdana" w:hAnsi="Verdana"/>
                <w:sz w:val="16"/>
                <w:szCs w:val="16"/>
              </w:rPr>
              <w:t>Contratista de la Subdirección de Gestión Contractual</w:t>
            </w:r>
          </w:p>
        </w:tc>
      </w:tr>
      <w:tr w:rsidR="0002496B" w:rsidRPr="009B7987" w14:paraId="23EB9543" w14:textId="77777777" w:rsidTr="002F382E">
        <w:trPr>
          <w:trHeight w:val="330"/>
        </w:trPr>
        <w:tc>
          <w:tcPr>
            <w:tcW w:w="893" w:type="dxa"/>
            <w:vAlign w:val="center"/>
            <w:hideMark/>
          </w:tcPr>
          <w:p w14:paraId="4619A836" w14:textId="77777777" w:rsidR="0002496B" w:rsidRPr="009B7987" w:rsidRDefault="0002496B" w:rsidP="002F382E">
            <w:pPr>
              <w:contextualSpacing/>
              <w:rPr>
                <w:rFonts w:ascii="Verdana" w:hAnsi="Verdana" w:cs="Arial"/>
                <w:sz w:val="16"/>
                <w:szCs w:val="16"/>
                <w:lang w:eastAsia="es-ES"/>
              </w:rPr>
            </w:pPr>
            <w:r w:rsidRPr="009B7987">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56EA05" w14:textId="77777777" w:rsidR="0002496B" w:rsidRPr="002D273E" w:rsidRDefault="0002496B" w:rsidP="002F382E">
            <w:pPr>
              <w:spacing w:before="100" w:beforeAutospacing="1" w:afterAutospacing="1"/>
              <w:contextualSpacing/>
              <w:textAlignment w:val="baseline"/>
              <w:rPr>
                <w:rFonts w:ascii="Verdana" w:eastAsia="Times New Roman" w:hAnsi="Verdana" w:cs="Arial"/>
                <w:sz w:val="16"/>
                <w:szCs w:val="16"/>
                <w:lang w:val="es-ES" w:eastAsia="es-ES_tradnl"/>
              </w:rPr>
            </w:pPr>
            <w:r w:rsidRPr="002D273E">
              <w:rPr>
                <w:rFonts w:ascii="Verdana" w:eastAsia="Times New Roman" w:hAnsi="Verdana" w:cs="Arial"/>
                <w:sz w:val="16"/>
                <w:szCs w:val="16"/>
                <w:lang w:val="es-ES" w:eastAsia="es-ES_tradnl"/>
              </w:rPr>
              <w:t>Diana Lucía Saavedra Castañeda</w:t>
            </w:r>
          </w:p>
          <w:p w14:paraId="5E5CA9D1" w14:textId="77777777" w:rsidR="0002496B" w:rsidRPr="008B52DA" w:rsidRDefault="0002496B" w:rsidP="002F382E">
            <w:pPr>
              <w:spacing w:before="100" w:beforeAutospacing="1" w:afterAutospacing="1"/>
              <w:contextualSpacing/>
              <w:textAlignment w:val="baseline"/>
              <w:rPr>
                <w:rFonts w:ascii="Verdana" w:eastAsia="Times New Roman" w:hAnsi="Verdana" w:cs="Arial"/>
                <w:sz w:val="16"/>
                <w:szCs w:val="16"/>
                <w:lang w:eastAsia="es-ES_tradnl"/>
              </w:rPr>
            </w:pPr>
            <w:r w:rsidRPr="002D273E">
              <w:rPr>
                <w:rFonts w:ascii="Verdana" w:eastAsia="Times New Roman" w:hAnsi="Verdana" w:cs="Arial"/>
                <w:sz w:val="16"/>
                <w:szCs w:val="16"/>
                <w:lang w:val="es-ES" w:eastAsia="es-ES_tradnl"/>
              </w:rPr>
              <w:t>Contratista de la Subdirección de Gestión Contractual</w:t>
            </w:r>
            <w:r w:rsidRPr="009B7987">
              <w:rPr>
                <w:rFonts w:ascii="Verdana" w:eastAsia="Times New Roman" w:hAnsi="Verdana" w:cs="Arial"/>
                <w:sz w:val="16"/>
                <w:szCs w:val="16"/>
                <w:lang w:eastAsia="es-ES_tradnl"/>
              </w:rPr>
              <w:t xml:space="preserve"> </w:t>
            </w:r>
          </w:p>
        </w:tc>
      </w:tr>
      <w:tr w:rsidR="0002496B" w:rsidRPr="009B7987" w14:paraId="2316D4DB" w14:textId="77777777" w:rsidTr="002F382E">
        <w:trPr>
          <w:trHeight w:val="300"/>
        </w:trPr>
        <w:tc>
          <w:tcPr>
            <w:tcW w:w="893" w:type="dxa"/>
            <w:vAlign w:val="center"/>
          </w:tcPr>
          <w:p w14:paraId="1FC9F91E" w14:textId="77777777" w:rsidR="0002496B" w:rsidRPr="009B7987" w:rsidRDefault="0002496B" w:rsidP="002F382E">
            <w:pPr>
              <w:contextualSpacing/>
              <w:rPr>
                <w:rFonts w:ascii="Verdana" w:hAnsi="Verdana" w:cs="Arial"/>
                <w:sz w:val="16"/>
                <w:szCs w:val="16"/>
                <w:lang w:eastAsia="es-ES"/>
              </w:rPr>
            </w:pPr>
            <w:r w:rsidRPr="009B7987">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66BC35" w14:textId="77777777" w:rsidR="0002496B" w:rsidRPr="009B7987" w:rsidRDefault="0002496B" w:rsidP="002F382E">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Carolina Quintero Gacharná</w:t>
            </w:r>
          </w:p>
          <w:p w14:paraId="5A4EFB98" w14:textId="77777777" w:rsidR="0002496B" w:rsidRPr="009B7987" w:rsidRDefault="0002496B" w:rsidP="002F382E">
            <w:pPr>
              <w:contextualSpacing/>
              <w:rPr>
                <w:rFonts w:ascii="Verdana" w:eastAsia="Calibri" w:hAnsi="Verdana" w:cs="Arial"/>
                <w:sz w:val="16"/>
                <w:szCs w:val="16"/>
                <w:lang w:eastAsia="es-ES"/>
              </w:rPr>
            </w:pPr>
            <w:r w:rsidRPr="009B7987">
              <w:rPr>
                <w:rFonts w:ascii="Verdana" w:eastAsia="Calibri" w:hAnsi="Verdana" w:cs="Arial"/>
                <w:sz w:val="16"/>
                <w:szCs w:val="16"/>
                <w:lang w:eastAsia="es-ES"/>
              </w:rPr>
              <w:t>Subdirectora de Gestión Contractual ANCP – CCE</w:t>
            </w:r>
          </w:p>
        </w:tc>
      </w:tr>
    </w:tbl>
    <w:p w14:paraId="3DF098D8" w14:textId="77777777" w:rsidR="0002496B" w:rsidRPr="000E2B93" w:rsidRDefault="0002496B" w:rsidP="0002496B">
      <w:pPr>
        <w:spacing w:after="0" w:line="240" w:lineRule="auto"/>
        <w:jc w:val="both"/>
        <w:textAlignment w:val="baseline"/>
        <w:rPr>
          <w:rFonts w:ascii="Verdana" w:eastAsia="Verdana" w:hAnsi="Verdana" w:cs="Verdana"/>
          <w:lang w:eastAsia="es-CO"/>
        </w:rPr>
      </w:pPr>
    </w:p>
    <w:p w14:paraId="522474A7" w14:textId="17E4A1D8" w:rsidR="0002496B" w:rsidRPr="000E2B93" w:rsidRDefault="0002496B" w:rsidP="0002496B">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1"/>
    </w:p>
    <w:p w14:paraId="30E72CA8" w14:textId="77777777" w:rsidR="00C24FFE" w:rsidRPr="0002496B" w:rsidRDefault="00C24FFE" w:rsidP="0002496B"/>
    <w:sectPr w:rsidR="00C24FFE" w:rsidRPr="0002496B" w:rsidSect="004D0547">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2B46E" w14:textId="77777777" w:rsidR="000723D7" w:rsidRDefault="000723D7" w:rsidP="004D0547">
      <w:pPr>
        <w:spacing w:after="0" w:line="240" w:lineRule="auto"/>
      </w:pPr>
      <w:r>
        <w:separator/>
      </w:r>
    </w:p>
  </w:endnote>
  <w:endnote w:type="continuationSeparator" w:id="0">
    <w:p w14:paraId="347D6F50" w14:textId="77777777" w:rsidR="000723D7" w:rsidRDefault="000723D7" w:rsidP="004D0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Yu Gothic UI Semibold">
    <w:panose1 w:val="020B07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66647" w14:textId="77777777" w:rsidR="004D0547" w:rsidRDefault="004D0547">
    <w:pPr>
      <w:pStyle w:val="Piedepgina"/>
    </w:pPr>
  </w:p>
  <w:p w14:paraId="2A3E638C" w14:textId="77777777" w:rsidR="004D0547" w:rsidRPr="00174B77" w:rsidRDefault="004D0547"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67DBCB7" w14:textId="77777777" w:rsidR="004D0547" w:rsidRDefault="004D0547"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10BD7D91" w14:textId="77777777" w:rsidR="004D0547" w:rsidRPr="00E41027" w:rsidRDefault="004D0547" w:rsidP="00D520D8">
    <w:pPr>
      <w:spacing w:after="0"/>
      <w:jc w:val="both"/>
      <w:rPr>
        <w:rFonts w:ascii="Verdana" w:hAnsi="Verdana"/>
        <w:sz w:val="18"/>
        <w:szCs w:val="18"/>
      </w:rPr>
    </w:pPr>
    <w:r w:rsidRPr="00E41027">
      <w:rPr>
        <w:rFonts w:ascii="Verdana" w:hAnsi="Verdana"/>
        <w:sz w:val="18"/>
        <w:szCs w:val="18"/>
      </w:rPr>
      <w:t>Mesa de servicio: (+57) 601 7456788</w:t>
    </w:r>
  </w:p>
  <w:p w14:paraId="5086E949" w14:textId="77777777" w:rsidR="004D0547" w:rsidRPr="003162EA" w:rsidRDefault="004D0547" w:rsidP="356CEDFD">
    <w:pPr>
      <w:pBdr>
        <w:top w:val="nil"/>
        <w:left w:val="nil"/>
        <w:bottom w:val="nil"/>
        <w:right w:val="nil"/>
        <w:between w:val="nil"/>
      </w:pBdr>
      <w:tabs>
        <w:tab w:val="center" w:pos="4419"/>
        <w:tab w:val="right" w:pos="8838"/>
        <w:tab w:val="center" w:pos="5400"/>
      </w:tabs>
      <w:spacing w:after="0"/>
      <w:jc w:val="right"/>
      <w:rPr>
        <w:lang w:val="pt-BR"/>
      </w:rPr>
    </w:pPr>
    <w:r w:rsidRPr="003162EA">
      <w:rPr>
        <w:rFonts w:ascii="Century Gothic" w:eastAsia="Geo" w:hAnsi="Century Gothic" w:cs="Geo"/>
        <w:b/>
        <w:bCs/>
        <w:color w:val="000000" w:themeColor="text1"/>
        <w:sz w:val="16"/>
        <w:szCs w:val="16"/>
        <w:lang w:val="pt-BR" w:eastAsia="es-CO"/>
      </w:rPr>
      <w:t xml:space="preserve">Código: </w:t>
    </w:r>
    <w:r w:rsidRPr="003162EA">
      <w:rPr>
        <w:rFonts w:ascii="Century Gothic" w:eastAsia="Geo" w:hAnsi="Century Gothic" w:cs="Geo"/>
        <w:color w:val="000000" w:themeColor="text1"/>
        <w:sz w:val="16"/>
        <w:szCs w:val="16"/>
        <w:lang w:val="pt-BR" w:eastAsia="es-CO"/>
      </w:rPr>
      <w:t xml:space="preserve">CCE-REC-FM-17 </w:t>
    </w:r>
    <w:r w:rsidRPr="003162EA">
      <w:rPr>
        <w:rFonts w:ascii="Century Gothic" w:eastAsia="Geo" w:hAnsi="Century Gothic" w:cs="Geo"/>
        <w:b/>
        <w:bCs/>
        <w:color w:val="000000" w:themeColor="text1"/>
        <w:sz w:val="16"/>
        <w:szCs w:val="16"/>
        <w:lang w:val="pt-BR" w:eastAsia="es-CO"/>
      </w:rPr>
      <w:t>V</w:t>
    </w:r>
    <w:r w:rsidRPr="003162EA">
      <w:rPr>
        <w:rFonts w:ascii="Century Gothic" w:eastAsia="Arial Nova" w:hAnsi="Century Gothic" w:cs="Arial Nova"/>
        <w:b/>
        <w:bCs/>
        <w:color w:val="000000" w:themeColor="text1"/>
        <w:sz w:val="16"/>
        <w:szCs w:val="16"/>
        <w:lang w:val="pt-BR" w:eastAsia="es-CO"/>
      </w:rPr>
      <w:t xml:space="preserve">: </w:t>
    </w:r>
    <w:r w:rsidRPr="003162EA">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1074F" w14:textId="77777777" w:rsidR="000723D7" w:rsidRDefault="000723D7" w:rsidP="004D0547">
      <w:pPr>
        <w:spacing w:after="0" w:line="240" w:lineRule="auto"/>
      </w:pPr>
      <w:r>
        <w:separator/>
      </w:r>
    </w:p>
  </w:footnote>
  <w:footnote w:type="continuationSeparator" w:id="0">
    <w:p w14:paraId="0CCE2DFA" w14:textId="77777777" w:rsidR="000723D7" w:rsidRDefault="000723D7" w:rsidP="004D0547">
      <w:pPr>
        <w:spacing w:after="0" w:line="240" w:lineRule="auto"/>
      </w:pPr>
      <w:r>
        <w:continuationSeparator/>
      </w:r>
    </w:p>
  </w:footnote>
  <w:footnote w:id="1">
    <w:p w14:paraId="776F1AC9" w14:textId="77777777" w:rsidR="0002496B" w:rsidRPr="00CD4AEA" w:rsidRDefault="0002496B" w:rsidP="0002496B">
      <w:pPr>
        <w:pStyle w:val="Textonotapie"/>
        <w:ind w:firstLine="709"/>
        <w:contextualSpacing/>
        <w:jc w:val="both"/>
        <w:rPr>
          <w:rFonts w:ascii="Verdana" w:hAnsi="Verdana" w:cs="Arial"/>
          <w:sz w:val="14"/>
          <w:szCs w:val="14"/>
          <w:lang w:val="it-IT"/>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 T-743 de 2017, Exp. </w:t>
      </w:r>
      <w:r w:rsidRPr="00CD4AEA">
        <w:rPr>
          <w:rFonts w:ascii="Verdana" w:hAnsi="Verdana" w:cs="Arial"/>
          <w:sz w:val="14"/>
          <w:szCs w:val="14"/>
          <w:lang w:val="it-IT"/>
        </w:rPr>
        <w:t>T-6.366.648 Magistrada Ponente Cristina Pardo Schlesinger.</w:t>
      </w:r>
    </w:p>
    <w:p w14:paraId="7C6398DC" w14:textId="77777777" w:rsidR="0002496B" w:rsidRPr="00CD4AEA" w:rsidRDefault="0002496B" w:rsidP="0002496B">
      <w:pPr>
        <w:pStyle w:val="Textonotapie"/>
        <w:ind w:firstLine="709"/>
        <w:contextualSpacing/>
        <w:jc w:val="both"/>
        <w:rPr>
          <w:rFonts w:ascii="Verdana" w:hAnsi="Verdana" w:cs="Arial"/>
          <w:sz w:val="14"/>
          <w:szCs w:val="14"/>
          <w:lang w:val="it-IT"/>
        </w:rPr>
      </w:pPr>
    </w:p>
  </w:footnote>
  <w:footnote w:id="2">
    <w:p w14:paraId="13EC3C44" w14:textId="77777777" w:rsidR="0002496B" w:rsidRPr="00CD4AEA" w:rsidRDefault="0002496B" w:rsidP="0002496B">
      <w:pPr>
        <w:spacing w:after="0" w:line="240" w:lineRule="auto"/>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La sentencia explica lo siguiente: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68D0B86B" w14:textId="77777777" w:rsidR="0002496B" w:rsidRPr="00CD4AEA" w:rsidRDefault="0002496B" w:rsidP="0002496B">
      <w:pPr>
        <w:spacing w:after="0" w:line="240" w:lineRule="auto"/>
        <w:ind w:firstLine="709"/>
        <w:contextualSpacing/>
        <w:jc w:val="both"/>
        <w:rPr>
          <w:rFonts w:ascii="Verdana" w:hAnsi="Verdana" w:cs="Arial"/>
          <w:sz w:val="14"/>
          <w:szCs w:val="14"/>
        </w:rPr>
      </w:pPr>
      <w:r w:rsidRPr="00CD4AEA">
        <w:rPr>
          <w:rFonts w:ascii="Verdana" w:hAnsi="Verdana" w:cs="Arial"/>
          <w:sz w:val="14"/>
          <w:szCs w:val="14"/>
        </w:rPr>
        <w:t>[…]</w:t>
      </w:r>
    </w:p>
    <w:p w14:paraId="2A3FD829" w14:textId="77777777" w:rsidR="0002496B" w:rsidRPr="00CD4AEA" w:rsidRDefault="0002496B" w:rsidP="0002496B">
      <w:pPr>
        <w:spacing w:after="0" w:line="240" w:lineRule="auto"/>
        <w:ind w:firstLine="709"/>
        <w:contextualSpacing/>
        <w:jc w:val="both"/>
        <w:rPr>
          <w:rFonts w:ascii="Verdana" w:hAnsi="Verdana" w:cs="Arial"/>
          <w:sz w:val="14"/>
          <w:szCs w:val="14"/>
        </w:rPr>
      </w:pPr>
      <w:r w:rsidRPr="00CD4AEA">
        <w:rPr>
          <w:rFonts w:ascii="Verdana" w:hAnsi="Verdana" w:cs="Arial"/>
          <w:sz w:val="14"/>
          <w:szCs w:val="14"/>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CD4AEA">
        <w:rPr>
          <w:rFonts w:ascii="Verdana" w:hAnsi="Verdana" w:cs="Arial"/>
          <w:spacing w:val="-17"/>
          <w:sz w:val="14"/>
          <w:szCs w:val="14"/>
        </w:rPr>
        <w:t xml:space="preserve"> </w:t>
      </w:r>
      <w:r w:rsidRPr="00CD4AEA">
        <w:rPr>
          <w:rFonts w:ascii="Verdana" w:hAnsi="Verdana" w:cs="Arial"/>
          <w:sz w:val="14"/>
          <w:szCs w:val="14"/>
        </w:rPr>
        <w:t>trabajo”.</w:t>
      </w:r>
    </w:p>
    <w:p w14:paraId="6E5456F6" w14:textId="77777777" w:rsidR="0002496B" w:rsidRPr="00CD4AEA" w:rsidRDefault="0002496B" w:rsidP="0002496B">
      <w:pPr>
        <w:pStyle w:val="Textonotapie"/>
        <w:contextualSpacing/>
        <w:jc w:val="both"/>
        <w:rPr>
          <w:rFonts w:ascii="Verdana" w:hAnsi="Verdana" w:cs="Arial"/>
          <w:sz w:val="14"/>
          <w:szCs w:val="14"/>
        </w:rPr>
      </w:pPr>
    </w:p>
  </w:footnote>
  <w:footnote w:id="3">
    <w:p w14:paraId="349912CE" w14:textId="77777777" w:rsidR="0002496B" w:rsidRPr="00CD4AEA" w:rsidRDefault="0002496B" w:rsidP="0002496B">
      <w:pPr>
        <w:spacing w:after="0" w:line="240" w:lineRule="auto"/>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6F7330FD" w14:textId="77777777" w:rsidR="0002496B" w:rsidRPr="00CD4AEA" w:rsidRDefault="0002496B" w:rsidP="0002496B">
      <w:pPr>
        <w:pStyle w:val="Textonotapie"/>
        <w:contextualSpacing/>
        <w:jc w:val="both"/>
        <w:rPr>
          <w:rFonts w:ascii="Verdana" w:hAnsi="Verdana" w:cs="Arial"/>
          <w:sz w:val="14"/>
          <w:szCs w:val="14"/>
        </w:rPr>
      </w:pPr>
    </w:p>
  </w:footnote>
  <w:footnote w:id="4">
    <w:p w14:paraId="312B570B" w14:textId="77777777" w:rsidR="0002496B" w:rsidRPr="00CD4AEA" w:rsidRDefault="0002496B" w:rsidP="0002496B">
      <w:pPr>
        <w:spacing w:after="0" w:line="240" w:lineRule="auto"/>
        <w:ind w:firstLine="562"/>
        <w:contextualSpacing/>
        <w:jc w:val="both"/>
        <w:rPr>
          <w:rFonts w:ascii="Verdana" w:hAnsi="Verdana" w:cs="Arial"/>
          <w:sz w:val="14"/>
          <w:szCs w:val="14"/>
        </w:rPr>
      </w:pPr>
      <w:r w:rsidRPr="00CD4AEA">
        <w:rPr>
          <w:rFonts w:ascii="Verdana" w:hAnsi="Verdana" w:cs="Arial"/>
          <w:sz w:val="14"/>
          <w:szCs w:val="14"/>
        </w:rPr>
        <w:t xml:space="preserve">  </w:t>
      </w:r>
      <w:r w:rsidRPr="00CD4AEA">
        <w:rPr>
          <w:rStyle w:val="Refdenotaalpie"/>
          <w:rFonts w:ascii="Verdana" w:hAnsi="Verdana" w:cs="Arial"/>
          <w:sz w:val="14"/>
          <w:szCs w:val="14"/>
        </w:rPr>
        <w:footnoteRef/>
      </w:r>
      <w:r w:rsidRPr="00CD4AEA">
        <w:rPr>
          <w:rFonts w:ascii="Verdana" w:hAnsi="Verdana" w:cs="Arial"/>
          <w:sz w:val="14"/>
          <w:szCs w:val="14"/>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CD4AEA">
        <w:rPr>
          <w:rFonts w:ascii="Verdana" w:hAnsi="Verdana" w:cs="Arial"/>
          <w:spacing w:val="-6"/>
          <w:sz w:val="14"/>
          <w:szCs w:val="14"/>
        </w:rPr>
        <w:t xml:space="preserve"> </w:t>
      </w:r>
      <w:r w:rsidRPr="00CD4AEA">
        <w:rPr>
          <w:rFonts w:ascii="Verdana" w:hAnsi="Verdana" w:cs="Arial"/>
          <w:sz w:val="14"/>
          <w:szCs w:val="14"/>
        </w:rPr>
        <w:t>laboral”.</w:t>
      </w:r>
    </w:p>
    <w:p w14:paraId="66B701A8" w14:textId="77777777" w:rsidR="0002496B" w:rsidRPr="00CD4AEA" w:rsidRDefault="0002496B" w:rsidP="0002496B">
      <w:pPr>
        <w:spacing w:after="0" w:line="240" w:lineRule="auto"/>
        <w:ind w:firstLine="708"/>
        <w:contextualSpacing/>
        <w:jc w:val="both"/>
        <w:rPr>
          <w:rFonts w:ascii="Verdana" w:hAnsi="Verdana" w:cs="Arial"/>
          <w:sz w:val="14"/>
          <w:szCs w:val="14"/>
        </w:rPr>
      </w:pPr>
      <w:r w:rsidRPr="00CD4AEA">
        <w:rPr>
          <w:rFonts w:ascii="Verdana" w:hAnsi="Verdana" w:cs="Arial"/>
          <w:sz w:val="14"/>
          <w:szCs w:val="14"/>
        </w:rPr>
        <w:t>[…]</w:t>
      </w:r>
    </w:p>
    <w:p w14:paraId="15C780DF" w14:textId="77777777" w:rsidR="0002496B" w:rsidRPr="00CD4AEA" w:rsidRDefault="0002496B" w:rsidP="0002496B">
      <w:pPr>
        <w:spacing w:after="0" w:line="240" w:lineRule="auto"/>
        <w:ind w:firstLine="708"/>
        <w:contextualSpacing/>
        <w:jc w:val="both"/>
        <w:rPr>
          <w:rFonts w:ascii="Verdana" w:hAnsi="Verdana" w:cs="Arial"/>
          <w:sz w:val="14"/>
          <w:szCs w:val="14"/>
        </w:rPr>
      </w:pPr>
      <w:r w:rsidRPr="00CD4AEA">
        <w:rPr>
          <w:rFonts w:ascii="Verdana" w:hAnsi="Verdana" w:cs="Arial"/>
          <w:sz w:val="14"/>
          <w:szCs w:val="14"/>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CD4AEA">
        <w:rPr>
          <w:rFonts w:ascii="Verdana" w:hAnsi="Verdana" w:cs="Arial"/>
          <w:spacing w:val="2"/>
          <w:sz w:val="14"/>
          <w:szCs w:val="14"/>
        </w:rPr>
        <w:t xml:space="preserve"> </w:t>
      </w:r>
      <w:r w:rsidRPr="00CD4AEA">
        <w:rPr>
          <w:rFonts w:ascii="Verdana" w:hAnsi="Verdana" w:cs="Arial"/>
          <w:sz w:val="14"/>
          <w:szCs w:val="14"/>
        </w:rPr>
        <w:t>terminación”.</w:t>
      </w:r>
    </w:p>
    <w:p w14:paraId="21A7A1A3" w14:textId="77777777" w:rsidR="0002496B" w:rsidRPr="00CD4AEA" w:rsidRDefault="0002496B" w:rsidP="0002496B">
      <w:pPr>
        <w:spacing w:after="0" w:line="240" w:lineRule="auto"/>
        <w:ind w:firstLine="850"/>
        <w:contextualSpacing/>
        <w:jc w:val="both"/>
        <w:rPr>
          <w:rFonts w:ascii="Verdana" w:hAnsi="Verdana" w:cs="Arial"/>
          <w:sz w:val="14"/>
          <w:szCs w:val="14"/>
        </w:rPr>
      </w:pPr>
    </w:p>
    <w:p w14:paraId="36F0ADA7" w14:textId="77777777" w:rsidR="0002496B" w:rsidRPr="00CD4AEA" w:rsidRDefault="0002496B" w:rsidP="0002496B">
      <w:pPr>
        <w:pStyle w:val="Textonotapie"/>
        <w:contextualSpacing/>
        <w:jc w:val="both"/>
        <w:rPr>
          <w:rFonts w:ascii="Verdana" w:hAnsi="Verdana" w:cs="Arial"/>
          <w:sz w:val="14"/>
          <w:szCs w:val="14"/>
        </w:rPr>
      </w:pPr>
    </w:p>
  </w:footnote>
  <w:footnote w:id="5">
    <w:p w14:paraId="4A42A56D" w14:textId="77777777" w:rsidR="0002496B" w:rsidRDefault="0002496B" w:rsidP="0002496B">
      <w:pPr>
        <w:pStyle w:val="Textonotapie"/>
        <w:ind w:firstLine="708"/>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Corte Constitucional. Sentencia SU-075 de 2018. Magistrado Ponente: Gloria Stella Ortiz Delgado</w:t>
      </w:r>
      <w:r>
        <w:rPr>
          <w:rFonts w:ascii="Verdana" w:hAnsi="Verdana" w:cs="Arial"/>
          <w:sz w:val="14"/>
          <w:szCs w:val="14"/>
          <w:lang w:val="es-ES"/>
        </w:rPr>
        <w:t xml:space="preserve">. </w:t>
      </w:r>
    </w:p>
    <w:p w14:paraId="79D1248E" w14:textId="77777777" w:rsidR="0002496B" w:rsidRPr="00CD4AEA" w:rsidRDefault="0002496B" w:rsidP="0002496B">
      <w:pPr>
        <w:pStyle w:val="Textonotapie"/>
        <w:ind w:firstLine="708"/>
        <w:contextualSpacing/>
        <w:jc w:val="both"/>
        <w:rPr>
          <w:rFonts w:ascii="Verdana" w:hAnsi="Verdana" w:cs="Arial"/>
          <w:sz w:val="14"/>
          <w:szCs w:val="14"/>
          <w:lang w:val="es-CO"/>
        </w:rPr>
      </w:pPr>
    </w:p>
  </w:footnote>
  <w:footnote w:id="6">
    <w:p w14:paraId="6774533F" w14:textId="77777777" w:rsidR="0002496B" w:rsidRPr="00CD4AEA" w:rsidRDefault="0002496B" w:rsidP="0002496B">
      <w:pPr>
        <w:pStyle w:val="Sinespaciado"/>
        <w:ind w:firstLine="682"/>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Corte Constitucional. Sentencia T-329 del 19 de septiembre de 2022. Expediente </w:t>
      </w:r>
      <w:bookmarkStart w:id="4" w:name="_Hlk113364075"/>
      <w:r w:rsidRPr="00CD4AEA">
        <w:rPr>
          <w:rFonts w:ascii="Verdana" w:hAnsi="Verdana" w:cs="Arial"/>
          <w:sz w:val="14"/>
          <w:szCs w:val="14"/>
        </w:rPr>
        <w:t>T-8.517.984</w:t>
      </w:r>
      <w:bookmarkEnd w:id="4"/>
      <w:r w:rsidRPr="00CD4AEA">
        <w:rPr>
          <w:rFonts w:ascii="Verdana" w:hAnsi="Verdana" w:cs="Arial"/>
          <w:sz w:val="14"/>
          <w:szCs w:val="14"/>
        </w:rPr>
        <w:t>. Magistrada Ponente: Natalia Ángel Cabo</w:t>
      </w:r>
    </w:p>
    <w:p w14:paraId="74AA74DF" w14:textId="77777777" w:rsidR="0002496B" w:rsidRPr="00CD4AEA" w:rsidRDefault="0002496B" w:rsidP="0002496B">
      <w:pPr>
        <w:pStyle w:val="Textonotapie"/>
        <w:contextualSpacing/>
        <w:jc w:val="both"/>
        <w:rPr>
          <w:rFonts w:ascii="Verdana" w:hAnsi="Verdana" w:cs="Arial"/>
          <w:sz w:val="14"/>
          <w:szCs w:val="14"/>
        </w:rPr>
      </w:pPr>
    </w:p>
  </w:footnote>
  <w:footnote w:id="7">
    <w:p w14:paraId="4A5278CF" w14:textId="77777777" w:rsidR="0002496B" w:rsidRDefault="0002496B" w:rsidP="0002496B">
      <w:pPr>
        <w:pStyle w:val="Textonotapie"/>
        <w:ind w:firstLine="708"/>
        <w:contextualSpacing/>
        <w:jc w:val="both"/>
        <w:rPr>
          <w:rFonts w:ascii="Verdana" w:hAnsi="Verdana" w:cs="Arial"/>
          <w:sz w:val="14"/>
          <w:szCs w:val="14"/>
          <w:lang w:val="es-ES_tradnl"/>
        </w:rPr>
      </w:pPr>
      <w:r w:rsidRPr="00CD4AEA">
        <w:rPr>
          <w:rStyle w:val="Refdenotaalpie"/>
          <w:rFonts w:ascii="Verdana" w:hAnsi="Verdana" w:cs="Arial"/>
          <w:sz w:val="14"/>
          <w:szCs w:val="14"/>
        </w:rPr>
        <w:footnoteRef/>
      </w:r>
      <w:r w:rsidRPr="00CD4AEA">
        <w:rPr>
          <w:rFonts w:ascii="Verdana" w:hAnsi="Verdana" w:cs="Arial"/>
          <w:sz w:val="14"/>
          <w:szCs w:val="14"/>
        </w:rPr>
        <w:t xml:space="preserve"> Sentencia SU-070 de 2013. Fund. 6. Reiterado en las</w:t>
      </w:r>
      <w:r w:rsidRPr="00CD4AEA">
        <w:rPr>
          <w:rFonts w:ascii="Verdana" w:hAnsi="Verdana" w:cs="Arial"/>
          <w:sz w:val="14"/>
          <w:szCs w:val="14"/>
          <w:lang w:val="es-ES_tradnl"/>
        </w:rPr>
        <w:t xml:space="preserve"> sentencias SU-040 de 2018 y SU-075 de 2018.</w:t>
      </w:r>
    </w:p>
    <w:p w14:paraId="58F18952" w14:textId="77777777" w:rsidR="0002496B" w:rsidRPr="00CD4AEA" w:rsidRDefault="0002496B" w:rsidP="0002496B">
      <w:pPr>
        <w:pStyle w:val="Textonotapie"/>
        <w:ind w:firstLine="708"/>
        <w:contextualSpacing/>
        <w:jc w:val="both"/>
        <w:rPr>
          <w:rFonts w:ascii="Verdana" w:hAnsi="Verdana" w:cs="Arial"/>
          <w:sz w:val="14"/>
          <w:szCs w:val="14"/>
        </w:rPr>
      </w:pPr>
    </w:p>
  </w:footnote>
  <w:footnote w:id="8">
    <w:p w14:paraId="452DECC0" w14:textId="77777777" w:rsidR="0002496B" w:rsidRPr="00CD4AEA" w:rsidRDefault="0002496B" w:rsidP="0002496B">
      <w:pPr>
        <w:pStyle w:val="Textonotapie"/>
        <w:contextualSpacing/>
        <w:jc w:val="both"/>
        <w:rPr>
          <w:rFonts w:ascii="Verdana" w:hAnsi="Verdana" w:cs="Arial"/>
          <w:sz w:val="14"/>
          <w:szCs w:val="14"/>
        </w:rPr>
      </w:pPr>
    </w:p>
    <w:p w14:paraId="0DE0530D" w14:textId="77777777" w:rsidR="0002496B" w:rsidRPr="00CD4AEA" w:rsidRDefault="0002496B" w:rsidP="0002496B">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Esta indemnización se ha reconocido en contratos de prestación de servicios, entre otras, en las sentencias T-564 de 2017, T-350 de 2016, 316 de 2016, T-102 de 2016 y T-346 de 2013.</w:t>
      </w:r>
    </w:p>
  </w:footnote>
  <w:footnote w:id="9">
    <w:p w14:paraId="71DED045" w14:textId="77777777" w:rsidR="0002496B" w:rsidRPr="00CD4AEA" w:rsidRDefault="0002496B" w:rsidP="0002496B">
      <w:pPr>
        <w:pStyle w:val="Textonotapie"/>
        <w:contextualSpacing/>
        <w:jc w:val="both"/>
        <w:rPr>
          <w:rFonts w:ascii="Verdana" w:hAnsi="Verdana" w:cs="Arial"/>
          <w:sz w:val="14"/>
          <w:szCs w:val="14"/>
        </w:rPr>
      </w:pPr>
    </w:p>
    <w:p w14:paraId="0BE8C9E6" w14:textId="77777777" w:rsidR="0002496B" w:rsidRPr="00CD4AEA" w:rsidRDefault="0002496B" w:rsidP="0002496B">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En las sentencias T-238 de 2015 y T-350 de 2016 la Corte determinó que no procede el pago de la licencia de maternidad cuando en el caso se observe que la licencia de maternidad ya fue disfrutada. </w:t>
      </w:r>
    </w:p>
  </w:footnote>
  <w:footnote w:id="10">
    <w:p w14:paraId="7C964681" w14:textId="77777777" w:rsidR="0002496B" w:rsidRPr="00CD4AEA" w:rsidRDefault="0002496B" w:rsidP="0002496B">
      <w:pPr>
        <w:pStyle w:val="Textonotapie"/>
        <w:ind w:firstLine="708"/>
        <w:contextualSpacing/>
        <w:jc w:val="both"/>
        <w:rPr>
          <w:rFonts w:ascii="Verdana" w:hAnsi="Verdana" w:cs="Arial"/>
          <w:sz w:val="14"/>
          <w:szCs w:val="14"/>
        </w:rPr>
      </w:pPr>
    </w:p>
    <w:p w14:paraId="2C1BCDC8" w14:textId="77777777" w:rsidR="0002496B" w:rsidRPr="00CD4AEA" w:rsidRDefault="0002496B" w:rsidP="0002496B">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Esta media fue aplicada en la Sentencia T-030 de 2018 respecto del caso estudiado bajo el expediente T-6.425.691.</w:t>
      </w:r>
    </w:p>
  </w:footnote>
  <w:footnote w:id="11">
    <w:p w14:paraId="41B24281" w14:textId="77777777" w:rsidR="0002496B" w:rsidRPr="00CD4AEA" w:rsidRDefault="0002496B" w:rsidP="0002496B">
      <w:pPr>
        <w:pStyle w:val="Textonotapie"/>
        <w:ind w:firstLine="708"/>
        <w:contextualSpacing/>
        <w:jc w:val="both"/>
        <w:rPr>
          <w:rFonts w:ascii="Verdana" w:hAnsi="Verdana" w:cs="Arial"/>
          <w:sz w:val="14"/>
          <w:szCs w:val="14"/>
        </w:rPr>
      </w:pPr>
    </w:p>
    <w:p w14:paraId="6EAE2853" w14:textId="77777777" w:rsidR="0002496B" w:rsidRPr="00CD4AEA" w:rsidRDefault="0002496B" w:rsidP="0002496B">
      <w:pPr>
        <w:pStyle w:val="Textonotapie"/>
        <w:ind w:firstLine="708"/>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En algunas oportunidades las salas de revisión han reconocido el pago de las prestaciones en materia de seguridad social en salud. Sentencia T-102 de 2016.</w:t>
      </w:r>
    </w:p>
  </w:footnote>
  <w:footnote w:id="12">
    <w:p w14:paraId="2A4DF3B6"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B8B54D4"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B41F5F8" w14:textId="77777777" w:rsidR="0002496B" w:rsidRPr="00CD4AEA" w:rsidRDefault="0002496B" w:rsidP="0002496B">
      <w:pPr>
        <w:pStyle w:val="Textonotapie"/>
        <w:ind w:firstLine="709"/>
        <w:contextualSpacing/>
        <w:jc w:val="both"/>
        <w:rPr>
          <w:rFonts w:ascii="Verdana" w:hAnsi="Verdana" w:cs="Arial"/>
          <w:sz w:val="14"/>
          <w:szCs w:val="14"/>
        </w:rPr>
      </w:pPr>
    </w:p>
  </w:footnote>
  <w:footnote w:id="13">
    <w:p w14:paraId="2C862AB3" w14:textId="77777777" w:rsidR="0002496B" w:rsidRDefault="0002496B" w:rsidP="0002496B">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Gaceta del Congreso de la República No. 71 del 2005.</w:t>
      </w:r>
    </w:p>
    <w:p w14:paraId="3220D564" w14:textId="77777777" w:rsidR="0002496B" w:rsidRPr="002B7171" w:rsidRDefault="0002496B" w:rsidP="0002496B">
      <w:pPr>
        <w:pStyle w:val="Textonotapie"/>
        <w:ind w:firstLine="709"/>
        <w:contextualSpacing/>
        <w:jc w:val="both"/>
        <w:rPr>
          <w:rFonts w:ascii="Verdana" w:hAnsi="Verdana" w:cs="Arial"/>
          <w:sz w:val="14"/>
          <w:szCs w:val="14"/>
        </w:rPr>
      </w:pPr>
    </w:p>
  </w:footnote>
  <w:footnote w:id="14">
    <w:p w14:paraId="30A7384B" w14:textId="77777777" w:rsidR="0002496B" w:rsidRPr="00CD4AEA" w:rsidRDefault="0002496B" w:rsidP="0002496B">
      <w:pPr>
        <w:pStyle w:val="Textonotapie"/>
        <w:ind w:firstLine="709"/>
        <w:contextualSpacing/>
        <w:jc w:val="both"/>
        <w:rPr>
          <w:rFonts w:ascii="Verdana" w:hAnsi="Verdana" w:cs="Arial"/>
          <w:sz w:val="14"/>
          <w:szCs w:val="14"/>
          <w:lang w:val="pt-BR"/>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 C- 1153 de 2005, M.P. Marco Gerardo Monroy Cabra.</w:t>
      </w:r>
    </w:p>
    <w:p w14:paraId="1A275C5B" w14:textId="77777777" w:rsidR="0002496B" w:rsidRPr="00CD4AEA" w:rsidRDefault="0002496B" w:rsidP="0002496B">
      <w:pPr>
        <w:pStyle w:val="Textonotapie"/>
        <w:ind w:firstLine="709"/>
        <w:contextualSpacing/>
        <w:jc w:val="both"/>
        <w:rPr>
          <w:rFonts w:ascii="Verdana" w:hAnsi="Verdana" w:cs="Arial"/>
          <w:sz w:val="14"/>
          <w:szCs w:val="14"/>
          <w:lang w:val="pt-BR"/>
        </w:rPr>
      </w:pPr>
    </w:p>
  </w:footnote>
  <w:footnote w:id="15">
    <w:p w14:paraId="730ED0FE" w14:textId="77777777" w:rsidR="0002496B" w:rsidRPr="00CD4AEA" w:rsidRDefault="0002496B" w:rsidP="0002496B">
      <w:pPr>
        <w:pStyle w:val="Textonotapie"/>
        <w:ind w:firstLine="709"/>
        <w:contextualSpacing/>
        <w:jc w:val="both"/>
        <w:rPr>
          <w:rFonts w:ascii="Verdana" w:hAnsi="Verdana" w:cs="Arial"/>
          <w:sz w:val="14"/>
          <w:szCs w:val="14"/>
          <w:lang w:val="pt-BR"/>
        </w:rPr>
      </w:pPr>
      <w:r w:rsidRPr="00CD4AEA">
        <w:rPr>
          <w:rStyle w:val="Refdenotaalpie"/>
          <w:rFonts w:ascii="Verdana" w:hAnsi="Verdana" w:cs="Arial"/>
          <w:sz w:val="14"/>
          <w:szCs w:val="14"/>
        </w:rPr>
        <w:footnoteRef/>
      </w:r>
      <w:r w:rsidRPr="00CD4AEA">
        <w:rPr>
          <w:rFonts w:ascii="Verdana" w:hAnsi="Verdana" w:cs="Arial"/>
          <w:sz w:val="14"/>
          <w:szCs w:val="14"/>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1A749A7C" w14:textId="77777777" w:rsidR="0002496B" w:rsidRPr="00CD4AEA" w:rsidRDefault="0002496B" w:rsidP="0002496B">
      <w:pPr>
        <w:pStyle w:val="Textonotapie"/>
        <w:ind w:firstLine="709"/>
        <w:contextualSpacing/>
        <w:jc w:val="both"/>
        <w:rPr>
          <w:rFonts w:ascii="Verdana" w:hAnsi="Verdana" w:cs="Arial"/>
          <w:sz w:val="14"/>
          <w:szCs w:val="14"/>
          <w:lang w:val="pt-BR"/>
        </w:rPr>
      </w:pPr>
    </w:p>
  </w:footnote>
  <w:footnote w:id="16">
    <w:p w14:paraId="0657446B" w14:textId="77777777" w:rsidR="0002496B" w:rsidRPr="00CD4AEA" w:rsidRDefault="0002496B" w:rsidP="0002496B">
      <w:pPr>
        <w:pStyle w:val="Textonotapie"/>
        <w:ind w:firstLine="709"/>
        <w:contextualSpacing/>
        <w:jc w:val="both"/>
        <w:rPr>
          <w:rFonts w:ascii="Verdana" w:hAnsi="Verdana" w:cs="Arial"/>
          <w:sz w:val="14"/>
          <w:szCs w:val="14"/>
          <w:lang w:val="es-CO"/>
        </w:rPr>
      </w:pPr>
      <w:r w:rsidRPr="00CD4AEA">
        <w:rPr>
          <w:rStyle w:val="Refdenotaalpie"/>
          <w:rFonts w:ascii="Verdana" w:hAnsi="Verdana" w:cs="Arial"/>
          <w:sz w:val="14"/>
          <w:szCs w:val="14"/>
        </w:rPr>
        <w:footnoteRef/>
      </w:r>
      <w:r w:rsidRPr="00CD4AEA">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5CE86747" w14:textId="77777777" w:rsidR="0002496B" w:rsidRPr="00CD4AEA" w:rsidRDefault="0002496B" w:rsidP="0002496B">
      <w:pPr>
        <w:pStyle w:val="Textonotapie"/>
        <w:ind w:firstLine="709"/>
        <w:contextualSpacing/>
        <w:jc w:val="both"/>
        <w:rPr>
          <w:rFonts w:ascii="Verdana" w:hAnsi="Verdana" w:cs="Arial"/>
          <w:sz w:val="14"/>
          <w:szCs w:val="14"/>
          <w:lang w:val="es-CO"/>
        </w:rPr>
      </w:pPr>
    </w:p>
  </w:footnote>
  <w:footnote w:id="17">
    <w:p w14:paraId="5ACF07A7"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de fecha 24 de julio de 2013, Rad. 2166, C. P. Álvaro Namén Vargas. </w:t>
      </w:r>
    </w:p>
    <w:p w14:paraId="53656AFB"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Fonts w:ascii="Verdana" w:hAnsi="Verdana" w:cs="Arial"/>
          <w:sz w:val="14"/>
          <w:szCs w:val="14"/>
        </w:rPr>
        <w:t xml:space="preserve"> </w:t>
      </w:r>
    </w:p>
  </w:footnote>
  <w:footnote w:id="18">
    <w:p w14:paraId="74C60CCD" w14:textId="77777777" w:rsidR="0002496B" w:rsidRPr="00CD4AEA" w:rsidRDefault="0002496B" w:rsidP="0002496B">
      <w:pPr>
        <w:spacing w:after="0" w:line="240" w:lineRule="auto"/>
        <w:ind w:firstLine="709"/>
        <w:contextualSpacing/>
        <w:jc w:val="both"/>
        <w:rPr>
          <w:rFonts w:ascii="Verdana" w:eastAsia="Times New Roman"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color w:val="000000"/>
          <w:sz w:val="14"/>
          <w:szCs w:val="14"/>
        </w:rPr>
        <w:t>“</w:t>
      </w:r>
      <w:r w:rsidRPr="00CD4AEA">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6CE60AB5" w14:textId="77777777" w:rsidR="0002496B" w:rsidRPr="00CD4AEA" w:rsidRDefault="0002496B" w:rsidP="0002496B">
      <w:pPr>
        <w:spacing w:after="0" w:line="240" w:lineRule="auto"/>
        <w:ind w:firstLine="709"/>
        <w:contextualSpacing/>
        <w:jc w:val="both"/>
        <w:rPr>
          <w:rFonts w:ascii="Verdana" w:eastAsia="Times New Roman" w:hAnsi="Verdana" w:cs="Arial"/>
          <w:sz w:val="14"/>
          <w:szCs w:val="14"/>
        </w:rPr>
      </w:pPr>
      <w:r w:rsidRPr="00CD4AEA">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D4AEA">
        <w:rPr>
          <w:rFonts w:ascii="Verdana" w:hAnsi="Verdana" w:cs="Arial"/>
          <w:color w:val="000000"/>
          <w:sz w:val="14"/>
          <w:szCs w:val="14"/>
        </w:rPr>
        <w:t>”</w:t>
      </w:r>
      <w:r w:rsidRPr="00CD4AEA">
        <w:rPr>
          <w:rFonts w:ascii="Verdana" w:eastAsia="Times New Roman" w:hAnsi="Verdana" w:cs="Arial"/>
          <w:sz w:val="14"/>
          <w:szCs w:val="14"/>
        </w:rPr>
        <w:t>.</w:t>
      </w:r>
    </w:p>
    <w:p w14:paraId="5035B3DE" w14:textId="77777777" w:rsidR="0002496B" w:rsidRPr="00CD4AEA" w:rsidRDefault="0002496B" w:rsidP="0002496B">
      <w:pPr>
        <w:spacing w:after="0" w:line="240" w:lineRule="auto"/>
        <w:ind w:firstLine="709"/>
        <w:contextualSpacing/>
        <w:jc w:val="both"/>
        <w:rPr>
          <w:rFonts w:ascii="Verdana" w:eastAsia="Times New Roman" w:hAnsi="Verdana" w:cs="Arial"/>
          <w:sz w:val="14"/>
          <w:szCs w:val="14"/>
        </w:rPr>
      </w:pPr>
    </w:p>
  </w:footnote>
  <w:footnote w:id="19">
    <w:p w14:paraId="37423E11" w14:textId="77777777" w:rsidR="0002496B" w:rsidRPr="00CD4AEA" w:rsidRDefault="0002496B" w:rsidP="0002496B">
      <w:pPr>
        <w:spacing w:after="0" w:line="240" w:lineRule="auto"/>
        <w:ind w:firstLine="709"/>
        <w:contextualSpacing/>
        <w:jc w:val="both"/>
        <w:rPr>
          <w:rFonts w:ascii="Verdana" w:hAnsi="Verdana" w:cs="Arial"/>
          <w:sz w:val="14"/>
          <w:szCs w:val="14"/>
          <w:lang w:val="es-MX"/>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eastAsia="Calibri" w:hAnsi="Verdana" w:cs="Arial"/>
          <w:color w:val="000000"/>
          <w:sz w:val="14"/>
          <w:szCs w:val="14"/>
        </w:rPr>
        <w:t>“</w:t>
      </w:r>
      <w:r w:rsidRPr="00CD4AEA">
        <w:rPr>
          <w:rFonts w:ascii="Verdana" w:hAnsi="Verdana" w:cs="Arial"/>
          <w:sz w:val="14"/>
          <w:szCs w:val="14"/>
          <w:lang w:val="es-MX"/>
        </w:rPr>
        <w:t xml:space="preserve">Artículo 38. Prohibiciones para los servidores públicos. A los empleados del Estado les está prohibido: </w:t>
      </w:r>
    </w:p>
    <w:p w14:paraId="0353D3AB" w14:textId="77777777" w:rsidR="0002496B" w:rsidRPr="00CD4AEA" w:rsidRDefault="0002496B" w:rsidP="0002496B">
      <w:pPr>
        <w:spacing w:after="0" w:line="240" w:lineRule="auto"/>
        <w:ind w:firstLine="709"/>
        <w:contextualSpacing/>
        <w:jc w:val="both"/>
        <w:rPr>
          <w:rFonts w:ascii="Verdana" w:hAnsi="Verdana" w:cs="Arial"/>
          <w:sz w:val="14"/>
          <w:szCs w:val="14"/>
          <w:lang w:val="es-MX"/>
        </w:rPr>
      </w:pPr>
      <w:r w:rsidRPr="00CD4AEA">
        <w:rPr>
          <w:rFonts w:ascii="Verdana" w:hAnsi="Verdana" w:cs="Arial"/>
          <w:sz w:val="14"/>
          <w:szCs w:val="14"/>
          <w:lang w:val="es-MX"/>
        </w:rPr>
        <w:t>[…]</w:t>
      </w:r>
    </w:p>
    <w:p w14:paraId="41EBF128" w14:textId="77777777" w:rsidR="0002496B" w:rsidRDefault="0002496B" w:rsidP="0002496B">
      <w:pPr>
        <w:spacing w:after="0" w:line="240" w:lineRule="auto"/>
        <w:ind w:firstLine="709"/>
        <w:contextualSpacing/>
        <w:jc w:val="both"/>
        <w:rPr>
          <w:rFonts w:ascii="Verdana" w:hAnsi="Verdana" w:cs="Arial"/>
          <w:sz w:val="14"/>
          <w:szCs w:val="14"/>
          <w:lang w:val="es-MX"/>
        </w:rPr>
      </w:pPr>
      <w:r w:rsidRPr="00CD4AEA">
        <w:rPr>
          <w:rStyle w:val="baj"/>
          <w:rFonts w:ascii="Verdana" w:hAnsi="Verdana" w:cs="Arial"/>
          <w:sz w:val="14"/>
          <w:szCs w:val="14"/>
          <w:lang w:val="es-MX"/>
        </w:rPr>
        <w:t>Parágrafo.</w:t>
      </w:r>
      <w:r w:rsidRPr="00CD4AEA">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D4AEA">
        <w:rPr>
          <w:rFonts w:ascii="Verdana" w:eastAsia="Calibri" w:hAnsi="Verdana" w:cs="Arial"/>
          <w:color w:val="000000"/>
          <w:sz w:val="14"/>
          <w:szCs w:val="14"/>
        </w:rPr>
        <w:t>”</w:t>
      </w:r>
      <w:r w:rsidRPr="00CD4AEA">
        <w:rPr>
          <w:rFonts w:ascii="Verdana" w:hAnsi="Verdana" w:cs="Arial"/>
          <w:sz w:val="14"/>
          <w:szCs w:val="14"/>
          <w:lang w:val="es-MX"/>
        </w:rPr>
        <w:t>.</w:t>
      </w:r>
    </w:p>
    <w:p w14:paraId="138F618E" w14:textId="77777777" w:rsidR="0002496B" w:rsidRPr="002B7171" w:rsidRDefault="0002496B" w:rsidP="0002496B">
      <w:pPr>
        <w:spacing w:after="0" w:line="240" w:lineRule="auto"/>
        <w:ind w:firstLine="709"/>
        <w:contextualSpacing/>
        <w:jc w:val="both"/>
        <w:rPr>
          <w:rFonts w:ascii="Verdana" w:hAnsi="Verdana" w:cs="Arial"/>
          <w:sz w:val="14"/>
          <w:szCs w:val="14"/>
          <w:lang w:val="es-MX"/>
        </w:rPr>
      </w:pPr>
    </w:p>
  </w:footnote>
  <w:footnote w:id="20">
    <w:p w14:paraId="7E9E3CC7" w14:textId="77777777" w:rsidR="0002496B" w:rsidRDefault="0002496B" w:rsidP="0002496B">
      <w:pPr>
        <w:pStyle w:val="NormalWeb"/>
        <w:spacing w:before="0" w:beforeAutospacing="0" w:after="0"/>
        <w:ind w:firstLine="709"/>
        <w:contextualSpacing/>
        <w:jc w:val="both"/>
        <w:rPr>
          <w:rFonts w:ascii="Verdana" w:hAnsi="Verdana" w:cs="Arial"/>
          <w:sz w:val="14"/>
          <w:szCs w:val="14"/>
        </w:rPr>
      </w:pPr>
      <w:r w:rsidRPr="00CD4AEA">
        <w:rPr>
          <w:rStyle w:val="Refdenotaalpie"/>
          <w:rFonts w:ascii="Verdana" w:eastAsiaTheme="majorEastAsia" w:hAnsi="Verdana" w:cs="Arial"/>
          <w:sz w:val="14"/>
          <w:szCs w:val="14"/>
        </w:rPr>
        <w:footnoteRef/>
      </w:r>
      <w:r w:rsidRPr="00CD4AEA">
        <w:rPr>
          <w:rFonts w:ascii="Verdana" w:hAnsi="Verdana" w:cs="Arial"/>
          <w:sz w:val="14"/>
          <w:szCs w:val="14"/>
        </w:rPr>
        <w:t xml:space="preserve"> Consejo de Estado. Sala de Consulta y Servicio Civil. Concepto del 17 de febrero de 2015. C.P. William Zambrano Cetina. Radicación No. 11001-03-06-000-2015-00164-00(2269).</w:t>
      </w:r>
    </w:p>
    <w:p w14:paraId="178EA757" w14:textId="77777777" w:rsidR="0002496B" w:rsidRPr="00CD4AEA" w:rsidRDefault="0002496B" w:rsidP="0002496B">
      <w:pPr>
        <w:pStyle w:val="NormalWeb"/>
        <w:spacing w:before="0" w:beforeAutospacing="0" w:after="0"/>
        <w:ind w:firstLine="709"/>
        <w:contextualSpacing/>
        <w:jc w:val="both"/>
        <w:rPr>
          <w:rFonts w:ascii="Verdana" w:hAnsi="Verdana" w:cs="Arial"/>
          <w:sz w:val="14"/>
          <w:szCs w:val="14"/>
          <w:lang w:val="es-ES"/>
        </w:rPr>
      </w:pPr>
    </w:p>
  </w:footnote>
  <w:footnote w:id="21">
    <w:p w14:paraId="56B6709F" w14:textId="77777777" w:rsidR="0002496B" w:rsidRPr="00CD4AEA" w:rsidRDefault="0002496B" w:rsidP="0002496B">
      <w:pPr>
        <w:pStyle w:val="Textonotapie"/>
        <w:ind w:right="51"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 xml:space="preserve">[26] </w:t>
      </w:r>
      <w:r w:rsidRPr="00CD4AEA">
        <w:rPr>
          <w:rFonts w:ascii="Verdana" w:hAnsi="Verdana" w:cs="Arial"/>
          <w:sz w:val="14"/>
          <w:szCs w:val="14"/>
        </w:rPr>
        <w:t>Al respecto ver el concepto 1712 de 2 de febrero de 2006. Consejo de Estado Sala de Consulta y Servicio Civil”.</w:t>
      </w:r>
    </w:p>
    <w:p w14:paraId="300B708F" w14:textId="77777777" w:rsidR="0002496B" w:rsidRPr="00CD4AEA" w:rsidRDefault="0002496B" w:rsidP="0002496B">
      <w:pPr>
        <w:pStyle w:val="Textonotapie"/>
        <w:ind w:right="51" w:firstLine="709"/>
        <w:contextualSpacing/>
        <w:jc w:val="both"/>
        <w:rPr>
          <w:rFonts w:ascii="Verdana" w:hAnsi="Verdana" w:cs="Arial"/>
          <w:sz w:val="14"/>
          <w:szCs w:val="14"/>
        </w:rPr>
      </w:pPr>
    </w:p>
  </w:footnote>
  <w:footnote w:id="22">
    <w:p w14:paraId="41E9EDE6"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Concepto del 2 de septiembre de 2013. Radicación número: 11001-03-06-000-2013-00412-00 (2168). Consejero Ponente: Álvaro Namén Vargas.</w:t>
      </w:r>
    </w:p>
    <w:p w14:paraId="46586320" w14:textId="77777777" w:rsidR="0002496B" w:rsidRPr="00CD4AEA" w:rsidRDefault="0002496B" w:rsidP="0002496B">
      <w:pPr>
        <w:pStyle w:val="Textonotapie"/>
        <w:ind w:firstLine="709"/>
        <w:contextualSpacing/>
        <w:jc w:val="both"/>
        <w:rPr>
          <w:rFonts w:ascii="Verdana" w:hAnsi="Verdana" w:cs="Arial"/>
          <w:sz w:val="14"/>
          <w:szCs w:val="14"/>
        </w:rPr>
      </w:pPr>
    </w:p>
  </w:footnote>
  <w:footnote w:id="23">
    <w:p w14:paraId="47DFA2E8" w14:textId="77777777" w:rsidR="0002496B" w:rsidRPr="00CD4AEA" w:rsidRDefault="0002496B" w:rsidP="0002496B">
      <w:pPr>
        <w:pStyle w:val="Textonotapie"/>
        <w:ind w:firstLine="709"/>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sz w:val="14"/>
          <w:szCs w:val="14"/>
          <w:lang w:val="es-ES"/>
        </w:rPr>
        <w:t xml:space="preserve">Artículo 2. </w:t>
      </w:r>
    </w:p>
    <w:p w14:paraId="697987C7" w14:textId="77777777" w:rsidR="0002496B" w:rsidRPr="00CD4AEA" w:rsidRDefault="0002496B" w:rsidP="0002496B">
      <w:pPr>
        <w:pStyle w:val="Textonotapie"/>
        <w:ind w:firstLine="709"/>
        <w:contextualSpacing/>
        <w:jc w:val="both"/>
        <w:rPr>
          <w:rFonts w:ascii="Verdana" w:hAnsi="Verdana" w:cs="Arial"/>
          <w:sz w:val="14"/>
          <w:szCs w:val="14"/>
          <w:lang w:val="es-ES"/>
        </w:rPr>
      </w:pPr>
    </w:p>
  </w:footnote>
  <w:footnote w:id="24">
    <w:p w14:paraId="765AD3E7" w14:textId="77777777" w:rsidR="0002496B" w:rsidRPr="00CD4AEA" w:rsidRDefault="0002496B" w:rsidP="0002496B">
      <w:pPr>
        <w:pStyle w:val="Textonotapie"/>
        <w:ind w:firstLine="709"/>
        <w:contextualSpacing/>
        <w:jc w:val="both"/>
        <w:rPr>
          <w:rFonts w:ascii="Verdana" w:hAnsi="Verdana" w:cs="Arial"/>
          <w:sz w:val="14"/>
          <w:szCs w:val="14"/>
          <w:lang w:val="es-ES"/>
        </w:rPr>
      </w:pPr>
      <w:r w:rsidRPr="00CD4AEA">
        <w:rPr>
          <w:rStyle w:val="Refdenotaalpie"/>
          <w:rFonts w:ascii="Verdana" w:hAnsi="Verdana" w:cs="Arial"/>
          <w:sz w:val="14"/>
          <w:szCs w:val="14"/>
        </w:rPr>
        <w:footnoteRef/>
      </w:r>
      <w:r w:rsidRPr="00CD4AEA">
        <w:rPr>
          <w:rFonts w:ascii="Verdana" w:hAnsi="Verdana" w:cs="Arial"/>
          <w:sz w:val="14"/>
          <w:szCs w:val="14"/>
        </w:rPr>
        <w:t xml:space="preserve"> </w:t>
      </w:r>
      <w:r w:rsidRPr="00CD4AEA">
        <w:rPr>
          <w:rFonts w:ascii="Verdana" w:hAnsi="Verdana" w:cs="Arial"/>
          <w:i/>
          <w:sz w:val="14"/>
          <w:szCs w:val="14"/>
          <w:lang w:val="es-ES"/>
        </w:rPr>
        <w:t>Ídem</w:t>
      </w:r>
      <w:r w:rsidRPr="00CD4AEA">
        <w:rPr>
          <w:rFonts w:ascii="Verdana" w:hAnsi="Verdana" w:cs="Arial"/>
          <w:sz w:val="14"/>
          <w:szCs w:val="14"/>
          <w:lang w:val="es-ES"/>
        </w:rPr>
        <w:t>.</w:t>
      </w:r>
    </w:p>
    <w:p w14:paraId="1580335D" w14:textId="77777777" w:rsidR="0002496B" w:rsidRPr="00CD4AEA" w:rsidRDefault="0002496B" w:rsidP="0002496B">
      <w:pPr>
        <w:pStyle w:val="Textonotapie"/>
        <w:ind w:firstLine="709"/>
        <w:contextualSpacing/>
        <w:jc w:val="both"/>
        <w:rPr>
          <w:rFonts w:ascii="Verdana" w:hAnsi="Verdana" w:cs="Arial"/>
          <w:sz w:val="14"/>
          <w:szCs w:val="14"/>
          <w:lang w:val="es-ES"/>
        </w:rPr>
      </w:pPr>
    </w:p>
  </w:footnote>
  <w:footnote w:id="25">
    <w:p w14:paraId="723F46BB" w14:textId="77777777" w:rsidR="0002496B" w:rsidRPr="00CD4AEA" w:rsidRDefault="0002496B" w:rsidP="0002496B">
      <w:pPr>
        <w:pStyle w:val="Textonotapie"/>
        <w:ind w:firstLine="709"/>
        <w:contextualSpacing/>
        <w:jc w:val="both"/>
        <w:rPr>
          <w:rFonts w:ascii="Verdana" w:hAnsi="Verdana" w:cs="Arial"/>
          <w:sz w:val="14"/>
          <w:szCs w:val="14"/>
        </w:rPr>
      </w:pPr>
      <w:r w:rsidRPr="00CD4AEA">
        <w:rPr>
          <w:rStyle w:val="Refdenotaalpie"/>
          <w:rFonts w:ascii="Verdana" w:hAnsi="Verdana" w:cs="Arial"/>
          <w:sz w:val="14"/>
          <w:szCs w:val="14"/>
        </w:rPr>
        <w:footnoteRef/>
      </w:r>
      <w:r w:rsidRPr="00CD4AEA">
        <w:rPr>
          <w:rFonts w:ascii="Verdana" w:hAnsi="Verdana" w:cs="Arial"/>
          <w:sz w:val="14"/>
          <w:szCs w:val="14"/>
        </w:rPr>
        <w:t xml:space="preserve"> Consejo de Estado. Sala de Consulta y Servicio Civil. Concepto del 08 de mayo de 2018. Exp. 2.382. C.P. Álvaro Namén Vargas.</w:t>
      </w:r>
    </w:p>
    <w:p w14:paraId="00896CDF" w14:textId="77777777" w:rsidR="0002496B" w:rsidRPr="00CD4AEA" w:rsidRDefault="0002496B" w:rsidP="0002496B">
      <w:pPr>
        <w:pStyle w:val="Textonotapie"/>
        <w:ind w:firstLine="709"/>
        <w:contextualSpacing/>
        <w:jc w:val="both"/>
        <w:rPr>
          <w:rFonts w:ascii="Verdana" w:hAnsi="Verdana" w:cs="Arial"/>
          <w:sz w:val="14"/>
          <w:szCs w:val="14"/>
        </w:rPr>
      </w:pPr>
    </w:p>
  </w:footnote>
  <w:footnote w:id="26">
    <w:p w14:paraId="33226115" w14:textId="77777777" w:rsidR="0002496B" w:rsidRPr="00CD4AEA" w:rsidRDefault="0002496B" w:rsidP="0002496B">
      <w:pPr>
        <w:pStyle w:val="Textonotapie"/>
        <w:ind w:firstLine="708"/>
        <w:contextualSpacing/>
        <w:jc w:val="both"/>
        <w:rPr>
          <w:rFonts w:ascii="Verdana" w:hAnsi="Verdana"/>
          <w:sz w:val="14"/>
          <w:szCs w:val="14"/>
          <w:lang w:val="es-CO"/>
        </w:rPr>
      </w:pPr>
      <w:r w:rsidRPr="00CD4AEA">
        <w:rPr>
          <w:rStyle w:val="Refdenotaalpie"/>
          <w:rFonts w:ascii="Verdana" w:hAnsi="Verdana"/>
          <w:sz w:val="14"/>
          <w:szCs w:val="14"/>
        </w:rPr>
        <w:footnoteRef/>
      </w:r>
      <w:r w:rsidRPr="00CD4AEA">
        <w:rPr>
          <w:rFonts w:ascii="Verdana" w:hAnsi="Verdana"/>
          <w:sz w:val="14"/>
          <w:szCs w:val="14"/>
        </w:rPr>
        <w:t xml:space="preserve"> </w:t>
      </w:r>
      <w:r w:rsidRPr="00CD4AEA">
        <w:rPr>
          <w:rFonts w:ascii="Verdana" w:hAnsi="Verdana" w:cs="Arial"/>
          <w:sz w:val="14"/>
          <w:szCs w:val="14"/>
          <w:lang w:val="es-ES"/>
        </w:rPr>
        <w:t xml:space="preserve">Consejo de Estado, Sala de Consulta y Servicio Civil, Concepto de fecha 8 de mayo de 2018, No. </w:t>
      </w:r>
      <w:r w:rsidRPr="00CD4AEA">
        <w:rPr>
          <w:rFonts w:ascii="Verdana" w:hAnsi="Verdana"/>
          <w:sz w:val="14"/>
          <w:szCs w:val="14"/>
          <w:lang w:val="es-CO"/>
        </w:rPr>
        <w:t>2382.</w:t>
      </w:r>
      <w:r w:rsidRPr="00CD4AEA">
        <w:rPr>
          <w:rFonts w:ascii="Verdana" w:hAnsi="Verdana"/>
          <w:sz w:val="14"/>
          <w:szCs w:val="14"/>
        </w:rPr>
        <w:t xml:space="preserve"> </w:t>
      </w:r>
      <w:r w:rsidRPr="00CD4AEA">
        <w:rPr>
          <w:rFonts w:ascii="Verdana" w:hAnsi="Verdana"/>
          <w:sz w:val="14"/>
          <w:szCs w:val="14"/>
          <w:lang w:val="es-CO"/>
        </w:rPr>
        <w:t>C. P. Álvaro Namén Vargas.</w:t>
      </w:r>
    </w:p>
    <w:p w14:paraId="48F333B4" w14:textId="77777777" w:rsidR="0002496B" w:rsidRPr="00CD4AEA" w:rsidRDefault="0002496B" w:rsidP="0002496B">
      <w:pPr>
        <w:pStyle w:val="Textonotapie"/>
        <w:ind w:firstLine="708"/>
        <w:contextualSpacing/>
        <w:jc w:val="both"/>
        <w:rPr>
          <w:rFonts w:ascii="Verdana" w:hAnsi="Verdana"/>
          <w:sz w:val="14"/>
          <w:szCs w:val="14"/>
          <w:lang w:val="es-ES"/>
        </w:rPr>
      </w:pPr>
    </w:p>
  </w:footnote>
  <w:footnote w:id="27">
    <w:p w14:paraId="351353E6" w14:textId="77777777" w:rsidR="0002496B" w:rsidRPr="00CD4AEA" w:rsidRDefault="0002496B" w:rsidP="0002496B">
      <w:pPr>
        <w:spacing w:after="0" w:line="240" w:lineRule="auto"/>
        <w:ind w:firstLine="709"/>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41867612" w14:textId="77777777" w:rsidR="0002496B" w:rsidRPr="00CD4AEA" w:rsidRDefault="0002496B" w:rsidP="0002496B">
      <w:pPr>
        <w:spacing w:after="0" w:line="240" w:lineRule="auto"/>
        <w:ind w:firstLine="709"/>
        <w:contextualSpacing/>
        <w:jc w:val="both"/>
        <w:rPr>
          <w:rFonts w:ascii="Verdana" w:hAnsi="Verdana" w:cs="Arial"/>
          <w:color w:val="000000" w:themeColor="text1"/>
          <w:sz w:val="14"/>
          <w:szCs w:val="14"/>
        </w:rPr>
      </w:pPr>
    </w:p>
  </w:footnote>
  <w:footnote w:id="28">
    <w:p w14:paraId="5E6C705F" w14:textId="77777777" w:rsidR="0002496B" w:rsidRPr="00CD4AEA" w:rsidRDefault="0002496B" w:rsidP="0002496B">
      <w:pPr>
        <w:pStyle w:val="Textonotapie"/>
        <w:ind w:firstLine="708"/>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011FD291" w14:textId="77777777" w:rsidR="0002496B" w:rsidRPr="00CD4AEA" w:rsidRDefault="0002496B" w:rsidP="0002496B">
      <w:pPr>
        <w:pStyle w:val="Textonotapie"/>
        <w:ind w:firstLine="708"/>
        <w:contextualSpacing/>
        <w:jc w:val="both"/>
        <w:rPr>
          <w:rFonts w:ascii="Verdana" w:hAnsi="Verdana" w:cs="Arial"/>
          <w:color w:val="000000" w:themeColor="text1"/>
          <w:sz w:val="14"/>
          <w:szCs w:val="14"/>
        </w:rPr>
      </w:pPr>
    </w:p>
  </w:footnote>
  <w:footnote w:id="29">
    <w:p w14:paraId="3CDDC74A" w14:textId="77777777" w:rsidR="0002496B" w:rsidRDefault="0002496B" w:rsidP="0002496B">
      <w:pPr>
        <w:pStyle w:val="Textonotapie"/>
        <w:ind w:firstLine="708"/>
        <w:contextualSpacing/>
        <w:jc w:val="both"/>
        <w:rPr>
          <w:rFonts w:ascii="Verdana" w:hAnsi="Verdana" w:cs="Arial"/>
          <w:color w:val="000000" w:themeColor="text1"/>
          <w:sz w:val="14"/>
          <w:szCs w:val="14"/>
        </w:rPr>
      </w:pPr>
      <w:r w:rsidRPr="00CD4AEA">
        <w:rPr>
          <w:rStyle w:val="Refdenotaalpie"/>
          <w:rFonts w:ascii="Verdana" w:hAnsi="Verdana" w:cs="Arial"/>
          <w:color w:val="000000" w:themeColor="text1"/>
          <w:sz w:val="14"/>
          <w:szCs w:val="14"/>
        </w:rPr>
        <w:footnoteRef/>
      </w:r>
      <w:r w:rsidRPr="00CD4AEA">
        <w:rPr>
          <w:rFonts w:ascii="Verdana" w:hAnsi="Verdana" w:cs="Arial"/>
          <w:color w:val="000000" w:themeColor="text1"/>
          <w:sz w:val="14"/>
          <w:szCs w:val="14"/>
        </w:rPr>
        <w:t xml:space="preserve"> Consejo de Estado. Sala de Consulta y Servicio Civil. Concepto del 02 de septiembre de 2013. Rad. 11001-03-06-000-2013-00412-00 (2168). C.P. Álvaro Namén Vargas.</w:t>
      </w:r>
    </w:p>
    <w:p w14:paraId="233327B8" w14:textId="77777777" w:rsidR="0002496B" w:rsidRPr="002B7171" w:rsidRDefault="0002496B" w:rsidP="0002496B">
      <w:pPr>
        <w:pStyle w:val="Textonotapie"/>
        <w:ind w:firstLine="708"/>
        <w:contextualSpacing/>
        <w:jc w:val="both"/>
        <w:rPr>
          <w:rFonts w:ascii="Verdana" w:hAnsi="Verdana" w:cs="Arial"/>
          <w:color w:val="000000" w:themeColor="text1"/>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BD5ED" w14:textId="77777777" w:rsidR="004D0547" w:rsidRDefault="004D0547"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280712D4" wp14:editId="326A0DA8">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99ABA2D" wp14:editId="2FE5298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F7ACE72" w14:textId="77777777" w:rsidR="004D0547" w:rsidRDefault="004D0547">
    <w:pPr>
      <w:pStyle w:val="Encabezado"/>
    </w:pPr>
  </w:p>
  <w:p w14:paraId="054ED418" w14:textId="77777777" w:rsidR="004D0547" w:rsidRPr="004A305D" w:rsidRDefault="004D0547" w:rsidP="00B01B1A">
    <w:pPr>
      <w:spacing w:after="0" w:line="120" w:lineRule="auto"/>
      <w:rPr>
        <w:rFonts w:ascii="Century Gothic" w:eastAsia="Geo" w:hAnsi="Century Gothic" w:cs="Geo"/>
        <w:sz w:val="16"/>
        <w:szCs w:val="16"/>
        <w:lang w:eastAsia="es-CO"/>
      </w:rPr>
    </w:pPr>
  </w:p>
  <w:p w14:paraId="3C2B46AE" w14:textId="77777777" w:rsidR="004D0547" w:rsidRDefault="004D0547" w:rsidP="00844AE9">
    <w:pPr>
      <w:spacing w:after="0" w:line="240" w:lineRule="auto"/>
      <w:rPr>
        <w:rFonts w:ascii="Verdana" w:hAnsi="Verdana"/>
        <w:sz w:val="24"/>
        <w:szCs w:val="24"/>
      </w:rPr>
    </w:pPr>
  </w:p>
  <w:p w14:paraId="63435042" w14:textId="77777777" w:rsidR="004D0547" w:rsidRPr="00C925AC" w:rsidRDefault="004D0547"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num w:numId="1" w16cid:durableId="390349800">
    <w:abstractNumId w:val="3"/>
  </w:num>
  <w:num w:numId="2" w16cid:durableId="518470888">
    <w:abstractNumId w:val="0"/>
  </w:num>
  <w:num w:numId="3" w16cid:durableId="2053143587">
    <w:abstractNumId w:val="2"/>
  </w:num>
  <w:num w:numId="4" w16cid:durableId="777065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547"/>
    <w:rsid w:val="000050B7"/>
    <w:rsid w:val="0002496B"/>
    <w:rsid w:val="000723D7"/>
    <w:rsid w:val="001250C4"/>
    <w:rsid w:val="00142BAF"/>
    <w:rsid w:val="0022729E"/>
    <w:rsid w:val="0029458D"/>
    <w:rsid w:val="00345E62"/>
    <w:rsid w:val="00393FEA"/>
    <w:rsid w:val="00424C24"/>
    <w:rsid w:val="00474DF4"/>
    <w:rsid w:val="00485D25"/>
    <w:rsid w:val="004D0547"/>
    <w:rsid w:val="004F471F"/>
    <w:rsid w:val="00544A36"/>
    <w:rsid w:val="00564072"/>
    <w:rsid w:val="00581EC1"/>
    <w:rsid w:val="005A1263"/>
    <w:rsid w:val="005A557E"/>
    <w:rsid w:val="005D65D5"/>
    <w:rsid w:val="00697CFC"/>
    <w:rsid w:val="00751D31"/>
    <w:rsid w:val="00761B0F"/>
    <w:rsid w:val="00783773"/>
    <w:rsid w:val="0078468C"/>
    <w:rsid w:val="007874BF"/>
    <w:rsid w:val="007B34D8"/>
    <w:rsid w:val="0080049B"/>
    <w:rsid w:val="008050E2"/>
    <w:rsid w:val="00884C70"/>
    <w:rsid w:val="008903F4"/>
    <w:rsid w:val="00895BAE"/>
    <w:rsid w:val="008D782A"/>
    <w:rsid w:val="00915BD7"/>
    <w:rsid w:val="009F666E"/>
    <w:rsid w:val="00A221E1"/>
    <w:rsid w:val="00AC7A45"/>
    <w:rsid w:val="00AE7F45"/>
    <w:rsid w:val="00B54AF7"/>
    <w:rsid w:val="00C24FFE"/>
    <w:rsid w:val="00D54F37"/>
    <w:rsid w:val="00D57887"/>
    <w:rsid w:val="00EB7FF2"/>
    <w:rsid w:val="00F26C42"/>
    <w:rsid w:val="00FF352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E70E9"/>
  <w15:chartTrackingRefBased/>
  <w15:docId w15:val="{CB63F9BA-93CC-45CE-9D15-FF0C1ED3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547"/>
    <w:rPr>
      <w:kern w:val="0"/>
      <w14:ligatures w14:val="none"/>
    </w:rPr>
  </w:style>
  <w:style w:type="paragraph" w:styleId="Ttulo1">
    <w:name w:val="heading 1"/>
    <w:basedOn w:val="Normal"/>
    <w:next w:val="Normal"/>
    <w:link w:val="Ttulo1Car"/>
    <w:uiPriority w:val="9"/>
    <w:qFormat/>
    <w:rsid w:val="004D054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D054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D054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D054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D054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D054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D054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D054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D054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D054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D054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D054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D054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D054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D054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D054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D054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D0547"/>
    <w:rPr>
      <w:rFonts w:eastAsiaTheme="majorEastAsia" w:cstheme="majorBidi"/>
      <w:color w:val="272727" w:themeColor="text1" w:themeTint="D8"/>
    </w:rPr>
  </w:style>
  <w:style w:type="paragraph" w:styleId="Ttulo">
    <w:name w:val="Title"/>
    <w:basedOn w:val="Normal"/>
    <w:next w:val="Normal"/>
    <w:link w:val="TtuloCar"/>
    <w:uiPriority w:val="10"/>
    <w:qFormat/>
    <w:rsid w:val="004D05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D054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D0547"/>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D054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D0547"/>
    <w:pPr>
      <w:spacing w:before="160"/>
      <w:jc w:val="center"/>
    </w:pPr>
    <w:rPr>
      <w:i/>
      <w:iCs/>
      <w:color w:val="404040" w:themeColor="text1" w:themeTint="BF"/>
    </w:rPr>
  </w:style>
  <w:style w:type="character" w:customStyle="1" w:styleId="CitaCar">
    <w:name w:val="Cita Car"/>
    <w:basedOn w:val="Fuentedeprrafopredeter"/>
    <w:link w:val="Cita"/>
    <w:uiPriority w:val="29"/>
    <w:rsid w:val="004D0547"/>
    <w:rPr>
      <w:i/>
      <w:iCs/>
      <w:color w:val="404040" w:themeColor="text1" w:themeTint="BF"/>
    </w:rPr>
  </w:style>
  <w:style w:type="paragraph" w:styleId="Prrafodelista">
    <w:name w:val="List Paragraph"/>
    <w:basedOn w:val="Normal"/>
    <w:uiPriority w:val="34"/>
    <w:qFormat/>
    <w:rsid w:val="004D0547"/>
    <w:pPr>
      <w:ind w:left="720"/>
      <w:contextualSpacing/>
    </w:pPr>
  </w:style>
  <w:style w:type="character" w:styleId="nfasisintenso">
    <w:name w:val="Intense Emphasis"/>
    <w:basedOn w:val="Fuentedeprrafopredeter"/>
    <w:uiPriority w:val="21"/>
    <w:qFormat/>
    <w:rsid w:val="004D0547"/>
    <w:rPr>
      <w:i/>
      <w:iCs/>
      <w:color w:val="2F5496" w:themeColor="accent1" w:themeShade="BF"/>
    </w:rPr>
  </w:style>
  <w:style w:type="paragraph" w:styleId="Citadestacada">
    <w:name w:val="Intense Quote"/>
    <w:basedOn w:val="Normal"/>
    <w:next w:val="Normal"/>
    <w:link w:val="CitadestacadaCar"/>
    <w:uiPriority w:val="30"/>
    <w:qFormat/>
    <w:rsid w:val="004D054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D0547"/>
    <w:rPr>
      <w:i/>
      <w:iCs/>
      <w:color w:val="2F5496" w:themeColor="accent1" w:themeShade="BF"/>
    </w:rPr>
  </w:style>
  <w:style w:type="character" w:styleId="Referenciaintensa">
    <w:name w:val="Intense Reference"/>
    <w:basedOn w:val="Fuentedeprrafopredeter"/>
    <w:uiPriority w:val="32"/>
    <w:qFormat/>
    <w:rsid w:val="004D0547"/>
    <w:rPr>
      <w:b/>
      <w:bCs/>
      <w:smallCaps/>
      <w:color w:val="2F5496" w:themeColor="accent1" w:themeShade="BF"/>
      <w:spacing w:val="5"/>
    </w:rPr>
  </w:style>
  <w:style w:type="paragraph" w:styleId="Encabezado">
    <w:name w:val="header"/>
    <w:basedOn w:val="Normal"/>
    <w:link w:val="EncabezadoCar"/>
    <w:uiPriority w:val="99"/>
    <w:unhideWhenUsed/>
    <w:rsid w:val="004D05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D0547"/>
    <w:rPr>
      <w:kern w:val="0"/>
      <w14:ligatures w14:val="none"/>
    </w:rPr>
  </w:style>
  <w:style w:type="paragraph" w:styleId="Piedepgina">
    <w:name w:val="footer"/>
    <w:basedOn w:val="Normal"/>
    <w:link w:val="PiedepginaCar"/>
    <w:uiPriority w:val="99"/>
    <w:unhideWhenUsed/>
    <w:rsid w:val="004D05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D0547"/>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4D0547"/>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4D0547"/>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4D0547"/>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4D0547"/>
    <w:rPr>
      <w:vertAlign w:val="superscript"/>
    </w:rPr>
  </w:style>
  <w:style w:type="character" w:customStyle="1" w:styleId="normaltextrun">
    <w:name w:val="normaltextrun"/>
    <w:basedOn w:val="Fuentedeprrafopredeter"/>
    <w:rsid w:val="004D0547"/>
  </w:style>
  <w:style w:type="table" w:styleId="Tablaconcuadrcula">
    <w:name w:val="Table Grid"/>
    <w:basedOn w:val="Tablanormal"/>
    <w:uiPriority w:val="39"/>
    <w:qFormat/>
    <w:rsid w:val="004D0547"/>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4D0547"/>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4D0547"/>
    <w:pPr>
      <w:spacing w:line="240" w:lineRule="exact"/>
    </w:pPr>
    <w:rPr>
      <w:kern w:val="2"/>
      <w:vertAlign w:val="superscript"/>
      <w14:ligatures w14:val="standardContextual"/>
    </w:rPr>
  </w:style>
  <w:style w:type="table" w:customStyle="1" w:styleId="Tablaconcuadrcula1">
    <w:name w:val="Tabla con cuadrícula1"/>
    <w:basedOn w:val="Tablanormal"/>
    <w:next w:val="Tablaconcuadrcula"/>
    <w:uiPriority w:val="39"/>
    <w:qFormat/>
    <w:rsid w:val="004D0547"/>
    <w:pPr>
      <w:spacing w:after="0" w:line="240" w:lineRule="auto"/>
    </w:pPr>
    <w:rPr>
      <w:kern w:val="0"/>
      <w14:ligatures w14:val="none"/>
    </w:rPr>
    <w:tblPr/>
  </w:style>
  <w:style w:type="character" w:customStyle="1" w:styleId="baj">
    <w:name w:val="b_aj"/>
    <w:basedOn w:val="Fuentedeprrafopredeter"/>
    <w:rsid w:val="004D0547"/>
  </w:style>
  <w:style w:type="character" w:customStyle="1" w:styleId="NormalWebCar">
    <w:name w:val="Normal (Web) Car"/>
    <w:link w:val="NormalWeb"/>
    <w:uiPriority w:val="99"/>
    <w:locked/>
    <w:rsid w:val="004D0547"/>
    <w:rPr>
      <w:rFonts w:ascii="Times New Roman" w:eastAsia="Times New Roman" w:hAnsi="Times New Roman" w:cs="Times New Roman"/>
      <w:kern w:val="0"/>
      <w:sz w:val="24"/>
      <w:szCs w:val="24"/>
      <w:lang w:eastAsia="es-CO"/>
      <w14:ligatures w14:val="none"/>
    </w:rPr>
  </w:style>
  <w:style w:type="paragraph" w:styleId="Sinespaciado">
    <w:name w:val="No Spacing"/>
    <w:uiPriority w:val="1"/>
    <w:qFormat/>
    <w:rsid w:val="004D0547"/>
    <w:pPr>
      <w:spacing w:after="0" w:line="240" w:lineRule="auto"/>
    </w:pPr>
    <w:rPr>
      <w:kern w:val="0"/>
      <w14:ligatures w14:val="none"/>
    </w:rPr>
  </w:style>
  <w:style w:type="character" w:styleId="Hipervnculo">
    <w:name w:val="Hyperlink"/>
    <w:basedOn w:val="Fuentedeprrafopredeter"/>
    <w:uiPriority w:val="99"/>
    <w:unhideWhenUsed/>
    <w:rsid w:val="00697CFC"/>
    <w:rPr>
      <w:color w:val="0563C1" w:themeColor="hyperlink"/>
      <w:u w:val="single"/>
    </w:rPr>
  </w:style>
  <w:style w:type="character" w:styleId="Mencinsinresolver">
    <w:name w:val="Unresolved Mention"/>
    <w:basedOn w:val="Fuentedeprrafopredeter"/>
    <w:uiPriority w:val="99"/>
    <w:semiHidden/>
    <w:unhideWhenUsed/>
    <w:rsid w:val="00697C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mariafer240275@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095F28-3A48-4C6D-8C9E-D7497FF788F9}">
  <ds:schemaRefs>
    <ds:schemaRef ds:uri="http://schemas.openxmlformats.org/officeDocument/2006/bibliography"/>
  </ds:schemaRefs>
</ds:datastoreItem>
</file>

<file path=customXml/itemProps2.xml><?xml version="1.0" encoding="utf-8"?>
<ds:datastoreItem xmlns:ds="http://schemas.openxmlformats.org/officeDocument/2006/customXml" ds:itemID="{3F51CDFC-46EF-4D6E-8524-57C4A6300B8E}">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93BD31CA-4D20-4307-8DAA-216C50EE5F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C148B91-8835-4E55-A4F6-E378274037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29</Pages>
  <Words>9838</Words>
  <Characters>54011</Characters>
  <Application>Microsoft Office Word</Application>
  <DocSecurity>0</DocSecurity>
  <Lines>1059</Lines>
  <Paragraphs>221</Paragraphs>
  <ScaleCrop>false</ScaleCrop>
  <Company/>
  <LinksUpToDate>false</LinksUpToDate>
  <CharactersWithSpaces>63628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Andrés Rivera Cano</cp:lastModifiedBy>
  <cp:revision>5</cp:revision>
  <dcterms:created xsi:type="dcterms:W3CDTF">2026-04-16T13:49:00Z</dcterms:created>
  <dcterms:modified xsi:type="dcterms:W3CDTF">2026-04-16T16:49:00Z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