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0464F" w14:textId="44566E32" w:rsidR="00F13F38" w:rsidRPr="00F13F38" w:rsidRDefault="00F13F38" w:rsidP="00C63D5A">
      <w:pPr>
        <w:spacing w:before="120" w:after="0" w:line="276" w:lineRule="auto"/>
        <w:jc w:val="both"/>
        <w:rPr>
          <w:rFonts w:ascii="Verdana" w:eastAsia="Calibri" w:hAnsi="Verdana" w:cs="Arial"/>
          <w:b/>
          <w:bCs/>
          <w:color w:val="000000"/>
          <w:lang w:eastAsia="es-ES"/>
        </w:rPr>
      </w:pPr>
      <w:r w:rsidRPr="00F13F38">
        <w:rPr>
          <w:rFonts w:ascii="Verdana" w:eastAsia="Calibri" w:hAnsi="Verdana" w:cs="Arial"/>
          <w:b/>
          <w:bCs/>
          <w:color w:val="000000"/>
          <w:lang w:eastAsia="es-ES"/>
        </w:rPr>
        <w:t>CONVOCATORIAS LIMITADAS A MIPYMES – Ley 2069 de 2020 – Decreto 1082 de 2025 artículo 2.2.1.2.4.2.2</w:t>
      </w:r>
    </w:p>
    <w:p w14:paraId="7FA7FFE5" w14:textId="31CE11EC" w:rsidR="00F13F38" w:rsidRPr="00F13F38" w:rsidRDefault="00C63D5A" w:rsidP="00630636">
      <w:pPr>
        <w:spacing w:before="120" w:after="0" w:line="276" w:lineRule="auto"/>
        <w:jc w:val="both"/>
        <w:rPr>
          <w:rFonts w:ascii="Verdana" w:eastAsia="Calibri" w:hAnsi="Verdana" w:cs="Arial"/>
          <w:color w:val="000000"/>
          <w:sz w:val="20"/>
          <w:szCs w:val="20"/>
          <w:lang w:eastAsia="es-ES"/>
        </w:rPr>
      </w:pPr>
      <w:r w:rsidRPr="00630636">
        <w:rPr>
          <w:rFonts w:ascii="Verdana" w:eastAsia="Calibri" w:hAnsi="Verdana" w:cs="Arial"/>
          <w:color w:val="000000"/>
          <w:sz w:val="20"/>
          <w:szCs w:val="20"/>
          <w:lang w:eastAsia="es-ES"/>
        </w:rPr>
        <w:t>P</w:t>
      </w:r>
      <w:r w:rsidR="00F13F38" w:rsidRPr="00F13F38">
        <w:rPr>
          <w:rFonts w:ascii="Verdana" w:eastAsia="Calibri" w:hAnsi="Verdana" w:cs="Arial"/>
          <w:color w:val="000000"/>
          <w:sz w:val="20"/>
          <w:szCs w:val="20"/>
          <w:lang w:eastAsia="es-ES"/>
        </w:rPr>
        <w:t>ara que proceda la limitación de la convocatoria</w:t>
      </w:r>
      <w:r w:rsidR="00F13F38" w:rsidRPr="00F13F38">
        <w:rPr>
          <w:rFonts w:ascii="Verdana" w:hAnsi="Verdana"/>
          <w:sz w:val="20"/>
          <w:szCs w:val="20"/>
        </w:rPr>
        <w:t xml:space="preserve"> a </w:t>
      </w:r>
      <w:proofErr w:type="spellStart"/>
      <w:r w:rsidR="00F13F38" w:rsidRPr="00F13F38">
        <w:rPr>
          <w:rFonts w:ascii="Verdana" w:hAnsi="Verdana"/>
          <w:sz w:val="20"/>
          <w:szCs w:val="20"/>
        </w:rPr>
        <w:t>Mipymes</w:t>
      </w:r>
      <w:proofErr w:type="spellEnd"/>
      <w:r w:rsidR="00F13F38" w:rsidRPr="00F13F38">
        <w:rPr>
          <w:rFonts w:ascii="Verdana" w:hAnsi="Verdana"/>
          <w:sz w:val="20"/>
          <w:szCs w:val="20"/>
        </w:rPr>
        <w:t xml:space="preserve"> la entidad estatal debe recibir las solicitudes de limitación por lo menos dos (2) </w:t>
      </w:r>
      <w:proofErr w:type="spellStart"/>
      <w:r w:rsidR="00F13F38" w:rsidRPr="00F13F38">
        <w:rPr>
          <w:rFonts w:ascii="Verdana" w:hAnsi="Verdana"/>
          <w:sz w:val="20"/>
          <w:szCs w:val="20"/>
        </w:rPr>
        <w:t>Mipyme</w:t>
      </w:r>
      <w:proofErr w:type="spellEnd"/>
      <w:r w:rsidR="00F13F38" w:rsidRPr="00F13F38">
        <w:rPr>
          <w:rFonts w:ascii="Verdana" w:hAnsi="Verdana"/>
          <w:sz w:val="20"/>
          <w:szCs w:val="20"/>
        </w:rPr>
        <w:t xml:space="preserve"> colombianas con mínimo un (1) año de existencia, y por su parte, la entidad contratante debe verificar los requisitos establecidos en los numerales 1 y 2 del mencionado artículo teniendo en cuenta el artículo 2.2.1.2.4.2.4. del Decreto 1082 de 2015, modificado por el Decreto 1860 de 2021, en el que se dispone cómo acreditar los requisitos para participar en convocatorias limitadas, como sigue: Acreditación de requisitos para participar en convocatorias limitadas. La </w:t>
      </w:r>
      <w:proofErr w:type="spellStart"/>
      <w:r w:rsidR="00F13F38" w:rsidRPr="00F13F38">
        <w:rPr>
          <w:rFonts w:ascii="Verdana" w:hAnsi="Verdana"/>
          <w:sz w:val="20"/>
          <w:szCs w:val="20"/>
        </w:rPr>
        <w:t>Mipyme</w:t>
      </w:r>
      <w:proofErr w:type="spellEnd"/>
      <w:r w:rsidR="00F13F38" w:rsidRPr="00F13F38">
        <w:rPr>
          <w:rFonts w:ascii="Verdana" w:hAnsi="Verdana"/>
          <w:sz w:val="20"/>
          <w:szCs w:val="20"/>
        </w:rPr>
        <w:t xml:space="preserve"> colombianas deben acreditar que tiene el tamaño empresarial establecido por la ley de la siguiente manera: 1. Las personas naturales mediante certificación expedida por ellos y un contador público, adjuntando copia del registro mercantil. 2. Las personas jurídicas mediante certificación expedida por el representante legal y el contador o revisor fiscal, si están obligados a tenerlo, adjuntando copia del certificado de existencia y representación legal expedido por la Cámara de </w:t>
      </w:r>
      <w:r w:rsidR="00F13F38" w:rsidRPr="00F13F38">
        <w:rPr>
          <w:rFonts w:ascii="Verdana" w:eastAsia="Calibri" w:hAnsi="Verdana" w:cs="Arial"/>
          <w:color w:val="000000"/>
          <w:sz w:val="20"/>
          <w:szCs w:val="20"/>
          <w:lang w:eastAsia="es-ES"/>
        </w:rPr>
        <w:t>Comercio o por la autoridad competente para expedir dicha certificación.</w:t>
      </w:r>
    </w:p>
    <w:p w14:paraId="1D7E7DB3" w14:textId="77777777" w:rsidR="00F13F38" w:rsidRPr="00F13F38" w:rsidRDefault="00F13F38" w:rsidP="00630636">
      <w:pPr>
        <w:spacing w:before="120" w:after="0" w:line="276" w:lineRule="auto"/>
        <w:jc w:val="both"/>
        <w:rPr>
          <w:rFonts w:ascii="Verdana" w:hAnsi="Verdana"/>
          <w:sz w:val="20"/>
          <w:szCs w:val="20"/>
        </w:rPr>
      </w:pPr>
      <w:r w:rsidRPr="00F13F38">
        <w:rPr>
          <w:rFonts w:ascii="Verdana" w:eastAsia="Calibri" w:hAnsi="Verdana" w:cs="Arial"/>
          <w:color w:val="000000"/>
          <w:sz w:val="20"/>
          <w:szCs w:val="20"/>
          <w:lang w:eastAsia="es-ES"/>
        </w:rPr>
        <w:t>Para la acreditación</w:t>
      </w:r>
      <w:r w:rsidRPr="00F13F38">
        <w:rPr>
          <w:rFonts w:ascii="Verdana" w:hAnsi="Verdana"/>
          <w:sz w:val="20"/>
          <w:szCs w:val="20"/>
        </w:rPr>
        <w:t xml:space="preserve"> deberán observarse los rangos de clasificación empresarial establecidos de conformidad con la Ley 590 de 2000 y el Decreto 1074 de 2015, o las normas que lo modifiquen, sustituyan o complementen. Parágrafo 1. En todo caso, las </w:t>
      </w:r>
      <w:proofErr w:type="spellStart"/>
      <w:r w:rsidRPr="00F13F38">
        <w:rPr>
          <w:rFonts w:ascii="Verdana" w:hAnsi="Verdana"/>
          <w:sz w:val="20"/>
          <w:szCs w:val="20"/>
        </w:rPr>
        <w:t>Mipyme</w:t>
      </w:r>
      <w:proofErr w:type="spellEnd"/>
      <w:r w:rsidRPr="00F13F38">
        <w:rPr>
          <w:rFonts w:ascii="Verdana" w:hAnsi="Verdana"/>
          <w:sz w:val="20"/>
          <w:szCs w:val="20"/>
        </w:rPr>
        <w:t xml:space="preserve"> también podrán acreditar esta condición con la copia del certificado del Registro Único de Proponentes, el cual deberá encontrarse vigente y en firme al momento de su presentación. Parágrafo 2. Para efectos de la limitación a </w:t>
      </w:r>
      <w:proofErr w:type="spellStart"/>
      <w:r w:rsidRPr="00F13F38">
        <w:rPr>
          <w:rFonts w:ascii="Verdana" w:hAnsi="Verdana"/>
          <w:sz w:val="20"/>
          <w:szCs w:val="20"/>
        </w:rPr>
        <w:t>Mipyme</w:t>
      </w:r>
      <w:proofErr w:type="spellEnd"/>
      <w:r w:rsidRPr="00F13F38">
        <w:rPr>
          <w:rFonts w:ascii="Verdana" w:hAnsi="Verdana"/>
          <w:sz w:val="20"/>
          <w:szCs w:val="20"/>
        </w:rPr>
        <w:t xml:space="preserv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Parágrafo 3. En las convocatorias limitadas, las Entidades Estatales independientemente de su régimen de contratación, los patrimonios autónomos constituidos por Entidades Estatales y los </w:t>
      </w:r>
      <w:proofErr w:type="spellStart"/>
      <w:r w:rsidRPr="00F13F38">
        <w:rPr>
          <w:rFonts w:ascii="Verdana" w:hAnsi="Verdana"/>
          <w:sz w:val="20"/>
          <w:szCs w:val="20"/>
        </w:rPr>
        <w:t>parliculares</w:t>
      </w:r>
      <w:proofErr w:type="spellEnd"/>
      <w:r w:rsidRPr="00F13F38">
        <w:rPr>
          <w:rFonts w:ascii="Verdana" w:hAnsi="Verdana"/>
          <w:sz w:val="20"/>
          <w:szCs w:val="20"/>
        </w:rPr>
        <w:t xml:space="preserve"> que ejecuten recursos públicos, solo deberán aceptar las ofertas de </w:t>
      </w:r>
      <w:proofErr w:type="spellStart"/>
      <w:r w:rsidRPr="00F13F38">
        <w:rPr>
          <w:rFonts w:ascii="Verdana" w:hAnsi="Verdana"/>
          <w:sz w:val="20"/>
          <w:szCs w:val="20"/>
        </w:rPr>
        <w:t>Mipyme</w:t>
      </w:r>
      <w:proofErr w:type="spellEnd"/>
      <w:r w:rsidRPr="00F13F38">
        <w:rPr>
          <w:rFonts w:ascii="Verdana" w:hAnsi="Verdana"/>
          <w:sz w:val="20"/>
          <w:szCs w:val="20"/>
        </w:rPr>
        <w:t xml:space="preserve"> o de proponentes plurales integrados únicamente por </w:t>
      </w:r>
      <w:proofErr w:type="spellStart"/>
      <w:r w:rsidRPr="00F13F38">
        <w:rPr>
          <w:rFonts w:ascii="Verdana" w:hAnsi="Verdana"/>
          <w:sz w:val="20"/>
          <w:szCs w:val="20"/>
        </w:rPr>
        <w:t>Mipyme</w:t>
      </w:r>
      <w:proofErr w:type="spellEnd"/>
      <w:r w:rsidRPr="00F13F38">
        <w:rPr>
          <w:rFonts w:ascii="Verdana" w:hAnsi="Verdana"/>
          <w:sz w:val="20"/>
          <w:szCs w:val="20"/>
        </w:rPr>
        <w:t>. Parágrafo 4. Los incentivos previstos en los artículos 2.2.1.2.4.2.2 y 2.2.1.2.4.2.3 de este Decreto no excluyen la aplicación de los criterios diferenciales para los emprendimientos y empresas de mujeres en el sistema de compras públicas.</w:t>
      </w:r>
    </w:p>
    <w:p w14:paraId="6A3D4267" w14:textId="77777777" w:rsidR="005E34E1" w:rsidRDefault="005E34E1" w:rsidP="00F83DC6">
      <w:pPr>
        <w:spacing w:after="0" w:line="240" w:lineRule="auto"/>
        <w:jc w:val="both"/>
        <w:rPr>
          <w:rFonts w:ascii="Verdana" w:hAnsi="Verdana"/>
        </w:rPr>
      </w:pPr>
    </w:p>
    <w:p w14:paraId="0A5EFD22" w14:textId="77777777" w:rsidR="005E34E1" w:rsidRDefault="005E34E1" w:rsidP="00F83DC6">
      <w:pPr>
        <w:spacing w:after="0" w:line="240" w:lineRule="auto"/>
        <w:jc w:val="both"/>
        <w:rPr>
          <w:rFonts w:ascii="Verdana" w:hAnsi="Verdana"/>
        </w:rPr>
      </w:pPr>
    </w:p>
    <w:p w14:paraId="1DB2B439" w14:textId="77777777" w:rsidR="005E34E1" w:rsidRDefault="005E34E1" w:rsidP="00F83DC6">
      <w:pPr>
        <w:spacing w:after="0" w:line="240" w:lineRule="auto"/>
        <w:jc w:val="both"/>
        <w:rPr>
          <w:rFonts w:ascii="Verdana" w:hAnsi="Verdana"/>
        </w:rPr>
      </w:pPr>
    </w:p>
    <w:p w14:paraId="48CD0E07" w14:textId="7921B892" w:rsidR="00BF6CAD" w:rsidRDefault="00BF6CAD" w:rsidP="00F83DC6">
      <w:pPr>
        <w:spacing w:after="0" w:line="240" w:lineRule="auto"/>
        <w:jc w:val="both"/>
        <w:rPr>
          <w:rFonts w:ascii="Verdana" w:hAnsi="Verdana"/>
        </w:rPr>
      </w:pPr>
      <w:r w:rsidRPr="00BF6CAD">
        <w:rPr>
          <w:rFonts w:ascii="Verdana" w:hAnsi="Verdana"/>
          <w:b/>
          <w:bCs/>
        </w:rPr>
        <w:lastRenderedPageBreak/>
        <w:t>CONVOCATORIAS LIMITADAS A MIPYMES EN EL ÁMBITO TERRITORIAL – Limitación territorial – Acreditación – Requisitos</w:t>
      </w:r>
    </w:p>
    <w:p w14:paraId="24325A3E" w14:textId="76CFE4CF" w:rsidR="00BF6CAD" w:rsidRPr="00BF6CAD" w:rsidRDefault="00BF6CAD" w:rsidP="00630636">
      <w:pPr>
        <w:spacing w:before="120" w:after="0" w:line="276" w:lineRule="auto"/>
        <w:jc w:val="both"/>
        <w:rPr>
          <w:rFonts w:ascii="Verdana" w:eastAsia="Calibri" w:hAnsi="Verdana" w:cs="Arial"/>
          <w:color w:val="000000"/>
          <w:sz w:val="20"/>
          <w:szCs w:val="20"/>
          <w:lang w:eastAsia="es-ES"/>
        </w:rPr>
      </w:pPr>
      <w:r w:rsidRPr="00BF6CAD">
        <w:rPr>
          <w:rFonts w:ascii="Verdana" w:eastAsia="Calibri" w:hAnsi="Verdana" w:cs="Arial"/>
          <w:color w:val="000000"/>
          <w:sz w:val="20"/>
          <w:szCs w:val="20"/>
          <w:lang w:eastAsia="es-ES"/>
        </w:rPr>
        <w:t xml:space="preserve">En ese orden, resulta claro que la Entidad Estatal no cuenta con un margen discrecional para exigir documentos adicionales o distintos a los expresamente previstos en la normativa vigente para acreditar la condición de </w:t>
      </w:r>
      <w:proofErr w:type="spellStart"/>
      <w:r w:rsidRPr="00BF6CAD">
        <w:rPr>
          <w:rFonts w:ascii="Verdana" w:eastAsia="Calibri" w:hAnsi="Verdana" w:cs="Arial"/>
          <w:color w:val="000000"/>
          <w:sz w:val="20"/>
          <w:szCs w:val="20"/>
          <w:lang w:eastAsia="es-ES"/>
        </w:rPr>
        <w:t>MiPyme</w:t>
      </w:r>
      <w:proofErr w:type="spellEnd"/>
      <w:r w:rsidRPr="00BF6CAD">
        <w:rPr>
          <w:rFonts w:ascii="Verdana" w:eastAsia="Calibri" w:hAnsi="Verdana" w:cs="Arial"/>
          <w:color w:val="000000"/>
          <w:sz w:val="20"/>
          <w:szCs w:val="20"/>
          <w:lang w:eastAsia="es-ES"/>
        </w:rPr>
        <w:t xml:space="preserve"> y, cuando a ello haya lugar, el domicilio territorial. La acreditación debe efectuarse exclusivamente a través de los documentos señalados en el artículo 2.2.1.2.4.2.4 del Decreto 1082 de 2015 —modificado por el Decreto 1860 de 2021—, esto es, mediante certificación suscrita por la persona natural y contador público, o por el representante legal y el contador o revisor fiscal, según corresponda, acompañada del certificado de existencia y representación legal o del registro mercantil, o, alternativamente, mediante la copia del Registro Único de Proponentes vigente y en firme, dentro del término de expedición allí previsto.</w:t>
      </w:r>
    </w:p>
    <w:p w14:paraId="4ECE8634" w14:textId="77777777" w:rsidR="00BF6CAD" w:rsidRPr="00BF6CAD" w:rsidRDefault="00BF6CAD" w:rsidP="00630636">
      <w:pPr>
        <w:spacing w:before="120" w:after="0" w:line="276" w:lineRule="auto"/>
        <w:jc w:val="both"/>
        <w:rPr>
          <w:rFonts w:ascii="Verdana" w:eastAsia="Calibri" w:hAnsi="Verdana" w:cs="Arial"/>
          <w:color w:val="000000"/>
          <w:sz w:val="20"/>
          <w:szCs w:val="20"/>
          <w:lang w:eastAsia="es-ES"/>
        </w:rPr>
      </w:pPr>
      <w:r w:rsidRPr="00BF6CAD">
        <w:rPr>
          <w:rFonts w:ascii="Verdana" w:eastAsia="Calibri" w:hAnsi="Verdana" w:cs="Arial"/>
          <w:color w:val="000000"/>
          <w:sz w:val="20"/>
          <w:szCs w:val="20"/>
          <w:lang w:eastAsia="es-ES"/>
        </w:rPr>
        <w:t xml:space="preserve">Así mismo, el parágrafo 2 de la citada disposición establece un criterio temporal objetivo, al disponer que los documentos aportados no podrán tener una fecha de expedición superior a sesenta (60) días calendario anteriores al momento previsto en el cronograma para solicitar la limitación, lo cual refuerza el carácter reglado y verificable del cumplimiento de este requisito. En consecuencia, la Entidad debe limitar su análisis a constatar: (i) la condición de </w:t>
      </w:r>
      <w:proofErr w:type="spellStart"/>
      <w:r w:rsidRPr="00BF6CAD">
        <w:rPr>
          <w:rFonts w:ascii="Verdana" w:eastAsia="Calibri" w:hAnsi="Verdana" w:cs="Arial"/>
          <w:color w:val="000000"/>
          <w:sz w:val="20"/>
          <w:szCs w:val="20"/>
          <w:lang w:eastAsia="es-ES"/>
        </w:rPr>
        <w:t>MiPyme</w:t>
      </w:r>
      <w:proofErr w:type="spellEnd"/>
      <w:r w:rsidRPr="00BF6CAD">
        <w:rPr>
          <w:rFonts w:ascii="Verdana" w:eastAsia="Calibri" w:hAnsi="Verdana" w:cs="Arial"/>
          <w:color w:val="000000"/>
          <w:sz w:val="20"/>
          <w:szCs w:val="20"/>
          <w:lang w:eastAsia="es-ES"/>
        </w:rPr>
        <w:t xml:space="preserve"> conforme a los rangos de clasificación empresarial definidos en la Ley 590 de 2000 y el Decreto 1074 de 2015; (</w:t>
      </w:r>
      <w:proofErr w:type="spellStart"/>
      <w:r w:rsidRPr="00BF6CAD">
        <w:rPr>
          <w:rFonts w:ascii="Verdana" w:eastAsia="Calibri" w:hAnsi="Verdana" w:cs="Arial"/>
          <w:color w:val="000000"/>
          <w:sz w:val="20"/>
          <w:szCs w:val="20"/>
          <w:lang w:eastAsia="es-ES"/>
        </w:rPr>
        <w:t>ii</w:t>
      </w:r>
      <w:proofErr w:type="spellEnd"/>
      <w:r w:rsidRPr="00BF6CAD">
        <w:rPr>
          <w:rFonts w:ascii="Verdana" w:eastAsia="Calibri" w:hAnsi="Verdana" w:cs="Arial"/>
          <w:color w:val="000000"/>
          <w:sz w:val="20"/>
          <w:szCs w:val="20"/>
          <w:lang w:eastAsia="es-ES"/>
        </w:rPr>
        <w:t>) la vigencia y firmeza de los documentos aportados; y (</w:t>
      </w:r>
      <w:proofErr w:type="spellStart"/>
      <w:r w:rsidRPr="00BF6CAD">
        <w:rPr>
          <w:rFonts w:ascii="Verdana" w:eastAsia="Calibri" w:hAnsi="Verdana" w:cs="Arial"/>
          <w:color w:val="000000"/>
          <w:sz w:val="20"/>
          <w:szCs w:val="20"/>
          <w:lang w:eastAsia="es-ES"/>
        </w:rPr>
        <w:t>iii</w:t>
      </w:r>
      <w:proofErr w:type="spellEnd"/>
      <w:r w:rsidRPr="00BF6CAD">
        <w:rPr>
          <w:rFonts w:ascii="Verdana" w:eastAsia="Calibri" w:hAnsi="Verdana" w:cs="Arial"/>
          <w:color w:val="000000"/>
          <w:sz w:val="20"/>
          <w:szCs w:val="20"/>
          <w:lang w:eastAsia="es-ES"/>
        </w:rPr>
        <w:t>) cuando proceda, el domicilio en el departamento o municipio donde se ejecutará el contrato.</w:t>
      </w:r>
    </w:p>
    <w:p w14:paraId="7F1A9C54" w14:textId="77777777" w:rsidR="00BF6CAD" w:rsidRDefault="00BF6CAD" w:rsidP="00F83DC6">
      <w:pPr>
        <w:spacing w:after="0" w:line="240" w:lineRule="auto"/>
        <w:jc w:val="both"/>
        <w:rPr>
          <w:rFonts w:ascii="Verdana" w:hAnsi="Verdana"/>
        </w:rPr>
      </w:pPr>
    </w:p>
    <w:p w14:paraId="22FABDE7" w14:textId="77777777" w:rsidR="00E93639" w:rsidRDefault="00E93639" w:rsidP="00F83DC6">
      <w:pPr>
        <w:spacing w:after="0" w:line="240" w:lineRule="auto"/>
        <w:jc w:val="both"/>
        <w:rPr>
          <w:rFonts w:ascii="Verdana" w:hAnsi="Verdana"/>
        </w:rPr>
      </w:pPr>
    </w:p>
    <w:p w14:paraId="1C3A9E04" w14:textId="77777777" w:rsidR="00E93639" w:rsidRDefault="00E93639" w:rsidP="00F83DC6">
      <w:pPr>
        <w:spacing w:after="0" w:line="240" w:lineRule="auto"/>
        <w:jc w:val="both"/>
        <w:rPr>
          <w:rFonts w:ascii="Verdana" w:hAnsi="Verdana"/>
        </w:rPr>
      </w:pPr>
    </w:p>
    <w:p w14:paraId="3DB0C6D6" w14:textId="77777777" w:rsidR="00E93639" w:rsidRDefault="00E93639" w:rsidP="00F83DC6">
      <w:pPr>
        <w:spacing w:after="0" w:line="240" w:lineRule="auto"/>
        <w:jc w:val="both"/>
        <w:rPr>
          <w:rFonts w:ascii="Verdana" w:hAnsi="Verdana"/>
        </w:rPr>
      </w:pPr>
    </w:p>
    <w:p w14:paraId="51447B51" w14:textId="77777777" w:rsidR="00E93639" w:rsidRDefault="00E93639" w:rsidP="00F83DC6">
      <w:pPr>
        <w:spacing w:after="0" w:line="240" w:lineRule="auto"/>
        <w:jc w:val="both"/>
        <w:rPr>
          <w:rFonts w:ascii="Verdana" w:hAnsi="Verdana"/>
        </w:rPr>
      </w:pPr>
    </w:p>
    <w:p w14:paraId="4DB3A2B3" w14:textId="77777777" w:rsidR="00E93639" w:rsidRDefault="00E93639" w:rsidP="00F83DC6">
      <w:pPr>
        <w:spacing w:after="0" w:line="240" w:lineRule="auto"/>
        <w:jc w:val="both"/>
        <w:rPr>
          <w:rFonts w:ascii="Verdana" w:hAnsi="Verdana"/>
        </w:rPr>
      </w:pPr>
    </w:p>
    <w:p w14:paraId="5AC3C452" w14:textId="77777777" w:rsidR="00E93639" w:rsidRDefault="00E93639" w:rsidP="00F83DC6">
      <w:pPr>
        <w:spacing w:after="0" w:line="240" w:lineRule="auto"/>
        <w:jc w:val="both"/>
        <w:rPr>
          <w:rFonts w:ascii="Verdana" w:hAnsi="Verdana"/>
        </w:rPr>
      </w:pPr>
    </w:p>
    <w:p w14:paraId="35D60DAE" w14:textId="77777777" w:rsidR="00E93639" w:rsidRDefault="00E93639" w:rsidP="00F83DC6">
      <w:pPr>
        <w:spacing w:after="0" w:line="240" w:lineRule="auto"/>
        <w:jc w:val="both"/>
        <w:rPr>
          <w:rFonts w:ascii="Verdana" w:hAnsi="Verdana"/>
        </w:rPr>
      </w:pPr>
    </w:p>
    <w:p w14:paraId="3BB178EF" w14:textId="77777777" w:rsidR="00E93639" w:rsidRDefault="00E93639" w:rsidP="00F83DC6">
      <w:pPr>
        <w:spacing w:after="0" w:line="240" w:lineRule="auto"/>
        <w:jc w:val="both"/>
        <w:rPr>
          <w:rFonts w:ascii="Verdana" w:hAnsi="Verdana"/>
        </w:rPr>
      </w:pPr>
    </w:p>
    <w:p w14:paraId="20FF456F" w14:textId="77777777" w:rsidR="00E93639" w:rsidRDefault="00E93639" w:rsidP="00F83DC6">
      <w:pPr>
        <w:spacing w:after="0" w:line="240" w:lineRule="auto"/>
        <w:jc w:val="both"/>
        <w:rPr>
          <w:rFonts w:ascii="Verdana" w:hAnsi="Verdana"/>
        </w:rPr>
      </w:pPr>
    </w:p>
    <w:p w14:paraId="28BE58EC" w14:textId="77777777" w:rsidR="00E93639" w:rsidRDefault="00E93639" w:rsidP="00F83DC6">
      <w:pPr>
        <w:spacing w:after="0" w:line="240" w:lineRule="auto"/>
        <w:jc w:val="both"/>
        <w:rPr>
          <w:rFonts w:ascii="Verdana" w:hAnsi="Verdana"/>
        </w:rPr>
      </w:pPr>
    </w:p>
    <w:p w14:paraId="4E1F8463" w14:textId="77777777" w:rsidR="00E93639" w:rsidRDefault="00E93639" w:rsidP="00F83DC6">
      <w:pPr>
        <w:spacing w:after="0" w:line="240" w:lineRule="auto"/>
        <w:jc w:val="both"/>
        <w:rPr>
          <w:rFonts w:ascii="Verdana" w:hAnsi="Verdana"/>
        </w:rPr>
      </w:pPr>
    </w:p>
    <w:p w14:paraId="28751B5A" w14:textId="77777777" w:rsidR="00E93639" w:rsidRDefault="00E93639" w:rsidP="00F83DC6">
      <w:pPr>
        <w:spacing w:after="0" w:line="240" w:lineRule="auto"/>
        <w:jc w:val="both"/>
        <w:rPr>
          <w:rFonts w:ascii="Verdana" w:hAnsi="Verdana"/>
        </w:rPr>
      </w:pPr>
    </w:p>
    <w:p w14:paraId="39B6D1AF" w14:textId="77777777" w:rsidR="00E93639" w:rsidRDefault="00E93639" w:rsidP="00F83DC6">
      <w:pPr>
        <w:spacing w:after="0" w:line="240" w:lineRule="auto"/>
        <w:jc w:val="both"/>
        <w:rPr>
          <w:rFonts w:ascii="Verdana" w:hAnsi="Verdana"/>
        </w:rPr>
      </w:pPr>
    </w:p>
    <w:p w14:paraId="7CFD73EB" w14:textId="77777777" w:rsidR="00E93639" w:rsidRDefault="00E93639" w:rsidP="00F83DC6">
      <w:pPr>
        <w:spacing w:after="0" w:line="240" w:lineRule="auto"/>
        <w:jc w:val="both"/>
        <w:rPr>
          <w:rFonts w:ascii="Verdana" w:hAnsi="Verdana"/>
        </w:rPr>
      </w:pPr>
    </w:p>
    <w:p w14:paraId="3069AE27" w14:textId="77777777" w:rsidR="00E93639" w:rsidRDefault="00E93639" w:rsidP="00F83DC6">
      <w:pPr>
        <w:spacing w:after="0" w:line="240" w:lineRule="auto"/>
        <w:jc w:val="both"/>
        <w:rPr>
          <w:rFonts w:ascii="Verdana" w:hAnsi="Verdana"/>
        </w:rPr>
      </w:pPr>
    </w:p>
    <w:p w14:paraId="0F941ED8" w14:textId="77777777" w:rsidR="00E93639" w:rsidRDefault="00E93639" w:rsidP="00F83DC6">
      <w:pPr>
        <w:spacing w:after="0" w:line="240" w:lineRule="auto"/>
        <w:jc w:val="both"/>
        <w:rPr>
          <w:rFonts w:ascii="Verdana" w:hAnsi="Verdana"/>
        </w:rPr>
      </w:pPr>
    </w:p>
    <w:p w14:paraId="24341D52" w14:textId="77777777" w:rsidR="00E93639" w:rsidRDefault="00E93639" w:rsidP="00F83DC6">
      <w:pPr>
        <w:spacing w:after="0" w:line="240" w:lineRule="auto"/>
        <w:jc w:val="both"/>
        <w:rPr>
          <w:rFonts w:ascii="Verdana" w:hAnsi="Verdana"/>
        </w:rPr>
      </w:pPr>
    </w:p>
    <w:p w14:paraId="0AF61CC5" w14:textId="77D0FF30" w:rsidR="00F83DC6" w:rsidRPr="008E4F36" w:rsidRDefault="00156664" w:rsidP="00F83DC6">
      <w:pPr>
        <w:spacing w:after="0" w:line="240" w:lineRule="auto"/>
        <w:jc w:val="both"/>
        <w:rPr>
          <w:rFonts w:ascii="Verdana" w:eastAsia="Calibri" w:hAnsi="Verdana" w:cs="Arial"/>
          <w:lang w:eastAsia="es-ES"/>
        </w:rPr>
      </w:pPr>
      <w:bookmarkStart w:id="0" w:name="_Hlk197462763"/>
      <w:bookmarkStart w:id="1" w:name="_Hlk197529996"/>
      <w:r w:rsidRPr="00156664">
        <w:rPr>
          <w:rFonts w:ascii="Verdana" w:eastAsia="Calibri" w:hAnsi="Verdana" w:cs="Arial"/>
          <w:lang w:eastAsia="es-ES"/>
        </w:rPr>
        <w:lastRenderedPageBreak/>
        <w:t xml:space="preserve">Bogotá D.C., 09 </w:t>
      </w:r>
      <w:r w:rsidRPr="00156664">
        <w:rPr>
          <w:rFonts w:ascii="Verdana" w:eastAsia="Calibri" w:hAnsi="Verdana" w:cs="Arial"/>
          <w:lang w:eastAsia="es-ES"/>
        </w:rPr>
        <w:t>abril</w:t>
      </w:r>
      <w:r w:rsidRPr="00156664">
        <w:rPr>
          <w:rFonts w:ascii="Verdana" w:eastAsia="Calibri" w:hAnsi="Verdana" w:cs="Arial"/>
          <w:lang w:eastAsia="es-ES"/>
        </w:rPr>
        <w:t xml:space="preserve"> 2026</w:t>
      </w:r>
      <w:r>
        <w:rPr>
          <w:rFonts w:ascii="Verdana" w:eastAsia="Calibri" w:hAnsi="Verdana" w:cs="Arial"/>
          <w:lang w:eastAsia="es-ES"/>
        </w:rPr>
        <w:t xml:space="preserve"> </w:t>
      </w:r>
    </w:p>
    <w:p w14:paraId="1EBA6A37" w14:textId="5E7C51A2" w:rsidR="00F83DC6" w:rsidRDefault="00BF4748" w:rsidP="00F83DC6">
      <w:pPr>
        <w:spacing w:after="0" w:line="240" w:lineRule="auto"/>
        <w:jc w:val="both"/>
        <w:rPr>
          <w:rFonts w:ascii="Verdana" w:eastAsia="Calibri" w:hAnsi="Verdana" w:cs="Arial"/>
          <w:lang w:eastAsia="es-ES"/>
        </w:rPr>
      </w:pPr>
      <w:r w:rsidRPr="00BF4748">
        <w:rPr>
          <w:rFonts w:ascii="Verdana" w:eastAsia="Calibri" w:hAnsi="Verdana" w:cs="Arial"/>
          <w:lang w:eastAsia="es-ES"/>
        </w:rPr>
        <w:drawing>
          <wp:anchor distT="0" distB="0" distL="114300" distR="114300" simplePos="0" relativeHeight="251660288" behindDoc="1" locked="0" layoutInCell="1" allowOverlap="1" wp14:anchorId="5D3047B2" wp14:editId="774C6889">
            <wp:simplePos x="0" y="0"/>
            <wp:positionH relativeFrom="column">
              <wp:posOffset>3483023</wp:posOffset>
            </wp:positionH>
            <wp:positionV relativeFrom="paragraph">
              <wp:posOffset>93540</wp:posOffset>
            </wp:positionV>
            <wp:extent cx="2552700" cy="762000"/>
            <wp:effectExtent l="0" t="0" r="0" b="0"/>
            <wp:wrapTight wrapText="bothSides">
              <wp:wrapPolygon edited="0">
                <wp:start x="0" y="0"/>
                <wp:lineTo x="0" y="21060"/>
                <wp:lineTo x="21439" y="21060"/>
                <wp:lineTo x="21439" y="0"/>
                <wp:lineTo x="0" y="0"/>
              </wp:wrapPolygon>
            </wp:wrapTight>
            <wp:docPr id="17069834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983486" name=""/>
                    <pic:cNvPicPr/>
                  </pic:nvPicPr>
                  <pic:blipFill>
                    <a:blip r:embed="rId7">
                      <a:extLst>
                        <a:ext uri="{28A0092B-C50C-407E-A947-70E740481C1C}">
                          <a14:useLocalDpi xmlns:a14="http://schemas.microsoft.com/office/drawing/2010/main" val="0"/>
                        </a:ext>
                      </a:extLst>
                    </a:blip>
                    <a:stretch>
                      <a:fillRect/>
                    </a:stretch>
                  </pic:blipFill>
                  <pic:spPr>
                    <a:xfrm>
                      <a:off x="0" y="0"/>
                      <a:ext cx="2552700" cy="762000"/>
                    </a:xfrm>
                    <a:prstGeom prst="rect">
                      <a:avLst/>
                    </a:prstGeom>
                  </pic:spPr>
                </pic:pic>
              </a:graphicData>
            </a:graphic>
          </wp:anchor>
        </w:drawing>
      </w:r>
    </w:p>
    <w:p w14:paraId="3A3B8A0A" w14:textId="77777777" w:rsidR="00656319" w:rsidRDefault="00656319" w:rsidP="00F83DC6">
      <w:pPr>
        <w:spacing w:after="0" w:line="240" w:lineRule="auto"/>
        <w:jc w:val="both"/>
        <w:rPr>
          <w:rFonts w:ascii="Verdana" w:eastAsia="Calibri" w:hAnsi="Verdana" w:cs="Arial"/>
          <w:lang w:eastAsia="es-ES"/>
        </w:rPr>
      </w:pPr>
    </w:p>
    <w:p w14:paraId="70897FBE" w14:textId="0F974B97" w:rsidR="00F83DC6" w:rsidRPr="008E4F36" w:rsidRDefault="00F83DC6" w:rsidP="00F83DC6">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65F68BF7" w14:textId="416206D7" w:rsidR="00F83DC6" w:rsidRPr="000F2158" w:rsidRDefault="00F83DC6" w:rsidP="00F83DC6">
      <w:pPr>
        <w:spacing w:after="0" w:line="240" w:lineRule="auto"/>
        <w:jc w:val="both"/>
        <w:rPr>
          <w:rFonts w:ascii="Verdana" w:eastAsia="Calibri" w:hAnsi="Verdana" w:cs="Arial"/>
          <w:b/>
          <w:highlight w:val="yellow"/>
          <w:lang w:eastAsia="es-ES_tradnl"/>
        </w:rPr>
      </w:pPr>
      <w:r w:rsidRPr="009C1680">
        <w:rPr>
          <w:rFonts w:ascii="Verdana" w:eastAsia="Calibri" w:hAnsi="Verdana" w:cs="Arial"/>
          <w:b/>
          <w:lang w:eastAsia="es-ES_tradnl"/>
        </w:rPr>
        <w:t>Cristian Camilo</w:t>
      </w:r>
      <w:r>
        <w:rPr>
          <w:rFonts w:ascii="Verdana" w:eastAsia="Calibri" w:hAnsi="Verdana" w:cs="Arial"/>
          <w:b/>
          <w:lang w:eastAsia="es-ES_tradnl"/>
        </w:rPr>
        <w:t xml:space="preserve"> </w:t>
      </w:r>
      <w:r w:rsidRPr="009C1680">
        <w:rPr>
          <w:rFonts w:ascii="Verdana" w:eastAsia="Calibri" w:hAnsi="Verdana" w:cs="Arial"/>
          <w:b/>
          <w:lang w:eastAsia="es-ES_tradnl"/>
        </w:rPr>
        <w:t>Rodas Sánchez</w:t>
      </w:r>
      <w:r>
        <w:rPr>
          <w:rFonts w:ascii="Verdana" w:eastAsia="Calibri" w:hAnsi="Verdana" w:cs="Arial"/>
          <w:b/>
          <w:lang w:eastAsia="es-ES_tradnl"/>
        </w:rPr>
        <w:t xml:space="preserve"> </w:t>
      </w:r>
    </w:p>
    <w:p w14:paraId="3E646AF5" w14:textId="77777777" w:rsidR="00F83DC6" w:rsidRPr="000F2158" w:rsidRDefault="00F83DC6" w:rsidP="00F83DC6">
      <w:pPr>
        <w:spacing w:after="0" w:line="240" w:lineRule="auto"/>
        <w:jc w:val="both"/>
        <w:rPr>
          <w:rFonts w:ascii="Verdana" w:eastAsia="Calibri" w:hAnsi="Verdana" w:cs="Arial"/>
          <w:b/>
          <w:highlight w:val="yellow"/>
          <w:lang w:eastAsia="es-ES_tradnl"/>
        </w:rPr>
      </w:pPr>
      <w:hyperlink r:id="rId8" w:history="1">
        <w:r w:rsidRPr="00107278">
          <w:rPr>
            <w:rStyle w:val="Hipervnculo"/>
            <w:rFonts w:ascii="Verdana" w:eastAsia="Calibri" w:hAnsi="Verdana" w:cs="Arial"/>
            <w:b/>
            <w:lang w:eastAsia="es-ES_tradnl"/>
          </w:rPr>
          <w:t>cristian_krodas@hotmail.com</w:t>
        </w:r>
      </w:hyperlink>
      <w:r>
        <w:rPr>
          <w:rFonts w:ascii="Verdana" w:eastAsia="Calibri" w:hAnsi="Verdana" w:cs="Arial"/>
          <w:b/>
          <w:lang w:eastAsia="es-ES_tradnl"/>
        </w:rPr>
        <w:t xml:space="preserve"> </w:t>
      </w:r>
    </w:p>
    <w:p w14:paraId="2D6805E2" w14:textId="77777777" w:rsidR="00F83DC6" w:rsidRPr="004E1BE4" w:rsidRDefault="00F83DC6" w:rsidP="00F83DC6">
      <w:pPr>
        <w:spacing w:after="0" w:line="240" w:lineRule="auto"/>
        <w:jc w:val="both"/>
        <w:rPr>
          <w:rFonts w:ascii="Verdana" w:eastAsia="Calibri" w:hAnsi="Verdana" w:cs="Arial"/>
          <w:bCs/>
          <w:lang w:eastAsia="es-ES_tradnl"/>
        </w:rPr>
      </w:pPr>
      <w:r>
        <w:rPr>
          <w:rFonts w:ascii="Verdana" w:eastAsia="Calibri" w:hAnsi="Verdana" w:cs="Arial"/>
          <w:bCs/>
          <w:lang w:eastAsia="es-ES_tradnl"/>
        </w:rPr>
        <w:t>Anza, Antioquia</w:t>
      </w:r>
    </w:p>
    <w:p w14:paraId="0AB67084" w14:textId="77777777" w:rsidR="00F83DC6" w:rsidRPr="005B4C57" w:rsidRDefault="00F83DC6" w:rsidP="00F83DC6">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F83DC6" w:rsidRPr="002842E0" w14:paraId="0E40D050" w14:textId="77777777" w:rsidTr="00BD0CD6">
        <w:trPr>
          <w:trHeight w:val="162"/>
        </w:trPr>
        <w:tc>
          <w:tcPr>
            <w:tcW w:w="3119" w:type="dxa"/>
          </w:tcPr>
          <w:p w14:paraId="14074163" w14:textId="77777777" w:rsidR="00F83DC6" w:rsidRPr="005B4C57" w:rsidRDefault="00F83DC6" w:rsidP="00BD0CD6">
            <w:pPr>
              <w:jc w:val="both"/>
              <w:rPr>
                <w:rFonts w:ascii="Verdana" w:eastAsia="Calibri" w:hAnsi="Verdana" w:cs="Arial"/>
                <w:b/>
                <w:bCs/>
                <w:color w:val="7030A0"/>
                <w:lang w:val="it-CH" w:eastAsia="es-ES_tradnl"/>
              </w:rPr>
            </w:pPr>
          </w:p>
        </w:tc>
        <w:tc>
          <w:tcPr>
            <w:tcW w:w="5670" w:type="dxa"/>
          </w:tcPr>
          <w:p w14:paraId="756426BD" w14:textId="77777777" w:rsidR="00F83DC6" w:rsidRPr="00801462" w:rsidRDefault="00F83DC6" w:rsidP="00BD0CD6">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347 de 2026</w:t>
            </w:r>
          </w:p>
          <w:p w14:paraId="1E2F0E35" w14:textId="77777777" w:rsidR="00F83DC6" w:rsidRPr="00801462" w:rsidRDefault="00F83DC6" w:rsidP="00BD0CD6">
            <w:pPr>
              <w:jc w:val="both"/>
              <w:rPr>
                <w:rFonts w:ascii="Verdana" w:eastAsia="Calibri" w:hAnsi="Verdana" w:cs="Arial"/>
                <w:b/>
                <w:bCs/>
                <w:color w:val="7030A0"/>
                <w:lang w:eastAsia="es-ES"/>
              </w:rPr>
            </w:pPr>
          </w:p>
        </w:tc>
      </w:tr>
      <w:tr w:rsidR="00F83DC6" w:rsidRPr="002842E0" w14:paraId="002048A4" w14:textId="77777777" w:rsidTr="00BD0CD6">
        <w:trPr>
          <w:trHeight w:val="884"/>
        </w:trPr>
        <w:tc>
          <w:tcPr>
            <w:tcW w:w="3119" w:type="dxa"/>
          </w:tcPr>
          <w:p w14:paraId="6784445C" w14:textId="77777777" w:rsidR="00F83DC6" w:rsidRPr="00801462" w:rsidRDefault="00F83DC6" w:rsidP="00BD0CD6">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583F5935" w14:textId="77777777" w:rsidR="00F83DC6" w:rsidRPr="00760318" w:rsidRDefault="00F83DC6" w:rsidP="00BD0CD6">
            <w:pPr>
              <w:jc w:val="both"/>
              <w:rPr>
                <w:rFonts w:ascii="Verdana" w:eastAsia="Times New Roman" w:hAnsi="Verdana" w:cs="Arial"/>
                <w:lang w:eastAsia="es-ES_tradnl"/>
              </w:rPr>
            </w:pPr>
            <w:r w:rsidRPr="00760318">
              <w:rPr>
                <w:rFonts w:ascii="Verdana" w:eastAsia="Times New Roman" w:hAnsi="Verdana" w:cs="Arial"/>
                <w:lang w:eastAsia="es-ES_tradnl"/>
              </w:rPr>
              <w:t xml:space="preserve">CONVOCATORIAS LIMITADAS A MIPYMES – Ley 2069 de 2020 – Decreto 1082 de 2025 artículo </w:t>
            </w:r>
            <w:r w:rsidRPr="00760318">
              <w:rPr>
                <w:rFonts w:ascii="Verdana" w:eastAsia="Arial" w:hAnsi="Verdana" w:cs="Arial"/>
                <w:color w:val="000000" w:themeColor="text1"/>
              </w:rPr>
              <w:t>2.2.1.2.4.2.4</w:t>
            </w:r>
            <w:r w:rsidRPr="00760318">
              <w:rPr>
                <w:rFonts w:ascii="Verdana" w:eastAsia="Times New Roman" w:hAnsi="Verdana" w:cs="Arial"/>
                <w:lang w:eastAsia="es-ES_tradnl"/>
              </w:rPr>
              <w:t>/ CONVOCATORIAS LIMITADAS A MIPYMES EN EL ÁMBITO TERRITORIAL – Limitación territorial – Acreditación - Requisitos</w:t>
            </w:r>
          </w:p>
          <w:p w14:paraId="114E33A7" w14:textId="77777777" w:rsidR="00F83DC6" w:rsidRPr="00F92D90" w:rsidRDefault="00F83DC6" w:rsidP="00BD0CD6">
            <w:pPr>
              <w:jc w:val="both"/>
              <w:rPr>
                <w:rFonts w:ascii="Verdana" w:eastAsia="Calibri" w:hAnsi="Verdana" w:cs="Arial"/>
                <w:lang w:eastAsia="es-ES"/>
              </w:rPr>
            </w:pPr>
          </w:p>
        </w:tc>
      </w:tr>
      <w:tr w:rsidR="00F83DC6" w:rsidRPr="002842E0" w14:paraId="4101CC10" w14:textId="77777777" w:rsidTr="00BD0CD6">
        <w:tc>
          <w:tcPr>
            <w:tcW w:w="3119" w:type="dxa"/>
          </w:tcPr>
          <w:p w14:paraId="718F6D2E" w14:textId="77777777" w:rsidR="00F83DC6" w:rsidRPr="00801462" w:rsidRDefault="00F83DC6" w:rsidP="00BD0CD6">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65C60FF" w14:textId="77777777" w:rsidR="00F83DC6" w:rsidRPr="00801462" w:rsidRDefault="00F83DC6" w:rsidP="00BD0CD6">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9C1680">
              <w:rPr>
                <w:rFonts w:ascii="Verdana" w:eastAsia="Calibri" w:hAnsi="Verdana" w:cs="Arial"/>
                <w:lang w:eastAsia="es-ES_tradnl"/>
              </w:rPr>
              <w:t>1_2026_03_03_002974</w:t>
            </w:r>
            <w:r>
              <w:rPr>
                <w:rFonts w:ascii="Verdana" w:eastAsia="Calibri" w:hAnsi="Verdana" w:cs="Arial"/>
                <w:lang w:eastAsia="es-ES_tradnl"/>
              </w:rPr>
              <w:t xml:space="preserve">  </w:t>
            </w:r>
          </w:p>
        </w:tc>
      </w:tr>
    </w:tbl>
    <w:p w14:paraId="7CFE48D7" w14:textId="77777777" w:rsidR="00F83DC6" w:rsidRDefault="00F83DC6" w:rsidP="00F83DC6">
      <w:pPr>
        <w:spacing w:after="0" w:line="276" w:lineRule="auto"/>
        <w:jc w:val="both"/>
        <w:rPr>
          <w:rFonts w:ascii="Verdana" w:eastAsia="Calibri" w:hAnsi="Verdana" w:cs="Arial"/>
          <w:lang w:eastAsia="es-ES_tradnl"/>
        </w:rPr>
      </w:pPr>
    </w:p>
    <w:p w14:paraId="423D67CD" w14:textId="77777777" w:rsidR="00F83DC6" w:rsidRDefault="00F83DC6" w:rsidP="00F83DC6">
      <w:pPr>
        <w:spacing w:after="0" w:line="276" w:lineRule="auto"/>
        <w:jc w:val="both"/>
        <w:rPr>
          <w:rFonts w:ascii="Verdana" w:eastAsia="Calibri" w:hAnsi="Verdana" w:cs="Arial"/>
          <w:lang w:eastAsia="es-ES_tradnl"/>
        </w:rPr>
      </w:pPr>
    </w:p>
    <w:p w14:paraId="48C3FB83" w14:textId="77777777" w:rsidR="00F83DC6" w:rsidRPr="008E4F36" w:rsidRDefault="00F83DC6" w:rsidP="00F83DC6">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Pr>
          <w:rFonts w:ascii="Verdana" w:eastAsia="Calibri" w:hAnsi="Verdana" w:cs="Arial"/>
          <w:bCs/>
          <w:lang w:eastAsia="es-ES_tradnl"/>
        </w:rPr>
        <w:t>Rodas</w:t>
      </w:r>
      <w:r w:rsidRPr="00083AB6">
        <w:rPr>
          <w:rFonts w:ascii="Verdana" w:eastAsia="Calibri" w:hAnsi="Verdana" w:cs="Arial"/>
          <w:lang w:eastAsia="es-ES"/>
        </w:rPr>
        <w:t>:</w:t>
      </w:r>
      <w:r w:rsidRPr="008E4F36">
        <w:rPr>
          <w:rFonts w:ascii="Verdana" w:eastAsia="Calibri" w:hAnsi="Verdana" w:cs="Arial"/>
          <w:lang w:eastAsia="es-ES"/>
        </w:rPr>
        <w:t xml:space="preserve"> </w:t>
      </w:r>
    </w:p>
    <w:p w14:paraId="2194BAD7" w14:textId="77777777" w:rsidR="00F83DC6" w:rsidRDefault="00F83DC6" w:rsidP="00F83DC6">
      <w:pPr>
        <w:tabs>
          <w:tab w:val="left" w:pos="3768"/>
        </w:tabs>
        <w:spacing w:after="0" w:line="240" w:lineRule="auto"/>
        <w:jc w:val="both"/>
        <w:rPr>
          <w:rFonts w:ascii="Verdana" w:eastAsia="Calibri" w:hAnsi="Verdana" w:cs="Arial"/>
          <w:lang w:eastAsia="es-ES"/>
        </w:rPr>
      </w:pPr>
    </w:p>
    <w:p w14:paraId="61D0934F" w14:textId="77777777" w:rsidR="00F83DC6" w:rsidRPr="008E4F36" w:rsidRDefault="00F83DC6" w:rsidP="00F83DC6">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3</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19B0294D" w14:textId="77777777" w:rsidR="00F83DC6" w:rsidRPr="008E4F36" w:rsidRDefault="00F83DC6" w:rsidP="00F83DC6">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62D1C28" w14:textId="77777777" w:rsidR="00F83DC6" w:rsidRPr="00F92D90" w:rsidRDefault="00F83DC6" w:rsidP="00F83DC6">
      <w:pPr>
        <w:autoSpaceDE w:val="0"/>
        <w:autoSpaceDN w:val="0"/>
        <w:adjustRightInd w:val="0"/>
        <w:spacing w:after="0" w:line="240" w:lineRule="auto"/>
        <w:ind w:left="709" w:right="709" w:hanging="1"/>
        <w:jc w:val="both"/>
        <w:rPr>
          <w:rFonts w:ascii="Verdana" w:hAnsi="Verdana" w:cs="Times New Roman"/>
          <w:i/>
          <w:iCs/>
          <w:color w:val="000000"/>
          <w:sz w:val="20"/>
          <w:szCs w:val="20"/>
        </w:rPr>
      </w:pPr>
      <w:bookmarkStart w:id="2" w:name="_Hlk192699624"/>
      <w:bookmarkStart w:id="3" w:name="_Hlk199394899"/>
      <w:r w:rsidRPr="00F92D90">
        <w:rPr>
          <w:rFonts w:ascii="Verdana" w:hAnsi="Verdana" w:cs="Times New Roman"/>
          <w:i/>
          <w:iCs/>
          <w:color w:val="000000"/>
          <w:sz w:val="20"/>
          <w:szCs w:val="20"/>
        </w:rPr>
        <w:t>“</w:t>
      </w:r>
      <w:bookmarkEnd w:id="2"/>
      <w:bookmarkEnd w:id="3"/>
      <w:r w:rsidRPr="00F92D90">
        <w:rPr>
          <w:rFonts w:ascii="Verdana" w:hAnsi="Verdana" w:cs="Times New Roman"/>
          <w:i/>
          <w:iCs/>
          <w:color w:val="000000"/>
          <w:sz w:val="20"/>
          <w:szCs w:val="20"/>
        </w:rPr>
        <w:t xml:space="preserve">solicito amablemente un concepto jurídico y legal de </w:t>
      </w:r>
      <w:proofErr w:type="spellStart"/>
      <w:r w:rsidRPr="00F92D90">
        <w:rPr>
          <w:rFonts w:ascii="Verdana" w:hAnsi="Verdana" w:cs="Times New Roman"/>
          <w:i/>
          <w:iCs/>
          <w:color w:val="000000"/>
          <w:sz w:val="20"/>
          <w:szCs w:val="20"/>
        </w:rPr>
        <w:t>como</w:t>
      </w:r>
      <w:proofErr w:type="spellEnd"/>
      <w:r w:rsidRPr="00F92D90">
        <w:rPr>
          <w:rFonts w:ascii="Verdana" w:hAnsi="Verdana" w:cs="Times New Roman"/>
          <w:i/>
          <w:iCs/>
          <w:color w:val="000000"/>
          <w:sz w:val="20"/>
          <w:szCs w:val="20"/>
        </w:rPr>
        <w:t xml:space="preserve"> interpretar el </w:t>
      </w:r>
      <w:r w:rsidRPr="009C1680">
        <w:rPr>
          <w:rFonts w:ascii="Verdana" w:hAnsi="Verdana" w:cs="Times New Roman"/>
          <w:i/>
          <w:iCs/>
          <w:color w:val="000000"/>
          <w:sz w:val="20"/>
          <w:szCs w:val="20"/>
        </w:rPr>
        <w:t>articulo ARTÍCULO 2.2.1.2.4.2.4. Acreditación de requisitos para</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participar en convocatorias limitadas del decreto 1082 de 2025. </w:t>
      </w:r>
      <w:r w:rsidRPr="00F92D90">
        <w:rPr>
          <w:rFonts w:ascii="Verdana" w:hAnsi="Verdana" w:cs="Times New Roman"/>
          <w:i/>
          <w:iCs/>
          <w:color w:val="000000"/>
          <w:sz w:val="20"/>
          <w:szCs w:val="20"/>
        </w:rPr>
        <w:t>E</w:t>
      </w:r>
      <w:r w:rsidRPr="009C1680">
        <w:rPr>
          <w:rFonts w:ascii="Verdana" w:hAnsi="Verdana" w:cs="Times New Roman"/>
          <w:i/>
          <w:iCs/>
          <w:color w:val="000000"/>
          <w:sz w:val="20"/>
          <w:szCs w:val="20"/>
        </w:rPr>
        <w:t>n</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cuanto lo siguiente si bien el </w:t>
      </w:r>
      <w:proofErr w:type="spellStart"/>
      <w:r w:rsidRPr="009C1680">
        <w:rPr>
          <w:rFonts w:ascii="Verdana" w:hAnsi="Verdana" w:cs="Times New Roman"/>
          <w:i/>
          <w:iCs/>
          <w:color w:val="000000"/>
          <w:sz w:val="20"/>
          <w:szCs w:val="20"/>
        </w:rPr>
        <w:t>articulo</w:t>
      </w:r>
      <w:proofErr w:type="spellEnd"/>
      <w:r w:rsidRPr="009C1680">
        <w:rPr>
          <w:rFonts w:ascii="Verdana" w:hAnsi="Verdana" w:cs="Times New Roman"/>
          <w:i/>
          <w:iCs/>
          <w:color w:val="000000"/>
          <w:sz w:val="20"/>
          <w:szCs w:val="20"/>
        </w:rPr>
        <w:t xml:space="preserve"> en su nombre dice "Acreditación de</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requisitos para participar en convocatorias limitadas" en su </w:t>
      </w:r>
      <w:proofErr w:type="spellStart"/>
      <w:r w:rsidRPr="009C1680">
        <w:rPr>
          <w:rFonts w:ascii="Verdana" w:hAnsi="Verdana" w:cs="Times New Roman"/>
          <w:i/>
          <w:iCs/>
          <w:color w:val="000000"/>
          <w:sz w:val="20"/>
          <w:szCs w:val="20"/>
        </w:rPr>
        <w:t>paragrafo</w:t>
      </w:r>
      <w:proofErr w:type="spellEnd"/>
      <w:r w:rsidRPr="009C1680">
        <w:rPr>
          <w:rFonts w:ascii="Verdana" w:hAnsi="Verdana" w:cs="Times New Roman"/>
          <w:i/>
          <w:iCs/>
          <w:color w:val="000000"/>
          <w:sz w:val="20"/>
          <w:szCs w:val="20"/>
        </w:rPr>
        <w:t xml:space="preserve"> 2,</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dicen que para efectos de la limitación a </w:t>
      </w:r>
      <w:proofErr w:type="spellStart"/>
      <w:r w:rsidRPr="009C1680">
        <w:rPr>
          <w:rFonts w:ascii="Verdana" w:hAnsi="Verdana" w:cs="Times New Roman"/>
          <w:i/>
          <w:iCs/>
          <w:color w:val="000000"/>
          <w:sz w:val="20"/>
          <w:szCs w:val="20"/>
        </w:rPr>
        <w:t>mipymes</w:t>
      </w:r>
      <w:proofErr w:type="spellEnd"/>
      <w:r w:rsidRPr="009C1680">
        <w:rPr>
          <w:rFonts w:ascii="Verdana" w:hAnsi="Verdana" w:cs="Times New Roman"/>
          <w:i/>
          <w:iCs/>
          <w:color w:val="000000"/>
          <w:sz w:val="20"/>
          <w:szCs w:val="20"/>
        </w:rPr>
        <w:t xml:space="preserve"> los proponentes deben</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aportar registro mercantil con una fecha de </w:t>
      </w:r>
      <w:proofErr w:type="spellStart"/>
      <w:r w:rsidRPr="009C1680">
        <w:rPr>
          <w:rFonts w:ascii="Verdana" w:hAnsi="Verdana" w:cs="Times New Roman"/>
          <w:i/>
          <w:iCs/>
          <w:color w:val="000000"/>
          <w:sz w:val="20"/>
          <w:szCs w:val="20"/>
        </w:rPr>
        <w:t>maximo</w:t>
      </w:r>
      <w:proofErr w:type="spellEnd"/>
      <w:r w:rsidRPr="009C1680">
        <w:rPr>
          <w:rFonts w:ascii="Verdana" w:hAnsi="Verdana" w:cs="Times New Roman"/>
          <w:i/>
          <w:iCs/>
          <w:color w:val="000000"/>
          <w:sz w:val="20"/>
          <w:szCs w:val="20"/>
        </w:rPr>
        <w:t xml:space="preserve"> 60 </w:t>
      </w:r>
      <w:proofErr w:type="spellStart"/>
      <w:r w:rsidRPr="009C1680">
        <w:rPr>
          <w:rFonts w:ascii="Verdana" w:hAnsi="Verdana" w:cs="Times New Roman"/>
          <w:i/>
          <w:iCs/>
          <w:color w:val="000000"/>
          <w:sz w:val="20"/>
          <w:szCs w:val="20"/>
        </w:rPr>
        <w:t>dias</w:t>
      </w:r>
      <w:proofErr w:type="spellEnd"/>
      <w:r w:rsidRPr="009C1680">
        <w:rPr>
          <w:rFonts w:ascii="Verdana" w:hAnsi="Verdana" w:cs="Times New Roman"/>
          <w:i/>
          <w:iCs/>
          <w:color w:val="000000"/>
          <w:sz w:val="20"/>
          <w:szCs w:val="20"/>
        </w:rPr>
        <w:t xml:space="preserve"> calendario.</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este </w:t>
      </w:r>
      <w:proofErr w:type="spellStart"/>
      <w:r w:rsidRPr="009C1680">
        <w:rPr>
          <w:rFonts w:ascii="Verdana" w:hAnsi="Verdana" w:cs="Times New Roman"/>
          <w:i/>
          <w:iCs/>
          <w:color w:val="000000"/>
          <w:sz w:val="20"/>
          <w:szCs w:val="20"/>
        </w:rPr>
        <w:t>ultimo</w:t>
      </w:r>
      <w:proofErr w:type="spellEnd"/>
      <w:r w:rsidRPr="009C1680">
        <w:rPr>
          <w:rFonts w:ascii="Verdana" w:hAnsi="Verdana" w:cs="Times New Roman"/>
          <w:i/>
          <w:iCs/>
          <w:color w:val="000000"/>
          <w:sz w:val="20"/>
          <w:szCs w:val="20"/>
        </w:rPr>
        <w:t xml:space="preserve"> se debe interpretar como un requisito para limitar el proceso</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a </w:t>
      </w:r>
      <w:proofErr w:type="spellStart"/>
      <w:r w:rsidRPr="009C1680">
        <w:rPr>
          <w:rFonts w:ascii="Verdana" w:hAnsi="Verdana" w:cs="Times New Roman"/>
          <w:i/>
          <w:iCs/>
          <w:color w:val="000000"/>
          <w:sz w:val="20"/>
          <w:szCs w:val="20"/>
        </w:rPr>
        <w:t>mipymes</w:t>
      </w:r>
      <w:proofErr w:type="spellEnd"/>
      <w:r w:rsidRPr="009C1680">
        <w:rPr>
          <w:rFonts w:ascii="Verdana" w:hAnsi="Verdana" w:cs="Times New Roman"/>
          <w:i/>
          <w:iCs/>
          <w:color w:val="000000"/>
          <w:sz w:val="20"/>
          <w:szCs w:val="20"/>
        </w:rPr>
        <w:t xml:space="preserve"> o se debe interpretar como un requisito una vez el proceso</w:t>
      </w:r>
      <w:r w:rsidRPr="00F92D90">
        <w:rPr>
          <w:rFonts w:ascii="Verdana" w:hAnsi="Verdana" w:cs="Times New Roman"/>
          <w:i/>
          <w:iCs/>
          <w:color w:val="000000"/>
          <w:sz w:val="20"/>
          <w:szCs w:val="20"/>
        </w:rPr>
        <w:t xml:space="preserve"> </w:t>
      </w:r>
      <w:proofErr w:type="spellStart"/>
      <w:r w:rsidRPr="009C1680">
        <w:rPr>
          <w:rFonts w:ascii="Verdana" w:hAnsi="Verdana" w:cs="Times New Roman"/>
          <w:i/>
          <w:iCs/>
          <w:color w:val="000000"/>
          <w:sz w:val="20"/>
          <w:szCs w:val="20"/>
        </w:rPr>
        <w:t>esta</w:t>
      </w:r>
      <w:proofErr w:type="spellEnd"/>
      <w:r w:rsidRPr="009C1680">
        <w:rPr>
          <w:rFonts w:ascii="Verdana" w:hAnsi="Verdana" w:cs="Times New Roman"/>
          <w:i/>
          <w:iCs/>
          <w:color w:val="000000"/>
          <w:sz w:val="20"/>
          <w:szCs w:val="20"/>
        </w:rPr>
        <w:t xml:space="preserve"> limitado a </w:t>
      </w:r>
      <w:proofErr w:type="spellStart"/>
      <w:r w:rsidRPr="009C1680">
        <w:rPr>
          <w:rFonts w:ascii="Verdana" w:hAnsi="Verdana" w:cs="Times New Roman"/>
          <w:i/>
          <w:iCs/>
          <w:color w:val="000000"/>
          <w:sz w:val="20"/>
          <w:szCs w:val="20"/>
        </w:rPr>
        <w:t>mipymes</w:t>
      </w:r>
      <w:proofErr w:type="spellEnd"/>
      <w:r w:rsidRPr="009C1680">
        <w:rPr>
          <w:rFonts w:ascii="Verdana" w:hAnsi="Verdana" w:cs="Times New Roman"/>
          <w:i/>
          <w:iCs/>
          <w:color w:val="000000"/>
          <w:sz w:val="20"/>
          <w:szCs w:val="20"/>
        </w:rPr>
        <w:t>. deseo que la respuesta tenga un sustento legal</w:t>
      </w:r>
      <w:r w:rsidRPr="00F92D90">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y jurídico en el cual se trate porque </w:t>
      </w:r>
      <w:proofErr w:type="spellStart"/>
      <w:r w:rsidRPr="009C1680">
        <w:rPr>
          <w:rFonts w:ascii="Verdana" w:hAnsi="Verdana" w:cs="Times New Roman"/>
          <w:i/>
          <w:iCs/>
          <w:color w:val="000000"/>
          <w:sz w:val="20"/>
          <w:szCs w:val="20"/>
        </w:rPr>
        <w:t>razon</w:t>
      </w:r>
      <w:proofErr w:type="spellEnd"/>
      <w:r w:rsidRPr="009C1680">
        <w:rPr>
          <w:rFonts w:ascii="Verdana" w:hAnsi="Verdana" w:cs="Times New Roman"/>
          <w:i/>
          <w:iCs/>
          <w:color w:val="000000"/>
          <w:sz w:val="20"/>
          <w:szCs w:val="20"/>
        </w:rPr>
        <w:t xml:space="preserve"> el </w:t>
      </w:r>
      <w:proofErr w:type="spellStart"/>
      <w:r w:rsidRPr="009C1680">
        <w:rPr>
          <w:rFonts w:ascii="Verdana" w:hAnsi="Verdana" w:cs="Times New Roman"/>
          <w:i/>
          <w:iCs/>
          <w:color w:val="000000"/>
          <w:sz w:val="20"/>
          <w:szCs w:val="20"/>
        </w:rPr>
        <w:t>articulo</w:t>
      </w:r>
      <w:proofErr w:type="spellEnd"/>
      <w:r w:rsidRPr="009C1680">
        <w:rPr>
          <w:rFonts w:ascii="Verdana" w:hAnsi="Verdana" w:cs="Times New Roman"/>
          <w:i/>
          <w:iCs/>
          <w:color w:val="000000"/>
          <w:sz w:val="20"/>
          <w:szCs w:val="20"/>
        </w:rPr>
        <w:t xml:space="preserve"> en su nombre dice</w:t>
      </w:r>
      <w:r>
        <w:rPr>
          <w:rFonts w:ascii="Verdana" w:hAnsi="Verdana" w:cs="Times New Roman"/>
          <w:i/>
          <w:iCs/>
          <w:color w:val="000000"/>
          <w:sz w:val="20"/>
          <w:szCs w:val="20"/>
        </w:rPr>
        <w:t xml:space="preserve"> </w:t>
      </w:r>
      <w:r w:rsidRPr="009C1680">
        <w:rPr>
          <w:rFonts w:ascii="Verdana" w:hAnsi="Verdana" w:cs="Times New Roman"/>
          <w:i/>
          <w:iCs/>
          <w:color w:val="000000"/>
          <w:sz w:val="20"/>
          <w:szCs w:val="20"/>
        </w:rPr>
        <w:t xml:space="preserve">un </w:t>
      </w:r>
      <w:proofErr w:type="gramStart"/>
      <w:r w:rsidRPr="009C1680">
        <w:rPr>
          <w:rFonts w:ascii="Verdana" w:hAnsi="Verdana" w:cs="Times New Roman"/>
          <w:i/>
          <w:iCs/>
          <w:color w:val="000000"/>
          <w:sz w:val="20"/>
          <w:szCs w:val="20"/>
        </w:rPr>
        <w:t>cosa</w:t>
      </w:r>
      <w:proofErr w:type="gramEnd"/>
      <w:r w:rsidRPr="009C1680">
        <w:rPr>
          <w:rFonts w:ascii="Verdana" w:hAnsi="Verdana" w:cs="Times New Roman"/>
          <w:i/>
          <w:iCs/>
          <w:color w:val="000000"/>
          <w:sz w:val="20"/>
          <w:szCs w:val="20"/>
        </w:rPr>
        <w:t xml:space="preserve"> pero en el </w:t>
      </w:r>
      <w:proofErr w:type="spellStart"/>
      <w:r w:rsidRPr="009C1680">
        <w:rPr>
          <w:rFonts w:ascii="Verdana" w:hAnsi="Verdana" w:cs="Times New Roman"/>
          <w:i/>
          <w:iCs/>
          <w:color w:val="000000"/>
          <w:sz w:val="20"/>
          <w:szCs w:val="20"/>
        </w:rPr>
        <w:t>paragrafo</w:t>
      </w:r>
      <w:proofErr w:type="spellEnd"/>
      <w:r w:rsidRPr="009C1680">
        <w:rPr>
          <w:rFonts w:ascii="Verdana" w:hAnsi="Verdana" w:cs="Times New Roman"/>
          <w:i/>
          <w:iCs/>
          <w:color w:val="000000"/>
          <w:sz w:val="20"/>
          <w:szCs w:val="20"/>
        </w:rPr>
        <w:t xml:space="preserve"> explica algo relacionado con limitar el</w:t>
      </w:r>
      <w:r w:rsidRPr="00F92D90">
        <w:rPr>
          <w:rFonts w:ascii="Verdana" w:hAnsi="Verdana" w:cs="Times New Roman"/>
          <w:i/>
          <w:iCs/>
          <w:color w:val="000000"/>
          <w:sz w:val="20"/>
          <w:szCs w:val="20"/>
        </w:rPr>
        <w:t xml:space="preserve"> </w:t>
      </w:r>
      <w:proofErr w:type="gramStart"/>
      <w:r w:rsidRPr="00F92D90">
        <w:rPr>
          <w:rFonts w:ascii="Verdana" w:hAnsi="Verdana" w:cs="Times New Roman"/>
          <w:i/>
          <w:iCs/>
          <w:color w:val="000000"/>
          <w:sz w:val="20"/>
          <w:szCs w:val="20"/>
        </w:rPr>
        <w:t>proceso..</w:t>
      </w:r>
      <w:proofErr w:type="gramEnd"/>
      <w:r w:rsidRPr="00F92D90">
        <w:rPr>
          <w:rFonts w:ascii="Verdana" w:hAnsi="Verdana" w:cs="Times New Roman"/>
          <w:i/>
          <w:iCs/>
          <w:color w:val="000000"/>
          <w:sz w:val="20"/>
          <w:szCs w:val="20"/>
        </w:rPr>
        <w:t>”</w:t>
      </w:r>
    </w:p>
    <w:p w14:paraId="5B9DF250" w14:textId="77777777" w:rsidR="00F83DC6" w:rsidRPr="008E4F36" w:rsidRDefault="00F83DC6" w:rsidP="00F83DC6">
      <w:pPr>
        <w:spacing w:after="0" w:line="240" w:lineRule="auto"/>
        <w:ind w:left="709" w:right="709"/>
        <w:jc w:val="both"/>
        <w:rPr>
          <w:rFonts w:ascii="Verdana" w:hAnsi="Verdana"/>
          <w:sz w:val="20"/>
          <w:szCs w:val="20"/>
        </w:rPr>
      </w:pPr>
    </w:p>
    <w:p w14:paraId="5565C15A" w14:textId="77777777" w:rsidR="00F83DC6" w:rsidRDefault="00F83DC6" w:rsidP="00F83DC6">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BB76ED0" w14:textId="77777777" w:rsidR="00F83DC6" w:rsidRPr="00054383" w:rsidRDefault="00F83DC6" w:rsidP="00F83DC6">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7230898" w14:textId="77777777" w:rsidR="00F83DC6" w:rsidRPr="008E4F36" w:rsidRDefault="00F83DC6" w:rsidP="00F83DC6">
      <w:pPr>
        <w:spacing w:after="0"/>
        <w:ind w:firstLine="709"/>
        <w:jc w:val="both"/>
        <w:rPr>
          <w:rFonts w:ascii="Verdana" w:eastAsia="Calibri" w:hAnsi="Verdana" w:cs="Arial"/>
          <w:color w:val="000000"/>
          <w:lang w:eastAsia="es-ES"/>
        </w:rPr>
      </w:pPr>
    </w:p>
    <w:p w14:paraId="660D5954" w14:textId="77777777" w:rsidR="00F83DC6" w:rsidRDefault="00F83DC6" w:rsidP="00F83DC6">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2928C881" w14:textId="77777777" w:rsidR="00F83DC6" w:rsidRDefault="00F83DC6" w:rsidP="00F83DC6">
      <w:pPr>
        <w:spacing w:after="0" w:line="276" w:lineRule="auto"/>
        <w:jc w:val="both"/>
        <w:rPr>
          <w:rFonts w:ascii="Verdana" w:eastAsia="Calibri" w:hAnsi="Verdana" w:cs="Arial"/>
          <w:color w:val="000000"/>
          <w:highlight w:val="yellow"/>
          <w:lang w:eastAsia="es-ES"/>
        </w:rPr>
      </w:pPr>
    </w:p>
    <w:p w14:paraId="1CA0C04D" w14:textId="28BF0DE1" w:rsidR="00F83DC6" w:rsidRPr="005A3B40" w:rsidRDefault="00F83DC6" w:rsidP="00F83DC6">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Pr="00F92D90">
        <w:t xml:space="preserve"> </w:t>
      </w:r>
      <w:r w:rsidR="005E34E1" w:rsidRPr="00F92D90">
        <w:rPr>
          <w:rFonts w:ascii="Verdana" w:eastAsia="Calibri" w:hAnsi="Verdana" w:cs="Arial"/>
          <w:color w:val="000000"/>
          <w:lang w:eastAsia="es-ES"/>
        </w:rPr>
        <w:t>¿El requisito de aportar el registro mercantil con fecha máxima de 60 días, previsto en el parágrafo 2 del artículo 2?</w:t>
      </w:r>
      <w:r w:rsidRPr="00F92D90">
        <w:rPr>
          <w:rFonts w:ascii="Verdana" w:eastAsia="Calibri" w:hAnsi="Verdana" w:cs="Arial"/>
          <w:color w:val="000000"/>
          <w:lang w:eastAsia="es-ES"/>
        </w:rPr>
        <w:t xml:space="preserve">2.1.2.4.2.4 del Decreto 1082 de 2015, se interpreta como condición para limitar la convocatoria a </w:t>
      </w:r>
      <w:proofErr w:type="spellStart"/>
      <w:r w:rsidRPr="00F92D90">
        <w:rPr>
          <w:rFonts w:ascii="Verdana" w:eastAsia="Calibri" w:hAnsi="Verdana" w:cs="Arial"/>
          <w:color w:val="000000"/>
          <w:lang w:eastAsia="es-ES"/>
        </w:rPr>
        <w:t>mipymes</w:t>
      </w:r>
      <w:proofErr w:type="spellEnd"/>
      <w:r w:rsidRPr="00F92D90">
        <w:rPr>
          <w:rFonts w:ascii="Verdana" w:eastAsia="Calibri" w:hAnsi="Verdana" w:cs="Arial"/>
          <w:color w:val="000000"/>
          <w:lang w:eastAsia="es-ES"/>
        </w:rPr>
        <w:t xml:space="preserve"> o como requisito una vez el proceso ya está limitado a </w:t>
      </w:r>
      <w:proofErr w:type="spellStart"/>
      <w:r w:rsidRPr="00F92D90">
        <w:rPr>
          <w:rFonts w:ascii="Verdana" w:eastAsia="Calibri" w:hAnsi="Verdana" w:cs="Arial"/>
          <w:color w:val="000000"/>
          <w:lang w:eastAsia="es-ES"/>
        </w:rPr>
        <w:t>mipymes</w:t>
      </w:r>
      <w:proofErr w:type="spellEnd"/>
      <w:r>
        <w:rPr>
          <w:rFonts w:ascii="Verdana" w:eastAsia="Calibri" w:hAnsi="Verdana" w:cs="Arial"/>
          <w:color w:val="000000"/>
          <w:lang w:eastAsia="es-ES"/>
        </w:rPr>
        <w:t>?</w:t>
      </w:r>
    </w:p>
    <w:p w14:paraId="5DFE0FBB" w14:textId="77777777" w:rsidR="00F83DC6" w:rsidRPr="00F92D90" w:rsidRDefault="00F83DC6" w:rsidP="00F83DC6">
      <w:pPr>
        <w:spacing w:after="0" w:line="276" w:lineRule="auto"/>
        <w:jc w:val="both"/>
        <w:rPr>
          <w:rFonts w:ascii="Verdana" w:eastAsia="Calibri" w:hAnsi="Verdana" w:cs="Times New Roman"/>
          <w:lang w:val="es-ES"/>
        </w:rPr>
      </w:pPr>
    </w:p>
    <w:p w14:paraId="76AE56E4" w14:textId="77777777" w:rsidR="00F83DC6" w:rsidRPr="008E4F36" w:rsidRDefault="00F83DC6" w:rsidP="00F83DC6">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948607E" w14:textId="77777777" w:rsidR="00F83DC6" w:rsidRPr="008E4F36" w:rsidRDefault="00F83DC6" w:rsidP="00F83DC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83DC6" w:rsidRPr="008E4F36" w14:paraId="4E883B88" w14:textId="77777777" w:rsidTr="00BD0CD6">
        <w:tc>
          <w:tcPr>
            <w:tcW w:w="8828" w:type="dxa"/>
          </w:tcPr>
          <w:p w14:paraId="08AA7866" w14:textId="77777777" w:rsidR="00F83DC6" w:rsidRDefault="00F83DC6" w:rsidP="00BD0CD6">
            <w:pPr>
              <w:spacing w:after="120" w:line="276" w:lineRule="auto"/>
              <w:jc w:val="both"/>
              <w:rPr>
                <w:rFonts w:ascii="Verdana" w:hAnsi="Verdana" w:cs="Arial"/>
                <w:color w:val="000000" w:themeColor="text1"/>
              </w:rPr>
            </w:pPr>
            <w:r w:rsidRPr="00867232">
              <w:rPr>
                <w:rFonts w:ascii="Verdana" w:hAnsi="Verdana" w:cs="Arial"/>
                <w:color w:val="000000" w:themeColor="text1"/>
              </w:rPr>
              <w:t>De acuerdo con el análisis normativo y jurídico, el requisito de aportar el registro mercantil o certificado equivalente con fecha máxima de 60 días, previsto en el parágrafo 2 del artículo 2.2.1.2.4.2.4 del Decreto 1082 de 2015, modificado por el Decreto 1860 de 2021, debe interpretarse como condición previa y necesaria para que proceda la limitación de la convocatoria a MiPymes, y no como un requisito posterior que deba cumplirse únicamente una vez que el proceso ya está limitado a estas empresas.</w:t>
            </w:r>
          </w:p>
          <w:p w14:paraId="0ED9A47E" w14:textId="77777777" w:rsidR="00F83DC6" w:rsidRPr="00867232" w:rsidRDefault="00F83DC6" w:rsidP="00BD0CD6">
            <w:pPr>
              <w:spacing w:after="120" w:line="276" w:lineRule="auto"/>
              <w:ind w:firstLine="709"/>
              <w:jc w:val="both"/>
              <w:rPr>
                <w:rFonts w:ascii="Verdana" w:hAnsi="Verdana" w:cs="Arial"/>
                <w:color w:val="000000" w:themeColor="text1"/>
              </w:rPr>
            </w:pPr>
            <w:r w:rsidRPr="00867232">
              <w:rPr>
                <w:rFonts w:ascii="Verdana" w:hAnsi="Verdana" w:cs="Arial"/>
                <w:color w:val="000000" w:themeColor="text1"/>
              </w:rPr>
              <w:lastRenderedPageBreak/>
              <w:t xml:space="preserve">Esta interpretación se fundamenta en la finalidad de la Ley 2069 de 2020, cuyo objeto es propiciar el emprendimiento y garantizar la participación efectiva de las MiPymes en la contratación estatal mediante mecanismos claros y verificables, así como en la redacción específica del parágrafo 2, que establece un criterio temporal objetivo para que los documentos aportados no superen los 60 días contados desde la fecha prevista en el cronograma para solicitar la limitación. Asimismo, se considera que esta exigencia </w:t>
            </w:r>
            <w:proofErr w:type="gramStart"/>
            <w:r w:rsidRPr="00867232">
              <w:rPr>
                <w:rFonts w:ascii="Verdana" w:hAnsi="Verdana" w:cs="Arial"/>
                <w:color w:val="000000" w:themeColor="text1"/>
              </w:rPr>
              <w:t>se enmarca dentro del</w:t>
            </w:r>
            <w:proofErr w:type="gramEnd"/>
            <w:r w:rsidRPr="00867232">
              <w:rPr>
                <w:rFonts w:ascii="Verdana" w:hAnsi="Verdana" w:cs="Arial"/>
                <w:color w:val="000000" w:themeColor="text1"/>
              </w:rPr>
              <w:t xml:space="preserve"> principio de legalidad, la transparencia y la igualdad de trato, al establecer que la entidad contratante debe verificar de manera estricta únicamente los documentos previstos legalmente, sin imponer requisitos adicionales que puedan restringir injustificadamente la participación de las MiPymes. Además, esta interpretación armoniza el título del artículo, “Acreditación de requisitos para participar en convocatorias limitadas”, con el contenido del parágrafo, distinguiendo claramente entre los requisitos para solicitar la limitación del proceso —es decir, para que el proceso pueda ser restringido a MiPymes— y los requisitos para participar en un proceso ya limitado, garantizando así que la limitación a MiPymes se aplique de manera objetiva, verificable y conforme a la intención del legislador, evitando arbitrariedades y asegurando que solo aquellas MiPymes que cumplen con las condiciones de existencia, clasificación empresarial y vigencia documental puedan acceder a los beneficios que la normativa establece.</w:t>
            </w:r>
          </w:p>
        </w:tc>
      </w:tr>
    </w:tbl>
    <w:p w14:paraId="5B60AE5D" w14:textId="77777777" w:rsidR="00F83DC6" w:rsidRDefault="00F83DC6" w:rsidP="00F83DC6">
      <w:pPr>
        <w:tabs>
          <w:tab w:val="left" w:pos="142"/>
          <w:tab w:val="left" w:pos="284"/>
        </w:tabs>
        <w:spacing w:after="0" w:line="276" w:lineRule="auto"/>
        <w:jc w:val="both"/>
        <w:rPr>
          <w:rFonts w:ascii="Verdana" w:eastAsia="Century Gothic" w:hAnsi="Verdana" w:cs="Century Gothic"/>
          <w:b/>
          <w:bCs/>
        </w:rPr>
      </w:pPr>
    </w:p>
    <w:p w14:paraId="638C7B53" w14:textId="6F387BA7" w:rsidR="00F83DC6" w:rsidRPr="00656319" w:rsidRDefault="00F83DC6" w:rsidP="00656319">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1F6401FC" w14:textId="77777777" w:rsidR="00F83DC6" w:rsidRPr="00F92D90" w:rsidRDefault="00F83DC6" w:rsidP="00F83DC6">
      <w:pPr>
        <w:pStyle w:val="Prrafodelista"/>
        <w:tabs>
          <w:tab w:val="left" w:pos="142"/>
          <w:tab w:val="left" w:pos="284"/>
        </w:tabs>
        <w:spacing w:after="0" w:line="276" w:lineRule="auto"/>
        <w:ind w:left="0"/>
        <w:contextualSpacing w:val="0"/>
        <w:jc w:val="both"/>
        <w:rPr>
          <w:rFonts w:ascii="Verdana" w:eastAsia="Calibri" w:hAnsi="Verdana" w:cs="Arial"/>
        </w:rPr>
      </w:pPr>
    </w:p>
    <w:p w14:paraId="5AACEA6D" w14:textId="77777777" w:rsidR="00F83DC6" w:rsidRDefault="00F83DC6" w:rsidP="00F83DC6">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A767855" w14:textId="77777777" w:rsidR="00656319" w:rsidRDefault="00656319" w:rsidP="00F83DC6">
      <w:pPr>
        <w:spacing w:after="120" w:line="276" w:lineRule="auto"/>
        <w:jc w:val="both"/>
        <w:rPr>
          <w:rFonts w:ascii="Verdana" w:eastAsia="Calibri" w:hAnsi="Verdana" w:cs="Arial"/>
          <w:color w:val="000000"/>
          <w:shd w:val="clear" w:color="auto" w:fill="FFFFFF"/>
        </w:rPr>
      </w:pPr>
    </w:p>
    <w:p w14:paraId="3AC720E5" w14:textId="5689AB1E" w:rsidR="00F83DC6" w:rsidRDefault="00F83DC6" w:rsidP="00F83DC6">
      <w:pPr>
        <w:spacing w:after="120" w:line="276" w:lineRule="auto"/>
        <w:jc w:val="both"/>
        <w:rPr>
          <w:rFonts w:ascii="Verdana" w:hAnsi="Verdana"/>
          <w:lang w:val="es-ES_tradnl"/>
        </w:rPr>
      </w:pPr>
      <w:r w:rsidRPr="00836B55">
        <w:rPr>
          <w:rFonts w:ascii="Verdana" w:hAnsi="Verdana"/>
          <w:lang w:val="es-ES_tradnl"/>
        </w:rPr>
        <w:t xml:space="preserve">Respecto a las convocatorias </w:t>
      </w:r>
      <w:r>
        <w:rPr>
          <w:rFonts w:ascii="Verdana" w:hAnsi="Verdana"/>
          <w:lang w:val="es-ES_tradnl"/>
        </w:rPr>
        <w:t xml:space="preserve">de procesos contractuales </w:t>
      </w:r>
      <w:r w:rsidRPr="00836B55">
        <w:rPr>
          <w:rFonts w:ascii="Verdana" w:hAnsi="Verdana"/>
          <w:lang w:val="es-ES_tradnl"/>
        </w:rPr>
        <w:t xml:space="preserve">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0445BC59" w14:textId="77777777" w:rsidR="00F83DC6" w:rsidRPr="00836B55" w:rsidRDefault="00F83DC6" w:rsidP="00F83DC6">
      <w:pPr>
        <w:spacing w:after="120" w:line="276" w:lineRule="auto"/>
        <w:ind w:firstLine="708"/>
        <w:jc w:val="both"/>
        <w:rPr>
          <w:rFonts w:ascii="Verdana" w:hAnsi="Verdana"/>
          <w:lang w:val="es-ES"/>
        </w:rPr>
      </w:pPr>
      <w:r w:rsidRPr="00836B55">
        <w:rPr>
          <w:rFonts w:ascii="Verdana" w:hAnsi="Verdana"/>
          <w:lang w:val="es-ES_tradnl"/>
        </w:rPr>
        <w:lastRenderedPageBreak/>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02575CEE" w14:textId="77777777" w:rsidR="00F83DC6" w:rsidRPr="00836B55" w:rsidRDefault="00F83DC6" w:rsidP="00F83DC6">
      <w:pPr>
        <w:spacing w:after="120" w:line="276" w:lineRule="auto"/>
        <w:ind w:firstLine="708"/>
        <w:jc w:val="both"/>
        <w:rPr>
          <w:rFonts w:ascii="Verdana" w:hAnsi="Verdana"/>
          <w:lang w:val="es-ES"/>
        </w:rPr>
      </w:pPr>
      <w:r w:rsidRPr="00836B55">
        <w:rPr>
          <w:rFonts w:ascii="Verdana" w:hAnsi="Verdana"/>
          <w:lang w:val="es-ES"/>
        </w:rPr>
        <w:t>Como se indicó, parte de la Ley 2069 de 2020 contiene normas que modifican algunos aspectos de la contratación estatal para promover el emprendimiento. Concretamente, aquellas se encuentran en el Capítulo III –artículos 30 al 36–.</w:t>
      </w:r>
    </w:p>
    <w:p w14:paraId="6C94CB95" w14:textId="77777777" w:rsidR="00F83DC6" w:rsidRPr="00836B55" w:rsidRDefault="00F83DC6" w:rsidP="00F83DC6">
      <w:pPr>
        <w:spacing w:after="120" w:line="276" w:lineRule="auto"/>
        <w:ind w:firstLine="708"/>
        <w:jc w:val="both"/>
        <w:rPr>
          <w:rFonts w:ascii="Verdana" w:hAnsi="Verdana"/>
          <w:lang w:val="es-ES"/>
        </w:rPr>
      </w:pPr>
      <w:r w:rsidRPr="00836B55">
        <w:rPr>
          <w:rFonts w:ascii="Verdana" w:hAnsi="Verdana"/>
          <w:lang w:val="es-ES"/>
        </w:rPr>
        <w:t xml:space="preserve">El artículo 34 de la Ley 2069 de 2020 modificó el artículo 12 de la Ley 1150 de 2007, el cual regula la promoción del desarrollo en la contratación pública, cambiando los requisitos esenciales para que procedan las convocatorias limitadas a </w:t>
      </w:r>
      <w:proofErr w:type="spellStart"/>
      <w:r w:rsidRPr="00836B55">
        <w:rPr>
          <w:rFonts w:ascii="Verdana" w:hAnsi="Verdana"/>
          <w:lang w:val="es-ES"/>
        </w:rPr>
        <w:t>Mi</w:t>
      </w:r>
      <w:r>
        <w:rPr>
          <w:rFonts w:ascii="Verdana" w:hAnsi="Verdana"/>
          <w:lang w:val="es-ES"/>
        </w:rPr>
        <w:t>p</w:t>
      </w:r>
      <w:r w:rsidRPr="00836B55">
        <w:rPr>
          <w:rFonts w:ascii="Verdana" w:hAnsi="Verdana"/>
          <w:lang w:val="es-ES"/>
        </w:rPr>
        <w:t>ymes</w:t>
      </w:r>
      <w:proofErr w:type="spellEnd"/>
      <w:r w:rsidRPr="00836B55">
        <w:rPr>
          <w:rFonts w:ascii="Verdana" w:hAnsi="Verdana"/>
          <w:lang w:val="es-ES"/>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36B55">
        <w:rPr>
          <w:rFonts w:ascii="Verdana" w:hAnsi="Verdana"/>
          <w:lang w:val="es-ES"/>
        </w:rPr>
        <w:t>ii</w:t>
      </w:r>
      <w:proofErr w:type="spellEnd"/>
      <w:r w:rsidRPr="00836B55">
        <w:rPr>
          <w:rFonts w:ascii="Verdana" w:hAnsi="Verdana"/>
          <w:lang w:val="es-ES"/>
        </w:rPr>
        <w:t xml:space="preserve">) señaló que los patrimonios autónomos constituidos por Entidades Estatales y los particulares que ejecuten recursos públicos también son destinatarios de esta exigencia; y,  </w:t>
      </w:r>
      <w:proofErr w:type="spellStart"/>
      <w:r w:rsidRPr="00836B55">
        <w:rPr>
          <w:rFonts w:ascii="Verdana" w:hAnsi="Verdana"/>
          <w:lang w:val="es-ES"/>
        </w:rPr>
        <w:t>iii</w:t>
      </w:r>
      <w:proofErr w:type="spellEnd"/>
      <w:r w:rsidRPr="00836B55">
        <w:rPr>
          <w:rFonts w:ascii="Verdana" w:hAnsi="Verdana"/>
          <w:lang w:val="es-ES"/>
        </w:rPr>
        <w:t xml:space="preserve">) indicó que para que pueda haber convocatorias limitadas a MiPymes, dos (2) de ellas deben manifestar su interés. </w:t>
      </w:r>
    </w:p>
    <w:p w14:paraId="23530B05" w14:textId="77777777" w:rsidR="00F83DC6" w:rsidRDefault="00F83DC6" w:rsidP="00F83DC6">
      <w:pPr>
        <w:spacing w:after="120" w:line="276" w:lineRule="auto"/>
        <w:jc w:val="both"/>
        <w:rPr>
          <w:rFonts w:ascii="Verdana" w:eastAsia="Arial" w:hAnsi="Verdana" w:cs="Arial"/>
          <w:color w:val="000000" w:themeColor="text1"/>
        </w:rPr>
      </w:pPr>
      <w:r>
        <w:rPr>
          <w:rFonts w:ascii="Verdana" w:eastAsia="Arial" w:hAnsi="Verdana" w:cs="Arial"/>
          <w:color w:val="000000"/>
          <w:lang w:val="es-ES"/>
        </w:rPr>
        <w:t xml:space="preserve"> </w:t>
      </w:r>
      <w:r>
        <w:rPr>
          <w:rFonts w:ascii="Verdana" w:eastAsia="Arial" w:hAnsi="Verdana" w:cs="Arial"/>
          <w:color w:val="000000"/>
          <w:lang w:val="es-ES"/>
        </w:rPr>
        <w:tab/>
        <w:t xml:space="preserve">Por su parte, </w:t>
      </w:r>
      <w:r>
        <w:rPr>
          <w:rFonts w:ascii="Verdana" w:eastAsia="Arial" w:hAnsi="Verdana" w:cs="Arial"/>
          <w:color w:val="000000" w:themeColor="text1"/>
        </w:rPr>
        <w:t xml:space="preserve">el Decreto 1860 de 2021 modificó y adicionó </w:t>
      </w:r>
      <w:r>
        <w:rPr>
          <w:rFonts w:ascii="Verdana" w:eastAsia="Arial" w:hAnsi="Verdana" w:cs="Arial"/>
          <w:color w:val="000000"/>
          <w:lang w:val="es-ES"/>
        </w:rPr>
        <w:t xml:space="preserve">el Decreto 1082 de 2015, con el objetivo de reglamentar los artículos 30 al 35 de la Ley 2069 de 2020. Así, el </w:t>
      </w:r>
      <w:r w:rsidRPr="00D804ED">
        <w:rPr>
          <w:rFonts w:ascii="Verdana" w:eastAsia="Arial" w:hAnsi="Verdana" w:cs="Arial"/>
          <w:color w:val="000000" w:themeColor="text1"/>
        </w:rPr>
        <w:t>artículo 2.2.1.2.4.2.2 del Decreto 1082 de 2015</w:t>
      </w:r>
      <w:r>
        <w:rPr>
          <w:rFonts w:ascii="Verdana" w:eastAsia="Arial" w:hAnsi="Verdana" w:cs="Arial"/>
          <w:color w:val="000000" w:themeColor="text1"/>
        </w:rPr>
        <w:t xml:space="preserve"> dispone:</w:t>
      </w:r>
    </w:p>
    <w:p w14:paraId="43DA7AFC" w14:textId="77777777" w:rsidR="00F83DC6" w:rsidRPr="00D804ED" w:rsidRDefault="00F83DC6" w:rsidP="00F83DC6">
      <w:pPr>
        <w:spacing w:after="120" w:line="240" w:lineRule="auto"/>
        <w:ind w:left="709" w:right="616"/>
        <w:jc w:val="both"/>
        <w:rPr>
          <w:rFonts w:ascii="Verdana" w:hAnsi="Verdana" w:cs="Arial"/>
          <w:color w:val="000000"/>
          <w:sz w:val="20"/>
          <w:szCs w:val="20"/>
        </w:rPr>
      </w:pPr>
      <w:r w:rsidRPr="00D804ED">
        <w:rPr>
          <w:rStyle w:val="Fuerte"/>
          <w:rFonts w:ascii="Verdana" w:hAnsi="Verdana" w:cs="Arial"/>
          <w:color w:val="000000"/>
          <w:sz w:val="20"/>
          <w:szCs w:val="20"/>
        </w:rPr>
        <w:t xml:space="preserve">Convocatorias Limitadas a </w:t>
      </w:r>
      <w:proofErr w:type="spellStart"/>
      <w:r w:rsidRPr="00D804ED">
        <w:rPr>
          <w:rStyle w:val="Fuerte"/>
          <w:rFonts w:ascii="Verdana" w:hAnsi="Verdana" w:cs="Arial"/>
          <w:color w:val="000000"/>
          <w:sz w:val="20"/>
          <w:szCs w:val="20"/>
        </w:rPr>
        <w:t>Mipyme</w:t>
      </w:r>
      <w:proofErr w:type="spellEnd"/>
      <w:r w:rsidRPr="00D804ED">
        <w:rPr>
          <w:rStyle w:val="Fuerte"/>
          <w:rFonts w:ascii="Verdana" w:hAnsi="Verdana" w:cs="Arial"/>
          <w:color w:val="000000"/>
          <w:sz w:val="20"/>
          <w:szCs w:val="20"/>
        </w:rPr>
        <w:t>.</w:t>
      </w:r>
      <w:r w:rsidRPr="00D804ED">
        <w:rPr>
          <w:rFonts w:ascii="Verdana" w:hAnsi="Verdana" w:cs="Arial"/>
          <w:color w:val="000000"/>
          <w:sz w:val="20"/>
          <w:szCs w:val="20"/>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 cuando concurran los siguientes requisitos:</w:t>
      </w:r>
      <w:r w:rsidRPr="00D804ED">
        <w:rPr>
          <w:rFonts w:ascii="Verdana" w:hAnsi="Verdana" w:cs="Arial"/>
          <w:color w:val="000000"/>
          <w:sz w:val="20"/>
          <w:szCs w:val="20"/>
        </w:rPr>
        <w:br/>
      </w:r>
      <w:r w:rsidRPr="00D804ED">
        <w:rPr>
          <w:rFonts w:ascii="Verdana" w:hAnsi="Verdana" w:cs="Arial"/>
          <w:color w:val="000000"/>
          <w:sz w:val="20"/>
          <w:szCs w:val="20"/>
        </w:rPr>
        <w:br/>
        <w:t xml:space="preserve">1. El valor del Proceso de Contratación sea menor a ciento veinticinco mil dólares de los Estados Unidos de América (US$125.000), liquidados con la tasa de cambio que para el efecto determina cada dos años el Ministerio de </w:t>
      </w:r>
      <w:r w:rsidRPr="00D804ED">
        <w:rPr>
          <w:rFonts w:ascii="Verdana" w:hAnsi="Verdana" w:cs="Arial"/>
          <w:color w:val="000000"/>
          <w:sz w:val="20"/>
          <w:szCs w:val="20"/>
        </w:rPr>
        <w:lastRenderedPageBreak/>
        <w:t>Comercio, Industria y Turismo.</w:t>
      </w:r>
      <w:r w:rsidRPr="00D804ED">
        <w:rPr>
          <w:rFonts w:ascii="Verdana" w:hAnsi="Verdana" w:cs="Arial"/>
          <w:color w:val="000000"/>
          <w:sz w:val="20"/>
          <w:szCs w:val="20"/>
        </w:rPr>
        <w:br/>
      </w:r>
      <w:r w:rsidRPr="00D804ED">
        <w:rPr>
          <w:rFonts w:ascii="Verdana" w:hAnsi="Verdana" w:cs="Arial"/>
          <w:color w:val="000000"/>
          <w:sz w:val="20"/>
          <w:szCs w:val="20"/>
        </w:rPr>
        <w:br/>
        <w:t xml:space="preserve">2. Se hayan recibido solicitudes de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para limitar la convocatoria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2FACE9EB" w14:textId="77777777" w:rsidR="00F83DC6" w:rsidRPr="00D804ED" w:rsidRDefault="00F83DC6" w:rsidP="00F83DC6">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t xml:space="preserve">Tratándose de personas jurídicas, las solicitudes solo las podrán realizar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cuyo objeto social les permita ejecutar el contrato relacionado con el proceso contractual.</w:t>
      </w:r>
    </w:p>
    <w:p w14:paraId="1796A415" w14:textId="77777777" w:rsidR="00F83DC6" w:rsidRPr="00D804ED" w:rsidRDefault="00F83DC6" w:rsidP="00F83DC6">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r>
      <w:r w:rsidRPr="00D804ED">
        <w:rPr>
          <w:rStyle w:val="Fuerte"/>
          <w:rFonts w:ascii="Verdana" w:hAnsi="Verdana" w:cs="Arial"/>
          <w:color w:val="000000"/>
          <w:sz w:val="20"/>
          <w:szCs w:val="20"/>
        </w:rPr>
        <w:t>Parágrafo.</w:t>
      </w:r>
      <w:r w:rsidRPr="00D804ED">
        <w:rPr>
          <w:rFonts w:ascii="Verdana" w:hAnsi="Verdana" w:cs="Arial"/>
          <w:color w:val="000000"/>
          <w:sz w:val="20"/>
          <w:szCs w:val="20"/>
        </w:rPr>
        <w:t xml:space="preserve"> Las cooperativas y demás entidades de economía solidaria, siempre que tengan la calidad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podrán solicitar y participar en las convocatorias limitadas en las mismas condiciones dispuestas en el presente artículo.</w:t>
      </w:r>
    </w:p>
    <w:p w14:paraId="09216697" w14:textId="77777777" w:rsidR="00F83DC6" w:rsidRDefault="00F83DC6" w:rsidP="00F83DC6">
      <w:pPr>
        <w:spacing w:after="120" w:line="276" w:lineRule="auto"/>
        <w:ind w:firstLine="709"/>
        <w:jc w:val="both"/>
        <w:rPr>
          <w:rFonts w:ascii="Verdana" w:eastAsia="Times New Roman" w:hAnsi="Verdana" w:cs="Arial"/>
          <w:lang w:val="es-MX" w:eastAsia="es-CO"/>
        </w:rPr>
      </w:pPr>
      <w:r>
        <w:rPr>
          <w:rFonts w:ascii="Verdana" w:eastAsia="Arial" w:hAnsi="Verdana" w:cs="Arial"/>
          <w:color w:val="000000"/>
          <w:lang w:val="es-ES"/>
        </w:rPr>
        <w:t xml:space="preserve">Así, para que proceda la limitación de la convocatoria a </w:t>
      </w:r>
      <w:proofErr w:type="spellStart"/>
      <w:r>
        <w:rPr>
          <w:rFonts w:ascii="Verdana" w:eastAsia="Arial" w:hAnsi="Verdana" w:cs="Arial"/>
          <w:color w:val="000000"/>
          <w:lang w:val="es-ES"/>
        </w:rPr>
        <w:t>Mipymes</w:t>
      </w:r>
      <w:proofErr w:type="spellEnd"/>
      <w:r>
        <w:rPr>
          <w:rFonts w:ascii="Verdana" w:eastAsia="Arial" w:hAnsi="Verdana" w:cs="Arial"/>
          <w:color w:val="000000"/>
          <w:lang w:val="es-ES"/>
        </w:rPr>
        <w:t xml:space="preserve"> la entidad estatal debe recibir las solicitudes de limitación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w:t>
      </w:r>
      <w:r>
        <w:rPr>
          <w:rFonts w:ascii="Verdana" w:hAnsi="Verdana" w:cs="Arial"/>
          <w:color w:val="000000"/>
          <w:sz w:val="20"/>
          <w:szCs w:val="20"/>
        </w:rPr>
        <w:t>, y por su parte, la entidad</w:t>
      </w:r>
      <w:r>
        <w:rPr>
          <w:rFonts w:ascii="Verdana" w:eastAsia="Arial" w:hAnsi="Verdana" w:cs="Arial"/>
          <w:color w:val="000000"/>
          <w:lang w:val="es-ES"/>
        </w:rPr>
        <w:t xml:space="preserve"> contratante debe verificar los requisitos establecidos en los numerales 1 y 2 del mencionado artículo teniendo en cuenta el </w:t>
      </w:r>
      <w:r w:rsidRPr="004508B5">
        <w:rPr>
          <w:rFonts w:ascii="Verdana" w:eastAsia="Times New Roman" w:hAnsi="Verdana" w:cs="Arial"/>
          <w:lang w:val="es-MX" w:eastAsia="es-CO"/>
        </w:rPr>
        <w:t>artículo 2.2.1.2.4.2.4. del Decreto 1082 de 2015, modificado por el Decreto 1860 de 2021</w:t>
      </w:r>
      <w:r>
        <w:rPr>
          <w:rFonts w:ascii="Verdana" w:eastAsia="Times New Roman" w:hAnsi="Verdana" w:cs="Arial"/>
          <w:lang w:val="es-MX" w:eastAsia="es-CO"/>
        </w:rPr>
        <w:t>, en el que se dispone cómo acreditar los requisitos para participar en convocatorias limitadas, como sigue:</w:t>
      </w:r>
    </w:p>
    <w:p w14:paraId="616961BB" w14:textId="77777777" w:rsidR="00F83DC6" w:rsidRPr="00D804ED" w:rsidRDefault="00F83DC6" w:rsidP="00F83DC6">
      <w:pPr>
        <w:spacing w:after="0" w:line="240" w:lineRule="auto"/>
        <w:ind w:left="709" w:right="616" w:hanging="4"/>
        <w:jc w:val="both"/>
        <w:textAlignment w:val="baseline"/>
        <w:rPr>
          <w:rFonts w:ascii="Verdana" w:eastAsia="Times New Roman" w:hAnsi="Verdana" w:cs="Arial"/>
          <w:sz w:val="20"/>
          <w:szCs w:val="20"/>
          <w:lang w:val="es-MX" w:eastAsia="es-CO"/>
        </w:rPr>
      </w:pPr>
      <w:r w:rsidRPr="00D804ED">
        <w:rPr>
          <w:rStyle w:val="Fuerte"/>
          <w:rFonts w:ascii="Verdana" w:hAnsi="Verdana" w:cs="Arial"/>
          <w:color w:val="000000"/>
          <w:sz w:val="20"/>
          <w:szCs w:val="20"/>
        </w:rPr>
        <w:t>Acreditación de requisitos para participar en convocatorias limitadas.</w:t>
      </w:r>
      <w:r w:rsidRPr="00D804ED">
        <w:rPr>
          <w:rFonts w:ascii="Verdana" w:hAnsi="Verdana" w:cs="Arial"/>
          <w:color w:val="000000"/>
          <w:sz w:val="20"/>
          <w:szCs w:val="20"/>
        </w:rPr>
        <w:t xml:space="preserve"> La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deben acreditar que tiene el tamaño empresarial establecido por la ley de la siguiente manera:</w:t>
      </w:r>
      <w:r w:rsidRPr="00D804ED">
        <w:rPr>
          <w:rFonts w:ascii="Verdana" w:hAnsi="Verdana" w:cs="Arial"/>
          <w:color w:val="000000"/>
          <w:sz w:val="20"/>
          <w:szCs w:val="20"/>
        </w:rPr>
        <w:br/>
      </w:r>
      <w:r w:rsidRPr="00D804ED">
        <w:rPr>
          <w:rFonts w:ascii="Verdana" w:hAnsi="Verdana" w:cs="Arial"/>
          <w:color w:val="000000"/>
          <w:sz w:val="20"/>
          <w:szCs w:val="20"/>
        </w:rPr>
        <w:br/>
        <w:t>1. Las personas naturales mediante certificación expedida por ellos y un contador público, adjuntando copia del registro mercantil.</w:t>
      </w:r>
      <w:r w:rsidRPr="00D804ED">
        <w:rPr>
          <w:rFonts w:ascii="Verdana" w:hAnsi="Verdana" w:cs="Arial"/>
          <w:color w:val="000000"/>
          <w:sz w:val="20"/>
          <w:szCs w:val="20"/>
        </w:rPr>
        <w:br/>
      </w:r>
      <w:r w:rsidRPr="00D804ED">
        <w:rPr>
          <w:rFonts w:ascii="Verdana" w:hAnsi="Verdana" w:cs="Arial"/>
          <w:color w:val="000000"/>
          <w:sz w:val="20"/>
          <w:szCs w:val="20"/>
        </w:rPr>
        <w:b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D804ED">
        <w:rPr>
          <w:rFonts w:ascii="Verdana" w:hAnsi="Verdana" w:cs="Arial"/>
          <w:color w:val="000000"/>
          <w:sz w:val="20"/>
          <w:szCs w:val="20"/>
        </w:rPr>
        <w:br/>
      </w:r>
      <w:r w:rsidRPr="00D804ED">
        <w:rPr>
          <w:rFonts w:ascii="Verdana" w:hAnsi="Verdana" w:cs="Arial"/>
          <w:color w:val="000000"/>
          <w:sz w:val="20"/>
          <w:szCs w:val="20"/>
        </w:rPr>
        <w:br/>
        <w:t xml:space="preserve">Para la acreditación deberán observarse los rangos de clasificación empresarial establecidos de conformidad con la Ley 590 de 2000 y el </w:t>
      </w:r>
      <w:r w:rsidRPr="00D804ED">
        <w:rPr>
          <w:rFonts w:ascii="Verdana" w:hAnsi="Verdana" w:cs="Arial"/>
          <w:color w:val="000000"/>
          <w:sz w:val="20"/>
          <w:szCs w:val="20"/>
        </w:rPr>
        <w:lastRenderedPageBreak/>
        <w:t>Decreto 1074 de 2015, o las normas que lo modifiquen, sustituyan o complementen.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1</w:t>
      </w:r>
      <w:r w:rsidRPr="00D804ED">
        <w:rPr>
          <w:rFonts w:ascii="Verdana" w:hAnsi="Verdana" w:cs="Arial"/>
          <w:color w:val="000000"/>
          <w:sz w:val="20"/>
          <w:szCs w:val="20"/>
        </w:rPr>
        <w:t xml:space="preserve">. En todo caso,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también podrán acreditar esta condición con la copia del certificado del Registro Único de Proponentes, el cual deberá encontrarse vigente y en firme al momento de su presentación.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2.</w:t>
      </w:r>
      <w:r w:rsidRPr="00D804ED">
        <w:rPr>
          <w:rFonts w:ascii="Verdana" w:hAnsi="Verdana" w:cs="Arial"/>
          <w:color w:val="000000"/>
          <w:sz w:val="20"/>
          <w:szCs w:val="20"/>
        </w:rPr>
        <w:t xml:space="preserve"> Para efectos de la limitación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3. </w:t>
      </w:r>
      <w:r w:rsidRPr="00D804ED">
        <w:rPr>
          <w:rFonts w:ascii="Verdana" w:hAnsi="Verdana" w:cs="Arial"/>
          <w:color w:val="000000"/>
          <w:sz w:val="20"/>
          <w:szCs w:val="20"/>
        </w:rPr>
        <w:t xml:space="preserve">En las convocatorias limitadas, las Entidades Estatales independientemente de su régimen de contratación, los patrimonios autónomos constituidos por Entidades Estatales y los </w:t>
      </w:r>
      <w:proofErr w:type="spellStart"/>
      <w:r w:rsidRPr="00D804ED">
        <w:rPr>
          <w:rFonts w:ascii="Verdana" w:hAnsi="Verdana" w:cs="Arial"/>
          <w:color w:val="000000"/>
          <w:sz w:val="20"/>
          <w:szCs w:val="20"/>
        </w:rPr>
        <w:t>parliculares</w:t>
      </w:r>
      <w:proofErr w:type="spellEnd"/>
      <w:r w:rsidRPr="00D804ED">
        <w:rPr>
          <w:rFonts w:ascii="Verdana" w:hAnsi="Verdana" w:cs="Arial"/>
          <w:color w:val="000000"/>
          <w:sz w:val="20"/>
          <w:szCs w:val="20"/>
        </w:rPr>
        <w:t xml:space="preserve"> que ejecuten recursos públicos, solo deberán aceptar las ofertas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o de proponentes plurales integrados únicamente por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Fuerte"/>
          <w:rFonts w:ascii="Verdana" w:hAnsi="Verdana" w:cs="Arial"/>
          <w:color w:val="000000"/>
          <w:sz w:val="20"/>
          <w:szCs w:val="20"/>
        </w:rPr>
        <w:t>Parágrafo 4.</w:t>
      </w:r>
      <w:r w:rsidRPr="00D804ED">
        <w:rPr>
          <w:rFonts w:ascii="Verdana" w:hAnsi="Verdana" w:cs="Arial"/>
          <w:color w:val="000000"/>
          <w:sz w:val="20"/>
          <w:szCs w:val="20"/>
        </w:rPr>
        <w:t> Los incentivos previstos en los artículos 2.2.1.2.4.2.2 y 2.2.1.2.4.2.3 de este Decreto no excluyen la aplicación de los criterios diferenciales para los emprendimientos y empresas de mujeres en el sistema de compras públicas</w:t>
      </w:r>
    </w:p>
    <w:p w14:paraId="22D72996" w14:textId="77777777" w:rsidR="00F83DC6" w:rsidRDefault="00F83DC6" w:rsidP="00F83DC6">
      <w:pPr>
        <w:spacing w:after="120" w:line="276" w:lineRule="auto"/>
        <w:ind w:firstLine="709"/>
        <w:jc w:val="both"/>
        <w:rPr>
          <w:rFonts w:ascii="Verdana" w:eastAsia="Arial" w:hAnsi="Verdana" w:cs="Arial"/>
          <w:color w:val="000000"/>
          <w:lang w:val="es-ES"/>
        </w:rPr>
      </w:pPr>
    </w:p>
    <w:p w14:paraId="3363337D" w14:textId="77777777" w:rsidR="00F83DC6" w:rsidRPr="004651C5" w:rsidRDefault="00F83DC6" w:rsidP="00F83DC6">
      <w:pPr>
        <w:spacing w:after="120" w:line="276" w:lineRule="auto"/>
        <w:ind w:firstLine="708"/>
        <w:jc w:val="both"/>
        <w:rPr>
          <w:rFonts w:ascii="Verdana" w:eastAsia="Calibri" w:hAnsi="Verdana" w:cs="Arial"/>
        </w:rPr>
      </w:pPr>
      <w:r w:rsidRPr="004651C5">
        <w:rPr>
          <w:rFonts w:ascii="Verdana" w:eastAsia="Calibri" w:hAnsi="Verdana" w:cs="Arial"/>
        </w:rPr>
        <w:t xml:space="preserve">En ese orden, resulta claro que la Entidad Estatal no cuenta con un margen discrecional para exigir documentos adicionales o distintos a los expresamente previstos en la normativa vigente para acreditar la condición de </w:t>
      </w:r>
      <w:proofErr w:type="spellStart"/>
      <w:r w:rsidRPr="004651C5">
        <w:rPr>
          <w:rFonts w:ascii="Verdana" w:eastAsia="Calibri" w:hAnsi="Verdana" w:cs="Arial"/>
        </w:rPr>
        <w:t>MiPyme</w:t>
      </w:r>
      <w:proofErr w:type="spellEnd"/>
      <w:r w:rsidRPr="004651C5">
        <w:rPr>
          <w:rFonts w:ascii="Verdana" w:eastAsia="Calibri" w:hAnsi="Verdana" w:cs="Arial"/>
        </w:rPr>
        <w:t xml:space="preserve"> y, cuando a ello haya lugar, el domicilio territorial. La acreditación debe efectuarse exclusivamente a través de los documentos señalados en el artículo 2.2.1.2.4.2.4 del Decreto 1082 de 2015 —modificado por el Decreto 1860 de 2021—, esto es, mediante certificación suscrita por la persona natural y contador público, o por el representante legal y el contador o revisor fiscal, según corresponda, acompañada del certificado de existencia y representación legal o del registro mercantil, o, alternativamente, mediante la copia del Registro Único de Proponentes vigente y en firme, dentro del término de expedición allí previsto.</w:t>
      </w:r>
    </w:p>
    <w:p w14:paraId="7FBB0DA2" w14:textId="77777777" w:rsidR="00F83DC6" w:rsidRPr="004651C5" w:rsidRDefault="00F83DC6" w:rsidP="00F83DC6">
      <w:pPr>
        <w:spacing w:after="120" w:line="276" w:lineRule="auto"/>
        <w:ind w:firstLine="708"/>
        <w:jc w:val="both"/>
        <w:rPr>
          <w:rFonts w:ascii="Verdana" w:eastAsia="Calibri" w:hAnsi="Verdana" w:cs="Arial"/>
        </w:rPr>
      </w:pPr>
      <w:r w:rsidRPr="004651C5">
        <w:rPr>
          <w:rFonts w:ascii="Verdana" w:eastAsia="Calibri" w:hAnsi="Verdana" w:cs="Arial"/>
        </w:rPr>
        <w:t xml:space="preserve">Así mismo, el parágrafo 2 de la citada disposición establece un criterio temporal objetivo, al disponer que los documentos aportados no podrán tener </w:t>
      </w:r>
      <w:r w:rsidRPr="004651C5">
        <w:rPr>
          <w:rFonts w:ascii="Verdana" w:eastAsia="Calibri" w:hAnsi="Verdana" w:cs="Arial"/>
        </w:rPr>
        <w:lastRenderedPageBreak/>
        <w:t xml:space="preserve">una fecha de expedición superior a sesenta (60) días calendario anteriores al momento previsto en el cronograma para solicitar la limitación, lo cual refuerza el carácter reglado y verificable del cumplimiento de este requisito. En consecuencia, la Entidad debe limitar su análisis a constatar: (i) la condición de </w:t>
      </w:r>
      <w:proofErr w:type="spellStart"/>
      <w:r w:rsidRPr="004651C5">
        <w:rPr>
          <w:rFonts w:ascii="Verdana" w:eastAsia="Calibri" w:hAnsi="Verdana" w:cs="Arial"/>
        </w:rPr>
        <w:t>MiPyme</w:t>
      </w:r>
      <w:proofErr w:type="spellEnd"/>
      <w:r w:rsidRPr="004651C5">
        <w:rPr>
          <w:rFonts w:ascii="Verdana" w:eastAsia="Calibri" w:hAnsi="Verdana" w:cs="Arial"/>
        </w:rPr>
        <w:t xml:space="preserve"> conforme a los rangos de clasificación empresarial definidos en la Ley 590 de 2000 y el Decreto 1074 de 2015; (</w:t>
      </w:r>
      <w:proofErr w:type="spellStart"/>
      <w:r w:rsidRPr="004651C5">
        <w:rPr>
          <w:rFonts w:ascii="Verdana" w:eastAsia="Calibri" w:hAnsi="Verdana" w:cs="Arial"/>
        </w:rPr>
        <w:t>ii</w:t>
      </w:r>
      <w:proofErr w:type="spellEnd"/>
      <w:r w:rsidRPr="004651C5">
        <w:rPr>
          <w:rFonts w:ascii="Verdana" w:eastAsia="Calibri" w:hAnsi="Verdana" w:cs="Arial"/>
        </w:rPr>
        <w:t>) la vigencia y firmeza de los documentos aportados; y (</w:t>
      </w:r>
      <w:proofErr w:type="spellStart"/>
      <w:r w:rsidRPr="004651C5">
        <w:rPr>
          <w:rFonts w:ascii="Verdana" w:eastAsia="Calibri" w:hAnsi="Verdana" w:cs="Arial"/>
        </w:rPr>
        <w:t>iii</w:t>
      </w:r>
      <w:proofErr w:type="spellEnd"/>
      <w:r w:rsidRPr="004651C5">
        <w:rPr>
          <w:rFonts w:ascii="Verdana" w:eastAsia="Calibri" w:hAnsi="Verdana" w:cs="Arial"/>
        </w:rPr>
        <w:t>) cuando proceda, el domicilio en el departamento o municipio donde se ejecutará el contrato.</w:t>
      </w:r>
    </w:p>
    <w:p w14:paraId="46070E24" w14:textId="77777777" w:rsidR="00F83DC6" w:rsidRDefault="00F83DC6" w:rsidP="00F83DC6">
      <w:pPr>
        <w:spacing w:after="120" w:line="276" w:lineRule="auto"/>
        <w:ind w:firstLine="708"/>
        <w:jc w:val="both"/>
        <w:rPr>
          <w:rFonts w:ascii="Verdana" w:eastAsia="Calibri" w:hAnsi="Verdana" w:cs="Arial"/>
        </w:rPr>
      </w:pPr>
      <w:r w:rsidRPr="004651C5">
        <w:rPr>
          <w:rFonts w:ascii="Verdana" w:eastAsia="Calibri" w:hAnsi="Verdana" w:cs="Arial"/>
        </w:rPr>
        <w:t>En consecuencia, la actuación de la Entidad Estatal debe enmarcarse en los principios de legalidad, transparencia, economía y selección objetiva, verificando de manera estricta y uniforme los requisitos taxativamente establecidos, garantizando igualdad de trato entre los interesados y evitando cargas formales adicionales que puedan restringir injustificadamente la participación de las MiPymes en el sistema de compras públicas.</w:t>
      </w:r>
    </w:p>
    <w:p w14:paraId="17B65286" w14:textId="77777777" w:rsidR="00F83DC6" w:rsidRPr="00860CB6" w:rsidRDefault="00F83DC6" w:rsidP="00F83DC6">
      <w:pPr>
        <w:spacing w:after="120" w:line="276" w:lineRule="auto"/>
        <w:ind w:firstLine="708"/>
        <w:jc w:val="both"/>
        <w:rPr>
          <w:rFonts w:ascii="Verdana" w:hAnsi="Verdana" w:cs="Arial"/>
        </w:rPr>
      </w:pPr>
      <w:r>
        <w:rPr>
          <w:rFonts w:ascii="Verdana" w:hAnsi="Verdana" w:cs="Arial"/>
        </w:rPr>
        <w:t xml:space="preserve">Ahora bien, es pertinente señalar que la </w:t>
      </w:r>
      <w:r w:rsidRPr="00860CB6">
        <w:rPr>
          <w:rFonts w:ascii="Verdana" w:hAnsi="Verdana" w:cs="Arial"/>
        </w:rPr>
        <w:t xml:space="preserve">Agencia Nacional de Contratación Pública – Colombia Compra Eficiente invita cordialmente a las Entidades Estatales, MiPymes y demás interesados a consultar los documentos de orientación </w:t>
      </w:r>
      <w:r>
        <w:rPr>
          <w:rFonts w:ascii="Verdana" w:hAnsi="Verdana" w:cs="Arial"/>
        </w:rPr>
        <w:t xml:space="preserve">que se han sido expedidos </w:t>
      </w:r>
      <w:r w:rsidRPr="00860CB6">
        <w:rPr>
          <w:rFonts w:ascii="Verdana" w:hAnsi="Verdana" w:cs="Arial"/>
        </w:rPr>
        <w:t xml:space="preserve">relacionados con la participación de las MiPymes en los procesos de compra y contratación pública, </w:t>
      </w:r>
      <w:r>
        <w:rPr>
          <w:rFonts w:ascii="Verdana" w:hAnsi="Verdana" w:cs="Arial"/>
        </w:rPr>
        <w:t>destacando en este caso</w:t>
      </w:r>
      <w:r w:rsidRPr="00860CB6">
        <w:rPr>
          <w:rFonts w:ascii="Verdana" w:hAnsi="Verdana" w:cs="Arial"/>
        </w:rPr>
        <w:t xml:space="preserve"> la </w:t>
      </w:r>
      <w:r w:rsidRPr="00B6345D">
        <w:rPr>
          <w:rFonts w:ascii="Verdana" w:hAnsi="Verdana" w:cs="Arial"/>
          <w:b/>
          <w:bCs/>
        </w:rPr>
        <w:t>“GUÍA PARA PROMOVER LA PARTICIPACIÓN DE LAS MIPYMES EN LOS PROCESOS DE COMPRA Y CONTRATACIÓN PÚBLICA”</w:t>
      </w:r>
      <w:r>
        <w:rPr>
          <w:rStyle w:val="Refdenotaalpie"/>
          <w:rFonts w:ascii="Verdana" w:hAnsi="Verdana" w:cs="Arial"/>
        </w:rPr>
        <w:footnoteReference w:id="1"/>
      </w:r>
      <w:r w:rsidRPr="00860CB6">
        <w:rPr>
          <w:rFonts w:ascii="Verdana" w:hAnsi="Verdana" w:cs="Arial"/>
        </w:rPr>
        <w:t>.</w:t>
      </w:r>
    </w:p>
    <w:p w14:paraId="4888912E" w14:textId="77777777" w:rsidR="00F83DC6" w:rsidRPr="00EB6442" w:rsidRDefault="00F83DC6" w:rsidP="00F83DC6">
      <w:pPr>
        <w:spacing w:after="120" w:line="276" w:lineRule="auto"/>
        <w:ind w:firstLine="708"/>
        <w:jc w:val="both"/>
        <w:rPr>
          <w:rFonts w:ascii="Verdana" w:eastAsia="Times New Roman" w:hAnsi="Verdana" w:cs="Arial"/>
          <w:lang w:eastAsia="es-CO"/>
        </w:rPr>
      </w:pPr>
      <w:r w:rsidRPr="00860CB6">
        <w:rPr>
          <w:rFonts w:ascii="Verdana" w:eastAsia="Times New Roman" w:hAnsi="Verdana" w:cs="Arial"/>
          <w:lang w:eastAsia="es-CO"/>
        </w:rPr>
        <w:t>E</w:t>
      </w:r>
      <w:r>
        <w:rPr>
          <w:rFonts w:ascii="Verdana" w:eastAsia="Times New Roman" w:hAnsi="Verdana" w:cs="Arial"/>
          <w:lang w:eastAsia="es-CO"/>
        </w:rPr>
        <w:t xml:space="preserve">n esta guía, se encontrará </w:t>
      </w:r>
      <w:r w:rsidRPr="00860CB6">
        <w:rPr>
          <w:rFonts w:ascii="Verdana" w:eastAsia="Times New Roman" w:hAnsi="Verdana" w:cs="Arial"/>
          <w:lang w:eastAsia="es-CO"/>
        </w:rPr>
        <w:t>información detallada sobre las normas, criterios y buenas prácticas aplicables, incluyendo aspectos como la limitación territorial de las convocatorias y la forma en que debe justificarse su aplicación, con el fin de promover la participación efectiva de las MiPymes en el Sistema de Compras Públicas.</w:t>
      </w:r>
      <w:r>
        <w:rPr>
          <w:rFonts w:ascii="Verdana" w:eastAsia="Times New Roman" w:hAnsi="Verdana" w:cs="Arial"/>
          <w:lang w:eastAsia="es-CO"/>
        </w:rPr>
        <w:t xml:space="preserve"> Con esto i</w:t>
      </w:r>
      <w:r w:rsidRPr="00860CB6">
        <w:rPr>
          <w:rFonts w:ascii="Verdana" w:eastAsia="Times New Roman" w:hAnsi="Verdana" w:cs="Arial"/>
          <w:lang w:eastAsia="es-CO"/>
        </w:rPr>
        <w:t xml:space="preserve">nvitamos a todos los interesados a revisar estos materiales y a utilizarlos como herramienta para fortalecer sus procesos de contratación y garantizar la inclusión de las MiPymes en </w:t>
      </w:r>
      <w:r>
        <w:rPr>
          <w:rFonts w:ascii="Verdana" w:eastAsia="Times New Roman" w:hAnsi="Verdana" w:cs="Arial"/>
          <w:lang w:eastAsia="es-CO"/>
        </w:rPr>
        <w:t>los procesos de contratación</w:t>
      </w:r>
      <w:r w:rsidRPr="00860CB6">
        <w:rPr>
          <w:rFonts w:ascii="Verdana" w:eastAsia="Times New Roman" w:hAnsi="Verdana" w:cs="Arial"/>
          <w:lang w:eastAsia="es-CO"/>
        </w:rPr>
        <w:t>.</w:t>
      </w:r>
    </w:p>
    <w:p w14:paraId="3A367BE3" w14:textId="77777777" w:rsidR="00F83DC6" w:rsidRPr="00DB4737" w:rsidRDefault="00F83DC6" w:rsidP="00F83DC6">
      <w:pPr>
        <w:spacing w:after="120" w:line="276" w:lineRule="auto"/>
        <w:ind w:firstLine="709"/>
        <w:jc w:val="both"/>
        <w:rPr>
          <w:rFonts w:ascii="Verdana" w:eastAsia="Calibri" w:hAnsi="Verdana" w:cs="Times New Roman"/>
          <w:lang w:val="es-ES"/>
        </w:rPr>
      </w:pPr>
      <w:r>
        <w:rPr>
          <w:rFonts w:ascii="Verdana" w:eastAsia="Arial" w:hAnsi="Verdana" w:cs="Arial"/>
          <w:color w:val="000000"/>
          <w:lang w:val="es-ES"/>
        </w:rPr>
        <w:t>F</w:t>
      </w:r>
      <w:r w:rsidRPr="00B00396">
        <w:rPr>
          <w:rFonts w:ascii="Verdana" w:eastAsia="Calibri" w:hAnsi="Verdana" w:cs="Times New Roman"/>
          <w:lang w:val="es-ES"/>
        </w:rPr>
        <w:t>inalmente debe advertirse que</w:t>
      </w:r>
      <w:r>
        <w:rPr>
          <w:rFonts w:ascii="Verdana" w:eastAsia="Calibri" w:hAnsi="Verdana" w:cs="Times New Roman"/>
          <w:lang w:val="es-ES"/>
        </w:rPr>
        <w:t>,</w:t>
      </w:r>
      <w:r w:rsidRPr="00B00396">
        <w:rPr>
          <w:rFonts w:ascii="Verdana" w:eastAsia="Calibri" w:hAnsi="Verdana" w:cs="Times New Roman"/>
          <w:lang w:val="es-ES"/>
        </w:rPr>
        <w:t xml:space="preserv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w:t>
      </w:r>
      <w:r w:rsidRPr="002B5057">
        <w:rPr>
          <w:rFonts w:ascii="Verdana" w:eastAsia="Calibri" w:hAnsi="Verdana" w:cs="Times New Roman"/>
          <w:lang w:val="es-ES"/>
        </w:rPr>
        <w:lastRenderedPageBreak/>
        <w:t>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3B75B3" w14:textId="77777777" w:rsidR="00F83DC6" w:rsidRPr="00F92D90" w:rsidRDefault="00F83DC6" w:rsidP="00F83DC6">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1F1F43BF" w14:textId="77777777" w:rsidR="00F83DC6" w:rsidRPr="00C54887" w:rsidRDefault="00F83DC6" w:rsidP="00F83DC6">
      <w:pPr>
        <w:widowControl w:val="0"/>
        <w:autoSpaceDE w:val="0"/>
        <w:autoSpaceDN w:val="0"/>
        <w:spacing w:after="0" w:line="276" w:lineRule="auto"/>
        <w:jc w:val="both"/>
        <w:rPr>
          <w:rFonts w:ascii="Verdana" w:hAnsi="Verdana" w:cs="Arial"/>
          <w:lang w:eastAsia="es-ES"/>
        </w:rPr>
      </w:pPr>
      <w:bookmarkStart w:id="4" w:name="_Hlk204856061"/>
      <w:bookmarkStart w:id="5" w:name="_Hlk78820161"/>
      <w:bookmarkStart w:id="6" w:name="_Hlk204854194"/>
    </w:p>
    <w:bookmarkEnd w:id="4"/>
    <w:bookmarkEnd w:id="5"/>
    <w:p w14:paraId="0D76C98F" w14:textId="77777777" w:rsidR="00F83DC6" w:rsidRPr="001F283D" w:rsidRDefault="00F83DC6" w:rsidP="00F83DC6">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211F3E41" w14:textId="77777777" w:rsidR="00F83DC6" w:rsidRPr="00593A5F" w:rsidRDefault="00F83DC6" w:rsidP="00F83DC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83DC6" w:rsidRPr="002407CE" w14:paraId="1752C4E6" w14:textId="77777777" w:rsidTr="00BD0CD6">
        <w:trPr>
          <w:trHeight w:val="870"/>
          <w:jc w:val="center"/>
        </w:trPr>
        <w:tc>
          <w:tcPr>
            <w:tcW w:w="8647" w:type="dxa"/>
          </w:tcPr>
          <w:p w14:paraId="46A40C25" w14:textId="77777777" w:rsidR="00F83DC6" w:rsidRPr="00992A57" w:rsidRDefault="00F83DC6" w:rsidP="00F83DC6">
            <w:pPr>
              <w:pStyle w:val="Prrafodelista"/>
              <w:widowControl w:val="0"/>
              <w:numPr>
                <w:ilvl w:val="0"/>
                <w:numId w:val="2"/>
              </w:numPr>
              <w:autoSpaceDE w:val="0"/>
              <w:autoSpaceDN w:val="0"/>
              <w:spacing w:after="120" w:line="276" w:lineRule="auto"/>
              <w:ind w:left="644"/>
              <w:jc w:val="both"/>
              <w:rPr>
                <w:rFonts w:ascii="Verdana" w:hAnsi="Verdana" w:cs="Arial"/>
              </w:rPr>
            </w:pPr>
            <w:r w:rsidRPr="00992A57">
              <w:rPr>
                <w:rFonts w:ascii="Verdana" w:hAnsi="Verdana" w:cs="Arial"/>
              </w:rPr>
              <w:t xml:space="preserve">Decreto 1082 de 2015 modificado por el Decreto 1860 de 2021: artículos 2.2.1.2.4.2.2., 2.2.1.2.4.2.3 y 2.2.1.2.4.2.4. </w:t>
            </w:r>
          </w:p>
          <w:p w14:paraId="1E72BAB0" w14:textId="77777777" w:rsidR="00F83DC6" w:rsidRPr="00992A57" w:rsidRDefault="00F83DC6" w:rsidP="00F83DC6">
            <w:pPr>
              <w:pStyle w:val="Prrafodelista"/>
              <w:widowControl w:val="0"/>
              <w:numPr>
                <w:ilvl w:val="0"/>
                <w:numId w:val="2"/>
              </w:numPr>
              <w:autoSpaceDE w:val="0"/>
              <w:autoSpaceDN w:val="0"/>
              <w:spacing w:after="120" w:line="276" w:lineRule="auto"/>
              <w:ind w:left="644"/>
              <w:jc w:val="both"/>
              <w:rPr>
                <w:rFonts w:ascii="Verdana" w:hAnsi="Verdana" w:cs="Arial"/>
              </w:rPr>
            </w:pPr>
            <w:r w:rsidRPr="00992A57">
              <w:rPr>
                <w:rFonts w:ascii="Verdana" w:hAnsi="Verdana" w:cs="Arial"/>
              </w:rPr>
              <w:t>Ley 1150 de 2011, artículo 12.</w:t>
            </w:r>
          </w:p>
          <w:p w14:paraId="3270C436" w14:textId="77777777" w:rsidR="00F83DC6" w:rsidRPr="00992A57" w:rsidRDefault="00F83DC6" w:rsidP="00F83DC6">
            <w:pPr>
              <w:pStyle w:val="Prrafodelista"/>
              <w:widowControl w:val="0"/>
              <w:numPr>
                <w:ilvl w:val="0"/>
                <w:numId w:val="2"/>
              </w:numPr>
              <w:autoSpaceDE w:val="0"/>
              <w:autoSpaceDN w:val="0"/>
              <w:spacing w:after="120" w:line="276" w:lineRule="auto"/>
              <w:ind w:left="644"/>
              <w:jc w:val="both"/>
              <w:rPr>
                <w:rFonts w:ascii="Verdana" w:hAnsi="Verdana" w:cs="Arial"/>
              </w:rPr>
            </w:pPr>
            <w:r w:rsidRPr="00992A57">
              <w:rPr>
                <w:rFonts w:ascii="Verdana" w:hAnsi="Verdana" w:cs="Arial"/>
              </w:rPr>
              <w:t>Ley 80 de 1993, artículo 77</w:t>
            </w:r>
          </w:p>
          <w:p w14:paraId="2B241007" w14:textId="77777777" w:rsidR="00F83DC6" w:rsidRDefault="00F83DC6" w:rsidP="00F83DC6">
            <w:pPr>
              <w:pStyle w:val="Prrafodelista"/>
              <w:widowControl w:val="0"/>
              <w:numPr>
                <w:ilvl w:val="0"/>
                <w:numId w:val="2"/>
              </w:numPr>
              <w:autoSpaceDE w:val="0"/>
              <w:autoSpaceDN w:val="0"/>
              <w:spacing w:after="120" w:line="276" w:lineRule="auto"/>
              <w:ind w:left="644"/>
              <w:jc w:val="both"/>
              <w:rPr>
                <w:rFonts w:ascii="Verdana" w:hAnsi="Verdana" w:cs="Arial"/>
              </w:rPr>
            </w:pPr>
            <w:r w:rsidRPr="00992A57">
              <w:rPr>
                <w:rFonts w:ascii="Verdana" w:hAnsi="Verdana" w:cs="Arial"/>
              </w:rPr>
              <w:t>Ley 1437 de 2011, artículo 44</w:t>
            </w:r>
          </w:p>
          <w:p w14:paraId="2187B02A" w14:textId="77777777" w:rsidR="00F83DC6" w:rsidRPr="00992A57" w:rsidRDefault="00F83DC6" w:rsidP="00F83DC6">
            <w:pPr>
              <w:pStyle w:val="Prrafodelista"/>
              <w:widowControl w:val="0"/>
              <w:numPr>
                <w:ilvl w:val="0"/>
                <w:numId w:val="2"/>
              </w:numPr>
              <w:autoSpaceDE w:val="0"/>
              <w:autoSpaceDN w:val="0"/>
              <w:spacing w:after="120" w:line="276" w:lineRule="auto"/>
              <w:ind w:left="644"/>
              <w:jc w:val="both"/>
              <w:rPr>
                <w:rFonts w:ascii="Verdana" w:hAnsi="Verdana" w:cs="Arial"/>
              </w:rPr>
            </w:pPr>
            <w:r>
              <w:rPr>
                <w:rFonts w:ascii="Verdana" w:hAnsi="Verdana" w:cs="Arial"/>
              </w:rPr>
              <w:t>Ley 2069 de 2020, artículo 34</w:t>
            </w:r>
          </w:p>
          <w:p w14:paraId="6D7E0A01" w14:textId="77777777" w:rsidR="00F83DC6" w:rsidRPr="00A57FA0" w:rsidRDefault="00F83DC6" w:rsidP="00F83DC6">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992A57">
              <w:rPr>
                <w:rFonts w:ascii="Verdana" w:hAnsi="Verdana" w:cs="Arial"/>
              </w:rPr>
              <w:t xml:space="preserve">GUÍA PARA PROMOVER LA PARTICIPACIÓN DE LAS MIPYMES EN LOS PROCESOS DE COMPRA Y CONTRATACIÓN PÚBLICA </w:t>
            </w:r>
            <w:hyperlink r:id="rId9" w:history="1">
              <w:r w:rsidRPr="00654D28">
                <w:rPr>
                  <w:rStyle w:val="Hipervnculo"/>
                  <w:rFonts w:ascii="Verdana" w:hAnsi="Verdana" w:cs="Arial"/>
                </w:rPr>
                <w:t>https://www.colombiacompra.gov.co/sites/cce_public/files/cce_documents/guia_para_promover_la_participacion_de_las_mipymes_en_los_procesos_de_compra_publica_cce-gad-gi-26_1.pdf</w:t>
              </w:r>
            </w:hyperlink>
            <w:r>
              <w:rPr>
                <w:rFonts w:ascii="Verdana" w:hAnsi="Verdana" w:cs="Arial"/>
                <w:color w:val="7030A0"/>
              </w:rPr>
              <w:t xml:space="preserve"> </w:t>
            </w:r>
            <w:r w:rsidRPr="00992A57">
              <w:rPr>
                <w:rFonts w:ascii="Verdana" w:hAnsi="Verdana" w:cs="Arial"/>
                <w:color w:val="7030A0"/>
              </w:rPr>
              <w:t xml:space="preserve"> </w:t>
            </w:r>
          </w:p>
        </w:tc>
      </w:tr>
    </w:tbl>
    <w:p w14:paraId="5D585AD5" w14:textId="77777777" w:rsidR="00F83DC6" w:rsidRPr="00277E26" w:rsidRDefault="00F83DC6" w:rsidP="00F83DC6">
      <w:pPr>
        <w:widowControl w:val="0"/>
        <w:autoSpaceDE w:val="0"/>
        <w:autoSpaceDN w:val="0"/>
        <w:spacing w:after="0" w:line="276" w:lineRule="auto"/>
        <w:jc w:val="both"/>
        <w:rPr>
          <w:rFonts w:ascii="Verdana" w:hAnsi="Verdana" w:cs="Arial"/>
        </w:rPr>
      </w:pPr>
    </w:p>
    <w:p w14:paraId="21A18ED3" w14:textId="77777777" w:rsidR="00F83DC6" w:rsidRPr="001F283D" w:rsidRDefault="00F83DC6" w:rsidP="00F83DC6">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4DF0E847" w14:textId="77777777" w:rsidR="00F83DC6" w:rsidRDefault="00F83DC6" w:rsidP="00F83DC6">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2E0BCB67" w14:textId="77777777" w:rsidR="00F83DC6" w:rsidRDefault="00F83DC6" w:rsidP="00F83DC6">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 xml:space="preserve">las limitaciones territoriales de convocatorias a MiPymes, esta Subdirección se ha pronunciado en los conceptos Nro. C-705 de 7 de diciembre </w:t>
      </w:r>
      <w:r w:rsidRPr="00AD7D4E">
        <w:rPr>
          <w:rStyle w:val="normaltextrun"/>
          <w:rFonts w:ascii="Verdana" w:hAnsi="Verdana" w:cs="Arial"/>
          <w:shd w:val="clear" w:color="auto" w:fill="FFFFFF"/>
          <w:lang w:val="es-ES"/>
        </w:rPr>
        <w:lastRenderedPageBreak/>
        <w:t>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C-684 del 18 de noviembre de 2024 y C-100 del 25 de febrero de 2025,</w:t>
      </w:r>
      <w:r>
        <w:rPr>
          <w:rFonts w:ascii="Verdana" w:hAnsi="Verdana"/>
        </w:rPr>
        <w:t xml:space="preserve"> </w:t>
      </w:r>
      <w:r w:rsidRPr="00D46A25">
        <w:rPr>
          <w:rFonts w:ascii="Verdana" w:hAnsi="Verdana"/>
        </w:rPr>
        <w:t>C-1562</w:t>
      </w:r>
      <w:r>
        <w:rPr>
          <w:rFonts w:ascii="Verdana" w:hAnsi="Verdana"/>
        </w:rPr>
        <w:t xml:space="preserve"> del 04 de diciembre</w:t>
      </w:r>
      <w:r w:rsidRPr="00D46A25">
        <w:rPr>
          <w:rFonts w:ascii="Verdana" w:hAnsi="Verdana"/>
        </w:rPr>
        <w:t xml:space="preserve"> de 202</w:t>
      </w:r>
      <w:r>
        <w:rPr>
          <w:rFonts w:ascii="Verdana" w:hAnsi="Verdana"/>
        </w:rPr>
        <w:t>5</w:t>
      </w:r>
      <w:r>
        <w:rPr>
          <w:rStyle w:val="normaltextrun"/>
          <w:rFonts w:ascii="Verdana" w:hAnsi="Verdana" w:cs="Arial"/>
          <w:shd w:val="clear" w:color="auto" w:fill="FFFFFF"/>
          <w:lang w:val="es-ES"/>
        </w:rPr>
        <w:t>.</w:t>
      </w:r>
      <w:r>
        <w:rPr>
          <w:rFonts w:ascii="Verdana" w:eastAsia="Calibri" w:hAnsi="Verdana" w:cs="Arial"/>
          <w:lang w:val="es-MX"/>
        </w:rPr>
        <w:t xml:space="preserve"> </w:t>
      </w:r>
      <w:r>
        <w:rPr>
          <w:rStyle w:val="normaltextrun"/>
          <w:rFonts w:ascii="Verdana" w:hAnsi="Verdana" w:cs="Calibri"/>
          <w:shd w:val="clear" w:color="auto" w:fill="FFFFFF"/>
        </w:rPr>
        <w:t>e</w:t>
      </w:r>
      <w:r w:rsidRPr="00A1554D">
        <w:rPr>
          <w:rStyle w:val="normaltextrun"/>
          <w:rFonts w:ascii="Verdana" w:hAnsi="Verdana" w:cs="Arial"/>
          <w:shd w:val="clear" w:color="auto" w:fill="FFFFFF"/>
          <w:lang w:val="es-ES"/>
        </w:rPr>
        <w:t>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0"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1586FF91" w14:textId="77777777" w:rsidR="00F83DC6" w:rsidRPr="00900D7D" w:rsidRDefault="00F83DC6" w:rsidP="00F83DC6">
      <w:pPr>
        <w:widowControl w:val="0"/>
        <w:autoSpaceDE w:val="0"/>
        <w:autoSpaceDN w:val="0"/>
        <w:spacing w:after="120" w:line="276" w:lineRule="auto"/>
        <w:jc w:val="both"/>
        <w:rPr>
          <w:rFonts w:ascii="Verdana" w:eastAsia="Calibri" w:hAnsi="Verdana" w:cs="Arial"/>
          <w:color w:val="000000" w:themeColor="text1"/>
          <w:lang w:eastAsia="es-ES_tradnl"/>
        </w:rPr>
      </w:pPr>
    </w:p>
    <w:p w14:paraId="77072CA6" w14:textId="77777777" w:rsidR="00F83DC6" w:rsidRPr="00237766" w:rsidRDefault="00F83DC6" w:rsidP="00F83DC6">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948C760" w14:textId="77777777" w:rsidR="00F83DC6" w:rsidRPr="008E4F36" w:rsidRDefault="00F83DC6" w:rsidP="00F83DC6">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28159D72" w14:textId="77777777" w:rsidR="00F83DC6" w:rsidRPr="008E4F36" w:rsidRDefault="00F83DC6" w:rsidP="00F83DC6">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6045E3A5" w14:textId="77777777" w:rsidR="00F83DC6" w:rsidRPr="008E4F36" w:rsidRDefault="00F83DC6" w:rsidP="00F83DC6">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743B2AD9" w14:textId="77777777" w:rsidR="00F83DC6" w:rsidRPr="008E4F36" w:rsidRDefault="00F83DC6" w:rsidP="00F83DC6">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1" w:history="1">
        <w:r w:rsidRPr="008E4F36">
          <w:rPr>
            <w:rStyle w:val="Hipervnculo"/>
            <w:rFonts w:ascii="Verdana" w:hAnsi="Verdana"/>
          </w:rPr>
          <w:t>www.colombiacompra.gov.co</w:t>
        </w:r>
      </w:hyperlink>
    </w:p>
    <w:p w14:paraId="1CE7B4FB" w14:textId="77777777" w:rsidR="00F83DC6" w:rsidRPr="008E4F36" w:rsidRDefault="00F83DC6" w:rsidP="00F83DC6">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0016B543" w14:textId="77777777" w:rsidR="00F83DC6" w:rsidRPr="008E4F36" w:rsidRDefault="00F83DC6" w:rsidP="00F83DC6">
      <w:pPr>
        <w:spacing w:after="0" w:line="276" w:lineRule="auto"/>
        <w:jc w:val="both"/>
        <w:rPr>
          <w:rFonts w:ascii="Verdana" w:hAnsi="Verdana"/>
        </w:rPr>
      </w:pPr>
    </w:p>
    <w:p w14:paraId="02348809" w14:textId="77777777" w:rsidR="00F83DC6" w:rsidRPr="008E4F36" w:rsidRDefault="00F83DC6" w:rsidP="00F83DC6">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345379B1" w14:textId="77777777" w:rsidR="00F83DC6" w:rsidRPr="008E4F36" w:rsidRDefault="00F83DC6" w:rsidP="00F83DC6">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01705A2F" w14:textId="77777777" w:rsidR="00F83DC6" w:rsidRPr="008E4F36" w:rsidRDefault="00F83DC6" w:rsidP="00F83DC6">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4E406709" w14:textId="77777777" w:rsidR="00F83DC6" w:rsidRDefault="00F83DC6" w:rsidP="00F83DC6">
      <w:pPr>
        <w:spacing w:before="120" w:after="0" w:line="276" w:lineRule="auto"/>
        <w:jc w:val="both"/>
        <w:rPr>
          <w:rFonts w:ascii="Verdana" w:hAnsi="Verdana"/>
        </w:rPr>
      </w:pPr>
    </w:p>
    <w:p w14:paraId="17BD9353" w14:textId="77777777" w:rsidR="00F83DC6" w:rsidRPr="00183477" w:rsidRDefault="00F83DC6" w:rsidP="00F83DC6">
      <w:pPr>
        <w:spacing w:before="120" w:after="0" w:line="276" w:lineRule="auto"/>
        <w:jc w:val="both"/>
        <w:rPr>
          <w:rFonts w:ascii="Verdana" w:hAnsi="Verdana"/>
          <w:sz w:val="20"/>
          <w:szCs w:val="20"/>
        </w:rPr>
      </w:pPr>
      <w:r w:rsidRPr="00183477">
        <w:rPr>
          <w:rFonts w:ascii="Verdana" w:hAnsi="Verdana"/>
          <w:sz w:val="20"/>
          <w:szCs w:val="20"/>
        </w:rPr>
        <w:t xml:space="preserve">Este concepto tiene el alcance previsto en el artículo 28 del Código de Procedimiento Administrativo y de lo Contencioso Administrativo y las expresiones utilizadas con </w:t>
      </w:r>
      <w:r w:rsidRPr="00183477">
        <w:rPr>
          <w:rFonts w:ascii="Verdana" w:hAnsi="Verdana"/>
          <w:sz w:val="20"/>
          <w:szCs w:val="20"/>
        </w:rPr>
        <w:lastRenderedPageBreak/>
        <w:t>mayúscula inicial deben ser entendidas con el significado que les otorga el artículo 2.2.1.1.1.3.1 del Decreto 1082 de 2015.</w:t>
      </w:r>
    </w:p>
    <w:p w14:paraId="5EC987EE" w14:textId="77777777" w:rsidR="00F83DC6" w:rsidRPr="008E4F36" w:rsidRDefault="00F83DC6" w:rsidP="00F83DC6">
      <w:pPr>
        <w:spacing w:after="0" w:line="276" w:lineRule="auto"/>
        <w:jc w:val="both"/>
        <w:rPr>
          <w:rFonts w:ascii="Verdana" w:eastAsia="Calibri" w:hAnsi="Verdana" w:cs="Times New Roman"/>
        </w:rPr>
      </w:pPr>
    </w:p>
    <w:p w14:paraId="342AAC9D" w14:textId="1E9D659B" w:rsidR="00F83DC6" w:rsidRPr="005E34E1" w:rsidRDefault="00F83DC6" w:rsidP="005E34E1">
      <w:pPr>
        <w:spacing w:after="0" w:line="276" w:lineRule="auto"/>
        <w:jc w:val="both"/>
        <w:rPr>
          <w:rFonts w:ascii="Verdana" w:eastAsia="Calibri" w:hAnsi="Verdana" w:cs="Times New Roman"/>
        </w:rPr>
      </w:pPr>
      <w:r w:rsidRPr="008E4F36">
        <w:rPr>
          <w:rFonts w:ascii="Verdana" w:eastAsia="Calibri" w:hAnsi="Verdana" w:cs="Times New Roman"/>
        </w:rPr>
        <w:t>Atentamente,</w:t>
      </w:r>
      <w:bookmarkEnd w:id="0"/>
      <w:bookmarkEnd w:id="1"/>
    </w:p>
    <w:p w14:paraId="24177D9B" w14:textId="1CF64C33" w:rsidR="00F83DC6" w:rsidRDefault="005E34E1" w:rsidP="005E34E1">
      <w:pPr>
        <w:spacing w:after="0"/>
        <w:jc w:val="center"/>
        <w:rPr>
          <w:rFonts w:ascii="Verdana" w:hAnsi="Verdana"/>
        </w:rPr>
      </w:pPr>
      <w:r>
        <w:rPr>
          <w:noProof/>
        </w:rPr>
        <w:drawing>
          <wp:inline distT="0" distB="0" distL="0" distR="0" wp14:anchorId="39A566B3" wp14:editId="1961B36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2"/>
                    <a:stretch>
                      <a:fillRect/>
                    </a:stretch>
                  </pic:blipFill>
                  <pic:spPr>
                    <a:xfrm>
                      <a:off x="0" y="0"/>
                      <a:ext cx="3771900" cy="1400175"/>
                    </a:xfrm>
                    <a:prstGeom prst="rect">
                      <a:avLst/>
                    </a:prstGeom>
                  </pic:spPr>
                </pic:pic>
              </a:graphicData>
            </a:graphic>
          </wp:inline>
        </w:drawing>
      </w:r>
    </w:p>
    <w:p w14:paraId="343A701C" w14:textId="77777777" w:rsidR="00F83DC6" w:rsidRDefault="00F83DC6" w:rsidP="00F83DC6">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83DC6" w:rsidRPr="002423D6" w14:paraId="12DC6285" w14:textId="77777777" w:rsidTr="00BD0CD6">
        <w:trPr>
          <w:trHeight w:val="315"/>
        </w:trPr>
        <w:tc>
          <w:tcPr>
            <w:tcW w:w="893" w:type="dxa"/>
            <w:vAlign w:val="center"/>
            <w:hideMark/>
          </w:tcPr>
          <w:p w14:paraId="40EBC2FB" w14:textId="77777777" w:rsidR="00F83DC6" w:rsidRPr="002423D6" w:rsidRDefault="00F83DC6" w:rsidP="00BD0CD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FA3E4BC" w14:textId="77777777" w:rsidR="00F83DC6" w:rsidRPr="002423D6" w:rsidRDefault="00F83DC6" w:rsidP="00BD0CD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3D8ADA10" w14:textId="77777777" w:rsidR="00F83DC6" w:rsidRPr="002423D6" w:rsidRDefault="00F83DC6" w:rsidP="00BD0CD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F83DC6" w:rsidRPr="002423D6" w14:paraId="2D7D58A7" w14:textId="77777777" w:rsidTr="00BD0CD6">
        <w:trPr>
          <w:trHeight w:val="330"/>
        </w:trPr>
        <w:tc>
          <w:tcPr>
            <w:tcW w:w="893" w:type="dxa"/>
            <w:vAlign w:val="center"/>
            <w:hideMark/>
          </w:tcPr>
          <w:p w14:paraId="2BBC3F77" w14:textId="77777777" w:rsidR="00F83DC6" w:rsidRPr="002423D6" w:rsidRDefault="00F83DC6" w:rsidP="00BD0CD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DB8614" w14:textId="77777777" w:rsidR="00F83DC6" w:rsidRPr="002423D6" w:rsidRDefault="00F83DC6" w:rsidP="00BD0CD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Martha Alcia Romero Vargas </w:t>
            </w:r>
          </w:p>
          <w:p w14:paraId="53B3A2E7" w14:textId="77777777" w:rsidR="00F83DC6" w:rsidRPr="002423D6" w:rsidRDefault="00F83DC6" w:rsidP="00BD0CD6">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 xml:space="preserve"> - </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F83DC6" w:rsidRPr="002423D6" w14:paraId="5A968207" w14:textId="77777777" w:rsidTr="00BD0CD6">
        <w:trPr>
          <w:trHeight w:val="300"/>
        </w:trPr>
        <w:tc>
          <w:tcPr>
            <w:tcW w:w="893" w:type="dxa"/>
            <w:vAlign w:val="center"/>
          </w:tcPr>
          <w:p w14:paraId="3CBEC540" w14:textId="77777777" w:rsidR="00F83DC6" w:rsidRPr="002423D6" w:rsidRDefault="00F83DC6" w:rsidP="00BD0CD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A20622" w14:textId="77777777" w:rsidR="00F83DC6" w:rsidRPr="002423D6" w:rsidRDefault="00F83DC6" w:rsidP="00BD0CD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4BD2370B" w14:textId="77777777" w:rsidR="00F83DC6" w:rsidRPr="002423D6" w:rsidRDefault="00F83DC6" w:rsidP="00BD0CD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5B0728FF" w14:textId="77777777" w:rsidR="00F83DC6" w:rsidRDefault="00F83DC6" w:rsidP="00F83DC6">
      <w:pPr>
        <w:rPr>
          <w:noProof/>
        </w:rPr>
      </w:pPr>
    </w:p>
    <w:p w14:paraId="3CBCB267" w14:textId="64ECA9E1" w:rsidR="00F83DC6" w:rsidRPr="00A224F0" w:rsidRDefault="00F83DC6" w:rsidP="00F83DC6"/>
    <w:p w14:paraId="16EF7971" w14:textId="77777777" w:rsidR="000F5A42" w:rsidRPr="00CC148A" w:rsidRDefault="000F5A42" w:rsidP="00CC148A"/>
    <w:sectPr w:rsidR="000F5A42" w:rsidRPr="00CC148A" w:rsidSect="009C1680">
      <w:headerReference w:type="default" r:id="rId13"/>
      <w:footerReference w:type="default" r:id="rId14"/>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0D267" w14:textId="77777777" w:rsidR="00702512" w:rsidRDefault="00702512" w:rsidP="009C1680">
      <w:pPr>
        <w:spacing w:after="0" w:line="240" w:lineRule="auto"/>
      </w:pPr>
      <w:r>
        <w:separator/>
      </w:r>
    </w:p>
  </w:endnote>
  <w:endnote w:type="continuationSeparator" w:id="0">
    <w:p w14:paraId="0D6F9E34" w14:textId="77777777" w:rsidR="00702512" w:rsidRDefault="00702512" w:rsidP="009C16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5822A" w14:textId="77777777" w:rsidR="009C1680" w:rsidRDefault="009C1680" w:rsidP="000849D5">
    <w:pPr>
      <w:spacing w:after="0"/>
      <w:rPr>
        <w:rFonts w:ascii="Verdana" w:hAnsi="Verdana"/>
        <w:b/>
        <w:bCs/>
        <w:sz w:val="20"/>
        <w:szCs w:val="20"/>
      </w:rPr>
    </w:pPr>
  </w:p>
  <w:p w14:paraId="5D3F9305" w14:textId="77777777" w:rsidR="009C1680" w:rsidRPr="00174B77" w:rsidRDefault="009C168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AF81A21" w14:textId="77777777" w:rsidR="009C1680" w:rsidRDefault="009C168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B0F52BB" w14:textId="77777777" w:rsidR="009C1680" w:rsidRPr="00E41027" w:rsidRDefault="009C1680" w:rsidP="000849D5">
    <w:pPr>
      <w:spacing w:after="0"/>
      <w:jc w:val="both"/>
      <w:rPr>
        <w:rFonts w:ascii="Verdana" w:hAnsi="Verdana"/>
        <w:sz w:val="18"/>
        <w:szCs w:val="18"/>
      </w:rPr>
    </w:pPr>
    <w:r w:rsidRPr="00E41027">
      <w:rPr>
        <w:rFonts w:ascii="Verdana" w:hAnsi="Verdana"/>
        <w:sz w:val="18"/>
        <w:szCs w:val="18"/>
      </w:rPr>
      <w:t>Mesa de servicio: (+57) 601 7456788</w:t>
    </w:r>
  </w:p>
  <w:p w14:paraId="25E5BBC2" w14:textId="77777777" w:rsidR="009C1680" w:rsidRDefault="009C168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960C38F" w14:textId="77777777" w:rsidR="009C1680" w:rsidRPr="007D04B2" w:rsidRDefault="009C1680" w:rsidP="000849D5">
    <w:pPr>
      <w:pStyle w:val="Piedepgina"/>
    </w:pPr>
  </w:p>
  <w:p w14:paraId="103B4D19" w14:textId="77777777" w:rsidR="009C1680" w:rsidRPr="000849D5" w:rsidRDefault="009C168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4C863" w14:textId="77777777" w:rsidR="00702512" w:rsidRDefault="00702512" w:rsidP="009C1680">
      <w:pPr>
        <w:spacing w:after="0" w:line="240" w:lineRule="auto"/>
      </w:pPr>
      <w:r>
        <w:separator/>
      </w:r>
    </w:p>
  </w:footnote>
  <w:footnote w:type="continuationSeparator" w:id="0">
    <w:p w14:paraId="0D0755DB" w14:textId="77777777" w:rsidR="00702512" w:rsidRDefault="00702512" w:rsidP="009C1680">
      <w:pPr>
        <w:spacing w:after="0" w:line="240" w:lineRule="auto"/>
      </w:pPr>
      <w:r>
        <w:continuationSeparator/>
      </w:r>
    </w:p>
  </w:footnote>
  <w:footnote w:id="1">
    <w:p w14:paraId="0F16E353" w14:textId="77777777" w:rsidR="00F83DC6" w:rsidRPr="00652B15" w:rsidRDefault="00F83DC6" w:rsidP="00F83DC6">
      <w:pPr>
        <w:pStyle w:val="Textonotapie"/>
        <w:rPr>
          <w:lang w:val="es-CO"/>
        </w:rPr>
      </w:pPr>
      <w:r>
        <w:rPr>
          <w:rStyle w:val="Refdenotaalpie"/>
        </w:rPr>
        <w:footnoteRef/>
      </w:r>
      <w:r>
        <w:t xml:space="preserve"> </w:t>
      </w:r>
      <w:r w:rsidRPr="00992A57">
        <w:rPr>
          <w:rFonts w:ascii="Verdana" w:hAnsi="Verdana"/>
          <w:sz w:val="16"/>
          <w:szCs w:val="16"/>
        </w:rPr>
        <w:t xml:space="preserve">Se puede acceder a la Guía mencionada en el siguiente link: </w:t>
      </w:r>
      <w:hyperlink r:id="rId1"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B2A7F" w14:textId="77777777" w:rsidR="009C1680" w:rsidRDefault="009C168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769426C" wp14:editId="3C25EC73">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5ECBFA3" wp14:editId="36808B1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02A0FF9" w14:textId="77777777" w:rsidR="009C1680" w:rsidRDefault="009C1680" w:rsidP="00515FB5">
    <w:pPr>
      <w:pStyle w:val="Encabezado"/>
    </w:pPr>
  </w:p>
  <w:p w14:paraId="08B38207" w14:textId="77777777" w:rsidR="009C1680" w:rsidRDefault="009C1680" w:rsidP="00515FB5">
    <w:pPr>
      <w:pStyle w:val="Encabezado"/>
    </w:pPr>
  </w:p>
  <w:p w14:paraId="59B4A447" w14:textId="77777777" w:rsidR="009C1680" w:rsidRPr="00515FB5" w:rsidRDefault="009C168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680"/>
    <w:rsid w:val="000A5A94"/>
    <w:rsid w:val="000C3479"/>
    <w:rsid w:val="000F5A42"/>
    <w:rsid w:val="00156664"/>
    <w:rsid w:val="00260A48"/>
    <w:rsid w:val="002B6D7D"/>
    <w:rsid w:val="00306665"/>
    <w:rsid w:val="00334201"/>
    <w:rsid w:val="004917F8"/>
    <w:rsid w:val="005E34E1"/>
    <w:rsid w:val="005F2309"/>
    <w:rsid w:val="00630636"/>
    <w:rsid w:val="00656319"/>
    <w:rsid w:val="006C3800"/>
    <w:rsid w:val="00702512"/>
    <w:rsid w:val="00753BF6"/>
    <w:rsid w:val="00867232"/>
    <w:rsid w:val="008A62B2"/>
    <w:rsid w:val="009500E5"/>
    <w:rsid w:val="009776BF"/>
    <w:rsid w:val="009C1680"/>
    <w:rsid w:val="00A12218"/>
    <w:rsid w:val="00A46F4E"/>
    <w:rsid w:val="00A73ABA"/>
    <w:rsid w:val="00A87954"/>
    <w:rsid w:val="00A90678"/>
    <w:rsid w:val="00AD7CCD"/>
    <w:rsid w:val="00AF76F8"/>
    <w:rsid w:val="00B0583C"/>
    <w:rsid w:val="00BF4748"/>
    <w:rsid w:val="00BF6CAD"/>
    <w:rsid w:val="00C420F0"/>
    <w:rsid w:val="00C63D5A"/>
    <w:rsid w:val="00C93781"/>
    <w:rsid w:val="00CC148A"/>
    <w:rsid w:val="00D562E9"/>
    <w:rsid w:val="00E35252"/>
    <w:rsid w:val="00E93639"/>
    <w:rsid w:val="00F13F38"/>
    <w:rsid w:val="00F80032"/>
    <w:rsid w:val="00F83DC6"/>
    <w:rsid w:val="00F92D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2445F"/>
  <w15:chartTrackingRefBased/>
  <w15:docId w15:val="{FB78E472-D376-4E86-B0C4-D28F32D26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680"/>
    <w:rPr>
      <w:kern w:val="0"/>
      <w14:ligatures w14:val="none"/>
    </w:rPr>
  </w:style>
  <w:style w:type="paragraph" w:styleId="Ttulo1">
    <w:name w:val="heading 1"/>
    <w:basedOn w:val="Normal"/>
    <w:next w:val="Normal"/>
    <w:link w:val="Ttulo1Car"/>
    <w:uiPriority w:val="9"/>
    <w:qFormat/>
    <w:rsid w:val="009C16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C16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C168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C168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C168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C168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C168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C168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C168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C168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C168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C168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C168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C168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C168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C168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C168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C1680"/>
    <w:rPr>
      <w:rFonts w:eastAsiaTheme="majorEastAsia" w:cstheme="majorBidi"/>
      <w:color w:val="272727" w:themeColor="text1" w:themeTint="D8"/>
    </w:rPr>
  </w:style>
  <w:style w:type="paragraph" w:styleId="Ttulo">
    <w:name w:val="Title"/>
    <w:basedOn w:val="Normal"/>
    <w:next w:val="Normal"/>
    <w:link w:val="TtuloCar"/>
    <w:uiPriority w:val="10"/>
    <w:qFormat/>
    <w:rsid w:val="009C16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C168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C168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C168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C1680"/>
    <w:pPr>
      <w:spacing w:before="160"/>
      <w:jc w:val="center"/>
    </w:pPr>
    <w:rPr>
      <w:i/>
      <w:iCs/>
      <w:color w:val="404040" w:themeColor="text1" w:themeTint="BF"/>
    </w:rPr>
  </w:style>
  <w:style w:type="character" w:customStyle="1" w:styleId="CitaCar">
    <w:name w:val="Cita Car"/>
    <w:basedOn w:val="Fuentedeprrafopredeter"/>
    <w:link w:val="Cita"/>
    <w:uiPriority w:val="29"/>
    <w:rsid w:val="009C168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9C1680"/>
    <w:pPr>
      <w:ind w:left="720"/>
      <w:contextualSpacing/>
    </w:pPr>
  </w:style>
  <w:style w:type="character" w:styleId="nfasisintenso">
    <w:name w:val="Intense Emphasis"/>
    <w:basedOn w:val="Fuentedeprrafopredeter"/>
    <w:uiPriority w:val="21"/>
    <w:qFormat/>
    <w:rsid w:val="009C1680"/>
    <w:rPr>
      <w:i/>
      <w:iCs/>
      <w:color w:val="0F4761" w:themeColor="accent1" w:themeShade="BF"/>
    </w:rPr>
  </w:style>
  <w:style w:type="paragraph" w:styleId="Citadestacada">
    <w:name w:val="Intense Quote"/>
    <w:basedOn w:val="Normal"/>
    <w:next w:val="Normal"/>
    <w:link w:val="CitadestacadaCar"/>
    <w:uiPriority w:val="30"/>
    <w:qFormat/>
    <w:rsid w:val="009C16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C1680"/>
    <w:rPr>
      <w:i/>
      <w:iCs/>
      <w:color w:val="0F4761" w:themeColor="accent1" w:themeShade="BF"/>
    </w:rPr>
  </w:style>
  <w:style w:type="character" w:styleId="Referenciaintensa">
    <w:name w:val="Intense Reference"/>
    <w:basedOn w:val="Fuentedeprrafopredeter"/>
    <w:uiPriority w:val="32"/>
    <w:qFormat/>
    <w:rsid w:val="009C1680"/>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C168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C168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C168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C1680"/>
    <w:rPr>
      <w:vertAlign w:val="superscript"/>
    </w:rPr>
  </w:style>
  <w:style w:type="paragraph" w:customStyle="1" w:styleId="Appelnotedebasde">
    <w:name w:val="Appel note de bas de..."/>
    <w:basedOn w:val="Normal"/>
    <w:link w:val="Refdenotaalpie"/>
    <w:uiPriority w:val="99"/>
    <w:rsid w:val="009C1680"/>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9C168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C1680"/>
    <w:rPr>
      <w:kern w:val="0"/>
      <w14:ligatures w14:val="none"/>
    </w:rPr>
  </w:style>
  <w:style w:type="paragraph" w:styleId="Piedepgina">
    <w:name w:val="footer"/>
    <w:basedOn w:val="Normal"/>
    <w:link w:val="PiedepginaCar"/>
    <w:uiPriority w:val="99"/>
    <w:unhideWhenUsed/>
    <w:rsid w:val="009C168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C1680"/>
    <w:rPr>
      <w:kern w:val="0"/>
      <w14:ligatures w14:val="none"/>
    </w:rPr>
  </w:style>
  <w:style w:type="table" w:styleId="Tablaconcuadrcula">
    <w:name w:val="Table Grid"/>
    <w:basedOn w:val="Tablanormal"/>
    <w:uiPriority w:val="39"/>
    <w:qFormat/>
    <w:rsid w:val="009C168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C1680"/>
    <w:rPr>
      <w:color w:val="467886" w:themeColor="hyperlink"/>
      <w:u w:val="single"/>
    </w:rPr>
  </w:style>
  <w:style w:type="character" w:customStyle="1" w:styleId="normaltextrun">
    <w:name w:val="normaltextrun"/>
    <w:basedOn w:val="Fuentedeprrafopredeter"/>
    <w:rsid w:val="009C1680"/>
  </w:style>
  <w:style w:type="character" w:customStyle="1" w:styleId="eop">
    <w:name w:val="eop"/>
    <w:basedOn w:val="Fuentedeprrafopredeter"/>
    <w:rsid w:val="009C1680"/>
  </w:style>
  <w:style w:type="paragraph" w:customStyle="1" w:styleId="paragraph">
    <w:name w:val="paragraph"/>
    <w:basedOn w:val="Normal"/>
    <w:rsid w:val="009C168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C1680"/>
  </w:style>
  <w:style w:type="paragraph" w:styleId="NormalWeb">
    <w:name w:val="Normal (Web)"/>
    <w:basedOn w:val="Normal"/>
    <w:link w:val="NormalWebCar"/>
    <w:uiPriority w:val="99"/>
    <w:unhideWhenUsed/>
    <w:rsid w:val="009C168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9C1680"/>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9C1680"/>
    <w:pPr>
      <w:spacing w:after="0" w:line="240" w:lineRule="auto"/>
    </w:pPr>
    <w:rPr>
      <w:kern w:val="0"/>
      <w:sz w:val="24"/>
      <w:lang w:val="es-MX"/>
      <w14:ligatures w14:val="none"/>
    </w:rPr>
  </w:style>
  <w:style w:type="character" w:styleId="Mencinsinresolver">
    <w:name w:val="Unresolved Mention"/>
    <w:basedOn w:val="Fuentedeprrafopredeter"/>
    <w:uiPriority w:val="99"/>
    <w:semiHidden/>
    <w:unhideWhenUsed/>
    <w:rsid w:val="009C1680"/>
    <w:rPr>
      <w:color w:val="605E5C"/>
      <w:shd w:val="clear" w:color="auto" w:fill="E1DFDD"/>
    </w:rPr>
  </w:style>
  <w:style w:type="character" w:styleId="Fuerte">
    <w:name w:val="Strong"/>
    <w:basedOn w:val="Fuentedeprrafopredeter"/>
    <w:uiPriority w:val="22"/>
    <w:qFormat/>
    <w:rsid w:val="00F92D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ristian_krodas@hotmail.com" TargetMode="External"/><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3.pn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olombiacompra.gov.c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colombiacompra.gov.co/sites/cce_public/files/cce_documents/guia_para_promover_la_participacion_de_las_mipymes_en_los_procesos_de_compra_publica_cce-gad-gi-26_1.pdf"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9970C7-DCE9-4C02-808A-A5100FC36FA4}"/>
</file>

<file path=customXml/itemProps2.xml><?xml version="1.0" encoding="utf-8"?>
<ds:datastoreItem xmlns:ds="http://schemas.openxmlformats.org/officeDocument/2006/customXml" ds:itemID="{FB5350A1-E4F5-446C-9016-FFD6984B53F6}"/>
</file>

<file path=customXml/itemProps3.xml><?xml version="1.0" encoding="utf-8"?>
<ds:datastoreItem xmlns:ds="http://schemas.openxmlformats.org/officeDocument/2006/customXml" ds:itemID="{E99018E3-C552-4278-AEE5-9F93A3999CA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89</TotalTime>
  <Pages>12</Pages>
  <Words>3764</Words>
  <Characters>20667</Characters>
  <Application>Microsoft Office Word</Application>
  <DocSecurity>0</DocSecurity>
  <Lines>382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31</cp:revision>
  <dcterms:created xsi:type="dcterms:W3CDTF">2026-03-20T20:15:00Z</dcterms:created>
  <dcterms:modified xsi:type="dcterms:W3CDTF">2026-04-14T14:02:00Z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