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EE6823" w14:textId="0BFDB1AD" w:rsidR="00A05510" w:rsidRDefault="00A05510" w:rsidP="00B23242">
      <w:pPr>
        <w:spacing w:after="0"/>
        <w:jc w:val="both"/>
        <w:rPr>
          <w:rFonts w:ascii="Verdana" w:hAnsi="Verdana" w:cs="Arial"/>
          <w:b/>
          <w:bCs/>
          <w:lang w:val="es-MX" w:eastAsia="es-ES"/>
        </w:rPr>
      </w:pPr>
      <w:bookmarkStart w:id="0" w:name="_Hlk143780582"/>
      <w:r w:rsidRPr="00A05510">
        <w:rPr>
          <w:rFonts w:ascii="Verdana" w:hAnsi="Verdana" w:cs="Arial"/>
          <w:b/>
          <w:bCs/>
          <w:lang w:val="es-MX" w:eastAsia="es-ES"/>
        </w:rPr>
        <w:t xml:space="preserve">LEY DE GARANTÍAS ELECTORALES ‒ Finalidad </w:t>
      </w:r>
    </w:p>
    <w:p w14:paraId="0DB81AF4" w14:textId="40C8E94E" w:rsidR="000F382A" w:rsidRPr="00B23242" w:rsidRDefault="000F382A" w:rsidP="00B23242">
      <w:pPr>
        <w:tabs>
          <w:tab w:val="left" w:pos="426"/>
        </w:tabs>
        <w:spacing w:before="240" w:after="120" w:line="240" w:lineRule="auto"/>
        <w:jc w:val="both"/>
        <w:rPr>
          <w:rFonts w:ascii="Verdana" w:eastAsia="Times New Roman" w:hAnsi="Verdana" w:cs="Arial"/>
          <w:sz w:val="20"/>
          <w:szCs w:val="20"/>
          <w:lang w:eastAsia="es-CO"/>
        </w:rPr>
      </w:pPr>
      <w:r w:rsidRPr="00B23242">
        <w:rPr>
          <w:rFonts w:ascii="Verdana" w:eastAsia="Calibri" w:hAnsi="Verdana" w:cs="Arial"/>
          <w:sz w:val="20"/>
          <w:szCs w:val="20"/>
        </w:rPr>
        <w:t>El ordenamiento jurídico colombiano contempla previsiones claras para evitar la obtención de beneficios personales en asuntos propios de la administración pública</w:t>
      </w:r>
      <w:r w:rsidRPr="00B23242">
        <w:rPr>
          <w:rFonts w:ascii="Verdana" w:eastAsia="Calibri" w:hAnsi="Verdana" w:cs="Arial"/>
          <w:i/>
          <w:sz w:val="20"/>
          <w:szCs w:val="20"/>
        </w:rPr>
        <w:t xml:space="preserve">. </w:t>
      </w:r>
      <w:r w:rsidRPr="00B23242">
        <w:rPr>
          <w:rFonts w:ascii="Verdana" w:eastAsia="Calibri" w:hAnsi="Verdana" w:cs="Arial"/>
          <w:sz w:val="20"/>
          <w:szCs w:val="20"/>
        </w:rPr>
        <w:t>Por ejemplo, el artículo 127 de la Constitución Política establece una prohibición contractual a los servidores públicos y, en cuanto a aspectos políticos, establece restricciones a ciertos empleados del Estado, incluso en época no electora</w:t>
      </w:r>
      <w:r w:rsidRPr="00B23242">
        <w:rPr>
          <w:rFonts w:ascii="Verdana" w:eastAsia="Calibri" w:hAnsi="Verdana" w:cs="Arial"/>
          <w:sz w:val="20"/>
          <w:szCs w:val="20"/>
        </w:rPr>
        <w:t>l.</w:t>
      </w:r>
      <w:r w:rsidRPr="00B23242">
        <w:rPr>
          <w:rFonts w:ascii="Verdana" w:eastAsia="Calibri" w:hAnsi="Verdana" w:cs="Arial"/>
          <w:sz w:val="20"/>
          <w:szCs w:val="20"/>
        </w:rPr>
        <w:t xml:space="preserve"> </w:t>
      </w:r>
    </w:p>
    <w:p w14:paraId="6AEEB3DE" w14:textId="461D0532" w:rsidR="000F382A" w:rsidRPr="00B23242" w:rsidRDefault="000F382A" w:rsidP="00B23242">
      <w:pPr>
        <w:tabs>
          <w:tab w:val="left" w:pos="426"/>
        </w:tabs>
        <w:spacing w:after="120" w:line="240" w:lineRule="auto"/>
        <w:jc w:val="both"/>
        <w:rPr>
          <w:rFonts w:ascii="Verdana" w:eastAsia="Calibri" w:hAnsi="Verdana" w:cs="Arial"/>
          <w:sz w:val="20"/>
          <w:szCs w:val="20"/>
          <w:lang w:val="es-ES"/>
        </w:rPr>
      </w:pPr>
      <w:r w:rsidRPr="00B23242">
        <w:rPr>
          <w:rFonts w:ascii="Verdana" w:eastAsia="Times New Roman" w:hAnsi="Verdana" w:cs="Arial"/>
          <w:sz w:val="20"/>
          <w:szCs w:val="20"/>
          <w:lang w:val="es-MX" w:eastAsia="es-CO"/>
        </w:rPr>
        <w:t>La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w:t>
      </w:r>
      <w:r w:rsidR="00D64C31">
        <w:rPr>
          <w:rFonts w:ascii="Verdana" w:eastAsia="Times New Roman" w:hAnsi="Verdana" w:cs="Arial"/>
          <w:sz w:val="20"/>
          <w:szCs w:val="20"/>
          <w:lang w:val="es-MX" w:eastAsia="es-CO"/>
        </w:rPr>
        <w:t>l.</w:t>
      </w:r>
      <w:r w:rsidRPr="00B23242">
        <w:rPr>
          <w:rFonts w:ascii="Verdana" w:eastAsia="Times New Roman" w:hAnsi="Verdana" w:cs="Arial"/>
          <w:sz w:val="20"/>
          <w:szCs w:val="20"/>
          <w:lang w:val="es-MX" w:eastAsia="es-CO"/>
        </w:rPr>
        <w:t xml:space="preserve"> En esta medida, introduce limitaciones para realizar nombramientos, postulaciones, contrataciones o cualquier otro tipo de actividad que implique destinación de recursos públicos bajo el devenir propio de las Entidades Estatales.</w:t>
      </w:r>
      <w:r w:rsidRPr="00B23242">
        <w:rPr>
          <w:rFonts w:ascii="Verdana" w:eastAsia="Calibri" w:hAnsi="Verdana" w:cs="Arial"/>
          <w:sz w:val="20"/>
          <w:szCs w:val="20"/>
          <w:lang w:val="es-ES"/>
        </w:rPr>
        <w:t xml:space="preserve"> </w:t>
      </w:r>
    </w:p>
    <w:p w14:paraId="144AAD1B" w14:textId="0F410170" w:rsidR="00A05510" w:rsidRDefault="00A05510" w:rsidP="00A05510">
      <w:pPr>
        <w:jc w:val="both"/>
        <w:rPr>
          <w:rFonts w:ascii="Verdana" w:hAnsi="Verdana" w:cs="Arial"/>
          <w:b/>
          <w:bCs/>
          <w:lang w:val="es-MX" w:eastAsia="es-ES"/>
        </w:rPr>
      </w:pPr>
      <w:r w:rsidRPr="00A05510">
        <w:rPr>
          <w:rFonts w:ascii="Verdana" w:eastAsia="Calibri" w:hAnsi="Verdana" w:cs="Arial"/>
          <w:b/>
          <w:bCs/>
          <w:lang w:val="es-ES" w:eastAsia="es-ES"/>
        </w:rPr>
        <w:t>LEY DE GARANTÍAS ELECTORALES – Contratación directa – Alcance material – Interpretación restrictiva</w:t>
      </w:r>
      <w:r w:rsidRPr="00A05510">
        <w:rPr>
          <w:rFonts w:ascii="Verdana" w:hAnsi="Verdana" w:cs="Arial"/>
          <w:b/>
          <w:bCs/>
          <w:lang w:val="es-MX" w:eastAsia="es-ES"/>
        </w:rPr>
        <w:t xml:space="preserve"> </w:t>
      </w:r>
    </w:p>
    <w:p w14:paraId="618FD3EF" w14:textId="6CC07C5D" w:rsidR="00002FC3" w:rsidRPr="00002FC3" w:rsidRDefault="003778C3" w:rsidP="00002FC3">
      <w:pPr>
        <w:spacing w:line="240" w:lineRule="auto"/>
        <w:jc w:val="both"/>
        <w:rPr>
          <w:rFonts w:ascii="Verdana" w:eastAsia="Times New Roman" w:hAnsi="Verdana" w:cs="Arial"/>
          <w:sz w:val="20"/>
          <w:szCs w:val="20"/>
          <w:lang w:val="es-MX" w:eastAsia="es-CO"/>
        </w:rPr>
      </w:pPr>
      <w:r w:rsidRPr="00241D2E">
        <w:rPr>
          <w:rFonts w:ascii="Verdana" w:hAnsi="Verdana" w:cs="Arial"/>
          <w:sz w:val="20"/>
          <w:szCs w:val="20"/>
          <w:lang w:val="es-MX" w:eastAsia="es-ES"/>
        </w:rPr>
        <w:t xml:space="preserve">[…] </w:t>
      </w:r>
      <w:r w:rsidRPr="00002FC3">
        <w:rPr>
          <w:rFonts w:ascii="Verdana" w:eastAsia="Times New Roman" w:hAnsi="Verdana" w:cs="Arial"/>
          <w:sz w:val="20"/>
          <w:szCs w:val="20"/>
          <w:lang w:val="es-MX" w:eastAsia="es-CO"/>
        </w:rPr>
        <w:t>la Ley de Garantías Electorales establece el marco jurídico para el desarrollo de las elecciones, procurando condiciones de igualdad y transparencia para los aspirantes. Paralelamente, se incluyen restricciones en las actuaciones de los servidores públicos, evitando interferencias en la contienda electoral, así como la posible desviación de recursos públicos en aspiraciones electorales. Por ello, varias de las disposiciones de la Ley 996 de 2005, al contener normas prohibitivas, no admiten una interpretación amplia, sino que deben interpretarse restrictivamente</w:t>
      </w:r>
      <w:r w:rsidR="00002FC3" w:rsidRPr="00002FC3">
        <w:rPr>
          <w:rFonts w:ascii="Verdana" w:eastAsia="Times New Roman" w:hAnsi="Verdana" w:cs="Arial"/>
          <w:sz w:val="20"/>
          <w:szCs w:val="20"/>
          <w:lang w:val="es-MX" w:eastAsia="es-CO"/>
        </w:rPr>
        <w:t>.</w:t>
      </w:r>
    </w:p>
    <w:p w14:paraId="56E2C719" w14:textId="161DE79A" w:rsidR="00A05510" w:rsidRDefault="00A05510" w:rsidP="00A05510">
      <w:pPr>
        <w:jc w:val="both"/>
        <w:rPr>
          <w:rFonts w:ascii="Verdana" w:eastAsiaTheme="minorEastAsia" w:hAnsi="Verdana" w:cs="Arial"/>
          <w:b/>
          <w:bCs/>
          <w:color w:val="000000" w:themeColor="text1"/>
          <w:lang w:val="es-ES"/>
        </w:rPr>
      </w:pPr>
      <w:r w:rsidRPr="00A05510">
        <w:rPr>
          <w:rFonts w:ascii="Verdana" w:hAnsi="Verdana"/>
          <w:b/>
          <w:bCs/>
        </w:rPr>
        <w:t>LEY DE GARANTÍAS ELECTORALES – Destinatarios – Entes del Estado – Régimen especial</w:t>
      </w:r>
      <w:r w:rsidRPr="00A05510">
        <w:rPr>
          <w:rFonts w:ascii="Verdana" w:eastAsiaTheme="minorEastAsia" w:hAnsi="Verdana" w:cs="Arial"/>
          <w:b/>
          <w:bCs/>
          <w:color w:val="000000" w:themeColor="text1"/>
          <w:lang w:val="es-ES"/>
        </w:rPr>
        <w:t xml:space="preserve"> </w:t>
      </w:r>
    </w:p>
    <w:p w14:paraId="19378832" w14:textId="77777777" w:rsidR="00241D2E" w:rsidRPr="00241D2E" w:rsidRDefault="00241D2E" w:rsidP="00241D2E">
      <w:pPr>
        <w:spacing w:after="120" w:line="240" w:lineRule="auto"/>
        <w:jc w:val="both"/>
        <w:rPr>
          <w:rFonts w:ascii="Verdana" w:hAnsi="Verdana" w:cs="Arial"/>
          <w:bCs/>
          <w:sz w:val="20"/>
          <w:szCs w:val="20"/>
          <w:lang w:val="es-MX" w:eastAsia="x-none"/>
        </w:rPr>
      </w:pPr>
      <w:r w:rsidRPr="00241D2E">
        <w:rPr>
          <w:rFonts w:ascii="Verdana" w:hAnsi="Verdana" w:cs="Arial"/>
          <w:bCs/>
          <w:sz w:val="20"/>
          <w:szCs w:val="20"/>
          <w:lang w:val="es-MX" w:eastAsia="x-none"/>
        </w:rPr>
        <w:t>Sobre los destinatarios de esta prohibición, el artículo 33 de la Ley 996 de 2005 señala expresamente a los destinatarios de la prohibición, en el sentido de que son “todos los entes del Estado”, expresión que contempla a los diferentes organismos o entidades autorizadas por la ley para suscribir contratos.</w:t>
      </w:r>
      <w:r w:rsidRPr="00241D2E">
        <w:rPr>
          <w:rFonts w:ascii="Verdana" w:hAnsi="Verdana" w:cs="Arial"/>
          <w:sz w:val="20"/>
          <w:szCs w:val="20"/>
          <w:lang w:val="es-MX"/>
        </w:rPr>
        <w:t xml:space="preserve"> </w:t>
      </w:r>
      <w:r w:rsidRPr="00241D2E">
        <w:rPr>
          <w:rFonts w:ascii="Verdana" w:hAnsi="Verdana" w:cs="Arial"/>
          <w:bCs/>
          <w:sz w:val="20"/>
          <w:szCs w:val="20"/>
          <w:lang w:val="es-MX" w:eastAsia="x-none"/>
        </w:rPr>
        <w:t>En efecto, tal como lo ha sostenido el Consejo de Estado, el vocablo “todos” utilizado por el legislador comprende</w:t>
      </w:r>
      <w:r w:rsidRPr="00241D2E">
        <w:rPr>
          <w:rFonts w:ascii="Verdana" w:hAnsi="Verdana" w:cs="Arial"/>
          <w:sz w:val="20"/>
          <w:szCs w:val="20"/>
          <w:lang w:val="es-MX"/>
        </w:rPr>
        <w:t xml:space="preserve"> </w:t>
      </w:r>
      <w:r w:rsidRPr="00241D2E">
        <w:rPr>
          <w:rFonts w:ascii="Verdana" w:hAnsi="Verdana" w:cs="Arial"/>
          <w:bCs/>
          <w:sz w:val="20"/>
          <w:szCs w:val="20"/>
          <w:lang w:val="es-MX" w:eastAsia="x-none"/>
        </w:rPr>
        <w:t xml:space="preserve">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 </w:t>
      </w:r>
    </w:p>
    <w:p w14:paraId="5D943163" w14:textId="77777777" w:rsidR="00241D2E" w:rsidRPr="00A05510" w:rsidRDefault="00241D2E" w:rsidP="00A05510">
      <w:pPr>
        <w:jc w:val="both"/>
        <w:rPr>
          <w:rFonts w:ascii="Verdana" w:eastAsiaTheme="minorEastAsia" w:hAnsi="Verdana" w:cs="Arial"/>
          <w:b/>
          <w:bCs/>
          <w:color w:val="000000" w:themeColor="text1"/>
          <w:lang w:val="es-ES"/>
        </w:rPr>
      </w:pPr>
    </w:p>
    <w:p w14:paraId="60E89D2E" w14:textId="77777777" w:rsidR="00A05510" w:rsidRDefault="00A05510">
      <w:pPr>
        <w:rPr>
          <w:rFonts w:ascii="Verdana" w:eastAsia="Verdana" w:hAnsi="Verdana" w:cs="Verdana"/>
        </w:rPr>
      </w:pPr>
      <w:r>
        <w:rPr>
          <w:rFonts w:ascii="Verdana" w:eastAsia="Verdana" w:hAnsi="Verdana" w:cs="Verdana"/>
        </w:rPr>
        <w:br w:type="page"/>
      </w:r>
    </w:p>
    <w:p w14:paraId="3B27AFCD" w14:textId="7A210C7A" w:rsidR="002A0DD0" w:rsidRPr="004B4BEA" w:rsidRDefault="00A05510" w:rsidP="00C001FC">
      <w:pPr>
        <w:spacing w:after="0" w:line="240" w:lineRule="auto"/>
        <w:rPr>
          <w:rFonts w:ascii="Verdana" w:eastAsia="Verdana" w:hAnsi="Verdana" w:cs="Verdana"/>
        </w:rPr>
      </w:pPr>
      <w:r w:rsidRPr="00A05510">
        <w:rPr>
          <w:rFonts w:ascii="Verdana" w:eastAsia="Calibri" w:hAnsi="Verdana" w:cs="Arial"/>
          <w:b/>
          <w:lang w:eastAsia="es-ES_tradnl"/>
        </w:rPr>
        <w:lastRenderedPageBreak/>
        <w:drawing>
          <wp:anchor distT="0" distB="0" distL="114300" distR="114300" simplePos="0" relativeHeight="251659264" behindDoc="1" locked="0" layoutInCell="1" allowOverlap="1" wp14:anchorId="17FD90B6" wp14:editId="1AEE9FDA">
            <wp:simplePos x="0" y="0"/>
            <wp:positionH relativeFrom="column">
              <wp:posOffset>2957027</wp:posOffset>
            </wp:positionH>
            <wp:positionV relativeFrom="paragraph">
              <wp:posOffset>8854</wp:posOffset>
            </wp:positionV>
            <wp:extent cx="2677963" cy="725803"/>
            <wp:effectExtent l="0" t="0" r="0" b="0"/>
            <wp:wrapNone/>
            <wp:docPr id="178301752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3017520" name=""/>
                    <pic:cNvPicPr/>
                  </pic:nvPicPr>
                  <pic:blipFill>
                    <a:blip r:embed="rId10">
                      <a:extLst>
                        <a:ext uri="{28A0092B-C50C-407E-A947-70E740481C1C}">
                          <a14:useLocalDpi xmlns:a14="http://schemas.microsoft.com/office/drawing/2010/main" val="0"/>
                        </a:ext>
                      </a:extLst>
                    </a:blip>
                    <a:stretch>
                      <a:fillRect/>
                    </a:stretch>
                  </pic:blipFill>
                  <pic:spPr>
                    <a:xfrm>
                      <a:off x="0" y="0"/>
                      <a:ext cx="2690637" cy="729238"/>
                    </a:xfrm>
                    <a:prstGeom prst="rect">
                      <a:avLst/>
                    </a:prstGeom>
                  </pic:spPr>
                </pic:pic>
              </a:graphicData>
            </a:graphic>
            <wp14:sizeRelH relativeFrom="margin">
              <wp14:pctWidth>0</wp14:pctWidth>
            </wp14:sizeRelH>
            <wp14:sizeRelV relativeFrom="margin">
              <wp14:pctHeight>0</wp14:pctHeight>
            </wp14:sizeRelV>
          </wp:anchor>
        </w:drawing>
      </w:r>
      <w:r w:rsidR="00C15139" w:rsidRPr="30821638">
        <w:rPr>
          <w:rFonts w:ascii="Verdana" w:eastAsia="Verdana" w:hAnsi="Verdana" w:cs="Verdana"/>
        </w:rPr>
        <w:t xml:space="preserve">Bogotá D.C., </w:t>
      </w:r>
      <w:r>
        <w:rPr>
          <w:rFonts w:ascii="Verdana" w:eastAsia="Verdana" w:hAnsi="Verdana" w:cs="Verdana"/>
        </w:rPr>
        <w:t>15 Abril 2026</w:t>
      </w:r>
      <w:r w:rsidRPr="00C001FC">
        <w:rPr>
          <w:rFonts w:ascii="Verdana" w:hAnsi="Verdana"/>
        </w:rPr>
        <w:t xml:space="preserve"> </w:t>
      </w:r>
      <w:r w:rsidR="00C15139" w:rsidRPr="00C001FC">
        <w:rPr>
          <w:rFonts w:ascii="Verdana" w:hAnsi="Verdana"/>
        </w:rPr>
        <w:br/>
      </w:r>
      <w:r w:rsidR="00C15139" w:rsidRPr="00C001FC">
        <w:rPr>
          <w:rFonts w:ascii="Verdana" w:hAnsi="Verdana"/>
        </w:rPr>
        <w:tab/>
      </w:r>
    </w:p>
    <w:p w14:paraId="5638C448" w14:textId="1E14F1E2" w:rsidR="007A4F29" w:rsidRPr="0018723E" w:rsidRDefault="007A4F29" w:rsidP="007A4F29">
      <w:pPr>
        <w:spacing w:after="0" w:line="240" w:lineRule="auto"/>
        <w:jc w:val="both"/>
        <w:rPr>
          <w:rFonts w:ascii="Verdana" w:eastAsia="Calibri" w:hAnsi="Verdana" w:cs="Arial"/>
          <w:lang w:eastAsia="es-ES"/>
        </w:rPr>
      </w:pPr>
      <w:r w:rsidRPr="001129A3">
        <w:rPr>
          <w:rFonts w:ascii="Verdana" w:eastAsia="Calibri" w:hAnsi="Verdana" w:cs="Arial"/>
          <w:lang w:eastAsia="es-ES"/>
        </w:rPr>
        <w:t>Señor</w:t>
      </w:r>
    </w:p>
    <w:p w14:paraId="5ACED9A4" w14:textId="67378D0A" w:rsidR="007A4F29" w:rsidRDefault="00FC49A2" w:rsidP="007A4F29">
      <w:pPr>
        <w:spacing w:after="0" w:line="240" w:lineRule="auto"/>
        <w:rPr>
          <w:rFonts w:ascii="Verdana" w:eastAsia="Calibri" w:hAnsi="Verdana" w:cs="Arial"/>
          <w:b/>
          <w:lang w:eastAsia="es-ES_tradnl"/>
        </w:rPr>
      </w:pPr>
      <w:r>
        <w:rPr>
          <w:rFonts w:ascii="Verdana" w:eastAsia="Calibri" w:hAnsi="Verdana" w:cs="Arial"/>
          <w:b/>
          <w:lang w:eastAsia="es-ES_tradnl"/>
        </w:rPr>
        <w:t>Jorge Luis Bastidas Crespo</w:t>
      </w:r>
      <w:r w:rsidR="00A05510">
        <w:rPr>
          <w:rFonts w:ascii="Verdana" w:eastAsia="Calibri" w:hAnsi="Verdana" w:cs="Arial"/>
          <w:b/>
          <w:lang w:eastAsia="es-ES_tradnl"/>
        </w:rPr>
        <w:t xml:space="preserve"> </w:t>
      </w:r>
    </w:p>
    <w:p w14:paraId="42D04BDD" w14:textId="7CCEEDE0" w:rsidR="00FC49A2" w:rsidRPr="001129A3" w:rsidRDefault="00FC49A2" w:rsidP="007A4F29">
      <w:pPr>
        <w:spacing w:after="0" w:line="240" w:lineRule="auto"/>
        <w:rPr>
          <w:rFonts w:ascii="Verdana" w:eastAsia="Calibri" w:hAnsi="Verdana" w:cs="Arial"/>
          <w:b/>
          <w:lang w:eastAsia="es-ES_tradnl"/>
        </w:rPr>
      </w:pPr>
      <w:r>
        <w:rPr>
          <w:rFonts w:ascii="Verdana" w:eastAsia="Calibri" w:hAnsi="Verdana" w:cs="Arial"/>
          <w:b/>
          <w:lang w:eastAsia="es-ES_tradnl"/>
        </w:rPr>
        <w:t>Secretario Genera</w:t>
      </w:r>
      <w:r w:rsidR="00A03F2E">
        <w:rPr>
          <w:rFonts w:ascii="Verdana" w:eastAsia="Calibri" w:hAnsi="Verdana" w:cs="Arial"/>
          <w:b/>
          <w:lang w:eastAsia="es-ES_tradnl"/>
        </w:rPr>
        <w:t>l</w:t>
      </w:r>
      <w:r w:rsidR="005D7E3E">
        <w:rPr>
          <w:rFonts w:ascii="Verdana" w:eastAsia="Calibri" w:hAnsi="Verdana" w:cs="Arial"/>
          <w:b/>
          <w:lang w:eastAsia="es-ES_tradnl"/>
        </w:rPr>
        <w:t xml:space="preserve"> (E)</w:t>
      </w:r>
    </w:p>
    <w:p w14:paraId="4C806077" w14:textId="40B9AEF1" w:rsidR="007A4F29" w:rsidRPr="00AB1F39" w:rsidRDefault="000C2C58" w:rsidP="007A4F29">
      <w:pPr>
        <w:spacing w:after="0" w:line="240" w:lineRule="auto"/>
        <w:rPr>
          <w:rFonts w:ascii="Verdana" w:hAnsi="Verdana"/>
        </w:rPr>
      </w:pPr>
      <w:hyperlink r:id="rId11" w:history="1">
        <w:r w:rsidR="005B734D" w:rsidRPr="004B4BEA">
          <w:rPr>
            <w:rStyle w:val="Hipervnculo"/>
            <w:rFonts w:ascii="Verdana" w:hAnsi="Verdana"/>
          </w:rPr>
          <w:t>correocertificadonotificaciones@4-72.com.co</w:t>
        </w:r>
      </w:hyperlink>
    </w:p>
    <w:p w14:paraId="740180AE" w14:textId="39E5005E" w:rsidR="007A4F29" w:rsidRPr="0018723E" w:rsidRDefault="005B734D" w:rsidP="007A4F29">
      <w:pPr>
        <w:spacing w:after="0" w:line="240" w:lineRule="auto"/>
        <w:rPr>
          <w:rFonts w:ascii="Verdana" w:hAnsi="Verdana"/>
        </w:rPr>
      </w:pPr>
      <w:r>
        <w:rPr>
          <w:rFonts w:ascii="Verdana" w:hAnsi="Verdana"/>
        </w:rPr>
        <w:t>Ciudad</w:t>
      </w:r>
    </w:p>
    <w:p w14:paraId="754CC125" w14:textId="77777777" w:rsidR="007A4F29" w:rsidRPr="001129A3" w:rsidRDefault="007A4F29" w:rsidP="007A4F29">
      <w:pPr>
        <w:spacing w:after="0" w:line="240" w:lineRule="auto"/>
        <w:rPr>
          <w:rFonts w:ascii="Verdana" w:eastAsia="Calibri" w:hAnsi="Verdana" w:cs="Arial"/>
          <w:b/>
          <w:bCs/>
          <w:color w:val="000000"/>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119"/>
        <w:gridCol w:w="5670"/>
      </w:tblGrid>
      <w:tr w:rsidR="007A4F29" w:rsidRPr="001129A3" w14:paraId="1FD6EC55" w14:textId="77777777" w:rsidTr="006A2F9F">
        <w:trPr>
          <w:trHeight w:val="162"/>
        </w:trPr>
        <w:tc>
          <w:tcPr>
            <w:tcW w:w="3119" w:type="dxa"/>
          </w:tcPr>
          <w:p w14:paraId="1C9AAFD7" w14:textId="77777777" w:rsidR="007A4F29" w:rsidRPr="001129A3" w:rsidRDefault="007A4F29" w:rsidP="006A2F9F">
            <w:pPr>
              <w:jc w:val="both"/>
              <w:rPr>
                <w:rFonts w:ascii="Verdana" w:eastAsia="Calibri" w:hAnsi="Verdana" w:cs="Arial"/>
                <w:b/>
                <w:bCs/>
                <w:color w:val="7030A0"/>
                <w:lang w:eastAsia="es-ES_tradnl"/>
              </w:rPr>
            </w:pPr>
          </w:p>
        </w:tc>
        <w:tc>
          <w:tcPr>
            <w:tcW w:w="5670" w:type="dxa"/>
          </w:tcPr>
          <w:p w14:paraId="75588745" w14:textId="02FA7DBC" w:rsidR="007A4F29" w:rsidRPr="001129A3" w:rsidRDefault="007A4F29" w:rsidP="006A2F9F">
            <w:pPr>
              <w:rPr>
                <w:rFonts w:ascii="Verdana" w:eastAsia="Calibri" w:hAnsi="Verdana" w:cs="Arial"/>
                <w:b/>
                <w:bCs/>
                <w:lang w:eastAsia="es-ES"/>
              </w:rPr>
            </w:pPr>
            <w:r w:rsidRPr="001129A3">
              <w:rPr>
                <w:rFonts w:ascii="Verdana" w:eastAsia="Calibri" w:hAnsi="Verdana" w:cs="Arial"/>
                <w:b/>
                <w:bCs/>
                <w:lang w:eastAsia="es-ES"/>
              </w:rPr>
              <w:t>Concepto C-</w:t>
            </w:r>
            <w:r w:rsidR="00F80AAA">
              <w:rPr>
                <w:rFonts w:ascii="Verdana" w:eastAsia="Calibri" w:hAnsi="Verdana" w:cs="Arial"/>
                <w:b/>
                <w:bCs/>
                <w:lang w:eastAsia="es-ES"/>
              </w:rPr>
              <w:t>351</w:t>
            </w:r>
            <w:r w:rsidRPr="001129A3">
              <w:rPr>
                <w:rFonts w:ascii="Verdana" w:eastAsia="Calibri" w:hAnsi="Verdana" w:cs="Arial"/>
                <w:b/>
                <w:bCs/>
                <w:lang w:eastAsia="es-ES"/>
              </w:rPr>
              <w:t xml:space="preserve"> de 2026</w:t>
            </w:r>
          </w:p>
          <w:p w14:paraId="604A5CCC" w14:textId="77777777" w:rsidR="007A4F29" w:rsidRPr="001129A3" w:rsidRDefault="007A4F29" w:rsidP="006A2F9F">
            <w:pPr>
              <w:jc w:val="center"/>
              <w:rPr>
                <w:rFonts w:ascii="Verdana" w:eastAsia="Calibri" w:hAnsi="Verdana" w:cs="Arial"/>
                <w:b/>
                <w:bCs/>
                <w:color w:val="7030A0"/>
                <w:lang w:eastAsia="es-ES"/>
              </w:rPr>
            </w:pPr>
          </w:p>
        </w:tc>
      </w:tr>
      <w:tr w:rsidR="007A4F29" w:rsidRPr="001129A3" w14:paraId="5A623573" w14:textId="77777777" w:rsidTr="006A2F9F">
        <w:trPr>
          <w:trHeight w:val="884"/>
        </w:trPr>
        <w:tc>
          <w:tcPr>
            <w:tcW w:w="3119" w:type="dxa"/>
          </w:tcPr>
          <w:p w14:paraId="133533C7" w14:textId="77777777" w:rsidR="007A4F29" w:rsidRPr="0018723E" w:rsidRDefault="007A4F29" w:rsidP="006A2F9F">
            <w:pPr>
              <w:jc w:val="both"/>
              <w:rPr>
                <w:rFonts w:ascii="Verdana" w:eastAsia="Calibri" w:hAnsi="Verdana" w:cs="Arial"/>
                <w:color w:val="000000"/>
                <w:lang w:eastAsia="es-ES_tradnl"/>
              </w:rPr>
            </w:pPr>
            <w:r w:rsidRPr="001129A3">
              <w:rPr>
                <w:rFonts w:ascii="Verdana" w:eastAsia="Calibri" w:hAnsi="Verdana" w:cs="Arial"/>
                <w:b/>
                <w:color w:val="000000"/>
                <w:lang w:eastAsia="es-ES_tradnl"/>
              </w:rPr>
              <w:t>Temas:</w:t>
            </w:r>
            <w:r w:rsidRPr="001129A3">
              <w:rPr>
                <w:rFonts w:ascii="Verdana" w:eastAsia="Calibri" w:hAnsi="Verdana" w:cs="Arial"/>
                <w:color w:val="000000"/>
                <w:lang w:eastAsia="es-ES_tradnl"/>
              </w:rPr>
              <w:t xml:space="preserve">                   </w:t>
            </w:r>
          </w:p>
        </w:tc>
        <w:tc>
          <w:tcPr>
            <w:tcW w:w="5670" w:type="dxa"/>
          </w:tcPr>
          <w:p w14:paraId="2A9CA7C4" w14:textId="77777777" w:rsidR="00DF72CE" w:rsidRDefault="00DF72CE" w:rsidP="00DF72CE">
            <w:pPr>
              <w:jc w:val="both"/>
              <w:rPr>
                <w:rFonts w:ascii="Verdana" w:eastAsiaTheme="minorEastAsia" w:hAnsi="Verdana" w:cs="Arial"/>
                <w:color w:val="000000" w:themeColor="text1"/>
                <w:lang w:val="es-ES"/>
              </w:rPr>
            </w:pPr>
            <w:r w:rsidRPr="3A5322BA">
              <w:rPr>
                <w:rFonts w:ascii="Verdana" w:hAnsi="Verdana" w:cs="Arial"/>
                <w:lang w:val="es-MX" w:eastAsia="es-ES"/>
              </w:rPr>
              <w:t xml:space="preserve">LEY DE GARANTÍAS ELECTORALES ‒ Finalidad / </w:t>
            </w:r>
            <w:r w:rsidRPr="003C46CE">
              <w:rPr>
                <w:rFonts w:ascii="Verdana" w:eastAsia="Calibri" w:hAnsi="Verdana" w:cs="Arial"/>
                <w:lang w:val="es-ES" w:eastAsia="es-ES"/>
              </w:rPr>
              <w:t>LEY DE GARANTÍAS ELECTORALES – Contratación directa – Alcance material – Interpretación restrictiva</w:t>
            </w:r>
            <w:r>
              <w:rPr>
                <w:rFonts w:ascii="Verdana" w:hAnsi="Verdana" w:cs="Arial"/>
                <w:lang w:val="es-MX" w:eastAsia="es-ES"/>
              </w:rPr>
              <w:t xml:space="preserve"> / </w:t>
            </w:r>
            <w:r w:rsidRPr="00947318">
              <w:rPr>
                <w:rFonts w:ascii="Verdana" w:hAnsi="Verdana"/>
              </w:rPr>
              <w:t>LEY DE GARANTÍAS ELECTORALES – Destinatarios – Entes del Estado – Régimen especial</w:t>
            </w:r>
            <w:r w:rsidRPr="3A5322BA">
              <w:rPr>
                <w:rFonts w:ascii="Verdana" w:eastAsiaTheme="minorEastAsia" w:hAnsi="Verdana" w:cs="Arial"/>
                <w:color w:val="000000" w:themeColor="text1"/>
                <w:lang w:val="es-ES"/>
              </w:rPr>
              <w:t xml:space="preserve"> </w:t>
            </w:r>
          </w:p>
          <w:p w14:paraId="30738280" w14:textId="77777777" w:rsidR="007A4F29" w:rsidRPr="001129A3" w:rsidRDefault="007A4F29" w:rsidP="006A2F9F">
            <w:pPr>
              <w:jc w:val="both"/>
              <w:rPr>
                <w:rFonts w:ascii="Verdana" w:eastAsia="Calibri" w:hAnsi="Verdana" w:cs="Arial"/>
                <w:lang w:val="es-ES" w:eastAsia="es-ES"/>
              </w:rPr>
            </w:pPr>
          </w:p>
        </w:tc>
      </w:tr>
      <w:tr w:rsidR="007A4F29" w:rsidRPr="001129A3" w14:paraId="685B9C6C" w14:textId="77777777" w:rsidTr="006A2F9F">
        <w:tc>
          <w:tcPr>
            <w:tcW w:w="3119" w:type="dxa"/>
          </w:tcPr>
          <w:p w14:paraId="04A96B86" w14:textId="77777777" w:rsidR="007A4F29" w:rsidRPr="0018723E" w:rsidRDefault="007A4F29" w:rsidP="006A2F9F">
            <w:pPr>
              <w:jc w:val="both"/>
              <w:rPr>
                <w:rFonts w:ascii="Verdana" w:eastAsia="Calibri" w:hAnsi="Verdana" w:cs="Arial"/>
                <w:b/>
                <w:lang w:eastAsia="es-ES_tradnl"/>
              </w:rPr>
            </w:pPr>
            <w:r w:rsidRPr="001129A3">
              <w:rPr>
                <w:rFonts w:ascii="Verdana" w:eastAsia="Calibri" w:hAnsi="Verdana" w:cs="Arial"/>
                <w:b/>
                <w:lang w:eastAsia="es-ES_tradnl"/>
              </w:rPr>
              <w:t>Radicación:</w:t>
            </w:r>
            <w:r w:rsidRPr="001129A3">
              <w:rPr>
                <w:rFonts w:ascii="Verdana" w:eastAsia="Calibri" w:hAnsi="Verdana" w:cs="Arial"/>
                <w:lang w:eastAsia="es-ES_tradnl"/>
              </w:rPr>
              <w:t xml:space="preserve">               </w:t>
            </w:r>
          </w:p>
        </w:tc>
        <w:tc>
          <w:tcPr>
            <w:tcW w:w="5670" w:type="dxa"/>
          </w:tcPr>
          <w:p w14:paraId="728EB8FC" w14:textId="7367FF7E" w:rsidR="007A4F29" w:rsidRPr="001129A3" w:rsidRDefault="007A4F29" w:rsidP="006A2F9F">
            <w:pPr>
              <w:jc w:val="both"/>
              <w:rPr>
                <w:rFonts w:ascii="Verdana" w:eastAsia="Calibri" w:hAnsi="Verdana" w:cs="Arial"/>
                <w:lang w:eastAsia="es-ES_tradnl"/>
              </w:rPr>
            </w:pPr>
            <w:r w:rsidRPr="001129A3">
              <w:rPr>
                <w:rFonts w:ascii="Verdana" w:eastAsia="Calibri" w:hAnsi="Verdana" w:cs="Arial"/>
                <w:lang w:eastAsia="es-ES_tradnl"/>
              </w:rPr>
              <w:t xml:space="preserve">Respuesta a consulta con radicado No. </w:t>
            </w:r>
            <w:r w:rsidR="00F80AAA" w:rsidRPr="00F80AAA">
              <w:rPr>
                <w:rFonts w:ascii="Verdana" w:eastAsia="Calibri" w:hAnsi="Verdana" w:cs="Arial"/>
                <w:lang w:eastAsia="es-ES_tradnl"/>
              </w:rPr>
              <w:t>1_2026_03_04_003016</w:t>
            </w:r>
          </w:p>
        </w:tc>
      </w:tr>
    </w:tbl>
    <w:p w14:paraId="1D8CC543" w14:textId="56182A53" w:rsidR="007A4F29" w:rsidRPr="001129A3" w:rsidRDefault="007A4F29" w:rsidP="007A4F29">
      <w:pPr>
        <w:spacing w:after="0" w:line="240" w:lineRule="auto"/>
        <w:jc w:val="both"/>
        <w:rPr>
          <w:rFonts w:ascii="Verdana" w:eastAsia="Calibri" w:hAnsi="Verdana" w:cs="Arial"/>
          <w:lang w:eastAsia="es-ES_tradnl"/>
        </w:rPr>
      </w:pPr>
    </w:p>
    <w:p w14:paraId="781CA8D6" w14:textId="77777777" w:rsidR="00757284" w:rsidRPr="004B4BEA" w:rsidRDefault="00757284">
      <w:pPr>
        <w:spacing w:after="0" w:line="240" w:lineRule="auto"/>
        <w:jc w:val="both"/>
        <w:rPr>
          <w:rFonts w:ascii="Verdana" w:eastAsia="Calibri" w:hAnsi="Verdana" w:cs="Arial"/>
          <w:lang w:eastAsia="es-ES_tradnl"/>
        </w:rPr>
      </w:pPr>
    </w:p>
    <w:p w14:paraId="3C784FA4" w14:textId="2B30D1B7" w:rsidR="007A4F29" w:rsidRPr="000952AC" w:rsidRDefault="007A4F29" w:rsidP="007A4F29">
      <w:pPr>
        <w:spacing w:after="0" w:line="276" w:lineRule="auto"/>
        <w:jc w:val="both"/>
        <w:rPr>
          <w:rFonts w:ascii="Verdana" w:eastAsia="Calibri" w:hAnsi="Verdana" w:cs="Arial"/>
          <w:lang w:eastAsia="es-ES"/>
        </w:rPr>
      </w:pPr>
      <w:r w:rsidRPr="000952AC">
        <w:rPr>
          <w:rFonts w:ascii="Verdana" w:eastAsia="Calibri" w:hAnsi="Verdana" w:cs="Arial"/>
          <w:lang w:eastAsia="es-ES"/>
        </w:rPr>
        <w:t>Estimad</w:t>
      </w:r>
      <w:r w:rsidR="00F80AAA">
        <w:rPr>
          <w:rFonts w:ascii="Verdana" w:eastAsia="Calibri" w:hAnsi="Verdana" w:cs="Arial"/>
          <w:lang w:eastAsia="es-ES"/>
        </w:rPr>
        <w:t>o</w:t>
      </w:r>
      <w:r w:rsidRPr="000952AC">
        <w:rPr>
          <w:rFonts w:ascii="Verdana" w:eastAsia="Calibri" w:hAnsi="Verdana" w:cs="Arial"/>
          <w:lang w:eastAsia="es-ES"/>
        </w:rPr>
        <w:t xml:space="preserve"> señor</w:t>
      </w:r>
      <w:r>
        <w:rPr>
          <w:rFonts w:ascii="Verdana" w:eastAsia="Calibri" w:hAnsi="Verdana" w:cs="Arial"/>
          <w:lang w:eastAsia="es-ES"/>
        </w:rPr>
        <w:t xml:space="preserve">, </w:t>
      </w:r>
      <w:r w:rsidR="00F80AAA">
        <w:rPr>
          <w:rFonts w:ascii="Verdana" w:eastAsia="Calibri" w:hAnsi="Verdana" w:cs="Arial"/>
          <w:lang w:eastAsia="es-ES"/>
        </w:rPr>
        <w:t>Bastidas</w:t>
      </w:r>
      <w:r>
        <w:rPr>
          <w:rFonts w:ascii="Verdana" w:eastAsia="Calibri" w:hAnsi="Verdana" w:cs="Arial"/>
          <w:lang w:eastAsia="es-ES"/>
        </w:rPr>
        <w:t>:</w:t>
      </w:r>
      <w:r w:rsidRPr="000952AC">
        <w:rPr>
          <w:rFonts w:ascii="Verdana" w:eastAsia="Calibri" w:hAnsi="Verdana" w:cs="Arial"/>
          <w:lang w:eastAsia="es-ES"/>
        </w:rPr>
        <w:t xml:space="preserve"> </w:t>
      </w:r>
    </w:p>
    <w:p w14:paraId="427048C5" w14:textId="1697C1E6" w:rsidR="007A4F29" w:rsidRPr="000952AC" w:rsidRDefault="007A4F29" w:rsidP="00C001FC">
      <w:pPr>
        <w:spacing w:after="0" w:line="276" w:lineRule="auto"/>
        <w:jc w:val="both"/>
        <w:rPr>
          <w:rFonts w:ascii="Verdana" w:eastAsia="Calibri" w:hAnsi="Verdana" w:cs="Arial"/>
          <w:lang w:eastAsia="es-ES"/>
        </w:rPr>
      </w:pPr>
      <w:r w:rsidRPr="000952AC">
        <w:rPr>
          <w:rFonts w:ascii="Verdana" w:eastAsia="Calibri" w:hAnsi="Verdana" w:cs="Arial"/>
          <w:color w:val="000000" w:themeColor="text1"/>
          <w:lang w:eastAsia="es-ES"/>
        </w:rPr>
        <w:t>En ejercicio de la competencia otorgada por los artículos 3, numeral 5º, y 11, numeral 8º, del Decreto Ley 4170 de 2011,</w:t>
      </w:r>
      <w:r w:rsidRPr="000952AC">
        <w:rPr>
          <w:rFonts w:ascii="Verdana" w:eastAsia="Arial MT" w:hAnsi="Verdana" w:cs="Arial MT"/>
          <w:lang w:eastAsia="es-ES"/>
        </w:rPr>
        <w:t xml:space="preserve"> </w:t>
      </w:r>
      <w:r w:rsidRPr="000952AC">
        <w:rPr>
          <w:rFonts w:ascii="Verdana" w:hAnsi="Verdana" w:cs="Arial"/>
        </w:rPr>
        <w:t xml:space="preserve">así como lo establecido en el artículo 4 de la Resolución 1707 de 2018 expedida por esta Entidad, </w:t>
      </w:r>
      <w:r w:rsidRPr="000952AC">
        <w:rPr>
          <w:rFonts w:ascii="Verdana" w:eastAsia="Calibri" w:hAnsi="Verdana" w:cs="Arial"/>
          <w:color w:val="000000" w:themeColor="text1"/>
          <w:lang w:eastAsia="es-ES"/>
        </w:rPr>
        <w:t xml:space="preserve">la Agencia Nacional de Contratación </w:t>
      </w:r>
      <w:r w:rsidRPr="000952AC">
        <w:rPr>
          <w:rFonts w:ascii="Verdana" w:eastAsia="Calibri" w:hAnsi="Verdana" w:cs="Arial"/>
          <w:lang w:eastAsia="es-ES"/>
        </w:rPr>
        <w:t xml:space="preserve">Pública – Colombia Compra Eficiente– responde su solicitud de consulta de fecha </w:t>
      </w:r>
      <w:r w:rsidR="00EB21EE">
        <w:rPr>
          <w:rFonts w:ascii="Verdana" w:eastAsia="Calibri" w:hAnsi="Verdana" w:cs="Arial"/>
          <w:lang w:eastAsia="es-ES"/>
        </w:rPr>
        <w:t>4</w:t>
      </w:r>
      <w:r>
        <w:rPr>
          <w:rFonts w:ascii="Verdana" w:eastAsia="Calibri" w:hAnsi="Verdana" w:cs="Arial"/>
          <w:lang w:eastAsia="es-ES"/>
        </w:rPr>
        <w:t xml:space="preserve"> de </w:t>
      </w:r>
      <w:r w:rsidR="00EB21EE">
        <w:rPr>
          <w:rFonts w:ascii="Verdana" w:eastAsia="Calibri" w:hAnsi="Verdana" w:cs="Arial"/>
          <w:lang w:eastAsia="es-ES"/>
        </w:rPr>
        <w:t>marzo</w:t>
      </w:r>
      <w:r w:rsidRPr="000952AC">
        <w:rPr>
          <w:rFonts w:ascii="Verdana" w:eastAsia="Calibri" w:hAnsi="Verdana" w:cs="Arial"/>
          <w:lang w:eastAsia="es-ES"/>
        </w:rPr>
        <w:t xml:space="preserve"> de 202</w:t>
      </w:r>
      <w:r>
        <w:rPr>
          <w:rFonts w:ascii="Verdana" w:eastAsia="Calibri" w:hAnsi="Verdana" w:cs="Arial"/>
          <w:lang w:eastAsia="es-ES"/>
        </w:rPr>
        <w:t>6</w:t>
      </w:r>
      <w:r w:rsidRPr="000952AC">
        <w:rPr>
          <w:rFonts w:ascii="Verdana" w:eastAsia="Calibri" w:hAnsi="Verdana" w:cs="Arial"/>
          <w:lang w:eastAsia="es-ES"/>
        </w:rPr>
        <w:t xml:space="preserve">, en la cual manifiesta lo siguiente: </w:t>
      </w:r>
    </w:p>
    <w:p w14:paraId="3E083539" w14:textId="77777777" w:rsidR="004B4BEA" w:rsidRDefault="004B4BEA">
      <w:pPr>
        <w:spacing w:after="0" w:line="240" w:lineRule="auto"/>
        <w:ind w:left="709" w:right="709"/>
        <w:jc w:val="both"/>
        <w:rPr>
          <w:rFonts w:ascii="Verdana" w:eastAsia="Century Gothic" w:hAnsi="Verdana" w:cs="Century Gothic"/>
          <w:i/>
          <w:iCs/>
          <w:sz w:val="20"/>
          <w:szCs w:val="20"/>
        </w:rPr>
      </w:pPr>
      <w:bookmarkStart w:id="1" w:name="_Hlk192699624"/>
      <w:bookmarkStart w:id="2" w:name="_Hlk199394899"/>
    </w:p>
    <w:p w14:paraId="27D1F074" w14:textId="06E5EED6" w:rsidR="001C2634" w:rsidRPr="001C2143" w:rsidRDefault="007A4F29" w:rsidP="00C001FC">
      <w:pPr>
        <w:spacing w:after="0" w:line="240" w:lineRule="auto"/>
        <w:ind w:left="709" w:right="709"/>
        <w:jc w:val="both"/>
        <w:rPr>
          <w:rFonts w:ascii="Verdana" w:eastAsia="Century Gothic" w:hAnsi="Verdana" w:cs="Century Gothic"/>
          <w:i/>
          <w:iCs/>
          <w:sz w:val="20"/>
          <w:szCs w:val="20"/>
        </w:rPr>
      </w:pPr>
      <w:r w:rsidRPr="001C2143">
        <w:rPr>
          <w:rFonts w:ascii="Verdana" w:eastAsia="Century Gothic" w:hAnsi="Verdana" w:cs="Century Gothic"/>
          <w:i/>
          <w:iCs/>
          <w:sz w:val="20"/>
          <w:szCs w:val="20"/>
        </w:rPr>
        <w:t>“</w:t>
      </w:r>
      <w:bookmarkEnd w:id="1"/>
      <w:r w:rsidR="001C2634" w:rsidRPr="001C2143">
        <w:rPr>
          <w:rFonts w:ascii="Verdana" w:eastAsia="Century Gothic" w:hAnsi="Verdana" w:cs="Century Gothic"/>
          <w:i/>
          <w:iCs/>
          <w:sz w:val="20"/>
          <w:szCs w:val="20"/>
        </w:rPr>
        <w:t>(…)</w:t>
      </w:r>
    </w:p>
    <w:p w14:paraId="3FC23E39" w14:textId="77777777" w:rsidR="001C2634" w:rsidRPr="001C2143" w:rsidRDefault="001C2634" w:rsidP="007A4F29">
      <w:pPr>
        <w:spacing w:after="0" w:line="240" w:lineRule="auto"/>
        <w:ind w:left="709" w:right="709"/>
        <w:jc w:val="both"/>
        <w:rPr>
          <w:rFonts w:ascii="Verdana" w:eastAsia="Century Gothic" w:hAnsi="Verdana" w:cs="Century Gothic"/>
          <w:i/>
          <w:iCs/>
          <w:sz w:val="20"/>
          <w:szCs w:val="20"/>
        </w:rPr>
      </w:pPr>
    </w:p>
    <w:p w14:paraId="51BC8C35" w14:textId="48EA8D99" w:rsidR="001C2634" w:rsidRPr="001C2143" w:rsidRDefault="001C2634" w:rsidP="001C2634">
      <w:pPr>
        <w:spacing w:after="0" w:line="240" w:lineRule="auto"/>
        <w:ind w:left="709" w:right="709"/>
        <w:jc w:val="both"/>
        <w:rPr>
          <w:rFonts w:ascii="Verdana" w:hAnsi="Verdana"/>
          <w:i/>
          <w:iCs/>
          <w:sz w:val="20"/>
          <w:szCs w:val="20"/>
        </w:rPr>
      </w:pPr>
      <w:r w:rsidRPr="001C2634">
        <w:rPr>
          <w:rFonts w:ascii="Verdana" w:hAnsi="Verdana"/>
          <w:i/>
          <w:iCs/>
          <w:sz w:val="20"/>
          <w:szCs w:val="20"/>
        </w:rPr>
        <w:t>¿Resulta aplicable al Instituto Colombiano de Crédito Educativo y Estudios Técnicos en el</w:t>
      </w:r>
      <w:r w:rsidRPr="001C2143">
        <w:rPr>
          <w:rFonts w:ascii="Verdana" w:hAnsi="Verdana"/>
          <w:i/>
          <w:iCs/>
          <w:sz w:val="20"/>
          <w:szCs w:val="20"/>
        </w:rPr>
        <w:t xml:space="preserve"> </w:t>
      </w:r>
      <w:r w:rsidRPr="001C2634">
        <w:rPr>
          <w:rFonts w:ascii="Verdana" w:hAnsi="Verdana"/>
          <w:i/>
          <w:iCs/>
          <w:sz w:val="20"/>
          <w:szCs w:val="20"/>
        </w:rPr>
        <w:t>Exterior, Mariano Ospina Pérez- ICETEX- la prohibición a la contratación directa contenida</w:t>
      </w:r>
      <w:r w:rsidRPr="001C2143">
        <w:rPr>
          <w:rFonts w:ascii="Verdana" w:hAnsi="Verdana"/>
          <w:i/>
          <w:iCs/>
          <w:sz w:val="20"/>
          <w:szCs w:val="20"/>
        </w:rPr>
        <w:t xml:space="preserve"> </w:t>
      </w:r>
      <w:r w:rsidRPr="001C2634">
        <w:rPr>
          <w:rFonts w:ascii="Verdana" w:hAnsi="Verdana"/>
          <w:i/>
          <w:iCs/>
          <w:sz w:val="20"/>
          <w:szCs w:val="20"/>
        </w:rPr>
        <w:t>en la ley 996 de 2005 frente a la eventual celebración de Acuerdos Estratégicos con las</w:t>
      </w:r>
      <w:r w:rsidRPr="001C2143">
        <w:rPr>
          <w:rFonts w:ascii="Verdana" w:hAnsi="Verdana"/>
          <w:i/>
          <w:iCs/>
          <w:sz w:val="20"/>
          <w:szCs w:val="20"/>
        </w:rPr>
        <w:t xml:space="preserve"> </w:t>
      </w:r>
      <w:r w:rsidRPr="001C2634">
        <w:rPr>
          <w:rFonts w:ascii="Verdana" w:hAnsi="Verdana"/>
          <w:i/>
          <w:iCs/>
          <w:sz w:val="20"/>
          <w:szCs w:val="20"/>
        </w:rPr>
        <w:t>Instituciones de Educación Superior -IES-, para atender la necesidad de promover el acceso,</w:t>
      </w:r>
      <w:r w:rsidRPr="001C2143">
        <w:rPr>
          <w:rFonts w:ascii="Verdana" w:hAnsi="Verdana"/>
          <w:i/>
          <w:iCs/>
          <w:sz w:val="20"/>
          <w:szCs w:val="20"/>
        </w:rPr>
        <w:t xml:space="preserve"> </w:t>
      </w:r>
      <w:r w:rsidRPr="001C2634">
        <w:rPr>
          <w:rFonts w:ascii="Verdana" w:hAnsi="Verdana"/>
          <w:i/>
          <w:iCs/>
          <w:sz w:val="20"/>
          <w:szCs w:val="20"/>
        </w:rPr>
        <w:t>permanencia y culminación exitosa de programas de educación superior, mediante un</w:t>
      </w:r>
      <w:r w:rsidRPr="001C2143">
        <w:rPr>
          <w:rFonts w:ascii="Verdana" w:hAnsi="Verdana"/>
          <w:i/>
          <w:iCs/>
          <w:sz w:val="20"/>
          <w:szCs w:val="20"/>
        </w:rPr>
        <w:t xml:space="preserve"> </w:t>
      </w:r>
      <w:r w:rsidRPr="001C2634">
        <w:rPr>
          <w:rFonts w:ascii="Verdana" w:hAnsi="Verdana"/>
          <w:i/>
          <w:iCs/>
          <w:sz w:val="20"/>
          <w:szCs w:val="20"/>
        </w:rPr>
        <w:t>modelo de financiación diferida que elimine barreras económicas para estudiantes con</w:t>
      </w:r>
      <w:r w:rsidRPr="001C2143">
        <w:rPr>
          <w:rFonts w:ascii="Verdana" w:hAnsi="Verdana"/>
          <w:i/>
          <w:iCs/>
          <w:sz w:val="20"/>
          <w:szCs w:val="20"/>
        </w:rPr>
        <w:t xml:space="preserve"> mérito académico?</w:t>
      </w:r>
    </w:p>
    <w:p w14:paraId="5F33F236" w14:textId="77777777" w:rsidR="001C2634" w:rsidRPr="001C2143" w:rsidRDefault="001C2634" w:rsidP="001C2634">
      <w:pPr>
        <w:spacing w:after="0" w:line="240" w:lineRule="auto"/>
        <w:ind w:left="709" w:right="709"/>
        <w:jc w:val="both"/>
        <w:rPr>
          <w:rFonts w:ascii="Verdana" w:hAnsi="Verdana"/>
          <w:i/>
          <w:iCs/>
          <w:sz w:val="20"/>
          <w:szCs w:val="20"/>
        </w:rPr>
      </w:pPr>
    </w:p>
    <w:p w14:paraId="09CBFF64" w14:textId="3091B3C0" w:rsidR="007A4F29" w:rsidRPr="001C2143" w:rsidRDefault="001C2634" w:rsidP="001C2634">
      <w:pPr>
        <w:spacing w:after="0" w:line="240" w:lineRule="auto"/>
        <w:ind w:left="709" w:right="709"/>
        <w:jc w:val="both"/>
        <w:rPr>
          <w:rFonts w:ascii="Verdana" w:hAnsi="Verdana"/>
          <w:i/>
          <w:iCs/>
          <w:sz w:val="20"/>
          <w:szCs w:val="20"/>
        </w:rPr>
      </w:pPr>
      <w:r w:rsidRPr="001C2143">
        <w:rPr>
          <w:rFonts w:ascii="Verdana" w:hAnsi="Verdana"/>
          <w:i/>
          <w:iCs/>
          <w:sz w:val="20"/>
          <w:szCs w:val="20"/>
        </w:rPr>
        <w:t>(…)</w:t>
      </w:r>
      <w:r w:rsidR="007A4F29" w:rsidRPr="001C2143">
        <w:rPr>
          <w:rFonts w:ascii="Verdana" w:hAnsi="Verdana"/>
          <w:i/>
          <w:iCs/>
          <w:sz w:val="20"/>
          <w:szCs w:val="20"/>
        </w:rPr>
        <w:t>”.</w:t>
      </w:r>
      <w:bookmarkEnd w:id="2"/>
    </w:p>
    <w:p w14:paraId="60A99C19" w14:textId="77777777" w:rsidR="004B4BEA" w:rsidRPr="001C2143" w:rsidRDefault="004B4BEA" w:rsidP="001C2634">
      <w:pPr>
        <w:spacing w:after="0" w:line="240" w:lineRule="auto"/>
        <w:ind w:left="709" w:right="709"/>
        <w:jc w:val="both"/>
        <w:rPr>
          <w:rFonts w:ascii="Verdana" w:hAnsi="Verdana"/>
          <w:i/>
          <w:iCs/>
          <w:sz w:val="20"/>
          <w:szCs w:val="20"/>
        </w:rPr>
      </w:pPr>
    </w:p>
    <w:p w14:paraId="1C15CC5B" w14:textId="6790F61D" w:rsidR="007A4F29" w:rsidRPr="000952AC" w:rsidRDefault="007A4F29" w:rsidP="007A4F29">
      <w:pPr>
        <w:spacing w:after="120" w:line="276" w:lineRule="auto"/>
        <w:ind w:firstLine="709"/>
        <w:jc w:val="both"/>
        <w:rPr>
          <w:rFonts w:ascii="Verdana" w:eastAsia="Calibri" w:hAnsi="Verdana" w:cs="Arial"/>
          <w:color w:val="000000"/>
          <w:szCs w:val="24"/>
          <w:lang w:eastAsia="es-ES_tradnl"/>
        </w:rPr>
      </w:pPr>
      <w:r w:rsidRPr="000952AC">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w:t>
      </w:r>
      <w:r w:rsidRPr="000952AC">
        <w:rPr>
          <w:rFonts w:ascii="Verdana" w:eastAsia="Calibri" w:hAnsi="Verdana" w:cs="Arial"/>
          <w:color w:val="000000"/>
          <w:lang w:eastAsia="es-ES"/>
        </w:rPr>
        <w:lastRenderedPageBreak/>
        <w:t xml:space="preserve">general en materia de compras y contratación pública. En ese sentido, resolver casos particulares desborda las atribuciones asignadas por el legislador extraordinario que no concibió a </w:t>
      </w:r>
      <w:r w:rsidR="004B4BEA">
        <w:rPr>
          <w:rFonts w:ascii="Verdana" w:eastAsia="Calibri" w:hAnsi="Verdana" w:cs="Arial"/>
          <w:color w:val="000000"/>
          <w:lang w:eastAsia="es-ES"/>
        </w:rPr>
        <w:t xml:space="preserve">la Agencia Nacional de Contratación - </w:t>
      </w:r>
      <w:r w:rsidRPr="000952AC">
        <w:rPr>
          <w:rFonts w:ascii="Verdana" w:eastAsia="Calibri" w:hAnsi="Verdana" w:cs="Arial"/>
          <w:color w:val="000000"/>
          <w:lang w:eastAsia="es-ES"/>
        </w:rPr>
        <w:t xml:space="preserve">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0952AC">
        <w:rPr>
          <w:rFonts w:ascii="Verdana" w:eastAsia="Calibri" w:hAnsi="Verdana" w:cs="Arial"/>
          <w:color w:val="000000"/>
          <w:szCs w:val="24"/>
          <w:lang w:eastAsia="es-ES_tradnl"/>
        </w:rPr>
        <w:tab/>
      </w:r>
    </w:p>
    <w:p w14:paraId="0B4D91B5" w14:textId="3F3E9DA3" w:rsidR="007A4F29" w:rsidRPr="000952AC" w:rsidRDefault="007A4F29" w:rsidP="004B4BEA">
      <w:pPr>
        <w:spacing w:after="0" w:line="276" w:lineRule="auto"/>
        <w:ind w:firstLine="709"/>
        <w:jc w:val="both"/>
        <w:rPr>
          <w:rFonts w:ascii="Verdana" w:eastAsia="Calibri" w:hAnsi="Verdana" w:cs="Arial"/>
          <w:color w:val="000000"/>
          <w:lang w:eastAsia="es-ES"/>
        </w:rPr>
      </w:pPr>
      <w:r w:rsidRPr="000952AC">
        <w:rPr>
          <w:rFonts w:ascii="Verdana" w:eastAsia="Calibri" w:hAnsi="Verdana" w:cs="Arial"/>
          <w:color w:val="000000"/>
          <w:lang w:eastAsia="es-ES"/>
        </w:rPr>
        <w:t xml:space="preserve">Conforme lo expuesto, en aras de garantizar el derecho fundamental de petición, se resolverá su petición dentro de los límites de la referida competencia consultiva, esto es, haciendo abstracción del caso particular y concreto señalado en su petición, pero señalando algunas consideraciones sobre las normas generales relacionadas con </w:t>
      </w:r>
      <w:r w:rsidRPr="00BF0229">
        <w:rPr>
          <w:rFonts w:ascii="Verdana" w:eastAsia="Calibri" w:hAnsi="Verdana" w:cs="Arial"/>
          <w:color w:val="000000"/>
          <w:lang w:eastAsia="es-ES"/>
        </w:rPr>
        <w:t>el problema jurídico de su consulta.</w:t>
      </w:r>
      <w:r w:rsidRPr="000952AC">
        <w:rPr>
          <w:rFonts w:ascii="Verdana" w:eastAsia="Calibri" w:hAnsi="Verdana" w:cs="Arial"/>
          <w:color w:val="000000"/>
          <w:lang w:eastAsia="es-ES"/>
        </w:rPr>
        <w:t xml:space="preserve">  </w:t>
      </w:r>
    </w:p>
    <w:p w14:paraId="60324DA8" w14:textId="77777777" w:rsidR="004B4BEA" w:rsidRPr="000952AC" w:rsidRDefault="004B4BEA" w:rsidP="00C001FC">
      <w:pPr>
        <w:spacing w:after="0" w:line="276" w:lineRule="auto"/>
        <w:ind w:firstLine="709"/>
        <w:jc w:val="both"/>
        <w:rPr>
          <w:rFonts w:ascii="Verdana" w:eastAsia="Calibri" w:hAnsi="Verdana" w:cs="Arial"/>
          <w:color w:val="000000"/>
          <w:lang w:eastAsia="es-ES"/>
        </w:rPr>
      </w:pPr>
    </w:p>
    <w:p w14:paraId="36D5B1F5" w14:textId="77777777" w:rsidR="007A4F29" w:rsidRPr="000952AC" w:rsidRDefault="007A4F29" w:rsidP="00A8403A">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0952AC">
        <w:rPr>
          <w:rFonts w:ascii="Verdana" w:eastAsia="Century Gothic" w:hAnsi="Verdana" w:cs="Century Gothic"/>
          <w:b/>
          <w:bCs/>
          <w:lang w:val="es-CO"/>
        </w:rPr>
        <w:t>Problema planteado:</w:t>
      </w:r>
    </w:p>
    <w:p w14:paraId="1AFF71B5" w14:textId="04D9FEE6" w:rsidR="00874D7F" w:rsidRDefault="007A4F29" w:rsidP="004B4BEA">
      <w:pPr>
        <w:spacing w:after="0" w:line="276" w:lineRule="auto"/>
        <w:jc w:val="both"/>
        <w:rPr>
          <w:rFonts w:ascii="Verdana" w:eastAsia="Century Gothic" w:hAnsi="Verdana" w:cs="Century Gothic"/>
        </w:rPr>
      </w:pPr>
      <w:r w:rsidRPr="417FE97F">
        <w:rPr>
          <w:rFonts w:ascii="Verdana" w:eastAsia="Century Gothic" w:hAnsi="Verdana" w:cs="Century Gothic"/>
        </w:rPr>
        <w:t xml:space="preserve">De acuerdo con el contenido de su solicitud, esta Agencia resolverá el siguiente problema jurídico: </w:t>
      </w:r>
      <w:r w:rsidR="00874D7F" w:rsidRPr="00DD1357">
        <w:rPr>
          <w:rFonts w:ascii="Verdana" w:eastAsia="Century Gothic" w:hAnsi="Verdana" w:cs="Century Gothic"/>
        </w:rPr>
        <w:t>¿Resultan aplicables, durante el período preelectoral, las prohibiciones previstas en la Ley de Garantías Electorales a todos los entes del Estado, incluidas las entidades sometidas a regímenes especiales</w:t>
      </w:r>
      <w:r w:rsidR="00874D7F">
        <w:rPr>
          <w:rFonts w:ascii="Verdana" w:eastAsia="Century Gothic" w:hAnsi="Verdana" w:cs="Century Gothic"/>
        </w:rPr>
        <w:t xml:space="preserve"> de contratación</w:t>
      </w:r>
      <w:r w:rsidR="00874D7F" w:rsidRPr="00DD1357">
        <w:rPr>
          <w:rFonts w:ascii="Verdana" w:eastAsia="Century Gothic" w:hAnsi="Verdana" w:cs="Century Gothic"/>
        </w:rPr>
        <w:t>?</w:t>
      </w:r>
    </w:p>
    <w:p w14:paraId="3A14815E" w14:textId="77777777" w:rsidR="004B4BEA" w:rsidRDefault="004B4BEA" w:rsidP="00C001FC">
      <w:pPr>
        <w:spacing w:after="0" w:line="276" w:lineRule="auto"/>
        <w:jc w:val="both"/>
        <w:rPr>
          <w:rFonts w:ascii="Verdana" w:eastAsia="Century Gothic" w:hAnsi="Verdana" w:cs="Century Gothic"/>
        </w:rPr>
      </w:pPr>
    </w:p>
    <w:p w14:paraId="5C9BD9BB" w14:textId="3FB3B563" w:rsidR="007A4F29" w:rsidRPr="000952AC" w:rsidRDefault="007A4F29" w:rsidP="004B4BEA">
      <w:pPr>
        <w:spacing w:after="0" w:line="276" w:lineRule="auto"/>
        <w:jc w:val="both"/>
        <w:rPr>
          <w:rFonts w:ascii="Verdana" w:eastAsia="Century Gothic" w:hAnsi="Verdana" w:cs="Century Gothic"/>
          <w:b/>
          <w:bCs/>
        </w:rPr>
      </w:pPr>
      <w:r w:rsidRPr="000952AC">
        <w:rPr>
          <w:rFonts w:ascii="Verdana" w:eastAsia="Century Gothic" w:hAnsi="Verdana" w:cs="Century Gothic"/>
          <w:b/>
          <w:bCs/>
        </w:rPr>
        <w:t>2. Respuesta:</w:t>
      </w:r>
    </w:p>
    <w:p w14:paraId="6C426051" w14:textId="77777777" w:rsidR="004B4BEA" w:rsidRPr="000952AC" w:rsidRDefault="004B4BEA" w:rsidP="00C001FC">
      <w:pPr>
        <w:spacing w:after="0" w:line="276" w:lineRule="auto"/>
        <w:jc w:val="both"/>
        <w:rPr>
          <w:rFonts w:ascii="Verdana" w:eastAsia="Century Gothic" w:hAnsi="Verdana" w:cs="Century Gothic"/>
          <w:b/>
          <w:bCs/>
        </w:rPr>
      </w:pPr>
    </w:p>
    <w:tbl>
      <w:tblPr>
        <w:tblStyle w:val="Tablaconcuadrcula"/>
        <w:tblW w:w="0" w:type="auto"/>
        <w:tblLook w:val="04A0" w:firstRow="1" w:lastRow="0" w:firstColumn="1" w:lastColumn="0" w:noHBand="0" w:noVBand="1"/>
      </w:tblPr>
      <w:tblGrid>
        <w:gridCol w:w="8828"/>
      </w:tblGrid>
      <w:tr w:rsidR="007A4F29" w:rsidRPr="000952AC" w14:paraId="7BEC8EDF" w14:textId="77777777" w:rsidTr="006A2F9F">
        <w:tc>
          <w:tcPr>
            <w:tcW w:w="8828" w:type="dxa"/>
          </w:tcPr>
          <w:p w14:paraId="13943AAD" w14:textId="3871BBF5" w:rsidR="004E2EA9" w:rsidRPr="004C79C3" w:rsidRDefault="007A4F29" w:rsidP="004E2EA9">
            <w:pPr>
              <w:spacing w:after="120" w:line="276" w:lineRule="auto"/>
              <w:jc w:val="both"/>
              <w:rPr>
                <w:rFonts w:ascii="Verdana" w:eastAsia="Calibri" w:hAnsi="Verdana" w:cs="Arial"/>
              </w:rPr>
            </w:pPr>
            <w:r>
              <w:rPr>
                <w:rFonts w:ascii="Verdana" w:eastAsia="Calibri" w:hAnsi="Verdana" w:cs="Arial"/>
                <w:color w:val="000000" w:themeColor="text1"/>
                <w:lang w:val="es-ES"/>
              </w:rPr>
              <w:t xml:space="preserve">Para dar contestación al problema jurídico planteado, debemos iniciar precisando que, </w:t>
            </w:r>
            <w:r w:rsidR="004E2EA9" w:rsidRPr="001F1A8B">
              <w:rPr>
                <w:rFonts w:ascii="Verdana" w:eastAsia="Calibri" w:hAnsi="Verdana" w:cs="Arial"/>
              </w:rPr>
              <w:t xml:space="preserve">conforme a lo previsto en el artículo 33 de la Ley 996 de 2005, </w:t>
            </w:r>
            <w:r w:rsidR="008548E4">
              <w:rPr>
                <w:rFonts w:ascii="Verdana" w:eastAsia="Calibri" w:hAnsi="Verdana" w:cs="Arial"/>
              </w:rPr>
              <w:t xml:space="preserve">la restricción a la contratación directa </w:t>
            </w:r>
            <w:r w:rsidR="004E2EA9" w:rsidRPr="004C79C3">
              <w:rPr>
                <w:rFonts w:ascii="Verdana" w:eastAsia="Calibri" w:hAnsi="Verdana" w:cs="Arial"/>
              </w:rPr>
              <w:t xml:space="preserve">resulta aplicable a todos los entes del Estado durante el período preelectoral, incluidas las entidades </w:t>
            </w:r>
            <w:r w:rsidR="004E2EA9" w:rsidRPr="00733DE1">
              <w:rPr>
                <w:rFonts w:ascii="Verdana" w:eastAsia="Calibri" w:hAnsi="Verdana" w:cs="Arial"/>
              </w:rPr>
              <w:t>con régimen especial de contratación y que están exceptuadas del ámbito de aplicación del Estatuto General de Contratación de la Administración Pública</w:t>
            </w:r>
            <w:r w:rsidR="004E2EA9" w:rsidRPr="004C79C3">
              <w:rPr>
                <w:rFonts w:ascii="Verdana" w:eastAsia="Calibri" w:hAnsi="Verdana" w:cs="Arial"/>
              </w:rPr>
              <w:t xml:space="preserve">, en la medida en que el legislador empleó una fórmula amplia e incluyente al referirse a “todos los entes del Estado”, sin distinguir por su naturaleza jurídica, régimen de contratación o grado de autonomía. Esta amplitud responde a la finalidad </w:t>
            </w:r>
            <w:r w:rsidR="004E2EA9">
              <w:rPr>
                <w:rFonts w:ascii="Verdana" w:eastAsia="Calibri" w:hAnsi="Verdana" w:cs="Arial"/>
              </w:rPr>
              <w:lastRenderedPageBreak/>
              <w:t>de esta norma,</w:t>
            </w:r>
            <w:r w:rsidR="004E2EA9" w:rsidRPr="004C79C3">
              <w:rPr>
                <w:rFonts w:ascii="Verdana" w:eastAsia="Calibri" w:hAnsi="Verdana" w:cs="Arial"/>
              </w:rPr>
              <w:t xml:space="preserve"> orientada a evitar la utilización de la función pública y de los recursos estatales como instrumentos de ventaja en la contienda electoral.</w:t>
            </w:r>
          </w:p>
          <w:p w14:paraId="389BB625" w14:textId="0CF93D97" w:rsidR="004E2EA9" w:rsidRPr="004C79C3" w:rsidRDefault="004E2EA9" w:rsidP="00C001FC">
            <w:pPr>
              <w:spacing w:after="120" w:line="276" w:lineRule="auto"/>
              <w:ind w:firstLine="709"/>
              <w:jc w:val="both"/>
              <w:rPr>
                <w:rFonts w:ascii="Verdana" w:eastAsia="Calibri" w:hAnsi="Verdana" w:cs="Arial"/>
              </w:rPr>
            </w:pPr>
            <w:r w:rsidRPr="004C79C3">
              <w:rPr>
                <w:rFonts w:ascii="Verdana" w:eastAsia="Calibri" w:hAnsi="Verdana" w:cs="Arial"/>
              </w:rPr>
              <w:t xml:space="preserve">En ese sentido, la circunstancia de que una entidad pública se rija por un régimen especial de contratación o por normas de derecho privado no la excluye, por sí misma, del ámbito de aplicación de las restricciones establecidas en la Ley 996 de 2005, </w:t>
            </w:r>
            <w:r w:rsidR="008548E4">
              <w:rPr>
                <w:rFonts w:ascii="Verdana" w:eastAsia="Calibri" w:hAnsi="Verdana" w:cs="Arial"/>
              </w:rPr>
              <w:t xml:space="preserve">específicamente en la prevista en el artículo 33, </w:t>
            </w:r>
            <w:r w:rsidRPr="004C79C3">
              <w:rPr>
                <w:rFonts w:ascii="Verdana" w:eastAsia="Calibri" w:hAnsi="Verdana" w:cs="Arial"/>
              </w:rPr>
              <w:t>pues el riesgo de interferencia indebida en los procesos electorales puede presentarse con independencia del régimen jurídico aplicable a sus actos contractuales.</w:t>
            </w:r>
          </w:p>
          <w:p w14:paraId="48A7853A" w14:textId="286DC7AC" w:rsidR="004E2EA9" w:rsidRPr="004C79C3" w:rsidRDefault="004E2EA9" w:rsidP="00C001FC">
            <w:pPr>
              <w:spacing w:after="120" w:line="276" w:lineRule="auto"/>
              <w:ind w:firstLine="709"/>
              <w:jc w:val="both"/>
              <w:rPr>
                <w:rFonts w:ascii="Verdana" w:eastAsia="Calibri" w:hAnsi="Verdana" w:cs="Arial"/>
              </w:rPr>
            </w:pPr>
            <w:r>
              <w:rPr>
                <w:rFonts w:ascii="Verdana" w:eastAsia="Calibri" w:hAnsi="Verdana" w:cs="Arial"/>
              </w:rPr>
              <w:t>Dado</w:t>
            </w:r>
            <w:r w:rsidRPr="004C79C3">
              <w:rPr>
                <w:rFonts w:ascii="Verdana" w:eastAsia="Calibri" w:hAnsi="Verdana" w:cs="Arial"/>
              </w:rPr>
              <w:t xml:space="preserve"> que las disposiciones de la Ley de Garantías </w:t>
            </w:r>
            <w:r w:rsidR="008548E4">
              <w:rPr>
                <w:rFonts w:ascii="Verdana" w:eastAsia="Calibri" w:hAnsi="Verdana" w:cs="Arial"/>
              </w:rPr>
              <w:t xml:space="preserve">Electorales </w:t>
            </w:r>
            <w:r w:rsidRPr="004C79C3">
              <w:rPr>
                <w:rFonts w:ascii="Verdana" w:eastAsia="Calibri" w:hAnsi="Verdana" w:cs="Arial"/>
              </w:rPr>
              <w:t>tienen naturaleza restrictiva, su interpretación debe ser estricta y ceñida a los supuestos expresamente previstos por el legislador, sin admitir extensiones analógicas. Así, la prohibición contenida en el artículo 33 de la Ley 996 de 2005 se circunscribe a la contratación directa, entendida como cualquier mecanismo de selección que prescinda de una convocatoria pública y de la posibilidad real de concurrencia de una pluralidad de oferentes, con independencia de la denominación formal del procedimiento o del régimen contractual aplicable a la entidad.</w:t>
            </w:r>
          </w:p>
          <w:p w14:paraId="5DAEEF77" w14:textId="77777777" w:rsidR="004E2EA9" w:rsidRDefault="004E2EA9" w:rsidP="00C001FC">
            <w:pPr>
              <w:spacing w:after="120" w:line="276" w:lineRule="auto"/>
              <w:ind w:firstLine="709"/>
              <w:jc w:val="both"/>
              <w:rPr>
                <w:rFonts w:ascii="Verdana" w:eastAsia="Calibri" w:hAnsi="Verdana" w:cs="Arial"/>
              </w:rPr>
            </w:pPr>
            <w:r w:rsidRPr="005E6C8F">
              <w:rPr>
                <w:rFonts w:ascii="Verdana" w:eastAsia="Calibri" w:hAnsi="Verdana" w:cs="Arial"/>
              </w:rPr>
              <w:t xml:space="preserve">Por consiguiente, durante el período preelectoral correspondiente a las elecciones presidenciales, los entes del Estado no pueden celebrar contratos mediante esquemas de contratación directa, salvo en los eventos expresamente exceptuados por la ley, orientados a atender urgencias en materia de </w:t>
            </w:r>
            <w:r w:rsidRPr="3A5322BA">
              <w:rPr>
                <w:rFonts w:ascii="Verdana" w:eastAsia="Times New Roman" w:hAnsi="Verdana" w:cs="Arial"/>
                <w:lang w:val="es-MX"/>
              </w:rPr>
              <w:t>defensa, salud, educación, infraestructura vial y de servicios públicos y ecológicas</w:t>
            </w:r>
            <w:r w:rsidRPr="005E6C8F">
              <w:rPr>
                <w:rFonts w:ascii="Verdana" w:eastAsia="Calibri" w:hAnsi="Verdana" w:cs="Arial"/>
              </w:rPr>
              <w:t>, de manera que no se limite de forma desproporcionada la acción estatal en el cumplimiento de sus fines; en contraste, las modalidades de selección que garantizan publicidad, concurrencia y competencia no se encuentran comprendidas dentro de dicha prohibición.</w:t>
            </w:r>
          </w:p>
          <w:p w14:paraId="2BD74130" w14:textId="47E9C23C" w:rsidR="007A4F29" w:rsidRPr="000D5FB8" w:rsidRDefault="004E2EA9" w:rsidP="00C001FC">
            <w:pPr>
              <w:spacing w:after="120" w:line="276" w:lineRule="auto"/>
              <w:ind w:firstLine="709"/>
              <w:jc w:val="both"/>
              <w:rPr>
                <w:rFonts w:ascii="Verdana" w:hAnsi="Verdana"/>
                <w:color w:val="000000" w:themeColor="text1"/>
                <w:lang w:val="es-ES"/>
              </w:rPr>
            </w:pPr>
            <w:r w:rsidRPr="00266FDC">
              <w:rPr>
                <w:rFonts w:ascii="Verdana" w:eastAsia="Calibri" w:hAnsi="Verdana" w:cs="Arial"/>
              </w:rPr>
              <w:t>En conclusión, la Ley de Garantías Electorales impone restricciones contractuales de aplicación general a los entes del Estado, incluidas las entidades con regímenes especiales</w:t>
            </w:r>
            <w:r>
              <w:rPr>
                <w:rFonts w:ascii="Verdana" w:eastAsia="Calibri" w:hAnsi="Verdana" w:cs="Arial"/>
              </w:rPr>
              <w:t xml:space="preserve">. </w:t>
            </w:r>
            <w:r w:rsidRPr="00D91B7A">
              <w:rPr>
                <w:rFonts w:ascii="Verdana" w:eastAsia="Calibri" w:hAnsi="Verdana" w:cs="Arial"/>
              </w:rPr>
              <w:t xml:space="preserve">Sin perjuicio de ello, corresponde a cada entidad verificar, de manera motivada, </w:t>
            </w:r>
            <w:r>
              <w:rPr>
                <w:rFonts w:ascii="Verdana" w:eastAsia="Calibri" w:hAnsi="Verdana" w:cs="Arial"/>
              </w:rPr>
              <w:t xml:space="preserve">que, </w:t>
            </w:r>
            <w:r w:rsidRPr="00E81B5A">
              <w:rPr>
                <w:rFonts w:ascii="Verdana" w:eastAsia="Calibri" w:hAnsi="Verdana" w:cs="Arial"/>
              </w:rPr>
              <w:t>en caso de presentarse la necesidad de adelantar una contratación directa</w:t>
            </w:r>
            <w:r>
              <w:rPr>
                <w:rFonts w:ascii="Verdana" w:eastAsia="Calibri" w:hAnsi="Verdana" w:cs="Arial"/>
              </w:rPr>
              <w:t xml:space="preserve">, esta </w:t>
            </w:r>
            <w:r w:rsidRPr="00D91B7A">
              <w:rPr>
                <w:rFonts w:ascii="Verdana" w:eastAsia="Calibri" w:hAnsi="Verdana" w:cs="Arial"/>
              </w:rPr>
              <w:t>se enmarque efectivamente dentro de las excepciones previstas por el legislador.</w:t>
            </w:r>
          </w:p>
        </w:tc>
      </w:tr>
    </w:tbl>
    <w:p w14:paraId="3D32094F" w14:textId="77777777" w:rsidR="007A4F29" w:rsidRPr="000952AC" w:rsidRDefault="007A4F29" w:rsidP="007A4F29">
      <w:pPr>
        <w:tabs>
          <w:tab w:val="left" w:pos="142"/>
          <w:tab w:val="left" w:pos="284"/>
        </w:tabs>
        <w:spacing w:after="0" w:line="276" w:lineRule="auto"/>
        <w:jc w:val="both"/>
        <w:rPr>
          <w:rFonts w:ascii="Verdana" w:eastAsia="Century Gothic" w:hAnsi="Verdana" w:cs="Century Gothic"/>
          <w:b/>
          <w:bCs/>
        </w:rPr>
      </w:pPr>
    </w:p>
    <w:p w14:paraId="4DBDA81F" w14:textId="7AE79A29" w:rsidR="007A4F29" w:rsidRPr="000952AC" w:rsidRDefault="007A4F29" w:rsidP="00AB1F39">
      <w:pPr>
        <w:tabs>
          <w:tab w:val="left" w:pos="142"/>
          <w:tab w:val="left" w:pos="284"/>
        </w:tabs>
        <w:spacing w:after="0" w:line="276" w:lineRule="auto"/>
        <w:jc w:val="both"/>
        <w:rPr>
          <w:rFonts w:ascii="Verdana" w:eastAsia="Century Gothic" w:hAnsi="Verdana" w:cs="Century Gothic"/>
          <w:b/>
          <w:bCs/>
        </w:rPr>
      </w:pPr>
      <w:r w:rsidRPr="000952AC">
        <w:rPr>
          <w:rFonts w:ascii="Verdana" w:eastAsia="Century Gothic" w:hAnsi="Verdana" w:cs="Century Gothic"/>
          <w:b/>
          <w:bCs/>
        </w:rPr>
        <w:lastRenderedPageBreak/>
        <w:t>3. Razones de la respuesta:</w:t>
      </w:r>
    </w:p>
    <w:p w14:paraId="7FE77976" w14:textId="77777777" w:rsidR="007A4F29" w:rsidRDefault="007A4F29" w:rsidP="00AB1F39">
      <w:pPr>
        <w:pStyle w:val="Prrafodelista"/>
        <w:tabs>
          <w:tab w:val="left" w:pos="142"/>
          <w:tab w:val="left" w:pos="284"/>
        </w:tabs>
        <w:spacing w:before="240" w:after="0" w:line="276" w:lineRule="auto"/>
        <w:ind w:left="0"/>
        <w:contextualSpacing w:val="0"/>
        <w:jc w:val="both"/>
        <w:rPr>
          <w:rFonts w:ascii="Verdana" w:eastAsia="Calibri" w:hAnsi="Verdana" w:cs="Arial"/>
          <w:lang w:val="es-CO"/>
        </w:rPr>
      </w:pPr>
      <w:r w:rsidRPr="000952AC">
        <w:rPr>
          <w:rFonts w:ascii="Verdana" w:eastAsia="Calibri" w:hAnsi="Verdana" w:cs="Arial"/>
          <w:lang w:val="es-CO"/>
        </w:rPr>
        <w:t xml:space="preserve">Lo anterior se sustenta en las siguientes consideraciones: </w:t>
      </w:r>
    </w:p>
    <w:p w14:paraId="38EBB806" w14:textId="77777777" w:rsidR="000813D1" w:rsidRPr="002D6B43" w:rsidRDefault="000813D1" w:rsidP="00C001FC">
      <w:pPr>
        <w:tabs>
          <w:tab w:val="left" w:pos="426"/>
        </w:tabs>
        <w:spacing w:before="240" w:after="120" w:line="276" w:lineRule="auto"/>
        <w:jc w:val="both"/>
        <w:rPr>
          <w:rFonts w:ascii="Verdana" w:eastAsia="Times New Roman" w:hAnsi="Verdana" w:cs="Arial"/>
          <w:lang w:eastAsia="es-CO"/>
        </w:rPr>
      </w:pPr>
      <w:r>
        <w:rPr>
          <w:rFonts w:ascii="Verdana" w:eastAsia="Calibri" w:hAnsi="Verdana" w:cs="Arial"/>
        </w:rPr>
        <w:t xml:space="preserve">El </w:t>
      </w:r>
      <w:r w:rsidRPr="002D6B43">
        <w:rPr>
          <w:rFonts w:ascii="Verdana" w:eastAsia="Calibri" w:hAnsi="Verdana" w:cs="Arial"/>
        </w:rPr>
        <w:t>ordenamiento jurídico colombiano contempla previsiones claras para evitar la obtención de beneficios personales en asuntos propios de la administración pública</w:t>
      </w:r>
      <w:r w:rsidRPr="002D6B43">
        <w:rPr>
          <w:rFonts w:ascii="Verdana" w:eastAsia="Calibri" w:hAnsi="Verdana" w:cs="Arial"/>
          <w:i/>
        </w:rPr>
        <w:t xml:space="preserve">. </w:t>
      </w:r>
      <w:r w:rsidRPr="002D6B43">
        <w:rPr>
          <w:rFonts w:ascii="Verdana" w:eastAsia="Calibri" w:hAnsi="Verdana" w:cs="Arial"/>
        </w:rPr>
        <w:t>Por ejemplo, el artículo 127 de la Constitución Política establece una prohibición contractual a los servidores públicos y, en cuanto a aspectos políticos, establece restricciones a ciertos empleados del Estado, incluso en época no electoral</w:t>
      </w:r>
      <w:r w:rsidRPr="001924B7">
        <w:rPr>
          <w:rFonts w:ascii="Verdana" w:hAnsi="Verdana"/>
          <w:vertAlign w:val="superscript"/>
        </w:rPr>
        <w:footnoteReference w:id="1"/>
      </w:r>
      <w:r w:rsidRPr="002D6B43">
        <w:rPr>
          <w:rFonts w:ascii="Verdana" w:eastAsia="Calibri" w:hAnsi="Verdana" w:cs="Arial"/>
        </w:rPr>
        <w:t xml:space="preserve">. </w:t>
      </w:r>
    </w:p>
    <w:p w14:paraId="45FF99D1" w14:textId="77777777" w:rsidR="000813D1" w:rsidRDefault="000813D1" w:rsidP="000813D1">
      <w:pPr>
        <w:tabs>
          <w:tab w:val="left" w:pos="426"/>
        </w:tabs>
        <w:spacing w:after="120" w:line="276" w:lineRule="auto"/>
        <w:ind w:firstLine="709"/>
        <w:jc w:val="both"/>
        <w:rPr>
          <w:rFonts w:ascii="Verdana" w:eastAsia="Calibri" w:hAnsi="Verdana" w:cs="Arial"/>
          <w:lang w:val="es-ES"/>
        </w:rPr>
      </w:pPr>
      <w:bookmarkStart w:id="3" w:name="_Hlk99576829"/>
      <w:r>
        <w:rPr>
          <w:rFonts w:ascii="Verdana" w:eastAsia="Times New Roman" w:hAnsi="Verdana" w:cs="Arial"/>
          <w:lang w:val="es-MX" w:eastAsia="es-CO"/>
        </w:rPr>
        <w:t>L</w:t>
      </w:r>
      <w:r w:rsidRPr="00E2397D">
        <w:rPr>
          <w:rFonts w:ascii="Verdana" w:eastAsia="Times New Roman" w:hAnsi="Verdana" w:cs="Arial"/>
          <w:lang w:val="es-MX" w:eastAsia="es-CO"/>
        </w:rPr>
        <w:t>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E2397D">
        <w:rPr>
          <w:rFonts w:ascii="Verdana" w:eastAsia="Times New Roman" w:hAnsi="Verdana" w:cs="Arial"/>
          <w:vertAlign w:val="superscript"/>
          <w:lang w:val="es-MX" w:eastAsia="es-CO"/>
        </w:rPr>
        <w:footnoteReference w:id="2"/>
      </w:r>
      <w:r w:rsidRPr="00E2397D">
        <w:rPr>
          <w:rFonts w:ascii="Verdana" w:eastAsia="Times New Roman" w:hAnsi="Verdana" w:cs="Arial"/>
          <w:lang w:val="es-MX" w:eastAsia="es-CO"/>
        </w:rPr>
        <w:t>. En esta medida, introduce limitaciones para realizar nombramientos, postulaciones, contrataciones o cualquier otro tipo de actividad que implique destinación de recursos públicos bajo el devenir propio de las Entidades Estatales.</w:t>
      </w:r>
      <w:r w:rsidRPr="3A5322BA">
        <w:rPr>
          <w:rFonts w:ascii="Verdana" w:eastAsia="Calibri" w:hAnsi="Verdana" w:cs="Arial"/>
          <w:lang w:val="es-ES"/>
        </w:rPr>
        <w:t xml:space="preserve"> </w:t>
      </w:r>
      <w:bookmarkEnd w:id="3"/>
    </w:p>
    <w:p w14:paraId="79BCC662" w14:textId="5D8DC486" w:rsidR="000813D1" w:rsidRDefault="000813D1" w:rsidP="00FB690D">
      <w:pPr>
        <w:tabs>
          <w:tab w:val="left" w:pos="426"/>
        </w:tabs>
        <w:spacing w:after="0" w:line="276" w:lineRule="auto"/>
        <w:ind w:firstLine="709"/>
        <w:jc w:val="both"/>
        <w:rPr>
          <w:rFonts w:ascii="Verdana" w:eastAsia="Times New Roman" w:hAnsi="Verdana" w:cs="Arial"/>
          <w:lang w:val="es-MX" w:eastAsia="es-CO"/>
        </w:rPr>
      </w:pPr>
      <w:r>
        <w:rPr>
          <w:rFonts w:ascii="Verdana" w:eastAsia="Times New Roman" w:hAnsi="Verdana" w:cs="Arial"/>
          <w:lang w:val="es-MX" w:eastAsia="es-CO"/>
        </w:rPr>
        <w:t>L</w:t>
      </w:r>
      <w:r w:rsidRPr="00E2397D">
        <w:rPr>
          <w:rFonts w:ascii="Verdana" w:eastAsia="Times New Roman" w:hAnsi="Verdana" w:cs="Arial"/>
          <w:lang w:val="es-MX" w:eastAsia="es-CO"/>
        </w:rPr>
        <w:t>a Corte Constitucional ha abordado la definición de la Ley de Garantías Electorales. De esta manera, explica que tiene como propósito:</w:t>
      </w:r>
    </w:p>
    <w:p w14:paraId="22B943B7" w14:textId="77777777" w:rsidR="00FB690D" w:rsidRPr="00AB1F39" w:rsidRDefault="00FB690D" w:rsidP="00C001FC">
      <w:pPr>
        <w:tabs>
          <w:tab w:val="left" w:pos="426"/>
        </w:tabs>
        <w:spacing w:after="0" w:line="276" w:lineRule="auto"/>
        <w:ind w:firstLine="709"/>
        <w:jc w:val="both"/>
        <w:rPr>
          <w:rFonts w:ascii="Verdana" w:eastAsia="Calibri" w:hAnsi="Verdana" w:cs="Arial"/>
          <w:lang w:val="es-ES"/>
        </w:rPr>
      </w:pPr>
    </w:p>
    <w:p w14:paraId="3A35A0A4" w14:textId="77777777" w:rsidR="000813D1" w:rsidRPr="00E2397D" w:rsidRDefault="000813D1" w:rsidP="00AB1F39">
      <w:pPr>
        <w:spacing w:after="0" w:line="240" w:lineRule="auto"/>
        <w:ind w:left="709" w:right="709"/>
        <w:contextualSpacing/>
        <w:jc w:val="both"/>
        <w:rPr>
          <w:rFonts w:ascii="Verdana" w:eastAsia="Times New Roman" w:hAnsi="Verdana" w:cs="Arial"/>
          <w:sz w:val="20"/>
          <w:szCs w:val="20"/>
          <w:lang w:val="es-MX" w:eastAsia="es-CO"/>
        </w:rPr>
      </w:pPr>
      <w:r w:rsidRPr="005F0BEC">
        <w:rPr>
          <w:rFonts w:ascii="Verdana" w:eastAsia="Times New Roman" w:hAnsi="Verdana" w:cs="Arial"/>
          <w:sz w:val="20"/>
          <w:szCs w:val="20"/>
          <w:lang w:val="es-MX" w:eastAsia="es-CO"/>
        </w:rPr>
        <w:t xml:space="preserve">“[…] </w:t>
      </w:r>
      <w:r w:rsidRPr="00E2397D">
        <w:rPr>
          <w:rFonts w:ascii="Verdana" w:eastAsia="Times New Roman" w:hAnsi="Verdana" w:cs="Arial"/>
          <w:sz w:val="20"/>
          <w:szCs w:val="20"/>
          <w:lang w:val="es-MX" w:eastAsia="es-CO"/>
        </w:rPr>
        <w:t>la definición de reglas claras que permitan acceder a los canales de expresión democrática de manera efectiva e igualitaria. El objetivo de una ley de garantías es definir esas reglas.</w:t>
      </w:r>
    </w:p>
    <w:p w14:paraId="36607E82" w14:textId="77777777" w:rsidR="000813D1" w:rsidRPr="00E2397D" w:rsidRDefault="000813D1" w:rsidP="000813D1">
      <w:pPr>
        <w:spacing w:after="0" w:line="240" w:lineRule="auto"/>
        <w:ind w:left="709" w:right="709"/>
        <w:contextualSpacing/>
        <w:jc w:val="both"/>
        <w:rPr>
          <w:rFonts w:ascii="Verdana" w:eastAsia="Times New Roman" w:hAnsi="Verdana" w:cs="Arial"/>
          <w:sz w:val="20"/>
          <w:szCs w:val="20"/>
          <w:lang w:val="es-MX" w:eastAsia="es-CO"/>
        </w:rPr>
      </w:pPr>
      <w:r>
        <w:rPr>
          <w:rFonts w:ascii="Verdana" w:eastAsia="Times New Roman" w:hAnsi="Verdana" w:cs="Arial"/>
          <w:sz w:val="20"/>
          <w:szCs w:val="20"/>
          <w:lang w:val="es-MX" w:eastAsia="es-CO"/>
        </w:rPr>
        <w:t xml:space="preserve">[…] </w:t>
      </w:r>
    </w:p>
    <w:p w14:paraId="2EE20D48" w14:textId="561A4B6D" w:rsidR="000813D1" w:rsidRDefault="000813D1" w:rsidP="000813D1">
      <w:pPr>
        <w:tabs>
          <w:tab w:val="left" w:pos="426"/>
        </w:tabs>
        <w:spacing w:after="0" w:line="240" w:lineRule="auto"/>
        <w:ind w:left="709" w:right="758"/>
        <w:jc w:val="both"/>
        <w:rPr>
          <w:rFonts w:ascii="Verdana" w:eastAsia="Times New Roman" w:hAnsi="Verdana" w:cs="Arial"/>
          <w:sz w:val="20"/>
          <w:szCs w:val="20"/>
          <w:lang w:val="es-MX" w:eastAsia="es-CO"/>
        </w:rPr>
      </w:pPr>
      <w:bookmarkStart w:id="4" w:name="_Hlk78818186"/>
      <w:r w:rsidRPr="005F0BEC">
        <w:rPr>
          <w:rFonts w:ascii="Verdana" w:eastAsia="Times New Roman" w:hAnsi="Verdana" w:cs="Arial"/>
          <w:sz w:val="20"/>
          <w:szCs w:val="20"/>
          <w:lang w:val="es-MX" w:eastAsia="es-CO"/>
        </w:rPr>
        <w:t xml:space="preserve">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w:t>
      </w:r>
      <w:r w:rsidRPr="005F0BEC">
        <w:rPr>
          <w:rFonts w:ascii="Verdana" w:eastAsia="Times New Roman" w:hAnsi="Verdana" w:cs="Arial"/>
          <w:sz w:val="20"/>
          <w:szCs w:val="20"/>
          <w:lang w:val="es-MX" w:eastAsia="es-CO"/>
        </w:rPr>
        <w:lastRenderedPageBreak/>
        <w:t>igualitario a los canales de comunicación de los candidatos. Igualmente, una ley de garantías debe permitir que, en el debate democrático, sean las ideas y las propuestas las que definan el ascenso al poder, y no el músculo económico de los que se lo disputan”.</w:t>
      </w:r>
      <w:r w:rsidRPr="005F0BEC">
        <w:rPr>
          <w:rFonts w:ascii="Verdana" w:eastAsia="Times New Roman" w:hAnsi="Verdana" w:cs="Arial"/>
          <w:sz w:val="20"/>
          <w:szCs w:val="20"/>
          <w:vertAlign w:val="superscript"/>
          <w:lang w:val="es-MX" w:eastAsia="es-CO"/>
        </w:rPr>
        <w:footnoteReference w:id="3"/>
      </w:r>
    </w:p>
    <w:p w14:paraId="49CC7734" w14:textId="77777777" w:rsidR="00FB690D" w:rsidRDefault="00FB690D" w:rsidP="00C001FC">
      <w:pPr>
        <w:tabs>
          <w:tab w:val="left" w:pos="426"/>
        </w:tabs>
        <w:spacing w:after="0" w:line="276" w:lineRule="auto"/>
        <w:ind w:left="709" w:right="758"/>
        <w:jc w:val="both"/>
        <w:rPr>
          <w:rFonts w:ascii="Verdana" w:eastAsia="Times New Roman" w:hAnsi="Verdana" w:cs="Arial"/>
          <w:sz w:val="20"/>
          <w:szCs w:val="20"/>
          <w:lang w:val="es-MX" w:eastAsia="es-CO"/>
        </w:rPr>
      </w:pPr>
    </w:p>
    <w:p w14:paraId="21E665A0" w14:textId="4405E13A" w:rsidR="000813D1" w:rsidRDefault="000813D1">
      <w:pPr>
        <w:tabs>
          <w:tab w:val="left" w:pos="426"/>
        </w:tabs>
        <w:spacing w:after="0" w:line="276" w:lineRule="auto"/>
        <w:ind w:firstLine="709"/>
        <w:jc w:val="both"/>
        <w:rPr>
          <w:rFonts w:ascii="Verdana" w:eastAsia="Times New Roman" w:hAnsi="Verdana" w:cs="Arial"/>
          <w:lang w:val="es-MX" w:eastAsia="es-CO"/>
        </w:rPr>
      </w:pPr>
      <w:r w:rsidRPr="00E2397D">
        <w:rPr>
          <w:rFonts w:ascii="Verdana" w:eastAsia="Times New Roman" w:hAnsi="Verdana" w:cs="Arial"/>
          <w:lang w:val="es-MX" w:eastAsia="es-CO"/>
        </w:rPr>
        <w:t>En este contexto, la Ley de Garantías Electorales establece el marco jurídico para el desarrollo de las elecciones, procurando condiciones de igualdad y transparencia para los aspirantes. Paralelamente,</w:t>
      </w:r>
      <w:r>
        <w:rPr>
          <w:rFonts w:ascii="Verdana" w:eastAsia="Times New Roman" w:hAnsi="Verdana" w:cs="Arial"/>
          <w:lang w:val="es-MX" w:eastAsia="es-CO"/>
        </w:rPr>
        <w:t xml:space="preserve"> se incluyen restricciones en las actuaciones</w:t>
      </w:r>
      <w:r w:rsidRPr="00E2397D">
        <w:rPr>
          <w:rFonts w:ascii="Verdana" w:eastAsia="Times New Roman" w:hAnsi="Verdana" w:cs="Arial"/>
          <w:lang w:val="es-MX" w:eastAsia="es-CO"/>
        </w:rPr>
        <w:t xml:space="preserve"> de los servidores públicos, evitando interferencias en la contienda electoral, así como la posible desviación de recursos públicos en aspiraciones electorales. </w:t>
      </w:r>
      <w:bookmarkEnd w:id="4"/>
      <w:r w:rsidRPr="00E2397D">
        <w:rPr>
          <w:rFonts w:ascii="Verdana" w:eastAsia="Times New Roman" w:hAnsi="Verdana" w:cs="Arial"/>
          <w:lang w:val="es-MX" w:eastAsia="es-CO"/>
        </w:rPr>
        <w:t>Por ello, varias de las disposiciones de la Ley 996 de 2005, al contener normas prohibitivas, no admiten una interpretación amplia, sino que deben interpretarse restrictivamente. En efecto, la Sala de Consulta y Servicio Civil del Consejo de Estado, pre</w:t>
      </w:r>
      <w:r>
        <w:rPr>
          <w:rFonts w:ascii="Verdana" w:eastAsia="Times New Roman" w:hAnsi="Verdana" w:cs="Arial"/>
          <w:lang w:val="es-MX" w:eastAsia="es-CO"/>
        </w:rPr>
        <w:t>cisó</w:t>
      </w:r>
      <w:r w:rsidRPr="00E2397D">
        <w:rPr>
          <w:rFonts w:ascii="Verdana" w:eastAsia="Times New Roman" w:hAnsi="Verdana" w:cs="Arial"/>
          <w:lang w:val="es-MX" w:eastAsia="es-CO"/>
        </w:rPr>
        <w:t>:</w:t>
      </w:r>
    </w:p>
    <w:p w14:paraId="309E5805" w14:textId="77777777" w:rsidR="00FB690D" w:rsidRPr="00FD687D" w:rsidRDefault="00FB690D" w:rsidP="00C001FC">
      <w:pPr>
        <w:tabs>
          <w:tab w:val="left" w:pos="426"/>
        </w:tabs>
        <w:spacing w:after="0" w:line="276" w:lineRule="auto"/>
        <w:ind w:firstLine="709"/>
        <w:jc w:val="both"/>
        <w:rPr>
          <w:rFonts w:ascii="Verdana" w:eastAsia="Calibri" w:hAnsi="Verdana" w:cs="Arial"/>
          <w:lang w:val="es-ES"/>
        </w:rPr>
      </w:pPr>
    </w:p>
    <w:p w14:paraId="1ED572AF" w14:textId="77777777" w:rsidR="000813D1" w:rsidRPr="00E2397D" w:rsidRDefault="000813D1" w:rsidP="000813D1">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w:t>
      </w:r>
      <w:proofErr w:type="spellStart"/>
      <w:r w:rsidRPr="00E2397D">
        <w:rPr>
          <w:rFonts w:ascii="Verdana" w:eastAsia="Times New Roman" w:hAnsi="Verdana" w:cs="Arial"/>
          <w:sz w:val="20"/>
          <w:szCs w:val="20"/>
          <w:lang w:val="es-MX" w:eastAsia="es-CO"/>
        </w:rPr>
        <w:t>legis</w:t>
      </w:r>
      <w:proofErr w:type="spellEnd"/>
      <w:r w:rsidRPr="00E2397D">
        <w:rPr>
          <w:rFonts w:ascii="Verdana" w:eastAsia="Times New Roman" w:hAnsi="Verdana" w:cs="Arial"/>
          <w:sz w:val="20"/>
          <w:szCs w:val="20"/>
          <w:lang w:val="es-MX" w:eastAsia="es-CO"/>
        </w:rPr>
        <w:t xml:space="preserve">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7D9D68F4" w14:textId="77777777" w:rsidR="000813D1" w:rsidRPr="00E2397D" w:rsidRDefault="000813D1" w:rsidP="000813D1">
      <w:pPr>
        <w:spacing w:after="0" w:line="240" w:lineRule="auto"/>
        <w:ind w:right="709"/>
        <w:contextualSpacing/>
        <w:jc w:val="both"/>
        <w:rPr>
          <w:rFonts w:ascii="Verdana" w:eastAsia="Times New Roman" w:hAnsi="Verdana" w:cs="Arial"/>
          <w:lang w:val="es-MX" w:eastAsia="es-CO"/>
        </w:rPr>
      </w:pPr>
    </w:p>
    <w:p w14:paraId="1AD0607D" w14:textId="77777777" w:rsidR="000813D1" w:rsidRDefault="000813D1" w:rsidP="00C001FC">
      <w:pPr>
        <w:spacing w:after="0" w:line="240" w:lineRule="auto"/>
        <w:ind w:left="709" w:right="709"/>
        <w:jc w:val="both"/>
        <w:rPr>
          <w:rFonts w:ascii="Verdana" w:eastAsia="Times New Roman" w:hAnsi="Verdana" w:cs="Arial"/>
          <w:sz w:val="20"/>
          <w:szCs w:val="20"/>
          <w:lang w:val="es-MX" w:eastAsia="es-CO"/>
        </w:rPr>
      </w:pPr>
      <w:r w:rsidRPr="00850B54">
        <w:rPr>
          <w:rFonts w:ascii="Verdana" w:eastAsia="Times New Roman" w:hAnsi="Verdana" w:cs="Arial"/>
          <w:sz w:val="20"/>
          <w:szCs w:val="20"/>
          <w:lang w:val="es-MX" w:eastAsia="es-CO"/>
        </w:rPr>
        <w:t>La jurisprudencia de la Corte Constitucional</w:t>
      </w:r>
      <w:r w:rsidRPr="00850B54">
        <w:rPr>
          <w:rFonts w:ascii="Verdana" w:eastAsia="Times New Roman" w:hAnsi="Verdana" w:cs="Arial"/>
          <w:sz w:val="20"/>
          <w:szCs w:val="20"/>
          <w:lang w:val="es-MX" w:eastAsia="es-CO"/>
        </w:rPr>
        <w:footnoteReference w:id="4"/>
      </w:r>
      <w:r w:rsidRPr="00850B54">
        <w:rPr>
          <w:rFonts w:ascii="Verdana" w:eastAsia="Times New Roman" w:hAnsi="Verdana" w:cs="Arial"/>
          <w:sz w:val="20"/>
          <w:szCs w:val="20"/>
          <w:lang w:val="es-MX" w:eastAsia="es-CO"/>
        </w:rPr>
        <w:t> y del Consejo de Estado</w:t>
      </w:r>
      <w:r w:rsidRPr="00850B54">
        <w:rPr>
          <w:rFonts w:ascii="Verdana" w:eastAsia="Times New Roman" w:hAnsi="Verdana" w:cs="Arial"/>
          <w:sz w:val="20"/>
          <w:szCs w:val="20"/>
          <w:lang w:val="es-MX" w:eastAsia="es-CO"/>
        </w:rPr>
        <w:footnoteReference w:id="5"/>
      </w:r>
      <w:r w:rsidRPr="00850B54">
        <w:rPr>
          <w:rFonts w:ascii="Verdana" w:eastAsia="Times New Roman" w:hAnsi="Verdana" w:cs="Arial"/>
          <w:sz w:val="20"/>
          <w:szCs w:val="20"/>
          <w:lang w:val="es-MX" w:eastAsia="es-CO"/>
        </w:rPr>
        <w:t xml:space="preserve">,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w:t>
      </w:r>
      <w:r w:rsidRPr="00850B54">
        <w:rPr>
          <w:rFonts w:ascii="Verdana" w:eastAsia="Times New Roman" w:hAnsi="Verdana" w:cs="Arial"/>
          <w:sz w:val="20"/>
          <w:szCs w:val="20"/>
          <w:lang w:val="es-MX" w:eastAsia="es-CO"/>
        </w:rPr>
        <w:lastRenderedPageBreak/>
        <w:t>o capacidad de obrar, sobrepasar sus precisos términos comporta el desconocimiento de la voluntad del legislador”</w:t>
      </w:r>
      <w:r w:rsidRPr="00850B54">
        <w:rPr>
          <w:rFonts w:ascii="Verdana" w:eastAsia="Times New Roman" w:hAnsi="Verdana" w:cs="Arial"/>
          <w:sz w:val="20"/>
          <w:szCs w:val="20"/>
          <w:vertAlign w:val="superscript"/>
          <w:lang w:val="es-MX" w:eastAsia="es-CO"/>
        </w:rPr>
        <w:footnoteReference w:id="6"/>
      </w:r>
      <w:r w:rsidRPr="00850B54">
        <w:rPr>
          <w:rFonts w:ascii="Verdana" w:eastAsia="Times New Roman" w:hAnsi="Verdana" w:cs="Arial"/>
          <w:sz w:val="20"/>
          <w:szCs w:val="20"/>
          <w:lang w:val="es-MX" w:eastAsia="es-CO"/>
        </w:rPr>
        <w:t>.</w:t>
      </w:r>
    </w:p>
    <w:p w14:paraId="47125B06" w14:textId="77777777" w:rsidR="000813D1" w:rsidRPr="00850B54" w:rsidRDefault="000813D1" w:rsidP="000813D1">
      <w:pPr>
        <w:spacing w:after="0" w:line="240" w:lineRule="auto"/>
        <w:ind w:left="709" w:right="618"/>
        <w:jc w:val="both"/>
        <w:rPr>
          <w:rFonts w:ascii="Verdana" w:eastAsia="Times New Roman" w:hAnsi="Verdana" w:cs="Arial"/>
          <w:sz w:val="20"/>
          <w:szCs w:val="20"/>
          <w:lang w:val="es-MX" w:eastAsia="es-CO"/>
        </w:rPr>
      </w:pPr>
    </w:p>
    <w:p w14:paraId="263AD730" w14:textId="77777777" w:rsidR="000813D1" w:rsidRPr="00E2397D" w:rsidRDefault="000813D1" w:rsidP="000813D1">
      <w:pPr>
        <w:spacing w:line="276" w:lineRule="auto"/>
        <w:ind w:firstLine="709"/>
        <w:jc w:val="both"/>
        <w:rPr>
          <w:rFonts w:ascii="Verdana" w:eastAsia="Arial" w:hAnsi="Verdana" w:cs="Arial"/>
          <w:lang w:val="es-ES" w:eastAsia="es-ES" w:bidi="es-ES"/>
        </w:rPr>
      </w:pPr>
      <w:r w:rsidRPr="00850B54">
        <w:rPr>
          <w:rFonts w:ascii="Verdana" w:eastAsia="Arial" w:hAnsi="Verdana" w:cs="Arial"/>
          <w:lang w:val="es-ES" w:eastAsia="es-ES" w:bidi="es-ES"/>
        </w:rPr>
        <w:t>De</w:t>
      </w:r>
      <w:r w:rsidRPr="00E2397D">
        <w:rPr>
          <w:rFonts w:ascii="Verdana" w:eastAsia="Arial" w:hAnsi="Verdana" w:cs="Arial"/>
          <w:lang w:val="es-ES" w:eastAsia="es-ES" w:bidi="es-ES"/>
        </w:rPr>
        <w:t xml:space="preserve"> conformidad con lo anterior, </w:t>
      </w:r>
      <w:bookmarkStart w:id="5" w:name="_Hlk77236098"/>
      <w:bookmarkStart w:id="6" w:name="_Hlk100679383"/>
      <w:r w:rsidRPr="00E2397D">
        <w:rPr>
          <w:rFonts w:ascii="Verdana" w:eastAsia="Arial" w:hAnsi="Verdana" w:cs="Arial"/>
          <w:lang w:val="es-ES" w:eastAsia="es-ES" w:bidi="es-ES"/>
        </w:rPr>
        <w:t>la L</w:t>
      </w:r>
      <w:r>
        <w:rPr>
          <w:rFonts w:ascii="Verdana" w:eastAsia="Arial" w:hAnsi="Verdana" w:cs="Arial"/>
          <w:lang w:val="es-ES" w:eastAsia="es-ES" w:bidi="es-ES"/>
        </w:rPr>
        <w:t>ey de Garantías Electorales estableció</w:t>
      </w:r>
      <w:r w:rsidRPr="00E2397D">
        <w:rPr>
          <w:rFonts w:ascii="Verdana" w:eastAsia="Arial" w:hAnsi="Verdana" w:cs="Arial"/>
          <w:lang w:val="es-ES" w:eastAsia="es-ES" w:bidi="es-ES"/>
        </w:rPr>
        <w:t xml:space="preserve">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w:t>
      </w:r>
    </w:p>
    <w:p w14:paraId="3A5E1664" w14:textId="77777777" w:rsidR="000813D1" w:rsidRDefault="000813D1" w:rsidP="000813D1">
      <w:pPr>
        <w:spacing w:line="276" w:lineRule="auto"/>
        <w:ind w:firstLine="709"/>
        <w:jc w:val="both"/>
        <w:rPr>
          <w:rFonts w:ascii="Verdana" w:eastAsia="Arial" w:hAnsi="Verdana" w:cs="Arial"/>
          <w:lang w:val="es-ES" w:eastAsia="es-ES" w:bidi="es-ES"/>
        </w:rPr>
      </w:pPr>
      <w:r w:rsidRPr="00E2397D">
        <w:rPr>
          <w:rFonts w:ascii="Verdana" w:eastAsia="Arial" w:hAnsi="Verdana" w:cs="Arial"/>
          <w:lang w:val="es-ES" w:eastAsia="es-ES" w:bidi="es-ES"/>
        </w:rPr>
        <w:t>Precisado el propósito de la Ley, es pertinente señalar que las restricciones consagradas en la citada Ley se dirigen a dos (2) tipos de campañas electorales claramente diferenciadas: las presidenciales y las demás que se adelanten para la elección de los demás cargos de elección popular, tanto a nivel nacional como territorial.</w:t>
      </w:r>
      <w:bookmarkEnd w:id="5"/>
    </w:p>
    <w:p w14:paraId="468DDEE2" w14:textId="77777777" w:rsidR="000813D1" w:rsidRPr="00E2397D" w:rsidRDefault="000813D1" w:rsidP="000813D1">
      <w:pPr>
        <w:spacing w:line="276" w:lineRule="auto"/>
        <w:ind w:firstLine="709"/>
        <w:jc w:val="both"/>
        <w:rPr>
          <w:rFonts w:ascii="Verdana" w:eastAsia="Calibri" w:hAnsi="Verdana" w:cs="Arial"/>
        </w:rPr>
      </w:pPr>
      <w:r w:rsidRPr="00E2397D">
        <w:rPr>
          <w:rFonts w:ascii="Verdana" w:eastAsia="Calibri" w:hAnsi="Verdana" w:cs="Arial"/>
        </w:rPr>
        <w:t xml:space="preserve">Por un lado, el </w:t>
      </w:r>
      <w:r w:rsidRPr="00E2397D">
        <w:rPr>
          <w:rFonts w:ascii="Verdana" w:eastAsia="Calibri" w:hAnsi="Verdana" w:cs="Arial"/>
          <w:i/>
          <w:iCs/>
        </w:rPr>
        <w:t>artículo 33 de la Ley 996 de 2005</w:t>
      </w:r>
      <w:r w:rsidRPr="00E2397D">
        <w:rPr>
          <w:rFonts w:ascii="Verdana" w:eastAsia="Calibri" w:hAnsi="Verdana" w:cs="Arial"/>
        </w:rPr>
        <w:t xml:space="preserve">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E2397D">
        <w:rPr>
          <w:rFonts w:ascii="Verdana" w:eastAsia="Calibri" w:hAnsi="Verdana" w:cs="Arial"/>
          <w:vertAlign w:val="superscript"/>
        </w:rPr>
        <w:footnoteReference w:id="7"/>
      </w:r>
      <w:r w:rsidRPr="00E2397D">
        <w:rPr>
          <w:rFonts w:ascii="Verdana" w:eastAsia="Calibri" w:hAnsi="Verdana" w:cs="Arial"/>
        </w:rPr>
        <w:t>.</w:t>
      </w:r>
    </w:p>
    <w:p w14:paraId="4BAC54CD" w14:textId="77777777" w:rsidR="000813D1" w:rsidRDefault="000813D1" w:rsidP="000813D1">
      <w:pPr>
        <w:widowControl w:val="0"/>
        <w:autoSpaceDE w:val="0"/>
        <w:autoSpaceDN w:val="0"/>
        <w:spacing w:after="120" w:line="276" w:lineRule="auto"/>
        <w:ind w:right="113" w:firstLine="709"/>
        <w:jc w:val="both"/>
        <w:rPr>
          <w:rFonts w:ascii="Verdana" w:eastAsia="Arial" w:hAnsi="Verdana" w:cs="Arial"/>
          <w:lang w:val="es-ES" w:eastAsia="es-ES" w:bidi="es-ES"/>
        </w:rPr>
      </w:pPr>
      <w:r w:rsidRPr="00E2397D">
        <w:rPr>
          <w:rFonts w:ascii="Verdana" w:eastAsia="Calibri" w:hAnsi="Verdana" w:cs="Arial"/>
        </w:rPr>
        <w:t xml:space="preserve">Por otro lado, </w:t>
      </w:r>
      <w:r w:rsidRPr="00E2397D">
        <w:rPr>
          <w:rFonts w:ascii="Verdana" w:eastAsia="Calibri" w:hAnsi="Verdana" w:cs="Arial"/>
          <w:i/>
          <w:iCs/>
        </w:rPr>
        <w:t>el parágrafo del artículo 38 de la Ley 996 de 2005</w:t>
      </w:r>
      <w:r w:rsidRPr="00E2397D">
        <w:rPr>
          <w:rFonts w:ascii="Verdana" w:eastAsia="Calibri" w:hAnsi="Verdana" w:cs="Arial"/>
        </w:rPr>
        <w:t xml:space="preserve"> prevé una restricción, aplicable respecto de cualquier tipo de contienda electoral, que prohíbe a los gobernadores, alcaldes municipales o distritales, secretarios, gerentes y directores de entidades descentralizadas del orden municipal, departamental o distrital “[…] </w:t>
      </w:r>
      <w:r w:rsidRPr="00E2397D">
        <w:rPr>
          <w:rFonts w:ascii="Verdana" w:eastAsia="Calibri" w:hAnsi="Verdana" w:cs="Arial"/>
          <w:lang w:val="es-MX"/>
        </w:rPr>
        <w:t xml:space="preserve">celebrar convenios interadministrativos para la ejecución de recursos públicos, ni participar, promover y destinar recursos </w:t>
      </w:r>
      <w:r w:rsidRPr="00E2397D">
        <w:rPr>
          <w:rFonts w:ascii="Verdana" w:eastAsia="Calibri" w:hAnsi="Verdana" w:cs="Arial"/>
          <w:lang w:val="es-MX"/>
        </w:rPr>
        <w:lastRenderedPageBreak/>
        <w:t>públicos de las entidades a su cargo, como tampoco de las que participen como miembros de sus juntas directivas, en o para reuniones de carácter proselitista</w:t>
      </w:r>
      <w:r w:rsidRPr="00E2397D">
        <w:rPr>
          <w:rFonts w:ascii="Verdana" w:eastAsia="Calibri" w:hAnsi="Verdana" w:cs="Arial"/>
        </w:rPr>
        <w:t>”</w:t>
      </w:r>
      <w:bookmarkEnd w:id="6"/>
      <w:r w:rsidRPr="00E2397D">
        <w:rPr>
          <w:rFonts w:ascii="Verdana" w:eastAsia="Calibri" w:hAnsi="Verdana" w:cs="Arial"/>
          <w:vertAlign w:val="superscript"/>
        </w:rPr>
        <w:footnoteReference w:id="8"/>
      </w:r>
      <w:r w:rsidRPr="00E2397D">
        <w:rPr>
          <w:rFonts w:ascii="Verdana" w:eastAsia="Calibri" w:hAnsi="Verdana" w:cs="Arial"/>
          <w:lang w:val="es-MX"/>
        </w:rPr>
        <w:t>.</w:t>
      </w:r>
      <w:r w:rsidRPr="00E2397D">
        <w:rPr>
          <w:rFonts w:ascii="Verdana" w:eastAsia="Arial" w:hAnsi="Verdana" w:cs="Arial"/>
          <w:lang w:val="es-ES" w:eastAsia="es-ES" w:bidi="es-ES"/>
        </w:rPr>
        <w:t xml:space="preserve"> </w:t>
      </w:r>
    </w:p>
    <w:p w14:paraId="3FC5C570" w14:textId="227D02DD" w:rsidR="000813D1" w:rsidRDefault="000813D1" w:rsidP="00FB690D">
      <w:pPr>
        <w:tabs>
          <w:tab w:val="left" w:pos="426"/>
        </w:tabs>
        <w:spacing w:after="0" w:line="276" w:lineRule="auto"/>
        <w:ind w:firstLine="709"/>
        <w:jc w:val="both"/>
        <w:rPr>
          <w:rFonts w:ascii="Verdana" w:eastAsia="Arial" w:hAnsi="Verdana" w:cs="Arial"/>
          <w:lang w:val="es-ES" w:eastAsia="es-ES" w:bidi="es-ES"/>
        </w:rPr>
      </w:pPr>
      <w:r w:rsidRPr="3A5322BA">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considera:</w:t>
      </w:r>
    </w:p>
    <w:p w14:paraId="30E3ADDB" w14:textId="77777777" w:rsidR="00FB690D" w:rsidRPr="00FD687D" w:rsidRDefault="00FB690D" w:rsidP="00C001FC">
      <w:pPr>
        <w:tabs>
          <w:tab w:val="left" w:pos="426"/>
        </w:tabs>
        <w:spacing w:after="0" w:line="276" w:lineRule="auto"/>
        <w:ind w:firstLine="709"/>
        <w:jc w:val="both"/>
        <w:rPr>
          <w:rFonts w:ascii="Verdana" w:eastAsia="Calibri" w:hAnsi="Verdana" w:cs="Arial"/>
          <w:lang w:val="es-ES"/>
        </w:rPr>
      </w:pPr>
    </w:p>
    <w:p w14:paraId="67D2546F" w14:textId="6B2A1A1A" w:rsidR="000813D1" w:rsidRPr="00FD687D" w:rsidRDefault="000813D1" w:rsidP="00FD687D">
      <w:pPr>
        <w:widowControl w:val="0"/>
        <w:autoSpaceDE w:val="0"/>
        <w:autoSpaceDN w:val="0"/>
        <w:spacing w:after="0" w:line="240" w:lineRule="auto"/>
        <w:ind w:left="709" w:right="709"/>
        <w:jc w:val="both"/>
        <w:rPr>
          <w:rFonts w:ascii="Verdana" w:eastAsia="Arial" w:hAnsi="Verdana" w:cs="Arial"/>
          <w:sz w:val="20"/>
          <w:szCs w:val="20"/>
          <w:lang w:eastAsia="es-ES" w:bidi="es-ES"/>
        </w:rPr>
      </w:pPr>
      <w:r w:rsidRPr="00E2397D">
        <w:rPr>
          <w:rFonts w:ascii="Verdana" w:eastAsia="Arial" w:hAnsi="Verdana" w:cs="Arial"/>
          <w:sz w:val="20"/>
          <w:szCs w:val="20"/>
          <w:lang w:eastAsia="es-ES" w:bidi="es-ES"/>
        </w:rPr>
        <w:t>“La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se integran parcialmente,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Presidente</w:t>
      </w:r>
      <w:r w:rsidRPr="3A5322BA">
        <w:rPr>
          <w:rFonts w:ascii="Verdana" w:eastAsia="Arial" w:hAnsi="Verdana" w:cs="Arial"/>
          <w:sz w:val="20"/>
          <w:szCs w:val="20"/>
          <w:lang w:eastAsia="es-ES" w:bidi="es-ES"/>
        </w:rPr>
        <w:t xml:space="preserve"> de la República, a las autoridades territoriales allí mencionadas sólo se aplican las restricciones contenidas en el parágrafo del artículo 38</w:t>
      </w:r>
      <w:r w:rsidRPr="00E2397D">
        <w:rPr>
          <w:rFonts w:ascii="Verdana" w:eastAsia="Arial" w:hAnsi="Verdana" w:cs="Arial"/>
          <w:sz w:val="20"/>
          <w:szCs w:val="20"/>
          <w:lang w:eastAsia="es-ES" w:bidi="es-ES"/>
        </w:rPr>
        <w:t>”.</w:t>
      </w:r>
      <w:r w:rsidRPr="00E2397D">
        <w:rPr>
          <w:rFonts w:ascii="Verdana" w:eastAsia="Arial" w:hAnsi="Verdana" w:cs="Arial"/>
          <w:sz w:val="20"/>
          <w:szCs w:val="20"/>
          <w:vertAlign w:val="superscript"/>
          <w:lang w:eastAsia="es-ES" w:bidi="es-ES"/>
        </w:rPr>
        <w:footnoteReference w:id="9"/>
      </w:r>
    </w:p>
    <w:p w14:paraId="493844FE" w14:textId="77777777" w:rsidR="0011394C" w:rsidRPr="00C001FC" w:rsidRDefault="0011394C" w:rsidP="00C001FC">
      <w:pPr>
        <w:widowControl w:val="0"/>
        <w:autoSpaceDE w:val="0"/>
        <w:autoSpaceDN w:val="0"/>
        <w:spacing w:after="0" w:line="276" w:lineRule="auto"/>
        <w:ind w:left="709" w:right="709"/>
        <w:jc w:val="both"/>
        <w:rPr>
          <w:rFonts w:ascii="Verdana" w:eastAsia="Arial" w:hAnsi="Verdana" w:cs="Arial"/>
          <w:lang w:eastAsia="es-ES" w:bidi="es-ES"/>
        </w:rPr>
      </w:pPr>
    </w:p>
    <w:p w14:paraId="0AFE0689" w14:textId="77777777" w:rsidR="000813D1" w:rsidRPr="00E2397D" w:rsidRDefault="000813D1" w:rsidP="00C001FC">
      <w:pPr>
        <w:spacing w:after="120" w:line="276" w:lineRule="auto"/>
        <w:ind w:firstLine="709"/>
        <w:jc w:val="both"/>
        <w:rPr>
          <w:rFonts w:ascii="Verdana" w:eastAsia="Arial" w:hAnsi="Verdana" w:cs="Arial"/>
          <w:lang w:val="es-ES" w:eastAsia="es-ES" w:bidi="es-ES"/>
        </w:rPr>
      </w:pPr>
      <w:r w:rsidRPr="3A5322BA">
        <w:rPr>
          <w:rFonts w:ascii="Verdana" w:eastAsia="Arial" w:hAnsi="Verdana" w:cs="Arial"/>
          <w:lang w:val="es-ES" w:eastAsia="es-ES" w:bidi="es-ES"/>
        </w:rPr>
        <w:t xml:space="preserve">De conformidad con lo anterior, la Ley 996 de 2005 establece dos (2) tipos de restricciones en materia de contratación, las cuales coinciden parcialmente. </w:t>
      </w:r>
      <w:r w:rsidRPr="3A5322BA">
        <w:rPr>
          <w:rFonts w:ascii="Verdana" w:eastAsia="Arial" w:hAnsi="Verdana" w:cs="Arial"/>
          <w:i/>
          <w:iCs/>
          <w:lang w:val="es-ES" w:eastAsia="es-ES" w:bidi="es-ES"/>
        </w:rPr>
        <w:t>En primer lugar</w:t>
      </w:r>
      <w:r w:rsidRPr="3A5322BA">
        <w:rPr>
          <w:rFonts w:ascii="Verdana" w:eastAsia="Arial" w:hAnsi="Verdana" w:cs="Arial"/>
          <w:lang w:val="es-ES" w:eastAsia="es-ES" w:bidi="es-ES"/>
        </w:rPr>
        <w:t xml:space="preserve">, la del artículo 33 que aplica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w:t>
      </w:r>
      <w:r w:rsidRPr="3A5322BA">
        <w:rPr>
          <w:rFonts w:ascii="Verdana" w:eastAsia="Arial" w:hAnsi="Verdana" w:cs="Arial"/>
          <w:lang w:val="es-ES" w:eastAsia="es-ES" w:bidi="es-ES"/>
        </w:rPr>
        <w:lastRenderedPageBreak/>
        <w:t xml:space="preserve">estos efectos, la restricción se extenderá hasta la fecha en la que se realice la segunda vuelta. </w:t>
      </w:r>
      <w:r w:rsidRPr="3A5322BA">
        <w:rPr>
          <w:rFonts w:ascii="Verdana" w:eastAsia="Arial" w:hAnsi="Verdana" w:cs="Arial"/>
          <w:i/>
          <w:iCs/>
          <w:lang w:val="es-ES" w:eastAsia="es-ES" w:bidi="es-ES"/>
        </w:rPr>
        <w:t>En segundo lugar</w:t>
      </w:r>
      <w:r w:rsidRPr="3A5322BA">
        <w:rPr>
          <w:rFonts w:ascii="Verdana" w:eastAsia="Arial" w:hAnsi="Verdana"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p>
    <w:p w14:paraId="4E4D71F0" w14:textId="77777777" w:rsidR="000813D1" w:rsidRPr="00E2397D" w:rsidRDefault="000813D1" w:rsidP="000813D1">
      <w:pPr>
        <w:spacing w:after="120" w:line="276" w:lineRule="auto"/>
        <w:ind w:firstLine="709"/>
        <w:jc w:val="both"/>
        <w:rPr>
          <w:rFonts w:ascii="Verdana" w:eastAsia="Arial" w:hAnsi="Verdana" w:cs="Arial"/>
          <w:lang w:val="es-ES" w:eastAsia="es-ES" w:bidi="es-ES"/>
        </w:rPr>
      </w:pPr>
      <w:r w:rsidRPr="3A5322BA">
        <w:rPr>
          <w:rFonts w:ascii="Verdana" w:eastAsia="Arial" w:hAnsi="Verdana" w:cs="Arial"/>
          <w:lang w:val="es-ES" w:eastAsia="es-ES" w:bidi="es-ES"/>
        </w:rPr>
        <w:t>Ambas restricciones no son excluyentes, lo que permite concluir que, en el período preelectoral para elección de Presidente de la República, a todos los entes del Estado, incluidos los territoriales, aplican las restricciones del artículo 33 con sus excepciones, así como las del parágrafo del artículo 38. En cambio, tratándose de elecciones en general, excluyendo las correspondientes al Presidente de la República, las autoridades allí mencionadas sólo deben aplicar las restricciones contenidas en el parágrafo del artículo 38.</w:t>
      </w:r>
    </w:p>
    <w:p w14:paraId="0C18D88F" w14:textId="77777777" w:rsidR="000813D1" w:rsidRDefault="000813D1" w:rsidP="000813D1">
      <w:pPr>
        <w:spacing w:after="120" w:line="276" w:lineRule="auto"/>
        <w:ind w:firstLine="709"/>
        <w:jc w:val="both"/>
        <w:rPr>
          <w:rFonts w:ascii="Verdana" w:eastAsia="Arial" w:hAnsi="Verdana" w:cs="Arial"/>
          <w:lang w:val="es-ES" w:eastAsia="es-ES" w:bidi="es-ES"/>
        </w:rPr>
      </w:pPr>
      <w:r w:rsidRPr="3A5322BA">
        <w:rPr>
          <w:rFonts w:ascii="Verdana" w:eastAsia="Arial" w:hAnsi="Verdana" w:cs="Arial"/>
          <w:lang w:val="es-ES" w:eastAsia="es-ES" w:bidi="es-ES"/>
        </w:rPr>
        <w:t>La Corte Constitucional, en la Sentencia C-1153 del 11 de noviembre de 2005, señaló que, para que la garantía sea plena, era necesario que la prohibición se aplicara para el Presidente o el Vicepresidente desde que éstos –estando en ejercicio de su cargo– manifiesten el interés de ser candidato presidencial, lo cual debe ocurrir seis (6) meses antes de la elección en primera vuelta, de acuerdo con el artículo 9 de la Ley 996 de 2005. Sin embargo, el condicionamiento impuesto por la Corte Constitucional, relacionado con el momento en que estas restricciones empiezan a regir para el Presidente y el Vicepresidente de la República, ha perdido vigencia ante la prohibición de la reelección presidencial, restablecida por el Acto Legislativo 2 de 2015. Esto excepto para el Vicepresidente que no haya ejercido la presidencia o que la haya ejercido por un tiempo inferior a tres (3) meses durante el respectivo cuatrienio, en forma continua o discontinua, conforme al artículo 197 de la Constitución Política.</w:t>
      </w:r>
    </w:p>
    <w:p w14:paraId="3038ADA8" w14:textId="77777777" w:rsidR="000813D1" w:rsidRDefault="000813D1" w:rsidP="000813D1">
      <w:pPr>
        <w:widowControl w:val="0"/>
        <w:spacing w:after="120" w:line="276" w:lineRule="auto"/>
        <w:ind w:right="113" w:firstLine="709"/>
        <w:jc w:val="both"/>
        <w:rPr>
          <w:rFonts w:ascii="Verdana" w:eastAsia="Times New Roman" w:hAnsi="Verdana" w:cs="Arial"/>
          <w:bCs/>
          <w:lang w:eastAsia="es-CO"/>
        </w:rPr>
      </w:pPr>
      <w:r>
        <w:rPr>
          <w:rFonts w:ascii="Verdana" w:eastAsia="Times New Roman" w:hAnsi="Verdana" w:cs="Arial"/>
          <w:bCs/>
          <w:lang w:val="es-MX" w:eastAsia="es-CO"/>
        </w:rPr>
        <w:t>Para entender el momento de aplicación de estas restricciones, es preciso señalar que el vocablo “celebrar” es definido por el Diccionario Panhispánico del Español Jurídico como:</w:t>
      </w:r>
      <w:r w:rsidRPr="00116894">
        <w:rPr>
          <w:rFonts w:ascii="Verdana" w:eastAsia="Times New Roman" w:hAnsi="Verdana" w:cs="Arial"/>
          <w:bCs/>
          <w:lang w:val="es-MX" w:eastAsia="es-CO"/>
        </w:rPr>
        <w:t xml:space="preserve"> “</w:t>
      </w:r>
      <w:r w:rsidRPr="00116894">
        <w:rPr>
          <w:rFonts w:ascii="Verdana" w:eastAsia="Times New Roman" w:hAnsi="Verdana" w:cs="Arial"/>
          <w:bCs/>
          <w:lang w:eastAsia="es-CO"/>
        </w:rPr>
        <w:t>1. </w:t>
      </w:r>
      <w:r w:rsidRPr="00116894">
        <w:rPr>
          <w:rFonts w:ascii="Verdana" w:eastAsia="Times New Roman" w:hAnsi="Verdana" w:cs="Arial"/>
          <w:bCs/>
          <w:i/>
          <w:iCs/>
          <w:lang w:eastAsia="es-CO"/>
        </w:rPr>
        <w:t>Gral.</w:t>
      </w:r>
      <w:r>
        <w:rPr>
          <w:rFonts w:ascii="Verdana" w:eastAsia="Times New Roman" w:hAnsi="Verdana" w:cs="Arial"/>
          <w:bCs/>
          <w:lang w:eastAsia="es-CO"/>
        </w:rPr>
        <w:t xml:space="preserve"> </w:t>
      </w:r>
      <w:r w:rsidRPr="00116894">
        <w:rPr>
          <w:rFonts w:ascii="Verdana" w:eastAsia="Times New Roman" w:hAnsi="Verdana" w:cs="Arial"/>
          <w:bCs/>
          <w:lang w:eastAsia="es-CO"/>
        </w:rPr>
        <w:t>Otorgar o firmar un contrato. 2</w:t>
      </w:r>
      <w:r>
        <w:rPr>
          <w:rFonts w:ascii="Verdana" w:eastAsia="Times New Roman" w:hAnsi="Verdana" w:cs="Arial"/>
          <w:bCs/>
          <w:lang w:eastAsia="es-CO"/>
        </w:rPr>
        <w:t xml:space="preserve">. </w:t>
      </w:r>
      <w:proofErr w:type="spellStart"/>
      <w:r w:rsidRPr="00116894">
        <w:rPr>
          <w:rFonts w:ascii="Verdana" w:eastAsia="Times New Roman" w:hAnsi="Verdana" w:cs="Arial"/>
          <w:bCs/>
          <w:i/>
          <w:iCs/>
          <w:lang w:eastAsia="es-CO"/>
        </w:rPr>
        <w:t>Proc</w:t>
      </w:r>
      <w:proofErr w:type="spellEnd"/>
      <w:r w:rsidRPr="00116894">
        <w:rPr>
          <w:rFonts w:ascii="Verdana" w:eastAsia="Times New Roman" w:hAnsi="Verdana" w:cs="Arial"/>
          <w:bCs/>
          <w:i/>
          <w:iCs/>
          <w:lang w:eastAsia="es-CO"/>
        </w:rPr>
        <w:t>.</w:t>
      </w:r>
      <w:r>
        <w:rPr>
          <w:rFonts w:ascii="Verdana" w:eastAsia="Times New Roman" w:hAnsi="Verdana" w:cs="Arial"/>
          <w:bCs/>
          <w:lang w:eastAsia="es-CO"/>
        </w:rPr>
        <w:t xml:space="preserve"> </w:t>
      </w:r>
      <w:r w:rsidRPr="00116894">
        <w:rPr>
          <w:rFonts w:ascii="Verdana" w:eastAsia="Times New Roman" w:hAnsi="Verdana" w:cs="Arial"/>
          <w:bCs/>
          <w:lang w:eastAsia="es-CO"/>
        </w:rPr>
        <w:t>Realizar los actos procesa</w:t>
      </w:r>
      <w:r>
        <w:rPr>
          <w:rFonts w:ascii="Verdana" w:eastAsia="Times New Roman" w:hAnsi="Verdana" w:cs="Arial"/>
          <w:bCs/>
          <w:lang w:eastAsia="es-CO"/>
        </w:rPr>
        <w:t xml:space="preserve">les propios de un juicio o vista”. Dentro de las dos definiciones, la que se acerca a la expresión “celebrar” en el contexto de la Ley de Garantías Electorales es la primera, esto es, al perfeccionamiento del contrato. </w:t>
      </w:r>
    </w:p>
    <w:p w14:paraId="096AD95B" w14:textId="77777777" w:rsidR="000813D1" w:rsidRDefault="000813D1" w:rsidP="000813D1">
      <w:pPr>
        <w:spacing w:after="120" w:line="276" w:lineRule="auto"/>
        <w:ind w:firstLine="708"/>
        <w:jc w:val="both"/>
        <w:rPr>
          <w:rFonts w:ascii="Verdana" w:eastAsia="Times New Roman" w:hAnsi="Verdana" w:cs="Arial"/>
          <w:bCs/>
          <w:lang w:val="es-ES" w:eastAsia="es-CO"/>
        </w:rPr>
      </w:pPr>
      <w:r>
        <w:rPr>
          <w:rFonts w:ascii="Verdana" w:eastAsia="Times New Roman" w:hAnsi="Verdana" w:cs="Arial"/>
          <w:bCs/>
          <w:lang w:eastAsia="es-CO"/>
        </w:rPr>
        <w:t xml:space="preserve">En efecto, el concepto de celebración en el marco de la contratación estatal se relaciona con el perfeccionamiento, es decir, con los requisitos para </w:t>
      </w:r>
      <w:r>
        <w:rPr>
          <w:rFonts w:ascii="Verdana" w:eastAsia="Times New Roman" w:hAnsi="Verdana" w:cs="Arial"/>
          <w:bCs/>
          <w:lang w:eastAsia="es-CO"/>
        </w:rPr>
        <w:lastRenderedPageBreak/>
        <w:t xml:space="preserve">que exista un contrato estatal. Al respecto, se destaca que en entidades sometidas al Estatuto General de Contratación de la Administración Pública </w:t>
      </w:r>
      <w:r w:rsidRPr="00447D82">
        <w:rPr>
          <w:rFonts w:ascii="Verdana" w:eastAsia="Times New Roman" w:hAnsi="Verdana" w:cs="Arial"/>
          <w:bCs/>
          <w:lang w:val="es-ES" w:eastAsia="es-CO"/>
        </w:rPr>
        <w:t xml:space="preserve">la existencia de los contratos estatales, es decir, la producción de efectos jurídicos en los términos del artículo 1501 </w:t>
      </w:r>
      <w:proofErr w:type="spellStart"/>
      <w:r w:rsidRPr="00447D82">
        <w:rPr>
          <w:rFonts w:ascii="Verdana" w:eastAsia="Times New Roman" w:hAnsi="Verdana" w:cs="Arial"/>
          <w:bCs/>
          <w:i/>
          <w:lang w:val="es-ES" w:eastAsia="es-CO"/>
        </w:rPr>
        <w:t>ibídem</w:t>
      </w:r>
      <w:proofErr w:type="spellEnd"/>
      <w:r w:rsidRPr="00447D82">
        <w:rPr>
          <w:rFonts w:ascii="Verdana" w:eastAsia="Times New Roman" w:hAnsi="Verdana" w:cs="Arial"/>
          <w:bCs/>
          <w:lang w:val="es-ES" w:eastAsia="es-CO"/>
        </w:rPr>
        <w:t>, depende de la regulación del inciso primero d</w:t>
      </w:r>
      <w:r>
        <w:rPr>
          <w:rFonts w:ascii="Verdana" w:eastAsia="Times New Roman" w:hAnsi="Verdana" w:cs="Arial"/>
          <w:bCs/>
          <w:lang w:val="es-ES" w:eastAsia="es-CO"/>
        </w:rPr>
        <w:t>e los artículos 39 y 41 de la Ley 80 de 1993</w:t>
      </w:r>
      <w:r w:rsidRPr="00447D82">
        <w:rPr>
          <w:rFonts w:ascii="Verdana" w:eastAsia="Times New Roman" w:hAnsi="Verdana" w:cs="Arial"/>
          <w:bCs/>
          <w:lang w:val="es-ES" w:eastAsia="es-CO"/>
        </w:rPr>
        <w:t>. Por un lado, “Los contratos que celebren las entidades estatales constarán por escrito y no requerirán ser elevados a escritura pública, con excepción de aquellos que impliquen mutación del dominio o imposición de gravámenes y servidumbres sobre bienes inmuebles y, en general, aquellos que conforme a las normas legales vigentes deban cumplir con dicha formalidad”. Por otra parte, “Los contratos del Estado se perfeccionan cuando se logre acuerdo sobre el objeto y la contraprestación y éste se eleve a escrito”.</w:t>
      </w:r>
      <w:r>
        <w:rPr>
          <w:rFonts w:ascii="Verdana" w:eastAsia="Times New Roman" w:hAnsi="Verdana" w:cs="Arial"/>
          <w:bCs/>
          <w:lang w:val="es-ES" w:eastAsia="es-CO"/>
        </w:rPr>
        <w:t xml:space="preserve"> </w:t>
      </w:r>
    </w:p>
    <w:p w14:paraId="63212AEF" w14:textId="77777777" w:rsidR="000813D1" w:rsidRDefault="000813D1" w:rsidP="000813D1">
      <w:pPr>
        <w:spacing w:after="120" w:line="276" w:lineRule="auto"/>
        <w:ind w:firstLine="708"/>
        <w:jc w:val="both"/>
        <w:rPr>
          <w:rFonts w:ascii="Verdana" w:eastAsia="Times New Roman" w:hAnsi="Verdana" w:cs="Arial"/>
          <w:bCs/>
          <w:lang w:val="es-ES" w:eastAsia="es-CO"/>
        </w:rPr>
      </w:pPr>
      <w:r>
        <w:rPr>
          <w:rFonts w:ascii="Verdana" w:eastAsia="Times New Roman" w:hAnsi="Verdana" w:cs="Arial"/>
          <w:bCs/>
          <w:lang w:val="es-ES" w:eastAsia="es-CO"/>
        </w:rPr>
        <w:t xml:space="preserve">De este modo, esta Agencia precisa que el concepto “celebrar” para efectos de las restricciones en la contratación dispuesta por la Ley de Garantías Electorales se refiere a los requisitos de perfeccionamiento del contrato estatal. Por tanto, no se refiere a los requisitos de ejecución, es decir, aquellas condiciones para iniciar un contrato, como es la aprobación de las garantías o el registro presupuestal, o en algunos casos, la firma del acta de inicio, si así se determinó. </w:t>
      </w:r>
    </w:p>
    <w:p w14:paraId="0A78F97B" w14:textId="77777777" w:rsidR="000813D1" w:rsidRDefault="000813D1" w:rsidP="000813D1">
      <w:pPr>
        <w:spacing w:line="276" w:lineRule="auto"/>
        <w:ind w:firstLine="708"/>
        <w:jc w:val="both"/>
        <w:rPr>
          <w:rFonts w:ascii="Verdana" w:eastAsia="Times New Roman" w:hAnsi="Verdana" w:cs="Arial"/>
          <w:bCs/>
          <w:lang w:val="es-MX" w:eastAsia="es-CO"/>
        </w:rPr>
      </w:pPr>
      <w:r>
        <w:rPr>
          <w:rFonts w:ascii="Verdana" w:eastAsia="Times New Roman" w:hAnsi="Verdana" w:cs="Arial"/>
          <w:bCs/>
          <w:lang w:val="es-ES" w:eastAsia="es-CO"/>
        </w:rPr>
        <w:t xml:space="preserve">Así mismo, </w:t>
      </w:r>
      <w:r>
        <w:rPr>
          <w:rFonts w:ascii="Verdana" w:eastAsia="Times New Roman" w:hAnsi="Verdana" w:cs="Arial"/>
          <w:bCs/>
          <w:lang w:val="es-MX" w:eastAsia="es-CO"/>
        </w:rPr>
        <w:t>c</w:t>
      </w:r>
      <w:r w:rsidRPr="00894384">
        <w:rPr>
          <w:rFonts w:ascii="Verdana" w:eastAsia="Times New Roman" w:hAnsi="Verdana" w:cs="Arial"/>
          <w:bCs/>
          <w:lang w:val="es-MX" w:eastAsia="es-CO"/>
        </w:rPr>
        <w:t xml:space="preserve">omo en otras oportunidades lo ha manifestado esta Agencia, las prórrogas, modificaciones o adiciones de los contratos suscritos antes de la </w:t>
      </w:r>
      <w:proofErr w:type="gramStart"/>
      <w:r w:rsidRPr="00894384">
        <w:rPr>
          <w:rFonts w:ascii="Verdana" w:eastAsia="Times New Roman" w:hAnsi="Verdana" w:cs="Arial"/>
          <w:bCs/>
          <w:lang w:val="es-MX" w:eastAsia="es-CO"/>
        </w:rPr>
        <w:t>entrada en vigencia</w:t>
      </w:r>
      <w:proofErr w:type="gramEnd"/>
      <w:r w:rsidRPr="00894384">
        <w:rPr>
          <w:rFonts w:ascii="Verdana" w:eastAsia="Times New Roman" w:hAnsi="Verdana" w:cs="Arial"/>
          <w:bCs/>
          <w:lang w:val="es-MX" w:eastAsia="es-CO"/>
        </w:rPr>
        <w:t xml:space="preserve"> de las prohibiciones anotadas, así como la cesión de </w:t>
      </w:r>
      <w:proofErr w:type="gramStart"/>
      <w:r w:rsidRPr="00894384">
        <w:rPr>
          <w:rFonts w:ascii="Verdana" w:eastAsia="Times New Roman" w:hAnsi="Verdana" w:cs="Arial"/>
          <w:bCs/>
          <w:lang w:val="es-MX" w:eastAsia="es-CO"/>
        </w:rPr>
        <w:t>los mismos</w:t>
      </w:r>
      <w:proofErr w:type="gramEnd"/>
      <w:r w:rsidRPr="00894384">
        <w:rPr>
          <w:rFonts w:ascii="Verdana" w:eastAsia="Times New Roman" w:hAnsi="Verdana" w:cs="Arial"/>
          <w:bCs/>
          <w:lang w:val="es-MX" w:eastAsia="es-CO"/>
        </w:rPr>
        <w:t>, pueden tener lugar en el período de aplicación de la Ley de Garantías, sin que ello haga nugatoria la restricción de la contratación directa y siempre que cumplan los principios de planeación, transparencia y responsabilidad</w:t>
      </w:r>
      <w:r w:rsidRPr="00894384">
        <w:rPr>
          <w:rFonts w:ascii="Verdana" w:eastAsia="Times New Roman" w:hAnsi="Verdana" w:cs="Arial"/>
          <w:bCs/>
          <w:vertAlign w:val="superscript"/>
          <w:lang w:val="es-MX" w:eastAsia="es-CO"/>
        </w:rPr>
        <w:footnoteReference w:id="10"/>
      </w:r>
      <w:r w:rsidRPr="00894384">
        <w:rPr>
          <w:rFonts w:ascii="Verdana" w:eastAsia="Times New Roman" w:hAnsi="Verdana" w:cs="Arial"/>
          <w:bCs/>
          <w:lang w:val="es-MX" w:eastAsia="es-CO"/>
        </w:rPr>
        <w:t>.</w:t>
      </w:r>
    </w:p>
    <w:p w14:paraId="1DA10E99" w14:textId="23FD9DBF" w:rsidR="00992796" w:rsidRDefault="003A0A27" w:rsidP="00C001FC">
      <w:pPr>
        <w:spacing w:after="120" w:line="276" w:lineRule="auto"/>
        <w:ind w:firstLine="709"/>
        <w:jc w:val="both"/>
        <w:rPr>
          <w:rFonts w:ascii="Verdana" w:hAnsi="Verdana" w:cs="Arial"/>
          <w:bCs/>
          <w:lang w:val="es-MX" w:eastAsia="x-none"/>
        </w:rPr>
      </w:pPr>
      <w:r>
        <w:rPr>
          <w:rFonts w:ascii="Verdana" w:hAnsi="Verdana" w:cs="Arial"/>
          <w:bCs/>
          <w:lang w:val="es-MX" w:eastAsia="x-none"/>
        </w:rPr>
        <w:t xml:space="preserve">Teniendo en cuenta el contenido de su solicitud, a continuacion se analizará la restriccion contenida en el artículo 33 de la Ley de Garantías Electorales. </w:t>
      </w:r>
      <w:r w:rsidR="0011394C">
        <w:rPr>
          <w:rFonts w:ascii="Verdana" w:hAnsi="Verdana" w:cs="Arial"/>
          <w:bCs/>
          <w:lang w:val="es-MX" w:eastAsia="x-none"/>
        </w:rPr>
        <w:t xml:space="preserve">Sobre los destinatarios de esta </w:t>
      </w:r>
      <w:r w:rsidR="00C001FC">
        <w:rPr>
          <w:rFonts w:ascii="Verdana" w:hAnsi="Verdana" w:cs="Arial"/>
          <w:bCs/>
          <w:lang w:val="es-MX" w:eastAsia="x-none"/>
        </w:rPr>
        <w:t>prohibición</w:t>
      </w:r>
      <w:r w:rsidR="0011394C">
        <w:rPr>
          <w:rFonts w:ascii="Verdana" w:hAnsi="Verdana" w:cs="Arial"/>
          <w:bCs/>
          <w:lang w:val="es-MX" w:eastAsia="x-none"/>
        </w:rPr>
        <w:t>, e</w:t>
      </w:r>
      <w:r w:rsidR="000813D1" w:rsidRPr="00A45D99">
        <w:rPr>
          <w:rFonts w:ascii="Verdana" w:hAnsi="Verdana" w:cs="Arial"/>
          <w:bCs/>
          <w:lang w:val="es-MX" w:eastAsia="x-none"/>
        </w:rPr>
        <w:t xml:space="preserve">l artículo 33 de la Ley 996 de 2005 señala expresamente a los destinatarios de la prohibición, en el sentido de que son </w:t>
      </w:r>
      <w:r w:rsidR="000813D1">
        <w:rPr>
          <w:rFonts w:ascii="Verdana" w:hAnsi="Verdana" w:cs="Arial"/>
          <w:bCs/>
          <w:lang w:val="es-MX" w:eastAsia="x-none"/>
        </w:rPr>
        <w:t>“</w:t>
      </w:r>
      <w:r w:rsidR="000813D1" w:rsidRPr="00A45D99">
        <w:rPr>
          <w:rFonts w:ascii="Verdana" w:hAnsi="Verdana" w:cs="Arial"/>
          <w:bCs/>
          <w:lang w:val="es-MX" w:eastAsia="x-none"/>
        </w:rPr>
        <w:t>todos los entes del Estado</w:t>
      </w:r>
      <w:r w:rsidR="000813D1">
        <w:rPr>
          <w:rFonts w:ascii="Verdana" w:hAnsi="Verdana" w:cs="Arial"/>
          <w:bCs/>
          <w:lang w:val="es-MX" w:eastAsia="x-none"/>
        </w:rPr>
        <w:t>”</w:t>
      </w:r>
      <w:r w:rsidR="000813D1" w:rsidRPr="00A45D99">
        <w:rPr>
          <w:rFonts w:ascii="Verdana" w:hAnsi="Verdana" w:cs="Arial"/>
          <w:bCs/>
          <w:lang w:val="es-MX" w:eastAsia="x-none"/>
        </w:rPr>
        <w:t>, expresión que contempla a los diferentes organismos o entidades autorizadas por la ley para suscribir contratos.</w:t>
      </w:r>
      <w:r w:rsidR="000813D1" w:rsidRPr="00A45D99">
        <w:rPr>
          <w:rFonts w:ascii="Verdana" w:hAnsi="Verdana" w:cs="Arial"/>
          <w:lang w:val="es-MX"/>
        </w:rPr>
        <w:t xml:space="preserve"> </w:t>
      </w:r>
      <w:r w:rsidR="000813D1" w:rsidRPr="00A45D99">
        <w:rPr>
          <w:rFonts w:ascii="Verdana" w:hAnsi="Verdana" w:cs="Arial"/>
          <w:bCs/>
          <w:lang w:val="es-MX" w:eastAsia="x-none"/>
        </w:rPr>
        <w:t xml:space="preserve">En efecto, tal como lo ha sostenido el Consejo de Estado, el vocablo </w:t>
      </w:r>
      <w:r w:rsidR="000813D1">
        <w:rPr>
          <w:rFonts w:ascii="Verdana" w:hAnsi="Verdana" w:cs="Arial"/>
          <w:bCs/>
          <w:lang w:val="es-MX" w:eastAsia="x-none"/>
        </w:rPr>
        <w:t>“</w:t>
      </w:r>
      <w:r w:rsidR="000813D1" w:rsidRPr="00A45D99">
        <w:rPr>
          <w:rFonts w:ascii="Verdana" w:hAnsi="Verdana" w:cs="Arial"/>
          <w:bCs/>
          <w:lang w:val="es-MX" w:eastAsia="x-none"/>
        </w:rPr>
        <w:t>todos</w:t>
      </w:r>
      <w:r w:rsidR="000813D1">
        <w:rPr>
          <w:rFonts w:ascii="Verdana" w:hAnsi="Verdana" w:cs="Arial"/>
          <w:bCs/>
          <w:lang w:val="es-MX" w:eastAsia="x-none"/>
        </w:rPr>
        <w:t>”</w:t>
      </w:r>
      <w:r w:rsidR="000813D1" w:rsidRPr="00A45D99">
        <w:rPr>
          <w:rFonts w:ascii="Verdana" w:hAnsi="Verdana" w:cs="Arial"/>
          <w:bCs/>
          <w:lang w:val="es-MX" w:eastAsia="x-none"/>
        </w:rPr>
        <w:t xml:space="preserve"> utilizado por el legislador comprende</w:t>
      </w:r>
      <w:r w:rsidR="000813D1" w:rsidRPr="00A45D99">
        <w:rPr>
          <w:rFonts w:ascii="Verdana" w:hAnsi="Verdana" w:cs="Arial"/>
          <w:lang w:val="es-MX"/>
        </w:rPr>
        <w:t xml:space="preserve"> </w:t>
      </w:r>
      <w:r w:rsidR="000813D1" w:rsidRPr="00A45D99">
        <w:rPr>
          <w:rFonts w:ascii="Verdana" w:hAnsi="Verdana" w:cs="Arial"/>
          <w:bCs/>
          <w:lang w:val="es-MX" w:eastAsia="x-none"/>
        </w:rPr>
        <w:t xml:space="preserve">a la totalidad de los entes del </w:t>
      </w:r>
      <w:r w:rsidR="000813D1" w:rsidRPr="00A45D99">
        <w:rPr>
          <w:rFonts w:ascii="Verdana" w:hAnsi="Verdana" w:cs="Arial"/>
          <w:bCs/>
          <w:lang w:val="es-MX" w:eastAsia="x-none"/>
        </w:rPr>
        <w:lastRenderedPageBreak/>
        <w:t xml:space="preserve">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 </w:t>
      </w:r>
    </w:p>
    <w:p w14:paraId="5E079150" w14:textId="6CBCB51F" w:rsidR="000813D1" w:rsidRPr="00A45D99" w:rsidRDefault="000813D1" w:rsidP="00992796">
      <w:pPr>
        <w:spacing w:after="0" w:line="240" w:lineRule="auto"/>
        <w:ind w:firstLine="709"/>
        <w:jc w:val="both"/>
        <w:rPr>
          <w:rFonts w:ascii="Verdana" w:hAnsi="Verdana" w:cs="Arial"/>
          <w:bCs/>
          <w:lang w:val="es-MX" w:eastAsia="x-none"/>
        </w:rPr>
      </w:pPr>
      <w:r w:rsidRPr="00A45D99">
        <w:rPr>
          <w:rFonts w:ascii="Verdana" w:hAnsi="Verdana" w:cs="Arial"/>
          <w:bCs/>
          <w:lang w:val="es-MX" w:eastAsia="x-none"/>
        </w:rPr>
        <w:t xml:space="preserve">El Consejo de Estado, en Concepto con radicado 1727 de fecha 20 de febrero de 2006, consideró que: </w:t>
      </w:r>
    </w:p>
    <w:p w14:paraId="1E7D5D8D" w14:textId="77777777" w:rsidR="00992796" w:rsidRPr="00A45D99" w:rsidRDefault="00992796" w:rsidP="00C001FC">
      <w:pPr>
        <w:spacing w:after="0" w:line="240" w:lineRule="auto"/>
        <w:ind w:firstLine="709"/>
        <w:jc w:val="both"/>
        <w:rPr>
          <w:rFonts w:ascii="Verdana" w:hAnsi="Verdana" w:cs="Arial"/>
          <w:bCs/>
          <w:lang w:val="es-MX" w:eastAsia="x-none"/>
        </w:rPr>
      </w:pPr>
    </w:p>
    <w:p w14:paraId="1BF5C796" w14:textId="4A7AA44B" w:rsidR="000813D1" w:rsidRDefault="000813D1" w:rsidP="00FD687D">
      <w:pPr>
        <w:spacing w:after="0" w:line="240" w:lineRule="auto"/>
        <w:ind w:left="708" w:right="709"/>
        <w:jc w:val="both"/>
        <w:rPr>
          <w:rFonts w:ascii="Verdana" w:hAnsi="Verdana" w:cs="Arial"/>
          <w:bCs/>
          <w:sz w:val="20"/>
          <w:szCs w:val="20"/>
          <w:lang w:val="es-MX" w:eastAsia="es-CO"/>
        </w:rPr>
      </w:pPr>
      <w:r w:rsidRPr="00A45D99">
        <w:rPr>
          <w:rFonts w:ascii="Verdana" w:hAnsi="Verdana" w:cs="Arial"/>
          <w:bCs/>
          <w:sz w:val="20"/>
          <w:szCs w:val="20"/>
          <w:lang w:val="es-MX" w:eastAsia="x-none"/>
        </w:rPr>
        <w:t>“El artículo 33 de la ley 996 de 2005, efectivamente se aplica incluso a las entidades estatales con régimen especial de contratación y que están exceptuadas del ámbito de aplicación del Estatuto General de Contratación de la Administración Pública, como por ejemplo los prestadores de servicios públicos domiciliarios (empresas de servicios públicos oficiales y empresas industriales y comerciales del Estado) y a los municipios prestadores directos, incluyendo las excepciones contenidas en el segundo inciso de esta norma”</w:t>
      </w:r>
      <w:r w:rsidRPr="00A45D99">
        <w:rPr>
          <w:rFonts w:ascii="Verdana" w:hAnsi="Verdana" w:cs="Arial"/>
          <w:bCs/>
          <w:sz w:val="20"/>
          <w:szCs w:val="20"/>
          <w:vertAlign w:val="superscript"/>
          <w:lang w:val="es-MX" w:eastAsia="x-none"/>
        </w:rPr>
        <w:footnoteReference w:id="11"/>
      </w:r>
      <w:r w:rsidRPr="00A45D99">
        <w:rPr>
          <w:rFonts w:ascii="Verdana" w:hAnsi="Verdana" w:cs="Arial"/>
          <w:bCs/>
          <w:sz w:val="20"/>
          <w:szCs w:val="20"/>
          <w:lang w:val="es-MX" w:eastAsia="x-none"/>
        </w:rPr>
        <w:t>.</w:t>
      </w:r>
      <w:r w:rsidRPr="00A45D99">
        <w:rPr>
          <w:rFonts w:ascii="Verdana" w:hAnsi="Verdana" w:cs="Arial"/>
          <w:bCs/>
          <w:sz w:val="20"/>
          <w:szCs w:val="20"/>
          <w:lang w:val="es-MX" w:eastAsia="es-CO"/>
        </w:rPr>
        <w:t xml:space="preserve"> </w:t>
      </w:r>
    </w:p>
    <w:p w14:paraId="5DFDA251" w14:textId="77777777" w:rsidR="00992796" w:rsidRPr="00C001FC" w:rsidRDefault="00992796" w:rsidP="00C001FC">
      <w:pPr>
        <w:spacing w:after="0" w:line="276" w:lineRule="auto"/>
        <w:ind w:left="708" w:right="709"/>
        <w:jc w:val="both"/>
        <w:rPr>
          <w:rFonts w:ascii="Verdana" w:hAnsi="Verdana" w:cs="Arial"/>
          <w:bCs/>
          <w:lang w:val="es-MX" w:eastAsia="es-CO"/>
        </w:rPr>
      </w:pPr>
    </w:p>
    <w:p w14:paraId="22661803" w14:textId="77777777" w:rsidR="00456A87" w:rsidRPr="00380CA4" w:rsidRDefault="00456A87" w:rsidP="00456A87">
      <w:pPr>
        <w:spacing w:after="0" w:line="276" w:lineRule="auto"/>
        <w:ind w:firstLine="708"/>
        <w:jc w:val="both"/>
        <w:rPr>
          <w:rFonts w:ascii="Verdana" w:eastAsia="Calibri" w:hAnsi="Verdana" w:cs="Arial"/>
        </w:rPr>
      </w:pPr>
      <w:r w:rsidRPr="00380CA4">
        <w:rPr>
          <w:rFonts w:ascii="Verdana" w:eastAsia="Times New Roman" w:hAnsi="Verdana" w:cs="Arial"/>
          <w:bCs/>
          <w:lang w:eastAsia="x-none"/>
        </w:rPr>
        <w:t>De igual forma, en Concepto con radicado 1738 del 6 de abril de 2006, esa misma Corporación manifestó que “Las restricciones de la Ley de Garantías en materia de contratación directa y celebración de convenios interadministrativos, se aplican a las empresas industriales y comerciales del Estado y a las Sociedades de Economía Mixta, salvo cuando la celebración de un convenio interadministrativo sea ordenada, para ambas partes, por el Legislador”</w:t>
      </w:r>
      <w:r w:rsidRPr="00380CA4">
        <w:rPr>
          <w:rFonts w:ascii="Verdana" w:eastAsia="Calibri" w:hAnsi="Verdana" w:cs="Arial"/>
          <w:sz w:val="24"/>
          <w:vertAlign w:val="superscript"/>
        </w:rPr>
        <w:footnoteReference w:id="12"/>
      </w:r>
      <w:r w:rsidRPr="00380CA4">
        <w:rPr>
          <w:rFonts w:ascii="Verdana" w:eastAsia="Times New Roman" w:hAnsi="Verdana" w:cs="Arial"/>
          <w:bCs/>
          <w:lang w:eastAsia="x-none"/>
        </w:rPr>
        <w:t>.</w:t>
      </w:r>
      <w:r w:rsidRPr="00380CA4">
        <w:rPr>
          <w:rFonts w:ascii="Verdana" w:eastAsia="Calibri" w:hAnsi="Verdana" w:cs="Arial"/>
        </w:rPr>
        <w:t xml:space="preserve"> Además, la Sala de Consulta y Servicio Civil del Consejo de Estado realizó la siguiente distinción, retomando el pronunciamiento de la misma sala del 20 de febrero de 2006, citado anteriormente:</w:t>
      </w:r>
    </w:p>
    <w:p w14:paraId="41B3EDC7" w14:textId="77777777" w:rsidR="00456A87" w:rsidRPr="00380CA4" w:rsidRDefault="00456A87" w:rsidP="00456A87">
      <w:pPr>
        <w:spacing w:after="0" w:line="276" w:lineRule="auto"/>
        <w:jc w:val="both"/>
        <w:rPr>
          <w:rFonts w:ascii="Verdana" w:eastAsia="Calibri" w:hAnsi="Verdana" w:cs="Arial"/>
        </w:rPr>
      </w:pPr>
    </w:p>
    <w:p w14:paraId="2EB5CF19" w14:textId="77777777" w:rsidR="00456A87" w:rsidRPr="00380CA4" w:rsidRDefault="00456A87" w:rsidP="00456A87">
      <w:pPr>
        <w:spacing w:after="0" w:line="240" w:lineRule="auto"/>
        <w:ind w:left="708" w:right="709"/>
        <w:jc w:val="both"/>
        <w:rPr>
          <w:rFonts w:ascii="Verdana" w:eastAsia="Calibri" w:hAnsi="Verdana" w:cs="Arial"/>
          <w:sz w:val="20"/>
          <w:szCs w:val="20"/>
        </w:rPr>
      </w:pPr>
      <w:r w:rsidRPr="00380CA4">
        <w:rPr>
          <w:rFonts w:ascii="Verdana" w:eastAsia="Calibri" w:hAnsi="Verdana" w:cs="Arial"/>
          <w:sz w:val="20"/>
          <w:szCs w:val="20"/>
        </w:rPr>
        <w:t xml:space="preserve">En el concepto No. 1727 de fecha 20 de febrero de 2006, ésta Sala distinguió dos clases de contratos en relación con las empresas de </w:t>
      </w:r>
      <w:r w:rsidRPr="00380CA4">
        <w:rPr>
          <w:rFonts w:ascii="Verdana" w:eastAsia="Calibri" w:hAnsi="Verdana" w:cs="Arial"/>
          <w:sz w:val="20"/>
          <w:szCs w:val="20"/>
        </w:rPr>
        <w:lastRenderedPageBreak/>
        <w:t>servicios públicos domiciliarios: unos, en los que la posición de la empresa es la de consumidora de las prestaciones objeto del contrato, que utiliza para la prestación de los servicios a su cargo, y los otros, en los que la empresa entrega esos servicios a los usuarios, conforme a unas reglas uniformes para todos ellos y sin que haya privilegios o tratos desiguales. En los primeros contratos, es claro que la empresa debe adquirir esos bienes previa licitación pública, según se expuso anteriormente, pero en el segundo caso, 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p>
    <w:p w14:paraId="0FD6C9D4" w14:textId="77777777" w:rsidR="00456A87" w:rsidRPr="00380CA4" w:rsidRDefault="00456A87" w:rsidP="00456A87">
      <w:pPr>
        <w:spacing w:after="0" w:line="240" w:lineRule="auto"/>
        <w:ind w:left="708" w:right="709"/>
        <w:jc w:val="both"/>
        <w:rPr>
          <w:rFonts w:ascii="Verdana" w:eastAsia="Calibri" w:hAnsi="Verdana" w:cs="Arial"/>
          <w:sz w:val="20"/>
          <w:szCs w:val="20"/>
        </w:rPr>
      </w:pPr>
    </w:p>
    <w:p w14:paraId="3E097207" w14:textId="77777777" w:rsidR="00456A87" w:rsidRPr="00380CA4" w:rsidRDefault="00456A87" w:rsidP="00456A87">
      <w:pPr>
        <w:spacing w:after="0" w:line="240" w:lineRule="auto"/>
        <w:ind w:left="708" w:right="709"/>
        <w:jc w:val="both"/>
        <w:rPr>
          <w:rFonts w:ascii="Verdana" w:eastAsia="Calibri" w:hAnsi="Verdana" w:cs="Arial"/>
          <w:sz w:val="20"/>
          <w:szCs w:val="20"/>
        </w:rPr>
      </w:pPr>
      <w:r w:rsidRPr="00380CA4">
        <w:rPr>
          <w:rFonts w:ascii="Verdana" w:eastAsia="Times New Roman" w:hAnsi="Verdana" w:cs="Arial"/>
          <w:bCs/>
          <w:sz w:val="20"/>
          <w:szCs w:val="20"/>
          <w:lang w:eastAsia="x-none"/>
        </w:rPr>
        <w:t>Aplicando este razonamiento a los establecimientos de crédito, a las sociedades de servicios financieros y a las entidades aseguradoras, encontramos que no pueden adquirir los suministros de bienes y servicios necesarios para la realización de su actividad por contratación directa sino por el mecanismo de la licitación pública, pero es obvio que si una de éstas entidades va a prestar un servicio financiero o de seguros a un particular, lo puede hacer, pues éstos se ofrecen a toda la comunidad en condiciones de igualdad. Si se supusiera que está prohibida su contratación directa, significaría la parálisis de tal actividad de interés público, lo que de ninguna manera es lo querido por la ley 996 de 2005</w:t>
      </w:r>
      <w:r w:rsidRPr="00380CA4">
        <w:rPr>
          <w:rFonts w:ascii="Verdana" w:eastAsia="Calibri" w:hAnsi="Verdana" w:cs="Arial"/>
          <w:sz w:val="20"/>
          <w:szCs w:val="20"/>
          <w:vertAlign w:val="superscript"/>
        </w:rPr>
        <w:footnoteReference w:id="13"/>
      </w:r>
      <w:r w:rsidRPr="00380CA4">
        <w:rPr>
          <w:rFonts w:ascii="Verdana" w:eastAsia="Times New Roman" w:hAnsi="Verdana" w:cs="Arial"/>
          <w:bCs/>
          <w:sz w:val="20"/>
          <w:szCs w:val="20"/>
          <w:lang w:eastAsia="x-none"/>
        </w:rPr>
        <w:t>.</w:t>
      </w:r>
    </w:p>
    <w:p w14:paraId="0B68503C" w14:textId="77777777" w:rsidR="00456A87" w:rsidRPr="00380CA4" w:rsidRDefault="00456A87" w:rsidP="00456A87">
      <w:pPr>
        <w:spacing w:after="0" w:line="276" w:lineRule="auto"/>
        <w:jc w:val="both"/>
        <w:rPr>
          <w:rFonts w:ascii="Verdana" w:eastAsia="Calibri" w:hAnsi="Verdana" w:cs="Arial"/>
        </w:rPr>
      </w:pPr>
    </w:p>
    <w:p w14:paraId="3BDAD188" w14:textId="77777777" w:rsidR="00456A87" w:rsidRDefault="00456A87" w:rsidP="00456A87">
      <w:pPr>
        <w:spacing w:after="0" w:line="276" w:lineRule="auto"/>
        <w:ind w:firstLine="709"/>
        <w:jc w:val="both"/>
        <w:rPr>
          <w:rFonts w:ascii="Verdana" w:eastAsiaTheme="minorEastAsia" w:hAnsi="Verdana" w:cs="Arial"/>
          <w:lang w:eastAsia="es-CO"/>
        </w:rPr>
      </w:pPr>
      <w:r w:rsidRPr="00380CA4">
        <w:rPr>
          <w:rFonts w:ascii="Verdana" w:eastAsia="Calibri" w:hAnsi="Verdana" w:cs="Arial"/>
        </w:rPr>
        <w:t xml:space="preserve">De acuerdo con estos pronunciamientos de la Sala de Consulta y Servicio Civil del Consejo de Estado, la prohibición de la contratación directa también aplica frente a las entidades exceptuadas de la aplicación del EGCAP y que se rigen en materia contractual por el derecho privado. Sin embargo, señaló que </w:t>
      </w:r>
      <w:r>
        <w:rPr>
          <w:rFonts w:ascii="Verdana" w:eastAsia="Calibri" w:hAnsi="Verdana" w:cs="Arial"/>
        </w:rPr>
        <w:t>l</w:t>
      </w:r>
      <w:r w:rsidRPr="00C15179">
        <w:rPr>
          <w:rFonts w:ascii="Verdana" w:eastAsia="Times New Roman" w:hAnsi="Verdana" w:cs="Arial"/>
          <w:bCs/>
          <w:lang w:val="es-ES" w:eastAsia="es-CO"/>
        </w:rPr>
        <w:t>a Sala de Consulta y Servicio Civil del Consejo de Estado ha señalado que las restricciones de la Ley de Garantías Electorales deben interpretarse con especial cuidado cuando se trata de Empresas de Servicios Públicos Domiciliarios. En el Concepto 1727 de 2006, la Sala precisó que, aunque la norma limita la contratación directa durante la campaña presidencial, existen excepciones justificadas por razones de orden público social, particularmente en lo relacionado con la prestación de servicios públicos esenciales</w:t>
      </w:r>
      <w:r>
        <w:rPr>
          <w:rFonts w:ascii="Verdana" w:eastAsia="Times New Roman" w:hAnsi="Verdana" w:cs="Arial"/>
          <w:bCs/>
          <w:lang w:val="es-ES" w:eastAsia="es-CO"/>
        </w:rPr>
        <w:t>. Al respecto, expresó</w:t>
      </w:r>
      <w:r>
        <w:rPr>
          <w:rFonts w:ascii="Verdana" w:eastAsia="Calibri" w:hAnsi="Verdana" w:cs="Arial"/>
          <w:lang w:val="es-MX"/>
        </w:rPr>
        <w:t>:</w:t>
      </w:r>
    </w:p>
    <w:p w14:paraId="54A53009" w14:textId="77777777" w:rsidR="00456A87" w:rsidRDefault="00456A87" w:rsidP="00456A87">
      <w:pPr>
        <w:spacing w:after="0" w:line="276" w:lineRule="auto"/>
        <w:ind w:left="709" w:right="709"/>
        <w:jc w:val="both"/>
        <w:rPr>
          <w:rFonts w:ascii="Verdana" w:eastAsia="Calibri" w:hAnsi="Verdana" w:cs="Arial"/>
          <w:sz w:val="20"/>
          <w:szCs w:val="20"/>
        </w:rPr>
      </w:pPr>
    </w:p>
    <w:p w14:paraId="6030BD1B" w14:textId="77777777" w:rsidR="00456A87" w:rsidRDefault="00456A87" w:rsidP="00456A87">
      <w:pPr>
        <w:spacing w:after="0" w:line="240" w:lineRule="auto"/>
        <w:ind w:left="709" w:right="709"/>
        <w:jc w:val="both"/>
        <w:rPr>
          <w:rFonts w:ascii="Verdana" w:eastAsia="Times New Roman" w:hAnsi="Verdana" w:cs="Arial"/>
          <w:lang w:eastAsia="es-CO"/>
        </w:rPr>
      </w:pPr>
      <w:r w:rsidRPr="002D1225">
        <w:rPr>
          <w:rFonts w:ascii="Verdana" w:eastAsia="Calibri" w:hAnsi="Verdana" w:cs="Arial"/>
          <w:sz w:val="20"/>
          <w:szCs w:val="20"/>
        </w:rPr>
        <w:t xml:space="preserve">“[…] en la medida en que los reglamentos internos de una empresa de servicios públicos domiciliarios determinen que la adquisición de algún insumo esencial para la prestación del servicio se realice por contratación </w:t>
      </w:r>
      <w:r w:rsidRPr="002D1225">
        <w:rPr>
          <w:rFonts w:ascii="Verdana" w:eastAsia="Calibri" w:hAnsi="Verdana" w:cs="Arial"/>
          <w:sz w:val="20"/>
          <w:szCs w:val="20"/>
        </w:rPr>
        <w:lastRenderedPageBreak/>
        <w:t xml:space="preserve">directa, y que mientras se adelanta el trámite de la licitación pública del artículo 860 del código de comercio puede verse suspendido o gravemente afectado el servicio a su cargo, para evitar esta emergencia puede acudir a la contratación directa, pues se encontraría dentro de la excepción a la prohibición por causa de la sanidad y del mantenimiento del orden público en su elemento de salubridad, esenciales a la organización del Estado. Se anota que frente a los servicios públicos domiciliarios, los usuarios tienen un derecho subjetivo a su prestación, que en veces está en conexión con los derechos fundamentales, como en el caso de los servicios del acueducto, alcantarillado, saneamiento básico, </w:t>
      </w:r>
      <w:proofErr w:type="spellStart"/>
      <w:r w:rsidRPr="002D1225">
        <w:rPr>
          <w:rFonts w:ascii="Verdana" w:eastAsia="Calibri" w:hAnsi="Verdana" w:cs="Arial"/>
          <w:sz w:val="20"/>
          <w:szCs w:val="20"/>
        </w:rPr>
        <w:t>etc</w:t>
      </w:r>
      <w:proofErr w:type="spellEnd"/>
      <w:r>
        <w:rPr>
          <w:rFonts w:ascii="Verdana" w:eastAsia="Calibri" w:hAnsi="Verdana" w:cs="Arial"/>
          <w:lang w:val="es-MX"/>
        </w:rPr>
        <w:t>”</w:t>
      </w:r>
      <w:r w:rsidRPr="0057193B">
        <w:rPr>
          <w:rFonts w:ascii="Verdana" w:eastAsia="Calibri" w:hAnsi="Verdana" w:cs="Arial"/>
          <w:vertAlign w:val="superscript"/>
          <w:lang w:val="es-MX"/>
        </w:rPr>
        <w:footnoteReference w:id="14"/>
      </w:r>
      <w:r w:rsidRPr="0057193B">
        <w:rPr>
          <w:rFonts w:ascii="Verdana" w:eastAsia="Calibri" w:hAnsi="Verdana" w:cs="Arial"/>
          <w:lang w:val="es-MX"/>
        </w:rPr>
        <w:t>.</w:t>
      </w:r>
      <w:r w:rsidRPr="0057193B">
        <w:rPr>
          <w:rFonts w:ascii="Verdana" w:eastAsia="Times New Roman" w:hAnsi="Verdana" w:cs="Arial"/>
          <w:lang w:eastAsia="es-CO"/>
        </w:rPr>
        <w:t xml:space="preserve"> </w:t>
      </w:r>
    </w:p>
    <w:p w14:paraId="02FC4169" w14:textId="77777777" w:rsidR="00456A87" w:rsidRDefault="00456A87" w:rsidP="00C001FC">
      <w:pPr>
        <w:spacing w:after="0" w:line="276" w:lineRule="auto"/>
        <w:ind w:firstLine="708"/>
        <w:jc w:val="both"/>
        <w:rPr>
          <w:rFonts w:ascii="Verdana" w:hAnsi="Verdana" w:cs="Arial"/>
          <w:lang w:val="es-MX"/>
        </w:rPr>
      </w:pPr>
    </w:p>
    <w:p w14:paraId="3EF69764" w14:textId="07B9EE6B" w:rsidR="000813D1" w:rsidRPr="00E2397D" w:rsidRDefault="000813D1" w:rsidP="00C001FC">
      <w:pPr>
        <w:spacing w:line="276" w:lineRule="auto"/>
        <w:ind w:firstLine="708"/>
        <w:jc w:val="both"/>
        <w:rPr>
          <w:rFonts w:ascii="Verdana" w:eastAsia="Arial" w:hAnsi="Verdana" w:cs="Arial"/>
          <w:lang w:val="es-ES" w:eastAsia="es-ES" w:bidi="es-ES"/>
        </w:rPr>
      </w:pPr>
      <w:r w:rsidRPr="00A45D99">
        <w:rPr>
          <w:rFonts w:ascii="Verdana" w:hAnsi="Verdana" w:cs="Arial"/>
          <w:lang w:val="es-MX"/>
        </w:rPr>
        <w:t xml:space="preserve">Por lo tanto, </w:t>
      </w:r>
      <w:r w:rsidRPr="00E2397D">
        <w:rPr>
          <w:rFonts w:ascii="Verdana" w:eastAsia="Calibri" w:hAnsi="Verdana" w:cs="Arial"/>
          <w:lang w:eastAsia="es-ES" w:bidi="es-ES"/>
        </w:rPr>
        <w:t xml:space="preserve">para </w:t>
      </w:r>
      <w:r>
        <w:rPr>
          <w:rFonts w:ascii="Verdana" w:eastAsia="Calibri" w:hAnsi="Verdana" w:cs="Arial"/>
          <w:lang w:eastAsia="es-ES" w:bidi="es-ES"/>
        </w:rPr>
        <w:t xml:space="preserve">responder al problema jurídico </w:t>
      </w:r>
      <w:r w:rsidRPr="00E2397D">
        <w:rPr>
          <w:rFonts w:ascii="Verdana" w:eastAsia="Calibri" w:hAnsi="Verdana" w:cs="Arial"/>
          <w:lang w:eastAsia="es-ES" w:bidi="es-ES"/>
        </w:rPr>
        <w:t xml:space="preserve">planteado </w:t>
      </w:r>
      <w:r w:rsidRPr="00835080">
        <w:rPr>
          <w:rFonts w:ascii="Verdana" w:eastAsia="Calibri" w:hAnsi="Verdana" w:cs="Arial"/>
          <w:lang w:eastAsia="es-ES" w:bidi="es-ES"/>
        </w:rPr>
        <w:t>es preciso señalar que la restricción prevista en la Ley 996 de 2005, atendiendo a la finalidad de la Ley de Garantías Electorales</w:t>
      </w:r>
      <w:r w:rsidRPr="00A45D99">
        <w:rPr>
          <w:rFonts w:ascii="Verdana" w:hAnsi="Verdana" w:cs="Arial"/>
          <w:bCs/>
          <w:lang w:val="es-MX" w:eastAsia="x-none"/>
        </w:rPr>
        <w:t>, cobija a cualquier ente público que pueda a través de la contratación directa romper el equilibrio entre los candidatos en desarrollo de las elecciones presidenciales. Tampoco existe un supuesto de exoneración a la prohibición por tener un régimen especial</w:t>
      </w:r>
      <w:r w:rsidR="00992796">
        <w:rPr>
          <w:rFonts w:ascii="Verdana" w:hAnsi="Verdana" w:cs="Arial"/>
          <w:bCs/>
          <w:lang w:val="es-MX" w:eastAsia="x-none"/>
        </w:rPr>
        <w:t>, como el que describe en su consulta,</w:t>
      </w:r>
      <w:r w:rsidRPr="00A45D99">
        <w:rPr>
          <w:rFonts w:ascii="Verdana" w:hAnsi="Verdana" w:cs="Arial"/>
          <w:bCs/>
          <w:lang w:val="es-MX" w:eastAsia="x-none"/>
        </w:rPr>
        <w:t xml:space="preserve"> de los actos o contratos, pues, la posibilidad de que los entes del Estado utilicen la contratación con fines políticos, esto es, con la intención de influir a los electores y alterar la voluntad popular en las contiendas electorales, se puede presentar tanto en la contratación regulada por la Ley 80 de 1993 como en la regida por el Derecho Privado.</w:t>
      </w:r>
    </w:p>
    <w:p w14:paraId="151A9F43" w14:textId="6779DC48" w:rsidR="000813D1" w:rsidRDefault="000813D1" w:rsidP="00992796">
      <w:pPr>
        <w:tabs>
          <w:tab w:val="left" w:pos="426"/>
        </w:tabs>
        <w:spacing w:after="0" w:line="276" w:lineRule="auto"/>
        <w:ind w:firstLine="709"/>
        <w:jc w:val="both"/>
        <w:rPr>
          <w:rFonts w:ascii="Verdana" w:eastAsia="Times New Roman" w:hAnsi="Verdana" w:cs="Arial"/>
          <w:lang w:eastAsia="es-CO"/>
        </w:rPr>
      </w:pPr>
      <w:r w:rsidRPr="00E2397D">
        <w:rPr>
          <w:rFonts w:ascii="Verdana" w:eastAsia="Arial" w:hAnsi="Verdana" w:cs="Arial"/>
          <w:lang w:val="es-ES" w:eastAsia="es-ES" w:bidi="es-ES"/>
        </w:rPr>
        <w:t xml:space="preserve">Ahora bien, </w:t>
      </w:r>
      <w:r>
        <w:rPr>
          <w:rFonts w:ascii="Verdana" w:eastAsia="Calibri" w:hAnsi="Verdana" w:cs="Arial"/>
          <w:lang w:eastAsia="es-ES" w:bidi="es-ES"/>
        </w:rPr>
        <w:t>en cuanto al</w:t>
      </w:r>
      <w:r w:rsidRPr="00E2397D">
        <w:rPr>
          <w:rFonts w:ascii="Verdana" w:eastAsia="Calibri" w:hAnsi="Verdana" w:cs="Arial"/>
          <w:lang w:eastAsia="es-ES" w:bidi="es-ES"/>
        </w:rPr>
        <w:t xml:space="preserve"> alcance de la prohibición </w:t>
      </w:r>
      <w:r w:rsidRPr="00E2397D">
        <w:rPr>
          <w:rFonts w:ascii="Verdana" w:eastAsia="Arial" w:hAnsi="Verdana" w:cs="Arial"/>
          <w:lang w:val="es-ES" w:eastAsia="es-ES" w:bidi="es-ES"/>
        </w:rPr>
        <w:t>establecida en e</w:t>
      </w:r>
      <w:r w:rsidRPr="00E2397D">
        <w:rPr>
          <w:rFonts w:ascii="Verdana" w:eastAsia="Calibri" w:hAnsi="Verdana" w:cs="Arial"/>
        </w:rPr>
        <w:t xml:space="preserve">l </w:t>
      </w:r>
      <w:r w:rsidRPr="3A5322BA">
        <w:rPr>
          <w:rFonts w:ascii="Verdana" w:eastAsia="Times New Roman" w:hAnsi="Verdana" w:cs="Arial"/>
          <w:lang w:val="es-MX"/>
        </w:rPr>
        <w:t>artículo 33 de la Ley 996 de 2005</w:t>
      </w:r>
      <w:r>
        <w:rPr>
          <w:rFonts w:ascii="Verdana" w:eastAsia="Times New Roman" w:hAnsi="Verdana" w:cs="Arial"/>
          <w:lang w:val="es-MX"/>
        </w:rPr>
        <w:t>, es menester precisar que e</w:t>
      </w:r>
      <w:r w:rsidRPr="3A5322BA">
        <w:rPr>
          <w:rFonts w:ascii="Verdana" w:eastAsia="Times New Roman" w:hAnsi="Verdana" w:cs="Arial"/>
          <w:lang w:val="es-MX"/>
        </w:rPr>
        <w:t xml:space="preserve">l ámbito material de la prohibición contenida en esta disposición está delimitado por la expresión </w:t>
      </w:r>
      <w:r w:rsidRPr="3A5322BA">
        <w:rPr>
          <w:rFonts w:ascii="Verdana" w:eastAsia="Calibri" w:hAnsi="Verdana" w:cs="Arial"/>
          <w:lang w:val="es-MX"/>
        </w:rPr>
        <w:t>“</w:t>
      </w:r>
      <w:r w:rsidRPr="3A5322BA">
        <w:rPr>
          <w:rFonts w:ascii="Verdana" w:eastAsia="Times New Roman" w:hAnsi="Verdana" w:cs="Arial"/>
          <w:lang w:val="es-MX"/>
        </w:rPr>
        <w:t>queda prohibida la contratación directa</w:t>
      </w:r>
      <w:r w:rsidRPr="3A5322BA">
        <w:rPr>
          <w:rFonts w:ascii="Verdana" w:eastAsia="Calibri" w:hAnsi="Verdana" w:cs="Arial"/>
          <w:lang w:val="es-MX"/>
        </w:rPr>
        <w:t>”</w:t>
      </w:r>
      <w:r w:rsidRPr="3A5322BA">
        <w:rPr>
          <w:rFonts w:ascii="Verdana" w:eastAsia="Times New Roman" w:hAnsi="Verdana" w:cs="Arial"/>
          <w:lang w:val="es-MX"/>
        </w:rPr>
        <w:t xml:space="preserve">. </w:t>
      </w:r>
      <w:r w:rsidRPr="0057193B">
        <w:rPr>
          <w:rFonts w:ascii="Verdana" w:eastAsia="Times New Roman" w:hAnsi="Verdana" w:cs="Arial"/>
          <w:lang w:val="es-MX" w:eastAsia="es-CO"/>
        </w:rPr>
        <w:t xml:space="preserve">A propósito de </w:t>
      </w:r>
      <w:r w:rsidRPr="0057193B">
        <w:rPr>
          <w:rFonts w:ascii="Verdana" w:eastAsia="Times New Roman" w:hAnsi="Verdana" w:cs="Arial"/>
          <w:lang w:eastAsia="es-CO"/>
        </w:rPr>
        <w:t>esta restricción de la Ley de Garantías Electorales, la Sala de Consulta y Servicio Civil del Consejo de Estado ha considerado que:</w:t>
      </w:r>
    </w:p>
    <w:p w14:paraId="49049936" w14:textId="77777777" w:rsidR="00992796" w:rsidRPr="00B47DF7" w:rsidRDefault="00992796" w:rsidP="00C001FC">
      <w:pPr>
        <w:tabs>
          <w:tab w:val="left" w:pos="426"/>
        </w:tabs>
        <w:spacing w:after="0" w:line="276" w:lineRule="auto"/>
        <w:ind w:firstLine="709"/>
        <w:jc w:val="both"/>
        <w:rPr>
          <w:rFonts w:ascii="Verdana" w:eastAsia="Calibri" w:hAnsi="Verdana" w:cs="Arial"/>
          <w:lang w:val="es-ES"/>
        </w:rPr>
      </w:pPr>
    </w:p>
    <w:p w14:paraId="2EEE8AC5" w14:textId="31189CA1" w:rsidR="000813D1" w:rsidRPr="005F5922" w:rsidRDefault="00992796" w:rsidP="00992796">
      <w:pPr>
        <w:spacing w:after="0" w:line="240" w:lineRule="auto"/>
        <w:ind w:left="709" w:right="709"/>
        <w:jc w:val="both"/>
        <w:rPr>
          <w:rFonts w:ascii="Verdana" w:eastAsia="Calibri" w:hAnsi="Verdana" w:cs="Arial"/>
          <w:sz w:val="20"/>
          <w:szCs w:val="20"/>
          <w:lang w:val="es-MX"/>
        </w:rPr>
      </w:pPr>
      <w:r>
        <w:rPr>
          <w:rFonts w:ascii="Verdana" w:eastAsia="Calibri" w:hAnsi="Verdana" w:cs="Arial"/>
          <w:sz w:val="20"/>
          <w:szCs w:val="20"/>
          <w:lang w:val="es-MX"/>
        </w:rPr>
        <w:t>“</w:t>
      </w:r>
      <w:r w:rsidR="000813D1" w:rsidRPr="00633C68">
        <w:rPr>
          <w:rFonts w:ascii="Verdana" w:eastAsia="Calibri" w:hAnsi="Verdana" w:cs="Arial"/>
          <w:sz w:val="20"/>
          <w:szCs w:val="20"/>
          <w:lang w:val="es-MX"/>
        </w:rPr>
        <w:t>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(numeral 4, artículo 2, ley 1150 de 2007), y cumpliendo siempre los principios que rigen la contratación pública</w:t>
      </w:r>
      <w:r w:rsidR="000813D1" w:rsidRPr="00633C68">
        <w:rPr>
          <w:rFonts w:ascii="Verdana" w:eastAsia="Times New Roman" w:hAnsi="Verdana" w:cs="Arial"/>
          <w:sz w:val="20"/>
          <w:szCs w:val="20"/>
          <w:vertAlign w:val="superscript"/>
          <w:lang w:eastAsia="es-CO"/>
        </w:rPr>
        <w:footnoteReference w:id="15"/>
      </w:r>
      <w:r w:rsidR="000813D1" w:rsidRPr="00633C68">
        <w:rPr>
          <w:rFonts w:ascii="Verdana" w:eastAsia="Calibri" w:hAnsi="Verdana" w:cs="Arial"/>
          <w:sz w:val="20"/>
          <w:szCs w:val="20"/>
          <w:lang w:val="es-MX"/>
        </w:rPr>
        <w:t>.</w:t>
      </w:r>
    </w:p>
    <w:p w14:paraId="183DA821" w14:textId="77777777" w:rsidR="00992796" w:rsidRPr="005F5922" w:rsidRDefault="00992796" w:rsidP="00C001FC">
      <w:pPr>
        <w:spacing w:after="0" w:line="240" w:lineRule="auto"/>
        <w:ind w:left="709" w:right="709"/>
        <w:jc w:val="both"/>
        <w:rPr>
          <w:rFonts w:ascii="Verdana" w:eastAsia="Calibri" w:hAnsi="Verdana" w:cs="Arial"/>
          <w:sz w:val="20"/>
          <w:szCs w:val="20"/>
          <w:lang w:val="es-MX"/>
        </w:rPr>
      </w:pPr>
    </w:p>
    <w:p w14:paraId="2B1E2E9D" w14:textId="5F202CF8" w:rsidR="000813D1" w:rsidRPr="003B617E" w:rsidRDefault="000813D1" w:rsidP="00992796">
      <w:pPr>
        <w:spacing w:after="0" w:line="240" w:lineRule="auto"/>
        <w:ind w:left="709" w:right="709"/>
        <w:jc w:val="both"/>
        <w:rPr>
          <w:rFonts w:ascii="Verdana" w:eastAsia="Calibri" w:hAnsi="Verdana" w:cs="Arial"/>
          <w:sz w:val="20"/>
          <w:szCs w:val="20"/>
          <w:lang w:val="es-MX"/>
        </w:rPr>
      </w:pPr>
      <w:r w:rsidRPr="00633C68">
        <w:rPr>
          <w:rFonts w:ascii="Verdana" w:eastAsia="Calibri" w:hAnsi="Verdana" w:cs="Arial"/>
          <w:sz w:val="20"/>
          <w:szCs w:val="20"/>
          <w:lang w:val="es-MX"/>
        </w:rPr>
        <w:t xml:space="preserve">Esta Sala ha entendido </w:t>
      </w:r>
      <w:proofErr w:type="gramStart"/>
      <w:r w:rsidRPr="00633C68">
        <w:rPr>
          <w:rFonts w:ascii="Verdana" w:eastAsia="Calibri" w:hAnsi="Verdana" w:cs="Arial"/>
          <w:sz w:val="20"/>
          <w:szCs w:val="20"/>
          <w:lang w:val="es-MX"/>
        </w:rPr>
        <w:t>que</w:t>
      </w:r>
      <w:proofErr w:type="gramEnd"/>
      <w:r>
        <w:rPr>
          <w:rFonts w:ascii="Verdana" w:eastAsia="Calibri" w:hAnsi="Verdana" w:cs="Arial"/>
          <w:sz w:val="20"/>
          <w:szCs w:val="20"/>
          <w:lang w:val="es-MX"/>
        </w:rPr>
        <w:t xml:space="preserve"> </w:t>
      </w:r>
      <w:r w:rsidRPr="00633C68">
        <w:rPr>
          <w:rFonts w:ascii="Verdana" w:eastAsia="Calibri" w:hAnsi="Verdana" w:cs="Arial"/>
          <w:sz w:val="20"/>
          <w:szCs w:val="20"/>
          <w:lang w:val="es-MX"/>
        </w:rPr>
        <w:t>para los efectos de la ley de garantías, y dada su finalidad, el enunciado ´contratación directa´ es sinónimo de cualquier sistema que no implique convocatoria pública y posibilidad de pluralidad de oferentes, y que, además, no necesariamente hace referencia al procedimiento especial regulado por la ley de contratación estatal, sino a cualquier otro que prescinda de un proceso de licitación pública o concurso</w:t>
      </w:r>
      <w:r w:rsidRPr="00633C68">
        <w:rPr>
          <w:rFonts w:ascii="Verdana" w:eastAsia="Times New Roman" w:hAnsi="Verdana" w:cs="Arial"/>
          <w:sz w:val="20"/>
          <w:szCs w:val="20"/>
          <w:vertAlign w:val="superscript"/>
          <w:lang w:val="es-MX"/>
        </w:rPr>
        <w:footnoteReference w:id="16"/>
      </w:r>
      <w:r w:rsidRPr="00633C68">
        <w:rPr>
          <w:rFonts w:ascii="Verdana" w:eastAsia="Times New Roman" w:hAnsi="Verdana" w:cs="Arial"/>
          <w:sz w:val="20"/>
          <w:szCs w:val="20"/>
          <w:vertAlign w:val="superscript"/>
          <w:lang w:val="es-MX"/>
        </w:rPr>
        <w:t>.</w:t>
      </w:r>
      <w:r w:rsidRPr="00633C68">
        <w:rPr>
          <w:rFonts w:ascii="Verdana" w:eastAsia="Calibri" w:hAnsi="Verdana" w:cs="Arial"/>
          <w:sz w:val="20"/>
          <w:szCs w:val="20"/>
          <w:lang w:val="es-MX"/>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sidR="00992796">
        <w:rPr>
          <w:rFonts w:ascii="Verdana" w:eastAsia="Calibri" w:hAnsi="Verdana" w:cs="Arial"/>
          <w:sz w:val="20"/>
          <w:szCs w:val="20"/>
          <w:lang w:val="es-MX"/>
        </w:rPr>
        <w:t>”</w:t>
      </w:r>
      <w:r w:rsidRPr="00633C68">
        <w:rPr>
          <w:rFonts w:ascii="Verdana" w:eastAsia="Times New Roman" w:hAnsi="Verdana" w:cs="Arial"/>
          <w:sz w:val="20"/>
          <w:szCs w:val="20"/>
          <w:vertAlign w:val="superscript"/>
          <w:lang w:eastAsia="es-CO"/>
        </w:rPr>
        <w:footnoteReference w:id="17"/>
      </w:r>
      <w:r w:rsidRPr="00633C68">
        <w:rPr>
          <w:rFonts w:ascii="Verdana" w:eastAsia="Calibri" w:hAnsi="Verdana" w:cs="Arial"/>
          <w:sz w:val="20"/>
          <w:szCs w:val="20"/>
          <w:lang w:val="es-MX"/>
        </w:rPr>
        <w:t xml:space="preserve"> .</w:t>
      </w:r>
    </w:p>
    <w:p w14:paraId="706A179C" w14:textId="77777777" w:rsidR="00992796" w:rsidRPr="003B617E" w:rsidRDefault="00992796" w:rsidP="00C001FC">
      <w:pPr>
        <w:spacing w:after="0" w:line="240" w:lineRule="auto"/>
        <w:ind w:left="709" w:right="709"/>
        <w:jc w:val="both"/>
        <w:rPr>
          <w:rFonts w:ascii="Verdana" w:eastAsia="Calibri" w:hAnsi="Verdana" w:cs="Arial"/>
          <w:sz w:val="20"/>
          <w:szCs w:val="20"/>
          <w:lang w:val="es-MX"/>
        </w:rPr>
      </w:pPr>
    </w:p>
    <w:p w14:paraId="3FEF172D" w14:textId="77777777" w:rsidR="000813D1" w:rsidRPr="0057193B" w:rsidRDefault="000813D1" w:rsidP="000813D1">
      <w:pPr>
        <w:spacing w:after="120" w:line="276" w:lineRule="auto"/>
        <w:ind w:firstLine="708"/>
        <w:jc w:val="both"/>
        <w:rPr>
          <w:rFonts w:ascii="Verdana" w:eastAsia="Times New Roman" w:hAnsi="Verdana" w:cs="Arial"/>
          <w:bCs/>
          <w:lang w:eastAsia="x-none"/>
        </w:rPr>
      </w:pPr>
      <w:r w:rsidRPr="0057193B">
        <w:rPr>
          <w:rFonts w:ascii="Verdana" w:eastAsia="Times New Roman" w:hAnsi="Verdana" w:cs="Arial"/>
          <w:lang w:eastAsia="x-none"/>
        </w:rPr>
        <w:t xml:space="preserve">De acuerdo con el citado concepto, la prohibición del artículo 33 de la Ley de Garantías Electorales se refiere a </w:t>
      </w:r>
      <w:r>
        <w:rPr>
          <w:rFonts w:ascii="Verdana" w:eastAsia="Times New Roman" w:hAnsi="Verdana" w:cs="Arial"/>
          <w:sz w:val="19"/>
          <w:szCs w:val="19"/>
          <w:lang w:eastAsia="en-GB"/>
        </w:rPr>
        <w:t>“</w:t>
      </w:r>
      <w:r w:rsidRPr="0057193B">
        <w:rPr>
          <w:rFonts w:ascii="Verdana" w:eastAsia="Times New Roman" w:hAnsi="Verdana" w:cs="Arial"/>
          <w:lang w:eastAsia="x-none"/>
        </w:rPr>
        <w:t>cualquier sistema que no implique convocatoria pública y posibilidad de pluralidad de oferentes</w:t>
      </w:r>
      <w:r>
        <w:rPr>
          <w:rFonts w:ascii="Verdana" w:eastAsia="Times New Roman" w:hAnsi="Verdana" w:cs="Arial"/>
          <w:lang w:eastAsia="en-GB"/>
        </w:rPr>
        <w:t>”</w:t>
      </w:r>
      <w:r w:rsidRPr="0057193B">
        <w:rPr>
          <w:rFonts w:ascii="Verdana" w:eastAsia="Times New Roman" w:hAnsi="Verdana" w:cs="Arial"/>
          <w:lang w:eastAsia="x-none"/>
        </w:rPr>
        <w:t xml:space="preserve">, por lo que excluye las demás modalidades de contratación previstas en la Ley 1150 de 2007, es decir, la licitación pública, la selección abreviada, el concurso de méritos </w:t>
      </w:r>
      <w:r w:rsidRPr="0057193B">
        <w:rPr>
          <w:rFonts w:ascii="Verdana" w:eastAsia="Times New Roman" w:hAnsi="Verdana" w:cs="Arial"/>
          <w:lang w:val="es-ES_tradnl" w:eastAsia="x-none"/>
        </w:rPr>
        <w:t>y la mínima cuantía</w:t>
      </w:r>
      <w:r w:rsidRPr="0057193B" w:rsidDel="00A85D9F">
        <w:rPr>
          <w:rFonts w:ascii="Verdana" w:eastAsia="Times New Roman" w:hAnsi="Verdana" w:cs="Arial"/>
          <w:lang w:eastAsia="x-none"/>
        </w:rPr>
        <w:t xml:space="preserve"> </w:t>
      </w:r>
      <w:r w:rsidRPr="0057193B">
        <w:rPr>
          <w:rFonts w:ascii="Verdana" w:eastAsia="Times New Roman" w:hAnsi="Verdana" w:cs="Arial"/>
          <w:lang w:eastAsia="x-none"/>
        </w:rPr>
        <w:t>u otros previstos en normas especiales. Esta posición es congruente con la expedición de la Ley 1150 de 2007 que, entre otras reformas, introdujo la selección abreviada, rediseñó el concurso de méritos</w:t>
      </w:r>
      <w:r w:rsidRPr="0057193B">
        <w:rPr>
          <w:rFonts w:ascii="Verdana" w:eastAsia="Times New Roman" w:hAnsi="Verdana" w:cs="Arial"/>
          <w:vertAlign w:val="superscript"/>
          <w:lang w:val="en-GB" w:eastAsia="x-none"/>
        </w:rPr>
        <w:footnoteReference w:id="18"/>
      </w:r>
      <w:r w:rsidRPr="0057193B">
        <w:rPr>
          <w:rFonts w:ascii="Verdana" w:eastAsia="Times New Roman" w:hAnsi="Verdana" w:cs="Arial"/>
          <w:lang w:eastAsia="x-none"/>
        </w:rPr>
        <w:t xml:space="preserve"> y sistematizó las causales de contratación directa</w:t>
      </w:r>
      <w:r w:rsidRPr="0057193B">
        <w:rPr>
          <w:rFonts w:ascii="Verdana" w:eastAsia="Times New Roman" w:hAnsi="Verdana" w:cs="Arial"/>
          <w:vertAlign w:val="superscript"/>
          <w:lang w:val="en-GB" w:eastAsia="x-none"/>
        </w:rPr>
        <w:footnoteReference w:id="19"/>
      </w:r>
      <w:r w:rsidRPr="0057193B">
        <w:rPr>
          <w:rFonts w:ascii="Verdana" w:eastAsia="Times New Roman" w:hAnsi="Verdana" w:cs="Arial"/>
          <w:lang w:eastAsia="x-none"/>
        </w:rPr>
        <w:t xml:space="preserve">, </w:t>
      </w:r>
      <w:r w:rsidRPr="0057193B">
        <w:rPr>
          <w:rFonts w:ascii="Verdana" w:eastAsia="Calibri" w:hAnsi="Verdana" w:cs="Arial"/>
          <w:szCs w:val="24"/>
          <w:lang w:eastAsia="x-none"/>
        </w:rPr>
        <w:t>además lo es con la posterior creación de la modalidad de mínima cuantía establecida actualmente en el numeral 5 del artículo 2 de la Ley 1150 de 2007, de acuerdo con las modificaciones realizadas por leyes posteriores.</w:t>
      </w:r>
    </w:p>
    <w:p w14:paraId="5258E087" w14:textId="77777777" w:rsidR="000813D1" w:rsidRPr="0057193B" w:rsidRDefault="000813D1" w:rsidP="000813D1">
      <w:pPr>
        <w:spacing w:after="120" w:line="276" w:lineRule="auto"/>
        <w:ind w:firstLine="708"/>
        <w:jc w:val="both"/>
        <w:rPr>
          <w:rFonts w:ascii="Verdana" w:eastAsia="Times New Roman" w:hAnsi="Verdana" w:cs="Arial"/>
          <w:lang w:val="es-MX"/>
        </w:rPr>
      </w:pPr>
      <w:r w:rsidRPr="0057193B">
        <w:rPr>
          <w:rFonts w:ascii="Verdana" w:eastAsia="Times New Roman" w:hAnsi="Verdana" w:cs="Arial"/>
          <w:lang w:eastAsia="x-none"/>
        </w:rPr>
        <w:t xml:space="preserve">De esta forma, con fundamento en la evolución de la normativa sobre la contratación pública, se ha depurado la noción de </w:t>
      </w:r>
      <w:r>
        <w:rPr>
          <w:rFonts w:ascii="Verdana" w:eastAsia="Times New Roman" w:hAnsi="Verdana" w:cs="Arial"/>
          <w:sz w:val="19"/>
          <w:szCs w:val="19"/>
          <w:lang w:eastAsia="en-GB"/>
        </w:rPr>
        <w:t>“</w:t>
      </w:r>
      <w:r w:rsidRPr="0057193B">
        <w:rPr>
          <w:rFonts w:ascii="Verdana" w:eastAsia="Times New Roman" w:hAnsi="Verdana" w:cs="Arial"/>
          <w:lang w:eastAsia="x-none"/>
        </w:rPr>
        <w:t>contratación directa</w:t>
      </w:r>
      <w:r>
        <w:rPr>
          <w:rFonts w:ascii="Verdana" w:eastAsia="Times New Roman" w:hAnsi="Verdana" w:cs="Arial"/>
          <w:lang w:eastAsia="en-GB"/>
        </w:rPr>
        <w:t>”</w:t>
      </w:r>
      <w:r w:rsidRPr="0057193B">
        <w:rPr>
          <w:rFonts w:ascii="Verdana" w:eastAsia="Times New Roman" w:hAnsi="Verdana" w:cs="Arial"/>
          <w:lang w:eastAsia="x-none"/>
        </w:rPr>
        <w:t xml:space="preserve">, precisando el Consejo de Estado –en el concepto citado– que, </w:t>
      </w:r>
      <w:r>
        <w:rPr>
          <w:rFonts w:ascii="Verdana" w:eastAsia="Times New Roman" w:hAnsi="Verdana" w:cs="Arial"/>
          <w:lang w:eastAsia="x-none"/>
        </w:rPr>
        <w:t>“</w:t>
      </w:r>
      <w:r w:rsidRPr="0057193B">
        <w:rPr>
          <w:rFonts w:ascii="Verdana" w:eastAsia="Times New Roman" w:hAnsi="Verdana" w:cs="Arial"/>
          <w:lang w:eastAsia="x-none"/>
        </w:rPr>
        <w:t xml:space="preserve">aun cuando no coincide única y exactamente con la regulación que de dicho sistema de selección hace el artículo 2º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leyes </w:t>
      </w:r>
      <w:r w:rsidRPr="0057193B">
        <w:rPr>
          <w:rFonts w:ascii="Verdana" w:eastAsia="Times New Roman" w:hAnsi="Verdana" w:cs="Arial"/>
          <w:lang w:eastAsia="x-none"/>
        </w:rPr>
        <w:lastRenderedPageBreak/>
        <w:t>especiales e, incluso, en el derecho privado</w:t>
      </w:r>
      <w:r w:rsidRPr="3A5322BA">
        <w:rPr>
          <w:rFonts w:ascii="Verdana" w:eastAsia="Times New Roman" w:hAnsi="Verdana" w:cs="Arial"/>
          <w:vertAlign w:val="superscript"/>
          <w:lang w:val="en-GB"/>
        </w:rPr>
        <w:footnoteReference w:id="20"/>
      </w:r>
      <w:r w:rsidRPr="0057193B">
        <w:rPr>
          <w:rFonts w:ascii="Verdana" w:eastAsia="Times New Roman" w:hAnsi="Verdana" w:cs="Arial"/>
          <w:lang w:eastAsia="x-none"/>
        </w:rPr>
        <w:t>, han establecido sistemas de contratación que implican convocatoria pública y participación de varios oferentes</w:t>
      </w:r>
      <w:r>
        <w:rPr>
          <w:rFonts w:ascii="Verdana" w:eastAsia="Times New Roman" w:hAnsi="Verdana" w:cs="Arial"/>
          <w:lang w:eastAsia="en-GB"/>
        </w:rPr>
        <w:t>”</w:t>
      </w:r>
      <w:r w:rsidRPr="0057193B">
        <w:rPr>
          <w:rFonts w:ascii="Verdana" w:eastAsia="Times New Roman" w:hAnsi="Verdana" w:cs="Arial"/>
          <w:lang w:eastAsia="x-none"/>
        </w:rPr>
        <w:t xml:space="preserve">. </w:t>
      </w:r>
    </w:p>
    <w:p w14:paraId="36AA8A50" w14:textId="77777777" w:rsidR="000813D1" w:rsidRPr="0057193B" w:rsidRDefault="000813D1" w:rsidP="000813D1">
      <w:pPr>
        <w:spacing w:after="120" w:line="276" w:lineRule="auto"/>
        <w:ind w:firstLine="708"/>
        <w:jc w:val="both"/>
        <w:rPr>
          <w:rFonts w:ascii="Verdana" w:eastAsia="Times New Roman" w:hAnsi="Verdana" w:cs="Arial"/>
          <w:bCs/>
          <w:lang w:val="es-MX" w:eastAsia="es-CO"/>
        </w:rPr>
      </w:pPr>
      <w:r w:rsidRPr="3A5322BA">
        <w:rPr>
          <w:rFonts w:ascii="Verdana" w:eastAsia="Times New Roman" w:hAnsi="Verdana" w:cs="Arial"/>
          <w:lang w:val="es-MX"/>
        </w:rPr>
        <w:t>E</w:t>
      </w:r>
      <w:r w:rsidRPr="0057193B">
        <w:rPr>
          <w:rFonts w:ascii="Verdana" w:eastAsia="Times New Roman" w:hAnsi="Verdana" w:cs="Arial"/>
          <w:lang w:eastAsia="x-none"/>
        </w:rPr>
        <w:t xml:space="preserve">n efecto, vale la pena mencionar que, 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que dicho sistema no constituye </w:t>
      </w:r>
      <w:r>
        <w:rPr>
          <w:rFonts w:ascii="Verdana" w:eastAsia="Times New Roman" w:hAnsi="Verdana" w:cs="Arial"/>
          <w:lang w:eastAsia="x-none"/>
        </w:rPr>
        <w:t>“</w:t>
      </w:r>
      <w:r w:rsidRPr="0057193B">
        <w:rPr>
          <w:rFonts w:ascii="Verdana" w:eastAsia="Times New Roman" w:hAnsi="Verdana" w:cs="Arial"/>
          <w:lang w:eastAsia="x-none"/>
        </w:rPr>
        <w:t>contratación directa</w:t>
      </w:r>
      <w:r>
        <w:rPr>
          <w:rFonts w:ascii="Verdana" w:eastAsia="Times New Roman" w:hAnsi="Verdana" w:cs="Arial"/>
          <w:lang w:eastAsia="x-none"/>
        </w:rPr>
        <w:t>”</w:t>
      </w:r>
      <w:r w:rsidRPr="0057193B">
        <w:rPr>
          <w:rFonts w:ascii="Verdana" w:eastAsia="Times New Roman" w:hAnsi="Verdana" w:cs="Arial"/>
          <w:lang w:eastAsia="x-none"/>
        </w:rPr>
        <w:t>, es que la convocatoria para inscribirse en forma previa se haga de manera pública, y que se permita la participación de una pluralidad de oferentes</w:t>
      </w:r>
      <w:r w:rsidRPr="0057193B">
        <w:rPr>
          <w:rFonts w:ascii="Verdana" w:eastAsia="Times New Roman" w:hAnsi="Verdana" w:cs="Arial"/>
          <w:vertAlign w:val="superscript"/>
          <w:lang w:eastAsia="x-none"/>
        </w:rPr>
        <w:footnoteReference w:id="21"/>
      </w:r>
      <w:r w:rsidRPr="0057193B">
        <w:rPr>
          <w:rFonts w:ascii="Verdana" w:eastAsia="Times New Roman" w:hAnsi="Verdana" w:cs="Arial"/>
          <w:lang w:eastAsia="x-none"/>
        </w:rPr>
        <w:t xml:space="preserve">. </w:t>
      </w:r>
    </w:p>
    <w:p w14:paraId="4788EEC9" w14:textId="53997A6F" w:rsidR="000813D1" w:rsidRPr="0057193B" w:rsidRDefault="000813D1" w:rsidP="000813D1">
      <w:pPr>
        <w:spacing w:after="120" w:line="276" w:lineRule="auto"/>
        <w:ind w:firstLine="708"/>
        <w:jc w:val="both"/>
        <w:rPr>
          <w:rFonts w:ascii="Verdana" w:eastAsia="Times New Roman" w:hAnsi="Verdana" w:cs="Arial"/>
          <w:bCs/>
          <w:lang w:val="es-MX" w:eastAsia="es-CO"/>
        </w:rPr>
      </w:pPr>
      <w:r w:rsidRPr="0057193B">
        <w:rPr>
          <w:rFonts w:ascii="Verdana" w:eastAsia="Times New Roman" w:hAnsi="Verdana" w:cs="Arial"/>
          <w:bCs/>
          <w:lang w:val="es-MX" w:eastAsia="es-CO"/>
        </w:rPr>
        <w:t>Como se advierte de lo anterior, el Consejo de Estado realiza una interpretación amplia de la contratación directa, para efectos de aplicar las restricciones establecidas en la Ley de Garantías</w:t>
      </w:r>
      <w:r w:rsidRPr="3A5322BA">
        <w:rPr>
          <w:rFonts w:ascii="Verdana" w:eastAsia="Times New Roman" w:hAnsi="Verdana" w:cs="Arial"/>
          <w:lang w:val="es-MX" w:eastAsia="es-CO"/>
        </w:rPr>
        <w:t xml:space="preserve"> Electorales</w:t>
      </w:r>
      <w:r w:rsidRPr="0057193B">
        <w:rPr>
          <w:rFonts w:ascii="Verdana" w:eastAsia="Times New Roman" w:hAnsi="Verdana" w:cs="Arial"/>
          <w:bCs/>
          <w:lang w:val="es-MX" w:eastAsia="es-CO"/>
        </w:rPr>
        <w:t xml:space="preserve">, al señalar que no solo aplica frente a las entidades sometidas al Estatuto </w:t>
      </w:r>
      <w:r w:rsidR="003A0A27">
        <w:rPr>
          <w:rFonts w:ascii="Verdana" w:eastAsia="Times New Roman" w:hAnsi="Verdana" w:cs="Arial"/>
          <w:bCs/>
          <w:lang w:val="es-MX" w:eastAsia="es-CO"/>
        </w:rPr>
        <w:t>G</w:t>
      </w:r>
      <w:r w:rsidRPr="0057193B">
        <w:rPr>
          <w:rFonts w:ascii="Verdana" w:eastAsia="Times New Roman" w:hAnsi="Verdana" w:cs="Arial"/>
          <w:bCs/>
          <w:lang w:val="es-MX" w:eastAsia="es-CO"/>
        </w:rPr>
        <w:t xml:space="preserve">eneral de Contratación de la Administración Pública, sino también frente a las entidades que tengan un régimen especial de contratación. No obstante, también se observa que luego de la expedición de Ley 1150 de 2007, el Consejo de Estado comenzó a delimitar con mayor precisión el término de </w:t>
      </w:r>
      <w:r w:rsidRPr="3A5322BA">
        <w:rPr>
          <w:rFonts w:ascii="Verdana" w:eastAsia="Times New Roman" w:hAnsi="Verdana" w:cs="Arial"/>
          <w:lang w:val="es-MX" w:eastAsia="es-CO"/>
        </w:rPr>
        <w:t>“</w:t>
      </w:r>
      <w:r w:rsidRPr="0057193B">
        <w:rPr>
          <w:rFonts w:ascii="Verdana" w:eastAsia="Times New Roman" w:hAnsi="Verdana" w:cs="Arial"/>
          <w:bCs/>
          <w:lang w:val="es-MX" w:eastAsia="es-CO"/>
        </w:rPr>
        <w:t>contratación directa</w:t>
      </w:r>
      <w:r w:rsidRPr="3A5322BA">
        <w:rPr>
          <w:rFonts w:ascii="Verdana" w:eastAsia="Times New Roman" w:hAnsi="Verdana" w:cs="Arial"/>
          <w:lang w:val="es-MX" w:eastAsia="es-CO"/>
        </w:rPr>
        <w:t>”.</w:t>
      </w:r>
    </w:p>
    <w:p w14:paraId="6B3D790C" w14:textId="77777777" w:rsidR="000813D1" w:rsidRPr="0057193B" w:rsidRDefault="000813D1" w:rsidP="000813D1">
      <w:pPr>
        <w:spacing w:after="120" w:line="276" w:lineRule="auto"/>
        <w:ind w:firstLine="708"/>
        <w:jc w:val="both"/>
        <w:rPr>
          <w:rFonts w:ascii="Verdana" w:eastAsia="Times New Roman" w:hAnsi="Verdana" w:cs="Arial"/>
          <w:bCs/>
          <w:lang w:val="es-MX" w:eastAsia="x-none"/>
        </w:rPr>
      </w:pPr>
      <w:r w:rsidRPr="0057193B">
        <w:rPr>
          <w:rFonts w:ascii="Verdana" w:eastAsia="Times New Roman" w:hAnsi="Verdana" w:cs="Arial"/>
          <w:bCs/>
          <w:lang w:val="es-MX" w:eastAsia="x-none"/>
        </w:rPr>
        <w:t xml:space="preserve"> Así las cosas, ha de entenderse que, para los efectos de la Ley de Garantías Electorales y, en particular, para la prohibición o restricción tempora</w:t>
      </w:r>
      <w:r>
        <w:rPr>
          <w:rFonts w:ascii="Verdana" w:eastAsia="Times New Roman" w:hAnsi="Verdana" w:cs="Arial"/>
          <w:bCs/>
          <w:lang w:val="es-MX" w:eastAsia="x-none"/>
        </w:rPr>
        <w:t>l contenida en su artículo 33, “contratación directa”</w:t>
      </w:r>
      <w:r w:rsidRPr="0057193B">
        <w:rPr>
          <w:rFonts w:ascii="Verdana" w:eastAsia="Times New Roman" w:hAnsi="Verdana" w:cs="Arial"/>
          <w:bCs/>
          <w:lang w:val="es-MX" w:eastAsia="x-none"/>
        </w:rPr>
        <w:t xml:space="preserve"> es cualquier sistema de selección o procedimiento de contratación utilizado por las entidades estatales que no incluya la convocatoria pública en alguna de sus etapas, ni permita la participación de una pluralidad de oferentes</w:t>
      </w:r>
      <w:r w:rsidRPr="0057193B">
        <w:rPr>
          <w:rFonts w:ascii="Verdana" w:eastAsia="Times New Roman" w:hAnsi="Verdana" w:cs="Arial"/>
          <w:vertAlign w:val="superscript"/>
          <w:lang w:eastAsia="x-none"/>
        </w:rPr>
        <w:footnoteReference w:id="22"/>
      </w:r>
      <w:r w:rsidRPr="0057193B">
        <w:rPr>
          <w:rFonts w:ascii="Verdana" w:eastAsia="Times New Roman" w:hAnsi="Verdana" w:cs="Arial"/>
          <w:bCs/>
          <w:lang w:val="es-MX" w:eastAsia="x-none"/>
        </w:rPr>
        <w:t>.</w:t>
      </w:r>
      <w:r w:rsidRPr="0057193B">
        <w:rPr>
          <w:rFonts w:ascii="Verdana" w:eastAsia="Times New Roman" w:hAnsi="Verdana" w:cs="Arial"/>
          <w:vertAlign w:val="superscript"/>
          <w:lang w:eastAsia="x-none"/>
        </w:rPr>
        <w:t xml:space="preserve"> </w:t>
      </w:r>
    </w:p>
    <w:p w14:paraId="3059AE02" w14:textId="77777777" w:rsidR="000813D1" w:rsidRPr="0057193B" w:rsidRDefault="000813D1" w:rsidP="000813D1">
      <w:pPr>
        <w:spacing w:after="120" w:line="276" w:lineRule="auto"/>
        <w:ind w:firstLine="708"/>
        <w:jc w:val="both"/>
        <w:rPr>
          <w:rFonts w:ascii="Verdana" w:eastAsia="Times New Roman" w:hAnsi="Verdana" w:cs="Arial"/>
          <w:lang w:eastAsia="x-none"/>
        </w:rPr>
      </w:pPr>
      <w:r w:rsidRPr="0057193B">
        <w:rPr>
          <w:rFonts w:ascii="Verdana" w:eastAsia="Times New Roman" w:hAnsi="Verdana" w:cs="Arial"/>
          <w:bCs/>
          <w:lang w:val="es-MX" w:eastAsia="x-none"/>
        </w:rPr>
        <w:t>De lo anterior se desprende que la restricción aplica, sin perjuicio de las excepciones establecidas en la misma ley, para celebrar cualquier contrato de forma directa, esto es, sin que exista un proceso abierto y competitivo.</w:t>
      </w:r>
      <w:r w:rsidRPr="0057193B">
        <w:rPr>
          <w:rFonts w:ascii="Verdana" w:eastAsia="Times New Roman" w:hAnsi="Verdana" w:cs="Arial"/>
          <w:lang w:eastAsia="x-none"/>
        </w:rPr>
        <w:t xml:space="preserve"> Por tanto, no son materia de la prohibición las demás modalidades de selección previstas </w:t>
      </w:r>
      <w:r w:rsidRPr="0057193B">
        <w:rPr>
          <w:rFonts w:ascii="Verdana" w:eastAsia="Times New Roman" w:hAnsi="Verdana" w:cs="Arial"/>
          <w:lang w:eastAsia="x-none"/>
        </w:rPr>
        <w:lastRenderedPageBreak/>
        <w:t>en la Ley 1150 de 2007, es decir, la licitación pública, el concurso de méritos, la selección abreviada y la mínima cuantía, razón por la cual en ese período preelectoral de que trata la disposición las entidades públicas pueden seguir contratando bajo estos sistemas.</w:t>
      </w:r>
    </w:p>
    <w:p w14:paraId="5CE0A137" w14:textId="77777777" w:rsidR="000813D1" w:rsidRPr="003E1975" w:rsidRDefault="000813D1" w:rsidP="000813D1">
      <w:pPr>
        <w:spacing w:after="120" w:line="276" w:lineRule="auto"/>
        <w:ind w:firstLine="708"/>
        <w:jc w:val="both"/>
        <w:rPr>
          <w:rFonts w:ascii="Verdana" w:eastAsia="Times New Roman" w:hAnsi="Verdana" w:cs="Arial"/>
          <w:iCs/>
          <w:lang w:val="es-MX" w:eastAsia="es-CO"/>
        </w:rPr>
      </w:pPr>
      <w:r w:rsidRPr="3A5322BA">
        <w:rPr>
          <w:rFonts w:ascii="Verdana" w:eastAsia="Times New Roman" w:hAnsi="Verdana" w:cs="Arial"/>
          <w:lang w:val="es-MX"/>
        </w:rPr>
        <w:t xml:space="preserve">De otro lado, las excepciones a la restricción prevista en la Ley de Garantías, con fundamento en las cuales podrán las entidades públicas adelantar procedimientos de selección directa en períodos previos a la contienda electoral por la Presidencia, se encuentran consagradas expresamente en el inciso final del citado artículo 33 de la Ley 996 de 2005 en lo referente a i) la defensa y seguridad del Estado; </w:t>
      </w:r>
      <w:proofErr w:type="spellStart"/>
      <w:r w:rsidRPr="3A5322BA">
        <w:rPr>
          <w:rFonts w:ascii="Verdana" w:eastAsia="Times New Roman" w:hAnsi="Verdana" w:cs="Arial"/>
          <w:lang w:val="es-MX"/>
        </w:rPr>
        <w:t>ii</w:t>
      </w:r>
      <w:proofErr w:type="spellEnd"/>
      <w:r w:rsidRPr="3A5322BA">
        <w:rPr>
          <w:rFonts w:ascii="Verdana" w:eastAsia="Times New Roman" w:hAnsi="Verdana" w:cs="Arial"/>
          <w:lang w:val="es-MX"/>
        </w:rPr>
        <w:t xml:space="preserve">) los contratos de crédito público; </w:t>
      </w:r>
      <w:proofErr w:type="spellStart"/>
      <w:r w:rsidRPr="3A5322BA">
        <w:rPr>
          <w:rFonts w:ascii="Verdana" w:eastAsia="Times New Roman" w:hAnsi="Verdana" w:cs="Arial"/>
          <w:lang w:val="es-MX"/>
        </w:rPr>
        <w:t>iii</w:t>
      </w:r>
      <w:proofErr w:type="spellEnd"/>
      <w:r w:rsidRPr="3A5322BA">
        <w:rPr>
          <w:rFonts w:ascii="Verdana" w:eastAsia="Times New Roman" w:hAnsi="Verdana" w:cs="Arial"/>
          <w:lang w:val="es-MX"/>
        </w:rPr>
        <w:t xml:space="preserve">) los requeridos para cubrir las emergencias educativas, sanitarias y desastres; </w:t>
      </w:r>
      <w:proofErr w:type="spellStart"/>
      <w:r w:rsidRPr="3A5322BA">
        <w:rPr>
          <w:rFonts w:ascii="Verdana" w:eastAsia="Times New Roman" w:hAnsi="Verdana" w:cs="Arial"/>
          <w:lang w:val="es-MX"/>
        </w:rPr>
        <w:t>iv</w:t>
      </w:r>
      <w:proofErr w:type="spellEnd"/>
      <w:r w:rsidRPr="3A5322BA">
        <w:rPr>
          <w:rFonts w:ascii="Verdana" w:eastAsia="Times New Roman" w:hAnsi="Verdana" w:cs="Arial"/>
          <w:lang w:val="es-MX"/>
        </w:rPr>
        <w:t xml:space="preserve">) los utilizados para la reconstrucción de vías, puentes, carreteras, infraestructura energética y de comunicaciones, en caso de que hayan sido objeto de atentados, acciones terroristas, desastres naturales o casos de fuerza mayor; y, v) </w:t>
      </w:r>
      <w:r w:rsidRPr="003E1975">
        <w:rPr>
          <w:rFonts w:ascii="Verdana" w:eastAsia="Times New Roman" w:hAnsi="Verdana" w:cs="Arial"/>
          <w:iCs/>
          <w:lang w:val="es-MX"/>
        </w:rPr>
        <w:t>los que deban realizar las entidades sanitarias y hospitalarias.</w:t>
      </w:r>
    </w:p>
    <w:p w14:paraId="3095926C" w14:textId="77777777" w:rsidR="000813D1" w:rsidRPr="0057193B" w:rsidRDefault="000813D1" w:rsidP="000813D1">
      <w:pPr>
        <w:spacing w:after="120" w:line="276" w:lineRule="auto"/>
        <w:ind w:firstLine="708"/>
        <w:jc w:val="both"/>
        <w:rPr>
          <w:rFonts w:ascii="Verdana" w:eastAsia="Times New Roman" w:hAnsi="Verdana" w:cs="Arial"/>
          <w:bCs/>
          <w:lang w:val="es-MX" w:eastAsia="es-CO"/>
        </w:rPr>
      </w:pPr>
      <w:r w:rsidRPr="3A5322BA">
        <w:rPr>
          <w:rFonts w:ascii="Verdana" w:eastAsia="Times New Roman" w:hAnsi="Verdana" w:cs="Arial"/>
          <w:lang w:val="es-MX" w:eastAsia="es-CO"/>
        </w:rPr>
        <w:t>Conforme a las anteriores excepciones, es</w:t>
      </w:r>
      <w:r w:rsidRPr="0057193B">
        <w:rPr>
          <w:rFonts w:ascii="Verdana" w:eastAsia="Times New Roman" w:hAnsi="Verdana" w:cs="Arial"/>
          <w:bCs/>
          <w:lang w:val="es-MX" w:eastAsia="es-CO"/>
        </w:rPr>
        <w:t xml:space="preserve">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751F1219" w14:textId="0682CEC7" w:rsidR="000813D1" w:rsidRDefault="000813D1" w:rsidP="000813D1">
      <w:pPr>
        <w:spacing w:after="120" w:line="276" w:lineRule="auto"/>
        <w:ind w:firstLine="709"/>
        <w:jc w:val="both"/>
        <w:rPr>
          <w:rFonts w:ascii="Verdana" w:eastAsia="Times New Roman" w:hAnsi="Verdana" w:cs="Arial"/>
          <w:lang w:val="es-MX"/>
        </w:rPr>
      </w:pPr>
      <w:r w:rsidRPr="3A5322BA">
        <w:rPr>
          <w:rFonts w:ascii="Verdana" w:eastAsia="Times New Roman" w:hAnsi="Verdana" w:cs="Arial"/>
          <w:lang w:val="es-MX"/>
        </w:rPr>
        <w:t>En esta labor es importante tener en cuenta, como lo anotó la Corte Constitucional, en Sentencia C-1153 de noviembre 11 de 2005 que “si bien la limitación garantiza la igualdad de condiciones, también es necesario que tal limitación que pretende la igualdad no termine yendo en detrimento de intereses públicos, cuya garantía está en cabeza del ejecutivo, como son los inmersos en las excepciones para la prohibición de contratación”</w:t>
      </w:r>
      <w:r w:rsidRPr="0057193B">
        <w:rPr>
          <w:rFonts w:ascii="Verdana" w:eastAsia="Calibri" w:hAnsi="Verdana" w:cs="Arial"/>
          <w:vertAlign w:val="superscript"/>
          <w:lang w:val="es-MX"/>
        </w:rPr>
        <w:footnoteReference w:id="23"/>
      </w:r>
      <w:r w:rsidRPr="3A5322BA">
        <w:rPr>
          <w:rFonts w:ascii="Verdana" w:eastAsia="Times New Roman" w:hAnsi="Verdana" w:cs="Arial"/>
          <w:lang w:val="es-MX"/>
        </w:rPr>
        <w:t>. De ahí que la Corte haya señalado que las excepciones a la restricción protegen diversos tipos de urgencias de defensa, salud, educación, infraestructura vial y de servicios públicos y ecológicas, que tienden a no limitar desproporcionadamente la acción del Estado en el cumplimiento de sus fines, en procura de la igualdad entre los candidatos como garantía electoral.</w:t>
      </w:r>
    </w:p>
    <w:p w14:paraId="6343498F" w14:textId="461AB388" w:rsidR="002C29E9" w:rsidRPr="00C001FC" w:rsidRDefault="002C29E9" w:rsidP="00C001FC">
      <w:pPr>
        <w:spacing w:after="120" w:line="276" w:lineRule="auto"/>
        <w:ind w:firstLine="708"/>
        <w:jc w:val="both"/>
        <w:rPr>
          <w:rFonts w:ascii="Verdana" w:eastAsia="Times New Roman" w:hAnsi="Verdana" w:cs="Arial"/>
          <w:bCs/>
          <w:lang w:eastAsia="x-none"/>
        </w:rPr>
      </w:pPr>
      <w:r w:rsidRPr="002A1E2D">
        <w:rPr>
          <w:rFonts w:ascii="Verdana" w:eastAsia="Times New Roman" w:hAnsi="Verdana" w:cs="Arial"/>
          <w:bCs/>
          <w:lang w:val="es-MX" w:eastAsia="x-none"/>
        </w:rPr>
        <w:lastRenderedPageBreak/>
        <w:t xml:space="preserve">Así mismo, la Corte Constitucional en la Sentencia C-1153 de 2005 señaló que la expresión </w:t>
      </w:r>
      <w:r w:rsidRPr="002A1E2D">
        <w:rPr>
          <w:rFonts w:ascii="Verdana" w:eastAsia="Times New Roman" w:hAnsi="Verdana" w:cs="Arial"/>
          <w:bCs/>
          <w:i/>
          <w:iCs/>
          <w:lang w:val="es-ES" w:eastAsia="x-none"/>
        </w:rPr>
        <w:t xml:space="preserve">“adicionalmente se exceptúan aquellos gastos inaplazables e imprescindibles que afecten el normal funcionamiento de la administración” </w:t>
      </w:r>
      <w:r w:rsidRPr="002A1E2D">
        <w:rPr>
          <w:rFonts w:ascii="Verdana" w:eastAsia="Times New Roman" w:hAnsi="Verdana" w:cs="Arial"/>
          <w:bCs/>
          <w:iCs/>
          <w:lang w:val="es-ES" w:eastAsia="x-none"/>
        </w:rPr>
        <w:t>regulada como excepción en el artículo 33</w:t>
      </w:r>
      <w:r w:rsidRPr="002A1E2D">
        <w:rPr>
          <w:rFonts w:ascii="Verdana" w:eastAsia="Times New Roman" w:hAnsi="Verdana" w:cs="Arial"/>
          <w:bCs/>
          <w:i/>
          <w:iCs/>
          <w:lang w:val="es-ES" w:eastAsia="x-none"/>
        </w:rPr>
        <w:t xml:space="preserve"> </w:t>
      </w:r>
      <w:r w:rsidRPr="002A1E2D">
        <w:rPr>
          <w:rFonts w:ascii="Verdana" w:eastAsia="Times New Roman" w:hAnsi="Verdana" w:cs="Arial"/>
          <w:bCs/>
          <w:iCs/>
          <w:lang w:val="es-ES" w:eastAsia="x-none"/>
        </w:rPr>
        <w:t>es demasiado amplia y ambigua, pues términos como inaplazable, imprescindible y normal funcionamiento son evaluativos y sujetos a interpretaciones diversas, lo que permitiría introducir múltiples excepciones que desfigurarían la prohibición original y comprometerían los fines y propósitos de la Ley de Garantías Electorales.</w:t>
      </w:r>
      <w:r w:rsidRPr="002A1E2D">
        <w:rPr>
          <w:rFonts w:ascii="Verdana" w:eastAsia="Times New Roman" w:hAnsi="Verdana" w:cs="Arial"/>
          <w:bCs/>
          <w:i/>
          <w:iCs/>
          <w:lang w:val="es-ES" w:eastAsia="x-none"/>
        </w:rPr>
        <w:t xml:space="preserve"> </w:t>
      </w:r>
      <w:r w:rsidRPr="002A1E2D">
        <w:rPr>
          <w:rFonts w:ascii="Verdana" w:eastAsia="Times New Roman" w:hAnsi="Verdana" w:cs="Arial"/>
          <w:bCs/>
          <w:iCs/>
          <w:lang w:val="es-ES" w:eastAsia="x-none"/>
        </w:rPr>
        <w:t>Por tanto, dicha expresión fue declarada inexequible, razón por la cual no es posible que las entidades argumenten razones como esta para exceptuar la restricción del artículo 33.</w:t>
      </w:r>
    </w:p>
    <w:p w14:paraId="44063341" w14:textId="77777777" w:rsidR="000813D1" w:rsidRPr="000813D1" w:rsidRDefault="000813D1" w:rsidP="000813D1">
      <w:pPr>
        <w:spacing w:after="120" w:line="276" w:lineRule="auto"/>
        <w:ind w:firstLine="709"/>
        <w:jc w:val="both"/>
        <w:rPr>
          <w:rFonts w:ascii="Verdana" w:eastAsia="Times New Roman" w:hAnsi="Verdana" w:cs="Arial"/>
          <w:lang w:val="es-MX"/>
        </w:rPr>
      </w:pPr>
      <w:r w:rsidRPr="3A5322BA">
        <w:rPr>
          <w:rFonts w:ascii="Verdana" w:eastAsia="Arial" w:hAnsi="Verdana" w:cs="Arial"/>
          <w:color w:val="000000" w:themeColor="text1"/>
          <w:lang w:val="es-ES"/>
        </w:rPr>
        <w:t>Atendiendo el marco jurídico analizado</w:t>
      </w:r>
      <w:r w:rsidRPr="3A5322BA">
        <w:rPr>
          <w:rFonts w:ascii="Verdana" w:eastAsia="Times New Roman" w:hAnsi="Verdana" w:cs="Arial"/>
          <w:lang w:val="es-MX"/>
        </w:rPr>
        <w:t xml:space="preserve">, le compete a cada entidad estatal que considera celebrar un contrato específico, definir si este se enmarca en la prohibición establecida en el artículo 33 que restringe la contratación directa en el periodo preelectoral a las elecciones presidenciales. Lo anterior, adicionalmente, teniendo en cuenta las excepciones a la prohibición establecidas en el inciso segundo del mismo artículo 33. Además, se reitera que la restricción aplica frente a la contratación directa, entendida como cualquier sistema de selección o procedimiento de contratación utilizado por las entidades estatales que no incluya la convocatoria pública en alguna de sus etapas, ni permita la participación de una pluralidad de oferentes; por lo que las entidades que se rigen por el derecho privado podrán celebrar contratos de acuerdo con los procedimientos contractuales desarrollados en sus manuales de contratación, bajo el entendido que estos permitan la participación de una pluralidad de oferentes. </w:t>
      </w:r>
    </w:p>
    <w:p w14:paraId="6E2B99A7" w14:textId="09663A15" w:rsidR="007A4F29" w:rsidRDefault="000813D1" w:rsidP="008548E4">
      <w:pPr>
        <w:spacing w:after="0" w:line="276" w:lineRule="auto"/>
        <w:ind w:firstLine="709"/>
        <w:jc w:val="both"/>
        <w:rPr>
          <w:rFonts w:ascii="Verdana" w:eastAsia="Times New Roman" w:hAnsi="Verdana" w:cs="Arial"/>
          <w:color w:val="000000" w:themeColor="text1"/>
          <w:lang w:val="es-ES" w:eastAsia="es-ES"/>
        </w:rPr>
      </w:pPr>
      <w:r w:rsidRPr="000813D1">
        <w:rPr>
          <w:rFonts w:ascii="Verdana" w:eastAsia="Times New Roman" w:hAnsi="Verdana" w:cs="Arial"/>
          <w:lang w:val="es-MX"/>
        </w:rPr>
        <w:t>Dentro de</w:t>
      </w:r>
      <w:r w:rsidRPr="3A5322BA">
        <w:rPr>
          <w:rFonts w:ascii="Verdana" w:eastAsia="Times New Roman" w:hAnsi="Verdana" w:cs="Arial"/>
          <w:color w:val="000000" w:themeColor="text1"/>
          <w:lang w:val="es-ES" w:eastAsia="es-ES"/>
        </w:rPr>
        <w:t xml:space="preserve"> este marco, la entidad contratante definirá en cada caso concreto lo relacionado con el tema objeto de consulta. Al tratarse de un análisis que debe realizarse a un asunto particular y concreto,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establecerá la forma de adelantar su gestión contractual, sin que sea atribución de la Agencia Nacional de Contratación Pública - Colombia Compra Eficiente validarla</w:t>
      </w:r>
      <w:r w:rsidR="00540A70">
        <w:rPr>
          <w:rFonts w:ascii="Verdana" w:eastAsia="Times New Roman" w:hAnsi="Verdana" w:cs="Arial"/>
          <w:color w:val="000000" w:themeColor="text1"/>
          <w:lang w:val="es-ES" w:eastAsia="es-ES"/>
        </w:rPr>
        <w:t>.</w:t>
      </w:r>
    </w:p>
    <w:p w14:paraId="31CEEAA8" w14:textId="77777777" w:rsidR="008548E4" w:rsidRPr="008548E4" w:rsidRDefault="008548E4" w:rsidP="00C001FC">
      <w:pPr>
        <w:spacing w:after="0" w:line="276" w:lineRule="auto"/>
        <w:ind w:firstLine="709"/>
        <w:jc w:val="both"/>
        <w:rPr>
          <w:rFonts w:ascii="Verdana" w:eastAsia="Calibri" w:hAnsi="Verdana" w:cs="Arial"/>
        </w:rPr>
      </w:pPr>
    </w:p>
    <w:p w14:paraId="1CBF58EE" w14:textId="77777777" w:rsidR="007A4F29" w:rsidRPr="004A2375" w:rsidRDefault="007A4F29" w:rsidP="00C001FC">
      <w:pPr>
        <w:spacing w:after="0" w:line="276" w:lineRule="auto"/>
        <w:rPr>
          <w:rFonts w:ascii="Verdana" w:eastAsia="Calibri" w:hAnsi="Verdana" w:cs="Times New Roman"/>
          <w:b/>
          <w:bCs/>
        </w:rPr>
      </w:pPr>
      <w:r w:rsidRPr="004A2375">
        <w:rPr>
          <w:rFonts w:ascii="Verdana" w:eastAsia="Calibri" w:hAnsi="Verdana" w:cs="Times New Roman"/>
          <w:b/>
          <w:bCs/>
        </w:rPr>
        <w:t>4. Referencias normativas, jurisprudenciales y otras fuentes:</w:t>
      </w: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7A4F29" w:rsidRPr="004A2375" w14:paraId="4BD3C206" w14:textId="77777777" w:rsidTr="006A2F9F">
        <w:trPr>
          <w:trHeight w:val="870"/>
          <w:jc w:val="center"/>
        </w:trPr>
        <w:tc>
          <w:tcPr>
            <w:tcW w:w="8647" w:type="dxa"/>
          </w:tcPr>
          <w:p w14:paraId="557354C5" w14:textId="77777777" w:rsidR="00540A70" w:rsidRPr="00886B78" w:rsidRDefault="00540A70" w:rsidP="00540A70">
            <w:pPr>
              <w:pStyle w:val="Sinespaciado"/>
              <w:numPr>
                <w:ilvl w:val="0"/>
                <w:numId w:val="17"/>
              </w:numPr>
              <w:spacing w:line="276" w:lineRule="auto"/>
              <w:jc w:val="both"/>
              <w:rPr>
                <w:rFonts w:ascii="Verdana" w:hAnsi="Verdana"/>
                <w:lang w:val="es-ES" w:eastAsia="es-ES" w:bidi="es-ES"/>
              </w:rPr>
            </w:pPr>
            <w:r w:rsidRPr="00886B78">
              <w:rPr>
                <w:rFonts w:ascii="Verdana" w:hAnsi="Verdana"/>
                <w:lang w:eastAsia="es-ES" w:bidi="es-ES"/>
              </w:rPr>
              <w:lastRenderedPageBreak/>
              <w:t>Constitución Política: Artículo 127</w:t>
            </w:r>
            <w:r>
              <w:rPr>
                <w:rFonts w:ascii="Verdana" w:hAnsi="Verdana"/>
                <w:lang w:eastAsia="es-ES" w:bidi="es-ES"/>
              </w:rPr>
              <w:t>, 190 y 197</w:t>
            </w:r>
          </w:p>
          <w:p w14:paraId="4487DFBC" w14:textId="77777777" w:rsidR="00540A70" w:rsidRPr="00886B78" w:rsidRDefault="00540A70" w:rsidP="00540A70">
            <w:pPr>
              <w:pStyle w:val="Sinespaciado"/>
              <w:numPr>
                <w:ilvl w:val="0"/>
                <w:numId w:val="17"/>
              </w:numPr>
              <w:spacing w:line="276" w:lineRule="auto"/>
              <w:jc w:val="both"/>
              <w:rPr>
                <w:rFonts w:ascii="Verdana" w:hAnsi="Verdana"/>
                <w:lang w:val="es-ES" w:eastAsia="es-ES" w:bidi="es-ES"/>
              </w:rPr>
            </w:pPr>
            <w:r w:rsidRPr="00886B78">
              <w:rPr>
                <w:rFonts w:ascii="Verdana" w:hAnsi="Verdana"/>
                <w:lang w:val="es-ES" w:eastAsia="es-ES" w:bidi="es-ES"/>
              </w:rPr>
              <w:t xml:space="preserve">Ley 80 de 1993, artículos 39, 41, 44, 46, 49 y 60. </w:t>
            </w:r>
          </w:p>
          <w:p w14:paraId="2B9F04CB" w14:textId="77777777" w:rsidR="00540A70" w:rsidRPr="00886B78" w:rsidRDefault="00540A70" w:rsidP="00540A70">
            <w:pPr>
              <w:pStyle w:val="Sinespaciado"/>
              <w:numPr>
                <w:ilvl w:val="0"/>
                <w:numId w:val="17"/>
              </w:numPr>
              <w:spacing w:line="276" w:lineRule="auto"/>
              <w:jc w:val="both"/>
              <w:rPr>
                <w:rFonts w:ascii="Verdana" w:hAnsi="Verdana"/>
                <w:lang w:val="es-ES" w:eastAsia="es-ES" w:bidi="es-ES"/>
              </w:rPr>
            </w:pPr>
            <w:r w:rsidRPr="00886B78">
              <w:rPr>
                <w:rFonts w:ascii="Verdana" w:hAnsi="Verdana"/>
                <w:lang w:val="es-ES" w:eastAsia="es-ES" w:bidi="es-ES"/>
              </w:rPr>
              <w:t xml:space="preserve">Ley 1150 de 2007, artículo </w:t>
            </w:r>
            <w:r>
              <w:rPr>
                <w:rFonts w:ascii="Verdana" w:hAnsi="Verdana"/>
                <w:lang w:val="es-ES" w:eastAsia="es-ES" w:bidi="es-ES"/>
              </w:rPr>
              <w:t xml:space="preserve">2, </w:t>
            </w:r>
            <w:r w:rsidRPr="00A72697">
              <w:rPr>
                <w:rFonts w:ascii="Verdana" w:hAnsi="Verdana"/>
                <w:lang w:val="es-ES" w:eastAsia="es-ES" w:bidi="es-ES"/>
              </w:rPr>
              <w:t>numeral 4</w:t>
            </w:r>
            <w:r w:rsidRPr="00886B78">
              <w:rPr>
                <w:rFonts w:ascii="Verdana" w:hAnsi="Verdana"/>
                <w:lang w:val="es-ES" w:eastAsia="es-ES" w:bidi="es-ES"/>
              </w:rPr>
              <w:t xml:space="preserve"> </w:t>
            </w:r>
          </w:p>
          <w:p w14:paraId="0E879CE4" w14:textId="77777777" w:rsidR="00540A70" w:rsidRPr="00A72697" w:rsidRDefault="00540A70" w:rsidP="00540A70">
            <w:pPr>
              <w:pStyle w:val="Sinespaciado"/>
              <w:numPr>
                <w:ilvl w:val="0"/>
                <w:numId w:val="17"/>
              </w:numPr>
              <w:spacing w:line="276" w:lineRule="auto"/>
              <w:jc w:val="both"/>
              <w:rPr>
                <w:rFonts w:ascii="Verdana" w:hAnsi="Verdana"/>
                <w:lang w:val="es-ES" w:eastAsia="es-ES" w:bidi="es-ES"/>
              </w:rPr>
            </w:pPr>
            <w:r w:rsidRPr="00886B78">
              <w:rPr>
                <w:rFonts w:ascii="Verdana" w:hAnsi="Verdana"/>
                <w:bCs/>
                <w:lang w:val="es-ES" w:eastAsia="es-ES" w:bidi="es-ES"/>
              </w:rPr>
              <w:t>Ley 996 de 2005: artículos 33 y 38 parágrafo.</w:t>
            </w:r>
          </w:p>
          <w:p w14:paraId="039A92B3" w14:textId="77777777" w:rsidR="00540A70" w:rsidRPr="00886B78" w:rsidRDefault="00540A70" w:rsidP="00540A70">
            <w:pPr>
              <w:pStyle w:val="Sinespaciado"/>
              <w:numPr>
                <w:ilvl w:val="0"/>
                <w:numId w:val="17"/>
              </w:numPr>
              <w:spacing w:line="276" w:lineRule="auto"/>
              <w:jc w:val="both"/>
              <w:rPr>
                <w:rFonts w:ascii="Verdana" w:hAnsi="Verdana"/>
                <w:lang w:val="es-ES" w:eastAsia="es-ES" w:bidi="es-ES"/>
              </w:rPr>
            </w:pPr>
            <w:r>
              <w:rPr>
                <w:rFonts w:ascii="Verdana" w:hAnsi="Verdana"/>
                <w:bCs/>
                <w:lang w:val="es-ES" w:eastAsia="es-ES" w:bidi="es-ES"/>
              </w:rPr>
              <w:t>Ley 100 de 1993: Artículo 94, 197</w:t>
            </w:r>
          </w:p>
          <w:p w14:paraId="5BFA9586" w14:textId="77777777" w:rsidR="00540A70" w:rsidRDefault="00540A70" w:rsidP="00540A70">
            <w:pPr>
              <w:pStyle w:val="Sinespaciado"/>
              <w:numPr>
                <w:ilvl w:val="0"/>
                <w:numId w:val="17"/>
              </w:numPr>
              <w:spacing w:line="276" w:lineRule="auto"/>
              <w:jc w:val="both"/>
              <w:rPr>
                <w:rFonts w:ascii="Verdana" w:hAnsi="Verdana"/>
                <w:lang w:val="es-ES" w:eastAsia="es-ES" w:bidi="es-ES"/>
              </w:rPr>
            </w:pPr>
            <w:r w:rsidRPr="004E4CFC">
              <w:rPr>
                <w:rFonts w:ascii="Verdana" w:hAnsi="Verdana"/>
                <w:lang w:val="es-ES" w:eastAsia="es-ES" w:bidi="es-ES"/>
              </w:rPr>
              <w:t>Decreto 780 de 2016, artículo 2.8.8.1.4.2</w:t>
            </w:r>
          </w:p>
          <w:p w14:paraId="37470DDF" w14:textId="77777777" w:rsidR="00540A70" w:rsidRDefault="00540A70" w:rsidP="00540A70">
            <w:pPr>
              <w:pStyle w:val="Sinespaciado"/>
              <w:numPr>
                <w:ilvl w:val="0"/>
                <w:numId w:val="17"/>
              </w:numPr>
              <w:spacing w:line="276" w:lineRule="auto"/>
              <w:jc w:val="both"/>
              <w:rPr>
                <w:rFonts w:ascii="Verdana" w:hAnsi="Verdana"/>
                <w:lang w:val="es-ES" w:eastAsia="es-ES" w:bidi="es-ES"/>
              </w:rPr>
            </w:pPr>
            <w:r w:rsidRPr="004E4CFC">
              <w:rPr>
                <w:rFonts w:ascii="Verdana" w:hAnsi="Verdana"/>
                <w:lang w:val="es-ES" w:eastAsia="es-ES" w:bidi="es-ES"/>
              </w:rPr>
              <w:t>Corte Constitucional, Sentencia C- 1153 de 11 de noviembre de 2005, M.P. Marco Gerardo Monroy Cabra.</w:t>
            </w:r>
          </w:p>
          <w:p w14:paraId="3BEBF5D6" w14:textId="77777777" w:rsidR="00540A70" w:rsidRPr="004E4CFC" w:rsidRDefault="00540A70" w:rsidP="00540A70">
            <w:pPr>
              <w:pStyle w:val="Sinespaciado"/>
              <w:numPr>
                <w:ilvl w:val="0"/>
                <w:numId w:val="17"/>
              </w:numPr>
              <w:spacing w:line="276" w:lineRule="auto"/>
              <w:jc w:val="both"/>
              <w:rPr>
                <w:rFonts w:ascii="Verdana" w:hAnsi="Verdana"/>
                <w:lang w:val="es-ES" w:eastAsia="es-ES" w:bidi="es-ES"/>
              </w:rPr>
            </w:pPr>
            <w:r w:rsidRPr="00744708">
              <w:rPr>
                <w:rFonts w:ascii="Verdana" w:hAnsi="Verdana"/>
                <w:lang w:val="es-ES" w:eastAsia="es-ES" w:bidi="es-ES"/>
              </w:rPr>
              <w:t>Consejo de Estado. Sala de Consulta y Servicio Civil. Concepto de 20 de febrero de 2006. Radicación Número: 11001-03-06-000-2006-00026-00(1727). Consejero Ponente: Enrique José Arboleda Perdomo.</w:t>
            </w:r>
          </w:p>
          <w:p w14:paraId="6642D3B4" w14:textId="77777777" w:rsidR="00540A70" w:rsidRDefault="00540A70" w:rsidP="00540A70">
            <w:pPr>
              <w:pStyle w:val="Sinespaciado"/>
              <w:numPr>
                <w:ilvl w:val="0"/>
                <w:numId w:val="17"/>
              </w:numPr>
              <w:spacing w:line="276" w:lineRule="auto"/>
              <w:jc w:val="both"/>
              <w:rPr>
                <w:rFonts w:ascii="Verdana" w:hAnsi="Verdana"/>
                <w:lang w:val="es-ES" w:eastAsia="es-ES" w:bidi="es-ES"/>
              </w:rPr>
            </w:pPr>
            <w:r w:rsidRPr="004E4CFC">
              <w:rPr>
                <w:rFonts w:ascii="Verdana" w:hAnsi="Verdana"/>
                <w:lang w:val="es-ES" w:eastAsia="es-ES" w:bidi="es-ES"/>
              </w:rPr>
              <w:t xml:space="preserve">Consejo de Estado, Sala de Consulta y Servicio Civil de fecha 24 de julio de 2013, radicado 2166, C. P. Álvaro Namén Vargas. </w:t>
            </w:r>
          </w:p>
          <w:p w14:paraId="2CC08CBD" w14:textId="77777777" w:rsidR="00540A70" w:rsidRPr="004E4CFC" w:rsidRDefault="00540A70" w:rsidP="00540A70">
            <w:pPr>
              <w:pStyle w:val="Sinespaciado"/>
              <w:numPr>
                <w:ilvl w:val="0"/>
                <w:numId w:val="17"/>
              </w:numPr>
              <w:spacing w:line="276" w:lineRule="auto"/>
              <w:jc w:val="both"/>
              <w:rPr>
                <w:rFonts w:ascii="Verdana" w:hAnsi="Verdana"/>
                <w:lang w:val="es-ES" w:eastAsia="es-ES" w:bidi="es-ES"/>
              </w:rPr>
            </w:pPr>
            <w:r w:rsidRPr="004E4CFC">
              <w:rPr>
                <w:rFonts w:ascii="Verdana" w:hAnsi="Verdana"/>
                <w:lang w:val="es-ES" w:eastAsia="es-ES" w:bidi="es-ES"/>
              </w:rPr>
              <w:t>Consejo de Estado. Sala de Consulta y Servicio Civil. Concepto del 2 de septiembre de 2013. Radicación número: 11001-03-06-000-2013-00412-00 (2168). Consejero Ponente: Álvaro Namén Vargas.</w:t>
            </w:r>
          </w:p>
          <w:p w14:paraId="71E3FB29" w14:textId="77777777" w:rsidR="00540A70" w:rsidRPr="00744708" w:rsidRDefault="00540A70" w:rsidP="00540A70">
            <w:pPr>
              <w:pStyle w:val="Sinespaciado"/>
              <w:numPr>
                <w:ilvl w:val="0"/>
                <w:numId w:val="17"/>
              </w:numPr>
              <w:spacing w:line="276" w:lineRule="auto"/>
              <w:jc w:val="both"/>
              <w:rPr>
                <w:rFonts w:ascii="Verdana" w:hAnsi="Verdana"/>
                <w:lang w:val="es-ES" w:eastAsia="es-ES" w:bidi="es-ES"/>
              </w:rPr>
            </w:pPr>
            <w:r w:rsidRPr="004E4CFC">
              <w:rPr>
                <w:rFonts w:ascii="Verdana" w:hAnsi="Verdana"/>
                <w:lang w:val="es-ES" w:eastAsia="es-ES" w:bidi="es-ES"/>
              </w:rPr>
              <w:t xml:space="preserve">Consejo de Estado. Sala de Consulta y Servicio Civil. Concepto del 17 de febrero de 2015. C.P. William Zambrano Cetina. Radicación No. 11001-03-06-000-2015-00164-00(2269). </w:t>
            </w:r>
          </w:p>
          <w:p w14:paraId="52273F31" w14:textId="77777777" w:rsidR="00540A70" w:rsidRDefault="00540A70" w:rsidP="00540A70">
            <w:pPr>
              <w:pStyle w:val="Sinespaciado"/>
              <w:numPr>
                <w:ilvl w:val="0"/>
                <w:numId w:val="17"/>
              </w:numPr>
              <w:spacing w:line="276" w:lineRule="auto"/>
              <w:jc w:val="both"/>
              <w:rPr>
                <w:rFonts w:ascii="Verdana" w:hAnsi="Verdana"/>
                <w:lang w:val="es-ES" w:eastAsia="es-ES" w:bidi="es-ES"/>
              </w:rPr>
            </w:pPr>
            <w:r w:rsidRPr="004E4CFC">
              <w:rPr>
                <w:rFonts w:ascii="Verdana" w:hAnsi="Verdana"/>
                <w:lang w:val="es-ES" w:eastAsia="es-ES" w:bidi="es-ES"/>
              </w:rPr>
              <w:t>Consejo de Estado. Sala de Consulta y Servicio Civil, Concepto de 8 de mayo de 2018. Radicación Número: 11001-03-06-000-2018-00095-00(2382). Consejero Ponente: Álvaro Namén Vargas</w:t>
            </w:r>
          </w:p>
          <w:p w14:paraId="33046CEE" w14:textId="46B018D6" w:rsidR="007A4F29" w:rsidRPr="004A2375" w:rsidRDefault="00540A70" w:rsidP="00540A70">
            <w:pPr>
              <w:pStyle w:val="Prrafodelista"/>
              <w:numPr>
                <w:ilvl w:val="0"/>
                <w:numId w:val="17"/>
              </w:numPr>
              <w:spacing w:line="276" w:lineRule="auto"/>
              <w:contextualSpacing w:val="0"/>
              <w:rPr>
                <w:rFonts w:ascii="Verdana" w:hAnsi="Verdana" w:cs="Arial"/>
              </w:rPr>
            </w:pPr>
            <w:r w:rsidRPr="004E4CFC">
              <w:rPr>
                <w:rFonts w:ascii="Verdana" w:hAnsi="Verdana"/>
                <w:lang w:eastAsia="es-ES" w:bidi="es-ES"/>
              </w:rPr>
              <w:t>Colombia Compra Eficiente. Circular Externa Única. Numeral 16.5.</w:t>
            </w:r>
            <w:r>
              <w:rPr>
                <w:rFonts w:ascii="Verdana" w:hAnsi="Verdana"/>
                <w:lang w:eastAsia="es-ES" w:bidi="es-ES"/>
              </w:rPr>
              <w:t xml:space="preserve"> </w:t>
            </w:r>
            <w:r w:rsidRPr="008548E4">
              <w:rPr>
                <w:rFonts w:ascii="Verdana" w:hAnsi="Verdana"/>
                <w:lang w:eastAsia="es-ES" w:bidi="es-ES"/>
              </w:rPr>
              <w:t xml:space="preserve">Disponible en línea: </w:t>
            </w:r>
            <w:hyperlink r:id="rId12" w:history="1">
              <w:r w:rsidRPr="008548E4">
                <w:rPr>
                  <w:rStyle w:val="Hipervnculo"/>
                  <w:rFonts w:ascii="Verdana" w:eastAsia="Calibri" w:hAnsi="Verdana" w:cs="Arial"/>
                </w:rPr>
                <w:t>https://www.colombiacompra.gov.co/normativa-y-relatoria/circular-unica-externa</w:t>
              </w:r>
            </w:hyperlink>
          </w:p>
        </w:tc>
      </w:tr>
    </w:tbl>
    <w:p w14:paraId="15C738AC" w14:textId="77777777" w:rsidR="007A4F29" w:rsidRPr="004A2375" w:rsidRDefault="007A4F29" w:rsidP="007A4F29">
      <w:pPr>
        <w:spacing w:after="0" w:line="276" w:lineRule="auto"/>
        <w:ind w:right="709"/>
        <w:jc w:val="both"/>
        <w:rPr>
          <w:rFonts w:ascii="Verdana" w:hAnsi="Verdana" w:cs="Arial"/>
          <w:color w:val="000000" w:themeColor="text1"/>
        </w:rPr>
      </w:pPr>
    </w:p>
    <w:p w14:paraId="16D5E5D2" w14:textId="77777777" w:rsidR="007A4F29" w:rsidRPr="004A2375" w:rsidRDefault="007A4F29" w:rsidP="007A4F29">
      <w:pPr>
        <w:spacing w:after="0" w:line="276" w:lineRule="auto"/>
        <w:rPr>
          <w:rFonts w:ascii="Verdana" w:eastAsia="Calibri" w:hAnsi="Verdana" w:cs="Times New Roman"/>
          <w:b/>
          <w:bCs/>
        </w:rPr>
      </w:pPr>
      <w:r w:rsidRPr="004A2375">
        <w:rPr>
          <w:rFonts w:ascii="Verdana" w:eastAsia="Calibri" w:hAnsi="Verdana" w:cs="Times New Roman"/>
          <w:b/>
          <w:bCs/>
        </w:rPr>
        <w:t>5. Doctrina de la Agencia Nacional de Contratación Pública:</w:t>
      </w:r>
    </w:p>
    <w:p w14:paraId="54238B23" w14:textId="14FA1B4F" w:rsidR="007A4F29" w:rsidRPr="004465F1" w:rsidRDefault="004465F1" w:rsidP="00C001FC">
      <w:pPr>
        <w:widowControl w:val="0"/>
        <w:autoSpaceDE w:val="0"/>
        <w:autoSpaceDN w:val="0"/>
        <w:spacing w:after="0" w:line="276" w:lineRule="auto"/>
        <w:jc w:val="both"/>
        <w:rPr>
          <w:rFonts w:ascii="Verdana" w:hAnsi="Verdana" w:cs="Arial"/>
          <w:shd w:val="clear" w:color="auto" w:fill="FFFFFF"/>
        </w:rPr>
      </w:pPr>
      <w:r w:rsidRPr="0094222D">
        <w:rPr>
          <w:rStyle w:val="normaltextrun"/>
          <w:rFonts w:ascii="Verdana" w:hAnsi="Verdana" w:cs="Arial"/>
          <w:shd w:val="clear" w:color="auto" w:fill="FFFFFF"/>
          <w:lang w:val="es-ES_tradnl"/>
        </w:rPr>
        <w:t xml:space="preserve">Esta Subdirección se ha pronunciado sobre </w:t>
      </w:r>
      <w:r w:rsidRPr="00AB70DD">
        <w:rPr>
          <w:rFonts w:ascii="Verdana" w:hAnsi="Verdana" w:cs="Arial"/>
          <w:shd w:val="clear" w:color="auto" w:fill="FFFFFF"/>
          <w:lang w:val="es-ES"/>
        </w:rPr>
        <w:t xml:space="preserve">la finalidad y propósito de la Ley de Garantías Electorales, en los Conceptos 4201913000004536 de 17 de julio de 2019, 4201912000005556 del 12 de septiembre de 2019, 4201913000005175 del 13 de septiembre de 2019, 4201913000006452 del 07 de octubre de 2019, 4201913000005082 del 17 de octubre de 2019, 4201913000006306 del 21 de octubre de 2019, 4201912000006552 del 07 de noviembre de 2019, 4201913000006604 del 17 de diciembre de 2019,  C-227 del 24 de mayo de 2021 y 396 del 13 de agosto de 2021, C-439 del 27 de agosto de 2021, C-456 </w:t>
      </w:r>
      <w:r w:rsidRPr="00AB70DD">
        <w:rPr>
          <w:rFonts w:ascii="Verdana" w:hAnsi="Verdana" w:cs="Arial"/>
          <w:shd w:val="clear" w:color="auto" w:fill="FFFFFF"/>
          <w:lang w:val="es-ES"/>
        </w:rPr>
        <w:lastRenderedPageBreak/>
        <w:t xml:space="preserve">del 3 de septiembre, C-481 del 9 de septiembre de 2021, C- 528 del 27 de septiembre de 2021, C-550 del 5 de octubre de 2021 y C-523 del 10 de octubre de 2021, C-606 del 28 de octubre de 2021 y C-614 del 2 de noviembre de 2021, C-636 del 16 de noviembre de 2021, 681 del 7 de diciembre de 2021, C-686 del 21 de diciembre de 2021, C-697 del 3 de enero de 2022, entre otros. </w:t>
      </w:r>
      <w:r w:rsidRPr="00AB70DD">
        <w:rPr>
          <w:rFonts w:ascii="Verdana" w:hAnsi="Verdana" w:cs="Arial"/>
          <w:shd w:val="clear" w:color="auto" w:fill="FFFFFF"/>
        </w:rPr>
        <w:t xml:space="preserve">Esta Subdirección se ha pronunciado sobre la liquidación en los conceptos 4201912000004908 del 27 de septiembre de 2019, CU-028 de 25 de febrero de 2020, C-221 de 21 de abril de 2020, C-078 del 17 de marzo de 2021, C-220 del 18 de mayo de 2021, C-444 del 23 de julio de 2021, C-747 del 8 de noviembre de 2022, C-739 de del 29 de noviembre de 2022, C- 176 de 3 de mayo de 2023, C-158 del 6 de junio de 2023, C-326 del 15 de agosto de 2024, C-568 del 18 de octubre de 2024 y C-774 del 20 de noviembre de 2024. </w:t>
      </w:r>
      <w:r w:rsidRPr="00AB70DD">
        <w:rPr>
          <w:rFonts w:ascii="Verdana" w:eastAsia="Aptos" w:hAnsi="Verdana" w:cs="Arial"/>
          <w:shd w:val="clear" w:color="auto" w:fill="FFFFFF"/>
          <w:lang w:val="es-ES"/>
        </w:rPr>
        <w:t xml:space="preserve">Sobre la nulidad de los contratos estatales, esta Subdirección se ha referido en los Conceptos </w:t>
      </w:r>
      <w:r w:rsidRPr="00AB70DD">
        <w:rPr>
          <w:rFonts w:ascii="Verdana" w:eastAsia="Calibri" w:hAnsi="Verdana" w:cs="Arial"/>
          <w:lang w:val="es-ES_tradnl" w:eastAsia="es-MX"/>
        </w:rPr>
        <w:t>C</w:t>
      </w:r>
      <w:r w:rsidRPr="001924B7">
        <w:rPr>
          <w:rFonts w:ascii="Verdana" w:eastAsia="Aptos" w:hAnsi="Verdana" w:cs="Times New Roman"/>
        </w:rPr>
        <w:t xml:space="preserve"> </w:t>
      </w:r>
      <w:r w:rsidRPr="00AB70DD">
        <w:rPr>
          <w:rFonts w:ascii="Verdana" w:eastAsia="Calibri" w:hAnsi="Verdana" w:cs="Arial"/>
          <w:lang w:val="es-ES_tradnl" w:eastAsia="es-MX"/>
        </w:rPr>
        <w:t>C-600 del 13 de octubre de 2020, C-378 del 31 de agosto de 2021, C-575 del 13 de octubre de 2021, C-896 del 17 de enero de 2023, C-041 del 20 de febrero de 2025</w:t>
      </w:r>
      <w:r w:rsidRPr="00AB70DD">
        <w:rPr>
          <w:rFonts w:ascii="Verdana" w:eastAsia="Aptos" w:hAnsi="Verdana" w:cs="Arial"/>
          <w:shd w:val="clear" w:color="auto" w:fill="FFFFFF"/>
          <w:lang w:val="es-ES"/>
        </w:rPr>
        <w:t>, C-466 del 16 de mayo de 2025, C-510 del 4 de junio de 2025,</w:t>
      </w:r>
      <w:r>
        <w:rPr>
          <w:rFonts w:ascii="Verdana" w:eastAsia="Aptos" w:hAnsi="Verdana" w:cs="Arial"/>
          <w:shd w:val="clear" w:color="auto" w:fill="FFFFFF"/>
          <w:lang w:val="es-ES"/>
        </w:rPr>
        <w:t xml:space="preserve"> C-696 del 11 de julio de 2025, 1868 del 09 de febrero de 2026, </w:t>
      </w:r>
      <w:r w:rsidRPr="00AB70DD">
        <w:rPr>
          <w:rFonts w:ascii="Verdana" w:eastAsia="Aptos" w:hAnsi="Verdana" w:cs="Arial"/>
          <w:shd w:val="clear" w:color="auto" w:fill="FFFFFF"/>
          <w:lang w:val="es-ES"/>
        </w:rPr>
        <w:t xml:space="preserve">entre otros. </w:t>
      </w:r>
      <w:r w:rsidRPr="00AB70DD">
        <w:rPr>
          <w:rFonts w:ascii="Verdana" w:hAnsi="Verdana" w:cs="Arial"/>
          <w:shd w:val="clear" w:color="auto" w:fill="FFFFFF"/>
        </w:rPr>
        <w:t>E</w:t>
      </w:r>
      <w:proofErr w:type="spellStart"/>
      <w:r>
        <w:rPr>
          <w:rFonts w:ascii="Verdana" w:hAnsi="Verdana" w:cs="Arial"/>
          <w:shd w:val="clear" w:color="auto" w:fill="FFFFFF"/>
          <w:lang w:val="es-ES"/>
        </w:rPr>
        <w:t>stos</w:t>
      </w:r>
      <w:proofErr w:type="spellEnd"/>
      <w:r>
        <w:rPr>
          <w:rFonts w:ascii="Verdana" w:hAnsi="Verdana" w:cs="Arial"/>
          <w:shd w:val="clear" w:color="auto" w:fill="FFFFFF"/>
          <w:lang w:val="es-ES"/>
        </w:rPr>
        <w:t xml:space="preserve"> </w:t>
      </w:r>
      <w:r w:rsidRPr="00AB70DD">
        <w:rPr>
          <w:rFonts w:ascii="Verdana" w:hAnsi="Verdana" w:cs="Arial"/>
          <w:shd w:val="clear" w:color="auto" w:fill="FFFFFF"/>
          <w:lang w:val="es-ES"/>
        </w:rPr>
        <w:t xml:space="preserve">y otros </w:t>
      </w:r>
      <w:r w:rsidRPr="00AB70DD">
        <w:rPr>
          <w:rFonts w:ascii="Verdana" w:hAnsi="Verdana"/>
        </w:rPr>
        <w:t>conceptos se encuentran disponibles para consulta en el Sistema de relatoría de la Agencia, al cual se puede acceder a través del siguiente enlace:</w:t>
      </w:r>
      <w:r w:rsidRPr="00AB70DD">
        <w:rPr>
          <w:rFonts w:ascii="Verdana" w:hAnsi="Verdana" w:cs="Arial"/>
          <w:shd w:val="clear" w:color="auto" w:fill="FFFFFF"/>
        </w:rPr>
        <w:t xml:space="preserve"> </w:t>
      </w:r>
      <w:hyperlink r:id="rId13" w:history="1">
        <w:r w:rsidRPr="008548E4">
          <w:rPr>
            <w:rFonts w:ascii="Verdana" w:hAnsi="Verdana" w:cs="Arial"/>
            <w:color w:val="0563C1" w:themeColor="hyperlink"/>
            <w:u w:val="single"/>
            <w:shd w:val="clear" w:color="auto" w:fill="FFFFFF"/>
          </w:rPr>
          <w:t>https://relatoria.colombiacompra.gov.co/busqueda/conceptos</w:t>
        </w:r>
      </w:hyperlink>
      <w:r w:rsidRPr="008548E4">
        <w:rPr>
          <w:rFonts w:ascii="Verdana" w:hAnsi="Verdana" w:cs="Arial"/>
          <w:shd w:val="clear" w:color="auto" w:fill="FFFFFF"/>
        </w:rPr>
        <w:t>.</w:t>
      </w:r>
    </w:p>
    <w:p w14:paraId="729DA351" w14:textId="77777777" w:rsidR="007A4F29" w:rsidRPr="004A2375" w:rsidRDefault="007A4F29" w:rsidP="007A4F29">
      <w:pPr>
        <w:spacing w:after="0" w:line="276" w:lineRule="auto"/>
        <w:jc w:val="both"/>
        <w:rPr>
          <w:rFonts w:ascii="Verdana" w:hAnsi="Verdana"/>
        </w:rPr>
      </w:pPr>
      <w:r w:rsidRPr="004A2375">
        <w:rPr>
          <w:rFonts w:ascii="Verdana" w:hAnsi="Verdana"/>
        </w:rPr>
        <w:t xml:space="preserve">La sostenibilidad no es una opción, es una obligación. Por ello, la Agencia Nacional de Contratación Pública –Colombia Compra Eficiente– te invita a realizar el </w:t>
      </w:r>
      <w:r w:rsidRPr="004A2375">
        <w:rPr>
          <w:rFonts w:ascii="Verdana" w:hAnsi="Verdana"/>
          <w:b/>
          <w:bCs/>
        </w:rPr>
        <w:t>Curso de Contratación Pública Sostenible y Socialmente Responsable</w:t>
      </w:r>
      <w:r w:rsidRPr="004A2375">
        <w:rPr>
          <w:rFonts w:ascii="Verdana" w:hAnsi="Verdana"/>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4A2375">
        <w:rPr>
          <w:rFonts w:ascii="Verdana" w:hAnsi="Verdana"/>
        </w:rPr>
        <w:br/>
      </w:r>
      <w:hyperlink r:id="rId14" w:tgtFrame="_new" w:history="1">
        <w:r w:rsidRPr="008548E4">
          <w:rPr>
            <w:rStyle w:val="Hipervnculo"/>
            <w:rFonts w:ascii="Verdana" w:hAnsi="Verdana"/>
          </w:rPr>
          <w:t>https://formacionvirtual.colombiacompra.gov.co/mod/page/view.php?id=3718</w:t>
        </w:r>
      </w:hyperlink>
    </w:p>
    <w:p w14:paraId="248F3FF5" w14:textId="77777777" w:rsidR="007A4F29" w:rsidRDefault="007A4F29" w:rsidP="007A4F29">
      <w:pPr>
        <w:spacing w:after="0" w:line="276" w:lineRule="auto"/>
        <w:jc w:val="both"/>
        <w:rPr>
          <w:rFonts w:ascii="Verdana" w:hAnsi="Verdana"/>
        </w:rPr>
      </w:pPr>
    </w:p>
    <w:p w14:paraId="26955247" w14:textId="77777777" w:rsidR="007A4F29" w:rsidRPr="004A2375" w:rsidRDefault="007A4F29" w:rsidP="007A4F29">
      <w:pPr>
        <w:spacing w:after="0" w:line="276" w:lineRule="auto"/>
        <w:jc w:val="both"/>
        <w:rPr>
          <w:rFonts w:ascii="Verdana" w:hAnsi="Verdana"/>
        </w:rPr>
      </w:pPr>
      <w:r w:rsidRPr="004A2375">
        <w:rPr>
          <w:rFonts w:ascii="Verdana" w:hAnsi="Verdana"/>
        </w:rPr>
        <w:t xml:space="preserve">De otro lado, te contamos que esta Agencia ha da un paso decisivo en la estandarización y modernización del </w:t>
      </w:r>
      <w:r w:rsidRPr="004A2375">
        <w:rPr>
          <w:rFonts w:ascii="Verdana" w:hAnsi="Verdana"/>
          <w:b/>
          <w:bCs/>
        </w:rPr>
        <w:t>sector  social</w:t>
      </w:r>
      <w:r w:rsidRPr="004A2375">
        <w:rPr>
          <w:rFonts w:ascii="Verdana" w:hAnsi="Verdana"/>
        </w:rPr>
        <w:t xml:space="preserve"> con la expedición de las </w:t>
      </w:r>
      <w:r w:rsidRPr="004A2375">
        <w:rPr>
          <w:rFonts w:ascii="Verdana" w:hAnsi="Verdana"/>
          <w:b/>
          <w:bCs/>
        </w:rPr>
        <w:t>Resoluciones 539, 540, 541, 952 y 953 de 2025</w:t>
      </w:r>
      <w:r w:rsidRPr="004A2375">
        <w:rPr>
          <w:rFonts w:ascii="Verdana" w:hAnsi="Verdana"/>
        </w:rPr>
        <w:t xml:space="preserve">, </w:t>
      </w:r>
      <w:r w:rsidRPr="004A2375">
        <w:rPr>
          <w:rFonts w:ascii="Verdana" w:hAnsi="Verdana"/>
          <w:b/>
          <w:bCs/>
        </w:rPr>
        <w:t>mediante las cuales adoptó Documentos Tipo</w:t>
      </w:r>
      <w:r w:rsidRPr="004A2375">
        <w:rPr>
          <w:rFonts w:ascii="Verdana" w:hAnsi="Verdana"/>
        </w:rPr>
        <w:t xml:space="preserve"> para las modalidades de selección de</w:t>
      </w:r>
      <w:r w:rsidRPr="004A2375">
        <w:rPr>
          <w:rFonts w:ascii="Verdana" w:hAnsi="Verdana"/>
          <w:b/>
          <w:bCs/>
        </w:rPr>
        <w:t xml:space="preserve"> licitación pública (versión 2), selección abreviada de menor cuantía, mínima cuantía, consultoría e interventoría</w:t>
      </w:r>
      <w:r w:rsidRPr="004A2375">
        <w:rPr>
          <w:rFonts w:ascii="Verdana" w:hAnsi="Verdana"/>
        </w:rPr>
        <w:t xml:space="preserve">, promoviendo procesos más transparentes, eficientes  competitivos y sostenibles en sectores estratégicos </w:t>
      </w:r>
      <w:r w:rsidRPr="004A2375">
        <w:rPr>
          <w:rFonts w:ascii="Verdana" w:hAnsi="Verdana"/>
        </w:rPr>
        <w:lastRenderedPageBreak/>
        <w:t xml:space="preserve">como educación, salud, cultura, recreación, deporte, institucional y vivienda. </w:t>
      </w:r>
      <w:r w:rsidRPr="008548E4">
        <w:rPr>
          <w:rFonts w:ascii="Verdana" w:hAnsi="Verdana"/>
        </w:rPr>
        <w:t xml:space="preserve">Consulta y descarga los documentos aquí: </w:t>
      </w:r>
      <w:hyperlink r:id="rId15" w:tgtFrame="_new" w:history="1">
        <w:r w:rsidRPr="008548E4">
          <w:rPr>
            <w:rStyle w:val="Hipervnculo"/>
            <w:rFonts w:ascii="Verdana" w:hAnsi="Verdana"/>
          </w:rPr>
          <w:t>https://www.colombiacompra.gov.co/normativa-y-relatoria/documentos-tipo</w:t>
        </w:r>
      </w:hyperlink>
    </w:p>
    <w:p w14:paraId="49823114" w14:textId="77777777" w:rsidR="007A4F29" w:rsidRDefault="007A4F29" w:rsidP="007A4F29">
      <w:pPr>
        <w:spacing w:after="0" w:line="276" w:lineRule="auto"/>
        <w:jc w:val="both"/>
        <w:rPr>
          <w:rFonts w:ascii="Verdana" w:hAnsi="Verdana"/>
        </w:rPr>
      </w:pPr>
    </w:p>
    <w:p w14:paraId="22A1AA74" w14:textId="77777777" w:rsidR="007A4F29" w:rsidRPr="004A2375" w:rsidRDefault="007A4F29" w:rsidP="007A4F29">
      <w:pPr>
        <w:spacing w:after="0" w:line="276" w:lineRule="auto"/>
        <w:jc w:val="both"/>
        <w:rPr>
          <w:rFonts w:ascii="Verdana" w:hAnsi="Verdana"/>
        </w:rPr>
      </w:pPr>
      <w:r w:rsidRPr="004A2375">
        <w:rPr>
          <w:rFonts w:ascii="Verdana" w:hAnsi="Verdana"/>
        </w:rPr>
        <w:t xml:space="preserve">Si quieres conocer más sobre la aplicación de Documentos Tipo puedes consultar la última versión de la </w:t>
      </w:r>
      <w:r w:rsidRPr="004A2375">
        <w:rPr>
          <w:rFonts w:ascii="Verdana" w:hAnsi="Verdana"/>
          <w:b/>
          <w:bCs/>
        </w:rPr>
        <w:t>Guía para la comprensión e implementación de los Documentos Tipo de obra pública de infraestructura de transporte</w:t>
      </w:r>
      <w:r w:rsidRPr="004A2375">
        <w:rPr>
          <w:rFonts w:ascii="Verdana" w:hAnsi="Verdana"/>
        </w:rPr>
        <w:t xml:space="preserve">. En esta actualización se incorporaron orientaciones prácticas dirigidas a entidades públicas, proveedores, organismos de control y demás interesados, con el propósito de facilitar la adecuada implementación de estos instrumentos en los procesos contractuales. </w:t>
      </w:r>
      <w:r w:rsidRPr="008548E4">
        <w:rPr>
          <w:rFonts w:ascii="Verdana" w:hAnsi="Verdana"/>
        </w:rPr>
        <w:t>Además se incluyeron lineamientos que orientan la implementación de los criterios ambientales y sociales incluidos en los documentos tipo: Consulta la guía aquí:</w:t>
      </w:r>
      <w:r w:rsidRPr="008548E4">
        <w:rPr>
          <w:rFonts w:ascii="Verdana" w:hAnsi="Verdana"/>
        </w:rPr>
        <w:br/>
      </w:r>
      <w:hyperlink r:id="rId16" w:tgtFrame="_new" w:history="1">
        <w:r w:rsidRPr="008548E4">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2F14E3FB" w14:textId="77777777" w:rsidR="007A4F29" w:rsidRDefault="007A4F29" w:rsidP="007A4F29">
      <w:pPr>
        <w:spacing w:after="0" w:line="276" w:lineRule="auto"/>
        <w:jc w:val="both"/>
        <w:rPr>
          <w:rFonts w:ascii="Verdana" w:hAnsi="Verdana"/>
        </w:rPr>
      </w:pPr>
    </w:p>
    <w:p w14:paraId="4F7AE4BB" w14:textId="77777777" w:rsidR="007A4F29" w:rsidRPr="004A2375" w:rsidRDefault="007A4F29" w:rsidP="007A4F29">
      <w:pPr>
        <w:spacing w:after="0" w:line="276" w:lineRule="auto"/>
        <w:jc w:val="both"/>
        <w:rPr>
          <w:rFonts w:ascii="Verdana" w:hAnsi="Verdana"/>
        </w:rPr>
      </w:pPr>
      <w:r w:rsidRPr="004A2375">
        <w:rPr>
          <w:rFonts w:ascii="Verdana" w:hAnsi="Verdana"/>
        </w:rPr>
        <w:t xml:space="preserve">Aprovechamos la oportunidad para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38A5BDE4" w14:textId="77777777" w:rsidR="007A4F29" w:rsidRPr="004A2375" w:rsidRDefault="007A4F29" w:rsidP="007A4F29">
      <w:pPr>
        <w:pStyle w:val="Prrafodelista"/>
        <w:numPr>
          <w:ilvl w:val="0"/>
          <w:numId w:val="15"/>
        </w:numPr>
        <w:spacing w:after="0" w:line="276" w:lineRule="auto"/>
        <w:contextualSpacing w:val="0"/>
        <w:jc w:val="both"/>
        <w:rPr>
          <w:rFonts w:ascii="Verdana" w:hAnsi="Verdana"/>
          <w:lang w:val="es-CO"/>
        </w:rPr>
      </w:pPr>
      <w:r w:rsidRPr="004A2375">
        <w:rPr>
          <w:rFonts w:ascii="Verdana" w:hAnsi="Verdana"/>
          <w:lang w:val="es-CO"/>
        </w:rPr>
        <w:t>Línea nacional gratuita o servicio a la ciudadanía: 01800 0520808</w:t>
      </w:r>
    </w:p>
    <w:p w14:paraId="49729324" w14:textId="77777777" w:rsidR="007A4F29" w:rsidRPr="004A2375" w:rsidRDefault="007A4F29" w:rsidP="007A4F29">
      <w:pPr>
        <w:pStyle w:val="Prrafodelista"/>
        <w:numPr>
          <w:ilvl w:val="0"/>
          <w:numId w:val="15"/>
        </w:numPr>
        <w:spacing w:after="0" w:line="276" w:lineRule="auto"/>
        <w:contextualSpacing w:val="0"/>
        <w:jc w:val="both"/>
        <w:rPr>
          <w:rFonts w:ascii="Verdana" w:hAnsi="Verdana"/>
          <w:lang w:val="es-CO"/>
        </w:rPr>
      </w:pPr>
      <w:r w:rsidRPr="004A2375">
        <w:rPr>
          <w:rFonts w:ascii="Verdana" w:hAnsi="Verdana"/>
          <w:lang w:val="es-CO"/>
        </w:rPr>
        <w:t>Línea en Bogotá (Mesa de servicio): +57 601 7456788</w:t>
      </w:r>
    </w:p>
    <w:p w14:paraId="4B83B893" w14:textId="77777777" w:rsidR="007A4F29" w:rsidRPr="004A2375" w:rsidRDefault="007A4F29" w:rsidP="007A4F29">
      <w:pPr>
        <w:pStyle w:val="Prrafodelista"/>
        <w:numPr>
          <w:ilvl w:val="0"/>
          <w:numId w:val="15"/>
        </w:numPr>
        <w:spacing w:after="0" w:line="276" w:lineRule="auto"/>
        <w:contextualSpacing w:val="0"/>
        <w:jc w:val="both"/>
        <w:rPr>
          <w:rFonts w:ascii="Verdana" w:hAnsi="Verdana"/>
          <w:lang w:val="es-CO"/>
        </w:rPr>
      </w:pPr>
      <w:r w:rsidRPr="004A2375">
        <w:rPr>
          <w:rFonts w:ascii="Verdana" w:hAnsi="Verdana"/>
          <w:lang w:val="es-CO"/>
        </w:rPr>
        <w:t>Línea de servicio y atención al ciudadano: +57 601 7956600</w:t>
      </w:r>
    </w:p>
    <w:p w14:paraId="174CB9D8" w14:textId="77777777" w:rsidR="007A4F29" w:rsidRPr="004A2375" w:rsidRDefault="007A4F29" w:rsidP="007A4F29">
      <w:pPr>
        <w:pStyle w:val="Prrafodelista"/>
        <w:numPr>
          <w:ilvl w:val="0"/>
          <w:numId w:val="15"/>
        </w:numPr>
        <w:spacing w:after="0" w:line="276" w:lineRule="auto"/>
        <w:contextualSpacing w:val="0"/>
        <w:jc w:val="both"/>
        <w:rPr>
          <w:rFonts w:ascii="Verdana" w:hAnsi="Verdana"/>
          <w:lang w:val="es-CO"/>
        </w:rPr>
      </w:pPr>
      <w:r w:rsidRPr="008548E4">
        <w:rPr>
          <w:rFonts w:ascii="Verdana" w:hAnsi="Verdana"/>
          <w:lang w:val="es-CO"/>
        </w:rPr>
        <w:t xml:space="preserve">Página web: </w:t>
      </w:r>
      <w:hyperlink r:id="rId17" w:history="1">
        <w:r w:rsidRPr="008548E4">
          <w:rPr>
            <w:rStyle w:val="Hipervnculo"/>
            <w:rFonts w:ascii="Verdana" w:hAnsi="Verdana"/>
            <w:lang w:val="es-CO"/>
          </w:rPr>
          <w:t>www.colombiacompra.gov.co</w:t>
        </w:r>
      </w:hyperlink>
    </w:p>
    <w:p w14:paraId="75825028" w14:textId="77777777" w:rsidR="007A4F29" w:rsidRPr="004A2375" w:rsidRDefault="007A4F29" w:rsidP="007A4F29">
      <w:pPr>
        <w:pStyle w:val="Prrafodelista"/>
        <w:spacing w:after="0" w:line="276" w:lineRule="auto"/>
        <w:ind w:left="785"/>
        <w:contextualSpacing w:val="0"/>
        <w:jc w:val="both"/>
        <w:rPr>
          <w:rFonts w:ascii="Verdana" w:hAnsi="Verdana"/>
          <w:lang w:val="es-CO"/>
        </w:rPr>
      </w:pPr>
    </w:p>
    <w:p w14:paraId="234A13AE" w14:textId="77777777" w:rsidR="007A4F29" w:rsidRPr="004A2375" w:rsidRDefault="007A4F29" w:rsidP="007A4F29">
      <w:pPr>
        <w:spacing w:after="0" w:line="276" w:lineRule="auto"/>
        <w:jc w:val="both"/>
        <w:rPr>
          <w:rFonts w:ascii="Verdana" w:hAnsi="Verdana"/>
        </w:rPr>
      </w:pPr>
      <w:r w:rsidRPr="004A2375">
        <w:rPr>
          <w:rFonts w:ascii="Verdana" w:hAnsi="Verdana"/>
        </w:rPr>
        <w:t xml:space="preserve">Por último, lo invitamos a seguirnos en las redes sociales en las cuales se difunde información institucional: </w:t>
      </w:r>
    </w:p>
    <w:p w14:paraId="6BE1CB81" w14:textId="77777777" w:rsidR="007A4F29" w:rsidRPr="004A2375" w:rsidRDefault="007A4F29" w:rsidP="007A4F29">
      <w:pPr>
        <w:spacing w:after="0" w:line="276" w:lineRule="auto"/>
        <w:jc w:val="both"/>
        <w:rPr>
          <w:rFonts w:ascii="Verdana" w:hAnsi="Verdana"/>
        </w:rPr>
      </w:pPr>
      <w:r w:rsidRPr="004A2375">
        <w:rPr>
          <w:rFonts w:ascii="Verdana" w:hAnsi="Verdana"/>
        </w:rPr>
        <w:t xml:space="preserve">Twitter: </w:t>
      </w:r>
      <w:r w:rsidRPr="004A2375">
        <w:rPr>
          <w:rStyle w:val="Hipervnculo"/>
          <w:rFonts w:ascii="Verdana" w:hAnsi="Verdana"/>
        </w:rPr>
        <w:t>@colombiacompra</w:t>
      </w:r>
      <w:r w:rsidRPr="004A2375">
        <w:rPr>
          <w:rFonts w:ascii="Verdana" w:hAnsi="Verdana"/>
        </w:rPr>
        <w:t xml:space="preserve"> </w:t>
      </w:r>
    </w:p>
    <w:p w14:paraId="50491723" w14:textId="77777777" w:rsidR="007A4F29" w:rsidRPr="004A2375" w:rsidRDefault="007A4F29" w:rsidP="007A4F29">
      <w:pPr>
        <w:spacing w:after="0" w:line="276" w:lineRule="auto"/>
        <w:jc w:val="both"/>
        <w:rPr>
          <w:rFonts w:ascii="Verdana" w:hAnsi="Verdana"/>
        </w:rPr>
      </w:pPr>
      <w:r w:rsidRPr="004A2375">
        <w:rPr>
          <w:rFonts w:ascii="Verdana" w:hAnsi="Verdana"/>
        </w:rPr>
        <w:t xml:space="preserve">Facebook: </w:t>
      </w:r>
      <w:proofErr w:type="spellStart"/>
      <w:r w:rsidRPr="004A2375">
        <w:rPr>
          <w:rStyle w:val="Hipervnculo"/>
          <w:rFonts w:ascii="Verdana" w:hAnsi="Verdana"/>
        </w:rPr>
        <w:t>ColombiaCompraEficiente</w:t>
      </w:r>
      <w:proofErr w:type="spellEnd"/>
    </w:p>
    <w:p w14:paraId="1F097C8C" w14:textId="77777777" w:rsidR="007A4F29" w:rsidRPr="004A2375" w:rsidRDefault="007A4F29" w:rsidP="007A4F29">
      <w:pPr>
        <w:spacing w:after="0" w:line="276" w:lineRule="auto"/>
        <w:jc w:val="both"/>
        <w:rPr>
          <w:rFonts w:ascii="Verdana" w:hAnsi="Verdana"/>
        </w:rPr>
      </w:pPr>
      <w:r w:rsidRPr="004A2375">
        <w:rPr>
          <w:rFonts w:ascii="Verdana" w:hAnsi="Verdana"/>
        </w:rPr>
        <w:t xml:space="preserve">LinkedIn: </w:t>
      </w:r>
      <w:r w:rsidRPr="004A2375">
        <w:rPr>
          <w:rStyle w:val="Hipervnculo"/>
          <w:rFonts w:ascii="Verdana" w:hAnsi="Verdana"/>
        </w:rPr>
        <w:t>Agencia Nacional de Contratación Pública - Colombia Compra Eficiente</w:t>
      </w:r>
      <w:r w:rsidRPr="004A2375">
        <w:rPr>
          <w:rFonts w:ascii="Verdana" w:hAnsi="Verdana"/>
        </w:rPr>
        <w:t xml:space="preserve"> Instagram: </w:t>
      </w:r>
      <w:r w:rsidRPr="004A2375">
        <w:rPr>
          <w:rStyle w:val="Hipervnculo"/>
          <w:rFonts w:ascii="Verdana" w:hAnsi="Verdana"/>
        </w:rPr>
        <w:t>@colombiacompraeficiente_cce</w:t>
      </w:r>
    </w:p>
    <w:p w14:paraId="49FBD0BD" w14:textId="77777777" w:rsidR="007A4F29" w:rsidRPr="004A2375" w:rsidRDefault="007A4F29" w:rsidP="007A4F29">
      <w:pPr>
        <w:spacing w:after="0" w:line="276" w:lineRule="auto"/>
        <w:jc w:val="both"/>
        <w:rPr>
          <w:rFonts w:ascii="Verdana" w:hAnsi="Verdana"/>
        </w:rPr>
      </w:pPr>
    </w:p>
    <w:p w14:paraId="5C83C03F" w14:textId="77777777" w:rsidR="007A4F29" w:rsidRPr="004A2375" w:rsidRDefault="007A4F29" w:rsidP="007A4F29">
      <w:pPr>
        <w:spacing w:after="0" w:line="276" w:lineRule="auto"/>
        <w:jc w:val="both"/>
        <w:rPr>
          <w:rFonts w:ascii="Verdana" w:eastAsia="Calibri" w:hAnsi="Verdana" w:cs="Times New Roman"/>
          <w:bCs/>
        </w:rPr>
      </w:pPr>
      <w:r w:rsidRPr="004A2375">
        <w:rPr>
          <w:rFonts w:ascii="Verdana" w:eastAsia="Calibri" w:hAnsi="Verdana" w:cs="Times New Roman"/>
        </w:rPr>
        <w:lastRenderedPageBreak/>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457305B5" w14:textId="77777777" w:rsidR="007A4F29" w:rsidRPr="004A2375" w:rsidRDefault="007A4F29" w:rsidP="007A4F29">
      <w:pPr>
        <w:spacing w:after="0" w:line="276" w:lineRule="auto"/>
        <w:jc w:val="both"/>
        <w:rPr>
          <w:rFonts w:ascii="Verdana" w:eastAsia="Calibri" w:hAnsi="Verdana" w:cs="Times New Roman"/>
        </w:rPr>
      </w:pPr>
    </w:p>
    <w:p w14:paraId="68AEBBE8" w14:textId="7455D9E2" w:rsidR="007A4F29" w:rsidRPr="004A2375" w:rsidRDefault="000005F4" w:rsidP="007A4F29">
      <w:pPr>
        <w:spacing w:after="0" w:line="276" w:lineRule="auto"/>
        <w:jc w:val="both"/>
        <w:rPr>
          <w:rFonts w:ascii="Verdana" w:eastAsia="Calibri" w:hAnsi="Verdana" w:cs="Times New Roman"/>
        </w:rPr>
      </w:pPr>
      <w:r w:rsidRPr="000005F4">
        <w:rPr>
          <w:rFonts w:ascii="Verdana" w:eastAsia="Calibri" w:hAnsi="Verdana" w:cs="Times New Roman"/>
        </w:rPr>
        <w:drawing>
          <wp:anchor distT="0" distB="0" distL="114300" distR="114300" simplePos="0" relativeHeight="251658240" behindDoc="1" locked="0" layoutInCell="1" allowOverlap="1" wp14:anchorId="79DA49E6" wp14:editId="1C94A7B1">
            <wp:simplePos x="0" y="0"/>
            <wp:positionH relativeFrom="margin">
              <wp:align>center</wp:align>
            </wp:positionH>
            <wp:positionV relativeFrom="paragraph">
              <wp:posOffset>188224</wp:posOffset>
            </wp:positionV>
            <wp:extent cx="3771900" cy="1400175"/>
            <wp:effectExtent l="0" t="0" r="0" b="9525"/>
            <wp:wrapNone/>
            <wp:docPr id="1560907199"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771900" cy="1400175"/>
                    </a:xfrm>
                    <a:prstGeom prst="rect">
                      <a:avLst/>
                    </a:prstGeom>
                    <a:noFill/>
                    <a:ln>
                      <a:noFill/>
                    </a:ln>
                  </pic:spPr>
                </pic:pic>
              </a:graphicData>
            </a:graphic>
          </wp:anchor>
        </w:drawing>
      </w:r>
      <w:r w:rsidR="007A4F29" w:rsidRPr="004A2375">
        <w:rPr>
          <w:rFonts w:ascii="Verdana" w:eastAsia="Calibri" w:hAnsi="Verdana" w:cs="Times New Roman"/>
        </w:rPr>
        <w:t xml:space="preserve">Atentamente,  </w:t>
      </w:r>
    </w:p>
    <w:p w14:paraId="4651F3D7" w14:textId="14EA1C8C" w:rsidR="000005F4" w:rsidRPr="000005F4" w:rsidRDefault="000005F4" w:rsidP="000005F4">
      <w:pPr>
        <w:spacing w:after="0" w:line="276" w:lineRule="auto"/>
        <w:jc w:val="both"/>
        <w:rPr>
          <w:rFonts w:ascii="Verdana" w:eastAsia="Calibri" w:hAnsi="Verdana" w:cs="Times New Roman"/>
        </w:rPr>
      </w:pPr>
    </w:p>
    <w:p w14:paraId="04B888D5" w14:textId="77777777" w:rsidR="007A4F29" w:rsidRPr="00FD1C41" w:rsidRDefault="007A4F29" w:rsidP="00C001FC">
      <w:pPr>
        <w:spacing w:after="0" w:line="276" w:lineRule="auto"/>
        <w:jc w:val="both"/>
        <w:rPr>
          <w:rFonts w:ascii="Verdana" w:eastAsia="Calibri" w:hAnsi="Verdana" w:cs="Times New Roman"/>
        </w:rPr>
      </w:pPr>
    </w:p>
    <w:p w14:paraId="0CCB4EF3" w14:textId="5EA5A4EE" w:rsidR="007A4F29" w:rsidRDefault="007A4F29" w:rsidP="007A4F29">
      <w:pPr>
        <w:spacing w:after="0" w:line="256" w:lineRule="auto"/>
        <w:jc w:val="center"/>
        <w:rPr>
          <w:rFonts w:ascii="Verdana" w:eastAsia="Times New Roman" w:hAnsi="Verdana" w:cs="Arial"/>
          <w:sz w:val="24"/>
          <w:szCs w:val="24"/>
        </w:rPr>
      </w:pPr>
    </w:p>
    <w:p w14:paraId="1785CE11" w14:textId="77777777" w:rsidR="000005F4" w:rsidRDefault="000005F4" w:rsidP="007A4F29">
      <w:pPr>
        <w:spacing w:after="0" w:line="256" w:lineRule="auto"/>
        <w:jc w:val="center"/>
        <w:rPr>
          <w:rFonts w:ascii="Verdana" w:eastAsia="Times New Roman" w:hAnsi="Verdana" w:cs="Arial"/>
          <w:sz w:val="24"/>
          <w:szCs w:val="24"/>
        </w:rPr>
      </w:pPr>
    </w:p>
    <w:p w14:paraId="37C9E7BA" w14:textId="77777777" w:rsidR="000005F4" w:rsidRDefault="000005F4" w:rsidP="007A4F29">
      <w:pPr>
        <w:spacing w:after="0" w:line="256" w:lineRule="auto"/>
        <w:jc w:val="center"/>
        <w:rPr>
          <w:rFonts w:ascii="Verdana" w:eastAsia="Times New Roman" w:hAnsi="Verdana" w:cs="Arial"/>
          <w:sz w:val="24"/>
          <w:szCs w:val="24"/>
        </w:rPr>
      </w:pPr>
    </w:p>
    <w:p w14:paraId="37DFBF4E" w14:textId="77777777" w:rsidR="000005F4" w:rsidRDefault="000005F4" w:rsidP="007A4F29">
      <w:pPr>
        <w:spacing w:after="0" w:line="256" w:lineRule="auto"/>
        <w:jc w:val="center"/>
        <w:rPr>
          <w:rFonts w:ascii="Verdana" w:eastAsia="Times New Roman" w:hAnsi="Verdana" w:cs="Arial"/>
          <w:sz w:val="24"/>
          <w:szCs w:val="24"/>
        </w:rPr>
      </w:pPr>
    </w:p>
    <w:p w14:paraId="242D0B6C" w14:textId="77777777" w:rsidR="000005F4" w:rsidRDefault="000005F4" w:rsidP="007A4F29">
      <w:pPr>
        <w:spacing w:after="0" w:line="256" w:lineRule="auto"/>
        <w:jc w:val="center"/>
        <w:rPr>
          <w:rFonts w:ascii="Verdana" w:eastAsia="Times New Roman" w:hAnsi="Verdana" w:cs="Arial"/>
          <w:sz w:val="24"/>
          <w:szCs w:val="24"/>
        </w:rPr>
      </w:pPr>
    </w:p>
    <w:p w14:paraId="1EEAAF8C" w14:textId="77777777" w:rsidR="000005F4" w:rsidRDefault="000005F4" w:rsidP="007A4F29">
      <w:pPr>
        <w:spacing w:after="0" w:line="256" w:lineRule="auto"/>
        <w:jc w:val="center"/>
        <w:rPr>
          <w:rFonts w:ascii="Verdana" w:eastAsia="Times New Roman" w:hAnsi="Verdana" w:cs="Arial"/>
          <w:sz w:val="24"/>
          <w:szCs w:val="24"/>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7A4F29" w:rsidRPr="00432BAE" w14:paraId="3B6E2832" w14:textId="77777777" w:rsidTr="006A2F9F">
        <w:trPr>
          <w:trHeight w:val="315"/>
        </w:trPr>
        <w:tc>
          <w:tcPr>
            <w:tcW w:w="893" w:type="dxa"/>
            <w:vAlign w:val="center"/>
            <w:hideMark/>
          </w:tcPr>
          <w:p w14:paraId="6EA08925" w14:textId="77777777" w:rsidR="007A4F29" w:rsidRPr="004F246A" w:rsidRDefault="007A4F29" w:rsidP="006A2F9F">
            <w:pPr>
              <w:spacing w:line="276" w:lineRule="auto"/>
              <w:rPr>
                <w:rFonts w:ascii="Verdana" w:eastAsia="Times New Roman" w:hAnsi="Verdana" w:cs="Arial"/>
                <w:color w:val="000000"/>
                <w:sz w:val="16"/>
                <w:szCs w:val="16"/>
                <w:lang w:eastAsia="es-ES"/>
              </w:rPr>
            </w:pPr>
            <w:r w:rsidRPr="004F246A">
              <w:rPr>
                <w:rFonts w:ascii="Verdana" w:eastAsia="Times New Roman" w:hAnsi="Verdana" w:cs="Arial"/>
                <w:color w:val="000000"/>
                <w:sz w:val="16"/>
                <w:szCs w:val="16"/>
                <w:lang w:eastAsia="es-ES"/>
              </w:rPr>
              <w:t>Elaboró:</w:t>
            </w:r>
          </w:p>
        </w:tc>
        <w:tc>
          <w:tcPr>
            <w:tcW w:w="5628" w:type="dxa"/>
            <w:tcBorders>
              <w:top w:val="nil"/>
              <w:left w:val="nil"/>
              <w:bottom w:val="dotted" w:sz="4" w:space="0" w:color="7F7F7F"/>
              <w:right w:val="nil"/>
            </w:tcBorders>
            <w:vAlign w:val="center"/>
            <w:hideMark/>
          </w:tcPr>
          <w:p w14:paraId="1FBA2FDD" w14:textId="77777777" w:rsidR="007A4F29" w:rsidRPr="004F246A" w:rsidRDefault="007A4F29" w:rsidP="006A2F9F">
            <w:pPr>
              <w:spacing w:line="276" w:lineRule="auto"/>
              <w:rPr>
                <w:rFonts w:ascii="Verdana" w:eastAsia="Arial" w:hAnsi="Verdana" w:cs="Arial"/>
                <w:color w:val="000000"/>
                <w:sz w:val="16"/>
                <w:szCs w:val="16"/>
              </w:rPr>
            </w:pPr>
            <w:r w:rsidRPr="004F246A">
              <w:rPr>
                <w:rFonts w:ascii="Verdana" w:eastAsia="Arial" w:hAnsi="Verdana" w:cs="Arial"/>
                <w:color w:val="000000"/>
                <w:sz w:val="16"/>
                <w:szCs w:val="16"/>
              </w:rPr>
              <w:t>Ángela María Olmos Andrade</w:t>
            </w:r>
          </w:p>
          <w:p w14:paraId="44CB043B" w14:textId="77777777" w:rsidR="007A4F29" w:rsidRPr="004F246A" w:rsidRDefault="007A4F29" w:rsidP="006A2F9F">
            <w:pPr>
              <w:spacing w:line="276" w:lineRule="auto"/>
              <w:rPr>
                <w:rFonts w:ascii="Verdana" w:eastAsia="Arial" w:hAnsi="Verdana" w:cs="Arial"/>
                <w:color w:val="000000"/>
                <w:sz w:val="16"/>
                <w:szCs w:val="16"/>
              </w:rPr>
            </w:pPr>
            <w:r w:rsidRPr="004F246A">
              <w:rPr>
                <w:rFonts w:ascii="Verdana" w:eastAsia="Arial" w:hAnsi="Verdana" w:cs="Arial"/>
                <w:color w:val="000000"/>
                <w:sz w:val="16"/>
                <w:szCs w:val="16"/>
              </w:rPr>
              <w:t>Analista T2 - 02 de la Subdirección de Gestión Contractual</w:t>
            </w:r>
          </w:p>
        </w:tc>
      </w:tr>
      <w:tr w:rsidR="007A4F29" w:rsidRPr="00432BAE" w14:paraId="5480B63C" w14:textId="77777777" w:rsidTr="006A2F9F">
        <w:trPr>
          <w:trHeight w:val="330"/>
        </w:trPr>
        <w:tc>
          <w:tcPr>
            <w:tcW w:w="893" w:type="dxa"/>
            <w:vAlign w:val="center"/>
            <w:hideMark/>
          </w:tcPr>
          <w:p w14:paraId="0C08DB10" w14:textId="77777777" w:rsidR="007A4F29" w:rsidRPr="004F246A" w:rsidRDefault="007A4F29" w:rsidP="006A2F9F">
            <w:pPr>
              <w:spacing w:line="276" w:lineRule="auto"/>
              <w:rPr>
                <w:rFonts w:ascii="Verdana" w:eastAsia="Times New Roman" w:hAnsi="Verdana" w:cs="Arial"/>
                <w:color w:val="000000"/>
                <w:sz w:val="16"/>
                <w:szCs w:val="16"/>
                <w:lang w:eastAsia="es-ES"/>
              </w:rPr>
            </w:pPr>
            <w:r w:rsidRPr="004F246A">
              <w:rPr>
                <w:rFonts w:ascii="Verdana" w:eastAsia="Times New Roman" w:hAnsi="Verdana" w:cs="Arial"/>
                <w:color w:val="000000"/>
                <w:sz w:val="16"/>
                <w:szCs w:val="16"/>
                <w:lang w:eastAsia="es-ES"/>
              </w:rPr>
              <w:t>Revisó:</w:t>
            </w:r>
          </w:p>
        </w:tc>
        <w:tc>
          <w:tcPr>
            <w:tcW w:w="5628" w:type="dxa"/>
            <w:tcBorders>
              <w:top w:val="dotted" w:sz="4" w:space="0" w:color="7F7F7F"/>
              <w:left w:val="nil"/>
              <w:bottom w:val="dotted" w:sz="4" w:space="0" w:color="7F7F7F"/>
              <w:right w:val="nil"/>
            </w:tcBorders>
            <w:vAlign w:val="center"/>
            <w:hideMark/>
          </w:tcPr>
          <w:p w14:paraId="4AC8A092" w14:textId="7336FF44" w:rsidR="007A4F29" w:rsidRPr="004F246A" w:rsidRDefault="007A4F29" w:rsidP="006A2F9F">
            <w:pPr>
              <w:spacing w:line="276" w:lineRule="auto"/>
              <w:rPr>
                <w:rFonts w:ascii="Verdana" w:eastAsia="Times New Roman" w:hAnsi="Verdana" w:cs="Arial"/>
                <w:color w:val="000000"/>
                <w:sz w:val="16"/>
                <w:szCs w:val="16"/>
              </w:rPr>
            </w:pPr>
            <w:r>
              <w:rPr>
                <w:rFonts w:ascii="Verdana" w:eastAsia="Times New Roman" w:hAnsi="Verdana" w:cs="Arial"/>
                <w:color w:val="000000"/>
                <w:sz w:val="16"/>
                <w:szCs w:val="16"/>
              </w:rPr>
              <w:t>Diana Lucia Saavedra</w:t>
            </w:r>
            <w:r w:rsidR="001E2D6F">
              <w:rPr>
                <w:rFonts w:ascii="Verdana" w:eastAsia="Times New Roman" w:hAnsi="Verdana" w:cs="Arial"/>
                <w:color w:val="000000"/>
                <w:sz w:val="16"/>
                <w:szCs w:val="16"/>
              </w:rPr>
              <w:t xml:space="preserve"> Castañeda</w:t>
            </w:r>
          </w:p>
          <w:p w14:paraId="0DC4DDE1" w14:textId="77777777" w:rsidR="007A4F29" w:rsidRPr="004F246A" w:rsidRDefault="007A4F29" w:rsidP="006A2F9F">
            <w:pPr>
              <w:spacing w:line="276" w:lineRule="auto"/>
              <w:textAlignment w:val="baseline"/>
              <w:rPr>
                <w:rFonts w:ascii="Verdana" w:eastAsia="Times New Roman" w:hAnsi="Verdana" w:cs="Arial"/>
                <w:color w:val="000000"/>
                <w:sz w:val="16"/>
                <w:szCs w:val="16"/>
              </w:rPr>
            </w:pPr>
            <w:r>
              <w:rPr>
                <w:rFonts w:ascii="Verdana" w:eastAsia="Times New Roman" w:hAnsi="Verdana" w:cs="Arial"/>
                <w:color w:val="000000"/>
                <w:sz w:val="16"/>
                <w:szCs w:val="16"/>
              </w:rPr>
              <w:t>Contratista</w:t>
            </w:r>
            <w:r w:rsidRPr="004F246A">
              <w:rPr>
                <w:rFonts w:ascii="Verdana" w:eastAsia="Times New Roman" w:hAnsi="Verdana" w:cs="Arial"/>
                <w:color w:val="000000"/>
                <w:sz w:val="16"/>
                <w:szCs w:val="16"/>
              </w:rPr>
              <w:t xml:space="preserve"> de la Subdirección de Gestión Contractual</w:t>
            </w:r>
          </w:p>
        </w:tc>
      </w:tr>
      <w:tr w:rsidR="007A4F29" w:rsidRPr="00432BAE" w14:paraId="63404790" w14:textId="77777777" w:rsidTr="006A2F9F">
        <w:trPr>
          <w:trHeight w:val="300"/>
        </w:trPr>
        <w:tc>
          <w:tcPr>
            <w:tcW w:w="893" w:type="dxa"/>
            <w:vAlign w:val="center"/>
            <w:hideMark/>
          </w:tcPr>
          <w:p w14:paraId="68DC1029" w14:textId="77777777" w:rsidR="007A4F29" w:rsidRPr="004F246A" w:rsidRDefault="007A4F29" w:rsidP="006A2F9F">
            <w:pPr>
              <w:spacing w:line="276" w:lineRule="auto"/>
              <w:rPr>
                <w:rFonts w:ascii="Verdana" w:eastAsia="Times New Roman" w:hAnsi="Verdana" w:cs="Arial"/>
                <w:color w:val="000000"/>
                <w:sz w:val="16"/>
                <w:szCs w:val="16"/>
                <w:lang w:eastAsia="es-ES"/>
              </w:rPr>
            </w:pPr>
            <w:r w:rsidRPr="004F246A">
              <w:rPr>
                <w:rFonts w:ascii="Verdana" w:eastAsia="Times New Roman" w:hAnsi="Verdana" w:cs="Arial"/>
                <w:color w:val="000000"/>
                <w:sz w:val="16"/>
                <w:szCs w:val="16"/>
                <w:lang w:eastAsia="es-ES"/>
              </w:rPr>
              <w:t>Aprobó:</w:t>
            </w:r>
          </w:p>
        </w:tc>
        <w:tc>
          <w:tcPr>
            <w:tcW w:w="5628" w:type="dxa"/>
            <w:tcBorders>
              <w:top w:val="dotted" w:sz="4" w:space="0" w:color="7F7F7F"/>
              <w:left w:val="nil"/>
              <w:bottom w:val="dotted" w:sz="4" w:space="0" w:color="7F7F7F"/>
              <w:right w:val="nil"/>
            </w:tcBorders>
            <w:vAlign w:val="center"/>
            <w:hideMark/>
          </w:tcPr>
          <w:p w14:paraId="5D64D21B" w14:textId="77777777" w:rsidR="007A4F29" w:rsidRPr="004F246A" w:rsidRDefault="007A4F29" w:rsidP="006A2F9F">
            <w:pPr>
              <w:spacing w:line="276" w:lineRule="auto"/>
              <w:rPr>
                <w:rFonts w:ascii="Verdana" w:eastAsia="Times New Roman" w:hAnsi="Verdana" w:cs="Arial"/>
                <w:color w:val="000000"/>
                <w:sz w:val="16"/>
                <w:szCs w:val="16"/>
              </w:rPr>
            </w:pPr>
            <w:r w:rsidRPr="004F246A">
              <w:rPr>
                <w:rFonts w:ascii="Verdana" w:eastAsia="Times New Roman" w:hAnsi="Verdana" w:cs="Arial"/>
                <w:color w:val="000000"/>
                <w:sz w:val="16"/>
                <w:szCs w:val="16"/>
              </w:rPr>
              <w:t>Carolina Quintero Gacharná</w:t>
            </w:r>
          </w:p>
          <w:p w14:paraId="7FDD2E25" w14:textId="77777777" w:rsidR="007A4F29" w:rsidRPr="004F246A" w:rsidRDefault="007A4F29" w:rsidP="006A2F9F">
            <w:pPr>
              <w:spacing w:line="276" w:lineRule="auto"/>
              <w:rPr>
                <w:rFonts w:ascii="Verdana" w:eastAsia="Times New Roman" w:hAnsi="Verdana" w:cs="Arial"/>
                <w:color w:val="000000"/>
                <w:sz w:val="16"/>
                <w:szCs w:val="16"/>
              </w:rPr>
            </w:pPr>
            <w:r w:rsidRPr="004F246A">
              <w:rPr>
                <w:rFonts w:ascii="Verdana" w:eastAsia="Times New Roman" w:hAnsi="Verdana" w:cs="Arial"/>
                <w:color w:val="000000"/>
                <w:sz w:val="16"/>
                <w:szCs w:val="16"/>
              </w:rPr>
              <w:t>Subdirectora de Gestión Contractual ANCP – CCE</w:t>
            </w:r>
          </w:p>
        </w:tc>
      </w:tr>
    </w:tbl>
    <w:p w14:paraId="1006A388" w14:textId="77777777" w:rsidR="00C15139" w:rsidRPr="000E2B93" w:rsidRDefault="00C15139" w:rsidP="30821638">
      <w:pPr>
        <w:spacing w:after="0" w:line="240" w:lineRule="auto"/>
        <w:jc w:val="both"/>
        <w:textAlignment w:val="baseline"/>
        <w:rPr>
          <w:rFonts w:ascii="Verdana" w:eastAsia="Verdana" w:hAnsi="Verdana" w:cs="Verdana"/>
          <w:lang w:eastAsia="es-CO"/>
        </w:rPr>
      </w:pPr>
    </w:p>
    <w:p w14:paraId="69BC4D14" w14:textId="13B5299D" w:rsidR="00C15139" w:rsidRPr="000E2B93" w:rsidRDefault="00C15139" w:rsidP="30821638">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bookmarkEnd w:id="0"/>
    </w:p>
    <w:sectPr w:rsidR="00C15139" w:rsidRPr="000E2B93" w:rsidSect="007C0C0F">
      <w:headerReference w:type="default" r:id="rId19"/>
      <w:footerReference w:type="default" r:id="rId20"/>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2B70F0" w14:textId="77777777" w:rsidR="00CF3A60" w:rsidRDefault="00CF3A60" w:rsidP="004A1847">
      <w:pPr>
        <w:spacing w:after="0" w:line="240" w:lineRule="auto"/>
      </w:pPr>
      <w:r>
        <w:separator/>
      </w:r>
    </w:p>
  </w:endnote>
  <w:endnote w:type="continuationSeparator" w:id="0">
    <w:p w14:paraId="3B86F324" w14:textId="77777777" w:rsidR="00CF3A60" w:rsidRDefault="00CF3A60"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B9DAAD" w14:textId="77777777" w:rsidR="00CF3A60" w:rsidRDefault="00CF3A60" w:rsidP="004A1847">
      <w:pPr>
        <w:spacing w:after="0" w:line="240" w:lineRule="auto"/>
      </w:pPr>
      <w:r>
        <w:separator/>
      </w:r>
    </w:p>
  </w:footnote>
  <w:footnote w:type="continuationSeparator" w:id="0">
    <w:p w14:paraId="6A45F7B4" w14:textId="77777777" w:rsidR="00CF3A60" w:rsidRDefault="00CF3A60" w:rsidP="004A1847">
      <w:pPr>
        <w:spacing w:after="0" w:line="240" w:lineRule="auto"/>
      </w:pPr>
      <w:r>
        <w:continuationSeparator/>
      </w:r>
    </w:p>
  </w:footnote>
  <w:footnote w:id="1">
    <w:p w14:paraId="587B4034" w14:textId="77777777" w:rsidR="000813D1" w:rsidRPr="00785662" w:rsidRDefault="000813D1" w:rsidP="000813D1">
      <w:pPr>
        <w:pStyle w:val="Textonotapie"/>
        <w:ind w:firstLine="709"/>
        <w:jc w:val="both"/>
        <w:rPr>
          <w:rFonts w:ascii="Verdana" w:hAnsi="Verdana" w:cs="Arial"/>
          <w:sz w:val="14"/>
          <w:szCs w:val="14"/>
        </w:rPr>
      </w:pPr>
      <w:r w:rsidRPr="00785662">
        <w:rPr>
          <w:rStyle w:val="Refdenotaalpie"/>
          <w:rFonts w:ascii="Verdana" w:hAnsi="Verdana" w:cs="Arial"/>
          <w:sz w:val="14"/>
          <w:szCs w:val="14"/>
        </w:rPr>
        <w:footnoteRef/>
      </w:r>
      <w:r w:rsidRPr="00785662">
        <w:rPr>
          <w:rFonts w:ascii="Verdana" w:hAnsi="Verdana" w:cs="Arial"/>
          <w:sz w:val="14"/>
          <w:szCs w:val="14"/>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3D277C04" w14:textId="78A78689" w:rsidR="000813D1" w:rsidRPr="00785662" w:rsidRDefault="000813D1" w:rsidP="0075218B">
      <w:pPr>
        <w:pStyle w:val="Textonotapie"/>
        <w:ind w:firstLine="709"/>
        <w:jc w:val="both"/>
        <w:rPr>
          <w:rFonts w:ascii="Verdana" w:hAnsi="Verdana" w:cs="Arial"/>
          <w:sz w:val="14"/>
          <w:szCs w:val="14"/>
        </w:rPr>
      </w:pPr>
      <w:r w:rsidRPr="00785662">
        <w:rPr>
          <w:rFonts w:ascii="Verdana" w:hAnsi="Verdana" w:cs="Arial"/>
          <w:sz w:val="14"/>
          <w:szCs w:val="14"/>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footnote>
  <w:footnote w:id="2">
    <w:p w14:paraId="2ECD6A77" w14:textId="77777777" w:rsidR="000813D1" w:rsidRPr="007A1A49" w:rsidRDefault="000813D1" w:rsidP="000813D1">
      <w:pPr>
        <w:pStyle w:val="Textonotapie"/>
        <w:ind w:firstLine="709"/>
        <w:jc w:val="both"/>
        <w:rPr>
          <w:rFonts w:ascii="Verdana" w:hAnsi="Verdana" w:cs="Arial"/>
          <w:sz w:val="14"/>
          <w:szCs w:val="14"/>
        </w:rPr>
      </w:pPr>
      <w:r w:rsidRPr="007A1A49">
        <w:rPr>
          <w:rStyle w:val="Refdenotaalpie"/>
          <w:rFonts w:ascii="Verdana" w:hAnsi="Verdana" w:cs="Arial"/>
          <w:sz w:val="14"/>
          <w:szCs w:val="14"/>
        </w:rPr>
        <w:footnoteRef/>
      </w:r>
      <w:r w:rsidRPr="007A1A49">
        <w:rPr>
          <w:rFonts w:ascii="Verdana" w:hAnsi="Verdana" w:cs="Arial"/>
          <w:sz w:val="14"/>
          <w:szCs w:val="14"/>
        </w:rPr>
        <w:t xml:space="preserve"> Gaceta del Congreso de la República No. 71 del 2005.</w:t>
      </w:r>
    </w:p>
  </w:footnote>
  <w:footnote w:id="3">
    <w:p w14:paraId="197A15E0" w14:textId="77777777" w:rsidR="000813D1" w:rsidRPr="003F2A9C" w:rsidRDefault="000813D1" w:rsidP="000813D1">
      <w:pPr>
        <w:pStyle w:val="Textonotapie"/>
        <w:ind w:firstLine="709"/>
        <w:jc w:val="both"/>
        <w:rPr>
          <w:rFonts w:ascii="Verdana" w:hAnsi="Verdana" w:cs="Arial"/>
          <w:sz w:val="16"/>
          <w:szCs w:val="16"/>
          <w:lang w:val="pt-BR"/>
        </w:rPr>
      </w:pPr>
      <w:r w:rsidRPr="007A1A49">
        <w:rPr>
          <w:rStyle w:val="Refdenotaalpie"/>
          <w:rFonts w:ascii="Verdana" w:hAnsi="Verdana" w:cs="Arial"/>
          <w:sz w:val="14"/>
          <w:szCs w:val="14"/>
        </w:rPr>
        <w:footnoteRef/>
      </w:r>
      <w:r w:rsidRPr="007A1A49">
        <w:rPr>
          <w:rFonts w:ascii="Verdana" w:hAnsi="Verdana" w:cs="Arial"/>
          <w:sz w:val="14"/>
          <w:szCs w:val="14"/>
          <w:lang w:val="pt-BR"/>
        </w:rPr>
        <w:t xml:space="preserve"> Corte Constitucional, Sentencia C- 1153 de 2005, M.P. Marco Gerardo Monroy Cabra.</w:t>
      </w:r>
    </w:p>
  </w:footnote>
  <w:footnote w:id="4">
    <w:p w14:paraId="7BA5E027" w14:textId="77777777" w:rsidR="000813D1" w:rsidRPr="007A1A49" w:rsidRDefault="000813D1" w:rsidP="000813D1">
      <w:pPr>
        <w:pStyle w:val="Textonotapie"/>
        <w:jc w:val="both"/>
        <w:rPr>
          <w:rFonts w:ascii="Verdana" w:hAnsi="Verdana" w:cs="Arial"/>
          <w:sz w:val="14"/>
          <w:szCs w:val="14"/>
          <w:lang w:val="pt-BR"/>
        </w:rPr>
      </w:pPr>
      <w:r w:rsidRPr="007A1A49">
        <w:rPr>
          <w:rStyle w:val="Refdenotaalpie"/>
          <w:rFonts w:ascii="Verdana" w:hAnsi="Verdana" w:cs="Arial"/>
          <w:sz w:val="14"/>
          <w:szCs w:val="14"/>
        </w:rPr>
        <w:footnoteRef/>
      </w:r>
      <w:r w:rsidRPr="007A1A49">
        <w:rPr>
          <w:rFonts w:ascii="Verdana" w:hAnsi="Verdana" w:cs="Arial"/>
          <w:sz w:val="14"/>
          <w:szCs w:val="14"/>
          <w:lang w:val="pt-BR"/>
        </w:rPr>
        <w:t xml:space="preserve"> Corte Constitucional. Sentencias: C-233 de 4 de abril de 2002, expediente: D-3704; C-551 de 9 de julio de 2003, expediente: CRF-001 de 9 de julio de 2003; C-652 de 5 de agosto de 2003, expediente: D-4330; C-353 de 20 de mayo de 2009, expediente: D-7518, C-541 de 30 de junio de 2010, expediente: DD7966; entre otras.</w:t>
      </w:r>
    </w:p>
  </w:footnote>
  <w:footnote w:id="5">
    <w:p w14:paraId="259537B3" w14:textId="77777777" w:rsidR="000813D1" w:rsidRPr="007A1A49" w:rsidRDefault="000813D1" w:rsidP="000813D1">
      <w:pPr>
        <w:pStyle w:val="Textonotapie"/>
        <w:ind w:firstLine="709"/>
        <w:jc w:val="both"/>
        <w:rPr>
          <w:rFonts w:ascii="Verdana" w:hAnsi="Verdana" w:cs="Arial"/>
          <w:sz w:val="14"/>
          <w:szCs w:val="14"/>
          <w:lang w:val="es-CO"/>
        </w:rPr>
      </w:pPr>
      <w:r w:rsidRPr="007A1A49">
        <w:rPr>
          <w:rStyle w:val="Refdenotaalpie"/>
          <w:rFonts w:ascii="Verdana" w:hAnsi="Verdana" w:cs="Arial"/>
          <w:sz w:val="14"/>
          <w:szCs w:val="14"/>
        </w:rPr>
        <w:footnoteRef/>
      </w:r>
      <w:r w:rsidRPr="007A1A49">
        <w:rPr>
          <w:rFonts w:ascii="Verdana" w:hAnsi="Verdana" w:cs="Arial"/>
          <w:sz w:val="14"/>
          <w:szCs w:val="14"/>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footnote>
  <w:footnote w:id="6">
    <w:p w14:paraId="6886877F" w14:textId="77777777" w:rsidR="000813D1" w:rsidRPr="003F2A9C" w:rsidRDefault="000813D1" w:rsidP="000813D1">
      <w:pPr>
        <w:pStyle w:val="Textonotapie"/>
        <w:ind w:firstLine="709"/>
        <w:jc w:val="both"/>
        <w:rPr>
          <w:rFonts w:ascii="Verdana" w:hAnsi="Verdana" w:cs="Arial"/>
          <w:sz w:val="16"/>
          <w:szCs w:val="16"/>
        </w:rPr>
      </w:pPr>
      <w:r w:rsidRPr="007A1A49">
        <w:rPr>
          <w:rStyle w:val="Refdenotaalpie"/>
          <w:rFonts w:ascii="Verdana" w:hAnsi="Verdana" w:cs="Arial"/>
          <w:sz w:val="14"/>
          <w:szCs w:val="14"/>
        </w:rPr>
        <w:footnoteRef/>
      </w:r>
      <w:r w:rsidRPr="007A1A49">
        <w:rPr>
          <w:rFonts w:ascii="Verdana" w:hAnsi="Verdana" w:cs="Arial"/>
          <w:sz w:val="14"/>
          <w:szCs w:val="14"/>
        </w:rPr>
        <w:t xml:space="preserve"> Consejo de Estado, Sala de Consulta y Servicio Civil de fecha 24 de julio de 2013, radicado 2166, C. P. Álvaro Namén Vargas.</w:t>
      </w:r>
      <w:r w:rsidRPr="003F2A9C">
        <w:rPr>
          <w:rFonts w:ascii="Verdana" w:hAnsi="Verdana" w:cs="Arial"/>
          <w:sz w:val="16"/>
          <w:szCs w:val="16"/>
        </w:rPr>
        <w:t xml:space="preserve">  </w:t>
      </w:r>
    </w:p>
  </w:footnote>
  <w:footnote w:id="7">
    <w:p w14:paraId="0C08F931" w14:textId="77777777" w:rsidR="000813D1" w:rsidRPr="007A1A49" w:rsidRDefault="000813D1" w:rsidP="000813D1">
      <w:pPr>
        <w:spacing w:after="0" w:line="240" w:lineRule="auto"/>
        <w:ind w:firstLine="709"/>
        <w:jc w:val="both"/>
        <w:rPr>
          <w:rFonts w:ascii="Verdana" w:eastAsia="Times New Roman" w:hAnsi="Verdana" w:cs="Arial"/>
          <w:sz w:val="14"/>
          <w:szCs w:val="14"/>
        </w:rPr>
      </w:pPr>
      <w:r w:rsidRPr="007A1A49">
        <w:rPr>
          <w:rStyle w:val="Refdenotaalpie"/>
          <w:rFonts w:ascii="Verdana" w:hAnsi="Verdana" w:cs="Arial"/>
          <w:sz w:val="14"/>
          <w:szCs w:val="14"/>
        </w:rPr>
        <w:footnoteRef/>
      </w:r>
      <w:r w:rsidRPr="007A1A49">
        <w:rPr>
          <w:rFonts w:ascii="Verdana" w:hAnsi="Verdana" w:cs="Arial"/>
          <w:sz w:val="14"/>
          <w:szCs w:val="14"/>
        </w:rPr>
        <w:t xml:space="preserve"> </w:t>
      </w:r>
      <w:bookmarkStart w:id="7" w:name="33"/>
      <w:r w:rsidRPr="007A1A49">
        <w:rPr>
          <w:rFonts w:ascii="Verdana" w:eastAsia="Calibri" w:hAnsi="Verdana" w:cs="Arial"/>
          <w:color w:val="000000"/>
          <w:sz w:val="14"/>
          <w:szCs w:val="14"/>
        </w:rPr>
        <w:t>“</w:t>
      </w:r>
      <w:r w:rsidRPr="007A1A49">
        <w:rPr>
          <w:rFonts w:ascii="Verdana" w:eastAsia="Times New Roman" w:hAnsi="Verdana" w:cs="Arial"/>
          <w:sz w:val="14"/>
          <w:szCs w:val="14"/>
        </w:rPr>
        <w:t>Artículo 33. Restricciones a la contratación pública.</w:t>
      </w:r>
      <w:bookmarkEnd w:id="7"/>
      <w:r w:rsidRPr="007A1A49">
        <w:rPr>
          <w:rFonts w:ascii="Verdana" w:eastAsia="Times New Roman" w:hAnsi="Verdana" w:cs="Arial"/>
          <w:sz w:val="14"/>
          <w:szCs w:val="14"/>
        </w:rPr>
        <w:t> Durante los cuatro (4) meses anteriores a la elección presidencial y hasta la realización de la elección en la segunda vuelta, si fuere el caso, queda prohibida la contratación directa por parte de todos los entes del Estado.</w:t>
      </w:r>
    </w:p>
    <w:p w14:paraId="4F4C8F69" w14:textId="77777777" w:rsidR="000813D1" w:rsidRPr="007A1A49" w:rsidRDefault="000813D1" w:rsidP="000813D1">
      <w:pPr>
        <w:spacing w:after="0" w:line="240" w:lineRule="auto"/>
        <w:ind w:firstLine="709"/>
        <w:jc w:val="both"/>
        <w:rPr>
          <w:rFonts w:ascii="Verdana" w:eastAsia="Times New Roman" w:hAnsi="Verdana" w:cs="Arial"/>
          <w:sz w:val="14"/>
          <w:szCs w:val="14"/>
        </w:rPr>
      </w:pPr>
      <w:r w:rsidRPr="007A1A49">
        <w:rPr>
          <w:rFonts w:ascii="Verdana" w:eastAsia="Times New Roman" w:hAnsi="Verdana" w:cs="Arial"/>
          <w:sz w:val="14"/>
          <w:szCs w:val="14"/>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7A1A49">
        <w:rPr>
          <w:rFonts w:ascii="Verdana" w:eastAsia="Calibri" w:hAnsi="Verdana" w:cs="Arial"/>
          <w:color w:val="000000"/>
          <w:sz w:val="14"/>
          <w:szCs w:val="14"/>
        </w:rPr>
        <w:t>”</w:t>
      </w:r>
      <w:r w:rsidRPr="007A1A49">
        <w:rPr>
          <w:rFonts w:ascii="Verdana" w:eastAsia="Times New Roman" w:hAnsi="Verdana" w:cs="Arial"/>
          <w:sz w:val="14"/>
          <w:szCs w:val="14"/>
        </w:rPr>
        <w:t>.</w:t>
      </w:r>
    </w:p>
  </w:footnote>
  <w:footnote w:id="8">
    <w:p w14:paraId="47269B57" w14:textId="77777777" w:rsidR="000813D1" w:rsidRPr="007A1A49" w:rsidRDefault="000813D1" w:rsidP="000813D1">
      <w:pPr>
        <w:pStyle w:val="NormalWeb"/>
        <w:spacing w:before="0" w:beforeAutospacing="0" w:after="0" w:afterAutospacing="0"/>
        <w:ind w:firstLine="709"/>
        <w:jc w:val="both"/>
        <w:rPr>
          <w:rFonts w:ascii="Verdana" w:hAnsi="Verdana" w:cs="Arial"/>
          <w:sz w:val="14"/>
          <w:szCs w:val="14"/>
          <w:lang w:val="es-MX"/>
        </w:rPr>
      </w:pPr>
      <w:r w:rsidRPr="007A1A49">
        <w:rPr>
          <w:rStyle w:val="Refdenotaalpie"/>
          <w:rFonts w:ascii="Verdana" w:hAnsi="Verdana" w:cs="Arial"/>
          <w:sz w:val="14"/>
          <w:szCs w:val="14"/>
        </w:rPr>
        <w:footnoteRef/>
      </w:r>
      <w:r w:rsidRPr="007A1A49">
        <w:rPr>
          <w:rFonts w:ascii="Verdana" w:hAnsi="Verdana" w:cs="Arial"/>
          <w:sz w:val="14"/>
          <w:szCs w:val="14"/>
        </w:rPr>
        <w:t xml:space="preserve"> </w:t>
      </w:r>
      <w:bookmarkStart w:id="8" w:name="38"/>
      <w:r w:rsidRPr="007A1A49">
        <w:rPr>
          <w:rFonts w:ascii="Verdana" w:eastAsia="Calibri" w:hAnsi="Verdana" w:cs="Arial"/>
          <w:color w:val="000000"/>
          <w:sz w:val="14"/>
          <w:szCs w:val="14"/>
        </w:rPr>
        <w:t>“</w:t>
      </w:r>
      <w:r w:rsidRPr="007A1A49">
        <w:rPr>
          <w:rFonts w:ascii="Verdana" w:hAnsi="Verdana" w:cs="Arial"/>
          <w:sz w:val="14"/>
          <w:szCs w:val="14"/>
          <w:lang w:val="es-MX"/>
        </w:rPr>
        <w:t>Artículo 38. Prohibiciones para los servidores públicos. A los empleados del Estado les está prohibido:</w:t>
      </w:r>
      <w:bookmarkEnd w:id="8"/>
      <w:r w:rsidRPr="007A1A49">
        <w:rPr>
          <w:rFonts w:ascii="Verdana" w:hAnsi="Verdana" w:cs="Arial"/>
          <w:sz w:val="14"/>
          <w:szCs w:val="14"/>
          <w:lang w:val="es-MX"/>
        </w:rPr>
        <w:t xml:space="preserve"> […]</w:t>
      </w:r>
    </w:p>
    <w:p w14:paraId="2F223D89" w14:textId="77777777" w:rsidR="000813D1" w:rsidRPr="003F2A9C" w:rsidRDefault="000813D1" w:rsidP="000813D1">
      <w:pPr>
        <w:pStyle w:val="NormalWeb"/>
        <w:spacing w:before="0" w:beforeAutospacing="0" w:after="0" w:afterAutospacing="0"/>
        <w:ind w:firstLine="709"/>
        <w:jc w:val="both"/>
        <w:rPr>
          <w:rFonts w:ascii="Verdana" w:hAnsi="Verdana" w:cs="Arial"/>
          <w:sz w:val="16"/>
          <w:szCs w:val="16"/>
          <w:lang w:val="es-MX"/>
        </w:rPr>
      </w:pPr>
      <w:r w:rsidRPr="007A1A49">
        <w:rPr>
          <w:rStyle w:val="baj"/>
          <w:rFonts w:eastAsia="Verdana" w:cs="Arial"/>
          <w:sz w:val="14"/>
          <w:szCs w:val="14"/>
          <w:lang w:val="es-MX"/>
        </w:rPr>
        <w:t>Parágrafo.</w:t>
      </w:r>
      <w:r w:rsidRPr="007A1A49">
        <w:rPr>
          <w:rFonts w:ascii="Verdana" w:hAnsi="Verdana" w:cs="Arial"/>
          <w:sz w:val="14"/>
          <w:szCs w:val="14"/>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7A1A49">
        <w:rPr>
          <w:rFonts w:ascii="Verdana" w:eastAsia="Calibri" w:hAnsi="Verdana" w:cs="Arial"/>
          <w:color w:val="000000"/>
          <w:sz w:val="14"/>
          <w:szCs w:val="14"/>
        </w:rPr>
        <w:t>”</w:t>
      </w:r>
      <w:r w:rsidRPr="007A1A49">
        <w:rPr>
          <w:rFonts w:ascii="Verdana" w:hAnsi="Verdana" w:cs="Arial"/>
          <w:sz w:val="14"/>
          <w:szCs w:val="14"/>
          <w:lang w:val="es-MX"/>
        </w:rPr>
        <w:t>.</w:t>
      </w:r>
    </w:p>
  </w:footnote>
  <w:footnote w:id="9">
    <w:p w14:paraId="4F9F7DF2" w14:textId="77777777" w:rsidR="000813D1" w:rsidRPr="008302D6" w:rsidRDefault="000813D1" w:rsidP="000813D1">
      <w:pPr>
        <w:spacing w:after="0" w:line="240" w:lineRule="auto"/>
        <w:ind w:left="100" w:right="244" w:firstLine="709"/>
        <w:jc w:val="both"/>
        <w:rPr>
          <w:rFonts w:ascii="Verdana" w:hAnsi="Verdana" w:cs="Arial"/>
          <w:sz w:val="16"/>
          <w:szCs w:val="16"/>
          <w:lang w:val="es-ES"/>
        </w:rPr>
      </w:pPr>
      <w:r w:rsidRPr="008302D6">
        <w:rPr>
          <w:rStyle w:val="Refdenotaalpie"/>
          <w:rFonts w:ascii="Verdana" w:hAnsi="Verdana" w:cs="Arial"/>
          <w:sz w:val="16"/>
          <w:szCs w:val="16"/>
        </w:rPr>
        <w:footnoteRef/>
      </w:r>
      <w:r w:rsidRPr="008302D6">
        <w:rPr>
          <w:rFonts w:ascii="Verdana" w:hAnsi="Verdana" w:cs="Arial"/>
          <w:sz w:val="16"/>
          <w:szCs w:val="16"/>
        </w:rPr>
        <w:t xml:space="preserve"> </w:t>
      </w:r>
      <w:r w:rsidRPr="007A1A49">
        <w:rPr>
          <w:rFonts w:ascii="Verdana" w:hAnsi="Verdana" w:cs="Arial"/>
          <w:sz w:val="14"/>
          <w:szCs w:val="14"/>
        </w:rPr>
        <w:t>Consejo de Estado. Sala de Consulta y Servicio Civil. Concepto del 17 de febrero de 2015. C.P. William Zambrano Cetina. Radicación No. 11001-03-06-000-2015-00164-00(2269).</w:t>
      </w:r>
    </w:p>
  </w:footnote>
  <w:footnote w:id="10">
    <w:p w14:paraId="34AF8A33" w14:textId="77777777" w:rsidR="000813D1" w:rsidRPr="008A7D98" w:rsidRDefault="000813D1" w:rsidP="000813D1">
      <w:pPr>
        <w:pStyle w:val="Textonotapie"/>
        <w:ind w:firstLine="708"/>
        <w:jc w:val="both"/>
        <w:rPr>
          <w:rFonts w:ascii="Verdana" w:hAnsi="Verdana" w:cs="Arial"/>
          <w:sz w:val="14"/>
          <w:szCs w:val="14"/>
        </w:rPr>
      </w:pPr>
      <w:r w:rsidRPr="003F2A9C">
        <w:rPr>
          <w:rStyle w:val="Refdenotaalpie"/>
          <w:rFonts w:ascii="Verdana" w:hAnsi="Verdana" w:cs="Arial"/>
          <w:sz w:val="16"/>
          <w:szCs w:val="16"/>
        </w:rPr>
        <w:footnoteRef/>
      </w:r>
      <w:r w:rsidRPr="003F2A9C">
        <w:rPr>
          <w:rFonts w:ascii="Verdana" w:hAnsi="Verdana" w:cs="Arial"/>
          <w:sz w:val="16"/>
          <w:szCs w:val="16"/>
        </w:rPr>
        <w:t xml:space="preserve"> </w:t>
      </w:r>
      <w:r w:rsidRPr="008A7D98">
        <w:rPr>
          <w:rFonts w:ascii="Verdana" w:hAnsi="Verdana" w:cs="Arial"/>
          <w:sz w:val="14"/>
          <w:szCs w:val="14"/>
        </w:rPr>
        <w:t xml:space="preserve">Colombia Compra Eficiente. Circular Externa Única. Numeral 16.5. </w:t>
      </w:r>
    </w:p>
  </w:footnote>
  <w:footnote w:id="11">
    <w:p w14:paraId="4D55A5D6" w14:textId="77777777" w:rsidR="000813D1" w:rsidRPr="00F9267B" w:rsidRDefault="000813D1" w:rsidP="000813D1">
      <w:pPr>
        <w:spacing w:after="0"/>
        <w:ind w:firstLine="709"/>
        <w:jc w:val="both"/>
        <w:rPr>
          <w:rFonts w:ascii="Verdana" w:hAnsi="Verdana" w:cs="Arial"/>
          <w:sz w:val="14"/>
          <w:szCs w:val="14"/>
        </w:rPr>
      </w:pPr>
      <w:r w:rsidRPr="00F9267B">
        <w:rPr>
          <w:rStyle w:val="Refdenotaalpie"/>
          <w:rFonts w:ascii="Verdana" w:hAnsi="Verdana" w:cs="Arial"/>
          <w:sz w:val="14"/>
          <w:szCs w:val="14"/>
        </w:rPr>
        <w:footnoteRef/>
      </w:r>
      <w:r w:rsidRPr="00F9267B">
        <w:rPr>
          <w:rFonts w:ascii="Verdana" w:hAnsi="Verdana" w:cs="Arial"/>
          <w:sz w:val="14"/>
          <w:szCs w:val="14"/>
        </w:rPr>
        <w:t xml:space="preserve"> Consejo de Estado. Sala de Consulta y Servicio Civil. Concepto de 20 de febrero de 2006. Radicación Número: 11001-03-06-000-2006-00026-00(1727). Consejero Ponente: Enrique José Arboleda Perdomo. Conceptuó que para las entidades que contratan por el derecho privado, estaba prohibida la contratación diferente de la licitación pública regulada por el código de comercio, criterio que luego se extendió para aquellos procesos que, en algunos sistemas de contratación utilizados por entidades públicas con regímenes especiales y establecidos en sus manuales de contratación, utilicen convocatoria de manera pública y se permita la participación de una pluralidad de oferentes.</w:t>
      </w:r>
    </w:p>
  </w:footnote>
  <w:footnote w:id="12">
    <w:p w14:paraId="48D3ADF8" w14:textId="77777777" w:rsidR="00456A87" w:rsidRPr="008E4A2F" w:rsidRDefault="00456A87" w:rsidP="00456A87">
      <w:pPr>
        <w:pStyle w:val="Textonotapie"/>
        <w:ind w:right="51" w:firstLine="709"/>
        <w:jc w:val="both"/>
        <w:rPr>
          <w:rFonts w:ascii="Verdana" w:eastAsia="Times New Roman" w:hAnsi="Verdana" w:cs="Arial"/>
          <w:bCs/>
          <w:sz w:val="16"/>
          <w:szCs w:val="16"/>
          <w:lang w:eastAsia="x-none"/>
        </w:rPr>
      </w:pPr>
      <w:r w:rsidRPr="008E4A2F">
        <w:rPr>
          <w:rStyle w:val="Refdenotaalpie"/>
          <w:rFonts w:ascii="Verdana" w:hAnsi="Verdana" w:cs="Arial"/>
          <w:sz w:val="16"/>
          <w:szCs w:val="16"/>
        </w:rPr>
        <w:footnoteRef/>
      </w:r>
      <w:r w:rsidRPr="008E4A2F">
        <w:rPr>
          <w:rFonts w:ascii="Verdana" w:hAnsi="Verdana" w:cs="Arial"/>
          <w:sz w:val="16"/>
          <w:szCs w:val="16"/>
        </w:rPr>
        <w:t xml:space="preserve"> Consejo de Estado. Sala de Consulta y Servicio Civil. Concepto de 6 de abril de 2006. Radicación Número: 11001-03-06-000-2006-00038-00 (1738). C.P. Enrique José Arboleda Perdomo:</w:t>
      </w:r>
      <w:r w:rsidRPr="008E4A2F">
        <w:rPr>
          <w:rFonts w:ascii="Verdana" w:eastAsia="Times New Roman" w:hAnsi="Verdana" w:cs="Arial"/>
          <w:bCs/>
          <w:sz w:val="16"/>
          <w:szCs w:val="16"/>
          <w:lang w:eastAsia="x-none"/>
        </w:rPr>
        <w:t xml:space="preserve"> “</w:t>
      </w:r>
      <w:r w:rsidRPr="008E4A2F">
        <w:rPr>
          <w:rFonts w:ascii="Verdana" w:hAnsi="Verdana" w:cs="Arial"/>
          <w:sz w:val="16"/>
          <w:szCs w:val="16"/>
        </w:rPr>
        <w:t>Si bien en el tema del concepto del que se extractaron los párrafos transcritos, se hacía referencia a las empresas de servicios públicos domiciliarios mixtas, la explicación dada cobija también a las empresas industriales y comerciales del estado y a las de crédito, pues todas ellas hacen parte de la definición de administración pública de la ley 489 de 1998, y además encajan dentro de la noción de todos los entes del Estado que trae la ley 996 de 2005 en el artículo 33, de manera que no es lógico pretender exonerarse de ésta prohibición alegando un régimen especial de los actos o contratos</w:t>
      </w:r>
      <w:r w:rsidRPr="008E4A2F">
        <w:rPr>
          <w:rFonts w:ascii="Verdana" w:eastAsia="Times New Roman" w:hAnsi="Verdana" w:cs="Arial"/>
          <w:bCs/>
          <w:sz w:val="16"/>
          <w:szCs w:val="16"/>
          <w:lang w:eastAsia="x-none"/>
        </w:rPr>
        <w:t>”.</w:t>
      </w:r>
    </w:p>
  </w:footnote>
  <w:footnote w:id="13">
    <w:p w14:paraId="7BC5D1EA" w14:textId="77777777" w:rsidR="00456A87" w:rsidRPr="008E4A2F" w:rsidRDefault="00456A87" w:rsidP="00456A87">
      <w:pPr>
        <w:spacing w:after="0" w:line="240" w:lineRule="auto"/>
        <w:ind w:firstLine="708"/>
        <w:jc w:val="both"/>
        <w:rPr>
          <w:rFonts w:ascii="Verdana" w:hAnsi="Verdana" w:cs="Arial"/>
          <w:sz w:val="16"/>
          <w:szCs w:val="16"/>
        </w:rPr>
      </w:pPr>
      <w:r w:rsidRPr="008E4A2F">
        <w:rPr>
          <w:rStyle w:val="Refdenotaalpie"/>
          <w:rFonts w:ascii="Verdana" w:hAnsi="Verdana" w:cs="Arial"/>
          <w:sz w:val="16"/>
          <w:szCs w:val="16"/>
        </w:rPr>
        <w:footnoteRef/>
      </w:r>
      <w:r w:rsidRPr="008E4A2F">
        <w:rPr>
          <w:rFonts w:ascii="Verdana" w:hAnsi="Verdana" w:cs="Arial"/>
          <w:sz w:val="16"/>
          <w:szCs w:val="16"/>
        </w:rPr>
        <w:t xml:space="preserve"> Consejo de Estado. Sala de Consulta y Servicio Civil. Concepto de 6 de abril de 2006. Radicación Número: 11001-03-06-000-2006-00038-00(1738). Consejero Ponente: Enrique José Arboleda Perdomo. </w:t>
      </w:r>
    </w:p>
  </w:footnote>
  <w:footnote w:id="14">
    <w:p w14:paraId="6F130181" w14:textId="77777777" w:rsidR="00456A87" w:rsidRPr="008E4A2F" w:rsidRDefault="00456A87" w:rsidP="00456A87">
      <w:pPr>
        <w:pStyle w:val="Textonotapie"/>
        <w:ind w:right="51" w:firstLine="709"/>
        <w:jc w:val="both"/>
        <w:rPr>
          <w:rFonts w:ascii="Verdana" w:hAnsi="Verdana" w:cs="Arial"/>
          <w:sz w:val="16"/>
          <w:szCs w:val="16"/>
        </w:rPr>
      </w:pPr>
      <w:r w:rsidRPr="008E4A2F">
        <w:rPr>
          <w:rStyle w:val="Refdenotaalpie"/>
          <w:rFonts w:ascii="Verdana" w:hAnsi="Verdana" w:cs="Arial"/>
          <w:sz w:val="16"/>
          <w:szCs w:val="16"/>
        </w:rPr>
        <w:footnoteRef/>
      </w:r>
      <w:r w:rsidRPr="008E4A2F">
        <w:rPr>
          <w:rFonts w:ascii="Verdana" w:hAnsi="Verdana" w:cs="Arial"/>
          <w:sz w:val="16"/>
          <w:szCs w:val="16"/>
        </w:rPr>
        <w:t xml:space="preserve"> Consejo de Estado. Sala de Consulta y Servicio Civil. Concepto del 20 de febrero de 2006. Rad. 1727. C.P. Enrique José Arboleda Perdomo. </w:t>
      </w:r>
    </w:p>
  </w:footnote>
  <w:footnote w:id="15">
    <w:p w14:paraId="69C7DE61" w14:textId="77777777" w:rsidR="000813D1" w:rsidRPr="003479E3" w:rsidRDefault="000813D1" w:rsidP="000813D1">
      <w:pPr>
        <w:pStyle w:val="Textonotapie"/>
        <w:ind w:right="51" w:firstLine="709"/>
        <w:jc w:val="both"/>
        <w:rPr>
          <w:rFonts w:ascii="Verdana" w:hAnsi="Verdana" w:cs="Arial"/>
          <w:sz w:val="14"/>
          <w:szCs w:val="14"/>
        </w:rPr>
      </w:pPr>
      <w:r w:rsidRPr="00F9267B">
        <w:rPr>
          <w:rStyle w:val="Refdenotaalpie"/>
          <w:rFonts w:ascii="Verdana" w:hAnsi="Verdana" w:cs="Arial"/>
          <w:sz w:val="14"/>
          <w:szCs w:val="14"/>
        </w:rPr>
        <w:footnoteRef/>
      </w:r>
      <w:r w:rsidRPr="00F9267B">
        <w:rPr>
          <w:rFonts w:ascii="Verdana" w:hAnsi="Verdana" w:cs="Arial"/>
          <w:sz w:val="14"/>
          <w:szCs w:val="14"/>
        </w:rPr>
        <w:t xml:space="preserve"> “</w:t>
      </w:r>
      <w:r w:rsidRPr="00F9267B">
        <w:rPr>
          <w:rFonts w:ascii="Verdana" w:hAnsi="Verdana" w:cs="Arial"/>
          <w:sz w:val="14"/>
          <w:szCs w:val="14"/>
          <w:lang w:val="es-ES"/>
        </w:rPr>
        <w:t xml:space="preserve">[25] </w:t>
      </w:r>
      <w:r w:rsidRPr="00F9267B">
        <w:rPr>
          <w:rFonts w:ascii="Verdana" w:hAnsi="Verdana" w:cs="Arial"/>
          <w:sz w:val="14"/>
          <w:szCs w:val="14"/>
        </w:rPr>
        <w:t>Cfr. Consejo de Estado. Sección Tercera. Sentencia de 3 de diciembre de 2007. Radicados: 24.715, 25.206, 25.409, 24.524, 27.834, 25.410, 26.105, 28.244, 31.447 -acumulados-“.</w:t>
      </w:r>
    </w:p>
  </w:footnote>
  <w:footnote w:id="16">
    <w:p w14:paraId="33AB0EB3" w14:textId="77777777" w:rsidR="000813D1" w:rsidRPr="003479E3" w:rsidRDefault="000813D1" w:rsidP="000813D1">
      <w:pPr>
        <w:pStyle w:val="Textonotapie"/>
        <w:ind w:right="51" w:firstLine="709"/>
        <w:jc w:val="both"/>
        <w:rPr>
          <w:rFonts w:ascii="Verdana" w:hAnsi="Verdana" w:cs="Arial"/>
          <w:sz w:val="14"/>
          <w:szCs w:val="14"/>
        </w:rPr>
      </w:pPr>
      <w:r w:rsidRPr="003479E3">
        <w:rPr>
          <w:rStyle w:val="Refdenotaalpie"/>
          <w:rFonts w:ascii="Verdana" w:hAnsi="Verdana" w:cs="Arial"/>
          <w:sz w:val="14"/>
          <w:szCs w:val="14"/>
        </w:rPr>
        <w:footnoteRef/>
      </w:r>
      <w:r w:rsidRPr="003479E3">
        <w:rPr>
          <w:rFonts w:ascii="Verdana" w:hAnsi="Verdana" w:cs="Arial"/>
          <w:sz w:val="14"/>
          <w:szCs w:val="14"/>
        </w:rPr>
        <w:t xml:space="preserve"> “</w:t>
      </w:r>
      <w:r w:rsidRPr="003479E3">
        <w:rPr>
          <w:rFonts w:ascii="Verdana" w:hAnsi="Verdana" w:cs="Arial"/>
          <w:sz w:val="14"/>
          <w:szCs w:val="14"/>
          <w:lang w:val="es-ES"/>
        </w:rPr>
        <w:t xml:space="preserve">[26] </w:t>
      </w:r>
      <w:r w:rsidRPr="003479E3">
        <w:rPr>
          <w:rFonts w:ascii="Verdana" w:hAnsi="Verdana" w:cs="Arial"/>
          <w:sz w:val="14"/>
          <w:szCs w:val="14"/>
        </w:rPr>
        <w:t>Al respecto ver el concepto 1712 de 2 de febrero de 2006. Consejo de Estado Sala de Consulta y Servicio Civil”.</w:t>
      </w:r>
    </w:p>
  </w:footnote>
  <w:footnote w:id="17">
    <w:p w14:paraId="445FAC3D" w14:textId="77777777" w:rsidR="000813D1" w:rsidRPr="003479E3" w:rsidRDefault="000813D1" w:rsidP="000813D1">
      <w:pPr>
        <w:pStyle w:val="Textonotapie"/>
        <w:ind w:firstLine="709"/>
        <w:jc w:val="both"/>
        <w:rPr>
          <w:rFonts w:ascii="Verdana" w:hAnsi="Verdana" w:cs="Arial"/>
          <w:sz w:val="14"/>
          <w:szCs w:val="14"/>
        </w:rPr>
      </w:pPr>
      <w:r w:rsidRPr="003479E3">
        <w:rPr>
          <w:rStyle w:val="Refdenotaalpie"/>
          <w:rFonts w:ascii="Verdana" w:hAnsi="Verdana" w:cs="Arial"/>
          <w:sz w:val="14"/>
          <w:szCs w:val="14"/>
        </w:rPr>
        <w:footnoteRef/>
      </w:r>
      <w:r w:rsidRPr="003479E3">
        <w:rPr>
          <w:rFonts w:ascii="Verdana" w:hAnsi="Verdana" w:cs="Arial"/>
          <w:sz w:val="14"/>
          <w:szCs w:val="14"/>
        </w:rPr>
        <w:t xml:space="preserve"> Consejo de Estado. Sala de Consulta y Servicio Civil. Concepto del 2 de septiembre de 2013. Radicación número: 11001-03-06-000-2013-00412-00 (2168). Consejero Ponente: Álvaro Namén Vargas.</w:t>
      </w:r>
    </w:p>
  </w:footnote>
  <w:footnote w:id="18">
    <w:p w14:paraId="255F7761" w14:textId="77777777" w:rsidR="000813D1" w:rsidRPr="003479E3" w:rsidRDefault="000813D1" w:rsidP="000813D1">
      <w:pPr>
        <w:pStyle w:val="Textonotapie"/>
        <w:ind w:firstLine="709"/>
        <w:jc w:val="both"/>
        <w:rPr>
          <w:rFonts w:ascii="Verdana" w:hAnsi="Verdana" w:cs="Arial"/>
          <w:sz w:val="14"/>
          <w:szCs w:val="14"/>
          <w:lang w:val="es-ES"/>
        </w:rPr>
      </w:pPr>
      <w:r w:rsidRPr="003479E3">
        <w:rPr>
          <w:rStyle w:val="Refdenotaalpie"/>
          <w:rFonts w:ascii="Verdana" w:hAnsi="Verdana" w:cs="Arial"/>
          <w:sz w:val="14"/>
          <w:szCs w:val="14"/>
        </w:rPr>
        <w:footnoteRef/>
      </w:r>
      <w:r w:rsidRPr="003479E3">
        <w:rPr>
          <w:rFonts w:ascii="Verdana" w:hAnsi="Verdana" w:cs="Arial"/>
          <w:sz w:val="14"/>
          <w:szCs w:val="14"/>
        </w:rPr>
        <w:t xml:space="preserve"> </w:t>
      </w:r>
      <w:r w:rsidRPr="003479E3">
        <w:rPr>
          <w:rFonts w:ascii="Verdana" w:hAnsi="Verdana" w:cs="Arial"/>
          <w:sz w:val="14"/>
          <w:szCs w:val="14"/>
          <w:lang w:val="es-ES"/>
        </w:rPr>
        <w:t xml:space="preserve">Artículo 2. </w:t>
      </w:r>
    </w:p>
  </w:footnote>
  <w:footnote w:id="19">
    <w:p w14:paraId="5A738832" w14:textId="77777777" w:rsidR="000813D1" w:rsidRPr="003479E3" w:rsidRDefault="000813D1" w:rsidP="000813D1">
      <w:pPr>
        <w:pStyle w:val="Textonotapie"/>
        <w:ind w:firstLine="709"/>
        <w:jc w:val="both"/>
        <w:rPr>
          <w:rFonts w:ascii="Verdana" w:hAnsi="Verdana" w:cs="Arial"/>
          <w:sz w:val="14"/>
          <w:szCs w:val="14"/>
          <w:lang w:val="es-ES"/>
        </w:rPr>
      </w:pPr>
      <w:r w:rsidRPr="003479E3">
        <w:rPr>
          <w:rStyle w:val="Refdenotaalpie"/>
          <w:rFonts w:ascii="Verdana" w:hAnsi="Verdana" w:cs="Arial"/>
          <w:sz w:val="14"/>
          <w:szCs w:val="14"/>
        </w:rPr>
        <w:footnoteRef/>
      </w:r>
      <w:r w:rsidRPr="003479E3">
        <w:rPr>
          <w:rFonts w:ascii="Verdana" w:hAnsi="Verdana" w:cs="Arial"/>
          <w:sz w:val="14"/>
          <w:szCs w:val="14"/>
        </w:rPr>
        <w:t xml:space="preserve"> </w:t>
      </w:r>
      <w:r w:rsidRPr="003479E3">
        <w:rPr>
          <w:rFonts w:ascii="Verdana" w:hAnsi="Verdana" w:cs="Arial"/>
          <w:i/>
          <w:sz w:val="14"/>
          <w:szCs w:val="14"/>
          <w:lang w:val="es-ES"/>
        </w:rPr>
        <w:t>Ídem</w:t>
      </w:r>
      <w:r w:rsidRPr="003479E3">
        <w:rPr>
          <w:rFonts w:ascii="Verdana" w:hAnsi="Verdana" w:cs="Arial"/>
          <w:sz w:val="14"/>
          <w:szCs w:val="14"/>
          <w:lang w:val="es-ES"/>
        </w:rPr>
        <w:t>.</w:t>
      </w:r>
    </w:p>
  </w:footnote>
  <w:footnote w:id="20">
    <w:p w14:paraId="1D3CDCB4" w14:textId="77777777" w:rsidR="000813D1" w:rsidRPr="003479E3" w:rsidRDefault="000813D1" w:rsidP="000813D1">
      <w:pPr>
        <w:pStyle w:val="Textonotapie"/>
        <w:ind w:firstLine="709"/>
        <w:jc w:val="both"/>
        <w:rPr>
          <w:rFonts w:ascii="Verdana" w:hAnsi="Verdana" w:cs="Arial"/>
          <w:sz w:val="14"/>
          <w:szCs w:val="14"/>
          <w:lang w:val="es-ES"/>
        </w:rPr>
      </w:pPr>
      <w:r w:rsidRPr="003479E3">
        <w:rPr>
          <w:rStyle w:val="Refdenotaalpie"/>
          <w:rFonts w:ascii="Verdana" w:hAnsi="Verdana" w:cs="Arial"/>
          <w:sz w:val="14"/>
          <w:szCs w:val="14"/>
        </w:rPr>
        <w:footnoteRef/>
      </w:r>
      <w:r w:rsidRPr="003479E3">
        <w:rPr>
          <w:rStyle w:val="Refdenotaalpie"/>
          <w:rFonts w:ascii="Verdana" w:hAnsi="Verdana" w:cs="Arial"/>
          <w:sz w:val="14"/>
          <w:szCs w:val="14"/>
        </w:rPr>
        <w:t xml:space="preserve"> </w:t>
      </w:r>
      <w:r w:rsidRPr="003479E3">
        <w:rPr>
          <w:rFonts w:ascii="Verdana" w:hAnsi="Verdana" w:cs="Arial"/>
          <w:sz w:val="14"/>
          <w:szCs w:val="14"/>
          <w:lang w:val="es-ES"/>
        </w:rPr>
        <w:t xml:space="preserve">“[…] A este respecto, cabe recordar que el artículo 860 del Código de Comercio regula la licitación en el derecho privado”. </w:t>
      </w:r>
    </w:p>
  </w:footnote>
  <w:footnote w:id="21">
    <w:p w14:paraId="42EBA681" w14:textId="77777777" w:rsidR="000813D1" w:rsidRPr="003479E3" w:rsidRDefault="000813D1" w:rsidP="000813D1">
      <w:pPr>
        <w:shd w:val="clear" w:color="auto" w:fill="FFFFFF" w:themeFill="background1"/>
        <w:spacing w:after="0" w:line="240" w:lineRule="auto"/>
        <w:ind w:firstLine="709"/>
        <w:jc w:val="both"/>
        <w:rPr>
          <w:rFonts w:ascii="Verdana" w:hAnsi="Verdana" w:cs="Arial"/>
          <w:sz w:val="14"/>
          <w:szCs w:val="14"/>
          <w:lang w:val="es-ES"/>
        </w:rPr>
      </w:pPr>
      <w:r w:rsidRPr="003479E3">
        <w:rPr>
          <w:rStyle w:val="Refdenotaalpie"/>
          <w:rFonts w:ascii="Verdana" w:hAnsi="Verdana" w:cs="Arial"/>
          <w:sz w:val="14"/>
          <w:szCs w:val="14"/>
        </w:rPr>
        <w:footnoteRef/>
      </w:r>
      <w:r w:rsidRPr="003479E3">
        <w:rPr>
          <w:rStyle w:val="Refdenotaalpie"/>
          <w:rFonts w:ascii="Verdana" w:hAnsi="Verdana" w:cs="Arial"/>
          <w:sz w:val="14"/>
          <w:szCs w:val="14"/>
        </w:rPr>
        <w:t xml:space="preserve"> </w:t>
      </w:r>
      <w:r w:rsidRPr="003479E3">
        <w:rPr>
          <w:rFonts w:ascii="Verdana" w:hAnsi="Verdana" w:cs="Arial"/>
          <w:sz w:val="14"/>
          <w:szCs w:val="14"/>
          <w:lang w:val="es-ES"/>
        </w:rPr>
        <w:t>Consejo de Estado. Sala de Consulta y Servicio Civil, Concepto de 8 de mayo de 2018. Radicación Número: 11001-03-06-000-2018-00095-00(2382). Consejero Ponente: Álvaro Namén Vargas.</w:t>
      </w:r>
    </w:p>
  </w:footnote>
  <w:footnote w:id="22">
    <w:p w14:paraId="655F76C8" w14:textId="77777777" w:rsidR="000813D1" w:rsidRPr="003F2A9C" w:rsidRDefault="000813D1" w:rsidP="000813D1">
      <w:pPr>
        <w:pStyle w:val="Textonotapie"/>
        <w:ind w:firstLine="709"/>
        <w:jc w:val="both"/>
        <w:rPr>
          <w:rFonts w:ascii="Verdana" w:hAnsi="Verdana" w:cs="Arial"/>
          <w:sz w:val="16"/>
          <w:szCs w:val="16"/>
        </w:rPr>
      </w:pPr>
      <w:r w:rsidRPr="003479E3">
        <w:rPr>
          <w:rStyle w:val="Refdenotaalpie"/>
          <w:rFonts w:ascii="Verdana" w:hAnsi="Verdana" w:cs="Arial"/>
          <w:sz w:val="14"/>
          <w:szCs w:val="14"/>
        </w:rPr>
        <w:footnoteRef/>
      </w:r>
      <w:r w:rsidRPr="003479E3">
        <w:rPr>
          <w:rFonts w:ascii="Verdana" w:hAnsi="Verdana" w:cs="Arial"/>
          <w:sz w:val="14"/>
          <w:szCs w:val="14"/>
        </w:rPr>
        <w:t xml:space="preserve"> Consejo de Estado. Sala de Consulta y Servicio Civil. Concepto del 08 de mayo de 2018. Exp. 2.382. C.P. Álvaro Namén Vargas.</w:t>
      </w:r>
    </w:p>
  </w:footnote>
  <w:footnote w:id="23">
    <w:p w14:paraId="736FACD6" w14:textId="77777777" w:rsidR="000813D1" w:rsidRPr="003479E3" w:rsidRDefault="000813D1" w:rsidP="000813D1">
      <w:pPr>
        <w:pStyle w:val="Textonotapie"/>
        <w:ind w:firstLine="709"/>
        <w:jc w:val="both"/>
        <w:rPr>
          <w:rFonts w:ascii="Verdana" w:hAnsi="Verdana" w:cs="Arial"/>
          <w:sz w:val="14"/>
          <w:szCs w:val="14"/>
        </w:rPr>
      </w:pPr>
      <w:r w:rsidRPr="003479E3">
        <w:rPr>
          <w:rStyle w:val="Refdenotaalpie"/>
          <w:rFonts w:ascii="Verdana" w:hAnsi="Verdana" w:cs="Arial"/>
          <w:sz w:val="14"/>
          <w:szCs w:val="14"/>
        </w:rPr>
        <w:footnoteRef/>
      </w:r>
      <w:r w:rsidRPr="003479E3">
        <w:rPr>
          <w:rFonts w:ascii="Verdana" w:hAnsi="Verdana" w:cs="Arial"/>
          <w:sz w:val="14"/>
          <w:szCs w:val="14"/>
        </w:rPr>
        <w:t xml:space="preserve"> La Corte Constitucional mediante Sentencia C-1153-05 de 11 de noviembre de 2005, Magistrado Ponente Marco Gerardo Monroy Cabra, efectuó el Control constitucional al Proyecto de Ley Estatutaria </w:t>
      </w:r>
      <w:proofErr w:type="spellStart"/>
      <w:r w:rsidRPr="003479E3">
        <w:rPr>
          <w:rFonts w:ascii="Verdana" w:hAnsi="Verdana" w:cs="Arial"/>
          <w:sz w:val="14"/>
          <w:szCs w:val="14"/>
        </w:rPr>
        <w:t>N°</w:t>
      </w:r>
      <w:proofErr w:type="spellEnd"/>
      <w:r w:rsidRPr="003479E3">
        <w:rPr>
          <w:rFonts w:ascii="Verdana" w:hAnsi="Verdana" w:cs="Arial"/>
          <w:sz w:val="14"/>
          <w:szCs w:val="14"/>
        </w:rPr>
        <w:t xml:space="preserve"> 216/05 Senado, </w:t>
      </w:r>
      <w:proofErr w:type="spellStart"/>
      <w:r w:rsidRPr="003479E3">
        <w:rPr>
          <w:rFonts w:ascii="Verdana" w:hAnsi="Verdana" w:cs="Arial"/>
          <w:sz w:val="14"/>
          <w:szCs w:val="14"/>
        </w:rPr>
        <w:t>N°</w:t>
      </w:r>
      <w:proofErr w:type="spellEnd"/>
      <w:r w:rsidRPr="003479E3">
        <w:rPr>
          <w:rFonts w:ascii="Verdana" w:hAnsi="Verdana" w:cs="Arial"/>
          <w:sz w:val="14"/>
          <w:szCs w:val="14"/>
        </w:rPr>
        <w:t xml:space="preserve"> 235-Cámara que dio lugar a la Ley de Garantías Electorales.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25pt;height:12.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4DA50AD"/>
    <w:multiLevelType w:val="hybridMultilevel"/>
    <w:tmpl w:val="88361A2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59AE221C"/>
    <w:multiLevelType w:val="hybridMultilevel"/>
    <w:tmpl w:val="2FAEAD0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5"/>
  </w:num>
  <w:num w:numId="8" w16cid:durableId="152644682">
    <w:abstractNumId w:val="13"/>
  </w:num>
  <w:num w:numId="9" w16cid:durableId="1317221377">
    <w:abstractNumId w:val="8"/>
  </w:num>
  <w:num w:numId="10" w16cid:durableId="1471245386">
    <w:abstractNumId w:val="12"/>
  </w:num>
  <w:num w:numId="11" w16cid:durableId="289172385">
    <w:abstractNumId w:val="9"/>
  </w:num>
  <w:num w:numId="12" w16cid:durableId="1470781324">
    <w:abstractNumId w:val="1"/>
  </w:num>
  <w:num w:numId="13" w16cid:durableId="1512908409">
    <w:abstractNumId w:val="3"/>
  </w:num>
  <w:num w:numId="14" w16cid:durableId="895897244">
    <w:abstractNumId w:val="15"/>
  </w:num>
  <w:num w:numId="15" w16cid:durableId="390349800">
    <w:abstractNumId w:val="11"/>
  </w:num>
  <w:num w:numId="16" w16cid:durableId="636302832">
    <w:abstractNumId w:val="0"/>
  </w:num>
  <w:num w:numId="17" w16cid:durableId="1130510424">
    <w:abstractNumId w:val="7"/>
  </w:num>
  <w:num w:numId="18" w16cid:durableId="181875863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05F4"/>
    <w:rsid w:val="00002FC3"/>
    <w:rsid w:val="00016F78"/>
    <w:rsid w:val="00046945"/>
    <w:rsid w:val="00061B2A"/>
    <w:rsid w:val="000813D1"/>
    <w:rsid w:val="00082362"/>
    <w:rsid w:val="000A683E"/>
    <w:rsid w:val="000B19B9"/>
    <w:rsid w:val="000C2C58"/>
    <w:rsid w:val="000D0334"/>
    <w:rsid w:val="000D5DA7"/>
    <w:rsid w:val="000E5096"/>
    <w:rsid w:val="000E6462"/>
    <w:rsid w:val="000F382A"/>
    <w:rsid w:val="000F6486"/>
    <w:rsid w:val="0011394C"/>
    <w:rsid w:val="00116940"/>
    <w:rsid w:val="00125105"/>
    <w:rsid w:val="00127233"/>
    <w:rsid w:val="0015699B"/>
    <w:rsid w:val="001A33BF"/>
    <w:rsid w:val="001C2143"/>
    <w:rsid w:val="001C2634"/>
    <w:rsid w:val="001E2D6F"/>
    <w:rsid w:val="001E4177"/>
    <w:rsid w:val="001F0B24"/>
    <w:rsid w:val="001F7DC6"/>
    <w:rsid w:val="002178C5"/>
    <w:rsid w:val="0022400B"/>
    <w:rsid w:val="00235CE3"/>
    <w:rsid w:val="00241D2E"/>
    <w:rsid w:val="002421BB"/>
    <w:rsid w:val="00255439"/>
    <w:rsid w:val="0025796E"/>
    <w:rsid w:val="002707A2"/>
    <w:rsid w:val="002951A0"/>
    <w:rsid w:val="002962BC"/>
    <w:rsid w:val="002A093D"/>
    <w:rsid w:val="002A0DD0"/>
    <w:rsid w:val="002A49AC"/>
    <w:rsid w:val="002A64FD"/>
    <w:rsid w:val="002C1A98"/>
    <w:rsid w:val="002C29E9"/>
    <w:rsid w:val="002C7A84"/>
    <w:rsid w:val="002E2BF8"/>
    <w:rsid w:val="002E4FD9"/>
    <w:rsid w:val="0030657A"/>
    <w:rsid w:val="00322A85"/>
    <w:rsid w:val="00324168"/>
    <w:rsid w:val="00330834"/>
    <w:rsid w:val="003448F4"/>
    <w:rsid w:val="003537AC"/>
    <w:rsid w:val="00374F5E"/>
    <w:rsid w:val="003778C3"/>
    <w:rsid w:val="00377E3E"/>
    <w:rsid w:val="003907FA"/>
    <w:rsid w:val="003A0A27"/>
    <w:rsid w:val="003A779E"/>
    <w:rsid w:val="003B617E"/>
    <w:rsid w:val="003D0F4D"/>
    <w:rsid w:val="003D5B0D"/>
    <w:rsid w:val="003E0499"/>
    <w:rsid w:val="003E4F80"/>
    <w:rsid w:val="003E6439"/>
    <w:rsid w:val="003F3941"/>
    <w:rsid w:val="00406575"/>
    <w:rsid w:val="00414C74"/>
    <w:rsid w:val="0042722E"/>
    <w:rsid w:val="0044528D"/>
    <w:rsid w:val="004465F1"/>
    <w:rsid w:val="00456A87"/>
    <w:rsid w:val="00466E39"/>
    <w:rsid w:val="004A1847"/>
    <w:rsid w:val="004A305D"/>
    <w:rsid w:val="004B4BEA"/>
    <w:rsid w:val="004E2EA9"/>
    <w:rsid w:val="004F21C4"/>
    <w:rsid w:val="004F685F"/>
    <w:rsid w:val="00540A70"/>
    <w:rsid w:val="005566E8"/>
    <w:rsid w:val="00574867"/>
    <w:rsid w:val="00591460"/>
    <w:rsid w:val="005A65E0"/>
    <w:rsid w:val="005B734D"/>
    <w:rsid w:val="005C3777"/>
    <w:rsid w:val="005C5CDC"/>
    <w:rsid w:val="005D476C"/>
    <w:rsid w:val="005D7E3E"/>
    <w:rsid w:val="006200BF"/>
    <w:rsid w:val="006219F8"/>
    <w:rsid w:val="006302F7"/>
    <w:rsid w:val="00646B9F"/>
    <w:rsid w:val="00665D70"/>
    <w:rsid w:val="006900D9"/>
    <w:rsid w:val="006E2E13"/>
    <w:rsid w:val="00706C16"/>
    <w:rsid w:val="007340C3"/>
    <w:rsid w:val="00740ED0"/>
    <w:rsid w:val="0075218B"/>
    <w:rsid w:val="0075235A"/>
    <w:rsid w:val="00756841"/>
    <w:rsid w:val="00757284"/>
    <w:rsid w:val="007649AB"/>
    <w:rsid w:val="00771D0C"/>
    <w:rsid w:val="007833AC"/>
    <w:rsid w:val="007A4F29"/>
    <w:rsid w:val="007B268C"/>
    <w:rsid w:val="007B7171"/>
    <w:rsid w:val="007C0C0F"/>
    <w:rsid w:val="007C3DC2"/>
    <w:rsid w:val="007E5497"/>
    <w:rsid w:val="00806F5F"/>
    <w:rsid w:val="00820278"/>
    <w:rsid w:val="008258C9"/>
    <w:rsid w:val="00844AE9"/>
    <w:rsid w:val="008548E4"/>
    <w:rsid w:val="0086295E"/>
    <w:rsid w:val="00867F95"/>
    <w:rsid w:val="00874D7F"/>
    <w:rsid w:val="008843B6"/>
    <w:rsid w:val="00890140"/>
    <w:rsid w:val="00891928"/>
    <w:rsid w:val="008A446D"/>
    <w:rsid w:val="008B25F1"/>
    <w:rsid w:val="008D180B"/>
    <w:rsid w:val="008F0EA7"/>
    <w:rsid w:val="00923EEF"/>
    <w:rsid w:val="009419F9"/>
    <w:rsid w:val="0095685E"/>
    <w:rsid w:val="00961B09"/>
    <w:rsid w:val="00965334"/>
    <w:rsid w:val="0097093E"/>
    <w:rsid w:val="00992796"/>
    <w:rsid w:val="009A0DFA"/>
    <w:rsid w:val="009A1C6F"/>
    <w:rsid w:val="009A43DF"/>
    <w:rsid w:val="009B2D26"/>
    <w:rsid w:val="009C71FA"/>
    <w:rsid w:val="009C72E7"/>
    <w:rsid w:val="009C7F7E"/>
    <w:rsid w:val="009D3058"/>
    <w:rsid w:val="009F3A13"/>
    <w:rsid w:val="00A03F2E"/>
    <w:rsid w:val="00A05510"/>
    <w:rsid w:val="00A122D3"/>
    <w:rsid w:val="00A14468"/>
    <w:rsid w:val="00A17F13"/>
    <w:rsid w:val="00A20739"/>
    <w:rsid w:val="00A23AF9"/>
    <w:rsid w:val="00A33C78"/>
    <w:rsid w:val="00A8403A"/>
    <w:rsid w:val="00AB0ADB"/>
    <w:rsid w:val="00AB1F39"/>
    <w:rsid w:val="00B00C0E"/>
    <w:rsid w:val="00B01B1A"/>
    <w:rsid w:val="00B0381D"/>
    <w:rsid w:val="00B23242"/>
    <w:rsid w:val="00B44A47"/>
    <w:rsid w:val="00B4749E"/>
    <w:rsid w:val="00B47DF7"/>
    <w:rsid w:val="00B72CD3"/>
    <w:rsid w:val="00B72FFF"/>
    <w:rsid w:val="00B8640A"/>
    <w:rsid w:val="00BC3D36"/>
    <w:rsid w:val="00BC7588"/>
    <w:rsid w:val="00BD54A6"/>
    <w:rsid w:val="00BD7F72"/>
    <w:rsid w:val="00BF13A7"/>
    <w:rsid w:val="00BF7425"/>
    <w:rsid w:val="00C001FC"/>
    <w:rsid w:val="00C04FB3"/>
    <w:rsid w:val="00C11D8B"/>
    <w:rsid w:val="00C15139"/>
    <w:rsid w:val="00C330EB"/>
    <w:rsid w:val="00C50D69"/>
    <w:rsid w:val="00C5365C"/>
    <w:rsid w:val="00C754BE"/>
    <w:rsid w:val="00C76B1C"/>
    <w:rsid w:val="00C925AC"/>
    <w:rsid w:val="00CA474D"/>
    <w:rsid w:val="00CB6357"/>
    <w:rsid w:val="00CC1B26"/>
    <w:rsid w:val="00CF3A60"/>
    <w:rsid w:val="00D361FD"/>
    <w:rsid w:val="00D423A2"/>
    <w:rsid w:val="00D44E26"/>
    <w:rsid w:val="00D520D8"/>
    <w:rsid w:val="00D63AC2"/>
    <w:rsid w:val="00D64C31"/>
    <w:rsid w:val="00D7383B"/>
    <w:rsid w:val="00D7788A"/>
    <w:rsid w:val="00DA231B"/>
    <w:rsid w:val="00DC39FC"/>
    <w:rsid w:val="00DF5254"/>
    <w:rsid w:val="00DF72CE"/>
    <w:rsid w:val="00E02524"/>
    <w:rsid w:val="00E16408"/>
    <w:rsid w:val="00E20894"/>
    <w:rsid w:val="00E245AB"/>
    <w:rsid w:val="00E2764C"/>
    <w:rsid w:val="00E27F2E"/>
    <w:rsid w:val="00E50AFE"/>
    <w:rsid w:val="00E75C92"/>
    <w:rsid w:val="00E771DC"/>
    <w:rsid w:val="00E8772A"/>
    <w:rsid w:val="00E90F6B"/>
    <w:rsid w:val="00E92C27"/>
    <w:rsid w:val="00EA0E3D"/>
    <w:rsid w:val="00EB21EE"/>
    <w:rsid w:val="00EC38A7"/>
    <w:rsid w:val="00EE1AA8"/>
    <w:rsid w:val="00F23FEA"/>
    <w:rsid w:val="00F31EDC"/>
    <w:rsid w:val="00F462B3"/>
    <w:rsid w:val="00F53689"/>
    <w:rsid w:val="00F5664F"/>
    <w:rsid w:val="00F666C4"/>
    <w:rsid w:val="00F76AFC"/>
    <w:rsid w:val="00F80AAA"/>
    <w:rsid w:val="00FA47C0"/>
    <w:rsid w:val="00FB5DD1"/>
    <w:rsid w:val="00FB690D"/>
    <w:rsid w:val="00FC2B5D"/>
    <w:rsid w:val="00FC3058"/>
    <w:rsid w:val="00FC49A2"/>
    <w:rsid w:val="00FD687D"/>
    <w:rsid w:val="00FE72AA"/>
    <w:rsid w:val="00FF1449"/>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7A4F29"/>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7A4F29"/>
    <w:rPr>
      <w:rFonts w:ascii="Geomanist Light" w:hAnsi="Geomanist Light"/>
      <w:lang w:val="es-ES"/>
    </w:rPr>
  </w:style>
  <w:style w:type="paragraph" w:styleId="Textoindependiente">
    <w:name w:val="Body Text"/>
    <w:basedOn w:val="Normal"/>
    <w:link w:val="TextoindependienteCar"/>
    <w:uiPriority w:val="1"/>
    <w:qFormat/>
    <w:rsid w:val="007A4F29"/>
    <w:pPr>
      <w:widowControl w:val="0"/>
      <w:autoSpaceDE w:val="0"/>
      <w:autoSpaceDN w:val="0"/>
      <w:spacing w:after="0" w:line="240" w:lineRule="auto"/>
    </w:pPr>
    <w:rPr>
      <w:rFonts w:ascii="Verdana" w:eastAsia="Verdana" w:hAnsi="Verdana" w:cs="Verdana"/>
      <w:lang w:val="es-ES"/>
    </w:rPr>
  </w:style>
  <w:style w:type="character" w:customStyle="1" w:styleId="TextoindependienteCar">
    <w:name w:val="Texto independiente Car"/>
    <w:basedOn w:val="Fuentedeprrafopredeter"/>
    <w:link w:val="Textoindependiente"/>
    <w:uiPriority w:val="1"/>
    <w:rsid w:val="007A4F29"/>
    <w:rPr>
      <w:rFonts w:ascii="Verdana" w:eastAsia="Verdana" w:hAnsi="Verdana" w:cs="Verdana"/>
      <w:lang w:val="es-ES"/>
    </w:rPr>
  </w:style>
  <w:style w:type="character" w:customStyle="1" w:styleId="NormalWebCar">
    <w:name w:val="Normal (Web) Car"/>
    <w:link w:val="NormalWeb"/>
    <w:uiPriority w:val="99"/>
    <w:rsid w:val="000813D1"/>
    <w:rPr>
      <w:rFonts w:ascii="Times New Roman" w:eastAsia="Times New Roman" w:hAnsi="Times New Roman" w:cs="Times New Roman"/>
      <w:sz w:val="24"/>
      <w:szCs w:val="24"/>
      <w:lang w:eastAsia="es-CO"/>
    </w:rPr>
  </w:style>
  <w:style w:type="character" w:customStyle="1" w:styleId="baj">
    <w:name w:val="b_aj"/>
    <w:basedOn w:val="Fuentedeprrafopredeter"/>
    <w:rsid w:val="000813D1"/>
  </w:style>
  <w:style w:type="paragraph" w:styleId="Sinespaciado">
    <w:name w:val="No Spacing"/>
    <w:uiPriority w:val="1"/>
    <w:qFormat/>
    <w:rsid w:val="00540A70"/>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busqueda/conceptos" TargetMode="External"/><Relationship Id="rId18" Type="http://schemas.openxmlformats.org/officeDocument/2006/relationships/image" Target="media/image3.pn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hyperlink" Target="https://www.colombiacompra.gov.co/normativa-y-relatoria/circular-unica-externa" TargetMode="External"/><Relationship Id="rId17" Type="http://schemas.openxmlformats.org/officeDocument/2006/relationships/hyperlink" Target="http://www.colombiacompra.gov.co" TargetMode="External"/><Relationship Id="rId2" Type="http://schemas.openxmlformats.org/officeDocument/2006/relationships/customXml" Target="../customXml/item2.xml"/><Relationship Id="rId16"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correocertificadonotificaciones@4-72.com.co" TargetMode="External"/><Relationship Id="rId5" Type="http://schemas.openxmlformats.org/officeDocument/2006/relationships/styles" Target="styles.xml"/><Relationship Id="rId15" Type="http://schemas.openxmlformats.org/officeDocument/2006/relationships/hyperlink" Target="https://www.colombiacompra.gov.co/normativa-y-relatoria/documentos-tipo" TargetMode="External"/><Relationship Id="rId10" Type="http://schemas.openxmlformats.org/officeDocument/2006/relationships/image" Target="media/image2.png"/><Relationship Id="rId19"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formacionvirtual.colombiacompra.gov.co/mod/page/view.php?id=3718"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AE493594-AAF7-44A4-B085-EB8612FE5C46}"/>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55</TotalTime>
  <Pages>21</Pages>
  <Words>6934</Words>
  <Characters>39319</Characters>
  <Application>Microsoft Office Word</Application>
  <DocSecurity>0</DocSecurity>
  <Lines>756</Lines>
  <Paragraphs>162</Paragraphs>
  <ScaleCrop>false</ScaleCrop>
  <Company/>
  <LinksUpToDate>false</LinksUpToDate>
  <CharactersWithSpaces>46091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Angela Maria Olmos Andrade</cp:lastModifiedBy>
  <cp:revision>11</cp:revision>
  <cp:lastPrinted>2023-01-10T21:18:00Z</cp:lastPrinted>
  <dcterms:created xsi:type="dcterms:W3CDTF">2026-04-15T16:53:00Z</dcterms:created>
  <dcterms:modified xsi:type="dcterms:W3CDTF">2026-04-16T20:48:00Z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