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05C12" w14:textId="77777777" w:rsidR="004505A6" w:rsidRPr="004505A6" w:rsidRDefault="004505A6" w:rsidP="004505A6">
      <w:pPr>
        <w:spacing w:line="276" w:lineRule="auto"/>
        <w:jc w:val="both"/>
        <w:rPr>
          <w:rFonts w:ascii="Verdana" w:eastAsia="Calibri" w:hAnsi="Verdana" w:cs="Arial"/>
          <w:b/>
          <w:lang w:val="es-MX" w:eastAsia="es-ES_tradnl"/>
        </w:rPr>
      </w:pPr>
      <w:bookmarkStart w:id="0" w:name="_Hlk143780582"/>
      <w:bookmarkStart w:id="1" w:name="_Hlk186494164"/>
      <w:r w:rsidRPr="004505A6">
        <w:rPr>
          <w:rFonts w:ascii="Verdana" w:eastAsia="Calibri" w:hAnsi="Verdana" w:cs="Arial"/>
          <w:b/>
          <w:lang w:val="es-MX" w:eastAsia="es-ES_tradnl"/>
        </w:rPr>
        <w:t xml:space="preserve">REQUISITOS HABILITANTES – Capacidad financiera – Autonomía </w:t>
      </w:r>
    </w:p>
    <w:p w14:paraId="0F58EA72" w14:textId="77777777" w:rsidR="004505A6" w:rsidRPr="004505A6" w:rsidRDefault="004505A6" w:rsidP="004505A6">
      <w:pPr>
        <w:spacing w:after="0" w:line="240" w:lineRule="auto"/>
        <w:jc w:val="both"/>
        <w:rPr>
          <w:rFonts w:ascii="Verdana" w:eastAsia="Calibri" w:hAnsi="Verdana" w:cs="Arial"/>
          <w:color w:val="000000" w:themeColor="text1"/>
          <w:sz w:val="20"/>
          <w:szCs w:val="20"/>
          <w:lang w:val="es-ES" w:eastAsia="es-ES"/>
        </w:rPr>
      </w:pPr>
      <w:r w:rsidRPr="004505A6">
        <w:rPr>
          <w:rFonts w:ascii="Verdana" w:eastAsia="Calibri" w:hAnsi="Verdana" w:cs="Arial"/>
          <w:color w:val="000000" w:themeColor="text1"/>
          <w:sz w:val="20"/>
          <w:szCs w:val="20"/>
          <w:lang w:val="es-ES" w:eastAsia="es-ES"/>
        </w:rPr>
        <w:t>Los requisitos habilitantes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w:t>
      </w:r>
    </w:p>
    <w:p w14:paraId="6126CAF7" w14:textId="77777777" w:rsidR="004505A6" w:rsidRPr="004505A6" w:rsidRDefault="004505A6" w:rsidP="004505A6">
      <w:pPr>
        <w:spacing w:after="0" w:line="240" w:lineRule="auto"/>
        <w:jc w:val="both"/>
        <w:rPr>
          <w:rFonts w:ascii="Verdana" w:eastAsia="Calibri" w:hAnsi="Verdana" w:cs="Arial"/>
          <w:color w:val="000000" w:themeColor="text1"/>
          <w:sz w:val="20"/>
          <w:szCs w:val="20"/>
          <w:lang w:val="es-ES" w:eastAsia="es-ES"/>
        </w:rPr>
      </w:pPr>
    </w:p>
    <w:p w14:paraId="28453E5F" w14:textId="77777777" w:rsidR="004505A6" w:rsidRPr="004505A6" w:rsidRDefault="004505A6" w:rsidP="004505A6">
      <w:pPr>
        <w:spacing w:line="276" w:lineRule="auto"/>
        <w:jc w:val="both"/>
        <w:rPr>
          <w:rFonts w:ascii="Verdana" w:eastAsia="Calibri" w:hAnsi="Verdana" w:cs="Arial"/>
          <w:b/>
        </w:rPr>
      </w:pPr>
      <w:r w:rsidRPr="004505A6">
        <w:rPr>
          <w:rFonts w:ascii="Verdana" w:eastAsia="Calibri" w:hAnsi="Verdana" w:cs="Arial"/>
          <w:b/>
          <w:lang w:val="es-MX" w:eastAsia="es-ES_tradnl"/>
        </w:rPr>
        <w:t xml:space="preserve">CAPACIDAD FINANCIERA – Acreditación – Endeudamiento – Manual para determinar los requisitos habilitantes </w:t>
      </w:r>
    </w:p>
    <w:p w14:paraId="037697C9" w14:textId="77777777" w:rsidR="004505A6" w:rsidRPr="004505A6" w:rsidRDefault="004505A6" w:rsidP="004505A6">
      <w:pPr>
        <w:jc w:val="both"/>
        <w:rPr>
          <w:rFonts w:ascii="Verdana" w:eastAsia="Calibri" w:hAnsi="Verdana" w:cs="Arial"/>
          <w:sz w:val="20"/>
          <w:szCs w:val="20"/>
          <w:lang w:eastAsia="es-MX"/>
        </w:rPr>
      </w:pPr>
      <w:r w:rsidRPr="004505A6">
        <w:rPr>
          <w:rFonts w:ascii="Verdana" w:eastAsia="Calibri" w:hAnsi="Verdana" w:cs="Arial"/>
          <w:sz w:val="20"/>
          <w:szCs w:val="20"/>
          <w:lang w:eastAsia="es-MX"/>
        </w:rPr>
        <w:t>Ahora bien, dentro de los requisitos habilitantes se destaca la capacidad financiera, la cual se deriva del comportamiento contable de la empresa, su liquidez y endeudamiento, para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razón de cobertura”.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 y sus componentes como la identificación de riesgos, el mercado y precio del bien, obra o servicio a contratar.</w:t>
      </w:r>
    </w:p>
    <w:p w14:paraId="77A9A241" w14:textId="77777777" w:rsidR="004505A6" w:rsidRPr="004505A6" w:rsidRDefault="004505A6" w:rsidP="004505A6">
      <w:pPr>
        <w:spacing w:after="0" w:line="240" w:lineRule="auto"/>
        <w:jc w:val="both"/>
        <w:rPr>
          <w:rFonts w:ascii="Verdana" w:eastAsia="Calibri" w:hAnsi="Verdana" w:cs="Arial"/>
          <w:sz w:val="20"/>
          <w:szCs w:val="20"/>
          <w:lang w:eastAsia="es-MX"/>
        </w:rPr>
      </w:pPr>
    </w:p>
    <w:p w14:paraId="41C28635" w14:textId="77777777" w:rsidR="004505A6" w:rsidRPr="004505A6" w:rsidRDefault="004505A6" w:rsidP="004505A6">
      <w:pPr>
        <w:spacing w:line="276" w:lineRule="auto"/>
        <w:jc w:val="both"/>
        <w:rPr>
          <w:rFonts w:ascii="Verdana" w:eastAsia="Calibri" w:hAnsi="Verdana" w:cs="Arial"/>
          <w:b/>
          <w:lang w:val="es-MX" w:eastAsia="es-ES_tradnl"/>
        </w:rPr>
      </w:pPr>
      <w:r w:rsidRPr="004505A6">
        <w:rPr>
          <w:rFonts w:ascii="Verdana" w:eastAsia="Calibri" w:hAnsi="Verdana" w:cs="Arial"/>
          <w:b/>
        </w:rPr>
        <w:t xml:space="preserve">ÍNDICE DE LIQUIDEZ </w:t>
      </w:r>
      <w:r w:rsidRPr="004505A6">
        <w:rPr>
          <w:rFonts w:ascii="Verdana" w:eastAsia="Calibri" w:hAnsi="Verdana" w:cs="Arial"/>
          <w:b/>
          <w:lang w:val="es-MX" w:eastAsia="es-ES_tradnl"/>
        </w:rPr>
        <w:t>– Determinación</w:t>
      </w:r>
    </w:p>
    <w:p w14:paraId="5EA37CFD"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r w:rsidRPr="004505A6">
        <w:rPr>
          <w:rFonts w:ascii="Verdana" w:eastAsia="Calibri" w:hAnsi="Verdana" w:cs="Arial"/>
          <w:sz w:val="20"/>
          <w:szCs w:val="20"/>
          <w:lang w:eastAsia="es-MX"/>
        </w:rPr>
        <w:t xml:space="preserve">Según el artículo 2.2.1.1.1.5.3. del Decreto 1082 de 2015, el RUP contempla como indicadores de capacidad financiera los siguientes: i) el índice de liquidez, que corresponde a la división entre el activo corriente y el pasivo corriente, y que determina la capacidad que tiene el proponente para cumplir con sus obligaciones de corto plazo; </w:t>
      </w:r>
      <w:proofErr w:type="spellStart"/>
      <w:r w:rsidRPr="004505A6">
        <w:rPr>
          <w:rFonts w:ascii="Verdana" w:eastAsia="Calibri" w:hAnsi="Verdana" w:cs="Arial"/>
          <w:sz w:val="20"/>
          <w:szCs w:val="20"/>
          <w:lang w:eastAsia="es-MX"/>
        </w:rPr>
        <w:t>ii</w:t>
      </w:r>
      <w:proofErr w:type="spellEnd"/>
      <w:r w:rsidRPr="004505A6">
        <w:rPr>
          <w:rFonts w:ascii="Verdana" w:eastAsia="Calibri" w:hAnsi="Verdana" w:cs="Arial"/>
          <w:sz w:val="20"/>
          <w:szCs w:val="20"/>
          <w:lang w:eastAsia="es-MX"/>
        </w:rPr>
        <w:t xml:space="preserve">) el índice de endeudamiento, que se calcula dividiendo el pasivo total por el activo total, el cual determina el grado de endeudamiento en la estructura de financiación del proponente; y </w:t>
      </w:r>
      <w:proofErr w:type="spellStart"/>
      <w:r w:rsidRPr="004505A6">
        <w:rPr>
          <w:rFonts w:ascii="Verdana" w:eastAsia="Calibri" w:hAnsi="Verdana" w:cs="Arial"/>
          <w:sz w:val="20"/>
          <w:szCs w:val="20"/>
          <w:lang w:eastAsia="es-MX"/>
        </w:rPr>
        <w:t>iii</w:t>
      </w:r>
      <w:proofErr w:type="spellEnd"/>
      <w:r w:rsidRPr="004505A6">
        <w:rPr>
          <w:rFonts w:ascii="Verdana" w:eastAsia="Calibri" w:hAnsi="Verdana" w:cs="Arial"/>
          <w:sz w:val="20"/>
          <w:szCs w:val="20"/>
          <w:lang w:eastAsia="es-MX"/>
        </w:rPr>
        <w:t>) la razón de cobertura de intereses, que es igual a la utilidad operacional, sobre los gastos de intereses, y que refleja la capacidad del proponente para cumplir con sus obligaciones financieras.</w:t>
      </w:r>
    </w:p>
    <w:p w14:paraId="40FED8AA"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p>
    <w:p w14:paraId="0BCADB09"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r w:rsidRPr="004505A6">
        <w:rPr>
          <w:rFonts w:ascii="Verdana" w:eastAsia="Geomanist Light" w:hAnsi="Verdana" w:cs="Arial"/>
          <w:color w:val="000000" w:themeColor="text1"/>
          <w:sz w:val="20"/>
          <w:szCs w:val="20"/>
        </w:rPr>
        <w:t>(…)</w:t>
      </w:r>
    </w:p>
    <w:p w14:paraId="0041A39E"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r w:rsidRPr="004505A6">
        <w:rPr>
          <w:rFonts w:ascii="Verdana" w:eastAsia="Geomanist Light" w:hAnsi="Verdana" w:cs="Arial"/>
          <w:color w:val="000000" w:themeColor="text1"/>
          <w:sz w:val="20"/>
          <w:szCs w:val="20"/>
        </w:rPr>
        <w:t xml:space="preserve">De esta manera, se evidencia que en los indicadores de capacidad financiera, como el índice de liquidez, es posible obtener resultados incomprensibles cuando el denominador </w:t>
      </w:r>
      <w:r w:rsidRPr="004505A6">
        <w:rPr>
          <w:rFonts w:ascii="Verdana" w:eastAsia="Geomanist Light" w:hAnsi="Verdana" w:cs="Arial"/>
          <w:color w:val="000000" w:themeColor="text1"/>
          <w:sz w:val="20"/>
          <w:szCs w:val="20"/>
        </w:rPr>
        <w:lastRenderedPageBreak/>
        <w:t>es igual a cero, lo que podría dar lugar a que el resultado sea indeterminado.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w:t>
      </w:r>
    </w:p>
    <w:p w14:paraId="712E927A"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p>
    <w:p w14:paraId="22B6475D"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p>
    <w:p w14:paraId="45DC7202" w14:textId="77777777" w:rsidR="004505A6" w:rsidRPr="004505A6" w:rsidRDefault="004505A6" w:rsidP="004505A6">
      <w:pPr>
        <w:spacing w:after="0" w:line="240" w:lineRule="auto"/>
        <w:jc w:val="both"/>
        <w:rPr>
          <w:rFonts w:ascii="Verdana" w:eastAsia="Geomanist Light" w:hAnsi="Verdana" w:cs="Arial"/>
          <w:color w:val="000000" w:themeColor="text1"/>
          <w:sz w:val="20"/>
          <w:szCs w:val="20"/>
        </w:rPr>
      </w:pPr>
    </w:p>
    <w:p w14:paraId="350E8B8C" w14:textId="77777777" w:rsidR="004505A6" w:rsidRPr="004505A6" w:rsidRDefault="004505A6" w:rsidP="004505A6">
      <w:pPr>
        <w:spacing w:after="0" w:line="240" w:lineRule="auto"/>
        <w:rPr>
          <w:rFonts w:ascii="Verdana" w:eastAsia="Geomanist Light" w:hAnsi="Verdana" w:cs="Arial"/>
          <w:color w:val="000000" w:themeColor="text1"/>
        </w:rPr>
      </w:pPr>
    </w:p>
    <w:p w14:paraId="0A0C4504" w14:textId="77777777" w:rsidR="004505A6" w:rsidRPr="004505A6" w:rsidRDefault="004505A6" w:rsidP="004505A6">
      <w:pPr>
        <w:spacing w:after="0" w:line="240" w:lineRule="auto"/>
        <w:rPr>
          <w:rFonts w:ascii="Verdana" w:eastAsia="Geomanist Light" w:hAnsi="Verdana" w:cs="Arial"/>
          <w:color w:val="000000" w:themeColor="text1"/>
        </w:rPr>
      </w:pPr>
    </w:p>
    <w:p w14:paraId="13C0650D" w14:textId="77777777" w:rsidR="004505A6" w:rsidRPr="004505A6" w:rsidRDefault="004505A6" w:rsidP="004505A6">
      <w:pPr>
        <w:spacing w:after="0" w:line="240" w:lineRule="auto"/>
        <w:rPr>
          <w:rFonts w:ascii="Verdana" w:eastAsia="Geomanist Light" w:hAnsi="Verdana" w:cs="Arial"/>
          <w:color w:val="000000" w:themeColor="text1"/>
        </w:rPr>
      </w:pPr>
    </w:p>
    <w:p w14:paraId="56F158D9" w14:textId="77777777" w:rsidR="004505A6" w:rsidRPr="004505A6" w:rsidRDefault="004505A6" w:rsidP="004505A6">
      <w:pPr>
        <w:spacing w:after="0" w:line="240" w:lineRule="auto"/>
        <w:rPr>
          <w:rFonts w:ascii="Verdana" w:eastAsia="Geomanist Light" w:hAnsi="Verdana" w:cs="Arial"/>
          <w:color w:val="000000" w:themeColor="text1"/>
        </w:rPr>
      </w:pPr>
    </w:p>
    <w:p w14:paraId="03EA4E5C" w14:textId="77777777" w:rsidR="004505A6" w:rsidRPr="004505A6" w:rsidRDefault="004505A6" w:rsidP="004505A6">
      <w:pPr>
        <w:spacing w:after="0" w:line="240" w:lineRule="auto"/>
        <w:rPr>
          <w:rFonts w:ascii="Verdana" w:eastAsia="Geomanist Light" w:hAnsi="Verdana" w:cs="Arial"/>
          <w:color w:val="000000" w:themeColor="text1"/>
        </w:rPr>
      </w:pPr>
    </w:p>
    <w:p w14:paraId="4ECCC483" w14:textId="77777777" w:rsidR="004505A6" w:rsidRPr="004505A6" w:rsidRDefault="004505A6" w:rsidP="004505A6">
      <w:pPr>
        <w:spacing w:after="0" w:line="240" w:lineRule="auto"/>
        <w:rPr>
          <w:rFonts w:ascii="Verdana" w:eastAsia="Geomanist Light" w:hAnsi="Verdana" w:cs="Arial"/>
          <w:color w:val="000000" w:themeColor="text1"/>
        </w:rPr>
      </w:pPr>
    </w:p>
    <w:p w14:paraId="209BAC0F" w14:textId="77777777" w:rsidR="004505A6" w:rsidRPr="004505A6" w:rsidRDefault="004505A6" w:rsidP="004505A6">
      <w:pPr>
        <w:spacing w:after="0" w:line="240" w:lineRule="auto"/>
        <w:rPr>
          <w:rFonts w:ascii="Verdana" w:eastAsia="Geomanist Light" w:hAnsi="Verdana" w:cs="Arial"/>
          <w:color w:val="000000" w:themeColor="text1"/>
        </w:rPr>
      </w:pPr>
    </w:p>
    <w:p w14:paraId="0F248675" w14:textId="77777777" w:rsidR="004505A6" w:rsidRPr="004505A6" w:rsidRDefault="004505A6" w:rsidP="004505A6">
      <w:pPr>
        <w:spacing w:after="0" w:line="240" w:lineRule="auto"/>
        <w:rPr>
          <w:rFonts w:ascii="Verdana" w:eastAsia="Geomanist Light" w:hAnsi="Verdana" w:cs="Arial"/>
          <w:color w:val="000000" w:themeColor="text1"/>
        </w:rPr>
      </w:pPr>
    </w:p>
    <w:p w14:paraId="0746E32A" w14:textId="77777777" w:rsidR="004505A6" w:rsidRPr="004505A6" w:rsidRDefault="004505A6" w:rsidP="004505A6">
      <w:pPr>
        <w:spacing w:after="0" w:line="240" w:lineRule="auto"/>
        <w:rPr>
          <w:rFonts w:ascii="Verdana" w:eastAsia="Geomanist Light" w:hAnsi="Verdana" w:cs="Arial"/>
          <w:color w:val="000000" w:themeColor="text1"/>
        </w:rPr>
      </w:pPr>
    </w:p>
    <w:p w14:paraId="45857FA0" w14:textId="77777777" w:rsidR="004505A6" w:rsidRPr="004505A6" w:rsidRDefault="004505A6" w:rsidP="004505A6">
      <w:pPr>
        <w:spacing w:after="0" w:line="240" w:lineRule="auto"/>
        <w:rPr>
          <w:rFonts w:ascii="Verdana" w:eastAsia="Geomanist Light" w:hAnsi="Verdana" w:cs="Arial"/>
          <w:color w:val="000000" w:themeColor="text1"/>
        </w:rPr>
      </w:pPr>
    </w:p>
    <w:p w14:paraId="2D7DEDE6" w14:textId="77777777" w:rsidR="004505A6" w:rsidRPr="004505A6" w:rsidRDefault="004505A6" w:rsidP="004505A6">
      <w:pPr>
        <w:spacing w:after="0" w:line="240" w:lineRule="auto"/>
        <w:rPr>
          <w:rFonts w:ascii="Verdana" w:eastAsia="Geomanist Light" w:hAnsi="Verdana" w:cs="Arial"/>
          <w:color w:val="000000" w:themeColor="text1"/>
        </w:rPr>
      </w:pPr>
    </w:p>
    <w:p w14:paraId="531C630D" w14:textId="77777777" w:rsidR="004505A6" w:rsidRPr="004505A6" w:rsidRDefault="004505A6" w:rsidP="004505A6">
      <w:pPr>
        <w:spacing w:after="0" w:line="240" w:lineRule="auto"/>
        <w:rPr>
          <w:rFonts w:ascii="Verdana" w:eastAsia="Geomanist Light" w:hAnsi="Verdana" w:cs="Arial"/>
          <w:color w:val="000000" w:themeColor="text1"/>
        </w:rPr>
      </w:pPr>
    </w:p>
    <w:p w14:paraId="0310C30B" w14:textId="77777777" w:rsidR="004505A6" w:rsidRPr="004505A6" w:rsidRDefault="004505A6" w:rsidP="004505A6">
      <w:pPr>
        <w:spacing w:after="0" w:line="240" w:lineRule="auto"/>
        <w:rPr>
          <w:rFonts w:ascii="Verdana" w:eastAsia="Geomanist Light" w:hAnsi="Verdana" w:cs="Arial"/>
          <w:color w:val="000000" w:themeColor="text1"/>
        </w:rPr>
      </w:pPr>
    </w:p>
    <w:p w14:paraId="35171DE4" w14:textId="77777777" w:rsidR="004505A6" w:rsidRPr="004505A6" w:rsidRDefault="004505A6" w:rsidP="004505A6">
      <w:pPr>
        <w:spacing w:after="0" w:line="240" w:lineRule="auto"/>
        <w:rPr>
          <w:rFonts w:ascii="Verdana" w:eastAsia="Geomanist Light" w:hAnsi="Verdana" w:cs="Arial"/>
          <w:color w:val="000000" w:themeColor="text1"/>
        </w:rPr>
      </w:pPr>
    </w:p>
    <w:p w14:paraId="52E283B4" w14:textId="77777777" w:rsidR="004505A6" w:rsidRPr="004505A6" w:rsidRDefault="004505A6" w:rsidP="004505A6">
      <w:pPr>
        <w:spacing w:after="0" w:line="240" w:lineRule="auto"/>
        <w:rPr>
          <w:rFonts w:ascii="Verdana" w:eastAsia="Geomanist Light" w:hAnsi="Verdana" w:cs="Arial"/>
          <w:color w:val="000000" w:themeColor="text1"/>
        </w:rPr>
      </w:pPr>
    </w:p>
    <w:p w14:paraId="56E372FF" w14:textId="77777777" w:rsidR="004505A6" w:rsidRPr="004505A6" w:rsidRDefault="004505A6" w:rsidP="004505A6">
      <w:pPr>
        <w:spacing w:after="0" w:line="240" w:lineRule="auto"/>
        <w:rPr>
          <w:rFonts w:ascii="Verdana" w:eastAsia="Geomanist Light" w:hAnsi="Verdana" w:cs="Arial"/>
          <w:color w:val="000000" w:themeColor="text1"/>
        </w:rPr>
      </w:pPr>
    </w:p>
    <w:p w14:paraId="6EBF7BF9" w14:textId="77777777" w:rsidR="004505A6" w:rsidRPr="004505A6" w:rsidRDefault="004505A6" w:rsidP="004505A6">
      <w:pPr>
        <w:spacing w:after="0" w:line="240" w:lineRule="auto"/>
        <w:rPr>
          <w:rFonts w:ascii="Verdana" w:eastAsia="Geomanist Light" w:hAnsi="Verdana" w:cs="Arial"/>
          <w:color w:val="000000" w:themeColor="text1"/>
        </w:rPr>
      </w:pPr>
    </w:p>
    <w:p w14:paraId="4303E968" w14:textId="77777777" w:rsidR="004505A6" w:rsidRPr="004505A6" w:rsidRDefault="004505A6" w:rsidP="004505A6">
      <w:pPr>
        <w:spacing w:after="0" w:line="240" w:lineRule="auto"/>
        <w:rPr>
          <w:rFonts w:ascii="Verdana" w:eastAsia="Geomanist Light" w:hAnsi="Verdana" w:cs="Arial"/>
          <w:color w:val="000000" w:themeColor="text1"/>
        </w:rPr>
      </w:pPr>
    </w:p>
    <w:p w14:paraId="081E0EA1" w14:textId="77777777" w:rsidR="004505A6" w:rsidRPr="004505A6" w:rsidRDefault="004505A6" w:rsidP="004505A6">
      <w:pPr>
        <w:spacing w:after="0" w:line="240" w:lineRule="auto"/>
        <w:rPr>
          <w:rFonts w:ascii="Verdana" w:eastAsia="Geomanist Light" w:hAnsi="Verdana" w:cs="Arial"/>
          <w:color w:val="000000" w:themeColor="text1"/>
        </w:rPr>
      </w:pPr>
    </w:p>
    <w:p w14:paraId="0423F3C9" w14:textId="77777777" w:rsidR="004505A6" w:rsidRPr="004505A6" w:rsidRDefault="004505A6" w:rsidP="004505A6">
      <w:pPr>
        <w:spacing w:after="0" w:line="240" w:lineRule="auto"/>
        <w:rPr>
          <w:rFonts w:ascii="Verdana" w:eastAsia="Geomanist Light" w:hAnsi="Verdana" w:cs="Arial"/>
          <w:color w:val="000000" w:themeColor="text1"/>
        </w:rPr>
      </w:pPr>
    </w:p>
    <w:p w14:paraId="724C0975" w14:textId="77777777" w:rsidR="004505A6" w:rsidRPr="004505A6" w:rsidRDefault="004505A6" w:rsidP="004505A6">
      <w:pPr>
        <w:spacing w:after="0" w:line="240" w:lineRule="auto"/>
        <w:rPr>
          <w:rFonts w:ascii="Verdana" w:eastAsia="Geomanist Light" w:hAnsi="Verdana" w:cs="Arial"/>
          <w:color w:val="000000" w:themeColor="text1"/>
        </w:rPr>
      </w:pPr>
    </w:p>
    <w:p w14:paraId="6A13CA7B" w14:textId="77777777" w:rsidR="004505A6" w:rsidRPr="004505A6" w:rsidRDefault="004505A6" w:rsidP="004505A6">
      <w:pPr>
        <w:spacing w:after="0" w:line="240" w:lineRule="auto"/>
        <w:rPr>
          <w:rFonts w:ascii="Verdana" w:eastAsia="Geomanist Light" w:hAnsi="Verdana" w:cs="Arial"/>
          <w:color w:val="000000" w:themeColor="text1"/>
        </w:rPr>
      </w:pPr>
    </w:p>
    <w:p w14:paraId="144BCFFD" w14:textId="77777777" w:rsidR="004505A6" w:rsidRPr="004505A6" w:rsidRDefault="004505A6" w:rsidP="004505A6">
      <w:pPr>
        <w:spacing w:after="0" w:line="240" w:lineRule="auto"/>
        <w:rPr>
          <w:rFonts w:ascii="Verdana" w:eastAsia="Geomanist Light" w:hAnsi="Verdana" w:cs="Arial"/>
          <w:color w:val="000000" w:themeColor="text1"/>
        </w:rPr>
      </w:pPr>
    </w:p>
    <w:p w14:paraId="3B76E7B0" w14:textId="77777777" w:rsidR="004505A6" w:rsidRPr="004505A6" w:rsidRDefault="004505A6" w:rsidP="004505A6">
      <w:pPr>
        <w:spacing w:after="0" w:line="240" w:lineRule="auto"/>
        <w:rPr>
          <w:rFonts w:ascii="Verdana" w:eastAsia="Geomanist Light" w:hAnsi="Verdana" w:cs="Arial"/>
          <w:color w:val="000000" w:themeColor="text1"/>
        </w:rPr>
      </w:pPr>
    </w:p>
    <w:p w14:paraId="5BA32F6A" w14:textId="77777777" w:rsidR="004505A6" w:rsidRPr="004505A6" w:rsidRDefault="004505A6" w:rsidP="004505A6">
      <w:pPr>
        <w:spacing w:after="0" w:line="240" w:lineRule="auto"/>
        <w:rPr>
          <w:rFonts w:ascii="Verdana" w:eastAsia="Geomanist Light" w:hAnsi="Verdana" w:cs="Arial"/>
          <w:color w:val="000000" w:themeColor="text1"/>
        </w:rPr>
      </w:pPr>
    </w:p>
    <w:p w14:paraId="1E5EE59A" w14:textId="77777777" w:rsidR="004505A6" w:rsidRPr="004505A6" w:rsidRDefault="004505A6" w:rsidP="004505A6">
      <w:pPr>
        <w:spacing w:after="0" w:line="240" w:lineRule="auto"/>
        <w:rPr>
          <w:rFonts w:ascii="Verdana" w:eastAsia="Geomanist Light" w:hAnsi="Verdana" w:cs="Arial"/>
          <w:color w:val="000000" w:themeColor="text1"/>
        </w:rPr>
      </w:pPr>
    </w:p>
    <w:p w14:paraId="399B1498" w14:textId="77777777" w:rsidR="004505A6" w:rsidRPr="004505A6" w:rsidRDefault="004505A6" w:rsidP="004505A6">
      <w:pPr>
        <w:spacing w:after="0" w:line="240" w:lineRule="auto"/>
        <w:rPr>
          <w:rFonts w:ascii="Verdana" w:eastAsia="Geomanist Light" w:hAnsi="Verdana" w:cs="Arial"/>
          <w:color w:val="000000" w:themeColor="text1"/>
        </w:rPr>
      </w:pPr>
    </w:p>
    <w:p w14:paraId="0D71E848" w14:textId="77777777" w:rsidR="004505A6" w:rsidRPr="004505A6" w:rsidRDefault="004505A6" w:rsidP="004505A6">
      <w:pPr>
        <w:spacing w:after="0" w:line="240" w:lineRule="auto"/>
        <w:rPr>
          <w:rFonts w:ascii="Verdana" w:eastAsia="Geomanist Light" w:hAnsi="Verdana" w:cs="Arial"/>
          <w:color w:val="000000" w:themeColor="text1"/>
        </w:rPr>
      </w:pPr>
    </w:p>
    <w:p w14:paraId="65E8DC8F" w14:textId="77777777" w:rsidR="004505A6" w:rsidRPr="004505A6" w:rsidRDefault="004505A6" w:rsidP="004505A6">
      <w:pPr>
        <w:spacing w:after="0" w:line="240" w:lineRule="auto"/>
        <w:rPr>
          <w:rFonts w:ascii="Verdana" w:eastAsia="Geomanist Light" w:hAnsi="Verdana" w:cs="Arial"/>
          <w:color w:val="000000" w:themeColor="text1"/>
        </w:rPr>
      </w:pPr>
    </w:p>
    <w:p w14:paraId="316241F3" w14:textId="77777777" w:rsidR="004505A6" w:rsidRPr="004505A6" w:rsidRDefault="004505A6" w:rsidP="004505A6">
      <w:pPr>
        <w:spacing w:after="0" w:line="240" w:lineRule="auto"/>
        <w:rPr>
          <w:rFonts w:ascii="Verdana" w:eastAsia="Geomanist Light" w:hAnsi="Verdana" w:cs="Arial"/>
          <w:color w:val="000000" w:themeColor="text1"/>
        </w:rPr>
      </w:pPr>
    </w:p>
    <w:p w14:paraId="2188E59D" w14:textId="77777777" w:rsidR="004505A6" w:rsidRPr="004505A6" w:rsidRDefault="004505A6" w:rsidP="004505A6">
      <w:pPr>
        <w:spacing w:after="0" w:line="240" w:lineRule="auto"/>
        <w:rPr>
          <w:rFonts w:ascii="Verdana" w:eastAsia="Geomanist Light" w:hAnsi="Verdana" w:cs="Arial"/>
          <w:color w:val="000000" w:themeColor="text1"/>
        </w:rPr>
      </w:pPr>
    </w:p>
    <w:p w14:paraId="1BDD85D0" w14:textId="77777777" w:rsidR="004505A6" w:rsidRPr="004505A6" w:rsidRDefault="004505A6" w:rsidP="004505A6">
      <w:pPr>
        <w:spacing w:after="0" w:line="240" w:lineRule="auto"/>
        <w:rPr>
          <w:rFonts w:ascii="Verdana" w:eastAsia="Geomanist Light" w:hAnsi="Verdana" w:cs="Arial"/>
          <w:color w:val="000000" w:themeColor="text1"/>
        </w:rPr>
      </w:pPr>
    </w:p>
    <w:p w14:paraId="1C6344DF" w14:textId="77777777" w:rsidR="004505A6" w:rsidRPr="004505A6" w:rsidRDefault="004505A6" w:rsidP="004505A6">
      <w:pPr>
        <w:spacing w:after="0" w:line="240" w:lineRule="auto"/>
        <w:rPr>
          <w:rFonts w:ascii="Verdana" w:eastAsia="Geomanist Light" w:hAnsi="Verdana" w:cs="Arial"/>
          <w:color w:val="000000" w:themeColor="text1"/>
        </w:rPr>
      </w:pPr>
    </w:p>
    <w:p w14:paraId="039DF43A" w14:textId="77777777" w:rsidR="00E570F3" w:rsidRDefault="00E570F3" w:rsidP="004505A6">
      <w:pPr>
        <w:spacing w:after="0" w:line="240" w:lineRule="auto"/>
        <w:rPr>
          <w:rFonts w:ascii="Verdana" w:eastAsia="Geomanist Light" w:hAnsi="Verdana" w:cs="Arial"/>
          <w:color w:val="000000" w:themeColor="text1"/>
        </w:rPr>
      </w:pPr>
    </w:p>
    <w:p w14:paraId="2755DD5B" w14:textId="624DA843" w:rsidR="004505A6" w:rsidRDefault="00883981" w:rsidP="004505A6">
      <w:pPr>
        <w:spacing w:after="0" w:line="240" w:lineRule="auto"/>
        <w:rPr>
          <w:rFonts w:ascii="Verdana" w:eastAsia="Geomanist Light" w:hAnsi="Verdana" w:cs="Arial"/>
          <w:color w:val="201F1E"/>
        </w:rPr>
      </w:pPr>
      <w:r w:rsidRPr="00883981">
        <w:rPr>
          <w:rFonts w:ascii="Verdana" w:eastAsia="Calibri" w:hAnsi="Verdana" w:cs="Arial"/>
          <w:noProof/>
          <w:color w:val="000000"/>
        </w:rPr>
        <w:lastRenderedPageBreak/>
        <w:drawing>
          <wp:anchor distT="0" distB="0" distL="114300" distR="114300" simplePos="0" relativeHeight="251658240" behindDoc="0" locked="0" layoutInCell="1" allowOverlap="1" wp14:anchorId="356F8FD9" wp14:editId="6CD00490">
            <wp:simplePos x="0" y="0"/>
            <wp:positionH relativeFrom="column">
              <wp:posOffset>3354705</wp:posOffset>
            </wp:positionH>
            <wp:positionV relativeFrom="paragraph">
              <wp:posOffset>0</wp:posOffset>
            </wp:positionV>
            <wp:extent cx="2186940" cy="800100"/>
            <wp:effectExtent l="0" t="0" r="3810" b="0"/>
            <wp:wrapSquare wrapText="bothSides"/>
            <wp:docPr id="20871122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694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05A6" w:rsidRPr="004505A6">
        <w:rPr>
          <w:rFonts w:ascii="Verdana" w:eastAsia="Geomanist Light" w:hAnsi="Verdana" w:cs="Arial"/>
          <w:color w:val="000000" w:themeColor="text1"/>
        </w:rPr>
        <w:t>Bogotá D.C., </w:t>
      </w:r>
      <w:r w:rsidR="005A26E0">
        <w:rPr>
          <w:rFonts w:ascii="Verdana" w:eastAsia="Geomanist Light" w:hAnsi="Verdana" w:cs="Arial"/>
          <w:color w:val="201F1E"/>
        </w:rPr>
        <w:t>6 de abril de 2026</w:t>
      </w:r>
    </w:p>
    <w:p w14:paraId="42287DC5" w14:textId="31F38AF3" w:rsidR="00883981" w:rsidRPr="004505A6" w:rsidRDefault="00883981" w:rsidP="004505A6">
      <w:pPr>
        <w:spacing w:after="0" w:line="240" w:lineRule="auto"/>
        <w:rPr>
          <w:rFonts w:ascii="Verdana" w:eastAsia="Geomanist Light" w:hAnsi="Verdana" w:cs="Arial"/>
          <w:color w:val="201F1E"/>
        </w:rPr>
      </w:pPr>
    </w:p>
    <w:p w14:paraId="2419A455" w14:textId="66F1B8DB" w:rsidR="004505A6" w:rsidRDefault="004505A6" w:rsidP="00883981">
      <w:pPr>
        <w:spacing w:after="0" w:line="240" w:lineRule="auto"/>
        <w:jc w:val="right"/>
        <w:rPr>
          <w:rFonts w:ascii="Verdana" w:eastAsia="Calibri" w:hAnsi="Verdana" w:cs="Arial"/>
          <w:color w:val="000000"/>
        </w:rPr>
      </w:pPr>
    </w:p>
    <w:p w14:paraId="5A696993" w14:textId="77777777" w:rsidR="00883981" w:rsidRDefault="00883981" w:rsidP="004505A6">
      <w:pPr>
        <w:spacing w:after="0" w:line="240" w:lineRule="auto"/>
        <w:jc w:val="both"/>
        <w:rPr>
          <w:rFonts w:ascii="Verdana" w:eastAsia="Calibri" w:hAnsi="Verdana" w:cs="Arial"/>
          <w:color w:val="000000"/>
        </w:rPr>
      </w:pPr>
    </w:p>
    <w:p w14:paraId="4E641CAC" w14:textId="66975DFB" w:rsidR="00883981" w:rsidRPr="004505A6" w:rsidRDefault="00883981" w:rsidP="00883981">
      <w:pPr>
        <w:spacing w:after="0" w:line="240" w:lineRule="auto"/>
        <w:jc w:val="right"/>
        <w:rPr>
          <w:rFonts w:ascii="Verdana" w:eastAsia="Calibri" w:hAnsi="Verdana" w:cs="Arial"/>
          <w:color w:val="000000"/>
        </w:rPr>
      </w:pPr>
    </w:p>
    <w:p w14:paraId="06C2142B" w14:textId="1C0442C0" w:rsidR="004505A6" w:rsidRPr="004505A6" w:rsidRDefault="00883981" w:rsidP="004505A6">
      <w:pPr>
        <w:spacing w:after="0" w:line="240" w:lineRule="auto"/>
        <w:jc w:val="both"/>
        <w:rPr>
          <w:rFonts w:ascii="Verdana" w:eastAsia="Calibri" w:hAnsi="Verdana" w:cs="Arial"/>
          <w:color w:val="000000"/>
        </w:rPr>
      </w:pPr>
      <w:r w:rsidRPr="00883981">
        <w:rPr>
          <w:rFonts w:ascii="Verdana" w:eastAsia="Calibri" w:hAnsi="Verdana" w:cs="Arial"/>
          <w:noProof/>
          <w:color w:val="000000"/>
        </w:rPr>
        <w:drawing>
          <wp:anchor distT="0" distB="0" distL="114300" distR="114300" simplePos="0" relativeHeight="251659264" behindDoc="0" locked="0" layoutInCell="1" allowOverlap="1" wp14:anchorId="036B4379" wp14:editId="3AB491BA">
            <wp:simplePos x="0" y="0"/>
            <wp:positionH relativeFrom="column">
              <wp:posOffset>3354705</wp:posOffset>
            </wp:positionH>
            <wp:positionV relativeFrom="paragraph">
              <wp:posOffset>49530</wp:posOffset>
            </wp:positionV>
            <wp:extent cx="2194560" cy="716280"/>
            <wp:effectExtent l="0" t="0" r="0" b="7620"/>
            <wp:wrapSquare wrapText="bothSides"/>
            <wp:docPr id="198843508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4560" cy="716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8C6D71" w14:textId="5D297F44" w:rsidR="004505A6" w:rsidRPr="004505A6" w:rsidRDefault="004505A6" w:rsidP="004505A6">
      <w:pPr>
        <w:spacing w:after="0" w:line="240" w:lineRule="auto"/>
        <w:jc w:val="both"/>
        <w:rPr>
          <w:rFonts w:ascii="Verdana" w:eastAsia="Calibri" w:hAnsi="Verdana" w:cs="Arial"/>
          <w:lang w:eastAsia="es-ES"/>
        </w:rPr>
      </w:pPr>
      <w:r w:rsidRPr="004505A6">
        <w:rPr>
          <w:rFonts w:ascii="Verdana" w:eastAsia="Calibri" w:hAnsi="Verdana" w:cs="Arial"/>
          <w:lang w:eastAsia="es-ES"/>
        </w:rPr>
        <w:t>Señor</w:t>
      </w:r>
    </w:p>
    <w:p w14:paraId="4C4F6E41" w14:textId="6072DD9B" w:rsidR="004505A6" w:rsidRPr="004505A6" w:rsidRDefault="004505A6" w:rsidP="004505A6">
      <w:pPr>
        <w:spacing w:after="0" w:line="240" w:lineRule="auto"/>
        <w:rPr>
          <w:rFonts w:ascii="Verdana" w:eastAsia="Calibri" w:hAnsi="Verdana" w:cs="Arial"/>
          <w:b/>
          <w:lang w:eastAsia="es-ES"/>
        </w:rPr>
      </w:pPr>
      <w:r w:rsidRPr="004505A6">
        <w:rPr>
          <w:rFonts w:ascii="Verdana" w:eastAsia="Calibri" w:hAnsi="Verdana" w:cs="Arial"/>
          <w:b/>
          <w:lang w:eastAsia="es-ES"/>
        </w:rPr>
        <w:t>Lenys Enrique Aguirre</w:t>
      </w:r>
    </w:p>
    <w:p w14:paraId="1E45842A" w14:textId="770D3DCD" w:rsidR="004505A6" w:rsidRPr="004505A6" w:rsidRDefault="004505A6" w:rsidP="004505A6">
      <w:pPr>
        <w:spacing w:after="0" w:line="240" w:lineRule="auto"/>
        <w:rPr>
          <w:rFonts w:ascii="Verdana" w:eastAsia="Calibri" w:hAnsi="Verdana" w:cs="Arial"/>
          <w:bCs/>
          <w:lang w:eastAsia="es-ES"/>
        </w:rPr>
      </w:pPr>
      <w:r w:rsidRPr="004505A6">
        <w:rPr>
          <w:rFonts w:ascii="Verdana" w:eastAsia="Calibri" w:hAnsi="Verdana" w:cs="Arial"/>
          <w:bCs/>
          <w:lang w:eastAsia="es-ES"/>
        </w:rPr>
        <w:t xml:space="preserve">Representante legal </w:t>
      </w:r>
    </w:p>
    <w:p w14:paraId="6BEBFCD9" w14:textId="77777777" w:rsidR="004505A6" w:rsidRPr="004505A6" w:rsidRDefault="004505A6" w:rsidP="004505A6">
      <w:pPr>
        <w:spacing w:after="0" w:line="240" w:lineRule="auto"/>
        <w:rPr>
          <w:rFonts w:ascii="Verdana" w:eastAsia="Calibri" w:hAnsi="Verdana" w:cs="Arial"/>
          <w:b/>
          <w:lang w:eastAsia="es-ES"/>
        </w:rPr>
      </w:pPr>
      <w:r w:rsidRPr="004505A6">
        <w:rPr>
          <w:rFonts w:ascii="Verdana" w:eastAsia="Calibri" w:hAnsi="Verdana" w:cs="Arial"/>
          <w:b/>
          <w:lang w:eastAsia="es-ES"/>
        </w:rPr>
        <w:t xml:space="preserve">Fundación Unidos por el Mañana de Colombia </w:t>
      </w:r>
    </w:p>
    <w:p w14:paraId="574FF682" w14:textId="77777777" w:rsidR="004505A6" w:rsidRPr="004505A6" w:rsidRDefault="004505A6" w:rsidP="004505A6">
      <w:pPr>
        <w:spacing w:after="0" w:line="240" w:lineRule="auto"/>
        <w:rPr>
          <w:rFonts w:ascii="Verdana" w:eastAsia="Calibri" w:hAnsi="Verdana" w:cs="Arial"/>
          <w:bCs/>
          <w:lang w:eastAsia="es-ES"/>
        </w:rPr>
      </w:pPr>
      <w:hyperlink r:id="rId13" w:history="1">
        <w:r w:rsidRPr="004505A6">
          <w:rPr>
            <w:rFonts w:ascii="Verdana" w:hAnsi="Verdana"/>
            <w:color w:val="0563C1" w:themeColor="hyperlink"/>
            <w:u w:val="single"/>
          </w:rPr>
          <w:t>unidosporcolombia17@gmail.com</w:t>
        </w:r>
      </w:hyperlink>
      <w:r w:rsidRPr="004505A6">
        <w:rPr>
          <w:rFonts w:ascii="Verdana" w:hAnsi="Verdana"/>
        </w:rPr>
        <w:t xml:space="preserve"> </w:t>
      </w:r>
    </w:p>
    <w:p w14:paraId="31B0C5CD" w14:textId="77777777" w:rsidR="004505A6" w:rsidRPr="004505A6" w:rsidRDefault="004505A6" w:rsidP="004505A6">
      <w:pPr>
        <w:spacing w:after="0" w:line="240" w:lineRule="auto"/>
        <w:rPr>
          <w:rFonts w:ascii="Verdana" w:eastAsia="Calibri" w:hAnsi="Verdana" w:cs="Arial"/>
          <w:lang w:eastAsia="es-ES"/>
        </w:rPr>
      </w:pPr>
      <w:r w:rsidRPr="004505A6">
        <w:rPr>
          <w:rFonts w:ascii="Verdana" w:eastAsia="Calibri" w:hAnsi="Verdana" w:cs="Arial"/>
          <w:lang w:eastAsia="es-ES"/>
        </w:rPr>
        <w:t xml:space="preserve">Bogotá D.C. </w:t>
      </w:r>
    </w:p>
    <w:p w14:paraId="65A10484" w14:textId="77777777" w:rsidR="004505A6" w:rsidRPr="004505A6" w:rsidRDefault="004505A6" w:rsidP="004505A6">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05A6" w:rsidRPr="004505A6" w14:paraId="4554A8FA" w14:textId="77777777" w:rsidTr="006C22F9">
        <w:trPr>
          <w:trHeight w:val="630"/>
        </w:trPr>
        <w:tc>
          <w:tcPr>
            <w:tcW w:w="2689" w:type="dxa"/>
          </w:tcPr>
          <w:p w14:paraId="6D371AE3" w14:textId="77777777" w:rsidR="004505A6" w:rsidRPr="004505A6" w:rsidRDefault="004505A6" w:rsidP="004505A6">
            <w:pPr>
              <w:jc w:val="both"/>
              <w:rPr>
                <w:rFonts w:ascii="Verdana" w:eastAsia="Calibri" w:hAnsi="Verdana" w:cs="Arial"/>
                <w:b/>
                <w:bCs/>
                <w:color w:val="7030A0"/>
                <w:lang w:eastAsia="es-ES_tradnl"/>
              </w:rPr>
            </w:pPr>
          </w:p>
        </w:tc>
        <w:tc>
          <w:tcPr>
            <w:tcW w:w="6100" w:type="dxa"/>
          </w:tcPr>
          <w:p w14:paraId="760F559F" w14:textId="77777777" w:rsidR="004505A6" w:rsidRPr="004505A6" w:rsidRDefault="004505A6" w:rsidP="004505A6">
            <w:pPr>
              <w:jc w:val="both"/>
              <w:rPr>
                <w:rFonts w:ascii="Verdana" w:eastAsia="Calibri" w:hAnsi="Verdana" w:cs="Arial"/>
                <w:b/>
                <w:bCs/>
                <w:lang w:eastAsia="es-ES"/>
              </w:rPr>
            </w:pPr>
            <w:r w:rsidRPr="004505A6">
              <w:rPr>
                <w:rFonts w:ascii="Verdana" w:eastAsia="Calibri" w:hAnsi="Verdana" w:cs="Arial"/>
                <w:b/>
                <w:bCs/>
                <w:lang w:eastAsia="es-ES"/>
              </w:rPr>
              <w:t>Concepto C – 353 de 2026</w:t>
            </w:r>
          </w:p>
        </w:tc>
      </w:tr>
      <w:tr w:rsidR="004505A6" w:rsidRPr="004505A6" w14:paraId="70712283" w14:textId="77777777" w:rsidTr="006C22F9">
        <w:trPr>
          <w:trHeight w:val="884"/>
        </w:trPr>
        <w:tc>
          <w:tcPr>
            <w:tcW w:w="2689" w:type="dxa"/>
          </w:tcPr>
          <w:p w14:paraId="5BE34E2B" w14:textId="77777777" w:rsidR="004505A6" w:rsidRPr="004505A6" w:rsidRDefault="004505A6" w:rsidP="004505A6">
            <w:pPr>
              <w:jc w:val="both"/>
              <w:rPr>
                <w:rFonts w:ascii="Verdana" w:eastAsia="Calibri" w:hAnsi="Verdana" w:cs="Arial"/>
                <w:color w:val="000000"/>
                <w:lang w:eastAsia="es-ES_tradnl"/>
              </w:rPr>
            </w:pPr>
            <w:r w:rsidRPr="004505A6">
              <w:rPr>
                <w:rFonts w:ascii="Verdana" w:eastAsia="Calibri" w:hAnsi="Verdana" w:cs="Arial"/>
                <w:b/>
                <w:color w:val="000000"/>
                <w:lang w:eastAsia="es-ES_tradnl"/>
              </w:rPr>
              <w:t>Temas:</w:t>
            </w:r>
            <w:r w:rsidRPr="004505A6">
              <w:rPr>
                <w:rFonts w:ascii="Verdana" w:eastAsia="Calibri" w:hAnsi="Verdana" w:cs="Arial"/>
                <w:color w:val="000000"/>
                <w:lang w:eastAsia="es-ES_tradnl"/>
              </w:rPr>
              <w:t xml:space="preserve">                   </w:t>
            </w:r>
          </w:p>
        </w:tc>
        <w:tc>
          <w:tcPr>
            <w:tcW w:w="6100" w:type="dxa"/>
          </w:tcPr>
          <w:p w14:paraId="3A3AAF2C" w14:textId="77777777" w:rsidR="004505A6" w:rsidRPr="004505A6" w:rsidRDefault="004505A6" w:rsidP="004505A6">
            <w:pPr>
              <w:spacing w:line="276" w:lineRule="auto"/>
              <w:jc w:val="both"/>
              <w:rPr>
                <w:rFonts w:ascii="Verdana" w:eastAsia="Calibri" w:hAnsi="Verdana" w:cs="Arial"/>
                <w:bCs/>
                <w:lang w:val="es-MX" w:eastAsia="es-ES_tradnl"/>
              </w:rPr>
            </w:pPr>
            <w:r w:rsidRPr="004505A6">
              <w:rPr>
                <w:rFonts w:ascii="Verdana" w:eastAsia="Calibri" w:hAnsi="Verdana" w:cs="Arial"/>
                <w:bCs/>
                <w:lang w:val="es-MX" w:eastAsia="es-ES_tradnl"/>
              </w:rPr>
              <w:t xml:space="preserve">REQUISITOS HABILITANTES – Capacidad financiera – Autonomía / CAPACIDAD FINANCIERA – Acreditación –– Manual para determinar los requisitos habilitantes </w:t>
            </w:r>
            <w:r w:rsidRPr="004505A6">
              <w:rPr>
                <w:rFonts w:ascii="Verdana" w:eastAsia="Calibri" w:hAnsi="Verdana" w:cs="Arial"/>
                <w:bCs/>
              </w:rPr>
              <w:t xml:space="preserve">/ ÍNDICE DE LIQUIDEZ </w:t>
            </w:r>
            <w:r w:rsidRPr="004505A6">
              <w:rPr>
                <w:rFonts w:ascii="Verdana" w:eastAsia="Calibri" w:hAnsi="Verdana" w:cs="Arial"/>
                <w:bCs/>
                <w:lang w:val="es-MX" w:eastAsia="es-ES_tradnl"/>
              </w:rPr>
              <w:t xml:space="preserve">– Determinación </w:t>
            </w:r>
          </w:p>
          <w:p w14:paraId="785F05DF" w14:textId="77777777" w:rsidR="004505A6" w:rsidRPr="004505A6" w:rsidRDefault="004505A6" w:rsidP="004505A6">
            <w:pPr>
              <w:jc w:val="both"/>
              <w:rPr>
                <w:rFonts w:ascii="Verdana" w:eastAsia="Calibri" w:hAnsi="Verdana" w:cs="Arial"/>
                <w:lang w:eastAsia="es-ES"/>
              </w:rPr>
            </w:pPr>
          </w:p>
        </w:tc>
      </w:tr>
      <w:tr w:rsidR="004505A6" w:rsidRPr="004505A6" w14:paraId="4986CAFF" w14:textId="77777777" w:rsidTr="006C22F9">
        <w:tc>
          <w:tcPr>
            <w:tcW w:w="2689" w:type="dxa"/>
          </w:tcPr>
          <w:p w14:paraId="3F45E803" w14:textId="77777777" w:rsidR="004505A6" w:rsidRPr="004505A6" w:rsidRDefault="004505A6" w:rsidP="004505A6">
            <w:pPr>
              <w:jc w:val="both"/>
              <w:rPr>
                <w:rFonts w:ascii="Verdana" w:eastAsia="Calibri" w:hAnsi="Verdana" w:cs="Arial"/>
                <w:b/>
                <w:lang w:eastAsia="es-ES_tradnl"/>
              </w:rPr>
            </w:pPr>
            <w:r w:rsidRPr="004505A6">
              <w:rPr>
                <w:rFonts w:ascii="Verdana" w:eastAsia="Calibri" w:hAnsi="Verdana" w:cs="Arial"/>
                <w:b/>
                <w:lang w:eastAsia="es-ES_tradnl"/>
              </w:rPr>
              <w:t>Radicación:</w:t>
            </w:r>
            <w:r w:rsidRPr="004505A6">
              <w:rPr>
                <w:rFonts w:ascii="Verdana" w:eastAsia="Calibri" w:hAnsi="Verdana" w:cs="Arial"/>
                <w:lang w:eastAsia="es-ES_tradnl"/>
              </w:rPr>
              <w:t xml:space="preserve">               </w:t>
            </w:r>
          </w:p>
        </w:tc>
        <w:tc>
          <w:tcPr>
            <w:tcW w:w="6100" w:type="dxa"/>
          </w:tcPr>
          <w:p w14:paraId="77E28EA2" w14:textId="444D3896" w:rsidR="004505A6" w:rsidRPr="004505A6" w:rsidRDefault="004505A6" w:rsidP="004505A6">
            <w:pPr>
              <w:jc w:val="both"/>
              <w:rPr>
                <w:rFonts w:ascii="Verdana" w:eastAsia="Calibri" w:hAnsi="Verdana" w:cs="Arial"/>
                <w:lang w:eastAsia="es-ES_tradnl"/>
              </w:rPr>
            </w:pPr>
            <w:r w:rsidRPr="004505A6">
              <w:rPr>
                <w:rFonts w:ascii="Verdana" w:eastAsia="Calibri" w:hAnsi="Verdana" w:cs="Arial"/>
                <w:lang w:eastAsia="es-ES_tradnl"/>
              </w:rPr>
              <w:t>Respuesta a las consultas con radicado Nos.</w:t>
            </w:r>
            <w:r w:rsidRPr="004505A6">
              <w:rPr>
                <w:rFonts w:ascii="Verdana" w:hAnsi="Verdana"/>
              </w:rPr>
              <w:t xml:space="preserve"> </w:t>
            </w:r>
            <w:r w:rsidRPr="004505A6">
              <w:rPr>
                <w:rFonts w:ascii="Verdana" w:eastAsia="Calibri" w:hAnsi="Verdana" w:cs="Arial"/>
                <w:lang w:eastAsia="es-ES_tradnl"/>
              </w:rPr>
              <w:t>1_2026_03_04_003025 y 1_2026_03_11_003356</w:t>
            </w:r>
            <w:r w:rsidR="00BD7C8F">
              <w:rPr>
                <w:rFonts w:ascii="Verdana" w:eastAsia="Calibri" w:hAnsi="Verdana" w:cs="Arial"/>
                <w:lang w:eastAsia="es-ES_tradnl"/>
              </w:rPr>
              <w:t xml:space="preserve"> </w:t>
            </w:r>
            <w:r w:rsidRPr="004505A6">
              <w:rPr>
                <w:rFonts w:ascii="Verdana" w:eastAsia="Calibri" w:hAnsi="Verdana" w:cs="Arial"/>
                <w:lang w:eastAsia="es-ES_tradnl"/>
              </w:rPr>
              <w:t>(</w:t>
            </w:r>
            <w:proofErr w:type="gramStart"/>
            <w:r w:rsidRPr="004505A6">
              <w:rPr>
                <w:rFonts w:ascii="Verdana" w:eastAsia="Calibri" w:hAnsi="Verdana" w:cs="Arial"/>
                <w:lang w:eastAsia="es-ES_tradnl"/>
              </w:rPr>
              <w:t xml:space="preserve">Acumulados)   </w:t>
            </w:r>
            <w:proofErr w:type="gramEnd"/>
            <w:r w:rsidRPr="004505A6">
              <w:rPr>
                <w:rFonts w:ascii="Verdana" w:eastAsia="Calibri" w:hAnsi="Verdana" w:cs="Arial"/>
                <w:lang w:eastAsia="es-ES_tradnl"/>
              </w:rPr>
              <w:t xml:space="preserve">                                 </w:t>
            </w:r>
          </w:p>
        </w:tc>
      </w:tr>
    </w:tbl>
    <w:p w14:paraId="53267313" w14:textId="77777777" w:rsidR="004505A6" w:rsidRPr="004505A6" w:rsidRDefault="004505A6" w:rsidP="004505A6">
      <w:pPr>
        <w:spacing w:after="0" w:line="240" w:lineRule="auto"/>
        <w:jc w:val="both"/>
        <w:rPr>
          <w:rFonts w:ascii="Verdana" w:eastAsia="Calibri" w:hAnsi="Verdana" w:cs="Arial"/>
          <w:color w:val="000000"/>
          <w:lang w:eastAsia="es-ES_tradnl"/>
        </w:rPr>
      </w:pPr>
    </w:p>
    <w:p w14:paraId="051982F6" w14:textId="77777777" w:rsidR="004505A6" w:rsidRPr="004505A6" w:rsidRDefault="004505A6" w:rsidP="004505A6">
      <w:pPr>
        <w:spacing w:after="0" w:line="240" w:lineRule="auto"/>
        <w:jc w:val="both"/>
        <w:rPr>
          <w:rFonts w:ascii="Verdana" w:eastAsia="Calibri" w:hAnsi="Verdana" w:cs="Arial"/>
          <w:color w:val="000000"/>
          <w:lang w:eastAsia="es-ES_tradnl"/>
        </w:rPr>
      </w:pPr>
    </w:p>
    <w:p w14:paraId="3EC1CFCA" w14:textId="77777777" w:rsidR="004505A6" w:rsidRPr="004505A6" w:rsidRDefault="004505A6" w:rsidP="004505A6">
      <w:pPr>
        <w:spacing w:after="0" w:line="276" w:lineRule="auto"/>
        <w:jc w:val="both"/>
        <w:rPr>
          <w:rFonts w:ascii="Verdana" w:eastAsia="Calibri" w:hAnsi="Verdana" w:cs="Arial"/>
          <w:lang w:eastAsia="es-ES"/>
        </w:rPr>
      </w:pPr>
      <w:r w:rsidRPr="004505A6">
        <w:rPr>
          <w:rFonts w:ascii="Verdana" w:eastAsia="Calibri" w:hAnsi="Verdana" w:cs="Arial"/>
          <w:lang w:eastAsia="es-ES"/>
        </w:rPr>
        <w:t xml:space="preserve">Estimado señor Aguirre: </w:t>
      </w:r>
    </w:p>
    <w:p w14:paraId="2C4D499B" w14:textId="77777777" w:rsidR="004505A6" w:rsidRPr="004505A6" w:rsidRDefault="004505A6" w:rsidP="004505A6">
      <w:pPr>
        <w:tabs>
          <w:tab w:val="left" w:pos="3768"/>
        </w:tabs>
        <w:spacing w:after="0" w:line="276" w:lineRule="auto"/>
        <w:jc w:val="both"/>
        <w:rPr>
          <w:rFonts w:ascii="Verdana" w:eastAsia="Calibri" w:hAnsi="Verdana" w:cs="Arial"/>
          <w:color w:val="000000" w:themeColor="text1"/>
          <w:lang w:eastAsia="es-ES"/>
        </w:rPr>
      </w:pPr>
      <w:r w:rsidRPr="004505A6">
        <w:rPr>
          <w:rFonts w:ascii="Verdana" w:eastAsia="Calibri" w:hAnsi="Verdana" w:cs="Arial"/>
          <w:color w:val="000000" w:themeColor="text1"/>
          <w:lang w:eastAsia="es-ES"/>
        </w:rPr>
        <w:tab/>
      </w:r>
    </w:p>
    <w:p w14:paraId="2C0D9541" w14:textId="77777777" w:rsidR="004505A6" w:rsidRPr="004505A6" w:rsidRDefault="004505A6" w:rsidP="004505A6">
      <w:pPr>
        <w:spacing w:after="0" w:line="276" w:lineRule="auto"/>
        <w:jc w:val="both"/>
        <w:rPr>
          <w:rFonts w:ascii="Verdana" w:hAnsi="Verdana" w:cs="Arial"/>
        </w:rPr>
      </w:pPr>
      <w:r w:rsidRPr="004505A6">
        <w:rPr>
          <w:rFonts w:ascii="Verdana" w:eastAsia="Calibri" w:hAnsi="Verdana" w:cs="Arial"/>
          <w:color w:val="000000" w:themeColor="text1"/>
          <w:lang w:eastAsia="es-ES"/>
        </w:rPr>
        <w:t>En ejercicio de la competencia otorgada por los artículos 3, numeral 5º, y 11, numeral 8º, del Decreto Ley 4170 de 2011,</w:t>
      </w:r>
      <w:r w:rsidRPr="004505A6">
        <w:rPr>
          <w:rFonts w:ascii="Verdana" w:eastAsia="Arial MT" w:hAnsi="Verdana" w:cs="Arial MT"/>
          <w:lang w:eastAsia="es-ES"/>
        </w:rPr>
        <w:t xml:space="preserve"> </w:t>
      </w:r>
      <w:r w:rsidRPr="004505A6">
        <w:rPr>
          <w:rFonts w:ascii="Verdana" w:hAnsi="Verdana" w:cs="Arial"/>
          <w:color w:val="000000" w:themeColor="text1"/>
        </w:rPr>
        <w:t>así como lo establecido</w:t>
      </w:r>
      <w:r w:rsidRPr="004505A6">
        <w:rPr>
          <w:rFonts w:ascii="Verdana" w:hAnsi="Verdana" w:cs="Arial"/>
        </w:rPr>
        <w:t xml:space="preserve"> por la </w:t>
      </w:r>
      <w:r w:rsidRPr="004505A6">
        <w:rPr>
          <w:rFonts w:ascii="Verdana" w:eastAsia="Calibri" w:hAnsi="Verdana" w:cs="Times New Roman"/>
          <w:bCs/>
        </w:rPr>
        <w:t xml:space="preserve">Resolución 469 de 2025 </w:t>
      </w:r>
      <w:r w:rsidRPr="004505A6">
        <w:rPr>
          <w:rFonts w:ascii="Verdana" w:hAnsi="Verdana" w:cs="Arial"/>
          <w:color w:val="000000" w:themeColor="text1"/>
        </w:rPr>
        <w:t>expedida por esta Entidad</w:t>
      </w:r>
      <w:r w:rsidRPr="004505A6">
        <w:rPr>
          <w:rFonts w:ascii="Verdana" w:hAnsi="Verdana" w:cs="Arial"/>
        </w:rPr>
        <w:t xml:space="preserve">, </w:t>
      </w:r>
      <w:r w:rsidRPr="004505A6">
        <w:rPr>
          <w:rFonts w:ascii="Verdana" w:eastAsia="Calibri" w:hAnsi="Verdana" w:cs="Arial"/>
          <w:color w:val="000000" w:themeColor="text1"/>
          <w:lang w:eastAsia="es-ES"/>
        </w:rPr>
        <w:t>la Agencia Nacional de Contratación Pública – Colombia Compra Eficiente responde su solicitud del 4</w:t>
      </w:r>
      <w:r w:rsidRPr="004505A6">
        <w:rPr>
          <w:rFonts w:ascii="Verdana" w:eastAsia="Calibri" w:hAnsi="Verdana" w:cs="Arial"/>
          <w:lang w:eastAsia="es-ES"/>
        </w:rPr>
        <w:t xml:space="preserve"> de marzo de 2026, en la cual consulta sobre lo siguiente: </w:t>
      </w:r>
      <w:bookmarkStart w:id="2" w:name="_Hlk95313578"/>
    </w:p>
    <w:p w14:paraId="20239F34" w14:textId="77777777" w:rsidR="004505A6" w:rsidRPr="004505A6" w:rsidRDefault="004505A6" w:rsidP="004505A6">
      <w:pPr>
        <w:spacing w:after="0" w:line="276" w:lineRule="auto"/>
        <w:jc w:val="both"/>
        <w:rPr>
          <w:rFonts w:ascii="Verdana" w:eastAsia="Calibri" w:hAnsi="Verdana" w:cs="Arial"/>
          <w:lang w:eastAsia="es-ES"/>
        </w:rPr>
      </w:pPr>
    </w:p>
    <w:p w14:paraId="119F5766"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w:t>
      </w:r>
      <w:bookmarkEnd w:id="2"/>
      <w:r w:rsidRPr="004505A6">
        <w:rPr>
          <w:rFonts w:ascii="Verdana" w:eastAsia="Arial" w:hAnsi="Verdana" w:cs="Arial"/>
          <w:color w:val="000000"/>
          <w:sz w:val="20"/>
          <w:szCs w:val="20"/>
        </w:rPr>
        <w:t>De acuerdo con la información financiera certificada con corte a 31 de diciembre de 2024, la entidad registra:</w:t>
      </w:r>
    </w:p>
    <w:p w14:paraId="28E89ECD"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7F20E188" w14:textId="77777777" w:rsidR="004505A6" w:rsidRPr="004505A6" w:rsidRDefault="004505A6" w:rsidP="004505A6">
      <w:pPr>
        <w:widowControl w:val="0"/>
        <w:numPr>
          <w:ilvl w:val="0"/>
          <w:numId w:val="15"/>
        </w:numPr>
        <w:autoSpaceDE w:val="0"/>
        <w:autoSpaceDN w:val="0"/>
        <w:spacing w:after="0" w:line="240" w:lineRule="auto"/>
        <w:ind w:left="1069" w:right="709"/>
        <w:contextualSpacing/>
        <w:jc w:val="both"/>
        <w:rPr>
          <w:rFonts w:ascii="Verdana" w:eastAsia="Arial" w:hAnsi="Verdana" w:cs="Arial"/>
          <w:color w:val="000000"/>
          <w:sz w:val="20"/>
          <w:szCs w:val="20"/>
          <w:lang w:val="es-MX"/>
        </w:rPr>
      </w:pPr>
      <w:r w:rsidRPr="004505A6">
        <w:rPr>
          <w:rFonts w:ascii="Verdana" w:eastAsia="Arial" w:hAnsi="Verdana" w:cs="Arial"/>
          <w:color w:val="000000"/>
          <w:sz w:val="20"/>
          <w:szCs w:val="20"/>
          <w:lang w:val="es-MX"/>
        </w:rPr>
        <w:t>Activo corriente: $18.993.346</w:t>
      </w:r>
    </w:p>
    <w:p w14:paraId="2B790E0D"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5E1CD513" w14:textId="77777777" w:rsidR="004505A6" w:rsidRPr="004505A6" w:rsidRDefault="004505A6" w:rsidP="004505A6">
      <w:pPr>
        <w:widowControl w:val="0"/>
        <w:numPr>
          <w:ilvl w:val="0"/>
          <w:numId w:val="15"/>
        </w:numPr>
        <w:autoSpaceDE w:val="0"/>
        <w:autoSpaceDN w:val="0"/>
        <w:spacing w:after="0" w:line="240" w:lineRule="auto"/>
        <w:ind w:left="1069" w:right="709"/>
        <w:contextualSpacing/>
        <w:jc w:val="both"/>
        <w:rPr>
          <w:rFonts w:ascii="Verdana" w:eastAsia="Arial" w:hAnsi="Verdana" w:cs="Arial"/>
          <w:color w:val="000000"/>
          <w:sz w:val="20"/>
          <w:szCs w:val="20"/>
          <w:lang w:val="es-MX"/>
        </w:rPr>
      </w:pPr>
      <w:r w:rsidRPr="004505A6">
        <w:rPr>
          <w:rFonts w:ascii="Verdana" w:eastAsia="Arial" w:hAnsi="Verdana" w:cs="Arial"/>
          <w:color w:val="000000"/>
          <w:sz w:val="20"/>
          <w:szCs w:val="20"/>
          <w:lang w:val="es-MX"/>
        </w:rPr>
        <w:t>Pasivo corriente: $0</w:t>
      </w:r>
    </w:p>
    <w:p w14:paraId="13271744"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5DB44B9E"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El índice de liquidez se calcula como Activo Corriente / Pasivo Corriente. En este caso, al ser el pasivo corriente igual a cero, el resultado matemático no puede determinarse por división entre cero, razón por la cual el sistema lo reporta como “Indeterminado”.</w:t>
      </w:r>
    </w:p>
    <w:p w14:paraId="68C5C3EA"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05F9C7D8"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No obstante, desde el punto de vista financiero, la inexistencia de pasivos corrientes evidencia que la entidad no tiene obligaciones exigibles a corto plazo, lo cual refleja una posición sólida de liquidez y capacidad suficiente para atender compromisos contractuales.</w:t>
      </w:r>
    </w:p>
    <w:p w14:paraId="5A746928"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3EF30C82"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En un proceso adelantado por la Alcaldía Municipal de Sibaté, esta situación ha sido interpretada como incumplimiento del requisito de capacidad financiera, generando una posible inhabilitación.</w:t>
      </w:r>
    </w:p>
    <w:p w14:paraId="0D339D10"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101D2D62"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Por lo anterior, solicito respetuosamente a esa Agencia emitir concepto sobre:</w:t>
      </w:r>
    </w:p>
    <w:p w14:paraId="4A62AF6A"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46F052CB"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1. Si un índice de liquidez reportado como “Indeterminado” por pasivo corriente igual a cero puede interpretarse como incumplimiento del requisito de capacidad financiera.</w:t>
      </w:r>
    </w:p>
    <w:p w14:paraId="0CA5150F"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342595B9"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2. Si, conforme a la normativa vigente (Ley 80 de 1993, Ley 1150 de 2007 y Decreto 1082 de 2015), la inexistencia de pasivos corrientes puede entenderse como una situación favorable de liquidez.</w:t>
      </w:r>
    </w:p>
    <w:p w14:paraId="20EDB9AB"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p>
    <w:p w14:paraId="5AF89855" w14:textId="77777777" w:rsidR="004505A6" w:rsidRPr="004505A6" w:rsidRDefault="004505A6" w:rsidP="004505A6">
      <w:pPr>
        <w:widowControl w:val="0"/>
        <w:autoSpaceDE w:val="0"/>
        <w:autoSpaceDN w:val="0"/>
        <w:spacing w:after="0" w:line="240" w:lineRule="auto"/>
        <w:ind w:left="709" w:right="709"/>
        <w:jc w:val="both"/>
        <w:rPr>
          <w:rFonts w:ascii="Verdana" w:eastAsia="Arial" w:hAnsi="Verdana" w:cs="Arial"/>
          <w:color w:val="000000"/>
          <w:sz w:val="20"/>
          <w:szCs w:val="20"/>
        </w:rPr>
      </w:pPr>
      <w:r w:rsidRPr="004505A6">
        <w:rPr>
          <w:rFonts w:ascii="Verdana" w:eastAsia="Arial" w:hAnsi="Verdana" w:cs="Arial"/>
          <w:color w:val="000000"/>
          <w:sz w:val="20"/>
          <w:szCs w:val="20"/>
        </w:rPr>
        <w:t>3. La forma adecuada en que las entidades estatales deben evaluar este indicador en estos casos, garantizando los principios de selección objetiva y pluralidad de oferentes.”</w:t>
      </w:r>
    </w:p>
    <w:p w14:paraId="0DF8CC19" w14:textId="77777777" w:rsidR="004505A6" w:rsidRPr="004505A6" w:rsidRDefault="004505A6" w:rsidP="004505A6">
      <w:pPr>
        <w:widowControl w:val="0"/>
        <w:autoSpaceDE w:val="0"/>
        <w:autoSpaceDN w:val="0"/>
        <w:spacing w:after="0" w:line="276" w:lineRule="auto"/>
        <w:ind w:left="652" w:right="652"/>
        <w:jc w:val="both"/>
        <w:rPr>
          <w:rFonts w:ascii="Verdana" w:eastAsia="Arial" w:hAnsi="Verdana" w:cs="Arial"/>
          <w:color w:val="000000"/>
          <w:sz w:val="20"/>
          <w:szCs w:val="20"/>
        </w:rPr>
      </w:pPr>
    </w:p>
    <w:p w14:paraId="1CBA9F0B" w14:textId="77777777" w:rsidR="004505A6" w:rsidRPr="004505A6" w:rsidRDefault="004505A6" w:rsidP="004505A6">
      <w:pPr>
        <w:spacing w:after="120" w:line="276" w:lineRule="auto"/>
        <w:ind w:firstLine="709"/>
        <w:jc w:val="both"/>
        <w:rPr>
          <w:rFonts w:ascii="Verdana" w:eastAsia="Calibri" w:hAnsi="Verdana" w:cs="Arial"/>
          <w:color w:val="000000"/>
          <w:lang w:eastAsia="es-ES"/>
        </w:rPr>
      </w:pPr>
      <w:r w:rsidRPr="004505A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w:t>
      </w:r>
      <w:r w:rsidRPr="004505A6">
        <w:rPr>
          <w:rFonts w:ascii="Verdana" w:eastAsia="Calibri" w:hAnsi="Verdana" w:cs="Arial"/>
          <w:color w:val="000000"/>
          <w:lang w:eastAsia="es-ES"/>
        </w:rPr>
        <w:lastRenderedPageBreak/>
        <w:t xml:space="preserve">por definición, no puede extenderse a la resolución de controversias ni a brindar asesorías sobre casos puntuales. </w:t>
      </w:r>
      <w:r w:rsidRPr="004505A6">
        <w:rPr>
          <w:rFonts w:ascii="Verdana" w:eastAsia="Calibri" w:hAnsi="Verdana" w:cs="Arial"/>
          <w:color w:val="000000"/>
          <w:szCs w:val="24"/>
          <w:lang w:eastAsia="es-ES_tradnl"/>
        </w:rPr>
        <w:tab/>
      </w:r>
    </w:p>
    <w:p w14:paraId="3E74392B" w14:textId="77777777" w:rsidR="004505A6" w:rsidRPr="004505A6" w:rsidRDefault="004505A6" w:rsidP="004505A6">
      <w:pPr>
        <w:spacing w:after="0" w:line="276" w:lineRule="auto"/>
        <w:ind w:firstLine="709"/>
        <w:jc w:val="both"/>
        <w:rPr>
          <w:rFonts w:ascii="Verdana" w:eastAsia="Calibri" w:hAnsi="Verdana" w:cs="Arial"/>
          <w:color w:val="000000"/>
          <w:lang w:eastAsia="es-ES"/>
        </w:rPr>
      </w:pPr>
      <w:r w:rsidRPr="004505A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problema</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jurídico</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 xml:space="preserve">de su consulta. </w:t>
      </w:r>
    </w:p>
    <w:p w14:paraId="0BC20E1A" w14:textId="77777777" w:rsidR="004505A6" w:rsidRPr="004505A6" w:rsidRDefault="004505A6" w:rsidP="004505A6">
      <w:pPr>
        <w:spacing w:after="0" w:line="276" w:lineRule="auto"/>
        <w:ind w:firstLine="709"/>
        <w:jc w:val="both"/>
        <w:rPr>
          <w:rFonts w:ascii="Verdana" w:eastAsia="Calibri" w:hAnsi="Verdana" w:cs="Arial"/>
          <w:color w:val="000000"/>
          <w:lang w:eastAsia="es-ES"/>
        </w:rPr>
      </w:pPr>
    </w:p>
    <w:p w14:paraId="2EA3A901" w14:textId="77777777" w:rsidR="004505A6" w:rsidRPr="004505A6" w:rsidRDefault="004505A6" w:rsidP="004505A6">
      <w:pPr>
        <w:numPr>
          <w:ilvl w:val="0"/>
          <w:numId w:val="1"/>
        </w:numPr>
        <w:tabs>
          <w:tab w:val="left" w:pos="142"/>
          <w:tab w:val="left" w:pos="284"/>
        </w:tabs>
        <w:spacing w:after="0" w:line="276" w:lineRule="auto"/>
        <w:contextualSpacing/>
        <w:jc w:val="both"/>
        <w:rPr>
          <w:rFonts w:ascii="Verdana" w:eastAsia="Century Gothic" w:hAnsi="Verdana" w:cs="Century Gothic"/>
          <w:b/>
          <w:bCs/>
        </w:rPr>
      </w:pPr>
      <w:r w:rsidRPr="004505A6">
        <w:rPr>
          <w:rFonts w:ascii="Verdana" w:eastAsia="Century Gothic" w:hAnsi="Verdana" w:cs="Century Gothic"/>
          <w:b/>
          <w:bCs/>
        </w:rPr>
        <w:t>Problemas planteados:</w:t>
      </w:r>
    </w:p>
    <w:p w14:paraId="57974F9F" w14:textId="77777777" w:rsidR="004505A6" w:rsidRPr="004505A6" w:rsidRDefault="004505A6" w:rsidP="004505A6">
      <w:pPr>
        <w:tabs>
          <w:tab w:val="left" w:pos="426"/>
        </w:tabs>
        <w:spacing w:after="0" w:line="276" w:lineRule="auto"/>
        <w:jc w:val="both"/>
        <w:rPr>
          <w:rFonts w:ascii="Verdana" w:eastAsia="Century Gothic" w:hAnsi="Verdana" w:cs="Century Gothic"/>
        </w:rPr>
      </w:pPr>
    </w:p>
    <w:p w14:paraId="62D672CE" w14:textId="77777777" w:rsidR="004505A6" w:rsidRPr="004505A6" w:rsidRDefault="004505A6" w:rsidP="004505A6">
      <w:pPr>
        <w:spacing w:after="0" w:line="276" w:lineRule="auto"/>
        <w:jc w:val="both"/>
        <w:rPr>
          <w:rFonts w:ascii="Verdana" w:eastAsia="Century Gothic" w:hAnsi="Verdana" w:cs="Arial"/>
        </w:rPr>
      </w:pPr>
      <w:r w:rsidRPr="004505A6">
        <w:rPr>
          <w:rFonts w:ascii="Verdana" w:eastAsia="Century Gothic" w:hAnsi="Verdana" w:cs="Century Gothic"/>
        </w:rPr>
        <w:t xml:space="preserve">De acuerdo con el contenido de su solicitud, esta Agencia resolverá el siguiente problema jurídico: ¿es posible validar </w:t>
      </w:r>
      <w:r w:rsidRPr="004505A6">
        <w:rPr>
          <w:rFonts w:ascii="Verdana" w:eastAsia="Century Gothic" w:hAnsi="Verdana" w:cs="Century Gothic"/>
          <w:color w:val="000000" w:themeColor="text1"/>
        </w:rPr>
        <w:t>el indicador de índice de liquidez de la capacidad financiera cuando su resultado sea “indeterminado”</w:t>
      </w:r>
      <w:r w:rsidRPr="004505A6">
        <w:rPr>
          <w:rFonts w:ascii="Verdana" w:eastAsia="Century Gothic" w:hAnsi="Verdana" w:cs="Century Gothic"/>
        </w:rPr>
        <w:t>?</w:t>
      </w:r>
    </w:p>
    <w:p w14:paraId="57FF4631" w14:textId="77777777" w:rsidR="004505A6" w:rsidRPr="004505A6" w:rsidRDefault="004505A6" w:rsidP="004505A6">
      <w:pPr>
        <w:spacing w:after="0" w:line="276" w:lineRule="auto"/>
        <w:jc w:val="both"/>
        <w:rPr>
          <w:rFonts w:ascii="Verdana" w:eastAsia="Calibri" w:hAnsi="Verdana" w:cs="Arial"/>
          <w:color w:val="7030A0"/>
        </w:rPr>
      </w:pPr>
    </w:p>
    <w:p w14:paraId="77349B37" w14:textId="77777777" w:rsidR="004505A6" w:rsidRPr="004505A6" w:rsidRDefault="004505A6" w:rsidP="004505A6">
      <w:pPr>
        <w:numPr>
          <w:ilvl w:val="0"/>
          <w:numId w:val="1"/>
        </w:numPr>
        <w:tabs>
          <w:tab w:val="left" w:pos="142"/>
          <w:tab w:val="left" w:pos="284"/>
        </w:tabs>
        <w:spacing w:after="0" w:line="276" w:lineRule="auto"/>
        <w:jc w:val="both"/>
        <w:rPr>
          <w:rFonts w:ascii="Verdana" w:eastAsia="Century Gothic" w:hAnsi="Verdana" w:cs="Century Gothic"/>
          <w:b/>
          <w:bCs/>
        </w:rPr>
      </w:pPr>
      <w:r w:rsidRPr="004505A6">
        <w:rPr>
          <w:rFonts w:ascii="Verdana" w:eastAsia="Century Gothic" w:hAnsi="Verdana" w:cs="Century Gothic"/>
          <w:b/>
          <w:bCs/>
        </w:rPr>
        <w:t>Respuestas:</w:t>
      </w:r>
    </w:p>
    <w:p w14:paraId="38338FE2" w14:textId="77777777" w:rsidR="004505A6" w:rsidRPr="004505A6" w:rsidRDefault="004505A6" w:rsidP="004505A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05A6" w:rsidRPr="004505A6" w14:paraId="49ABB368" w14:textId="77777777" w:rsidTr="006C22F9">
        <w:trPr>
          <w:jc w:val="center"/>
        </w:trPr>
        <w:tc>
          <w:tcPr>
            <w:tcW w:w="8828" w:type="dxa"/>
          </w:tcPr>
          <w:p w14:paraId="2D23912B" w14:textId="77777777" w:rsidR="004505A6" w:rsidRPr="004505A6" w:rsidRDefault="004505A6" w:rsidP="004505A6">
            <w:pPr>
              <w:spacing w:before="120" w:after="120" w:line="276" w:lineRule="auto"/>
              <w:jc w:val="both"/>
              <w:rPr>
                <w:rFonts w:ascii="Verdana" w:eastAsia="Calibri" w:hAnsi="Verdana" w:cs="Arial"/>
                <w:lang w:val="es-ES_tradnl" w:eastAsia="es-MX"/>
              </w:rPr>
            </w:pPr>
            <w:bookmarkStart w:id="3" w:name="_Hlk171694685"/>
            <w:r w:rsidRPr="004505A6">
              <w:rPr>
                <w:rFonts w:ascii="Verdana" w:eastAsia="Calibri" w:hAnsi="Verdana" w:cs="Arial"/>
                <w:lang w:eastAsia="es-MX"/>
              </w:rPr>
              <w:t xml:space="preserve">Según el artículo 2.2.1.1.1.5.3. del Decreto 1082 de 2015, el Registro Único de Proponentes – en adelante RUP – contempla como indicadores de capacidad financiera, entre otros, el índice de liquidez, que corresponde a la división entre el </w:t>
            </w:r>
            <w:proofErr w:type="gramStart"/>
            <w:r w:rsidRPr="004505A6">
              <w:rPr>
                <w:rFonts w:ascii="Verdana" w:eastAsia="Calibri" w:hAnsi="Verdana" w:cs="Arial"/>
                <w:lang w:eastAsia="es-MX"/>
              </w:rPr>
              <w:t>activo corriente y el pasivo corriente</w:t>
            </w:r>
            <w:proofErr w:type="gramEnd"/>
            <w:r w:rsidRPr="004505A6">
              <w:rPr>
                <w:rFonts w:ascii="Verdana" w:eastAsia="Calibri" w:hAnsi="Verdana" w:cs="Arial"/>
                <w:lang w:eastAsia="es-MX"/>
              </w:rPr>
              <w:t>, y que determina la capacidad que tiene el proponente para cumplir con sus obligaciones de corto plazo. Para determinar este indicador en el proceso de contratación, la entidad debe establecer un umbral adecuado, fijando valores máximos o mínimos aceptables con los operadores "menor o igual (≤)" o "mayor o igual (≥)", según lo que considere apropiado para asegurar que el proponente pueda cumplir con sus obligaciones contractuales sin comprometer su estabilidad financiera. Estos valores deben basarse en los estudios previos del proceso de contratación y en el contexto económico del sector.</w:t>
            </w:r>
          </w:p>
          <w:p w14:paraId="4884DDB6" w14:textId="77777777" w:rsidR="004505A6" w:rsidRPr="004505A6" w:rsidRDefault="004505A6" w:rsidP="004505A6">
            <w:pPr>
              <w:spacing w:before="120" w:line="276" w:lineRule="auto"/>
              <w:ind w:firstLine="743"/>
              <w:jc w:val="both"/>
              <w:rPr>
                <w:rFonts w:ascii="Verdana" w:hAnsi="Verdana" w:cs="Arial"/>
              </w:rPr>
            </w:pPr>
            <w:r w:rsidRPr="004505A6">
              <w:rPr>
                <w:rFonts w:ascii="Verdana" w:eastAsia="Calibri" w:hAnsi="Verdana" w:cs="Arial"/>
                <w:lang w:eastAsia="es-MX"/>
              </w:rPr>
              <w:t>El Manual para Determinar y Verificar los Requisitos Habilitantes en los Procesos de Contratación, expedido por esta Agencia, establece un marco detallado para estructurar la capacidad financiera de los proponentes, garantizando que estos puedan cumplir con las obligaciones del contrato de manera eficiente y oportuna. En este contexto, e</w:t>
            </w:r>
            <w:r w:rsidRPr="004505A6">
              <w:rPr>
                <w:rFonts w:ascii="Verdana" w:hAnsi="Verdana" w:cs="Arial"/>
              </w:rPr>
              <w:t xml:space="preserve">l numeral 5.3 del Manual </w:t>
            </w:r>
            <w:r w:rsidRPr="004505A6">
              <w:rPr>
                <w:rFonts w:ascii="Verdana" w:hAnsi="Verdana" w:cs="Arial"/>
              </w:rPr>
              <w:lastRenderedPageBreak/>
              <w:t xml:space="preserve">señala algunas pautas </w:t>
            </w:r>
            <w:proofErr w:type="gramStart"/>
            <w:r w:rsidRPr="004505A6">
              <w:rPr>
                <w:rFonts w:ascii="Verdana" w:hAnsi="Verdana" w:cs="Arial"/>
              </w:rPr>
              <w:t>a</w:t>
            </w:r>
            <w:proofErr w:type="gramEnd"/>
            <w:r w:rsidRPr="004505A6">
              <w:rPr>
                <w:rFonts w:ascii="Verdana" w:hAnsi="Verdana" w:cs="Arial"/>
              </w:rPr>
              <w:t xml:space="preserve"> tener en cuenta por las entidades estatales para fijar los indicadores de capacidad financiera, y establece lo siguiente:</w:t>
            </w:r>
          </w:p>
          <w:p w14:paraId="2C3A66B6" w14:textId="77777777" w:rsidR="004505A6" w:rsidRPr="004505A6" w:rsidRDefault="004505A6" w:rsidP="004505A6">
            <w:pPr>
              <w:ind w:firstLine="743"/>
              <w:jc w:val="both"/>
              <w:rPr>
                <w:rFonts w:ascii="Verdana" w:hAnsi="Verdana" w:cs="Arial"/>
              </w:rPr>
            </w:pPr>
          </w:p>
          <w:p w14:paraId="5783148E" w14:textId="77777777" w:rsidR="004505A6" w:rsidRPr="004505A6" w:rsidRDefault="004505A6" w:rsidP="004505A6">
            <w:pPr>
              <w:ind w:left="709" w:right="709"/>
              <w:jc w:val="both"/>
              <w:rPr>
                <w:rFonts w:ascii="Verdana" w:eastAsia="Calibri" w:hAnsi="Verdana" w:cs="Arial"/>
                <w:color w:val="000000"/>
                <w:sz w:val="20"/>
                <w:szCs w:val="20"/>
                <w:lang w:val="es-ES_tradnl" w:eastAsia="es-ES_tradnl"/>
              </w:rPr>
            </w:pPr>
            <w:r w:rsidRPr="004505A6">
              <w:rPr>
                <w:rFonts w:ascii="Verdana" w:hAnsi="Verdana" w:cs="Arial"/>
                <w:sz w:val="20"/>
                <w:szCs w:val="20"/>
              </w:rPr>
              <w:t>“</w:t>
            </w:r>
            <w:r w:rsidRPr="004505A6">
              <w:rPr>
                <w:rFonts w:ascii="Verdana" w:eastAsia="Calibri" w:hAnsi="Verdana" w:cs="Arial"/>
                <w:color w:val="000000"/>
                <w:sz w:val="20"/>
                <w:szCs w:val="20"/>
                <w:lang w:val="es-ES_tradnl" w:eastAsia="es-ES_tradnl"/>
              </w:rPr>
              <w:t>Debido a que hay indicadores que resultan de realizar divisiones entre valores, la Entidad Estatal debe establecer explícitamente en los Documentos del Proceso una regla para determinar cómo lo evaluará cuando el denominador es cero, pues en este caso no es posible realizar esta operación matemática. Por ejemplo, en el caso del indicador de cobertura de intereses, puede haber empresas que no presentan obligaciones financieras y, por ende, no incurren en gastos financieros, es decir, el denominador es cero (0) y no sería posible calcular el indicador. En este evento, la regla puede ser que el proponente que no tiene obligaciones financieras resulta habilitado”.</w:t>
            </w:r>
          </w:p>
          <w:p w14:paraId="5AB86D84" w14:textId="77777777" w:rsidR="004505A6" w:rsidRPr="004505A6" w:rsidRDefault="004505A6" w:rsidP="004505A6">
            <w:pPr>
              <w:ind w:left="743" w:right="505"/>
              <w:jc w:val="both"/>
              <w:rPr>
                <w:rFonts w:ascii="Verdana" w:hAnsi="Verdana" w:cs="Arial"/>
                <w:sz w:val="20"/>
                <w:szCs w:val="20"/>
              </w:rPr>
            </w:pPr>
          </w:p>
          <w:p w14:paraId="704E4A4D" w14:textId="77777777" w:rsidR="004505A6" w:rsidRPr="004505A6" w:rsidRDefault="004505A6" w:rsidP="004505A6">
            <w:pPr>
              <w:spacing w:after="120" w:line="276" w:lineRule="auto"/>
              <w:ind w:firstLine="709"/>
              <w:jc w:val="both"/>
              <w:rPr>
                <w:rFonts w:ascii="Verdana" w:eastAsia="Arial" w:hAnsi="Verdana" w:cs="Arial"/>
                <w:lang w:val="es-ES"/>
              </w:rPr>
            </w:pPr>
            <w:r w:rsidRPr="004505A6">
              <w:rPr>
                <w:rFonts w:ascii="Verdana" w:eastAsia="Arial" w:hAnsi="Verdana" w:cs="Arial"/>
                <w:lang w:val="es-ES"/>
              </w:rPr>
              <w:t xml:space="preserve">De esta manera, se evidencia que, en los indicadores de capacidad financiera, como el índice de liquidez, es posible obtener resultados incomprensibles cuando el denominador es igual a cero, lo que podría dar lugar a que el resultado sea indeterminado.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 </w:t>
            </w:r>
          </w:p>
          <w:p w14:paraId="068554A7"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En ese sentido, la entidad estatal es responsable de establecer los valores de los indicadores de capacidad financiera como requisitos habilitantes, así como </w:t>
            </w:r>
            <w:r w:rsidRPr="004505A6">
              <w:rPr>
                <w:rFonts w:ascii="Verdana" w:eastAsia="Calibri" w:hAnsi="Verdana" w:cs="Arial"/>
                <w:color w:val="000000"/>
                <w:lang w:eastAsia="es-ES_tradnl"/>
              </w:rPr>
              <w:t>determinar</w:t>
            </w:r>
            <w:r w:rsidRPr="004505A6">
              <w:rPr>
                <w:rFonts w:ascii="Verdana" w:eastAsia="Calibri" w:hAnsi="Verdana" w:cs="Arial"/>
                <w:lang w:eastAsia="es-MX"/>
              </w:rPr>
              <w:t xml:space="preserve"> reglas precisas para los casos en los que los indicadores, como el índice de liquidez o la razón de cobertura de intereses, presenten valores en cero o indeterminado. En todo caso, la valoración de estos eventos se debe efectuar con sujeción a las reglas establecidas en el pliego de condiciones, asegurando que los proponentes seleccionados sean financieramente sólidos y capaces de cumplir con</w:t>
            </w:r>
            <w:r w:rsidRPr="004505A6">
              <w:rPr>
                <w:rFonts w:ascii="Verdana" w:eastAsia="Calibri" w:hAnsi="Verdana" w:cs="Arial"/>
                <w:color w:val="000000"/>
                <w:lang w:eastAsia="es-ES_tradnl"/>
              </w:rPr>
              <w:t xml:space="preserve"> el objeto contractual. </w:t>
            </w:r>
          </w:p>
          <w:p w14:paraId="440D34B4" w14:textId="77777777" w:rsidR="004505A6" w:rsidRPr="004505A6" w:rsidRDefault="004505A6" w:rsidP="004505A6">
            <w:pPr>
              <w:spacing w:before="120" w:after="120" w:line="276" w:lineRule="auto"/>
              <w:ind w:firstLine="743"/>
              <w:jc w:val="both"/>
              <w:rPr>
                <w:rFonts w:ascii="Verdana" w:eastAsia="Calibri" w:hAnsi="Verdana" w:cs="Arial"/>
                <w:color w:val="000000" w:themeColor="text1"/>
              </w:rPr>
            </w:pPr>
            <w:r w:rsidRPr="004505A6">
              <w:rPr>
                <w:rFonts w:ascii="Verdana" w:eastAsia="Calibri" w:hAnsi="Verdana" w:cs="Arial"/>
                <w:color w:val="000000" w:themeColor="text1"/>
              </w:rPr>
              <w:t>Asi las cosas, la determinación de los requisitos o indicadores financieros y organizacionales específicos se enmarca en la autonomía de la entidad, la cual deberá definir aquellos que resulten pertinentes, razonables y proporcionales y deben fundarse en parámetros objetivos ajustados a la naturaleza y complejidad del proyecto, de manera que permitan verificar de forma suficiente la idoneidad del proponente para ejecutar el contrato. Por tanto,</w:t>
            </w:r>
            <w:r w:rsidRPr="004505A6">
              <w:rPr>
                <w:rFonts w:ascii="Verdana" w:hAnsi="Verdana" w:cs="Arial"/>
                <w:lang w:eastAsia="es-ES"/>
              </w:rPr>
              <w:t xml:space="preserve"> al tratarse de un análisis que debe realizarse en el procedimiento contractual específico por cada Entidad, la Agencia no puede definir un criterio </w:t>
            </w:r>
            <w:r w:rsidRPr="004505A6">
              <w:rPr>
                <w:rFonts w:ascii="Verdana" w:hAnsi="Verdana" w:cs="Arial"/>
                <w:lang w:eastAsia="es-ES"/>
              </w:rPr>
              <w:lastRenderedPageBreak/>
              <w:t xml:space="preserve">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5B0E8AB3" w14:textId="77777777" w:rsidR="004505A6" w:rsidRPr="004505A6" w:rsidRDefault="004505A6" w:rsidP="004505A6">
      <w:pPr>
        <w:tabs>
          <w:tab w:val="left" w:pos="142"/>
          <w:tab w:val="left" w:pos="284"/>
        </w:tabs>
        <w:spacing w:after="0" w:line="276" w:lineRule="auto"/>
        <w:jc w:val="both"/>
        <w:rPr>
          <w:rFonts w:ascii="Verdana" w:eastAsia="Century Gothic" w:hAnsi="Verdana" w:cs="Century Gothic"/>
          <w:b/>
          <w:bCs/>
        </w:rPr>
      </w:pPr>
    </w:p>
    <w:bookmarkEnd w:id="3"/>
    <w:p w14:paraId="57EBE0C6" w14:textId="77777777" w:rsidR="004505A6" w:rsidRPr="004505A6" w:rsidRDefault="004505A6" w:rsidP="004505A6">
      <w:pPr>
        <w:numPr>
          <w:ilvl w:val="0"/>
          <w:numId w:val="1"/>
        </w:numPr>
        <w:tabs>
          <w:tab w:val="left" w:pos="142"/>
          <w:tab w:val="left" w:pos="284"/>
        </w:tabs>
        <w:spacing w:after="0" w:line="276" w:lineRule="auto"/>
        <w:jc w:val="both"/>
        <w:rPr>
          <w:rFonts w:ascii="Verdana" w:eastAsia="Century Gothic" w:hAnsi="Verdana" w:cs="Century Gothic"/>
          <w:b/>
          <w:bCs/>
        </w:rPr>
      </w:pPr>
      <w:r w:rsidRPr="004505A6">
        <w:rPr>
          <w:rFonts w:ascii="Verdana" w:eastAsia="Century Gothic" w:hAnsi="Verdana" w:cs="Century Gothic"/>
          <w:b/>
          <w:bCs/>
        </w:rPr>
        <w:t>Razones de las respuestas:</w:t>
      </w:r>
    </w:p>
    <w:p w14:paraId="0F1AED6A" w14:textId="77777777" w:rsidR="004505A6" w:rsidRPr="004505A6" w:rsidRDefault="004505A6" w:rsidP="004505A6">
      <w:pPr>
        <w:spacing w:after="0" w:line="276" w:lineRule="auto"/>
        <w:jc w:val="both"/>
        <w:rPr>
          <w:rFonts w:ascii="Verdana" w:eastAsia="Calibri" w:hAnsi="Verdana" w:cs="Arial"/>
          <w:color w:val="7030A0"/>
        </w:rPr>
      </w:pPr>
    </w:p>
    <w:p w14:paraId="1712BB0D" w14:textId="77777777" w:rsidR="004505A6" w:rsidRPr="004505A6" w:rsidRDefault="004505A6" w:rsidP="004505A6">
      <w:pPr>
        <w:spacing w:after="0" w:line="276" w:lineRule="auto"/>
        <w:jc w:val="both"/>
        <w:rPr>
          <w:rFonts w:ascii="Verdana" w:eastAsia="Calibri" w:hAnsi="Verdana" w:cs="Arial"/>
        </w:rPr>
      </w:pPr>
      <w:r w:rsidRPr="004505A6">
        <w:rPr>
          <w:rFonts w:ascii="Verdana" w:eastAsia="Calibri" w:hAnsi="Verdana" w:cs="Arial"/>
        </w:rPr>
        <w:t>Lo anterior se sustenta en las siguientes consideraciones:</w:t>
      </w:r>
    </w:p>
    <w:p w14:paraId="449E9666" w14:textId="77777777" w:rsidR="004505A6" w:rsidRPr="004505A6" w:rsidRDefault="004505A6" w:rsidP="004505A6">
      <w:pPr>
        <w:spacing w:after="0" w:line="276" w:lineRule="auto"/>
        <w:jc w:val="both"/>
        <w:rPr>
          <w:rFonts w:ascii="Verdana" w:eastAsia="Calibri" w:hAnsi="Verdana" w:cs="Arial"/>
          <w:color w:val="000000" w:themeColor="text1"/>
        </w:rPr>
      </w:pPr>
    </w:p>
    <w:p w14:paraId="12FC9522" w14:textId="77777777" w:rsidR="004505A6" w:rsidRPr="004505A6" w:rsidRDefault="004505A6" w:rsidP="004505A6">
      <w:pPr>
        <w:spacing w:after="120" w:line="276" w:lineRule="auto"/>
        <w:jc w:val="both"/>
        <w:rPr>
          <w:rFonts w:ascii="Verdana" w:eastAsia="Calibri" w:hAnsi="Verdana" w:cs="Arial"/>
          <w:lang w:eastAsia="es-MX"/>
        </w:rPr>
      </w:pPr>
      <w:r w:rsidRPr="004505A6">
        <w:rPr>
          <w:rFonts w:ascii="Verdana" w:eastAsia="Calibri" w:hAnsi="Verdana" w:cs="Arial"/>
          <w:color w:val="000000"/>
          <w:lang w:val="es-ES_tradnl" w:eastAsia="es-ES_tradnl"/>
        </w:rPr>
        <w:t xml:space="preserve">Los requisitos habilitantes se definen como exigencias de participación en los procedimientos de selección, establecidos en disposiciones normativas, de carácter legal o reglamentario, o </w:t>
      </w:r>
      <w:r w:rsidRPr="004505A6">
        <w:rPr>
          <w:rFonts w:ascii="Verdana" w:eastAsia="Calibri" w:hAnsi="Verdana" w:cs="Arial"/>
          <w:lang w:eastAsia="es-MX"/>
        </w:rPr>
        <w:t xml:space="preserve">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7EF1F72A" w14:textId="77777777" w:rsidR="004505A6" w:rsidRPr="004505A6" w:rsidRDefault="004505A6" w:rsidP="004505A6">
      <w:pPr>
        <w:spacing w:after="120" w:line="276" w:lineRule="auto"/>
        <w:ind w:firstLine="709"/>
        <w:jc w:val="both"/>
        <w:rPr>
          <w:rFonts w:ascii="Verdana" w:eastAsia="Calibri" w:hAnsi="Verdana" w:cs="Arial"/>
          <w:lang w:eastAsia="es-MX"/>
        </w:rPr>
      </w:pPr>
      <w:r w:rsidRPr="004505A6">
        <w:rPr>
          <w:rFonts w:ascii="Verdana" w:eastAsia="Calibri" w:hAnsi="Verdana" w:cs="Arial"/>
          <w:lang w:eastAsia="es-MX"/>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23A400D8"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w:t>
      </w:r>
      <w:r w:rsidRPr="004505A6">
        <w:rPr>
          <w:rFonts w:ascii="Verdana" w:eastAsia="Calibri" w:hAnsi="Verdana" w:cs="Arial"/>
          <w:lang w:eastAsia="es-MX"/>
        </w:rPr>
        <w:lastRenderedPageBreak/>
        <w:t xml:space="preserve">otras cuestiones, los criterios establecidos en dicha disposición. Específicamente, el numeral 1º del artículo referido establece que en los procesos de selección de contratistas serán objeto de verificación, como requisitos habilitantes, entre otros, los siguientes: i) la capacidad jurídica; </w:t>
      </w:r>
      <w:proofErr w:type="spellStart"/>
      <w:r w:rsidRPr="004505A6">
        <w:rPr>
          <w:rFonts w:ascii="Verdana" w:eastAsia="Calibri" w:hAnsi="Verdana" w:cs="Arial"/>
          <w:lang w:eastAsia="es-MX"/>
        </w:rPr>
        <w:t>ii</w:t>
      </w:r>
      <w:proofErr w:type="spellEnd"/>
      <w:r w:rsidRPr="004505A6">
        <w:rPr>
          <w:rFonts w:ascii="Verdana" w:eastAsia="Calibri" w:hAnsi="Verdana" w:cs="Arial"/>
          <w:lang w:eastAsia="es-MX"/>
        </w:rPr>
        <w:t xml:space="preserve">) la experiencia; </w:t>
      </w:r>
      <w:proofErr w:type="spellStart"/>
      <w:r w:rsidRPr="004505A6">
        <w:rPr>
          <w:rFonts w:ascii="Verdana" w:eastAsia="Calibri" w:hAnsi="Verdana" w:cs="Arial"/>
          <w:lang w:eastAsia="es-MX"/>
        </w:rPr>
        <w:t>iii</w:t>
      </w:r>
      <w:proofErr w:type="spellEnd"/>
      <w:r w:rsidRPr="004505A6">
        <w:rPr>
          <w:rFonts w:ascii="Verdana" w:eastAsia="Calibri" w:hAnsi="Verdana" w:cs="Arial"/>
          <w:lang w:eastAsia="es-MX"/>
        </w:rPr>
        <w:t xml:space="preserve">) la capacidad financiera y </w:t>
      </w:r>
      <w:proofErr w:type="spellStart"/>
      <w:r w:rsidRPr="004505A6">
        <w:rPr>
          <w:rFonts w:ascii="Verdana" w:eastAsia="Calibri" w:hAnsi="Verdana" w:cs="Arial"/>
          <w:lang w:eastAsia="es-MX"/>
        </w:rPr>
        <w:t>iv</w:t>
      </w:r>
      <w:proofErr w:type="spellEnd"/>
      <w:r w:rsidRPr="004505A6">
        <w:rPr>
          <w:rFonts w:ascii="Verdana" w:eastAsia="Calibri" w:hAnsi="Verdana" w:cs="Arial"/>
          <w:lang w:eastAsia="es-MX"/>
        </w:rPr>
        <w:t>) la capacidad de organización. En efecto, la normativa citada prescribe lo siguiente:</w:t>
      </w:r>
    </w:p>
    <w:p w14:paraId="65C1183D" w14:textId="77777777" w:rsidR="004505A6" w:rsidRPr="004505A6" w:rsidRDefault="004505A6" w:rsidP="004505A6">
      <w:pPr>
        <w:spacing w:after="0" w:line="276" w:lineRule="auto"/>
        <w:ind w:left="709"/>
        <w:jc w:val="both"/>
        <w:rPr>
          <w:rFonts w:ascii="Verdana" w:eastAsia="Calibri" w:hAnsi="Verdana" w:cs="Arial"/>
          <w:color w:val="000000"/>
          <w:lang w:val="es-ES_tradnl" w:eastAsia="es-ES_tradnl"/>
        </w:rPr>
      </w:pPr>
      <w:r w:rsidRPr="004505A6">
        <w:rPr>
          <w:rFonts w:ascii="Verdana" w:eastAsia="Calibri" w:hAnsi="Verdana" w:cs="Arial"/>
          <w:color w:val="000000"/>
          <w:lang w:val="es-ES_tradnl" w:eastAsia="es-ES_tradnl"/>
        </w:rPr>
        <w:t xml:space="preserve"> </w:t>
      </w:r>
    </w:p>
    <w:p w14:paraId="3BCBB7B9" w14:textId="77777777" w:rsidR="004505A6" w:rsidRPr="004505A6" w:rsidRDefault="004505A6" w:rsidP="004505A6">
      <w:pPr>
        <w:spacing w:after="0" w:line="240" w:lineRule="auto"/>
        <w:ind w:left="709" w:right="709"/>
        <w:jc w:val="both"/>
        <w:rPr>
          <w:rFonts w:ascii="Verdana" w:eastAsia="Calibri" w:hAnsi="Verdana" w:cs="Arial"/>
          <w:color w:val="000000"/>
          <w:sz w:val="20"/>
          <w:szCs w:val="20"/>
          <w:lang w:val="es-ES_tradnl" w:eastAsia="es-ES_tradnl"/>
        </w:rPr>
      </w:pPr>
      <w:r w:rsidRPr="004505A6">
        <w:rPr>
          <w:rFonts w:ascii="Verdana" w:eastAsia="Calibri" w:hAnsi="Verdana" w:cs="Arial"/>
          <w:i/>
          <w:iCs/>
          <w:color w:val="000000"/>
          <w:sz w:val="20"/>
          <w:szCs w:val="20"/>
          <w:lang w:val="es-ES_tradnl" w:eastAsia="es-ES_tradnl"/>
        </w:rPr>
        <w:t>“</w:t>
      </w:r>
      <w:r w:rsidRPr="004505A6">
        <w:rPr>
          <w:rFonts w:ascii="Verdana" w:eastAsia="Calibri" w:hAnsi="Verdana" w:cs="Arial"/>
          <w:color w:val="000000"/>
          <w:sz w:val="20"/>
          <w:szCs w:val="20"/>
          <w:lang w:val="es-ES_tradnl" w:eastAsia="es-ES_tradnl"/>
        </w:rPr>
        <w:t xml:space="preserve">Artículo 5. De la Selección Objetiva. </w:t>
      </w:r>
    </w:p>
    <w:p w14:paraId="11540CB3" w14:textId="77777777" w:rsidR="004505A6" w:rsidRPr="004505A6" w:rsidRDefault="004505A6" w:rsidP="004505A6">
      <w:pPr>
        <w:spacing w:after="0" w:line="240" w:lineRule="auto"/>
        <w:ind w:left="709" w:right="709"/>
        <w:jc w:val="both"/>
        <w:rPr>
          <w:rFonts w:ascii="Verdana" w:eastAsia="Calibri" w:hAnsi="Verdana" w:cs="Arial"/>
          <w:color w:val="000000"/>
          <w:sz w:val="20"/>
          <w:szCs w:val="20"/>
          <w:lang w:val="es-ES_tradnl" w:eastAsia="es-ES_tradnl"/>
        </w:rPr>
      </w:pPr>
      <w:r w:rsidRPr="004505A6">
        <w:rPr>
          <w:rFonts w:ascii="Verdana" w:eastAsia="Calibri" w:hAnsi="Verdana" w:cs="Arial"/>
          <w:color w:val="000000"/>
          <w:sz w:val="20"/>
          <w:szCs w:val="20"/>
          <w:lang w:val="es-ES_tradnl" w:eastAsia="es-ES_tradnl"/>
        </w:rPr>
        <w:t>[…]</w:t>
      </w:r>
    </w:p>
    <w:p w14:paraId="6077F65C" w14:textId="77777777" w:rsidR="004505A6" w:rsidRPr="004505A6" w:rsidRDefault="004505A6" w:rsidP="004505A6">
      <w:pPr>
        <w:spacing w:after="0"/>
        <w:ind w:left="709" w:right="709"/>
        <w:jc w:val="both"/>
        <w:rPr>
          <w:rFonts w:ascii="Verdana" w:eastAsia="Calibri" w:hAnsi="Verdana" w:cs="Arial"/>
          <w:color w:val="000000"/>
          <w:sz w:val="20"/>
          <w:szCs w:val="20"/>
          <w:lang w:val="es-ES"/>
        </w:rPr>
      </w:pPr>
      <w:r w:rsidRPr="004505A6">
        <w:rPr>
          <w:rFonts w:ascii="Verdana" w:eastAsia="Calibri"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7532FE43" w14:textId="77777777" w:rsidR="004505A6" w:rsidRPr="004505A6" w:rsidRDefault="004505A6" w:rsidP="004505A6">
      <w:pPr>
        <w:spacing w:after="0" w:line="276" w:lineRule="auto"/>
        <w:ind w:left="1497" w:right="709"/>
        <w:contextualSpacing/>
        <w:jc w:val="both"/>
        <w:rPr>
          <w:rFonts w:ascii="Verdana" w:eastAsia="Calibri" w:hAnsi="Verdana" w:cs="Arial"/>
          <w:color w:val="000000"/>
          <w:lang w:val="es-ES_tradnl"/>
        </w:rPr>
      </w:pPr>
    </w:p>
    <w:p w14:paraId="40513E2F" w14:textId="77777777" w:rsidR="004505A6" w:rsidRPr="004505A6" w:rsidRDefault="004505A6" w:rsidP="004505A6">
      <w:pPr>
        <w:spacing w:after="120" w:line="276" w:lineRule="auto"/>
        <w:ind w:firstLine="709"/>
        <w:jc w:val="both"/>
        <w:rPr>
          <w:rFonts w:ascii="Verdana" w:eastAsia="Calibri" w:hAnsi="Verdana" w:cs="Arial"/>
          <w:lang w:eastAsia="es-MX"/>
        </w:rPr>
      </w:pPr>
      <w:r w:rsidRPr="004505A6">
        <w:rPr>
          <w:rFonts w:ascii="Verdana" w:eastAsia="Calibri" w:hAnsi="Verdana" w:cs="Arial"/>
          <w:lang w:val="es-MX"/>
        </w:rPr>
        <w:t xml:space="preserve">Una vez fijados los requisitos habilitantes por la Entidad Estatal, quienes presenten ofertas deben acreditar que cumplen con los mismos, pues, en el evento contrario, las propuestas </w:t>
      </w:r>
      <w:r w:rsidRPr="004505A6">
        <w:rPr>
          <w:rFonts w:ascii="Verdana" w:eastAsia="Calibri" w:hAnsi="Verdana" w:cs="Arial"/>
          <w:lang w:eastAsia="es-MX"/>
        </w:rPr>
        <w:t>deberán ser rechazadas. El ente encargado de verificar el cumplimiento por parte de los proponentes sobre los requisitos que haya considerado la entidad como habilitantes será la Cámara de Comercio, esto en la medida en que, mediante el Registro Único de Proponentes –RUP</w:t>
      </w:r>
      <w:r w:rsidRPr="004505A6">
        <w:rPr>
          <w:rFonts w:ascii="Verdana" w:eastAsia="Calibri" w:hAnsi="Verdana" w:cs="Arial"/>
          <w:vertAlign w:val="superscript"/>
          <w:lang w:eastAsia="es-MX"/>
        </w:rPr>
        <w:footnoteReference w:id="2"/>
      </w:r>
      <w:r w:rsidRPr="004505A6">
        <w:rPr>
          <w:rFonts w:ascii="Verdana" w:eastAsia="Calibri" w:hAnsi="Verdana" w:cs="Arial"/>
          <w:lang w:eastAsia="es-MX"/>
        </w:rPr>
        <w:t xml:space="preserve">–, se pondrá de presente toda la información relacionada con la experiencia, </w:t>
      </w:r>
      <w:r w:rsidRPr="004505A6">
        <w:rPr>
          <w:rFonts w:ascii="Verdana" w:eastAsia="Calibri" w:hAnsi="Verdana" w:cs="Arial"/>
          <w:lang w:eastAsia="es-MX"/>
        </w:rPr>
        <w:lastRenderedPageBreak/>
        <w:t xml:space="preserve">capacidad jurídica, capacidad financiera y organizacional, así como la clasificación del proponente. </w:t>
      </w:r>
    </w:p>
    <w:p w14:paraId="07CB7602"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El artículo 6 de la Ley 1150 de 2007, que regula los sujetos que deben inscribirse en el RUP, señaló que deben hacerlo las personas naturales o jurídicas, nacionales o extranjeras que tengan domicilio o sucursal en el país. Estas personas tienen la obligación de registrarse en el RUP, en dos casos: a) cuando pretendan celebrar contratos estatales y b) si el procedimiento de contratación es de aquellos en los cuales no se exceptúa el RUP, de acuerdo con el inciso segundo del artículo 6 de la Ley 1150 de 2007 –contratación directa, contratos para la prestación de servicios de salud, contratos de mínima cuantía, entre otros puestos de presente por la norma–. </w:t>
      </w:r>
    </w:p>
    <w:p w14:paraId="237AD18B"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De esto se desprende que las personas extranjeras sin domicilio o sucursal en Colombia que pretendan celebrar contratos con el Estado colombiano no están obligadas a inscribirse en el RUP, puesto que, tratándose de proponentes extranjeros la norma únicamente señala como obligados a quienes tengan domicilio o sucursal en el país. En consecuencia, este tipo de proponentes extranjeros deberán acreditar la experiencia y los demás requisitos habilitantes exigidos en los procesos de selección de contratación pública en los que participen mediante la presentación de los documentos que cumplan con los requisitos de validez dispuestos por la ley y el pliego de condiciones que haya determinado previamente la Entidad Estatal, para que sirvan de prueba, y la Entidad Estatal deberá realizar una verificación directa del cumplimiento de los requisitos habilitantes.</w:t>
      </w:r>
    </w:p>
    <w:p w14:paraId="39C5786B"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Ahora bien, dentro de los requisitos habilitantes se destaca la capacidad financiera, la cual se deriva del comportamiento contable de la empresa, su liquidez y endeudamiento, para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razón de cobertura”</w:t>
      </w:r>
      <w:r w:rsidRPr="004505A6">
        <w:rPr>
          <w:rFonts w:ascii="Verdana" w:eastAsia="Calibri" w:hAnsi="Verdana" w:cs="Arial"/>
          <w:vertAlign w:val="superscript"/>
          <w:lang w:eastAsia="es-MX"/>
        </w:rPr>
        <w:footnoteReference w:id="3"/>
      </w:r>
      <w:r w:rsidRPr="004505A6">
        <w:rPr>
          <w:rFonts w:ascii="Verdana" w:eastAsia="Calibri" w:hAnsi="Verdana" w:cs="Arial"/>
          <w:lang w:eastAsia="es-MX"/>
        </w:rPr>
        <w:t xml:space="preserve">. </w:t>
      </w:r>
    </w:p>
    <w:p w14:paraId="67A9802E"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lastRenderedPageBreak/>
        <w:t>En ese escenario,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w:t>
      </w:r>
      <w:r w:rsidRPr="004505A6">
        <w:rPr>
          <w:rFonts w:ascii="Verdana" w:eastAsia="Calibri" w:hAnsi="Verdana" w:cs="Arial"/>
          <w:vertAlign w:val="superscript"/>
          <w:lang w:eastAsia="es-MX"/>
        </w:rPr>
        <w:footnoteReference w:id="4"/>
      </w:r>
      <w:r w:rsidRPr="004505A6">
        <w:rPr>
          <w:rFonts w:ascii="Verdana" w:eastAsia="Calibri" w:hAnsi="Verdana" w:cs="Arial"/>
          <w:lang w:eastAsia="es-MX"/>
        </w:rPr>
        <w:t xml:space="preserve"> y sus componentes como la identificación de riesgos, el mercado y precio del bien, obra o servicio a contratar</w:t>
      </w:r>
      <w:r w:rsidRPr="004505A6">
        <w:rPr>
          <w:rFonts w:ascii="Verdana" w:eastAsia="Calibri" w:hAnsi="Verdana" w:cs="Arial"/>
          <w:vertAlign w:val="superscript"/>
          <w:lang w:eastAsia="es-MX"/>
        </w:rPr>
        <w:footnoteReference w:id="5"/>
      </w:r>
      <w:r w:rsidRPr="004505A6">
        <w:rPr>
          <w:rFonts w:ascii="Verdana" w:eastAsia="Calibri" w:hAnsi="Verdana" w:cs="Arial"/>
          <w:lang w:eastAsia="es-MX"/>
        </w:rPr>
        <w:t>.</w:t>
      </w:r>
    </w:p>
    <w:p w14:paraId="6CA74059"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De conformidad con lo dispuesto en los artículos 5, numeral 1 de la Ley 1150 de 2007 y 2.2.1.1.1.5.3 del Decreto 1082 de 2015, por regla general, la acreditación del requisito habilitante de capacidad financiera se realiza a través del RUP. En atención a esto, para los tramites de inscripción, renovación y actualización el numeral 2.3 del artículo 2.2.1.1.1.5.2 del Decreto 1082 de 2015 se exige la presentación de los “Estados financieros de la sociedad y los estados financieros consolidados del grupo empresarial, cuando la norma aplicable lo exige, auditados con sus notas […]”, además de unos anexos dirigidos a servir de medio de verificación de la salud financiera de los proponentes</w:t>
      </w:r>
      <w:r w:rsidRPr="004505A6">
        <w:rPr>
          <w:rFonts w:ascii="Verdana" w:eastAsia="Calibri" w:hAnsi="Verdana" w:cs="Arial"/>
          <w:vertAlign w:val="superscript"/>
          <w:lang w:eastAsia="es-MX"/>
        </w:rPr>
        <w:footnoteReference w:id="6"/>
      </w:r>
      <w:r w:rsidRPr="004505A6">
        <w:rPr>
          <w:rFonts w:ascii="Verdana" w:eastAsia="Calibri" w:hAnsi="Verdana" w:cs="Arial"/>
          <w:lang w:eastAsia="es-MX"/>
        </w:rPr>
        <w:t xml:space="preserve">.  De este </w:t>
      </w:r>
      <w:r w:rsidRPr="004505A6">
        <w:rPr>
          <w:rFonts w:ascii="Verdana" w:eastAsia="Calibri" w:hAnsi="Verdana" w:cs="Arial"/>
          <w:lang w:eastAsia="es-MX"/>
        </w:rPr>
        <w:lastRenderedPageBreak/>
        <w:t xml:space="preserve">modo, lo que se verifica con el registro es que el proponente cumpla con los indicadores financieros solicitados por la entidad para medir la capacidad financiera requerida para el procedimiento de selección. </w:t>
      </w:r>
    </w:p>
    <w:p w14:paraId="675C75CA"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Según el artículo 2.2.1.1.1.5.3. del Decreto 1082 de 2015, el RUP contempla como indicadores de capacidad financiera los siguientes: i) el índice de liquidez, que corresponde a la división entre el activo corriente y el pasivo corriente, y que determina la capacidad que tiene el proponente para cumplir con sus obligaciones de corto plazo; </w:t>
      </w:r>
      <w:proofErr w:type="spellStart"/>
      <w:r w:rsidRPr="004505A6">
        <w:rPr>
          <w:rFonts w:ascii="Verdana" w:eastAsia="Calibri" w:hAnsi="Verdana" w:cs="Arial"/>
          <w:lang w:eastAsia="es-MX"/>
        </w:rPr>
        <w:t>ii</w:t>
      </w:r>
      <w:proofErr w:type="spellEnd"/>
      <w:r w:rsidRPr="004505A6">
        <w:rPr>
          <w:rFonts w:ascii="Verdana" w:eastAsia="Calibri" w:hAnsi="Verdana" w:cs="Arial"/>
          <w:lang w:eastAsia="es-MX"/>
        </w:rPr>
        <w:t xml:space="preserve">) el índice de endeudamiento, que se calcula dividiendo el pasivo total por el activo total, el cual determina el grado de endeudamiento en la estructura de financiación del proponente; y </w:t>
      </w:r>
      <w:proofErr w:type="spellStart"/>
      <w:r w:rsidRPr="004505A6">
        <w:rPr>
          <w:rFonts w:ascii="Verdana" w:eastAsia="Calibri" w:hAnsi="Verdana" w:cs="Arial"/>
          <w:lang w:eastAsia="es-MX"/>
        </w:rPr>
        <w:t>iii</w:t>
      </w:r>
      <w:proofErr w:type="spellEnd"/>
      <w:r w:rsidRPr="004505A6">
        <w:rPr>
          <w:rFonts w:ascii="Verdana" w:eastAsia="Calibri" w:hAnsi="Verdana" w:cs="Arial"/>
          <w:lang w:eastAsia="es-MX"/>
        </w:rPr>
        <w:t>) la razón de cobertura de intereses, que es igual a la utilidad operacional, sobre los gastos de intereses, y que refleja la capacidad del proponente para cumplir con sus obligaciones financieras. Adicionalmente, la Agencia Nacional de Contratación Pública – Colombia Compra Eficiente recomienda valorar otro tipo de indicadores como el capital de trabajo, la razón de efectivo, la denominada prueba ácida</w:t>
      </w:r>
      <w:r w:rsidRPr="004505A6">
        <w:rPr>
          <w:rFonts w:ascii="Verdana" w:eastAsia="Calibri" w:hAnsi="Verdana" w:cs="Arial"/>
          <w:vertAlign w:val="superscript"/>
          <w:lang w:eastAsia="es-MX"/>
        </w:rPr>
        <w:footnoteReference w:id="7"/>
      </w:r>
      <w:r w:rsidRPr="004505A6">
        <w:rPr>
          <w:rFonts w:ascii="Verdana" w:eastAsia="Calibri" w:hAnsi="Verdana" w:cs="Arial"/>
          <w:lang w:eastAsia="es-MX"/>
        </w:rPr>
        <w:t>, la concentración de endeudamiento a corto y a largo plazo y el patrimonio</w:t>
      </w:r>
      <w:r w:rsidRPr="004505A6">
        <w:rPr>
          <w:rFonts w:ascii="Verdana" w:eastAsia="Calibri" w:hAnsi="Verdana" w:cs="Arial"/>
          <w:vertAlign w:val="superscript"/>
          <w:lang w:eastAsia="es-MX"/>
        </w:rPr>
        <w:footnoteReference w:id="8"/>
      </w:r>
      <w:r w:rsidRPr="004505A6">
        <w:rPr>
          <w:rFonts w:ascii="Verdana" w:eastAsia="Calibri" w:hAnsi="Verdana" w:cs="Arial"/>
          <w:lang w:eastAsia="es-MX"/>
        </w:rPr>
        <w:t>.</w:t>
      </w:r>
    </w:p>
    <w:p w14:paraId="611FB01B"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De igual forma, es importante tener en cuenta que el numeral 3 del artículo 2.2.1.1.1.5.3. del Decreto 1082 de 2015 se refiere a los aspectos de la capacidad financiera que deben verificar las cámaras de comercio al momento de la inscripción, renovación o actualización del RUP. Sin embargo, no dispone expresamente que el índice de liquidez, el índice de endeudamiento y la razón de cobertura de intereses sean aspectos que deban validarse obligatoriamente en cada proceso de selección. Una cosa son los requisitos de capacidad financiera que debe certificar el registro y otra, muy diferente, los aspectos de este requisito habilitante que la entidad verifica en cada procedimiento contractual. Mientras los primeros están regulados en el artículo 2.2.1.1.1.5.3. del Decreto 1082 de 2015, los segundos debe establecerlos la entidad contratante en el pliego de condiciones o la invitación, según corresponda.</w:t>
      </w:r>
    </w:p>
    <w:p w14:paraId="17B3E0F7"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lastRenderedPageBreak/>
        <w:t xml:space="preserve">Para efectos de fijar los indicadores de capacidad financiera en el proceso de contratación, el Manual para Determinar y Verificar los Requisitos Habilitantes en los Procesos de Contratación establece un marco detallado para estructurar la capacidad financiera de los proponentes, garantizando que estos puedan cumplir con las obligaciones del contrato de manera eficiente y oportuna. El numeral 4.1 del Manual establece la fórmula y la descripción de cada uno de estos indicadores así: </w:t>
      </w:r>
    </w:p>
    <w:p w14:paraId="6ACA1F72" w14:textId="77777777" w:rsidR="004505A6" w:rsidRPr="004505A6" w:rsidRDefault="004505A6" w:rsidP="004505A6">
      <w:pPr>
        <w:spacing w:before="120" w:after="120" w:line="276" w:lineRule="auto"/>
        <w:ind w:firstLine="709"/>
        <w:jc w:val="center"/>
        <w:rPr>
          <w:rFonts w:ascii="Verdana" w:eastAsia="Calibri" w:hAnsi="Verdana" w:cs="Arial"/>
          <w:lang w:eastAsia="es-MX"/>
        </w:rPr>
      </w:pPr>
      <w:r w:rsidRPr="004505A6">
        <w:rPr>
          <w:rFonts w:ascii="Verdana" w:eastAsia="Calibri" w:hAnsi="Verdana" w:cs="Arial"/>
          <w:noProof/>
          <w:lang w:eastAsia="es-MX"/>
        </w:rPr>
        <w:drawing>
          <wp:inline distT="0" distB="0" distL="0" distR="0" wp14:anchorId="6A57C452" wp14:editId="44137872">
            <wp:extent cx="5287108" cy="2767471"/>
            <wp:effectExtent l="0" t="0" r="0" b="1270"/>
            <wp:docPr id="1658878428" name="Imagen 1" descr="Tab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878428" name="Imagen 1" descr="Tabla"/>
                    <pic:cNvPicPr/>
                  </pic:nvPicPr>
                  <pic:blipFill>
                    <a:blip r:embed="rId14"/>
                    <a:stretch>
                      <a:fillRect/>
                    </a:stretch>
                  </pic:blipFill>
                  <pic:spPr>
                    <a:xfrm>
                      <a:off x="0" y="0"/>
                      <a:ext cx="5293558" cy="2770847"/>
                    </a:xfrm>
                    <a:prstGeom prst="rect">
                      <a:avLst/>
                    </a:prstGeom>
                  </pic:spPr>
                </pic:pic>
              </a:graphicData>
            </a:graphic>
          </wp:inline>
        </w:drawing>
      </w:r>
    </w:p>
    <w:p w14:paraId="67254FB3"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La entidad también debe establecer valores mínimos o máximos para estos indicadores según el nivel de riesgo que representan. Para tales efectos, el Manual ilustra una tabla que muestra la interpretación de cada uno de los indicadores de capacidad financiera que debe contener el RUP y su relación con la probabilidad de Riesgo: </w:t>
      </w:r>
    </w:p>
    <w:p w14:paraId="1D6F6676"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noProof/>
          <w:lang w:eastAsia="es-MX"/>
        </w:rPr>
        <w:drawing>
          <wp:inline distT="0" distB="0" distL="0" distR="0" wp14:anchorId="3A009484" wp14:editId="434E6365">
            <wp:extent cx="4869180" cy="1623060"/>
            <wp:effectExtent l="0" t="0" r="7620" b="0"/>
            <wp:docPr id="6674546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454653" name=""/>
                    <pic:cNvPicPr/>
                  </pic:nvPicPr>
                  <pic:blipFill>
                    <a:blip r:embed="rId15"/>
                    <a:stretch>
                      <a:fillRect/>
                    </a:stretch>
                  </pic:blipFill>
                  <pic:spPr>
                    <a:xfrm>
                      <a:off x="0" y="0"/>
                      <a:ext cx="4880214" cy="1626738"/>
                    </a:xfrm>
                    <a:prstGeom prst="rect">
                      <a:avLst/>
                    </a:prstGeom>
                  </pic:spPr>
                </pic:pic>
              </a:graphicData>
            </a:graphic>
          </wp:inline>
        </w:drawing>
      </w:r>
    </w:p>
    <w:p w14:paraId="55BA8DF0" w14:textId="77777777" w:rsidR="004505A6" w:rsidRPr="004505A6" w:rsidRDefault="004505A6" w:rsidP="004505A6">
      <w:pPr>
        <w:spacing w:after="120" w:line="276" w:lineRule="auto"/>
        <w:ind w:firstLine="709"/>
        <w:jc w:val="both"/>
        <w:rPr>
          <w:rFonts w:ascii="Verdana" w:eastAsia="Calibri" w:hAnsi="Verdana" w:cs="Arial"/>
          <w:lang w:eastAsia="es-MX"/>
        </w:rPr>
      </w:pPr>
      <w:r w:rsidRPr="004505A6">
        <w:rPr>
          <w:rFonts w:ascii="Verdana" w:eastAsia="Calibri" w:hAnsi="Verdana" w:cs="Arial"/>
          <w:lang w:eastAsia="es-MX"/>
        </w:rPr>
        <w:lastRenderedPageBreak/>
        <w:t xml:space="preserve">En este contexto, la Entidad Estatal debe establecer el límite para los indicadores de capacidad financiera en función de las características del contrato, como su naturaleza, valor, plazo y complejidad y evitar hacerlo de manera mecánica, pues cada proceso de contratación tiene una naturaleza distinta y está asociado a riesgos particulares. Por tanto, la entidad debe establecer un umbral adecuado para el indicador, fijando valores máximos o mínimos aceptables con los operadores "menor o igual (≤)" o "mayor o igual (≥)", según lo que considere apropiado para asegurar que el proponente pueda cumplir con sus obligaciones contractuales sin comprometer su estabilidad financiera. </w:t>
      </w:r>
    </w:p>
    <w:p w14:paraId="70E41E8E" w14:textId="77777777" w:rsidR="004505A6" w:rsidRPr="004505A6" w:rsidRDefault="004505A6" w:rsidP="004505A6">
      <w:pPr>
        <w:spacing w:after="0" w:line="276" w:lineRule="auto"/>
        <w:ind w:firstLine="709"/>
        <w:jc w:val="both"/>
        <w:rPr>
          <w:rFonts w:ascii="Verdana" w:hAnsi="Verdana" w:cs="Arial"/>
        </w:rPr>
      </w:pPr>
      <w:r w:rsidRPr="004505A6">
        <w:rPr>
          <w:rFonts w:ascii="Verdana" w:hAnsi="Verdana" w:cs="Arial"/>
        </w:rPr>
        <w:t xml:space="preserve">El numeral 5.3 del Manual establece las pautas </w:t>
      </w:r>
      <w:proofErr w:type="gramStart"/>
      <w:r w:rsidRPr="004505A6">
        <w:rPr>
          <w:rFonts w:ascii="Verdana" w:hAnsi="Verdana" w:cs="Arial"/>
        </w:rPr>
        <w:t>a</w:t>
      </w:r>
      <w:proofErr w:type="gramEnd"/>
      <w:r w:rsidRPr="004505A6">
        <w:rPr>
          <w:rFonts w:ascii="Verdana" w:hAnsi="Verdana" w:cs="Arial"/>
        </w:rPr>
        <w:t xml:space="preserve"> tener en cuenta por las Entidades Estatales para fijar los indicadores de capacidad financiera y organizacional y señala la necesidad de determinar reglas específicas para los casos en los que el indicador cuente con valores en cero. Al respecto, señaló lo siguiente: </w:t>
      </w:r>
    </w:p>
    <w:p w14:paraId="7A751CC7" w14:textId="77777777" w:rsidR="004505A6" w:rsidRPr="004505A6" w:rsidRDefault="004505A6" w:rsidP="004505A6">
      <w:pPr>
        <w:spacing w:after="0" w:line="240" w:lineRule="auto"/>
        <w:ind w:firstLine="709"/>
        <w:jc w:val="both"/>
        <w:rPr>
          <w:rFonts w:ascii="Verdana" w:hAnsi="Verdana" w:cs="Arial"/>
        </w:rPr>
      </w:pPr>
    </w:p>
    <w:p w14:paraId="79DDED69" w14:textId="77777777" w:rsidR="004505A6" w:rsidRPr="004505A6" w:rsidRDefault="004505A6" w:rsidP="004505A6">
      <w:pPr>
        <w:spacing w:after="0" w:line="240" w:lineRule="auto"/>
        <w:ind w:left="709" w:right="709"/>
        <w:jc w:val="both"/>
        <w:rPr>
          <w:rFonts w:ascii="Verdana" w:eastAsia="Calibri" w:hAnsi="Verdana" w:cs="Arial"/>
          <w:i/>
          <w:iCs/>
          <w:color w:val="000000"/>
          <w:sz w:val="20"/>
          <w:szCs w:val="20"/>
          <w:lang w:val="es-ES_tradnl" w:eastAsia="es-ES_tradnl"/>
        </w:rPr>
      </w:pPr>
      <w:r w:rsidRPr="004505A6">
        <w:rPr>
          <w:rFonts w:ascii="Verdana" w:eastAsia="Calibri" w:hAnsi="Verdana" w:cs="Arial"/>
          <w:color w:val="000000"/>
          <w:sz w:val="20"/>
          <w:szCs w:val="20"/>
          <w:lang w:val="es-ES_tradnl" w:eastAsia="es-ES_tradnl"/>
        </w:rPr>
        <w:t>“Debido a que hay indicadores que resultan de realizar divisiones entre valores, la Entidad Estatal debe establecer explícitamente en los Documentos del Proceso una regla para determinar cómo lo evaluará cuando el denominador es cero, pues en este caso no es posible realizar esta operación matemática. Por ejemplo, en el caso del indicador de cobertura de intereses, puede haber empresas que no presentan obligaciones financieras y, por ende, no incurren en gastos financieros, es decir, el denominador es cero (0) y no sería posible calcular el indicador. En este evento, la regla puede ser que el proponente que no tiene obligaciones financieras resulta habilitado”</w:t>
      </w:r>
      <w:r w:rsidRPr="004505A6">
        <w:rPr>
          <w:rFonts w:ascii="Verdana" w:eastAsia="Calibri" w:hAnsi="Verdana" w:cs="Arial"/>
          <w:i/>
          <w:iCs/>
          <w:color w:val="000000"/>
          <w:sz w:val="20"/>
          <w:szCs w:val="20"/>
          <w:lang w:val="es-ES_tradnl" w:eastAsia="es-ES_tradnl"/>
        </w:rPr>
        <w:t xml:space="preserve">. </w:t>
      </w:r>
    </w:p>
    <w:p w14:paraId="51E9BD5E" w14:textId="77777777" w:rsidR="004505A6" w:rsidRPr="004505A6" w:rsidRDefault="004505A6" w:rsidP="004505A6">
      <w:pPr>
        <w:spacing w:after="0" w:line="276" w:lineRule="auto"/>
        <w:ind w:firstLine="709"/>
        <w:jc w:val="both"/>
        <w:rPr>
          <w:rFonts w:ascii="Verdana" w:eastAsia="Arial" w:hAnsi="Verdana" w:cs="Arial"/>
          <w:lang w:val="es-ES"/>
        </w:rPr>
      </w:pPr>
    </w:p>
    <w:p w14:paraId="0F12B277" w14:textId="77777777" w:rsidR="004505A6" w:rsidRPr="004505A6" w:rsidRDefault="004505A6" w:rsidP="004505A6">
      <w:pPr>
        <w:spacing w:after="120" w:line="276" w:lineRule="auto"/>
        <w:ind w:firstLine="709"/>
        <w:jc w:val="both"/>
        <w:rPr>
          <w:rFonts w:ascii="Verdana" w:eastAsia="Arial" w:hAnsi="Verdana" w:cs="Arial"/>
          <w:lang w:val="es-ES"/>
        </w:rPr>
      </w:pPr>
      <w:r w:rsidRPr="004505A6">
        <w:rPr>
          <w:rFonts w:ascii="Verdana" w:eastAsia="Arial" w:hAnsi="Verdana" w:cs="Arial"/>
          <w:lang w:val="es-ES"/>
        </w:rPr>
        <w:t xml:space="preserve">De esta manera, se evidencia que, en los indicadores de capacidad financiera como el índice de liquidez, es posible obtener resultados incomprensibles cuando el denominador es igual a cero, lo que podría dar lugar a que el resultado sea indeterminado. Así,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 </w:t>
      </w:r>
    </w:p>
    <w:p w14:paraId="5B55479C" w14:textId="77777777" w:rsidR="004505A6" w:rsidRPr="004505A6" w:rsidRDefault="004505A6" w:rsidP="004505A6">
      <w:pPr>
        <w:spacing w:after="120" w:line="276" w:lineRule="auto"/>
        <w:ind w:firstLine="709"/>
        <w:jc w:val="both"/>
        <w:rPr>
          <w:rFonts w:ascii="Verdana" w:eastAsia="Arial" w:hAnsi="Verdana" w:cs="Arial"/>
        </w:rPr>
      </w:pPr>
      <w:r w:rsidRPr="004505A6">
        <w:rPr>
          <w:rFonts w:ascii="Verdana" w:eastAsia="Arial" w:hAnsi="Verdana" w:cs="Arial"/>
          <w:lang w:val="es-ES"/>
        </w:rPr>
        <w:t xml:space="preserve">A modo de ilustración, vale la pena señalar que en el numeral 3.6 “Capacidad Financiera” de los documentos tipo de licitación pública de infraestructura de transporte V4 se establece una regla específicamente en el </w:t>
      </w:r>
      <w:r w:rsidRPr="004505A6">
        <w:rPr>
          <w:rFonts w:ascii="Verdana" w:eastAsia="Arial" w:hAnsi="Verdana" w:cs="Arial"/>
          <w:lang w:val="es-ES"/>
        </w:rPr>
        <w:lastRenderedPageBreak/>
        <w:t>caso descrito según la cual: “</w:t>
      </w:r>
      <w:r w:rsidRPr="004505A6">
        <w:rPr>
          <w:rFonts w:ascii="Verdana" w:eastAsia="Arial" w:hAnsi="Verdana" w:cs="Arial"/>
        </w:rPr>
        <w:t xml:space="preserve">El Proponente que no tiene pasivos corrientes está habilitado respecto del índice de liquidez. El Proponente que no tiene gastos de intereses está habilitado respecto de la razón de cobertura de intereses, siempre y cuando la utilidad operacional sea igual o mayor a cero (0). </w:t>
      </w:r>
      <w:r w:rsidRPr="004505A6">
        <w:rPr>
          <w:rFonts w:ascii="Verdana" w:eastAsia="Arial" w:hAnsi="Verdana" w:cs="Arial"/>
          <w:lang w:val="es-MX"/>
        </w:rPr>
        <w:t>De igual forma, para calcular la capacidad financiera de la capacidad residual del proponente, el literal C del numeral 3.11.2 de los documentos tipo señala que “Cuando el proponente tiene un pasivo corriente igual a cero (0) y por consiguiente su índice de liquidez sea indeterminado, la entidad debe otorgar el mayor puntaje en el componente de capacidad financiera (CF)”.</w:t>
      </w:r>
    </w:p>
    <w:p w14:paraId="71A91757" w14:textId="77777777" w:rsidR="004505A6" w:rsidRPr="004505A6" w:rsidRDefault="004505A6" w:rsidP="004505A6">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En ese sentido, la entidad estatal es responsable de establecer los valores de los indicadores de capacidad financiera como requisitos habilitantes, así como </w:t>
      </w:r>
      <w:r w:rsidRPr="004505A6">
        <w:rPr>
          <w:rFonts w:ascii="Verdana" w:eastAsia="Calibri" w:hAnsi="Verdana" w:cs="Arial"/>
          <w:color w:val="000000"/>
          <w:lang w:eastAsia="es-ES_tradnl"/>
        </w:rPr>
        <w:t>determinar</w:t>
      </w:r>
      <w:r w:rsidRPr="004505A6">
        <w:rPr>
          <w:rFonts w:ascii="Verdana" w:eastAsia="Calibri" w:hAnsi="Verdana" w:cs="Arial"/>
          <w:lang w:eastAsia="es-MX"/>
        </w:rPr>
        <w:t xml:space="preserve"> reglas precisas para los casos en los que los indicadores, como el índice de liquidez o la razón de cobertura de intereses, presenten valores en cero o indeterminado. En todo caso, la valoración de estos eventos se debe efectuar con sujeción a las reglas establecidas en el pliego de condiciones, asegurando que los proponentes seleccionados sean financieramente sólidos y capaces de cumplir con</w:t>
      </w:r>
      <w:r w:rsidRPr="004505A6">
        <w:rPr>
          <w:rFonts w:ascii="Verdana" w:eastAsia="Calibri" w:hAnsi="Verdana" w:cs="Arial"/>
          <w:color w:val="000000"/>
          <w:lang w:eastAsia="es-ES_tradnl"/>
        </w:rPr>
        <w:t xml:space="preserve"> el objeto contractual. </w:t>
      </w:r>
    </w:p>
    <w:p w14:paraId="7EF1657B" w14:textId="77777777" w:rsidR="004505A6" w:rsidRPr="004505A6" w:rsidRDefault="004505A6" w:rsidP="004505A6">
      <w:pPr>
        <w:spacing w:after="0" w:line="276" w:lineRule="auto"/>
        <w:ind w:firstLine="709"/>
        <w:jc w:val="both"/>
        <w:rPr>
          <w:rFonts w:ascii="Verdana" w:hAnsi="Verdana" w:cs="Arial"/>
          <w:lang w:eastAsia="es-ES"/>
        </w:rPr>
      </w:pPr>
      <w:r w:rsidRPr="004505A6">
        <w:rPr>
          <w:rFonts w:ascii="Verdana" w:eastAsia="Calibri" w:hAnsi="Verdana" w:cs="Arial"/>
          <w:color w:val="000000" w:themeColor="text1"/>
        </w:rPr>
        <w:t>Así las cosas, la determinación de los requisitos o indicadores financieros y organizacionales específicos se enmarca en la autonomía de la entidad, la cual deberá definir aquellos que resulten pertinentes, razonables y proporcionales y deben fundarse en parámetros objetivos ajustados a la naturaleza y complejidad del proyecto, de manera que permitan verificar de forma suficiente la idoneidad del proponente para ejecutar el contrato. Por tanto,</w:t>
      </w:r>
      <w:r w:rsidRPr="004505A6">
        <w:rPr>
          <w:rFonts w:ascii="Verdana" w:hAnsi="Verdana" w:cs="Arial"/>
          <w:lang w:eastAsia="es-ES"/>
        </w:rPr>
        <w:t xml:space="preserve"> al tratarse de un análisis que debe realizarse en el procedimiento contractual específico por cada Entidad,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DCF09B6" w14:textId="77777777" w:rsidR="004505A6" w:rsidRPr="004505A6" w:rsidRDefault="004505A6" w:rsidP="004505A6">
      <w:pPr>
        <w:spacing w:after="0" w:line="276" w:lineRule="auto"/>
        <w:jc w:val="both"/>
        <w:rPr>
          <w:rFonts w:ascii="Verdana" w:eastAsia="Calibri" w:hAnsi="Verdana" w:cs="Arial"/>
          <w:lang w:eastAsia="es-MX"/>
        </w:rPr>
      </w:pPr>
    </w:p>
    <w:p w14:paraId="5AB43F7E" w14:textId="77777777" w:rsidR="004505A6" w:rsidRPr="004505A6" w:rsidRDefault="004505A6" w:rsidP="004505A6">
      <w:pPr>
        <w:numPr>
          <w:ilvl w:val="0"/>
          <w:numId w:val="1"/>
        </w:numPr>
        <w:tabs>
          <w:tab w:val="left" w:pos="142"/>
          <w:tab w:val="left" w:pos="284"/>
        </w:tabs>
        <w:spacing w:after="0" w:line="276" w:lineRule="auto"/>
        <w:jc w:val="both"/>
        <w:rPr>
          <w:rFonts w:ascii="Verdana" w:eastAsia="Century Gothic" w:hAnsi="Verdana" w:cs="Century Gothic"/>
          <w:b/>
          <w:bCs/>
        </w:rPr>
      </w:pPr>
      <w:r w:rsidRPr="004505A6">
        <w:rPr>
          <w:rFonts w:ascii="Verdana" w:eastAsia="Century Gothic" w:hAnsi="Verdana" w:cs="Century Gothic"/>
          <w:b/>
          <w:bCs/>
        </w:rPr>
        <w:t>Referencias normativas y jurisprudenciales:</w:t>
      </w:r>
    </w:p>
    <w:p w14:paraId="4FF49D57" w14:textId="77777777" w:rsidR="004505A6" w:rsidRPr="004505A6" w:rsidRDefault="004505A6" w:rsidP="004505A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05A6" w:rsidRPr="004505A6" w14:paraId="3C4CAA9A" w14:textId="77777777" w:rsidTr="006C22F9">
        <w:trPr>
          <w:trHeight w:val="856"/>
          <w:jc w:val="center"/>
        </w:trPr>
        <w:tc>
          <w:tcPr>
            <w:tcW w:w="8647" w:type="dxa"/>
          </w:tcPr>
          <w:p w14:paraId="7644E0E7" w14:textId="77777777" w:rsidR="004505A6" w:rsidRPr="004505A6" w:rsidRDefault="004505A6" w:rsidP="004505A6">
            <w:pPr>
              <w:numPr>
                <w:ilvl w:val="0"/>
                <w:numId w:val="3"/>
              </w:numPr>
              <w:spacing w:line="276" w:lineRule="auto"/>
              <w:contextualSpacing/>
              <w:rPr>
                <w:rFonts w:ascii="Verdana" w:eastAsia="Arial MT" w:hAnsi="Verdana" w:cs="Arial"/>
                <w:lang w:eastAsia="es-ES" w:bidi="es-ES"/>
              </w:rPr>
            </w:pPr>
            <w:r w:rsidRPr="004505A6">
              <w:rPr>
                <w:rFonts w:ascii="Verdana" w:eastAsia="Arial MT" w:hAnsi="Verdana" w:cs="Arial"/>
                <w:lang w:eastAsia="es-ES" w:bidi="es-ES"/>
              </w:rPr>
              <w:lastRenderedPageBreak/>
              <w:t>Ley 1150 de 2007: artículos 5 y 6</w:t>
            </w:r>
          </w:p>
          <w:p w14:paraId="4B74F700" w14:textId="77777777" w:rsidR="004505A6" w:rsidRPr="004505A6" w:rsidRDefault="004505A6" w:rsidP="004505A6">
            <w:pPr>
              <w:numPr>
                <w:ilvl w:val="0"/>
                <w:numId w:val="3"/>
              </w:numPr>
              <w:spacing w:line="276" w:lineRule="auto"/>
              <w:ind w:left="714" w:hanging="357"/>
              <w:contextualSpacing/>
              <w:jc w:val="both"/>
              <w:rPr>
                <w:rFonts w:ascii="Verdana" w:eastAsia="Arial MT" w:hAnsi="Verdana" w:cs="Arial"/>
                <w:lang w:eastAsia="es-ES" w:bidi="es-ES"/>
              </w:rPr>
            </w:pPr>
            <w:r w:rsidRPr="004505A6">
              <w:rPr>
                <w:rFonts w:ascii="Verdana" w:eastAsia="Arial MT" w:hAnsi="Verdana" w:cs="Arial"/>
                <w:lang w:eastAsia="es-ES" w:bidi="es-ES"/>
              </w:rPr>
              <w:t xml:space="preserve">Decreto 1082 de 2015: artículos 2.2.1.2.1.4.8, </w:t>
            </w:r>
            <w:r w:rsidRPr="004505A6">
              <w:rPr>
                <w:rFonts w:ascii="Verdana" w:eastAsia="Arial MT" w:hAnsi="Verdana" w:cs="Arial"/>
                <w:lang w:val="es-ES_tradnl" w:eastAsia="es-ES" w:bidi="es-ES"/>
              </w:rPr>
              <w:t>2.2.1.1.1.5.2</w:t>
            </w:r>
            <w:r w:rsidRPr="004505A6">
              <w:rPr>
                <w:rFonts w:ascii="Verdana" w:eastAsia="Arial MT" w:hAnsi="Verdana" w:cs="Arial"/>
                <w:b/>
                <w:bCs/>
                <w:lang w:val="es-ES_tradnl" w:eastAsia="es-ES" w:bidi="es-ES"/>
              </w:rPr>
              <w:t xml:space="preserve"> </w:t>
            </w:r>
            <w:r w:rsidRPr="004505A6">
              <w:rPr>
                <w:rFonts w:ascii="Verdana" w:eastAsia="Arial MT" w:hAnsi="Verdana" w:cs="Arial"/>
                <w:lang w:eastAsia="es-ES" w:bidi="es-ES"/>
              </w:rPr>
              <w:t xml:space="preserve">y 2.2.1.1.1.5.3 </w:t>
            </w:r>
          </w:p>
          <w:p w14:paraId="6134A938" w14:textId="77777777" w:rsidR="004505A6" w:rsidRPr="004505A6" w:rsidRDefault="004505A6" w:rsidP="004505A6">
            <w:pPr>
              <w:numPr>
                <w:ilvl w:val="0"/>
                <w:numId w:val="3"/>
              </w:numPr>
              <w:spacing w:line="276" w:lineRule="auto"/>
              <w:ind w:left="714" w:hanging="357"/>
              <w:contextualSpacing/>
              <w:jc w:val="both"/>
              <w:rPr>
                <w:rFonts w:ascii="Verdana" w:eastAsia="Arial MT" w:hAnsi="Verdana" w:cs="Arial"/>
                <w:lang w:eastAsia="es-ES" w:bidi="es-ES"/>
              </w:rPr>
            </w:pPr>
            <w:r w:rsidRPr="004505A6">
              <w:rPr>
                <w:rFonts w:ascii="Verdana" w:eastAsia="Arial MT" w:hAnsi="Verdana" w:cs="Arial"/>
                <w:lang w:val="es-ES_tradnl" w:eastAsia="es-ES" w:bidi="es-ES"/>
              </w:rPr>
              <w:t xml:space="preserve">Manual para </w:t>
            </w:r>
            <w:r w:rsidRPr="004505A6">
              <w:rPr>
                <w:rFonts w:ascii="Verdana" w:eastAsia="Arial MT" w:hAnsi="Verdana" w:cs="Arial"/>
                <w:lang w:eastAsia="es-ES" w:bidi="es-ES"/>
              </w:rPr>
              <w:t xml:space="preserve">Determinar y Verificar los Requisitos Habilitantes en los Procesos De Contratación. Disponible en: </w:t>
            </w:r>
            <w:hyperlink r:id="rId16" w:history="1">
              <w:r w:rsidRPr="004505A6">
                <w:rPr>
                  <w:rFonts w:ascii="Verdana" w:eastAsia="Arial MT" w:hAnsi="Verdana" w:cs="Arial"/>
                  <w:color w:val="0563C1" w:themeColor="hyperlink"/>
                  <w:u w:val="single"/>
                  <w:lang w:eastAsia="es-ES" w:bidi="es-ES"/>
                </w:rPr>
                <w:t>https://www.colombiacompra.gov.co/manuales-guias-y-pliegos-tipo/manuales-y-guias/manual-para-determinar-y-verificar-los-requisitos</w:t>
              </w:r>
            </w:hyperlink>
          </w:p>
        </w:tc>
      </w:tr>
    </w:tbl>
    <w:p w14:paraId="6439A6F1" w14:textId="77777777" w:rsidR="004505A6" w:rsidRPr="004505A6" w:rsidRDefault="004505A6" w:rsidP="004505A6">
      <w:pPr>
        <w:widowControl w:val="0"/>
        <w:autoSpaceDE w:val="0"/>
        <w:autoSpaceDN w:val="0"/>
        <w:spacing w:after="0" w:line="276" w:lineRule="auto"/>
        <w:jc w:val="both"/>
        <w:rPr>
          <w:rFonts w:ascii="Verdana" w:hAnsi="Verdana" w:cs="Arial"/>
        </w:rPr>
      </w:pPr>
    </w:p>
    <w:p w14:paraId="12C652F4" w14:textId="77777777" w:rsidR="004505A6" w:rsidRPr="004505A6" w:rsidRDefault="004505A6" w:rsidP="004505A6">
      <w:pPr>
        <w:numPr>
          <w:ilvl w:val="0"/>
          <w:numId w:val="1"/>
        </w:numPr>
        <w:tabs>
          <w:tab w:val="left" w:pos="142"/>
          <w:tab w:val="left" w:pos="284"/>
        </w:tabs>
        <w:spacing w:after="0" w:line="276" w:lineRule="auto"/>
        <w:jc w:val="both"/>
        <w:rPr>
          <w:rFonts w:ascii="Verdana" w:eastAsia="Century Gothic" w:hAnsi="Verdana" w:cs="Century Gothic"/>
          <w:b/>
          <w:bCs/>
        </w:rPr>
      </w:pPr>
      <w:r w:rsidRPr="004505A6">
        <w:rPr>
          <w:rFonts w:ascii="Verdana" w:eastAsia="Century Gothic" w:hAnsi="Verdana" w:cs="Century Gothic"/>
          <w:b/>
          <w:bCs/>
        </w:rPr>
        <w:t>Doctrina de la Agencia Nacional de Contratación Pública:</w:t>
      </w:r>
    </w:p>
    <w:p w14:paraId="5D692797" w14:textId="77777777" w:rsidR="004505A6" w:rsidRPr="004505A6" w:rsidRDefault="004505A6" w:rsidP="004505A6">
      <w:pPr>
        <w:widowControl w:val="0"/>
        <w:autoSpaceDE w:val="0"/>
        <w:autoSpaceDN w:val="0"/>
        <w:spacing w:after="0" w:line="276" w:lineRule="auto"/>
        <w:jc w:val="both"/>
        <w:rPr>
          <w:rFonts w:ascii="Verdana" w:hAnsi="Verdana" w:cs="Arial"/>
        </w:rPr>
      </w:pPr>
    </w:p>
    <w:p w14:paraId="2620BA9A" w14:textId="77777777" w:rsidR="004505A6" w:rsidRPr="004505A6" w:rsidRDefault="004505A6" w:rsidP="004505A6">
      <w:pPr>
        <w:widowControl w:val="0"/>
        <w:autoSpaceDE w:val="0"/>
        <w:autoSpaceDN w:val="0"/>
        <w:spacing w:after="0" w:line="276" w:lineRule="auto"/>
        <w:jc w:val="both"/>
        <w:rPr>
          <w:rFonts w:ascii="Verdana" w:eastAsia="Calibri" w:hAnsi="Verdana" w:cs="Arial"/>
          <w:color w:val="000000" w:themeColor="text1"/>
          <w:lang w:val="es-ES_tradnl" w:eastAsia="es-ES_tradnl"/>
        </w:rPr>
      </w:pPr>
      <w:r w:rsidRPr="004505A6">
        <w:rPr>
          <w:rFonts w:ascii="Verdana" w:eastAsia="Calibri" w:hAnsi="Verdana" w:cs="Arial"/>
          <w:color w:val="000000" w:themeColor="text1"/>
          <w:lang w:val="es-ES" w:eastAsia="es-ES_tradnl"/>
        </w:rPr>
        <w:t xml:space="preserve">La Agencia Nacional de Contratación Pública – Colombia Compra Eficiente, se pronunció sobre la acreditación de los indicadores de la capacidad financiera y organizacional, entre otros, en los conceptos No. 4201912000006798 del 24 de octubre de 2019, C-002 del 12 de febrero de 2020, C-089 del 4 de marzo de 2020, C-099 del 06 de abril de 2020, C-166 del 14 de abril de 2020, C-233 del 16 de abril de 2020, C-326 del 9 de junio de 2020, C-140 del 9 de abril de 2021, C-439 del </w:t>
      </w:r>
      <w:r w:rsidRPr="004505A6">
        <w:rPr>
          <w:rFonts w:ascii="Verdana" w:eastAsia="Calibri" w:hAnsi="Verdana" w:cs="Arial"/>
          <w:color w:val="000000" w:themeColor="text1"/>
          <w:lang w:val="es-ES_tradnl" w:eastAsia="es-ES_tradnl"/>
        </w:rPr>
        <w:t xml:space="preserve">5 de julio de 2022, C-673 del 19 de octubre de 2022, C-865 del 30 de diciembre de 2024, C-996 del 29 de enero de 2025 y C-075 del 2025. </w:t>
      </w:r>
      <w:r w:rsidRPr="004505A6">
        <w:rPr>
          <w:rFonts w:ascii="Verdana" w:hAnsi="Verdana" w:cs="Arial"/>
          <w:shd w:val="clear" w:color="auto" w:fill="FFFFFF"/>
        </w:rPr>
        <w:t>Es</w:t>
      </w:r>
      <w:r w:rsidRPr="004505A6">
        <w:rPr>
          <w:rFonts w:ascii="Verdana" w:hAnsi="Verdana"/>
        </w:rPr>
        <w:t>tos y otros conceptos se encuentran disponibles para consulta en el Sistema de relatoría de la Agencia, al cual se puede acceder a través del siguiente enlace:</w:t>
      </w:r>
      <w:r w:rsidRPr="004505A6">
        <w:rPr>
          <w:rFonts w:ascii="Verdana" w:hAnsi="Verdana" w:cs="Arial"/>
          <w:shd w:val="clear" w:color="auto" w:fill="FFFFFF"/>
        </w:rPr>
        <w:t xml:space="preserve"> </w:t>
      </w:r>
      <w:hyperlink r:id="rId17" w:history="1">
        <w:r w:rsidRPr="004505A6">
          <w:rPr>
            <w:rFonts w:ascii="Verdana" w:hAnsi="Verdana" w:cs="Arial"/>
            <w:color w:val="0563C1" w:themeColor="hyperlink"/>
            <w:u w:val="single"/>
            <w:shd w:val="clear" w:color="auto" w:fill="FFFFFF"/>
          </w:rPr>
          <w:t>https://relatoria.colombiacompra.gov.co/busqueda/conceptos</w:t>
        </w:r>
      </w:hyperlink>
      <w:r w:rsidRPr="004505A6">
        <w:rPr>
          <w:rFonts w:ascii="Verdana" w:hAnsi="Verdana" w:cs="Arial"/>
          <w:shd w:val="clear" w:color="auto" w:fill="FFFFFF"/>
        </w:rPr>
        <w:t>.</w:t>
      </w:r>
      <w:r w:rsidRPr="004505A6">
        <w:rPr>
          <w:rFonts w:ascii="Verdana" w:hAnsi="Verdana" w:cs="Arial"/>
          <w:color w:val="FF0000"/>
          <w:shd w:val="clear" w:color="auto" w:fill="FFFFFF"/>
        </w:rPr>
        <w:t xml:space="preserve"> </w:t>
      </w:r>
      <w:r w:rsidRPr="004505A6">
        <w:rPr>
          <w:rFonts w:ascii="Verdana" w:hAnsi="Verdana" w:cs="Arial"/>
          <w:color w:val="000000" w:themeColor="text1"/>
          <w:shd w:val="clear" w:color="auto" w:fill="FFFFFF"/>
        </w:rPr>
        <w:t>  </w:t>
      </w:r>
    </w:p>
    <w:p w14:paraId="50A36B41" w14:textId="77777777" w:rsidR="004505A6" w:rsidRPr="004505A6" w:rsidRDefault="004505A6" w:rsidP="004505A6">
      <w:pPr>
        <w:widowControl w:val="0"/>
        <w:autoSpaceDE w:val="0"/>
        <w:autoSpaceDN w:val="0"/>
        <w:spacing w:after="0" w:line="276" w:lineRule="auto"/>
        <w:jc w:val="both"/>
        <w:rPr>
          <w:rFonts w:ascii="Verdana" w:eastAsia="Arial" w:hAnsi="Verdana" w:cs="Arial"/>
          <w:lang w:eastAsia="es-ES_tradnl"/>
        </w:rPr>
      </w:pPr>
    </w:p>
    <w:p w14:paraId="28567721" w14:textId="77777777" w:rsidR="004505A6" w:rsidRPr="004505A6" w:rsidRDefault="004505A6" w:rsidP="004505A6">
      <w:pPr>
        <w:spacing w:after="0" w:line="276" w:lineRule="auto"/>
        <w:jc w:val="both"/>
        <w:rPr>
          <w:rFonts w:ascii="Verdana" w:hAnsi="Verdana"/>
          <w:color w:val="0000FF"/>
          <w:u w:val="single"/>
        </w:rPr>
      </w:pPr>
      <w:r w:rsidRPr="004505A6">
        <w:rPr>
          <w:rFonts w:ascii="Verdana" w:hAnsi="Verdana"/>
        </w:rPr>
        <w:t xml:space="preserve">La sostenibilidad no es una opción, es una obligación. Por ello, la Agencia Nacional de Contratación Pública –Colombia Compra Eficiente– te invita a realizar el </w:t>
      </w:r>
      <w:r w:rsidRPr="004505A6">
        <w:rPr>
          <w:rFonts w:ascii="Verdana" w:hAnsi="Verdana"/>
          <w:b/>
          <w:bCs/>
        </w:rPr>
        <w:t>Curso de Contratación Pública Sostenible y Socialmente Responsable</w:t>
      </w:r>
      <w:r w:rsidRPr="004505A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505A6">
        <w:rPr>
          <w:rFonts w:ascii="Verdana" w:hAnsi="Verdana"/>
        </w:rPr>
        <w:br/>
      </w:r>
      <w:hyperlink r:id="rId18" w:tgtFrame="_new" w:history="1">
        <w:r w:rsidRPr="004505A6">
          <w:rPr>
            <w:rFonts w:ascii="Verdana" w:hAnsi="Verdana"/>
            <w:color w:val="0000FF"/>
            <w:u w:val="single"/>
          </w:rPr>
          <w:t>https://formacionvirtual.colombiacompra.gov.co/mod/page/view.php?id=3718</w:t>
        </w:r>
      </w:hyperlink>
    </w:p>
    <w:p w14:paraId="1824F0A7" w14:textId="77777777" w:rsidR="004505A6" w:rsidRPr="004505A6" w:rsidRDefault="004505A6" w:rsidP="004505A6">
      <w:pPr>
        <w:spacing w:after="0" w:line="276" w:lineRule="auto"/>
        <w:jc w:val="both"/>
        <w:rPr>
          <w:rFonts w:ascii="Verdana" w:hAnsi="Verdana"/>
        </w:rPr>
      </w:pPr>
    </w:p>
    <w:p w14:paraId="5C30EAF7" w14:textId="77777777" w:rsidR="004505A6" w:rsidRPr="004505A6" w:rsidRDefault="004505A6" w:rsidP="004505A6">
      <w:pPr>
        <w:spacing w:after="0" w:line="276" w:lineRule="auto"/>
        <w:jc w:val="both"/>
        <w:rPr>
          <w:rFonts w:ascii="Verdana" w:hAnsi="Verdana"/>
          <w:color w:val="0000FF"/>
          <w:u w:val="single"/>
        </w:rPr>
      </w:pPr>
      <w:r w:rsidRPr="004505A6">
        <w:rPr>
          <w:rFonts w:ascii="Verdana" w:hAnsi="Verdana"/>
        </w:rPr>
        <w:t xml:space="preserve">De otro lado, te contamos que esta Agencia ha da un paso decisivo en la estandarización y modernización del </w:t>
      </w:r>
      <w:r w:rsidRPr="004505A6">
        <w:rPr>
          <w:rFonts w:ascii="Verdana" w:hAnsi="Verdana"/>
          <w:b/>
          <w:bCs/>
        </w:rPr>
        <w:t>sector  social</w:t>
      </w:r>
      <w:r w:rsidRPr="004505A6">
        <w:rPr>
          <w:rFonts w:ascii="Verdana" w:hAnsi="Verdana"/>
        </w:rPr>
        <w:t xml:space="preserve"> con la expedición de las </w:t>
      </w:r>
      <w:r w:rsidRPr="004505A6">
        <w:rPr>
          <w:rFonts w:ascii="Verdana" w:hAnsi="Verdana"/>
          <w:b/>
          <w:bCs/>
        </w:rPr>
        <w:t>Resoluciones 539, 540, 541, 952 y 953 de 2025</w:t>
      </w:r>
      <w:r w:rsidRPr="004505A6">
        <w:rPr>
          <w:rFonts w:ascii="Verdana" w:hAnsi="Verdana"/>
        </w:rPr>
        <w:t xml:space="preserve">, </w:t>
      </w:r>
      <w:r w:rsidRPr="004505A6">
        <w:rPr>
          <w:rFonts w:ascii="Verdana" w:hAnsi="Verdana"/>
          <w:b/>
          <w:bCs/>
        </w:rPr>
        <w:t>mediante las cuales adoptó Documentos Tipo</w:t>
      </w:r>
      <w:r w:rsidRPr="004505A6">
        <w:rPr>
          <w:rFonts w:ascii="Verdana" w:hAnsi="Verdana"/>
        </w:rPr>
        <w:t xml:space="preserve"> para las modalidades de selección de</w:t>
      </w:r>
      <w:r w:rsidRPr="004505A6">
        <w:rPr>
          <w:rFonts w:ascii="Verdana" w:hAnsi="Verdana"/>
          <w:b/>
          <w:bCs/>
        </w:rPr>
        <w:t xml:space="preserve"> licitación </w:t>
      </w:r>
      <w:r w:rsidRPr="004505A6">
        <w:rPr>
          <w:rFonts w:ascii="Verdana" w:hAnsi="Verdana"/>
          <w:b/>
          <w:bCs/>
        </w:rPr>
        <w:lastRenderedPageBreak/>
        <w:t>pública (versión 2), selección abreviada de menor cuantía, mínima cuantía, consultoría e interventoría</w:t>
      </w:r>
      <w:r w:rsidRPr="004505A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4505A6">
          <w:rPr>
            <w:rFonts w:ascii="Verdana" w:hAnsi="Verdana"/>
            <w:color w:val="0000FF"/>
            <w:u w:val="single"/>
          </w:rPr>
          <w:t>https://www.colombiacompra.gov.co/normativa-y-relatoria/documentos-tipo</w:t>
        </w:r>
      </w:hyperlink>
    </w:p>
    <w:p w14:paraId="5BB2FDB0" w14:textId="77777777" w:rsidR="004505A6" w:rsidRPr="004505A6" w:rsidRDefault="004505A6" w:rsidP="004505A6">
      <w:pPr>
        <w:spacing w:after="0" w:line="276" w:lineRule="auto"/>
        <w:jc w:val="both"/>
        <w:rPr>
          <w:rFonts w:ascii="Verdana" w:hAnsi="Verdana"/>
        </w:rPr>
      </w:pPr>
    </w:p>
    <w:p w14:paraId="7CBB41B8" w14:textId="77777777" w:rsidR="004505A6" w:rsidRPr="004505A6" w:rsidRDefault="004505A6" w:rsidP="004505A6">
      <w:pPr>
        <w:spacing w:after="0" w:line="276" w:lineRule="auto"/>
        <w:jc w:val="both"/>
        <w:rPr>
          <w:rFonts w:ascii="Verdana" w:hAnsi="Verdana"/>
          <w:color w:val="0000FF"/>
          <w:u w:val="single"/>
        </w:rPr>
      </w:pPr>
      <w:r w:rsidRPr="004505A6">
        <w:rPr>
          <w:rFonts w:ascii="Verdana" w:hAnsi="Verdana"/>
        </w:rPr>
        <w:t xml:space="preserve">Si quieres conocer más sobre la aplicación de Documentos Tipo puedes consultar la última versión de la </w:t>
      </w:r>
      <w:r w:rsidRPr="004505A6">
        <w:rPr>
          <w:rFonts w:ascii="Verdana" w:hAnsi="Verdana"/>
          <w:b/>
          <w:bCs/>
        </w:rPr>
        <w:t>Guía para la comprensión e implementación de los Documentos Tipo de obra pública de infraestructura de transporte</w:t>
      </w:r>
      <w:r w:rsidRPr="004505A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505A6">
        <w:rPr>
          <w:rFonts w:ascii="Verdana" w:hAnsi="Verdana"/>
        </w:rPr>
        <w:br/>
      </w:r>
      <w:hyperlink r:id="rId20" w:tgtFrame="_new" w:history="1">
        <w:r w:rsidRPr="004505A6">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6D5288E" w14:textId="77777777" w:rsidR="004505A6" w:rsidRPr="004505A6" w:rsidRDefault="004505A6" w:rsidP="004505A6">
      <w:pPr>
        <w:spacing w:after="0" w:line="276" w:lineRule="auto"/>
        <w:jc w:val="both"/>
        <w:rPr>
          <w:rFonts w:ascii="Verdana" w:hAnsi="Verdana"/>
          <w:color w:val="000000"/>
          <w:lang w:val="es-ES_tradnl"/>
        </w:rPr>
      </w:pPr>
    </w:p>
    <w:p w14:paraId="2A819B0A" w14:textId="77777777" w:rsidR="004505A6" w:rsidRPr="004505A6" w:rsidRDefault="004505A6" w:rsidP="004505A6">
      <w:pPr>
        <w:spacing w:after="0" w:line="276" w:lineRule="auto"/>
        <w:jc w:val="both"/>
        <w:rPr>
          <w:rFonts w:ascii="Verdana" w:hAnsi="Verdana"/>
        </w:rPr>
      </w:pPr>
      <w:r w:rsidRPr="004505A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925A51A" w14:textId="77777777" w:rsidR="004505A6" w:rsidRPr="004505A6" w:rsidRDefault="004505A6" w:rsidP="004505A6">
      <w:pPr>
        <w:spacing w:after="0" w:line="276" w:lineRule="auto"/>
        <w:jc w:val="both"/>
        <w:rPr>
          <w:rFonts w:ascii="Verdana" w:hAnsi="Verdana"/>
        </w:rPr>
      </w:pPr>
    </w:p>
    <w:p w14:paraId="443BA173" w14:textId="77777777" w:rsidR="004505A6" w:rsidRPr="004505A6" w:rsidRDefault="004505A6" w:rsidP="004505A6">
      <w:pPr>
        <w:numPr>
          <w:ilvl w:val="0"/>
          <w:numId w:val="14"/>
        </w:numPr>
        <w:spacing w:after="0" w:line="276" w:lineRule="auto"/>
        <w:contextualSpacing/>
        <w:jc w:val="both"/>
        <w:rPr>
          <w:rFonts w:ascii="Verdana" w:eastAsia="Verdana" w:hAnsi="Verdana" w:cs="Verdana"/>
          <w:color w:val="4472C4" w:themeColor="accent1"/>
          <w:u w:val="single"/>
          <w:lang w:val="es-MX"/>
        </w:rPr>
      </w:pPr>
      <w:r w:rsidRPr="004505A6">
        <w:rPr>
          <w:rFonts w:ascii="Verdana" w:eastAsia="Verdana" w:hAnsi="Verdana" w:cs="Verdana"/>
          <w:lang w:val="es-MX"/>
        </w:rPr>
        <w:t xml:space="preserve">Línea nacional gratuita o servicio a la ciudadanía (Mesa de servicio): </w:t>
      </w:r>
      <w:r w:rsidRPr="004505A6">
        <w:rPr>
          <w:rFonts w:ascii="Verdana" w:hAnsi="Verdana"/>
          <w:color w:val="0000FF"/>
          <w:u w:val="single"/>
          <w:lang w:val="es-ES"/>
        </w:rPr>
        <w:t>01800 0520808</w:t>
      </w:r>
    </w:p>
    <w:p w14:paraId="3EAD8BCC" w14:textId="77777777" w:rsidR="004505A6" w:rsidRPr="004505A6" w:rsidRDefault="004505A6" w:rsidP="004505A6">
      <w:pPr>
        <w:numPr>
          <w:ilvl w:val="0"/>
          <w:numId w:val="14"/>
        </w:numPr>
        <w:spacing w:after="0" w:line="276" w:lineRule="auto"/>
        <w:contextualSpacing/>
        <w:rPr>
          <w:rFonts w:ascii="Verdana" w:eastAsia="Verdana" w:hAnsi="Verdana" w:cs="Verdana"/>
          <w:color w:val="4472C4" w:themeColor="accent1"/>
          <w:u w:val="single"/>
          <w:lang w:val="es-MX"/>
        </w:rPr>
      </w:pPr>
      <w:r w:rsidRPr="004505A6">
        <w:rPr>
          <w:rFonts w:ascii="Verdana" w:eastAsia="Verdana" w:hAnsi="Verdana" w:cs="Verdana"/>
          <w:lang w:val="es-MX"/>
        </w:rPr>
        <w:t>Línea en Bogotá (Mesa de servicio</w:t>
      </w:r>
      <w:proofErr w:type="gramStart"/>
      <w:r w:rsidRPr="004505A6">
        <w:rPr>
          <w:rFonts w:ascii="Verdana" w:eastAsia="Verdana" w:hAnsi="Verdana" w:cs="Verdana"/>
          <w:lang w:val="es-MX"/>
        </w:rPr>
        <w:t>):</w:t>
      </w:r>
      <w:r w:rsidRPr="004505A6">
        <w:rPr>
          <w:rFonts w:ascii="Verdana" w:hAnsi="Verdana"/>
          <w:color w:val="0000FF"/>
          <w:u w:val="single"/>
          <w:lang w:val="es-ES"/>
        </w:rPr>
        <w:t>+</w:t>
      </w:r>
      <w:proofErr w:type="gramEnd"/>
      <w:r w:rsidRPr="004505A6">
        <w:rPr>
          <w:rFonts w:ascii="Verdana" w:hAnsi="Verdana"/>
          <w:color w:val="0000FF"/>
          <w:u w:val="single"/>
          <w:lang w:val="es-ES"/>
        </w:rPr>
        <w:t>57 601 7456788</w:t>
      </w:r>
    </w:p>
    <w:p w14:paraId="22D8F4D7" w14:textId="77777777" w:rsidR="004505A6" w:rsidRPr="004505A6" w:rsidRDefault="004505A6" w:rsidP="004505A6">
      <w:pPr>
        <w:numPr>
          <w:ilvl w:val="0"/>
          <w:numId w:val="14"/>
        </w:numPr>
        <w:spacing w:after="0" w:line="276" w:lineRule="auto"/>
        <w:contextualSpacing/>
        <w:rPr>
          <w:rFonts w:ascii="Verdana" w:eastAsia="Verdana" w:hAnsi="Verdana" w:cs="Verdana"/>
          <w:color w:val="0000FF"/>
          <w:u w:val="single"/>
          <w:lang w:val="es-MX"/>
        </w:rPr>
      </w:pPr>
      <w:r w:rsidRPr="004505A6">
        <w:rPr>
          <w:rFonts w:ascii="Verdana" w:eastAsia="Verdana" w:hAnsi="Verdana" w:cs="Verdana"/>
          <w:lang w:val="es-MX"/>
        </w:rPr>
        <w:t xml:space="preserve">Correo de radicación de correspondencia: </w:t>
      </w:r>
      <w:hyperlink r:id="rId21" w:history="1">
        <w:r w:rsidRPr="004505A6">
          <w:rPr>
            <w:rFonts w:ascii="Verdana" w:eastAsia="Verdana" w:hAnsi="Verdana" w:cs="Verdana"/>
            <w:color w:val="0000FF"/>
            <w:u w:val="single"/>
            <w:lang w:val="es-MX"/>
          </w:rPr>
          <w:t>ventanilladeradicacion@colombiacompra.gov.co</w:t>
        </w:r>
      </w:hyperlink>
    </w:p>
    <w:p w14:paraId="7835ACE0" w14:textId="77777777" w:rsidR="004505A6" w:rsidRPr="004505A6" w:rsidRDefault="004505A6" w:rsidP="004505A6">
      <w:pPr>
        <w:numPr>
          <w:ilvl w:val="0"/>
          <w:numId w:val="14"/>
        </w:numPr>
        <w:spacing w:after="0" w:line="276" w:lineRule="auto"/>
        <w:contextualSpacing/>
        <w:rPr>
          <w:rFonts w:ascii="Verdana" w:eastAsia="Verdana" w:hAnsi="Verdana" w:cs="Verdana"/>
          <w:color w:val="0000FF"/>
          <w:u w:val="single"/>
          <w:lang w:val="es-MX"/>
        </w:rPr>
      </w:pPr>
      <w:r w:rsidRPr="004505A6">
        <w:rPr>
          <w:rFonts w:ascii="Verdana" w:eastAsia="Verdana" w:hAnsi="Verdana" w:cs="Verdana"/>
          <w:lang w:val="es-ES"/>
        </w:rPr>
        <w:t xml:space="preserve">Formulario web para PQRSD: </w:t>
      </w:r>
      <w:hyperlink r:id="rId22" w:history="1">
        <w:r w:rsidRPr="004505A6">
          <w:rPr>
            <w:rFonts w:ascii="Verdana" w:eastAsia="Verdana" w:hAnsi="Verdana" w:cs="Verdana"/>
            <w:color w:val="0000FF"/>
            <w:u w:val="single"/>
            <w:lang w:val="es-MX"/>
          </w:rPr>
          <w:t>https://www.colombiacompra.gov.co/pqrsd/informacion-importante-antes-de-formular-una-pqrsd</w:t>
        </w:r>
      </w:hyperlink>
    </w:p>
    <w:p w14:paraId="3E36063C" w14:textId="77777777" w:rsidR="004505A6" w:rsidRPr="004505A6" w:rsidRDefault="004505A6" w:rsidP="004505A6">
      <w:pPr>
        <w:spacing w:after="0" w:line="276" w:lineRule="auto"/>
        <w:ind w:left="720"/>
        <w:jc w:val="both"/>
        <w:rPr>
          <w:rFonts w:ascii="Verdana" w:hAnsi="Verdana"/>
        </w:rPr>
      </w:pPr>
    </w:p>
    <w:p w14:paraId="399A0530" w14:textId="77777777" w:rsidR="004505A6" w:rsidRPr="004505A6" w:rsidRDefault="004505A6" w:rsidP="004505A6">
      <w:pPr>
        <w:spacing w:after="0" w:line="276" w:lineRule="auto"/>
        <w:rPr>
          <w:rFonts w:ascii="Verdana" w:hAnsi="Verdana"/>
        </w:rPr>
      </w:pPr>
      <w:r w:rsidRPr="004505A6">
        <w:rPr>
          <w:rFonts w:ascii="Verdana" w:hAnsi="Verdana"/>
        </w:rPr>
        <w:lastRenderedPageBreak/>
        <w:t xml:space="preserve">Evalúa el servicio que ofrece la Agencia por el canal de atención de PQRSD en el siguiente </w:t>
      </w:r>
      <w:proofErr w:type="gramStart"/>
      <w:r w:rsidRPr="004505A6">
        <w:rPr>
          <w:rFonts w:ascii="Verdana" w:hAnsi="Verdana"/>
        </w:rPr>
        <w:t>enlace :</w:t>
      </w:r>
      <w:proofErr w:type="gramEnd"/>
      <w:hyperlink r:id="rId23" w:tgtFrame="_blank" w:tooltip="https://forms.office.com/r/pphywvs2sz" w:history="1">
        <w:r w:rsidRPr="004505A6">
          <w:rPr>
            <w:rFonts w:ascii="Verdana" w:hAnsi="Verdana"/>
            <w:color w:val="0000FF"/>
            <w:u w:val="single"/>
          </w:rPr>
          <w:t>https://forms.office.com/r/pPHyWVs2SZ</w:t>
        </w:r>
      </w:hyperlink>
      <w:r w:rsidRPr="004505A6">
        <w:rPr>
          <w:rFonts w:ascii="Verdana" w:hAnsi="Verdana"/>
        </w:rPr>
        <w:t xml:space="preserve"> .¡Ayúdanos a mejorar porque el compromiso es de todos!</w:t>
      </w:r>
    </w:p>
    <w:p w14:paraId="64C5D0A9" w14:textId="77777777" w:rsidR="004505A6" w:rsidRPr="004505A6" w:rsidRDefault="004505A6" w:rsidP="004505A6">
      <w:pPr>
        <w:spacing w:after="0" w:line="276" w:lineRule="auto"/>
        <w:rPr>
          <w:rFonts w:ascii="Verdana" w:hAnsi="Verdana"/>
        </w:rPr>
      </w:pPr>
    </w:p>
    <w:p w14:paraId="13E2D583" w14:textId="77777777" w:rsidR="004505A6" w:rsidRPr="004505A6" w:rsidRDefault="004505A6" w:rsidP="004505A6">
      <w:pPr>
        <w:spacing w:after="0" w:line="276" w:lineRule="auto"/>
        <w:jc w:val="both"/>
        <w:rPr>
          <w:rFonts w:ascii="Verdana" w:hAnsi="Verdana"/>
        </w:rPr>
      </w:pPr>
      <w:r w:rsidRPr="004505A6">
        <w:rPr>
          <w:rFonts w:ascii="Verdana" w:hAnsi="Verdana"/>
        </w:rPr>
        <w:t xml:space="preserve">Por último, lo invitamos a seguirnos en las redes sociales en las cuales se difunde información institucional: </w:t>
      </w:r>
    </w:p>
    <w:p w14:paraId="0025CE92" w14:textId="77777777" w:rsidR="004505A6" w:rsidRPr="004505A6" w:rsidRDefault="004505A6" w:rsidP="004505A6">
      <w:pPr>
        <w:spacing w:after="0" w:line="276" w:lineRule="auto"/>
        <w:jc w:val="both"/>
        <w:rPr>
          <w:rFonts w:ascii="Verdana" w:hAnsi="Verdana"/>
        </w:rPr>
      </w:pPr>
    </w:p>
    <w:p w14:paraId="4572718F" w14:textId="77777777" w:rsidR="004505A6" w:rsidRPr="004505A6" w:rsidRDefault="004505A6" w:rsidP="004505A6">
      <w:pPr>
        <w:spacing w:after="0" w:line="276" w:lineRule="auto"/>
        <w:jc w:val="both"/>
        <w:rPr>
          <w:rFonts w:ascii="Verdana" w:hAnsi="Verdana"/>
        </w:rPr>
      </w:pPr>
      <w:r w:rsidRPr="004505A6">
        <w:rPr>
          <w:rFonts w:ascii="Verdana" w:hAnsi="Verdana"/>
        </w:rPr>
        <w:t xml:space="preserve">Twitter: </w:t>
      </w:r>
      <w:r w:rsidRPr="004505A6">
        <w:rPr>
          <w:rFonts w:ascii="Verdana" w:hAnsi="Verdana"/>
          <w:color w:val="0000FF"/>
          <w:u w:val="single"/>
        </w:rPr>
        <w:t>@colombiacompra</w:t>
      </w:r>
      <w:r w:rsidRPr="004505A6">
        <w:rPr>
          <w:rFonts w:ascii="Verdana" w:hAnsi="Verdana"/>
        </w:rPr>
        <w:t xml:space="preserve"> </w:t>
      </w:r>
    </w:p>
    <w:p w14:paraId="527B4F78" w14:textId="77777777" w:rsidR="004505A6" w:rsidRPr="004505A6" w:rsidRDefault="004505A6" w:rsidP="004505A6">
      <w:pPr>
        <w:spacing w:after="0" w:line="276" w:lineRule="auto"/>
        <w:jc w:val="both"/>
        <w:rPr>
          <w:rFonts w:ascii="Verdana" w:hAnsi="Verdana"/>
        </w:rPr>
      </w:pPr>
      <w:r w:rsidRPr="004505A6">
        <w:rPr>
          <w:rFonts w:ascii="Verdana" w:hAnsi="Verdana"/>
        </w:rPr>
        <w:t xml:space="preserve">Facebook: </w:t>
      </w:r>
      <w:proofErr w:type="spellStart"/>
      <w:r w:rsidRPr="004505A6">
        <w:rPr>
          <w:rFonts w:ascii="Verdana" w:hAnsi="Verdana"/>
          <w:color w:val="0000FF"/>
          <w:u w:val="single"/>
        </w:rPr>
        <w:t>ColombiaCompraEficiente</w:t>
      </w:r>
      <w:proofErr w:type="spellEnd"/>
    </w:p>
    <w:p w14:paraId="5FA4929F" w14:textId="77777777" w:rsidR="004505A6" w:rsidRPr="004505A6" w:rsidRDefault="004505A6" w:rsidP="004505A6">
      <w:pPr>
        <w:spacing w:after="0" w:line="276" w:lineRule="auto"/>
        <w:jc w:val="both"/>
        <w:rPr>
          <w:rFonts w:ascii="Verdana" w:hAnsi="Verdana"/>
        </w:rPr>
      </w:pPr>
      <w:r w:rsidRPr="004505A6">
        <w:rPr>
          <w:rFonts w:ascii="Verdana" w:hAnsi="Verdana"/>
        </w:rPr>
        <w:t xml:space="preserve">LinkedIn: </w:t>
      </w:r>
      <w:r w:rsidRPr="004505A6">
        <w:rPr>
          <w:rFonts w:ascii="Verdana" w:hAnsi="Verdana"/>
          <w:color w:val="0000FF"/>
          <w:u w:val="single"/>
        </w:rPr>
        <w:t>Agencia Nacional de Contratación Pública - Colombia Compra Eficiente</w:t>
      </w:r>
      <w:r w:rsidRPr="004505A6">
        <w:rPr>
          <w:rFonts w:ascii="Verdana" w:hAnsi="Verdana"/>
        </w:rPr>
        <w:t xml:space="preserve"> Instagram: </w:t>
      </w:r>
      <w:r w:rsidRPr="004505A6">
        <w:rPr>
          <w:rFonts w:ascii="Verdana" w:hAnsi="Verdana"/>
          <w:color w:val="0000FF"/>
          <w:u w:val="single"/>
        </w:rPr>
        <w:t>@colombiacompraeficiente_cce</w:t>
      </w:r>
    </w:p>
    <w:p w14:paraId="4799CA68" w14:textId="77777777" w:rsidR="004505A6" w:rsidRPr="004505A6" w:rsidRDefault="004505A6" w:rsidP="004505A6">
      <w:pPr>
        <w:widowControl w:val="0"/>
        <w:autoSpaceDE w:val="0"/>
        <w:autoSpaceDN w:val="0"/>
        <w:spacing w:after="0" w:line="276" w:lineRule="auto"/>
        <w:jc w:val="both"/>
        <w:rPr>
          <w:rFonts w:ascii="Verdana" w:eastAsia="Calibri" w:hAnsi="Verdana" w:cs="Arial"/>
          <w:color w:val="000000" w:themeColor="text1"/>
        </w:rPr>
      </w:pPr>
    </w:p>
    <w:p w14:paraId="71F6E027" w14:textId="77777777" w:rsidR="004505A6" w:rsidRPr="004505A6" w:rsidRDefault="004505A6" w:rsidP="004505A6">
      <w:pPr>
        <w:widowControl w:val="0"/>
        <w:autoSpaceDE w:val="0"/>
        <w:autoSpaceDN w:val="0"/>
        <w:spacing w:after="0" w:line="276" w:lineRule="auto"/>
        <w:jc w:val="both"/>
        <w:rPr>
          <w:rFonts w:ascii="Verdana" w:hAnsi="Verdana" w:cs="Arial"/>
        </w:rPr>
      </w:pPr>
      <w:r w:rsidRPr="004505A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7023959" w14:textId="77777777" w:rsidR="004505A6" w:rsidRPr="004505A6" w:rsidRDefault="004505A6" w:rsidP="004505A6">
      <w:pPr>
        <w:widowControl w:val="0"/>
        <w:autoSpaceDE w:val="0"/>
        <w:autoSpaceDN w:val="0"/>
        <w:spacing w:after="0" w:line="276" w:lineRule="auto"/>
        <w:jc w:val="both"/>
        <w:rPr>
          <w:rFonts w:ascii="Verdana" w:hAnsi="Verdana" w:cs="Arial"/>
        </w:rPr>
      </w:pPr>
    </w:p>
    <w:p w14:paraId="1B5EC481" w14:textId="77777777" w:rsidR="004505A6" w:rsidRPr="004505A6" w:rsidRDefault="004505A6" w:rsidP="004505A6">
      <w:pPr>
        <w:spacing w:after="0" w:line="240" w:lineRule="auto"/>
        <w:rPr>
          <w:rFonts w:ascii="Verdana" w:hAnsi="Verdana" w:cs="Arial"/>
          <w:lang w:eastAsia="es-CO"/>
        </w:rPr>
      </w:pPr>
      <w:r w:rsidRPr="004505A6">
        <w:rPr>
          <w:rFonts w:ascii="Verdana" w:eastAsia="Times New Roman" w:hAnsi="Verdana" w:cs="Arial"/>
          <w:lang w:eastAsia="es-CO"/>
        </w:rPr>
        <w:t>Atentamente,</w:t>
      </w:r>
      <w:r w:rsidRPr="004505A6">
        <w:rPr>
          <w:rFonts w:ascii="Verdana" w:hAnsi="Verdana" w:cs="Arial"/>
          <w:lang w:eastAsia="es-CO"/>
        </w:rPr>
        <w:t xml:space="preserve"> </w:t>
      </w:r>
    </w:p>
    <w:p w14:paraId="1DA5530B" w14:textId="4D38C4AC" w:rsidR="004505A6" w:rsidRPr="004505A6" w:rsidRDefault="00355727" w:rsidP="004505A6">
      <w:pPr>
        <w:spacing w:line="276" w:lineRule="auto"/>
        <w:jc w:val="center"/>
        <w:rPr>
          <w:rFonts w:ascii="Verdana" w:hAnsi="Verdana" w:cs="Arial"/>
          <w:color w:val="000000"/>
          <w:lang w:eastAsia="es-CO"/>
        </w:rPr>
      </w:pPr>
      <w:r w:rsidRPr="00F21F0B">
        <w:rPr>
          <w:rFonts w:ascii="Century Gothic" w:hAnsi="Century Gothic"/>
          <w:noProof/>
        </w:rPr>
        <w:drawing>
          <wp:inline distT="0" distB="0" distL="0" distR="0" wp14:anchorId="15DDEB1B" wp14:editId="7D911E81">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05A6" w:rsidRPr="004505A6" w14:paraId="06407B89" w14:textId="77777777" w:rsidTr="006C22F9">
        <w:trPr>
          <w:trHeight w:val="315"/>
        </w:trPr>
        <w:tc>
          <w:tcPr>
            <w:tcW w:w="893" w:type="dxa"/>
            <w:vAlign w:val="center"/>
            <w:hideMark/>
          </w:tcPr>
          <w:p w14:paraId="6A6FA017" w14:textId="77777777" w:rsidR="004505A6" w:rsidRPr="004505A6" w:rsidRDefault="004505A6" w:rsidP="004505A6">
            <w:pPr>
              <w:contextualSpacing/>
              <w:rPr>
                <w:rFonts w:ascii="Verdana" w:hAnsi="Verdana" w:cs="Arial"/>
                <w:sz w:val="16"/>
                <w:szCs w:val="16"/>
                <w:lang w:eastAsia="es-ES"/>
              </w:rPr>
            </w:pPr>
            <w:r w:rsidRPr="004505A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75D7D0D" w14:textId="77777777" w:rsidR="004505A6" w:rsidRPr="004505A6" w:rsidRDefault="004505A6" w:rsidP="004505A6">
            <w:pPr>
              <w:contextualSpacing/>
              <w:rPr>
                <w:rFonts w:ascii="Verdana" w:hAnsi="Verdana"/>
                <w:sz w:val="16"/>
                <w:szCs w:val="16"/>
              </w:rPr>
            </w:pPr>
            <w:r w:rsidRPr="004505A6">
              <w:rPr>
                <w:rFonts w:ascii="Verdana" w:hAnsi="Verdana"/>
                <w:sz w:val="16"/>
                <w:szCs w:val="16"/>
              </w:rPr>
              <w:t>Tatiana Baquero Iguarán</w:t>
            </w:r>
          </w:p>
          <w:p w14:paraId="38934EBD" w14:textId="77777777" w:rsidR="004505A6" w:rsidRPr="004505A6" w:rsidRDefault="004505A6" w:rsidP="004505A6">
            <w:pPr>
              <w:contextualSpacing/>
              <w:rPr>
                <w:rFonts w:ascii="Verdana" w:eastAsia="Arial" w:hAnsi="Verdana" w:cs="Arial"/>
                <w:sz w:val="16"/>
                <w:szCs w:val="16"/>
              </w:rPr>
            </w:pPr>
            <w:r w:rsidRPr="004505A6">
              <w:rPr>
                <w:rFonts w:ascii="Verdana" w:hAnsi="Verdana"/>
                <w:sz w:val="16"/>
                <w:szCs w:val="16"/>
              </w:rPr>
              <w:t>Contratista de la Subdirección de Gestión Contractual</w:t>
            </w:r>
          </w:p>
        </w:tc>
      </w:tr>
      <w:tr w:rsidR="004505A6" w:rsidRPr="004505A6" w14:paraId="57121BE1" w14:textId="77777777" w:rsidTr="006C22F9">
        <w:trPr>
          <w:trHeight w:val="330"/>
        </w:trPr>
        <w:tc>
          <w:tcPr>
            <w:tcW w:w="893" w:type="dxa"/>
            <w:vAlign w:val="center"/>
            <w:hideMark/>
          </w:tcPr>
          <w:p w14:paraId="72CFE632" w14:textId="77777777" w:rsidR="004505A6" w:rsidRPr="004505A6" w:rsidRDefault="004505A6" w:rsidP="004505A6">
            <w:pPr>
              <w:contextualSpacing/>
              <w:rPr>
                <w:rFonts w:ascii="Verdana" w:hAnsi="Verdana" w:cs="Arial"/>
                <w:sz w:val="16"/>
                <w:szCs w:val="16"/>
                <w:lang w:eastAsia="es-ES"/>
              </w:rPr>
            </w:pPr>
            <w:r w:rsidRPr="004505A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BF0B8B" w14:textId="77777777" w:rsidR="004505A6" w:rsidRPr="004505A6" w:rsidRDefault="004505A6" w:rsidP="004505A6">
            <w:pPr>
              <w:spacing w:before="100" w:beforeAutospacing="1" w:afterAutospacing="1"/>
              <w:contextualSpacing/>
              <w:textAlignment w:val="baseline"/>
              <w:rPr>
                <w:rFonts w:ascii="Verdana" w:eastAsia="Times New Roman" w:hAnsi="Verdana" w:cs="Arial"/>
                <w:sz w:val="16"/>
                <w:szCs w:val="16"/>
                <w:lang w:val="es-ES" w:eastAsia="es-ES_tradnl"/>
              </w:rPr>
            </w:pPr>
            <w:r w:rsidRPr="004505A6">
              <w:rPr>
                <w:rFonts w:ascii="Verdana" w:eastAsia="Times New Roman" w:hAnsi="Verdana" w:cs="Arial"/>
                <w:sz w:val="16"/>
                <w:szCs w:val="16"/>
                <w:lang w:val="es-ES" w:eastAsia="es-ES_tradnl"/>
              </w:rPr>
              <w:t>Diana Lucía Saavedra Castañeda</w:t>
            </w:r>
          </w:p>
          <w:p w14:paraId="382AA53E" w14:textId="77777777" w:rsidR="004505A6" w:rsidRPr="004505A6" w:rsidRDefault="004505A6" w:rsidP="004505A6">
            <w:pPr>
              <w:spacing w:before="100" w:beforeAutospacing="1" w:afterAutospacing="1"/>
              <w:contextualSpacing/>
              <w:textAlignment w:val="baseline"/>
              <w:rPr>
                <w:rFonts w:ascii="Verdana" w:eastAsia="Times New Roman" w:hAnsi="Verdana" w:cs="Arial"/>
                <w:sz w:val="16"/>
                <w:szCs w:val="16"/>
                <w:lang w:eastAsia="es-ES_tradnl"/>
              </w:rPr>
            </w:pPr>
            <w:r w:rsidRPr="004505A6">
              <w:rPr>
                <w:rFonts w:ascii="Verdana" w:eastAsia="Times New Roman" w:hAnsi="Verdana" w:cs="Arial"/>
                <w:sz w:val="16"/>
                <w:szCs w:val="16"/>
                <w:lang w:val="es-ES" w:eastAsia="es-ES_tradnl"/>
              </w:rPr>
              <w:t>Contratista de la Subdirección de Gestión Contractual</w:t>
            </w:r>
            <w:r w:rsidRPr="004505A6">
              <w:rPr>
                <w:rFonts w:ascii="Verdana" w:eastAsia="Times New Roman" w:hAnsi="Verdana" w:cs="Arial"/>
                <w:sz w:val="16"/>
                <w:szCs w:val="16"/>
                <w:lang w:eastAsia="es-ES_tradnl"/>
              </w:rPr>
              <w:t xml:space="preserve"> </w:t>
            </w:r>
          </w:p>
        </w:tc>
      </w:tr>
      <w:tr w:rsidR="004505A6" w:rsidRPr="004505A6" w14:paraId="4F795BBA" w14:textId="77777777" w:rsidTr="006C22F9">
        <w:trPr>
          <w:trHeight w:val="300"/>
        </w:trPr>
        <w:tc>
          <w:tcPr>
            <w:tcW w:w="893" w:type="dxa"/>
            <w:vAlign w:val="center"/>
          </w:tcPr>
          <w:p w14:paraId="6CC47734" w14:textId="77777777" w:rsidR="004505A6" w:rsidRPr="004505A6" w:rsidRDefault="004505A6" w:rsidP="004505A6">
            <w:pPr>
              <w:contextualSpacing/>
              <w:rPr>
                <w:rFonts w:ascii="Verdana" w:hAnsi="Verdana" w:cs="Arial"/>
                <w:sz w:val="16"/>
                <w:szCs w:val="16"/>
                <w:lang w:eastAsia="es-ES"/>
              </w:rPr>
            </w:pPr>
            <w:r w:rsidRPr="004505A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81DF862" w14:textId="77777777" w:rsidR="004505A6" w:rsidRPr="004505A6" w:rsidRDefault="004505A6" w:rsidP="004505A6">
            <w:pPr>
              <w:contextualSpacing/>
              <w:rPr>
                <w:rFonts w:ascii="Verdana" w:eastAsia="Calibri" w:hAnsi="Verdana" w:cs="Arial"/>
                <w:sz w:val="16"/>
                <w:szCs w:val="16"/>
                <w:lang w:eastAsia="es-ES"/>
              </w:rPr>
            </w:pPr>
            <w:r w:rsidRPr="004505A6">
              <w:rPr>
                <w:rFonts w:ascii="Verdana" w:eastAsia="Calibri" w:hAnsi="Verdana" w:cs="Arial"/>
                <w:sz w:val="16"/>
                <w:szCs w:val="16"/>
                <w:lang w:eastAsia="es-ES"/>
              </w:rPr>
              <w:t>Carolina Quintero Gacharná</w:t>
            </w:r>
          </w:p>
          <w:p w14:paraId="40CE900F" w14:textId="77777777" w:rsidR="004505A6" w:rsidRPr="004505A6" w:rsidRDefault="004505A6" w:rsidP="004505A6">
            <w:pPr>
              <w:contextualSpacing/>
              <w:rPr>
                <w:rFonts w:ascii="Verdana" w:eastAsia="Calibri" w:hAnsi="Verdana" w:cs="Arial"/>
                <w:sz w:val="16"/>
                <w:szCs w:val="16"/>
                <w:lang w:eastAsia="es-ES"/>
              </w:rPr>
            </w:pPr>
            <w:r w:rsidRPr="004505A6">
              <w:rPr>
                <w:rFonts w:ascii="Verdana" w:eastAsia="Calibri" w:hAnsi="Verdana" w:cs="Arial"/>
                <w:sz w:val="16"/>
                <w:szCs w:val="16"/>
                <w:lang w:eastAsia="es-ES"/>
              </w:rPr>
              <w:t>Subdirectora de Gestión Contractual ANCP – CCE</w:t>
            </w:r>
          </w:p>
        </w:tc>
      </w:tr>
    </w:tbl>
    <w:p w14:paraId="7DC0C4F6" w14:textId="77777777" w:rsidR="004505A6" w:rsidRPr="004505A6" w:rsidRDefault="004505A6" w:rsidP="004505A6">
      <w:pPr>
        <w:spacing w:after="0" w:line="240" w:lineRule="auto"/>
        <w:rPr>
          <w:rFonts w:ascii="Verdana" w:eastAsia="Times New Roman" w:hAnsi="Verdana" w:cs="Arial"/>
          <w:sz w:val="24"/>
          <w:szCs w:val="24"/>
          <w:lang w:eastAsia="es-ES"/>
        </w:rPr>
      </w:pPr>
    </w:p>
    <w:bookmarkEnd w:id="1"/>
    <w:p w14:paraId="6750FBC3" w14:textId="1F8D7E8F" w:rsidR="004505A6" w:rsidRPr="004505A6" w:rsidRDefault="004505A6" w:rsidP="004505A6">
      <w:pPr>
        <w:spacing w:after="0" w:line="240" w:lineRule="auto"/>
        <w:textAlignment w:val="baseline"/>
        <w:rPr>
          <w:rFonts w:ascii="Verdana" w:eastAsia="Verdana" w:hAnsi="Verdana" w:cs="Verdana"/>
          <w:lang w:eastAsia="es-CO"/>
        </w:rPr>
      </w:pPr>
      <w:r w:rsidRPr="004505A6">
        <w:rPr>
          <w:rFonts w:ascii="Verdana" w:eastAsia="Verdana" w:hAnsi="Verdana" w:cs="Verdana"/>
          <w:lang w:eastAsia="es-CO"/>
        </w:rPr>
        <w:t> </w:t>
      </w:r>
    </w:p>
    <w:bookmarkEnd w:id="0"/>
    <w:p w14:paraId="28D76559" w14:textId="77777777" w:rsidR="004505A6" w:rsidRPr="004505A6" w:rsidRDefault="004505A6" w:rsidP="004505A6">
      <w:pPr>
        <w:spacing w:after="0" w:line="240" w:lineRule="auto"/>
        <w:textAlignment w:val="baseline"/>
        <w:rPr>
          <w:rFonts w:ascii="Verdana" w:eastAsia="Verdana" w:hAnsi="Verdana" w:cs="Verdana"/>
          <w:b/>
          <w:bCs/>
          <w:lang w:val="es-MX" w:eastAsia="es-CO"/>
        </w:rPr>
      </w:pPr>
    </w:p>
    <w:p w14:paraId="3F05C762" w14:textId="77777777" w:rsidR="007875D7" w:rsidRPr="004505A6" w:rsidRDefault="007875D7" w:rsidP="004505A6"/>
    <w:sectPr w:rsidR="007875D7" w:rsidRPr="004505A6" w:rsidSect="00C44B4C">
      <w:headerReference w:type="default" r:id="rId25"/>
      <w:footerReference w:type="default" r:id="rId2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847AF" w14:textId="77777777" w:rsidR="008056FB" w:rsidRPr="009B7987" w:rsidRDefault="008056FB" w:rsidP="00B30448">
      <w:pPr>
        <w:spacing w:after="0" w:line="240" w:lineRule="auto"/>
      </w:pPr>
      <w:r w:rsidRPr="009B7987">
        <w:separator/>
      </w:r>
    </w:p>
  </w:endnote>
  <w:endnote w:type="continuationSeparator" w:id="0">
    <w:p w14:paraId="165A0001" w14:textId="77777777" w:rsidR="008056FB" w:rsidRPr="009B7987" w:rsidRDefault="008056FB" w:rsidP="00B30448">
      <w:pPr>
        <w:spacing w:after="0" w:line="240" w:lineRule="auto"/>
      </w:pPr>
      <w:r w:rsidRPr="009B7987">
        <w:continuationSeparator/>
      </w:r>
    </w:p>
  </w:endnote>
  <w:endnote w:type="continuationNotice" w:id="1">
    <w:p w14:paraId="54B24A8C" w14:textId="77777777" w:rsidR="008056FB" w:rsidRPr="009B7987" w:rsidRDefault="008056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0840F" w14:textId="77777777" w:rsidR="008056FB" w:rsidRPr="009B7987" w:rsidRDefault="008056FB" w:rsidP="00B30448">
      <w:pPr>
        <w:spacing w:after="0" w:line="240" w:lineRule="auto"/>
      </w:pPr>
      <w:r w:rsidRPr="009B7987">
        <w:separator/>
      </w:r>
    </w:p>
  </w:footnote>
  <w:footnote w:type="continuationSeparator" w:id="0">
    <w:p w14:paraId="5EC54C6F" w14:textId="77777777" w:rsidR="008056FB" w:rsidRPr="009B7987" w:rsidRDefault="008056FB" w:rsidP="00B30448">
      <w:pPr>
        <w:spacing w:after="0" w:line="240" w:lineRule="auto"/>
      </w:pPr>
      <w:r w:rsidRPr="009B7987">
        <w:continuationSeparator/>
      </w:r>
    </w:p>
  </w:footnote>
  <w:footnote w:type="continuationNotice" w:id="1">
    <w:p w14:paraId="1C46E8A5" w14:textId="77777777" w:rsidR="008056FB" w:rsidRPr="009B7987" w:rsidRDefault="008056FB">
      <w:pPr>
        <w:spacing w:after="0" w:line="240" w:lineRule="auto"/>
      </w:pPr>
    </w:p>
  </w:footnote>
  <w:footnote w:id="2">
    <w:p w14:paraId="6DE2E8EE" w14:textId="77777777" w:rsidR="004505A6" w:rsidRPr="00246173" w:rsidRDefault="004505A6" w:rsidP="004505A6">
      <w:pPr>
        <w:pStyle w:val="NormalWeb"/>
        <w:spacing w:after="0"/>
        <w:ind w:firstLine="708"/>
        <w:jc w:val="both"/>
        <w:rPr>
          <w:rFonts w:ascii="Verdana" w:eastAsia="Calibri" w:hAnsi="Verdana" w:cs="Arial"/>
          <w:color w:val="000000"/>
          <w:sz w:val="16"/>
          <w:szCs w:val="16"/>
          <w:lang w:val="es-ES_tradnl" w:eastAsia="es-ES_tradnl"/>
        </w:rPr>
      </w:pPr>
      <w:r w:rsidRPr="00246173">
        <w:rPr>
          <w:rStyle w:val="Refdenotaalpie"/>
          <w:rFonts w:ascii="Verdana" w:hAnsi="Verdana" w:cs="Arial"/>
          <w:color w:val="000000"/>
          <w:sz w:val="16"/>
          <w:szCs w:val="16"/>
        </w:rPr>
        <w:footnoteRef/>
      </w:r>
      <w:r w:rsidRPr="00246173">
        <w:rPr>
          <w:rFonts w:ascii="Verdana" w:hAnsi="Verdana" w:cs="Arial"/>
          <w:color w:val="000000"/>
          <w:sz w:val="16"/>
          <w:szCs w:val="16"/>
        </w:rPr>
        <w:t xml:space="preserve"> </w:t>
      </w:r>
      <w:r w:rsidRPr="00246173">
        <w:rPr>
          <w:rFonts w:ascii="Verdana" w:eastAsia="Calibri" w:hAnsi="Verdana" w:cs="Arial"/>
          <w:color w:val="000000"/>
          <w:sz w:val="16"/>
          <w:szCs w:val="16"/>
          <w:lang w:val="es-ES_tradnl" w:eastAsia="es-ES_tradnl"/>
        </w:rPr>
        <w:t>Ley 1150 de 2007: “Artículo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50EE447" w14:textId="77777777" w:rsidR="004505A6" w:rsidRPr="00246173" w:rsidRDefault="004505A6" w:rsidP="004505A6">
      <w:pPr>
        <w:pStyle w:val="NormalWeb"/>
        <w:spacing w:after="0"/>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7584E57" w14:textId="77777777" w:rsidR="004505A6" w:rsidRPr="00246173" w:rsidRDefault="004505A6" w:rsidP="004505A6">
      <w:pPr>
        <w:pStyle w:val="NormalWeb"/>
        <w:spacing w:after="0"/>
        <w:ind w:firstLine="708"/>
        <w:jc w:val="both"/>
        <w:rPr>
          <w:rFonts w:ascii="Verdana" w:hAnsi="Verdana" w:cs="Arial"/>
          <w:color w:val="000000"/>
          <w:sz w:val="16"/>
          <w:szCs w:val="16"/>
        </w:rPr>
      </w:pPr>
      <w:r w:rsidRPr="00246173">
        <w:rPr>
          <w:rFonts w:ascii="Verdana" w:eastAsia="Calibri" w:hAnsi="Verdana" w:cs="Arial"/>
          <w:color w:val="000000"/>
          <w:sz w:val="16"/>
          <w:szCs w:val="16"/>
          <w:lang w:val="es-ES_tradnl" w:eastAsia="es-ES_tradnl"/>
        </w:rPr>
        <w:t>En dicho registro constará la información relacionada con la experiencia, capacidad jurídica, financiera y de organización del proponente y su clasificación”.</w:t>
      </w:r>
    </w:p>
  </w:footnote>
  <w:footnote w:id="3">
    <w:p w14:paraId="31C20B37" w14:textId="77777777" w:rsidR="004505A6" w:rsidRPr="00373E83" w:rsidRDefault="004505A6" w:rsidP="004505A6">
      <w:pPr>
        <w:pStyle w:val="Textonotapie"/>
        <w:ind w:firstLine="709"/>
        <w:jc w:val="both"/>
        <w:rPr>
          <w:rFonts w:ascii="Verdana" w:hAnsi="Verdana" w:cs="Arial"/>
          <w:sz w:val="16"/>
          <w:szCs w:val="16"/>
        </w:rPr>
      </w:pPr>
    </w:p>
    <w:p w14:paraId="7C350BE0" w14:textId="77777777" w:rsidR="004505A6" w:rsidRPr="00BC5882" w:rsidRDefault="004505A6" w:rsidP="004505A6">
      <w:pPr>
        <w:pStyle w:val="Textonotapie"/>
        <w:ind w:firstLine="709"/>
        <w:jc w:val="both"/>
        <w:rPr>
          <w:rFonts w:ascii="Verdana" w:hAnsi="Verdana" w:cs="Arial"/>
          <w:sz w:val="16"/>
          <w:szCs w:val="16"/>
          <w:lang w:val="es-ES"/>
        </w:rPr>
      </w:pPr>
      <w:r w:rsidRPr="00246173">
        <w:rPr>
          <w:rStyle w:val="Refdenotaalpie"/>
          <w:rFonts w:ascii="Verdana" w:hAnsi="Verdana" w:cs="Arial"/>
          <w:sz w:val="16"/>
          <w:szCs w:val="16"/>
        </w:rPr>
        <w:footnoteRef/>
      </w:r>
      <w:r w:rsidRPr="00246173">
        <w:rPr>
          <w:rFonts w:ascii="Verdana" w:hAnsi="Verdana" w:cs="Arial"/>
          <w:sz w:val="16"/>
          <w:szCs w:val="16"/>
        </w:rPr>
        <w:t xml:space="preserve"> </w:t>
      </w:r>
      <w:r w:rsidRPr="00BC5882">
        <w:rPr>
          <w:rFonts w:ascii="Verdana" w:eastAsia="Calibri" w:hAnsi="Verdana" w:cs="Arial"/>
          <w:color w:val="000000"/>
          <w:sz w:val="16"/>
          <w:szCs w:val="16"/>
          <w:lang w:val="es-ES_tradnl" w:eastAsia="es-ES_tradnl"/>
        </w:rPr>
        <w:t xml:space="preserve">Manual para </w:t>
      </w:r>
      <w:r w:rsidRPr="00BC5882">
        <w:rPr>
          <w:rFonts w:ascii="Verdana" w:eastAsia="Calibri" w:hAnsi="Verdana" w:cs="Arial"/>
          <w:color w:val="000000"/>
          <w:sz w:val="16"/>
          <w:szCs w:val="16"/>
          <w:lang w:val="es-CO" w:eastAsia="es-ES_tradnl"/>
        </w:rPr>
        <w:t xml:space="preserve">Determinar y Verificar los Requisitos Habilitantes en los Procesos De Contratación. Disponible en: </w:t>
      </w:r>
      <w:hyperlink r:id="rId1" w:history="1">
        <w:r w:rsidRPr="00246173">
          <w:rPr>
            <w:rStyle w:val="Hipervnculo"/>
            <w:rFonts w:ascii="Verdana" w:eastAsia="Calibri" w:hAnsi="Verdana" w:cs="Arial"/>
            <w:sz w:val="16"/>
            <w:szCs w:val="16"/>
            <w:lang w:val="es-CO" w:eastAsia="es-ES_tradnl"/>
          </w:rPr>
          <w:t>https://www.colombiacompra.gov.co/manuales-guias-y-pliegos-tipo/manuales-y-guias/manual-para-determinar-y-verificar-los-requisitos</w:t>
        </w:r>
      </w:hyperlink>
      <w:r w:rsidRPr="00246173">
        <w:rPr>
          <w:rFonts w:ascii="Verdana" w:eastAsia="Calibri" w:hAnsi="Verdana" w:cs="Arial"/>
          <w:color w:val="000000"/>
          <w:sz w:val="16"/>
          <w:szCs w:val="16"/>
          <w:lang w:val="es-CO" w:eastAsia="es-ES_tradnl"/>
        </w:rPr>
        <w:t xml:space="preserve"> </w:t>
      </w:r>
    </w:p>
    <w:p w14:paraId="1A159AD8" w14:textId="77777777" w:rsidR="004505A6" w:rsidRPr="00373E83" w:rsidRDefault="004505A6" w:rsidP="004505A6">
      <w:pPr>
        <w:pStyle w:val="Textonotapie"/>
        <w:ind w:firstLine="709"/>
        <w:jc w:val="both"/>
        <w:rPr>
          <w:rFonts w:ascii="Verdana" w:hAnsi="Verdana" w:cs="Arial"/>
          <w:sz w:val="16"/>
          <w:szCs w:val="16"/>
          <w:lang w:val="es-ES"/>
        </w:rPr>
      </w:pPr>
    </w:p>
  </w:footnote>
  <w:footnote w:id="4">
    <w:p w14:paraId="49E21DB8" w14:textId="77777777" w:rsidR="004505A6" w:rsidRPr="00BC5882" w:rsidRDefault="004505A6" w:rsidP="004505A6">
      <w:pPr>
        <w:pStyle w:val="Textonotapie"/>
        <w:ind w:firstLine="708"/>
        <w:jc w:val="both"/>
        <w:rPr>
          <w:rFonts w:ascii="Verdana" w:eastAsia="Calibri" w:hAnsi="Verdana" w:cs="Arial"/>
          <w:color w:val="000000"/>
          <w:sz w:val="16"/>
          <w:szCs w:val="16"/>
          <w:lang w:val="es-ES_tradnl" w:eastAsia="es-ES_tradnl"/>
        </w:rPr>
      </w:pPr>
      <w:r w:rsidRPr="00BC5882">
        <w:rPr>
          <w:rFonts w:ascii="Verdana" w:eastAsia="Calibri" w:hAnsi="Verdana"/>
          <w:color w:val="000000"/>
          <w:sz w:val="16"/>
          <w:szCs w:val="16"/>
          <w:lang w:val="es-ES_tradnl" w:eastAsia="es-ES_tradnl"/>
        </w:rPr>
        <w:footnoteRef/>
      </w:r>
      <w:r w:rsidRPr="00BC5882">
        <w:rPr>
          <w:rFonts w:ascii="Verdana" w:eastAsia="Calibri" w:hAnsi="Verdana" w:cs="Arial"/>
          <w:color w:val="000000"/>
          <w:sz w:val="16"/>
          <w:szCs w:val="16"/>
          <w:lang w:val="es-ES_tradnl" w:eastAsia="es-ES_tradnl"/>
        </w:rPr>
        <w:t xml:space="preserve"> Para la realización de los respectivos análisis del sector de los Procesos de Contratación, esta Agencia recomienda tener en cuenta la última modificación de la “Guía de Elaboración de Estudios del Sector”, que puede ser consultada en el siguiente link:</w:t>
      </w:r>
      <w:r w:rsidRPr="00246173">
        <w:rPr>
          <w:rFonts w:ascii="Verdana" w:eastAsia="Calibri" w:hAnsi="Verdana" w:cs="Arial"/>
          <w:color w:val="000000"/>
          <w:sz w:val="16"/>
          <w:szCs w:val="16"/>
          <w:lang w:val="es-ES_tradnl" w:eastAsia="es-ES_tradnl"/>
        </w:rPr>
        <w:t xml:space="preserve"> </w:t>
      </w:r>
      <w:hyperlink r:id="rId2" w:history="1">
        <w:r w:rsidRPr="00246173">
          <w:rPr>
            <w:rFonts w:ascii="Verdana" w:hAnsi="Verdana"/>
            <w:color w:val="000000"/>
            <w:sz w:val="16"/>
            <w:szCs w:val="16"/>
            <w:lang w:val="es-ES_tradnl" w:eastAsia="es-ES_tradnl"/>
          </w:rPr>
          <w:t>https://www.colombiacompra.gov.co/sites/cce_public/files/cce_documentos/cce-eicp-gi-18._gees_v.2_2.pdf</w:t>
        </w:r>
      </w:hyperlink>
      <w:r w:rsidRPr="00BC5882">
        <w:rPr>
          <w:rFonts w:ascii="Verdana" w:eastAsia="Calibri" w:hAnsi="Verdana" w:cs="Arial"/>
          <w:color w:val="000000"/>
          <w:sz w:val="16"/>
          <w:szCs w:val="16"/>
          <w:lang w:val="es-ES_tradnl" w:eastAsia="es-ES_tradnl"/>
        </w:rPr>
        <w:t xml:space="preserve"> </w:t>
      </w:r>
    </w:p>
    <w:p w14:paraId="029B001A"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p>
  </w:footnote>
  <w:footnote w:id="5">
    <w:p w14:paraId="0F5F9A46"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BC5882">
        <w:rPr>
          <w:rFonts w:ascii="Verdana" w:eastAsia="Calibri" w:hAnsi="Verdana"/>
          <w:color w:val="000000"/>
          <w:sz w:val="16"/>
          <w:szCs w:val="16"/>
          <w:lang w:val="es-ES_tradnl" w:eastAsia="es-ES_tradnl"/>
        </w:rPr>
        <w:footnoteRef/>
      </w:r>
      <w:r w:rsidRPr="00BC5882">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w:t>
      </w:r>
      <w:r w:rsidRPr="00246173">
        <w:rPr>
          <w:rFonts w:ascii="Verdana" w:eastAsia="Calibri" w:hAnsi="Verdana" w:cs="Arial"/>
          <w:color w:val="000000"/>
          <w:sz w:val="16"/>
          <w:szCs w:val="16"/>
          <w:lang w:val="es-ES_tradnl" w:eastAsia="es-ES_tradnl"/>
        </w:rPr>
        <w:t xml:space="preserve">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61AE2514" w14:textId="77777777" w:rsidR="004505A6" w:rsidRPr="00246173" w:rsidRDefault="004505A6" w:rsidP="004505A6">
      <w:pPr>
        <w:pStyle w:val="Textonotapie"/>
        <w:ind w:firstLine="708"/>
        <w:rPr>
          <w:rFonts w:ascii="Verdana" w:eastAsia="Calibri" w:hAnsi="Verdana" w:cs="Arial"/>
          <w:color w:val="000000"/>
          <w:sz w:val="16"/>
          <w:szCs w:val="16"/>
          <w:lang w:val="es-ES_tradnl" w:eastAsia="es-ES_tradnl"/>
        </w:rPr>
      </w:pPr>
    </w:p>
    <w:p w14:paraId="70D16334"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BC5882">
        <w:rPr>
          <w:rFonts w:ascii="Verdana" w:eastAsia="Calibri" w:hAnsi="Verdana"/>
          <w:color w:val="000000"/>
          <w:sz w:val="16"/>
          <w:szCs w:val="16"/>
          <w:lang w:val="es-ES_tradnl" w:eastAsia="es-ES_tradnl"/>
        </w:rPr>
        <w:footnoteRef/>
      </w:r>
      <w:r w:rsidRPr="00BC5882">
        <w:rPr>
          <w:rFonts w:ascii="Verdana" w:eastAsia="Calibri" w:hAnsi="Verdana" w:cs="Arial"/>
          <w:color w:val="000000"/>
          <w:sz w:val="16"/>
          <w:szCs w:val="16"/>
          <w:lang w:val="es-ES_tradnl" w:eastAsia="es-ES_tradnl"/>
        </w:rPr>
        <w:t xml:space="preserve"> Decreto 1082 de 2015: “</w:t>
      </w:r>
      <w:r w:rsidRPr="00BC5882">
        <w:rPr>
          <w:rFonts w:ascii="Verdana" w:eastAsia="Calibri" w:hAnsi="Verdana"/>
          <w:sz w:val="16"/>
          <w:szCs w:val="16"/>
          <w:lang w:val="es-ES_tradnl" w:eastAsia="es-ES_tradnl"/>
        </w:rPr>
        <w:t>Artículo 2.2.1.1.1.5.2.</w:t>
      </w:r>
      <w:r w:rsidRPr="00BC5882">
        <w:rPr>
          <w:rFonts w:ascii="Verdana" w:eastAsia="Calibri" w:hAnsi="Verdana"/>
          <w:b/>
          <w:bCs/>
          <w:sz w:val="16"/>
          <w:szCs w:val="16"/>
          <w:lang w:val="es-ES_tradnl" w:eastAsia="es-ES_tradnl"/>
        </w:rPr>
        <w:t> </w:t>
      </w:r>
      <w:r w:rsidRPr="00BC5882">
        <w:rPr>
          <w:rFonts w:ascii="Verdana" w:eastAsia="Calibri" w:hAnsi="Verdana"/>
          <w:i/>
          <w:iCs/>
          <w:sz w:val="16"/>
          <w:szCs w:val="16"/>
          <w:lang w:val="es-ES_tradnl" w:eastAsia="es-ES_tradnl"/>
        </w:rPr>
        <w:t>Información para inscripción, renovación o actualización. </w:t>
      </w:r>
      <w:r w:rsidRPr="00246173">
        <w:rPr>
          <w:rFonts w:ascii="Verdana" w:eastAsia="Calibri" w:hAnsi="Verdana" w:cs="Arial"/>
          <w:color w:val="000000"/>
          <w:sz w:val="16"/>
          <w:szCs w:val="16"/>
          <w:lang w:val="es-ES_tradnl" w:eastAsia="es-ES_tradnl"/>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2BD7B428"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w:t>
      </w:r>
    </w:p>
    <w:p w14:paraId="0D273C86"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 xml:space="preserve">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w:t>
      </w:r>
    </w:p>
    <w:p w14:paraId="354999ED"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 xml:space="preserve">I. Principales cuentas detalladas del balance general. </w:t>
      </w:r>
    </w:p>
    <w:p w14:paraId="63A2EA3E"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 xml:space="preserve">II. Principales cuentas del estado de pérdidas y ganancias. </w:t>
      </w:r>
    </w:p>
    <w:p w14:paraId="7C0141DC"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246173">
        <w:rPr>
          <w:rFonts w:ascii="Verdana" w:eastAsia="Calibri" w:hAnsi="Verdana" w:cs="Arial"/>
          <w:color w:val="000000"/>
          <w:sz w:val="16"/>
          <w:szCs w:val="16"/>
          <w:lang w:val="es-ES_tradnl" w:eastAsia="es-ES_tradnl"/>
        </w:rPr>
        <w:t xml:space="preserve">III. Cuentas contingentes deudoras y acreedoras. </w:t>
      </w:r>
    </w:p>
    <w:p w14:paraId="57487FFE" w14:textId="77777777" w:rsidR="004505A6" w:rsidRPr="00373E83" w:rsidRDefault="004505A6" w:rsidP="004505A6">
      <w:pPr>
        <w:pStyle w:val="Textonotapie"/>
        <w:ind w:firstLine="708"/>
        <w:jc w:val="both"/>
        <w:rPr>
          <w:rFonts w:ascii="Verdana" w:hAnsi="Verdana" w:cs="Arial"/>
          <w:sz w:val="16"/>
          <w:szCs w:val="16"/>
        </w:rPr>
      </w:pPr>
      <w:r w:rsidRPr="00246173">
        <w:rPr>
          <w:rFonts w:ascii="Verdana" w:eastAsia="Calibri" w:hAnsi="Verdana" w:cs="Arial"/>
          <w:color w:val="000000"/>
          <w:sz w:val="16"/>
          <w:szCs w:val="16"/>
          <w:lang w:val="es-ES_tradnl" w:eastAsia="es-ES_tradnl"/>
        </w:rPr>
        <w:t>Si el interesado no tiene antigüedad suficiente para tener estados financieros auditados a 31 de diciembre, debe inscribirse con estados financieros de corte trimestral, suscritos por el representante legal y el auditor o contador o estados financieros de apertura[...]”</w:t>
      </w:r>
      <w:r w:rsidRPr="00373E83">
        <w:rPr>
          <w:rFonts w:ascii="Verdana" w:hAnsi="Verdana" w:cs="Arial"/>
          <w:sz w:val="16"/>
          <w:szCs w:val="16"/>
        </w:rPr>
        <w:t xml:space="preserve">  </w:t>
      </w:r>
    </w:p>
  </w:footnote>
  <w:footnote w:id="7">
    <w:p w14:paraId="136322D8"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35058B">
        <w:rPr>
          <w:rStyle w:val="Refdenotaalpie"/>
          <w:rFonts w:ascii="Verdana" w:hAnsi="Verdana" w:cs="Arial"/>
          <w:sz w:val="16"/>
          <w:szCs w:val="16"/>
        </w:rPr>
        <w:footnoteRef/>
      </w:r>
      <w:r w:rsidRPr="0035058B">
        <w:rPr>
          <w:rFonts w:ascii="Verdana" w:hAnsi="Verdana" w:cs="Arial"/>
          <w:sz w:val="16"/>
          <w:szCs w:val="16"/>
        </w:rPr>
        <w:t xml:space="preserve"> </w:t>
      </w:r>
      <w:r w:rsidRPr="0035058B">
        <w:rPr>
          <w:rFonts w:ascii="Verdana" w:eastAsia="Calibri" w:hAnsi="Verdana" w:cs="Arial"/>
          <w:color w:val="000000"/>
          <w:sz w:val="16"/>
          <w:szCs w:val="16"/>
          <w:lang w:val="es-ES_tradnl" w:eastAsia="es-ES_tradnl"/>
        </w:rPr>
        <w:t>Mide la liquidez del proponente de manera más estricta que el índice de liquidez, pues no tiene en cuenta su inventario. El inventario es excluido, teniendo en c</w:t>
      </w:r>
      <w:r w:rsidRPr="00246173">
        <w:rPr>
          <w:rFonts w:ascii="Verdana" w:eastAsia="Calibri" w:hAnsi="Verdana" w:cs="Arial"/>
          <w:color w:val="000000"/>
          <w:sz w:val="16"/>
          <w:szCs w:val="16"/>
          <w:lang w:val="es-ES_tradnl" w:eastAsia="es-ES_tradnl"/>
        </w:rPr>
        <w:t>uenta que es la cuenta menos líquida del activo corriente y no debe ser usada para pagar las obligaciones de corto plazo.</w:t>
      </w:r>
    </w:p>
    <w:p w14:paraId="5D3C7DB3"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p>
  </w:footnote>
  <w:footnote w:id="8">
    <w:p w14:paraId="74AF35EF" w14:textId="77777777" w:rsidR="004505A6" w:rsidRPr="00246173" w:rsidRDefault="004505A6" w:rsidP="004505A6">
      <w:pPr>
        <w:pStyle w:val="Textonotapie"/>
        <w:ind w:firstLine="708"/>
        <w:jc w:val="both"/>
        <w:rPr>
          <w:rFonts w:ascii="Verdana" w:eastAsia="Calibri" w:hAnsi="Verdana" w:cs="Arial"/>
          <w:color w:val="000000"/>
          <w:sz w:val="16"/>
          <w:szCs w:val="16"/>
          <w:lang w:val="es-ES_tradnl" w:eastAsia="es-ES_tradnl"/>
        </w:rPr>
      </w:pPr>
      <w:r w:rsidRPr="0035058B">
        <w:rPr>
          <w:rFonts w:ascii="Verdana" w:eastAsia="Calibri" w:hAnsi="Verdana"/>
          <w:color w:val="000000"/>
          <w:sz w:val="16"/>
          <w:szCs w:val="16"/>
          <w:vertAlign w:val="superscript"/>
          <w:lang w:val="es-ES_tradnl" w:eastAsia="es-ES_tradnl"/>
        </w:rPr>
        <w:footnoteRef/>
      </w:r>
      <w:r w:rsidRPr="0035058B">
        <w:rPr>
          <w:rFonts w:ascii="Verdana" w:eastAsia="Calibri" w:hAnsi="Verdana" w:cs="Arial"/>
          <w:color w:val="000000"/>
          <w:sz w:val="16"/>
          <w:szCs w:val="16"/>
          <w:vertAlign w:val="superscript"/>
          <w:lang w:val="es-ES_tradnl" w:eastAsia="es-ES_tradnl"/>
        </w:rPr>
        <w:t xml:space="preserve"> </w:t>
      </w:r>
      <w:r w:rsidRPr="0035058B">
        <w:rPr>
          <w:rFonts w:ascii="Verdana" w:eastAsia="Calibri" w:hAnsi="Verdana" w:cs="Arial"/>
          <w:color w:val="000000"/>
          <w:sz w:val="16"/>
          <w:szCs w:val="16"/>
          <w:lang w:val="es-ES_tradnl" w:eastAsia="es-ES_tradnl"/>
        </w:rPr>
        <w:t>Agencia Nacional de Contratación Pública – Colombia Compra Eficiente, “Manual para determinar y verificar los requisitos habilitant</w:t>
      </w:r>
      <w:r w:rsidRPr="00246173">
        <w:rPr>
          <w:rFonts w:ascii="Verdana" w:eastAsia="Calibri" w:hAnsi="Verdana" w:cs="Arial"/>
          <w:color w:val="000000"/>
          <w:sz w:val="16"/>
          <w:szCs w:val="16"/>
          <w:lang w:val="es-ES_tradnl" w:eastAsia="es-ES_tradnl"/>
        </w:rPr>
        <w:t>es en los Procesos de Contratación”.</w:t>
      </w:r>
    </w:p>
    <w:p w14:paraId="00B4FFF9" w14:textId="77777777" w:rsidR="004505A6" w:rsidRPr="00373E83" w:rsidRDefault="004505A6" w:rsidP="004505A6">
      <w:pPr>
        <w:pStyle w:val="Textonotapie"/>
        <w:ind w:firstLine="567"/>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 w15:restartNumberingAfterBreak="0">
    <w:nsid w:val="27691860"/>
    <w:multiLevelType w:val="hybridMultilevel"/>
    <w:tmpl w:val="6B809FD0"/>
    <w:lvl w:ilvl="0" w:tplc="240A0001">
      <w:start w:val="1"/>
      <w:numFmt w:val="bullet"/>
      <w:lvlText w:val=""/>
      <w:lvlJc w:val="left"/>
      <w:pPr>
        <w:ind w:left="1372" w:hanging="360"/>
      </w:pPr>
      <w:rPr>
        <w:rFonts w:ascii="Symbol" w:hAnsi="Symbol" w:hint="default"/>
      </w:rPr>
    </w:lvl>
    <w:lvl w:ilvl="1" w:tplc="240A0003" w:tentative="1">
      <w:start w:val="1"/>
      <w:numFmt w:val="bullet"/>
      <w:lvlText w:val="o"/>
      <w:lvlJc w:val="left"/>
      <w:pPr>
        <w:ind w:left="2092" w:hanging="360"/>
      </w:pPr>
      <w:rPr>
        <w:rFonts w:ascii="Courier New" w:hAnsi="Courier New" w:cs="Courier New" w:hint="default"/>
      </w:rPr>
    </w:lvl>
    <w:lvl w:ilvl="2" w:tplc="240A0005" w:tentative="1">
      <w:start w:val="1"/>
      <w:numFmt w:val="bullet"/>
      <w:lvlText w:val=""/>
      <w:lvlJc w:val="left"/>
      <w:pPr>
        <w:ind w:left="2812" w:hanging="360"/>
      </w:pPr>
      <w:rPr>
        <w:rFonts w:ascii="Wingdings" w:hAnsi="Wingdings" w:hint="default"/>
      </w:rPr>
    </w:lvl>
    <w:lvl w:ilvl="3" w:tplc="240A0001" w:tentative="1">
      <w:start w:val="1"/>
      <w:numFmt w:val="bullet"/>
      <w:lvlText w:val=""/>
      <w:lvlJc w:val="left"/>
      <w:pPr>
        <w:ind w:left="3532" w:hanging="360"/>
      </w:pPr>
      <w:rPr>
        <w:rFonts w:ascii="Symbol" w:hAnsi="Symbol" w:hint="default"/>
      </w:rPr>
    </w:lvl>
    <w:lvl w:ilvl="4" w:tplc="240A0003" w:tentative="1">
      <w:start w:val="1"/>
      <w:numFmt w:val="bullet"/>
      <w:lvlText w:val="o"/>
      <w:lvlJc w:val="left"/>
      <w:pPr>
        <w:ind w:left="4252" w:hanging="360"/>
      </w:pPr>
      <w:rPr>
        <w:rFonts w:ascii="Courier New" w:hAnsi="Courier New" w:cs="Courier New" w:hint="default"/>
      </w:rPr>
    </w:lvl>
    <w:lvl w:ilvl="5" w:tplc="240A0005" w:tentative="1">
      <w:start w:val="1"/>
      <w:numFmt w:val="bullet"/>
      <w:lvlText w:val=""/>
      <w:lvlJc w:val="left"/>
      <w:pPr>
        <w:ind w:left="4972" w:hanging="360"/>
      </w:pPr>
      <w:rPr>
        <w:rFonts w:ascii="Wingdings" w:hAnsi="Wingdings" w:hint="default"/>
      </w:rPr>
    </w:lvl>
    <w:lvl w:ilvl="6" w:tplc="240A0001" w:tentative="1">
      <w:start w:val="1"/>
      <w:numFmt w:val="bullet"/>
      <w:lvlText w:val=""/>
      <w:lvlJc w:val="left"/>
      <w:pPr>
        <w:ind w:left="5692" w:hanging="360"/>
      </w:pPr>
      <w:rPr>
        <w:rFonts w:ascii="Symbol" w:hAnsi="Symbol" w:hint="default"/>
      </w:rPr>
    </w:lvl>
    <w:lvl w:ilvl="7" w:tplc="240A0003" w:tentative="1">
      <w:start w:val="1"/>
      <w:numFmt w:val="bullet"/>
      <w:lvlText w:val="o"/>
      <w:lvlJc w:val="left"/>
      <w:pPr>
        <w:ind w:left="6412" w:hanging="360"/>
      </w:pPr>
      <w:rPr>
        <w:rFonts w:ascii="Courier New" w:hAnsi="Courier New" w:cs="Courier New" w:hint="default"/>
      </w:rPr>
    </w:lvl>
    <w:lvl w:ilvl="8" w:tplc="240A0005" w:tentative="1">
      <w:start w:val="1"/>
      <w:numFmt w:val="bullet"/>
      <w:lvlText w:val=""/>
      <w:lvlJc w:val="left"/>
      <w:pPr>
        <w:ind w:left="7132"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0"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4"/>
  </w:num>
  <w:num w:numId="3" w16cid:durableId="679089576">
    <w:abstractNumId w:val="6"/>
  </w:num>
  <w:num w:numId="4" w16cid:durableId="893472101">
    <w:abstractNumId w:val="2"/>
  </w:num>
  <w:num w:numId="5" w16cid:durableId="1982299905">
    <w:abstractNumId w:val="14"/>
  </w:num>
  <w:num w:numId="6" w16cid:durableId="130758360">
    <w:abstractNumId w:val="8"/>
  </w:num>
  <w:num w:numId="7" w16cid:durableId="262541512">
    <w:abstractNumId w:val="13"/>
  </w:num>
  <w:num w:numId="8" w16cid:durableId="1947226218">
    <w:abstractNumId w:val="5"/>
  </w:num>
  <w:num w:numId="9" w16cid:durableId="1180706126">
    <w:abstractNumId w:val="7"/>
  </w:num>
  <w:num w:numId="10" w16cid:durableId="2097506960">
    <w:abstractNumId w:val="11"/>
  </w:num>
  <w:num w:numId="11" w16cid:durableId="1977490869">
    <w:abstractNumId w:val="10"/>
  </w:num>
  <w:num w:numId="12" w16cid:durableId="158663248">
    <w:abstractNumId w:val="9"/>
  </w:num>
  <w:num w:numId="13" w16cid:durableId="2024085788">
    <w:abstractNumId w:val="1"/>
  </w:num>
  <w:num w:numId="14" w16cid:durableId="390349800">
    <w:abstractNumId w:val="12"/>
  </w:num>
  <w:num w:numId="15" w16cid:durableId="13282488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612"/>
    <w:rsid w:val="0001025F"/>
    <w:rsid w:val="0001155E"/>
    <w:rsid w:val="00011613"/>
    <w:rsid w:val="00011D3C"/>
    <w:rsid w:val="0001222D"/>
    <w:rsid w:val="00012EDA"/>
    <w:rsid w:val="00013B3F"/>
    <w:rsid w:val="00014981"/>
    <w:rsid w:val="00014B0D"/>
    <w:rsid w:val="00016280"/>
    <w:rsid w:val="0001672C"/>
    <w:rsid w:val="00016F04"/>
    <w:rsid w:val="00017870"/>
    <w:rsid w:val="00021595"/>
    <w:rsid w:val="000219D1"/>
    <w:rsid w:val="00021C3A"/>
    <w:rsid w:val="0002202D"/>
    <w:rsid w:val="00022C23"/>
    <w:rsid w:val="00023DF7"/>
    <w:rsid w:val="000267DD"/>
    <w:rsid w:val="000273EA"/>
    <w:rsid w:val="00027B63"/>
    <w:rsid w:val="00030B3D"/>
    <w:rsid w:val="00030BC5"/>
    <w:rsid w:val="00030BFB"/>
    <w:rsid w:val="00031DA1"/>
    <w:rsid w:val="00031EAF"/>
    <w:rsid w:val="00033390"/>
    <w:rsid w:val="000361EA"/>
    <w:rsid w:val="000369C0"/>
    <w:rsid w:val="00037A8B"/>
    <w:rsid w:val="00040372"/>
    <w:rsid w:val="000408AD"/>
    <w:rsid w:val="00041469"/>
    <w:rsid w:val="00042DD7"/>
    <w:rsid w:val="000442CC"/>
    <w:rsid w:val="000442DE"/>
    <w:rsid w:val="00044B24"/>
    <w:rsid w:val="0004508D"/>
    <w:rsid w:val="0004709D"/>
    <w:rsid w:val="000504AA"/>
    <w:rsid w:val="0005086B"/>
    <w:rsid w:val="00050C95"/>
    <w:rsid w:val="00050CAD"/>
    <w:rsid w:val="0005142D"/>
    <w:rsid w:val="00051A3C"/>
    <w:rsid w:val="00051BE4"/>
    <w:rsid w:val="000526A8"/>
    <w:rsid w:val="0005420B"/>
    <w:rsid w:val="000551CB"/>
    <w:rsid w:val="0005620B"/>
    <w:rsid w:val="00057392"/>
    <w:rsid w:val="000577A2"/>
    <w:rsid w:val="000577D3"/>
    <w:rsid w:val="00057963"/>
    <w:rsid w:val="000579AB"/>
    <w:rsid w:val="00060AE4"/>
    <w:rsid w:val="000622B9"/>
    <w:rsid w:val="00064721"/>
    <w:rsid w:val="00065973"/>
    <w:rsid w:val="00065C6D"/>
    <w:rsid w:val="00066646"/>
    <w:rsid w:val="0006668C"/>
    <w:rsid w:val="00066C7A"/>
    <w:rsid w:val="000716AB"/>
    <w:rsid w:val="00071AB8"/>
    <w:rsid w:val="0007243A"/>
    <w:rsid w:val="000762C0"/>
    <w:rsid w:val="00076C2B"/>
    <w:rsid w:val="00076C73"/>
    <w:rsid w:val="00076F81"/>
    <w:rsid w:val="000779DE"/>
    <w:rsid w:val="000800B6"/>
    <w:rsid w:val="000847A0"/>
    <w:rsid w:val="00084BFD"/>
    <w:rsid w:val="00087073"/>
    <w:rsid w:val="000875BD"/>
    <w:rsid w:val="000878E7"/>
    <w:rsid w:val="00087A3B"/>
    <w:rsid w:val="00087C01"/>
    <w:rsid w:val="000903E4"/>
    <w:rsid w:val="00091D73"/>
    <w:rsid w:val="000933B5"/>
    <w:rsid w:val="000933BC"/>
    <w:rsid w:val="00093544"/>
    <w:rsid w:val="00093D95"/>
    <w:rsid w:val="00094663"/>
    <w:rsid w:val="00095410"/>
    <w:rsid w:val="00095E48"/>
    <w:rsid w:val="00096637"/>
    <w:rsid w:val="00097285"/>
    <w:rsid w:val="000A021A"/>
    <w:rsid w:val="000A1828"/>
    <w:rsid w:val="000A1F38"/>
    <w:rsid w:val="000A2030"/>
    <w:rsid w:val="000A413A"/>
    <w:rsid w:val="000A4F1E"/>
    <w:rsid w:val="000A5881"/>
    <w:rsid w:val="000A66A1"/>
    <w:rsid w:val="000A69FB"/>
    <w:rsid w:val="000B1087"/>
    <w:rsid w:val="000B199A"/>
    <w:rsid w:val="000B1FF7"/>
    <w:rsid w:val="000B2529"/>
    <w:rsid w:val="000B2B7C"/>
    <w:rsid w:val="000B381D"/>
    <w:rsid w:val="000B3DD4"/>
    <w:rsid w:val="000B4024"/>
    <w:rsid w:val="000B44BA"/>
    <w:rsid w:val="000B5313"/>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D0372"/>
    <w:rsid w:val="000D2914"/>
    <w:rsid w:val="000D2E60"/>
    <w:rsid w:val="000D2F50"/>
    <w:rsid w:val="000D3275"/>
    <w:rsid w:val="000D3A1B"/>
    <w:rsid w:val="000D5008"/>
    <w:rsid w:val="000D570C"/>
    <w:rsid w:val="000D5A0F"/>
    <w:rsid w:val="000D5B1E"/>
    <w:rsid w:val="000D5D9B"/>
    <w:rsid w:val="000D5E3F"/>
    <w:rsid w:val="000D6532"/>
    <w:rsid w:val="000D6E33"/>
    <w:rsid w:val="000E0622"/>
    <w:rsid w:val="000E07AA"/>
    <w:rsid w:val="000E1D6F"/>
    <w:rsid w:val="000E3381"/>
    <w:rsid w:val="000E3744"/>
    <w:rsid w:val="000E3CD9"/>
    <w:rsid w:val="000E481D"/>
    <w:rsid w:val="000E4DBF"/>
    <w:rsid w:val="000E4DF2"/>
    <w:rsid w:val="000F0144"/>
    <w:rsid w:val="000F0807"/>
    <w:rsid w:val="000F0B3C"/>
    <w:rsid w:val="000F13D5"/>
    <w:rsid w:val="000F1AD8"/>
    <w:rsid w:val="000F2F4C"/>
    <w:rsid w:val="000F38D9"/>
    <w:rsid w:val="000F3CED"/>
    <w:rsid w:val="000F414C"/>
    <w:rsid w:val="000F64FC"/>
    <w:rsid w:val="000F696E"/>
    <w:rsid w:val="000F718E"/>
    <w:rsid w:val="001001F2"/>
    <w:rsid w:val="00100207"/>
    <w:rsid w:val="001003C6"/>
    <w:rsid w:val="00100682"/>
    <w:rsid w:val="001010D3"/>
    <w:rsid w:val="00101C11"/>
    <w:rsid w:val="00102F4F"/>
    <w:rsid w:val="001034DD"/>
    <w:rsid w:val="00104425"/>
    <w:rsid w:val="00104B4C"/>
    <w:rsid w:val="001055A2"/>
    <w:rsid w:val="00106C4C"/>
    <w:rsid w:val="00107DEF"/>
    <w:rsid w:val="0011037E"/>
    <w:rsid w:val="00110404"/>
    <w:rsid w:val="00110F73"/>
    <w:rsid w:val="00111E35"/>
    <w:rsid w:val="001128B4"/>
    <w:rsid w:val="00112EBD"/>
    <w:rsid w:val="001132C2"/>
    <w:rsid w:val="0011382D"/>
    <w:rsid w:val="00113AF2"/>
    <w:rsid w:val="00113C17"/>
    <w:rsid w:val="00114051"/>
    <w:rsid w:val="00114FDF"/>
    <w:rsid w:val="0011650B"/>
    <w:rsid w:val="00116616"/>
    <w:rsid w:val="00116FC5"/>
    <w:rsid w:val="00117BBD"/>
    <w:rsid w:val="001213E7"/>
    <w:rsid w:val="001224BA"/>
    <w:rsid w:val="001238BC"/>
    <w:rsid w:val="00124518"/>
    <w:rsid w:val="001248AB"/>
    <w:rsid w:val="00124981"/>
    <w:rsid w:val="00124B2E"/>
    <w:rsid w:val="00125D81"/>
    <w:rsid w:val="00126301"/>
    <w:rsid w:val="0012661F"/>
    <w:rsid w:val="001269B0"/>
    <w:rsid w:val="00126B24"/>
    <w:rsid w:val="00127234"/>
    <w:rsid w:val="001276C4"/>
    <w:rsid w:val="00127C68"/>
    <w:rsid w:val="00127D5B"/>
    <w:rsid w:val="00131373"/>
    <w:rsid w:val="001314A0"/>
    <w:rsid w:val="00131A1F"/>
    <w:rsid w:val="00131A66"/>
    <w:rsid w:val="00131F9C"/>
    <w:rsid w:val="00132336"/>
    <w:rsid w:val="0013280A"/>
    <w:rsid w:val="0013343F"/>
    <w:rsid w:val="001344F9"/>
    <w:rsid w:val="0013568F"/>
    <w:rsid w:val="00135F76"/>
    <w:rsid w:val="001360E9"/>
    <w:rsid w:val="001360F4"/>
    <w:rsid w:val="001363C7"/>
    <w:rsid w:val="00136E87"/>
    <w:rsid w:val="00140793"/>
    <w:rsid w:val="001422BD"/>
    <w:rsid w:val="0014286D"/>
    <w:rsid w:val="00143B8E"/>
    <w:rsid w:val="00143D7E"/>
    <w:rsid w:val="00143F21"/>
    <w:rsid w:val="0014420C"/>
    <w:rsid w:val="001446C3"/>
    <w:rsid w:val="001461A7"/>
    <w:rsid w:val="00146946"/>
    <w:rsid w:val="00146E7C"/>
    <w:rsid w:val="001513CE"/>
    <w:rsid w:val="00151465"/>
    <w:rsid w:val="00151AD8"/>
    <w:rsid w:val="00151E77"/>
    <w:rsid w:val="00153287"/>
    <w:rsid w:val="001538BE"/>
    <w:rsid w:val="00153C33"/>
    <w:rsid w:val="00154081"/>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DBF"/>
    <w:rsid w:val="001765BB"/>
    <w:rsid w:val="0017667E"/>
    <w:rsid w:val="00176AE8"/>
    <w:rsid w:val="00176E76"/>
    <w:rsid w:val="00177570"/>
    <w:rsid w:val="00177E95"/>
    <w:rsid w:val="0018007F"/>
    <w:rsid w:val="001811FC"/>
    <w:rsid w:val="00182338"/>
    <w:rsid w:val="00182348"/>
    <w:rsid w:val="00183F50"/>
    <w:rsid w:val="001847CF"/>
    <w:rsid w:val="00184BD9"/>
    <w:rsid w:val="00184ED6"/>
    <w:rsid w:val="00184F13"/>
    <w:rsid w:val="00184FD9"/>
    <w:rsid w:val="00186037"/>
    <w:rsid w:val="00186D14"/>
    <w:rsid w:val="001876D8"/>
    <w:rsid w:val="001877A3"/>
    <w:rsid w:val="00190325"/>
    <w:rsid w:val="00190391"/>
    <w:rsid w:val="0019114C"/>
    <w:rsid w:val="00191593"/>
    <w:rsid w:val="001918F1"/>
    <w:rsid w:val="0019196E"/>
    <w:rsid w:val="00191FF5"/>
    <w:rsid w:val="001926D7"/>
    <w:rsid w:val="00192CCE"/>
    <w:rsid w:val="0019385B"/>
    <w:rsid w:val="00193F1C"/>
    <w:rsid w:val="001948F5"/>
    <w:rsid w:val="00194958"/>
    <w:rsid w:val="00197205"/>
    <w:rsid w:val="0019793F"/>
    <w:rsid w:val="00197A9D"/>
    <w:rsid w:val="001A17D7"/>
    <w:rsid w:val="001A1FDD"/>
    <w:rsid w:val="001A2D8F"/>
    <w:rsid w:val="001A3D89"/>
    <w:rsid w:val="001A545B"/>
    <w:rsid w:val="001A54DA"/>
    <w:rsid w:val="001A6861"/>
    <w:rsid w:val="001A6FEC"/>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E89"/>
    <w:rsid w:val="001C0125"/>
    <w:rsid w:val="001C1074"/>
    <w:rsid w:val="001C25F5"/>
    <w:rsid w:val="001C34D0"/>
    <w:rsid w:val="001C4249"/>
    <w:rsid w:val="001C4585"/>
    <w:rsid w:val="001C4F27"/>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E0902"/>
    <w:rsid w:val="001E1801"/>
    <w:rsid w:val="001E1C73"/>
    <w:rsid w:val="001E1E05"/>
    <w:rsid w:val="001E22D2"/>
    <w:rsid w:val="001E2343"/>
    <w:rsid w:val="001E3A17"/>
    <w:rsid w:val="001E3FCB"/>
    <w:rsid w:val="001E52DF"/>
    <w:rsid w:val="001E6BCB"/>
    <w:rsid w:val="001E783B"/>
    <w:rsid w:val="001E7FBC"/>
    <w:rsid w:val="001F0822"/>
    <w:rsid w:val="001F08CB"/>
    <w:rsid w:val="001F15F6"/>
    <w:rsid w:val="001F179C"/>
    <w:rsid w:val="001F24B7"/>
    <w:rsid w:val="001F2649"/>
    <w:rsid w:val="001F3496"/>
    <w:rsid w:val="001F3F0A"/>
    <w:rsid w:val="001F41CA"/>
    <w:rsid w:val="001F4355"/>
    <w:rsid w:val="001F4819"/>
    <w:rsid w:val="001F61DE"/>
    <w:rsid w:val="001F7054"/>
    <w:rsid w:val="002000AA"/>
    <w:rsid w:val="00201502"/>
    <w:rsid w:val="0020302A"/>
    <w:rsid w:val="002032A0"/>
    <w:rsid w:val="00203532"/>
    <w:rsid w:val="00203AE0"/>
    <w:rsid w:val="00204106"/>
    <w:rsid w:val="00204109"/>
    <w:rsid w:val="00205041"/>
    <w:rsid w:val="0020524C"/>
    <w:rsid w:val="002059E3"/>
    <w:rsid w:val="002118D1"/>
    <w:rsid w:val="00211DCE"/>
    <w:rsid w:val="00212390"/>
    <w:rsid w:val="00212897"/>
    <w:rsid w:val="0021386A"/>
    <w:rsid w:val="00213C44"/>
    <w:rsid w:val="002147EE"/>
    <w:rsid w:val="00215516"/>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517"/>
    <w:rsid w:val="002225AB"/>
    <w:rsid w:val="00223018"/>
    <w:rsid w:val="002250D1"/>
    <w:rsid w:val="002267D2"/>
    <w:rsid w:val="00230839"/>
    <w:rsid w:val="00231ADB"/>
    <w:rsid w:val="00232178"/>
    <w:rsid w:val="00232248"/>
    <w:rsid w:val="00232D12"/>
    <w:rsid w:val="00233975"/>
    <w:rsid w:val="002353E3"/>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2503"/>
    <w:rsid w:val="00252ED7"/>
    <w:rsid w:val="0025393C"/>
    <w:rsid w:val="002549E7"/>
    <w:rsid w:val="00254A7A"/>
    <w:rsid w:val="00254EA4"/>
    <w:rsid w:val="0025509C"/>
    <w:rsid w:val="002552F8"/>
    <w:rsid w:val="002556EE"/>
    <w:rsid w:val="0025575F"/>
    <w:rsid w:val="002571E3"/>
    <w:rsid w:val="00260496"/>
    <w:rsid w:val="00260542"/>
    <w:rsid w:val="00260BAD"/>
    <w:rsid w:val="0026224C"/>
    <w:rsid w:val="00264C7C"/>
    <w:rsid w:val="00266061"/>
    <w:rsid w:val="0026650F"/>
    <w:rsid w:val="00266DC3"/>
    <w:rsid w:val="0027029D"/>
    <w:rsid w:val="00270443"/>
    <w:rsid w:val="00270EE2"/>
    <w:rsid w:val="0027138C"/>
    <w:rsid w:val="00272787"/>
    <w:rsid w:val="00272826"/>
    <w:rsid w:val="00272A7B"/>
    <w:rsid w:val="00272C44"/>
    <w:rsid w:val="00273527"/>
    <w:rsid w:val="00273F6B"/>
    <w:rsid w:val="002747EF"/>
    <w:rsid w:val="00274B06"/>
    <w:rsid w:val="002751D6"/>
    <w:rsid w:val="002754D3"/>
    <w:rsid w:val="00276944"/>
    <w:rsid w:val="002769AE"/>
    <w:rsid w:val="002817A6"/>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2E91"/>
    <w:rsid w:val="002930AD"/>
    <w:rsid w:val="00293254"/>
    <w:rsid w:val="00295002"/>
    <w:rsid w:val="0029568E"/>
    <w:rsid w:val="002971C7"/>
    <w:rsid w:val="002971F2"/>
    <w:rsid w:val="00297785"/>
    <w:rsid w:val="00297E05"/>
    <w:rsid w:val="002A0444"/>
    <w:rsid w:val="002A0F8D"/>
    <w:rsid w:val="002A1311"/>
    <w:rsid w:val="002A1377"/>
    <w:rsid w:val="002A211A"/>
    <w:rsid w:val="002A264B"/>
    <w:rsid w:val="002A4A82"/>
    <w:rsid w:val="002A4B33"/>
    <w:rsid w:val="002A5311"/>
    <w:rsid w:val="002A6E9B"/>
    <w:rsid w:val="002A6FBB"/>
    <w:rsid w:val="002B05D1"/>
    <w:rsid w:val="002B1933"/>
    <w:rsid w:val="002B20BD"/>
    <w:rsid w:val="002B2611"/>
    <w:rsid w:val="002B38D2"/>
    <w:rsid w:val="002B3A46"/>
    <w:rsid w:val="002B3F1C"/>
    <w:rsid w:val="002B4ED9"/>
    <w:rsid w:val="002B4EF4"/>
    <w:rsid w:val="002B58C5"/>
    <w:rsid w:val="002B6CA2"/>
    <w:rsid w:val="002B6E44"/>
    <w:rsid w:val="002B6E8A"/>
    <w:rsid w:val="002B726F"/>
    <w:rsid w:val="002B744E"/>
    <w:rsid w:val="002C000B"/>
    <w:rsid w:val="002C016F"/>
    <w:rsid w:val="002C09A8"/>
    <w:rsid w:val="002C103C"/>
    <w:rsid w:val="002C12C7"/>
    <w:rsid w:val="002C1E93"/>
    <w:rsid w:val="002C2240"/>
    <w:rsid w:val="002C29EB"/>
    <w:rsid w:val="002C30F0"/>
    <w:rsid w:val="002C401A"/>
    <w:rsid w:val="002C532B"/>
    <w:rsid w:val="002C6D15"/>
    <w:rsid w:val="002C72F4"/>
    <w:rsid w:val="002C7E5B"/>
    <w:rsid w:val="002D0907"/>
    <w:rsid w:val="002D0E9E"/>
    <w:rsid w:val="002D1381"/>
    <w:rsid w:val="002D2D68"/>
    <w:rsid w:val="002D3067"/>
    <w:rsid w:val="002D38D9"/>
    <w:rsid w:val="002D4298"/>
    <w:rsid w:val="002D47E8"/>
    <w:rsid w:val="002D4FCC"/>
    <w:rsid w:val="002D68F4"/>
    <w:rsid w:val="002D7417"/>
    <w:rsid w:val="002D782B"/>
    <w:rsid w:val="002E0D9C"/>
    <w:rsid w:val="002E1247"/>
    <w:rsid w:val="002E26E8"/>
    <w:rsid w:val="002E3DD8"/>
    <w:rsid w:val="002E3ED8"/>
    <w:rsid w:val="002E5A01"/>
    <w:rsid w:val="002E5EA3"/>
    <w:rsid w:val="002E717C"/>
    <w:rsid w:val="002E7533"/>
    <w:rsid w:val="002E7A61"/>
    <w:rsid w:val="002F00B8"/>
    <w:rsid w:val="002F0106"/>
    <w:rsid w:val="002F03C8"/>
    <w:rsid w:val="002F188D"/>
    <w:rsid w:val="002F18A5"/>
    <w:rsid w:val="002F317F"/>
    <w:rsid w:val="002F51A2"/>
    <w:rsid w:val="002F5E95"/>
    <w:rsid w:val="002F63CA"/>
    <w:rsid w:val="002F67B4"/>
    <w:rsid w:val="002F6F73"/>
    <w:rsid w:val="002F7AA9"/>
    <w:rsid w:val="003004E3"/>
    <w:rsid w:val="00301C0D"/>
    <w:rsid w:val="00301D7B"/>
    <w:rsid w:val="00301E19"/>
    <w:rsid w:val="003023DE"/>
    <w:rsid w:val="00303DC4"/>
    <w:rsid w:val="00304676"/>
    <w:rsid w:val="00306BE7"/>
    <w:rsid w:val="00311B66"/>
    <w:rsid w:val="00311F29"/>
    <w:rsid w:val="00314036"/>
    <w:rsid w:val="00314347"/>
    <w:rsid w:val="00314C4F"/>
    <w:rsid w:val="00314FAF"/>
    <w:rsid w:val="003162A5"/>
    <w:rsid w:val="00316591"/>
    <w:rsid w:val="00320C6D"/>
    <w:rsid w:val="003213A8"/>
    <w:rsid w:val="00321FA8"/>
    <w:rsid w:val="00321FFD"/>
    <w:rsid w:val="00322E18"/>
    <w:rsid w:val="00323C3D"/>
    <w:rsid w:val="00323D1D"/>
    <w:rsid w:val="00323F8A"/>
    <w:rsid w:val="00324D73"/>
    <w:rsid w:val="00326011"/>
    <w:rsid w:val="0032643D"/>
    <w:rsid w:val="00326D02"/>
    <w:rsid w:val="00327069"/>
    <w:rsid w:val="00327812"/>
    <w:rsid w:val="00327AFB"/>
    <w:rsid w:val="00327BAF"/>
    <w:rsid w:val="00327D10"/>
    <w:rsid w:val="003306F7"/>
    <w:rsid w:val="00332CB8"/>
    <w:rsid w:val="00333428"/>
    <w:rsid w:val="003350B6"/>
    <w:rsid w:val="0033595E"/>
    <w:rsid w:val="0033601B"/>
    <w:rsid w:val="003364B6"/>
    <w:rsid w:val="0033764C"/>
    <w:rsid w:val="00337DF3"/>
    <w:rsid w:val="00340039"/>
    <w:rsid w:val="003400D3"/>
    <w:rsid w:val="0034024F"/>
    <w:rsid w:val="00340A77"/>
    <w:rsid w:val="00340D39"/>
    <w:rsid w:val="00340DFB"/>
    <w:rsid w:val="00341941"/>
    <w:rsid w:val="0034207A"/>
    <w:rsid w:val="0034278F"/>
    <w:rsid w:val="00343B47"/>
    <w:rsid w:val="0034404F"/>
    <w:rsid w:val="00344ACC"/>
    <w:rsid w:val="00345F01"/>
    <w:rsid w:val="0034654F"/>
    <w:rsid w:val="00346B28"/>
    <w:rsid w:val="00347685"/>
    <w:rsid w:val="003509A5"/>
    <w:rsid w:val="00351E21"/>
    <w:rsid w:val="00352327"/>
    <w:rsid w:val="00354062"/>
    <w:rsid w:val="00354405"/>
    <w:rsid w:val="00355727"/>
    <w:rsid w:val="00355A76"/>
    <w:rsid w:val="0035635F"/>
    <w:rsid w:val="00356E0F"/>
    <w:rsid w:val="003607EE"/>
    <w:rsid w:val="00360BC8"/>
    <w:rsid w:val="00360E35"/>
    <w:rsid w:val="003617AE"/>
    <w:rsid w:val="0036215C"/>
    <w:rsid w:val="00362654"/>
    <w:rsid w:val="003630F7"/>
    <w:rsid w:val="00363589"/>
    <w:rsid w:val="00363636"/>
    <w:rsid w:val="003651AC"/>
    <w:rsid w:val="003653AA"/>
    <w:rsid w:val="00366120"/>
    <w:rsid w:val="003661FF"/>
    <w:rsid w:val="00366A0C"/>
    <w:rsid w:val="00367462"/>
    <w:rsid w:val="003677D5"/>
    <w:rsid w:val="0037034B"/>
    <w:rsid w:val="00370507"/>
    <w:rsid w:val="00370682"/>
    <w:rsid w:val="003718D8"/>
    <w:rsid w:val="00372A01"/>
    <w:rsid w:val="003733DF"/>
    <w:rsid w:val="00373865"/>
    <w:rsid w:val="00373CE8"/>
    <w:rsid w:val="00374DB0"/>
    <w:rsid w:val="003751C7"/>
    <w:rsid w:val="00375C84"/>
    <w:rsid w:val="00376524"/>
    <w:rsid w:val="00376E3B"/>
    <w:rsid w:val="003776FE"/>
    <w:rsid w:val="00380424"/>
    <w:rsid w:val="00380B9B"/>
    <w:rsid w:val="003818B3"/>
    <w:rsid w:val="003819F5"/>
    <w:rsid w:val="00381B57"/>
    <w:rsid w:val="00381D47"/>
    <w:rsid w:val="003821CC"/>
    <w:rsid w:val="003835F0"/>
    <w:rsid w:val="003853B1"/>
    <w:rsid w:val="003853ED"/>
    <w:rsid w:val="00386421"/>
    <w:rsid w:val="00387AA1"/>
    <w:rsid w:val="0039082A"/>
    <w:rsid w:val="0039101F"/>
    <w:rsid w:val="00392EDB"/>
    <w:rsid w:val="00392FAE"/>
    <w:rsid w:val="003931AA"/>
    <w:rsid w:val="00393EEE"/>
    <w:rsid w:val="00394D45"/>
    <w:rsid w:val="00395132"/>
    <w:rsid w:val="00395D99"/>
    <w:rsid w:val="003968DF"/>
    <w:rsid w:val="003976C3"/>
    <w:rsid w:val="00397A64"/>
    <w:rsid w:val="003A099A"/>
    <w:rsid w:val="003A1372"/>
    <w:rsid w:val="003A2B82"/>
    <w:rsid w:val="003A3927"/>
    <w:rsid w:val="003A3FF7"/>
    <w:rsid w:val="003A43D1"/>
    <w:rsid w:val="003A6E29"/>
    <w:rsid w:val="003B0BDB"/>
    <w:rsid w:val="003B0E88"/>
    <w:rsid w:val="003B153F"/>
    <w:rsid w:val="003B17B0"/>
    <w:rsid w:val="003B1844"/>
    <w:rsid w:val="003B211E"/>
    <w:rsid w:val="003B24EA"/>
    <w:rsid w:val="003B2DA7"/>
    <w:rsid w:val="003B3AB7"/>
    <w:rsid w:val="003B3ABC"/>
    <w:rsid w:val="003B3D8E"/>
    <w:rsid w:val="003B3FED"/>
    <w:rsid w:val="003B3FF1"/>
    <w:rsid w:val="003B4217"/>
    <w:rsid w:val="003B59A1"/>
    <w:rsid w:val="003B7541"/>
    <w:rsid w:val="003B7F07"/>
    <w:rsid w:val="003B7FCE"/>
    <w:rsid w:val="003C0F87"/>
    <w:rsid w:val="003C141E"/>
    <w:rsid w:val="003C1B83"/>
    <w:rsid w:val="003C210E"/>
    <w:rsid w:val="003C21B3"/>
    <w:rsid w:val="003C3503"/>
    <w:rsid w:val="003C40DE"/>
    <w:rsid w:val="003C4851"/>
    <w:rsid w:val="003C4C96"/>
    <w:rsid w:val="003C55E0"/>
    <w:rsid w:val="003C5E39"/>
    <w:rsid w:val="003C683A"/>
    <w:rsid w:val="003D0079"/>
    <w:rsid w:val="003D10EC"/>
    <w:rsid w:val="003D29B9"/>
    <w:rsid w:val="003D3500"/>
    <w:rsid w:val="003D37B6"/>
    <w:rsid w:val="003D503A"/>
    <w:rsid w:val="003D71A6"/>
    <w:rsid w:val="003D7709"/>
    <w:rsid w:val="003E0BAF"/>
    <w:rsid w:val="003E0E25"/>
    <w:rsid w:val="003E1409"/>
    <w:rsid w:val="003E16F2"/>
    <w:rsid w:val="003E4A52"/>
    <w:rsid w:val="003E78A9"/>
    <w:rsid w:val="003E7912"/>
    <w:rsid w:val="003F04E6"/>
    <w:rsid w:val="003F2CDD"/>
    <w:rsid w:val="003F4298"/>
    <w:rsid w:val="003F5660"/>
    <w:rsid w:val="003F5717"/>
    <w:rsid w:val="003F5A39"/>
    <w:rsid w:val="003F5B56"/>
    <w:rsid w:val="003F5B9F"/>
    <w:rsid w:val="003F5C1A"/>
    <w:rsid w:val="003F6A6A"/>
    <w:rsid w:val="003F738D"/>
    <w:rsid w:val="003F7554"/>
    <w:rsid w:val="003F7FA1"/>
    <w:rsid w:val="00400B4E"/>
    <w:rsid w:val="0040130D"/>
    <w:rsid w:val="00402E56"/>
    <w:rsid w:val="00403634"/>
    <w:rsid w:val="00404592"/>
    <w:rsid w:val="00404B58"/>
    <w:rsid w:val="0040544F"/>
    <w:rsid w:val="0040625C"/>
    <w:rsid w:val="004069D2"/>
    <w:rsid w:val="004076FF"/>
    <w:rsid w:val="00411B17"/>
    <w:rsid w:val="0041222D"/>
    <w:rsid w:val="004124F2"/>
    <w:rsid w:val="00412E6F"/>
    <w:rsid w:val="00413C5C"/>
    <w:rsid w:val="0041413F"/>
    <w:rsid w:val="0041567A"/>
    <w:rsid w:val="00415BCF"/>
    <w:rsid w:val="00416297"/>
    <w:rsid w:val="00417083"/>
    <w:rsid w:val="0042057C"/>
    <w:rsid w:val="00420BDF"/>
    <w:rsid w:val="00421608"/>
    <w:rsid w:val="00421C23"/>
    <w:rsid w:val="0042261E"/>
    <w:rsid w:val="00422749"/>
    <w:rsid w:val="004233DC"/>
    <w:rsid w:val="00424888"/>
    <w:rsid w:val="004255D9"/>
    <w:rsid w:val="00425763"/>
    <w:rsid w:val="00425C3C"/>
    <w:rsid w:val="004306AB"/>
    <w:rsid w:val="0043159D"/>
    <w:rsid w:val="0043171D"/>
    <w:rsid w:val="00432F78"/>
    <w:rsid w:val="004334A2"/>
    <w:rsid w:val="004335BC"/>
    <w:rsid w:val="00434723"/>
    <w:rsid w:val="00434729"/>
    <w:rsid w:val="0043617B"/>
    <w:rsid w:val="00437D17"/>
    <w:rsid w:val="00437D2F"/>
    <w:rsid w:val="0044046D"/>
    <w:rsid w:val="004410D3"/>
    <w:rsid w:val="00441DAF"/>
    <w:rsid w:val="0044270D"/>
    <w:rsid w:val="00442E8C"/>
    <w:rsid w:val="00443310"/>
    <w:rsid w:val="004435D5"/>
    <w:rsid w:val="00443A34"/>
    <w:rsid w:val="00443D38"/>
    <w:rsid w:val="00444140"/>
    <w:rsid w:val="00444BF5"/>
    <w:rsid w:val="00444F43"/>
    <w:rsid w:val="004505A6"/>
    <w:rsid w:val="00450744"/>
    <w:rsid w:val="00450BE7"/>
    <w:rsid w:val="00450FE8"/>
    <w:rsid w:val="0045213A"/>
    <w:rsid w:val="0045230E"/>
    <w:rsid w:val="004528FA"/>
    <w:rsid w:val="00452D67"/>
    <w:rsid w:val="00452E53"/>
    <w:rsid w:val="00454783"/>
    <w:rsid w:val="00454EDC"/>
    <w:rsid w:val="00455B00"/>
    <w:rsid w:val="00455B97"/>
    <w:rsid w:val="00456635"/>
    <w:rsid w:val="00456BFD"/>
    <w:rsid w:val="004575D5"/>
    <w:rsid w:val="004607D0"/>
    <w:rsid w:val="00460CE3"/>
    <w:rsid w:val="004612A4"/>
    <w:rsid w:val="004624D2"/>
    <w:rsid w:val="004625C8"/>
    <w:rsid w:val="0046442A"/>
    <w:rsid w:val="00464BF1"/>
    <w:rsid w:val="0046626B"/>
    <w:rsid w:val="004676E4"/>
    <w:rsid w:val="00470183"/>
    <w:rsid w:val="004708C9"/>
    <w:rsid w:val="00470C48"/>
    <w:rsid w:val="0047139F"/>
    <w:rsid w:val="00471429"/>
    <w:rsid w:val="004722B1"/>
    <w:rsid w:val="00472372"/>
    <w:rsid w:val="00473A47"/>
    <w:rsid w:val="00473A4F"/>
    <w:rsid w:val="00473C0A"/>
    <w:rsid w:val="00473EEF"/>
    <w:rsid w:val="00474415"/>
    <w:rsid w:val="00474BC1"/>
    <w:rsid w:val="00477459"/>
    <w:rsid w:val="00477CC9"/>
    <w:rsid w:val="0048026E"/>
    <w:rsid w:val="00480303"/>
    <w:rsid w:val="004807A9"/>
    <w:rsid w:val="00480A8A"/>
    <w:rsid w:val="00480FFE"/>
    <w:rsid w:val="004810E0"/>
    <w:rsid w:val="00481318"/>
    <w:rsid w:val="004813EE"/>
    <w:rsid w:val="00481835"/>
    <w:rsid w:val="00482CDC"/>
    <w:rsid w:val="00482FB0"/>
    <w:rsid w:val="00483B03"/>
    <w:rsid w:val="00483E4F"/>
    <w:rsid w:val="0048444C"/>
    <w:rsid w:val="00485058"/>
    <w:rsid w:val="00485702"/>
    <w:rsid w:val="004867EC"/>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419E"/>
    <w:rsid w:val="004A6463"/>
    <w:rsid w:val="004A6B58"/>
    <w:rsid w:val="004B06C3"/>
    <w:rsid w:val="004B0917"/>
    <w:rsid w:val="004B0B09"/>
    <w:rsid w:val="004B140F"/>
    <w:rsid w:val="004B21CF"/>
    <w:rsid w:val="004B2DE3"/>
    <w:rsid w:val="004B53F1"/>
    <w:rsid w:val="004B5D6E"/>
    <w:rsid w:val="004B60BA"/>
    <w:rsid w:val="004B6946"/>
    <w:rsid w:val="004B6E81"/>
    <w:rsid w:val="004B7B6A"/>
    <w:rsid w:val="004C136D"/>
    <w:rsid w:val="004C1619"/>
    <w:rsid w:val="004C177F"/>
    <w:rsid w:val="004C1B59"/>
    <w:rsid w:val="004C3C25"/>
    <w:rsid w:val="004C3EEA"/>
    <w:rsid w:val="004C4EA2"/>
    <w:rsid w:val="004C596B"/>
    <w:rsid w:val="004C5E41"/>
    <w:rsid w:val="004C60E7"/>
    <w:rsid w:val="004C7BDE"/>
    <w:rsid w:val="004D0090"/>
    <w:rsid w:val="004D020F"/>
    <w:rsid w:val="004D03D1"/>
    <w:rsid w:val="004D11AF"/>
    <w:rsid w:val="004D2E58"/>
    <w:rsid w:val="004D41A2"/>
    <w:rsid w:val="004D502C"/>
    <w:rsid w:val="004D60A3"/>
    <w:rsid w:val="004D71CA"/>
    <w:rsid w:val="004E016A"/>
    <w:rsid w:val="004E0461"/>
    <w:rsid w:val="004E1CB0"/>
    <w:rsid w:val="004E29B1"/>
    <w:rsid w:val="004E3F87"/>
    <w:rsid w:val="004E461B"/>
    <w:rsid w:val="004E477D"/>
    <w:rsid w:val="004E5890"/>
    <w:rsid w:val="004E7B33"/>
    <w:rsid w:val="004F0368"/>
    <w:rsid w:val="004F0D19"/>
    <w:rsid w:val="004F121B"/>
    <w:rsid w:val="004F2811"/>
    <w:rsid w:val="004F590E"/>
    <w:rsid w:val="004F5966"/>
    <w:rsid w:val="004F60F4"/>
    <w:rsid w:val="004F62E8"/>
    <w:rsid w:val="004F6C17"/>
    <w:rsid w:val="004F7390"/>
    <w:rsid w:val="004F78F8"/>
    <w:rsid w:val="005001A5"/>
    <w:rsid w:val="00500CCD"/>
    <w:rsid w:val="005019AA"/>
    <w:rsid w:val="00503C3B"/>
    <w:rsid w:val="00503CE7"/>
    <w:rsid w:val="005040C9"/>
    <w:rsid w:val="005042DB"/>
    <w:rsid w:val="0050458E"/>
    <w:rsid w:val="00505928"/>
    <w:rsid w:val="00505CD6"/>
    <w:rsid w:val="005069B2"/>
    <w:rsid w:val="00510452"/>
    <w:rsid w:val="005108EC"/>
    <w:rsid w:val="00511F8F"/>
    <w:rsid w:val="00513291"/>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29DA"/>
    <w:rsid w:val="0053322F"/>
    <w:rsid w:val="00533DBF"/>
    <w:rsid w:val="00534940"/>
    <w:rsid w:val="00535673"/>
    <w:rsid w:val="00535D6B"/>
    <w:rsid w:val="00536442"/>
    <w:rsid w:val="0054053D"/>
    <w:rsid w:val="0054126C"/>
    <w:rsid w:val="005415DD"/>
    <w:rsid w:val="005423F3"/>
    <w:rsid w:val="005426DB"/>
    <w:rsid w:val="00543B29"/>
    <w:rsid w:val="005442F1"/>
    <w:rsid w:val="00544A24"/>
    <w:rsid w:val="0054583C"/>
    <w:rsid w:val="00546227"/>
    <w:rsid w:val="005468E2"/>
    <w:rsid w:val="00546D83"/>
    <w:rsid w:val="00550113"/>
    <w:rsid w:val="0055019B"/>
    <w:rsid w:val="005504BE"/>
    <w:rsid w:val="0055082B"/>
    <w:rsid w:val="0055093A"/>
    <w:rsid w:val="00550F00"/>
    <w:rsid w:val="00551ED7"/>
    <w:rsid w:val="0055211C"/>
    <w:rsid w:val="0055263A"/>
    <w:rsid w:val="005526EE"/>
    <w:rsid w:val="00552B57"/>
    <w:rsid w:val="00552E53"/>
    <w:rsid w:val="00553E34"/>
    <w:rsid w:val="005547B7"/>
    <w:rsid w:val="005551E9"/>
    <w:rsid w:val="0055680D"/>
    <w:rsid w:val="00560094"/>
    <w:rsid w:val="00560C62"/>
    <w:rsid w:val="00562A61"/>
    <w:rsid w:val="00562E78"/>
    <w:rsid w:val="005652D5"/>
    <w:rsid w:val="00567227"/>
    <w:rsid w:val="00570C7B"/>
    <w:rsid w:val="00571C77"/>
    <w:rsid w:val="00574614"/>
    <w:rsid w:val="00574A70"/>
    <w:rsid w:val="00574D35"/>
    <w:rsid w:val="00575C75"/>
    <w:rsid w:val="005770CF"/>
    <w:rsid w:val="00577922"/>
    <w:rsid w:val="00577AC3"/>
    <w:rsid w:val="005815A8"/>
    <w:rsid w:val="00581915"/>
    <w:rsid w:val="00583431"/>
    <w:rsid w:val="005846C0"/>
    <w:rsid w:val="00584D04"/>
    <w:rsid w:val="0058567E"/>
    <w:rsid w:val="0058659E"/>
    <w:rsid w:val="005872DD"/>
    <w:rsid w:val="00587CF2"/>
    <w:rsid w:val="00587D3A"/>
    <w:rsid w:val="00590346"/>
    <w:rsid w:val="00590BA2"/>
    <w:rsid w:val="00590CA7"/>
    <w:rsid w:val="00590E93"/>
    <w:rsid w:val="005915E1"/>
    <w:rsid w:val="00591C75"/>
    <w:rsid w:val="00592D10"/>
    <w:rsid w:val="00593A5F"/>
    <w:rsid w:val="0059404E"/>
    <w:rsid w:val="00594269"/>
    <w:rsid w:val="00595539"/>
    <w:rsid w:val="00597108"/>
    <w:rsid w:val="005A00D0"/>
    <w:rsid w:val="005A26E0"/>
    <w:rsid w:val="005A3E82"/>
    <w:rsid w:val="005A4DB0"/>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5AB"/>
    <w:rsid w:val="005B4D8F"/>
    <w:rsid w:val="005B6551"/>
    <w:rsid w:val="005B71A8"/>
    <w:rsid w:val="005B744B"/>
    <w:rsid w:val="005C0A6F"/>
    <w:rsid w:val="005C0FA7"/>
    <w:rsid w:val="005C1C0E"/>
    <w:rsid w:val="005C36E2"/>
    <w:rsid w:val="005C3E9E"/>
    <w:rsid w:val="005C400C"/>
    <w:rsid w:val="005C410C"/>
    <w:rsid w:val="005C4BF1"/>
    <w:rsid w:val="005C4BF2"/>
    <w:rsid w:val="005C5BED"/>
    <w:rsid w:val="005C5D86"/>
    <w:rsid w:val="005C6167"/>
    <w:rsid w:val="005C6ADB"/>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0681"/>
    <w:rsid w:val="005E1218"/>
    <w:rsid w:val="005E1B6B"/>
    <w:rsid w:val="005E2281"/>
    <w:rsid w:val="005E236C"/>
    <w:rsid w:val="005E2D03"/>
    <w:rsid w:val="005E351B"/>
    <w:rsid w:val="005E38A8"/>
    <w:rsid w:val="005E39F9"/>
    <w:rsid w:val="005E4828"/>
    <w:rsid w:val="005E5016"/>
    <w:rsid w:val="005E5231"/>
    <w:rsid w:val="005E55BB"/>
    <w:rsid w:val="005E5D11"/>
    <w:rsid w:val="005E667C"/>
    <w:rsid w:val="005E6A1D"/>
    <w:rsid w:val="005E6F12"/>
    <w:rsid w:val="005E733E"/>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585E"/>
    <w:rsid w:val="00605B9D"/>
    <w:rsid w:val="00606213"/>
    <w:rsid w:val="00606B57"/>
    <w:rsid w:val="00606B85"/>
    <w:rsid w:val="00607390"/>
    <w:rsid w:val="006076D8"/>
    <w:rsid w:val="00607E6D"/>
    <w:rsid w:val="00607F85"/>
    <w:rsid w:val="0061061D"/>
    <w:rsid w:val="00611A3B"/>
    <w:rsid w:val="00612389"/>
    <w:rsid w:val="00612570"/>
    <w:rsid w:val="00612871"/>
    <w:rsid w:val="00612929"/>
    <w:rsid w:val="00612A44"/>
    <w:rsid w:val="00612A8E"/>
    <w:rsid w:val="00613098"/>
    <w:rsid w:val="006134D9"/>
    <w:rsid w:val="006135DA"/>
    <w:rsid w:val="00613BDC"/>
    <w:rsid w:val="00615564"/>
    <w:rsid w:val="006155E2"/>
    <w:rsid w:val="00615F26"/>
    <w:rsid w:val="00617A81"/>
    <w:rsid w:val="00617DEC"/>
    <w:rsid w:val="00620579"/>
    <w:rsid w:val="006208AA"/>
    <w:rsid w:val="0062258F"/>
    <w:rsid w:val="00622732"/>
    <w:rsid w:val="00622E6D"/>
    <w:rsid w:val="00623BC7"/>
    <w:rsid w:val="00623E70"/>
    <w:rsid w:val="006241D0"/>
    <w:rsid w:val="00624665"/>
    <w:rsid w:val="00625434"/>
    <w:rsid w:val="0062576B"/>
    <w:rsid w:val="00625C5F"/>
    <w:rsid w:val="00626032"/>
    <w:rsid w:val="00627643"/>
    <w:rsid w:val="00627788"/>
    <w:rsid w:val="006300CD"/>
    <w:rsid w:val="0063017E"/>
    <w:rsid w:val="006312D0"/>
    <w:rsid w:val="006318A4"/>
    <w:rsid w:val="00631D4F"/>
    <w:rsid w:val="00633496"/>
    <w:rsid w:val="006338D2"/>
    <w:rsid w:val="00633F92"/>
    <w:rsid w:val="0063435E"/>
    <w:rsid w:val="006357E2"/>
    <w:rsid w:val="00635FD8"/>
    <w:rsid w:val="00636651"/>
    <w:rsid w:val="00636F7B"/>
    <w:rsid w:val="0064019C"/>
    <w:rsid w:val="00640288"/>
    <w:rsid w:val="006405AC"/>
    <w:rsid w:val="0064099D"/>
    <w:rsid w:val="006412CD"/>
    <w:rsid w:val="006413D8"/>
    <w:rsid w:val="00641B7B"/>
    <w:rsid w:val="00641C55"/>
    <w:rsid w:val="00642405"/>
    <w:rsid w:val="00642645"/>
    <w:rsid w:val="006437E8"/>
    <w:rsid w:val="006438E0"/>
    <w:rsid w:val="00644BED"/>
    <w:rsid w:val="006455CB"/>
    <w:rsid w:val="00646FD5"/>
    <w:rsid w:val="00647680"/>
    <w:rsid w:val="00647743"/>
    <w:rsid w:val="00652092"/>
    <w:rsid w:val="00652472"/>
    <w:rsid w:val="0065394E"/>
    <w:rsid w:val="00653B38"/>
    <w:rsid w:val="00656385"/>
    <w:rsid w:val="00656F19"/>
    <w:rsid w:val="00657BB7"/>
    <w:rsid w:val="00660552"/>
    <w:rsid w:val="00660DBE"/>
    <w:rsid w:val="00661113"/>
    <w:rsid w:val="0066127D"/>
    <w:rsid w:val="00661AB0"/>
    <w:rsid w:val="006623A4"/>
    <w:rsid w:val="0066351C"/>
    <w:rsid w:val="00664693"/>
    <w:rsid w:val="00664DC0"/>
    <w:rsid w:val="006651CC"/>
    <w:rsid w:val="0066582B"/>
    <w:rsid w:val="006658DA"/>
    <w:rsid w:val="00665CA1"/>
    <w:rsid w:val="00667421"/>
    <w:rsid w:val="0066780E"/>
    <w:rsid w:val="00667A31"/>
    <w:rsid w:val="00670702"/>
    <w:rsid w:val="006708EB"/>
    <w:rsid w:val="0067147C"/>
    <w:rsid w:val="00672A8A"/>
    <w:rsid w:val="00673F50"/>
    <w:rsid w:val="00674EEA"/>
    <w:rsid w:val="0067549D"/>
    <w:rsid w:val="006759B0"/>
    <w:rsid w:val="00677012"/>
    <w:rsid w:val="00680D0E"/>
    <w:rsid w:val="00680F00"/>
    <w:rsid w:val="006825B4"/>
    <w:rsid w:val="006829BA"/>
    <w:rsid w:val="00682AF2"/>
    <w:rsid w:val="00682E8A"/>
    <w:rsid w:val="00682FB7"/>
    <w:rsid w:val="006837DE"/>
    <w:rsid w:val="0068537F"/>
    <w:rsid w:val="00686104"/>
    <w:rsid w:val="00686334"/>
    <w:rsid w:val="00686C3A"/>
    <w:rsid w:val="00687628"/>
    <w:rsid w:val="00687CFE"/>
    <w:rsid w:val="0069035A"/>
    <w:rsid w:val="00690EB8"/>
    <w:rsid w:val="006915E5"/>
    <w:rsid w:val="00692401"/>
    <w:rsid w:val="006941CC"/>
    <w:rsid w:val="006943A5"/>
    <w:rsid w:val="006945D4"/>
    <w:rsid w:val="00694EC0"/>
    <w:rsid w:val="00695F56"/>
    <w:rsid w:val="00696370"/>
    <w:rsid w:val="0069758B"/>
    <w:rsid w:val="006A0B6C"/>
    <w:rsid w:val="006A1692"/>
    <w:rsid w:val="006A16E1"/>
    <w:rsid w:val="006A3293"/>
    <w:rsid w:val="006A3C8A"/>
    <w:rsid w:val="006A3E61"/>
    <w:rsid w:val="006A5213"/>
    <w:rsid w:val="006A6003"/>
    <w:rsid w:val="006A6737"/>
    <w:rsid w:val="006B1E08"/>
    <w:rsid w:val="006B26B1"/>
    <w:rsid w:val="006B2E45"/>
    <w:rsid w:val="006B3875"/>
    <w:rsid w:val="006B545C"/>
    <w:rsid w:val="006B5AC8"/>
    <w:rsid w:val="006B5D32"/>
    <w:rsid w:val="006B758B"/>
    <w:rsid w:val="006B7BF8"/>
    <w:rsid w:val="006C0F11"/>
    <w:rsid w:val="006C23E1"/>
    <w:rsid w:val="006C25C9"/>
    <w:rsid w:val="006C25D5"/>
    <w:rsid w:val="006C25F9"/>
    <w:rsid w:val="006C262B"/>
    <w:rsid w:val="006C31C6"/>
    <w:rsid w:val="006C3A2D"/>
    <w:rsid w:val="006C4666"/>
    <w:rsid w:val="006C49BF"/>
    <w:rsid w:val="006C63D7"/>
    <w:rsid w:val="006C6894"/>
    <w:rsid w:val="006C69D9"/>
    <w:rsid w:val="006C7535"/>
    <w:rsid w:val="006C796D"/>
    <w:rsid w:val="006D0525"/>
    <w:rsid w:val="006D08DC"/>
    <w:rsid w:val="006D2F09"/>
    <w:rsid w:val="006D2FD2"/>
    <w:rsid w:val="006D33E6"/>
    <w:rsid w:val="006D3DC0"/>
    <w:rsid w:val="006D40C4"/>
    <w:rsid w:val="006D4162"/>
    <w:rsid w:val="006D5303"/>
    <w:rsid w:val="006D5E84"/>
    <w:rsid w:val="006D7A4C"/>
    <w:rsid w:val="006D7C99"/>
    <w:rsid w:val="006E0443"/>
    <w:rsid w:val="006E0C50"/>
    <w:rsid w:val="006E0DCF"/>
    <w:rsid w:val="006E14D6"/>
    <w:rsid w:val="006E1647"/>
    <w:rsid w:val="006E2298"/>
    <w:rsid w:val="006E2F3A"/>
    <w:rsid w:val="006E310A"/>
    <w:rsid w:val="006E3C3E"/>
    <w:rsid w:val="006E3FBD"/>
    <w:rsid w:val="006E429F"/>
    <w:rsid w:val="006E47E0"/>
    <w:rsid w:val="006E6F30"/>
    <w:rsid w:val="006E6FE9"/>
    <w:rsid w:val="006E7082"/>
    <w:rsid w:val="006E709F"/>
    <w:rsid w:val="006E7F73"/>
    <w:rsid w:val="006F030F"/>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235F"/>
    <w:rsid w:val="00702BC3"/>
    <w:rsid w:val="007032AC"/>
    <w:rsid w:val="00703496"/>
    <w:rsid w:val="007036FE"/>
    <w:rsid w:val="00704614"/>
    <w:rsid w:val="00705B37"/>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BC6"/>
    <w:rsid w:val="00716C95"/>
    <w:rsid w:val="00717762"/>
    <w:rsid w:val="007204DA"/>
    <w:rsid w:val="00721A63"/>
    <w:rsid w:val="00721DED"/>
    <w:rsid w:val="00721FF9"/>
    <w:rsid w:val="0072229E"/>
    <w:rsid w:val="0072337E"/>
    <w:rsid w:val="00723696"/>
    <w:rsid w:val="0072541E"/>
    <w:rsid w:val="00725735"/>
    <w:rsid w:val="0072630D"/>
    <w:rsid w:val="00726A2A"/>
    <w:rsid w:val="007273BC"/>
    <w:rsid w:val="007275FD"/>
    <w:rsid w:val="007276E5"/>
    <w:rsid w:val="00730943"/>
    <w:rsid w:val="00733E5A"/>
    <w:rsid w:val="00733F25"/>
    <w:rsid w:val="00736395"/>
    <w:rsid w:val="00736459"/>
    <w:rsid w:val="0073685F"/>
    <w:rsid w:val="00737821"/>
    <w:rsid w:val="0074058F"/>
    <w:rsid w:val="00740E86"/>
    <w:rsid w:val="00741175"/>
    <w:rsid w:val="007419FB"/>
    <w:rsid w:val="00742606"/>
    <w:rsid w:val="007441FF"/>
    <w:rsid w:val="00744EE8"/>
    <w:rsid w:val="007459F5"/>
    <w:rsid w:val="007467E4"/>
    <w:rsid w:val="00747569"/>
    <w:rsid w:val="00750238"/>
    <w:rsid w:val="0075023C"/>
    <w:rsid w:val="007518E3"/>
    <w:rsid w:val="007518E9"/>
    <w:rsid w:val="00752247"/>
    <w:rsid w:val="007523E7"/>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4AF9"/>
    <w:rsid w:val="007650AD"/>
    <w:rsid w:val="00765D18"/>
    <w:rsid w:val="0076640B"/>
    <w:rsid w:val="00770C54"/>
    <w:rsid w:val="00771344"/>
    <w:rsid w:val="00772613"/>
    <w:rsid w:val="00772B41"/>
    <w:rsid w:val="00772CED"/>
    <w:rsid w:val="00773EA1"/>
    <w:rsid w:val="00775215"/>
    <w:rsid w:val="00776ACC"/>
    <w:rsid w:val="00777C71"/>
    <w:rsid w:val="00777D6B"/>
    <w:rsid w:val="00777F20"/>
    <w:rsid w:val="00781148"/>
    <w:rsid w:val="00781F98"/>
    <w:rsid w:val="0078265B"/>
    <w:rsid w:val="00782E10"/>
    <w:rsid w:val="00784DB8"/>
    <w:rsid w:val="00784FDD"/>
    <w:rsid w:val="0078508F"/>
    <w:rsid w:val="00786448"/>
    <w:rsid w:val="00787470"/>
    <w:rsid w:val="007875D7"/>
    <w:rsid w:val="007906B2"/>
    <w:rsid w:val="0079134E"/>
    <w:rsid w:val="007925F0"/>
    <w:rsid w:val="0079278E"/>
    <w:rsid w:val="00792DCA"/>
    <w:rsid w:val="00792E3C"/>
    <w:rsid w:val="007930C1"/>
    <w:rsid w:val="0079315D"/>
    <w:rsid w:val="00793B45"/>
    <w:rsid w:val="00795706"/>
    <w:rsid w:val="007960E3"/>
    <w:rsid w:val="00796F7C"/>
    <w:rsid w:val="00797131"/>
    <w:rsid w:val="00797254"/>
    <w:rsid w:val="007A0F8D"/>
    <w:rsid w:val="007A1078"/>
    <w:rsid w:val="007A257D"/>
    <w:rsid w:val="007A343D"/>
    <w:rsid w:val="007A38CE"/>
    <w:rsid w:val="007A3F1C"/>
    <w:rsid w:val="007A5ACE"/>
    <w:rsid w:val="007A5C5C"/>
    <w:rsid w:val="007A6528"/>
    <w:rsid w:val="007A7B48"/>
    <w:rsid w:val="007B18C6"/>
    <w:rsid w:val="007B20C2"/>
    <w:rsid w:val="007B25D5"/>
    <w:rsid w:val="007B27E4"/>
    <w:rsid w:val="007B2910"/>
    <w:rsid w:val="007B301D"/>
    <w:rsid w:val="007B3264"/>
    <w:rsid w:val="007B34D8"/>
    <w:rsid w:val="007B35F6"/>
    <w:rsid w:val="007B3F87"/>
    <w:rsid w:val="007B404F"/>
    <w:rsid w:val="007B44A6"/>
    <w:rsid w:val="007B494E"/>
    <w:rsid w:val="007B4C5E"/>
    <w:rsid w:val="007B7462"/>
    <w:rsid w:val="007B7B52"/>
    <w:rsid w:val="007C02A3"/>
    <w:rsid w:val="007C0C55"/>
    <w:rsid w:val="007C1507"/>
    <w:rsid w:val="007C2F60"/>
    <w:rsid w:val="007C4D8D"/>
    <w:rsid w:val="007C5144"/>
    <w:rsid w:val="007C5613"/>
    <w:rsid w:val="007C6138"/>
    <w:rsid w:val="007C6153"/>
    <w:rsid w:val="007C6849"/>
    <w:rsid w:val="007C6BC6"/>
    <w:rsid w:val="007C6C12"/>
    <w:rsid w:val="007C73B2"/>
    <w:rsid w:val="007D0435"/>
    <w:rsid w:val="007D1B24"/>
    <w:rsid w:val="007D3A3E"/>
    <w:rsid w:val="007D400A"/>
    <w:rsid w:val="007D4B0E"/>
    <w:rsid w:val="007D4DD2"/>
    <w:rsid w:val="007D5D0F"/>
    <w:rsid w:val="007D6EA8"/>
    <w:rsid w:val="007E1247"/>
    <w:rsid w:val="007E1A44"/>
    <w:rsid w:val="007E2419"/>
    <w:rsid w:val="007E3FF5"/>
    <w:rsid w:val="007E4219"/>
    <w:rsid w:val="007E577E"/>
    <w:rsid w:val="007E635E"/>
    <w:rsid w:val="007E6A9C"/>
    <w:rsid w:val="007E6C0C"/>
    <w:rsid w:val="007E7300"/>
    <w:rsid w:val="007E767B"/>
    <w:rsid w:val="007F038C"/>
    <w:rsid w:val="007F0428"/>
    <w:rsid w:val="007F059A"/>
    <w:rsid w:val="007F0F24"/>
    <w:rsid w:val="007F1755"/>
    <w:rsid w:val="007F222B"/>
    <w:rsid w:val="007F3092"/>
    <w:rsid w:val="007F39B8"/>
    <w:rsid w:val="007F3C03"/>
    <w:rsid w:val="007F3E3F"/>
    <w:rsid w:val="007F3E64"/>
    <w:rsid w:val="007F45DF"/>
    <w:rsid w:val="007F4A6F"/>
    <w:rsid w:val="007F4FBC"/>
    <w:rsid w:val="007F5975"/>
    <w:rsid w:val="007F5AB9"/>
    <w:rsid w:val="007F6497"/>
    <w:rsid w:val="007F6836"/>
    <w:rsid w:val="007F7DF2"/>
    <w:rsid w:val="00800A35"/>
    <w:rsid w:val="00800D91"/>
    <w:rsid w:val="00801A0E"/>
    <w:rsid w:val="00804E4C"/>
    <w:rsid w:val="008056FB"/>
    <w:rsid w:val="0080662C"/>
    <w:rsid w:val="008070B2"/>
    <w:rsid w:val="00807D79"/>
    <w:rsid w:val="00810102"/>
    <w:rsid w:val="008102BC"/>
    <w:rsid w:val="008116F3"/>
    <w:rsid w:val="008117C4"/>
    <w:rsid w:val="00812461"/>
    <w:rsid w:val="008127E0"/>
    <w:rsid w:val="00812810"/>
    <w:rsid w:val="0081398E"/>
    <w:rsid w:val="008149D8"/>
    <w:rsid w:val="00815714"/>
    <w:rsid w:val="00815A2A"/>
    <w:rsid w:val="0081788A"/>
    <w:rsid w:val="00817927"/>
    <w:rsid w:val="00817CFC"/>
    <w:rsid w:val="00817E82"/>
    <w:rsid w:val="00821D81"/>
    <w:rsid w:val="00822A52"/>
    <w:rsid w:val="00823654"/>
    <w:rsid w:val="00823A90"/>
    <w:rsid w:val="00825C68"/>
    <w:rsid w:val="0082757E"/>
    <w:rsid w:val="00827B6C"/>
    <w:rsid w:val="00827D77"/>
    <w:rsid w:val="00830561"/>
    <w:rsid w:val="00831115"/>
    <w:rsid w:val="0083249C"/>
    <w:rsid w:val="00832D42"/>
    <w:rsid w:val="008333A9"/>
    <w:rsid w:val="00833419"/>
    <w:rsid w:val="008342A5"/>
    <w:rsid w:val="00834BE2"/>
    <w:rsid w:val="00834EA4"/>
    <w:rsid w:val="008354B9"/>
    <w:rsid w:val="00835DCB"/>
    <w:rsid w:val="00836921"/>
    <w:rsid w:val="00837237"/>
    <w:rsid w:val="008376C0"/>
    <w:rsid w:val="0084035D"/>
    <w:rsid w:val="008405F9"/>
    <w:rsid w:val="0084060B"/>
    <w:rsid w:val="0084139B"/>
    <w:rsid w:val="0084143B"/>
    <w:rsid w:val="00842547"/>
    <w:rsid w:val="008427D3"/>
    <w:rsid w:val="008429CF"/>
    <w:rsid w:val="0084324C"/>
    <w:rsid w:val="008451F8"/>
    <w:rsid w:val="008457D2"/>
    <w:rsid w:val="00846212"/>
    <w:rsid w:val="008468E0"/>
    <w:rsid w:val="0084790F"/>
    <w:rsid w:val="00847BE7"/>
    <w:rsid w:val="00850EAB"/>
    <w:rsid w:val="00851D70"/>
    <w:rsid w:val="008529B3"/>
    <w:rsid w:val="00852ADD"/>
    <w:rsid w:val="00853883"/>
    <w:rsid w:val="00854CF7"/>
    <w:rsid w:val="00854DA7"/>
    <w:rsid w:val="008557A0"/>
    <w:rsid w:val="00856607"/>
    <w:rsid w:val="008602A7"/>
    <w:rsid w:val="008616A2"/>
    <w:rsid w:val="00861C6C"/>
    <w:rsid w:val="00863862"/>
    <w:rsid w:val="00863AAD"/>
    <w:rsid w:val="00864644"/>
    <w:rsid w:val="00866296"/>
    <w:rsid w:val="008665C7"/>
    <w:rsid w:val="008707A3"/>
    <w:rsid w:val="00870A36"/>
    <w:rsid w:val="00872F21"/>
    <w:rsid w:val="00873736"/>
    <w:rsid w:val="0087378E"/>
    <w:rsid w:val="008737DF"/>
    <w:rsid w:val="008755E7"/>
    <w:rsid w:val="00875E16"/>
    <w:rsid w:val="00877D03"/>
    <w:rsid w:val="00877E96"/>
    <w:rsid w:val="0088023D"/>
    <w:rsid w:val="008803CE"/>
    <w:rsid w:val="00882077"/>
    <w:rsid w:val="00883613"/>
    <w:rsid w:val="00883981"/>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668"/>
    <w:rsid w:val="008A1D0E"/>
    <w:rsid w:val="008A25EA"/>
    <w:rsid w:val="008A31C7"/>
    <w:rsid w:val="008A3215"/>
    <w:rsid w:val="008A3E8B"/>
    <w:rsid w:val="008A47BE"/>
    <w:rsid w:val="008A4AEC"/>
    <w:rsid w:val="008A5609"/>
    <w:rsid w:val="008A6DD5"/>
    <w:rsid w:val="008A6DF0"/>
    <w:rsid w:val="008A6FA0"/>
    <w:rsid w:val="008B15CE"/>
    <w:rsid w:val="008B1C8F"/>
    <w:rsid w:val="008B2570"/>
    <w:rsid w:val="008B2B19"/>
    <w:rsid w:val="008B2F40"/>
    <w:rsid w:val="008B2FCD"/>
    <w:rsid w:val="008B3627"/>
    <w:rsid w:val="008B3EAD"/>
    <w:rsid w:val="008B52DA"/>
    <w:rsid w:val="008B56A0"/>
    <w:rsid w:val="008B5AA1"/>
    <w:rsid w:val="008B5E61"/>
    <w:rsid w:val="008B64CE"/>
    <w:rsid w:val="008B7446"/>
    <w:rsid w:val="008B7914"/>
    <w:rsid w:val="008C127A"/>
    <w:rsid w:val="008C18BD"/>
    <w:rsid w:val="008C1932"/>
    <w:rsid w:val="008C1B49"/>
    <w:rsid w:val="008C2C7F"/>
    <w:rsid w:val="008C2F0D"/>
    <w:rsid w:val="008C500C"/>
    <w:rsid w:val="008C5D2A"/>
    <w:rsid w:val="008C6754"/>
    <w:rsid w:val="008C6C16"/>
    <w:rsid w:val="008C74FB"/>
    <w:rsid w:val="008C7AF4"/>
    <w:rsid w:val="008C7DA4"/>
    <w:rsid w:val="008D0210"/>
    <w:rsid w:val="008D033E"/>
    <w:rsid w:val="008D0851"/>
    <w:rsid w:val="008D0DEF"/>
    <w:rsid w:val="008D0FCD"/>
    <w:rsid w:val="008D1074"/>
    <w:rsid w:val="008D1079"/>
    <w:rsid w:val="008D280F"/>
    <w:rsid w:val="008D318B"/>
    <w:rsid w:val="008D3994"/>
    <w:rsid w:val="008D3C3D"/>
    <w:rsid w:val="008D4199"/>
    <w:rsid w:val="008D478E"/>
    <w:rsid w:val="008D534E"/>
    <w:rsid w:val="008D6E81"/>
    <w:rsid w:val="008D7739"/>
    <w:rsid w:val="008D7A64"/>
    <w:rsid w:val="008E0302"/>
    <w:rsid w:val="008E1267"/>
    <w:rsid w:val="008E19FD"/>
    <w:rsid w:val="008E22F8"/>
    <w:rsid w:val="008E39D8"/>
    <w:rsid w:val="008E5D73"/>
    <w:rsid w:val="008E606F"/>
    <w:rsid w:val="008E6AD9"/>
    <w:rsid w:val="008F022A"/>
    <w:rsid w:val="008F06FD"/>
    <w:rsid w:val="008F1172"/>
    <w:rsid w:val="008F27E3"/>
    <w:rsid w:val="008F3485"/>
    <w:rsid w:val="008F3AC3"/>
    <w:rsid w:val="008F51FF"/>
    <w:rsid w:val="008F5DEF"/>
    <w:rsid w:val="008F7C0A"/>
    <w:rsid w:val="009009EB"/>
    <w:rsid w:val="00901DBB"/>
    <w:rsid w:val="009026CB"/>
    <w:rsid w:val="00902876"/>
    <w:rsid w:val="00903FB2"/>
    <w:rsid w:val="00904038"/>
    <w:rsid w:val="009041AF"/>
    <w:rsid w:val="009042AA"/>
    <w:rsid w:val="009049AB"/>
    <w:rsid w:val="009050B7"/>
    <w:rsid w:val="00905130"/>
    <w:rsid w:val="009053BD"/>
    <w:rsid w:val="00905728"/>
    <w:rsid w:val="009061B8"/>
    <w:rsid w:val="009064BF"/>
    <w:rsid w:val="009069B8"/>
    <w:rsid w:val="009130CC"/>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4119"/>
    <w:rsid w:val="00925120"/>
    <w:rsid w:val="009255FA"/>
    <w:rsid w:val="009262E4"/>
    <w:rsid w:val="009266D2"/>
    <w:rsid w:val="00927D4E"/>
    <w:rsid w:val="00930AC2"/>
    <w:rsid w:val="00930D2A"/>
    <w:rsid w:val="009312BF"/>
    <w:rsid w:val="00931B84"/>
    <w:rsid w:val="009322B2"/>
    <w:rsid w:val="00932E7E"/>
    <w:rsid w:val="0093442D"/>
    <w:rsid w:val="00934CD2"/>
    <w:rsid w:val="009375E5"/>
    <w:rsid w:val="00937BC5"/>
    <w:rsid w:val="00937D30"/>
    <w:rsid w:val="00940C40"/>
    <w:rsid w:val="00941848"/>
    <w:rsid w:val="0094337A"/>
    <w:rsid w:val="009437F2"/>
    <w:rsid w:val="009442E8"/>
    <w:rsid w:val="00944BA7"/>
    <w:rsid w:val="0094636D"/>
    <w:rsid w:val="0094759C"/>
    <w:rsid w:val="009503FE"/>
    <w:rsid w:val="00950448"/>
    <w:rsid w:val="009507D4"/>
    <w:rsid w:val="00950ACD"/>
    <w:rsid w:val="00950E37"/>
    <w:rsid w:val="00951666"/>
    <w:rsid w:val="0095182F"/>
    <w:rsid w:val="00952524"/>
    <w:rsid w:val="0095278F"/>
    <w:rsid w:val="00953EAF"/>
    <w:rsid w:val="0095426C"/>
    <w:rsid w:val="00955EDA"/>
    <w:rsid w:val="00955EE9"/>
    <w:rsid w:val="00956BF5"/>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B99"/>
    <w:rsid w:val="00974BCB"/>
    <w:rsid w:val="0097529C"/>
    <w:rsid w:val="009758CD"/>
    <w:rsid w:val="00975BF2"/>
    <w:rsid w:val="009763E4"/>
    <w:rsid w:val="0097649D"/>
    <w:rsid w:val="0097654D"/>
    <w:rsid w:val="009766B7"/>
    <w:rsid w:val="00980A22"/>
    <w:rsid w:val="00980D85"/>
    <w:rsid w:val="00981E09"/>
    <w:rsid w:val="00983094"/>
    <w:rsid w:val="00983599"/>
    <w:rsid w:val="009843DE"/>
    <w:rsid w:val="0098544F"/>
    <w:rsid w:val="00985B04"/>
    <w:rsid w:val="00986A6D"/>
    <w:rsid w:val="00986BEF"/>
    <w:rsid w:val="00987298"/>
    <w:rsid w:val="00991DF8"/>
    <w:rsid w:val="00992499"/>
    <w:rsid w:val="00992986"/>
    <w:rsid w:val="009936E2"/>
    <w:rsid w:val="00994B55"/>
    <w:rsid w:val="00995D86"/>
    <w:rsid w:val="00995FB2"/>
    <w:rsid w:val="0099781E"/>
    <w:rsid w:val="00997A68"/>
    <w:rsid w:val="009A00EA"/>
    <w:rsid w:val="009A0587"/>
    <w:rsid w:val="009A1F6B"/>
    <w:rsid w:val="009A2C4C"/>
    <w:rsid w:val="009A2DD8"/>
    <w:rsid w:val="009A30DE"/>
    <w:rsid w:val="009A3D29"/>
    <w:rsid w:val="009A509F"/>
    <w:rsid w:val="009A5453"/>
    <w:rsid w:val="009A7532"/>
    <w:rsid w:val="009A7883"/>
    <w:rsid w:val="009B1D50"/>
    <w:rsid w:val="009B237F"/>
    <w:rsid w:val="009B2760"/>
    <w:rsid w:val="009B308D"/>
    <w:rsid w:val="009B38D5"/>
    <w:rsid w:val="009B3B62"/>
    <w:rsid w:val="009B3C8D"/>
    <w:rsid w:val="009B4FFB"/>
    <w:rsid w:val="009B53C7"/>
    <w:rsid w:val="009B61E5"/>
    <w:rsid w:val="009B7489"/>
    <w:rsid w:val="009B7987"/>
    <w:rsid w:val="009B7B0A"/>
    <w:rsid w:val="009C07C9"/>
    <w:rsid w:val="009C08D7"/>
    <w:rsid w:val="009C1866"/>
    <w:rsid w:val="009C1FDE"/>
    <w:rsid w:val="009C375C"/>
    <w:rsid w:val="009C4E0D"/>
    <w:rsid w:val="009C4F1B"/>
    <w:rsid w:val="009C503B"/>
    <w:rsid w:val="009C5816"/>
    <w:rsid w:val="009C61EA"/>
    <w:rsid w:val="009C63EC"/>
    <w:rsid w:val="009C7DAC"/>
    <w:rsid w:val="009D08A6"/>
    <w:rsid w:val="009D1B69"/>
    <w:rsid w:val="009D1EB3"/>
    <w:rsid w:val="009D2ABF"/>
    <w:rsid w:val="009D3AD2"/>
    <w:rsid w:val="009D3E06"/>
    <w:rsid w:val="009D5843"/>
    <w:rsid w:val="009D638D"/>
    <w:rsid w:val="009D6393"/>
    <w:rsid w:val="009D7C1D"/>
    <w:rsid w:val="009E0885"/>
    <w:rsid w:val="009E1CC8"/>
    <w:rsid w:val="009E2827"/>
    <w:rsid w:val="009E30D2"/>
    <w:rsid w:val="009E4885"/>
    <w:rsid w:val="009E508B"/>
    <w:rsid w:val="009E6A00"/>
    <w:rsid w:val="009F03AB"/>
    <w:rsid w:val="009F0619"/>
    <w:rsid w:val="009F068A"/>
    <w:rsid w:val="009F08C5"/>
    <w:rsid w:val="009F0A85"/>
    <w:rsid w:val="009F1260"/>
    <w:rsid w:val="009F1B71"/>
    <w:rsid w:val="009F220A"/>
    <w:rsid w:val="009F36D6"/>
    <w:rsid w:val="009F6575"/>
    <w:rsid w:val="009F7ADC"/>
    <w:rsid w:val="00A0002A"/>
    <w:rsid w:val="00A0236D"/>
    <w:rsid w:val="00A02985"/>
    <w:rsid w:val="00A02B2B"/>
    <w:rsid w:val="00A02FA8"/>
    <w:rsid w:val="00A03AAD"/>
    <w:rsid w:val="00A03F1A"/>
    <w:rsid w:val="00A03F74"/>
    <w:rsid w:val="00A046BF"/>
    <w:rsid w:val="00A05B25"/>
    <w:rsid w:val="00A05C04"/>
    <w:rsid w:val="00A06254"/>
    <w:rsid w:val="00A06842"/>
    <w:rsid w:val="00A07459"/>
    <w:rsid w:val="00A07DB6"/>
    <w:rsid w:val="00A10972"/>
    <w:rsid w:val="00A11406"/>
    <w:rsid w:val="00A13205"/>
    <w:rsid w:val="00A132A1"/>
    <w:rsid w:val="00A15132"/>
    <w:rsid w:val="00A1554D"/>
    <w:rsid w:val="00A15792"/>
    <w:rsid w:val="00A158E3"/>
    <w:rsid w:val="00A1591A"/>
    <w:rsid w:val="00A172E0"/>
    <w:rsid w:val="00A221A3"/>
    <w:rsid w:val="00A223D5"/>
    <w:rsid w:val="00A23F41"/>
    <w:rsid w:val="00A25547"/>
    <w:rsid w:val="00A3003E"/>
    <w:rsid w:val="00A31E14"/>
    <w:rsid w:val="00A34276"/>
    <w:rsid w:val="00A34524"/>
    <w:rsid w:val="00A345B6"/>
    <w:rsid w:val="00A35558"/>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E3B"/>
    <w:rsid w:val="00A501C7"/>
    <w:rsid w:val="00A5058A"/>
    <w:rsid w:val="00A50905"/>
    <w:rsid w:val="00A513FD"/>
    <w:rsid w:val="00A5254B"/>
    <w:rsid w:val="00A52BC1"/>
    <w:rsid w:val="00A534A0"/>
    <w:rsid w:val="00A537EA"/>
    <w:rsid w:val="00A539AD"/>
    <w:rsid w:val="00A53E3E"/>
    <w:rsid w:val="00A540B2"/>
    <w:rsid w:val="00A5414D"/>
    <w:rsid w:val="00A54A3E"/>
    <w:rsid w:val="00A56819"/>
    <w:rsid w:val="00A568AC"/>
    <w:rsid w:val="00A56B9E"/>
    <w:rsid w:val="00A6025F"/>
    <w:rsid w:val="00A60E9C"/>
    <w:rsid w:val="00A6131E"/>
    <w:rsid w:val="00A616AF"/>
    <w:rsid w:val="00A61879"/>
    <w:rsid w:val="00A628B4"/>
    <w:rsid w:val="00A63E4E"/>
    <w:rsid w:val="00A6444F"/>
    <w:rsid w:val="00A652FF"/>
    <w:rsid w:val="00A65A0D"/>
    <w:rsid w:val="00A65C27"/>
    <w:rsid w:val="00A65F3C"/>
    <w:rsid w:val="00A66FB3"/>
    <w:rsid w:val="00A714A3"/>
    <w:rsid w:val="00A71B8B"/>
    <w:rsid w:val="00A7241D"/>
    <w:rsid w:val="00A75089"/>
    <w:rsid w:val="00A75EDC"/>
    <w:rsid w:val="00A80404"/>
    <w:rsid w:val="00A80548"/>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301E"/>
    <w:rsid w:val="00A93E3A"/>
    <w:rsid w:val="00A95186"/>
    <w:rsid w:val="00A951AD"/>
    <w:rsid w:val="00A961BD"/>
    <w:rsid w:val="00A968D7"/>
    <w:rsid w:val="00AA027E"/>
    <w:rsid w:val="00AA1224"/>
    <w:rsid w:val="00AA14F2"/>
    <w:rsid w:val="00AA180B"/>
    <w:rsid w:val="00AA1D43"/>
    <w:rsid w:val="00AA2469"/>
    <w:rsid w:val="00AA2CD7"/>
    <w:rsid w:val="00AA2FA4"/>
    <w:rsid w:val="00AA3301"/>
    <w:rsid w:val="00AA3360"/>
    <w:rsid w:val="00AA386B"/>
    <w:rsid w:val="00AA6384"/>
    <w:rsid w:val="00AA6B93"/>
    <w:rsid w:val="00AA7A06"/>
    <w:rsid w:val="00AA7A7F"/>
    <w:rsid w:val="00AB1984"/>
    <w:rsid w:val="00AB1CBB"/>
    <w:rsid w:val="00AB215B"/>
    <w:rsid w:val="00AB2360"/>
    <w:rsid w:val="00AB333E"/>
    <w:rsid w:val="00AB37DB"/>
    <w:rsid w:val="00AB3ECC"/>
    <w:rsid w:val="00AB5A73"/>
    <w:rsid w:val="00AB5F48"/>
    <w:rsid w:val="00AB716D"/>
    <w:rsid w:val="00AB72BB"/>
    <w:rsid w:val="00AB7BF3"/>
    <w:rsid w:val="00AC09D5"/>
    <w:rsid w:val="00AC0D8E"/>
    <w:rsid w:val="00AC175B"/>
    <w:rsid w:val="00AC1AA3"/>
    <w:rsid w:val="00AC1F8E"/>
    <w:rsid w:val="00AC22C1"/>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D36"/>
    <w:rsid w:val="00AE0DED"/>
    <w:rsid w:val="00AE284A"/>
    <w:rsid w:val="00AE307E"/>
    <w:rsid w:val="00AE3E11"/>
    <w:rsid w:val="00AE40B3"/>
    <w:rsid w:val="00AE4BDC"/>
    <w:rsid w:val="00AE4CFD"/>
    <w:rsid w:val="00AE4EA6"/>
    <w:rsid w:val="00AE55AD"/>
    <w:rsid w:val="00AE5D8F"/>
    <w:rsid w:val="00AE67D5"/>
    <w:rsid w:val="00AE78ED"/>
    <w:rsid w:val="00AE7AC2"/>
    <w:rsid w:val="00AE7EC9"/>
    <w:rsid w:val="00AF1117"/>
    <w:rsid w:val="00AF1555"/>
    <w:rsid w:val="00AF174E"/>
    <w:rsid w:val="00AF18BA"/>
    <w:rsid w:val="00AF228C"/>
    <w:rsid w:val="00AF2DB9"/>
    <w:rsid w:val="00AF3928"/>
    <w:rsid w:val="00AF3B55"/>
    <w:rsid w:val="00AF3D62"/>
    <w:rsid w:val="00AF4146"/>
    <w:rsid w:val="00AF56FE"/>
    <w:rsid w:val="00AF6AC5"/>
    <w:rsid w:val="00AF7809"/>
    <w:rsid w:val="00AF7F7B"/>
    <w:rsid w:val="00B0104B"/>
    <w:rsid w:val="00B021E0"/>
    <w:rsid w:val="00B03A30"/>
    <w:rsid w:val="00B03A35"/>
    <w:rsid w:val="00B04F99"/>
    <w:rsid w:val="00B057B6"/>
    <w:rsid w:val="00B05A7C"/>
    <w:rsid w:val="00B06361"/>
    <w:rsid w:val="00B0651D"/>
    <w:rsid w:val="00B06955"/>
    <w:rsid w:val="00B07BEA"/>
    <w:rsid w:val="00B07F41"/>
    <w:rsid w:val="00B102F9"/>
    <w:rsid w:val="00B11C80"/>
    <w:rsid w:val="00B12152"/>
    <w:rsid w:val="00B12DCA"/>
    <w:rsid w:val="00B13ECB"/>
    <w:rsid w:val="00B1524F"/>
    <w:rsid w:val="00B15ECF"/>
    <w:rsid w:val="00B16C0A"/>
    <w:rsid w:val="00B17F60"/>
    <w:rsid w:val="00B2039A"/>
    <w:rsid w:val="00B20AC8"/>
    <w:rsid w:val="00B215D5"/>
    <w:rsid w:val="00B225CB"/>
    <w:rsid w:val="00B22870"/>
    <w:rsid w:val="00B22A22"/>
    <w:rsid w:val="00B22AA6"/>
    <w:rsid w:val="00B23F4C"/>
    <w:rsid w:val="00B246DD"/>
    <w:rsid w:val="00B248D8"/>
    <w:rsid w:val="00B24BA7"/>
    <w:rsid w:val="00B268D0"/>
    <w:rsid w:val="00B269D3"/>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704D"/>
    <w:rsid w:val="00B40162"/>
    <w:rsid w:val="00B4054D"/>
    <w:rsid w:val="00B40FDB"/>
    <w:rsid w:val="00B420B2"/>
    <w:rsid w:val="00B42800"/>
    <w:rsid w:val="00B42863"/>
    <w:rsid w:val="00B42B32"/>
    <w:rsid w:val="00B430F6"/>
    <w:rsid w:val="00B43511"/>
    <w:rsid w:val="00B43CE6"/>
    <w:rsid w:val="00B45528"/>
    <w:rsid w:val="00B478FA"/>
    <w:rsid w:val="00B50156"/>
    <w:rsid w:val="00B501E8"/>
    <w:rsid w:val="00B502A3"/>
    <w:rsid w:val="00B50953"/>
    <w:rsid w:val="00B509AE"/>
    <w:rsid w:val="00B50E13"/>
    <w:rsid w:val="00B51581"/>
    <w:rsid w:val="00B518AD"/>
    <w:rsid w:val="00B51BB6"/>
    <w:rsid w:val="00B52B0E"/>
    <w:rsid w:val="00B52D81"/>
    <w:rsid w:val="00B5355B"/>
    <w:rsid w:val="00B5402E"/>
    <w:rsid w:val="00B540E8"/>
    <w:rsid w:val="00B55852"/>
    <w:rsid w:val="00B560A9"/>
    <w:rsid w:val="00B56866"/>
    <w:rsid w:val="00B56CC4"/>
    <w:rsid w:val="00B604BB"/>
    <w:rsid w:val="00B6062A"/>
    <w:rsid w:val="00B60A96"/>
    <w:rsid w:val="00B60DD7"/>
    <w:rsid w:val="00B60EB6"/>
    <w:rsid w:val="00B60EE5"/>
    <w:rsid w:val="00B616A5"/>
    <w:rsid w:val="00B628BE"/>
    <w:rsid w:val="00B637FB"/>
    <w:rsid w:val="00B6386F"/>
    <w:rsid w:val="00B65D9B"/>
    <w:rsid w:val="00B66E51"/>
    <w:rsid w:val="00B67346"/>
    <w:rsid w:val="00B6793A"/>
    <w:rsid w:val="00B67AC3"/>
    <w:rsid w:val="00B70880"/>
    <w:rsid w:val="00B70B75"/>
    <w:rsid w:val="00B71486"/>
    <w:rsid w:val="00B71607"/>
    <w:rsid w:val="00B71EF7"/>
    <w:rsid w:val="00B72361"/>
    <w:rsid w:val="00B74AB0"/>
    <w:rsid w:val="00B75345"/>
    <w:rsid w:val="00B76327"/>
    <w:rsid w:val="00B76400"/>
    <w:rsid w:val="00B76C94"/>
    <w:rsid w:val="00B76D4E"/>
    <w:rsid w:val="00B76D6E"/>
    <w:rsid w:val="00B771AA"/>
    <w:rsid w:val="00B772D0"/>
    <w:rsid w:val="00B80A99"/>
    <w:rsid w:val="00B80F4E"/>
    <w:rsid w:val="00B814CF"/>
    <w:rsid w:val="00B81A33"/>
    <w:rsid w:val="00B82236"/>
    <w:rsid w:val="00B82B2D"/>
    <w:rsid w:val="00B83117"/>
    <w:rsid w:val="00B8319C"/>
    <w:rsid w:val="00B90351"/>
    <w:rsid w:val="00B906F2"/>
    <w:rsid w:val="00B90D9B"/>
    <w:rsid w:val="00B91259"/>
    <w:rsid w:val="00B91B81"/>
    <w:rsid w:val="00B91FF0"/>
    <w:rsid w:val="00B92FFF"/>
    <w:rsid w:val="00B9492E"/>
    <w:rsid w:val="00B96799"/>
    <w:rsid w:val="00B96DE5"/>
    <w:rsid w:val="00B97A76"/>
    <w:rsid w:val="00BA0166"/>
    <w:rsid w:val="00BA0584"/>
    <w:rsid w:val="00BA1E9D"/>
    <w:rsid w:val="00BA249D"/>
    <w:rsid w:val="00BA4D00"/>
    <w:rsid w:val="00BA5665"/>
    <w:rsid w:val="00BB0AB5"/>
    <w:rsid w:val="00BB195B"/>
    <w:rsid w:val="00BB1BBA"/>
    <w:rsid w:val="00BB204A"/>
    <w:rsid w:val="00BB33E9"/>
    <w:rsid w:val="00BB34B7"/>
    <w:rsid w:val="00BB3BE4"/>
    <w:rsid w:val="00BB44DB"/>
    <w:rsid w:val="00BB57D3"/>
    <w:rsid w:val="00BB58EE"/>
    <w:rsid w:val="00BB64EC"/>
    <w:rsid w:val="00BB7589"/>
    <w:rsid w:val="00BC077E"/>
    <w:rsid w:val="00BC0E57"/>
    <w:rsid w:val="00BC1F5F"/>
    <w:rsid w:val="00BC21BE"/>
    <w:rsid w:val="00BC2465"/>
    <w:rsid w:val="00BC3E36"/>
    <w:rsid w:val="00BC4CE8"/>
    <w:rsid w:val="00BC4D54"/>
    <w:rsid w:val="00BC7632"/>
    <w:rsid w:val="00BC7C9E"/>
    <w:rsid w:val="00BD1E79"/>
    <w:rsid w:val="00BD23A5"/>
    <w:rsid w:val="00BD2937"/>
    <w:rsid w:val="00BD29F0"/>
    <w:rsid w:val="00BD2AFC"/>
    <w:rsid w:val="00BD2CD4"/>
    <w:rsid w:val="00BD330C"/>
    <w:rsid w:val="00BD359B"/>
    <w:rsid w:val="00BD3663"/>
    <w:rsid w:val="00BD367F"/>
    <w:rsid w:val="00BD4871"/>
    <w:rsid w:val="00BD48A9"/>
    <w:rsid w:val="00BD5712"/>
    <w:rsid w:val="00BD581A"/>
    <w:rsid w:val="00BD5C02"/>
    <w:rsid w:val="00BD658C"/>
    <w:rsid w:val="00BD6819"/>
    <w:rsid w:val="00BD7C8F"/>
    <w:rsid w:val="00BD7EC6"/>
    <w:rsid w:val="00BE0FF2"/>
    <w:rsid w:val="00BE1345"/>
    <w:rsid w:val="00BE18BC"/>
    <w:rsid w:val="00BE2147"/>
    <w:rsid w:val="00BE239E"/>
    <w:rsid w:val="00BE3B83"/>
    <w:rsid w:val="00BE3C67"/>
    <w:rsid w:val="00BE3CF7"/>
    <w:rsid w:val="00BE42FC"/>
    <w:rsid w:val="00BE66FC"/>
    <w:rsid w:val="00BE73FA"/>
    <w:rsid w:val="00BF00D1"/>
    <w:rsid w:val="00BF0353"/>
    <w:rsid w:val="00BF090A"/>
    <w:rsid w:val="00BF2001"/>
    <w:rsid w:val="00BF2575"/>
    <w:rsid w:val="00BF31A0"/>
    <w:rsid w:val="00BF323A"/>
    <w:rsid w:val="00BF369A"/>
    <w:rsid w:val="00BF36C0"/>
    <w:rsid w:val="00BF3F0A"/>
    <w:rsid w:val="00BF4E35"/>
    <w:rsid w:val="00BF6F82"/>
    <w:rsid w:val="00BF7B9B"/>
    <w:rsid w:val="00C0083F"/>
    <w:rsid w:val="00C00976"/>
    <w:rsid w:val="00C020CD"/>
    <w:rsid w:val="00C02DDE"/>
    <w:rsid w:val="00C0367B"/>
    <w:rsid w:val="00C04E51"/>
    <w:rsid w:val="00C05074"/>
    <w:rsid w:val="00C0527F"/>
    <w:rsid w:val="00C05AF9"/>
    <w:rsid w:val="00C060A3"/>
    <w:rsid w:val="00C060B0"/>
    <w:rsid w:val="00C06D2C"/>
    <w:rsid w:val="00C072F0"/>
    <w:rsid w:val="00C07344"/>
    <w:rsid w:val="00C079A3"/>
    <w:rsid w:val="00C07C1F"/>
    <w:rsid w:val="00C11A79"/>
    <w:rsid w:val="00C131DD"/>
    <w:rsid w:val="00C13607"/>
    <w:rsid w:val="00C137B1"/>
    <w:rsid w:val="00C13B43"/>
    <w:rsid w:val="00C15E81"/>
    <w:rsid w:val="00C174C9"/>
    <w:rsid w:val="00C17B6E"/>
    <w:rsid w:val="00C20748"/>
    <w:rsid w:val="00C20754"/>
    <w:rsid w:val="00C21378"/>
    <w:rsid w:val="00C220A5"/>
    <w:rsid w:val="00C22307"/>
    <w:rsid w:val="00C22BB2"/>
    <w:rsid w:val="00C22EAF"/>
    <w:rsid w:val="00C23150"/>
    <w:rsid w:val="00C24580"/>
    <w:rsid w:val="00C24908"/>
    <w:rsid w:val="00C250E8"/>
    <w:rsid w:val="00C2515F"/>
    <w:rsid w:val="00C25DCF"/>
    <w:rsid w:val="00C26AEA"/>
    <w:rsid w:val="00C276EC"/>
    <w:rsid w:val="00C27C0A"/>
    <w:rsid w:val="00C31AD4"/>
    <w:rsid w:val="00C31C63"/>
    <w:rsid w:val="00C32481"/>
    <w:rsid w:val="00C3394C"/>
    <w:rsid w:val="00C34581"/>
    <w:rsid w:val="00C34AD7"/>
    <w:rsid w:val="00C3516D"/>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949"/>
    <w:rsid w:val="00C44B4C"/>
    <w:rsid w:val="00C450E3"/>
    <w:rsid w:val="00C45C56"/>
    <w:rsid w:val="00C45CCD"/>
    <w:rsid w:val="00C46734"/>
    <w:rsid w:val="00C5105D"/>
    <w:rsid w:val="00C511F0"/>
    <w:rsid w:val="00C513C7"/>
    <w:rsid w:val="00C51639"/>
    <w:rsid w:val="00C53220"/>
    <w:rsid w:val="00C533A0"/>
    <w:rsid w:val="00C537E7"/>
    <w:rsid w:val="00C53E9D"/>
    <w:rsid w:val="00C5426B"/>
    <w:rsid w:val="00C54C18"/>
    <w:rsid w:val="00C573DA"/>
    <w:rsid w:val="00C5772E"/>
    <w:rsid w:val="00C5781B"/>
    <w:rsid w:val="00C616B4"/>
    <w:rsid w:val="00C621A7"/>
    <w:rsid w:val="00C62BF2"/>
    <w:rsid w:val="00C62D1B"/>
    <w:rsid w:val="00C638A6"/>
    <w:rsid w:val="00C63FB9"/>
    <w:rsid w:val="00C64266"/>
    <w:rsid w:val="00C647DF"/>
    <w:rsid w:val="00C66CE8"/>
    <w:rsid w:val="00C70074"/>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E9"/>
    <w:rsid w:val="00C85DEF"/>
    <w:rsid w:val="00C910F8"/>
    <w:rsid w:val="00C91106"/>
    <w:rsid w:val="00C9117B"/>
    <w:rsid w:val="00C91D19"/>
    <w:rsid w:val="00C92940"/>
    <w:rsid w:val="00C93B58"/>
    <w:rsid w:val="00C93C2F"/>
    <w:rsid w:val="00C9437C"/>
    <w:rsid w:val="00C946FF"/>
    <w:rsid w:val="00C94A14"/>
    <w:rsid w:val="00C94CDA"/>
    <w:rsid w:val="00C95BED"/>
    <w:rsid w:val="00C96725"/>
    <w:rsid w:val="00C97A66"/>
    <w:rsid w:val="00CA007B"/>
    <w:rsid w:val="00CA0AA4"/>
    <w:rsid w:val="00CA15B0"/>
    <w:rsid w:val="00CA1D4C"/>
    <w:rsid w:val="00CA1D50"/>
    <w:rsid w:val="00CA1DAB"/>
    <w:rsid w:val="00CA20E0"/>
    <w:rsid w:val="00CA3347"/>
    <w:rsid w:val="00CA523D"/>
    <w:rsid w:val="00CA6FDA"/>
    <w:rsid w:val="00CA77CF"/>
    <w:rsid w:val="00CA7B58"/>
    <w:rsid w:val="00CB1413"/>
    <w:rsid w:val="00CB2518"/>
    <w:rsid w:val="00CB3920"/>
    <w:rsid w:val="00CB4C4C"/>
    <w:rsid w:val="00CB6413"/>
    <w:rsid w:val="00CB696F"/>
    <w:rsid w:val="00CB77F4"/>
    <w:rsid w:val="00CC0F1C"/>
    <w:rsid w:val="00CC299A"/>
    <w:rsid w:val="00CC2E87"/>
    <w:rsid w:val="00CC3039"/>
    <w:rsid w:val="00CC32B7"/>
    <w:rsid w:val="00CC36DE"/>
    <w:rsid w:val="00CC4F99"/>
    <w:rsid w:val="00CC5FC3"/>
    <w:rsid w:val="00CC6369"/>
    <w:rsid w:val="00CC65D6"/>
    <w:rsid w:val="00CC73F3"/>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56B7"/>
    <w:rsid w:val="00CE6660"/>
    <w:rsid w:val="00CE6855"/>
    <w:rsid w:val="00CE6B6F"/>
    <w:rsid w:val="00CE7033"/>
    <w:rsid w:val="00CE770A"/>
    <w:rsid w:val="00CF02A6"/>
    <w:rsid w:val="00CF06CF"/>
    <w:rsid w:val="00CF0AB7"/>
    <w:rsid w:val="00CF0CB2"/>
    <w:rsid w:val="00CF101C"/>
    <w:rsid w:val="00CF2DC1"/>
    <w:rsid w:val="00CF2EE2"/>
    <w:rsid w:val="00CF3948"/>
    <w:rsid w:val="00CF3ACF"/>
    <w:rsid w:val="00CF441D"/>
    <w:rsid w:val="00CF4FCF"/>
    <w:rsid w:val="00CF4FDC"/>
    <w:rsid w:val="00CF56AF"/>
    <w:rsid w:val="00CF5BE0"/>
    <w:rsid w:val="00CF61CB"/>
    <w:rsid w:val="00CF666F"/>
    <w:rsid w:val="00CF686F"/>
    <w:rsid w:val="00CF6E7D"/>
    <w:rsid w:val="00D00175"/>
    <w:rsid w:val="00D00223"/>
    <w:rsid w:val="00D00DBF"/>
    <w:rsid w:val="00D0149B"/>
    <w:rsid w:val="00D01F5D"/>
    <w:rsid w:val="00D01FA9"/>
    <w:rsid w:val="00D03DBE"/>
    <w:rsid w:val="00D03EED"/>
    <w:rsid w:val="00D0597D"/>
    <w:rsid w:val="00D06274"/>
    <w:rsid w:val="00D066D8"/>
    <w:rsid w:val="00D11949"/>
    <w:rsid w:val="00D11A69"/>
    <w:rsid w:val="00D12C98"/>
    <w:rsid w:val="00D12FFC"/>
    <w:rsid w:val="00D1484F"/>
    <w:rsid w:val="00D14BA0"/>
    <w:rsid w:val="00D14D7B"/>
    <w:rsid w:val="00D1516D"/>
    <w:rsid w:val="00D158B0"/>
    <w:rsid w:val="00D1707A"/>
    <w:rsid w:val="00D21435"/>
    <w:rsid w:val="00D2242C"/>
    <w:rsid w:val="00D224FA"/>
    <w:rsid w:val="00D23033"/>
    <w:rsid w:val="00D2402F"/>
    <w:rsid w:val="00D245C2"/>
    <w:rsid w:val="00D25660"/>
    <w:rsid w:val="00D258EB"/>
    <w:rsid w:val="00D271CD"/>
    <w:rsid w:val="00D315CC"/>
    <w:rsid w:val="00D327A3"/>
    <w:rsid w:val="00D34C82"/>
    <w:rsid w:val="00D36550"/>
    <w:rsid w:val="00D379EC"/>
    <w:rsid w:val="00D41E42"/>
    <w:rsid w:val="00D41F6B"/>
    <w:rsid w:val="00D42380"/>
    <w:rsid w:val="00D42C9B"/>
    <w:rsid w:val="00D4348D"/>
    <w:rsid w:val="00D436D7"/>
    <w:rsid w:val="00D44E42"/>
    <w:rsid w:val="00D44FC3"/>
    <w:rsid w:val="00D450E2"/>
    <w:rsid w:val="00D453D7"/>
    <w:rsid w:val="00D462D6"/>
    <w:rsid w:val="00D474AB"/>
    <w:rsid w:val="00D4754E"/>
    <w:rsid w:val="00D50961"/>
    <w:rsid w:val="00D50A02"/>
    <w:rsid w:val="00D512A1"/>
    <w:rsid w:val="00D52AB4"/>
    <w:rsid w:val="00D52F26"/>
    <w:rsid w:val="00D531F5"/>
    <w:rsid w:val="00D538C1"/>
    <w:rsid w:val="00D538D5"/>
    <w:rsid w:val="00D54640"/>
    <w:rsid w:val="00D55455"/>
    <w:rsid w:val="00D559B5"/>
    <w:rsid w:val="00D56420"/>
    <w:rsid w:val="00D56A94"/>
    <w:rsid w:val="00D56C0C"/>
    <w:rsid w:val="00D5798B"/>
    <w:rsid w:val="00D60736"/>
    <w:rsid w:val="00D6170E"/>
    <w:rsid w:val="00D61B58"/>
    <w:rsid w:val="00D6307D"/>
    <w:rsid w:val="00D63632"/>
    <w:rsid w:val="00D63732"/>
    <w:rsid w:val="00D6568E"/>
    <w:rsid w:val="00D65893"/>
    <w:rsid w:val="00D658EC"/>
    <w:rsid w:val="00D6742A"/>
    <w:rsid w:val="00D67B9B"/>
    <w:rsid w:val="00D71733"/>
    <w:rsid w:val="00D718AC"/>
    <w:rsid w:val="00D719A3"/>
    <w:rsid w:val="00D71E7A"/>
    <w:rsid w:val="00D72DE7"/>
    <w:rsid w:val="00D7302F"/>
    <w:rsid w:val="00D73BB2"/>
    <w:rsid w:val="00D74D14"/>
    <w:rsid w:val="00D74F3B"/>
    <w:rsid w:val="00D752E7"/>
    <w:rsid w:val="00D7574B"/>
    <w:rsid w:val="00D75E82"/>
    <w:rsid w:val="00D769C5"/>
    <w:rsid w:val="00D76E76"/>
    <w:rsid w:val="00D77680"/>
    <w:rsid w:val="00D80631"/>
    <w:rsid w:val="00D818EC"/>
    <w:rsid w:val="00D81A20"/>
    <w:rsid w:val="00D81F55"/>
    <w:rsid w:val="00D8321A"/>
    <w:rsid w:val="00D85152"/>
    <w:rsid w:val="00D85F2C"/>
    <w:rsid w:val="00D861BD"/>
    <w:rsid w:val="00D86D55"/>
    <w:rsid w:val="00D8789C"/>
    <w:rsid w:val="00D87B3F"/>
    <w:rsid w:val="00D9003D"/>
    <w:rsid w:val="00D90558"/>
    <w:rsid w:val="00D9082F"/>
    <w:rsid w:val="00D914EB"/>
    <w:rsid w:val="00D94085"/>
    <w:rsid w:val="00D96D4F"/>
    <w:rsid w:val="00DA1806"/>
    <w:rsid w:val="00DA1BD1"/>
    <w:rsid w:val="00DA212B"/>
    <w:rsid w:val="00DA3A76"/>
    <w:rsid w:val="00DA6D6D"/>
    <w:rsid w:val="00DA73C1"/>
    <w:rsid w:val="00DA770D"/>
    <w:rsid w:val="00DA7851"/>
    <w:rsid w:val="00DA7DC1"/>
    <w:rsid w:val="00DB00EE"/>
    <w:rsid w:val="00DB0132"/>
    <w:rsid w:val="00DB2754"/>
    <w:rsid w:val="00DB2D88"/>
    <w:rsid w:val="00DB3687"/>
    <w:rsid w:val="00DB38D1"/>
    <w:rsid w:val="00DB41CB"/>
    <w:rsid w:val="00DB681B"/>
    <w:rsid w:val="00DB7E24"/>
    <w:rsid w:val="00DC0445"/>
    <w:rsid w:val="00DC2082"/>
    <w:rsid w:val="00DC225F"/>
    <w:rsid w:val="00DC2883"/>
    <w:rsid w:val="00DC2C48"/>
    <w:rsid w:val="00DC46B5"/>
    <w:rsid w:val="00DC4B28"/>
    <w:rsid w:val="00DC525E"/>
    <w:rsid w:val="00DC535C"/>
    <w:rsid w:val="00DC5DCB"/>
    <w:rsid w:val="00DC6C0D"/>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1238"/>
    <w:rsid w:val="00DE1FFE"/>
    <w:rsid w:val="00DE21DC"/>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D07"/>
    <w:rsid w:val="00DF1E89"/>
    <w:rsid w:val="00DF2144"/>
    <w:rsid w:val="00DF2EA5"/>
    <w:rsid w:val="00DF310B"/>
    <w:rsid w:val="00DF3E47"/>
    <w:rsid w:val="00DF56E8"/>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26B2"/>
    <w:rsid w:val="00E127E3"/>
    <w:rsid w:val="00E13E8F"/>
    <w:rsid w:val="00E14818"/>
    <w:rsid w:val="00E148E8"/>
    <w:rsid w:val="00E1571E"/>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307E"/>
    <w:rsid w:val="00E2352B"/>
    <w:rsid w:val="00E23E84"/>
    <w:rsid w:val="00E23F9B"/>
    <w:rsid w:val="00E24D23"/>
    <w:rsid w:val="00E26649"/>
    <w:rsid w:val="00E2703D"/>
    <w:rsid w:val="00E271F9"/>
    <w:rsid w:val="00E27F0A"/>
    <w:rsid w:val="00E309B0"/>
    <w:rsid w:val="00E326E9"/>
    <w:rsid w:val="00E352C3"/>
    <w:rsid w:val="00E35476"/>
    <w:rsid w:val="00E355C0"/>
    <w:rsid w:val="00E359A5"/>
    <w:rsid w:val="00E372F7"/>
    <w:rsid w:val="00E37DC0"/>
    <w:rsid w:val="00E37EC6"/>
    <w:rsid w:val="00E40432"/>
    <w:rsid w:val="00E40850"/>
    <w:rsid w:val="00E40D52"/>
    <w:rsid w:val="00E41187"/>
    <w:rsid w:val="00E411B3"/>
    <w:rsid w:val="00E41585"/>
    <w:rsid w:val="00E4220D"/>
    <w:rsid w:val="00E4231E"/>
    <w:rsid w:val="00E4279A"/>
    <w:rsid w:val="00E44AC7"/>
    <w:rsid w:val="00E45B2D"/>
    <w:rsid w:val="00E468F2"/>
    <w:rsid w:val="00E47A20"/>
    <w:rsid w:val="00E5084C"/>
    <w:rsid w:val="00E50871"/>
    <w:rsid w:val="00E50B4C"/>
    <w:rsid w:val="00E53533"/>
    <w:rsid w:val="00E537ED"/>
    <w:rsid w:val="00E5384D"/>
    <w:rsid w:val="00E53F2E"/>
    <w:rsid w:val="00E54004"/>
    <w:rsid w:val="00E546C9"/>
    <w:rsid w:val="00E54BB9"/>
    <w:rsid w:val="00E54D3F"/>
    <w:rsid w:val="00E55F1F"/>
    <w:rsid w:val="00E56866"/>
    <w:rsid w:val="00E56904"/>
    <w:rsid w:val="00E570F3"/>
    <w:rsid w:val="00E57DFD"/>
    <w:rsid w:val="00E60423"/>
    <w:rsid w:val="00E607E5"/>
    <w:rsid w:val="00E60A16"/>
    <w:rsid w:val="00E610CB"/>
    <w:rsid w:val="00E6125B"/>
    <w:rsid w:val="00E6170A"/>
    <w:rsid w:val="00E62ADF"/>
    <w:rsid w:val="00E62FA7"/>
    <w:rsid w:val="00E637A3"/>
    <w:rsid w:val="00E659FD"/>
    <w:rsid w:val="00E65B0C"/>
    <w:rsid w:val="00E66B16"/>
    <w:rsid w:val="00E66BA2"/>
    <w:rsid w:val="00E677DB"/>
    <w:rsid w:val="00E700F8"/>
    <w:rsid w:val="00E71C2D"/>
    <w:rsid w:val="00E7266C"/>
    <w:rsid w:val="00E72BB6"/>
    <w:rsid w:val="00E730AC"/>
    <w:rsid w:val="00E734CE"/>
    <w:rsid w:val="00E73E6A"/>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48F0"/>
    <w:rsid w:val="00E84D1C"/>
    <w:rsid w:val="00E84D9C"/>
    <w:rsid w:val="00E8628F"/>
    <w:rsid w:val="00E86888"/>
    <w:rsid w:val="00E916B2"/>
    <w:rsid w:val="00E92C96"/>
    <w:rsid w:val="00E942B8"/>
    <w:rsid w:val="00E944ED"/>
    <w:rsid w:val="00E945AF"/>
    <w:rsid w:val="00E94A0B"/>
    <w:rsid w:val="00E94A2C"/>
    <w:rsid w:val="00E95799"/>
    <w:rsid w:val="00E9683D"/>
    <w:rsid w:val="00E970B7"/>
    <w:rsid w:val="00E97AFB"/>
    <w:rsid w:val="00E97D95"/>
    <w:rsid w:val="00EA010D"/>
    <w:rsid w:val="00EA04C5"/>
    <w:rsid w:val="00EA0507"/>
    <w:rsid w:val="00EA0BB5"/>
    <w:rsid w:val="00EA1A8A"/>
    <w:rsid w:val="00EA21FA"/>
    <w:rsid w:val="00EA25EB"/>
    <w:rsid w:val="00EA26D5"/>
    <w:rsid w:val="00EA2775"/>
    <w:rsid w:val="00EA3106"/>
    <w:rsid w:val="00EA3874"/>
    <w:rsid w:val="00EA5AB6"/>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C11E4"/>
    <w:rsid w:val="00EC14E1"/>
    <w:rsid w:val="00EC2887"/>
    <w:rsid w:val="00EC2A3F"/>
    <w:rsid w:val="00EC2E64"/>
    <w:rsid w:val="00EC3A35"/>
    <w:rsid w:val="00EC3C52"/>
    <w:rsid w:val="00EC3E69"/>
    <w:rsid w:val="00EC5554"/>
    <w:rsid w:val="00EC572B"/>
    <w:rsid w:val="00EC5B8E"/>
    <w:rsid w:val="00EC7356"/>
    <w:rsid w:val="00EC75F6"/>
    <w:rsid w:val="00ED0065"/>
    <w:rsid w:val="00ED17B5"/>
    <w:rsid w:val="00ED353D"/>
    <w:rsid w:val="00ED588C"/>
    <w:rsid w:val="00ED6EA1"/>
    <w:rsid w:val="00ED7A7F"/>
    <w:rsid w:val="00EE07AC"/>
    <w:rsid w:val="00EE0891"/>
    <w:rsid w:val="00EE1062"/>
    <w:rsid w:val="00EE17F2"/>
    <w:rsid w:val="00EE188A"/>
    <w:rsid w:val="00EE1B01"/>
    <w:rsid w:val="00EE1DB8"/>
    <w:rsid w:val="00EE2746"/>
    <w:rsid w:val="00EE4759"/>
    <w:rsid w:val="00EE4C20"/>
    <w:rsid w:val="00EE4F2D"/>
    <w:rsid w:val="00EE6755"/>
    <w:rsid w:val="00EF03DC"/>
    <w:rsid w:val="00EF0437"/>
    <w:rsid w:val="00EF0BFE"/>
    <w:rsid w:val="00EF2AC7"/>
    <w:rsid w:val="00EF3397"/>
    <w:rsid w:val="00EF40BF"/>
    <w:rsid w:val="00EF4557"/>
    <w:rsid w:val="00EF493F"/>
    <w:rsid w:val="00EF5E22"/>
    <w:rsid w:val="00EF60CA"/>
    <w:rsid w:val="00EF63C1"/>
    <w:rsid w:val="00EF6C2B"/>
    <w:rsid w:val="00F008BD"/>
    <w:rsid w:val="00F021A9"/>
    <w:rsid w:val="00F02C54"/>
    <w:rsid w:val="00F02D03"/>
    <w:rsid w:val="00F0448C"/>
    <w:rsid w:val="00F0553C"/>
    <w:rsid w:val="00F06BA7"/>
    <w:rsid w:val="00F06BF1"/>
    <w:rsid w:val="00F071BA"/>
    <w:rsid w:val="00F1284F"/>
    <w:rsid w:val="00F136A4"/>
    <w:rsid w:val="00F1377B"/>
    <w:rsid w:val="00F13C5E"/>
    <w:rsid w:val="00F148D5"/>
    <w:rsid w:val="00F1601A"/>
    <w:rsid w:val="00F160BF"/>
    <w:rsid w:val="00F1675C"/>
    <w:rsid w:val="00F16A3C"/>
    <w:rsid w:val="00F17428"/>
    <w:rsid w:val="00F20046"/>
    <w:rsid w:val="00F20D22"/>
    <w:rsid w:val="00F21A58"/>
    <w:rsid w:val="00F23048"/>
    <w:rsid w:val="00F239CD"/>
    <w:rsid w:val="00F23DCC"/>
    <w:rsid w:val="00F24294"/>
    <w:rsid w:val="00F2477C"/>
    <w:rsid w:val="00F24EBB"/>
    <w:rsid w:val="00F27F06"/>
    <w:rsid w:val="00F314E8"/>
    <w:rsid w:val="00F316A2"/>
    <w:rsid w:val="00F323A2"/>
    <w:rsid w:val="00F332D4"/>
    <w:rsid w:val="00F33B57"/>
    <w:rsid w:val="00F33CA8"/>
    <w:rsid w:val="00F33D5C"/>
    <w:rsid w:val="00F356D6"/>
    <w:rsid w:val="00F37D37"/>
    <w:rsid w:val="00F400E3"/>
    <w:rsid w:val="00F40876"/>
    <w:rsid w:val="00F44642"/>
    <w:rsid w:val="00F454A2"/>
    <w:rsid w:val="00F45913"/>
    <w:rsid w:val="00F45E89"/>
    <w:rsid w:val="00F47845"/>
    <w:rsid w:val="00F47B6C"/>
    <w:rsid w:val="00F50675"/>
    <w:rsid w:val="00F5071D"/>
    <w:rsid w:val="00F50BD6"/>
    <w:rsid w:val="00F50E16"/>
    <w:rsid w:val="00F513B2"/>
    <w:rsid w:val="00F51520"/>
    <w:rsid w:val="00F52140"/>
    <w:rsid w:val="00F521E4"/>
    <w:rsid w:val="00F52CCE"/>
    <w:rsid w:val="00F53151"/>
    <w:rsid w:val="00F535A9"/>
    <w:rsid w:val="00F53F92"/>
    <w:rsid w:val="00F5480F"/>
    <w:rsid w:val="00F552F7"/>
    <w:rsid w:val="00F554EB"/>
    <w:rsid w:val="00F5562D"/>
    <w:rsid w:val="00F566EA"/>
    <w:rsid w:val="00F567A4"/>
    <w:rsid w:val="00F578EB"/>
    <w:rsid w:val="00F605BE"/>
    <w:rsid w:val="00F60DDC"/>
    <w:rsid w:val="00F610A9"/>
    <w:rsid w:val="00F617BE"/>
    <w:rsid w:val="00F61C7A"/>
    <w:rsid w:val="00F625F7"/>
    <w:rsid w:val="00F64D5A"/>
    <w:rsid w:val="00F65399"/>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5481"/>
    <w:rsid w:val="00F76A4C"/>
    <w:rsid w:val="00F76AB3"/>
    <w:rsid w:val="00F816A4"/>
    <w:rsid w:val="00F81AE9"/>
    <w:rsid w:val="00F82E2E"/>
    <w:rsid w:val="00F83186"/>
    <w:rsid w:val="00F83601"/>
    <w:rsid w:val="00F837E6"/>
    <w:rsid w:val="00F8389A"/>
    <w:rsid w:val="00F83AE9"/>
    <w:rsid w:val="00F843D4"/>
    <w:rsid w:val="00F84A40"/>
    <w:rsid w:val="00F84DBD"/>
    <w:rsid w:val="00F8516E"/>
    <w:rsid w:val="00F852E5"/>
    <w:rsid w:val="00F85725"/>
    <w:rsid w:val="00F85C0D"/>
    <w:rsid w:val="00F86741"/>
    <w:rsid w:val="00F86796"/>
    <w:rsid w:val="00F87C5B"/>
    <w:rsid w:val="00F87FEA"/>
    <w:rsid w:val="00F90613"/>
    <w:rsid w:val="00F906F4"/>
    <w:rsid w:val="00F915F3"/>
    <w:rsid w:val="00F91800"/>
    <w:rsid w:val="00F91853"/>
    <w:rsid w:val="00F91987"/>
    <w:rsid w:val="00F9208E"/>
    <w:rsid w:val="00F92571"/>
    <w:rsid w:val="00F93B2F"/>
    <w:rsid w:val="00F93CAE"/>
    <w:rsid w:val="00F95CCE"/>
    <w:rsid w:val="00F9692D"/>
    <w:rsid w:val="00F978BE"/>
    <w:rsid w:val="00F97D7B"/>
    <w:rsid w:val="00FA0013"/>
    <w:rsid w:val="00FA0288"/>
    <w:rsid w:val="00FA0F71"/>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629"/>
    <w:rsid w:val="00FB577F"/>
    <w:rsid w:val="00FB5E5D"/>
    <w:rsid w:val="00FB5FC4"/>
    <w:rsid w:val="00FB6A07"/>
    <w:rsid w:val="00FB6FB1"/>
    <w:rsid w:val="00FB7460"/>
    <w:rsid w:val="00FB7A10"/>
    <w:rsid w:val="00FC0F81"/>
    <w:rsid w:val="00FC3798"/>
    <w:rsid w:val="00FC59AF"/>
    <w:rsid w:val="00FC5F72"/>
    <w:rsid w:val="00FC62B5"/>
    <w:rsid w:val="00FC6D4E"/>
    <w:rsid w:val="00FC7073"/>
    <w:rsid w:val="00FC736F"/>
    <w:rsid w:val="00FD0CDB"/>
    <w:rsid w:val="00FD1FA7"/>
    <w:rsid w:val="00FD25A1"/>
    <w:rsid w:val="00FD2D42"/>
    <w:rsid w:val="00FD30B5"/>
    <w:rsid w:val="00FD3453"/>
    <w:rsid w:val="00FD39CF"/>
    <w:rsid w:val="00FD4D84"/>
    <w:rsid w:val="00FD58F5"/>
    <w:rsid w:val="00FD754C"/>
    <w:rsid w:val="00FE0DAE"/>
    <w:rsid w:val="00FE1370"/>
    <w:rsid w:val="00FE1510"/>
    <w:rsid w:val="00FE2121"/>
    <w:rsid w:val="00FE254A"/>
    <w:rsid w:val="00FE321B"/>
    <w:rsid w:val="00FE3D07"/>
    <w:rsid w:val="00FE4B6F"/>
    <w:rsid w:val="00FE6308"/>
    <w:rsid w:val="00FE6818"/>
    <w:rsid w:val="00FF0CF5"/>
    <w:rsid w:val="00FF0D6F"/>
    <w:rsid w:val="00FF1103"/>
    <w:rsid w:val="00FF1712"/>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nidosporcolombia17@gmail.com"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manual-para-determinar-y-verificar-los-requisitos"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cce_documentos/cce-eicp-gi-18._gees_v.2_2.pdf" TargetMode="External"/><Relationship Id="rId1" Type="http://schemas.openxmlformats.org/officeDocument/2006/relationships/hyperlink" Target="https://www.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34C5AAD6-C0B2-4174-8500-3B83AE8013AF}"/>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17</Pages>
  <Words>5018</Words>
  <Characters>27602</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32555</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7</cp:revision>
  <dcterms:created xsi:type="dcterms:W3CDTF">2026-04-08T13:55:00Z</dcterms:created>
  <dcterms:modified xsi:type="dcterms:W3CDTF">2026-04-08T13:58:00Z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