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93768" w14:textId="77777777" w:rsidR="003E4D6A" w:rsidRPr="009E4C5C" w:rsidRDefault="003E4D6A" w:rsidP="003E4D6A">
      <w:pPr>
        <w:spacing w:after="0" w:line="240" w:lineRule="auto"/>
        <w:contextualSpacing/>
        <w:jc w:val="both"/>
        <w:rPr>
          <w:rFonts w:ascii="Verdana" w:eastAsia="Century Gothic" w:hAnsi="Verdana" w:cs="Century Gothic"/>
          <w:b/>
          <w:bCs/>
          <w:color w:val="000000" w:themeColor="text1"/>
        </w:rPr>
      </w:pPr>
      <w:r w:rsidRPr="009E4C5C">
        <w:rPr>
          <w:rFonts w:ascii="Verdana" w:eastAsia="Century Gothic" w:hAnsi="Verdana" w:cs="Century Gothic"/>
          <w:b/>
          <w:bCs/>
          <w:color w:val="000000" w:themeColor="text1"/>
        </w:rPr>
        <w:t xml:space="preserve">REQUISITOS HABILITANTES – Concepto </w:t>
      </w:r>
    </w:p>
    <w:p w14:paraId="6ECF6BE4" w14:textId="77777777" w:rsidR="003E4D6A" w:rsidRPr="009E4C5C" w:rsidRDefault="003E4D6A" w:rsidP="003E4D6A">
      <w:pPr>
        <w:spacing w:after="0" w:line="240" w:lineRule="auto"/>
        <w:contextualSpacing/>
        <w:jc w:val="both"/>
        <w:rPr>
          <w:rFonts w:ascii="Verdana" w:eastAsia="Century Gothic" w:hAnsi="Verdana" w:cs="Century Gothic"/>
          <w:color w:val="000000" w:themeColor="text1"/>
        </w:rPr>
      </w:pPr>
    </w:p>
    <w:p w14:paraId="266B053D"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Se diferencian de los criterios de evaluación – también conocidos como criterios de calificación – en que estos son los factores definidos por la Entidad Estatal para la asignación de puntaje en el momento de la comparación de las ofertas y que, a partir de su ponderación, permiten establecer el orden de elegibilidad y, por ende, la propuesta ganadora. </w:t>
      </w:r>
    </w:p>
    <w:p w14:paraId="72B4AEED"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p>
    <w:p w14:paraId="18A7BC07"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 xml:space="preserve">[…] Específicamente, el numeral 1º del artículo referido establece que en los procesos de selección de contratistas serán objeto de verificación, como requisitos habilitantes, entre otros, los siguientes: i) la capacidad jurídica; </w:t>
      </w:r>
      <w:proofErr w:type="spellStart"/>
      <w:r w:rsidRPr="003E4D6A">
        <w:rPr>
          <w:rFonts w:ascii="Verdana" w:eastAsia="Century Gothic" w:hAnsi="Verdana" w:cs="Century Gothic"/>
          <w:color w:val="000000" w:themeColor="text1"/>
          <w:sz w:val="20"/>
          <w:szCs w:val="20"/>
        </w:rPr>
        <w:t>ii</w:t>
      </w:r>
      <w:proofErr w:type="spellEnd"/>
      <w:r w:rsidRPr="003E4D6A">
        <w:rPr>
          <w:rFonts w:ascii="Verdana" w:eastAsia="Century Gothic" w:hAnsi="Verdana" w:cs="Century Gothic"/>
          <w:color w:val="000000" w:themeColor="text1"/>
          <w:sz w:val="20"/>
          <w:szCs w:val="20"/>
        </w:rPr>
        <w:t xml:space="preserve">) la experiencia; </w:t>
      </w:r>
      <w:proofErr w:type="spellStart"/>
      <w:r w:rsidRPr="003E4D6A">
        <w:rPr>
          <w:rFonts w:ascii="Verdana" w:eastAsia="Century Gothic" w:hAnsi="Verdana" w:cs="Century Gothic"/>
          <w:color w:val="000000" w:themeColor="text1"/>
          <w:sz w:val="20"/>
          <w:szCs w:val="20"/>
        </w:rPr>
        <w:t>iii</w:t>
      </w:r>
      <w:proofErr w:type="spellEnd"/>
      <w:r w:rsidRPr="003E4D6A">
        <w:rPr>
          <w:rFonts w:ascii="Verdana" w:eastAsia="Century Gothic" w:hAnsi="Verdana" w:cs="Century Gothic"/>
          <w:color w:val="000000" w:themeColor="text1"/>
          <w:sz w:val="20"/>
          <w:szCs w:val="20"/>
        </w:rPr>
        <w:t xml:space="preserve">) la capacidad financiera y </w:t>
      </w:r>
      <w:proofErr w:type="spellStart"/>
      <w:r w:rsidRPr="003E4D6A">
        <w:rPr>
          <w:rFonts w:ascii="Verdana" w:eastAsia="Century Gothic" w:hAnsi="Verdana" w:cs="Century Gothic"/>
          <w:color w:val="000000" w:themeColor="text1"/>
          <w:sz w:val="20"/>
          <w:szCs w:val="20"/>
        </w:rPr>
        <w:t>iv</w:t>
      </w:r>
      <w:proofErr w:type="spellEnd"/>
      <w:r w:rsidRPr="003E4D6A">
        <w:rPr>
          <w:rFonts w:ascii="Verdana" w:eastAsia="Century Gothic" w:hAnsi="Verdana" w:cs="Century Gothic"/>
          <w:color w:val="000000" w:themeColor="text1"/>
          <w:sz w:val="20"/>
          <w:szCs w:val="20"/>
        </w:rPr>
        <w:t>) la capacidad de organización.</w:t>
      </w:r>
    </w:p>
    <w:p w14:paraId="75E50AD1" w14:textId="77777777" w:rsidR="003E4D6A" w:rsidRPr="009E4C5C" w:rsidRDefault="003E4D6A" w:rsidP="003E4D6A">
      <w:pPr>
        <w:spacing w:after="0" w:line="240" w:lineRule="auto"/>
        <w:contextualSpacing/>
        <w:jc w:val="both"/>
        <w:rPr>
          <w:rFonts w:ascii="Verdana" w:eastAsia="Century Gothic" w:hAnsi="Verdana" w:cs="Century Gothic"/>
          <w:color w:val="000000" w:themeColor="text1"/>
        </w:rPr>
      </w:pPr>
    </w:p>
    <w:p w14:paraId="6EDCEF8E" w14:textId="77777777" w:rsidR="003E4D6A" w:rsidRPr="009E4C5C" w:rsidRDefault="003E4D6A" w:rsidP="003E4D6A">
      <w:pPr>
        <w:spacing w:after="0" w:line="240" w:lineRule="auto"/>
        <w:contextualSpacing/>
        <w:jc w:val="both"/>
        <w:rPr>
          <w:rFonts w:ascii="Verdana" w:eastAsia="Century Gothic" w:hAnsi="Verdana" w:cs="Century Gothic"/>
          <w:b/>
          <w:bCs/>
          <w:color w:val="000000" w:themeColor="text1"/>
        </w:rPr>
      </w:pPr>
      <w:r w:rsidRPr="009E4C5C">
        <w:rPr>
          <w:rFonts w:ascii="Verdana" w:eastAsia="Century Gothic" w:hAnsi="Verdana" w:cs="Century Gothic"/>
          <w:b/>
          <w:bCs/>
          <w:color w:val="000000" w:themeColor="text1"/>
        </w:rPr>
        <w:t>REQUISITOS HABILITANTES – Carácter enunciativo – Artículo 5 de la Ley 1150 de 2007</w:t>
      </w:r>
    </w:p>
    <w:p w14:paraId="2CDF0FB3" w14:textId="77777777" w:rsidR="003E4D6A" w:rsidRPr="009E4C5C" w:rsidRDefault="003E4D6A" w:rsidP="003E4D6A">
      <w:pPr>
        <w:spacing w:after="0" w:line="240" w:lineRule="auto"/>
        <w:contextualSpacing/>
        <w:jc w:val="both"/>
        <w:rPr>
          <w:rFonts w:ascii="Verdana" w:eastAsia="Century Gothic" w:hAnsi="Verdana" w:cs="Century Gothic"/>
          <w:color w:val="000000" w:themeColor="text1"/>
        </w:rPr>
      </w:pPr>
    </w:p>
    <w:p w14:paraId="046A1C46"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La Agencia Nacional de Contratación Pública – Colombia Compra Eficiente ha defendido el carácter enunciativo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14:paraId="75CB5F86"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p>
    <w:p w14:paraId="161C9D6E"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 xml:space="preserve">[…]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62D04147"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p>
    <w:p w14:paraId="49114E64" w14:textId="6A652319" w:rsidR="003E4D6A" w:rsidRPr="003E4D6A" w:rsidRDefault="003E4D6A" w:rsidP="003E4D6A">
      <w:pPr>
        <w:spacing w:before="120" w:after="12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ofertado, procurando además ceñirse a la normativa que resulte aplicable.</w:t>
      </w:r>
    </w:p>
    <w:p w14:paraId="3CA048A8" w14:textId="77777777" w:rsidR="003E4D6A" w:rsidRDefault="003E4D6A" w:rsidP="003E4D6A">
      <w:pPr>
        <w:spacing w:before="120" w:after="120" w:line="276" w:lineRule="auto"/>
        <w:contextualSpacing/>
        <w:jc w:val="both"/>
        <w:rPr>
          <w:rFonts w:ascii="Verdana" w:hAnsi="Verdana" w:cs="Arial"/>
          <w:b/>
          <w:lang w:val="es-ES_tradnl"/>
        </w:rPr>
      </w:pPr>
    </w:p>
    <w:p w14:paraId="7CE2CF97" w14:textId="1D3D05B9" w:rsidR="003E4D6A" w:rsidRPr="000C2111" w:rsidRDefault="003E4D6A" w:rsidP="003E4D6A">
      <w:pPr>
        <w:spacing w:before="120" w:after="120" w:line="276" w:lineRule="auto"/>
        <w:contextualSpacing/>
        <w:jc w:val="both"/>
        <w:rPr>
          <w:rFonts w:ascii="Verdana" w:hAnsi="Verdana" w:cs="Arial"/>
          <w:b/>
          <w:lang w:val="es-ES_tradnl"/>
        </w:rPr>
      </w:pPr>
      <w:r w:rsidRPr="000C2111">
        <w:rPr>
          <w:rFonts w:ascii="Verdana" w:hAnsi="Verdana" w:cs="Arial"/>
          <w:b/>
          <w:lang w:val="es-ES_tradnl"/>
        </w:rPr>
        <w:lastRenderedPageBreak/>
        <w:t xml:space="preserve">PRINCIPIO DE SELECCIÓN OBJETIVA – Noción – Normativa – Requisitos habilitantes – Requisitos ponderables </w:t>
      </w:r>
    </w:p>
    <w:p w14:paraId="2442BCFB" w14:textId="77777777" w:rsidR="003E4D6A" w:rsidRPr="003E4D6A" w:rsidRDefault="003E4D6A" w:rsidP="003E4D6A">
      <w:pPr>
        <w:spacing w:after="0" w:line="240" w:lineRule="auto"/>
        <w:contextualSpacing/>
        <w:jc w:val="both"/>
        <w:rPr>
          <w:rFonts w:ascii="Verdana" w:hAnsi="Verdana" w:cs="Arial"/>
          <w:bCs/>
          <w:sz w:val="20"/>
          <w:szCs w:val="20"/>
          <w:lang w:val="es-ES_tradnl"/>
        </w:rPr>
      </w:pPr>
    </w:p>
    <w:p w14:paraId="2F58BD08"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r w:rsidRPr="003E4D6A">
        <w:rPr>
          <w:rFonts w:ascii="Verdana" w:eastAsia="Calibri" w:hAnsi="Verdana" w:cs="Arial"/>
          <w:bCs/>
          <w:sz w:val="20"/>
          <w:szCs w:val="20"/>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3AECBE02"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p>
    <w:p w14:paraId="7A589932"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r w:rsidRPr="003E4D6A">
        <w:rPr>
          <w:rFonts w:ascii="Verdana" w:eastAsia="Calibri" w:hAnsi="Verdana" w:cs="Arial"/>
          <w:bCs/>
          <w:sz w:val="20"/>
          <w:szCs w:val="20"/>
          <w:lang w:val="es-ES_tradnl"/>
        </w:rPr>
        <w:t>[…]</w:t>
      </w:r>
    </w:p>
    <w:p w14:paraId="2E02A763"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p>
    <w:p w14:paraId="33FA0355" w14:textId="77777777" w:rsidR="003E4D6A" w:rsidRPr="003E4D6A" w:rsidRDefault="003E4D6A" w:rsidP="003E4D6A">
      <w:pPr>
        <w:spacing w:after="0" w:line="240" w:lineRule="auto"/>
        <w:contextualSpacing/>
        <w:jc w:val="both"/>
        <w:rPr>
          <w:rFonts w:ascii="Verdana" w:eastAsia="Calibri" w:hAnsi="Verdana" w:cs="Arial"/>
          <w:sz w:val="20"/>
          <w:szCs w:val="20"/>
          <w:lang w:val="es-ES"/>
        </w:rPr>
      </w:pPr>
      <w:r w:rsidRPr="003E4D6A">
        <w:rPr>
          <w:rFonts w:ascii="Verdana" w:eastAsia="Calibri" w:hAnsi="Verdana" w:cs="Arial"/>
          <w:sz w:val="20"/>
          <w:szCs w:val="20"/>
          <w:lang w:val="es-ES"/>
        </w:rPr>
        <w:t>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habilitantes son aquellos que deben cumplir en igualdad de condiciones los proponentes, haciendo que estos se habiliten en el procedimiento de selección y sean susceptibles de ser seleccionados como futuros contratistas.</w:t>
      </w:r>
    </w:p>
    <w:p w14:paraId="195EAA93"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p>
    <w:p w14:paraId="5FC282F2" w14:textId="77777777" w:rsidR="003E4D6A" w:rsidRDefault="003E4D6A" w:rsidP="003E4D6A">
      <w:pPr>
        <w:spacing w:after="0" w:line="240" w:lineRule="auto"/>
        <w:contextualSpacing/>
        <w:jc w:val="both"/>
        <w:rPr>
          <w:rFonts w:ascii="Verdana" w:eastAsia="Calibri" w:hAnsi="Verdana" w:cs="Arial"/>
          <w:sz w:val="20"/>
          <w:szCs w:val="20"/>
          <w:lang w:val="es-ES"/>
        </w:rPr>
      </w:pPr>
      <w:r w:rsidRPr="003E4D6A">
        <w:rPr>
          <w:rFonts w:ascii="Verdana" w:eastAsia="Calibri" w:hAnsi="Verdana" w:cs="Arial"/>
          <w:sz w:val="20"/>
          <w:szCs w:val="20"/>
          <w:lang w:val="es-ES"/>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costo-beneficio para la entidad. </w:t>
      </w:r>
    </w:p>
    <w:p w14:paraId="2E35F47E" w14:textId="77777777" w:rsidR="003E4D6A" w:rsidRDefault="003E4D6A" w:rsidP="003E4D6A">
      <w:pPr>
        <w:spacing w:after="0" w:line="240" w:lineRule="auto"/>
        <w:contextualSpacing/>
        <w:jc w:val="both"/>
        <w:rPr>
          <w:rFonts w:ascii="Verdana" w:eastAsia="Calibri" w:hAnsi="Verdana" w:cs="Arial"/>
          <w:sz w:val="20"/>
          <w:szCs w:val="20"/>
          <w:lang w:val="es-ES"/>
        </w:rPr>
      </w:pPr>
    </w:p>
    <w:p w14:paraId="4A81E2FA" w14:textId="77777777" w:rsidR="003E4D6A" w:rsidRPr="003E4D6A" w:rsidRDefault="003E4D6A" w:rsidP="003E4D6A">
      <w:pPr>
        <w:spacing w:line="276" w:lineRule="auto"/>
        <w:jc w:val="both"/>
        <w:rPr>
          <w:rFonts w:ascii="Verdana" w:eastAsia="Arial" w:hAnsi="Verdana" w:cs="Arial"/>
          <w:b/>
          <w:bCs/>
          <w:color w:val="000000" w:themeColor="text1"/>
        </w:rPr>
      </w:pPr>
      <w:r w:rsidRPr="003E4D6A">
        <w:rPr>
          <w:rFonts w:ascii="Verdana" w:eastAsia="Calibri" w:hAnsi="Verdana" w:cs="Arial"/>
          <w:b/>
          <w:bCs/>
          <w:lang w:val="es-ES" w:eastAsia="es-ES"/>
        </w:rPr>
        <w:t>ANEXO O FICHA TÉCNICA – Alcance</w:t>
      </w:r>
    </w:p>
    <w:p w14:paraId="32608516" w14:textId="77777777" w:rsidR="005F21A2" w:rsidRPr="005F21A2" w:rsidRDefault="005F21A2" w:rsidP="005F21A2">
      <w:pPr>
        <w:tabs>
          <w:tab w:val="left" w:pos="426"/>
        </w:tabs>
        <w:spacing w:after="120" w:line="240" w:lineRule="auto"/>
        <w:jc w:val="both"/>
        <w:rPr>
          <w:rFonts w:ascii="Verdana" w:hAnsi="Verdana"/>
          <w:sz w:val="20"/>
          <w:szCs w:val="20"/>
          <w:lang/>
        </w:rPr>
      </w:pPr>
      <w:r w:rsidRPr="005F21A2">
        <w:rPr>
          <w:rFonts w:ascii="Verdana" w:hAnsi="Verdana"/>
          <w:sz w:val="20"/>
          <w:szCs w:val="20"/>
          <w:lang/>
        </w:rPr>
        <w:t xml:space="preserve">Con respecto a la pregunta referida a la solicitud de fichas o aspectos técnicos específicos como parte de los requisitos habilitantes, es necesario reiterar que estos últimos se refieren a las calidades del proponente y no del bien o servicio a adquirir. Como se detalla </w:t>
      </w:r>
      <w:r w:rsidRPr="005F21A2">
        <w:rPr>
          <w:rFonts w:ascii="Verdana" w:hAnsi="Verdana"/>
          <w:sz w:val="20"/>
          <w:szCs w:val="20"/>
          <w:lang/>
        </w:rPr>
        <w:lastRenderedPageBreak/>
        <w:t>en este concepto, en la etapa de planeación, las entidades deberán determinar en los estudios y documentos previos las especificaciones técnicas que deberá cumplir el bien o servicio, las cuales deben resultar adecuadas y proporcionales para verificar que este cumple con las calidades y funcionalidades necesarias para la satisfacción de la necesidad pública. En consecuencia, las entidades pueden establecer especificaciones detalladas en el pliego de condiciones, o en la ficha o anexo técnico, que definan las características mínimas de los equipos a adquirir, tales como la calidad y los patrones de desempeño mínimos; sin embargo, este aspecto corresponde a las condiciones del bien o servicio ofertado y es, por tanto, distinto a los requisitos habilitantes a los cuales se refiere el numeral primero del artículo 5 de la Ley 1150 de 2007.</w:t>
      </w:r>
    </w:p>
    <w:p w14:paraId="3BDE7BDA" w14:textId="77777777" w:rsidR="005F21A2" w:rsidRPr="005F21A2" w:rsidRDefault="005F21A2" w:rsidP="005F21A2">
      <w:pPr>
        <w:tabs>
          <w:tab w:val="left" w:pos="426"/>
        </w:tabs>
        <w:spacing w:after="120" w:line="240" w:lineRule="auto"/>
        <w:jc w:val="both"/>
        <w:rPr>
          <w:rFonts w:ascii="Verdana" w:eastAsia="Times New Roman" w:hAnsi="Verdana" w:cs="Arial"/>
          <w:bCs/>
          <w:sz w:val="20"/>
          <w:szCs w:val="20"/>
          <w:lang w:eastAsia="es-CO"/>
        </w:rPr>
      </w:pPr>
      <w:r w:rsidRPr="005F21A2">
        <w:rPr>
          <w:rFonts w:ascii="Verdana" w:eastAsia="Times New Roman" w:hAnsi="Verdana" w:cs="Arial"/>
          <w:bCs/>
          <w:sz w:val="20"/>
          <w:szCs w:val="20"/>
          <w:lang w:eastAsia="es-CO"/>
        </w:rPr>
        <w:t xml:space="preserve">Adicionalmente, en la determinación de estas especificaciones, las entidades deben abstenerse de imponer condiciones restrictivas que impidan el acceso al procedimiento de selección y que no resulten razonables y proporcionales al objeto del proceso. Los criterios adoptados deben propender por la más amplia oportunidad de concurrencia, corresponder a las necesidades reales de la entidad contratante y garantizar el derecho a la igualdad de los oferentes. </w:t>
      </w:r>
    </w:p>
    <w:p w14:paraId="61423262" w14:textId="77777777" w:rsidR="005F21A2" w:rsidRPr="005F21A2" w:rsidRDefault="005F21A2" w:rsidP="005F21A2">
      <w:pPr>
        <w:tabs>
          <w:tab w:val="left" w:pos="426"/>
        </w:tabs>
        <w:spacing w:after="120" w:line="240" w:lineRule="auto"/>
        <w:jc w:val="both"/>
        <w:rPr>
          <w:rFonts w:ascii="Verdana" w:eastAsia="Times New Roman" w:hAnsi="Verdana" w:cs="Arial"/>
          <w:bCs/>
          <w:sz w:val="20"/>
          <w:szCs w:val="20"/>
          <w:lang w:eastAsia="es-CO"/>
        </w:rPr>
      </w:pPr>
      <w:r w:rsidRPr="005F21A2">
        <w:rPr>
          <w:rFonts w:ascii="Verdana" w:eastAsia="Times New Roman" w:hAnsi="Verdana" w:cs="Arial"/>
          <w:bCs/>
          <w:sz w:val="20"/>
          <w:szCs w:val="20"/>
          <w:lang w:eastAsia="es-CO"/>
        </w:rPr>
        <w:t>En este sentido, la entidad debe ser cuidadosa al incluir especificaciones técnicas que excedan aquellas necesarias para determinar la calidad o los patrones mínimos de desempeño del bien o servicio requerido. Con base a lo anterior, corresponde a la entidad determinar, según los resultados de la etapa de planeación, si aspectos como el cumplimiento de una marca, modelo o condición específica pueden resultar en una limitación injustificada a la libre competencia económica, o si existe una justificación técnica que respalde que dicha exigencia es proporcional y razonable para el cumplimiento del objeto contractual.</w:t>
      </w:r>
    </w:p>
    <w:p w14:paraId="51C3402D" w14:textId="77777777" w:rsidR="003E4D6A" w:rsidRPr="003E4D6A" w:rsidRDefault="003E4D6A" w:rsidP="003E4D6A">
      <w:pPr>
        <w:spacing w:after="0" w:line="240" w:lineRule="auto"/>
        <w:contextualSpacing/>
        <w:jc w:val="both"/>
        <w:rPr>
          <w:rFonts w:ascii="Verdana" w:eastAsia="Calibri" w:hAnsi="Verdana" w:cs="Arial"/>
          <w:sz w:val="20"/>
          <w:szCs w:val="20"/>
          <w:lang w:val="es-ES"/>
        </w:rPr>
      </w:pPr>
    </w:p>
    <w:p w14:paraId="12F284F1" w14:textId="77777777" w:rsidR="003E4D6A" w:rsidRDefault="003E4D6A" w:rsidP="0016634D">
      <w:pPr>
        <w:spacing w:after="0"/>
        <w:rPr>
          <w:rFonts w:ascii="Verdana" w:hAnsi="Verdana"/>
          <w:lang w:val="es-ES"/>
        </w:rPr>
      </w:pPr>
    </w:p>
    <w:p w14:paraId="5B878601" w14:textId="77777777" w:rsidR="003E4D6A" w:rsidRDefault="003E4D6A" w:rsidP="0016634D">
      <w:pPr>
        <w:spacing w:after="0"/>
        <w:rPr>
          <w:rFonts w:ascii="Verdana" w:hAnsi="Verdana"/>
          <w:lang w:val="es-ES"/>
        </w:rPr>
      </w:pPr>
    </w:p>
    <w:p w14:paraId="467680C6" w14:textId="77777777" w:rsidR="003E4D6A" w:rsidRDefault="003E4D6A" w:rsidP="0016634D">
      <w:pPr>
        <w:spacing w:after="0"/>
        <w:rPr>
          <w:rFonts w:ascii="Verdana" w:hAnsi="Verdana"/>
          <w:lang w:val="es-ES"/>
        </w:rPr>
      </w:pPr>
    </w:p>
    <w:p w14:paraId="16C8C08E" w14:textId="77777777" w:rsidR="003E4D6A" w:rsidRDefault="003E4D6A" w:rsidP="0016634D">
      <w:pPr>
        <w:spacing w:after="0"/>
        <w:rPr>
          <w:rFonts w:ascii="Verdana" w:hAnsi="Verdana"/>
          <w:lang w:val="es-ES"/>
        </w:rPr>
      </w:pPr>
    </w:p>
    <w:p w14:paraId="5C165A54" w14:textId="77777777" w:rsidR="003E4D6A" w:rsidRDefault="003E4D6A" w:rsidP="0016634D">
      <w:pPr>
        <w:spacing w:after="0"/>
        <w:rPr>
          <w:rFonts w:ascii="Verdana" w:hAnsi="Verdana"/>
          <w:lang w:val="es-ES"/>
        </w:rPr>
      </w:pPr>
    </w:p>
    <w:p w14:paraId="2D55D5F9" w14:textId="77777777" w:rsidR="003E4D6A" w:rsidRDefault="003E4D6A" w:rsidP="0016634D">
      <w:pPr>
        <w:spacing w:after="0"/>
        <w:rPr>
          <w:rFonts w:ascii="Verdana" w:hAnsi="Verdana"/>
          <w:lang w:val="es-ES"/>
        </w:rPr>
      </w:pPr>
    </w:p>
    <w:p w14:paraId="07B4BF3E" w14:textId="77777777" w:rsidR="005F21A2" w:rsidRDefault="005F21A2" w:rsidP="0016634D">
      <w:pPr>
        <w:spacing w:after="0"/>
        <w:rPr>
          <w:rFonts w:ascii="Verdana" w:hAnsi="Verdana"/>
          <w:lang w:val="es-ES"/>
        </w:rPr>
      </w:pPr>
    </w:p>
    <w:p w14:paraId="362F1D37" w14:textId="77777777" w:rsidR="005F21A2" w:rsidRDefault="005F21A2" w:rsidP="0016634D">
      <w:pPr>
        <w:spacing w:after="0"/>
        <w:rPr>
          <w:rFonts w:ascii="Verdana" w:hAnsi="Verdana"/>
          <w:lang w:val="es-ES"/>
        </w:rPr>
      </w:pPr>
    </w:p>
    <w:p w14:paraId="06B26BFA" w14:textId="77777777" w:rsidR="005F21A2" w:rsidRDefault="005F21A2" w:rsidP="0016634D">
      <w:pPr>
        <w:spacing w:after="0"/>
        <w:rPr>
          <w:rFonts w:ascii="Verdana" w:hAnsi="Verdana"/>
          <w:lang w:val="es-ES"/>
        </w:rPr>
      </w:pPr>
    </w:p>
    <w:p w14:paraId="40040A60" w14:textId="77777777" w:rsidR="005F21A2" w:rsidRDefault="005F21A2" w:rsidP="0016634D">
      <w:pPr>
        <w:spacing w:after="0"/>
        <w:rPr>
          <w:rFonts w:ascii="Verdana" w:hAnsi="Verdana"/>
          <w:lang w:val="es-ES"/>
        </w:rPr>
      </w:pPr>
    </w:p>
    <w:p w14:paraId="32385307" w14:textId="77777777" w:rsidR="005F21A2" w:rsidRDefault="005F21A2" w:rsidP="0016634D">
      <w:pPr>
        <w:spacing w:after="0"/>
        <w:rPr>
          <w:rFonts w:ascii="Verdana" w:hAnsi="Verdana"/>
          <w:lang w:val="es-ES"/>
        </w:rPr>
      </w:pPr>
    </w:p>
    <w:p w14:paraId="6C0665B9" w14:textId="77777777" w:rsidR="005F21A2" w:rsidRDefault="005F21A2" w:rsidP="0016634D">
      <w:pPr>
        <w:spacing w:after="0"/>
        <w:rPr>
          <w:rFonts w:ascii="Verdana" w:hAnsi="Verdana"/>
          <w:lang w:val="es-ES"/>
        </w:rPr>
      </w:pPr>
    </w:p>
    <w:p w14:paraId="696CCA75" w14:textId="77777777" w:rsidR="005F21A2" w:rsidRDefault="005F21A2" w:rsidP="0016634D">
      <w:pPr>
        <w:spacing w:after="0"/>
        <w:rPr>
          <w:rFonts w:ascii="Verdana" w:hAnsi="Verdana"/>
          <w:lang w:val="es-ES"/>
        </w:rPr>
      </w:pPr>
    </w:p>
    <w:p w14:paraId="4904EA0F" w14:textId="77777777" w:rsidR="005F21A2" w:rsidRDefault="005F21A2" w:rsidP="0016634D">
      <w:pPr>
        <w:spacing w:after="0"/>
        <w:rPr>
          <w:rFonts w:ascii="Verdana" w:hAnsi="Verdana"/>
          <w:lang w:val="es-ES"/>
        </w:rPr>
      </w:pPr>
    </w:p>
    <w:p w14:paraId="37AE65A7" w14:textId="77777777" w:rsidR="005F21A2" w:rsidRDefault="005F21A2" w:rsidP="0016634D">
      <w:pPr>
        <w:spacing w:after="0"/>
        <w:rPr>
          <w:rFonts w:ascii="Verdana" w:hAnsi="Verdana"/>
          <w:lang w:val="es-ES"/>
        </w:rPr>
      </w:pPr>
    </w:p>
    <w:p w14:paraId="68E36DF1" w14:textId="77777777" w:rsidR="005F21A2" w:rsidRDefault="005F21A2" w:rsidP="0016634D">
      <w:pPr>
        <w:spacing w:after="0"/>
        <w:rPr>
          <w:rFonts w:ascii="Verdana" w:hAnsi="Verdana"/>
          <w:lang w:val="es-ES"/>
        </w:rPr>
      </w:pPr>
    </w:p>
    <w:p w14:paraId="594513B6" w14:textId="77777777" w:rsidR="005F21A2" w:rsidRDefault="005F21A2" w:rsidP="0016634D">
      <w:pPr>
        <w:spacing w:after="0"/>
        <w:rPr>
          <w:rFonts w:ascii="Verdana" w:hAnsi="Verdana"/>
          <w:lang w:val="es-ES"/>
        </w:rPr>
      </w:pPr>
    </w:p>
    <w:p w14:paraId="1DA6D0F0" w14:textId="6A0A190D" w:rsidR="0016634D" w:rsidRPr="004C5FFE" w:rsidRDefault="0016634D" w:rsidP="0016634D">
      <w:pPr>
        <w:spacing w:after="0"/>
        <w:rPr>
          <w:rFonts w:ascii="Verdana" w:hAnsi="Verdana"/>
          <w:lang w:val="es-ES"/>
        </w:rPr>
      </w:pPr>
      <w:r w:rsidRPr="004C5FFE">
        <w:rPr>
          <w:rFonts w:ascii="Verdana" w:hAnsi="Verdana"/>
          <w:lang w:val="es-ES"/>
        </w:rPr>
        <w:t xml:space="preserve">Bogotá D.C., </w:t>
      </w:r>
      <w:r w:rsidR="005A63D4">
        <w:rPr>
          <w:rFonts w:ascii="Verdana" w:hAnsi="Verdana"/>
          <w:lang w:val="es-ES"/>
        </w:rPr>
        <w:t>16 de abril de 2026</w:t>
      </w:r>
    </w:p>
    <w:p w14:paraId="23AA3C3D" w14:textId="7A080F72" w:rsidR="0016634D" w:rsidRPr="004C5FFE" w:rsidRDefault="000C2111" w:rsidP="0016634D">
      <w:pPr>
        <w:spacing w:after="0"/>
        <w:rPr>
          <w:rFonts w:ascii="Verdana" w:hAnsi="Verdana"/>
          <w:lang w:val="es-ES"/>
        </w:rPr>
      </w:pPr>
      <w:r>
        <w:rPr>
          <w:rFonts w:ascii="Verdana" w:eastAsia="Calibri" w:hAnsi="Verdana" w:cs="Arial"/>
          <w:b/>
          <w:noProof/>
          <w:color w:val="000000" w:themeColor="text1"/>
          <w:lang w:eastAsia="es-ES"/>
        </w:rPr>
        <w:drawing>
          <wp:anchor distT="0" distB="0" distL="114300" distR="114300" simplePos="0" relativeHeight="251659264" behindDoc="0" locked="0" layoutInCell="1" allowOverlap="1" wp14:anchorId="7C678963" wp14:editId="7900B248">
            <wp:simplePos x="0" y="0"/>
            <wp:positionH relativeFrom="column">
              <wp:posOffset>2966720</wp:posOffset>
            </wp:positionH>
            <wp:positionV relativeFrom="paragraph">
              <wp:posOffset>183515</wp:posOffset>
            </wp:positionV>
            <wp:extent cx="2336165" cy="668655"/>
            <wp:effectExtent l="0" t="0" r="6985" b="0"/>
            <wp:wrapSquare wrapText="bothSides"/>
            <wp:docPr id="754898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898023" name="Picture 7548980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36165" cy="668655"/>
                    </a:xfrm>
                    <a:prstGeom prst="rect">
                      <a:avLst/>
                    </a:prstGeom>
                  </pic:spPr>
                </pic:pic>
              </a:graphicData>
            </a:graphic>
            <wp14:sizeRelH relativeFrom="page">
              <wp14:pctWidth>0</wp14:pctWidth>
            </wp14:sizeRelH>
            <wp14:sizeRelV relativeFrom="page">
              <wp14:pctHeight>0</wp14:pctHeight>
            </wp14:sizeRelV>
          </wp:anchor>
        </w:drawing>
      </w:r>
    </w:p>
    <w:p w14:paraId="54D5BAB6" w14:textId="44B8A112" w:rsidR="0016634D" w:rsidRPr="004C5FFE" w:rsidRDefault="0016634D" w:rsidP="0016634D">
      <w:pPr>
        <w:spacing w:after="0" w:line="240" w:lineRule="auto"/>
        <w:rPr>
          <w:rFonts w:ascii="Verdana" w:hAnsi="Verdana"/>
          <w:lang w:val="es-ES"/>
        </w:rPr>
      </w:pPr>
      <w:bookmarkStart w:id="0" w:name="_Hlk143780582"/>
      <w:r w:rsidRPr="004C5FFE">
        <w:rPr>
          <w:rFonts w:ascii="Verdana" w:eastAsia="Calibri" w:hAnsi="Verdana" w:cs="Arial"/>
          <w:color w:val="000000" w:themeColor="text1"/>
          <w:lang w:val="es-ES" w:eastAsia="es-ES"/>
        </w:rPr>
        <w:t>Señor</w:t>
      </w:r>
    </w:p>
    <w:p w14:paraId="2668CE0E" w14:textId="3F002096" w:rsidR="0016634D" w:rsidRPr="004C5FFE" w:rsidRDefault="0016634D" w:rsidP="0016634D">
      <w:pPr>
        <w:spacing w:after="0" w:line="240" w:lineRule="auto"/>
        <w:rPr>
          <w:rFonts w:ascii="Verdana" w:eastAsia="Calibri" w:hAnsi="Verdana" w:cs="Arial"/>
          <w:b/>
          <w:color w:val="000000" w:themeColor="text1"/>
          <w:lang w:eastAsia="es-ES"/>
        </w:rPr>
      </w:pPr>
      <w:r w:rsidRPr="004C5FFE">
        <w:rPr>
          <w:rFonts w:ascii="Verdana" w:eastAsia="Calibri" w:hAnsi="Verdana" w:cs="Arial"/>
          <w:b/>
          <w:color w:val="000000" w:themeColor="text1"/>
          <w:lang w:eastAsia="es-ES"/>
        </w:rPr>
        <w:t>Patricio Suárez Hurtado</w:t>
      </w:r>
    </w:p>
    <w:p w14:paraId="1DB5C52E" w14:textId="77777777" w:rsidR="0016634D" w:rsidRPr="004C5FFE" w:rsidRDefault="0016634D" w:rsidP="0016634D">
      <w:pPr>
        <w:spacing w:after="0" w:line="240" w:lineRule="auto"/>
        <w:rPr>
          <w:rFonts w:ascii="Verdana" w:eastAsia="Calibri" w:hAnsi="Verdana" w:cs="Arial"/>
          <w:color w:val="000000" w:themeColor="text1"/>
          <w:lang w:val="es-ES" w:eastAsia="es-ES"/>
        </w:rPr>
      </w:pPr>
      <w:hyperlink r:id="rId11" w:history="1">
        <w:r w:rsidRPr="004C5FFE">
          <w:rPr>
            <w:rStyle w:val="Hipervnculo"/>
            <w:rFonts w:ascii="Verdana" w:eastAsia="Calibri" w:hAnsi="Verdana" w:cs="Arial"/>
            <w:lang w:val="es-ES" w:eastAsia="es-ES"/>
          </w:rPr>
          <w:t>psuarezh@sena.edu.co</w:t>
        </w:r>
      </w:hyperlink>
    </w:p>
    <w:p w14:paraId="615A443C" w14:textId="77777777" w:rsidR="0016634D" w:rsidRPr="004C5FFE" w:rsidRDefault="0016634D" w:rsidP="0016634D">
      <w:pPr>
        <w:spacing w:after="0" w:line="240" w:lineRule="auto"/>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La Rosita, Vélez</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16634D" w:rsidRPr="004C5FFE" w14:paraId="7AE7C6A8" w14:textId="77777777" w:rsidTr="0094124E">
        <w:trPr>
          <w:trHeight w:val="300"/>
        </w:trPr>
        <w:tc>
          <w:tcPr>
            <w:tcW w:w="2410" w:type="dxa"/>
          </w:tcPr>
          <w:p w14:paraId="5EF8996C" w14:textId="77777777" w:rsidR="0016634D" w:rsidRPr="004C5FFE" w:rsidRDefault="0016634D" w:rsidP="0094124E">
            <w:pPr>
              <w:ind w:left="-142"/>
              <w:jc w:val="both"/>
              <w:rPr>
                <w:rFonts w:ascii="Verdana" w:eastAsia="Calibri" w:hAnsi="Verdana" w:cs="Arial"/>
                <w:b/>
                <w:bCs/>
                <w:color w:val="000000" w:themeColor="text1"/>
                <w:lang w:val="es-ES" w:eastAsia="es-ES_tradnl"/>
              </w:rPr>
            </w:pPr>
          </w:p>
        </w:tc>
        <w:tc>
          <w:tcPr>
            <w:tcW w:w="6100" w:type="dxa"/>
          </w:tcPr>
          <w:p w14:paraId="0222A618" w14:textId="77777777" w:rsidR="0016634D" w:rsidRPr="004C5FFE" w:rsidRDefault="0016634D" w:rsidP="0094124E">
            <w:pPr>
              <w:ind w:left="3"/>
              <w:jc w:val="both"/>
              <w:rPr>
                <w:rFonts w:ascii="Verdana" w:eastAsia="Calibri" w:hAnsi="Verdana" w:cs="Arial"/>
                <w:b/>
                <w:bCs/>
                <w:color w:val="000000" w:themeColor="text1"/>
                <w:lang w:val="es-ES" w:eastAsia="es-ES"/>
              </w:rPr>
            </w:pPr>
          </w:p>
          <w:p w14:paraId="064AA2BD" w14:textId="61FB8493" w:rsidR="0016634D" w:rsidRPr="004C5FFE" w:rsidRDefault="0016634D" w:rsidP="0094124E">
            <w:pPr>
              <w:ind w:left="3"/>
              <w:jc w:val="both"/>
              <w:rPr>
                <w:rFonts w:ascii="Verdana" w:eastAsia="Calibri" w:hAnsi="Verdana" w:cs="Arial"/>
                <w:b/>
                <w:bCs/>
                <w:color w:val="000000" w:themeColor="text1"/>
                <w:lang w:val="es-ES" w:eastAsia="es-ES"/>
              </w:rPr>
            </w:pPr>
            <w:r w:rsidRPr="004C5FFE">
              <w:rPr>
                <w:rFonts w:ascii="Verdana" w:eastAsia="Calibri" w:hAnsi="Verdana" w:cs="Arial"/>
                <w:b/>
                <w:bCs/>
                <w:color w:val="000000" w:themeColor="text1"/>
                <w:lang w:val="es-ES" w:eastAsia="es-ES"/>
              </w:rPr>
              <w:t>Concepto C-</w:t>
            </w:r>
            <w:r w:rsidR="00C84F5A">
              <w:rPr>
                <w:rFonts w:ascii="Verdana" w:eastAsia="Calibri" w:hAnsi="Verdana" w:cs="Arial"/>
                <w:b/>
                <w:bCs/>
                <w:color w:val="000000" w:themeColor="text1"/>
                <w:lang w:val="es-ES" w:eastAsia="es-ES"/>
              </w:rPr>
              <w:t>354</w:t>
            </w:r>
            <w:r w:rsidRPr="004C5FFE">
              <w:rPr>
                <w:rFonts w:ascii="Verdana" w:eastAsia="Calibri" w:hAnsi="Verdana" w:cs="Arial"/>
                <w:b/>
                <w:bCs/>
                <w:color w:val="000000" w:themeColor="text1"/>
                <w:lang w:val="es-ES" w:eastAsia="es-ES"/>
              </w:rPr>
              <w:t xml:space="preserve"> de 2026</w:t>
            </w:r>
          </w:p>
          <w:p w14:paraId="7851F318" w14:textId="77777777" w:rsidR="0016634D" w:rsidRPr="004C5FFE" w:rsidRDefault="0016634D" w:rsidP="0094124E">
            <w:pPr>
              <w:ind w:left="3"/>
              <w:jc w:val="both"/>
              <w:rPr>
                <w:rFonts w:ascii="Verdana" w:eastAsia="Calibri" w:hAnsi="Verdana" w:cs="Arial"/>
                <w:b/>
                <w:bCs/>
                <w:color w:val="000000" w:themeColor="text1"/>
                <w:lang w:val="es-ES" w:eastAsia="es-ES"/>
              </w:rPr>
            </w:pPr>
          </w:p>
        </w:tc>
      </w:tr>
      <w:tr w:rsidR="0016634D" w:rsidRPr="004C5FFE" w14:paraId="3F4CE078" w14:textId="77777777" w:rsidTr="0094124E">
        <w:trPr>
          <w:trHeight w:val="300"/>
        </w:trPr>
        <w:tc>
          <w:tcPr>
            <w:tcW w:w="2410" w:type="dxa"/>
          </w:tcPr>
          <w:p w14:paraId="28BD2221" w14:textId="77777777" w:rsidR="0016634D" w:rsidRPr="004C5FFE" w:rsidRDefault="0016634D" w:rsidP="0094124E">
            <w:pPr>
              <w:ind w:left="424" w:firstLine="142"/>
              <w:jc w:val="both"/>
              <w:rPr>
                <w:rFonts w:ascii="Verdana" w:eastAsia="Calibri" w:hAnsi="Verdana" w:cs="Arial"/>
                <w:color w:val="000000" w:themeColor="text1"/>
                <w:lang w:val="es-ES" w:eastAsia="es-ES_tradnl"/>
              </w:rPr>
            </w:pPr>
            <w:r w:rsidRPr="004C5FFE">
              <w:rPr>
                <w:rFonts w:ascii="Verdana" w:eastAsia="Calibri" w:hAnsi="Verdana" w:cs="Arial"/>
                <w:b/>
                <w:color w:val="000000" w:themeColor="text1"/>
                <w:lang w:val="es-ES" w:eastAsia="es-ES_tradnl"/>
              </w:rPr>
              <w:t>Temas:</w:t>
            </w:r>
            <w:r w:rsidRPr="004C5FFE">
              <w:rPr>
                <w:rFonts w:ascii="Verdana" w:eastAsia="Calibri" w:hAnsi="Verdana" w:cs="Arial"/>
                <w:color w:val="000000" w:themeColor="text1"/>
                <w:lang w:val="es-ES" w:eastAsia="es-ES_tradnl"/>
              </w:rPr>
              <w:t xml:space="preserve">                  </w:t>
            </w:r>
          </w:p>
        </w:tc>
        <w:tc>
          <w:tcPr>
            <w:tcW w:w="6100" w:type="dxa"/>
          </w:tcPr>
          <w:p w14:paraId="7AD312A4" w14:textId="77777777" w:rsidR="0016634D" w:rsidRPr="004C5FFE" w:rsidRDefault="0016634D" w:rsidP="0094124E">
            <w:pPr>
              <w:spacing w:line="276" w:lineRule="auto"/>
              <w:jc w:val="both"/>
              <w:rPr>
                <w:rFonts w:ascii="Verdana" w:eastAsia="Arial" w:hAnsi="Verdana" w:cs="Arial"/>
                <w:bCs/>
                <w:color w:val="000000" w:themeColor="text1"/>
              </w:rPr>
            </w:pPr>
            <w:r w:rsidRPr="004C5FFE">
              <w:rPr>
                <w:rFonts w:ascii="Verdana" w:hAnsi="Verdana" w:cs="Arial"/>
                <w:bCs/>
              </w:rPr>
              <w:t xml:space="preserve">REQUISITOS HABILITANTES – Concepto / REQUISITOS HABILITANTES – Carácter enunciativo – Artículo 5 de la Ley 1150 de 2007 / </w:t>
            </w:r>
            <w:r w:rsidRPr="004C5FFE">
              <w:rPr>
                <w:rFonts w:ascii="Verdana" w:eastAsia="Calibri" w:hAnsi="Verdana" w:cs="Arial"/>
                <w:lang w:val="es-ES" w:eastAsia="es-ES"/>
              </w:rPr>
              <w:t>PRINCIPIO DE SELECCIÓN OBJETIVA – Noción – Normativa – Requisitos habilitantes – Requisitos ponderables</w:t>
            </w:r>
            <w:r>
              <w:rPr>
                <w:rFonts w:ascii="Verdana" w:eastAsia="Calibri" w:hAnsi="Verdana" w:cs="Arial"/>
                <w:lang w:val="es-ES" w:eastAsia="es-ES"/>
              </w:rPr>
              <w:t xml:space="preserve"> / ANEXO O FICHA TÉCNICA </w:t>
            </w:r>
            <w:r w:rsidRPr="004C5FFE">
              <w:rPr>
                <w:rFonts w:ascii="Verdana" w:eastAsia="Calibri" w:hAnsi="Verdana" w:cs="Arial"/>
                <w:lang w:val="es-ES" w:eastAsia="es-ES"/>
              </w:rPr>
              <w:t>–</w:t>
            </w:r>
            <w:r>
              <w:rPr>
                <w:rFonts w:ascii="Verdana" w:eastAsia="Calibri" w:hAnsi="Verdana" w:cs="Arial"/>
                <w:lang w:val="es-ES" w:eastAsia="es-ES"/>
              </w:rPr>
              <w:t xml:space="preserve"> Alcance</w:t>
            </w:r>
          </w:p>
          <w:p w14:paraId="0E7F28CC" w14:textId="77777777" w:rsidR="0016634D" w:rsidRPr="004C5FFE" w:rsidRDefault="0016634D" w:rsidP="0094124E">
            <w:pPr>
              <w:spacing w:line="276" w:lineRule="auto"/>
              <w:jc w:val="both"/>
              <w:rPr>
                <w:rFonts w:ascii="Verdana" w:eastAsia="Calibri" w:hAnsi="Verdana" w:cs="Arial"/>
                <w:color w:val="000000" w:themeColor="text1"/>
                <w:lang w:val="es-ES" w:eastAsia="es-ES"/>
              </w:rPr>
            </w:pPr>
          </w:p>
        </w:tc>
      </w:tr>
      <w:tr w:rsidR="0016634D" w:rsidRPr="004C5FFE" w14:paraId="4D0B62A1" w14:textId="77777777" w:rsidTr="0094124E">
        <w:tc>
          <w:tcPr>
            <w:tcW w:w="2410" w:type="dxa"/>
          </w:tcPr>
          <w:p w14:paraId="034C2494" w14:textId="77777777" w:rsidR="0016634D" w:rsidRPr="004C5FFE" w:rsidRDefault="0016634D" w:rsidP="0094124E">
            <w:pPr>
              <w:ind w:left="561"/>
              <w:jc w:val="both"/>
              <w:rPr>
                <w:rFonts w:ascii="Verdana" w:eastAsia="Calibri" w:hAnsi="Verdana" w:cs="Arial"/>
                <w:b/>
                <w:bCs/>
                <w:color w:val="000000" w:themeColor="text1"/>
                <w:lang w:val="es-ES" w:eastAsia="es-ES"/>
              </w:rPr>
            </w:pPr>
            <w:r w:rsidRPr="004C5FFE">
              <w:rPr>
                <w:rFonts w:ascii="Verdana" w:eastAsia="Calibri" w:hAnsi="Verdana" w:cs="Arial"/>
                <w:b/>
                <w:bCs/>
                <w:color w:val="000000" w:themeColor="text1"/>
                <w:lang w:val="es-ES" w:eastAsia="es-ES"/>
              </w:rPr>
              <w:t xml:space="preserve">Radicación:              </w:t>
            </w:r>
          </w:p>
        </w:tc>
        <w:tc>
          <w:tcPr>
            <w:tcW w:w="6100" w:type="dxa"/>
          </w:tcPr>
          <w:p w14:paraId="1B23F219" w14:textId="77777777" w:rsidR="0016634D" w:rsidRPr="004C5FFE" w:rsidRDefault="0016634D" w:rsidP="0094124E">
            <w:pPr>
              <w:ind w:left="3"/>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Respuesta a consulta con radicado No. 1_2026_03_04_003018</w:t>
            </w:r>
          </w:p>
        </w:tc>
      </w:tr>
    </w:tbl>
    <w:p w14:paraId="48D39826"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p>
    <w:p w14:paraId="7880C597"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 xml:space="preserve">Estimado señor Suárez: </w:t>
      </w:r>
    </w:p>
    <w:p w14:paraId="7F291F3F" w14:textId="77777777" w:rsidR="0016634D" w:rsidRPr="004C5FFE" w:rsidRDefault="0016634D" w:rsidP="0016634D">
      <w:pPr>
        <w:tabs>
          <w:tab w:val="left" w:pos="3768"/>
        </w:tabs>
        <w:spacing w:after="0" w:line="276" w:lineRule="auto"/>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ab/>
      </w:r>
    </w:p>
    <w:p w14:paraId="67A0BB94"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En ejercicio de la competencia otorgada por los artículos 3, numeral 5º, y 11, numeral 8º, del Decreto Ley 4170 de 2011,</w:t>
      </w:r>
      <w:r w:rsidRPr="004C5FFE">
        <w:rPr>
          <w:rFonts w:ascii="Verdana" w:eastAsia="Arial MT" w:hAnsi="Verdana" w:cs="Arial MT"/>
          <w:color w:val="000000" w:themeColor="text1"/>
          <w:lang w:val="es-ES" w:eastAsia="es-ES"/>
        </w:rPr>
        <w:t xml:space="preserve"> </w:t>
      </w:r>
      <w:r w:rsidRPr="004C5FFE">
        <w:rPr>
          <w:rFonts w:ascii="Verdana" w:hAnsi="Verdana" w:cs="Arial"/>
          <w:color w:val="000000" w:themeColor="text1"/>
          <w:lang w:val="es-ES"/>
        </w:rPr>
        <w:t xml:space="preserve">así como lo establecido en el artículo 4 de la Resolución 1707 de 2018 expedida por esta Entidad, </w:t>
      </w:r>
      <w:r w:rsidRPr="004C5FFE">
        <w:rPr>
          <w:rFonts w:ascii="Verdana" w:eastAsia="Calibri" w:hAnsi="Verdana" w:cs="Arial"/>
          <w:color w:val="000000" w:themeColor="text1"/>
          <w:lang w:val="es-ES" w:eastAsia="es-ES"/>
        </w:rPr>
        <w:t xml:space="preserve">la Agencia Nacional de Contratación Pública – Colombia Compra Eficiente– responde su solicitud de consulta de fecha 4 de marzo de 2026, en la cual manifiesta lo siguiente: </w:t>
      </w:r>
    </w:p>
    <w:p w14:paraId="1C491B2C" w14:textId="77777777" w:rsidR="0016634D" w:rsidRPr="004C5FFE" w:rsidRDefault="0016634D" w:rsidP="0016634D">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3BA42ADF" w14:textId="77777777" w:rsidR="0016634D" w:rsidRPr="004C5FFE" w:rsidRDefault="0016634D" w:rsidP="0016634D">
      <w:pPr>
        <w:spacing w:after="0"/>
        <w:ind w:left="709" w:right="709"/>
        <w:jc w:val="both"/>
        <w:rPr>
          <w:rFonts w:ascii="Verdana" w:eastAsia="Century Gothic" w:hAnsi="Verdana" w:cs="Century Gothic"/>
          <w:i/>
          <w:color w:val="000000" w:themeColor="text1"/>
          <w:sz w:val="20"/>
          <w:szCs w:val="20"/>
          <w:lang/>
        </w:rPr>
      </w:pPr>
      <w:r w:rsidRPr="004C5FFE">
        <w:rPr>
          <w:rFonts w:ascii="Verdana" w:eastAsia="Century Gothic" w:hAnsi="Verdana" w:cs="Century Gothic"/>
          <w:i/>
          <w:color w:val="000000" w:themeColor="text1"/>
          <w:sz w:val="20"/>
          <w:szCs w:val="20"/>
          <w:lang w:val="es-ES"/>
        </w:rPr>
        <w:t xml:space="preserve">“[…] </w:t>
      </w:r>
      <w:r w:rsidRPr="004C5FFE">
        <w:rPr>
          <w:rFonts w:ascii="Verdana" w:eastAsia="Century Gothic" w:hAnsi="Verdana" w:cs="Century Gothic"/>
          <w:i/>
          <w:color w:val="000000" w:themeColor="text1"/>
          <w:sz w:val="20"/>
          <w:szCs w:val="20"/>
          <w:lang/>
        </w:rPr>
        <w:t>les agradezco me indiquen si en el estudio previo se puede incluir como requisito habilitante que los proponentes certifiquen lo siguiente:</w:t>
      </w:r>
    </w:p>
    <w:p w14:paraId="240D7638" w14:textId="77777777" w:rsidR="0016634D" w:rsidRPr="004F1011" w:rsidRDefault="0016634D" w:rsidP="0016634D">
      <w:pPr>
        <w:spacing w:after="0"/>
        <w:ind w:left="720" w:right="709"/>
        <w:jc w:val="both"/>
        <w:rPr>
          <w:rFonts w:ascii="Verdana" w:eastAsia="Century Gothic" w:hAnsi="Verdana" w:cs="Century Gothic"/>
          <w:i/>
          <w:color w:val="000000" w:themeColor="text1"/>
          <w:sz w:val="20"/>
          <w:szCs w:val="20"/>
          <w:lang/>
        </w:rPr>
      </w:pPr>
      <w:r w:rsidRPr="004C5FFE">
        <w:rPr>
          <w:rFonts w:ascii="Verdana" w:eastAsia="Century Gothic" w:hAnsi="Verdana" w:cs="Century Gothic"/>
          <w:i/>
          <w:color w:val="000000" w:themeColor="text1"/>
          <w:sz w:val="20"/>
          <w:szCs w:val="20"/>
          <w:lang/>
        </w:rPr>
        <w:t xml:space="preserve">1. </w:t>
      </w:r>
      <w:r w:rsidRPr="004F1011">
        <w:rPr>
          <w:rFonts w:ascii="Verdana" w:eastAsia="Century Gothic" w:hAnsi="Verdana" w:cs="Century Gothic"/>
          <w:i/>
          <w:color w:val="000000" w:themeColor="text1"/>
          <w:sz w:val="20"/>
          <w:szCs w:val="20"/>
          <w:lang/>
        </w:rPr>
        <w:t>La disponibilidad o propiedad de los equipos necesarios para ejecutar el contrato, esto con el fin de evitar que cuando estén ejecutando el contrato manifiesten no tenerlos</w:t>
      </w:r>
    </w:p>
    <w:p w14:paraId="337D0794" w14:textId="77777777" w:rsidR="0016634D" w:rsidRPr="004C5FFE" w:rsidRDefault="0016634D" w:rsidP="0016634D">
      <w:pPr>
        <w:spacing w:after="0"/>
        <w:ind w:left="720" w:right="709"/>
        <w:jc w:val="both"/>
        <w:rPr>
          <w:rFonts w:ascii="Verdana" w:eastAsia="Century Gothic" w:hAnsi="Verdana" w:cs="Century Gothic"/>
          <w:i/>
          <w:color w:val="000000" w:themeColor="text1"/>
          <w:sz w:val="20"/>
          <w:szCs w:val="20"/>
          <w:lang/>
        </w:rPr>
      </w:pPr>
      <w:r w:rsidRPr="004C5FFE">
        <w:rPr>
          <w:rFonts w:ascii="Verdana" w:eastAsia="Century Gothic" w:hAnsi="Verdana" w:cs="Century Gothic"/>
          <w:i/>
          <w:color w:val="000000" w:themeColor="text1"/>
          <w:sz w:val="20"/>
          <w:szCs w:val="20"/>
          <w:lang/>
        </w:rPr>
        <w:t xml:space="preserve">2. </w:t>
      </w:r>
      <w:r w:rsidRPr="004F1011">
        <w:rPr>
          <w:rFonts w:ascii="Verdana" w:eastAsia="Century Gothic" w:hAnsi="Verdana" w:cs="Century Gothic"/>
          <w:i/>
          <w:color w:val="000000" w:themeColor="text1"/>
          <w:sz w:val="20"/>
          <w:szCs w:val="20"/>
          <w:lang/>
        </w:rPr>
        <w:t>De acuerdo a las especificaciones técnicas de los equipos o herramientas a contratar consignadas en los estudios previos, que indique la marca de los equipos a contratar, y que presenten la fica técnica de los equipos ofertados. Esto con el fin de que los equipos entregados sean de la calidad esperada</w:t>
      </w:r>
      <w:r w:rsidRPr="004C5FFE">
        <w:rPr>
          <w:rFonts w:ascii="Verdana" w:eastAsia="Century Gothic" w:hAnsi="Verdana" w:cs="Century Gothic"/>
          <w:i/>
          <w:color w:val="000000" w:themeColor="text1"/>
          <w:sz w:val="20"/>
          <w:szCs w:val="20"/>
          <w:lang/>
        </w:rPr>
        <w:t xml:space="preserve"> […]</w:t>
      </w:r>
      <w:r w:rsidRPr="004C5FFE">
        <w:rPr>
          <w:rFonts w:ascii="Verdana" w:hAnsi="Verdana"/>
          <w:sz w:val="20"/>
          <w:szCs w:val="20"/>
        </w:rPr>
        <w:t>”</w:t>
      </w:r>
    </w:p>
    <w:p w14:paraId="5E988C4F" w14:textId="77777777" w:rsidR="0016634D" w:rsidRPr="004C5FFE" w:rsidRDefault="0016634D" w:rsidP="0016634D">
      <w:pPr>
        <w:spacing w:after="0" w:line="276" w:lineRule="auto"/>
        <w:ind w:right="709"/>
        <w:jc w:val="both"/>
        <w:rPr>
          <w:rFonts w:ascii="Verdana" w:eastAsia="Calibri" w:hAnsi="Verdana" w:cs="Arial"/>
          <w:lang w:val="es-ES"/>
        </w:rPr>
      </w:pPr>
    </w:p>
    <w:p w14:paraId="1D4BA0D9" w14:textId="77777777" w:rsidR="0016634D" w:rsidRPr="004C5FFE" w:rsidRDefault="0016634D" w:rsidP="0016634D">
      <w:pPr>
        <w:spacing w:after="120" w:line="276" w:lineRule="auto"/>
        <w:ind w:firstLine="708"/>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C5FFE">
        <w:rPr>
          <w:rFonts w:ascii="Verdana" w:hAnsi="Verdana"/>
          <w:lang w:val="es-ES"/>
        </w:rPr>
        <w:tab/>
      </w:r>
    </w:p>
    <w:p w14:paraId="796658C1" w14:textId="77777777" w:rsidR="0016634D" w:rsidRPr="004C5FFE" w:rsidRDefault="0016634D" w:rsidP="0016634D">
      <w:pPr>
        <w:spacing w:after="0" w:line="276" w:lineRule="auto"/>
        <w:ind w:firstLine="709"/>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667DF98"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p>
    <w:p w14:paraId="39F9B13F" w14:textId="77777777" w:rsidR="0016634D" w:rsidRPr="004C5FFE" w:rsidRDefault="0016634D" w:rsidP="0016634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C5FFE">
        <w:rPr>
          <w:rFonts w:ascii="Verdana" w:eastAsia="Century Gothic" w:hAnsi="Verdana" w:cs="Century Gothic"/>
          <w:b/>
          <w:color w:val="000000" w:themeColor="text1"/>
        </w:rPr>
        <w:t>Problema planteado:</w:t>
      </w:r>
    </w:p>
    <w:p w14:paraId="3B118E5C" w14:textId="77777777" w:rsidR="0016634D" w:rsidRPr="004C5FFE" w:rsidRDefault="0016634D" w:rsidP="0016634D">
      <w:pPr>
        <w:tabs>
          <w:tab w:val="left" w:pos="426"/>
        </w:tabs>
        <w:spacing w:after="0" w:line="276" w:lineRule="auto"/>
        <w:jc w:val="both"/>
        <w:rPr>
          <w:rFonts w:ascii="Verdana" w:eastAsia="Century Gothic" w:hAnsi="Verdana" w:cs="Century Gothic"/>
          <w:color w:val="000000" w:themeColor="text1"/>
          <w:lang w:val="es-ES"/>
        </w:rPr>
      </w:pPr>
    </w:p>
    <w:p w14:paraId="2B8F3C69" w14:textId="323AF566" w:rsidR="0016634D" w:rsidRPr="004C5FFE" w:rsidRDefault="0016634D" w:rsidP="0016634D">
      <w:pPr>
        <w:spacing w:after="0" w:line="276" w:lineRule="auto"/>
        <w:jc w:val="both"/>
        <w:rPr>
          <w:rFonts w:ascii="Verdana" w:eastAsia="Century Gothic" w:hAnsi="Verdana" w:cs="Century Gothic"/>
          <w:color w:val="000000" w:themeColor="text1"/>
          <w:lang w:val="es-ES"/>
        </w:rPr>
      </w:pPr>
      <w:r w:rsidRPr="004C5FFE">
        <w:rPr>
          <w:rFonts w:ascii="Verdana" w:eastAsia="Century Gothic" w:hAnsi="Verdana" w:cs="Century Gothic"/>
          <w:color w:val="000000" w:themeColor="text1"/>
          <w:lang w:val="es-ES"/>
        </w:rPr>
        <w:t xml:space="preserve">De acuerdo con el contenido de su solicitud, esta Agencia resolverá el siguiente problema jurídico: ¿Cuál </w:t>
      </w:r>
      <w:r w:rsidR="00C24180">
        <w:rPr>
          <w:rFonts w:ascii="Verdana" w:eastAsia="Century Gothic" w:hAnsi="Verdana" w:cs="Century Gothic"/>
          <w:color w:val="000000" w:themeColor="text1"/>
          <w:lang w:val="es-ES"/>
        </w:rPr>
        <w:t xml:space="preserve">es </w:t>
      </w:r>
      <w:r w:rsidRPr="004C5FFE">
        <w:rPr>
          <w:rFonts w:ascii="Verdana" w:eastAsia="Century Gothic" w:hAnsi="Verdana" w:cs="Century Gothic"/>
          <w:color w:val="000000" w:themeColor="text1"/>
          <w:lang w:val="es-ES"/>
        </w:rPr>
        <w:t>el alcance de los requisitos habilitantes y las especificaciones técnicas que exijan las entidades estatales en sus procesos de contratación?</w:t>
      </w:r>
    </w:p>
    <w:p w14:paraId="310D4B95" w14:textId="77777777" w:rsidR="0016634D" w:rsidRPr="004C5FFE" w:rsidRDefault="0016634D" w:rsidP="0016634D">
      <w:pPr>
        <w:spacing w:after="0" w:line="276" w:lineRule="auto"/>
        <w:jc w:val="both"/>
        <w:rPr>
          <w:rFonts w:ascii="Verdana" w:eastAsia="Calibri" w:hAnsi="Verdana" w:cs="Arial"/>
          <w:color w:val="000000" w:themeColor="text1"/>
          <w:lang w:val="es-ES"/>
        </w:rPr>
      </w:pPr>
    </w:p>
    <w:p w14:paraId="661958E3" w14:textId="77777777" w:rsidR="0016634D" w:rsidRPr="004C5FFE" w:rsidRDefault="0016634D" w:rsidP="0016634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C5FFE">
        <w:rPr>
          <w:rFonts w:ascii="Verdana" w:eastAsia="Century Gothic" w:hAnsi="Verdana" w:cs="Century Gothic"/>
          <w:b/>
          <w:color w:val="000000" w:themeColor="text1"/>
        </w:rPr>
        <w:t>Respuesta:</w:t>
      </w:r>
    </w:p>
    <w:p w14:paraId="7573DA6C"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634D" w:rsidRPr="004C5FFE" w14:paraId="1ACD8138" w14:textId="77777777" w:rsidTr="0094124E">
        <w:tc>
          <w:tcPr>
            <w:tcW w:w="8828" w:type="dxa"/>
          </w:tcPr>
          <w:p w14:paraId="788F58E4" w14:textId="77777777" w:rsidR="0016634D" w:rsidRPr="004C5FFE" w:rsidRDefault="0016634D" w:rsidP="00CC1F16">
            <w:pPr>
              <w:tabs>
                <w:tab w:val="left" w:pos="0"/>
              </w:tabs>
              <w:spacing w:before="120" w:after="120" w:line="276" w:lineRule="auto"/>
              <w:jc w:val="both"/>
              <w:rPr>
                <w:rFonts w:ascii="Verdana" w:eastAsia="Times New Roman" w:hAnsi="Verdana" w:cs="Arial"/>
                <w:lang w:val="es-ES" w:eastAsia="es-MX"/>
              </w:rPr>
            </w:pPr>
            <w:r w:rsidRPr="004C5FFE">
              <w:rPr>
                <w:rFonts w:ascii="Verdana" w:eastAsia="Calibri" w:hAnsi="Verdana" w:cs="Arial"/>
                <w:color w:val="000000" w:themeColor="text1"/>
                <w:lang w:val="es-ES"/>
              </w:rPr>
              <w:t xml:space="preserve">Las entidades deben determinar los requisitos habilitantes del proceso de selección que le permitan verificar que </w:t>
            </w:r>
            <w:r w:rsidRPr="004C5FFE">
              <w:rPr>
                <w:rFonts w:ascii="Verdana" w:eastAsia="Calibri" w:hAnsi="Verdana" w:cs="Arial"/>
                <w:i/>
                <w:iCs/>
                <w:color w:val="000000" w:themeColor="text1"/>
                <w:lang w:val="es-ES"/>
              </w:rPr>
              <w:t>el proponente</w:t>
            </w:r>
            <w:r w:rsidRPr="004C5FFE">
              <w:rPr>
                <w:rFonts w:ascii="Verdana" w:eastAsia="Calibri" w:hAnsi="Verdana" w:cs="Arial"/>
                <w:color w:val="000000" w:themeColor="text1"/>
                <w:lang w:val="es-ES"/>
              </w:rPr>
              <w:t xml:space="preserve"> cumple con la capacidad y experiencia necesarias para ejecutar el objeto contractual.</w:t>
            </w:r>
            <w:r w:rsidRPr="004C5FFE">
              <w:rPr>
                <w:rFonts w:ascii="Verdana" w:eastAsia="Times New Roman" w:hAnsi="Verdana" w:cs="Arial"/>
                <w:lang w:val="es-ES" w:eastAsia="es-MX"/>
              </w:rPr>
              <w:t xml:space="preserve"> </w:t>
            </w:r>
            <w:r w:rsidRPr="004C5FFE">
              <w:rPr>
                <w:rFonts w:ascii="Verdana" w:eastAsia="Times New Roman" w:hAnsi="Verdana" w:cs="Arial"/>
                <w:lang w:eastAsia="es-MX"/>
              </w:rPr>
              <w:t xml:space="preserve">En este sentido, se trata de aquellas condiciones referidas a la idoneidad del oferente para asumir adecuadamente la ejecución, en contraposición a los factores técnicos y económicos de escogencia, que se refieren al </w:t>
            </w:r>
            <w:r w:rsidRPr="004C5FFE">
              <w:rPr>
                <w:rFonts w:ascii="Verdana" w:eastAsia="Times New Roman" w:hAnsi="Verdana" w:cs="Arial"/>
                <w:i/>
                <w:iCs/>
                <w:lang w:eastAsia="es-MX"/>
              </w:rPr>
              <w:t>contenido de la oferta</w:t>
            </w:r>
            <w:r w:rsidRPr="004C5FFE">
              <w:rPr>
                <w:rFonts w:ascii="Verdana" w:eastAsia="Times New Roman" w:hAnsi="Verdana" w:cs="Arial"/>
                <w:lang w:eastAsia="es-MX"/>
              </w:rPr>
              <w:t xml:space="preserve"> y no a las calidades de quien la presenta, y que son susceptibles de ponderación </w:t>
            </w:r>
            <w:r w:rsidRPr="004C5FFE">
              <w:rPr>
                <w:rFonts w:ascii="Verdana" w:eastAsia="Times New Roman" w:hAnsi="Verdana" w:cs="Arial"/>
                <w:lang w:eastAsia="es-MX"/>
              </w:rPr>
              <w:lastRenderedPageBreak/>
              <w:t>mediante puntajes o fórmulas con el fin de determinar el ofrecimiento más favorable para la entidad.</w:t>
            </w:r>
          </w:p>
          <w:p w14:paraId="2E52262E" w14:textId="77777777" w:rsidR="0016634D" w:rsidRPr="004C5FFE" w:rsidRDefault="0016634D" w:rsidP="0094124E">
            <w:pPr>
              <w:tabs>
                <w:tab w:val="left" w:pos="0"/>
              </w:tabs>
              <w:spacing w:after="120" w:line="276" w:lineRule="auto"/>
              <w:ind w:firstLine="709"/>
              <w:jc w:val="both"/>
              <w:rPr>
                <w:rFonts w:ascii="Verdana" w:eastAsia="Calibri" w:hAnsi="Verdana" w:cs="Arial"/>
                <w:color w:val="000000" w:themeColor="text1"/>
                <w:lang w:val="es-ES"/>
              </w:rPr>
            </w:pPr>
            <w:r w:rsidRPr="004C5FFE">
              <w:rPr>
                <w:rFonts w:ascii="Verdana" w:eastAsia="Calibri" w:hAnsi="Verdana" w:cs="Arial"/>
                <w:color w:val="000000" w:themeColor="text1"/>
                <w:kern w:val="2"/>
                <w:lang w:val="es-ES_tradnl"/>
                <w14:ligatures w14:val="standardContextual"/>
              </w:rPr>
              <w:t xml:space="preserve">En el contexto de esta distinción, esta Agencia ha sostenido que las entidades pueden requerir requisitos habilitantes adicionales a los previstos en el listado enunciativo del numeral primero del artículo 5 de la ley 1150 de 2007. Sin embargo, </w:t>
            </w:r>
            <w:r w:rsidRPr="004C5FFE">
              <w:rPr>
                <w:rFonts w:ascii="Verdana" w:eastAsia="Arial" w:hAnsi="Verdana" w:cs="Arial"/>
                <w:color w:val="000000"/>
                <w:lang w:val="es-ES"/>
              </w:rPr>
              <w:t xml:space="preserve">es importante advertir que </w:t>
            </w:r>
            <w:r w:rsidRPr="004C5FFE">
              <w:rPr>
                <w:rFonts w:ascii="Verdana" w:eastAsia="Calibri" w:hAnsi="Verdana" w:cs="Arial"/>
                <w:color w:val="000000" w:themeColor="text1"/>
              </w:rPr>
              <w:t xml:space="preserve">corresponde a las entidades estatales, durante la etapa de planeación del contrato estatal, estudiar y determinar de forma </w:t>
            </w:r>
            <w:r w:rsidRPr="004C5FFE">
              <w:rPr>
                <w:rFonts w:ascii="Verdana" w:eastAsia="Calibri" w:hAnsi="Verdana" w:cs="Arial"/>
                <w:i/>
                <w:iCs/>
                <w:color w:val="000000" w:themeColor="text1"/>
              </w:rPr>
              <w:t>adecuada y proporcional</w:t>
            </w:r>
            <w:r w:rsidRPr="004C5FFE">
              <w:rPr>
                <w:rFonts w:ascii="Verdana" w:eastAsia="Calibri" w:hAnsi="Verdana" w:cs="Arial"/>
                <w:color w:val="000000" w:themeColor="text1"/>
              </w:rPr>
              <w:t xml:space="preserve"> los requisitos habilitantes que establecerán en los pliegos de condiciones. Esto último, según se deriva de la lectura del artículo 2.2.1.1.1.6.2 del Decreto 1082 de 2015, debe hacerse de acuerdo con la naturaleza, el valor del contrato, la forma de pago, los riesgos asociados al contrato, el plazo y la complejidad de ejecución del objeto</w:t>
            </w:r>
            <w:r w:rsidRPr="004C5FFE">
              <w:rPr>
                <w:rStyle w:val="Refdenotaalpie"/>
                <w:rFonts w:ascii="Verdana" w:eastAsia="Calibri" w:hAnsi="Verdana" w:cs="Arial"/>
                <w:color w:val="000000" w:themeColor="text1"/>
              </w:rPr>
              <w:footnoteReference w:id="2"/>
            </w:r>
            <w:r w:rsidRPr="004C5FFE">
              <w:rPr>
                <w:rFonts w:ascii="Verdana" w:eastAsia="Calibri" w:hAnsi="Verdana" w:cs="Arial"/>
                <w:color w:val="000000" w:themeColor="text1"/>
              </w:rPr>
              <w:t>.</w:t>
            </w:r>
          </w:p>
          <w:p w14:paraId="208F7639" w14:textId="77777777" w:rsidR="0016634D" w:rsidRPr="004C5FFE" w:rsidRDefault="0016634D" w:rsidP="0094124E">
            <w:pPr>
              <w:widowControl w:val="0"/>
              <w:autoSpaceDE w:val="0"/>
              <w:autoSpaceDN w:val="0"/>
              <w:spacing w:after="160" w:line="276" w:lineRule="auto"/>
              <w:ind w:firstLine="709"/>
              <w:jc w:val="both"/>
              <w:rPr>
                <w:rFonts w:ascii="Verdana" w:eastAsia="Calibri" w:hAnsi="Verdana" w:cs="Arial"/>
                <w:color w:val="000000" w:themeColor="text1"/>
              </w:rPr>
            </w:pPr>
            <w:r w:rsidRPr="004C5FFE">
              <w:rPr>
                <w:rFonts w:ascii="Verdana" w:eastAsia="Calibri" w:hAnsi="Verdana" w:cs="Arial"/>
                <w:color w:val="000000" w:themeColor="text1"/>
              </w:rPr>
              <w:t>Adicionalmente, para efectos de configurar requisitos habilitantes, la Entidad Estatal tiene la carga de justificar en los estudios previos y análisis del sector del proceso de selección su procedencia, de conformidad con el artículo 2.2.1.1.1.6.2 del Decreto 1082 de 2015 y el artículo 44 de la Ley 1437 de 2011 –aplicable en los procedimientos contractuales en virtud del artículo 77 de la Ley 80 de 1993–.</w:t>
            </w:r>
          </w:p>
          <w:p w14:paraId="3AB7356F" w14:textId="77777777" w:rsidR="0016634D" w:rsidRPr="004C5FFE" w:rsidRDefault="0016634D" w:rsidP="0094124E">
            <w:pPr>
              <w:widowControl w:val="0"/>
              <w:autoSpaceDE w:val="0"/>
              <w:autoSpaceDN w:val="0"/>
              <w:spacing w:after="160" w:line="276" w:lineRule="auto"/>
              <w:ind w:firstLine="709"/>
              <w:jc w:val="both"/>
              <w:rPr>
                <w:rFonts w:ascii="Verdana" w:eastAsia="Calibri" w:hAnsi="Verdana" w:cs="Arial"/>
                <w:color w:val="000000" w:themeColor="text1"/>
              </w:rPr>
            </w:pPr>
            <w:r w:rsidRPr="004C5FFE">
              <w:rPr>
                <w:rFonts w:ascii="Verdana" w:eastAsia="Times New Roman" w:hAnsi="Verdana" w:cs="Arial"/>
                <w:lang w:val="es-ES" w:eastAsia="es-MX"/>
              </w:rPr>
              <w:t xml:space="preserve">En virtud de lo anterior los requisitos habilitantes que determine la entidad deben: 1) medir verdaderamente la aptitud del proponente para cumplir con el </w:t>
            </w:r>
            <w:proofErr w:type="gramStart"/>
            <w:r w:rsidRPr="004C5FFE">
              <w:rPr>
                <w:rFonts w:ascii="Verdana" w:eastAsia="Times New Roman" w:hAnsi="Verdana" w:cs="Arial"/>
                <w:lang w:val="es-ES" w:eastAsia="es-MX"/>
              </w:rPr>
              <w:t>contrato;  2</w:t>
            </w:r>
            <w:proofErr w:type="gramEnd"/>
            <w:r w:rsidRPr="004C5FFE">
              <w:rPr>
                <w:rFonts w:ascii="Verdana" w:eastAsia="Times New Roman" w:hAnsi="Verdana" w:cs="Arial"/>
                <w:lang w:val="es-ES" w:eastAsia="es-MX"/>
              </w:rPr>
              <w:t xml:space="preserve">) ser proporcionales y adecuados al objeto del contrato; y 3) no limitar la participación en el Proceso de Selección convirtiéndose en barreras para la libre competencia.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desconozca los límites impuestos por la normativa vigente, como, por ejemplo, el parágrafo 2 del artículo 5 de la Ley 1150 de 2007, que prohíbe exigir certificaciones de sistemas de gestión </w:t>
            </w:r>
            <w:r w:rsidRPr="004C5FFE">
              <w:rPr>
                <w:rFonts w:ascii="Verdana" w:eastAsia="Times New Roman" w:hAnsi="Verdana" w:cs="Arial"/>
                <w:lang w:val="es-ES" w:eastAsia="es-MX"/>
              </w:rPr>
              <w:lastRenderedPageBreak/>
              <w:t>de calidad como requisito habilitante.</w:t>
            </w:r>
          </w:p>
          <w:p w14:paraId="2189BD2A" w14:textId="77777777" w:rsidR="0016634D" w:rsidRPr="004C5FFE" w:rsidRDefault="0016634D" w:rsidP="0094124E">
            <w:pPr>
              <w:tabs>
                <w:tab w:val="left" w:pos="426"/>
              </w:tabs>
              <w:spacing w:after="120" w:line="276" w:lineRule="auto"/>
              <w:ind w:firstLine="709"/>
              <w:jc w:val="both"/>
              <w:rPr>
                <w:rFonts w:ascii="Verdana" w:eastAsia="Times New Roman" w:hAnsi="Verdana" w:cs="Arial"/>
                <w:lang w:eastAsia="es-MX"/>
              </w:rPr>
            </w:pPr>
            <w:r w:rsidRPr="004C5FFE">
              <w:rPr>
                <w:rFonts w:ascii="Verdana" w:eastAsia="Times New Roman" w:hAnsi="Verdana" w:cs="Arial"/>
                <w:lang w:eastAsia="es-MX"/>
              </w:rPr>
              <w:t>De esta manera, frente al supuesto planteado en su consulta, la entidad debe determinar en cada caso si el requisito que pretende incluir como habilitante cumple con los parámetros previamente referidos. En efecto, la entidad debe establecer si el criterio en cuestión se refiere a las calidades del proponente, o si, por el contrario, constituye una condición relativa a la ejecución del contrato. En este último caso, dado que no correspondería a un requisito habilitante en sentido estricto, la entidad podrá incorporarlo como parte de las obligaciones contractuales que serán objeto de verificación por parte de la supervisión o interventoría, previendo las consecuencias jurídicas que se deriven de su incumplimiento; información que deberá conocer y aceptar el proponente que resulte adjudicatario del proceso de selección.</w:t>
            </w:r>
          </w:p>
          <w:p w14:paraId="3C2AC5EE" w14:textId="77777777" w:rsidR="0016634D" w:rsidRPr="001B6DD6" w:rsidRDefault="0016634D" w:rsidP="0094124E">
            <w:pPr>
              <w:tabs>
                <w:tab w:val="left" w:pos="426"/>
              </w:tabs>
              <w:spacing w:after="120" w:line="276" w:lineRule="auto"/>
              <w:ind w:firstLine="709"/>
              <w:jc w:val="both"/>
              <w:rPr>
                <w:rFonts w:ascii="Verdana" w:eastAsia="Times New Roman" w:hAnsi="Verdana" w:cs="Arial"/>
                <w:lang w:eastAsia="es-MX"/>
              </w:rPr>
            </w:pPr>
            <w:r w:rsidRPr="001B6DD6">
              <w:rPr>
                <w:rFonts w:ascii="Verdana" w:eastAsia="Times New Roman" w:hAnsi="Verdana" w:cs="Arial"/>
                <w:lang w:eastAsia="es-MX"/>
              </w:rPr>
              <w:t>Por otra parte, según el análisis que realice la entidad como parte de una planeación adecuada, podrá considerar y justificar su inclusión como un factor técnico puntuable para determinar la oferta más favorable, en cumplimiento de lo previsto en el numeral 2 del artículo 5 de la Ley 1150 de 2007. En cualquier caso, si la entidad decide incluirlo como requisito habilitante, deberá justificarlo en los documentos del proceso, verificando que resulte razonable y proporcional con respecto a las particularidades del proceso de selección, y que no imponga una barrera injustificada a la participación que limite la libre competencia económica.</w:t>
            </w:r>
          </w:p>
          <w:p w14:paraId="4FF814DA" w14:textId="77777777" w:rsidR="0016634D" w:rsidRPr="001B6DD6" w:rsidRDefault="0016634D" w:rsidP="0094124E">
            <w:pPr>
              <w:tabs>
                <w:tab w:val="left" w:pos="426"/>
              </w:tabs>
              <w:spacing w:after="120" w:line="276" w:lineRule="auto"/>
              <w:ind w:firstLine="709"/>
              <w:jc w:val="both"/>
              <w:rPr>
                <w:rFonts w:ascii="Verdana" w:hAnsi="Verdana"/>
                <w:lang/>
              </w:rPr>
            </w:pPr>
            <w:r w:rsidRPr="001B6DD6">
              <w:rPr>
                <w:rFonts w:ascii="Verdana" w:hAnsi="Verdana"/>
                <w:lang/>
              </w:rPr>
              <w:t xml:space="preserve">Con respecto a la pregunta referida a la solicitud de fichas </w:t>
            </w:r>
            <w:r w:rsidRPr="004C5FFE">
              <w:rPr>
                <w:rFonts w:ascii="Verdana" w:hAnsi="Verdana"/>
                <w:lang/>
              </w:rPr>
              <w:t xml:space="preserve">o aspectos técnicos específicos </w:t>
            </w:r>
            <w:r w:rsidRPr="001B6DD6">
              <w:rPr>
                <w:rFonts w:ascii="Verdana" w:hAnsi="Verdana"/>
                <w:lang/>
              </w:rPr>
              <w:t>como parte de los requisitos habilitantes, es necesario reiterar que estos últimos se refieren a las calidades del proponente y no del bien o servicio a adquirir. Como se</w:t>
            </w:r>
            <w:r w:rsidRPr="004C5FFE">
              <w:rPr>
                <w:rFonts w:ascii="Verdana" w:hAnsi="Verdana"/>
                <w:lang/>
              </w:rPr>
              <w:t xml:space="preserve"> detalla en este concepto</w:t>
            </w:r>
            <w:r w:rsidRPr="001B6DD6">
              <w:rPr>
                <w:rFonts w:ascii="Verdana" w:hAnsi="Verdana"/>
                <w:lang/>
              </w:rPr>
              <w:t>, en la etapa de planeación</w:t>
            </w:r>
            <w:r w:rsidRPr="004C5FFE">
              <w:rPr>
                <w:rFonts w:ascii="Verdana" w:hAnsi="Verdana"/>
                <w:lang/>
              </w:rPr>
              <w:t>,</w:t>
            </w:r>
            <w:r w:rsidRPr="001B6DD6">
              <w:rPr>
                <w:rFonts w:ascii="Verdana" w:hAnsi="Verdana"/>
                <w:lang/>
              </w:rPr>
              <w:t xml:space="preserve"> las entidades deberán determinar en los estudios y documentos previos las especificaciones técnicas que deberá cumplir el bien o servicio, las cuales deben resultar adecuadas y proporcionales para verificar que este cumple con las calidades y funcionalidades necesarias para la satisfacción de la necesidad pública. En consecuencia, las entidades pueden establecer especificaciones detalladas en el pliego de condiciones, o en la ficha o anexo técnico, que definan las características mínimas de los equipos a adquirir, tales como la calidad y los patrones de desempeño mínimos; sin embargo, este aspecto corresponde a las condiciones del bien o servicio ofertado y es, por </w:t>
            </w:r>
            <w:r w:rsidRPr="001B6DD6">
              <w:rPr>
                <w:rFonts w:ascii="Verdana" w:hAnsi="Verdana"/>
                <w:lang/>
              </w:rPr>
              <w:lastRenderedPageBreak/>
              <w:t>tanto, distinto a los requisitos habilitantes a los cuales se refiere el numeral primero del artículo 5 de la Ley 1150 de 2007.</w:t>
            </w:r>
          </w:p>
          <w:p w14:paraId="7B44BD6B" w14:textId="77777777" w:rsidR="0016634D" w:rsidRPr="004C5FFE" w:rsidRDefault="0016634D" w:rsidP="0094124E">
            <w:pPr>
              <w:tabs>
                <w:tab w:val="left" w:pos="426"/>
              </w:tabs>
              <w:spacing w:after="120" w:line="276" w:lineRule="auto"/>
              <w:ind w:firstLine="709"/>
              <w:jc w:val="both"/>
              <w:rPr>
                <w:rFonts w:ascii="Verdana" w:eastAsia="Times New Roman" w:hAnsi="Verdana" w:cs="Arial"/>
                <w:bCs/>
                <w:lang w:eastAsia="es-CO"/>
              </w:rPr>
            </w:pPr>
            <w:r w:rsidRPr="004C5FFE">
              <w:rPr>
                <w:rFonts w:ascii="Verdana" w:eastAsia="Times New Roman" w:hAnsi="Verdana" w:cs="Arial"/>
                <w:bCs/>
                <w:lang w:eastAsia="es-CO"/>
              </w:rPr>
              <w:t xml:space="preserve">Adicionalmente, en la determinación de estas especificaciones, las entidades deben abstenerse de imponer condiciones restrictivas que impidan el acceso al procedimiento de selección y que no resulten razonables y proporcionales al objeto del proceso. Los criterios adoptados deben propender por la más amplia oportunidad de concurrencia, corresponder a las necesidades reales de la entidad contratante y garantizar el derecho a la igualdad de los oferentes. </w:t>
            </w:r>
          </w:p>
          <w:p w14:paraId="1723A3FD" w14:textId="77777777" w:rsidR="0016634D" w:rsidRPr="004C5FFE" w:rsidRDefault="0016634D" w:rsidP="0094124E">
            <w:pPr>
              <w:tabs>
                <w:tab w:val="left" w:pos="426"/>
              </w:tabs>
              <w:spacing w:after="120" w:line="276" w:lineRule="auto"/>
              <w:ind w:firstLine="709"/>
              <w:jc w:val="both"/>
              <w:rPr>
                <w:rFonts w:ascii="Verdana" w:eastAsia="Times New Roman" w:hAnsi="Verdana" w:cs="Arial"/>
                <w:bCs/>
                <w:lang w:eastAsia="es-CO"/>
              </w:rPr>
            </w:pPr>
            <w:r w:rsidRPr="004C5FFE">
              <w:rPr>
                <w:rFonts w:ascii="Verdana" w:eastAsia="Times New Roman" w:hAnsi="Verdana" w:cs="Arial"/>
                <w:bCs/>
                <w:lang w:eastAsia="es-CO"/>
              </w:rPr>
              <w:t>En este sentido, la entidad debe ser cuidadosa al incluir especificaciones técnicas que excedan aquellas necesarias para determinar la calidad o los patrones mínimos de desempeño del bien o servicio requerido. Con base a lo anterior, corresponde a la entidad determinar, según los resultados de la etapa de planeación, si aspectos como el cumplimiento de una marca, modelo o condición específica pueden resultar en una limitación injustificada a la libre competencia económica, o si existe una justificación técnica que respalde que dicha exigencia es proporcional y razonable para el cumplimiento del objeto contractual.</w:t>
            </w:r>
          </w:p>
          <w:p w14:paraId="4D56ECF6" w14:textId="77777777" w:rsidR="0016634D" w:rsidRPr="004C5FFE" w:rsidRDefault="0016634D" w:rsidP="0094124E">
            <w:pPr>
              <w:pStyle w:val="Textoindependiente"/>
              <w:spacing w:after="240" w:line="276" w:lineRule="auto"/>
              <w:jc w:val="both"/>
              <w:rPr>
                <w:rFonts w:eastAsia="Calibri" w:cs="Times New Roman"/>
              </w:rPr>
            </w:pPr>
            <w:r w:rsidRPr="004C5FFE">
              <w:rPr>
                <w:rFonts w:cs="Arial"/>
                <w:lang w:eastAsia="es-ES"/>
              </w:rPr>
              <w:t xml:space="preserve">Dentro de este marco, la entidad pública definirá en cada caso concreto lo relacionado con el tema objeto de consulta. </w:t>
            </w:r>
            <w:r w:rsidRPr="004C5FFE">
              <w:rPr>
                <w:rFonts w:cs="Arial"/>
                <w:color w:val="000000" w:themeColor="text1"/>
              </w:rPr>
              <w:t>Al tratarse de un análisis que debe realizarse en un procedimiento contractual específico, esta Agencia no puede definir un criterio universal y absoluto por vía consultiva, sino que brinda elementos de carácter general para que</w:t>
            </w:r>
            <w:r w:rsidRPr="004C5FFE">
              <w:rPr>
                <w:rFonts w:eastAsia="Calibri" w:cs="Times New Roman"/>
              </w:rPr>
              <w:t xml:space="preserv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58E311BE"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A2C7C0B" w14:textId="77777777" w:rsidR="0016634D" w:rsidRPr="004C5FFE" w:rsidRDefault="0016634D" w:rsidP="0016634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C5FFE">
        <w:rPr>
          <w:rFonts w:ascii="Verdana" w:eastAsia="Century Gothic" w:hAnsi="Verdana" w:cs="Century Gothic"/>
          <w:b/>
          <w:color w:val="000000" w:themeColor="text1"/>
        </w:rPr>
        <w:t>Razones de la respuesta:</w:t>
      </w:r>
    </w:p>
    <w:p w14:paraId="379F798E" w14:textId="77777777" w:rsidR="0016634D" w:rsidRPr="004C5FFE" w:rsidRDefault="0016634D" w:rsidP="0016634D">
      <w:pPr>
        <w:spacing w:after="0" w:line="276" w:lineRule="auto"/>
        <w:jc w:val="both"/>
        <w:rPr>
          <w:rFonts w:ascii="Verdana" w:eastAsia="Calibri" w:hAnsi="Verdana" w:cs="Arial"/>
          <w:color w:val="000000" w:themeColor="text1"/>
          <w:lang w:val="es-ES"/>
        </w:rPr>
      </w:pPr>
    </w:p>
    <w:p w14:paraId="7C0701F7" w14:textId="77777777" w:rsidR="0016634D" w:rsidRPr="004C5FFE" w:rsidRDefault="0016634D" w:rsidP="0016634D">
      <w:pPr>
        <w:spacing w:after="0" w:line="276" w:lineRule="auto"/>
        <w:ind w:right="49"/>
        <w:jc w:val="both"/>
        <w:rPr>
          <w:rFonts w:ascii="Verdana" w:eastAsia="Calibri" w:hAnsi="Verdana" w:cs="Arial"/>
          <w:bCs/>
          <w:lang w:val="es-ES_tradnl"/>
        </w:rPr>
      </w:pPr>
      <w:bookmarkStart w:id="1" w:name="_Hlk102983874"/>
      <w:bookmarkStart w:id="2" w:name="_Hlk102388095"/>
      <w:r w:rsidRPr="004C5FFE">
        <w:rPr>
          <w:rFonts w:ascii="Verdana" w:eastAsia="Calibri" w:hAnsi="Verdana" w:cs="Arial"/>
          <w:color w:val="000000" w:themeColor="text1"/>
          <w:lang w:val="es-ES"/>
        </w:rPr>
        <w:t>i)</w:t>
      </w:r>
      <w:r w:rsidRPr="004C5FFE">
        <w:rPr>
          <w:rFonts w:ascii="Verdana" w:eastAsia="Verdana" w:hAnsi="Verdana" w:cs="Verdana"/>
          <w:lang w:val="es-ES"/>
        </w:rPr>
        <w:t xml:space="preserve"> </w:t>
      </w:r>
      <w:bookmarkStart w:id="3" w:name="_Hlk99546562"/>
      <w:r w:rsidRPr="004C5FFE">
        <w:rPr>
          <w:rFonts w:ascii="Verdana" w:eastAsia="Calibri" w:hAnsi="Verdana" w:cs="Arial"/>
          <w:bCs/>
          <w:lang w:val="es-ES_tradnl"/>
        </w:rPr>
        <w:t xml:space="preserve">Uno de los principios transversales de los procedimientos de selección es el de </w:t>
      </w:r>
      <w:r w:rsidRPr="004C5FFE">
        <w:rPr>
          <w:rFonts w:ascii="Verdana" w:eastAsia="Calibri" w:hAnsi="Verdana" w:cs="Arial"/>
          <w:bCs/>
          <w:i/>
          <w:iCs/>
          <w:lang w:val="es-ES_tradnl"/>
        </w:rPr>
        <w:t>selección objetiva</w:t>
      </w:r>
      <w:r w:rsidRPr="004C5FFE">
        <w:rPr>
          <w:rFonts w:ascii="Verdana" w:eastAsia="Calibri" w:hAnsi="Verdana" w:cs="Arial"/>
          <w:bCs/>
          <w:lang w:val="es-ES_tradnl"/>
        </w:rPr>
        <w:t xml:space="preserve">. Se trata del postulado que exige que la escogencia de la oferta ganadora se debe fundamentar en factores objetivos, de carácter técnico, </w:t>
      </w:r>
      <w:r w:rsidRPr="004C5FFE">
        <w:rPr>
          <w:rFonts w:ascii="Verdana" w:eastAsia="Calibri" w:hAnsi="Verdana" w:cs="Arial"/>
          <w:bCs/>
          <w:lang w:val="es-ES_tradnl"/>
        </w:rPr>
        <w:lastRenderedPageBreak/>
        <w:t xml:space="preserve">jurídico y financiero, y no en criterios subjetivos, como el afecto, la amistad, el ánimo de ayuda, el interés personal, etc. </w:t>
      </w:r>
    </w:p>
    <w:p w14:paraId="362FB561" w14:textId="0743E249" w:rsidR="0016634D" w:rsidRPr="00CC1F16" w:rsidRDefault="0016634D" w:rsidP="00CC1F16">
      <w:pPr>
        <w:spacing w:after="120" w:line="276" w:lineRule="auto"/>
        <w:ind w:firstLine="708"/>
        <w:jc w:val="both"/>
        <w:rPr>
          <w:rFonts w:ascii="Verdana" w:eastAsia="Calibri" w:hAnsi="Verdana" w:cs="Arial"/>
          <w:lang w:val="es-ES" w:eastAsia="es-MX"/>
        </w:rPr>
      </w:pPr>
      <w:r w:rsidRPr="004C5FFE">
        <w:rPr>
          <w:rFonts w:ascii="Verdana" w:eastAsia="Calibri" w:hAnsi="Verdana" w:cs="Arial"/>
          <w:bCs/>
          <w:lang w:val="es-MX"/>
        </w:rPr>
        <w:t>Si bien dentro de la historia de la contratación pública en Colombia, se vislumbran antecedentes normativos que consagraban dicho principio</w:t>
      </w:r>
      <w:r w:rsidRPr="004C5FFE">
        <w:rPr>
          <w:rFonts w:ascii="Verdana" w:eastAsia="Calibri" w:hAnsi="Verdana" w:cs="Arial"/>
          <w:bCs/>
          <w:vertAlign w:val="superscript"/>
          <w:lang w:val="es-MX"/>
        </w:rPr>
        <w:footnoteReference w:id="3"/>
      </w:r>
      <w:r w:rsidRPr="004C5FFE">
        <w:rPr>
          <w:rFonts w:ascii="Verdana" w:eastAsia="Calibri" w:hAnsi="Verdana" w:cs="Arial"/>
          <w:bCs/>
          <w:lang w:val="es-MX"/>
        </w:rPr>
        <w:t xml:space="preserve">, en la actualidad la disposición legal que lo prevé de manera más clara y contundente es el artículo 5 de la Ley 1150 de 2007, modificado por el artículo 88 de la Ley 1474 de 2011 y por el artículo 5 de la Ley 1882 de 2018. </w:t>
      </w:r>
      <w:r w:rsidRPr="004C5FFE">
        <w:rPr>
          <w:rFonts w:ascii="Verdana" w:eastAsia="Calibri" w:hAnsi="Verdana" w:cs="Arial"/>
          <w:lang w:val="es-ES" w:eastAsia="es-MX"/>
        </w:rPr>
        <w:t xml:space="preserve">En efecto, la norma dispone: </w:t>
      </w:r>
    </w:p>
    <w:p w14:paraId="5F4E2C3E" w14:textId="4A75F5FE"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004C5FFE">
        <w:rPr>
          <w:rFonts w:ascii="Verdana" w:eastAsia="Calibri" w:hAnsi="Verdana" w:cs="Arial"/>
          <w:color w:val="000000" w:themeColor="text1"/>
          <w:kern w:val="2"/>
          <w:sz w:val="20"/>
          <w:szCs w:val="20"/>
          <w:lang w:val="es-ES"/>
          <w14:ligatures w14:val="standardContextual"/>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550436D7"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1DB8BAA9"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004C5FFE">
        <w:rPr>
          <w:rFonts w:ascii="Verdana" w:eastAsia="Calibri" w:hAnsi="Verdana" w:cs="Arial"/>
          <w:color w:val="000000" w:themeColor="text1"/>
          <w:kern w:val="2"/>
          <w:sz w:val="20"/>
          <w:szCs w:val="20"/>
          <w:lang w:val="es-ES"/>
          <w14:ligatures w14:val="standardContextual"/>
        </w:rPr>
        <w:t xml:space="preserve">1. La capacidad jurídica y las condiciones de experiencia, capacidad financiera y de organización </w:t>
      </w:r>
      <w:r w:rsidRPr="004C5FFE">
        <w:rPr>
          <w:rFonts w:ascii="Verdana" w:eastAsia="Calibri" w:hAnsi="Verdana" w:cs="Arial"/>
          <w:i/>
          <w:iCs/>
          <w:color w:val="000000" w:themeColor="text1"/>
          <w:kern w:val="2"/>
          <w:sz w:val="20"/>
          <w:szCs w:val="20"/>
          <w:u w:val="single"/>
          <w:lang w:val="es-ES"/>
          <w14:ligatures w14:val="standardContextual"/>
        </w:rPr>
        <w:t>de los proponentes</w:t>
      </w:r>
      <w:r w:rsidRPr="004C5FFE">
        <w:rPr>
          <w:rFonts w:ascii="Verdana" w:eastAsia="Calibri" w:hAnsi="Verdana" w:cs="Arial"/>
          <w:color w:val="000000" w:themeColor="text1"/>
          <w:kern w:val="2"/>
          <w:sz w:val="20"/>
          <w:szCs w:val="20"/>
          <w:lang w:val="es-ES"/>
          <w14:ligatures w14:val="standardContextual"/>
        </w:rPr>
        <w:t xml:space="preserve"> serán objeto de verificación de cumplimiento como </w:t>
      </w:r>
      <w:r w:rsidRPr="004C5FFE">
        <w:rPr>
          <w:rFonts w:ascii="Verdana" w:eastAsia="Calibri" w:hAnsi="Verdana" w:cs="Arial"/>
          <w:i/>
          <w:iCs/>
          <w:color w:val="000000" w:themeColor="text1"/>
          <w:kern w:val="2"/>
          <w:sz w:val="20"/>
          <w:szCs w:val="20"/>
          <w:u w:val="single"/>
          <w:lang w:val="es-ES"/>
          <w14:ligatures w14:val="standardContextual"/>
        </w:rPr>
        <w:t>requisitos habilitantes</w:t>
      </w:r>
      <w:r w:rsidRPr="004C5FFE">
        <w:rPr>
          <w:rFonts w:ascii="Verdana" w:eastAsia="Calibri" w:hAnsi="Verdana" w:cs="Arial"/>
          <w:color w:val="000000" w:themeColor="text1"/>
          <w:kern w:val="2"/>
          <w:sz w:val="20"/>
          <w:szCs w:val="20"/>
          <w:lang w:val="es-ES"/>
          <w14:ligatures w14:val="standardContextual"/>
        </w:rPr>
        <w:t xml:space="preserve">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52DDB617"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1E9F8240"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 xml:space="preserve">2. &lt;Numeral modificado por el artículo 88 de la Ley 1474 de 2011. El nuevo texto es el siguiente:&gt; La oferta más favorable será aquella que, </w:t>
      </w:r>
      <w:r w:rsidRPr="004C5FFE">
        <w:rPr>
          <w:rFonts w:ascii="Verdana" w:eastAsia="Calibri" w:hAnsi="Verdana" w:cs="Arial"/>
          <w:color w:val="000000" w:themeColor="text1"/>
          <w:kern w:val="2"/>
          <w:sz w:val="20"/>
          <w:szCs w:val="20"/>
          <w:lang w:val="es-ES_tradnl"/>
          <w14:ligatures w14:val="standardContextual"/>
        </w:rPr>
        <w:lastRenderedPageBreak/>
        <w:t xml:space="preserve">teniendo en cuenta </w:t>
      </w:r>
      <w:r w:rsidRPr="004C5FFE">
        <w:rPr>
          <w:rFonts w:ascii="Verdana" w:eastAsia="Calibri" w:hAnsi="Verdana" w:cs="Arial"/>
          <w:i/>
          <w:iCs/>
          <w:color w:val="000000" w:themeColor="text1"/>
          <w:kern w:val="2"/>
          <w:sz w:val="20"/>
          <w:szCs w:val="20"/>
          <w:u w:val="single"/>
          <w:lang w:val="es-ES_tradnl"/>
          <w14:ligatures w14:val="standardContextual"/>
        </w:rPr>
        <w:t>los factores técnicos y económicos de escogencia</w:t>
      </w:r>
      <w:r w:rsidRPr="004C5FFE">
        <w:rPr>
          <w:rFonts w:ascii="Verdana" w:eastAsia="Calibri" w:hAnsi="Verdana" w:cs="Arial"/>
          <w:color w:val="000000" w:themeColor="text1"/>
          <w:kern w:val="2"/>
          <w:sz w:val="20"/>
          <w:szCs w:val="20"/>
          <w:lang w:val="es-ES_tradnl"/>
          <w14:ligatures w14:val="standardContextual"/>
        </w:rPr>
        <w:t xml:space="preserve">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68548852"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DFE9F0A"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En los procesos de selección en los que se tenga en cuenta los factores técnicos y económicos, la oferta más ventajosa será la que resulte de aplicar alguna de las siguientes alternativas:</w:t>
      </w:r>
    </w:p>
    <w:p w14:paraId="7C27EFA9"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23222CF8"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a) La ponderación de los elementos de calidad y precio soportados en puntajes o fórmulas señaladas en el pliego de condiciones; o</w:t>
      </w:r>
    </w:p>
    <w:p w14:paraId="7123E242"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8ABF8B6" w14:textId="77777777" w:rsidR="0016634D" w:rsidRPr="004C5FFE" w:rsidRDefault="0016634D" w:rsidP="0016634D">
      <w:pPr>
        <w:spacing w:after="0" w:line="240" w:lineRule="auto"/>
        <w:ind w:left="709" w:right="709"/>
        <w:jc w:val="both"/>
        <w:rPr>
          <w:rFonts w:ascii="Verdana" w:eastAsia="Calibri" w:hAnsi="Verdana" w:cs="Arial"/>
          <w:i/>
          <w:iCs/>
          <w:color w:val="000000" w:themeColor="text1"/>
          <w:kern w:val="2"/>
          <w:sz w:val="20"/>
          <w:szCs w:val="20"/>
          <w:lang w:val="es-ES_tradnl"/>
          <w14:ligatures w14:val="standardContextual"/>
        </w:rPr>
      </w:pPr>
      <w:r w:rsidRPr="004C5FFE">
        <w:rPr>
          <w:rFonts w:ascii="Verdana" w:eastAsia="Calibri" w:hAnsi="Verdana" w:cs="Arial"/>
          <w:i/>
          <w:iCs/>
          <w:color w:val="000000" w:themeColor="text1"/>
          <w:kern w:val="2"/>
          <w:sz w:val="20"/>
          <w:szCs w:val="20"/>
          <w:lang w:val="es-ES_tradnl"/>
          <w14:ligatures w14:val="standardContextual"/>
        </w:rPr>
        <w:t>b) La ponderación de los elementos de calidad y precio que representen la mejor relación de costo-beneficio para la entidad.</w:t>
      </w:r>
    </w:p>
    <w:p w14:paraId="487125F9"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37CAA2B7"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w:t>
      </w:r>
      <w:r w:rsidRPr="004C5FFE">
        <w:rPr>
          <w:rFonts w:ascii="Verdana" w:eastAsia="Calibri" w:hAnsi="Verdana" w:cs="Arial"/>
          <w:sz w:val="20"/>
          <w:szCs w:val="20"/>
          <w:lang w:val="es-ES"/>
        </w:rPr>
        <w:t>”.</w:t>
      </w:r>
    </w:p>
    <w:p w14:paraId="73D1177A" w14:textId="77777777" w:rsidR="0016634D" w:rsidRPr="004C5FFE" w:rsidRDefault="0016634D" w:rsidP="0016634D">
      <w:pPr>
        <w:spacing w:before="120" w:after="0" w:line="276" w:lineRule="auto"/>
        <w:ind w:right="51"/>
        <w:jc w:val="both"/>
        <w:rPr>
          <w:rFonts w:ascii="Verdana" w:eastAsia="Calibri" w:hAnsi="Verdana" w:cs="Arial"/>
          <w:bCs/>
          <w:lang w:val="es-MX"/>
        </w:rPr>
      </w:pPr>
    </w:p>
    <w:p w14:paraId="377E8AB9"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 xml:space="preserve">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0C9CA829" w14:textId="77777777" w:rsidR="0016634D" w:rsidRPr="004C5FFE" w:rsidRDefault="0016634D" w:rsidP="0016634D">
      <w:pPr>
        <w:spacing w:after="120" w:line="276" w:lineRule="auto"/>
        <w:ind w:right="51" w:firstLine="709"/>
        <w:jc w:val="both"/>
        <w:rPr>
          <w:rFonts w:ascii="Verdana" w:eastAsia="Calibri" w:hAnsi="Verdana" w:cs="Arial"/>
          <w:bCs/>
          <w:lang w:val="es-MX"/>
        </w:rPr>
      </w:pPr>
      <w:bookmarkStart w:id="4" w:name="_1fob9te" w:colFirst="0" w:colLast="0"/>
      <w:bookmarkEnd w:id="4"/>
      <w:r w:rsidRPr="004C5FFE">
        <w:rPr>
          <w:rFonts w:ascii="Verdana" w:eastAsia="Calibri" w:hAnsi="Verdana" w:cs="Arial"/>
          <w:bCs/>
          <w:lang w:val="es-MX"/>
        </w:rPr>
        <w:t xml:space="preserve">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w:t>
      </w:r>
      <w:r w:rsidRPr="004C5FFE">
        <w:rPr>
          <w:rFonts w:ascii="Verdana" w:eastAsia="Calibri" w:hAnsi="Verdana" w:cs="Arial"/>
          <w:bCs/>
          <w:lang w:val="es-MX"/>
        </w:rPr>
        <w:lastRenderedPageBreak/>
        <w:t>adecuadamente la ejecución del contrato</w:t>
      </w:r>
      <w:r w:rsidRPr="004C5FFE">
        <w:rPr>
          <w:rFonts w:ascii="Verdana" w:eastAsia="Calibri" w:hAnsi="Verdana" w:cs="Arial"/>
          <w:bCs/>
          <w:vertAlign w:val="superscript"/>
          <w:lang w:val="es-MX"/>
        </w:rPr>
        <w:footnoteReference w:id="4"/>
      </w:r>
      <w:r w:rsidRPr="004C5FFE">
        <w:rPr>
          <w:rFonts w:ascii="Verdana" w:eastAsia="Calibri" w:hAnsi="Verdana" w:cs="Arial"/>
          <w:bCs/>
          <w:lang w:val="es-MX"/>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4C5FFE">
        <w:rPr>
          <w:rFonts w:ascii="Verdana" w:eastAsia="Calibri" w:hAnsi="Verdana" w:cs="Arial"/>
          <w:bCs/>
          <w:i/>
          <w:lang w:val="es-MX"/>
        </w:rPr>
        <w:t xml:space="preserve">habilitantes </w:t>
      </w:r>
      <w:r w:rsidRPr="004C5FFE">
        <w:rPr>
          <w:rFonts w:ascii="Verdana" w:eastAsia="Calibri" w:hAnsi="Verdana" w:cs="Arial"/>
          <w:bCs/>
          <w:lang w:val="es-MX"/>
        </w:rPr>
        <w:t>son aquellos que deben cumplir en igualdad de condiciones los proponentes, haciendo que estos se habiliten en el procedimiento de selección y sean susceptibles de ser seleccionados como futuros contratistas.</w:t>
      </w:r>
    </w:p>
    <w:p w14:paraId="70EBF546"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 xml:space="preserve">En consecuencia, </w:t>
      </w:r>
      <w:r w:rsidRPr="004C5FFE">
        <w:rPr>
          <w:rFonts w:ascii="Verdana" w:hAnsi="Verdana" w:cs="Arial"/>
          <w:bCs/>
          <w:lang w:eastAsia="es-CO"/>
        </w:rPr>
        <w:t>l</w:t>
      </w:r>
      <w:r w:rsidRPr="004C5FFE">
        <w:rPr>
          <w:rFonts w:ascii="Verdana" w:eastAsia="Calibri" w:hAnsi="Verdana" w:cs="Arial"/>
          <w:lang w:val="es-ES" w:eastAsia="es-MX"/>
        </w:rPr>
        <w:t xml:space="preserve">os </w:t>
      </w:r>
      <w:r w:rsidRPr="004C5FFE">
        <w:rPr>
          <w:rFonts w:ascii="Verdana" w:eastAsia="Calibri" w:hAnsi="Verdana" w:cs="Arial"/>
          <w:i/>
          <w:iCs/>
          <w:lang w:val="es-ES" w:eastAsia="es-MX"/>
        </w:rPr>
        <w:t>requisitos habilitantes</w:t>
      </w:r>
      <w:r w:rsidRPr="004C5FFE">
        <w:rPr>
          <w:rFonts w:ascii="Verdana" w:eastAsia="Calibri" w:hAnsi="Verdana" w:cs="Arial"/>
          <w:lang w:val="es-ES" w:eastAsia="es-MX"/>
        </w:rPr>
        <w:t xml:space="preserve"> se definen como las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w:t>
      </w:r>
      <w:bookmarkEnd w:id="3"/>
      <w:r w:rsidRPr="004C5FFE">
        <w:rPr>
          <w:rFonts w:ascii="Verdana" w:eastAsia="Calibri" w:hAnsi="Verdana" w:cs="Arial"/>
          <w:lang w:val="es-ES" w:eastAsia="es-MX"/>
        </w:rPr>
        <w:t xml:space="preserve">De esta forma, constituyen los requerimientos mínimos con los que deben cumplir </w:t>
      </w:r>
      <w:r w:rsidRPr="004C5FFE">
        <w:rPr>
          <w:rFonts w:ascii="Verdana" w:eastAsia="Calibri" w:hAnsi="Verdana" w:cs="Arial"/>
          <w:i/>
          <w:iCs/>
          <w:lang w:val="es-ES" w:eastAsia="es-MX"/>
        </w:rPr>
        <w:t>los proponentes</w:t>
      </w:r>
      <w:r w:rsidRPr="004C5FFE">
        <w:rPr>
          <w:rFonts w:ascii="Verdana" w:eastAsia="Calibri" w:hAnsi="Verdana" w:cs="Arial"/>
          <w:lang w:val="es-ES" w:eastAsia="es-MX"/>
        </w:rPr>
        <w:t xml:space="preserve"> para poder participar en el procedimiento de selección. Por esta razón, no se valoran con un puntaje tendiente a determinar el orden de escogencia, sino que se analizan como criterios previos a la evaluación en sentido estricto, de manera que quienes no los reúnan no pueden continuar en el procedimiento de selección e incurren en causal de rechazo. Esto, sin perjuicio del derecho que tienen los oferentes de subsanar los defectos que se presenten en la prueba de tales requisitos, de conformidad con el artículo 5, parágrafos 1º al 4º, de la Ley 1150 de 2007.</w:t>
      </w:r>
    </w:p>
    <w:p w14:paraId="272D6A1A" w14:textId="77777777" w:rsidR="0016634D" w:rsidRPr="004C5FFE" w:rsidRDefault="0016634D" w:rsidP="0016634D">
      <w:pPr>
        <w:spacing w:after="120" w:line="276" w:lineRule="auto"/>
        <w:ind w:firstLine="708"/>
        <w:jc w:val="both"/>
        <w:rPr>
          <w:rFonts w:ascii="Verdana" w:eastAsia="Calibri" w:hAnsi="Verdana" w:cs="Arial"/>
          <w:lang w:val="es-ES" w:eastAsia="es-MX"/>
        </w:rPr>
      </w:pPr>
      <w:r w:rsidRPr="004C5FFE">
        <w:rPr>
          <w:rFonts w:ascii="Verdana" w:eastAsia="Calibri" w:hAnsi="Verdana" w:cs="Arial"/>
          <w:lang w:val="es-ES" w:eastAsia="es-MX"/>
        </w:rPr>
        <w:t xml:space="preserve">El mencionado artículo dispone que se considera: “[…]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Específicamente, el numeral 1º establece que en los procesos de selección de contratistas serán objeto de verificación, como requisitos habilitantes, entre otros, los siguientes: i) la capacidad jurídica; </w:t>
      </w:r>
      <w:proofErr w:type="spellStart"/>
      <w:r w:rsidRPr="004C5FFE">
        <w:rPr>
          <w:rFonts w:ascii="Verdana" w:eastAsia="Calibri" w:hAnsi="Verdana" w:cs="Arial"/>
          <w:lang w:val="es-ES" w:eastAsia="es-MX"/>
        </w:rPr>
        <w:t>ii</w:t>
      </w:r>
      <w:proofErr w:type="spellEnd"/>
      <w:r w:rsidRPr="004C5FFE">
        <w:rPr>
          <w:rFonts w:ascii="Verdana" w:eastAsia="Calibri" w:hAnsi="Verdana" w:cs="Arial"/>
          <w:lang w:val="es-ES" w:eastAsia="es-MX"/>
        </w:rPr>
        <w:t xml:space="preserve">) la experiencia; </w:t>
      </w:r>
      <w:proofErr w:type="spellStart"/>
      <w:r w:rsidRPr="004C5FFE">
        <w:rPr>
          <w:rFonts w:ascii="Verdana" w:eastAsia="Calibri" w:hAnsi="Verdana" w:cs="Arial"/>
          <w:lang w:val="es-ES" w:eastAsia="es-MX"/>
        </w:rPr>
        <w:t>iii</w:t>
      </w:r>
      <w:proofErr w:type="spellEnd"/>
      <w:r w:rsidRPr="004C5FFE">
        <w:rPr>
          <w:rFonts w:ascii="Verdana" w:eastAsia="Calibri" w:hAnsi="Verdana" w:cs="Arial"/>
          <w:lang w:val="es-ES" w:eastAsia="es-MX"/>
        </w:rPr>
        <w:t xml:space="preserve">) la capacidad financiera y </w:t>
      </w:r>
      <w:proofErr w:type="spellStart"/>
      <w:r w:rsidRPr="004C5FFE">
        <w:rPr>
          <w:rFonts w:ascii="Verdana" w:eastAsia="Calibri" w:hAnsi="Verdana" w:cs="Arial"/>
          <w:lang w:val="es-ES" w:eastAsia="es-MX"/>
        </w:rPr>
        <w:t>iv</w:t>
      </w:r>
      <w:proofErr w:type="spellEnd"/>
      <w:r w:rsidRPr="004C5FFE">
        <w:rPr>
          <w:rFonts w:ascii="Verdana" w:eastAsia="Calibri" w:hAnsi="Verdana" w:cs="Arial"/>
          <w:lang w:val="es-ES" w:eastAsia="es-MX"/>
        </w:rPr>
        <w:t xml:space="preserve">) la capacidad de organización. </w:t>
      </w:r>
      <w:bookmarkStart w:id="5" w:name="_Hlk99547809"/>
      <w:bookmarkStart w:id="6" w:name="_Hlk99546625"/>
    </w:p>
    <w:p w14:paraId="144C4209" w14:textId="77777777" w:rsidR="0016634D" w:rsidRPr="004C5FFE" w:rsidRDefault="0016634D" w:rsidP="0016634D">
      <w:pPr>
        <w:spacing w:after="120" w:line="276" w:lineRule="auto"/>
        <w:ind w:firstLine="708"/>
        <w:jc w:val="both"/>
        <w:rPr>
          <w:rFonts w:ascii="Verdana" w:eastAsia="Calibri" w:hAnsi="Verdana" w:cs="Arial"/>
          <w:lang w:val="es-ES" w:eastAsia="es-MX"/>
        </w:rPr>
      </w:pPr>
      <w:r w:rsidRPr="004C5FFE">
        <w:rPr>
          <w:rFonts w:ascii="Verdana" w:eastAsia="Times New Roman" w:hAnsi="Verdana" w:cs="Arial"/>
          <w:lang w:val="es-ES_tradnl" w:eastAsia="es-MX"/>
        </w:rPr>
        <w:lastRenderedPageBreak/>
        <w:t xml:space="preserve">Con respecto al alcance de este listado, la Agencia Nacional de Contratación Pública – Colombia Compra Eficiente ha defendido el carácter </w:t>
      </w:r>
      <w:bookmarkStart w:id="7" w:name="_Hlk99547799"/>
      <w:r w:rsidRPr="004C5FFE">
        <w:rPr>
          <w:rFonts w:ascii="Verdana" w:eastAsia="Times New Roman" w:hAnsi="Verdana" w:cs="Arial"/>
          <w:i/>
          <w:iCs/>
          <w:lang w:val="es-ES_tradnl" w:eastAsia="es-MX"/>
        </w:rPr>
        <w:t>enunciativo</w:t>
      </w:r>
      <w:r w:rsidRPr="004C5FFE">
        <w:rPr>
          <w:rFonts w:ascii="Verdana" w:eastAsia="Times New Roman" w:hAnsi="Verdana" w:cs="Arial"/>
          <w:lang w:val="es-ES_tradnl" w:eastAsia="es-MX"/>
        </w:rPr>
        <w:t xml:space="preserve"> del listado de los requisitos habilitantes contenidos en el numeral 1 del artículo 5 de la Ley 1150 de 2007, en la medida en que, al referirse a los requisitos habilitantes, no contiene una expresión como “únicamente” o “solo”, de la que pueda colegirse la taxatividad de los requisitos mencionados. </w:t>
      </w:r>
      <w:bookmarkEnd w:id="5"/>
      <w:bookmarkEnd w:id="7"/>
      <w:r w:rsidRPr="004C5FFE">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6"/>
      <w:r w:rsidRPr="004C5FFE">
        <w:rPr>
          <w:rFonts w:ascii="Verdana" w:eastAsia="Times New Roman" w:hAnsi="Verdana" w:cs="Arial"/>
          <w:vertAlign w:val="superscript"/>
          <w:lang w:val="es-ES_tradnl" w:eastAsia="es-MX"/>
        </w:rPr>
        <w:footnoteReference w:id="5"/>
      </w:r>
      <w:r w:rsidRPr="004C5FFE">
        <w:rPr>
          <w:rFonts w:ascii="Verdana" w:eastAsia="Times New Roman" w:hAnsi="Verdana" w:cs="Arial"/>
          <w:lang w:val="es-ES_tradnl" w:eastAsia="es-MX"/>
        </w:rPr>
        <w:t xml:space="preserve">. </w:t>
      </w:r>
    </w:p>
    <w:p w14:paraId="4C8E1DE6" w14:textId="77777777" w:rsidR="0016634D" w:rsidRPr="004C5FFE" w:rsidRDefault="0016634D" w:rsidP="0016634D">
      <w:pPr>
        <w:spacing w:after="120" w:line="276" w:lineRule="auto"/>
        <w:ind w:firstLine="709"/>
        <w:jc w:val="both"/>
        <w:rPr>
          <w:rFonts w:ascii="Verdana" w:eastAsia="Times New Roman" w:hAnsi="Verdana" w:cs="Arial"/>
          <w:lang w:val="es-ES_tradnl" w:eastAsia="es-MX"/>
        </w:rPr>
      </w:pPr>
      <w:r w:rsidRPr="004C5FFE">
        <w:rPr>
          <w:rFonts w:ascii="Verdana" w:eastAsia="Times New Roman" w:hAnsi="Verdana" w:cs="Arial"/>
          <w:lang w:val="es-ES_tradnl" w:eastAsia="es-MX"/>
        </w:rPr>
        <w:t>Por otro lado, el “Manual para determinar y verificar los requisitos habilitantes en los Procesos de Contratación”</w:t>
      </w:r>
      <w:r w:rsidRPr="004C5FFE">
        <w:rPr>
          <w:rFonts w:ascii="Verdana" w:eastAsia="Calibri" w:hAnsi="Verdana" w:cs="Arial"/>
          <w:lang w:val="es-ES_tradnl" w:eastAsia="es-MX"/>
        </w:rPr>
        <w:t>,</w:t>
      </w:r>
      <w:r w:rsidRPr="004C5FFE">
        <w:rPr>
          <w:rFonts w:ascii="Verdana" w:eastAsia="Times New Roman" w:hAnsi="Verdana" w:cs="Arial"/>
          <w:lang w:val="es-ES_tradnl" w:eastAsia="es-MX"/>
        </w:rPr>
        <w:t xml:space="preserve"> expedido por la </w:t>
      </w:r>
      <w:r w:rsidRPr="004C5FFE">
        <w:rPr>
          <w:rFonts w:ascii="Verdana" w:eastAsia="Calibri" w:hAnsi="Verdana" w:cs="Arial"/>
          <w:lang w:val="es-ES_tradnl" w:eastAsia="es-MX"/>
        </w:rPr>
        <w:t>Agencia Nacional de Contratación Pública – Colombia Compra Eficiente,</w:t>
      </w:r>
      <w:r w:rsidRPr="004C5FFE">
        <w:rPr>
          <w:rFonts w:ascii="Verdana" w:eastAsia="Times New Roman" w:hAnsi="Verdana" w:cs="Arial"/>
          <w:lang w:val="es-ES_tradnl" w:eastAsia="es-MX"/>
        </w:rPr>
        <w:t xml:space="preserve"> determina los parámetros para establecer, acreditar y subsanar los requisitos habilitantes. El documento resalta que tienen como fin primordial medir “la aptitud </w:t>
      </w:r>
      <w:r w:rsidRPr="004C5FFE">
        <w:rPr>
          <w:rFonts w:ascii="Verdana" w:eastAsia="Times New Roman" w:hAnsi="Verdana" w:cs="Arial"/>
          <w:i/>
          <w:iCs/>
          <w:lang w:val="es-ES_tradnl" w:eastAsia="es-MX"/>
        </w:rPr>
        <w:t>del proponente</w:t>
      </w:r>
      <w:r w:rsidRPr="004C5FFE">
        <w:rPr>
          <w:rFonts w:ascii="Verdana" w:eastAsia="Times New Roman" w:hAnsi="Verdana" w:cs="Arial"/>
          <w:lang w:val="es-ES_tradnl" w:eastAsia="es-MX"/>
        </w:rPr>
        <w:t xml:space="preserve"> para participar en un proceso de contratación como oferente y están referidos a su capacidad jurídica, financiera, organizacional y su experiencia”. De acuerdo con el Manual, su propósito es “establecer unas condiciones mínimas para los </w:t>
      </w:r>
      <w:r w:rsidRPr="004C5FFE">
        <w:rPr>
          <w:rFonts w:ascii="Verdana" w:eastAsia="Times New Roman" w:hAnsi="Verdana" w:cs="Arial"/>
          <w:i/>
          <w:iCs/>
          <w:lang w:val="es-ES_tradnl" w:eastAsia="es-MX"/>
        </w:rPr>
        <w:t>proponentes</w:t>
      </w:r>
      <w:r w:rsidRPr="004C5FFE">
        <w:rPr>
          <w:rFonts w:ascii="Verdana" w:eastAsia="Times New Roman" w:hAnsi="Verdana" w:cs="Arial"/>
          <w:lang w:val="es-ES_tradnl" w:eastAsia="es-MX"/>
        </w:rPr>
        <w:t xml:space="preserve"> de tal manera que la Entidad Estatal sólo evalúe las ofertas de aquellos que están en condiciones de cumplir con el objeto del Proceso de Contratación”. </w:t>
      </w:r>
    </w:p>
    <w:p w14:paraId="031DD71A" w14:textId="77777777" w:rsidR="0016634D" w:rsidRPr="004C5FFE" w:rsidRDefault="0016634D" w:rsidP="0016634D">
      <w:pPr>
        <w:spacing w:after="120" w:line="276" w:lineRule="auto"/>
        <w:ind w:firstLine="709"/>
        <w:jc w:val="both"/>
        <w:rPr>
          <w:rFonts w:ascii="Verdana" w:eastAsia="Times New Roman" w:hAnsi="Verdana" w:cs="Arial"/>
          <w:lang w:val="es-ES_tradnl" w:eastAsia="es-MX"/>
        </w:rPr>
      </w:pPr>
      <w:r w:rsidRPr="004C5FFE">
        <w:rPr>
          <w:rFonts w:ascii="Verdana" w:eastAsia="Times New Roman" w:hAnsi="Verdana" w:cs="Arial"/>
          <w:lang w:val="es-ES_tradnl" w:eastAsia="es-MX"/>
        </w:rPr>
        <w:t xml:space="preserve">Así las cosas, al tratarse de condiciones mínimas, las entidades podrían establecer otras, según su autonomía de la voluntad, y teniendo en cuenta el objeto del contrato, los riesgos detectados en los estudios previos, el presupuesto oficial, entre otros factores. Al respecto, en la Sentencia C-004 de 2017, la Corte Constitucional señaló que “[l]a determinación de dichas condiciones habilitantes para participar, es competencia de la entidad que planee la celebración del contrato, a través de la valoración en concreto de las </w:t>
      </w:r>
      <w:r w:rsidRPr="004C5FFE">
        <w:rPr>
          <w:rFonts w:ascii="Verdana" w:eastAsia="Times New Roman" w:hAnsi="Verdana" w:cs="Arial"/>
          <w:lang w:val="es-ES_tradnl" w:eastAsia="es-MX"/>
        </w:rPr>
        <w:lastRenderedPageBreak/>
        <w:t>características mínimas de idoneidad, experiencia, capacidad jurídica y financiera para que la realización del objeto contractual resulte eficiente y eficaz frente a la necesidad identificada”.</w:t>
      </w:r>
    </w:p>
    <w:p w14:paraId="2AD1AC0E"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val="es-ES_tradnl" w:eastAsia="es-MX"/>
        </w:rPr>
      </w:pPr>
      <w:bookmarkStart w:id="8" w:name="_Hlk99548027"/>
      <w:r w:rsidRPr="004C5FFE">
        <w:rPr>
          <w:rFonts w:ascii="Verdana" w:eastAsia="Times New Roman" w:hAnsi="Verdana" w:cs="Arial"/>
          <w:lang w:val="es-ES_tradnl" w:eastAsia="es-MX"/>
        </w:rPr>
        <w:t xml:space="preserve">En ese sentido, si bien </w:t>
      </w:r>
      <w:r w:rsidRPr="004C5FFE">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4C5FFE">
        <w:rPr>
          <w:rFonts w:ascii="Verdana" w:eastAsia="Times New Roman" w:hAnsi="Verdana" w:cs="Arial"/>
          <w:lang w:val="es-ES_tradnl" w:eastAsia="es-MX"/>
        </w:rPr>
        <w:t xml:space="preserve">En consecuencia, corresponde a las Entidades Estatales, durante la etapa de planeación del contrato estatal, estudiar y </w:t>
      </w:r>
      <w:r w:rsidRPr="004C5FFE">
        <w:rPr>
          <w:rFonts w:ascii="Verdana" w:eastAsia="Times New Roman" w:hAnsi="Verdana" w:cs="Arial"/>
          <w:bCs/>
          <w:iCs/>
          <w:lang w:val="es-ES_tradnl" w:eastAsia="es-MX"/>
        </w:rPr>
        <w:t>determinar</w:t>
      </w:r>
      <w:r w:rsidRPr="004C5FFE">
        <w:rPr>
          <w:rFonts w:ascii="Verdana" w:eastAsia="Times New Roman" w:hAnsi="Verdana" w:cs="Arial"/>
          <w:lang w:val="es-ES_tradnl" w:eastAsia="es-MX"/>
        </w:rPr>
        <w:t xml:space="preserve"> los requisitos habilitantes que establecerán en los Pliegos de Condiciones, los cuales deben fijarse de forma adecuada y proporcional. </w:t>
      </w:r>
    </w:p>
    <w:p w14:paraId="48C263FD"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val="es-ES_tradnl" w:eastAsia="es-MX"/>
        </w:rPr>
      </w:pPr>
      <w:r w:rsidRPr="004C5FFE">
        <w:rPr>
          <w:rFonts w:ascii="Verdana" w:eastAsia="Times New Roman" w:hAnsi="Verdana" w:cs="Arial"/>
          <w:lang w:val="es-ES_tradnl" w:eastAsia="es-MX"/>
        </w:rPr>
        <w:t>El Decreto 1082 de 2015 en su artículo 2.2.1.1.1.6.2 reglamenta los requisitos habilitantes, estableciendo que estos deben ser señalados en los Pliegos de Condiciones o en la invitación</w:t>
      </w:r>
      <w:r w:rsidRPr="004C5FFE">
        <w:rPr>
          <w:rFonts w:ascii="Verdana" w:eastAsia="Times New Roman" w:hAnsi="Verdana" w:cs="Arial"/>
          <w:vertAlign w:val="superscript"/>
          <w:lang w:val="es-ES_tradnl" w:eastAsia="es-MX"/>
        </w:rPr>
        <w:footnoteReference w:id="6"/>
      </w:r>
      <w:r w:rsidRPr="004C5FFE">
        <w:rPr>
          <w:rFonts w:ascii="Verdana" w:eastAsia="Times New Roman" w:hAnsi="Verdana" w:cs="Arial"/>
          <w:lang w:val="es-ES_tradnl" w:eastAsia="es-MX"/>
        </w:rPr>
        <w:t>, lo cual es concordante con el numeral 5 del artículo 2.2.1.1.2.1.3, en el que se establece como uno de los componentes mínimos de los Pliegos de Condiciones</w:t>
      </w:r>
      <w:r w:rsidRPr="004C5FFE">
        <w:rPr>
          <w:rFonts w:ascii="Verdana" w:hAnsi="Verdana" w:cs="Arial"/>
          <w:color w:val="000000"/>
        </w:rPr>
        <w:t xml:space="preserve"> a las reglas aplicables a la presentación y evaluación de las ofertas, entre las que se inscriben las relativas a la acreditación de las condiciones habilitantes. </w:t>
      </w:r>
      <w:r w:rsidRPr="004C5FFE">
        <w:rPr>
          <w:rFonts w:ascii="Verdana" w:eastAsia="Times New Roman" w:hAnsi="Verdana" w:cs="Arial"/>
          <w:lang w:val="es-ES_tradnl" w:eastAsia="es-MX"/>
        </w:rPr>
        <w:t xml:space="preserve">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6482B5A7"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 xml:space="preserve">En contraposición a los </w:t>
      </w:r>
      <w:r w:rsidRPr="004C5FFE">
        <w:rPr>
          <w:rFonts w:ascii="Verdana" w:eastAsia="Calibri" w:hAnsi="Verdana" w:cs="Arial"/>
          <w:bCs/>
          <w:i/>
          <w:iCs/>
          <w:u w:val="single"/>
          <w:lang w:val="es-MX"/>
        </w:rPr>
        <w:t>requisitos habilitantes</w:t>
      </w:r>
      <w:r w:rsidRPr="004C5FFE">
        <w:rPr>
          <w:rFonts w:ascii="Verdana" w:eastAsia="Calibri" w:hAnsi="Verdana" w:cs="Arial"/>
          <w:bCs/>
          <w:lang w:val="es-MX"/>
        </w:rPr>
        <w:t xml:space="preserve">, el artículo 5 de la Ley 1150 de 2007 regula los factores dirigidos a determinar cuál es la propuesta, </w:t>
      </w:r>
      <w:r w:rsidRPr="004C5FFE">
        <w:rPr>
          <w:rFonts w:ascii="Verdana" w:eastAsia="Calibri" w:hAnsi="Verdana" w:cs="Arial"/>
          <w:bCs/>
          <w:lang w:val="es-MX"/>
        </w:rPr>
        <w:lastRenderedPageBreak/>
        <w:t xml:space="preserve">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w:t>
      </w:r>
      <w:r w:rsidRPr="004C5FFE">
        <w:rPr>
          <w:rFonts w:ascii="Verdana" w:eastAsia="Calibri" w:hAnsi="Verdana" w:cs="Arial"/>
          <w:bCs/>
          <w:i/>
          <w:iCs/>
          <w:u w:val="single"/>
          <w:lang w:val="es-MX"/>
        </w:rPr>
        <w:t>los factores técnicos y económicos de escogencia</w:t>
      </w:r>
      <w:r w:rsidRPr="004C5FFE">
        <w:rPr>
          <w:rFonts w:ascii="Verdana" w:eastAsia="Calibri" w:hAnsi="Verdana" w:cs="Arial"/>
          <w:bCs/>
          <w:lang w:val="es-MX"/>
        </w:rPr>
        <w:t xml:space="preserve">,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sidRPr="004C5FFE">
        <w:rPr>
          <w:rFonts w:ascii="Verdana" w:eastAsia="Calibri" w:hAnsi="Verdana" w:cs="Arial"/>
          <w:bCs/>
          <w:i/>
          <w:iCs/>
          <w:lang w:val="es-MX"/>
        </w:rPr>
        <w:t>puntajes o fórmulas</w:t>
      </w:r>
      <w:r w:rsidRPr="004C5FFE">
        <w:rPr>
          <w:rFonts w:ascii="Verdana" w:eastAsia="Calibri" w:hAnsi="Verdana" w:cs="Arial"/>
          <w:bCs/>
          <w:lang w:val="es-MX"/>
        </w:rPr>
        <w:t xml:space="preserve">, mientras que el literal b) se refiere la elección de la oferta que represente la mejor relación </w:t>
      </w:r>
      <w:r w:rsidRPr="004C5FFE">
        <w:rPr>
          <w:rFonts w:ascii="Verdana" w:eastAsia="Calibri" w:hAnsi="Verdana" w:cs="Arial"/>
          <w:bCs/>
          <w:i/>
          <w:iCs/>
          <w:lang w:val="es-MX"/>
        </w:rPr>
        <w:t>costo-beneficio</w:t>
      </w:r>
      <w:r w:rsidRPr="004C5FFE">
        <w:rPr>
          <w:rFonts w:ascii="Verdana" w:eastAsia="Calibri" w:hAnsi="Verdana" w:cs="Arial"/>
          <w:bCs/>
          <w:lang w:val="es-MX"/>
        </w:rPr>
        <w:t xml:space="preserve"> para la entidad. </w:t>
      </w:r>
    </w:p>
    <w:p w14:paraId="057FB238"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De acuerdo con lo expresado,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sidRPr="004C5FFE">
        <w:rPr>
          <w:rFonts w:ascii="Verdana" w:eastAsia="Calibri" w:hAnsi="Verdana" w:cs="Arial"/>
          <w:bCs/>
          <w:vertAlign w:val="superscript"/>
          <w:lang w:val="es-MX"/>
        </w:rPr>
        <w:footnoteReference w:id="7"/>
      </w:r>
      <w:r w:rsidRPr="004C5FFE">
        <w:rPr>
          <w:rFonts w:ascii="Verdana" w:eastAsia="Calibri" w:hAnsi="Verdana" w:cs="Arial"/>
          <w:bCs/>
          <w:lang w:val="es-MX"/>
        </w:rPr>
        <w:t>. Todas estas categorías designan los “[…] factores a los cuales cabe otorgarles puntajes o que pueden ser ponderados, precisamente, pues estos son los factores que en últimas permiten una comparación de ofertas y una diferenciación entre ellas”</w:t>
      </w:r>
      <w:r w:rsidRPr="004C5FFE">
        <w:rPr>
          <w:rFonts w:ascii="Verdana" w:eastAsia="Calibri" w:hAnsi="Verdana" w:cs="Arial"/>
          <w:bCs/>
          <w:vertAlign w:val="superscript"/>
          <w:lang w:val="es-MX"/>
        </w:rPr>
        <w:footnoteReference w:id="8"/>
      </w:r>
      <w:r w:rsidRPr="004C5FFE">
        <w:rPr>
          <w:rFonts w:ascii="Verdana" w:eastAsia="Calibri" w:hAnsi="Verdana" w:cs="Arial"/>
          <w:bCs/>
          <w:lang w:val="es-MX"/>
        </w:rPr>
        <w:t xml:space="preserve">. </w:t>
      </w:r>
    </w:p>
    <w:p w14:paraId="0EE4CD10" w14:textId="77777777" w:rsidR="0016634D" w:rsidRPr="004C5FFE" w:rsidRDefault="0016634D" w:rsidP="0016634D">
      <w:pPr>
        <w:spacing w:before="120" w:after="0" w:line="276" w:lineRule="auto"/>
        <w:ind w:right="51" w:firstLine="709"/>
        <w:jc w:val="both"/>
        <w:rPr>
          <w:rFonts w:ascii="Verdana" w:eastAsia="Calibri" w:hAnsi="Verdana" w:cs="Arial"/>
          <w:bCs/>
          <w:lang w:val="es-MX"/>
        </w:rPr>
      </w:pPr>
      <w:r w:rsidRPr="004C5FFE">
        <w:rPr>
          <w:rFonts w:ascii="Verdana" w:eastAsia="Calibri" w:hAnsi="Verdana" w:cs="Arial"/>
          <w:bCs/>
          <w:lang w:val="es-MX"/>
        </w:rPr>
        <w:t>Sobre la escogencia de la oferta más favorable a los intereses de la entidad y la evaluación de los factores exigidos en un caso concreto para el efecto, la doctrina explica que:</w:t>
      </w:r>
    </w:p>
    <w:p w14:paraId="7A9B938F" w14:textId="77777777" w:rsidR="0016634D" w:rsidRPr="004C5FFE" w:rsidRDefault="0016634D" w:rsidP="0016634D">
      <w:pPr>
        <w:spacing w:after="0" w:line="276" w:lineRule="auto"/>
        <w:ind w:right="51"/>
        <w:jc w:val="both"/>
        <w:rPr>
          <w:rFonts w:ascii="Verdana" w:eastAsia="Calibri" w:hAnsi="Verdana" w:cs="Arial"/>
          <w:bCs/>
          <w:lang w:val="es-MX"/>
        </w:rPr>
      </w:pPr>
    </w:p>
    <w:p w14:paraId="3D78D05B"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r w:rsidRPr="004C5FFE">
        <w:rPr>
          <w:rFonts w:ascii="Verdana" w:eastAsia="Calibri" w:hAnsi="Verdana" w:cs="Arial"/>
          <w:bCs/>
          <w:sz w:val="20"/>
          <w:szCs w:val="20"/>
          <w:lang w:val="es-MX"/>
        </w:rPr>
        <w:lastRenderedPageBreak/>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5EDE1331"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p>
    <w:p w14:paraId="08931A5E"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r w:rsidRPr="004C5FFE">
        <w:rPr>
          <w:rFonts w:ascii="Verdana" w:eastAsia="Calibri" w:hAnsi="Verdana" w:cs="Arial"/>
          <w:bCs/>
          <w:sz w:val="20"/>
          <w:szCs w:val="20"/>
          <w:lang w:val="es-MX"/>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0E673A47"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p>
    <w:p w14:paraId="29337D20"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r w:rsidRPr="004C5FFE">
        <w:rPr>
          <w:rFonts w:ascii="Verdana" w:eastAsia="Calibri" w:hAnsi="Verdana" w:cs="Arial"/>
          <w:bCs/>
          <w:sz w:val="20"/>
          <w:szCs w:val="20"/>
          <w:lang w:val="es-MX"/>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4C5FFE">
        <w:rPr>
          <w:rFonts w:ascii="Verdana" w:eastAsia="Calibri" w:hAnsi="Verdana" w:cs="Arial"/>
          <w:bCs/>
          <w:sz w:val="20"/>
          <w:szCs w:val="20"/>
          <w:vertAlign w:val="superscript"/>
          <w:lang w:val="es-MX"/>
        </w:rPr>
        <w:footnoteReference w:id="9"/>
      </w:r>
      <w:r w:rsidRPr="004C5FFE">
        <w:rPr>
          <w:rFonts w:ascii="Verdana" w:eastAsia="Calibri" w:hAnsi="Verdana" w:cs="Arial"/>
          <w:bCs/>
          <w:sz w:val="20"/>
          <w:szCs w:val="20"/>
          <w:lang w:val="es-MX"/>
        </w:rPr>
        <w:t>.</w:t>
      </w:r>
    </w:p>
    <w:p w14:paraId="37540B78" w14:textId="77777777" w:rsidR="0016634D" w:rsidRPr="004C5FFE" w:rsidRDefault="0016634D" w:rsidP="0016634D">
      <w:pPr>
        <w:spacing w:after="0" w:line="276" w:lineRule="auto"/>
        <w:ind w:left="709" w:right="709"/>
        <w:jc w:val="both"/>
        <w:rPr>
          <w:rFonts w:ascii="Verdana" w:eastAsia="Calibri" w:hAnsi="Verdana" w:cs="Arial"/>
          <w:bCs/>
          <w:lang w:val="es-MX"/>
        </w:rPr>
      </w:pPr>
    </w:p>
    <w:p w14:paraId="2E48C214" w14:textId="77777777" w:rsidR="0016634D" w:rsidRPr="004C5FFE" w:rsidRDefault="0016634D" w:rsidP="0016634D">
      <w:pPr>
        <w:spacing w:after="120" w:line="276" w:lineRule="auto"/>
        <w:ind w:firstLine="709"/>
        <w:jc w:val="both"/>
        <w:rPr>
          <w:rFonts w:ascii="Verdana" w:eastAsia="Calibri" w:hAnsi="Verdana" w:cs="Arial"/>
          <w:bCs/>
          <w:lang w:val="es-MX"/>
        </w:rPr>
      </w:pPr>
      <w:r w:rsidRPr="004C5FFE">
        <w:rPr>
          <w:rFonts w:ascii="Verdana" w:eastAsia="Calibri" w:hAnsi="Verdana" w:cs="Arial"/>
          <w:bCs/>
          <w:lang w:val="es-MX"/>
        </w:rPr>
        <w:t xml:space="preserve">De esta </w:t>
      </w:r>
      <w:proofErr w:type="gramStart"/>
      <w:r w:rsidRPr="004C5FFE">
        <w:rPr>
          <w:rFonts w:ascii="Verdana" w:eastAsia="Calibri" w:hAnsi="Verdana" w:cs="Arial"/>
          <w:bCs/>
          <w:lang w:val="es-MX"/>
        </w:rPr>
        <w:t>forma ,</w:t>
      </w:r>
      <w:proofErr w:type="gramEnd"/>
      <w:r w:rsidRPr="004C5FFE">
        <w:rPr>
          <w:rFonts w:ascii="Verdana" w:eastAsia="Calibri" w:hAnsi="Verdana" w:cs="Arial"/>
          <w:bCs/>
          <w:lang w:val="es-MX"/>
        </w:rPr>
        <w:t xml:space="preserve">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384A37AF" w14:textId="77777777" w:rsidR="0016634D" w:rsidRPr="004C5FFE" w:rsidRDefault="0016634D" w:rsidP="0016634D">
      <w:pPr>
        <w:tabs>
          <w:tab w:val="left" w:pos="0"/>
        </w:tabs>
        <w:spacing w:after="0" w:line="276" w:lineRule="auto"/>
        <w:ind w:firstLine="709"/>
        <w:jc w:val="both"/>
        <w:rPr>
          <w:rFonts w:ascii="Verdana" w:eastAsia="Arial" w:hAnsi="Verdana" w:cs="Arial"/>
          <w:color w:val="000000"/>
          <w:lang w:val="es-ES"/>
        </w:rPr>
      </w:pPr>
      <w:bookmarkStart w:id="9" w:name="_Hlk169791737"/>
      <w:r w:rsidRPr="004C5FFE">
        <w:rPr>
          <w:rFonts w:ascii="Verdana" w:eastAsia="Arial" w:hAnsi="Verdana" w:cs="Arial"/>
          <w:color w:val="000000"/>
          <w:lang w:val="es-ES"/>
        </w:rPr>
        <w:lastRenderedPageBreak/>
        <w:t>El deber de selección objetiva está ligado a la determinación del ofrecimiento más favorable, cuyo contenido debe ser precisado a partir de las diferentes alternativas del artículo 5 de la Ley 1150 de 2007, reglamentado por el artículo 2.2.1.1.2.2.2 del Decreto 1082 de 2015</w:t>
      </w:r>
      <w:bookmarkEnd w:id="9"/>
      <w:r w:rsidRPr="004C5FFE">
        <w:rPr>
          <w:rFonts w:ascii="Verdana" w:eastAsia="Arial" w:hAnsi="Verdana" w:cs="Arial"/>
          <w:color w:val="000000"/>
          <w:lang w:val="es-ES"/>
        </w:rPr>
        <w:t>, que en todo caso deben reflejarse en el pliego de condiciones o documento equivalente para el respectivo proceso de selección. Estas disposiciones establecen que en los procesos de selección deben evaluarse, fuera de los requisitos habilitantes, los factores de calificación. Son estos últimos los que determinan la oferta más favorable para la entidad y la que, en consecuencia, debe elegirse.</w:t>
      </w:r>
    </w:p>
    <w:p w14:paraId="1246F3D1" w14:textId="77777777" w:rsidR="0016634D" w:rsidRPr="004C5FFE" w:rsidRDefault="0016634D" w:rsidP="0016634D">
      <w:pPr>
        <w:tabs>
          <w:tab w:val="left" w:pos="0"/>
        </w:tabs>
        <w:spacing w:after="0" w:line="276" w:lineRule="auto"/>
        <w:ind w:firstLine="709"/>
        <w:jc w:val="both"/>
        <w:rPr>
          <w:rFonts w:ascii="Verdana" w:eastAsia="Arial" w:hAnsi="Verdana" w:cs="Arial"/>
          <w:color w:val="000000"/>
          <w:lang w:val="es-ES"/>
        </w:rPr>
      </w:pPr>
    </w:p>
    <w:p w14:paraId="47045817" w14:textId="77777777" w:rsidR="0016634D" w:rsidRPr="004C5FFE" w:rsidRDefault="0016634D" w:rsidP="0016634D">
      <w:pPr>
        <w:spacing w:after="120" w:line="276" w:lineRule="auto"/>
        <w:jc w:val="both"/>
        <w:rPr>
          <w:rFonts w:ascii="Verdana" w:hAnsi="Verdana" w:cs="Arial"/>
        </w:rPr>
      </w:pPr>
      <w:proofErr w:type="spellStart"/>
      <w:r w:rsidRPr="004C5FFE">
        <w:rPr>
          <w:rFonts w:ascii="Verdana" w:eastAsia="Arial" w:hAnsi="Verdana" w:cs="Arial"/>
          <w:color w:val="000000"/>
          <w:lang w:val="es-ES"/>
        </w:rPr>
        <w:t>ii</w:t>
      </w:r>
      <w:proofErr w:type="spellEnd"/>
      <w:r w:rsidRPr="004C5FFE">
        <w:rPr>
          <w:rFonts w:ascii="Verdana" w:eastAsia="Arial" w:hAnsi="Verdana" w:cs="Arial"/>
          <w:color w:val="000000"/>
          <w:lang w:val="es-ES"/>
        </w:rPr>
        <w:t xml:space="preserve">) Sobre la solicitud de especificaciones técnicas o el cumplimiento de fichas o anexos de esta naturaleza, es importante advertir que </w:t>
      </w:r>
      <w:r w:rsidRPr="004C5FFE">
        <w:rPr>
          <w:rFonts w:ascii="Verdana" w:hAnsi="Verdana"/>
        </w:rPr>
        <w:t xml:space="preserve">no se encuentra definida formalmente en la normativa que regula la contratación pública. El Decreto 1082 de 2015, artículo 2.2.1.2.1.2.1 establece que, para contratar bienes y servicios de características técnicas uniformes, el pliego de condiciones debe indicar las especificaciones que deben estar incluidas en la “ficha técnica”. En particular, esta disposición señala que, para los procesos de selección abreviada para adquirir bienes y servicios de características técnicas uniformes, la ficha técnica debe contemplar los siguientes aspectos: i) la clasificación del bien o servicio de acuerdo con el Clasificador de Bienes y Servicios; </w:t>
      </w:r>
      <w:proofErr w:type="spellStart"/>
      <w:r w:rsidRPr="004C5FFE">
        <w:rPr>
          <w:rFonts w:ascii="Verdana" w:hAnsi="Verdana"/>
        </w:rPr>
        <w:t>ii</w:t>
      </w:r>
      <w:proofErr w:type="spellEnd"/>
      <w:r w:rsidRPr="004C5FFE">
        <w:rPr>
          <w:rFonts w:ascii="Verdana" w:hAnsi="Verdana"/>
        </w:rPr>
        <w:t xml:space="preserve">) la identificación adicional requerida; </w:t>
      </w:r>
      <w:proofErr w:type="spellStart"/>
      <w:r w:rsidRPr="004C5FFE">
        <w:rPr>
          <w:rFonts w:ascii="Verdana" w:hAnsi="Verdana"/>
        </w:rPr>
        <w:t>iii</w:t>
      </w:r>
      <w:proofErr w:type="spellEnd"/>
      <w:r w:rsidRPr="004C5FFE">
        <w:rPr>
          <w:rFonts w:ascii="Verdana" w:hAnsi="Verdana"/>
        </w:rPr>
        <w:t xml:space="preserve">) la unidad de medida; </w:t>
      </w:r>
      <w:proofErr w:type="spellStart"/>
      <w:r w:rsidRPr="004C5FFE">
        <w:rPr>
          <w:rFonts w:ascii="Verdana" w:hAnsi="Verdana"/>
        </w:rPr>
        <w:t>iv</w:t>
      </w:r>
      <w:proofErr w:type="spellEnd"/>
      <w:r w:rsidRPr="004C5FFE">
        <w:rPr>
          <w:rFonts w:ascii="Verdana" w:hAnsi="Verdana"/>
        </w:rPr>
        <w:t>) la calidad mínima, y v) los patrones de desempeño</w:t>
      </w:r>
      <w:r w:rsidRPr="004C5FFE">
        <w:rPr>
          <w:rFonts w:ascii="Verdana" w:hAnsi="Verdana"/>
          <w:spacing w:val="-2"/>
        </w:rPr>
        <w:t xml:space="preserve"> </w:t>
      </w:r>
      <w:r w:rsidRPr="004C5FFE">
        <w:rPr>
          <w:rFonts w:ascii="Verdana" w:hAnsi="Verdana"/>
        </w:rPr>
        <w:t>mínimos</w:t>
      </w:r>
      <w:r w:rsidRPr="004C5FFE">
        <w:rPr>
          <w:rStyle w:val="Refdenotaalpie"/>
          <w:rFonts w:ascii="Verdana" w:hAnsi="Verdana"/>
        </w:rPr>
        <w:footnoteReference w:id="10"/>
      </w:r>
      <w:r w:rsidRPr="004C5FFE">
        <w:rPr>
          <w:rFonts w:ascii="Verdana" w:hAnsi="Verdana" w:cs="Arial"/>
        </w:rPr>
        <w:t>.</w:t>
      </w:r>
    </w:p>
    <w:p w14:paraId="0CB448EB" w14:textId="77777777" w:rsidR="0016634D" w:rsidRPr="004C5FFE" w:rsidRDefault="0016634D" w:rsidP="0016634D">
      <w:pPr>
        <w:spacing w:after="120" w:line="276" w:lineRule="auto"/>
        <w:ind w:firstLine="709"/>
        <w:jc w:val="both"/>
        <w:rPr>
          <w:rFonts w:ascii="Verdana" w:hAnsi="Verdana"/>
        </w:rPr>
      </w:pPr>
      <w:r w:rsidRPr="004C5FFE">
        <w:rPr>
          <w:rFonts w:ascii="Verdana" w:hAnsi="Verdana"/>
        </w:rPr>
        <w:t>Por su parte, el artículo 2.2.1.1.2.1.1. del Decreto 1082 de 2015, relativo a “Estudios y documentos previos”, aplicable a la mayoría de los procesos de selección, ya no solo para la adquisición de bienes y servicios de características técnicas uniformes, establece que en ellos se indicará el objeto del contrato con sus especificaciones y documentos técnicos, el cual puede revestir el carácter de “ficha técnica”, “anexo técnico” o “especificaciones técnicas”. Además, el proponente con la presentación de la oferta debe señalar</w:t>
      </w:r>
      <w:r w:rsidRPr="004C5FFE">
        <w:rPr>
          <w:rFonts w:ascii="Verdana" w:hAnsi="Verdana"/>
          <w:spacing w:val="-17"/>
        </w:rPr>
        <w:t xml:space="preserve"> </w:t>
      </w:r>
      <w:r w:rsidRPr="004C5FFE">
        <w:rPr>
          <w:rFonts w:ascii="Verdana" w:hAnsi="Verdana"/>
        </w:rPr>
        <w:t xml:space="preserve">las especificaciones </w:t>
      </w:r>
      <w:r w:rsidRPr="004C5FFE">
        <w:rPr>
          <w:rFonts w:ascii="Verdana" w:hAnsi="Verdana"/>
        </w:rPr>
        <w:lastRenderedPageBreak/>
        <w:t>técnicas del bien o servicio que permitan corroborar que cumple con las condiciones exigidas en el pliego de condiciones.</w:t>
      </w:r>
    </w:p>
    <w:p w14:paraId="7B5E1BAF" w14:textId="77777777" w:rsidR="0016634D" w:rsidRDefault="0016634D" w:rsidP="00CC1F16">
      <w:pPr>
        <w:spacing w:after="0" w:line="276" w:lineRule="auto"/>
        <w:ind w:firstLine="709"/>
        <w:jc w:val="both"/>
        <w:rPr>
          <w:rFonts w:ascii="Verdana" w:hAnsi="Verdana"/>
        </w:rPr>
      </w:pPr>
      <w:r w:rsidRPr="004C5FFE">
        <w:rPr>
          <w:rFonts w:ascii="Verdana" w:hAnsi="Verdana"/>
        </w:rPr>
        <w:t>En este orden de ideas, la ficha técnica y/o anexo técnico es el documento que contiene las especificaciones técnicas que debe cumplir el bien o servicio a contratar, o aquel documento que indica las especificaciones técnicas respecto del bien o servicio ofertado por el proponente. En otras palabras, en lo relativo al proponente, el documento que anexa como “ficha técnica” y/o “anexo técnico” está estrechamente vinculado con el bien o servicio ofertado, toda vez que es la descripción más minuciosa y detallada de las características, componentes y funcionamiento de los bienes y servicios con los que se busca satisfacer la necesidad de la</w:t>
      </w:r>
      <w:r w:rsidRPr="004C5FFE">
        <w:rPr>
          <w:rFonts w:ascii="Verdana" w:hAnsi="Verdana"/>
          <w:spacing w:val="-10"/>
        </w:rPr>
        <w:t xml:space="preserve"> </w:t>
      </w:r>
      <w:r w:rsidRPr="004C5FFE">
        <w:rPr>
          <w:rFonts w:ascii="Verdana" w:hAnsi="Verdana"/>
        </w:rPr>
        <w:t>entidad.</w:t>
      </w:r>
    </w:p>
    <w:p w14:paraId="5CED0D02" w14:textId="77777777" w:rsidR="00CC1F16" w:rsidRPr="004C5FFE" w:rsidRDefault="00CC1F16" w:rsidP="00CC1F16">
      <w:pPr>
        <w:spacing w:after="0" w:line="276" w:lineRule="auto"/>
        <w:ind w:firstLine="709"/>
        <w:jc w:val="both"/>
        <w:rPr>
          <w:rFonts w:ascii="Verdana" w:hAnsi="Verdana"/>
        </w:rPr>
      </w:pPr>
    </w:p>
    <w:p w14:paraId="6459113E" w14:textId="77777777" w:rsidR="0016634D" w:rsidRPr="004C5FFE" w:rsidRDefault="0016634D" w:rsidP="0016634D">
      <w:pPr>
        <w:tabs>
          <w:tab w:val="left" w:pos="0"/>
        </w:tabs>
        <w:spacing w:after="120" w:line="276" w:lineRule="auto"/>
        <w:jc w:val="both"/>
        <w:rPr>
          <w:rFonts w:ascii="Verdana" w:eastAsia="Times New Roman" w:hAnsi="Verdana" w:cs="Arial"/>
          <w:lang w:val="es-ES" w:eastAsia="es-MX"/>
        </w:rPr>
      </w:pPr>
      <w:proofErr w:type="spellStart"/>
      <w:r w:rsidRPr="004C5FFE">
        <w:rPr>
          <w:rFonts w:ascii="Verdana" w:eastAsia="Arial" w:hAnsi="Verdana" w:cs="Arial"/>
          <w:color w:val="000000"/>
          <w:lang w:val="es-ES"/>
        </w:rPr>
        <w:t>iii</w:t>
      </w:r>
      <w:proofErr w:type="spellEnd"/>
      <w:r w:rsidRPr="004C5FFE">
        <w:rPr>
          <w:rFonts w:ascii="Verdana" w:eastAsia="Arial" w:hAnsi="Verdana" w:cs="Arial"/>
          <w:color w:val="000000"/>
          <w:lang w:val="es-ES"/>
        </w:rPr>
        <w:t>)</w:t>
      </w:r>
      <w:r w:rsidRPr="004C5FFE">
        <w:rPr>
          <w:rFonts w:ascii="Verdana" w:eastAsia="Calibri" w:hAnsi="Verdana" w:cs="Arial"/>
          <w:color w:val="000000" w:themeColor="text1"/>
          <w:lang w:val="es-ES"/>
        </w:rPr>
        <w:t xml:space="preserve"> Las entidades deben determinar los requisitos habilitantes del proceso de selección que le permitan verificar que </w:t>
      </w:r>
      <w:r w:rsidRPr="004C5FFE">
        <w:rPr>
          <w:rFonts w:ascii="Verdana" w:eastAsia="Calibri" w:hAnsi="Verdana" w:cs="Arial"/>
          <w:i/>
          <w:iCs/>
          <w:color w:val="000000" w:themeColor="text1"/>
          <w:lang w:val="es-ES"/>
        </w:rPr>
        <w:t>el proponente</w:t>
      </w:r>
      <w:r w:rsidRPr="004C5FFE">
        <w:rPr>
          <w:rFonts w:ascii="Verdana" w:eastAsia="Calibri" w:hAnsi="Verdana" w:cs="Arial"/>
          <w:color w:val="000000" w:themeColor="text1"/>
          <w:lang w:val="es-ES"/>
        </w:rPr>
        <w:t xml:space="preserve"> cumple con la capacidad y experiencia necesarias para ejecutar el objeto contractual.</w:t>
      </w:r>
      <w:r w:rsidRPr="004C5FFE">
        <w:rPr>
          <w:rFonts w:ascii="Verdana" w:eastAsia="Times New Roman" w:hAnsi="Verdana" w:cs="Arial"/>
          <w:lang w:val="es-ES" w:eastAsia="es-MX"/>
        </w:rPr>
        <w:t xml:space="preserve"> </w:t>
      </w:r>
      <w:r w:rsidRPr="004C5FFE">
        <w:rPr>
          <w:rFonts w:ascii="Verdana" w:eastAsia="Times New Roman" w:hAnsi="Verdana" w:cs="Arial"/>
          <w:lang w:eastAsia="es-MX"/>
        </w:rPr>
        <w:t xml:space="preserve">En este sentido, se trata de aquellas condiciones referidas a la idoneidad del oferente para asumir adecuadamente la ejecución, en contraposición a los factores técnicos y económicos de escogencia, que se refieren al </w:t>
      </w:r>
      <w:r w:rsidRPr="004C5FFE">
        <w:rPr>
          <w:rFonts w:ascii="Verdana" w:eastAsia="Times New Roman" w:hAnsi="Verdana" w:cs="Arial"/>
          <w:i/>
          <w:iCs/>
          <w:lang w:eastAsia="es-MX"/>
        </w:rPr>
        <w:t>contenido de la oferta</w:t>
      </w:r>
      <w:r w:rsidRPr="004C5FFE">
        <w:rPr>
          <w:rFonts w:ascii="Verdana" w:eastAsia="Times New Roman" w:hAnsi="Verdana" w:cs="Arial"/>
          <w:lang w:eastAsia="es-MX"/>
        </w:rPr>
        <w:t xml:space="preserve"> y no a las calidades de quien la presenta, y que son susceptibles de ponderación mediante puntajes o fórmulas con el fin de determinar el ofrecimiento más favorable para la entidad.</w:t>
      </w:r>
    </w:p>
    <w:p w14:paraId="47F75D5A" w14:textId="77777777" w:rsidR="0016634D" w:rsidRPr="004C5FFE" w:rsidRDefault="0016634D" w:rsidP="0016634D">
      <w:pPr>
        <w:tabs>
          <w:tab w:val="left" w:pos="0"/>
        </w:tabs>
        <w:spacing w:after="120" w:line="276" w:lineRule="auto"/>
        <w:ind w:firstLine="709"/>
        <w:jc w:val="both"/>
        <w:rPr>
          <w:rFonts w:ascii="Verdana" w:eastAsia="Calibri" w:hAnsi="Verdana" w:cs="Arial"/>
          <w:color w:val="000000" w:themeColor="text1"/>
          <w:lang w:val="es-ES"/>
        </w:rPr>
      </w:pPr>
      <w:r w:rsidRPr="004C5FFE">
        <w:rPr>
          <w:rFonts w:ascii="Verdana" w:eastAsia="Calibri" w:hAnsi="Verdana" w:cs="Arial"/>
          <w:color w:val="000000" w:themeColor="text1"/>
          <w:kern w:val="2"/>
          <w:lang w:val="es-ES_tradnl"/>
          <w14:ligatures w14:val="standardContextual"/>
        </w:rPr>
        <w:t xml:space="preserve">En el contexto de esta distinción, esta Agencia ha sostenido que las entidades pueden requerir requisitos habilitantes adicionales a los previstos en el listado enunciativo del numeral primero del artículo 5 de la ley 1150 de 2007. Sin embargo, </w:t>
      </w:r>
      <w:r w:rsidRPr="004C5FFE">
        <w:rPr>
          <w:rFonts w:ascii="Verdana" w:eastAsia="Arial" w:hAnsi="Verdana" w:cs="Arial"/>
          <w:color w:val="000000"/>
          <w:lang w:val="es-ES"/>
        </w:rPr>
        <w:t xml:space="preserve">es importante advertir que </w:t>
      </w:r>
      <w:r w:rsidRPr="004C5FFE">
        <w:rPr>
          <w:rFonts w:ascii="Verdana" w:eastAsia="Calibri" w:hAnsi="Verdana" w:cs="Arial"/>
          <w:color w:val="000000" w:themeColor="text1"/>
        </w:rPr>
        <w:t xml:space="preserve">corresponde a las entidades estatales, durante la etapa de planeación del contrato estatal, estudiar y determinar de forma </w:t>
      </w:r>
      <w:r w:rsidRPr="004C5FFE">
        <w:rPr>
          <w:rFonts w:ascii="Verdana" w:eastAsia="Calibri" w:hAnsi="Verdana" w:cs="Arial"/>
          <w:i/>
          <w:iCs/>
          <w:color w:val="000000" w:themeColor="text1"/>
        </w:rPr>
        <w:t>adecuada y proporcional</w:t>
      </w:r>
      <w:r w:rsidRPr="004C5FFE">
        <w:rPr>
          <w:rFonts w:ascii="Verdana" w:eastAsia="Calibri" w:hAnsi="Verdana" w:cs="Arial"/>
          <w:color w:val="000000" w:themeColor="text1"/>
        </w:rPr>
        <w:t xml:space="preserve"> los requisitos habilitantes que establecerán en los pliegos de condiciones. Esto último, según se deriva de la lectura del artículo 2.2.1.1.1.6.2 del Decreto 1082 de 2015, debe hacerse de acuerdo con la naturaleza, el valor del contrato, la forma de pago, los riesgos asociados al contrato, el plazo y la complejidad de ejecución del objeto</w:t>
      </w:r>
      <w:r w:rsidRPr="004C5FFE">
        <w:rPr>
          <w:rStyle w:val="Refdenotaalpie"/>
          <w:rFonts w:ascii="Verdana" w:eastAsia="Calibri" w:hAnsi="Verdana" w:cs="Arial"/>
          <w:color w:val="000000" w:themeColor="text1"/>
        </w:rPr>
        <w:footnoteReference w:id="11"/>
      </w:r>
      <w:r w:rsidRPr="004C5FFE">
        <w:rPr>
          <w:rFonts w:ascii="Verdana" w:eastAsia="Calibri" w:hAnsi="Verdana" w:cs="Arial"/>
          <w:color w:val="000000" w:themeColor="text1"/>
        </w:rPr>
        <w:t>.</w:t>
      </w:r>
    </w:p>
    <w:p w14:paraId="77C519C3" w14:textId="77777777" w:rsidR="0016634D" w:rsidRPr="004C5FFE" w:rsidRDefault="0016634D" w:rsidP="0016634D">
      <w:pPr>
        <w:widowControl w:val="0"/>
        <w:autoSpaceDE w:val="0"/>
        <w:autoSpaceDN w:val="0"/>
        <w:spacing w:line="276" w:lineRule="auto"/>
        <w:ind w:firstLine="709"/>
        <w:jc w:val="both"/>
        <w:rPr>
          <w:rFonts w:ascii="Verdana" w:eastAsia="Calibri" w:hAnsi="Verdana" w:cs="Arial"/>
          <w:color w:val="000000" w:themeColor="text1"/>
        </w:rPr>
      </w:pPr>
      <w:r w:rsidRPr="004C5FFE">
        <w:rPr>
          <w:rFonts w:ascii="Verdana" w:eastAsia="Calibri" w:hAnsi="Verdana" w:cs="Arial"/>
          <w:color w:val="000000" w:themeColor="text1"/>
        </w:rPr>
        <w:lastRenderedPageBreak/>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5F7A4666"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val="es-ES" w:eastAsia="es-MX"/>
        </w:rPr>
      </w:pPr>
      <w:r w:rsidRPr="004C5FFE">
        <w:rPr>
          <w:rFonts w:ascii="Verdana" w:eastAsia="Times New Roman" w:hAnsi="Verdana" w:cs="Arial"/>
          <w:lang w:val="es-ES" w:eastAsia="es-MX"/>
        </w:rPr>
        <w:t xml:space="preserve">En virtud de lo anterior los requisitos habilitantes que determine la entidad deben: 1) medir verdaderamente la aptitud del proponente para cumplir con el </w:t>
      </w:r>
      <w:proofErr w:type="gramStart"/>
      <w:r w:rsidRPr="004C5FFE">
        <w:rPr>
          <w:rFonts w:ascii="Verdana" w:eastAsia="Times New Roman" w:hAnsi="Verdana" w:cs="Arial"/>
          <w:lang w:val="es-ES" w:eastAsia="es-MX"/>
        </w:rPr>
        <w:t>contrato;  2</w:t>
      </w:r>
      <w:proofErr w:type="gramEnd"/>
      <w:r w:rsidRPr="004C5FFE">
        <w:rPr>
          <w:rFonts w:ascii="Verdana" w:eastAsia="Times New Roman" w:hAnsi="Verdana" w:cs="Arial"/>
          <w:lang w:val="es-ES" w:eastAsia="es-MX"/>
        </w:rPr>
        <w:t>) ser proporcionales y adecuados al objeto del contrato; y 3) no limitar la participación en el Proceso de Selección convirtiéndose en barreras para la libre competencia.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desconozca los límites impuestos por la normativa vigente, como, por ejemplo, el parágrafo 2 del artículo 5 de la Ley 1150 de 2007, que prohíbe exigir certificaciones de sistemas de gestión de calidad como requisito habilitante.</w:t>
      </w:r>
      <w:bookmarkEnd w:id="8"/>
    </w:p>
    <w:p w14:paraId="70EB9AEE"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eastAsia="es-MX"/>
        </w:rPr>
      </w:pPr>
      <w:r w:rsidRPr="004C5FFE">
        <w:rPr>
          <w:rFonts w:ascii="Verdana" w:eastAsia="Times New Roman" w:hAnsi="Verdana" w:cs="Arial"/>
          <w:lang w:eastAsia="es-MX"/>
        </w:rPr>
        <w:t>De esta manera, frente al supuesto planteado en su consulta, la entidad debe determinar en cada caso si el requisito que pretende incluir como habilitante cumple con los parámetros previamente referidos. En efecto, la entidad debe establecer si el criterio en cuestión se refiere a las calidades del proponente, o si, por el contrario, constituye una condición relativa a la ejecución del contrato. En este último caso, dado que no correspondería a un requisito habilitante en sentido estricto, la entidad podrá incorporarlo como parte de las obligaciones contractuales que serán objeto de verificación por parte de la supervisión o interventoría, previendo las consecuencias jurídicas que se deriven de su incumplimiento; información que deberá conocer y aceptar el proponente que resulte adjudicatario del proceso de selección.</w:t>
      </w:r>
    </w:p>
    <w:p w14:paraId="19A3A189" w14:textId="77777777" w:rsidR="0016634D" w:rsidRPr="001B6DD6" w:rsidRDefault="0016634D" w:rsidP="0016634D">
      <w:pPr>
        <w:tabs>
          <w:tab w:val="left" w:pos="426"/>
        </w:tabs>
        <w:spacing w:after="120" w:line="276" w:lineRule="auto"/>
        <w:ind w:firstLine="709"/>
        <w:jc w:val="both"/>
        <w:rPr>
          <w:rFonts w:ascii="Verdana" w:eastAsia="Times New Roman" w:hAnsi="Verdana" w:cs="Arial"/>
          <w:lang w:eastAsia="es-MX"/>
        </w:rPr>
      </w:pPr>
      <w:r w:rsidRPr="001B6DD6">
        <w:rPr>
          <w:rFonts w:ascii="Verdana" w:eastAsia="Times New Roman" w:hAnsi="Verdana" w:cs="Arial"/>
          <w:lang w:eastAsia="es-MX"/>
        </w:rPr>
        <w:lastRenderedPageBreak/>
        <w:t>Por otra parte, según el análisis que realice la entidad como parte de una planeación adecuada, podrá considerar y justificar su inclusión como un factor técnico puntuable para determinar la oferta más favorable, en cumplimiento de lo previsto en el numeral 2 del artículo 5 de la Ley 1150 de 2007. En cualquier caso, si la entidad decide incluirlo como requisito habilitante, deberá justificarlo en los documentos del proceso, verificando que resulte razonable y proporcional con respecto a las particularidades del proceso de selección, y que no imponga una barrera injustificada a la participación que limite la libre competencia económica.</w:t>
      </w:r>
    </w:p>
    <w:p w14:paraId="3578CF06" w14:textId="77777777" w:rsidR="0016634D" w:rsidRPr="004C5FFE" w:rsidRDefault="0016634D" w:rsidP="0016634D">
      <w:pPr>
        <w:tabs>
          <w:tab w:val="left" w:pos="426"/>
        </w:tabs>
        <w:spacing w:after="120" w:line="276" w:lineRule="auto"/>
        <w:ind w:firstLine="709"/>
        <w:jc w:val="both"/>
        <w:rPr>
          <w:rFonts w:ascii="Verdana" w:hAnsi="Verdana"/>
          <w:lang/>
        </w:rPr>
      </w:pPr>
      <w:r w:rsidRPr="001B6DD6">
        <w:rPr>
          <w:rFonts w:ascii="Verdana" w:hAnsi="Verdana"/>
          <w:lang/>
        </w:rPr>
        <w:t xml:space="preserve">Con respecto a la pregunta referida a la solicitud de fichas </w:t>
      </w:r>
      <w:r w:rsidRPr="004C5FFE">
        <w:rPr>
          <w:rFonts w:ascii="Verdana" w:hAnsi="Verdana"/>
          <w:lang/>
        </w:rPr>
        <w:t xml:space="preserve">o aspectos técnicos específicos </w:t>
      </w:r>
      <w:r w:rsidRPr="001B6DD6">
        <w:rPr>
          <w:rFonts w:ascii="Verdana" w:hAnsi="Verdana"/>
          <w:lang/>
        </w:rPr>
        <w:t>como parte de los requisitos habilitantes, es necesario reiterar que estos últimos se refieren a las calidades del proponente y no del bien o servicio a adquirir. Como se mencionó antes, en la etapa de planeación las entidades deberán determinar en los estudios y documentos previos las especificaciones técnicas que deberá cumplir el bien o servicio, las cuales deben resultar adecuadas y proporcionales para verificar que este cumple con las calidades y funcionalidades necesarias para la satisfacción de la necesidad pública. En consecuencia, las entidades pueden establecer especificaciones detalladas en el pliego de condiciones, o en la ficha o anexo técnico, que definan las características mínimas de los equipos a adquirir, tales como la calidad y los patrones de desempeño mínimos; sin embargo, este aspecto corresponde a las condiciones del bien o servicio ofertado y es, por tanto, distinto a los requisitos habilitantes a los cuales se refiere el numeral primero del artículo 5 de la Ley 1150 de 2007.</w:t>
      </w:r>
    </w:p>
    <w:p w14:paraId="76AAF33E" w14:textId="77777777" w:rsidR="0016634D" w:rsidRPr="004C5FFE" w:rsidRDefault="0016634D" w:rsidP="0016634D">
      <w:pPr>
        <w:tabs>
          <w:tab w:val="left" w:pos="426"/>
        </w:tabs>
        <w:spacing w:after="120" w:line="276" w:lineRule="auto"/>
        <w:ind w:firstLine="709"/>
        <w:jc w:val="both"/>
        <w:rPr>
          <w:rFonts w:ascii="Verdana" w:hAnsi="Verdana"/>
          <w:lang/>
        </w:rPr>
      </w:pPr>
      <w:r w:rsidRPr="004C5FFE">
        <w:rPr>
          <w:rFonts w:ascii="Verdana" w:hAnsi="Verdana"/>
        </w:rPr>
        <w:t>Adicionalmente, en la determinación de estas especificaciones, las entidades deben abstenerse de imponer condiciones restrictivas que impidan el acceso al procedimiento de selección y que no resulten razonables y proporcionales al objeto del proceso. Los criterios adoptados deben propender por la más amplia oportunidad de concurrencia, corresponder a las necesidades reales de la entidad contratante y garantizar el derecho a la igualdad de los oferentes.</w:t>
      </w:r>
    </w:p>
    <w:p w14:paraId="1742781A" w14:textId="77777777" w:rsidR="0016634D" w:rsidRPr="004C5FFE" w:rsidRDefault="0016634D" w:rsidP="0016634D">
      <w:pPr>
        <w:tabs>
          <w:tab w:val="left" w:pos="426"/>
        </w:tabs>
        <w:spacing w:after="120" w:line="276" w:lineRule="auto"/>
        <w:ind w:firstLine="709"/>
        <w:jc w:val="both"/>
        <w:rPr>
          <w:rFonts w:ascii="Verdana" w:hAnsi="Verdana"/>
          <w:lang/>
        </w:rPr>
      </w:pPr>
      <w:r w:rsidRPr="004C5FFE">
        <w:rPr>
          <w:rFonts w:ascii="Verdana" w:hAnsi="Verdana"/>
        </w:rPr>
        <w:t xml:space="preserve">En este sentido, la entidad debe ser cuidadosa al incluir especificaciones técnicas que excedan aquellas necesarias para determinar la calidad o los patrones mínimos de desempeño del bien o servicio requerido. </w:t>
      </w:r>
      <w:r w:rsidRPr="004C5FFE">
        <w:rPr>
          <w:rFonts w:ascii="Verdana" w:eastAsia="Times New Roman" w:hAnsi="Verdana" w:cs="Arial"/>
          <w:bCs/>
          <w:lang w:eastAsia="es-CO"/>
        </w:rPr>
        <w:t xml:space="preserve">Con base a lo anterior, </w:t>
      </w:r>
      <w:r w:rsidRPr="004C5FFE">
        <w:rPr>
          <w:rFonts w:ascii="Verdana" w:hAnsi="Verdana"/>
        </w:rPr>
        <w:t xml:space="preserve">corresponde a la entidad determinar, según los resultados de la etapa </w:t>
      </w:r>
      <w:r w:rsidRPr="004C5FFE">
        <w:rPr>
          <w:rFonts w:ascii="Verdana" w:hAnsi="Verdana"/>
        </w:rPr>
        <w:lastRenderedPageBreak/>
        <w:t>de planeación, si aspectos como el cumplimiento de una marca, modelo o condición específica pueden resultar en una limitación injustificada a la libre competencia económica, o si existe una justificación técnica que respalde que dicha exigencia es proporcional y razonable para el cumplimiento del objeto contractual.</w:t>
      </w:r>
    </w:p>
    <w:p w14:paraId="6C064A8B" w14:textId="77777777" w:rsidR="0016634D" w:rsidRPr="004C5FFE" w:rsidRDefault="0016634D" w:rsidP="0016634D">
      <w:pPr>
        <w:spacing w:after="120" w:line="276" w:lineRule="auto"/>
        <w:jc w:val="both"/>
        <w:rPr>
          <w:rFonts w:ascii="Verdana" w:eastAsia="Calibri" w:hAnsi="Verdana" w:cs="Arial"/>
          <w:color w:val="000000"/>
          <w:lang w:val="es-ES"/>
        </w:rPr>
      </w:pPr>
      <w:r w:rsidRPr="004C5FFE">
        <w:rPr>
          <w:rFonts w:ascii="Verdana" w:eastAsia="Calibri" w:hAnsi="Verdana" w:cs="Arial"/>
          <w:color w:val="000000" w:themeColor="text1"/>
          <w:lang w:val="es-ES"/>
        </w:rPr>
        <w:t xml:space="preserve">Al </w:t>
      </w:r>
      <w:r w:rsidRPr="004C5FFE">
        <w:rPr>
          <w:rFonts w:ascii="Verdana" w:hAnsi="Verdana" w:cs="Arial"/>
          <w:lang w:val="es-ES" w:eastAsia="es-ES"/>
        </w:rPr>
        <w:t>margen de la explicación precedente debe advertirse que el análisis requerido para resolver problemas específicos en torno a la definición de los requisitos habilitantes o de las especificaciones técnicas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4866B32D" w14:textId="77777777" w:rsidR="0016634D" w:rsidRPr="004C5FFE" w:rsidRDefault="0016634D" w:rsidP="0016634D">
      <w:pPr>
        <w:pStyle w:val="Textoindependiente"/>
        <w:spacing w:after="240" w:line="276" w:lineRule="auto"/>
        <w:jc w:val="both"/>
        <w:rPr>
          <w:rFonts w:eastAsia="Calibri" w:cs="Times New Roman"/>
        </w:rPr>
      </w:pPr>
      <w:r w:rsidRPr="004C5FFE">
        <w:rPr>
          <w:rFonts w:cs="Arial"/>
          <w:lang w:eastAsia="es-ES"/>
        </w:rPr>
        <w:t xml:space="preserve">Dentro de este marco, la entidad pública definirá en cada caso concreto lo relacionado con el tema objeto de consulta. </w:t>
      </w:r>
      <w:r w:rsidRPr="004C5FFE">
        <w:rPr>
          <w:rFonts w:cs="Arial"/>
          <w:color w:val="000000" w:themeColor="text1"/>
        </w:rPr>
        <w:t>Al tratarse de un análisis que debe realizarse en un procedimiento contractual específico, esta Agencia no puede definir un criterio universal y absoluto por vía consultiva, sino que brinda elementos de carácter general para que</w:t>
      </w:r>
      <w:r w:rsidRPr="004C5FFE">
        <w:rPr>
          <w:rFonts w:eastAsia="Calibri" w:cs="Times New Roman"/>
        </w:rPr>
        <w:t xml:space="preserv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bookmarkEnd w:id="1"/>
    <w:bookmarkEnd w:id="2"/>
    <w:p w14:paraId="26F4A8C8"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color w:val="000000" w:themeColor="text1"/>
          <w:lang w:val="es-ES"/>
        </w:rPr>
      </w:pPr>
      <w:r w:rsidRPr="004C5FFE">
        <w:rPr>
          <w:rFonts w:ascii="Verdana" w:eastAsia="Century Gothic" w:hAnsi="Verdana" w:cs="Century Gothic"/>
          <w:b/>
          <w:color w:val="000000" w:themeColor="text1"/>
          <w:lang w:val="es-ES"/>
        </w:rPr>
        <w:t>4.Referencias normativas, jurisprudenciales y otras fuentes:</w:t>
      </w:r>
    </w:p>
    <w:p w14:paraId="12FBB58F" w14:textId="77777777" w:rsidR="0016634D" w:rsidRPr="004C5FFE" w:rsidRDefault="0016634D" w:rsidP="0016634D">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634D" w:rsidRPr="004C5FFE" w14:paraId="72D414CF" w14:textId="77777777" w:rsidTr="0094124E">
        <w:trPr>
          <w:trHeight w:val="870"/>
        </w:trPr>
        <w:tc>
          <w:tcPr>
            <w:tcW w:w="8647" w:type="dxa"/>
          </w:tcPr>
          <w:p w14:paraId="5D70EB91" w14:textId="77777777" w:rsidR="0016634D" w:rsidRPr="004C5FFE" w:rsidRDefault="0016634D" w:rsidP="00CC1F16">
            <w:pPr>
              <w:pStyle w:val="Prrafodelista"/>
              <w:numPr>
                <w:ilvl w:val="0"/>
                <w:numId w:val="16"/>
              </w:numPr>
              <w:snapToGrid w:val="0"/>
              <w:spacing w:before="120" w:line="276" w:lineRule="auto"/>
              <w:ind w:left="714" w:hanging="357"/>
              <w:jc w:val="both"/>
              <w:rPr>
                <w:rFonts w:ascii="Verdana" w:hAnsi="Verdana" w:cs="Arial"/>
              </w:rPr>
            </w:pPr>
            <w:r w:rsidRPr="004C5FFE">
              <w:rPr>
                <w:rFonts w:ascii="Verdana" w:hAnsi="Verdana" w:cs="Arial"/>
              </w:rPr>
              <w:t>Ley 80 de 1993, artículo: 77</w:t>
            </w:r>
          </w:p>
          <w:p w14:paraId="5009F17E"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1150 de 2007, artículos: 5 (numerales 1 y 2, parágrafos 1º al 4º) y 6, parágrafo 1</w:t>
            </w:r>
          </w:p>
          <w:p w14:paraId="2882441E"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1437 de 2011, artículo: 44</w:t>
            </w:r>
          </w:p>
          <w:p w14:paraId="287C0878"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1474 de 2011, artículo: 88</w:t>
            </w:r>
          </w:p>
          <w:p w14:paraId="395DA7B4"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1882 de 2018, artículo: 5</w:t>
            </w:r>
          </w:p>
          <w:p w14:paraId="58F78280"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lang w:val="es-CO"/>
              </w:rPr>
              <w:t>Corte Constitucional, Sentencia C-004 de 2017</w:t>
            </w:r>
          </w:p>
          <w:p w14:paraId="2A5647BC"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lang w:val="es-CO"/>
              </w:rPr>
              <w:lastRenderedPageBreak/>
              <w:t>Decreto 1082 de 2015, artículos: 2.2.1.1.1.6.2, 2.2.1.1.2.1.1, 2.2.1.1.2.1.3 numeral 5, 2.2.1.1.2.2.2, 2.2.1.1.1.3.1 y 2.2.1.2.1.2.1</w:t>
            </w:r>
          </w:p>
          <w:p w14:paraId="4B0ACBF7" w14:textId="77777777" w:rsidR="0016634D" w:rsidRPr="004C5FFE" w:rsidRDefault="0016634D" w:rsidP="0094124E">
            <w:pPr>
              <w:pStyle w:val="Prrafodelista"/>
              <w:numPr>
                <w:ilvl w:val="0"/>
                <w:numId w:val="16"/>
              </w:numPr>
              <w:snapToGrid w:val="0"/>
              <w:spacing w:line="276" w:lineRule="auto"/>
              <w:ind w:left="714" w:hanging="357"/>
              <w:jc w:val="both"/>
              <w:rPr>
                <w:rStyle w:val="Hipervnculo"/>
                <w:rFonts w:ascii="Verdana" w:hAnsi="Verdana" w:cs="Arial"/>
                <w:color w:val="auto"/>
                <w:u w:val="none"/>
              </w:rPr>
            </w:pPr>
            <w:r w:rsidRPr="004C5FFE">
              <w:rPr>
                <w:rFonts w:ascii="Verdana" w:hAnsi="Verdana" w:cs="Arial"/>
                <w:lang w:val="es-ES_tradnl"/>
              </w:rPr>
              <w:t xml:space="preserve">Manual para determinar y verificar los requisitos habilitantes en los Procesos de Contratación. Disponible aquí: </w:t>
            </w:r>
            <w:hyperlink r:id="rId12" w:history="1">
              <w:r w:rsidRPr="004C5FFE">
                <w:rPr>
                  <w:rStyle w:val="Hipervnculo"/>
                  <w:rFonts w:ascii="Verdana" w:hAnsi="Verdana" w:cs="Arial"/>
                  <w:color w:val="4472C4" w:themeColor="accent1"/>
                  <w:lang w:val="es-ES_tradnl"/>
                </w:rPr>
                <w:t>https://www.colombiacompra.gov.co/sites/cce_public/files/cce_documents/cce-eicp-ma-04._manual_requisitos_habilitantes_v3_29-09-2023.pdf</w:t>
              </w:r>
            </w:hyperlink>
          </w:p>
          <w:p w14:paraId="783FA64F"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DÁVILA VINUEZA, Luis Guillermo. Régimen jurídico de la contratación estatal. Tercera edición, Bogotá: Legis, 2016. p. 355.</w:t>
            </w:r>
          </w:p>
          <w:p w14:paraId="3CDC0DE6" w14:textId="77777777" w:rsidR="0016634D" w:rsidRPr="004C5FFE" w:rsidRDefault="0016634D" w:rsidP="0094124E">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RODRÍGUEZ TAMAYO, Mauricio F. Evaluación y rechazo de ofertas en la Ley 80 de 1993. Primera edición. Medellín: Librería Jurídica Sánchez, 2016. pp. 110-111.</w:t>
            </w:r>
          </w:p>
          <w:p w14:paraId="610E0B4B" w14:textId="77777777" w:rsidR="0016634D" w:rsidRPr="004C5FFE" w:rsidRDefault="0016634D" w:rsidP="00CC1F16">
            <w:pPr>
              <w:pStyle w:val="Prrafodelista"/>
              <w:numPr>
                <w:ilvl w:val="0"/>
                <w:numId w:val="16"/>
              </w:numPr>
              <w:snapToGrid w:val="0"/>
              <w:spacing w:after="120" w:line="276" w:lineRule="auto"/>
              <w:ind w:left="714" w:hanging="357"/>
              <w:jc w:val="both"/>
              <w:rPr>
                <w:rFonts w:ascii="Verdana" w:hAnsi="Verdana" w:cs="Arial"/>
              </w:rPr>
            </w:pPr>
            <w:r w:rsidRPr="004C5FFE">
              <w:rPr>
                <w:rFonts w:ascii="Verdana" w:hAnsi="Verdana" w:cs="Arial"/>
              </w:rPr>
              <w:t>EXPÓSITO VÉLEZ, Juan C., El deber de selección objetiva, en: Del contrato estatal a los sistemas de compras públicas, por COVILLA MARTÍNEZ Juan C. y LOZANO VILLEGAS Germán (Eds.). Universidad Externado de Colombia, Bogotá, 2019. págs. 118-184.</w:t>
            </w:r>
          </w:p>
        </w:tc>
      </w:tr>
    </w:tbl>
    <w:p w14:paraId="4D2F3DDD" w14:textId="77777777" w:rsidR="0016634D" w:rsidRPr="004C5FFE" w:rsidRDefault="0016634D" w:rsidP="0016634D">
      <w:pPr>
        <w:widowControl w:val="0"/>
        <w:autoSpaceDE w:val="0"/>
        <w:autoSpaceDN w:val="0"/>
        <w:spacing w:after="0" w:line="276" w:lineRule="auto"/>
        <w:jc w:val="both"/>
        <w:rPr>
          <w:rFonts w:ascii="Verdana" w:hAnsi="Verdana" w:cs="Arial"/>
          <w:color w:val="000000" w:themeColor="text1"/>
          <w:lang w:val="es-ES"/>
        </w:rPr>
      </w:pPr>
    </w:p>
    <w:p w14:paraId="28651A15"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color w:val="000000" w:themeColor="text1"/>
          <w:lang w:val="es-ES"/>
        </w:rPr>
      </w:pPr>
      <w:r w:rsidRPr="004C5FFE">
        <w:rPr>
          <w:rFonts w:ascii="Verdana" w:eastAsia="Century Gothic" w:hAnsi="Verdana" w:cs="Century Gothic"/>
          <w:b/>
          <w:color w:val="000000" w:themeColor="text1"/>
          <w:lang w:val="es-ES"/>
        </w:rPr>
        <w:t>5.Doctrina de la Agencia Nacional de Contratación Pública:</w:t>
      </w:r>
    </w:p>
    <w:p w14:paraId="49A66674" w14:textId="77777777" w:rsidR="0016634D" w:rsidRPr="004C5FFE" w:rsidRDefault="0016634D" w:rsidP="0016634D">
      <w:pPr>
        <w:widowControl w:val="0"/>
        <w:autoSpaceDE w:val="0"/>
        <w:autoSpaceDN w:val="0"/>
        <w:spacing w:after="0" w:line="276" w:lineRule="auto"/>
        <w:jc w:val="both"/>
        <w:rPr>
          <w:rFonts w:ascii="Verdana" w:hAnsi="Verdana" w:cs="Arial"/>
          <w:color w:val="000000" w:themeColor="text1"/>
          <w:lang w:val="es-ES"/>
        </w:rPr>
      </w:pPr>
    </w:p>
    <w:p w14:paraId="0FB54D48" w14:textId="77777777" w:rsidR="0016634D" w:rsidRPr="004C5FFE" w:rsidRDefault="0016634D" w:rsidP="0016634D">
      <w:pPr>
        <w:jc w:val="both"/>
        <w:rPr>
          <w:rFonts w:ascii="Verdana" w:eastAsia="Calibri" w:hAnsi="Verdana" w:cs="Arial"/>
          <w:b/>
          <w:bCs/>
          <w:color w:val="000000" w:themeColor="text1"/>
          <w:lang w:val="es-ES_tradnl"/>
        </w:rPr>
      </w:pPr>
      <w:r w:rsidRPr="004C5FFE">
        <w:rPr>
          <w:rFonts w:ascii="Verdana" w:eastAsia="Calibri" w:hAnsi="Verdana" w:cs="Arial"/>
          <w:lang w:val="es-ES"/>
        </w:rPr>
        <w:t xml:space="preserve">La Agencia Nacional de Contratación Pública – Colombia Compra Eficiente se ha referido </w:t>
      </w:r>
      <w:r w:rsidRPr="004C5FFE">
        <w:rPr>
          <w:rFonts w:ascii="Verdana" w:hAnsi="Verdana" w:cs="Arial"/>
          <w:shd w:val="clear" w:color="auto" w:fill="FFFFFF"/>
          <w:lang w:val="es-ES"/>
        </w:rPr>
        <w:t>sobre</w:t>
      </w:r>
      <w:r>
        <w:rPr>
          <w:rFonts w:ascii="Verdana" w:hAnsi="Verdana" w:cs="Arial"/>
          <w:shd w:val="clear" w:color="auto" w:fill="FFFFFF"/>
          <w:lang w:val="es-ES"/>
        </w:rPr>
        <w:t xml:space="preserve"> los requisitos habilitantes en los conceptos </w:t>
      </w:r>
      <w:r w:rsidRPr="002C385B">
        <w:rPr>
          <w:rFonts w:ascii="Verdana" w:eastAsia="Calibri" w:hAnsi="Verdana" w:cs="Arial"/>
          <w:lang w:val="es-ES_tradnl" w:eastAsia="es-ES_tradnl"/>
        </w:rPr>
        <w:t>requisitos habilitantes y  el carácter enunciativo de los mencionados en el artículo 5-1 de la Ley 1150 de 2007</w:t>
      </w:r>
      <w:r w:rsidRPr="000335E7">
        <w:rPr>
          <w:rFonts w:ascii="Verdana" w:eastAsia="Calibri" w:hAnsi="Verdana" w:cs="Arial"/>
          <w:lang w:val="es-ES_tradnl" w:eastAsia="es-ES_tradnl"/>
        </w:rPr>
        <w:t xml:space="preserve"> </w:t>
      </w:r>
      <w:r w:rsidRPr="002C385B">
        <w:rPr>
          <w:rFonts w:ascii="Verdana" w:eastAsia="Calibri" w:hAnsi="Verdana" w:cs="Arial"/>
        </w:rPr>
        <w:t xml:space="preserve">en los conceptos del 15 de noviembre, del 28 de noviembre, 16 de diciembre de 2019 –radicados No. 2201913000008520, 4201912000007329 y 2201913000009295–, así como en los conceptos C-120 del 3 de marzo de 2020, C-204 del 31 de marzo de 2020, C-099 del 6 de abril de 2020, C-195 del 13 de abril de 2020, C-013 del 17 de abril de 2020, </w:t>
      </w:r>
      <w:r>
        <w:rPr>
          <w:rFonts w:ascii="Verdana" w:eastAsia="Calibri" w:hAnsi="Verdana" w:cs="Arial"/>
        </w:rPr>
        <w:t xml:space="preserve">C-107 del 24 de febrero de 2020, </w:t>
      </w:r>
      <w:r w:rsidRPr="002C385B">
        <w:rPr>
          <w:rFonts w:ascii="Verdana" w:eastAsia="Calibri" w:hAnsi="Verdana" w:cs="Arial"/>
        </w:rPr>
        <w:t>C-330 del 27 de mayo de 2020, C-396 de 16 de julio de 2020, C-142 del 30 de marzo de 2022</w:t>
      </w:r>
      <w:r>
        <w:rPr>
          <w:rFonts w:ascii="Verdana" w:eastAsia="Calibri" w:hAnsi="Verdana" w:cs="Arial"/>
        </w:rPr>
        <w:t xml:space="preserve">, </w:t>
      </w:r>
      <w:r w:rsidRPr="004C5FFE">
        <w:rPr>
          <w:rFonts w:ascii="Verdana" w:eastAsia="Calibri" w:hAnsi="Verdana" w:cs="Arial"/>
        </w:rPr>
        <w:t>C-201 de 2024, C-354 de 2024, C-426 de 2024, C-457 de 2024, C-981 de 2024, C-007 de 2025, C-222 de 2025, C-232 de 2025, C-488 de 2025, C-722 de 2025, C-220 de 2026</w:t>
      </w:r>
      <w:r w:rsidRPr="004C5FFE">
        <w:rPr>
          <w:rFonts w:ascii="Verdana" w:hAnsi="Verdana" w:cs="Arial"/>
          <w:shd w:val="clear" w:color="auto" w:fill="FFFFFF"/>
          <w:lang w:val="es-ES"/>
        </w:rPr>
        <w:t xml:space="preserve">, entre otros. </w:t>
      </w:r>
      <w:r>
        <w:rPr>
          <w:rFonts w:ascii="Verdana" w:hAnsi="Verdana" w:cs="Arial"/>
          <w:shd w:val="clear" w:color="auto" w:fill="FFFFFF"/>
          <w:lang w:val="es-ES"/>
        </w:rPr>
        <w:t xml:space="preserve">Sobre el anexo o ficha técnica se refirió en el concepto </w:t>
      </w:r>
      <w:r w:rsidRPr="003754DC">
        <w:rPr>
          <w:rFonts w:ascii="Verdana" w:eastAsia="Calibri" w:hAnsi="Verdana" w:cs="Arial"/>
          <w:lang w:eastAsia="es-ES"/>
        </w:rPr>
        <w:t>C-1076 de 2025.</w:t>
      </w:r>
      <w:r>
        <w:rPr>
          <w:rFonts w:ascii="Verdana" w:hAnsi="Verdana" w:cs="Arial"/>
          <w:shd w:val="clear" w:color="auto" w:fill="FFFFFF"/>
          <w:lang w:val="es-ES"/>
        </w:rPr>
        <w:t xml:space="preserve"> </w:t>
      </w:r>
      <w:r w:rsidRPr="004C5FFE">
        <w:rPr>
          <w:rFonts w:ascii="Verdana" w:hAnsi="Verdana" w:cs="Arial"/>
          <w:shd w:val="clear" w:color="auto" w:fill="FFFFFF"/>
          <w:lang w:val="es-ES"/>
        </w:rPr>
        <w:t>Estos</w:t>
      </w:r>
      <w:r w:rsidRPr="004C5FFE">
        <w:rPr>
          <w:rFonts w:ascii="Verdana" w:hAnsi="Verdana"/>
          <w:lang w:val="es-ES"/>
        </w:rPr>
        <w:t xml:space="preserve"> y otros se encuentran disponibles para consulta en el Sistema de relatoría de la Agencia, al cual se puede acceder a través del siguiente enlace:</w:t>
      </w:r>
      <w:r w:rsidRPr="004C5FFE">
        <w:rPr>
          <w:rFonts w:ascii="Verdana" w:hAnsi="Verdana" w:cs="Arial"/>
          <w:shd w:val="clear" w:color="auto" w:fill="FFFFFF"/>
          <w:lang w:val="es-ES"/>
        </w:rPr>
        <w:t xml:space="preserve"> </w:t>
      </w:r>
      <w:hyperlink r:id="rId13" w:history="1">
        <w:r w:rsidRPr="004C5FFE">
          <w:rPr>
            <w:rFonts w:ascii="Verdana" w:hAnsi="Verdana" w:cs="Arial"/>
            <w:color w:val="0000FF"/>
            <w:u w:val="single"/>
            <w:shd w:val="clear" w:color="auto" w:fill="FFFFFF"/>
            <w:lang w:val="es-ES"/>
          </w:rPr>
          <w:t>https://relatoria.colombiacompra.gov.co/busqueda/concept os</w:t>
        </w:r>
      </w:hyperlink>
      <w:r w:rsidRPr="004C5FFE">
        <w:rPr>
          <w:rFonts w:ascii="Verdana" w:hAnsi="Verdana" w:cs="Arial"/>
          <w:shd w:val="clear" w:color="auto" w:fill="FFFFFF"/>
          <w:lang w:val="es-ES"/>
        </w:rPr>
        <w:t>.</w:t>
      </w:r>
      <w:r w:rsidRPr="004C5FFE">
        <w:rPr>
          <w:rFonts w:ascii="Verdana" w:hAnsi="Verdana" w:cs="Arial"/>
          <w:color w:val="FF0000"/>
          <w:shd w:val="clear" w:color="auto" w:fill="FFFFFF"/>
          <w:lang w:val="es-ES"/>
        </w:rPr>
        <w:t xml:space="preserve"> </w:t>
      </w:r>
      <w:r w:rsidRPr="004C5FFE">
        <w:rPr>
          <w:rFonts w:ascii="Verdana" w:hAnsi="Verdana" w:cs="Arial"/>
          <w:color w:val="000000" w:themeColor="text1"/>
          <w:shd w:val="clear" w:color="auto" w:fill="FFFFFF"/>
          <w:lang w:val="es-ES"/>
        </w:rPr>
        <w:t>  </w:t>
      </w:r>
    </w:p>
    <w:p w14:paraId="39626E2A" w14:textId="77777777" w:rsidR="0016634D" w:rsidRPr="004C5FFE" w:rsidRDefault="0016634D" w:rsidP="0016634D">
      <w:pPr>
        <w:spacing w:after="0" w:line="276" w:lineRule="auto"/>
        <w:jc w:val="both"/>
        <w:rPr>
          <w:rFonts w:ascii="Verdana" w:hAnsi="Verdana"/>
        </w:rPr>
      </w:pPr>
      <w:r w:rsidRPr="004C5FFE">
        <w:rPr>
          <w:rFonts w:ascii="Verdana" w:hAnsi="Verdana"/>
        </w:rPr>
        <w:lastRenderedPageBreak/>
        <w:t xml:space="preserve">Por último, lo invitamos a seguirnos en las redes sociales en las cuales se difunde información institucional: </w:t>
      </w:r>
    </w:p>
    <w:p w14:paraId="10292524" w14:textId="77777777" w:rsidR="0016634D" w:rsidRPr="004C5FFE" w:rsidRDefault="0016634D" w:rsidP="0016634D">
      <w:pPr>
        <w:spacing w:after="0" w:line="276" w:lineRule="auto"/>
        <w:jc w:val="both"/>
        <w:rPr>
          <w:rFonts w:ascii="Verdana" w:hAnsi="Verdana"/>
        </w:rPr>
      </w:pPr>
    </w:p>
    <w:p w14:paraId="15828E6D" w14:textId="77777777" w:rsidR="0016634D" w:rsidRPr="004C5FFE" w:rsidRDefault="0016634D" w:rsidP="0016634D">
      <w:pPr>
        <w:spacing w:after="0" w:line="276" w:lineRule="auto"/>
        <w:jc w:val="both"/>
        <w:rPr>
          <w:rFonts w:ascii="Verdana" w:hAnsi="Verdana"/>
        </w:rPr>
      </w:pPr>
      <w:r w:rsidRPr="004C5FFE">
        <w:rPr>
          <w:rFonts w:ascii="Verdana" w:hAnsi="Verdana"/>
        </w:rPr>
        <w:t xml:space="preserve">Twitter: </w:t>
      </w:r>
      <w:r w:rsidRPr="004C5FFE">
        <w:rPr>
          <w:rStyle w:val="Hipervnculo"/>
          <w:rFonts w:ascii="Verdana" w:hAnsi="Verdana" w:cs="Arial"/>
          <w:shd w:val="clear" w:color="auto" w:fill="FFFFFF"/>
        </w:rPr>
        <w:t>@colombiacompra</w:t>
      </w:r>
      <w:r w:rsidRPr="004C5FFE">
        <w:rPr>
          <w:rFonts w:ascii="Verdana" w:hAnsi="Verdana"/>
          <w:color w:val="4472C4" w:themeColor="accent1"/>
        </w:rPr>
        <w:t xml:space="preserve"> </w:t>
      </w:r>
    </w:p>
    <w:p w14:paraId="4C9EB5DA" w14:textId="77777777" w:rsidR="0016634D" w:rsidRPr="004C5FFE" w:rsidRDefault="0016634D" w:rsidP="0016634D">
      <w:pPr>
        <w:spacing w:after="0" w:line="276" w:lineRule="auto"/>
        <w:jc w:val="both"/>
        <w:rPr>
          <w:rFonts w:ascii="Verdana" w:hAnsi="Verdana"/>
        </w:rPr>
      </w:pPr>
      <w:r w:rsidRPr="004C5FFE">
        <w:rPr>
          <w:rFonts w:ascii="Verdana" w:hAnsi="Verdana"/>
        </w:rPr>
        <w:t xml:space="preserve">Facebook: </w:t>
      </w:r>
      <w:proofErr w:type="spellStart"/>
      <w:r w:rsidRPr="004C5FFE">
        <w:rPr>
          <w:rStyle w:val="Hipervnculo"/>
          <w:rFonts w:ascii="Verdana" w:hAnsi="Verdana" w:cs="Arial"/>
          <w:shd w:val="clear" w:color="auto" w:fill="FFFFFF"/>
        </w:rPr>
        <w:t>ColombiaCompraEficiente</w:t>
      </w:r>
      <w:proofErr w:type="spellEnd"/>
    </w:p>
    <w:p w14:paraId="7FB34641" w14:textId="77777777" w:rsidR="0016634D" w:rsidRPr="004C5FFE" w:rsidRDefault="0016634D" w:rsidP="0016634D">
      <w:pPr>
        <w:spacing w:after="0" w:line="276" w:lineRule="auto"/>
        <w:jc w:val="both"/>
        <w:rPr>
          <w:rFonts w:ascii="Verdana" w:hAnsi="Verdana"/>
        </w:rPr>
      </w:pPr>
      <w:r w:rsidRPr="004C5FFE">
        <w:rPr>
          <w:rFonts w:ascii="Verdana" w:hAnsi="Verdana"/>
        </w:rPr>
        <w:t xml:space="preserve">LinkedIn: </w:t>
      </w:r>
      <w:r w:rsidRPr="004C5FFE">
        <w:rPr>
          <w:rStyle w:val="Hipervnculo"/>
          <w:rFonts w:ascii="Verdana" w:hAnsi="Verdana" w:cs="Arial"/>
          <w:shd w:val="clear" w:color="auto" w:fill="FFFFFF"/>
        </w:rPr>
        <w:t xml:space="preserve">Agencia Nacional de Contratación Pública - Colombia Compra Eficiente </w:t>
      </w:r>
      <w:r w:rsidRPr="004C5FFE">
        <w:rPr>
          <w:rFonts w:ascii="Verdana" w:hAnsi="Verdana"/>
        </w:rPr>
        <w:t xml:space="preserve">Instagram: </w:t>
      </w:r>
      <w:r w:rsidRPr="004C5FFE">
        <w:rPr>
          <w:rStyle w:val="Hipervnculo"/>
          <w:rFonts w:ascii="Verdana" w:hAnsi="Verdana" w:cs="Arial"/>
          <w:shd w:val="clear" w:color="auto" w:fill="FFFFFF"/>
        </w:rPr>
        <w:t>@colombiacompraeficiente_cce</w:t>
      </w:r>
    </w:p>
    <w:p w14:paraId="1B9B388E" w14:textId="77777777" w:rsidR="0016634D" w:rsidRPr="004C5FFE" w:rsidRDefault="0016634D" w:rsidP="0016634D">
      <w:pPr>
        <w:widowControl w:val="0"/>
        <w:autoSpaceDE w:val="0"/>
        <w:autoSpaceDN w:val="0"/>
        <w:spacing w:after="0" w:line="276" w:lineRule="auto"/>
        <w:jc w:val="both"/>
        <w:rPr>
          <w:rFonts w:ascii="Verdana" w:hAnsi="Verdana" w:cs="Arial"/>
          <w:lang w:val="es-ES"/>
        </w:rPr>
      </w:pPr>
    </w:p>
    <w:p w14:paraId="2CD56CB0" w14:textId="77777777" w:rsidR="0016634D" w:rsidRPr="004C5FFE" w:rsidRDefault="0016634D" w:rsidP="0016634D">
      <w:pPr>
        <w:widowControl w:val="0"/>
        <w:autoSpaceDE w:val="0"/>
        <w:autoSpaceDN w:val="0"/>
        <w:spacing w:after="0" w:line="276" w:lineRule="auto"/>
        <w:jc w:val="both"/>
        <w:rPr>
          <w:rFonts w:ascii="Verdana" w:hAnsi="Verdana" w:cs="Arial"/>
          <w:lang w:val="es-ES"/>
        </w:rPr>
      </w:pPr>
      <w:r w:rsidRPr="004C5FF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2B77242" w14:textId="77777777" w:rsidR="0016634D" w:rsidRPr="004C5FFE" w:rsidRDefault="0016634D" w:rsidP="0016634D">
      <w:pPr>
        <w:widowControl w:val="0"/>
        <w:autoSpaceDE w:val="0"/>
        <w:autoSpaceDN w:val="0"/>
        <w:spacing w:after="0" w:line="276" w:lineRule="auto"/>
        <w:jc w:val="both"/>
        <w:rPr>
          <w:rFonts w:ascii="Verdana" w:hAnsi="Verdana" w:cs="Arial"/>
          <w:lang w:val="es-ES"/>
        </w:rPr>
      </w:pPr>
    </w:p>
    <w:p w14:paraId="22A70B0C" w14:textId="77777777" w:rsidR="0016634D" w:rsidRPr="004C5FFE" w:rsidRDefault="0016634D" w:rsidP="0016634D">
      <w:pPr>
        <w:spacing w:after="0" w:line="276" w:lineRule="auto"/>
        <w:rPr>
          <w:rFonts w:ascii="Verdana" w:hAnsi="Verdana" w:cs="Arial"/>
          <w:color w:val="000000" w:themeColor="text1"/>
          <w:lang w:val="es-ES" w:eastAsia="es-CO"/>
        </w:rPr>
      </w:pPr>
      <w:r w:rsidRPr="004C5FFE">
        <w:rPr>
          <w:rFonts w:ascii="Verdana" w:eastAsia="Times New Roman" w:hAnsi="Verdana" w:cs="Arial"/>
          <w:color w:val="000000" w:themeColor="text1"/>
          <w:lang w:val="es-ES" w:eastAsia="es-CO"/>
        </w:rPr>
        <w:t>Atentamente,</w:t>
      </w:r>
      <w:r w:rsidRPr="004C5FFE">
        <w:rPr>
          <w:rFonts w:ascii="Verdana" w:hAnsi="Verdana" w:cs="Arial"/>
          <w:color w:val="000000" w:themeColor="text1"/>
          <w:lang w:val="es-ES" w:eastAsia="es-CO"/>
        </w:rPr>
        <w:t xml:space="preserve"> </w:t>
      </w:r>
    </w:p>
    <w:p w14:paraId="7D5F8041" w14:textId="77777777" w:rsidR="0016634D" w:rsidRPr="004C5FFE" w:rsidRDefault="0016634D" w:rsidP="0016634D">
      <w:pPr>
        <w:spacing w:after="0" w:line="276" w:lineRule="auto"/>
        <w:rPr>
          <w:rFonts w:ascii="Verdana" w:hAnsi="Verdana" w:cs="Arial"/>
          <w:color w:val="000000" w:themeColor="text1"/>
          <w:lang w:val="es-ES" w:eastAsia="es-CO"/>
        </w:rPr>
      </w:pPr>
    </w:p>
    <w:p w14:paraId="53C846F5" w14:textId="31B841EC" w:rsidR="0016634D" w:rsidRPr="004C5FFE" w:rsidRDefault="000C2111" w:rsidP="0016634D">
      <w:pPr>
        <w:spacing w:line="276" w:lineRule="auto"/>
        <w:jc w:val="center"/>
        <w:rPr>
          <w:rFonts w:ascii="Verdana" w:hAnsi="Verdana" w:cs="Arial"/>
          <w:color w:val="000000" w:themeColor="text1"/>
          <w:lang w:val="es-ES" w:eastAsia="es-CO"/>
        </w:rPr>
      </w:pPr>
      <w:r>
        <w:rPr>
          <w:rFonts w:ascii="Verdana" w:hAnsi="Verdana" w:cs="Arial"/>
          <w:noProof/>
          <w:color w:val="000000" w:themeColor="text1"/>
          <w:lang w:val="es-ES" w:eastAsia="es-CO"/>
        </w:rPr>
        <w:drawing>
          <wp:inline distT="0" distB="0" distL="0" distR="0" wp14:anchorId="04C5C12C" wp14:editId="3F1115F5">
            <wp:extent cx="3771900" cy="1400175"/>
            <wp:effectExtent l="0" t="0" r="0" b="9525"/>
            <wp:docPr id="88159296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592963" name="Imagen 881592963"/>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6634D" w:rsidRPr="004C5FFE" w14:paraId="7E40D08B" w14:textId="77777777" w:rsidTr="0094124E">
        <w:trPr>
          <w:trHeight w:val="315"/>
        </w:trPr>
        <w:tc>
          <w:tcPr>
            <w:tcW w:w="893" w:type="dxa"/>
            <w:vAlign w:val="center"/>
            <w:hideMark/>
          </w:tcPr>
          <w:p w14:paraId="4556FCE5" w14:textId="77777777" w:rsidR="0016634D" w:rsidRPr="004C5FFE" w:rsidRDefault="0016634D" w:rsidP="0094124E">
            <w:pPr>
              <w:contextualSpacing/>
              <w:rPr>
                <w:rFonts w:ascii="Verdana" w:hAnsi="Verdana" w:cs="Arial"/>
                <w:sz w:val="16"/>
                <w:szCs w:val="16"/>
                <w:lang w:val="es-ES" w:eastAsia="es-ES"/>
              </w:rPr>
            </w:pPr>
            <w:r w:rsidRPr="004C5FF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30B981" w14:textId="77777777" w:rsidR="0016634D" w:rsidRPr="004C5FFE" w:rsidRDefault="0016634D" w:rsidP="0094124E">
            <w:pPr>
              <w:contextualSpacing/>
              <w:rPr>
                <w:rFonts w:ascii="Verdana" w:eastAsia="Arial" w:hAnsi="Verdana" w:cs="Arial"/>
                <w:color w:val="000000" w:themeColor="text1"/>
                <w:sz w:val="16"/>
                <w:szCs w:val="16"/>
                <w:lang w:val="es-ES"/>
              </w:rPr>
            </w:pPr>
            <w:r w:rsidRPr="004C5FFE">
              <w:rPr>
                <w:rFonts w:ascii="Verdana" w:eastAsia="Arial" w:hAnsi="Verdana" w:cs="Arial"/>
                <w:color w:val="000000" w:themeColor="text1"/>
                <w:sz w:val="16"/>
                <w:szCs w:val="16"/>
                <w:lang w:val="es-ES"/>
              </w:rPr>
              <w:t>Anamaría Bonilla Prieto</w:t>
            </w:r>
          </w:p>
          <w:p w14:paraId="29495B50" w14:textId="77777777" w:rsidR="0016634D" w:rsidRPr="004C5FFE" w:rsidRDefault="0016634D" w:rsidP="0094124E">
            <w:pPr>
              <w:contextualSpacing/>
              <w:rPr>
                <w:rFonts w:ascii="Verdana" w:eastAsia="Arial" w:hAnsi="Verdana" w:cs="Arial"/>
                <w:sz w:val="16"/>
                <w:szCs w:val="16"/>
                <w:lang w:val="es-ES"/>
              </w:rPr>
            </w:pPr>
            <w:r w:rsidRPr="004C5FFE">
              <w:rPr>
                <w:rStyle w:val="normaltextrun"/>
                <w:rFonts w:ascii="Verdana" w:eastAsia="Arial" w:hAnsi="Verdana" w:cs="Arial"/>
                <w:color w:val="000000" w:themeColor="text1"/>
                <w:sz w:val="16"/>
                <w:szCs w:val="16"/>
                <w:lang w:val="es-ES"/>
              </w:rPr>
              <w:t xml:space="preserve">Contratista de la Subdirección </w:t>
            </w:r>
            <w:r w:rsidRPr="004C5FFE">
              <w:rPr>
                <w:rStyle w:val="normaltextrun"/>
                <w:rFonts w:ascii="Verdana" w:eastAsia="Arial" w:hAnsi="Verdana" w:cs="Arial"/>
                <w:sz w:val="16"/>
                <w:szCs w:val="16"/>
                <w:lang w:val="es-ES"/>
              </w:rPr>
              <w:t>de Gestión Contractual</w:t>
            </w:r>
          </w:p>
        </w:tc>
      </w:tr>
      <w:tr w:rsidR="0016634D" w:rsidRPr="004C5FFE" w14:paraId="35669704" w14:textId="77777777" w:rsidTr="0094124E">
        <w:trPr>
          <w:trHeight w:val="330"/>
        </w:trPr>
        <w:tc>
          <w:tcPr>
            <w:tcW w:w="893" w:type="dxa"/>
            <w:vAlign w:val="center"/>
            <w:hideMark/>
          </w:tcPr>
          <w:p w14:paraId="178D6573" w14:textId="77777777" w:rsidR="0016634D" w:rsidRPr="004C5FFE" w:rsidRDefault="0016634D" w:rsidP="0094124E">
            <w:pPr>
              <w:contextualSpacing/>
              <w:rPr>
                <w:rFonts w:ascii="Verdana" w:hAnsi="Verdana" w:cs="Arial"/>
                <w:sz w:val="16"/>
                <w:szCs w:val="16"/>
                <w:lang w:val="es-ES" w:eastAsia="es-ES"/>
              </w:rPr>
            </w:pPr>
            <w:r w:rsidRPr="004C5FF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79B77C" w14:textId="77777777" w:rsidR="0016634D" w:rsidRPr="004C5FFE" w:rsidRDefault="0016634D" w:rsidP="0094124E">
            <w:pPr>
              <w:pStyle w:val="paragraph"/>
              <w:spacing w:before="0" w:beforeAutospacing="0" w:after="0" w:afterAutospacing="0"/>
              <w:contextualSpacing/>
              <w:textAlignment w:val="baseline"/>
              <w:rPr>
                <w:rFonts w:ascii="Verdana" w:hAnsi="Verdana" w:cs="Segoe UI"/>
                <w:sz w:val="16"/>
                <w:szCs w:val="16"/>
                <w:lang w:val="es-ES"/>
              </w:rPr>
            </w:pPr>
            <w:r w:rsidRPr="004C5FFE">
              <w:rPr>
                <w:rFonts w:ascii="Verdana" w:hAnsi="Verdana" w:cs="Segoe UI"/>
                <w:sz w:val="16"/>
                <w:szCs w:val="16"/>
                <w:lang w:val="es-ES"/>
              </w:rPr>
              <w:t>Diana Saavedra Castañeda</w:t>
            </w:r>
          </w:p>
          <w:p w14:paraId="2680C732" w14:textId="77777777" w:rsidR="0016634D" w:rsidRPr="004C5FFE" w:rsidRDefault="0016634D" w:rsidP="0094124E">
            <w:pPr>
              <w:pStyle w:val="paragraph"/>
              <w:spacing w:before="0" w:beforeAutospacing="0" w:after="0" w:afterAutospacing="0"/>
              <w:contextualSpacing/>
              <w:textAlignment w:val="baseline"/>
              <w:rPr>
                <w:rFonts w:ascii="Verdana" w:hAnsi="Verdana" w:cs="Segoe UI"/>
                <w:sz w:val="16"/>
                <w:szCs w:val="16"/>
                <w:lang w:val="es-ES"/>
              </w:rPr>
            </w:pPr>
            <w:r w:rsidRPr="004C5FFE">
              <w:rPr>
                <w:rStyle w:val="normaltextrun"/>
                <w:rFonts w:ascii="Verdana" w:eastAsia="Arial" w:hAnsi="Verdana" w:cs="Arial"/>
                <w:color w:val="000000" w:themeColor="text1"/>
                <w:sz w:val="16"/>
                <w:szCs w:val="16"/>
                <w:lang w:val="es-ES"/>
              </w:rPr>
              <w:t xml:space="preserve">Contratista de la Subdirección </w:t>
            </w:r>
            <w:r w:rsidRPr="004C5FFE">
              <w:rPr>
                <w:rStyle w:val="normaltextrun"/>
                <w:rFonts w:ascii="Verdana" w:eastAsia="Arial" w:hAnsi="Verdana" w:cs="Arial"/>
                <w:sz w:val="16"/>
                <w:szCs w:val="16"/>
                <w:lang w:val="es-ES"/>
              </w:rPr>
              <w:t>de Gestión Contractual</w:t>
            </w:r>
          </w:p>
        </w:tc>
      </w:tr>
      <w:tr w:rsidR="0016634D" w:rsidRPr="004C5FFE" w14:paraId="58CE2E79" w14:textId="77777777" w:rsidTr="0094124E">
        <w:trPr>
          <w:trHeight w:val="300"/>
        </w:trPr>
        <w:tc>
          <w:tcPr>
            <w:tcW w:w="893" w:type="dxa"/>
            <w:vAlign w:val="center"/>
          </w:tcPr>
          <w:p w14:paraId="3BBC43BA" w14:textId="77777777" w:rsidR="0016634D" w:rsidRPr="004C5FFE" w:rsidRDefault="0016634D" w:rsidP="0094124E">
            <w:pPr>
              <w:contextualSpacing/>
              <w:rPr>
                <w:rFonts w:ascii="Verdana" w:hAnsi="Verdana" w:cs="Arial"/>
                <w:sz w:val="16"/>
                <w:szCs w:val="16"/>
                <w:lang w:val="es-ES" w:eastAsia="es-ES"/>
              </w:rPr>
            </w:pPr>
            <w:r w:rsidRPr="004C5FF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07F1727" w14:textId="77777777" w:rsidR="0016634D" w:rsidRPr="004C5FFE" w:rsidRDefault="0016634D" w:rsidP="0094124E">
            <w:pPr>
              <w:contextualSpacing/>
              <w:rPr>
                <w:rFonts w:ascii="Verdana" w:eastAsia="Calibri" w:hAnsi="Verdana" w:cs="Arial"/>
                <w:sz w:val="16"/>
                <w:szCs w:val="16"/>
                <w:lang w:val="es-ES" w:eastAsia="es-ES"/>
              </w:rPr>
            </w:pPr>
            <w:r w:rsidRPr="004C5FFE">
              <w:rPr>
                <w:rFonts w:ascii="Verdana" w:eastAsia="Calibri" w:hAnsi="Verdana" w:cs="Arial"/>
                <w:sz w:val="16"/>
                <w:szCs w:val="16"/>
                <w:lang w:val="es-ES" w:eastAsia="es-ES"/>
              </w:rPr>
              <w:t>Carolina Quintero Gacharná</w:t>
            </w:r>
          </w:p>
          <w:p w14:paraId="66A8122D" w14:textId="77777777" w:rsidR="0016634D" w:rsidRPr="004C5FFE" w:rsidRDefault="0016634D" w:rsidP="0094124E">
            <w:pPr>
              <w:contextualSpacing/>
              <w:rPr>
                <w:rFonts w:ascii="Verdana" w:eastAsia="Calibri" w:hAnsi="Verdana" w:cs="Arial"/>
                <w:sz w:val="16"/>
                <w:szCs w:val="16"/>
                <w:lang w:val="es-ES" w:eastAsia="es-ES"/>
              </w:rPr>
            </w:pPr>
            <w:r w:rsidRPr="004C5FFE">
              <w:rPr>
                <w:rFonts w:ascii="Verdana" w:eastAsia="Calibri" w:hAnsi="Verdana" w:cs="Arial"/>
                <w:sz w:val="16"/>
                <w:szCs w:val="16"/>
                <w:lang w:val="es-ES" w:eastAsia="es-ES"/>
              </w:rPr>
              <w:t>Subdirectora de Gestión Contractual ANCP – CCE</w:t>
            </w:r>
          </w:p>
        </w:tc>
      </w:tr>
    </w:tbl>
    <w:p w14:paraId="78D9C7E6" w14:textId="2AC45D6F" w:rsidR="0016634D" w:rsidRPr="004C5FFE" w:rsidRDefault="0016634D" w:rsidP="0016634D">
      <w:pPr>
        <w:spacing w:after="0" w:line="276" w:lineRule="auto"/>
        <w:jc w:val="center"/>
        <w:rPr>
          <w:rFonts w:ascii="Verdana" w:hAnsi="Verdana"/>
          <w:lang w:val="es-ES"/>
        </w:rPr>
      </w:pPr>
    </w:p>
    <w:bookmarkEnd w:id="0"/>
    <w:p w14:paraId="55D6AAA1" w14:textId="77777777" w:rsidR="0016634D" w:rsidRPr="004C5FFE" w:rsidRDefault="0016634D" w:rsidP="0016634D">
      <w:pPr>
        <w:spacing w:after="0" w:line="240" w:lineRule="auto"/>
        <w:textAlignment w:val="baseline"/>
        <w:rPr>
          <w:rFonts w:ascii="Verdana" w:eastAsia="Times New Roman" w:hAnsi="Verdana" w:cs="Segoe UI"/>
          <w:b/>
          <w:bCs/>
          <w:color w:val="46589C"/>
          <w:lang w:val="es-ES" w:eastAsia="es-CO"/>
        </w:rPr>
      </w:pPr>
    </w:p>
    <w:p w14:paraId="275CC7DE" w14:textId="77777777" w:rsidR="0016634D" w:rsidRPr="004C5FFE" w:rsidRDefault="0016634D" w:rsidP="0016634D">
      <w:pPr>
        <w:rPr>
          <w:rFonts w:ascii="Verdana" w:hAnsi="Verdana"/>
          <w:lang w:val="es-ES"/>
        </w:rPr>
      </w:pPr>
    </w:p>
    <w:p w14:paraId="2D6C6046" w14:textId="77777777" w:rsidR="0016634D" w:rsidRPr="004C5FFE" w:rsidRDefault="0016634D" w:rsidP="0016634D">
      <w:pPr>
        <w:rPr>
          <w:rFonts w:ascii="Verdana" w:hAnsi="Verdana"/>
        </w:rPr>
      </w:pPr>
    </w:p>
    <w:p w14:paraId="0F293BF4" w14:textId="20174061" w:rsidR="00127233" w:rsidRPr="0016634D" w:rsidRDefault="00127233" w:rsidP="0016634D"/>
    <w:sectPr w:rsidR="00127233" w:rsidRPr="0016634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4AAFF" w14:textId="77777777" w:rsidR="008F1CDD" w:rsidRDefault="008F1CDD" w:rsidP="004A1847">
      <w:pPr>
        <w:spacing w:after="0" w:line="240" w:lineRule="auto"/>
      </w:pPr>
      <w:r>
        <w:separator/>
      </w:r>
    </w:p>
  </w:endnote>
  <w:endnote w:type="continuationSeparator" w:id="0">
    <w:p w14:paraId="5C3F1B66" w14:textId="77777777" w:rsidR="008F1CDD" w:rsidRDefault="008F1CDD" w:rsidP="004A1847">
      <w:pPr>
        <w:spacing w:after="0" w:line="240" w:lineRule="auto"/>
      </w:pPr>
      <w:r>
        <w:continuationSeparator/>
      </w:r>
    </w:p>
  </w:endnote>
  <w:endnote w:type="continuationNotice" w:id="1">
    <w:p w14:paraId="4D69F348" w14:textId="77777777" w:rsidR="008F1CDD" w:rsidRDefault="008F1C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194C4" w14:textId="77777777" w:rsidR="008F1CDD" w:rsidRDefault="008F1CDD" w:rsidP="004A1847">
      <w:pPr>
        <w:spacing w:after="0" w:line="240" w:lineRule="auto"/>
      </w:pPr>
      <w:r>
        <w:separator/>
      </w:r>
    </w:p>
  </w:footnote>
  <w:footnote w:type="continuationSeparator" w:id="0">
    <w:p w14:paraId="456BBD2E" w14:textId="77777777" w:rsidR="008F1CDD" w:rsidRDefault="008F1CDD" w:rsidP="004A1847">
      <w:pPr>
        <w:spacing w:after="0" w:line="240" w:lineRule="auto"/>
      </w:pPr>
      <w:r>
        <w:continuationSeparator/>
      </w:r>
    </w:p>
  </w:footnote>
  <w:footnote w:type="continuationNotice" w:id="1">
    <w:p w14:paraId="6F9C72A4" w14:textId="77777777" w:rsidR="008F1CDD" w:rsidRDefault="008F1CDD">
      <w:pPr>
        <w:spacing w:after="0" w:line="240" w:lineRule="auto"/>
      </w:pPr>
    </w:p>
  </w:footnote>
  <w:footnote w:id="2">
    <w:p w14:paraId="2F05443D" w14:textId="77777777" w:rsidR="0016634D" w:rsidRPr="00EE68D4" w:rsidRDefault="0016634D" w:rsidP="0016634D">
      <w:pPr>
        <w:pStyle w:val="Textonotapie"/>
        <w:snapToGrid w:val="0"/>
        <w:ind w:firstLine="567"/>
        <w:contextualSpacing/>
        <w:jc w:val="both"/>
        <w:rPr>
          <w:rFonts w:ascii="Verdana" w:hAnsi="Verdana"/>
          <w:sz w:val="16"/>
          <w:szCs w:val="16"/>
          <w:lang w:val="es-CO"/>
        </w:rPr>
      </w:pPr>
      <w:r w:rsidRPr="00EE68D4">
        <w:rPr>
          <w:rStyle w:val="Refdenotaalpie"/>
          <w:rFonts w:ascii="Verdana" w:hAnsi="Verdana"/>
          <w:sz w:val="16"/>
          <w:szCs w:val="16"/>
        </w:rPr>
        <w:footnoteRef/>
      </w:r>
      <w:r w:rsidRPr="00EE68D4">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3">
    <w:p w14:paraId="78179274"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3B5A521E"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130D2AFC"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proofErr w:type="gramStart"/>
      <w:r w:rsidRPr="00EE68D4">
        <w:rPr>
          <w:rFonts w:ascii="Verdana" w:eastAsia="Arial" w:hAnsi="Verdana" w:cs="Arial"/>
          <w:color w:val="000000"/>
          <w:sz w:val="16"/>
          <w:szCs w:val="16"/>
        </w:rPr>
        <w:t>pliegos,</w:t>
      </w:r>
      <w:proofErr w:type="gramEnd"/>
      <w:r w:rsidRPr="00EE68D4">
        <w:rPr>
          <w:rFonts w:ascii="Verdana" w:eastAsia="Arial" w:hAnsi="Verdana" w:cs="Arial"/>
          <w:color w:val="000000"/>
          <w:sz w:val="16"/>
          <w:szCs w:val="16"/>
        </w:rPr>
        <w:t xml:space="preserve"> no será objeto de evaluación”.</w:t>
      </w:r>
    </w:p>
    <w:p w14:paraId="7B36B01A"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C0EDC3D"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4">
    <w:p w14:paraId="612407AB"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5">
    <w:p w14:paraId="3E472089" w14:textId="77777777" w:rsidR="0016634D" w:rsidRPr="00EE68D4" w:rsidRDefault="0016634D" w:rsidP="0016634D">
      <w:pPr>
        <w:pStyle w:val="NormalWeb"/>
        <w:snapToGrid w:val="0"/>
        <w:spacing w:before="0" w:beforeAutospacing="0" w:after="0" w:afterAutospacing="0"/>
        <w:ind w:firstLine="708"/>
        <w:contextualSpacing/>
        <w:jc w:val="both"/>
        <w:rPr>
          <w:rFonts w:ascii="Verdana" w:hAnsi="Verdana" w:cs="Arial"/>
          <w:sz w:val="16"/>
          <w:szCs w:val="16"/>
        </w:rPr>
      </w:pPr>
      <w:r w:rsidRPr="00EE68D4">
        <w:rPr>
          <w:rStyle w:val="Refdenotaalpie"/>
          <w:rFonts w:ascii="Verdana" w:hAnsi="Verdana" w:cs="Arial"/>
          <w:sz w:val="16"/>
          <w:szCs w:val="16"/>
        </w:rPr>
        <w:footnoteRef/>
      </w:r>
      <w:r w:rsidRPr="00EE68D4">
        <w:rPr>
          <w:rFonts w:ascii="Verdana" w:hAnsi="Verdana" w:cs="Arial"/>
          <w:sz w:val="16"/>
          <w:szCs w:val="16"/>
        </w:rPr>
        <w:t xml:space="preserve"> </w:t>
      </w:r>
      <w:r w:rsidRPr="00EE68D4">
        <w:rPr>
          <w:rFonts w:ascii="Verdana" w:hAnsi="Verdana" w:cs="Arial"/>
          <w:sz w:val="16"/>
          <w:szCs w:val="16"/>
          <w:lang w:val="es-ES"/>
        </w:rPr>
        <w:t>“</w:t>
      </w:r>
      <w:r w:rsidRPr="00EE68D4">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49B7F372" w14:textId="77777777" w:rsidR="0016634D" w:rsidRPr="00EE68D4" w:rsidRDefault="0016634D" w:rsidP="0016634D">
      <w:pPr>
        <w:pStyle w:val="NormalWeb"/>
        <w:snapToGrid w:val="0"/>
        <w:spacing w:before="0" w:beforeAutospacing="0" w:after="0" w:afterAutospacing="0"/>
        <w:contextualSpacing/>
        <w:jc w:val="both"/>
        <w:rPr>
          <w:rFonts w:ascii="Verdana" w:hAnsi="Verdana" w:cs="Arial"/>
          <w:sz w:val="16"/>
          <w:szCs w:val="16"/>
        </w:rPr>
      </w:pPr>
      <w:r w:rsidRPr="00EE68D4">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6">
    <w:p w14:paraId="310347CA" w14:textId="77777777" w:rsidR="0016634D" w:rsidRPr="00EE68D4" w:rsidRDefault="0016634D" w:rsidP="0016634D">
      <w:pPr>
        <w:pStyle w:val="NormalWeb"/>
        <w:snapToGrid w:val="0"/>
        <w:spacing w:before="0" w:beforeAutospacing="0" w:after="0" w:afterAutospacing="0"/>
        <w:ind w:firstLine="709"/>
        <w:contextualSpacing/>
        <w:jc w:val="both"/>
        <w:rPr>
          <w:rFonts w:ascii="Verdana" w:hAnsi="Verdana" w:cs="Arial"/>
          <w:sz w:val="16"/>
          <w:szCs w:val="16"/>
          <w:lang w:val="es-ES"/>
        </w:rPr>
      </w:pPr>
      <w:r w:rsidRPr="00EE68D4">
        <w:rPr>
          <w:rStyle w:val="Refdenotaalpie"/>
          <w:rFonts w:ascii="Verdana" w:hAnsi="Verdana" w:cs="Arial"/>
          <w:sz w:val="16"/>
          <w:szCs w:val="16"/>
        </w:rPr>
        <w:t xml:space="preserve"> </w:t>
      </w:r>
      <w:r w:rsidRPr="00EE68D4">
        <w:rPr>
          <w:rFonts w:ascii="Verdana" w:hAnsi="Verdana" w:cs="Arial"/>
          <w:sz w:val="16"/>
          <w:szCs w:val="16"/>
          <w:lang w:val="es-ES"/>
        </w:rPr>
        <w:t>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5E5CF05" w14:textId="77777777" w:rsidR="0016634D" w:rsidRPr="00EE68D4" w:rsidRDefault="0016634D" w:rsidP="0016634D">
      <w:pPr>
        <w:pStyle w:val="NormalWeb"/>
        <w:snapToGrid w:val="0"/>
        <w:spacing w:before="0" w:beforeAutospacing="0" w:after="0" w:afterAutospacing="0"/>
        <w:ind w:firstLine="709"/>
        <w:contextualSpacing/>
        <w:jc w:val="both"/>
        <w:rPr>
          <w:rFonts w:ascii="Verdana" w:hAnsi="Verdana" w:cs="Arial"/>
          <w:sz w:val="16"/>
          <w:szCs w:val="16"/>
          <w:lang w:val="es-ES"/>
        </w:rPr>
      </w:pPr>
      <w:r w:rsidRPr="00EE68D4">
        <w:rPr>
          <w:rFonts w:ascii="Verdana" w:hAnsi="Verdana" w:cs="Arial"/>
          <w:sz w:val="16"/>
          <w:szCs w:val="16"/>
          <w:lang w:val="es-ES"/>
        </w:rPr>
        <w:t>Parágrafo Transitorio. </w:t>
      </w:r>
      <w:hyperlink r:id="rId1" w:tgtFrame="_blank" w:history="1">
        <w:r w:rsidRPr="00EE68D4">
          <w:rPr>
            <w:rFonts w:ascii="Verdana" w:hAnsi="Verdana"/>
            <w:sz w:val="16"/>
            <w:szCs w:val="16"/>
          </w:rPr>
          <w:t>https://colaboracion.dnp.gov.co/CDT/Normatividad/DECRETO 579 DEL 31 DE MAYO DE 2021.pdf</w:t>
        </w:r>
      </w:hyperlink>
      <w:r w:rsidRPr="00EE68D4">
        <w:rPr>
          <w:rFonts w:ascii="Verdana" w:hAnsi="Verdana"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3C43ED53" w14:textId="77777777" w:rsidR="0016634D" w:rsidRPr="00EE68D4" w:rsidRDefault="0016634D" w:rsidP="0016634D">
      <w:pPr>
        <w:pStyle w:val="NormalWeb"/>
        <w:snapToGrid w:val="0"/>
        <w:spacing w:before="0" w:beforeAutospacing="0" w:after="0" w:afterAutospacing="0"/>
        <w:ind w:firstLine="709"/>
        <w:contextualSpacing/>
        <w:jc w:val="both"/>
        <w:rPr>
          <w:rStyle w:val="Refdenotaalpie"/>
          <w:rFonts w:ascii="Verdana" w:hAnsi="Verdana" w:cs="Arial"/>
          <w:sz w:val="16"/>
          <w:szCs w:val="16"/>
          <w:vertAlign w:val="baseline"/>
          <w:lang w:val="es-ES"/>
        </w:rPr>
      </w:pPr>
      <w:r w:rsidRPr="00EE68D4">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índicadores, teniendo en cuenta el mejor año fiscal que se refleje en el regístro de cada proponente</w:t>
      </w:r>
      <w:r w:rsidRPr="00EE68D4">
        <w:rPr>
          <w:rFonts w:ascii="Arial" w:hAnsi="Arial" w:cs="Arial"/>
          <w:sz w:val="16"/>
          <w:szCs w:val="16"/>
          <w:lang w:val="es-ES"/>
        </w:rPr>
        <w:t>​</w:t>
      </w:r>
      <w:r w:rsidRPr="00EE68D4">
        <w:rPr>
          <w:rFonts w:ascii="Verdana" w:hAnsi="Verdana" w:cs="Arial"/>
          <w:sz w:val="16"/>
          <w:szCs w:val="16"/>
          <w:lang w:val="es-ES"/>
        </w:rPr>
        <w:t>.</w:t>
      </w:r>
    </w:p>
  </w:footnote>
  <w:footnote w:id="7">
    <w:p w14:paraId="7E6C9D1B" w14:textId="7A28453E" w:rsidR="0016634D" w:rsidRPr="00EE68D4" w:rsidRDefault="0016634D" w:rsidP="00CC1F16">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8">
    <w:p w14:paraId="27D4134A"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p w14:paraId="0DF4C8BD"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p>
  </w:footnote>
  <w:footnote w:id="9">
    <w:p w14:paraId="02C5BFC0"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i/>
          <w:color w:val="000000"/>
          <w:sz w:val="16"/>
          <w:szCs w:val="16"/>
        </w:rPr>
        <w:t xml:space="preserve"> Ibídem.</w:t>
      </w:r>
    </w:p>
  </w:footnote>
  <w:footnote w:id="10">
    <w:p w14:paraId="7759C7FE"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Style w:val="Refdenotaalpie"/>
          <w:rFonts w:ascii="Verdana" w:hAnsi="Verdana"/>
          <w:sz w:val="16"/>
          <w:szCs w:val="16"/>
        </w:rPr>
        <w:footnoteRef/>
      </w:r>
      <w:r w:rsidRPr="00EE68D4">
        <w:rPr>
          <w:rFonts w:ascii="Verdana" w:hAnsi="Verdana"/>
          <w:sz w:val="16"/>
          <w:szCs w:val="16"/>
        </w:rPr>
        <w:t xml:space="preserve"> Decreto 1082 de 2015: “Artículo 2.2.1.2.1.2.1. Pliegos de condiciones. En los pliegos de condiciones para contratar Bienes y Servicios de Características Técnicas Uniformes, la Entidad Estatal debe indicar:</w:t>
      </w:r>
    </w:p>
    <w:p w14:paraId="4A5A51AA"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Fonts w:ascii="Verdana" w:hAnsi="Verdana"/>
          <w:sz w:val="16"/>
          <w:szCs w:val="16"/>
        </w:rPr>
        <w:t>“1. La ficha técnica del bien o servicio que debe incluir: a) la clasificación del bien o servicio de acuerdo con el Clasificador de Bienes y Servicios; b) la identificación adicional requerida; c) la unidad de medida; d) la calidad mínima, y e) los patrones de desempeño mínimos.</w:t>
      </w:r>
    </w:p>
    <w:p w14:paraId="05FBB104"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Fonts w:ascii="Verdana" w:hAnsi="Verdana"/>
          <w:sz w:val="16"/>
          <w:szCs w:val="16"/>
        </w:rPr>
        <w:t>“2. Si el precio del bien o servicio es regulado, la variable sobre la cual se hace la evaluación de las ofertas.</w:t>
      </w:r>
    </w:p>
    <w:p w14:paraId="23C29A28"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Fonts w:ascii="Verdana" w:hAnsi="Verdana"/>
          <w:sz w:val="16"/>
          <w:szCs w:val="16"/>
        </w:rPr>
        <w:t>“3. Definir el contenido de cada uno de las partes o lotes, si la adquisición se pretende hacer por partes”.</w:t>
      </w:r>
    </w:p>
    <w:p w14:paraId="7BA0B0BE" w14:textId="77777777" w:rsidR="0016634D" w:rsidRPr="00EE68D4" w:rsidRDefault="0016634D" w:rsidP="0016634D">
      <w:pPr>
        <w:pStyle w:val="Textonotapie"/>
        <w:snapToGrid w:val="0"/>
        <w:contextualSpacing/>
        <w:jc w:val="both"/>
        <w:rPr>
          <w:rFonts w:ascii="Verdana" w:hAnsi="Verdana"/>
          <w:sz w:val="16"/>
          <w:szCs w:val="16"/>
          <w:lang w:val="es-CO"/>
        </w:rPr>
      </w:pPr>
    </w:p>
  </w:footnote>
  <w:footnote w:id="11">
    <w:p w14:paraId="5EA95C69" w14:textId="77777777" w:rsidR="0016634D" w:rsidRPr="00EE68D4" w:rsidRDefault="0016634D" w:rsidP="0016634D">
      <w:pPr>
        <w:pStyle w:val="Textonotapie"/>
        <w:snapToGrid w:val="0"/>
        <w:ind w:firstLine="567"/>
        <w:contextualSpacing/>
        <w:jc w:val="both"/>
        <w:rPr>
          <w:rFonts w:ascii="Verdana" w:hAnsi="Verdana"/>
          <w:sz w:val="16"/>
          <w:szCs w:val="16"/>
          <w:lang w:val="es-CO"/>
        </w:rPr>
      </w:pPr>
      <w:r w:rsidRPr="00EE68D4">
        <w:rPr>
          <w:rStyle w:val="Refdenotaalpie"/>
          <w:rFonts w:ascii="Verdana" w:hAnsi="Verdana"/>
          <w:sz w:val="16"/>
          <w:szCs w:val="16"/>
        </w:rPr>
        <w:footnoteRef/>
      </w:r>
      <w:r w:rsidRPr="00EE68D4">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2E5"/>
    <w:rsid w:val="00061B2A"/>
    <w:rsid w:val="00082362"/>
    <w:rsid w:val="000A683E"/>
    <w:rsid w:val="000B19B9"/>
    <w:rsid w:val="000C2111"/>
    <w:rsid w:val="000D0334"/>
    <w:rsid w:val="000D5DA7"/>
    <w:rsid w:val="000F6486"/>
    <w:rsid w:val="00116940"/>
    <w:rsid w:val="00125105"/>
    <w:rsid w:val="00127233"/>
    <w:rsid w:val="0015699B"/>
    <w:rsid w:val="0016634D"/>
    <w:rsid w:val="001A33BF"/>
    <w:rsid w:val="001E4177"/>
    <w:rsid w:val="001F0B24"/>
    <w:rsid w:val="001F7DC6"/>
    <w:rsid w:val="0022400B"/>
    <w:rsid w:val="002421BB"/>
    <w:rsid w:val="00256893"/>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61DF"/>
    <w:rsid w:val="003A779E"/>
    <w:rsid w:val="003D0F4D"/>
    <w:rsid w:val="003D5B0D"/>
    <w:rsid w:val="003E0499"/>
    <w:rsid w:val="003E3B0E"/>
    <w:rsid w:val="003E4D6A"/>
    <w:rsid w:val="003E4F80"/>
    <w:rsid w:val="003E6439"/>
    <w:rsid w:val="003F15E6"/>
    <w:rsid w:val="003F3941"/>
    <w:rsid w:val="00406575"/>
    <w:rsid w:val="004076F8"/>
    <w:rsid w:val="00414C74"/>
    <w:rsid w:val="0042722E"/>
    <w:rsid w:val="0044528D"/>
    <w:rsid w:val="00466E39"/>
    <w:rsid w:val="004A1847"/>
    <w:rsid w:val="004A305D"/>
    <w:rsid w:val="004B4635"/>
    <w:rsid w:val="004F21C4"/>
    <w:rsid w:val="004F685F"/>
    <w:rsid w:val="005566E8"/>
    <w:rsid w:val="00574867"/>
    <w:rsid w:val="00575757"/>
    <w:rsid w:val="00591460"/>
    <w:rsid w:val="005A63D4"/>
    <w:rsid w:val="005A65E0"/>
    <w:rsid w:val="005C3777"/>
    <w:rsid w:val="005C5CDC"/>
    <w:rsid w:val="005D476C"/>
    <w:rsid w:val="005F21A2"/>
    <w:rsid w:val="006200BF"/>
    <w:rsid w:val="006219F8"/>
    <w:rsid w:val="006302F7"/>
    <w:rsid w:val="00646B9F"/>
    <w:rsid w:val="00665D70"/>
    <w:rsid w:val="006900D9"/>
    <w:rsid w:val="006A61D8"/>
    <w:rsid w:val="00706C16"/>
    <w:rsid w:val="007340C3"/>
    <w:rsid w:val="0075235A"/>
    <w:rsid w:val="00756841"/>
    <w:rsid w:val="007649AB"/>
    <w:rsid w:val="00771D0C"/>
    <w:rsid w:val="0077379D"/>
    <w:rsid w:val="007833AC"/>
    <w:rsid w:val="007B268C"/>
    <w:rsid w:val="007B7171"/>
    <w:rsid w:val="007C0C0F"/>
    <w:rsid w:val="007C2864"/>
    <w:rsid w:val="007C3DC2"/>
    <w:rsid w:val="007E5497"/>
    <w:rsid w:val="00806F5F"/>
    <w:rsid w:val="00820278"/>
    <w:rsid w:val="008258C9"/>
    <w:rsid w:val="00844AE9"/>
    <w:rsid w:val="00867F95"/>
    <w:rsid w:val="008843B6"/>
    <w:rsid w:val="00891928"/>
    <w:rsid w:val="008A446D"/>
    <w:rsid w:val="008B25F1"/>
    <w:rsid w:val="008D180B"/>
    <w:rsid w:val="008F0EA7"/>
    <w:rsid w:val="008F1CDD"/>
    <w:rsid w:val="00923EEF"/>
    <w:rsid w:val="009419F9"/>
    <w:rsid w:val="0095685E"/>
    <w:rsid w:val="00961B09"/>
    <w:rsid w:val="00965334"/>
    <w:rsid w:val="0097093E"/>
    <w:rsid w:val="00972DA7"/>
    <w:rsid w:val="009A0DFA"/>
    <w:rsid w:val="009A1C6F"/>
    <w:rsid w:val="009B0A67"/>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76BB0"/>
    <w:rsid w:val="00BC3D36"/>
    <w:rsid w:val="00BD54A6"/>
    <w:rsid w:val="00BD7F72"/>
    <w:rsid w:val="00BF7425"/>
    <w:rsid w:val="00C04FB3"/>
    <w:rsid w:val="00C11D8B"/>
    <w:rsid w:val="00C15139"/>
    <w:rsid w:val="00C24180"/>
    <w:rsid w:val="00C330EB"/>
    <w:rsid w:val="00C50D69"/>
    <w:rsid w:val="00C5365C"/>
    <w:rsid w:val="00C754BE"/>
    <w:rsid w:val="00C76B1C"/>
    <w:rsid w:val="00C84F5A"/>
    <w:rsid w:val="00C925AC"/>
    <w:rsid w:val="00CB6357"/>
    <w:rsid w:val="00CC1B26"/>
    <w:rsid w:val="00CC1F1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1CF9"/>
    <w:rsid w:val="00E75C92"/>
    <w:rsid w:val="00E771DC"/>
    <w:rsid w:val="00E8772A"/>
    <w:rsid w:val="00E90F6B"/>
    <w:rsid w:val="00E92C27"/>
    <w:rsid w:val="00EA0E3D"/>
    <w:rsid w:val="00EC38A7"/>
    <w:rsid w:val="00EE1AA8"/>
    <w:rsid w:val="00F05BE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634D"/>
    <w:pPr>
      <w:spacing w:line="240" w:lineRule="exact"/>
    </w:pPr>
    <w:rPr>
      <w:vertAlign w:val="superscript"/>
    </w:rPr>
  </w:style>
  <w:style w:type="character" w:customStyle="1" w:styleId="NormalWebCar">
    <w:name w:val="Normal (Web) Car"/>
    <w:link w:val="NormalWeb"/>
    <w:uiPriority w:val="99"/>
    <w:locked/>
    <w:rsid w:val="0016634D"/>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6634D"/>
    <w:rPr>
      <w:rFonts w:ascii="Geomanist Light" w:hAnsi="Geomanist Light"/>
      <w:lang w:val="es-ES"/>
    </w:rPr>
  </w:style>
  <w:style w:type="paragraph" w:styleId="Textoindependiente">
    <w:name w:val="Body Text"/>
    <w:basedOn w:val="Normal"/>
    <w:link w:val="TextoindependienteCar"/>
    <w:uiPriority w:val="1"/>
    <w:qFormat/>
    <w:rsid w:val="0016634D"/>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16634D"/>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eicp-ma-04._manual_requisitos_habilitantes_v3_29-09-2023.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suarezh@sena.edu.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Normatividad/DECRETO%20579%20DEL%2031%20DE%20MAYO%20DE%20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73D4CD4D-1CE3-4A48-BCA3-5718CFDB7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22</Pages>
  <Words>7383</Words>
  <Characters>40608</Characters>
  <Application>Microsoft Office Word</Application>
  <DocSecurity>0</DocSecurity>
  <Lines>338</Lines>
  <Paragraphs>95</Paragraphs>
  <ScaleCrop>false</ScaleCrop>
  <Company/>
  <LinksUpToDate>false</LinksUpToDate>
  <CharactersWithSpaces>47896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2026-04-22T23:31:00Z</dcterms:created>
  <dcterms:modified xsi:type="dcterms:W3CDTF">2026-04-23T14:02:00Z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