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14D77" w14:textId="77777777" w:rsidR="005E61E5" w:rsidRDefault="0005018A" w:rsidP="005E61E5">
      <w:pPr>
        <w:jc w:val="both"/>
        <w:rPr>
          <w:rFonts w:ascii="Verdana" w:eastAsia="Verdana" w:hAnsi="Verdana" w:cs="Verdana"/>
          <w:b/>
          <w:bCs/>
        </w:rPr>
      </w:pPr>
      <w:bookmarkStart w:id="0" w:name="_Hlk143780582"/>
      <w:r w:rsidRPr="00973558">
        <w:rPr>
          <w:rFonts w:ascii="Verdana" w:eastAsia="Verdana" w:hAnsi="Verdana" w:cs="Verdana"/>
          <w:b/>
          <w:bCs/>
        </w:rPr>
        <w:t>GARANTÍAS DE CUMPLIMIENTO – Contratos de prestación de servicios profesionales</w:t>
      </w:r>
      <w:r w:rsidR="005E61E5" w:rsidRPr="00973558">
        <w:rPr>
          <w:rFonts w:ascii="Verdana" w:eastAsia="Verdana" w:hAnsi="Verdana" w:cs="Verdana"/>
          <w:b/>
          <w:bCs/>
        </w:rPr>
        <w:t xml:space="preserve"> – Apoyo a la gestión – Contratación directa </w:t>
      </w:r>
    </w:p>
    <w:p w14:paraId="708D9C53" w14:textId="6425C40F" w:rsidR="002F1673" w:rsidRDefault="00845030" w:rsidP="005E61E5">
      <w:pPr>
        <w:jc w:val="both"/>
        <w:rPr>
          <w:rFonts w:ascii="Verdana" w:eastAsia="Verdana" w:hAnsi="Verdana" w:cs="Verdana"/>
          <w:sz w:val="20"/>
          <w:szCs w:val="20"/>
        </w:rPr>
      </w:pPr>
      <w:r>
        <w:rPr>
          <w:rFonts w:ascii="Verdana" w:eastAsia="Verdana" w:hAnsi="Verdana" w:cs="Verdana"/>
          <w:sz w:val="20"/>
          <w:szCs w:val="20"/>
        </w:rPr>
        <w:t xml:space="preserve">[…] las entidades </w:t>
      </w:r>
      <w:r w:rsidR="002F1673">
        <w:rPr>
          <w:rFonts w:ascii="Verdana" w:eastAsia="Verdana" w:hAnsi="Verdana" w:cs="Verdana"/>
          <w:sz w:val="20"/>
          <w:szCs w:val="20"/>
        </w:rPr>
        <w:t>estatales deben exigir garantías en los procesos de contratación con el fin de ampar</w:t>
      </w:r>
      <w:r w:rsidR="006266D6">
        <w:rPr>
          <w:rFonts w:ascii="Verdana" w:eastAsia="Verdana" w:hAnsi="Verdana" w:cs="Verdana"/>
          <w:sz w:val="20"/>
          <w:szCs w:val="20"/>
        </w:rPr>
        <w:t xml:space="preserve">ar los riesgos derivados </w:t>
      </w:r>
      <w:r w:rsidR="001F5589">
        <w:rPr>
          <w:rFonts w:ascii="Verdana" w:eastAsia="Verdana" w:hAnsi="Verdana" w:cs="Verdana"/>
          <w:sz w:val="20"/>
          <w:szCs w:val="20"/>
        </w:rPr>
        <w:t xml:space="preserve">de la ejecución contractual. </w:t>
      </w:r>
      <w:r w:rsidR="00867743">
        <w:rPr>
          <w:rFonts w:ascii="Verdana" w:eastAsia="Verdana" w:hAnsi="Verdana" w:cs="Verdana"/>
          <w:sz w:val="20"/>
          <w:szCs w:val="20"/>
        </w:rPr>
        <w:t xml:space="preserve">No obstante, […] la </w:t>
      </w:r>
      <w:r w:rsidR="00614586">
        <w:rPr>
          <w:rFonts w:ascii="Verdana" w:eastAsia="Verdana" w:hAnsi="Verdana" w:cs="Verdana"/>
          <w:sz w:val="20"/>
          <w:szCs w:val="20"/>
        </w:rPr>
        <w:t>exigencia de garantía de cumplimiento debe estar</w:t>
      </w:r>
      <w:r w:rsidR="002A209F">
        <w:rPr>
          <w:rFonts w:ascii="Verdana" w:eastAsia="Verdana" w:hAnsi="Verdana" w:cs="Verdana"/>
          <w:sz w:val="20"/>
          <w:szCs w:val="20"/>
        </w:rPr>
        <w:t xml:space="preserve"> precedida de un análisis de riesgos, a partir del cual la entidad determine cuales amparos son necesarios y si resulta </w:t>
      </w:r>
      <w:r w:rsidR="003058FC">
        <w:rPr>
          <w:rFonts w:ascii="Verdana" w:eastAsia="Verdana" w:hAnsi="Verdana" w:cs="Verdana"/>
          <w:sz w:val="20"/>
          <w:szCs w:val="20"/>
        </w:rPr>
        <w:t>procedente exigir una garantía de cumplimiento en el caso concreto. […]</w:t>
      </w:r>
    </w:p>
    <w:p w14:paraId="7DB02BC3" w14:textId="37DBC4C7" w:rsidR="005E61E5" w:rsidRPr="00F8183F" w:rsidRDefault="003058FC" w:rsidP="005E61E5">
      <w:pPr>
        <w:jc w:val="both"/>
        <w:rPr>
          <w:rFonts w:ascii="Verdana" w:eastAsia="Verdana" w:hAnsi="Verdana" w:cs="Verdana"/>
          <w:sz w:val="20"/>
          <w:szCs w:val="20"/>
        </w:rPr>
      </w:pPr>
      <w:r>
        <w:rPr>
          <w:rFonts w:ascii="Verdana" w:eastAsia="Verdana" w:hAnsi="Verdana" w:cs="Verdana"/>
          <w:sz w:val="20"/>
          <w:szCs w:val="20"/>
        </w:rPr>
        <w:t xml:space="preserve">[…] cuando se trata de contratos de prestación de servicios profesionales o de apoyo a la gestión, la entidad estatal puede concluir, a partir del análisis </w:t>
      </w:r>
      <w:r w:rsidR="003E7513">
        <w:rPr>
          <w:rFonts w:ascii="Verdana" w:eastAsia="Verdana" w:hAnsi="Verdana" w:cs="Verdana"/>
          <w:sz w:val="20"/>
          <w:szCs w:val="20"/>
        </w:rPr>
        <w:t xml:space="preserve">[…] que la exigencia de una garantía de cumplimiento no resulta necesaria. Ello suele ocurrir en contratos </w:t>
      </w:r>
      <w:r w:rsidR="00733F99">
        <w:rPr>
          <w:rFonts w:ascii="Verdana" w:eastAsia="Verdana" w:hAnsi="Verdana" w:cs="Verdana"/>
          <w:sz w:val="20"/>
          <w:szCs w:val="20"/>
        </w:rPr>
        <w:t xml:space="preserve">cuyo objeto consiste principalmente en la ejecución personal de actividades intelectuales o de apoyo administrativo, en los que el riesgo patrimonial para la entidad </w:t>
      </w:r>
      <w:r w:rsidR="001F36D8">
        <w:rPr>
          <w:rFonts w:ascii="Verdana" w:eastAsia="Verdana" w:hAnsi="Verdana" w:cs="Verdana"/>
          <w:sz w:val="20"/>
          <w:szCs w:val="20"/>
        </w:rPr>
        <w:t xml:space="preserve">puede ser reducido o fácilmente controlable mediante otros mecanismos de seguimiento y supervisión. </w:t>
      </w:r>
    </w:p>
    <w:p w14:paraId="5FDDE7F2" w14:textId="77777777" w:rsidR="005548B4" w:rsidRDefault="005E61E5" w:rsidP="005E61E5">
      <w:pPr>
        <w:jc w:val="both"/>
        <w:rPr>
          <w:rFonts w:ascii="Verdana" w:eastAsia="Verdana" w:hAnsi="Verdana" w:cs="Verdana"/>
          <w:b/>
          <w:bCs/>
        </w:rPr>
      </w:pPr>
      <w:r w:rsidRPr="00973558">
        <w:rPr>
          <w:rFonts w:ascii="Verdana" w:eastAsia="Verdana" w:hAnsi="Verdana" w:cs="Verdana"/>
          <w:b/>
          <w:bCs/>
        </w:rPr>
        <w:t xml:space="preserve">GARANTÍAS DE CUMPLIMIENTO </w:t>
      </w:r>
      <w:r w:rsidR="005548B4" w:rsidRPr="00973558">
        <w:rPr>
          <w:rFonts w:ascii="Verdana" w:eastAsia="Verdana" w:hAnsi="Verdana" w:cs="Verdana"/>
          <w:b/>
          <w:bCs/>
        </w:rPr>
        <w:t>–</w:t>
      </w:r>
      <w:r w:rsidRPr="00973558">
        <w:rPr>
          <w:rFonts w:ascii="Verdana" w:eastAsia="Verdana" w:hAnsi="Verdana" w:cs="Verdana"/>
          <w:b/>
          <w:bCs/>
        </w:rPr>
        <w:t xml:space="preserve"> </w:t>
      </w:r>
      <w:r w:rsidR="005548B4" w:rsidRPr="00973558">
        <w:rPr>
          <w:rFonts w:ascii="Verdana" w:eastAsia="Verdana" w:hAnsi="Verdana" w:cs="Verdana"/>
          <w:b/>
          <w:bCs/>
        </w:rPr>
        <w:t xml:space="preserve">Facultad discrecional de la entidad estatal – Análisis de riesgo – Naturaleza del contrato </w:t>
      </w:r>
    </w:p>
    <w:p w14:paraId="65072BF4" w14:textId="2DE1B3C9" w:rsidR="00DA4C01" w:rsidRDefault="00DA4C01" w:rsidP="005E61E5">
      <w:pPr>
        <w:jc w:val="both"/>
        <w:rPr>
          <w:rFonts w:ascii="Verdana" w:eastAsia="Verdana" w:hAnsi="Verdana" w:cs="Verdana"/>
          <w:sz w:val="20"/>
          <w:szCs w:val="20"/>
        </w:rPr>
      </w:pPr>
      <w:r w:rsidRPr="00DA4C01">
        <w:rPr>
          <w:rFonts w:ascii="Verdana" w:eastAsia="Verdana" w:hAnsi="Verdana" w:cs="Verdana"/>
          <w:sz w:val="20"/>
          <w:szCs w:val="20"/>
        </w:rPr>
        <w:t>[…]</w:t>
      </w:r>
      <w:r w:rsidR="00EC5604">
        <w:rPr>
          <w:rFonts w:ascii="Verdana" w:eastAsia="Verdana" w:hAnsi="Verdana" w:cs="Verdana"/>
          <w:sz w:val="20"/>
          <w:szCs w:val="20"/>
        </w:rPr>
        <w:t xml:space="preserve"> e</w:t>
      </w:r>
      <w:r>
        <w:rPr>
          <w:rFonts w:ascii="Verdana" w:eastAsia="Verdana" w:hAnsi="Verdana" w:cs="Verdana"/>
          <w:sz w:val="20"/>
          <w:szCs w:val="20"/>
        </w:rPr>
        <w:t>n el caso de los contratos de prestación de servicios profesionales o de apoyo a la gestión</w:t>
      </w:r>
      <w:r w:rsidR="00B15C39">
        <w:rPr>
          <w:rFonts w:ascii="Verdana" w:eastAsia="Verdana" w:hAnsi="Verdana" w:cs="Verdana"/>
          <w:sz w:val="20"/>
          <w:szCs w:val="20"/>
        </w:rPr>
        <w:t>, la entidad estatal puede concluir, a partir del análisis del objeto contractual, el valor del contrat</w:t>
      </w:r>
      <w:r w:rsidR="0034475D">
        <w:rPr>
          <w:rFonts w:ascii="Verdana" w:eastAsia="Verdana" w:hAnsi="Verdana" w:cs="Verdana"/>
          <w:sz w:val="20"/>
          <w:szCs w:val="20"/>
        </w:rPr>
        <w:t>o, la forma de pago, el plazo de la ejecución y los riesgos asociados al cumplimiento de las obligaciones</w:t>
      </w:r>
      <w:r w:rsidR="00A21364">
        <w:rPr>
          <w:rFonts w:ascii="Verdana" w:eastAsia="Verdana" w:hAnsi="Verdana" w:cs="Verdana"/>
          <w:sz w:val="20"/>
          <w:szCs w:val="20"/>
        </w:rPr>
        <w:t xml:space="preserve">, que la exigencia de una garantía de cumplimiento puede no ser necesaria. Ello suele </w:t>
      </w:r>
      <w:r w:rsidR="00E63B52">
        <w:rPr>
          <w:rFonts w:ascii="Verdana" w:eastAsia="Verdana" w:hAnsi="Verdana" w:cs="Verdana"/>
          <w:sz w:val="20"/>
          <w:szCs w:val="20"/>
        </w:rPr>
        <w:t>ocurrir en contratos cuyo objeto consiste principalmente</w:t>
      </w:r>
      <w:r w:rsidR="005A0DF2">
        <w:rPr>
          <w:rFonts w:ascii="Verdana" w:eastAsia="Verdana" w:hAnsi="Verdana" w:cs="Verdana"/>
          <w:sz w:val="20"/>
          <w:szCs w:val="20"/>
        </w:rPr>
        <w:t xml:space="preserve"> en la ejecución personal de actividades intelectuales o de apoyo administrativo, en los que el riesgo patrimonial se mitiga considerablemente para la entidad, mediante otros mecanismos de seguimiento y supervisión. </w:t>
      </w:r>
    </w:p>
    <w:p w14:paraId="570339A7" w14:textId="2BCD2B21" w:rsidR="00545D8A" w:rsidRDefault="005A0DF2" w:rsidP="005E61E5">
      <w:pPr>
        <w:jc w:val="both"/>
        <w:rPr>
          <w:rFonts w:ascii="Verdana" w:eastAsia="Verdana" w:hAnsi="Verdana" w:cs="Verdana"/>
          <w:sz w:val="20"/>
          <w:szCs w:val="20"/>
        </w:rPr>
      </w:pPr>
      <w:r>
        <w:rPr>
          <w:rFonts w:ascii="Verdana" w:eastAsia="Verdana" w:hAnsi="Verdana" w:cs="Verdana"/>
          <w:sz w:val="20"/>
          <w:szCs w:val="20"/>
        </w:rPr>
        <w:t xml:space="preserve">[…] la posibilidad que tiene la entidad estatal de no exigir la garantía no significa </w:t>
      </w:r>
      <w:r w:rsidR="00545D8A">
        <w:rPr>
          <w:rFonts w:ascii="Verdana" w:eastAsia="Verdana" w:hAnsi="Verdana" w:cs="Verdana"/>
          <w:sz w:val="20"/>
          <w:szCs w:val="20"/>
        </w:rPr>
        <w:t>que la entidad cuente con discrecionalidad absoluta. […]</w:t>
      </w:r>
    </w:p>
    <w:p w14:paraId="159F4B02" w14:textId="0518E6E1" w:rsidR="00F16A70" w:rsidRPr="00F8183F" w:rsidRDefault="00AA2538" w:rsidP="005E61E5">
      <w:pPr>
        <w:jc w:val="both"/>
        <w:rPr>
          <w:rFonts w:ascii="Verdana" w:eastAsia="Verdana" w:hAnsi="Verdana" w:cs="Verdana"/>
          <w:sz w:val="20"/>
          <w:szCs w:val="20"/>
        </w:rPr>
      </w:pPr>
      <w:r>
        <w:rPr>
          <w:rFonts w:ascii="Verdana" w:eastAsia="Verdana" w:hAnsi="Verdana" w:cs="Verdana"/>
          <w:sz w:val="20"/>
          <w:szCs w:val="20"/>
        </w:rPr>
        <w:t>[…] La exigencia de una garantía en cumplimiento no consti</w:t>
      </w:r>
      <w:r w:rsidR="00BD0D9B">
        <w:rPr>
          <w:rFonts w:ascii="Verdana" w:eastAsia="Verdana" w:hAnsi="Verdana" w:cs="Verdana"/>
          <w:sz w:val="20"/>
          <w:szCs w:val="20"/>
        </w:rPr>
        <w:t>tuye una obligación automática aplicable a todos los contratos estatales</w:t>
      </w:r>
      <w:r w:rsidR="006562C1">
        <w:rPr>
          <w:rFonts w:ascii="Verdana" w:eastAsia="Verdana" w:hAnsi="Verdana" w:cs="Verdana"/>
          <w:sz w:val="20"/>
          <w:szCs w:val="20"/>
        </w:rPr>
        <w:t xml:space="preserve">, sino una decisión que debe adoptarse con fundamento en el análisis de riesgos realizado por la entidad en la etapa de planeación del proceso contractual. </w:t>
      </w:r>
    </w:p>
    <w:p w14:paraId="26DBE24B" w14:textId="66943B6B" w:rsidR="00BC6044" w:rsidRPr="00973558" w:rsidRDefault="005548B4" w:rsidP="005E61E5">
      <w:pPr>
        <w:jc w:val="both"/>
        <w:rPr>
          <w:rFonts w:ascii="Verdana" w:eastAsia="Verdana" w:hAnsi="Verdana" w:cs="Verdana"/>
          <w:b/>
          <w:bCs/>
        </w:rPr>
      </w:pPr>
      <w:r w:rsidRPr="00973558">
        <w:rPr>
          <w:rFonts w:ascii="Verdana" w:eastAsia="Verdana" w:hAnsi="Verdana" w:cs="Verdana"/>
          <w:b/>
          <w:bCs/>
        </w:rPr>
        <w:t xml:space="preserve">GARANTÍAS DE CUMPLIMIENTO </w:t>
      </w:r>
      <w:r w:rsidR="00BC6044" w:rsidRPr="00973558">
        <w:rPr>
          <w:rFonts w:ascii="Verdana" w:eastAsia="Verdana" w:hAnsi="Verdana" w:cs="Verdana"/>
          <w:b/>
          <w:bCs/>
        </w:rPr>
        <w:t xml:space="preserve">– Requisitos para la no exigencia – Estudios previos </w:t>
      </w:r>
    </w:p>
    <w:p w14:paraId="599E205E" w14:textId="275DFE63" w:rsidR="00293864" w:rsidRPr="00293864" w:rsidRDefault="00545D8A" w:rsidP="005E61E5">
      <w:pPr>
        <w:jc w:val="both"/>
        <w:rPr>
          <w:rFonts w:ascii="Verdana" w:eastAsia="Verdana" w:hAnsi="Verdana" w:cs="Verdana"/>
          <w:sz w:val="20"/>
          <w:szCs w:val="20"/>
        </w:rPr>
      </w:pPr>
      <w:r>
        <w:rPr>
          <w:rFonts w:ascii="Verdana" w:eastAsia="Verdana" w:hAnsi="Verdana" w:cs="Verdana"/>
          <w:sz w:val="20"/>
          <w:szCs w:val="20"/>
        </w:rPr>
        <w:t xml:space="preserve">[…] </w:t>
      </w:r>
      <w:r w:rsidR="00C501BE">
        <w:rPr>
          <w:rFonts w:ascii="Verdana" w:eastAsia="Verdana" w:hAnsi="Verdana" w:cs="Verdana"/>
          <w:sz w:val="20"/>
          <w:szCs w:val="20"/>
        </w:rPr>
        <w:t>la decisión de prescindir de la garantía debe estar debidamente motivada y sustentada en los estudios previos</w:t>
      </w:r>
      <w:r w:rsidR="006711B0">
        <w:rPr>
          <w:rFonts w:ascii="Verdana" w:eastAsia="Verdana" w:hAnsi="Verdana" w:cs="Verdana"/>
          <w:sz w:val="20"/>
          <w:szCs w:val="20"/>
        </w:rPr>
        <w:t xml:space="preserve"> del proceso contractual. En estos </w:t>
      </w:r>
      <w:r w:rsidR="003E74BC">
        <w:rPr>
          <w:rFonts w:ascii="Verdana" w:eastAsia="Verdana" w:hAnsi="Verdana" w:cs="Verdana"/>
          <w:sz w:val="20"/>
          <w:szCs w:val="20"/>
        </w:rPr>
        <w:t>documentos la entidad debe dejar constancia, al menos, de los siguientes elementos: i) iden</w:t>
      </w:r>
      <w:r w:rsidR="00274F71">
        <w:rPr>
          <w:rFonts w:ascii="Verdana" w:eastAsia="Verdana" w:hAnsi="Verdana" w:cs="Verdana"/>
          <w:sz w:val="20"/>
          <w:szCs w:val="20"/>
        </w:rPr>
        <w:t>tificación de los riesgos asociados al contrato, ii) el análisis de la probabilidad e impacto de los riesgos asociados al contrato</w:t>
      </w:r>
      <w:r w:rsidR="00D91429">
        <w:rPr>
          <w:rFonts w:ascii="Verdana" w:eastAsia="Verdana" w:hAnsi="Verdana" w:cs="Verdana"/>
          <w:sz w:val="20"/>
          <w:szCs w:val="20"/>
        </w:rPr>
        <w:t xml:space="preserve">, iii) la explicación de por qué dichos riesgos no requieren ser cubiertos mediante una garantía de cumplimiento y iv) </w:t>
      </w:r>
      <w:r w:rsidR="00047051">
        <w:rPr>
          <w:rFonts w:ascii="Verdana" w:eastAsia="Verdana" w:hAnsi="Verdana" w:cs="Verdana"/>
          <w:sz w:val="20"/>
          <w:szCs w:val="20"/>
        </w:rPr>
        <w:t xml:space="preserve">las razones relacionadas con </w:t>
      </w:r>
      <w:r w:rsidR="00047051">
        <w:rPr>
          <w:rFonts w:ascii="Verdana" w:eastAsia="Verdana" w:hAnsi="Verdana" w:cs="Verdana"/>
          <w:sz w:val="20"/>
          <w:szCs w:val="20"/>
        </w:rPr>
        <w:lastRenderedPageBreak/>
        <w:t>la naturaleza del contrato</w:t>
      </w:r>
      <w:r w:rsidR="0038780F">
        <w:rPr>
          <w:rFonts w:ascii="Verdana" w:eastAsia="Verdana" w:hAnsi="Verdana" w:cs="Verdana"/>
          <w:sz w:val="20"/>
          <w:szCs w:val="20"/>
        </w:rPr>
        <w:t xml:space="preserve">, su cuantía, duración, características de las obligaciones que justifican la no exigencia de la póliza. Esta motivación resulta necesaria para </w:t>
      </w:r>
      <w:r w:rsidR="00293864">
        <w:rPr>
          <w:rFonts w:ascii="Verdana" w:eastAsia="Verdana" w:hAnsi="Verdana" w:cs="Verdana"/>
          <w:sz w:val="20"/>
          <w:szCs w:val="20"/>
        </w:rPr>
        <w:t xml:space="preserve">garantizar el cumplimiento de los principios de planeación, responsabilidad y transparencia que orientan el ejercicio de la contratación estatal. </w:t>
      </w:r>
    </w:p>
    <w:p w14:paraId="44A16A70" w14:textId="77777777" w:rsidR="00293864" w:rsidRDefault="00BC6044" w:rsidP="005E61E5">
      <w:pPr>
        <w:jc w:val="both"/>
        <w:rPr>
          <w:rFonts w:ascii="Verdana" w:eastAsia="Verdana" w:hAnsi="Verdana" w:cs="Verdana"/>
          <w:b/>
          <w:bCs/>
        </w:rPr>
      </w:pPr>
      <w:r w:rsidRPr="00973558">
        <w:rPr>
          <w:rFonts w:ascii="Verdana" w:eastAsia="Verdana" w:hAnsi="Verdana" w:cs="Verdana"/>
          <w:b/>
          <w:bCs/>
        </w:rPr>
        <w:t>CATEGORÍAS CONTRACTUALES – Contrato de prestación de servicios profesionales – Contrato de apoyo a la gestión</w:t>
      </w:r>
    </w:p>
    <w:p w14:paraId="4C6AD05A" w14:textId="3FE7A74F" w:rsidR="0074730B" w:rsidRDefault="00C73CC1" w:rsidP="005E61E5">
      <w:pPr>
        <w:jc w:val="both"/>
        <w:rPr>
          <w:rFonts w:ascii="Verdana" w:eastAsia="Verdana" w:hAnsi="Verdana" w:cs="Verdana"/>
        </w:rPr>
      </w:pPr>
      <w:r>
        <w:rPr>
          <w:rFonts w:ascii="Verdana" w:eastAsia="Verdana" w:hAnsi="Verdana" w:cs="Verdana"/>
          <w:sz w:val="20"/>
          <w:szCs w:val="20"/>
        </w:rPr>
        <w:t>[…] en el ordenamiento jurídico colombiano no existe una diferencia normativa relevante entre los contratos de prestación de servicios profesionales y los contratos de apoyo a la gestión en materia de obligatoriedad de garantías</w:t>
      </w:r>
      <w:r w:rsidR="009331B5">
        <w:rPr>
          <w:rFonts w:ascii="Verdana" w:eastAsia="Verdana" w:hAnsi="Verdana" w:cs="Verdana"/>
          <w:sz w:val="20"/>
          <w:szCs w:val="20"/>
        </w:rPr>
        <w:t xml:space="preserve">. Ambos corresponden </w:t>
      </w:r>
      <w:r w:rsidR="00102244">
        <w:rPr>
          <w:rFonts w:ascii="Verdana" w:eastAsia="Verdana" w:hAnsi="Verdana" w:cs="Verdana"/>
          <w:sz w:val="20"/>
          <w:szCs w:val="20"/>
        </w:rPr>
        <w:t xml:space="preserve">a una misma causal de contratación directa </w:t>
      </w:r>
      <w:r w:rsidR="00DD7DB6">
        <w:rPr>
          <w:rFonts w:ascii="Verdana" w:eastAsia="Verdana" w:hAnsi="Verdana" w:cs="Verdana"/>
          <w:sz w:val="20"/>
          <w:szCs w:val="20"/>
        </w:rPr>
        <w:t xml:space="preserve">[…] y en consecuencia se encuentran sometidos a las mismas reglas generales en relación con el análisis </w:t>
      </w:r>
      <w:r w:rsidR="00C71645">
        <w:rPr>
          <w:rFonts w:ascii="Verdana" w:eastAsia="Verdana" w:hAnsi="Verdana" w:cs="Verdana"/>
          <w:sz w:val="20"/>
          <w:szCs w:val="20"/>
        </w:rPr>
        <w:t>de riesgos</w:t>
      </w:r>
      <w:r w:rsidR="006C4EE2">
        <w:rPr>
          <w:rFonts w:ascii="Verdana" w:eastAsia="Verdana" w:hAnsi="Verdana" w:cs="Verdana"/>
          <w:sz w:val="20"/>
          <w:szCs w:val="20"/>
        </w:rPr>
        <w:t xml:space="preserve"> y la eventual exigencia de garantías. La diferencia entre estas dos modalidades radica principalmente en la</w:t>
      </w:r>
      <w:r w:rsidR="00312E09">
        <w:rPr>
          <w:rFonts w:ascii="Verdana" w:eastAsia="Verdana" w:hAnsi="Verdana" w:cs="Verdana"/>
          <w:sz w:val="20"/>
          <w:szCs w:val="20"/>
        </w:rPr>
        <w:t xml:space="preserve"> naturaleza de las actividades que se contratan, bien sea intelectuales y especializadas, en el caso de los servicios profesionales, y actividades de apoyo </w:t>
      </w:r>
      <w:r w:rsidR="0076083E">
        <w:rPr>
          <w:rFonts w:ascii="Verdana" w:eastAsia="Verdana" w:hAnsi="Verdana" w:cs="Verdana"/>
          <w:sz w:val="20"/>
          <w:szCs w:val="20"/>
        </w:rPr>
        <w:t xml:space="preserve">operativo o administrativo en el caso de apoyo a la gestión. Ahora bien, dicha distinción no genera, por sí misma, una obligación diferenciada respecto de la constitución de garantías. </w:t>
      </w:r>
      <w:r w:rsidR="0074730B">
        <w:rPr>
          <w:rFonts w:ascii="Verdana" w:eastAsia="Verdana" w:hAnsi="Verdana" w:cs="Verdana"/>
        </w:rPr>
        <w:br w:type="page"/>
      </w:r>
    </w:p>
    <w:p w14:paraId="1468C46D" w14:textId="4B997C8B" w:rsidR="00C15139" w:rsidRPr="0024624F" w:rsidRDefault="00C15139" w:rsidP="30821638">
      <w:pPr>
        <w:spacing w:after="0"/>
        <w:rPr>
          <w:rFonts w:ascii="Verdana" w:eastAsia="Verdana" w:hAnsi="Verdana" w:cs="Verdana"/>
        </w:rPr>
      </w:pPr>
      <w:r w:rsidRPr="30821638">
        <w:rPr>
          <w:rFonts w:ascii="Verdana" w:eastAsia="Verdana" w:hAnsi="Verdana" w:cs="Verdana"/>
        </w:rPr>
        <w:lastRenderedPageBreak/>
        <w:t xml:space="preserve">Bogotá D.C., </w:t>
      </w:r>
      <w:r w:rsidR="00F8183F">
        <w:rPr>
          <w:rFonts w:ascii="Verdana" w:eastAsia="Verdana" w:hAnsi="Verdana" w:cs="Verdana"/>
        </w:rPr>
        <w:t>6 de abril de 2026</w:t>
      </w:r>
      <w:r>
        <w:tab/>
      </w: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1FF2B776" w14:textId="11AD9C0F" w:rsidR="001166E8" w:rsidRDefault="001166E8" w:rsidP="001166E8">
      <w:pPr>
        <w:spacing w:after="0" w:line="240" w:lineRule="auto"/>
        <w:jc w:val="right"/>
        <w:rPr>
          <w:rFonts w:ascii="Verdana" w:eastAsia="Calibri" w:hAnsi="Verdana" w:cs="Arial"/>
          <w:lang w:val="es-ES" w:eastAsia="es-ES"/>
        </w:rPr>
      </w:pPr>
      <w:r w:rsidRPr="001166E8">
        <w:rPr>
          <w:rFonts w:ascii="Verdana" w:eastAsia="Calibri" w:hAnsi="Verdana" w:cs="Arial"/>
          <w:noProof/>
          <w:lang w:val="es-ES" w:eastAsia="es-ES"/>
        </w:rPr>
        <w:drawing>
          <wp:anchor distT="0" distB="0" distL="114300" distR="114300" simplePos="0" relativeHeight="251658240" behindDoc="0" locked="0" layoutInCell="1" allowOverlap="1" wp14:anchorId="4C48B900" wp14:editId="71404981">
            <wp:simplePos x="0" y="0"/>
            <wp:positionH relativeFrom="margin">
              <wp:align>right</wp:align>
            </wp:positionH>
            <wp:positionV relativeFrom="paragraph">
              <wp:posOffset>5715</wp:posOffset>
            </wp:positionV>
            <wp:extent cx="2701290" cy="770890"/>
            <wp:effectExtent l="0" t="0" r="3810" b="0"/>
            <wp:wrapSquare wrapText="bothSides"/>
            <wp:docPr id="6767407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740759" name=""/>
                    <pic:cNvPicPr/>
                  </pic:nvPicPr>
                  <pic:blipFill>
                    <a:blip r:embed="rId11">
                      <a:extLst>
                        <a:ext uri="{28A0092B-C50C-407E-A947-70E740481C1C}">
                          <a14:useLocalDpi xmlns:a14="http://schemas.microsoft.com/office/drawing/2010/main" val="0"/>
                        </a:ext>
                      </a:extLst>
                    </a:blip>
                    <a:stretch>
                      <a:fillRect/>
                    </a:stretch>
                  </pic:blipFill>
                  <pic:spPr>
                    <a:xfrm>
                      <a:off x="0" y="0"/>
                      <a:ext cx="2701290" cy="770890"/>
                    </a:xfrm>
                    <a:prstGeom prst="rect">
                      <a:avLst/>
                    </a:prstGeom>
                  </pic:spPr>
                </pic:pic>
              </a:graphicData>
            </a:graphic>
            <wp14:sizeRelH relativeFrom="margin">
              <wp14:pctWidth>0</wp14:pctWidth>
            </wp14:sizeRelH>
            <wp14:sizeRelV relativeFrom="margin">
              <wp14:pctHeight>0</wp14:pctHeight>
            </wp14:sizeRelV>
          </wp:anchor>
        </w:drawing>
      </w:r>
    </w:p>
    <w:p w14:paraId="1B763424" w14:textId="170E7031" w:rsidR="0055038B" w:rsidRDefault="0055038B" w:rsidP="0055038B">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0BB1223" w14:textId="77777777" w:rsidR="0055038B" w:rsidRPr="00E91BA5" w:rsidRDefault="0055038B" w:rsidP="0055038B">
      <w:pPr>
        <w:spacing w:after="0" w:line="240" w:lineRule="auto"/>
        <w:jc w:val="both"/>
        <w:rPr>
          <w:rFonts w:ascii="Verdana" w:eastAsia="Calibri" w:hAnsi="Verdana" w:cs="Arial"/>
          <w:b/>
          <w:bCs/>
          <w:color w:val="0000FF"/>
          <w:lang w:val="es-ES_tradnl" w:eastAsia="es-ES_tradnl"/>
        </w:rPr>
      </w:pPr>
      <w:r>
        <w:rPr>
          <w:rFonts w:ascii="Verdana" w:eastAsia="Calibri" w:hAnsi="Verdana" w:cs="Arial"/>
          <w:b/>
          <w:bCs/>
          <w:lang w:val="es-ES" w:eastAsia="es-ES"/>
        </w:rPr>
        <w:t>Oscar Ovidio Muñoz Campo</w:t>
      </w:r>
    </w:p>
    <w:p w14:paraId="43B38003" w14:textId="77777777" w:rsidR="0055038B" w:rsidRDefault="0055038B" w:rsidP="0055038B">
      <w:pPr>
        <w:spacing w:after="0" w:line="240" w:lineRule="auto"/>
        <w:jc w:val="both"/>
        <w:rPr>
          <w:rFonts w:ascii="Verdana" w:eastAsia="Calibri" w:hAnsi="Verdana" w:cs="Arial"/>
          <w:b/>
          <w:bCs/>
          <w:lang w:val="es-ES_tradnl" w:eastAsia="es-ES_tradnl"/>
        </w:rPr>
      </w:pPr>
      <w:hyperlink r:id="rId12" w:history="1">
        <w:r w:rsidRPr="00E91BA5">
          <w:rPr>
            <w:rStyle w:val="Hipervnculo"/>
            <w:rFonts w:ascii="Verdana" w:eastAsia="Calibri" w:hAnsi="Verdana" w:cs="Arial"/>
            <w:b/>
            <w:bCs/>
            <w:lang w:val="es-ES_tradnl" w:eastAsia="es-ES_tradnl"/>
          </w:rPr>
          <w:t>Abogado.oscar.munoz@gmail.com</w:t>
        </w:r>
      </w:hyperlink>
      <w:r>
        <w:rPr>
          <w:rFonts w:ascii="Verdana" w:eastAsia="Calibri" w:hAnsi="Verdana" w:cs="Arial"/>
          <w:b/>
          <w:bCs/>
          <w:lang w:val="es-ES_tradnl" w:eastAsia="es-ES_tradnl"/>
        </w:rPr>
        <w:t xml:space="preserve"> </w:t>
      </w:r>
    </w:p>
    <w:p w14:paraId="5842CEE0" w14:textId="77777777" w:rsidR="0055038B" w:rsidRPr="00E91BA5" w:rsidRDefault="0055038B" w:rsidP="0055038B">
      <w:pPr>
        <w:spacing w:after="0" w:line="240" w:lineRule="auto"/>
        <w:jc w:val="both"/>
        <w:rPr>
          <w:rFonts w:ascii="Verdana" w:eastAsia="Calibri" w:hAnsi="Verdana" w:cs="Arial"/>
          <w:lang w:val="es-ES_tradnl" w:eastAsia="es-ES_tradnl"/>
        </w:rPr>
      </w:pPr>
      <w:r w:rsidRPr="00E91BA5">
        <w:rPr>
          <w:rFonts w:ascii="Verdana" w:eastAsia="Calibri" w:hAnsi="Verdana" w:cs="Arial"/>
          <w:lang w:val="es-ES_tradnl" w:eastAsia="es-ES_tradnl"/>
        </w:rPr>
        <w:t>Bogotá, D.C</w:t>
      </w:r>
    </w:p>
    <w:p w14:paraId="160754C6" w14:textId="77777777" w:rsidR="0055038B" w:rsidRPr="00E9728D" w:rsidRDefault="0055038B" w:rsidP="0055038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5038B" w:rsidRPr="00E9728D" w14:paraId="20673E99" w14:textId="77777777" w:rsidTr="00BA05D4">
        <w:trPr>
          <w:trHeight w:val="884"/>
        </w:trPr>
        <w:tc>
          <w:tcPr>
            <w:tcW w:w="2689" w:type="dxa"/>
          </w:tcPr>
          <w:p w14:paraId="324BEAE6" w14:textId="77777777" w:rsidR="0055038B" w:rsidRPr="00114F4E" w:rsidRDefault="0055038B" w:rsidP="00BA05D4">
            <w:pPr>
              <w:jc w:val="both"/>
              <w:rPr>
                <w:rFonts w:ascii="Verdana" w:eastAsia="Calibri" w:hAnsi="Verdana" w:cs="Arial"/>
                <w:b/>
                <w:bCs/>
                <w:color w:val="7030A0"/>
                <w:highlight w:val="green"/>
                <w:lang w:val="es-ES_tradnl" w:eastAsia="es-ES_tradnl"/>
              </w:rPr>
            </w:pPr>
          </w:p>
        </w:tc>
        <w:tc>
          <w:tcPr>
            <w:tcW w:w="6100" w:type="dxa"/>
          </w:tcPr>
          <w:p w14:paraId="257F5186" w14:textId="77777777" w:rsidR="0055038B" w:rsidRPr="004267FD" w:rsidRDefault="0055038B" w:rsidP="00BA05D4">
            <w:pPr>
              <w:jc w:val="both"/>
              <w:rPr>
                <w:rFonts w:ascii="Verdana" w:eastAsia="Calibri" w:hAnsi="Verdana" w:cs="Arial"/>
                <w:b/>
                <w:bCs/>
                <w:lang w:val="es-ES" w:eastAsia="es-ES"/>
              </w:rPr>
            </w:pPr>
            <w:r w:rsidRPr="004267FD">
              <w:rPr>
                <w:rFonts w:ascii="Verdana" w:eastAsia="Calibri" w:hAnsi="Verdana" w:cs="Arial"/>
                <w:b/>
                <w:bCs/>
                <w:lang w:val="es-ES" w:eastAsia="es-ES"/>
              </w:rPr>
              <w:t>Concepto C-3</w:t>
            </w:r>
            <w:r>
              <w:rPr>
                <w:rFonts w:ascii="Verdana" w:eastAsia="Calibri" w:hAnsi="Verdana" w:cs="Arial"/>
                <w:b/>
                <w:bCs/>
                <w:lang w:val="es-ES" w:eastAsia="es-ES"/>
              </w:rPr>
              <w:t>56</w:t>
            </w:r>
            <w:r w:rsidRPr="004267FD">
              <w:rPr>
                <w:rFonts w:ascii="Verdana" w:eastAsia="Calibri" w:hAnsi="Verdana" w:cs="Arial"/>
                <w:b/>
                <w:bCs/>
                <w:lang w:val="es-ES" w:eastAsia="es-ES"/>
              </w:rPr>
              <w:t xml:space="preserve"> de 2026</w:t>
            </w:r>
          </w:p>
        </w:tc>
      </w:tr>
      <w:tr w:rsidR="0055038B" w:rsidRPr="00E9728D" w14:paraId="5723CCD9" w14:textId="77777777" w:rsidTr="00BA05D4">
        <w:trPr>
          <w:trHeight w:val="884"/>
        </w:trPr>
        <w:tc>
          <w:tcPr>
            <w:tcW w:w="2689" w:type="dxa"/>
          </w:tcPr>
          <w:p w14:paraId="33D940E9" w14:textId="77777777" w:rsidR="0055038B" w:rsidRPr="00650CFD" w:rsidRDefault="0055038B" w:rsidP="00BA05D4">
            <w:pPr>
              <w:jc w:val="both"/>
              <w:rPr>
                <w:rFonts w:ascii="Verdana" w:eastAsia="Calibri" w:hAnsi="Verdana" w:cs="Arial"/>
                <w:color w:val="000000"/>
                <w:highlight w:val="green"/>
                <w:lang w:val="es-ES_tradnl" w:eastAsia="es-ES_tradnl"/>
              </w:rPr>
            </w:pPr>
            <w:r w:rsidRPr="004267FD">
              <w:rPr>
                <w:rFonts w:ascii="Verdana" w:eastAsia="Calibri" w:hAnsi="Verdana" w:cs="Arial"/>
                <w:b/>
                <w:color w:val="000000"/>
                <w:lang w:val="es-ES_tradnl" w:eastAsia="es-ES_tradnl"/>
              </w:rPr>
              <w:t>Temas:</w:t>
            </w:r>
            <w:r w:rsidRPr="004267FD">
              <w:rPr>
                <w:rFonts w:ascii="Verdana" w:eastAsia="Calibri" w:hAnsi="Verdana" w:cs="Arial"/>
                <w:color w:val="000000"/>
                <w:lang w:val="es-ES_tradnl" w:eastAsia="es-ES_tradnl"/>
              </w:rPr>
              <w:t xml:space="preserve">                   </w:t>
            </w:r>
          </w:p>
        </w:tc>
        <w:tc>
          <w:tcPr>
            <w:tcW w:w="6100" w:type="dxa"/>
          </w:tcPr>
          <w:p w14:paraId="309BEF81" w14:textId="77777777" w:rsidR="0055038B" w:rsidRDefault="0055038B" w:rsidP="00BA05D4">
            <w:pPr>
              <w:spacing w:line="276" w:lineRule="auto"/>
              <w:jc w:val="both"/>
              <w:rPr>
                <w:rFonts w:ascii="Verdana" w:eastAsia="Calibri" w:hAnsi="Verdana" w:cs="Arial"/>
                <w:lang w:val="es-ES" w:eastAsia="es-ES"/>
              </w:rPr>
            </w:pPr>
            <w:r w:rsidRPr="000E3058">
              <w:rPr>
                <w:rFonts w:ascii="Verdana" w:eastAsia="Calibri" w:hAnsi="Verdana" w:cs="Arial"/>
                <w:lang w:val="es-ES" w:eastAsia="es-ES"/>
              </w:rPr>
              <w:t>GARANTÍAS DE CUMPLIMIENTO - Contratos de prestación de servicios profesionales - Apoyo a la gestión - Contratación directa / GARANTÍAS DE CUMPLIMIENTO - Facultad discrecional de la entidad estatal - Análisis de riesgo - Naturaleza del contrato / GARANTÍAS DE CUMPLIMIENTO - Requisitos para la no exigencia - Estudios previos / CATEGORÍAS CONTRACTUALES - Contrato de prestación de servicios profesionales - Contrato de apoyo a la gestión</w:t>
            </w:r>
            <w:r>
              <w:rPr>
                <w:rFonts w:ascii="Verdana" w:eastAsia="Calibri" w:hAnsi="Verdana" w:cs="Arial"/>
                <w:lang w:val="es-ES" w:eastAsia="es-ES"/>
              </w:rPr>
              <w:t>.</w:t>
            </w:r>
          </w:p>
          <w:p w14:paraId="693FFEEE" w14:textId="77777777" w:rsidR="0055038B" w:rsidRPr="00FD3333" w:rsidRDefault="0055038B" w:rsidP="00BA05D4">
            <w:pPr>
              <w:spacing w:line="276" w:lineRule="auto"/>
              <w:jc w:val="both"/>
              <w:rPr>
                <w:rFonts w:ascii="Verdana" w:eastAsia="Calibri" w:hAnsi="Verdana" w:cs="Arial"/>
                <w:highlight w:val="yellow"/>
                <w:lang w:val="es-ES" w:eastAsia="es-ES"/>
              </w:rPr>
            </w:pPr>
          </w:p>
        </w:tc>
      </w:tr>
      <w:tr w:rsidR="0055038B" w:rsidRPr="00E9728D" w14:paraId="4985FDFF" w14:textId="77777777" w:rsidTr="00A151FF">
        <w:trPr>
          <w:trHeight w:val="432"/>
        </w:trPr>
        <w:tc>
          <w:tcPr>
            <w:tcW w:w="2689" w:type="dxa"/>
          </w:tcPr>
          <w:p w14:paraId="13767940" w14:textId="77777777" w:rsidR="0055038B" w:rsidRPr="00E9728D" w:rsidRDefault="0055038B" w:rsidP="00BA05D4">
            <w:pPr>
              <w:jc w:val="both"/>
              <w:rPr>
                <w:rFonts w:ascii="Verdana" w:eastAsia="Calibri" w:hAnsi="Verdana" w:cs="Arial"/>
                <w:b/>
                <w:lang w:val="es-ES_tradnl" w:eastAsia="es-ES_tradnl"/>
              </w:rPr>
            </w:pPr>
            <w:r w:rsidRPr="00E9728D">
              <w:rPr>
                <w:rFonts w:ascii="Verdana" w:eastAsia="Calibri" w:hAnsi="Verdana" w:cs="Arial"/>
                <w:b/>
                <w:lang w:val="es-ES_tradnl" w:eastAsia="es-ES_tradnl"/>
              </w:rPr>
              <w:t>Radicación:</w:t>
            </w:r>
            <w:r w:rsidRPr="00E9728D">
              <w:rPr>
                <w:rFonts w:ascii="Verdana" w:eastAsia="Calibri" w:hAnsi="Verdana" w:cs="Arial"/>
                <w:lang w:val="es-ES_tradnl" w:eastAsia="es-ES_tradnl"/>
              </w:rPr>
              <w:t xml:space="preserve">               </w:t>
            </w:r>
          </w:p>
        </w:tc>
        <w:tc>
          <w:tcPr>
            <w:tcW w:w="6100" w:type="dxa"/>
          </w:tcPr>
          <w:p w14:paraId="43164C9D" w14:textId="77777777" w:rsidR="0055038B" w:rsidRPr="004267FD" w:rsidRDefault="0055038B" w:rsidP="00BA05D4">
            <w:pPr>
              <w:jc w:val="both"/>
              <w:rPr>
                <w:rFonts w:ascii="Verdana" w:eastAsia="Calibri" w:hAnsi="Verdana" w:cs="Arial"/>
                <w:lang w:val="es-ES_tradnl" w:eastAsia="es-ES_tradnl"/>
              </w:rPr>
            </w:pPr>
            <w:r w:rsidRPr="004267FD">
              <w:rPr>
                <w:rFonts w:ascii="Verdana" w:eastAsia="Calibri" w:hAnsi="Verdana" w:cs="Arial"/>
                <w:lang w:val="es-ES_tradnl" w:eastAsia="es-ES_tradnl"/>
              </w:rPr>
              <w:t xml:space="preserve">Respuesta a consulta con radicado No. </w:t>
            </w:r>
            <w:r w:rsidRPr="00FD3333">
              <w:rPr>
                <w:rFonts w:ascii="Verdana" w:eastAsia="Calibri" w:hAnsi="Verdana" w:cs="Arial"/>
                <w:lang w:eastAsia="es-ES_tradnl"/>
              </w:rPr>
              <w:t>1_2026_03_04_003041</w:t>
            </w:r>
          </w:p>
        </w:tc>
      </w:tr>
    </w:tbl>
    <w:p w14:paraId="346E0D1C" w14:textId="77777777" w:rsidR="0055038B" w:rsidRPr="00E9728D" w:rsidRDefault="0055038B" w:rsidP="0055038B">
      <w:pPr>
        <w:spacing w:after="0" w:line="240" w:lineRule="auto"/>
        <w:jc w:val="both"/>
        <w:rPr>
          <w:rFonts w:ascii="Verdana" w:eastAsia="Calibri" w:hAnsi="Verdana" w:cs="Arial"/>
          <w:lang w:val="es-ES_tradnl" w:eastAsia="es-ES_tradnl"/>
        </w:rPr>
      </w:pPr>
    </w:p>
    <w:p w14:paraId="7CF9AD1B" w14:textId="77777777" w:rsidR="0055038B" w:rsidRPr="00E9728D" w:rsidRDefault="0055038B" w:rsidP="0055038B">
      <w:pPr>
        <w:spacing w:after="0" w:line="240" w:lineRule="auto"/>
        <w:jc w:val="both"/>
        <w:rPr>
          <w:rFonts w:ascii="Verdana" w:eastAsia="Calibri" w:hAnsi="Verdana" w:cs="Arial"/>
          <w:color w:val="000000"/>
          <w:lang w:val="es-ES_tradnl" w:eastAsia="es-ES_tradnl"/>
        </w:rPr>
      </w:pPr>
    </w:p>
    <w:p w14:paraId="1172DF05" w14:textId="77777777" w:rsidR="0055038B" w:rsidRPr="00E9728D" w:rsidRDefault="0055038B" w:rsidP="0055038B">
      <w:pPr>
        <w:spacing w:after="0" w:line="276" w:lineRule="auto"/>
        <w:jc w:val="both"/>
        <w:rPr>
          <w:rFonts w:ascii="Verdana" w:eastAsia="Calibri" w:hAnsi="Verdana" w:cs="Arial"/>
          <w:color w:val="000000" w:themeColor="text1"/>
          <w:lang w:val="es-ES" w:eastAsia="es-ES"/>
        </w:rPr>
      </w:pPr>
      <w:r w:rsidRPr="00E9728D">
        <w:rPr>
          <w:rFonts w:ascii="Verdana" w:eastAsia="Calibri" w:hAnsi="Verdana" w:cs="Arial"/>
          <w:color w:val="000000" w:themeColor="text1"/>
          <w:lang w:val="es-ES" w:eastAsia="es-ES"/>
        </w:rPr>
        <w:t xml:space="preserve">Estimado </w:t>
      </w:r>
      <w:r>
        <w:rPr>
          <w:rFonts w:ascii="Verdana" w:eastAsia="Calibri" w:hAnsi="Verdana" w:cs="Arial"/>
          <w:color w:val="000000" w:themeColor="text1"/>
          <w:lang w:val="es-ES" w:eastAsia="es-ES"/>
        </w:rPr>
        <w:t>señor Muñoz Campo,</w:t>
      </w:r>
    </w:p>
    <w:p w14:paraId="7EE2802E" w14:textId="77777777" w:rsidR="0055038B" w:rsidRPr="00E9728D" w:rsidRDefault="0055038B" w:rsidP="0055038B">
      <w:pPr>
        <w:tabs>
          <w:tab w:val="left" w:pos="3768"/>
        </w:tabs>
        <w:spacing w:after="0" w:line="276" w:lineRule="auto"/>
        <w:jc w:val="both"/>
        <w:rPr>
          <w:rFonts w:ascii="Verdana" w:eastAsia="Calibri" w:hAnsi="Verdana" w:cs="Arial"/>
          <w:color w:val="000000" w:themeColor="text1"/>
          <w:lang w:val="es-ES" w:eastAsia="es-ES"/>
        </w:rPr>
      </w:pPr>
      <w:r w:rsidRPr="00E9728D">
        <w:rPr>
          <w:rFonts w:ascii="Verdana" w:eastAsia="Calibri" w:hAnsi="Verdana" w:cs="Arial"/>
          <w:color w:val="000000" w:themeColor="text1"/>
          <w:lang w:val="es-ES" w:eastAsia="es-ES"/>
        </w:rPr>
        <w:tab/>
      </w:r>
    </w:p>
    <w:p w14:paraId="525C5BD9" w14:textId="77777777" w:rsidR="0055038B" w:rsidRPr="00E9728D" w:rsidRDefault="0055038B" w:rsidP="0055038B">
      <w:pPr>
        <w:spacing w:after="0" w:line="276" w:lineRule="auto"/>
        <w:jc w:val="both"/>
        <w:rPr>
          <w:rFonts w:ascii="Verdana" w:eastAsia="Calibri" w:hAnsi="Verdana" w:cs="Arial"/>
          <w:color w:val="7030A0"/>
          <w:lang w:val="es-ES" w:eastAsia="es-ES"/>
        </w:rPr>
      </w:pPr>
      <w:r w:rsidRPr="00E9728D">
        <w:rPr>
          <w:rFonts w:ascii="Verdana" w:eastAsia="Calibri" w:hAnsi="Verdana" w:cs="Arial"/>
          <w:color w:val="000000" w:themeColor="text1"/>
          <w:lang w:val="es-ES" w:eastAsia="es-ES"/>
        </w:rPr>
        <w:t>En ejercicio de la competencia otorgada por los artículos 3, numeral 5º, y 11, numeral 8º, del Decreto Ley 4170 de 2011,</w:t>
      </w:r>
      <w:r w:rsidRPr="00E9728D">
        <w:rPr>
          <w:rFonts w:ascii="Verdana" w:eastAsia="Arial MT" w:hAnsi="Verdana" w:cs="Arial MT"/>
          <w:lang w:val="es-ES" w:eastAsia="es-ES"/>
        </w:rPr>
        <w:t xml:space="preserve"> </w:t>
      </w:r>
      <w:r w:rsidRPr="00E9728D">
        <w:rPr>
          <w:rFonts w:ascii="Verdana" w:hAnsi="Verdana" w:cs="Arial"/>
        </w:rPr>
        <w:t xml:space="preserve">así como lo establecido la </w:t>
      </w:r>
      <w:r w:rsidRPr="00E9728D">
        <w:rPr>
          <w:rFonts w:ascii="Verdana" w:eastAsia="Verdana" w:hAnsi="Verdana" w:cs="Verdana"/>
          <w:color w:val="000000" w:themeColor="text1"/>
        </w:rPr>
        <w:t>Resolución 469 de 2025</w:t>
      </w:r>
      <w:r w:rsidRPr="00E9728D">
        <w:rPr>
          <w:rFonts w:ascii="Verdana" w:hAnsi="Verdana" w:cs="Arial"/>
        </w:rPr>
        <w:t xml:space="preserve"> expedida por esta Entidad, </w:t>
      </w:r>
      <w:r w:rsidRPr="00E9728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03 de marzo</w:t>
      </w:r>
      <w:r w:rsidRPr="00E9728D">
        <w:rPr>
          <w:rFonts w:ascii="Verdana" w:eastAsia="Calibri" w:hAnsi="Verdana" w:cs="Arial"/>
          <w:lang w:val="es-ES" w:eastAsia="es-ES"/>
        </w:rPr>
        <w:t xml:space="preserve"> de 2026, en la cual manifiesta lo siguiente: </w:t>
      </w:r>
    </w:p>
    <w:p w14:paraId="3C3C667A" w14:textId="77777777" w:rsidR="0055038B" w:rsidRPr="008E48E0" w:rsidRDefault="0055038B" w:rsidP="0055038B">
      <w:pPr>
        <w:pStyle w:val="Prrafodelista"/>
        <w:tabs>
          <w:tab w:val="left" w:pos="142"/>
          <w:tab w:val="left" w:pos="284"/>
        </w:tabs>
        <w:spacing w:line="276" w:lineRule="auto"/>
        <w:ind w:left="0"/>
        <w:jc w:val="both"/>
        <w:rPr>
          <w:rFonts w:ascii="Verdana" w:eastAsia="Century Gothic" w:hAnsi="Verdana" w:cs="Century Gothic"/>
          <w:b/>
          <w:bCs/>
          <w:i/>
          <w:iCs/>
        </w:rPr>
      </w:pPr>
    </w:p>
    <w:p w14:paraId="74343D92" w14:textId="77777777" w:rsidR="0055038B" w:rsidRDefault="0055038B" w:rsidP="0055038B">
      <w:pPr>
        <w:spacing w:after="0" w:line="240" w:lineRule="auto"/>
        <w:ind w:left="709" w:right="709"/>
        <w:jc w:val="both"/>
        <w:rPr>
          <w:rFonts w:ascii="Verdana" w:eastAsia="Century Gothic" w:hAnsi="Verdana" w:cs="Century Gothic"/>
          <w:i/>
          <w:iCs/>
          <w:sz w:val="20"/>
          <w:szCs w:val="20"/>
          <w:lang w:val="es-ES"/>
        </w:rPr>
      </w:pPr>
      <w:bookmarkStart w:id="1" w:name="_Hlk95313578"/>
      <w:r w:rsidRPr="008E48E0">
        <w:rPr>
          <w:rFonts w:ascii="Verdana" w:eastAsia="Century Gothic" w:hAnsi="Verdana" w:cs="Century Gothic"/>
          <w:i/>
          <w:iCs/>
          <w:sz w:val="20"/>
          <w:szCs w:val="20"/>
          <w:lang w:val="es-ES"/>
        </w:rPr>
        <w:t>“</w:t>
      </w:r>
      <w:bookmarkEnd w:id="1"/>
      <w:r w:rsidRPr="008E48E0">
        <w:rPr>
          <w:rFonts w:ascii="Verdana" w:eastAsia="Century Gothic" w:hAnsi="Verdana" w:cs="Century Gothic"/>
          <w:i/>
          <w:iCs/>
          <w:sz w:val="20"/>
          <w:szCs w:val="20"/>
          <w:lang w:val="es-ES"/>
        </w:rPr>
        <w:t xml:space="preserve">[…] </w:t>
      </w:r>
      <w:r>
        <w:rPr>
          <w:rFonts w:ascii="Verdana" w:eastAsia="Century Gothic" w:hAnsi="Verdana" w:cs="Century Gothic"/>
          <w:i/>
          <w:iCs/>
          <w:sz w:val="20"/>
          <w:szCs w:val="20"/>
          <w:lang w:val="es-ES"/>
        </w:rPr>
        <w:t>Solicito respetuosamente a la Agencia Nacional de Contratación Pública – Colombia Compra Eficiente, como ente rector de la contratación estatal, emitir pronunciamiento claro y detallado sobre los siguientes puntos:</w:t>
      </w:r>
    </w:p>
    <w:p w14:paraId="132AEF6C" w14:textId="77777777" w:rsidR="0055038B" w:rsidRDefault="0055038B" w:rsidP="0055038B">
      <w:pPr>
        <w:pStyle w:val="Prrafodelista"/>
        <w:numPr>
          <w:ilvl w:val="0"/>
          <w:numId w:val="18"/>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lastRenderedPageBreak/>
        <w:t>¿Es obligatoria la constitución de una garantía de cumplimiento para los contratos de prestación de servicios profesionales y de apoyo a la gestión celebrados mediante contratación directa?</w:t>
      </w:r>
    </w:p>
    <w:p w14:paraId="712FAC91" w14:textId="77777777" w:rsidR="0055038B" w:rsidRDefault="0055038B" w:rsidP="0055038B">
      <w:pPr>
        <w:pStyle w:val="Prrafodelista"/>
        <w:numPr>
          <w:ilvl w:val="0"/>
          <w:numId w:val="18"/>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A la luz del artículo 2.2.1.2.3.1.1 del Decreto 1082 de 2015, ¿goza la entidad estatal de la facultad discrecional para no exigir dicha garantía basándose en el análisis del riesgo y la naturaleza del contrato?</w:t>
      </w:r>
    </w:p>
    <w:p w14:paraId="4CFC2891" w14:textId="77777777" w:rsidR="0055038B" w:rsidRDefault="0055038B" w:rsidP="0055038B">
      <w:pPr>
        <w:pStyle w:val="Prrafodelista"/>
        <w:numPr>
          <w:ilvl w:val="0"/>
          <w:numId w:val="18"/>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En caso de ser facultativa, ¿Cuáles son los requisitos mínimos que debe cumplir la entidad en los Estudios Previos para justificar debidamente la no exigencia de la póliza de cumplimiento en este tipo de contratos?</w:t>
      </w:r>
    </w:p>
    <w:p w14:paraId="00AD201E" w14:textId="77777777" w:rsidR="0055038B" w:rsidRDefault="0055038B" w:rsidP="0055038B">
      <w:pPr>
        <w:pStyle w:val="Prrafodelista"/>
        <w:numPr>
          <w:ilvl w:val="0"/>
          <w:numId w:val="18"/>
        </w:numPr>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¿Existe alguna distinción entre los contratos de prestación de servicios “profesionales” y los de “apoyo a la gestión” respecto a la obligatoriedad de garantías?</w:t>
      </w:r>
    </w:p>
    <w:p w14:paraId="0CB5BF6C" w14:textId="77777777" w:rsidR="0055038B" w:rsidRDefault="0055038B" w:rsidP="0055038B">
      <w:pPr>
        <w:pStyle w:val="Prrafodelista"/>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w:t>
      </w:r>
    </w:p>
    <w:p w14:paraId="337D3F45" w14:textId="77777777" w:rsidR="0055038B" w:rsidRPr="00421C2C" w:rsidRDefault="0055038B" w:rsidP="0055038B">
      <w:pPr>
        <w:pStyle w:val="Prrafodelista"/>
        <w:spacing w:after="0" w:line="240" w:lineRule="auto"/>
        <w:ind w:left="106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p>
    <w:p w14:paraId="66F0FF69" w14:textId="77777777" w:rsidR="0055038B" w:rsidRDefault="0055038B" w:rsidP="0055038B">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6835053" w14:textId="77777777" w:rsidR="0055038B" w:rsidRDefault="0055038B" w:rsidP="0055038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sidRPr="00826871">
        <w:rPr>
          <w:rFonts w:ascii="Verdana" w:eastAsia="Calibri" w:hAnsi="Verdana" w:cs="Arial"/>
          <w:lang w:val="es-ES" w:eastAsia="es-ES"/>
        </w:rPr>
        <w:t xml:space="preserve">el problema </w:t>
      </w:r>
      <w:r>
        <w:rPr>
          <w:rFonts w:ascii="Verdana" w:eastAsia="Calibri" w:hAnsi="Verdana" w:cs="Arial"/>
          <w:color w:val="000000"/>
          <w:lang w:val="es-ES" w:eastAsia="es-ES"/>
        </w:rPr>
        <w:t>jurídico de su</w:t>
      </w:r>
      <w:r w:rsidRPr="00593A5F">
        <w:rPr>
          <w:rFonts w:ascii="Verdana" w:eastAsia="Calibri" w:hAnsi="Verdana" w:cs="Arial"/>
          <w:color w:val="000000"/>
          <w:lang w:val="es-ES" w:eastAsia="es-ES"/>
        </w:rPr>
        <w:t xml:space="preserve"> consulta. </w:t>
      </w:r>
    </w:p>
    <w:p w14:paraId="36AD54F9" w14:textId="77777777" w:rsidR="0055038B" w:rsidRPr="00593A5F" w:rsidRDefault="0055038B" w:rsidP="0055038B">
      <w:pPr>
        <w:spacing w:after="0" w:line="276" w:lineRule="auto"/>
        <w:ind w:firstLine="709"/>
        <w:jc w:val="both"/>
        <w:rPr>
          <w:rFonts w:ascii="Verdana" w:eastAsia="Calibri" w:hAnsi="Verdana" w:cs="Arial"/>
          <w:color w:val="000000"/>
          <w:lang w:val="es-ES" w:eastAsia="es-ES"/>
        </w:rPr>
      </w:pPr>
    </w:p>
    <w:p w14:paraId="32A19F9C" w14:textId="77777777" w:rsidR="0055038B" w:rsidRPr="00A11028" w:rsidRDefault="0055038B" w:rsidP="0055038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11028">
        <w:rPr>
          <w:rFonts w:ascii="Verdana" w:eastAsia="Century Gothic" w:hAnsi="Verdana" w:cs="Century Gothic"/>
          <w:b/>
          <w:bCs/>
        </w:rPr>
        <w:t>Problema planteado:</w:t>
      </w:r>
    </w:p>
    <w:p w14:paraId="7D7504A0" w14:textId="77777777" w:rsidR="0055038B" w:rsidRPr="00593A5F" w:rsidRDefault="0055038B" w:rsidP="0055038B">
      <w:pPr>
        <w:tabs>
          <w:tab w:val="left" w:pos="426"/>
        </w:tabs>
        <w:spacing w:after="0" w:line="276" w:lineRule="auto"/>
        <w:jc w:val="both"/>
        <w:rPr>
          <w:rFonts w:ascii="Verdana" w:eastAsia="Century Gothic" w:hAnsi="Verdana" w:cs="Century Gothic"/>
          <w:lang w:val="es-ES"/>
        </w:rPr>
      </w:pPr>
    </w:p>
    <w:p w14:paraId="0D3F6FFB" w14:textId="77777777" w:rsidR="0055038B" w:rsidRDefault="0055038B" w:rsidP="00AA22CD">
      <w:pPr>
        <w:spacing w:after="0" w:line="276" w:lineRule="auto"/>
        <w:ind w:firstLine="709"/>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1F9252E4">
        <w:rPr>
          <w:rFonts w:ascii="Verdana" w:eastAsia="Century Gothic" w:hAnsi="Verdana" w:cs="Century Gothic"/>
        </w:rPr>
        <w:t xml:space="preserve"> siguiente</w:t>
      </w:r>
      <w:r>
        <w:rPr>
          <w:rFonts w:ascii="Verdana" w:eastAsia="Century Gothic" w:hAnsi="Verdana" w:cs="Century Gothic"/>
        </w:rPr>
        <w:t xml:space="preserve">s </w:t>
      </w:r>
      <w:r w:rsidRPr="1F9252E4">
        <w:rPr>
          <w:rFonts w:ascii="Verdana" w:eastAsia="Century Gothic" w:hAnsi="Verdana" w:cs="Century Gothic"/>
        </w:rPr>
        <w:t>problema</w:t>
      </w:r>
      <w:r>
        <w:rPr>
          <w:rFonts w:ascii="Verdana" w:eastAsia="Century Gothic" w:hAnsi="Verdana" w:cs="Century Gothic"/>
        </w:rPr>
        <w:t>s</w:t>
      </w:r>
      <w:r w:rsidRPr="1F9252E4">
        <w:rPr>
          <w:rFonts w:ascii="Verdana" w:eastAsia="Century Gothic" w:hAnsi="Verdana" w:cs="Century Gothic"/>
        </w:rPr>
        <w:t xml:space="preserve"> jurídico</w:t>
      </w:r>
      <w:r>
        <w:rPr>
          <w:rFonts w:ascii="Verdana" w:eastAsia="Century Gothic" w:hAnsi="Verdana" w:cs="Century Gothic"/>
        </w:rPr>
        <w:t>s</w:t>
      </w:r>
      <w:r w:rsidRPr="1F9252E4">
        <w:rPr>
          <w:rFonts w:ascii="Verdana" w:eastAsia="Century Gothic" w:hAnsi="Verdana" w:cs="Century Gothic"/>
        </w:rPr>
        <w:t>:</w:t>
      </w:r>
      <w:r w:rsidRPr="00BA739E">
        <w:rPr>
          <w:rFonts w:ascii="Verdana" w:eastAsia="Century Gothic" w:hAnsi="Verdana" w:cs="Century Gothic"/>
          <w:b/>
          <w:bCs/>
        </w:rPr>
        <w:t xml:space="preserve"> i)</w:t>
      </w:r>
      <w:r w:rsidRPr="1F9252E4">
        <w:rPr>
          <w:rFonts w:ascii="Verdana" w:eastAsia="Century Gothic" w:hAnsi="Verdana" w:cs="Century Gothic"/>
        </w:rPr>
        <w:t xml:space="preserve"> </w:t>
      </w:r>
      <w:r w:rsidRPr="004E678D">
        <w:rPr>
          <w:rFonts w:ascii="Verdana" w:eastAsia="Century Gothic" w:hAnsi="Verdana" w:cs="Century Gothic"/>
        </w:rPr>
        <w:t xml:space="preserve">¿Las entidades sometidas al régimen de contratación estatal están obligadas a exigir garantía de cumplimiento en los contratos de prestación de servicios profesionales y de apoyo a la gestión </w:t>
      </w:r>
      <w:r w:rsidRPr="004E678D">
        <w:rPr>
          <w:rFonts w:ascii="Verdana" w:eastAsia="Century Gothic" w:hAnsi="Verdana" w:cs="Century Gothic"/>
        </w:rPr>
        <w:lastRenderedPageBreak/>
        <w:t>celebrados mediante la modalidad de contratación directa o, por el contrario, pueden prescindir de ella con fundamento en el análisis de riesgos y la naturaleza del contrato previsto en el artículo 2.2.1.2.3.1.1 del Decreto 1082 de 2015 y, en caso de no exigirla, cuáles son los requisitos mínimos de motivación que deben incorporarse en los estudios previos para justificar dicha decisión</w:t>
      </w:r>
      <w:r>
        <w:rPr>
          <w:rFonts w:ascii="Verdana" w:eastAsia="Century Gothic" w:hAnsi="Verdana" w:cs="Century Gothic"/>
        </w:rPr>
        <w:t xml:space="preserve">? </w:t>
      </w:r>
      <w:r w:rsidRPr="00BA739E">
        <w:rPr>
          <w:rFonts w:ascii="Verdana" w:eastAsia="Century Gothic" w:hAnsi="Verdana" w:cs="Century Gothic"/>
          <w:b/>
          <w:bCs/>
        </w:rPr>
        <w:t>ii)</w:t>
      </w:r>
      <w:r>
        <w:rPr>
          <w:rFonts w:ascii="Verdana" w:eastAsia="Century Gothic" w:hAnsi="Verdana" w:cs="Century Gothic"/>
        </w:rPr>
        <w:t xml:space="preserve"> ¿E</w:t>
      </w:r>
      <w:r w:rsidRPr="004E678D">
        <w:rPr>
          <w:rFonts w:ascii="Verdana" w:eastAsia="Century Gothic" w:hAnsi="Verdana" w:cs="Century Gothic"/>
        </w:rPr>
        <w:t>xiste alguna diferencia entre los contratos de servicios profesionales y los de apoyo a la gestión en relación con la exigencia de garantías?</w:t>
      </w:r>
    </w:p>
    <w:p w14:paraId="55B79B6B" w14:textId="77777777" w:rsidR="0055038B" w:rsidRDefault="0055038B" w:rsidP="0055038B">
      <w:pPr>
        <w:spacing w:after="0" w:line="276" w:lineRule="auto"/>
        <w:jc w:val="both"/>
        <w:rPr>
          <w:rFonts w:ascii="Verdana" w:eastAsia="Century Gothic" w:hAnsi="Verdana" w:cs="Century Gothic"/>
        </w:rPr>
      </w:pPr>
    </w:p>
    <w:p w14:paraId="7FD22A4A" w14:textId="77777777" w:rsidR="0055038B" w:rsidRPr="00D65A65"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65A65">
        <w:rPr>
          <w:rFonts w:ascii="Verdana" w:eastAsia="Century Gothic" w:hAnsi="Verdana" w:cs="Century Gothic"/>
          <w:b/>
          <w:bCs/>
        </w:rPr>
        <w:t>Respuesta:</w:t>
      </w:r>
    </w:p>
    <w:p w14:paraId="3CAD5198" w14:textId="77777777" w:rsidR="0055038B" w:rsidRPr="00593A5F" w:rsidRDefault="0055038B" w:rsidP="0055038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038B" w:rsidRPr="00593A5F" w14:paraId="5EFAEA62" w14:textId="77777777" w:rsidTr="00BA05D4">
        <w:tc>
          <w:tcPr>
            <w:tcW w:w="8828" w:type="dxa"/>
          </w:tcPr>
          <w:p w14:paraId="46A03FF4" w14:textId="18C2D4FE" w:rsidR="0055038B" w:rsidRDefault="004262E7" w:rsidP="00A151FF">
            <w:pPr>
              <w:spacing w:after="120" w:line="276" w:lineRule="auto"/>
              <w:jc w:val="both"/>
              <w:rPr>
                <w:rFonts w:ascii="Verdana" w:eastAsia="Calibri" w:hAnsi="Verdana" w:cs="Arial"/>
                <w:lang w:val="es-ES"/>
              </w:rPr>
            </w:pPr>
            <w:r>
              <w:rPr>
                <w:rFonts w:ascii="Verdana" w:eastAsia="Calibri" w:hAnsi="Verdana" w:cs="Arial"/>
                <w:lang w:val="es-ES"/>
              </w:rPr>
              <w:t xml:space="preserve">i. </w:t>
            </w:r>
            <w:r w:rsidR="0055038B">
              <w:rPr>
                <w:rFonts w:ascii="Verdana" w:eastAsia="Calibri" w:hAnsi="Verdana" w:cs="Arial"/>
                <w:lang w:val="es-ES"/>
              </w:rPr>
              <w:t>Frente al problema jurídico planteado es necesario indicar que, conforme a la interpretación general de las normas del sistema de compras públicas, considerando que, en el régimen de contratación estatal colombiano, la exigencia de garantías en los contratos estatales no constituye una obligación absoluta para todos los tipos contractuales,</w:t>
            </w:r>
            <w:r w:rsidR="004564C2" w:rsidRPr="004262E7">
              <w:rPr>
                <w:rFonts w:ascii="Verdana" w:eastAsia="Calibri" w:hAnsi="Verdana" w:cs="Arial"/>
                <w:lang w:val="es-ES"/>
              </w:rPr>
              <w:t xml:space="preserve"> pues </w:t>
            </w:r>
            <w:r w:rsidR="00CE6B8A">
              <w:rPr>
                <w:rFonts w:ascii="Verdana" w:eastAsia="Calibri" w:hAnsi="Verdana" w:cs="Arial"/>
                <w:lang w:val="es-ES"/>
              </w:rPr>
              <w:t xml:space="preserve">existen </w:t>
            </w:r>
            <w:r w:rsidR="004564C2" w:rsidRPr="004262E7">
              <w:rPr>
                <w:rFonts w:ascii="Verdana" w:eastAsia="Calibri" w:hAnsi="Verdana" w:cs="Arial"/>
                <w:lang w:val="es-ES"/>
              </w:rPr>
              <w:t>ciertas tipologías o modalidades de selección que están exceptuadas de este deber</w:t>
            </w:r>
            <w:r w:rsidR="0055038B" w:rsidRPr="004262E7">
              <w:rPr>
                <w:rFonts w:ascii="Verdana" w:eastAsia="Calibri" w:hAnsi="Verdana" w:cs="Arial"/>
                <w:lang w:val="es-ES"/>
              </w:rPr>
              <w:t>.</w:t>
            </w:r>
            <w:r w:rsidR="0055038B">
              <w:rPr>
                <w:rFonts w:ascii="Verdana" w:eastAsia="Calibri" w:hAnsi="Verdana" w:cs="Arial"/>
                <w:lang w:val="es-ES"/>
              </w:rPr>
              <w:t xml:space="preserve"> En particular, tratándose de contratos de prestación de servicios profesionales y de apoyo a la gestión celebrados mediante contratación directa, la normativa vigente </w:t>
            </w:r>
            <w:r w:rsidR="004564C2" w:rsidRPr="004262E7">
              <w:rPr>
                <w:rFonts w:ascii="Verdana" w:eastAsia="Calibri" w:hAnsi="Verdana" w:cs="Arial"/>
                <w:lang w:val="es-ES"/>
              </w:rPr>
              <w:t>no exige la constitución de garantías. Así, el a</w:t>
            </w:r>
            <w:r w:rsidR="004564C2" w:rsidRPr="00BA04BD">
              <w:rPr>
                <w:rFonts w:ascii="Verdana" w:hAnsi="Verdana" w:cs="Arial"/>
                <w:lang w:val="es-ES"/>
              </w:rPr>
              <w:t xml:space="preserve">rtículo 2.2.1.2.1.4.5. del Decreto 1082 señala que, “En la contratación directa la exigencia de garantías establecidas en la Sección 3, que comprende los artículos 2.2.1.2.3.1.1 al 2.2.1.2.3.5.1. del presente decreto no es obligatoria y la justificación para exigirlas o no debe estar en los estudios y documentos previos” Por lo cual, </w:t>
            </w:r>
            <w:r w:rsidR="0055038B">
              <w:rPr>
                <w:rFonts w:ascii="Verdana" w:eastAsia="Calibri" w:hAnsi="Verdana" w:cs="Arial"/>
                <w:lang w:val="es-ES"/>
              </w:rPr>
              <w:t>permite que la entidad determine, con base en criterios objetivos, si resulta necesario o no exigir una garantía de cumplimiento.</w:t>
            </w:r>
          </w:p>
          <w:p w14:paraId="50852654" w14:textId="15685114" w:rsidR="008227C4" w:rsidRDefault="0055038B" w:rsidP="00BA04BD">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En ese orden de ideas, en el caso de contratos de prestación de servicios profesionales o de apoyo a la gestión, la entidad estatal puede concluir, a partir del análisis del objeto contractual, el valor del contrato, la forma de pago, el plazo de la ejecución y los riesgos asociados al cumplimiento de las obligaciones, que la exigencia de una garantía de cumplimiento puede no ser necesaria. Ello suele ocurrir en contratos cuyo objeto consiste principalmente en la ejecución personal de actividades intelectuales o de apoyo administrativo, en los que el riesgo patrimonial se mitiga considerablemente para la entidad, mediante otros mecanismos de seguimiento y supervisión. </w:t>
            </w:r>
          </w:p>
          <w:p w14:paraId="0C9B7A0F" w14:textId="77777777" w:rsidR="0055038B" w:rsidRDefault="0055038B" w:rsidP="00ED1933">
            <w:pPr>
              <w:spacing w:line="276" w:lineRule="auto"/>
              <w:ind w:firstLine="709"/>
              <w:jc w:val="both"/>
              <w:rPr>
                <w:rFonts w:ascii="Verdana" w:eastAsia="Calibri" w:hAnsi="Verdana" w:cs="Arial"/>
                <w:lang w:val="es-ES"/>
              </w:rPr>
            </w:pPr>
            <w:r>
              <w:rPr>
                <w:rFonts w:ascii="Verdana" w:eastAsia="Calibri" w:hAnsi="Verdana" w:cs="Arial"/>
                <w:lang w:val="es-ES"/>
              </w:rPr>
              <w:lastRenderedPageBreak/>
              <w:t xml:space="preserve">No obstante, la posibilidad que tiene la entidad estatal de no exigir la garantía no significa que la entidad cuente con discrecionalidad absoluta. Por el contrario, la decisión de prescindir de la garantía debe estar debidamente motivada y sustentada en los estudios previos del proceso contractual. En estos documentos la entidad debe dejar constancia, al menos, de los siguientes elementos: i) identificación de los riesgos asociados al contrato, ii) el análisis de la probabilidad e impacto de los riesgos asociados al contrato, iii) la explicación de por qué dichos riesgos no requieren ser cubiertos mediante una garantía de cumplimiento y iv) las razones relacionadas con la naturaleza del contrato, su cuantía, duración, características de las obligaciones que justifican la no exigencia de la póliza. Esta motivación resulta necesaria para garantizar el cumplimiento de los principios de planeación, responsabilidad y transparencia que orientan el ejercicio de la contratación estatal. </w:t>
            </w:r>
          </w:p>
          <w:p w14:paraId="43A6447A" w14:textId="77777777" w:rsidR="0055038B" w:rsidRDefault="0055038B" w:rsidP="00BA05D4">
            <w:pPr>
              <w:spacing w:line="276" w:lineRule="auto"/>
              <w:ind w:left="708" w:hanging="708"/>
              <w:jc w:val="both"/>
              <w:rPr>
                <w:rFonts w:ascii="Verdana" w:eastAsia="Calibri" w:hAnsi="Verdana" w:cs="Arial"/>
                <w:lang w:val="es-ES"/>
              </w:rPr>
            </w:pPr>
          </w:p>
          <w:p w14:paraId="2C70289D" w14:textId="73076C54" w:rsidR="0055038B" w:rsidRDefault="004564C2" w:rsidP="00ED1933">
            <w:pPr>
              <w:spacing w:after="120" w:line="276" w:lineRule="auto"/>
              <w:jc w:val="both"/>
              <w:rPr>
                <w:rFonts w:ascii="Verdana" w:eastAsia="Calibri" w:hAnsi="Verdana" w:cs="Arial"/>
                <w:lang w:val="es-ES"/>
              </w:rPr>
            </w:pPr>
            <w:r>
              <w:rPr>
                <w:rFonts w:ascii="Verdana" w:eastAsia="Calibri" w:hAnsi="Verdana" w:cs="Arial"/>
                <w:lang w:val="es-ES"/>
              </w:rPr>
              <w:t xml:space="preserve">ii. </w:t>
            </w:r>
            <w:r w:rsidR="0055038B">
              <w:rPr>
                <w:rFonts w:ascii="Verdana" w:eastAsia="Calibri" w:hAnsi="Verdana" w:cs="Arial"/>
                <w:lang w:val="es-ES"/>
              </w:rPr>
              <w:t xml:space="preserve">Por otra parte, </w:t>
            </w:r>
            <w:r w:rsidR="004262E7">
              <w:rPr>
                <w:rFonts w:ascii="Verdana" w:eastAsia="Calibri" w:hAnsi="Verdana" w:cs="Arial"/>
                <w:lang w:val="es-ES"/>
              </w:rPr>
              <w:t>frente al segundo problema jurídico</w:t>
            </w:r>
            <w:r w:rsidR="0055038B">
              <w:rPr>
                <w:rFonts w:ascii="Verdana" w:eastAsia="Calibri" w:hAnsi="Verdana" w:cs="Arial"/>
                <w:lang w:val="es-ES"/>
              </w:rPr>
              <w:t>, en el ordenamiento jurídico colombiano no existe una diferencia normativa relevante entre los contratos de prestación de servicios profesionales y los contratos de apoyo a la gestión en materia de obligatoriedad de garantías. Ambos corresponden a una misma causal de contratación directa prevista en el artículo 2 de la Ley 1150 de 2007 y desarrollada reglamentariamente en el Decreto 1082 de 2015, y en consecuencia se encuentran sometidos a las mismas reglas generales en relación con el análisis de riesgos y la eventual exigencia de garantías. La diferencia entre estas dos modalidades contractuales radica principalmente en la naturaleza de las actividades que se contratan, bien sea intelectuales y especializadas, en el caso de los servicios profesionales, y actividades de apoyo operativo o administrativo en el caso del apoyo a la gestión. Ahora bien, dicha distinción no genera, por sí misma, una obligación diferenciada respecto de la constitución de garantías.</w:t>
            </w:r>
          </w:p>
          <w:p w14:paraId="6528E2F8" w14:textId="5D336388" w:rsidR="0055038B" w:rsidRDefault="0055038B" w:rsidP="00ED1933">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En conclusión, las entidades estatales no están obligadas en todos los casos a exigir garantía de cumplimiento en los contratos de prestación de servicios profesionales y de apoyo a la gestión celebrados mediante contratación directa. La decisión de exigirla o no, debe adoptarse basado en el análisis de riesgos del contrato y en su naturaleza, conforme a lo previsto en el Decreto 1082 de 2015. Cuando la entidad determine que no es necesario exigirla, deberá justificar dicha decisión en los estudios previos mediante una </w:t>
            </w:r>
            <w:r>
              <w:rPr>
                <w:rFonts w:ascii="Verdana" w:eastAsia="Calibri" w:hAnsi="Verdana" w:cs="Arial"/>
                <w:lang w:val="es-ES"/>
              </w:rPr>
              <w:lastRenderedPageBreak/>
              <w:t>motivación suficiente que evidencie el análisis realizado. Asimismo, la normativa vigente no establece una distinción jurídica entre los contratos de servicios profesionales y los de apoyo a la gestión, en relación con la obligatoriedad de garantías, por lo que ambos se rigen por el mismo criterio de análisis de riesgos para determinar su procedencia.</w:t>
            </w:r>
          </w:p>
          <w:p w14:paraId="27B4D277" w14:textId="24750B67" w:rsidR="0055038B" w:rsidRPr="0006284D" w:rsidRDefault="0055038B" w:rsidP="00ED1933">
            <w:pPr>
              <w:spacing w:after="120" w:line="276" w:lineRule="auto"/>
              <w:ind w:firstLine="709"/>
              <w:jc w:val="both"/>
              <w:rPr>
                <w:rFonts w:ascii="Verdana" w:eastAsia="Calibri" w:hAnsi="Verdana" w:cs="Arial"/>
                <w:lang w:val="es-ES"/>
              </w:rPr>
            </w:pPr>
            <w:r>
              <w:rPr>
                <w:rFonts w:ascii="Verdana" w:eastAsia="Calibri" w:hAnsi="Verdana" w:cs="Arial"/>
                <w:lang w:val="es-ES"/>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96625FD" w14:textId="77777777" w:rsidR="0055038B" w:rsidRPr="00593A5F" w:rsidRDefault="0055038B" w:rsidP="0055038B">
      <w:pPr>
        <w:tabs>
          <w:tab w:val="left" w:pos="142"/>
          <w:tab w:val="left" w:pos="284"/>
        </w:tabs>
        <w:spacing w:after="0" w:line="276" w:lineRule="auto"/>
        <w:jc w:val="both"/>
        <w:rPr>
          <w:rFonts w:ascii="Verdana" w:eastAsia="Century Gothic" w:hAnsi="Verdana" w:cs="Century Gothic"/>
          <w:b/>
          <w:bCs/>
          <w:lang w:val="es-ES"/>
        </w:rPr>
      </w:pPr>
    </w:p>
    <w:p w14:paraId="7349536F" w14:textId="77777777" w:rsidR="0055038B" w:rsidRPr="0006284D"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6284D">
        <w:rPr>
          <w:rFonts w:ascii="Verdana" w:eastAsia="Century Gothic" w:hAnsi="Verdana" w:cs="Century Gothic"/>
          <w:b/>
          <w:bCs/>
        </w:rPr>
        <w:t>Razones de la respuesta:</w:t>
      </w:r>
    </w:p>
    <w:p w14:paraId="5F12C135" w14:textId="77777777" w:rsidR="0055038B" w:rsidRPr="00593A5F" w:rsidRDefault="0055038B" w:rsidP="0055038B">
      <w:pPr>
        <w:spacing w:after="0" w:line="276" w:lineRule="auto"/>
        <w:jc w:val="both"/>
        <w:rPr>
          <w:rFonts w:ascii="Verdana" w:eastAsia="Calibri" w:hAnsi="Verdana" w:cs="Arial"/>
          <w:color w:val="7030A0"/>
          <w:lang w:val="es-ES"/>
        </w:rPr>
      </w:pPr>
    </w:p>
    <w:p w14:paraId="6D8B0011" w14:textId="77777777" w:rsidR="0055038B" w:rsidRDefault="0055038B" w:rsidP="0055038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r>
        <w:rPr>
          <w:rFonts w:ascii="Verdana" w:eastAsia="Calibri" w:hAnsi="Verdana" w:cs="Arial"/>
          <w:lang w:val="es-ES"/>
        </w:rPr>
        <w:t xml:space="preserve">: </w:t>
      </w:r>
    </w:p>
    <w:p w14:paraId="088E8903" w14:textId="77777777" w:rsidR="0055038B" w:rsidRDefault="0055038B" w:rsidP="0055038B">
      <w:pPr>
        <w:spacing w:after="0" w:line="276" w:lineRule="auto"/>
        <w:jc w:val="both"/>
        <w:rPr>
          <w:rFonts w:ascii="Verdana" w:eastAsia="Times New Roman" w:hAnsi="Verdana" w:cs="Arial"/>
          <w:lang w:val="es-MX" w:eastAsia="es-CO"/>
        </w:rPr>
      </w:pPr>
    </w:p>
    <w:p w14:paraId="5F2ADCE1" w14:textId="307E5B29" w:rsidR="0055038B" w:rsidRDefault="0055038B" w:rsidP="0055038B">
      <w:pPr>
        <w:spacing w:after="0" w:line="276" w:lineRule="auto"/>
        <w:jc w:val="both"/>
        <w:rPr>
          <w:rFonts w:ascii="Verdana" w:eastAsia="Times New Roman" w:hAnsi="Verdana" w:cs="Arial"/>
          <w:color w:val="000000"/>
          <w:lang w:eastAsia="es-CO"/>
        </w:rPr>
      </w:pPr>
      <w:r>
        <w:rPr>
          <w:rFonts w:ascii="Verdana" w:eastAsia="Times New Roman" w:hAnsi="Verdana" w:cs="Arial"/>
          <w:color w:val="000000"/>
          <w:lang w:eastAsia="es-CO"/>
        </w:rPr>
        <w:t xml:space="preserve">i. </w:t>
      </w:r>
      <w:r w:rsidRPr="00CC2BCE">
        <w:rPr>
          <w:rFonts w:ascii="Verdana" w:eastAsia="Times New Roman" w:hAnsi="Verdana" w:cs="Arial"/>
          <w:color w:val="000000"/>
          <w:lang w:eastAsia="es-CO"/>
        </w:rPr>
        <w:t>El Estatuto General de Contratación de la Administración Pública – en adelante EGCAP – exige, por regla general, en los procesos de contratación pública la constitución de garantías ya sea en la etapa precontractual, contractual o postcontractual, con el fin de evitar o mitigar posibles riesgos</w:t>
      </w:r>
      <w:r>
        <w:rPr>
          <w:rFonts w:ascii="Verdana" w:eastAsia="Times New Roman" w:hAnsi="Verdana" w:cs="Arial"/>
          <w:color w:val="000000"/>
          <w:lang w:eastAsia="es-CO"/>
        </w:rPr>
        <w:t xml:space="preserve"> en el proceso de contratación</w:t>
      </w:r>
      <w:r w:rsidR="00996FAA">
        <w:rPr>
          <w:rFonts w:ascii="Verdana" w:eastAsia="Times New Roman" w:hAnsi="Verdana" w:cs="Arial"/>
          <w:color w:val="000000"/>
          <w:lang w:eastAsia="es-CO"/>
        </w:rPr>
        <w:t xml:space="preserve"> y en la ejecución del contrato</w:t>
      </w:r>
      <w:r w:rsidRPr="00CC2BCE">
        <w:rPr>
          <w:rFonts w:ascii="Verdana" w:eastAsia="Times New Roman" w:hAnsi="Verdana" w:cs="Arial"/>
          <w:color w:val="000000"/>
          <w:lang w:eastAsia="es-CO"/>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La citada norma dispone:</w:t>
      </w:r>
    </w:p>
    <w:p w14:paraId="0A6884B3" w14:textId="77777777" w:rsidR="0055038B" w:rsidRDefault="0055038B" w:rsidP="0055038B">
      <w:pPr>
        <w:spacing w:after="0" w:line="276" w:lineRule="auto"/>
        <w:jc w:val="both"/>
        <w:rPr>
          <w:rFonts w:ascii="Verdana" w:eastAsia="Times New Roman" w:hAnsi="Verdana" w:cs="Arial"/>
          <w:color w:val="000000"/>
          <w:lang w:eastAsia="es-CO"/>
        </w:rPr>
      </w:pPr>
    </w:p>
    <w:p w14:paraId="4F1D0974" w14:textId="77777777" w:rsidR="00996FAA" w:rsidRDefault="0055038B" w:rsidP="0055038B">
      <w:pPr>
        <w:spacing w:after="0" w:line="240" w:lineRule="auto"/>
        <w:ind w:left="709" w:right="709"/>
        <w:jc w:val="both"/>
        <w:rPr>
          <w:rFonts w:ascii="Verdana" w:eastAsia="Times New Roman" w:hAnsi="Verdana" w:cs="Arial"/>
          <w:color w:val="000000"/>
          <w:sz w:val="20"/>
          <w:szCs w:val="20"/>
          <w:lang w:eastAsia="es-CO"/>
        </w:rPr>
      </w:pPr>
      <w:r w:rsidRPr="00927E5D">
        <w:rPr>
          <w:rFonts w:ascii="Verdana" w:eastAsia="Times New Roman" w:hAnsi="Verdana" w:cs="Arial"/>
          <w:color w:val="000000"/>
          <w:sz w:val="20"/>
          <w:szCs w:val="20"/>
          <w:lang w:eastAsia="es-CO"/>
        </w:rPr>
        <w:t xml:space="preserve">“Artículo 7. Los contratistas prestarán garantía única para el cumplimiento de las obligaciones surgidas del contrato. Los proponentes prestarán garantía de seriedad de los ofrecimientos hechos. </w:t>
      </w:r>
    </w:p>
    <w:p w14:paraId="38E1F204" w14:textId="77777777" w:rsidR="00996FAA" w:rsidRDefault="00996FAA" w:rsidP="0055038B">
      <w:pPr>
        <w:spacing w:after="0" w:line="240" w:lineRule="auto"/>
        <w:ind w:left="709" w:right="709"/>
        <w:jc w:val="both"/>
        <w:rPr>
          <w:rFonts w:ascii="Verdana" w:eastAsia="Times New Roman" w:hAnsi="Verdana" w:cs="Arial"/>
          <w:color w:val="000000"/>
          <w:sz w:val="20"/>
          <w:szCs w:val="20"/>
          <w:lang w:eastAsia="es-CO"/>
        </w:rPr>
      </w:pPr>
    </w:p>
    <w:p w14:paraId="754EB5B7" w14:textId="77777777" w:rsidR="00996FAA" w:rsidRDefault="0055038B" w:rsidP="0055038B">
      <w:pPr>
        <w:spacing w:after="0" w:line="240" w:lineRule="auto"/>
        <w:ind w:left="709" w:right="709"/>
        <w:jc w:val="both"/>
        <w:rPr>
          <w:rFonts w:ascii="Verdana" w:eastAsia="Times New Roman" w:hAnsi="Verdana" w:cs="Arial"/>
          <w:color w:val="000000"/>
          <w:sz w:val="20"/>
          <w:szCs w:val="20"/>
          <w:lang w:eastAsia="es-CO"/>
        </w:rPr>
      </w:pPr>
      <w:r w:rsidRPr="00927E5D">
        <w:rPr>
          <w:rFonts w:ascii="Verdana" w:eastAsia="Times New Roman" w:hAnsi="Verdana" w:cs="Arial"/>
          <w:color w:val="000000"/>
          <w:sz w:val="20"/>
          <w:szCs w:val="20"/>
          <w:lang w:eastAsia="es-CO"/>
        </w:rPr>
        <w:t xml:space="preserve">Las garantías consistirán en pólizas expedidas por compañías de seguros legalmente autorizadas para funcionar en Colombia, en garantías </w:t>
      </w:r>
      <w:r w:rsidRPr="00927E5D">
        <w:rPr>
          <w:rFonts w:ascii="Verdana" w:eastAsia="Times New Roman" w:hAnsi="Verdana" w:cs="Arial"/>
          <w:color w:val="000000"/>
          <w:sz w:val="20"/>
          <w:szCs w:val="20"/>
          <w:lang w:eastAsia="es-CO"/>
        </w:rPr>
        <w:lastRenderedPageBreak/>
        <w:t xml:space="preserve">bancarias y en general, en los demás mecanismos de cobertura del riesgo autorizados por el reglamento para el efecto. Tratándose de pólizas, las mismas no expirarán por falta de pago de la prima o por revocatoria unilateral. </w:t>
      </w:r>
    </w:p>
    <w:p w14:paraId="3B39F9AA" w14:textId="77777777" w:rsidR="00996FAA" w:rsidRDefault="00996FAA" w:rsidP="0055038B">
      <w:pPr>
        <w:spacing w:after="0" w:line="240" w:lineRule="auto"/>
        <w:ind w:left="709" w:right="709"/>
        <w:jc w:val="both"/>
        <w:rPr>
          <w:rFonts w:ascii="Verdana" w:eastAsia="Times New Roman" w:hAnsi="Verdana" w:cs="Arial"/>
          <w:color w:val="000000"/>
          <w:sz w:val="20"/>
          <w:szCs w:val="20"/>
          <w:lang w:eastAsia="es-CO"/>
        </w:rPr>
      </w:pPr>
    </w:p>
    <w:p w14:paraId="397CACA1" w14:textId="77777777" w:rsidR="00996FAA" w:rsidRDefault="0055038B" w:rsidP="0055038B">
      <w:pPr>
        <w:spacing w:after="0" w:line="240" w:lineRule="auto"/>
        <w:ind w:left="709" w:right="709"/>
        <w:jc w:val="both"/>
        <w:rPr>
          <w:rFonts w:ascii="Verdana" w:eastAsia="Times New Roman" w:hAnsi="Verdana" w:cs="Arial"/>
          <w:color w:val="000000"/>
          <w:sz w:val="20"/>
          <w:szCs w:val="20"/>
          <w:lang w:eastAsia="es-CO"/>
        </w:rPr>
      </w:pPr>
      <w:r w:rsidRPr="00927E5D">
        <w:rPr>
          <w:rFonts w:ascii="Verdana" w:eastAsia="Times New Roman" w:hAnsi="Verdana" w:cs="Arial"/>
          <w:color w:val="000000"/>
          <w:sz w:val="20"/>
          <w:szCs w:val="20"/>
          <w:lang w:eastAsia="es-CO"/>
        </w:rPr>
        <w:t xml:space="preserve">El Gobierno Nacional señalará las condiciones generales que deberán ser incluidas en las pólizas de cumplimiento de los contratos estatales. 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76B423FC" w14:textId="77777777" w:rsidR="00996FAA" w:rsidRDefault="00996FAA" w:rsidP="0055038B">
      <w:pPr>
        <w:spacing w:after="0" w:line="240" w:lineRule="auto"/>
        <w:ind w:left="709" w:right="709"/>
        <w:jc w:val="both"/>
        <w:rPr>
          <w:rFonts w:ascii="Verdana" w:eastAsia="Times New Roman" w:hAnsi="Verdana" w:cs="Arial"/>
          <w:color w:val="000000"/>
          <w:sz w:val="20"/>
          <w:szCs w:val="20"/>
          <w:lang w:eastAsia="es-CO"/>
        </w:rPr>
      </w:pPr>
    </w:p>
    <w:p w14:paraId="54C45EA2" w14:textId="77777777" w:rsidR="00996FAA" w:rsidRDefault="0055038B" w:rsidP="0055038B">
      <w:pPr>
        <w:spacing w:after="0" w:line="240" w:lineRule="auto"/>
        <w:ind w:left="709" w:right="709"/>
        <w:jc w:val="both"/>
        <w:rPr>
          <w:rFonts w:ascii="Verdana" w:eastAsia="Times New Roman" w:hAnsi="Verdana" w:cs="Arial"/>
          <w:color w:val="000000"/>
          <w:sz w:val="20"/>
          <w:szCs w:val="20"/>
          <w:lang w:eastAsia="es-CO"/>
        </w:rPr>
      </w:pPr>
      <w:r w:rsidRPr="00927E5D">
        <w:rPr>
          <w:rFonts w:ascii="Verdana" w:eastAsia="Times New Roman" w:hAnsi="Verdana" w:cs="Arial"/>
          <w:color w:val="000000"/>
          <w:sz w:val="20"/>
          <w:szCs w:val="20"/>
          <w:lang w:eastAsia="es-CO"/>
        </w:rPr>
        <w:t xml:space="preserve">El acaecimiento del siniestro que amparan las garantías será comunicado por la entidad pública al respectivo asegurador mediante la notificación del acto administrativo que así lo declare. </w:t>
      </w:r>
    </w:p>
    <w:p w14:paraId="24D23C25" w14:textId="77777777" w:rsidR="00996FAA" w:rsidRDefault="00996FAA" w:rsidP="0055038B">
      <w:pPr>
        <w:spacing w:after="0" w:line="240" w:lineRule="auto"/>
        <w:ind w:left="709" w:right="709"/>
        <w:jc w:val="both"/>
        <w:rPr>
          <w:rFonts w:ascii="Verdana" w:eastAsia="Times New Roman" w:hAnsi="Verdana" w:cs="Arial"/>
          <w:color w:val="000000"/>
          <w:sz w:val="20"/>
          <w:szCs w:val="20"/>
          <w:lang w:eastAsia="es-CO"/>
        </w:rPr>
      </w:pPr>
    </w:p>
    <w:p w14:paraId="66B77C26" w14:textId="0C6F4C63" w:rsidR="0055038B" w:rsidRPr="00927E5D" w:rsidRDefault="0055038B" w:rsidP="0055038B">
      <w:pPr>
        <w:spacing w:after="0" w:line="240" w:lineRule="auto"/>
        <w:ind w:left="709" w:right="709"/>
        <w:jc w:val="both"/>
        <w:rPr>
          <w:rFonts w:ascii="Verdana" w:eastAsia="Times New Roman" w:hAnsi="Verdana" w:cs="Arial"/>
          <w:color w:val="000000"/>
          <w:sz w:val="20"/>
          <w:szCs w:val="20"/>
          <w:lang w:eastAsia="es-CO"/>
        </w:rPr>
      </w:pPr>
      <w:r w:rsidRPr="00927E5D">
        <w:rPr>
          <w:rFonts w:ascii="Verdana" w:eastAsia="Times New Roman" w:hAnsi="Verdana" w:cs="Arial"/>
          <w:color w:val="000000"/>
          <w:sz w:val="20"/>
          <w:szCs w:val="20"/>
          <w:lang w:eastAsia="es-CO"/>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2822B5B1" w14:textId="77777777" w:rsidR="0055038B" w:rsidRPr="00CF33CE" w:rsidRDefault="0055038B" w:rsidP="0055038B">
      <w:pPr>
        <w:spacing w:after="0" w:line="276" w:lineRule="auto"/>
        <w:jc w:val="both"/>
        <w:rPr>
          <w:rFonts w:ascii="Verdana" w:eastAsia="Times New Roman" w:hAnsi="Verdana" w:cs="Arial"/>
          <w:lang w:eastAsia="es-CO"/>
        </w:rPr>
      </w:pPr>
    </w:p>
    <w:p w14:paraId="56A112C1" w14:textId="77777777" w:rsidR="0055038B" w:rsidRDefault="0055038B" w:rsidP="005026D1">
      <w:pPr>
        <w:spacing w:after="120" w:line="276" w:lineRule="auto"/>
        <w:ind w:firstLine="709"/>
        <w:jc w:val="both"/>
        <w:rPr>
          <w:rFonts w:ascii="Verdana" w:eastAsia="Times New Roman" w:hAnsi="Verdana" w:cs="Arial"/>
          <w:color w:val="000000"/>
          <w:lang w:eastAsia="es-CO"/>
        </w:rPr>
      </w:pPr>
      <w:r w:rsidRPr="00255B91">
        <w:rPr>
          <w:rFonts w:ascii="Verdana" w:eastAsia="Times New Roman" w:hAnsi="Verdana" w:cs="Arial"/>
          <w:color w:val="000000"/>
          <w:lang w:eastAsia="es-CO"/>
        </w:rPr>
        <w:t>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de cobertura, la vigencia y valores mínimos que deben cubrir los amparos, entre</w:t>
      </w:r>
      <w:r w:rsidRPr="00F3171C">
        <w:rPr>
          <w:rFonts w:ascii="Verdana" w:eastAsia="Times New Roman" w:hAnsi="Verdana" w:cs="Arial"/>
          <w:color w:val="000000"/>
          <w:lang w:eastAsia="es-CO"/>
        </w:rPr>
        <w:t xml:space="preserve"> </w:t>
      </w:r>
      <w:r w:rsidRPr="00255B91">
        <w:rPr>
          <w:rFonts w:ascii="Verdana" w:eastAsia="Times New Roman" w:hAnsi="Verdana" w:cs="Arial"/>
          <w:color w:val="000000"/>
          <w:lang w:eastAsia="es-CO"/>
        </w:rPr>
        <w:t>otros aspectos que debe cumplir las garantías constituidas por los contratistas ya sea a través de pólizas de seguro, garantías bancarías o patrimonios autónomos</w:t>
      </w:r>
      <w:r>
        <w:rPr>
          <w:rFonts w:ascii="Verdana" w:eastAsia="Times New Roman" w:hAnsi="Verdana" w:cs="Arial"/>
          <w:color w:val="000000"/>
          <w:lang w:eastAsia="es-CO"/>
        </w:rPr>
        <w:t xml:space="preserve">. </w:t>
      </w:r>
    </w:p>
    <w:p w14:paraId="7C594C94" w14:textId="77777777" w:rsidR="0055038B" w:rsidRDefault="0055038B" w:rsidP="0055038B">
      <w:pPr>
        <w:spacing w:after="120" w:line="276" w:lineRule="auto"/>
        <w:ind w:firstLine="709"/>
        <w:jc w:val="both"/>
        <w:rPr>
          <w:rFonts w:ascii="Verdana" w:eastAsia="Times New Roman" w:hAnsi="Verdana" w:cs="Arial"/>
          <w:color w:val="000000"/>
          <w:lang w:eastAsia="es-CO"/>
        </w:rPr>
      </w:pPr>
      <w:r w:rsidRPr="00152E8B">
        <w:rPr>
          <w:rFonts w:ascii="Verdana" w:eastAsia="Times New Roman" w:hAnsi="Verdana" w:cs="Arial"/>
          <w:color w:val="000000"/>
          <w:lang w:eastAsia="es-CO"/>
        </w:rPr>
        <w:t xml:space="preserve">De acuerdo a lo expresado anteriormente, los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para amparar los riesgos contractuales; ii) fiducia mercantil de garantía, que es un contrato que suscribe el oferente, contratista o un tercero como fideicomitente con una sociedad fiduciaria para transferir la propiedad de uno o más bienes o derechos con los </w:t>
      </w:r>
      <w:r w:rsidRPr="00152E8B">
        <w:rPr>
          <w:rFonts w:ascii="Verdana" w:eastAsia="Times New Roman" w:hAnsi="Verdana" w:cs="Arial"/>
          <w:color w:val="000000"/>
          <w:lang w:eastAsia="es-CO"/>
        </w:rPr>
        <w:lastRenderedPageBreak/>
        <w:t>cuales se integra un patrimonio autónomo, con el fin de salvaguardar con ellos o con su producido las obligaciones del oferente o contratista con la Entidad Estatal beneficiaria</w:t>
      </w:r>
      <w:r>
        <w:rPr>
          <w:rStyle w:val="Refdenotaalpie"/>
          <w:rFonts w:ascii="Verdana" w:eastAsia="Times New Roman" w:hAnsi="Verdana" w:cs="Arial"/>
          <w:color w:val="000000"/>
          <w:lang w:eastAsia="es-CO"/>
        </w:rPr>
        <w:footnoteReference w:id="1"/>
      </w:r>
      <w:r w:rsidRPr="00152E8B">
        <w:rPr>
          <w:rFonts w:ascii="Verdana" w:eastAsia="Times New Roman" w:hAnsi="Verdana" w:cs="Arial"/>
          <w:color w:val="000000"/>
          <w:lang w:eastAsia="es-CO"/>
        </w:rPr>
        <w:t xml:space="preserve"> ; iii) garantías bancarias o cartas de crédito stand </w:t>
      </w:r>
      <w:proofErr w:type="spellStart"/>
      <w:r w:rsidRPr="00152E8B">
        <w:rPr>
          <w:rFonts w:ascii="Verdana" w:eastAsia="Times New Roman" w:hAnsi="Verdana" w:cs="Arial"/>
          <w:color w:val="000000"/>
          <w:lang w:eastAsia="es-CO"/>
        </w:rPr>
        <w:t>by</w:t>
      </w:r>
      <w:proofErr w:type="spellEnd"/>
      <w:r w:rsidRPr="00152E8B">
        <w:rPr>
          <w:rFonts w:ascii="Verdana" w:eastAsia="Times New Roman" w:hAnsi="Verdana" w:cs="Arial"/>
          <w:color w:val="000000"/>
          <w:lang w:eastAsia="es-CO"/>
        </w:rPr>
        <w:t>, que consisten en compromisos irrevocables o incondicionales asumidos por una entidad financiera de pagar una suma determinada de dinero</w:t>
      </w:r>
      <w:r>
        <w:rPr>
          <w:rStyle w:val="Refdenotaalpie"/>
          <w:rFonts w:ascii="Verdana" w:eastAsia="Times New Roman" w:hAnsi="Verdana" w:cs="Arial"/>
          <w:color w:val="000000"/>
          <w:lang w:eastAsia="es-CO"/>
        </w:rPr>
        <w:footnoteReference w:id="2"/>
      </w:r>
      <w:r w:rsidRPr="00152E8B">
        <w:rPr>
          <w:rFonts w:ascii="Verdana" w:eastAsia="Times New Roman" w:hAnsi="Verdana" w:cs="Arial"/>
          <w:color w:val="000000"/>
          <w:lang w:eastAsia="es-CO"/>
        </w:rPr>
        <w:t xml:space="preserve"> . La suficiencia y la vigencia de las garantías deben ser las reguladas en los artículos 2.2.1.2.3.1.9 a 2.2.1.2.3.1.16 del Decreto 1082 de 2015</w:t>
      </w:r>
      <w:r>
        <w:rPr>
          <w:rFonts w:ascii="Verdana" w:eastAsia="Times New Roman" w:hAnsi="Verdana" w:cs="Arial"/>
          <w:color w:val="000000"/>
          <w:lang w:eastAsia="es-CO"/>
        </w:rPr>
        <w:t>.</w:t>
      </w:r>
    </w:p>
    <w:p w14:paraId="08DBBB23" w14:textId="77777777" w:rsidR="0055038B" w:rsidRDefault="0055038B" w:rsidP="0055038B">
      <w:pPr>
        <w:spacing w:after="120" w:line="276" w:lineRule="auto"/>
        <w:ind w:firstLine="709"/>
        <w:jc w:val="both"/>
        <w:rPr>
          <w:rFonts w:ascii="Verdana" w:eastAsia="Times New Roman" w:hAnsi="Verdana" w:cs="Arial"/>
          <w:color w:val="000000"/>
          <w:lang w:eastAsia="es-CO"/>
        </w:rPr>
      </w:pPr>
      <w:r w:rsidRPr="006E12D0">
        <w:rPr>
          <w:rFonts w:ascii="Verdana" w:eastAsia="Times New Roman" w:hAnsi="Verdana" w:cs="Arial"/>
          <w:color w:val="000000"/>
          <w:lang w:eastAsia="es-CO"/>
        </w:rPr>
        <w:t>A partir de las fases del Proceso de Contratación, la “Guía de Garantías en los Procesos de Contratación” expedida por la Agencia Nacional de Contratación Pública – Colombia Compra Eficiente expone los riesgos que deben cubrirse mediante las garantías:</w:t>
      </w:r>
    </w:p>
    <w:p w14:paraId="70A6DA72" w14:textId="77777777" w:rsidR="0055038B" w:rsidRPr="00711389" w:rsidRDefault="0055038B" w:rsidP="002721A5">
      <w:pPr>
        <w:pStyle w:val="Prrafodelista"/>
        <w:numPr>
          <w:ilvl w:val="0"/>
          <w:numId w:val="19"/>
        </w:numPr>
        <w:spacing w:after="120" w:line="276" w:lineRule="auto"/>
        <w:contextualSpacing w:val="0"/>
        <w:jc w:val="both"/>
        <w:rPr>
          <w:rFonts w:ascii="Verdana" w:eastAsia="Times New Roman" w:hAnsi="Verdana" w:cs="Arial"/>
          <w:color w:val="000000"/>
          <w:lang w:eastAsia="es-CO"/>
        </w:rPr>
      </w:pPr>
      <w:r w:rsidRPr="00711389">
        <w:rPr>
          <w:rFonts w:ascii="Verdana" w:eastAsia="Times New Roman" w:hAnsi="Verdana" w:cs="Arial"/>
          <w:color w:val="000000"/>
          <w:lang w:eastAsia="es-CO"/>
        </w:rPr>
        <w:t xml:space="preserve">Selección o etapa previa: el proponente debe otorgar garantía de seriedad de la oferta amparando los siguientes eventos: la no ampliación de la vigencia de la garantía cuando el plazo para la adjudicación o suscripción del contrato sea prorrogado, siempre que esa prórroga no exceda de tres (3) meses; retiro de la oferta después de vencido el plazo para su presentación; la no suscripción del contrato sin justa causa por parte del adjudicatario y; la no constitución de la garantía de cumplimiento del contrato por parte del adjudicatario. </w:t>
      </w:r>
    </w:p>
    <w:p w14:paraId="4C17321D" w14:textId="77777777" w:rsidR="0055038B" w:rsidRDefault="0055038B" w:rsidP="002721A5">
      <w:pPr>
        <w:pStyle w:val="Prrafodelista"/>
        <w:numPr>
          <w:ilvl w:val="0"/>
          <w:numId w:val="19"/>
        </w:numPr>
        <w:spacing w:after="120" w:line="276" w:lineRule="auto"/>
        <w:contextualSpacing w:val="0"/>
        <w:jc w:val="both"/>
        <w:rPr>
          <w:rFonts w:ascii="Verdana" w:eastAsia="Times New Roman" w:hAnsi="Verdana" w:cs="Arial"/>
          <w:color w:val="000000"/>
          <w:lang w:eastAsia="es-CO"/>
        </w:rPr>
      </w:pPr>
      <w:r w:rsidRPr="00711389">
        <w:rPr>
          <w:rFonts w:ascii="Verdana" w:eastAsia="Times New Roman" w:hAnsi="Verdana" w:cs="Arial"/>
          <w:color w:val="000000"/>
          <w:lang w:eastAsia="es-CO"/>
        </w:rPr>
        <w:t>Contratación y ejecución:</w:t>
      </w:r>
      <w:r w:rsidRPr="00E3670F">
        <w:rPr>
          <w:rFonts w:ascii="Verdana" w:eastAsia="Times New Roman" w:hAnsi="Verdana" w:cs="Arial"/>
          <w:color w:val="000000"/>
          <w:lang w:eastAsia="es-CO"/>
        </w:rPr>
        <w:t xml:space="preserve"> en esta fase la garantía debe cubrir los riesgos derivados del incumplimiento del contrato. Esta garantía puede cubrir todos o algunos de los siguientes amparos, de acuerdo con las condiciones del contrato: buen manejo y correcta inversión del anticipo, devolución del pago anticipado, cumplimiento del contrato, pago de salarios, prestaciones sociales legales e indemnizaciones laborales. En adición a la garantía de cumplimiento, la Entidad Estatal puede solicitar un seguro de responsabilidad civil extracontractual para aquellos contratos en los que el desarrollo del objeto implica un riesgo de daños a terceros. En cuanto al amparo de pago de obligaciones laborales, el garante está obligado a </w:t>
      </w:r>
      <w:r w:rsidRPr="00E3670F">
        <w:rPr>
          <w:rFonts w:ascii="Verdana" w:eastAsia="Times New Roman" w:hAnsi="Verdana" w:cs="Arial"/>
          <w:color w:val="000000"/>
          <w:lang w:eastAsia="es-CO"/>
        </w:rPr>
        <w:lastRenderedPageBreak/>
        <w:t xml:space="preserve">pagar las obligaciones laborales y salariales que puedan presentarse por el incumplimiento del deber del pago por parte del contratista. </w:t>
      </w:r>
    </w:p>
    <w:p w14:paraId="30EA4F30" w14:textId="0E756E69" w:rsidR="0055038B" w:rsidRDefault="0055038B" w:rsidP="002721A5">
      <w:pPr>
        <w:pStyle w:val="Prrafodelista"/>
        <w:numPr>
          <w:ilvl w:val="0"/>
          <w:numId w:val="19"/>
        </w:numPr>
        <w:spacing w:after="120" w:line="276" w:lineRule="auto"/>
        <w:contextualSpacing w:val="0"/>
        <w:jc w:val="both"/>
        <w:rPr>
          <w:rFonts w:ascii="Verdana" w:eastAsia="Times New Roman" w:hAnsi="Verdana" w:cs="Arial"/>
          <w:color w:val="000000"/>
          <w:lang w:eastAsia="es-CO"/>
        </w:rPr>
      </w:pPr>
      <w:r w:rsidRPr="00711389">
        <w:rPr>
          <w:rFonts w:ascii="Verdana" w:eastAsia="Times New Roman" w:hAnsi="Verdana" w:cs="Arial"/>
          <w:color w:val="000000"/>
          <w:lang w:eastAsia="es-CO"/>
        </w:rPr>
        <w:t>Garantías posteriores a la ejecución:</w:t>
      </w:r>
      <w:r w:rsidRPr="00E3670F">
        <w:rPr>
          <w:rFonts w:ascii="Verdana" w:eastAsia="Times New Roman" w:hAnsi="Verdana" w:cs="Arial"/>
          <w:color w:val="000000"/>
          <w:lang w:eastAsia="es-CO"/>
        </w:rPr>
        <w:t xml:space="preserve"> cubren los riesgos que se presenten con posterioridad a la terminación del contrato y sus amparos pueden ser: estabilidad y calidad de la obra; calidad del servicio; y calidad y correcto funcionamiento de los bienes</w:t>
      </w:r>
      <w:r>
        <w:rPr>
          <w:rFonts w:ascii="Verdana" w:eastAsia="Times New Roman" w:hAnsi="Verdana" w:cs="Arial"/>
          <w:color w:val="000000"/>
          <w:lang w:eastAsia="es-CO"/>
        </w:rPr>
        <w:t>.</w:t>
      </w:r>
    </w:p>
    <w:p w14:paraId="27ECB74F" w14:textId="77777777" w:rsidR="0055038B" w:rsidRPr="00695540" w:rsidRDefault="0055038B" w:rsidP="0055038B">
      <w:pPr>
        <w:spacing w:after="120" w:line="276" w:lineRule="auto"/>
        <w:ind w:firstLine="567"/>
        <w:jc w:val="both"/>
        <w:rPr>
          <w:rFonts w:ascii="Verdana" w:eastAsia="Times New Roman" w:hAnsi="Verdana" w:cs="Arial"/>
          <w:color w:val="000000"/>
          <w:lang w:eastAsia="es-CO"/>
        </w:rPr>
      </w:pPr>
      <w:r w:rsidRPr="00695540">
        <w:rPr>
          <w:rFonts w:ascii="Verdana" w:eastAsia="Times New Roman" w:hAnsi="Verdana" w:cs="Arial"/>
          <w:color w:val="000000"/>
          <w:lang w:eastAsia="es-CO"/>
        </w:rPr>
        <w:t>En cada caso, la obligatoriedad de exigir garantías depende de los tipos contractuales y de las modalidades de selección que deban aplicarse, de acuerdo con el objeto contenido en los procesos de contratación. Asimismo, los amparos que estarán inmersos en cada garantía dependerán de los riesgos que son propios de cada tipo contractual.</w:t>
      </w:r>
    </w:p>
    <w:p w14:paraId="5C48C5E1" w14:textId="77777777" w:rsidR="00996FAA" w:rsidRDefault="0055038B" w:rsidP="00996FAA">
      <w:pPr>
        <w:spacing w:after="0" w:line="276" w:lineRule="auto"/>
        <w:ind w:firstLine="709"/>
        <w:jc w:val="both"/>
        <w:rPr>
          <w:rFonts w:ascii="Verdana" w:hAnsi="Verdana" w:cs="Arial"/>
          <w:color w:val="000000" w:themeColor="text1"/>
          <w:lang w:val="es-ES_tradnl"/>
        </w:rPr>
      </w:pPr>
      <w:r>
        <w:rPr>
          <w:rFonts w:ascii="Verdana" w:eastAsia="Calibri" w:hAnsi="Verdana" w:cs="Arial"/>
          <w:color w:val="000000" w:themeColor="text1"/>
          <w:lang w:val="es-ES"/>
        </w:rPr>
        <w:t xml:space="preserve">Ahora bien, </w:t>
      </w:r>
      <w:r w:rsidRPr="00CA6FDA">
        <w:rPr>
          <w:rFonts w:ascii="Verdana" w:eastAsia="Calibri" w:hAnsi="Verdana" w:cs="Arial"/>
          <w:color w:val="000000" w:themeColor="text1"/>
          <w:lang w:val="es-ES"/>
        </w:rPr>
        <w:t xml:space="preserve">mediante la </w:t>
      </w:r>
      <w:r w:rsidRPr="00CA6FDA">
        <w:rPr>
          <w:rFonts w:ascii="Verdana" w:eastAsia="Calibri" w:hAnsi="Verdana" w:cs="Arial"/>
          <w:i/>
          <w:iCs/>
          <w:color w:val="000000" w:themeColor="text1"/>
          <w:lang w:val="es-ES"/>
        </w:rPr>
        <w:t>garantía de única de cumplimiento</w:t>
      </w:r>
      <w:r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3"/>
      </w:r>
      <w:r w:rsidRPr="00CA6FDA">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4"/>
      </w:r>
      <w:r w:rsidRPr="00CA6FDA">
        <w:rPr>
          <w:rFonts w:ascii="Verdana" w:hAnsi="Verdana" w:cs="Arial"/>
          <w:color w:val="000000" w:themeColor="text1"/>
          <w:lang w:val="es-ES_tradnl"/>
        </w:rPr>
        <w:t xml:space="preserve">.   </w:t>
      </w:r>
    </w:p>
    <w:p w14:paraId="4194E5CA" w14:textId="043765CB" w:rsidR="0055038B" w:rsidRPr="0025557C" w:rsidRDefault="0055038B" w:rsidP="002721A5">
      <w:pPr>
        <w:spacing w:after="0" w:line="276" w:lineRule="auto"/>
        <w:ind w:firstLine="709"/>
        <w:jc w:val="both"/>
        <w:rPr>
          <w:rFonts w:ascii="Verdana" w:hAnsi="Verdana" w:cs="Arial"/>
          <w:color w:val="000000" w:themeColor="text1"/>
          <w:lang w:val="es-ES_tradnl"/>
        </w:rPr>
      </w:pPr>
      <w:r w:rsidRPr="00CA6FDA">
        <w:rPr>
          <w:rFonts w:ascii="Verdana" w:hAnsi="Verdana" w:cs="Arial"/>
          <w:color w:val="000000" w:themeColor="text1"/>
          <w:lang w:val="es-ES_tradnl"/>
        </w:rPr>
        <w:t xml:space="preserve"> </w:t>
      </w:r>
    </w:p>
    <w:p w14:paraId="08404822" w14:textId="77777777" w:rsidR="0055038B" w:rsidRDefault="0055038B" w:rsidP="002721A5">
      <w:pPr>
        <w:spacing w:after="120" w:line="240" w:lineRule="auto"/>
        <w:jc w:val="both"/>
        <w:rPr>
          <w:rFonts w:ascii="Verdana" w:hAnsi="Verdana"/>
        </w:rPr>
      </w:pPr>
      <w:r>
        <w:rPr>
          <w:rFonts w:ascii="Verdana" w:eastAsia="Calibri" w:hAnsi="Verdana" w:cs="Arial"/>
          <w:color w:val="000000" w:themeColor="text1"/>
          <w:lang w:val="es-ES"/>
        </w:rPr>
        <w:t xml:space="preserve">ii. </w:t>
      </w:r>
      <w:r w:rsidRPr="00806798">
        <w:rPr>
          <w:rFonts w:ascii="Verdana" w:hAnsi="Verdana"/>
        </w:rPr>
        <w:t>En el régimen de contratación estatal colombiano, la exigencia de garantías en los contratos estatales no constituye una obligación absoluta para todos los tipos contractuales, sino que depende del análisis que realice la entidad estatal respecto de los riesgos asociados al contrato y de la naturaleza de las obligaciones asumidas por el contratista. En particular, tratándose de contratos de prestación de servicios profesionales y de apoyo a la gestión celebrados mediante contratación directa, la normativa vigente permite que la entidad determine, con base en criterios objetivos, si resulta necesario o no exigir una garantía de cumplimiento.</w:t>
      </w:r>
    </w:p>
    <w:p w14:paraId="24375F93" w14:textId="6B415295" w:rsidR="0055038B" w:rsidRDefault="0055038B" w:rsidP="002721A5">
      <w:pPr>
        <w:spacing w:after="120" w:line="278" w:lineRule="auto"/>
        <w:ind w:firstLine="709"/>
        <w:jc w:val="both"/>
        <w:rPr>
          <w:rFonts w:ascii="Verdana" w:hAnsi="Verdana"/>
        </w:rPr>
      </w:pPr>
      <w:r w:rsidRPr="00806798">
        <w:rPr>
          <w:rFonts w:ascii="Verdana" w:hAnsi="Verdana"/>
        </w:rPr>
        <w:lastRenderedPageBreak/>
        <w:t>En efecto, el artículo 2.2.1.2.3.1.1 del Decreto 1082 de 2015</w:t>
      </w:r>
      <w:r>
        <w:rPr>
          <w:rStyle w:val="Refdenotaalpie"/>
          <w:rFonts w:ascii="Verdana" w:hAnsi="Verdana"/>
        </w:rPr>
        <w:footnoteReference w:id="5"/>
      </w:r>
      <w:r w:rsidRPr="00806798">
        <w:rPr>
          <w:rFonts w:ascii="Verdana" w:hAnsi="Verdana"/>
        </w:rPr>
        <w:t xml:space="preserve"> establece que las entidades estatales deben exigir garantías en los procesos de contratación con el fin de amparar los riesgos derivados de la ejecución contractual. No obstante, la misma disposición reconoce que la exigencia de garantías debe estar precedida de un análisis de riesgos, a partir del cual la entidad determine cuáles amparos son necesarios y si resulta procedente exigir una garantía de cumplimiento en el caso concreto. En consecuencia, la exigencia de una garantía de cumplimiento no constituye una obligación automática aplicable a todos los contratos estatales, sino una decisión que debe adoptarse con fundamento en el análisis de riesgos realizado por la entidad en la etapa de planeación del proceso contractual.</w:t>
      </w:r>
    </w:p>
    <w:p w14:paraId="3D5FF270" w14:textId="779199CD" w:rsidR="0055038B" w:rsidRDefault="0055038B" w:rsidP="002721A5">
      <w:pPr>
        <w:ind w:firstLine="708"/>
        <w:jc w:val="both"/>
        <w:rPr>
          <w:rFonts w:ascii="Verdana" w:hAnsi="Verdana"/>
        </w:rPr>
      </w:pPr>
      <w:r w:rsidRPr="00806798">
        <w:rPr>
          <w:rFonts w:ascii="Verdana" w:hAnsi="Verdana"/>
        </w:rPr>
        <w:t>En ese sentido, cuando se trata de contratos de prestación de servicios profesionales o de apoyo a la gestión, la entidad estatal puede concluir, a partir del análisis del objeto contractual, el valor del contrato, la forma de pago, el plazo de ejecución y los riesgos asociados al cumplimiento de las obligaciones, que la exigencia de una garantía de cumplimiento no resulta necesaria. Ello suele ocurrir en contratos cuyo objeto consiste principalmente en la ejecución personal de actividades intelectuales o de apoyo administrativo, en los que el riesgo patrimonial para la entidad puede ser reducido o fácilmente controlable mediante otros mecanismos de seguimiento y supervisión.</w:t>
      </w:r>
    </w:p>
    <w:p w14:paraId="24E47ED1" w14:textId="27E384FA" w:rsidR="0055038B" w:rsidRPr="00806798" w:rsidRDefault="0055038B" w:rsidP="002E098F">
      <w:pPr>
        <w:spacing w:after="0"/>
        <w:ind w:firstLine="709"/>
        <w:jc w:val="both"/>
        <w:rPr>
          <w:rFonts w:ascii="Verdana" w:hAnsi="Verdana"/>
        </w:rPr>
      </w:pPr>
      <w:r w:rsidRPr="00806798">
        <w:rPr>
          <w:rFonts w:ascii="Verdana" w:hAnsi="Verdana"/>
        </w:rPr>
        <w:t>Sin embargo, la posibilidad de no exigir garantía no significa que la entidad cuente con una discrecionalidad absoluta. Por el contrario, la decisión de prescindir de la garantía debe estar debidamente motivada y sustentada en los estudios previos del proceso contractual. En estos documentos la entidad debe dejar constancia, al menos, de los siguientes elementos: (i) la identificación de los riesgos asociados al contrato; (ii) el análisis de la probabilidad e impacto de dichos riesgos; (iii) la explicación de por qué dichos riesgos no requieren ser cubiertos mediante una garantía de cumplimiento; y (iv) las razones relacionadas con la naturaleza del contrato, su cuantía, su duración o las características de las obligaciones que justifican la no exigencia de la póliza. Esta motivación resulta necesaria para garantizar el respeto de los principios de planeación, responsabilidad y transparencia que orientan la contratación estatal.</w:t>
      </w:r>
    </w:p>
    <w:p w14:paraId="5E7130A7" w14:textId="77777777" w:rsidR="002E098F" w:rsidRPr="00806798" w:rsidRDefault="002E098F" w:rsidP="002721A5">
      <w:pPr>
        <w:spacing w:after="0"/>
        <w:ind w:firstLine="709"/>
        <w:jc w:val="both"/>
        <w:rPr>
          <w:rFonts w:ascii="Verdana" w:hAnsi="Verdana"/>
        </w:rPr>
      </w:pPr>
    </w:p>
    <w:p w14:paraId="6CE1E061" w14:textId="7EF1BEBE" w:rsidR="0055038B" w:rsidRPr="00806798" w:rsidRDefault="0055038B" w:rsidP="008227C4">
      <w:pPr>
        <w:spacing w:line="278" w:lineRule="auto"/>
        <w:jc w:val="both"/>
        <w:rPr>
          <w:rFonts w:ascii="Verdana" w:hAnsi="Verdana"/>
        </w:rPr>
      </w:pPr>
      <w:r>
        <w:rPr>
          <w:rFonts w:ascii="Verdana" w:hAnsi="Verdana"/>
        </w:rPr>
        <w:t>i</w:t>
      </w:r>
      <w:r w:rsidR="002E098F">
        <w:rPr>
          <w:rFonts w:ascii="Verdana" w:hAnsi="Verdana"/>
        </w:rPr>
        <w:t>ii.</w:t>
      </w:r>
      <w:r>
        <w:rPr>
          <w:rFonts w:ascii="Verdana" w:hAnsi="Verdana"/>
        </w:rPr>
        <w:t xml:space="preserve"> </w:t>
      </w:r>
      <w:r w:rsidRPr="00806798">
        <w:rPr>
          <w:rFonts w:ascii="Verdana" w:hAnsi="Verdana"/>
        </w:rPr>
        <w:t>Por otra parte, el ordenamiento jurídico no establece una diferencia en materia de garantías entre los contratos de prestación de servicios profesionales y los contratos de apoyo a la gestión. Ambos corresponden a la causal de contratación directa prevista en el artículo 2 de la Ley 1150 de 2007</w:t>
      </w:r>
      <w:r>
        <w:rPr>
          <w:rStyle w:val="Refdenotaalpie"/>
          <w:rFonts w:ascii="Verdana" w:hAnsi="Verdana"/>
        </w:rPr>
        <w:footnoteReference w:id="6"/>
      </w:r>
      <w:r w:rsidRPr="00806798">
        <w:rPr>
          <w:rFonts w:ascii="Verdana" w:hAnsi="Verdana"/>
        </w:rPr>
        <w:t xml:space="preserve"> y desarrollada en el Decreto 1082 de 2015</w:t>
      </w:r>
      <w:r>
        <w:rPr>
          <w:rStyle w:val="Refdenotaalpie"/>
          <w:rFonts w:ascii="Verdana" w:hAnsi="Verdana"/>
        </w:rPr>
        <w:footnoteReference w:id="7"/>
      </w:r>
      <w:r w:rsidRPr="00806798">
        <w:rPr>
          <w:rFonts w:ascii="Verdana" w:hAnsi="Verdana"/>
        </w:rPr>
        <w:t>, por lo que la procedencia de exigir o no garantías contractuales en estos casos debe determinarse a partir del análisis de riesgos que realice la entidad estatal en cada proceso de contratación.</w:t>
      </w:r>
    </w:p>
    <w:p w14:paraId="3069DBE1" w14:textId="38F5F043" w:rsidR="0055038B" w:rsidRPr="00E8018A" w:rsidRDefault="0055038B" w:rsidP="002E098F">
      <w:pPr>
        <w:spacing w:after="0"/>
        <w:ind w:firstLine="709"/>
        <w:jc w:val="both"/>
        <w:rPr>
          <w:rFonts w:ascii="Verdana" w:hAnsi="Verdana"/>
        </w:rPr>
      </w:pPr>
      <w:r w:rsidRPr="00806798">
        <w:rPr>
          <w:rFonts w:ascii="Verdana" w:hAnsi="Verdana"/>
        </w:rPr>
        <w:t>En consecuencia, la exigencia de la garantía de cumplimiento en los contratos de prestación de servicios profesionales y de apoyo a la gestión no es automática ni uniforme, sino que depende del análisis de riesgos realizado por la entidad estatal y de la motivación correspondiente en los estudios previos del proceso de contratación</w:t>
      </w:r>
      <w:r>
        <w:rPr>
          <w:rFonts w:ascii="Verdana" w:hAnsi="Verdana"/>
        </w:rPr>
        <w:t>.</w:t>
      </w:r>
    </w:p>
    <w:p w14:paraId="4E0F0A83" w14:textId="77777777" w:rsidR="002E098F" w:rsidRPr="00E8018A" w:rsidRDefault="002E098F" w:rsidP="002721A5">
      <w:pPr>
        <w:spacing w:after="0"/>
        <w:ind w:firstLine="709"/>
        <w:jc w:val="both"/>
        <w:rPr>
          <w:rFonts w:ascii="Verdana" w:hAnsi="Verdana"/>
        </w:rPr>
      </w:pPr>
    </w:p>
    <w:p w14:paraId="68251D47" w14:textId="64F67CE2" w:rsidR="0055038B" w:rsidRDefault="002E098F" w:rsidP="008227C4">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i</w:t>
      </w:r>
      <w:r w:rsidR="0055038B">
        <w:rPr>
          <w:rFonts w:ascii="Verdana" w:eastAsia="Calibri" w:hAnsi="Verdana" w:cs="Arial"/>
          <w:bCs/>
          <w:color w:val="000000" w:themeColor="text1"/>
        </w:rPr>
        <w:t>v</w:t>
      </w:r>
      <w:r>
        <w:rPr>
          <w:rFonts w:ascii="Verdana" w:eastAsia="Calibri" w:hAnsi="Verdana" w:cs="Arial"/>
          <w:bCs/>
          <w:color w:val="000000" w:themeColor="text1"/>
        </w:rPr>
        <w:t>.</w:t>
      </w:r>
      <w:r w:rsidR="0055038B">
        <w:rPr>
          <w:rFonts w:ascii="Verdana" w:eastAsia="Calibri" w:hAnsi="Verdana" w:cs="Arial"/>
          <w:bCs/>
          <w:color w:val="000000" w:themeColor="text1"/>
        </w:rPr>
        <w:t xml:space="preserve">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2E12520" w14:textId="77777777" w:rsidR="0055038B" w:rsidRPr="002816A2" w:rsidRDefault="0055038B" w:rsidP="0055038B">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w:t>
      </w:r>
      <w:r w:rsidRPr="002816A2">
        <w:rPr>
          <w:rFonts w:ascii="Verdana" w:eastAsia="Calibri" w:hAnsi="Verdana" w:cs="Arial"/>
          <w:bCs/>
          <w:color w:val="000000" w:themeColor="text1"/>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2816A2">
        <w:rPr>
          <w:rFonts w:ascii="Verdana" w:eastAsia="Calibri" w:hAnsi="Verdana" w:cs="Arial"/>
          <w:bCs/>
          <w:color w:val="000000" w:themeColor="text1"/>
        </w:rPr>
        <w:lastRenderedPageBreak/>
        <w:t xml:space="preserve">gestión contractual, sin que sea atribución de Colombia Compra Eficiente validar sus actuaciones. </w:t>
      </w:r>
    </w:p>
    <w:p w14:paraId="425A31E3" w14:textId="77777777" w:rsidR="0055038B" w:rsidRPr="002816A2" w:rsidRDefault="0055038B" w:rsidP="0055038B">
      <w:pPr>
        <w:widowControl w:val="0"/>
        <w:autoSpaceDE w:val="0"/>
        <w:autoSpaceDN w:val="0"/>
        <w:spacing w:after="0" w:line="276" w:lineRule="auto"/>
        <w:jc w:val="both"/>
        <w:rPr>
          <w:rFonts w:ascii="Verdana" w:hAnsi="Verdana" w:cs="Arial"/>
        </w:rPr>
      </w:pPr>
    </w:p>
    <w:p w14:paraId="1938B5A6" w14:textId="77777777" w:rsidR="0055038B" w:rsidRPr="002A2B88"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A2B88">
        <w:rPr>
          <w:rFonts w:ascii="Verdana" w:eastAsia="Century Gothic" w:hAnsi="Verdana" w:cs="Century Gothic"/>
          <w:b/>
          <w:bCs/>
        </w:rPr>
        <w:t>Referencias normativas, jurisprudenciales y otras fuentes:</w:t>
      </w:r>
    </w:p>
    <w:p w14:paraId="2F9D4F2A" w14:textId="77777777" w:rsidR="0055038B" w:rsidRPr="00593A5F" w:rsidRDefault="0055038B" w:rsidP="0055038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038B" w:rsidRPr="00593A5F" w14:paraId="3D6A3094" w14:textId="77777777" w:rsidTr="00BA05D4">
        <w:trPr>
          <w:trHeight w:val="870"/>
        </w:trPr>
        <w:tc>
          <w:tcPr>
            <w:tcW w:w="8647" w:type="dxa"/>
          </w:tcPr>
          <w:p w14:paraId="40F2B807" w14:textId="77777777" w:rsidR="0055038B" w:rsidRPr="00917202" w:rsidRDefault="0055038B" w:rsidP="00DB2D6A">
            <w:pPr>
              <w:widowControl w:val="0"/>
              <w:numPr>
                <w:ilvl w:val="0"/>
                <w:numId w:val="17"/>
              </w:numPr>
              <w:tabs>
                <w:tab w:val="num" w:pos="720"/>
              </w:tabs>
              <w:autoSpaceDE w:val="0"/>
              <w:autoSpaceDN w:val="0"/>
              <w:spacing w:line="276" w:lineRule="auto"/>
              <w:jc w:val="both"/>
              <w:rPr>
                <w:rFonts w:ascii="Verdana" w:hAnsi="Verdana" w:cs="Arial"/>
              </w:rPr>
            </w:pPr>
            <w:r w:rsidRPr="00CC2BCE">
              <w:rPr>
                <w:rFonts w:ascii="Verdana" w:eastAsia="Times New Roman" w:hAnsi="Verdana" w:cs="Arial"/>
                <w:color w:val="000000"/>
                <w:lang w:eastAsia="es-CO"/>
              </w:rPr>
              <w:t>Ley 1150 de 2007</w:t>
            </w:r>
            <w:r>
              <w:rPr>
                <w:rFonts w:ascii="Verdana" w:eastAsia="Times New Roman" w:hAnsi="Verdana" w:cs="Arial"/>
                <w:color w:val="000000"/>
                <w:lang w:eastAsia="es-CO"/>
              </w:rPr>
              <w:t xml:space="preserve">, artículo 7. </w:t>
            </w:r>
          </w:p>
          <w:p w14:paraId="77F8A44C" w14:textId="54E36268" w:rsidR="0055038B" w:rsidRPr="006B4D66" w:rsidRDefault="0055038B" w:rsidP="00DB2D6A">
            <w:pPr>
              <w:widowControl w:val="0"/>
              <w:numPr>
                <w:ilvl w:val="0"/>
                <w:numId w:val="17"/>
              </w:numPr>
              <w:tabs>
                <w:tab w:val="num" w:pos="720"/>
              </w:tabs>
              <w:autoSpaceDE w:val="0"/>
              <w:autoSpaceDN w:val="0"/>
              <w:spacing w:line="276" w:lineRule="auto"/>
              <w:jc w:val="both"/>
              <w:rPr>
                <w:rFonts w:ascii="Verdana" w:hAnsi="Verdana" w:cs="Arial"/>
              </w:rPr>
            </w:pPr>
            <w:r w:rsidRPr="00255B91">
              <w:rPr>
                <w:rFonts w:ascii="Verdana" w:eastAsia="Times New Roman" w:hAnsi="Verdana" w:cs="Arial"/>
                <w:color w:val="000000"/>
                <w:lang w:eastAsia="es-CO"/>
              </w:rPr>
              <w:t>Decreto 1082 de 2015</w:t>
            </w:r>
            <w:r>
              <w:rPr>
                <w:rFonts w:ascii="Verdana" w:eastAsia="Times New Roman" w:hAnsi="Verdana" w:cs="Arial"/>
                <w:color w:val="000000"/>
                <w:lang w:eastAsia="es-CO"/>
              </w:rPr>
              <w:t xml:space="preserve">, artículo </w:t>
            </w:r>
            <w:r w:rsidRPr="00255B91">
              <w:rPr>
                <w:rFonts w:ascii="Verdana" w:eastAsia="Times New Roman" w:hAnsi="Verdana" w:cs="Arial"/>
                <w:color w:val="000000"/>
                <w:lang w:eastAsia="es-CO"/>
              </w:rPr>
              <w:t xml:space="preserve">2.2.1.2.3.1.1. </w:t>
            </w:r>
            <w:r w:rsidR="002E098F">
              <w:rPr>
                <w:rFonts w:ascii="Verdana" w:eastAsia="Times New Roman" w:hAnsi="Verdana" w:cs="Arial"/>
                <w:color w:val="000000"/>
                <w:lang w:eastAsia="es-CO"/>
              </w:rPr>
              <w:t xml:space="preserve">y </w:t>
            </w:r>
            <w:r w:rsidRPr="00255B91">
              <w:rPr>
                <w:rFonts w:ascii="Verdana" w:eastAsia="Times New Roman" w:hAnsi="Verdana" w:cs="Arial"/>
                <w:color w:val="000000"/>
                <w:lang w:eastAsia="es-CO"/>
              </w:rPr>
              <w:t>2.2.1.2.3.1.19</w:t>
            </w:r>
            <w:r>
              <w:rPr>
                <w:rFonts w:ascii="Verdana" w:eastAsia="Times New Roman" w:hAnsi="Verdana" w:cs="Arial"/>
                <w:color w:val="000000"/>
                <w:lang w:eastAsia="es-CO"/>
              </w:rPr>
              <w:t>.</w:t>
            </w:r>
          </w:p>
          <w:p w14:paraId="2E40B82E" w14:textId="7B2FA3CF" w:rsidR="0055038B" w:rsidRDefault="0055038B" w:rsidP="002E098F">
            <w:pPr>
              <w:widowControl w:val="0"/>
              <w:numPr>
                <w:ilvl w:val="0"/>
                <w:numId w:val="17"/>
              </w:numPr>
              <w:tabs>
                <w:tab w:val="num" w:pos="720"/>
              </w:tabs>
              <w:autoSpaceDE w:val="0"/>
              <w:autoSpaceDN w:val="0"/>
              <w:spacing w:line="276" w:lineRule="auto"/>
              <w:jc w:val="both"/>
              <w:rPr>
                <w:rFonts w:ascii="Verdana" w:hAnsi="Verdana" w:cs="Arial"/>
              </w:rPr>
            </w:pPr>
            <w:r w:rsidRPr="00F317F7">
              <w:rPr>
                <w:rFonts w:ascii="Verdana" w:hAnsi="Verdana" w:cs="Arial"/>
              </w:rPr>
              <w:t xml:space="preserve">CONSEJO DE ESTADO. Sección Tercera. Subsección A. Sentencia del 12 de febrero de 2015. </w:t>
            </w:r>
            <w:proofErr w:type="spellStart"/>
            <w:r w:rsidRPr="00F317F7">
              <w:rPr>
                <w:rFonts w:ascii="Verdana" w:hAnsi="Verdana" w:cs="Arial"/>
              </w:rPr>
              <w:t>Exp</w:t>
            </w:r>
            <w:proofErr w:type="spellEnd"/>
            <w:r w:rsidRPr="00F317F7">
              <w:rPr>
                <w:rFonts w:ascii="Verdana" w:hAnsi="Verdana" w:cs="Arial"/>
              </w:rPr>
              <w:t>.  28278. C.P. Carlos Alberto Zambrano Barrera</w:t>
            </w:r>
            <w:r>
              <w:rPr>
                <w:rFonts w:ascii="Verdana" w:hAnsi="Verdana" w:cs="Arial"/>
              </w:rPr>
              <w:t xml:space="preserve">. </w:t>
            </w:r>
          </w:p>
          <w:p w14:paraId="6DAC3043" w14:textId="7F40CFFE" w:rsidR="002E098F" w:rsidRPr="002E098F" w:rsidRDefault="002E098F" w:rsidP="00DB2D6A">
            <w:pPr>
              <w:widowControl w:val="0"/>
              <w:numPr>
                <w:ilvl w:val="0"/>
                <w:numId w:val="17"/>
              </w:numPr>
              <w:tabs>
                <w:tab w:val="num" w:pos="720"/>
              </w:tabs>
              <w:autoSpaceDE w:val="0"/>
              <w:autoSpaceDN w:val="0"/>
              <w:spacing w:line="276" w:lineRule="auto"/>
              <w:jc w:val="both"/>
              <w:rPr>
                <w:rFonts w:ascii="Verdana" w:hAnsi="Verdana" w:cs="Arial"/>
              </w:rPr>
            </w:pPr>
            <w:r>
              <w:rPr>
                <w:rFonts w:ascii="Verdana" w:hAnsi="Verdana" w:cs="Arial"/>
              </w:rPr>
              <w:t xml:space="preserve">Agencia Nacional de Contratación Pública – </w:t>
            </w:r>
            <w:r w:rsidRPr="006B4D66">
              <w:rPr>
                <w:rFonts w:ascii="Verdana" w:hAnsi="Verdana" w:cs="Arial"/>
              </w:rPr>
              <w:t xml:space="preserve">Colombia Compra Eficiente. Guía de garantías en procesos de contratación. Disponible en: </w:t>
            </w:r>
            <w:hyperlink r:id="rId13" w:history="1">
              <w:r w:rsidRPr="0024503C">
                <w:rPr>
                  <w:rStyle w:val="Hipervnculo"/>
                  <w:rFonts w:ascii="Verdana" w:hAnsi="Verdana" w:cs="Arial"/>
                </w:rPr>
                <w:t>https://www.colombiacompra.gov.co/manuales-guias-y-pliegos-tipo/manuales-y-guias</w:t>
              </w:r>
            </w:hyperlink>
            <w:r>
              <w:rPr>
                <w:rFonts w:ascii="Verdana" w:hAnsi="Verdana" w:cs="Arial"/>
              </w:rPr>
              <w:t>.</w:t>
            </w:r>
          </w:p>
          <w:p w14:paraId="03E68432" w14:textId="77777777" w:rsidR="0055038B" w:rsidRPr="00524DB1" w:rsidRDefault="0055038B" w:rsidP="00DB2D6A">
            <w:pPr>
              <w:widowControl w:val="0"/>
              <w:numPr>
                <w:ilvl w:val="0"/>
                <w:numId w:val="17"/>
              </w:numPr>
              <w:tabs>
                <w:tab w:val="num" w:pos="720"/>
              </w:tabs>
              <w:autoSpaceDE w:val="0"/>
              <w:autoSpaceDN w:val="0"/>
              <w:spacing w:line="276" w:lineRule="auto"/>
              <w:jc w:val="both"/>
              <w:rPr>
                <w:rFonts w:ascii="Verdana" w:hAnsi="Verdana" w:cs="Arial"/>
              </w:rPr>
            </w:pPr>
            <w:r w:rsidRPr="002816A2">
              <w:rPr>
                <w:rFonts w:ascii="Verdana" w:hAnsi="Verdana" w:cs="Arial"/>
              </w:rPr>
              <w:t xml:space="preserve">ORDÓÑEZ </w:t>
            </w:r>
            <w:proofErr w:type="spellStart"/>
            <w:r w:rsidRPr="002816A2">
              <w:rPr>
                <w:rFonts w:ascii="Verdana" w:hAnsi="Verdana" w:cs="Arial"/>
              </w:rPr>
              <w:t>ORDÓÑEZ</w:t>
            </w:r>
            <w:proofErr w:type="spellEnd"/>
            <w:r w:rsidRPr="002816A2">
              <w:rPr>
                <w:rFonts w:ascii="Verdana" w:hAnsi="Verdana" w:cs="Arial"/>
              </w:rPr>
              <w:t>, Andrés E. Seguro de cumplimiento de los contratos estatales en Colombia. Bogotá: Universidad Externado de Colombia, 2011.</w:t>
            </w:r>
          </w:p>
        </w:tc>
      </w:tr>
    </w:tbl>
    <w:p w14:paraId="2DD6835F" w14:textId="77777777" w:rsidR="0055038B" w:rsidRPr="00593A5F" w:rsidRDefault="0055038B" w:rsidP="0055038B">
      <w:pPr>
        <w:widowControl w:val="0"/>
        <w:autoSpaceDE w:val="0"/>
        <w:autoSpaceDN w:val="0"/>
        <w:spacing w:after="0" w:line="276" w:lineRule="auto"/>
        <w:jc w:val="both"/>
        <w:rPr>
          <w:rFonts w:ascii="Verdana" w:hAnsi="Verdana" w:cs="Arial"/>
        </w:rPr>
      </w:pPr>
    </w:p>
    <w:p w14:paraId="197A92AE" w14:textId="77777777" w:rsidR="0055038B" w:rsidRPr="00524DB1"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24DB1">
        <w:rPr>
          <w:rFonts w:ascii="Verdana" w:eastAsia="Century Gothic" w:hAnsi="Verdana" w:cs="Century Gothic"/>
          <w:b/>
          <w:bCs/>
        </w:rPr>
        <w:t>Doctrina de la Agencia Nacional de Contratación Pública:</w:t>
      </w:r>
    </w:p>
    <w:p w14:paraId="0E59D569" w14:textId="77777777" w:rsidR="0055038B" w:rsidRPr="00593A5F" w:rsidRDefault="0055038B" w:rsidP="0055038B">
      <w:pPr>
        <w:widowControl w:val="0"/>
        <w:autoSpaceDE w:val="0"/>
        <w:autoSpaceDN w:val="0"/>
        <w:spacing w:after="0" w:line="276" w:lineRule="auto"/>
        <w:jc w:val="both"/>
        <w:rPr>
          <w:rFonts w:ascii="Verdana" w:hAnsi="Verdana" w:cs="Arial"/>
        </w:rPr>
      </w:pPr>
    </w:p>
    <w:p w14:paraId="275CD977" w14:textId="3E78CBE2" w:rsidR="0055038B" w:rsidRPr="00667CD6" w:rsidRDefault="0055038B" w:rsidP="0055038B">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5D334E">
        <w:rPr>
          <w:rFonts w:ascii="Verdana" w:hAnsi="Verdana" w:cs="Arial"/>
          <w:shd w:val="clear" w:color="auto" w:fill="FFFFFF"/>
        </w:rPr>
        <w:t xml:space="preserve"> C-1430 del 12 de noviembre del 2025</w:t>
      </w:r>
      <w:r>
        <w:rPr>
          <w:rFonts w:ascii="Verdana" w:hAnsi="Verdana" w:cs="Arial"/>
          <w:shd w:val="clear" w:color="auto" w:fill="FFFFFF"/>
        </w:rPr>
        <w:t>, C-1661 del 22 de diciembre del 2025.</w:t>
      </w:r>
      <w:r w:rsidRPr="005D334E">
        <w:rPr>
          <w:rFonts w:ascii="Verdana" w:hAnsi="Verdana" w:cs="Arial"/>
          <w:shd w:val="clear" w:color="auto" w:fill="FFFFFF"/>
        </w:rPr>
        <w:t xml:space="preserve">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4"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300F662D" w14:textId="77777777" w:rsidR="0055038B" w:rsidRDefault="0055038B" w:rsidP="0055038B">
      <w:pPr>
        <w:spacing w:after="0" w:line="240" w:lineRule="auto"/>
        <w:jc w:val="both"/>
        <w:rPr>
          <w:rFonts w:ascii="Verdana" w:hAnsi="Verdana"/>
        </w:rPr>
      </w:pPr>
    </w:p>
    <w:p w14:paraId="59CF8BD0" w14:textId="77777777" w:rsidR="0055038B" w:rsidRPr="003E2460" w:rsidRDefault="0055038B" w:rsidP="0055038B">
      <w:pPr>
        <w:spacing w:after="0" w:line="240" w:lineRule="auto"/>
        <w:jc w:val="both"/>
        <w:rPr>
          <w:rFonts w:ascii="Verdana" w:hAnsi="Verdana"/>
        </w:rPr>
      </w:pPr>
      <w:r w:rsidRPr="003E2460">
        <w:rPr>
          <w:rFonts w:ascii="Verdana" w:hAnsi="Verdana"/>
        </w:rPr>
        <w:lastRenderedPageBreak/>
        <w:t xml:space="preserve">Por último, lo invitamos a seguirnos en las redes sociales en las cuales se difunde información institucional: </w:t>
      </w:r>
    </w:p>
    <w:p w14:paraId="0A337EA3" w14:textId="77777777" w:rsidR="0055038B" w:rsidRPr="003E2460" w:rsidRDefault="0055038B" w:rsidP="0055038B">
      <w:pPr>
        <w:spacing w:after="0" w:line="240" w:lineRule="auto"/>
        <w:jc w:val="both"/>
        <w:rPr>
          <w:rFonts w:ascii="Verdana" w:hAnsi="Verdana"/>
        </w:rPr>
      </w:pPr>
    </w:p>
    <w:p w14:paraId="748DDF0C" w14:textId="77777777" w:rsidR="0055038B" w:rsidRPr="003E2460" w:rsidRDefault="0055038B" w:rsidP="0055038B">
      <w:pPr>
        <w:spacing w:after="0" w:line="240" w:lineRule="auto"/>
        <w:jc w:val="both"/>
        <w:rPr>
          <w:rFonts w:ascii="Verdana" w:hAnsi="Verdana"/>
        </w:rPr>
      </w:pPr>
      <w:r w:rsidRPr="003E2460">
        <w:rPr>
          <w:rFonts w:ascii="Verdana" w:hAnsi="Verdana"/>
        </w:rPr>
        <w:t xml:space="preserve">Twitter: </w:t>
      </w:r>
      <w:r w:rsidRPr="00DB2D6A">
        <w:rPr>
          <w:rStyle w:val="Hipervnculo"/>
          <w:rFonts w:ascii="Verdana" w:hAnsi="Verdana"/>
        </w:rPr>
        <w:t>@colombiacompra</w:t>
      </w:r>
      <w:r w:rsidRPr="00DB2D6A">
        <w:rPr>
          <w:rFonts w:ascii="Verdana" w:hAnsi="Verdana"/>
          <w:color w:val="0000FF"/>
        </w:rPr>
        <w:t xml:space="preserve"> </w:t>
      </w:r>
    </w:p>
    <w:p w14:paraId="01B2B32B" w14:textId="77777777" w:rsidR="0055038B" w:rsidRPr="003E2460" w:rsidRDefault="0055038B" w:rsidP="0055038B">
      <w:pPr>
        <w:spacing w:after="0" w:line="240" w:lineRule="auto"/>
        <w:jc w:val="both"/>
        <w:rPr>
          <w:rFonts w:ascii="Verdana" w:hAnsi="Verdana"/>
        </w:rPr>
      </w:pPr>
      <w:r w:rsidRPr="1F9252E4">
        <w:rPr>
          <w:rFonts w:ascii="Verdana" w:hAnsi="Verdana"/>
        </w:rPr>
        <w:t xml:space="preserve">Facebook: </w:t>
      </w:r>
      <w:proofErr w:type="spellStart"/>
      <w:r w:rsidRPr="00DB2D6A">
        <w:rPr>
          <w:rStyle w:val="Hipervnculo"/>
          <w:rFonts w:ascii="Verdana" w:hAnsi="Verdana"/>
        </w:rPr>
        <w:t>ColombiaCompraEficiente</w:t>
      </w:r>
      <w:proofErr w:type="spellEnd"/>
    </w:p>
    <w:p w14:paraId="3F902A00" w14:textId="77777777" w:rsidR="0055038B" w:rsidRPr="003E2460" w:rsidRDefault="0055038B" w:rsidP="0055038B">
      <w:pPr>
        <w:spacing w:after="0" w:line="240" w:lineRule="auto"/>
        <w:jc w:val="both"/>
        <w:rPr>
          <w:rFonts w:ascii="Verdana" w:hAnsi="Verdana"/>
        </w:rPr>
      </w:pPr>
      <w:r w:rsidRPr="003E2460">
        <w:rPr>
          <w:rFonts w:ascii="Verdana" w:hAnsi="Verdana"/>
        </w:rPr>
        <w:t xml:space="preserve">LinkedIn: </w:t>
      </w:r>
      <w:r w:rsidRPr="00DB2D6A">
        <w:rPr>
          <w:rStyle w:val="Hipervnculo"/>
          <w:rFonts w:ascii="Verdana" w:hAnsi="Verdana"/>
        </w:rPr>
        <w:t>Agencia Nacional de Contratación Pública - Colombia Compra Eficiente</w:t>
      </w:r>
      <w:r w:rsidRPr="00DB2D6A">
        <w:rPr>
          <w:rFonts w:ascii="Verdana" w:hAnsi="Verdana"/>
          <w:color w:val="0000FF"/>
        </w:rPr>
        <w:t xml:space="preserve"> </w:t>
      </w:r>
      <w:r w:rsidRPr="003E2460">
        <w:rPr>
          <w:rFonts w:ascii="Verdana" w:hAnsi="Verdana"/>
        </w:rPr>
        <w:t xml:space="preserve">Instagram: </w:t>
      </w:r>
      <w:r w:rsidRPr="00DB2D6A">
        <w:rPr>
          <w:rStyle w:val="Hipervnculo"/>
          <w:rFonts w:ascii="Verdana" w:hAnsi="Verdana"/>
        </w:rPr>
        <w:t>@colombiacompraeficiente_cce</w:t>
      </w:r>
    </w:p>
    <w:p w14:paraId="18A81061" w14:textId="77777777" w:rsidR="0055038B" w:rsidRPr="00593A5F" w:rsidRDefault="0055038B" w:rsidP="0055038B">
      <w:pPr>
        <w:widowControl w:val="0"/>
        <w:autoSpaceDE w:val="0"/>
        <w:autoSpaceDN w:val="0"/>
        <w:spacing w:after="0" w:line="276" w:lineRule="auto"/>
        <w:jc w:val="both"/>
        <w:rPr>
          <w:rFonts w:ascii="Verdana" w:hAnsi="Verdana" w:cs="Arial"/>
        </w:rPr>
      </w:pPr>
    </w:p>
    <w:p w14:paraId="02892392" w14:textId="77777777" w:rsidR="0055038B" w:rsidRPr="00593A5F" w:rsidRDefault="0055038B" w:rsidP="0055038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22652B5" w14:textId="77777777" w:rsidR="0055038B" w:rsidRPr="00593A5F" w:rsidRDefault="0055038B" w:rsidP="0055038B">
      <w:pPr>
        <w:widowControl w:val="0"/>
        <w:autoSpaceDE w:val="0"/>
        <w:autoSpaceDN w:val="0"/>
        <w:spacing w:after="0" w:line="276" w:lineRule="auto"/>
        <w:jc w:val="both"/>
        <w:rPr>
          <w:rFonts w:ascii="Verdana" w:hAnsi="Verdana" w:cs="Arial"/>
        </w:rPr>
      </w:pPr>
    </w:p>
    <w:p w14:paraId="733FCC36" w14:textId="77777777" w:rsidR="0055038B" w:rsidRPr="00593A5F" w:rsidRDefault="0055038B" w:rsidP="0055038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18A1805" w14:textId="6DEF9A41" w:rsidR="0055038B" w:rsidRPr="00824297" w:rsidRDefault="00824297" w:rsidP="00824297">
      <w:pPr>
        <w:spacing w:line="276" w:lineRule="auto"/>
        <w:jc w:val="center"/>
        <w:rPr>
          <w:rFonts w:ascii="Verdana" w:hAnsi="Verdana" w:cs="Arial"/>
          <w:color w:val="000000"/>
          <w:lang w:eastAsia="es-CO"/>
        </w:rPr>
      </w:pPr>
      <w:r w:rsidRPr="00824297">
        <w:rPr>
          <w:rFonts w:ascii="Verdana" w:hAnsi="Verdana" w:cs="Arial"/>
          <w:noProof/>
          <w:color w:val="000000"/>
          <w:lang w:eastAsia="es-CO"/>
        </w:rPr>
        <w:drawing>
          <wp:inline distT="0" distB="0" distL="0" distR="0" wp14:anchorId="68A37433" wp14:editId="4AAB3C40">
            <wp:extent cx="5124450" cy="2028825"/>
            <wp:effectExtent l="0" t="0" r="0" b="9525"/>
            <wp:docPr id="126608186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24450" cy="202882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5038B" w:rsidRPr="000C0179" w14:paraId="53706749" w14:textId="77777777" w:rsidTr="00BA05D4">
        <w:trPr>
          <w:trHeight w:val="315"/>
        </w:trPr>
        <w:tc>
          <w:tcPr>
            <w:tcW w:w="893" w:type="dxa"/>
            <w:vAlign w:val="center"/>
            <w:hideMark/>
          </w:tcPr>
          <w:p w14:paraId="59C860F1" w14:textId="77777777" w:rsidR="0055038B" w:rsidRPr="003751C7" w:rsidRDefault="0055038B" w:rsidP="00BA05D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73BD164" w14:textId="77777777" w:rsidR="0055038B" w:rsidRPr="000C0179" w:rsidRDefault="0055038B" w:rsidP="00BA05D4">
            <w:pPr>
              <w:contextualSpacing/>
              <w:rPr>
                <w:rFonts w:ascii="Verdana" w:eastAsia="Arial" w:hAnsi="Verdana" w:cs="Arial"/>
                <w:sz w:val="16"/>
                <w:szCs w:val="16"/>
              </w:rPr>
            </w:pPr>
            <w:r w:rsidRPr="000C0179">
              <w:rPr>
                <w:rFonts w:ascii="Verdana" w:eastAsia="Arial" w:hAnsi="Verdana" w:cs="Arial"/>
                <w:sz w:val="16"/>
                <w:szCs w:val="16"/>
              </w:rPr>
              <w:t>Andrea Camila Polo Paz</w:t>
            </w:r>
          </w:p>
          <w:p w14:paraId="4CDCF358" w14:textId="77777777" w:rsidR="0055038B" w:rsidRPr="000C0179" w:rsidRDefault="0055038B" w:rsidP="00BA05D4">
            <w:pPr>
              <w:contextualSpacing/>
              <w:rPr>
                <w:rFonts w:ascii="Verdana" w:eastAsia="Arial" w:hAnsi="Verdana" w:cs="Arial"/>
                <w:sz w:val="16"/>
                <w:szCs w:val="16"/>
              </w:rPr>
            </w:pPr>
            <w:r w:rsidRPr="000C0179">
              <w:rPr>
                <w:rStyle w:val="normaltextrun"/>
                <w:rFonts w:ascii="Verdana" w:eastAsia="Arial" w:hAnsi="Verdana" w:cs="Arial"/>
                <w:sz w:val="16"/>
                <w:szCs w:val="16"/>
              </w:rPr>
              <w:t>Analista T</w:t>
            </w:r>
            <w:r>
              <w:rPr>
                <w:rStyle w:val="normaltextrun"/>
                <w:rFonts w:ascii="Verdana" w:eastAsia="Arial" w:hAnsi="Verdana" w:cs="Arial"/>
                <w:sz w:val="16"/>
                <w:szCs w:val="16"/>
              </w:rPr>
              <w:t>0</w:t>
            </w:r>
            <w:r w:rsidRPr="000C0179">
              <w:rPr>
                <w:rStyle w:val="normaltextrun"/>
                <w:rFonts w:ascii="Verdana" w:eastAsia="Arial" w:hAnsi="Verdana" w:cs="Arial"/>
                <w:sz w:val="16"/>
                <w:szCs w:val="16"/>
              </w:rPr>
              <w:t>2-1 de la Subdirección de Gestión Contractual</w:t>
            </w:r>
          </w:p>
        </w:tc>
      </w:tr>
      <w:tr w:rsidR="0055038B" w:rsidRPr="000C0179" w14:paraId="1D65F365" w14:textId="77777777" w:rsidTr="00BA05D4">
        <w:trPr>
          <w:trHeight w:val="330"/>
        </w:trPr>
        <w:tc>
          <w:tcPr>
            <w:tcW w:w="893" w:type="dxa"/>
            <w:vAlign w:val="center"/>
            <w:hideMark/>
          </w:tcPr>
          <w:p w14:paraId="1A374013" w14:textId="77777777" w:rsidR="0055038B" w:rsidRPr="003751C7" w:rsidRDefault="0055038B" w:rsidP="00BA05D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4A1E999" w14:textId="77777777" w:rsidR="0055038B" w:rsidRPr="000C0179" w:rsidRDefault="0055038B" w:rsidP="00BA05D4">
            <w:pPr>
              <w:pStyle w:val="paragraph"/>
              <w:spacing w:before="0" w:beforeAutospacing="0" w:after="0" w:afterAutospacing="0"/>
              <w:contextualSpacing/>
              <w:textAlignment w:val="baseline"/>
              <w:rPr>
                <w:rStyle w:val="normaltextrun"/>
                <w:rFonts w:ascii="Verdana" w:hAnsi="Verdana" w:cs="Arial"/>
                <w:sz w:val="16"/>
                <w:szCs w:val="16"/>
                <w:lang w:val="es-ES"/>
              </w:rPr>
            </w:pPr>
            <w:r w:rsidRPr="000C0179">
              <w:rPr>
                <w:rStyle w:val="normaltextrun"/>
                <w:rFonts w:ascii="Verdana" w:hAnsi="Verdana" w:cs="Arial"/>
                <w:sz w:val="16"/>
                <w:szCs w:val="16"/>
                <w:lang w:val="es-ES"/>
              </w:rPr>
              <w:t>Dian</w:t>
            </w:r>
            <w:r>
              <w:rPr>
                <w:rStyle w:val="normaltextrun"/>
                <w:rFonts w:ascii="Verdana" w:hAnsi="Verdana" w:cs="Arial"/>
                <w:sz w:val="16"/>
                <w:szCs w:val="16"/>
                <w:lang w:val="es-ES"/>
              </w:rPr>
              <w:t xml:space="preserve">a Lucia </w:t>
            </w:r>
            <w:r w:rsidRPr="000C0179">
              <w:rPr>
                <w:rStyle w:val="normaltextrun"/>
                <w:rFonts w:ascii="Verdana" w:hAnsi="Verdana" w:cs="Arial"/>
                <w:sz w:val="16"/>
                <w:szCs w:val="16"/>
                <w:lang w:val="es-ES"/>
              </w:rPr>
              <w:t>Saavedra</w:t>
            </w:r>
            <w:r>
              <w:rPr>
                <w:rStyle w:val="normaltextrun"/>
                <w:rFonts w:ascii="Verdana" w:hAnsi="Verdana" w:cs="Arial"/>
                <w:sz w:val="16"/>
                <w:szCs w:val="16"/>
                <w:lang w:val="es-ES"/>
              </w:rPr>
              <w:t xml:space="preserve"> Castañeda</w:t>
            </w:r>
          </w:p>
          <w:p w14:paraId="628B8479" w14:textId="77777777" w:rsidR="0055038B" w:rsidRPr="000C0179" w:rsidRDefault="0055038B" w:rsidP="00BA05D4">
            <w:pPr>
              <w:pStyle w:val="paragraph"/>
              <w:spacing w:before="0" w:beforeAutospacing="0" w:after="0" w:afterAutospacing="0"/>
              <w:contextualSpacing/>
              <w:textAlignment w:val="baseline"/>
              <w:rPr>
                <w:rFonts w:ascii="Verdana" w:hAnsi="Verdana" w:cs="Segoe UI"/>
                <w:sz w:val="16"/>
                <w:szCs w:val="16"/>
              </w:rPr>
            </w:pPr>
            <w:r w:rsidRPr="000C0179">
              <w:rPr>
                <w:rStyle w:val="normaltextrun"/>
                <w:rFonts w:ascii="Verdana" w:hAnsi="Verdana" w:cs="Arial"/>
                <w:sz w:val="16"/>
                <w:szCs w:val="16"/>
                <w:lang w:val="es-ES"/>
              </w:rPr>
              <w:t>Contratista de la Subdirección de Gestión Contractual</w:t>
            </w:r>
            <w:r w:rsidRPr="000C0179">
              <w:rPr>
                <w:rStyle w:val="eop"/>
                <w:rFonts w:ascii="Verdana" w:hAnsi="Verdana" w:cs="Arial"/>
                <w:sz w:val="16"/>
                <w:szCs w:val="16"/>
              </w:rPr>
              <w:t> </w:t>
            </w:r>
          </w:p>
        </w:tc>
      </w:tr>
      <w:tr w:rsidR="0055038B" w:rsidRPr="000C0179" w14:paraId="61B369D3" w14:textId="77777777" w:rsidTr="00BA05D4">
        <w:trPr>
          <w:trHeight w:val="300"/>
        </w:trPr>
        <w:tc>
          <w:tcPr>
            <w:tcW w:w="893" w:type="dxa"/>
            <w:vAlign w:val="center"/>
          </w:tcPr>
          <w:p w14:paraId="6B373092" w14:textId="77777777" w:rsidR="0055038B" w:rsidRPr="003751C7" w:rsidRDefault="0055038B" w:rsidP="00BA05D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4F4ACC" w14:textId="77777777" w:rsidR="0055038B" w:rsidRPr="000C0179" w:rsidRDefault="0055038B" w:rsidP="00BA05D4">
            <w:pPr>
              <w:contextualSpacing/>
              <w:rPr>
                <w:rFonts w:ascii="Verdana" w:eastAsia="Calibri" w:hAnsi="Verdana" w:cs="Arial"/>
                <w:sz w:val="16"/>
                <w:szCs w:val="16"/>
                <w:lang w:val="pt-BR" w:eastAsia="es-ES"/>
              </w:rPr>
            </w:pPr>
            <w:r w:rsidRPr="000C0179">
              <w:rPr>
                <w:rFonts w:ascii="Verdana" w:eastAsia="Calibri" w:hAnsi="Verdana" w:cs="Arial"/>
                <w:sz w:val="16"/>
                <w:szCs w:val="16"/>
                <w:lang w:val="pt-BR" w:eastAsia="es-ES"/>
              </w:rPr>
              <w:t>Carolina Quintero Gacharná</w:t>
            </w:r>
          </w:p>
          <w:p w14:paraId="5FF55464" w14:textId="77777777" w:rsidR="0055038B" w:rsidRPr="000C0179" w:rsidRDefault="0055038B" w:rsidP="00BA05D4">
            <w:pPr>
              <w:contextualSpacing/>
              <w:rPr>
                <w:rFonts w:ascii="Verdana" w:eastAsia="Calibri" w:hAnsi="Verdana" w:cs="Arial"/>
                <w:sz w:val="16"/>
                <w:szCs w:val="16"/>
                <w:lang w:val="pt-BR" w:eastAsia="es-ES"/>
              </w:rPr>
            </w:pPr>
            <w:r w:rsidRPr="000C0179">
              <w:rPr>
                <w:rFonts w:ascii="Verdana" w:eastAsia="Calibri" w:hAnsi="Verdana" w:cs="Arial"/>
                <w:sz w:val="16"/>
                <w:szCs w:val="16"/>
                <w:lang w:eastAsia="es-ES"/>
              </w:rPr>
              <w:t>Subdirectora</w:t>
            </w:r>
            <w:r w:rsidRPr="000C0179">
              <w:rPr>
                <w:rFonts w:ascii="Verdana" w:eastAsia="Calibri" w:hAnsi="Verdana" w:cs="Arial"/>
                <w:sz w:val="16"/>
                <w:szCs w:val="16"/>
                <w:lang w:val="pt-BR" w:eastAsia="es-ES"/>
              </w:rPr>
              <w:t xml:space="preserve">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5A4BC6D9" w:rsidR="00127233" w:rsidRPr="0015699B" w:rsidRDefault="00C15139" w:rsidP="00824297">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0E4C6" w14:textId="77777777" w:rsidR="007675AF" w:rsidRDefault="007675AF" w:rsidP="004A1847">
      <w:pPr>
        <w:spacing w:after="0" w:line="240" w:lineRule="auto"/>
      </w:pPr>
      <w:r>
        <w:separator/>
      </w:r>
    </w:p>
  </w:endnote>
  <w:endnote w:type="continuationSeparator" w:id="0">
    <w:p w14:paraId="3CFD2BB9" w14:textId="77777777" w:rsidR="007675AF" w:rsidRDefault="007675A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D761C" w14:textId="77777777" w:rsidR="007675AF" w:rsidRDefault="007675AF" w:rsidP="004A1847">
      <w:pPr>
        <w:spacing w:after="0" w:line="240" w:lineRule="auto"/>
      </w:pPr>
      <w:r>
        <w:separator/>
      </w:r>
    </w:p>
  </w:footnote>
  <w:footnote w:type="continuationSeparator" w:id="0">
    <w:p w14:paraId="26BE7026" w14:textId="77777777" w:rsidR="007675AF" w:rsidRDefault="007675AF" w:rsidP="004A1847">
      <w:pPr>
        <w:spacing w:after="0" w:line="240" w:lineRule="auto"/>
      </w:pPr>
      <w:r>
        <w:continuationSeparator/>
      </w:r>
    </w:p>
  </w:footnote>
  <w:footnote w:id="1">
    <w:p w14:paraId="07E1A6BB" w14:textId="121F1499" w:rsidR="0055038B" w:rsidRPr="00735B6C" w:rsidRDefault="0055038B" w:rsidP="002721A5">
      <w:pPr>
        <w:pStyle w:val="Textonotapie"/>
        <w:ind w:firstLine="709"/>
        <w:jc w:val="both"/>
        <w:rPr>
          <w:rFonts w:ascii="Verdana" w:hAnsi="Verdana"/>
          <w:sz w:val="16"/>
          <w:szCs w:val="16"/>
          <w:lang w:val="es-CO"/>
        </w:rPr>
      </w:pPr>
      <w:r w:rsidRPr="002721A5">
        <w:rPr>
          <w:rStyle w:val="Refdenotaalpie"/>
          <w:rFonts w:ascii="Verdana" w:hAnsi="Verdana"/>
          <w:sz w:val="16"/>
          <w:szCs w:val="16"/>
        </w:rPr>
        <w:footnoteRef/>
      </w:r>
      <w:r w:rsidRPr="002721A5">
        <w:rPr>
          <w:rFonts w:ascii="Verdana" w:hAnsi="Verdana"/>
          <w:sz w:val="16"/>
          <w:szCs w:val="16"/>
        </w:rPr>
        <w:t xml:space="preserve"> </w:t>
      </w:r>
      <w:r w:rsidRPr="002721A5">
        <w:rPr>
          <w:rFonts w:ascii="Verdana" w:hAnsi="Verdana"/>
          <w:sz w:val="16"/>
          <w:szCs w:val="16"/>
          <w:lang w:val="es-CO"/>
        </w:rPr>
        <w:t xml:space="preserve"> </w:t>
      </w:r>
      <w:r w:rsidR="004564C2">
        <w:rPr>
          <w:rFonts w:ascii="Verdana" w:hAnsi="Verdana"/>
          <w:sz w:val="16"/>
          <w:szCs w:val="16"/>
          <w:lang w:val="es-CO"/>
        </w:rPr>
        <w:t>Agencia Nacional de Contratación Pública -</w:t>
      </w:r>
      <w:r>
        <w:rPr>
          <w:rFonts w:ascii="Verdana" w:hAnsi="Verdana"/>
          <w:sz w:val="16"/>
          <w:szCs w:val="16"/>
          <w:lang w:val="es-CO"/>
        </w:rPr>
        <w:t xml:space="preserve"> </w:t>
      </w:r>
      <w:r w:rsidRPr="00735B6C">
        <w:rPr>
          <w:rFonts w:ascii="Verdana" w:hAnsi="Verdana"/>
          <w:sz w:val="16"/>
          <w:szCs w:val="16"/>
          <w:lang w:val="es-CO"/>
        </w:rPr>
        <w:t xml:space="preserve">Colombia Compra Eficiente. Guía de garantías en procesos de contratación. Página. 12. </w:t>
      </w:r>
      <w:r w:rsidRPr="004564C2">
        <w:rPr>
          <w:rFonts w:ascii="Verdana" w:hAnsi="Verdana"/>
          <w:sz w:val="16"/>
          <w:szCs w:val="16"/>
          <w:lang w:val="es-CO"/>
        </w:rPr>
        <w:t xml:space="preserve">Disponible en: </w:t>
      </w:r>
      <w:hyperlink r:id="rId1" w:history="1">
        <w:r w:rsidRPr="004564C2">
          <w:rPr>
            <w:rStyle w:val="Hipervnculo"/>
            <w:rFonts w:ascii="Verdana" w:hAnsi="Verdana"/>
            <w:sz w:val="16"/>
            <w:szCs w:val="16"/>
            <w:lang w:val="es-CO"/>
          </w:rPr>
          <w:t>https://www.colombiacompra.gov.co/manuales-guias-y-pliegos-tipo/manuales-y-guias</w:t>
        </w:r>
      </w:hyperlink>
      <w:r w:rsidRPr="004564C2">
        <w:rPr>
          <w:rFonts w:ascii="Verdana" w:hAnsi="Verdana"/>
          <w:sz w:val="16"/>
          <w:szCs w:val="16"/>
          <w:lang w:val="es-CO"/>
        </w:rPr>
        <w:t xml:space="preserve">; </w:t>
      </w:r>
    </w:p>
  </w:footnote>
  <w:footnote w:id="2">
    <w:p w14:paraId="76C604DC" w14:textId="77777777" w:rsidR="0055038B" w:rsidRPr="002721A5" w:rsidRDefault="0055038B" w:rsidP="002721A5">
      <w:pPr>
        <w:pStyle w:val="Textonotapie"/>
        <w:ind w:firstLine="709"/>
        <w:jc w:val="both"/>
        <w:rPr>
          <w:rFonts w:ascii="Verdana" w:hAnsi="Verdana"/>
          <w:sz w:val="16"/>
          <w:szCs w:val="16"/>
          <w:lang w:val="es-CO"/>
        </w:rPr>
      </w:pPr>
      <w:r w:rsidRPr="00735B6C">
        <w:rPr>
          <w:rStyle w:val="Refdenotaalpie"/>
          <w:rFonts w:ascii="Verdana" w:hAnsi="Verdana"/>
          <w:sz w:val="16"/>
          <w:szCs w:val="16"/>
        </w:rPr>
        <w:footnoteRef/>
      </w:r>
      <w:r w:rsidRPr="00735B6C">
        <w:rPr>
          <w:rFonts w:ascii="Verdana" w:hAnsi="Verdana"/>
          <w:sz w:val="16"/>
          <w:szCs w:val="16"/>
        </w:rPr>
        <w:t xml:space="preserve"> </w:t>
      </w:r>
      <w:r w:rsidRPr="00735B6C">
        <w:rPr>
          <w:rFonts w:ascii="Verdana" w:hAnsi="Verdana"/>
          <w:sz w:val="16"/>
          <w:szCs w:val="16"/>
          <w:lang w:val="es-CO"/>
        </w:rPr>
        <w:t>Ibidem. Página.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3">
    <w:p w14:paraId="25B55D37" w14:textId="77777777" w:rsidR="0055038B" w:rsidRPr="00B365C1" w:rsidRDefault="0055038B" w:rsidP="002721A5">
      <w:pPr>
        <w:pStyle w:val="Textonotapie"/>
        <w:ind w:firstLine="709"/>
        <w:jc w:val="both"/>
        <w:rPr>
          <w:rFonts w:ascii="Verdana" w:hAnsi="Verdana" w:cs="Arial"/>
          <w:sz w:val="16"/>
          <w:szCs w:val="16"/>
        </w:rPr>
      </w:pPr>
      <w:r w:rsidRPr="00B365C1">
        <w:rPr>
          <w:rStyle w:val="Refdenotaalpie"/>
          <w:rFonts w:ascii="Verdana" w:hAnsi="Verdana" w:cs="Arial"/>
          <w:sz w:val="16"/>
          <w:szCs w:val="16"/>
        </w:rPr>
        <w:footnoteRef/>
      </w:r>
      <w:r w:rsidRPr="00B365C1">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4">
    <w:p w14:paraId="39C5D309" w14:textId="77777777" w:rsidR="0055038B" w:rsidRPr="00B365C1" w:rsidRDefault="0055038B" w:rsidP="0055038B">
      <w:pPr>
        <w:pStyle w:val="Textonotapie"/>
        <w:ind w:firstLine="709"/>
        <w:jc w:val="both"/>
        <w:rPr>
          <w:rFonts w:ascii="Verdana" w:hAnsi="Verdana" w:cs="Arial"/>
          <w:color w:val="000000" w:themeColor="text1"/>
          <w:sz w:val="16"/>
          <w:szCs w:val="16"/>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5">
    <w:p w14:paraId="753DC1C1" w14:textId="77777777" w:rsidR="0055038B" w:rsidRPr="002721A5" w:rsidRDefault="0055038B" w:rsidP="002721A5">
      <w:pPr>
        <w:pStyle w:val="Textonotapie"/>
        <w:ind w:firstLine="709"/>
        <w:jc w:val="both"/>
        <w:rPr>
          <w:rFonts w:ascii="Verdana" w:hAnsi="Verdana"/>
          <w:sz w:val="16"/>
          <w:szCs w:val="16"/>
        </w:rPr>
      </w:pPr>
      <w:r w:rsidRPr="002721A5">
        <w:rPr>
          <w:rStyle w:val="Refdenotaalpie"/>
          <w:rFonts w:ascii="Verdana" w:hAnsi="Verdana"/>
          <w:sz w:val="16"/>
          <w:szCs w:val="16"/>
        </w:rPr>
        <w:footnoteRef/>
      </w:r>
      <w:r w:rsidRPr="002721A5">
        <w:rPr>
          <w:rFonts w:ascii="Verdana" w:hAnsi="Verdana"/>
          <w:sz w:val="16"/>
          <w:szCs w:val="16"/>
        </w:rPr>
        <w:t xml:space="preserve"> ARTÍCULO 2.2.1.2.3.1.1. Riesgos que deben cubrir las garantías en la contratación. El cumplimiento de las obligaciones surgidas en favor de las Entidades Estatales con ocasión de: (i) la presentación de las ofertas; (ii) los contratos y su liquidación; y (iii) los riesgos a los que se encuentran expuestas las Entidades Estatales, derivados de la responsabilidad extracontractual que pueda surgir por las actuaciones, hechos u omisiones de sus contratistas y subcontratistas, deben estar garantizadas en los términos de la ley y del presente título.</w:t>
      </w:r>
    </w:p>
  </w:footnote>
  <w:footnote w:id="6">
    <w:p w14:paraId="5D3EFFE0" w14:textId="77777777" w:rsidR="0055038B" w:rsidRPr="002721A5" w:rsidRDefault="0055038B" w:rsidP="002721A5">
      <w:pPr>
        <w:pStyle w:val="Textonotapie"/>
        <w:ind w:firstLine="709"/>
        <w:jc w:val="both"/>
        <w:rPr>
          <w:rFonts w:ascii="Verdana" w:hAnsi="Verdana"/>
          <w:sz w:val="16"/>
          <w:szCs w:val="16"/>
        </w:rPr>
      </w:pPr>
      <w:r w:rsidRPr="002721A5">
        <w:rPr>
          <w:rStyle w:val="Refdenotaalpie"/>
          <w:rFonts w:ascii="Verdana" w:hAnsi="Verdana"/>
          <w:sz w:val="16"/>
          <w:szCs w:val="16"/>
        </w:rPr>
        <w:footnoteRef/>
      </w:r>
      <w:r w:rsidRPr="002721A5">
        <w:rPr>
          <w:rFonts w:ascii="Verdana" w:hAnsi="Verdana"/>
          <w:sz w:val="16"/>
          <w:szCs w:val="16"/>
        </w:rPr>
        <w:t xml:space="preserve"> ARTÍCULO 2. DE LAS MODALIDADES DE SELECCIÓN. La escogencia del contratista se efectuará con arreglo a las modalidades de selección de licitación pública, selección abreviada, concurso de méritos y contratación directa, con base en las siguientes reglas […]</w:t>
      </w:r>
    </w:p>
  </w:footnote>
  <w:footnote w:id="7">
    <w:p w14:paraId="54EB0A77" w14:textId="77777777" w:rsidR="0055038B" w:rsidRPr="00DB2D6A" w:rsidRDefault="0055038B" w:rsidP="002721A5">
      <w:pPr>
        <w:pStyle w:val="Textonotapie"/>
        <w:ind w:firstLine="709"/>
        <w:jc w:val="both"/>
        <w:rPr>
          <w:rFonts w:ascii="Verdana" w:hAnsi="Verdana"/>
          <w:sz w:val="16"/>
          <w:szCs w:val="16"/>
        </w:rPr>
      </w:pPr>
      <w:r w:rsidRPr="00DB2D6A">
        <w:rPr>
          <w:rStyle w:val="Refdenotaalpie"/>
          <w:rFonts w:ascii="Verdana" w:hAnsi="Verdana"/>
          <w:sz w:val="16"/>
          <w:szCs w:val="16"/>
        </w:rPr>
        <w:footnoteRef/>
      </w:r>
      <w:r w:rsidRPr="00DB2D6A">
        <w:rPr>
          <w:rFonts w:ascii="Verdana" w:hAnsi="Verdana"/>
          <w:sz w:val="16"/>
          <w:szCs w:val="16"/>
        </w:rPr>
        <w:t xml:space="preserve"> “POR MEDIO DEL CUAL SE EXPIDE EL DECRETO ÚNICO REGLAMENTARIO DEL SECTOR ADMINISTRATIV</w:t>
      </w:r>
      <w:r w:rsidRPr="00DB2D6A">
        <w:rPr>
          <w:rFonts w:ascii="Arial" w:hAnsi="Arial" w:cs="Arial"/>
          <w:sz w:val="16"/>
          <w:szCs w:val="16"/>
        </w:rPr>
        <w:t>​</w:t>
      </w:r>
      <w:r w:rsidRPr="00DB2D6A">
        <w:rPr>
          <w:rFonts w:ascii="Verdana" w:hAnsi="Verdana"/>
          <w:sz w:val="16"/>
          <w:szCs w:val="16"/>
        </w:rPr>
        <w:t xml:space="preserve">O DE PLANEACIÓN NACIONAL"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EB832DE"/>
    <w:multiLevelType w:val="hybridMultilevel"/>
    <w:tmpl w:val="BBAE8086"/>
    <w:lvl w:ilvl="0" w:tplc="1CBA6FEA">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4F8978EE"/>
    <w:multiLevelType w:val="hybridMultilevel"/>
    <w:tmpl w:val="60B21C3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227110730">
    <w:abstractNumId w:val="0"/>
  </w:num>
  <w:num w:numId="17" w16cid:durableId="531266698">
    <w:abstractNumId w:val="9"/>
  </w:num>
  <w:num w:numId="18" w16cid:durableId="1167788118">
    <w:abstractNumId w:val="10"/>
  </w:num>
  <w:num w:numId="19" w16cid:durableId="10265190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B2C"/>
    <w:rsid w:val="00046945"/>
    <w:rsid w:val="00047051"/>
    <w:rsid w:val="0005018A"/>
    <w:rsid w:val="00061B2A"/>
    <w:rsid w:val="00082362"/>
    <w:rsid w:val="000A683E"/>
    <w:rsid w:val="000B19B9"/>
    <w:rsid w:val="000D0334"/>
    <w:rsid w:val="000D5DA7"/>
    <w:rsid w:val="000F6486"/>
    <w:rsid w:val="00102244"/>
    <w:rsid w:val="001166E8"/>
    <w:rsid w:val="00116940"/>
    <w:rsid w:val="00125105"/>
    <w:rsid w:val="00127233"/>
    <w:rsid w:val="0015699B"/>
    <w:rsid w:val="001A33BF"/>
    <w:rsid w:val="001E4177"/>
    <w:rsid w:val="001F0B24"/>
    <w:rsid w:val="001F1600"/>
    <w:rsid w:val="001F36D8"/>
    <w:rsid w:val="001F5589"/>
    <w:rsid w:val="001F5AFE"/>
    <w:rsid w:val="001F7DC6"/>
    <w:rsid w:val="0022400B"/>
    <w:rsid w:val="002324B8"/>
    <w:rsid w:val="002421BB"/>
    <w:rsid w:val="0025796E"/>
    <w:rsid w:val="002707A2"/>
    <w:rsid w:val="002721A5"/>
    <w:rsid w:val="00274F71"/>
    <w:rsid w:val="00293864"/>
    <w:rsid w:val="002951A0"/>
    <w:rsid w:val="002962BC"/>
    <w:rsid w:val="002A093D"/>
    <w:rsid w:val="002A0DD0"/>
    <w:rsid w:val="002A209F"/>
    <w:rsid w:val="002A2B88"/>
    <w:rsid w:val="002A49AC"/>
    <w:rsid w:val="002A64FD"/>
    <w:rsid w:val="002B36BA"/>
    <w:rsid w:val="002C7A84"/>
    <w:rsid w:val="002E098F"/>
    <w:rsid w:val="002E2BF8"/>
    <w:rsid w:val="002E4FD9"/>
    <w:rsid w:val="002F1673"/>
    <w:rsid w:val="003058FC"/>
    <w:rsid w:val="0030657A"/>
    <w:rsid w:val="00312E09"/>
    <w:rsid w:val="00322A85"/>
    <w:rsid w:val="00324168"/>
    <w:rsid w:val="00330834"/>
    <w:rsid w:val="0034475D"/>
    <w:rsid w:val="003448F4"/>
    <w:rsid w:val="00374F5E"/>
    <w:rsid w:val="00377E3E"/>
    <w:rsid w:val="0038780F"/>
    <w:rsid w:val="003A779E"/>
    <w:rsid w:val="003D0F4D"/>
    <w:rsid w:val="003D5B0D"/>
    <w:rsid w:val="003E0499"/>
    <w:rsid w:val="003E4F80"/>
    <w:rsid w:val="003E6439"/>
    <w:rsid w:val="003E74BC"/>
    <w:rsid w:val="003E7513"/>
    <w:rsid w:val="003F1919"/>
    <w:rsid w:val="003F3941"/>
    <w:rsid w:val="003F4254"/>
    <w:rsid w:val="00406575"/>
    <w:rsid w:val="00414C74"/>
    <w:rsid w:val="004262E7"/>
    <w:rsid w:val="0042722E"/>
    <w:rsid w:val="0044528D"/>
    <w:rsid w:val="004564C2"/>
    <w:rsid w:val="00466E39"/>
    <w:rsid w:val="004A1847"/>
    <w:rsid w:val="004A305D"/>
    <w:rsid w:val="004C6A84"/>
    <w:rsid w:val="004C7BA6"/>
    <w:rsid w:val="004E6C1D"/>
    <w:rsid w:val="004F21C4"/>
    <w:rsid w:val="004F685F"/>
    <w:rsid w:val="005026D1"/>
    <w:rsid w:val="00545D8A"/>
    <w:rsid w:val="0055038B"/>
    <w:rsid w:val="005548B4"/>
    <w:rsid w:val="005566E8"/>
    <w:rsid w:val="00574867"/>
    <w:rsid w:val="00591460"/>
    <w:rsid w:val="005A0DF2"/>
    <w:rsid w:val="005A6445"/>
    <w:rsid w:val="005A65E0"/>
    <w:rsid w:val="005C3777"/>
    <w:rsid w:val="005C5CDC"/>
    <w:rsid w:val="005D476C"/>
    <w:rsid w:val="005D66E2"/>
    <w:rsid w:val="005E61E5"/>
    <w:rsid w:val="00614586"/>
    <w:rsid w:val="006200BF"/>
    <w:rsid w:val="006219F8"/>
    <w:rsid w:val="006266D6"/>
    <w:rsid w:val="006302F7"/>
    <w:rsid w:val="006443F5"/>
    <w:rsid w:val="00646B9F"/>
    <w:rsid w:val="006562C1"/>
    <w:rsid w:val="00665D70"/>
    <w:rsid w:val="006711B0"/>
    <w:rsid w:val="00682C49"/>
    <w:rsid w:val="006900D9"/>
    <w:rsid w:val="006B4420"/>
    <w:rsid w:val="006C4EE2"/>
    <w:rsid w:val="00706C16"/>
    <w:rsid w:val="00716147"/>
    <w:rsid w:val="00733F99"/>
    <w:rsid w:val="007340C3"/>
    <w:rsid w:val="0074730B"/>
    <w:rsid w:val="0075235A"/>
    <w:rsid w:val="00756841"/>
    <w:rsid w:val="0076083E"/>
    <w:rsid w:val="007649AB"/>
    <w:rsid w:val="007675AF"/>
    <w:rsid w:val="00771D0C"/>
    <w:rsid w:val="007833AC"/>
    <w:rsid w:val="0079648D"/>
    <w:rsid w:val="007B268C"/>
    <w:rsid w:val="007B7171"/>
    <w:rsid w:val="007C0C0F"/>
    <w:rsid w:val="007C3DC2"/>
    <w:rsid w:val="007D1CDD"/>
    <w:rsid w:val="007E5497"/>
    <w:rsid w:val="00806F5F"/>
    <w:rsid w:val="00820278"/>
    <w:rsid w:val="008227C4"/>
    <w:rsid w:val="00824297"/>
    <w:rsid w:val="008258C9"/>
    <w:rsid w:val="00844AE9"/>
    <w:rsid w:val="00845030"/>
    <w:rsid w:val="0084515A"/>
    <w:rsid w:val="00867743"/>
    <w:rsid w:val="00867F95"/>
    <w:rsid w:val="008843B6"/>
    <w:rsid w:val="00891928"/>
    <w:rsid w:val="008A446D"/>
    <w:rsid w:val="008B25F1"/>
    <w:rsid w:val="008B52F0"/>
    <w:rsid w:val="008D180B"/>
    <w:rsid w:val="008F0EA7"/>
    <w:rsid w:val="00923EEF"/>
    <w:rsid w:val="009331B5"/>
    <w:rsid w:val="009419F9"/>
    <w:rsid w:val="00954218"/>
    <w:rsid w:val="0095685E"/>
    <w:rsid w:val="00961B09"/>
    <w:rsid w:val="00965334"/>
    <w:rsid w:val="0097093E"/>
    <w:rsid w:val="00973558"/>
    <w:rsid w:val="00996FAA"/>
    <w:rsid w:val="009A0DFA"/>
    <w:rsid w:val="009A1C6F"/>
    <w:rsid w:val="009B2D26"/>
    <w:rsid w:val="009C71FA"/>
    <w:rsid w:val="009C72E7"/>
    <w:rsid w:val="009C7F7E"/>
    <w:rsid w:val="009D3058"/>
    <w:rsid w:val="009F3A13"/>
    <w:rsid w:val="00A122D3"/>
    <w:rsid w:val="00A14468"/>
    <w:rsid w:val="00A151FF"/>
    <w:rsid w:val="00A17F13"/>
    <w:rsid w:val="00A20739"/>
    <w:rsid w:val="00A21364"/>
    <w:rsid w:val="00A23AF9"/>
    <w:rsid w:val="00A33C78"/>
    <w:rsid w:val="00AA22CD"/>
    <w:rsid w:val="00AA22FC"/>
    <w:rsid w:val="00AA2538"/>
    <w:rsid w:val="00AB0ADB"/>
    <w:rsid w:val="00B00C0E"/>
    <w:rsid w:val="00B01B1A"/>
    <w:rsid w:val="00B0381D"/>
    <w:rsid w:val="00B15C39"/>
    <w:rsid w:val="00B308E3"/>
    <w:rsid w:val="00B44A47"/>
    <w:rsid w:val="00B72CD3"/>
    <w:rsid w:val="00B72FFF"/>
    <w:rsid w:val="00B93ABB"/>
    <w:rsid w:val="00BA04BD"/>
    <w:rsid w:val="00BC3D36"/>
    <w:rsid w:val="00BC6044"/>
    <w:rsid w:val="00BD0D9B"/>
    <w:rsid w:val="00BD40CC"/>
    <w:rsid w:val="00BD495D"/>
    <w:rsid w:val="00BD54A6"/>
    <w:rsid w:val="00BD7F72"/>
    <w:rsid w:val="00BF7425"/>
    <w:rsid w:val="00C04FB3"/>
    <w:rsid w:val="00C11D8B"/>
    <w:rsid w:val="00C15139"/>
    <w:rsid w:val="00C330EB"/>
    <w:rsid w:val="00C464AD"/>
    <w:rsid w:val="00C501BE"/>
    <w:rsid w:val="00C50D69"/>
    <w:rsid w:val="00C5365C"/>
    <w:rsid w:val="00C71645"/>
    <w:rsid w:val="00C73CC1"/>
    <w:rsid w:val="00C754BE"/>
    <w:rsid w:val="00C76B1C"/>
    <w:rsid w:val="00C925AC"/>
    <w:rsid w:val="00C94765"/>
    <w:rsid w:val="00CA10FB"/>
    <w:rsid w:val="00CB2D34"/>
    <w:rsid w:val="00CB6357"/>
    <w:rsid w:val="00CC1B26"/>
    <w:rsid w:val="00CE6B8A"/>
    <w:rsid w:val="00D111CC"/>
    <w:rsid w:val="00D23772"/>
    <w:rsid w:val="00D31490"/>
    <w:rsid w:val="00D361FD"/>
    <w:rsid w:val="00D423A2"/>
    <w:rsid w:val="00D44E26"/>
    <w:rsid w:val="00D520D8"/>
    <w:rsid w:val="00D57036"/>
    <w:rsid w:val="00D63AC2"/>
    <w:rsid w:val="00D7383B"/>
    <w:rsid w:val="00D7788A"/>
    <w:rsid w:val="00D91429"/>
    <w:rsid w:val="00DA231B"/>
    <w:rsid w:val="00DA4C01"/>
    <w:rsid w:val="00DB2D6A"/>
    <w:rsid w:val="00DC39FC"/>
    <w:rsid w:val="00DD7DB6"/>
    <w:rsid w:val="00DE65A4"/>
    <w:rsid w:val="00DF5254"/>
    <w:rsid w:val="00E02524"/>
    <w:rsid w:val="00E16408"/>
    <w:rsid w:val="00E20894"/>
    <w:rsid w:val="00E245AB"/>
    <w:rsid w:val="00E2764C"/>
    <w:rsid w:val="00E27F2E"/>
    <w:rsid w:val="00E50AFE"/>
    <w:rsid w:val="00E55D1B"/>
    <w:rsid w:val="00E63B52"/>
    <w:rsid w:val="00E75C92"/>
    <w:rsid w:val="00E771DC"/>
    <w:rsid w:val="00E8772A"/>
    <w:rsid w:val="00E90F6B"/>
    <w:rsid w:val="00E92C27"/>
    <w:rsid w:val="00EA0E3D"/>
    <w:rsid w:val="00EC38A7"/>
    <w:rsid w:val="00EC5604"/>
    <w:rsid w:val="00ED1933"/>
    <w:rsid w:val="00EE1AA8"/>
    <w:rsid w:val="00F16A70"/>
    <w:rsid w:val="00F23FEA"/>
    <w:rsid w:val="00F31EDC"/>
    <w:rsid w:val="00F462B3"/>
    <w:rsid w:val="00F5664F"/>
    <w:rsid w:val="00F666C4"/>
    <w:rsid w:val="00F76AFC"/>
    <w:rsid w:val="00F8183F"/>
    <w:rsid w:val="00FA47C0"/>
    <w:rsid w:val="00FB5DD1"/>
    <w:rsid w:val="00FC2B5D"/>
    <w:rsid w:val="00FC79F6"/>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503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5038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bogado.oscar.munoz@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50A37B2F-9056-4A23-9916-16FFC653CE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C91277B-699F-4B0E-A8EF-4AD867E19DCE}">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446</TotalTime>
  <Pages>14</Pages>
  <Words>4458</Words>
  <Characters>24790</Characters>
  <Application>Microsoft Office Word</Application>
  <DocSecurity>0</DocSecurity>
  <Lines>467</Lines>
  <Paragraphs>103</Paragraphs>
  <ScaleCrop>false</ScaleCrop>
  <Company/>
  <LinksUpToDate>false</LinksUpToDate>
  <CharactersWithSpaces>29145</CharactersWithSpaces>
  <SharedDoc>false</SharedDoc>
  <HLinks>
    <vt:vector size="24" baseType="variant">
      <vt:variant>
        <vt:i4>7471218</vt:i4>
      </vt:variant>
      <vt:variant>
        <vt:i4>6</vt:i4>
      </vt:variant>
      <vt:variant>
        <vt:i4>0</vt:i4>
      </vt:variant>
      <vt:variant>
        <vt:i4>5</vt:i4>
      </vt:variant>
      <vt:variant>
        <vt:lpwstr>https://relatoria.colombiacompra.gov.co/busqueda/conceptos</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65574</vt:i4>
      </vt:variant>
      <vt:variant>
        <vt:i4>0</vt:i4>
      </vt:variant>
      <vt:variant>
        <vt:i4>0</vt:i4>
      </vt:variant>
      <vt:variant>
        <vt:i4>5</vt:i4>
      </vt:variant>
      <vt:variant>
        <vt:lpwstr>mailto:Abogado.oscar.munoz@gmail.com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55</cp:revision>
  <cp:lastPrinted>2023-01-10T21:18:00Z</cp:lastPrinted>
  <dcterms:created xsi:type="dcterms:W3CDTF">2026-04-06T15:07:00Z</dcterms:created>
  <dcterms:modified xsi:type="dcterms:W3CDTF">2026-04-09T15:55:00Z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